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24FDE" w14:textId="77777777" w:rsidR="00FB2C52" w:rsidRPr="009F791E" w:rsidRDefault="00FB2C52" w:rsidP="009F791E">
      <w:pPr>
        <w:pStyle w:val="Nagwek1"/>
        <w:spacing w:before="0" w:after="240" w:line="360" w:lineRule="auto"/>
        <w:jc w:val="center"/>
        <w:rPr>
          <w:rStyle w:val="Wyrnieniedelikatne"/>
          <w:rFonts w:ascii="Times New Roman" w:hAnsi="Times New Roman" w:cs="Times New Roman"/>
          <w:i w:val="0"/>
          <w:iCs w:val="0"/>
          <w:color w:val="auto"/>
          <w:sz w:val="24"/>
          <w:szCs w:val="24"/>
        </w:rPr>
      </w:pPr>
      <w:r w:rsidRPr="009F791E">
        <w:rPr>
          <w:rStyle w:val="Wyrnieniedelikatne"/>
          <w:rFonts w:ascii="Times New Roman" w:hAnsi="Times New Roman" w:cs="Times New Roman"/>
          <w:i w:val="0"/>
          <w:iCs w:val="0"/>
          <w:color w:val="auto"/>
          <w:sz w:val="24"/>
          <w:szCs w:val="24"/>
        </w:rPr>
        <w:t>UZASADNIENIE</w:t>
      </w:r>
    </w:p>
    <w:p w14:paraId="3F0E6513" w14:textId="5DAADADD" w:rsidR="00FB2C52" w:rsidRPr="009F791E" w:rsidRDefault="00FB2C52" w:rsidP="009F791E">
      <w:pPr>
        <w:pStyle w:val="Nagwek2"/>
        <w:spacing w:line="360" w:lineRule="auto"/>
        <w:rPr>
          <w:rStyle w:val="Wyrnieniedelikatne"/>
          <w:rFonts w:ascii="Times New Roman" w:hAnsi="Times New Roman" w:cs="Times New Roman"/>
          <w:b/>
          <w:bCs/>
          <w:i w:val="0"/>
          <w:iCs w:val="0"/>
          <w:color w:val="auto"/>
          <w:sz w:val="24"/>
          <w:szCs w:val="24"/>
        </w:rPr>
      </w:pPr>
      <w:r w:rsidRPr="009F791E">
        <w:rPr>
          <w:rStyle w:val="Wyrnieniedelikatne"/>
          <w:rFonts w:ascii="Times New Roman" w:hAnsi="Times New Roman" w:cs="Times New Roman"/>
          <w:b/>
          <w:bCs/>
          <w:i w:val="0"/>
          <w:iCs w:val="0"/>
          <w:color w:val="auto"/>
          <w:sz w:val="24"/>
          <w:szCs w:val="24"/>
        </w:rPr>
        <w:t>I. Cel ustawy</w:t>
      </w:r>
    </w:p>
    <w:p w14:paraId="34F15F4E" w14:textId="642AFCF8" w:rsidR="00DD24CE" w:rsidRPr="009F791E" w:rsidRDefault="00DD24CE" w:rsidP="009F791E">
      <w:pPr>
        <w:spacing w:before="120" w:line="360" w:lineRule="auto"/>
        <w:jc w:val="both"/>
        <w:rPr>
          <w:rFonts w:ascii="Times New Roman" w:hAnsi="Times New Roman"/>
        </w:rPr>
      </w:pPr>
      <w:r w:rsidRPr="009F791E">
        <w:rPr>
          <w:rFonts w:ascii="Times New Roman" w:hAnsi="Times New Roman"/>
        </w:rPr>
        <w:t>Ustawą z dnia 8 listopada 2013 r. o zmianie ustawy o finansach publicznych oraz niektórych innych ustaw</w:t>
      </w:r>
      <w:r w:rsidR="00B505A1">
        <w:rPr>
          <w:rFonts w:ascii="Times New Roman" w:hAnsi="Times New Roman"/>
        </w:rPr>
        <w:t xml:space="preserve"> </w:t>
      </w:r>
      <w:r w:rsidRPr="009F791E">
        <w:rPr>
          <w:rFonts w:ascii="Times New Roman" w:hAnsi="Times New Roman"/>
        </w:rPr>
        <w:t>(Dz.U. poz. 1646) do polskiego systemu prawnego wprowadzono stabilizując</w:t>
      </w:r>
      <w:r w:rsidR="00F506CD" w:rsidRPr="009F791E">
        <w:rPr>
          <w:rFonts w:ascii="Times New Roman" w:hAnsi="Times New Roman"/>
        </w:rPr>
        <w:t xml:space="preserve">ą </w:t>
      </w:r>
      <w:r w:rsidRPr="009F791E">
        <w:rPr>
          <w:rFonts w:ascii="Times New Roman" w:hAnsi="Times New Roman"/>
        </w:rPr>
        <w:t>regułę wydatkową (SRW), która stanowiła implementację dyrektywy Rady 2011/85/UE z dnia 8 listopada 2011 r. w sprawie wymogów dla ram budżetowych państw członkowskich.</w:t>
      </w:r>
    </w:p>
    <w:p w14:paraId="455A63CF" w14:textId="6A7441A3" w:rsidR="00DD24CE" w:rsidRPr="009F791E" w:rsidRDefault="0028105E" w:rsidP="009F791E">
      <w:pPr>
        <w:spacing w:before="120" w:line="360" w:lineRule="auto"/>
        <w:jc w:val="both"/>
        <w:rPr>
          <w:rFonts w:ascii="Times New Roman" w:hAnsi="Times New Roman"/>
        </w:rPr>
      </w:pPr>
      <w:r w:rsidRPr="009F791E">
        <w:rPr>
          <w:rFonts w:ascii="Times New Roman" w:hAnsi="Times New Roman"/>
        </w:rPr>
        <w:t xml:space="preserve">W dniu </w:t>
      </w:r>
      <w:r w:rsidR="00DD24CE" w:rsidRPr="009F791E">
        <w:rPr>
          <w:rFonts w:ascii="Times New Roman" w:hAnsi="Times New Roman"/>
        </w:rPr>
        <w:t>30 kwietnia 2024 r</w:t>
      </w:r>
      <w:r w:rsidRPr="009F791E">
        <w:rPr>
          <w:rFonts w:ascii="Times New Roman" w:hAnsi="Times New Roman"/>
        </w:rPr>
        <w:t>.</w:t>
      </w:r>
      <w:r w:rsidR="00DD24CE" w:rsidRPr="009F791E">
        <w:rPr>
          <w:rFonts w:ascii="Times New Roman" w:hAnsi="Times New Roman"/>
        </w:rPr>
        <w:t xml:space="preserve"> </w:t>
      </w:r>
      <w:r w:rsidR="0078245B" w:rsidRPr="009F791E">
        <w:rPr>
          <w:rFonts w:ascii="Times New Roman" w:hAnsi="Times New Roman"/>
        </w:rPr>
        <w:t>wszedł w życie pakiet aktów prawnych reformujących unijne ramy zarządzania gospodarczego</w:t>
      </w:r>
      <w:r w:rsidRPr="009F791E">
        <w:rPr>
          <w:rFonts w:ascii="Times New Roman" w:hAnsi="Times New Roman"/>
        </w:rPr>
        <w:t xml:space="preserve">, w skład którego </w:t>
      </w:r>
      <w:r w:rsidR="0078245B" w:rsidRPr="009F791E">
        <w:rPr>
          <w:rFonts w:ascii="Times New Roman" w:hAnsi="Times New Roman"/>
        </w:rPr>
        <w:t xml:space="preserve">weszły: </w:t>
      </w:r>
    </w:p>
    <w:p w14:paraId="0A0A0F13" w14:textId="55244309" w:rsidR="0078245B" w:rsidRPr="009F791E" w:rsidRDefault="0078245B" w:rsidP="009F791E">
      <w:pPr>
        <w:pStyle w:val="Akapitzlist"/>
        <w:numPr>
          <w:ilvl w:val="0"/>
          <w:numId w:val="32"/>
        </w:numPr>
        <w:spacing w:before="120" w:line="360" w:lineRule="auto"/>
        <w:jc w:val="both"/>
        <w:rPr>
          <w:rFonts w:ascii="Times New Roman" w:hAnsi="Times New Roman"/>
        </w:rPr>
      </w:pPr>
      <w:r w:rsidRPr="009F791E">
        <w:rPr>
          <w:rFonts w:ascii="Times New Roman" w:hAnsi="Times New Roman"/>
        </w:rPr>
        <w:t>dyrektywa Rady (UE) 2024/1265 z dnia 29 kwietnia 2024 r. zmieniająca dyrektywę 2011/85/UE w sprawie wymogów dla ram budżetowych państw członkowskich,</w:t>
      </w:r>
    </w:p>
    <w:p w14:paraId="6B2C9652" w14:textId="3EF6CAD4" w:rsidR="0078245B" w:rsidRPr="009F791E" w:rsidRDefault="0078245B" w:rsidP="009F791E">
      <w:pPr>
        <w:pStyle w:val="Akapitzlist"/>
        <w:numPr>
          <w:ilvl w:val="0"/>
          <w:numId w:val="32"/>
        </w:numPr>
        <w:spacing w:before="120" w:line="360" w:lineRule="auto"/>
        <w:jc w:val="both"/>
        <w:rPr>
          <w:rFonts w:ascii="Times New Roman" w:hAnsi="Times New Roman"/>
        </w:rPr>
      </w:pPr>
      <w:r w:rsidRPr="009F791E">
        <w:rPr>
          <w:rFonts w:ascii="Times New Roman" w:hAnsi="Times New Roman"/>
        </w:rPr>
        <w:t>rozporządzenie Rady (UE) 2024/1264 z dnia 29 kwietnia 2024 r. zmieniające rozporządzenie (WE) nr 1467/97 w sprawie przyspieszenia i wyjaśnienia procedury nadmiernego deficytu,</w:t>
      </w:r>
    </w:p>
    <w:p w14:paraId="1CCFF6AB" w14:textId="09070A92" w:rsidR="0078245B" w:rsidRPr="009F791E" w:rsidRDefault="0078245B" w:rsidP="009F791E">
      <w:pPr>
        <w:pStyle w:val="Akapitzlist"/>
        <w:numPr>
          <w:ilvl w:val="0"/>
          <w:numId w:val="32"/>
        </w:numPr>
        <w:spacing w:before="120" w:line="360" w:lineRule="auto"/>
        <w:jc w:val="both"/>
        <w:rPr>
          <w:rFonts w:ascii="Times New Roman" w:hAnsi="Times New Roman"/>
        </w:rPr>
      </w:pPr>
      <w:r w:rsidRPr="009F791E">
        <w:rPr>
          <w:rFonts w:ascii="Times New Roman" w:hAnsi="Times New Roman"/>
        </w:rPr>
        <w:t>rozporządzenie Parlamentu Europejskiego i Rady (UE) 2024/1263 z dnia 29 kwietnia 2024 r. w sprawie skutecznej koordynacji polityk gospodarczych i w sprawie wielostronnego nadzoru budżetowego oraz uchylające rozporządzenie Rady (WE) nr</w:t>
      </w:r>
      <w:r w:rsidR="0028105E" w:rsidRPr="009F791E">
        <w:rPr>
          <w:rFonts w:ascii="Times New Roman" w:hAnsi="Times New Roman"/>
        </w:rPr>
        <w:t> </w:t>
      </w:r>
      <w:r w:rsidRPr="009F791E">
        <w:rPr>
          <w:rFonts w:ascii="Times New Roman" w:hAnsi="Times New Roman"/>
        </w:rPr>
        <w:t>1466/97.</w:t>
      </w:r>
    </w:p>
    <w:p w14:paraId="5BEE98B5" w14:textId="07C777D7" w:rsidR="000D31EC" w:rsidRPr="009F791E" w:rsidRDefault="0078245B" w:rsidP="009F791E">
      <w:pPr>
        <w:spacing w:before="120" w:line="360" w:lineRule="auto"/>
        <w:jc w:val="both"/>
        <w:rPr>
          <w:rFonts w:ascii="Times New Roman" w:hAnsi="Times New Roman"/>
        </w:rPr>
      </w:pPr>
      <w:r w:rsidRPr="009F791E">
        <w:rPr>
          <w:rFonts w:ascii="Times New Roman" w:hAnsi="Times New Roman"/>
        </w:rPr>
        <w:t>Reforma zarządzania gospodarczego w Unii Europejskiej zmodyfikowała wymagania dotyczące reguł fiskalnych. W efekcie wprowadzenia nowych regulacji na szczeblu Unii Europejskiej zachodzi potrzeba dostosowania SRW do wymogów i rozwiązań wynikających z</w:t>
      </w:r>
      <w:r w:rsidR="0028105E" w:rsidRPr="009F791E">
        <w:rPr>
          <w:rFonts w:ascii="Times New Roman" w:hAnsi="Times New Roman"/>
        </w:rPr>
        <w:t> </w:t>
      </w:r>
      <w:r w:rsidRPr="009F791E">
        <w:rPr>
          <w:rFonts w:ascii="Times New Roman" w:hAnsi="Times New Roman"/>
        </w:rPr>
        <w:t>prawa UE</w:t>
      </w:r>
      <w:r w:rsidR="0028105E" w:rsidRPr="009F791E">
        <w:rPr>
          <w:rFonts w:ascii="Times New Roman" w:hAnsi="Times New Roman"/>
        </w:rPr>
        <w:t>. T</w:t>
      </w:r>
      <w:r w:rsidR="000D31EC" w:rsidRPr="009F791E">
        <w:rPr>
          <w:rFonts w:ascii="Times New Roman" w:hAnsi="Times New Roman"/>
        </w:rPr>
        <w:t>ym samym konieczne</w:t>
      </w:r>
      <w:r w:rsidR="00DD24CE" w:rsidRPr="009F791E">
        <w:rPr>
          <w:rFonts w:ascii="Times New Roman" w:hAnsi="Times New Roman"/>
        </w:rPr>
        <w:t xml:space="preserve"> jest dostosowanie </w:t>
      </w:r>
      <w:r w:rsidR="0028105E" w:rsidRPr="009F791E">
        <w:rPr>
          <w:rFonts w:ascii="Times New Roman" w:hAnsi="Times New Roman"/>
        </w:rPr>
        <w:t>SRW</w:t>
      </w:r>
      <w:r w:rsidR="000D31EC" w:rsidRPr="009F791E">
        <w:rPr>
          <w:rFonts w:ascii="Times New Roman" w:hAnsi="Times New Roman"/>
        </w:rPr>
        <w:t>,</w:t>
      </w:r>
      <w:r w:rsidR="00DD24CE" w:rsidRPr="009F791E">
        <w:rPr>
          <w:rFonts w:ascii="Times New Roman" w:hAnsi="Times New Roman"/>
        </w:rPr>
        <w:t xml:space="preserve"> zawartej w ustawie z dnia 27</w:t>
      </w:r>
      <w:r w:rsidR="0028105E" w:rsidRPr="009F791E">
        <w:rPr>
          <w:rFonts w:ascii="Times New Roman" w:hAnsi="Times New Roman"/>
        </w:rPr>
        <w:t> </w:t>
      </w:r>
      <w:r w:rsidR="00DD24CE" w:rsidRPr="009F791E">
        <w:rPr>
          <w:rFonts w:ascii="Times New Roman" w:hAnsi="Times New Roman"/>
        </w:rPr>
        <w:t>sierpnia 2009 r. o finansach publicznych (Dz.</w:t>
      </w:r>
      <w:r w:rsidR="00B505A1">
        <w:rPr>
          <w:rFonts w:ascii="Times New Roman" w:hAnsi="Times New Roman"/>
        </w:rPr>
        <w:t xml:space="preserve"> </w:t>
      </w:r>
      <w:r w:rsidR="00DD24CE" w:rsidRPr="009F791E">
        <w:rPr>
          <w:rFonts w:ascii="Times New Roman" w:hAnsi="Times New Roman"/>
        </w:rPr>
        <w:t>U. z 2023 r. poz. 1270, z późn. zm.</w:t>
      </w:r>
      <w:r w:rsidR="00CD39F6" w:rsidRPr="009F791E">
        <w:rPr>
          <w:rFonts w:ascii="Times New Roman" w:hAnsi="Times New Roman"/>
        </w:rPr>
        <w:t>)</w:t>
      </w:r>
      <w:r w:rsidR="0028105E" w:rsidRPr="009F791E">
        <w:rPr>
          <w:rFonts w:ascii="Times New Roman" w:hAnsi="Times New Roman"/>
        </w:rPr>
        <w:t xml:space="preserve">, </w:t>
      </w:r>
      <w:r w:rsidR="00DD24CE" w:rsidRPr="009F791E">
        <w:rPr>
          <w:rFonts w:ascii="Times New Roman" w:hAnsi="Times New Roman"/>
        </w:rPr>
        <w:t xml:space="preserve">dalej </w:t>
      </w:r>
      <w:r w:rsidR="00CD39F6" w:rsidRPr="009F791E">
        <w:rPr>
          <w:rFonts w:ascii="Times New Roman" w:hAnsi="Times New Roman"/>
        </w:rPr>
        <w:t>„</w:t>
      </w:r>
      <w:r w:rsidR="00DD24CE" w:rsidRPr="009F791E">
        <w:rPr>
          <w:rFonts w:ascii="Times New Roman" w:hAnsi="Times New Roman"/>
        </w:rPr>
        <w:t>ustawa o finansach publicznych</w:t>
      </w:r>
      <w:r w:rsidR="00CD39F6" w:rsidRPr="009F791E">
        <w:rPr>
          <w:rFonts w:ascii="Times New Roman" w:hAnsi="Times New Roman"/>
        </w:rPr>
        <w:t>”</w:t>
      </w:r>
      <w:r w:rsidR="00DD24CE" w:rsidRPr="009F791E">
        <w:rPr>
          <w:rFonts w:ascii="Times New Roman" w:hAnsi="Times New Roman"/>
        </w:rPr>
        <w:t>, do unijnych reguł fiskalnych.</w:t>
      </w:r>
    </w:p>
    <w:p w14:paraId="18CB6348" w14:textId="3810EB49" w:rsidR="004B6402" w:rsidRPr="009F791E" w:rsidRDefault="004B6402" w:rsidP="009F791E">
      <w:pPr>
        <w:spacing w:before="120" w:line="360" w:lineRule="auto"/>
        <w:jc w:val="both"/>
        <w:rPr>
          <w:rFonts w:ascii="Times New Roman" w:hAnsi="Times New Roman"/>
        </w:rPr>
      </w:pPr>
      <w:r w:rsidRPr="009F791E">
        <w:rPr>
          <w:rFonts w:ascii="Times New Roman" w:hAnsi="Times New Roman"/>
        </w:rPr>
        <w:t>Zaproponowane w projekcie zmiany</w:t>
      </w:r>
      <w:r w:rsidR="00EB60E6" w:rsidRPr="009F791E">
        <w:rPr>
          <w:rFonts w:ascii="Times New Roman" w:hAnsi="Times New Roman"/>
        </w:rPr>
        <w:t>,</w:t>
      </w:r>
      <w:r w:rsidRPr="009F791E">
        <w:rPr>
          <w:rFonts w:ascii="Times New Roman" w:hAnsi="Times New Roman"/>
        </w:rPr>
        <w:t xml:space="preserve"> </w:t>
      </w:r>
      <w:r w:rsidR="00EB60E6" w:rsidRPr="009F791E">
        <w:rPr>
          <w:rFonts w:ascii="Times New Roman" w:hAnsi="Times New Roman"/>
        </w:rPr>
        <w:t>p</w:t>
      </w:r>
      <w:r w:rsidRPr="009F791E">
        <w:rPr>
          <w:rFonts w:ascii="Times New Roman" w:hAnsi="Times New Roman"/>
        </w:rPr>
        <w:t xml:space="preserve">odobnie jak poprzednie </w:t>
      </w:r>
      <w:r w:rsidR="003B3068" w:rsidRPr="009F791E">
        <w:rPr>
          <w:rFonts w:ascii="Times New Roman" w:hAnsi="Times New Roman"/>
        </w:rPr>
        <w:t>zmiany</w:t>
      </w:r>
      <w:r w:rsidRPr="009F791E">
        <w:rPr>
          <w:rFonts w:ascii="Times New Roman" w:hAnsi="Times New Roman"/>
        </w:rPr>
        <w:t xml:space="preserve"> ustawy o finansach publicznych dotyczące SRW</w:t>
      </w:r>
      <w:r w:rsidR="003B3068" w:rsidRPr="009F791E">
        <w:rPr>
          <w:rFonts w:ascii="Times New Roman" w:hAnsi="Times New Roman"/>
        </w:rPr>
        <w:t>,</w:t>
      </w:r>
      <w:r w:rsidRPr="009F791E">
        <w:rPr>
          <w:rFonts w:ascii="Times New Roman" w:hAnsi="Times New Roman"/>
        </w:rPr>
        <w:t xml:space="preserve"> mają na celu zwiększenie efektywności</w:t>
      </w:r>
      <w:r w:rsidR="003B3068" w:rsidRPr="009F791E">
        <w:rPr>
          <w:rFonts w:ascii="Times New Roman" w:hAnsi="Times New Roman"/>
        </w:rPr>
        <w:t xml:space="preserve"> </w:t>
      </w:r>
      <w:r w:rsidRPr="009F791E">
        <w:rPr>
          <w:rFonts w:ascii="Times New Roman" w:hAnsi="Times New Roman"/>
        </w:rPr>
        <w:t>istniejącej reguły numerycznej</w:t>
      </w:r>
      <w:r w:rsidR="00EB60E6" w:rsidRPr="009F791E">
        <w:rPr>
          <w:rFonts w:ascii="Times New Roman" w:hAnsi="Times New Roman"/>
        </w:rPr>
        <w:t>, co s</w:t>
      </w:r>
      <w:r w:rsidRPr="009F791E">
        <w:rPr>
          <w:rFonts w:ascii="Times New Roman" w:hAnsi="Times New Roman"/>
        </w:rPr>
        <w:t>łuży prawidłowej realizacji celów dyrektywy Rady 2011/85/UE z dnia 8</w:t>
      </w:r>
      <w:r w:rsidR="003B3068" w:rsidRPr="009F791E">
        <w:rPr>
          <w:rFonts w:ascii="Times New Roman" w:hAnsi="Times New Roman"/>
        </w:rPr>
        <w:t> </w:t>
      </w:r>
      <w:r w:rsidRPr="009F791E">
        <w:rPr>
          <w:rFonts w:ascii="Times New Roman" w:hAnsi="Times New Roman"/>
        </w:rPr>
        <w:t xml:space="preserve">listopada 2011 r. w sprawie wymogów dla ram budżetowych państw członkowskich, która została wdrożona do polskiego systemu prawnego w </w:t>
      </w:r>
      <w:r w:rsidR="00EB60E6" w:rsidRPr="009F791E">
        <w:rPr>
          <w:rFonts w:ascii="Times New Roman" w:hAnsi="Times New Roman"/>
        </w:rPr>
        <w:t xml:space="preserve">roku </w:t>
      </w:r>
      <w:r w:rsidRPr="009F791E">
        <w:rPr>
          <w:rFonts w:ascii="Times New Roman" w:hAnsi="Times New Roman"/>
        </w:rPr>
        <w:t>2013 ustawą z dnia 8 listopada 2013</w:t>
      </w:r>
      <w:r w:rsidR="003B3068" w:rsidRPr="009F791E">
        <w:rPr>
          <w:rFonts w:ascii="Times New Roman" w:hAnsi="Times New Roman"/>
        </w:rPr>
        <w:t> </w:t>
      </w:r>
      <w:r w:rsidRPr="009F791E">
        <w:rPr>
          <w:rFonts w:ascii="Times New Roman" w:hAnsi="Times New Roman"/>
        </w:rPr>
        <w:t>r. o zmianie ustawy o finansach publicznych oraz niektórych innych ustaw</w:t>
      </w:r>
      <w:r w:rsidR="00EB60E6" w:rsidRPr="009F791E">
        <w:rPr>
          <w:rFonts w:ascii="Times New Roman" w:hAnsi="Times New Roman"/>
        </w:rPr>
        <w:t xml:space="preserve"> (Dz. U. poz.</w:t>
      </w:r>
      <w:r w:rsidR="003B3068" w:rsidRPr="009F791E">
        <w:rPr>
          <w:rFonts w:ascii="Times New Roman" w:hAnsi="Times New Roman"/>
        </w:rPr>
        <w:t> </w:t>
      </w:r>
      <w:r w:rsidR="00EB60E6" w:rsidRPr="009F791E">
        <w:rPr>
          <w:rFonts w:ascii="Times New Roman" w:hAnsi="Times New Roman"/>
        </w:rPr>
        <w:t>1646, z późn. zm.)</w:t>
      </w:r>
      <w:r w:rsidRPr="009F791E">
        <w:rPr>
          <w:rFonts w:ascii="Times New Roman" w:hAnsi="Times New Roman"/>
        </w:rPr>
        <w:t xml:space="preserve">. Warto zauważyć, że zmiany wprowadzone w dyrektywie Rady 2011/85/UE z dnia 8 listopada 2011 r. w sprawie wymogów dla ram budżetowych państw członkowskich przez dyrektywę Rady (UE) 2024/1265 z dnia 29 kwietnia 2024 r. zmieniającą </w:t>
      </w:r>
      <w:r w:rsidRPr="009F791E">
        <w:rPr>
          <w:rFonts w:ascii="Times New Roman" w:hAnsi="Times New Roman"/>
        </w:rPr>
        <w:lastRenderedPageBreak/>
        <w:t>dyrektywę 2011/85/UE w sprawie wymogów dla ram budżetowych państw członkowskich nie zmieniają wymogów dotyczących numerycznych reguł fiskalnych (rozdział IV Dyrektywy), dotyczą jedynie doprecyzowania lub uspójnienia poprzednich rozwiązań i w efekcie nie wymagają transpozycji do polskiego systemu prawnego.</w:t>
      </w:r>
    </w:p>
    <w:p w14:paraId="2EF8F8D8" w14:textId="38FE1E45" w:rsidR="00DD24CE" w:rsidRPr="009F791E" w:rsidRDefault="00DD24CE" w:rsidP="009F791E">
      <w:pPr>
        <w:spacing w:before="120" w:line="360" w:lineRule="auto"/>
        <w:jc w:val="both"/>
        <w:rPr>
          <w:rFonts w:ascii="Times New Roman" w:hAnsi="Times New Roman"/>
        </w:rPr>
      </w:pPr>
      <w:r w:rsidRPr="009F791E">
        <w:rPr>
          <w:rFonts w:ascii="Times New Roman" w:hAnsi="Times New Roman"/>
        </w:rPr>
        <w:t>Zmiany wprowadzone w zakresie prawodawstwa UE</w:t>
      </w:r>
      <w:r w:rsidR="0028105E" w:rsidRPr="009F791E">
        <w:rPr>
          <w:rFonts w:ascii="Times New Roman" w:hAnsi="Times New Roman"/>
        </w:rPr>
        <w:t>,</w:t>
      </w:r>
      <w:r w:rsidRPr="009F791E">
        <w:rPr>
          <w:rFonts w:ascii="Times New Roman" w:hAnsi="Times New Roman"/>
        </w:rPr>
        <w:t xml:space="preserve"> regulującego kwestie zarządzania gospodarczego w Unii Europejskiej</w:t>
      </w:r>
      <w:r w:rsidR="0028105E" w:rsidRPr="009F791E">
        <w:rPr>
          <w:rFonts w:ascii="Times New Roman" w:hAnsi="Times New Roman"/>
        </w:rPr>
        <w:t>,</w:t>
      </w:r>
      <w:r w:rsidRPr="009F791E">
        <w:rPr>
          <w:rFonts w:ascii="Times New Roman" w:hAnsi="Times New Roman"/>
        </w:rPr>
        <w:t xml:space="preserve"> zbiegły się w czasie z wynikiem przeprowadzonego we współpracy z Międzynarodowym Funduszem Walutowym (MFW) przeglądu funkcjonowania SRW, będącego realizacją kamienia milowego A4G Krajowego Planu Odbudowy i</w:t>
      </w:r>
      <w:r w:rsidR="0028105E" w:rsidRPr="009F791E">
        <w:rPr>
          <w:rFonts w:ascii="Times New Roman" w:hAnsi="Times New Roman"/>
        </w:rPr>
        <w:t> </w:t>
      </w:r>
      <w:r w:rsidRPr="009F791E">
        <w:rPr>
          <w:rFonts w:ascii="Times New Roman" w:hAnsi="Times New Roman"/>
        </w:rPr>
        <w:t>Zwiększania Odporności (KPO). Zaproponowane zmiany uwzględnia</w:t>
      </w:r>
      <w:r w:rsidR="00D6775A" w:rsidRPr="009F791E">
        <w:rPr>
          <w:rFonts w:ascii="Times New Roman" w:hAnsi="Times New Roman"/>
        </w:rPr>
        <w:t>ją więc</w:t>
      </w:r>
      <w:r w:rsidRPr="009F791E">
        <w:rPr>
          <w:rFonts w:ascii="Times New Roman" w:hAnsi="Times New Roman"/>
        </w:rPr>
        <w:t xml:space="preserve"> także wnioski z</w:t>
      </w:r>
      <w:r w:rsidR="0028105E" w:rsidRPr="009F791E">
        <w:rPr>
          <w:rFonts w:ascii="Times New Roman" w:hAnsi="Times New Roman"/>
        </w:rPr>
        <w:t> </w:t>
      </w:r>
      <w:r w:rsidRPr="009F791E">
        <w:rPr>
          <w:rFonts w:ascii="Times New Roman" w:hAnsi="Times New Roman"/>
        </w:rPr>
        <w:t>tego przeglądu. Zmiany w SRW, stanowiące uwzględnienie wniosków z przeglądu z MFW, polega</w:t>
      </w:r>
      <w:r w:rsidR="00D6775A" w:rsidRPr="009F791E">
        <w:rPr>
          <w:rFonts w:ascii="Times New Roman" w:hAnsi="Times New Roman"/>
        </w:rPr>
        <w:t>ją</w:t>
      </w:r>
      <w:r w:rsidRPr="009F791E">
        <w:rPr>
          <w:rFonts w:ascii="Times New Roman" w:hAnsi="Times New Roman"/>
        </w:rPr>
        <w:t xml:space="preserve"> między innymi na zmianie formuły reguły w celu zwiększenia spójności polskich ram fiskalnych z regułami unijnymi (rozszerzenie zakresu podmiotowego SRW, wprowadzenie korekty błędu prognozy dynamiki PKB</w:t>
      </w:r>
      <w:r w:rsidR="00D6775A" w:rsidRPr="009F791E">
        <w:rPr>
          <w:rFonts w:ascii="Times New Roman" w:hAnsi="Times New Roman"/>
        </w:rPr>
        <w:t xml:space="preserve"> i zmiana wskaźnika cen z CPI na deflator PKB</w:t>
      </w:r>
      <w:r w:rsidRPr="009F791E">
        <w:rPr>
          <w:rFonts w:ascii="Times New Roman" w:hAnsi="Times New Roman"/>
        </w:rPr>
        <w:t>, wprowadzenie znacznego spowolnienia gospodarczego jako samodzielnej przesłanki zawieszenia SRW).</w:t>
      </w:r>
    </w:p>
    <w:p w14:paraId="4ED3A2F1" w14:textId="08EEB33C" w:rsidR="009D53A9" w:rsidRPr="009F791E" w:rsidRDefault="009D53A9" w:rsidP="009F791E">
      <w:pPr>
        <w:spacing w:line="360" w:lineRule="auto"/>
        <w:jc w:val="both"/>
        <w:rPr>
          <w:rFonts w:ascii="Times New Roman" w:hAnsi="Times New Roman"/>
          <w:color w:val="000000"/>
        </w:rPr>
      </w:pPr>
      <w:r w:rsidRPr="009F791E">
        <w:rPr>
          <w:rFonts w:ascii="Times New Roman" w:hAnsi="Times New Roman"/>
          <w:color w:val="000000"/>
        </w:rPr>
        <w:t xml:space="preserve">Ponadto w projekcie ustawy realizuje się jeden z celów określonych w ramach drugiego kamienia milowego A2G „Wejście w życie nowelizacji ustawy o finansach publicznych opracowanej przez Ministerstwo Finansów, wdrażającej nowy system budżetowy, w tym nowy system klasyfikacyjny, nowy model zarządzania budżetem i przedefiniowane średniookresowe ramy budżetowe” określonego dla Reformy Systemu Budżetowego w KPO. Zaproponowane rozwiązania, tj. rozszerzenie zakresu podmiotowego SRW i zmiany w obszarze gospodarki finansowej jednostek sektora finansów publicznych (zarówno obecnie objętych jak i włączanych projektem do SRW), uwzględniają dotychczasowe krajowe doświadczenia oraz potrzebę zredefiniowania średniookresowych ram budżetowych w Polsce. </w:t>
      </w:r>
    </w:p>
    <w:p w14:paraId="2EFD9DEF" w14:textId="7E416ED8" w:rsidR="00B14E8D" w:rsidRPr="009F791E" w:rsidRDefault="00DD24CE" w:rsidP="009F791E">
      <w:pPr>
        <w:spacing w:before="120" w:line="360" w:lineRule="auto"/>
        <w:jc w:val="both"/>
        <w:rPr>
          <w:rFonts w:ascii="Times New Roman" w:hAnsi="Times New Roman"/>
        </w:rPr>
      </w:pPr>
      <w:r w:rsidRPr="009F791E">
        <w:rPr>
          <w:rFonts w:ascii="Times New Roman" w:hAnsi="Times New Roman"/>
        </w:rPr>
        <w:t>Projekt odpowiada także na wnioski pokontrolne Najwyższej Izby Kontroli w zakresie funkcjonowania SRW zawarte w wystąpieniu pokontrolnym P/21/012: Opracowanie ustaw budżetowych na lata 2021</w:t>
      </w:r>
      <w:r w:rsidR="00B505A1">
        <w:rPr>
          <w:rFonts w:ascii="Times New Roman" w:hAnsi="Times New Roman"/>
        </w:rPr>
        <w:t>–</w:t>
      </w:r>
      <w:r w:rsidRPr="009F791E">
        <w:rPr>
          <w:rFonts w:ascii="Times New Roman" w:hAnsi="Times New Roman"/>
        </w:rPr>
        <w:t>2022 oraz P/22/009: Opracowanie ustawy budżetowej na rok 2023. Dotyczyły one m.in. rozszerzenia zakresu podmiotowego SRW czy wyeliminowania z</w:t>
      </w:r>
      <w:r w:rsidR="00FE6DBE" w:rsidRPr="009F791E">
        <w:rPr>
          <w:rFonts w:ascii="Times New Roman" w:hAnsi="Times New Roman"/>
        </w:rPr>
        <w:t> </w:t>
      </w:r>
      <w:r w:rsidRPr="009F791E">
        <w:rPr>
          <w:rFonts w:ascii="Times New Roman" w:hAnsi="Times New Roman"/>
        </w:rPr>
        <w:t xml:space="preserve">dochodów dyskrecjonalnych, wpływających na poziom kwoty wydatków SRW obliczanej zgodnie z art. 112aa ust. 1 ustawy o finansach publicznych, działań dotyczących podmiotów, które nie są objęte SRW. Najwyższa Izba Kontroli zwracała w swoich wystąpieniach także zastrzeżenia odnośnie do nieodpłatnego przekazywania skarbowych papierów wartościowych zamiast dotacji z budżetu państwa (np. Analiza wykonania budżetu państwa i założeń polityki </w:t>
      </w:r>
      <w:r w:rsidRPr="009F791E">
        <w:rPr>
          <w:rFonts w:ascii="Times New Roman" w:hAnsi="Times New Roman"/>
        </w:rPr>
        <w:lastRenderedPageBreak/>
        <w:t>pieniężnej w 2022 r. nr ewid. 68/2023/P/23/001/KBF, nr ewid. 69/2023/P/23/002/KBF), wskazując, że taka praktyka pozwala omijać ograniczenia wydatkowe wynikające z SRW.</w:t>
      </w:r>
    </w:p>
    <w:p w14:paraId="293BFC52" w14:textId="2BD2C77A" w:rsidR="00FB2C52" w:rsidRPr="009F791E" w:rsidRDefault="00FB2C52" w:rsidP="009F791E">
      <w:pPr>
        <w:pStyle w:val="Nagwek2"/>
        <w:spacing w:line="360" w:lineRule="auto"/>
        <w:rPr>
          <w:rStyle w:val="Wyrnieniedelikatne"/>
          <w:rFonts w:ascii="Times New Roman" w:hAnsi="Times New Roman" w:cs="Times New Roman"/>
          <w:b/>
          <w:bCs/>
          <w:i w:val="0"/>
          <w:iCs w:val="0"/>
          <w:color w:val="auto"/>
          <w:sz w:val="24"/>
          <w:szCs w:val="24"/>
        </w:rPr>
      </w:pPr>
      <w:r w:rsidRPr="009F791E">
        <w:rPr>
          <w:rStyle w:val="Wyrnieniedelikatne"/>
          <w:rFonts w:ascii="Times New Roman" w:hAnsi="Times New Roman" w:cs="Times New Roman"/>
          <w:b/>
          <w:bCs/>
          <w:i w:val="0"/>
          <w:iCs w:val="0"/>
          <w:color w:val="auto"/>
          <w:sz w:val="24"/>
          <w:szCs w:val="24"/>
        </w:rPr>
        <w:t>II. Szczegółowe zmiany</w:t>
      </w:r>
    </w:p>
    <w:p w14:paraId="54522814" w14:textId="37C55ADF" w:rsidR="00045BA3" w:rsidRPr="009F791E" w:rsidRDefault="00045BA3" w:rsidP="009F791E">
      <w:pPr>
        <w:pStyle w:val="Nagwek3"/>
        <w:spacing w:line="360" w:lineRule="auto"/>
        <w:rPr>
          <w:rStyle w:val="Wyrnieniedelikatne"/>
          <w:rFonts w:ascii="Times New Roman" w:hAnsi="Times New Roman" w:cs="Times New Roman"/>
          <w:b/>
        </w:rPr>
      </w:pPr>
      <w:r w:rsidRPr="009F791E">
        <w:rPr>
          <w:rStyle w:val="Wyrnieniedelikatne"/>
          <w:rFonts w:ascii="Times New Roman" w:hAnsi="Times New Roman" w:cs="Times New Roman"/>
          <w:b/>
        </w:rPr>
        <w:t>Rozszerzenie zakresu jednostek i organów objętych SRW</w:t>
      </w:r>
    </w:p>
    <w:p w14:paraId="6B69EA43" w14:textId="18E6ACA0" w:rsidR="00045BA3" w:rsidRPr="009F791E" w:rsidRDefault="00045BA3" w:rsidP="009F791E">
      <w:pPr>
        <w:spacing w:before="120" w:line="360" w:lineRule="auto"/>
        <w:jc w:val="both"/>
        <w:rPr>
          <w:rFonts w:ascii="Times New Roman" w:hAnsi="Times New Roman"/>
        </w:rPr>
      </w:pPr>
      <w:r w:rsidRPr="009F791E">
        <w:rPr>
          <w:rFonts w:ascii="Times New Roman" w:hAnsi="Times New Roman"/>
        </w:rPr>
        <w:t xml:space="preserve">W projekcie ustawy zaproponowano rozszerzenie zakresu </w:t>
      </w:r>
      <w:r w:rsidR="00383B9E" w:rsidRPr="009F791E">
        <w:rPr>
          <w:rFonts w:ascii="Times New Roman" w:hAnsi="Times New Roman"/>
        </w:rPr>
        <w:t>SRW</w:t>
      </w:r>
      <w:r w:rsidRPr="009F791E">
        <w:rPr>
          <w:rFonts w:ascii="Times New Roman" w:hAnsi="Times New Roman"/>
        </w:rPr>
        <w:t xml:space="preserve"> o pozostałe jednostki sektora finansów publicznych, których plany są załącznikami do ustawy budżetowej, a które nie </w:t>
      </w:r>
      <w:r w:rsidR="00385B71" w:rsidRPr="009F791E">
        <w:rPr>
          <w:rFonts w:ascii="Times New Roman" w:hAnsi="Times New Roman"/>
        </w:rPr>
        <w:t>są</w:t>
      </w:r>
      <w:r w:rsidRPr="009F791E">
        <w:rPr>
          <w:rFonts w:ascii="Times New Roman" w:hAnsi="Times New Roman"/>
        </w:rPr>
        <w:t xml:space="preserve"> obecnie objęte zakresem SRW. W stosunku do obecnego zakresu podmiotowego zakres SRW zostanie </w:t>
      </w:r>
      <w:r w:rsidR="00385B71" w:rsidRPr="009F791E">
        <w:rPr>
          <w:rFonts w:ascii="Times New Roman" w:hAnsi="Times New Roman"/>
        </w:rPr>
        <w:t xml:space="preserve">zatem </w:t>
      </w:r>
      <w:r w:rsidRPr="009F791E">
        <w:rPr>
          <w:rFonts w:ascii="Times New Roman" w:hAnsi="Times New Roman"/>
        </w:rPr>
        <w:t>rozszerzony o</w:t>
      </w:r>
      <w:r w:rsidR="00385B71" w:rsidRPr="009F791E">
        <w:rPr>
          <w:rFonts w:ascii="Times New Roman" w:hAnsi="Times New Roman"/>
        </w:rPr>
        <w:t>:</w:t>
      </w:r>
    </w:p>
    <w:p w14:paraId="367D3DF4" w14:textId="01FC678A" w:rsidR="00385B71" w:rsidRPr="009F791E" w:rsidRDefault="00045BA3" w:rsidP="009F791E">
      <w:pPr>
        <w:pStyle w:val="Akapitzlist"/>
        <w:numPr>
          <w:ilvl w:val="0"/>
          <w:numId w:val="33"/>
        </w:numPr>
        <w:spacing w:before="120" w:line="360" w:lineRule="auto"/>
        <w:jc w:val="both"/>
        <w:rPr>
          <w:rFonts w:ascii="Times New Roman" w:hAnsi="Times New Roman"/>
        </w:rPr>
      </w:pPr>
      <w:r w:rsidRPr="009F791E">
        <w:rPr>
          <w:rFonts w:ascii="Times New Roman" w:hAnsi="Times New Roman"/>
        </w:rPr>
        <w:t>agencje wykonawcze</w:t>
      </w:r>
      <w:r w:rsidR="00385B71" w:rsidRPr="009F791E">
        <w:rPr>
          <w:rFonts w:ascii="Times New Roman" w:hAnsi="Times New Roman"/>
        </w:rPr>
        <w:t>,</w:t>
      </w:r>
    </w:p>
    <w:p w14:paraId="13E80B4E" w14:textId="2CD957B7" w:rsidR="00045BA3" w:rsidRPr="009F791E" w:rsidRDefault="00045BA3" w:rsidP="009F791E">
      <w:pPr>
        <w:pStyle w:val="Akapitzlist"/>
        <w:numPr>
          <w:ilvl w:val="0"/>
          <w:numId w:val="33"/>
        </w:numPr>
        <w:spacing w:before="120" w:line="360" w:lineRule="auto"/>
        <w:jc w:val="both"/>
        <w:rPr>
          <w:rFonts w:ascii="Times New Roman" w:hAnsi="Times New Roman"/>
        </w:rPr>
      </w:pPr>
      <w:r w:rsidRPr="009F791E">
        <w:rPr>
          <w:rFonts w:ascii="Times New Roman" w:hAnsi="Times New Roman"/>
        </w:rPr>
        <w:t>instytucje gospodarki budżetowej</w:t>
      </w:r>
      <w:r w:rsidR="00385B71" w:rsidRPr="009F791E">
        <w:rPr>
          <w:rFonts w:ascii="Times New Roman" w:hAnsi="Times New Roman"/>
        </w:rPr>
        <w:t>,</w:t>
      </w:r>
    </w:p>
    <w:p w14:paraId="37E438EB" w14:textId="34C53566" w:rsidR="00385B71" w:rsidRPr="009F791E" w:rsidRDefault="00045BA3" w:rsidP="009F791E">
      <w:pPr>
        <w:pStyle w:val="Akapitzlist"/>
        <w:numPr>
          <w:ilvl w:val="0"/>
          <w:numId w:val="33"/>
        </w:numPr>
        <w:spacing w:before="120" w:line="360" w:lineRule="auto"/>
        <w:jc w:val="both"/>
        <w:rPr>
          <w:rFonts w:ascii="Times New Roman" w:hAnsi="Times New Roman"/>
        </w:rPr>
      </w:pPr>
      <w:r w:rsidRPr="009F791E">
        <w:rPr>
          <w:rFonts w:ascii="Times New Roman" w:hAnsi="Times New Roman"/>
        </w:rPr>
        <w:t>Zakład Ubezpieczeń</w:t>
      </w:r>
      <w:r w:rsidR="00383B9E" w:rsidRPr="009F791E">
        <w:rPr>
          <w:rFonts w:ascii="Times New Roman" w:hAnsi="Times New Roman"/>
        </w:rPr>
        <w:t xml:space="preserve"> Społecznych</w:t>
      </w:r>
      <w:r w:rsidR="00385B71" w:rsidRPr="009F791E">
        <w:rPr>
          <w:rFonts w:ascii="Times New Roman" w:hAnsi="Times New Roman"/>
        </w:rPr>
        <w:t>,</w:t>
      </w:r>
    </w:p>
    <w:p w14:paraId="7B7412F4" w14:textId="647945B2" w:rsidR="00045BA3" w:rsidRPr="009F791E" w:rsidRDefault="00045BA3" w:rsidP="009F791E">
      <w:pPr>
        <w:pStyle w:val="Akapitzlist"/>
        <w:numPr>
          <w:ilvl w:val="0"/>
          <w:numId w:val="33"/>
        </w:numPr>
        <w:spacing w:before="120" w:line="360" w:lineRule="auto"/>
        <w:jc w:val="both"/>
        <w:rPr>
          <w:rFonts w:ascii="Times New Roman" w:hAnsi="Times New Roman"/>
        </w:rPr>
      </w:pPr>
      <w:r w:rsidRPr="009F791E">
        <w:rPr>
          <w:rFonts w:ascii="Times New Roman" w:hAnsi="Times New Roman"/>
        </w:rPr>
        <w:t>państwowe osoby prawne</w:t>
      </w:r>
      <w:r w:rsidR="00385B71" w:rsidRPr="009F791E">
        <w:rPr>
          <w:rFonts w:ascii="Times New Roman" w:hAnsi="Times New Roman"/>
        </w:rPr>
        <w:t>, o których mowa w art. 9 pkt 14 ustawy o finansach publicznych</w:t>
      </w:r>
      <w:r w:rsidR="00383B9E" w:rsidRPr="009F791E">
        <w:rPr>
          <w:rFonts w:ascii="Times New Roman" w:hAnsi="Times New Roman"/>
        </w:rPr>
        <w:t>.</w:t>
      </w:r>
    </w:p>
    <w:p w14:paraId="6DAD6C97" w14:textId="41B805C9" w:rsidR="00060A09" w:rsidRPr="009F791E" w:rsidRDefault="00385B71" w:rsidP="009F791E">
      <w:pPr>
        <w:spacing w:before="120" w:line="360" w:lineRule="auto"/>
        <w:jc w:val="both"/>
        <w:rPr>
          <w:rFonts w:ascii="Times New Roman" w:hAnsi="Times New Roman"/>
        </w:rPr>
      </w:pPr>
      <w:r w:rsidRPr="009F791E">
        <w:rPr>
          <w:rFonts w:ascii="Times New Roman" w:hAnsi="Times New Roman"/>
        </w:rPr>
        <w:t xml:space="preserve">W warunkach ustawy budżetowej na rok 2024 oznacza to objęcie </w:t>
      </w:r>
      <w:r w:rsidR="00FE6DBE" w:rsidRPr="009F791E">
        <w:rPr>
          <w:rFonts w:ascii="Times New Roman" w:hAnsi="Times New Roman"/>
        </w:rPr>
        <w:t>SRW</w:t>
      </w:r>
      <w:r w:rsidR="00060A09" w:rsidRPr="009F791E">
        <w:rPr>
          <w:rFonts w:ascii="Times New Roman" w:hAnsi="Times New Roman"/>
        </w:rPr>
        <w:t xml:space="preserve"> łącznie </w:t>
      </w:r>
      <w:r w:rsidR="00C810BE" w:rsidRPr="009F791E">
        <w:rPr>
          <w:rFonts w:ascii="Times New Roman" w:hAnsi="Times New Roman"/>
        </w:rPr>
        <w:t xml:space="preserve">ok. </w:t>
      </w:r>
      <w:r w:rsidR="00060A09" w:rsidRPr="009F791E">
        <w:rPr>
          <w:rFonts w:ascii="Times New Roman" w:hAnsi="Times New Roman"/>
        </w:rPr>
        <w:t>90 jednostek.</w:t>
      </w:r>
    </w:p>
    <w:p w14:paraId="7FFB5533" w14:textId="3B1243C7" w:rsidR="00F36413" w:rsidRPr="009F791E" w:rsidRDefault="00F36413" w:rsidP="009F791E">
      <w:pPr>
        <w:spacing w:before="120" w:line="360" w:lineRule="auto"/>
        <w:jc w:val="both"/>
        <w:rPr>
          <w:rFonts w:ascii="Times New Roman" w:hAnsi="Times New Roman"/>
        </w:rPr>
      </w:pPr>
      <w:r w:rsidRPr="009F791E">
        <w:rPr>
          <w:rFonts w:ascii="Times New Roman" w:hAnsi="Times New Roman"/>
        </w:rPr>
        <w:t>Rozszerzenie zakresu SRW ma charakter uniwersalny (SRW rozszerzane jest o jednostki o</w:t>
      </w:r>
      <w:r w:rsidR="00FE6DBE" w:rsidRPr="009F791E">
        <w:rPr>
          <w:rFonts w:ascii="Times New Roman" w:hAnsi="Times New Roman"/>
        </w:rPr>
        <w:t> </w:t>
      </w:r>
      <w:r w:rsidRPr="009F791E">
        <w:rPr>
          <w:rFonts w:ascii="Times New Roman" w:hAnsi="Times New Roman"/>
        </w:rPr>
        <w:t>określonej formie organizacyjno-prawnej, a nie imiennie wskazane jednostki). Utworzenie lub likwidacja jednostki w formie agencji wykonawczej, instytucji gospodarki budżetowej</w:t>
      </w:r>
      <w:r w:rsidR="00FE6DBE" w:rsidRPr="009F791E">
        <w:rPr>
          <w:rFonts w:ascii="Times New Roman" w:hAnsi="Times New Roman"/>
        </w:rPr>
        <w:t>,</w:t>
      </w:r>
      <w:r w:rsidRPr="009F791E">
        <w:rPr>
          <w:rFonts w:ascii="Times New Roman" w:hAnsi="Times New Roman"/>
        </w:rPr>
        <w:t xml:space="preserve"> czy państwowej osoby prawnej, o której mowa w art. 9 pkt 14 ustawy o finansach publicznych</w:t>
      </w:r>
      <w:r w:rsidR="00FE6DBE" w:rsidRPr="009F791E">
        <w:rPr>
          <w:rFonts w:ascii="Times New Roman" w:hAnsi="Times New Roman"/>
        </w:rPr>
        <w:t>,</w:t>
      </w:r>
      <w:r w:rsidRPr="009F791E">
        <w:rPr>
          <w:rFonts w:ascii="Times New Roman" w:hAnsi="Times New Roman"/>
        </w:rPr>
        <w:t xml:space="preserve"> będzie skutkowała automatycznym dostosowywaniem zakresu SRW. Analogiczny mechanizm obowiązuje już w przypadku funduszy utworzonych, powierzonych lub przekazanych Bankowi Gospodarstwa Krajowego na podstawie odrębnych ustaw, czy państwowych funduszy celowych.</w:t>
      </w:r>
    </w:p>
    <w:p w14:paraId="765F30F4" w14:textId="0DDCB236" w:rsidR="00F36413" w:rsidRPr="009F791E" w:rsidRDefault="00F36413" w:rsidP="009F791E">
      <w:pPr>
        <w:spacing w:before="120" w:line="360" w:lineRule="auto"/>
        <w:jc w:val="both"/>
        <w:rPr>
          <w:rFonts w:ascii="Times New Roman" w:hAnsi="Times New Roman"/>
        </w:rPr>
      </w:pPr>
      <w:r w:rsidRPr="009F791E">
        <w:rPr>
          <w:rFonts w:ascii="Times New Roman" w:hAnsi="Times New Roman"/>
        </w:rPr>
        <w:t xml:space="preserve">Proponowane zmiany nie zmieniają wcześniejszych założeń konstrukcyjnych reguły, lecz poprzez poszerzenie zakresu reguły, pozwalają na lepsze wypełnienie przez polską regułę wydatkową pierwotnych założeń, dotyczących jak najszerszego objęcia </w:t>
      </w:r>
      <w:r w:rsidR="00383B9E" w:rsidRPr="009F791E">
        <w:rPr>
          <w:rFonts w:ascii="Times New Roman" w:hAnsi="Times New Roman"/>
        </w:rPr>
        <w:t xml:space="preserve">nią wydatków </w:t>
      </w:r>
      <w:r w:rsidRPr="009F791E">
        <w:rPr>
          <w:rFonts w:ascii="Times New Roman" w:hAnsi="Times New Roman"/>
        </w:rPr>
        <w:t>sektora instytucji rządowych i samorządowych przy jednoczesnym zachowaniu operacyjności reguły. Rozszerzenie mechanizmu automatycznego dostosowywania zakresu SRW do zmian w</w:t>
      </w:r>
      <w:r w:rsidR="00FE6DBE" w:rsidRPr="009F791E">
        <w:rPr>
          <w:rFonts w:ascii="Times New Roman" w:hAnsi="Times New Roman"/>
        </w:rPr>
        <w:t> </w:t>
      </w:r>
      <w:r w:rsidRPr="009F791E">
        <w:rPr>
          <w:rFonts w:ascii="Times New Roman" w:hAnsi="Times New Roman"/>
        </w:rPr>
        <w:t>sektorze finansów publicznych o kolejną grupę jednostek (agencje wykonawcze, instytucje gospodarki budżetowej, państwowe osoby prawne, o których mowa w art. 9 pkt 14 ustawy o</w:t>
      </w:r>
      <w:r w:rsidR="00FE6DBE" w:rsidRPr="009F791E">
        <w:rPr>
          <w:rFonts w:ascii="Times New Roman" w:hAnsi="Times New Roman"/>
        </w:rPr>
        <w:t> </w:t>
      </w:r>
      <w:r w:rsidRPr="009F791E">
        <w:rPr>
          <w:rFonts w:ascii="Times New Roman" w:hAnsi="Times New Roman"/>
        </w:rPr>
        <w:t>finansach publicznych) przyczyni się do zwiększenia jej skuteczności</w:t>
      </w:r>
      <w:r w:rsidR="009D53A9" w:rsidRPr="009F791E">
        <w:rPr>
          <w:rFonts w:ascii="Times New Roman" w:hAnsi="Times New Roman"/>
        </w:rPr>
        <w:t>,</w:t>
      </w:r>
      <w:r w:rsidRPr="009F791E">
        <w:rPr>
          <w:rFonts w:ascii="Times New Roman" w:hAnsi="Times New Roman"/>
        </w:rPr>
        <w:t xml:space="preserve"> transparentności i </w:t>
      </w:r>
      <w:r w:rsidRPr="009F791E">
        <w:rPr>
          <w:rFonts w:ascii="Times New Roman" w:hAnsi="Times New Roman"/>
        </w:rPr>
        <w:lastRenderedPageBreak/>
        <w:t>efektywności zarządzania finansami publicznymi</w:t>
      </w:r>
      <w:r w:rsidR="009D53A9" w:rsidRPr="009F791E">
        <w:rPr>
          <w:rFonts w:ascii="Times New Roman" w:hAnsi="Times New Roman"/>
        </w:rPr>
        <w:t xml:space="preserve"> oraz wzmocnienia roli średniookresowego planowania budżetowego</w:t>
      </w:r>
      <w:r w:rsidRPr="009F791E">
        <w:rPr>
          <w:rFonts w:ascii="Times New Roman" w:hAnsi="Times New Roman"/>
        </w:rPr>
        <w:t xml:space="preserve">. </w:t>
      </w:r>
    </w:p>
    <w:p w14:paraId="44A6CE05" w14:textId="2E444B35" w:rsidR="006241BA" w:rsidRPr="009F791E" w:rsidRDefault="00C74A99" w:rsidP="009F791E">
      <w:pPr>
        <w:spacing w:before="120" w:line="360" w:lineRule="auto"/>
        <w:jc w:val="both"/>
        <w:rPr>
          <w:rFonts w:ascii="Times New Roman" w:hAnsi="Times New Roman"/>
        </w:rPr>
      </w:pPr>
      <w:r w:rsidRPr="009F791E">
        <w:rPr>
          <w:rFonts w:ascii="Times New Roman" w:hAnsi="Times New Roman"/>
        </w:rPr>
        <w:t xml:space="preserve">Warto podkreślić, </w:t>
      </w:r>
      <w:r w:rsidR="00FE6DBE" w:rsidRPr="009F791E">
        <w:rPr>
          <w:rFonts w:ascii="Times New Roman" w:hAnsi="Times New Roman"/>
        </w:rPr>
        <w:t>że</w:t>
      </w:r>
      <w:r w:rsidRPr="009F791E">
        <w:rPr>
          <w:rFonts w:ascii="Times New Roman" w:hAnsi="Times New Roman"/>
        </w:rPr>
        <w:t xml:space="preserve"> zakres SRW jest stopniowo rozszerzany. W kolejnych nowelizacjach rozszerzono zakres SRW o Bankowy Fundusz Gwarancyjny (rok 2015), państwowe fundusze celowe (rok 2021), Narodowy Fundusz Ochrony Środowiska i Gospodarki Wodnej (rok 2022). Działanie to jest zgodne z zaleceniami dyrektywy Rady 2011/85/UE z dnia 8 listopada 2011 r. w sprawie wymogów dla ram budżetowych państw członkowskich, która nakazuje</w:t>
      </w:r>
      <w:r w:rsidR="00FE6DBE" w:rsidRPr="009F791E">
        <w:rPr>
          <w:rFonts w:ascii="Times New Roman" w:hAnsi="Times New Roman"/>
        </w:rPr>
        <w:t>,</w:t>
      </w:r>
      <w:r w:rsidRPr="009F791E">
        <w:rPr>
          <w:rFonts w:ascii="Times New Roman" w:hAnsi="Times New Roman"/>
        </w:rPr>
        <w:t xml:space="preserve"> aby regułami numerycznymi objęta była możliwie jak największą część sektora instytucji rządowych i samorządowych</w:t>
      </w:r>
      <w:r w:rsidR="00F1281F" w:rsidRPr="009F791E">
        <w:rPr>
          <w:rFonts w:ascii="Times New Roman" w:hAnsi="Times New Roman"/>
        </w:rPr>
        <w:t xml:space="preserve"> oraz celem kamienia milowego </w:t>
      </w:r>
      <w:r w:rsidR="00221D51" w:rsidRPr="009F791E">
        <w:rPr>
          <w:rFonts w:ascii="Times New Roman" w:hAnsi="Times New Roman"/>
        </w:rPr>
        <w:t xml:space="preserve">A3G </w:t>
      </w:r>
      <w:r w:rsidR="00706792" w:rsidRPr="009F791E">
        <w:rPr>
          <w:rFonts w:ascii="Times New Roman" w:hAnsi="Times New Roman"/>
        </w:rPr>
        <w:t>KPO</w:t>
      </w:r>
      <w:r w:rsidRPr="009F791E">
        <w:rPr>
          <w:rFonts w:ascii="Times New Roman" w:hAnsi="Times New Roman"/>
        </w:rPr>
        <w:t xml:space="preserve">. </w:t>
      </w:r>
      <w:r w:rsidR="006320F4" w:rsidRPr="009F791E">
        <w:rPr>
          <w:rFonts w:ascii="Times New Roman" w:hAnsi="Times New Roman"/>
        </w:rPr>
        <w:t>J</w:t>
      </w:r>
      <w:r w:rsidR="00F748CE" w:rsidRPr="009F791E">
        <w:rPr>
          <w:rFonts w:ascii="Times New Roman" w:hAnsi="Times New Roman"/>
        </w:rPr>
        <w:t xml:space="preserve">ego zakładany efekt </w:t>
      </w:r>
      <w:r w:rsidR="00313052" w:rsidRPr="009F791E">
        <w:rPr>
          <w:rFonts w:ascii="Times New Roman" w:hAnsi="Times New Roman"/>
        </w:rPr>
        <w:t>to</w:t>
      </w:r>
      <w:r w:rsidR="00F748CE" w:rsidRPr="009F791E">
        <w:rPr>
          <w:rFonts w:ascii="Times New Roman" w:hAnsi="Times New Roman"/>
        </w:rPr>
        <w:t xml:space="preserve"> objęcie zakresem SRW większej liczby jednostek sektora instytucji rządowych i samorządowych (państwowych funduszy celowych), </w:t>
      </w:r>
      <w:r w:rsidR="00313052" w:rsidRPr="009F791E">
        <w:rPr>
          <w:rFonts w:ascii="Times New Roman" w:hAnsi="Times New Roman"/>
        </w:rPr>
        <w:t>umożliwiające</w:t>
      </w:r>
      <w:r w:rsidR="00F748CE" w:rsidRPr="009F791E">
        <w:rPr>
          <w:rFonts w:ascii="Times New Roman" w:hAnsi="Times New Roman"/>
        </w:rPr>
        <w:t xml:space="preserve"> zwiększenie transparentności i efektywności zarządzania finansami publicznymi. </w:t>
      </w:r>
      <w:r w:rsidR="006320F4" w:rsidRPr="009F791E">
        <w:rPr>
          <w:rFonts w:ascii="Times New Roman" w:hAnsi="Times New Roman"/>
        </w:rPr>
        <w:t xml:space="preserve">Kamień ten został zrealizowany w </w:t>
      </w:r>
      <w:r w:rsidR="00FE6DBE" w:rsidRPr="009F791E">
        <w:rPr>
          <w:rFonts w:ascii="Times New Roman" w:hAnsi="Times New Roman"/>
        </w:rPr>
        <w:t xml:space="preserve">roku </w:t>
      </w:r>
      <w:r w:rsidR="006320F4" w:rsidRPr="009F791E">
        <w:rPr>
          <w:rFonts w:ascii="Times New Roman" w:hAnsi="Times New Roman"/>
        </w:rPr>
        <w:t>2021 dzięki nowelizacji ustawy o</w:t>
      </w:r>
      <w:r w:rsidR="00FE6DBE" w:rsidRPr="009F791E">
        <w:rPr>
          <w:rFonts w:ascii="Times New Roman" w:hAnsi="Times New Roman"/>
        </w:rPr>
        <w:t> </w:t>
      </w:r>
      <w:r w:rsidR="006320F4" w:rsidRPr="009F791E">
        <w:rPr>
          <w:rFonts w:ascii="Times New Roman" w:hAnsi="Times New Roman"/>
        </w:rPr>
        <w:t>finansach publicznych</w:t>
      </w:r>
      <w:r w:rsidR="00FE6DBE" w:rsidRPr="009F791E">
        <w:rPr>
          <w:rFonts w:ascii="Times New Roman" w:hAnsi="Times New Roman"/>
        </w:rPr>
        <w:t>,</w:t>
      </w:r>
      <w:r w:rsidR="006320F4" w:rsidRPr="009F791E">
        <w:rPr>
          <w:rFonts w:ascii="Times New Roman" w:hAnsi="Times New Roman"/>
        </w:rPr>
        <w:t xml:space="preserve"> rozszerzającej zakres SRW o państwowe fundusze celowe. </w:t>
      </w:r>
    </w:p>
    <w:p w14:paraId="197C3F15" w14:textId="7E0B8AC5" w:rsidR="004D6514" w:rsidRPr="009F791E" w:rsidRDefault="00C30122" w:rsidP="009F791E">
      <w:pPr>
        <w:spacing w:before="120" w:line="360" w:lineRule="auto"/>
        <w:jc w:val="both"/>
        <w:rPr>
          <w:rFonts w:ascii="Times New Roman" w:hAnsi="Times New Roman"/>
        </w:rPr>
      </w:pPr>
      <w:r w:rsidRPr="009F791E">
        <w:rPr>
          <w:rFonts w:ascii="Times New Roman" w:hAnsi="Times New Roman"/>
        </w:rPr>
        <w:t>Po rozszerzeniu zakresu SRW</w:t>
      </w:r>
      <w:r w:rsidR="006241BA" w:rsidRPr="009F791E">
        <w:rPr>
          <w:rFonts w:ascii="Times New Roman" w:hAnsi="Times New Roman"/>
        </w:rPr>
        <w:t>,</w:t>
      </w:r>
      <w:r w:rsidRPr="009F791E">
        <w:rPr>
          <w:rFonts w:ascii="Times New Roman" w:hAnsi="Times New Roman"/>
        </w:rPr>
        <w:t xml:space="preserve"> zgodnie z projektem ustawy, SRW objęte będą wszystkie jednostki sektora finansów publicznych</w:t>
      </w:r>
      <w:r w:rsidR="006241BA" w:rsidRPr="009F791E">
        <w:rPr>
          <w:rFonts w:ascii="Times New Roman" w:hAnsi="Times New Roman"/>
        </w:rPr>
        <w:t>,</w:t>
      </w:r>
      <w:r w:rsidRPr="009F791E">
        <w:rPr>
          <w:rFonts w:ascii="Times New Roman" w:hAnsi="Times New Roman"/>
        </w:rPr>
        <w:t xml:space="preserve"> z wyłączeniem samorządowych zakładów budżetowych, samodzielnych publicznych zakładów opieki zdrowotnej, uczelni publicznych, Polskiej Akademii Nauk i tworzonych przez nią jednostek organizacyjnych, państwowych i</w:t>
      </w:r>
      <w:r w:rsidR="006241BA" w:rsidRPr="009F791E">
        <w:rPr>
          <w:rFonts w:ascii="Times New Roman" w:hAnsi="Times New Roman"/>
        </w:rPr>
        <w:t> </w:t>
      </w:r>
      <w:r w:rsidRPr="009F791E">
        <w:rPr>
          <w:rFonts w:ascii="Times New Roman" w:hAnsi="Times New Roman"/>
        </w:rPr>
        <w:t>samorządowych instytucji kultury oraz samorządowych osób prawnych, o których mowa w</w:t>
      </w:r>
      <w:r w:rsidR="006241BA" w:rsidRPr="009F791E">
        <w:rPr>
          <w:rFonts w:ascii="Times New Roman" w:hAnsi="Times New Roman"/>
        </w:rPr>
        <w:t> </w:t>
      </w:r>
      <w:r w:rsidRPr="009F791E">
        <w:rPr>
          <w:rFonts w:ascii="Times New Roman" w:hAnsi="Times New Roman"/>
        </w:rPr>
        <w:t>art. 9 pkt 14 ustawy o finansach publicznych. Oznacza to, że poza SRW pozostaną te jednostki sektora finansów publicznych, które nie mają zdolności do generowania znacznych deficytów, lub te</w:t>
      </w:r>
      <w:r w:rsidR="003E4450">
        <w:rPr>
          <w:rFonts w:ascii="Times New Roman" w:hAnsi="Times New Roman"/>
        </w:rPr>
        <w:t>,</w:t>
      </w:r>
      <w:r w:rsidRPr="009F791E">
        <w:rPr>
          <w:rFonts w:ascii="Times New Roman" w:hAnsi="Times New Roman"/>
        </w:rPr>
        <w:t xml:space="preserve"> których podstawowym źródłem dochodów są środki otrzymane od jednostek objętych SRW. </w:t>
      </w:r>
    </w:p>
    <w:p w14:paraId="6067D07A" w14:textId="70B5C2E9" w:rsidR="00383B9E" w:rsidRPr="009F791E" w:rsidRDefault="00383B9E" w:rsidP="009F791E">
      <w:pPr>
        <w:pStyle w:val="Nagwek3"/>
        <w:spacing w:line="360" w:lineRule="auto"/>
        <w:rPr>
          <w:rStyle w:val="Wyrnieniedelikatne"/>
          <w:rFonts w:ascii="Times New Roman" w:hAnsi="Times New Roman" w:cs="Times New Roman"/>
          <w:b/>
        </w:rPr>
      </w:pPr>
      <w:r w:rsidRPr="009F791E">
        <w:rPr>
          <w:rStyle w:val="Wyrnieniedelikatne"/>
          <w:rFonts w:ascii="Times New Roman" w:hAnsi="Times New Roman" w:cs="Times New Roman"/>
          <w:b/>
        </w:rPr>
        <w:t>Zmiany w zakresie formuły SRW</w:t>
      </w:r>
    </w:p>
    <w:p w14:paraId="0FF1E2AF" w14:textId="41E5B518" w:rsidR="00383B9E" w:rsidRPr="009F791E" w:rsidRDefault="00383B9E" w:rsidP="009F791E">
      <w:pPr>
        <w:spacing w:before="120" w:line="360" w:lineRule="auto"/>
        <w:jc w:val="both"/>
        <w:rPr>
          <w:rFonts w:ascii="Times New Roman" w:hAnsi="Times New Roman"/>
        </w:rPr>
      </w:pPr>
      <w:r w:rsidRPr="009F791E">
        <w:rPr>
          <w:rFonts w:ascii="Times New Roman" w:hAnsi="Times New Roman"/>
        </w:rPr>
        <w:t xml:space="preserve">Projekt przewiduje zmiany w formule </w:t>
      </w:r>
      <w:r w:rsidR="006241BA" w:rsidRPr="009F791E">
        <w:rPr>
          <w:rFonts w:ascii="Times New Roman" w:hAnsi="Times New Roman"/>
        </w:rPr>
        <w:t>SRW</w:t>
      </w:r>
      <w:r w:rsidRPr="009F791E">
        <w:rPr>
          <w:rFonts w:ascii="Times New Roman" w:hAnsi="Times New Roman"/>
        </w:rPr>
        <w:t xml:space="preserve">. Sama konstrukcja formuły </w:t>
      </w:r>
      <w:r w:rsidR="006241BA" w:rsidRPr="009F791E">
        <w:rPr>
          <w:rFonts w:ascii="Times New Roman" w:hAnsi="Times New Roman"/>
        </w:rPr>
        <w:t xml:space="preserve">SRW </w:t>
      </w:r>
      <w:r w:rsidRPr="009F791E">
        <w:rPr>
          <w:rFonts w:ascii="Times New Roman" w:hAnsi="Times New Roman"/>
        </w:rPr>
        <w:t>określonej w art.</w:t>
      </w:r>
      <w:r w:rsidR="008B155F">
        <w:rPr>
          <w:rFonts w:ascii="Times New Roman" w:hAnsi="Times New Roman"/>
        </w:rPr>
        <w:t> </w:t>
      </w:r>
      <w:r w:rsidRPr="009F791E">
        <w:rPr>
          <w:rFonts w:ascii="Times New Roman" w:hAnsi="Times New Roman"/>
        </w:rPr>
        <w:t>112aa ust. 1 ustawy o finansach publicznych nie ulegnie zmianie. Zmianie ulegną natomiast niektóre jej parametry.</w:t>
      </w:r>
    </w:p>
    <w:p w14:paraId="4D921C41" w14:textId="77777777" w:rsidR="00383B9E" w:rsidRPr="009F791E" w:rsidRDefault="00383B9E" w:rsidP="009F791E">
      <w:pPr>
        <w:spacing w:before="120" w:line="360" w:lineRule="auto"/>
        <w:jc w:val="both"/>
        <w:rPr>
          <w:rFonts w:ascii="Times New Roman" w:hAnsi="Times New Roman"/>
        </w:rPr>
      </w:pPr>
      <w:r w:rsidRPr="009F791E">
        <w:rPr>
          <w:rFonts w:ascii="Times New Roman" w:hAnsi="Times New Roman"/>
        </w:rPr>
        <w:t>Zaproponowano następujące zmiany:</w:t>
      </w:r>
    </w:p>
    <w:p w14:paraId="7952CACB" w14:textId="795DB7B9" w:rsidR="00383B9E" w:rsidRPr="009F791E" w:rsidRDefault="00383B9E" w:rsidP="009F791E">
      <w:pPr>
        <w:pStyle w:val="Akapitzlist"/>
        <w:numPr>
          <w:ilvl w:val="0"/>
          <w:numId w:val="34"/>
        </w:numPr>
        <w:spacing w:before="120" w:line="360" w:lineRule="auto"/>
        <w:jc w:val="both"/>
        <w:rPr>
          <w:rFonts w:ascii="Times New Roman" w:hAnsi="Times New Roman"/>
        </w:rPr>
      </w:pPr>
      <w:r w:rsidRPr="009F791E">
        <w:rPr>
          <w:rFonts w:ascii="Times New Roman" w:hAnsi="Times New Roman"/>
        </w:rPr>
        <w:t>zastąpienie średniorocznego wskaźnika cen towarów i usług konsumpcyjnych (CPI) deflatorem produktu krajowego brutto</w:t>
      </w:r>
      <w:r w:rsidR="00F1281F" w:rsidRPr="009F791E">
        <w:rPr>
          <w:rFonts w:ascii="Times New Roman" w:hAnsi="Times New Roman"/>
        </w:rPr>
        <w:t>,</w:t>
      </w:r>
    </w:p>
    <w:p w14:paraId="783ABE23" w14:textId="3871F2FD" w:rsidR="00383B9E" w:rsidRPr="009F791E" w:rsidRDefault="008E26F7" w:rsidP="009F791E">
      <w:pPr>
        <w:pStyle w:val="Akapitzlist"/>
        <w:numPr>
          <w:ilvl w:val="0"/>
          <w:numId w:val="34"/>
        </w:numPr>
        <w:spacing w:before="120" w:line="360" w:lineRule="auto"/>
        <w:jc w:val="both"/>
        <w:rPr>
          <w:rFonts w:ascii="Times New Roman" w:hAnsi="Times New Roman"/>
        </w:rPr>
      </w:pPr>
      <w:r w:rsidRPr="009F791E">
        <w:rPr>
          <w:rFonts w:ascii="Times New Roman" w:hAnsi="Times New Roman"/>
        </w:rPr>
        <w:t>z</w:t>
      </w:r>
      <w:r w:rsidR="00383B9E" w:rsidRPr="009F791E">
        <w:rPr>
          <w:rFonts w:ascii="Times New Roman" w:hAnsi="Times New Roman"/>
        </w:rPr>
        <w:t>mian</w:t>
      </w:r>
      <w:r w:rsidRPr="009F791E">
        <w:rPr>
          <w:rFonts w:ascii="Times New Roman" w:hAnsi="Times New Roman"/>
        </w:rPr>
        <w:t>ę</w:t>
      </w:r>
      <w:r w:rsidR="00383B9E" w:rsidRPr="009F791E">
        <w:rPr>
          <w:rFonts w:ascii="Times New Roman" w:hAnsi="Times New Roman"/>
        </w:rPr>
        <w:t xml:space="preserve"> w mechanizmie korekty (parametr K</w:t>
      </w:r>
      <w:r w:rsidR="00383B9E" w:rsidRPr="009F791E">
        <w:rPr>
          <w:rFonts w:ascii="Times New Roman" w:hAnsi="Times New Roman"/>
          <w:vertAlign w:val="subscript"/>
        </w:rPr>
        <w:t>n</w:t>
      </w:r>
      <w:r w:rsidR="00383B9E" w:rsidRPr="009F791E">
        <w:rPr>
          <w:rFonts w:ascii="Times New Roman" w:hAnsi="Times New Roman"/>
        </w:rPr>
        <w:t>),</w:t>
      </w:r>
    </w:p>
    <w:p w14:paraId="009D303E" w14:textId="478A914A" w:rsidR="00383B9E" w:rsidRPr="009F791E" w:rsidRDefault="008E26F7" w:rsidP="009F791E">
      <w:pPr>
        <w:pStyle w:val="Akapitzlist"/>
        <w:numPr>
          <w:ilvl w:val="0"/>
          <w:numId w:val="34"/>
        </w:numPr>
        <w:spacing w:before="120" w:line="360" w:lineRule="auto"/>
        <w:jc w:val="both"/>
        <w:rPr>
          <w:rFonts w:ascii="Times New Roman" w:hAnsi="Times New Roman"/>
        </w:rPr>
      </w:pPr>
      <w:r w:rsidRPr="009F791E">
        <w:rPr>
          <w:rFonts w:ascii="Times New Roman" w:hAnsi="Times New Roman"/>
        </w:rPr>
        <w:t>z</w:t>
      </w:r>
      <w:r w:rsidR="00383B9E" w:rsidRPr="009F791E">
        <w:rPr>
          <w:rFonts w:ascii="Times New Roman" w:hAnsi="Times New Roman"/>
        </w:rPr>
        <w:t>mian</w:t>
      </w:r>
      <w:r w:rsidRPr="009F791E">
        <w:rPr>
          <w:rFonts w:ascii="Times New Roman" w:hAnsi="Times New Roman"/>
        </w:rPr>
        <w:t>ę</w:t>
      </w:r>
      <w:r w:rsidR="00383B9E" w:rsidRPr="009F791E">
        <w:rPr>
          <w:rFonts w:ascii="Times New Roman" w:hAnsi="Times New Roman"/>
        </w:rPr>
        <w:t xml:space="preserve"> definicji działań dyskrecjonalnych (paramet</w:t>
      </w:r>
      <w:r w:rsidR="00C30122" w:rsidRPr="009F791E">
        <w:rPr>
          <w:rFonts w:ascii="Times New Roman" w:hAnsi="Times New Roman"/>
        </w:rPr>
        <w:t>r</w:t>
      </w:r>
      <w:r w:rsidR="00383B9E" w:rsidRPr="009F791E">
        <w:rPr>
          <w:rFonts w:ascii="Times New Roman" w:hAnsi="Times New Roman"/>
        </w:rPr>
        <w:t xml:space="preserve"> E</w:t>
      </w:r>
      <w:r w:rsidR="00383B9E" w:rsidRPr="009F791E">
        <w:rPr>
          <w:rFonts w:ascii="Times New Roman" w:hAnsi="Times New Roman"/>
          <w:vertAlign w:val="subscript"/>
        </w:rPr>
        <w:t>n</w:t>
      </w:r>
      <w:r w:rsidR="00383B9E" w:rsidRPr="009F791E">
        <w:rPr>
          <w:rFonts w:ascii="Times New Roman" w:hAnsi="Times New Roman"/>
        </w:rPr>
        <w:t>(∆DD</w:t>
      </w:r>
      <w:r w:rsidR="00383B9E" w:rsidRPr="009F791E">
        <w:rPr>
          <w:rFonts w:ascii="Times New Roman" w:hAnsi="Times New Roman"/>
          <w:vertAlign w:val="subscript"/>
        </w:rPr>
        <w:t>n</w:t>
      </w:r>
      <w:r w:rsidR="00383B9E" w:rsidRPr="009F791E">
        <w:rPr>
          <w:rFonts w:ascii="Times New Roman" w:hAnsi="Times New Roman"/>
        </w:rPr>
        <w:t>))</w:t>
      </w:r>
      <w:r w:rsidR="006241BA" w:rsidRPr="009F791E">
        <w:rPr>
          <w:rFonts w:ascii="Times New Roman" w:hAnsi="Times New Roman"/>
        </w:rPr>
        <w:t>,</w:t>
      </w:r>
    </w:p>
    <w:p w14:paraId="295060D0" w14:textId="7EED188A" w:rsidR="00383B9E" w:rsidRPr="009F791E" w:rsidRDefault="008E26F7" w:rsidP="009F791E">
      <w:pPr>
        <w:pStyle w:val="Akapitzlist"/>
        <w:numPr>
          <w:ilvl w:val="0"/>
          <w:numId w:val="34"/>
        </w:numPr>
        <w:spacing w:before="120" w:line="360" w:lineRule="auto"/>
        <w:jc w:val="both"/>
        <w:rPr>
          <w:rFonts w:ascii="Times New Roman" w:hAnsi="Times New Roman"/>
        </w:rPr>
      </w:pPr>
      <w:r w:rsidRPr="009F791E">
        <w:rPr>
          <w:rFonts w:ascii="Times New Roman" w:hAnsi="Times New Roman"/>
        </w:rPr>
        <w:lastRenderedPageBreak/>
        <w:t>w</w:t>
      </w:r>
      <w:r w:rsidR="00383B9E" w:rsidRPr="009F791E">
        <w:rPr>
          <w:rFonts w:ascii="Times New Roman" w:hAnsi="Times New Roman"/>
        </w:rPr>
        <w:t xml:space="preserve">prowadzenie mechanizmu korekty błędu prognozy </w:t>
      </w:r>
      <w:r w:rsidRPr="009F791E">
        <w:rPr>
          <w:rFonts w:ascii="Times New Roman" w:hAnsi="Times New Roman"/>
        </w:rPr>
        <w:t xml:space="preserve">realnej dynamiki wzrostu </w:t>
      </w:r>
      <w:r w:rsidR="00383B9E" w:rsidRPr="009F791E">
        <w:rPr>
          <w:rFonts w:ascii="Times New Roman" w:hAnsi="Times New Roman"/>
        </w:rPr>
        <w:t>PKB.</w:t>
      </w:r>
    </w:p>
    <w:p w14:paraId="07E489F0" w14:textId="65A383D5" w:rsidR="00383B9E" w:rsidRPr="009F791E" w:rsidRDefault="00383B9E" w:rsidP="009F791E">
      <w:pPr>
        <w:spacing w:before="120" w:line="360" w:lineRule="auto"/>
        <w:jc w:val="both"/>
        <w:rPr>
          <w:rFonts w:ascii="Times New Roman" w:hAnsi="Times New Roman"/>
        </w:rPr>
      </w:pPr>
      <w:r w:rsidRPr="009F791E">
        <w:rPr>
          <w:rFonts w:ascii="Times New Roman" w:hAnsi="Times New Roman"/>
        </w:rPr>
        <w:t xml:space="preserve">W formule </w:t>
      </w:r>
      <w:r w:rsidR="008E26F7" w:rsidRPr="009F791E">
        <w:rPr>
          <w:rFonts w:ascii="Times New Roman" w:hAnsi="Times New Roman"/>
        </w:rPr>
        <w:t>SRW</w:t>
      </w:r>
      <w:r w:rsidRPr="009F791E">
        <w:rPr>
          <w:rFonts w:ascii="Times New Roman" w:hAnsi="Times New Roman"/>
        </w:rPr>
        <w:t xml:space="preserve"> zastąpiono wskaźnik inflacji CPI deflatorem PKB. Zmiana ta ma na celu uspójnienie SRW, stanowiące</w:t>
      </w:r>
      <w:r w:rsidR="008E26F7" w:rsidRPr="009F791E">
        <w:rPr>
          <w:rFonts w:ascii="Times New Roman" w:hAnsi="Times New Roman"/>
        </w:rPr>
        <w:t>j</w:t>
      </w:r>
      <w:r w:rsidRPr="009F791E">
        <w:rPr>
          <w:rFonts w:ascii="Times New Roman" w:hAnsi="Times New Roman"/>
        </w:rPr>
        <w:t xml:space="preserve"> implementację dyrektywy budżetowej UE, z regułami unijnymi po sfinalizowanej w </w:t>
      </w:r>
      <w:r w:rsidR="006241BA" w:rsidRPr="009F791E">
        <w:rPr>
          <w:rFonts w:ascii="Times New Roman" w:hAnsi="Times New Roman"/>
        </w:rPr>
        <w:t xml:space="preserve">roku </w:t>
      </w:r>
      <w:r w:rsidRPr="009F791E">
        <w:rPr>
          <w:rFonts w:ascii="Times New Roman" w:hAnsi="Times New Roman"/>
        </w:rPr>
        <w:t>2024 reformie ram zarządzania gospodarczego UE</w:t>
      </w:r>
      <w:r w:rsidRPr="009F791E">
        <w:rPr>
          <w:rFonts w:ascii="Times New Roman" w:hAnsi="Times New Roman"/>
          <w:vertAlign w:val="superscript"/>
        </w:rPr>
        <w:footnoteReference w:id="1"/>
      </w:r>
      <w:r w:rsidRPr="009F791E">
        <w:rPr>
          <w:rFonts w:ascii="Times New Roman" w:hAnsi="Times New Roman"/>
        </w:rPr>
        <w:t>. Operacjonalizację unijnych reguł fiskalnych stanowi wieloletnia ścieżka wydatków netto (ustalana</w:t>
      </w:r>
      <w:r w:rsidR="008E26F7" w:rsidRPr="009F791E">
        <w:rPr>
          <w:rFonts w:ascii="Times New Roman" w:hAnsi="Times New Roman"/>
        </w:rPr>
        <w:t>,</w:t>
      </w:r>
      <w:r w:rsidRPr="009F791E">
        <w:rPr>
          <w:rFonts w:ascii="Times New Roman" w:hAnsi="Times New Roman"/>
        </w:rPr>
        <w:t xml:space="preserve"> co do zasady</w:t>
      </w:r>
      <w:r w:rsidR="008E26F7" w:rsidRPr="009F791E">
        <w:rPr>
          <w:rFonts w:ascii="Times New Roman" w:hAnsi="Times New Roman"/>
        </w:rPr>
        <w:t>,</w:t>
      </w:r>
      <w:r w:rsidRPr="009F791E">
        <w:rPr>
          <w:rFonts w:ascii="Times New Roman" w:hAnsi="Times New Roman"/>
        </w:rPr>
        <w:t xml:space="preserve"> raz na cztery lata), która </w:t>
      </w:r>
      <w:r w:rsidR="00F1281F" w:rsidRPr="009F791E">
        <w:rPr>
          <w:rFonts w:ascii="Times New Roman" w:hAnsi="Times New Roman"/>
        </w:rPr>
        <w:t xml:space="preserve">będzie </w:t>
      </w:r>
      <w:r w:rsidRPr="009F791E">
        <w:rPr>
          <w:rFonts w:ascii="Times New Roman" w:hAnsi="Times New Roman"/>
        </w:rPr>
        <w:t>baz</w:t>
      </w:r>
      <w:r w:rsidR="00F1281F" w:rsidRPr="009F791E">
        <w:rPr>
          <w:rFonts w:ascii="Times New Roman" w:hAnsi="Times New Roman"/>
        </w:rPr>
        <w:t>ować właśnie</w:t>
      </w:r>
      <w:r w:rsidRPr="009F791E">
        <w:rPr>
          <w:rFonts w:ascii="Times New Roman" w:hAnsi="Times New Roman"/>
        </w:rPr>
        <w:t xml:space="preserve"> na prognozowanym na dany rok deflatorze PKB. Zatem użycie deflatora PKB w SRW będzie oddziaływać w</w:t>
      </w:r>
      <w:r w:rsidR="006241BA" w:rsidRPr="009F791E">
        <w:rPr>
          <w:rFonts w:ascii="Times New Roman" w:hAnsi="Times New Roman"/>
        </w:rPr>
        <w:t> </w:t>
      </w:r>
      <w:r w:rsidRPr="009F791E">
        <w:rPr>
          <w:rFonts w:ascii="Times New Roman" w:hAnsi="Times New Roman"/>
        </w:rPr>
        <w:t xml:space="preserve">kierunku zmniejszenia odchyleń od ścieżki wydatków netto zatwierdzonej przez Radę UE. Za użyciem deflatora PKB, zamiast wskaźnika CPI, przemawiają również argumenty ekonomiczne. Deflator PKB stanowi szeroki wskaźnik podstawowego rozwoju cen krajowych (w tym w sektorze publicznym) i charakteryzuje się historycznie mniejszą zmiennością niż CPI, co między innymi wynika z tego, że w mniejszym stopniu wpływają na niego ceny importu. Szczególnie ten ostatni aspekt w ostatnich latach następujących po sobie szoków gospodarczych stał się bardziej istotny w kontekście niestabilnych cen surowców. </w:t>
      </w:r>
    </w:p>
    <w:p w14:paraId="658C72A9" w14:textId="47331DD8" w:rsidR="00383B9E" w:rsidRPr="009F791E" w:rsidRDefault="00383B9E" w:rsidP="009F791E">
      <w:pPr>
        <w:spacing w:before="120" w:line="360" w:lineRule="auto"/>
        <w:jc w:val="both"/>
        <w:rPr>
          <w:rFonts w:ascii="Times New Roman" w:hAnsi="Times New Roman"/>
        </w:rPr>
      </w:pPr>
      <w:r w:rsidRPr="009F791E">
        <w:rPr>
          <w:rFonts w:ascii="Times New Roman" w:hAnsi="Times New Roman"/>
        </w:rPr>
        <w:t>Jednocześnie celem SRW jest stabilizacja wydatków objętych SRW w relacji do PKB. Przyjęcie deflatora PKB, zamiast CPI, będzie temu sprzyjało, gdyż wskaźnika CPI nie można utożsamiać z deflatorem PKB. W części podstawowej (po wyłączeniu korekty K</w:t>
      </w:r>
      <w:r w:rsidRPr="009F791E">
        <w:rPr>
          <w:rFonts w:ascii="Times New Roman" w:hAnsi="Times New Roman"/>
          <w:vertAlign w:val="subscript"/>
        </w:rPr>
        <w:t>n</w:t>
      </w:r>
      <w:r w:rsidRPr="009F791E">
        <w:rPr>
          <w:rFonts w:ascii="Times New Roman" w:hAnsi="Times New Roman"/>
        </w:rPr>
        <w:t xml:space="preserve"> i działań dyskrecjonalnych) dynamika kwoty wydatków SRW równa będzie iloczynowi średniookresowej dynamiki wzrostu realnego PKB i deflatora PKB. </w:t>
      </w:r>
    </w:p>
    <w:p w14:paraId="1C5F46FB" w14:textId="2F465319" w:rsidR="00383B9E" w:rsidRPr="009F791E" w:rsidRDefault="00383B9E" w:rsidP="009F791E">
      <w:pPr>
        <w:spacing w:before="120" w:line="360" w:lineRule="auto"/>
        <w:jc w:val="both"/>
        <w:rPr>
          <w:rFonts w:ascii="Times New Roman" w:hAnsi="Times New Roman"/>
        </w:rPr>
      </w:pPr>
      <w:r w:rsidRPr="009F791E">
        <w:rPr>
          <w:rFonts w:ascii="Times New Roman" w:hAnsi="Times New Roman"/>
        </w:rPr>
        <w:t>Dodatkowo, z uwagi na fakt, że formuła SRW zawiera prognozy rocznej dynamiki wartości produktu krajowego brutto w cenach stałych</w:t>
      </w:r>
      <w:r w:rsidR="003E4450">
        <w:rPr>
          <w:rFonts w:ascii="Times New Roman" w:hAnsi="Times New Roman"/>
        </w:rPr>
        <w:t>,</w:t>
      </w:r>
      <w:r w:rsidRPr="009F791E">
        <w:rPr>
          <w:rFonts w:ascii="Times New Roman" w:hAnsi="Times New Roman"/>
        </w:rPr>
        <w:t xml:space="preserve"> proponuje się wprowadzenie korekty </w:t>
      </w:r>
      <w:r w:rsidRPr="009F791E">
        <w:rPr>
          <w:rFonts w:ascii="Times New Roman" w:hAnsi="Times New Roman"/>
          <w:i/>
          <w:iCs/>
        </w:rPr>
        <w:t>ex post</w:t>
      </w:r>
      <w:r w:rsidRPr="009F791E">
        <w:rPr>
          <w:rFonts w:ascii="Times New Roman" w:hAnsi="Times New Roman"/>
        </w:rPr>
        <w:t xml:space="preserve"> wymienionych wcześniej prognoz, mającej na celu dostosowanie kwoty wydatków do rzeczywistych odczytów rocznej dynamiki wartości PKB. Przykładowo, jeśli faktyczny odczyt rocznej dynamiki PKB okazałby się niższy od prognozowanego, to kwota wydatków zostałaby zawyżona. Z tego względu należy dokonać aktualizacji </w:t>
      </w:r>
      <w:r w:rsidRPr="009F791E">
        <w:rPr>
          <w:rFonts w:ascii="Times New Roman" w:hAnsi="Times New Roman"/>
          <w:i/>
          <w:iCs/>
        </w:rPr>
        <w:t>ex post</w:t>
      </w:r>
      <w:r w:rsidRPr="009F791E">
        <w:rPr>
          <w:rFonts w:ascii="Times New Roman" w:hAnsi="Times New Roman"/>
        </w:rPr>
        <w:t xml:space="preserve"> kwoty wydatków, aby kwota </w:t>
      </w:r>
      <w:r w:rsidRPr="009F791E">
        <w:rPr>
          <w:rFonts w:ascii="Times New Roman" w:hAnsi="Times New Roman"/>
        </w:rPr>
        <w:lastRenderedPageBreak/>
        <w:t>powróciła na ścieżkę wynikającą z reguły (w kategoriach realnych). W efekcie błędy prognoz dotyczące różnicy pomiędzy prognozowaną dynamiką wartości PKB a rzeczywistymi odczytami rocznej dynamiki PKB nie będą miały w średnim i długim okresie wpływu na limit wydatków w ujęciu płynnym. W wyniku błędu prognozy, może dochodzić bowiem do zawyżenia lub zaniżenia kwoty wydatków wynikającej z SRW w stosunku do wartości jakie powinny być osiągnięte w rzeczywistości. Błędy te, z uwagi na brak mechanizmu korekty błędu prognozy, nie mają charakteru przejściowego i mogą się kumulować w czasie. Wprowadzenie mechanizmu korekty błędu prognozy także w zakresie PKB uspójni rozwiązanie w zakresie traktowania błędów prognoz oraz przyczyni się do zwiększenia skuteczności SRW.</w:t>
      </w:r>
    </w:p>
    <w:p w14:paraId="0E32C209" w14:textId="4D0565CF" w:rsidR="00383B9E" w:rsidRPr="009F791E" w:rsidRDefault="00383B9E" w:rsidP="009F791E">
      <w:pPr>
        <w:spacing w:before="120" w:line="360" w:lineRule="auto"/>
        <w:jc w:val="both"/>
        <w:rPr>
          <w:rFonts w:ascii="Times New Roman" w:hAnsi="Times New Roman"/>
        </w:rPr>
      </w:pPr>
      <w:r w:rsidRPr="009F791E">
        <w:rPr>
          <w:rFonts w:ascii="Times New Roman" w:hAnsi="Times New Roman"/>
        </w:rPr>
        <w:t>Warto zauważyć, iż obecnie analogiczny mechanizm korekty błędów prognozy istnieje w</w:t>
      </w:r>
      <w:r w:rsidR="006241BA" w:rsidRPr="009F791E">
        <w:rPr>
          <w:rFonts w:ascii="Times New Roman" w:hAnsi="Times New Roman"/>
        </w:rPr>
        <w:t> </w:t>
      </w:r>
      <w:r w:rsidRPr="009F791E">
        <w:rPr>
          <w:rFonts w:ascii="Times New Roman" w:hAnsi="Times New Roman"/>
        </w:rPr>
        <w:t xml:space="preserve">zakresie CPI. Po zmianie w algorytmie </w:t>
      </w:r>
      <w:r w:rsidR="006B1894" w:rsidRPr="009F791E">
        <w:rPr>
          <w:rFonts w:ascii="Times New Roman" w:hAnsi="Times New Roman"/>
        </w:rPr>
        <w:t xml:space="preserve">SRW wskaźnika </w:t>
      </w:r>
      <w:r w:rsidRPr="009F791E">
        <w:rPr>
          <w:rFonts w:ascii="Times New Roman" w:hAnsi="Times New Roman"/>
        </w:rPr>
        <w:t xml:space="preserve">z CPI na deflator PKB </w:t>
      </w:r>
      <w:r w:rsidR="006B1894" w:rsidRPr="009F791E">
        <w:rPr>
          <w:rFonts w:ascii="Times New Roman" w:hAnsi="Times New Roman"/>
        </w:rPr>
        <w:t xml:space="preserve">mechanizm korekty </w:t>
      </w:r>
      <w:r w:rsidRPr="009F791E">
        <w:rPr>
          <w:rFonts w:ascii="Times New Roman" w:hAnsi="Times New Roman"/>
        </w:rPr>
        <w:t>zostanie odpowiednio zmodyfikowany</w:t>
      </w:r>
      <w:r w:rsidR="006B1894" w:rsidRPr="009F791E">
        <w:rPr>
          <w:rFonts w:ascii="Times New Roman" w:hAnsi="Times New Roman"/>
        </w:rPr>
        <w:t xml:space="preserve"> (CPI zostanie zastąpiona deflatorem)</w:t>
      </w:r>
      <w:r w:rsidRPr="009F791E">
        <w:rPr>
          <w:rFonts w:ascii="Times New Roman" w:hAnsi="Times New Roman"/>
        </w:rPr>
        <w:t>.</w:t>
      </w:r>
    </w:p>
    <w:p w14:paraId="4C4A853F" w14:textId="46279B7C" w:rsidR="00383B9E" w:rsidRPr="009F791E" w:rsidRDefault="00383B9E" w:rsidP="009F791E">
      <w:pPr>
        <w:spacing w:before="120" w:line="360" w:lineRule="auto"/>
        <w:jc w:val="both"/>
        <w:rPr>
          <w:rFonts w:ascii="Times New Roman" w:hAnsi="Times New Roman"/>
        </w:rPr>
      </w:pPr>
      <w:r w:rsidRPr="009F791E">
        <w:rPr>
          <w:rFonts w:ascii="Times New Roman" w:hAnsi="Times New Roman"/>
        </w:rPr>
        <w:t>Wprowadzone zmiany spowodują, że kwota wydatków SRW w średnim i długim okresie nie będzie obciążona błędami prognoz (zarówno komponent realny</w:t>
      </w:r>
      <w:r w:rsidR="006B1894" w:rsidRPr="009F791E">
        <w:rPr>
          <w:rFonts w:ascii="Times New Roman" w:hAnsi="Times New Roman"/>
        </w:rPr>
        <w:t>,</w:t>
      </w:r>
      <w:r w:rsidRPr="009F791E">
        <w:rPr>
          <w:rFonts w:ascii="Times New Roman" w:hAnsi="Times New Roman"/>
        </w:rPr>
        <w:t xml:space="preserve"> jak i nominalny formuły zawierający prognozy będzie korygowany tak</w:t>
      </w:r>
      <w:r w:rsidR="006B1894" w:rsidRPr="009F791E">
        <w:rPr>
          <w:rFonts w:ascii="Times New Roman" w:hAnsi="Times New Roman"/>
        </w:rPr>
        <w:t>,</w:t>
      </w:r>
      <w:r w:rsidRPr="009F791E">
        <w:rPr>
          <w:rFonts w:ascii="Times New Roman" w:hAnsi="Times New Roman"/>
        </w:rPr>
        <w:t xml:space="preserve"> aby odzwierciedlał rzeczywiste wykonanie).</w:t>
      </w:r>
    </w:p>
    <w:p w14:paraId="67D41606" w14:textId="631F9176" w:rsidR="00383B9E" w:rsidRPr="009F791E" w:rsidRDefault="00ED4D8F" w:rsidP="009F791E">
      <w:pPr>
        <w:spacing w:before="120" w:line="360" w:lineRule="auto"/>
        <w:jc w:val="both"/>
        <w:rPr>
          <w:rFonts w:ascii="Times New Roman" w:hAnsi="Times New Roman"/>
        </w:rPr>
      </w:pPr>
      <w:r w:rsidRPr="009F791E">
        <w:rPr>
          <w:rFonts w:ascii="Times New Roman" w:hAnsi="Times New Roman"/>
        </w:rPr>
        <w:t>Jednocześnie</w:t>
      </w:r>
      <w:r w:rsidR="00383B9E" w:rsidRPr="009F791E">
        <w:rPr>
          <w:rFonts w:ascii="Times New Roman" w:hAnsi="Times New Roman"/>
        </w:rPr>
        <w:t xml:space="preserve"> wprowadzenie mechanizmu korekty błędu prognozy obejmującego zarówno </w:t>
      </w:r>
      <w:r w:rsidRPr="009F791E">
        <w:rPr>
          <w:rFonts w:ascii="Times New Roman" w:hAnsi="Times New Roman"/>
        </w:rPr>
        <w:t>realne</w:t>
      </w:r>
      <w:r w:rsidR="00383B9E" w:rsidRPr="009F791E">
        <w:rPr>
          <w:rFonts w:ascii="Times New Roman" w:hAnsi="Times New Roman"/>
        </w:rPr>
        <w:t xml:space="preserve"> tempo PKB</w:t>
      </w:r>
      <w:r w:rsidR="00F1339D" w:rsidRPr="009F791E">
        <w:rPr>
          <w:rFonts w:ascii="Times New Roman" w:hAnsi="Times New Roman"/>
        </w:rPr>
        <w:t>,</w:t>
      </w:r>
      <w:r w:rsidR="00383B9E" w:rsidRPr="009F791E">
        <w:rPr>
          <w:rFonts w:ascii="Times New Roman" w:hAnsi="Times New Roman"/>
        </w:rPr>
        <w:t xml:space="preserve"> jak i deflator PKB sprzyja realizacji postanowień dyrektywy Rady (UE) 2024/1265 z dnia 29 kwietnia 2024 r. zmieniającej dyrektywę 2011/85/UE w sprawie wymogów dla ram budżetowych państw członkowskich, która stanowi, że „Państwa członkowskie zapewniają, aby podstawą rocznego i wieloletniego planowania budżetowego były realistyczne prognozy makroekonomiczne i budżetowe sporządzone w oparciu o</w:t>
      </w:r>
      <w:r w:rsidR="006241BA" w:rsidRPr="009F791E">
        <w:rPr>
          <w:rFonts w:ascii="Times New Roman" w:hAnsi="Times New Roman"/>
        </w:rPr>
        <w:t> </w:t>
      </w:r>
      <w:r w:rsidR="00383B9E" w:rsidRPr="009F791E">
        <w:rPr>
          <w:rFonts w:ascii="Times New Roman" w:hAnsi="Times New Roman"/>
        </w:rPr>
        <w:t xml:space="preserve">najaktualniejsze informacje. Podstawą planowania budżetowego jest najbardziej prawdopodobny scenariusz </w:t>
      </w:r>
      <w:r w:rsidRPr="009F791E">
        <w:rPr>
          <w:rFonts w:ascii="Times New Roman" w:hAnsi="Times New Roman"/>
        </w:rPr>
        <w:t>makrofiskalny</w:t>
      </w:r>
      <w:r w:rsidR="00383B9E" w:rsidRPr="009F791E">
        <w:rPr>
          <w:rFonts w:ascii="Times New Roman" w:hAnsi="Times New Roman"/>
        </w:rPr>
        <w:t xml:space="preserve"> lub ostrożniejszy scenariusz”</w:t>
      </w:r>
      <w:r w:rsidRPr="009F791E">
        <w:rPr>
          <w:rFonts w:ascii="Times New Roman" w:hAnsi="Times New Roman"/>
        </w:rPr>
        <w:t>. Mechanizm korekty błędu prognozy (który po zmianie/</w:t>
      </w:r>
      <w:r w:rsidR="006B1894" w:rsidRPr="009F791E">
        <w:rPr>
          <w:rFonts w:ascii="Times New Roman" w:hAnsi="Times New Roman"/>
        </w:rPr>
        <w:t>rozszerzeniu</w:t>
      </w:r>
      <w:r w:rsidRPr="009F791E">
        <w:rPr>
          <w:rFonts w:ascii="Times New Roman" w:hAnsi="Times New Roman"/>
        </w:rPr>
        <w:t xml:space="preserve"> będzie obejmował wszystkie prognozowane parametry, tj. realna dynamikę PKB, jak i defla</w:t>
      </w:r>
      <w:r w:rsidR="00F1339D" w:rsidRPr="009F791E">
        <w:rPr>
          <w:rFonts w:ascii="Times New Roman" w:hAnsi="Times New Roman"/>
        </w:rPr>
        <w:t>t</w:t>
      </w:r>
      <w:r w:rsidRPr="009F791E">
        <w:rPr>
          <w:rFonts w:ascii="Times New Roman" w:hAnsi="Times New Roman"/>
        </w:rPr>
        <w:t xml:space="preserve">or PKB) zmniejszy wpływ odchyleń </w:t>
      </w:r>
      <w:r w:rsidR="006F575E" w:rsidRPr="009F791E">
        <w:rPr>
          <w:rFonts w:ascii="Times New Roman" w:hAnsi="Times New Roman"/>
        </w:rPr>
        <w:t xml:space="preserve">oszacowań </w:t>
      </w:r>
      <w:r w:rsidRPr="009F791E">
        <w:rPr>
          <w:rFonts w:ascii="Times New Roman" w:hAnsi="Times New Roman"/>
        </w:rPr>
        <w:t xml:space="preserve">prognozowanych </w:t>
      </w:r>
      <w:r w:rsidR="006F575E" w:rsidRPr="009F791E">
        <w:rPr>
          <w:rFonts w:ascii="Times New Roman" w:hAnsi="Times New Roman"/>
        </w:rPr>
        <w:t xml:space="preserve">parametrów </w:t>
      </w:r>
      <w:r w:rsidRPr="009F791E">
        <w:rPr>
          <w:rFonts w:ascii="Times New Roman" w:hAnsi="Times New Roman"/>
        </w:rPr>
        <w:t>od wartości wykonanych</w:t>
      </w:r>
      <w:r w:rsidR="006F575E" w:rsidRPr="009F791E">
        <w:rPr>
          <w:rFonts w:ascii="Times New Roman" w:hAnsi="Times New Roman"/>
        </w:rPr>
        <w:t xml:space="preserve"> parametrów, a tym samym przyczyni się do zmniejszenia wpływu błędów prognoz na kwotę wydatków SRW.</w:t>
      </w:r>
    </w:p>
    <w:p w14:paraId="2623BDB4" w14:textId="57C60CCB" w:rsidR="00383B9E" w:rsidRPr="009F791E" w:rsidRDefault="00383B9E" w:rsidP="009F791E">
      <w:pPr>
        <w:spacing w:before="120" w:line="360" w:lineRule="auto"/>
        <w:jc w:val="both"/>
        <w:rPr>
          <w:rFonts w:ascii="Times New Roman" w:hAnsi="Times New Roman"/>
        </w:rPr>
      </w:pPr>
      <w:r w:rsidRPr="009F791E">
        <w:rPr>
          <w:rFonts w:ascii="Times New Roman" w:hAnsi="Times New Roman"/>
        </w:rPr>
        <w:t>Ponadto, wprowadzone zostaną zmiany w definicji działań dyskrecjonalnych</w:t>
      </w:r>
      <w:r w:rsidR="009003E1" w:rsidRPr="009F791E">
        <w:rPr>
          <w:rFonts w:ascii="Times New Roman" w:hAnsi="Times New Roman"/>
        </w:rPr>
        <w:t xml:space="preserve"> (składnik E</w:t>
      </w:r>
      <w:r w:rsidR="009003E1" w:rsidRPr="009F791E">
        <w:rPr>
          <w:rFonts w:ascii="Times New Roman" w:hAnsi="Times New Roman"/>
          <w:vertAlign w:val="subscript"/>
        </w:rPr>
        <w:t>n</w:t>
      </w:r>
      <w:r w:rsidR="009003E1" w:rsidRPr="009F791E">
        <w:rPr>
          <w:rFonts w:ascii="Times New Roman" w:hAnsi="Times New Roman"/>
        </w:rPr>
        <w:t>(ΔDD</w:t>
      </w:r>
      <w:r w:rsidR="009003E1" w:rsidRPr="009F791E">
        <w:rPr>
          <w:rFonts w:ascii="Times New Roman" w:hAnsi="Times New Roman"/>
          <w:vertAlign w:val="subscript"/>
        </w:rPr>
        <w:t>n</w:t>
      </w:r>
      <w:r w:rsidR="009003E1" w:rsidRPr="009F791E">
        <w:rPr>
          <w:rFonts w:ascii="Times New Roman" w:hAnsi="Times New Roman"/>
        </w:rPr>
        <w:t xml:space="preserve">) we wzorze określającym poziom kwoty wyznaczanej przez </w:t>
      </w:r>
      <w:r w:rsidR="006241BA" w:rsidRPr="009F791E">
        <w:rPr>
          <w:rFonts w:ascii="Times New Roman" w:hAnsi="Times New Roman"/>
        </w:rPr>
        <w:t>SRW</w:t>
      </w:r>
      <w:r w:rsidR="009003E1" w:rsidRPr="009F791E">
        <w:rPr>
          <w:rFonts w:ascii="Times New Roman" w:hAnsi="Times New Roman"/>
        </w:rPr>
        <w:t xml:space="preserve"> (art. 112aa ust. 1 ustawy o finansach publicznych)</w:t>
      </w:r>
      <w:r w:rsidR="00720B91" w:rsidRPr="009F791E">
        <w:rPr>
          <w:rFonts w:ascii="Times New Roman" w:hAnsi="Times New Roman"/>
        </w:rPr>
        <w:t xml:space="preserve">. Zmiany te polegają na zawężeniu ich zakresu podmiotowego </w:t>
      </w:r>
      <w:r w:rsidR="00B505A1">
        <w:rPr>
          <w:rFonts w:ascii="Times New Roman" w:hAnsi="Times New Roman"/>
        </w:rPr>
        <w:t>–</w:t>
      </w:r>
      <w:r w:rsidR="00720B91" w:rsidRPr="009F791E">
        <w:rPr>
          <w:rFonts w:ascii="Times New Roman" w:hAnsi="Times New Roman"/>
        </w:rPr>
        <w:t xml:space="preserve"> na poziom kwoty wydatków SRW wpływ będą miały tylko te działania, które mają wpływ na dochody</w:t>
      </w:r>
      <w:r w:rsidR="00B21D42" w:rsidRPr="009F791E">
        <w:rPr>
          <w:rFonts w:ascii="Times New Roman" w:hAnsi="Times New Roman"/>
        </w:rPr>
        <w:t xml:space="preserve"> z</w:t>
      </w:r>
      <w:r w:rsidR="00720B91" w:rsidRPr="009F791E">
        <w:rPr>
          <w:rFonts w:ascii="Times New Roman" w:hAnsi="Times New Roman"/>
        </w:rPr>
        <w:t xml:space="preserve"> tytułu podatków lub składek w</w:t>
      </w:r>
      <w:r w:rsidR="006241BA" w:rsidRPr="009F791E">
        <w:rPr>
          <w:rFonts w:ascii="Times New Roman" w:hAnsi="Times New Roman"/>
        </w:rPr>
        <w:t>edług</w:t>
      </w:r>
      <w:r w:rsidR="00720B91" w:rsidRPr="009F791E">
        <w:rPr>
          <w:rFonts w:ascii="Times New Roman" w:hAnsi="Times New Roman"/>
        </w:rPr>
        <w:t xml:space="preserve"> ESA jednostek i organów objętych</w:t>
      </w:r>
      <w:r w:rsidR="00B21D42" w:rsidRPr="009F791E">
        <w:rPr>
          <w:rFonts w:ascii="Times New Roman" w:hAnsi="Times New Roman"/>
        </w:rPr>
        <w:t xml:space="preserve"> SRW</w:t>
      </w:r>
      <w:r w:rsidR="00720B91" w:rsidRPr="009F791E">
        <w:rPr>
          <w:rFonts w:ascii="Times New Roman" w:hAnsi="Times New Roman"/>
        </w:rPr>
        <w:t xml:space="preserve">. </w:t>
      </w:r>
      <w:r w:rsidR="0032158F" w:rsidRPr="009F791E">
        <w:rPr>
          <w:rFonts w:ascii="Times New Roman" w:hAnsi="Times New Roman"/>
        </w:rPr>
        <w:t>Jednocześnie r</w:t>
      </w:r>
      <w:r w:rsidR="00720B91" w:rsidRPr="009F791E">
        <w:rPr>
          <w:rFonts w:ascii="Times New Roman" w:hAnsi="Times New Roman"/>
        </w:rPr>
        <w:t xml:space="preserve">ozszerzony zostanie zakres transakcyjny. Będą to działania mające wpływ na </w:t>
      </w:r>
      <w:r w:rsidR="00720B91" w:rsidRPr="009F791E">
        <w:rPr>
          <w:rFonts w:ascii="Times New Roman" w:hAnsi="Times New Roman"/>
        </w:rPr>
        <w:lastRenderedPageBreak/>
        <w:t>poziom dochodów z tytułu podatków lub składek</w:t>
      </w:r>
      <w:r w:rsidR="0032158F" w:rsidRPr="009F791E">
        <w:rPr>
          <w:rFonts w:ascii="Times New Roman" w:hAnsi="Times New Roman"/>
        </w:rPr>
        <w:t xml:space="preserve">, które nie będą </w:t>
      </w:r>
      <w:r w:rsidR="00720B91" w:rsidRPr="009F791E">
        <w:rPr>
          <w:rFonts w:ascii="Times New Roman" w:hAnsi="Times New Roman"/>
        </w:rPr>
        <w:t xml:space="preserve">tylko </w:t>
      </w:r>
      <w:r w:rsidR="006320F4" w:rsidRPr="009F791E">
        <w:rPr>
          <w:rFonts w:ascii="Times New Roman" w:hAnsi="Times New Roman"/>
        </w:rPr>
        <w:t xml:space="preserve">działaniami legislacyjnymi w </w:t>
      </w:r>
      <w:r w:rsidR="00720B91" w:rsidRPr="009F791E">
        <w:rPr>
          <w:rFonts w:ascii="Times New Roman" w:hAnsi="Times New Roman"/>
        </w:rPr>
        <w:t>podatka</w:t>
      </w:r>
      <w:r w:rsidR="006320F4" w:rsidRPr="009F791E">
        <w:rPr>
          <w:rFonts w:ascii="Times New Roman" w:hAnsi="Times New Roman"/>
        </w:rPr>
        <w:t>ch</w:t>
      </w:r>
      <w:r w:rsidR="00720B91" w:rsidRPr="009F791E">
        <w:rPr>
          <w:rFonts w:ascii="Times New Roman" w:hAnsi="Times New Roman"/>
        </w:rPr>
        <w:t xml:space="preserve"> i składka</w:t>
      </w:r>
      <w:r w:rsidR="006320F4" w:rsidRPr="009F791E">
        <w:rPr>
          <w:rFonts w:ascii="Times New Roman" w:hAnsi="Times New Roman"/>
        </w:rPr>
        <w:t>ch</w:t>
      </w:r>
      <w:r w:rsidR="00720B91" w:rsidRPr="009F791E">
        <w:rPr>
          <w:rFonts w:ascii="Times New Roman" w:hAnsi="Times New Roman"/>
        </w:rPr>
        <w:t xml:space="preserve">. </w:t>
      </w:r>
      <w:r w:rsidR="0032158F" w:rsidRPr="009F791E">
        <w:rPr>
          <w:rFonts w:ascii="Times New Roman" w:hAnsi="Times New Roman"/>
        </w:rPr>
        <w:t xml:space="preserve">Ponadto </w:t>
      </w:r>
      <w:r w:rsidR="00720B91" w:rsidRPr="009F791E">
        <w:rPr>
          <w:rFonts w:ascii="Times New Roman" w:hAnsi="Times New Roman"/>
        </w:rPr>
        <w:t>wpływ na wartość składnika En(ΔDDn) będą miały takie działania</w:t>
      </w:r>
      <w:r w:rsidR="00B21D42" w:rsidRPr="009F791E">
        <w:rPr>
          <w:rFonts w:ascii="Times New Roman" w:hAnsi="Times New Roman"/>
        </w:rPr>
        <w:t>,</w:t>
      </w:r>
      <w:r w:rsidR="00720B91" w:rsidRPr="009F791E">
        <w:rPr>
          <w:rFonts w:ascii="Times New Roman" w:hAnsi="Times New Roman"/>
        </w:rPr>
        <w:t xml:space="preserve"> jak skutki zwiększenia efektywności KAS, przejawiające się </w:t>
      </w:r>
      <w:r w:rsidR="006320F4" w:rsidRPr="009F791E">
        <w:rPr>
          <w:rFonts w:ascii="Times New Roman" w:hAnsi="Times New Roman"/>
        </w:rPr>
        <w:t xml:space="preserve">istotnym </w:t>
      </w:r>
      <w:r w:rsidR="00720B91" w:rsidRPr="009F791E">
        <w:rPr>
          <w:rFonts w:ascii="Times New Roman" w:hAnsi="Times New Roman"/>
        </w:rPr>
        <w:t>zwiększeniem dochodów z tytułu podatk</w:t>
      </w:r>
      <w:r w:rsidR="00B21D42" w:rsidRPr="009F791E">
        <w:rPr>
          <w:rFonts w:ascii="Times New Roman" w:hAnsi="Times New Roman"/>
        </w:rPr>
        <w:t>ów</w:t>
      </w:r>
      <w:r w:rsidR="00302C3F" w:rsidRPr="009F791E">
        <w:rPr>
          <w:rFonts w:ascii="Times New Roman" w:hAnsi="Times New Roman"/>
        </w:rPr>
        <w:t>.</w:t>
      </w:r>
    </w:p>
    <w:p w14:paraId="129406E8" w14:textId="1D6CD9F2" w:rsidR="0043281C" w:rsidRPr="009F791E" w:rsidRDefault="009003E1" w:rsidP="009F791E">
      <w:pPr>
        <w:spacing w:before="120" w:line="360" w:lineRule="auto"/>
        <w:jc w:val="both"/>
        <w:rPr>
          <w:rFonts w:ascii="Times New Roman" w:hAnsi="Times New Roman"/>
          <w:highlight w:val="yellow"/>
        </w:rPr>
      </w:pPr>
      <w:r w:rsidRPr="009F791E">
        <w:rPr>
          <w:rFonts w:ascii="Times New Roman" w:hAnsi="Times New Roman"/>
        </w:rPr>
        <w:t>Aktualnie uwzględnia się w tym elemencie prognozowaną wartość ogółem działań dyskrecjonalnych, o których mowa w rozporządzeniu Rady (WE) nr 1466/97 z dnia 7 lipca 1997 r. w sprawie wzmocnienia nadzoru pozycji budżetowych oraz nadzoru i koordynacji polityk gospodarczych, w zakresie podatków i składek na ubezpieczenia społeczne, o których mowa w rozporządzeniu Parlamentu Europejskiego i Rady (UE) nr 549/2013 z dnia 21 maja 2013 r. w sprawie europejskiego systemu rachunków narodowych i regionalnych w Unii Europejskiej.</w:t>
      </w:r>
      <w:r w:rsidR="0043281C" w:rsidRPr="009F791E">
        <w:rPr>
          <w:rFonts w:ascii="Times New Roman" w:hAnsi="Times New Roman"/>
        </w:rPr>
        <w:t xml:space="preserve"> Intencją </w:t>
      </w:r>
      <w:r w:rsidR="0032158F" w:rsidRPr="009F791E">
        <w:rPr>
          <w:rFonts w:ascii="Times New Roman" w:hAnsi="Times New Roman"/>
        </w:rPr>
        <w:t xml:space="preserve">projektodawcy </w:t>
      </w:r>
      <w:r w:rsidR="0043281C" w:rsidRPr="009F791E">
        <w:rPr>
          <w:rFonts w:ascii="Times New Roman" w:hAnsi="Times New Roman"/>
        </w:rPr>
        <w:t>jest</w:t>
      </w:r>
      <w:r w:rsidR="00B21D42" w:rsidRPr="009F791E">
        <w:rPr>
          <w:rFonts w:ascii="Times New Roman" w:hAnsi="Times New Roman"/>
        </w:rPr>
        <w:t>,</w:t>
      </w:r>
      <w:r w:rsidR="0043281C" w:rsidRPr="009F791E">
        <w:rPr>
          <w:rFonts w:ascii="Times New Roman" w:hAnsi="Times New Roman"/>
        </w:rPr>
        <w:t xml:space="preserve"> aby w składniku En(ΔDDn) uwzględniane były nie tylko działania legislacyjne (np. zmiana stawek podatkowych ustawą)</w:t>
      </w:r>
      <w:r w:rsidR="00B21D42" w:rsidRPr="009F791E">
        <w:rPr>
          <w:rFonts w:ascii="Times New Roman" w:hAnsi="Times New Roman"/>
        </w:rPr>
        <w:t>,</w:t>
      </w:r>
      <w:r w:rsidR="0043281C" w:rsidRPr="009F791E">
        <w:rPr>
          <w:rFonts w:ascii="Times New Roman" w:hAnsi="Times New Roman"/>
        </w:rPr>
        <w:t xml:space="preserve"> ale też działania pozalegislacyjne (np. zmiany efektywnościowe</w:t>
      </w:r>
      <w:r w:rsidR="006320F4" w:rsidRPr="009F791E">
        <w:rPr>
          <w:rFonts w:ascii="Times New Roman" w:hAnsi="Times New Roman"/>
        </w:rPr>
        <w:t xml:space="preserve"> </w:t>
      </w:r>
      <w:r w:rsidR="00E02309" w:rsidRPr="009F791E">
        <w:rPr>
          <w:rFonts w:ascii="Times New Roman" w:hAnsi="Times New Roman"/>
        </w:rPr>
        <w:t>oraz efekty wynikające z aktualnego brzmienia przepisów</w:t>
      </w:r>
      <w:r w:rsidR="0043281C" w:rsidRPr="009F791E">
        <w:rPr>
          <w:rFonts w:ascii="Times New Roman" w:hAnsi="Times New Roman"/>
        </w:rPr>
        <w:t xml:space="preserve">) pod warunkiem, że mają one </w:t>
      </w:r>
      <w:r w:rsidR="006320F4" w:rsidRPr="009F791E">
        <w:rPr>
          <w:rFonts w:ascii="Times New Roman" w:hAnsi="Times New Roman"/>
        </w:rPr>
        <w:t xml:space="preserve">trwały </w:t>
      </w:r>
      <w:r w:rsidR="0043281C" w:rsidRPr="009F791E">
        <w:rPr>
          <w:rFonts w:ascii="Times New Roman" w:hAnsi="Times New Roman"/>
        </w:rPr>
        <w:t>wpływ na poziom dochodów jednostek i organów objętych SRW z tytułu podatków i składek w</w:t>
      </w:r>
      <w:r w:rsidR="0032158F" w:rsidRPr="009F791E">
        <w:rPr>
          <w:rFonts w:ascii="Times New Roman" w:hAnsi="Times New Roman"/>
        </w:rPr>
        <w:t>edług</w:t>
      </w:r>
      <w:r w:rsidR="0043281C" w:rsidRPr="009F791E">
        <w:rPr>
          <w:rFonts w:ascii="Times New Roman" w:hAnsi="Times New Roman"/>
        </w:rPr>
        <w:t xml:space="preserve"> ESA. </w:t>
      </w:r>
    </w:p>
    <w:p w14:paraId="55EA7679" w14:textId="31CBA8B4" w:rsidR="009003E1" w:rsidRPr="009F791E" w:rsidRDefault="009003E1" w:rsidP="009F791E">
      <w:pPr>
        <w:spacing w:before="120" w:line="360" w:lineRule="auto"/>
        <w:jc w:val="both"/>
        <w:rPr>
          <w:rFonts w:ascii="Times New Roman" w:hAnsi="Times New Roman"/>
        </w:rPr>
      </w:pPr>
      <w:r w:rsidRPr="009F791E">
        <w:rPr>
          <w:rFonts w:ascii="Times New Roman" w:hAnsi="Times New Roman"/>
        </w:rPr>
        <w:t xml:space="preserve">Jednocześnie nastąpi zawężenie podmiotowe. Wpływ na kwotę wydatków SRW będą miały tylko te działania dyskrecjonalne, które wpływają na dochody jednostek lub organów objętych SRW. W wyniku wprowadzonych zmian wzrost wydatków jednostek i organów objętych SRW ponad poziom wynikający ze wskaźników makroekonomicznych i mechanizmu korekty będzie możliwy jedynie poprzez </w:t>
      </w:r>
      <w:r w:rsidR="006320F4" w:rsidRPr="009F791E">
        <w:rPr>
          <w:rFonts w:ascii="Times New Roman" w:hAnsi="Times New Roman"/>
        </w:rPr>
        <w:t>podjęcie działań</w:t>
      </w:r>
      <w:r w:rsidRPr="009F791E">
        <w:rPr>
          <w:rFonts w:ascii="Times New Roman" w:hAnsi="Times New Roman"/>
        </w:rPr>
        <w:t xml:space="preserve"> dyskrecjonalnych</w:t>
      </w:r>
      <w:r w:rsidR="0043281C" w:rsidRPr="009F791E">
        <w:rPr>
          <w:rFonts w:ascii="Times New Roman" w:hAnsi="Times New Roman"/>
        </w:rPr>
        <w:t xml:space="preserve"> mających wpływ na dochody z</w:t>
      </w:r>
      <w:r w:rsidR="0032158F" w:rsidRPr="009F791E">
        <w:rPr>
          <w:rFonts w:ascii="Times New Roman" w:hAnsi="Times New Roman"/>
        </w:rPr>
        <w:t> </w:t>
      </w:r>
      <w:r w:rsidR="0043281C" w:rsidRPr="009F791E">
        <w:rPr>
          <w:rFonts w:ascii="Times New Roman" w:hAnsi="Times New Roman"/>
        </w:rPr>
        <w:t>tytułu podatków i składek w</w:t>
      </w:r>
      <w:r w:rsidR="0032158F" w:rsidRPr="009F791E">
        <w:rPr>
          <w:rFonts w:ascii="Times New Roman" w:hAnsi="Times New Roman"/>
        </w:rPr>
        <w:t>edłu</w:t>
      </w:r>
      <w:r w:rsidR="0043281C" w:rsidRPr="009F791E">
        <w:rPr>
          <w:rFonts w:ascii="Times New Roman" w:hAnsi="Times New Roman"/>
        </w:rPr>
        <w:t>g ESA</w:t>
      </w:r>
      <w:r w:rsidRPr="009F791E">
        <w:rPr>
          <w:rFonts w:ascii="Times New Roman" w:hAnsi="Times New Roman"/>
        </w:rPr>
        <w:t xml:space="preserve"> tych jednostek. Działania dyskrecjonalne po stronie dochodowej, które nie oddziaływają na stronę dochodową jednostek objętych SRW</w:t>
      </w:r>
      <w:r w:rsidR="003E4450">
        <w:rPr>
          <w:rFonts w:ascii="Times New Roman" w:hAnsi="Times New Roman"/>
        </w:rPr>
        <w:t>,</w:t>
      </w:r>
      <w:r w:rsidRPr="009F791E">
        <w:rPr>
          <w:rFonts w:ascii="Times New Roman" w:hAnsi="Times New Roman"/>
        </w:rPr>
        <w:t xml:space="preserve"> nie będą w</w:t>
      </w:r>
      <w:r w:rsidR="0032158F" w:rsidRPr="009F791E">
        <w:rPr>
          <w:rFonts w:ascii="Times New Roman" w:hAnsi="Times New Roman"/>
        </w:rPr>
        <w:t> </w:t>
      </w:r>
      <w:r w:rsidRPr="009F791E">
        <w:rPr>
          <w:rFonts w:ascii="Times New Roman" w:hAnsi="Times New Roman"/>
        </w:rPr>
        <w:t>wyniku wprowadzonych zmian wpływać na poziom kwoty wydatków SRW.</w:t>
      </w:r>
    </w:p>
    <w:p w14:paraId="107AF718" w14:textId="103D3766" w:rsidR="00F220AB" w:rsidRPr="009F791E" w:rsidRDefault="009003E1" w:rsidP="009F791E">
      <w:pPr>
        <w:spacing w:before="120" w:line="360" w:lineRule="auto"/>
        <w:jc w:val="both"/>
        <w:rPr>
          <w:rFonts w:ascii="Times New Roman" w:hAnsi="Times New Roman"/>
        </w:rPr>
      </w:pPr>
      <w:r w:rsidRPr="009F791E">
        <w:rPr>
          <w:rFonts w:ascii="Times New Roman" w:hAnsi="Times New Roman"/>
        </w:rPr>
        <w:t xml:space="preserve">Zmiana ta uwzględnia wnioski Najwyższej Izby Kontroli. </w:t>
      </w:r>
      <w:r w:rsidR="00F220AB" w:rsidRPr="009F791E">
        <w:rPr>
          <w:rFonts w:ascii="Times New Roman" w:hAnsi="Times New Roman"/>
        </w:rPr>
        <w:t xml:space="preserve">W </w:t>
      </w:r>
      <w:r w:rsidR="00F1339D" w:rsidRPr="009F791E">
        <w:rPr>
          <w:rFonts w:ascii="Times New Roman" w:hAnsi="Times New Roman"/>
        </w:rPr>
        <w:t>w</w:t>
      </w:r>
      <w:r w:rsidR="00F220AB" w:rsidRPr="009F791E">
        <w:rPr>
          <w:rFonts w:ascii="Times New Roman" w:hAnsi="Times New Roman"/>
        </w:rPr>
        <w:t>ystąpieniach pokontrolnych w</w:t>
      </w:r>
      <w:r w:rsidR="00B505A1">
        <w:rPr>
          <w:rFonts w:ascii="Times New Roman" w:hAnsi="Times New Roman"/>
        </w:rPr>
        <w:t xml:space="preserve"> </w:t>
      </w:r>
      <w:r w:rsidR="00F220AB" w:rsidRPr="009F791E">
        <w:rPr>
          <w:rFonts w:ascii="Times New Roman" w:hAnsi="Times New Roman"/>
        </w:rPr>
        <w:t>zakresie wykonania ustawy budżetowej Najwyższa Izba Kontroli wskazywała na konieczność uspójnienia transakcji mających wpływ na poziom kwoty wydatków SRW z</w:t>
      </w:r>
      <w:r w:rsidR="0032158F" w:rsidRPr="009F791E">
        <w:rPr>
          <w:rFonts w:ascii="Times New Roman" w:hAnsi="Times New Roman"/>
        </w:rPr>
        <w:t> </w:t>
      </w:r>
      <w:r w:rsidR="00F220AB" w:rsidRPr="009F791E">
        <w:rPr>
          <w:rFonts w:ascii="Times New Roman" w:hAnsi="Times New Roman"/>
        </w:rPr>
        <w:t xml:space="preserve">zakresem SRW. </w:t>
      </w:r>
      <w:r w:rsidRPr="009F791E">
        <w:rPr>
          <w:rFonts w:ascii="Times New Roman" w:hAnsi="Times New Roman"/>
        </w:rPr>
        <w:t>Jako przykład wskazywano</w:t>
      </w:r>
      <w:r w:rsidR="00F220AB" w:rsidRPr="009F791E">
        <w:rPr>
          <w:rFonts w:ascii="Times New Roman" w:hAnsi="Times New Roman"/>
        </w:rPr>
        <w:t xml:space="preserve"> dochody z tytułu opłaty mocowej</w:t>
      </w:r>
      <w:r w:rsidR="00513E8B" w:rsidRPr="009F791E">
        <w:rPr>
          <w:rFonts w:ascii="Times New Roman" w:hAnsi="Times New Roman"/>
        </w:rPr>
        <w:t xml:space="preserve"> </w:t>
      </w:r>
      <w:r w:rsidR="002531A7" w:rsidRPr="009F791E">
        <w:rPr>
          <w:rFonts w:ascii="Times New Roman" w:hAnsi="Times New Roman"/>
        </w:rPr>
        <w:t>(podatku w</w:t>
      </w:r>
      <w:r w:rsidR="0032158F" w:rsidRPr="009F791E">
        <w:rPr>
          <w:rFonts w:ascii="Times New Roman" w:hAnsi="Times New Roman"/>
        </w:rPr>
        <w:t> </w:t>
      </w:r>
      <w:r w:rsidR="002531A7" w:rsidRPr="009F791E">
        <w:rPr>
          <w:rFonts w:ascii="Times New Roman" w:hAnsi="Times New Roman"/>
        </w:rPr>
        <w:t xml:space="preserve">rozumieniu </w:t>
      </w:r>
      <w:r w:rsidR="00A44F2D" w:rsidRPr="009F791E">
        <w:rPr>
          <w:rFonts w:ascii="Times New Roman" w:hAnsi="Times New Roman"/>
        </w:rPr>
        <w:t>ESA2010</w:t>
      </w:r>
      <w:r w:rsidR="002531A7" w:rsidRPr="009F791E">
        <w:rPr>
          <w:rFonts w:ascii="Times New Roman" w:hAnsi="Times New Roman"/>
        </w:rPr>
        <w:t>)</w:t>
      </w:r>
      <w:r w:rsidRPr="009F791E">
        <w:rPr>
          <w:rFonts w:ascii="Times New Roman" w:hAnsi="Times New Roman"/>
        </w:rPr>
        <w:t>, które w obecnym stanie prawnym</w:t>
      </w:r>
      <w:r w:rsidR="00F220AB" w:rsidRPr="009F791E">
        <w:rPr>
          <w:rFonts w:ascii="Times New Roman" w:hAnsi="Times New Roman"/>
        </w:rPr>
        <w:t xml:space="preserve"> mają wpływ na poziom kwoty wydatków SRW (gdyż opłata mocowa uwzględniana jest w działaniach dyskrecjonalnych, o</w:t>
      </w:r>
      <w:r w:rsidR="0032158F" w:rsidRPr="009F791E">
        <w:rPr>
          <w:rFonts w:ascii="Times New Roman" w:hAnsi="Times New Roman"/>
        </w:rPr>
        <w:t> </w:t>
      </w:r>
      <w:r w:rsidR="00F220AB" w:rsidRPr="009F791E">
        <w:rPr>
          <w:rFonts w:ascii="Times New Roman" w:hAnsi="Times New Roman"/>
        </w:rPr>
        <w:t xml:space="preserve">których mowa w art. 112aa ust 1 ustawy o finansach publicznych w obecnym brzmieniu), mimo iż nie jest dochodem jednostki objętej SRW. </w:t>
      </w:r>
    </w:p>
    <w:p w14:paraId="148DF263" w14:textId="69FAF434" w:rsidR="00F220AB" w:rsidRPr="009F791E" w:rsidRDefault="00F220AB" w:rsidP="009F791E">
      <w:pPr>
        <w:spacing w:before="120" w:line="360" w:lineRule="auto"/>
        <w:jc w:val="both"/>
        <w:rPr>
          <w:rFonts w:ascii="Times New Roman" w:hAnsi="Times New Roman"/>
        </w:rPr>
      </w:pPr>
      <w:r w:rsidRPr="009F791E">
        <w:rPr>
          <w:rFonts w:ascii="Times New Roman" w:hAnsi="Times New Roman"/>
        </w:rPr>
        <w:t>W związku ze zmianą definicji parametru E</w:t>
      </w:r>
      <w:r w:rsidRPr="009F791E">
        <w:rPr>
          <w:rFonts w:ascii="Times New Roman" w:hAnsi="Times New Roman"/>
          <w:vertAlign w:val="subscript"/>
        </w:rPr>
        <w:t>n</w:t>
      </w:r>
      <w:r w:rsidRPr="009F791E">
        <w:rPr>
          <w:rFonts w:ascii="Times New Roman" w:hAnsi="Times New Roman"/>
        </w:rPr>
        <w:t>(ΔDD</w:t>
      </w:r>
      <w:r w:rsidRPr="009F791E">
        <w:rPr>
          <w:rFonts w:ascii="Times New Roman" w:hAnsi="Times New Roman"/>
          <w:vertAlign w:val="subscript"/>
        </w:rPr>
        <w:t>n</w:t>
      </w:r>
      <w:r w:rsidRPr="009F791E">
        <w:rPr>
          <w:rFonts w:ascii="Times New Roman" w:hAnsi="Times New Roman"/>
        </w:rPr>
        <w:t>) oraz ustaleniem nowej kwoty startowej dla ustaleni</w:t>
      </w:r>
      <w:r w:rsidR="00B21D42" w:rsidRPr="009F791E">
        <w:rPr>
          <w:rFonts w:ascii="Times New Roman" w:hAnsi="Times New Roman"/>
        </w:rPr>
        <w:t>a</w:t>
      </w:r>
      <w:r w:rsidRPr="009F791E">
        <w:rPr>
          <w:rFonts w:ascii="Times New Roman" w:hAnsi="Times New Roman"/>
        </w:rPr>
        <w:t xml:space="preserve"> kwoty wydatków SRW w projekcie ustawy budżetowej na rok 2025 (WYD</w:t>
      </w:r>
      <w:r w:rsidRPr="009F791E">
        <w:rPr>
          <w:rFonts w:ascii="Times New Roman" w:hAnsi="Times New Roman"/>
          <w:vertAlign w:val="subscript"/>
        </w:rPr>
        <w:t>2024</w:t>
      </w:r>
      <w:r w:rsidRPr="009F791E">
        <w:rPr>
          <w:rFonts w:ascii="Times New Roman" w:hAnsi="Times New Roman"/>
        </w:rPr>
        <w:t>) w</w:t>
      </w:r>
      <w:r w:rsidR="0032158F" w:rsidRPr="009F791E">
        <w:rPr>
          <w:rFonts w:ascii="Times New Roman" w:hAnsi="Times New Roman"/>
        </w:rPr>
        <w:t xml:space="preserve"> </w:t>
      </w:r>
      <w:r w:rsidRPr="009F791E">
        <w:rPr>
          <w:rFonts w:ascii="Times New Roman" w:hAnsi="Times New Roman"/>
        </w:rPr>
        <w:lastRenderedPageBreak/>
        <w:t>projekcie ustawy budżetowej na rok 2025 i lat</w:t>
      </w:r>
      <w:r w:rsidR="00B21D42" w:rsidRPr="009F791E">
        <w:rPr>
          <w:rFonts w:ascii="Times New Roman" w:hAnsi="Times New Roman"/>
        </w:rPr>
        <w:t>a</w:t>
      </w:r>
      <w:r w:rsidRPr="009F791E">
        <w:rPr>
          <w:rFonts w:ascii="Times New Roman" w:hAnsi="Times New Roman"/>
        </w:rPr>
        <w:t xml:space="preserve"> kolejne w parametrze En(ΔDDn) będą uwzględniane wyłącznie działania dyskrecjonalne zgodnie z definicją zawartą w art.112aa ustawy o finansach publicznych</w:t>
      </w:r>
      <w:r w:rsidR="00D8021C" w:rsidRPr="009F791E">
        <w:rPr>
          <w:rFonts w:ascii="Times New Roman" w:hAnsi="Times New Roman"/>
        </w:rPr>
        <w:t xml:space="preserve"> (w brzmieniu nadanym niniejszym projektem)</w:t>
      </w:r>
      <w:r w:rsidRPr="009F791E">
        <w:rPr>
          <w:rFonts w:ascii="Times New Roman" w:hAnsi="Times New Roman"/>
        </w:rPr>
        <w:t xml:space="preserve">, które mają skutki finansowe w wysokości powyżej 0,03% PKB w roku 2025 lub później. </w:t>
      </w:r>
      <w:r w:rsidR="00B21D42" w:rsidRPr="009F791E">
        <w:rPr>
          <w:rFonts w:ascii="Times New Roman" w:hAnsi="Times New Roman"/>
        </w:rPr>
        <w:t>Ak</w:t>
      </w:r>
      <w:r w:rsidRPr="009F791E">
        <w:rPr>
          <w:rFonts w:ascii="Times New Roman" w:hAnsi="Times New Roman"/>
        </w:rPr>
        <w:t>tualizacji będą podlegać tylko działania</w:t>
      </w:r>
      <w:r w:rsidR="003E4450">
        <w:rPr>
          <w:rFonts w:ascii="Times New Roman" w:hAnsi="Times New Roman"/>
        </w:rPr>
        <w:t>,</w:t>
      </w:r>
      <w:r w:rsidRPr="009F791E">
        <w:rPr>
          <w:rFonts w:ascii="Times New Roman" w:hAnsi="Times New Roman"/>
        </w:rPr>
        <w:t xml:space="preserve"> które były uwzględnione w kwocie wydatków SRW poprzez </w:t>
      </w:r>
      <w:r w:rsidR="00B21D42" w:rsidRPr="009F791E">
        <w:rPr>
          <w:rFonts w:ascii="Times New Roman" w:hAnsi="Times New Roman"/>
        </w:rPr>
        <w:t>składnik</w:t>
      </w:r>
      <w:r w:rsidR="00B505A1">
        <w:rPr>
          <w:rFonts w:ascii="Times New Roman" w:hAnsi="Times New Roman"/>
        </w:rPr>
        <w:t xml:space="preserve"> </w:t>
      </w:r>
      <w:r w:rsidRPr="009F791E">
        <w:rPr>
          <w:rFonts w:ascii="Times New Roman" w:hAnsi="Times New Roman"/>
        </w:rPr>
        <w:t>E</w:t>
      </w:r>
      <w:r w:rsidRPr="009F791E">
        <w:rPr>
          <w:rFonts w:ascii="Times New Roman" w:hAnsi="Times New Roman"/>
          <w:vertAlign w:val="subscript"/>
        </w:rPr>
        <w:t>n</w:t>
      </w:r>
      <w:r w:rsidRPr="009F791E">
        <w:rPr>
          <w:rFonts w:ascii="Times New Roman" w:hAnsi="Times New Roman"/>
        </w:rPr>
        <w:t>(ΔDD</w:t>
      </w:r>
      <w:r w:rsidRPr="009F791E">
        <w:rPr>
          <w:rFonts w:ascii="Times New Roman" w:hAnsi="Times New Roman"/>
          <w:vertAlign w:val="subscript"/>
        </w:rPr>
        <w:t>n</w:t>
      </w:r>
      <w:r w:rsidRPr="009F791E">
        <w:rPr>
          <w:rFonts w:ascii="Times New Roman" w:hAnsi="Times New Roman"/>
        </w:rPr>
        <w:t xml:space="preserve">) nie wcześniej niż w projekcie ustawy budżetowej na rok 2025. </w:t>
      </w:r>
    </w:p>
    <w:p w14:paraId="6DC2114E" w14:textId="7B3302BF" w:rsidR="00383B9E" w:rsidRPr="009F791E" w:rsidRDefault="009003E1" w:rsidP="009F791E">
      <w:pPr>
        <w:spacing w:before="120" w:line="360" w:lineRule="auto"/>
        <w:jc w:val="both"/>
        <w:rPr>
          <w:rFonts w:ascii="Times New Roman" w:hAnsi="Times New Roman"/>
        </w:rPr>
      </w:pPr>
      <w:r w:rsidRPr="009F791E">
        <w:rPr>
          <w:rFonts w:ascii="Times New Roman" w:hAnsi="Times New Roman"/>
        </w:rPr>
        <w:t xml:space="preserve">Jednocześnie zdecydowano się wprowadzić podobne rozwiązania </w:t>
      </w:r>
      <w:r w:rsidR="00461747" w:rsidRPr="009F791E">
        <w:rPr>
          <w:rFonts w:ascii="Times New Roman" w:hAnsi="Times New Roman"/>
        </w:rPr>
        <w:t>dotyczące</w:t>
      </w:r>
      <w:r w:rsidRPr="009F791E">
        <w:rPr>
          <w:rFonts w:ascii="Times New Roman" w:hAnsi="Times New Roman"/>
        </w:rPr>
        <w:t xml:space="preserve"> zakresu podmiotowego działań jednorazowych i tymczasowych po stronie dochodów mających wpływ na poziom limitu ustalanego w ramach SRW. </w:t>
      </w:r>
      <w:r w:rsidR="00D8021C" w:rsidRPr="009F791E">
        <w:rPr>
          <w:rFonts w:ascii="Times New Roman" w:hAnsi="Times New Roman"/>
        </w:rPr>
        <w:t>Zgodnie z proponowaną zmianą n</w:t>
      </w:r>
      <w:r w:rsidRPr="009F791E">
        <w:rPr>
          <w:rFonts w:ascii="Times New Roman" w:hAnsi="Times New Roman"/>
        </w:rPr>
        <w:t>ie będą to wszystkie działania jednorazowe i tymczasowe po stronie dochodów</w:t>
      </w:r>
      <w:r w:rsidR="00D8021C" w:rsidRPr="009F791E">
        <w:rPr>
          <w:rFonts w:ascii="Times New Roman" w:hAnsi="Times New Roman"/>
        </w:rPr>
        <w:t xml:space="preserve"> (jak obecnie),</w:t>
      </w:r>
      <w:r w:rsidRPr="009F791E">
        <w:rPr>
          <w:rFonts w:ascii="Times New Roman" w:hAnsi="Times New Roman"/>
        </w:rPr>
        <w:t xml:space="preserve"> a jedynie działania</w:t>
      </w:r>
      <w:r w:rsidR="003A7003">
        <w:rPr>
          <w:rFonts w:ascii="Times New Roman" w:hAnsi="Times New Roman"/>
        </w:rPr>
        <w:t>,</w:t>
      </w:r>
      <w:r w:rsidRPr="009F791E">
        <w:rPr>
          <w:rFonts w:ascii="Times New Roman" w:hAnsi="Times New Roman"/>
        </w:rPr>
        <w:t xml:space="preserve"> które wpływają na dochody jednostek i organów objętych SRW.</w:t>
      </w:r>
    </w:p>
    <w:p w14:paraId="446D288B" w14:textId="64234EF8" w:rsidR="00975F02" w:rsidRPr="009F791E" w:rsidRDefault="00975F02" w:rsidP="009F791E">
      <w:pPr>
        <w:pStyle w:val="Nagwek3"/>
        <w:spacing w:line="360" w:lineRule="auto"/>
        <w:rPr>
          <w:rStyle w:val="Wyrnieniedelikatne"/>
          <w:rFonts w:ascii="Times New Roman" w:hAnsi="Times New Roman" w:cs="Times New Roman"/>
          <w:b/>
        </w:rPr>
      </w:pPr>
      <w:r w:rsidRPr="009F791E">
        <w:rPr>
          <w:rStyle w:val="Wyrnieniedelikatne"/>
          <w:rFonts w:ascii="Times New Roman" w:hAnsi="Times New Roman" w:cs="Times New Roman"/>
          <w:b/>
        </w:rPr>
        <w:t>Zmiany transakcyjne</w:t>
      </w:r>
    </w:p>
    <w:p w14:paraId="65EC8040" w14:textId="2E99C43E" w:rsidR="00B458B5" w:rsidRPr="009F791E" w:rsidRDefault="00B458B5" w:rsidP="009F791E">
      <w:pPr>
        <w:pStyle w:val="Nagwek4"/>
        <w:spacing w:line="360" w:lineRule="auto"/>
        <w:rPr>
          <w:rFonts w:ascii="Times New Roman" w:hAnsi="Times New Roman" w:cs="Times New Roman"/>
          <w:b/>
          <w:bCs/>
          <w:color w:val="auto"/>
        </w:rPr>
      </w:pPr>
      <w:r w:rsidRPr="009F791E">
        <w:rPr>
          <w:rFonts w:ascii="Times New Roman" w:hAnsi="Times New Roman" w:cs="Times New Roman"/>
          <w:b/>
          <w:bCs/>
          <w:color w:val="auto"/>
        </w:rPr>
        <w:t>Wyłączenie współfinansowania z SRW</w:t>
      </w:r>
    </w:p>
    <w:p w14:paraId="406F2B34" w14:textId="6569E4BC" w:rsidR="00F04E5E" w:rsidRPr="009F791E" w:rsidRDefault="00975F02" w:rsidP="009F791E">
      <w:pPr>
        <w:spacing w:before="120" w:line="360" w:lineRule="auto"/>
        <w:jc w:val="both"/>
        <w:rPr>
          <w:rFonts w:ascii="Times New Roman" w:hAnsi="Times New Roman"/>
        </w:rPr>
      </w:pPr>
      <w:r w:rsidRPr="009F791E">
        <w:rPr>
          <w:rFonts w:ascii="Times New Roman" w:hAnsi="Times New Roman"/>
        </w:rPr>
        <w:t>W</w:t>
      </w:r>
      <w:r w:rsidR="00C733CA" w:rsidRPr="009F791E">
        <w:rPr>
          <w:rFonts w:ascii="Times New Roman" w:hAnsi="Times New Roman"/>
        </w:rPr>
        <w:t>edłu</w:t>
      </w:r>
      <w:r w:rsidRPr="009F791E">
        <w:rPr>
          <w:rFonts w:ascii="Times New Roman" w:hAnsi="Times New Roman"/>
        </w:rPr>
        <w:t>g obowiązujących regulacji kwotą wydatków SRW nie są objęte wydatki budżetu środków europejskich oraz wydatków finansowanych ze środków, o których mowa w art. 5 ust.</w:t>
      </w:r>
      <w:r w:rsidR="00C733CA" w:rsidRPr="009F791E">
        <w:rPr>
          <w:rFonts w:ascii="Times New Roman" w:hAnsi="Times New Roman"/>
        </w:rPr>
        <w:t> </w:t>
      </w:r>
      <w:r w:rsidRPr="009F791E">
        <w:rPr>
          <w:rFonts w:ascii="Times New Roman" w:hAnsi="Times New Roman"/>
        </w:rPr>
        <w:t>1 pkt 2 ustawy o finansach publicznych, tj. środki pochodzące z budżetu Unii Europejskiej oraz niepodlegające zwrotowi środki z pomocy udzielanej przez państwa członkowskie Europejskiego Porozumienia o Wolnym Handlu (EFTA).</w:t>
      </w:r>
    </w:p>
    <w:p w14:paraId="1B90006D" w14:textId="2B8C1AC8" w:rsidR="00975F02" w:rsidRPr="009F791E" w:rsidRDefault="00975F02" w:rsidP="009F791E">
      <w:pPr>
        <w:spacing w:before="120" w:line="360" w:lineRule="auto"/>
        <w:jc w:val="both"/>
        <w:rPr>
          <w:rFonts w:ascii="Times New Roman" w:hAnsi="Times New Roman"/>
        </w:rPr>
      </w:pPr>
      <w:r w:rsidRPr="009F791E">
        <w:rPr>
          <w:rFonts w:ascii="Times New Roman" w:hAnsi="Times New Roman"/>
        </w:rPr>
        <w:t xml:space="preserve">Wydatki </w:t>
      </w:r>
      <w:r w:rsidR="0011427C" w:rsidRPr="009F791E">
        <w:rPr>
          <w:rFonts w:ascii="Times New Roman" w:hAnsi="Times New Roman"/>
        </w:rPr>
        <w:t>finansowane</w:t>
      </w:r>
      <w:r w:rsidRPr="009F791E">
        <w:rPr>
          <w:rFonts w:ascii="Times New Roman" w:hAnsi="Times New Roman"/>
        </w:rPr>
        <w:t xml:space="preserve"> z tych środków, w związku z konwencją </w:t>
      </w:r>
      <w:r w:rsidR="0011427C" w:rsidRPr="009F791E">
        <w:rPr>
          <w:rFonts w:ascii="Times New Roman" w:hAnsi="Times New Roman"/>
        </w:rPr>
        <w:t>obowiązującą</w:t>
      </w:r>
      <w:r w:rsidRPr="009F791E">
        <w:rPr>
          <w:rFonts w:ascii="Times New Roman" w:hAnsi="Times New Roman"/>
        </w:rPr>
        <w:t xml:space="preserve"> przy opracowywaniu statystyk w</w:t>
      </w:r>
      <w:r w:rsidR="00C733CA" w:rsidRPr="009F791E">
        <w:rPr>
          <w:rFonts w:ascii="Times New Roman" w:hAnsi="Times New Roman"/>
        </w:rPr>
        <w:t>edłu</w:t>
      </w:r>
      <w:r w:rsidRPr="009F791E">
        <w:rPr>
          <w:rFonts w:ascii="Times New Roman" w:hAnsi="Times New Roman"/>
        </w:rPr>
        <w:t>g metodyki unijnej (ESA 2010)</w:t>
      </w:r>
      <w:r w:rsidR="00461747" w:rsidRPr="009F791E">
        <w:rPr>
          <w:rFonts w:ascii="Times New Roman" w:hAnsi="Times New Roman"/>
        </w:rPr>
        <w:t>,</w:t>
      </w:r>
      <w:r w:rsidRPr="009F791E">
        <w:rPr>
          <w:rFonts w:ascii="Times New Roman" w:hAnsi="Times New Roman"/>
        </w:rPr>
        <w:t xml:space="preserve"> </w:t>
      </w:r>
      <w:r w:rsidR="0011427C" w:rsidRPr="009F791E">
        <w:rPr>
          <w:rFonts w:ascii="Times New Roman" w:hAnsi="Times New Roman"/>
        </w:rPr>
        <w:t xml:space="preserve">są neutralne dla wyniku sektora finansów publicznych (metodyka ESA2010). </w:t>
      </w:r>
    </w:p>
    <w:p w14:paraId="4BE0047E" w14:textId="45590243" w:rsidR="0011427C" w:rsidRPr="009F791E" w:rsidRDefault="00C733CA" w:rsidP="009F791E">
      <w:pPr>
        <w:spacing w:before="120" w:line="360" w:lineRule="auto"/>
        <w:jc w:val="both"/>
        <w:rPr>
          <w:rFonts w:ascii="Times New Roman" w:hAnsi="Times New Roman"/>
        </w:rPr>
      </w:pPr>
      <w:r w:rsidRPr="009F791E">
        <w:rPr>
          <w:rFonts w:ascii="Times New Roman" w:hAnsi="Times New Roman"/>
        </w:rPr>
        <w:t xml:space="preserve">W dniu </w:t>
      </w:r>
      <w:r w:rsidR="0011427C" w:rsidRPr="009F791E">
        <w:rPr>
          <w:rFonts w:ascii="Times New Roman" w:hAnsi="Times New Roman"/>
        </w:rPr>
        <w:t xml:space="preserve">30 kwietnia br. weszło w życie rozporządzenie Parlamentu Europejskiego i Rady (UE) 2024/1263 z dnia 29 kwietnia 2024 r. w sprawie skutecznej koordynacji polityk gospodarczych i w sprawie wielostronnego nadzoru budżetowego oraz uchylające rozporządzenie Rady (WE) nr 1466/97. W motywie 13 tego rozporządzenia wskazano „Aby uprościć unijne ramy budżetowe i poprawić przejrzystość, jednolity wskaźnik operacyjny oparty na stabilności długu powinien służyć jako podstawa ustalania ścieżki wydatków i prowadzenia rocznego nadzoru finansów publicznych dla każdego państwa członkowskiego. Ten jednolity wskaźnik operacyjny powinien opierać się na wydatkach pierwotnych netto finansowanych ze środków krajowych, tj.: na wydatkach publicznych po skorygowaniu o wydatki z tytułu kosztów obsługi długu, działania dyskrecjonalne po stronie dochodów, wydatki na programy unijne w pełni kompensowane dochodami z funduszy unijnych, krajowe wydatki na współfinansowanie </w:t>
      </w:r>
      <w:r w:rsidR="0011427C" w:rsidRPr="009F791E">
        <w:rPr>
          <w:rFonts w:ascii="Times New Roman" w:hAnsi="Times New Roman"/>
        </w:rPr>
        <w:lastRenderedPageBreak/>
        <w:t>programów finansowanych przez Unię oraz elementy cykliczne wydatków na zasiłki dla bezrobotnych.”.</w:t>
      </w:r>
    </w:p>
    <w:p w14:paraId="14451792" w14:textId="05CA5497" w:rsidR="00F36413" w:rsidRPr="009F791E" w:rsidRDefault="0011427C" w:rsidP="009F791E">
      <w:pPr>
        <w:spacing w:before="120" w:line="360" w:lineRule="auto"/>
        <w:jc w:val="both"/>
        <w:rPr>
          <w:rFonts w:ascii="Times New Roman" w:hAnsi="Times New Roman"/>
        </w:rPr>
      </w:pPr>
      <w:r w:rsidRPr="009F791E">
        <w:rPr>
          <w:rFonts w:ascii="Times New Roman" w:hAnsi="Times New Roman"/>
        </w:rPr>
        <w:t>Zgodnie z nowymi regulacjami UE, państwa członkowskie będą opracowywać plany średniookresowe. Najważniejszym elementem tych planów będą ścieżki wydatków netto, których celem będzie zapewnienie bezpieczeństwa finansów publicznych, tj. ograniczenie w</w:t>
      </w:r>
      <w:r w:rsidR="00C733CA" w:rsidRPr="009F791E">
        <w:rPr>
          <w:rFonts w:ascii="Times New Roman" w:hAnsi="Times New Roman"/>
        </w:rPr>
        <w:t> </w:t>
      </w:r>
      <w:r w:rsidRPr="009F791E">
        <w:rPr>
          <w:rFonts w:ascii="Times New Roman" w:hAnsi="Times New Roman"/>
        </w:rPr>
        <w:t xml:space="preserve">określonym horyzoncie deficytu do poziomu poniżej 3% PKB i odpowiednią redukcję długu lub utrzymanie deficytu i długu poniżej wartości referencyjnych (odpowiednio 3% dla deficytu i 60% PKB dla długu). Tempo to będzie wiążące dla </w:t>
      </w:r>
      <w:r w:rsidR="00513E8B" w:rsidRPr="009F791E">
        <w:rPr>
          <w:rFonts w:ascii="Times New Roman" w:hAnsi="Times New Roman"/>
        </w:rPr>
        <w:t>wydatków sektora</w:t>
      </w:r>
      <w:r w:rsidR="00C76927" w:rsidRPr="009F791E">
        <w:rPr>
          <w:rFonts w:ascii="Times New Roman" w:hAnsi="Times New Roman"/>
        </w:rPr>
        <w:t xml:space="preserve"> instytucji rządowych i samorządowych</w:t>
      </w:r>
      <w:r w:rsidR="00CF5867" w:rsidRPr="009F791E">
        <w:rPr>
          <w:rFonts w:ascii="Times New Roman" w:hAnsi="Times New Roman"/>
        </w:rPr>
        <w:t xml:space="preserve"> </w:t>
      </w:r>
      <w:r w:rsidR="00513E8B" w:rsidRPr="009F791E">
        <w:rPr>
          <w:rFonts w:ascii="Times New Roman" w:hAnsi="Times New Roman"/>
        </w:rPr>
        <w:t>w okresie planu budżetowo-strukturalnego</w:t>
      </w:r>
      <w:r w:rsidRPr="009F791E">
        <w:rPr>
          <w:rFonts w:ascii="Times New Roman" w:hAnsi="Times New Roman"/>
        </w:rPr>
        <w:t>.</w:t>
      </w:r>
    </w:p>
    <w:p w14:paraId="6A263DCE" w14:textId="094BFE31" w:rsidR="0011427C" w:rsidRPr="009F791E" w:rsidRDefault="0011427C" w:rsidP="009F791E">
      <w:pPr>
        <w:spacing w:before="120" w:line="360" w:lineRule="auto"/>
        <w:jc w:val="both"/>
        <w:rPr>
          <w:rFonts w:ascii="Times New Roman" w:hAnsi="Times New Roman"/>
        </w:rPr>
      </w:pPr>
      <w:r w:rsidRPr="009F791E">
        <w:rPr>
          <w:rFonts w:ascii="Times New Roman" w:hAnsi="Times New Roman"/>
        </w:rPr>
        <w:t>Mając powyższe na uwadze</w:t>
      </w:r>
      <w:r w:rsidR="003A7003">
        <w:rPr>
          <w:rFonts w:ascii="Times New Roman" w:hAnsi="Times New Roman"/>
        </w:rPr>
        <w:t>,</w:t>
      </w:r>
      <w:r w:rsidRPr="009F791E">
        <w:rPr>
          <w:rFonts w:ascii="Times New Roman" w:hAnsi="Times New Roman"/>
        </w:rPr>
        <w:t xml:space="preserve"> zdecydowano się rozszerzyć katalog przedmiotowy wydatków</w:t>
      </w:r>
      <w:r w:rsidR="005844F9" w:rsidRPr="009F791E">
        <w:rPr>
          <w:rFonts w:ascii="Times New Roman" w:hAnsi="Times New Roman"/>
        </w:rPr>
        <w:t>,</w:t>
      </w:r>
      <w:r w:rsidRPr="009F791E">
        <w:rPr>
          <w:rFonts w:ascii="Times New Roman" w:hAnsi="Times New Roman"/>
        </w:rPr>
        <w:t xml:space="preserve"> które nie są wliczane do wydatków jednostek objętych SRW przy ustalaniu kwoty wydatków objętych SRW</w:t>
      </w:r>
      <w:r w:rsidR="005844F9" w:rsidRPr="009F791E">
        <w:rPr>
          <w:rFonts w:ascii="Times New Roman" w:hAnsi="Times New Roman"/>
        </w:rPr>
        <w:t>,</w:t>
      </w:r>
      <w:r w:rsidR="00811576" w:rsidRPr="009F791E">
        <w:rPr>
          <w:rFonts w:ascii="Times New Roman" w:hAnsi="Times New Roman"/>
        </w:rPr>
        <w:t xml:space="preserve"> o wydatki na współfinansowanie projektów finansowanych ze środków bezzwrotnej pomocy UE.</w:t>
      </w:r>
      <w:r w:rsidR="00974D42" w:rsidRPr="009F791E">
        <w:rPr>
          <w:rFonts w:ascii="Times New Roman" w:hAnsi="Times New Roman"/>
        </w:rPr>
        <w:t xml:space="preserve"> Dodatkowo</w:t>
      </w:r>
      <w:r w:rsidR="006320F4" w:rsidRPr="009F791E">
        <w:rPr>
          <w:rFonts w:ascii="Times New Roman" w:hAnsi="Times New Roman"/>
        </w:rPr>
        <w:t xml:space="preserve"> doprecyzowano, że do wydatków SRW nie wlicza się </w:t>
      </w:r>
      <w:r w:rsidR="00974D42" w:rsidRPr="009F791E">
        <w:rPr>
          <w:rFonts w:ascii="Times New Roman" w:hAnsi="Times New Roman"/>
        </w:rPr>
        <w:t>spłat wartości nominalnych instrumentów dłużnych, w szczególności kredytów, pożyczek oraz dłużnych papierów wartościowych</w:t>
      </w:r>
      <w:r w:rsidR="006320F4" w:rsidRPr="009F791E">
        <w:rPr>
          <w:rFonts w:ascii="Times New Roman" w:hAnsi="Times New Roman"/>
        </w:rPr>
        <w:t>, stanowiących rozchody zgodnie z art. 6 ustawy o finansach publicznych</w:t>
      </w:r>
      <w:r w:rsidR="00974D42" w:rsidRPr="009F791E">
        <w:rPr>
          <w:rFonts w:ascii="Times New Roman" w:hAnsi="Times New Roman"/>
        </w:rPr>
        <w:t>.</w:t>
      </w:r>
    </w:p>
    <w:p w14:paraId="26541722" w14:textId="6DF7D8E4" w:rsidR="00811576" w:rsidRPr="009F791E" w:rsidRDefault="00811576" w:rsidP="009F791E">
      <w:pPr>
        <w:spacing w:before="120" w:line="360" w:lineRule="auto"/>
        <w:jc w:val="both"/>
        <w:rPr>
          <w:rFonts w:ascii="Times New Roman" w:hAnsi="Times New Roman"/>
        </w:rPr>
      </w:pPr>
      <w:r w:rsidRPr="009F791E">
        <w:rPr>
          <w:rFonts w:ascii="Times New Roman" w:hAnsi="Times New Roman"/>
        </w:rPr>
        <w:t xml:space="preserve">Oznacza to, że </w:t>
      </w:r>
      <w:r w:rsidR="006320F4" w:rsidRPr="009F791E">
        <w:rPr>
          <w:rFonts w:ascii="Times New Roman" w:hAnsi="Times New Roman"/>
        </w:rPr>
        <w:t xml:space="preserve">do wydatków </w:t>
      </w:r>
      <w:r w:rsidRPr="009F791E">
        <w:rPr>
          <w:rFonts w:ascii="Times New Roman" w:hAnsi="Times New Roman"/>
        </w:rPr>
        <w:t xml:space="preserve">SRW nie będą </w:t>
      </w:r>
      <w:r w:rsidR="006320F4" w:rsidRPr="009F791E">
        <w:rPr>
          <w:rFonts w:ascii="Times New Roman" w:hAnsi="Times New Roman"/>
        </w:rPr>
        <w:t>wliczane</w:t>
      </w:r>
      <w:r w:rsidRPr="009F791E">
        <w:rPr>
          <w:rFonts w:ascii="Times New Roman" w:hAnsi="Times New Roman"/>
        </w:rPr>
        <w:t>:</w:t>
      </w:r>
    </w:p>
    <w:p w14:paraId="03083D16" w14:textId="7E68EF07" w:rsidR="00811576" w:rsidRPr="009F791E" w:rsidRDefault="000B7CD3" w:rsidP="009F791E">
      <w:pPr>
        <w:pStyle w:val="Akapitzlist"/>
        <w:numPr>
          <w:ilvl w:val="0"/>
          <w:numId w:val="36"/>
        </w:numPr>
        <w:spacing w:before="120" w:line="360" w:lineRule="auto"/>
        <w:jc w:val="both"/>
        <w:rPr>
          <w:rFonts w:ascii="Times New Roman" w:hAnsi="Times New Roman"/>
        </w:rPr>
      </w:pPr>
      <w:r w:rsidRPr="009F791E">
        <w:rPr>
          <w:rFonts w:ascii="Times New Roman" w:hAnsi="Times New Roman"/>
        </w:rPr>
        <w:t xml:space="preserve">wydatki </w:t>
      </w:r>
      <w:r w:rsidR="00811576" w:rsidRPr="009F791E">
        <w:rPr>
          <w:rFonts w:ascii="Times New Roman" w:hAnsi="Times New Roman"/>
        </w:rPr>
        <w:t>budżetu środków europejskich,</w:t>
      </w:r>
    </w:p>
    <w:p w14:paraId="6E1C1E46" w14:textId="7EB383C9" w:rsidR="00811576" w:rsidRPr="009F791E" w:rsidRDefault="000B7CD3" w:rsidP="009F791E">
      <w:pPr>
        <w:pStyle w:val="Akapitzlist"/>
        <w:numPr>
          <w:ilvl w:val="0"/>
          <w:numId w:val="36"/>
        </w:numPr>
        <w:spacing w:before="120" w:line="360" w:lineRule="auto"/>
        <w:jc w:val="both"/>
        <w:rPr>
          <w:rFonts w:ascii="Times New Roman" w:hAnsi="Times New Roman"/>
        </w:rPr>
      </w:pPr>
      <w:r w:rsidRPr="009F791E">
        <w:rPr>
          <w:rFonts w:ascii="Times New Roman" w:hAnsi="Times New Roman"/>
        </w:rPr>
        <w:t xml:space="preserve">wydatki </w:t>
      </w:r>
      <w:r w:rsidR="00811576" w:rsidRPr="009F791E">
        <w:rPr>
          <w:rFonts w:ascii="Times New Roman" w:hAnsi="Times New Roman"/>
        </w:rPr>
        <w:t>na realizację programów finansowanych z udziałem środków, o których mowa w art. 5 ust. 3 pkt 1 i 3</w:t>
      </w:r>
      <w:r w:rsidR="00B505A1">
        <w:rPr>
          <w:rFonts w:ascii="Times New Roman" w:hAnsi="Times New Roman"/>
        </w:rPr>
        <w:t>–</w:t>
      </w:r>
      <w:r w:rsidR="00811576" w:rsidRPr="009F791E">
        <w:rPr>
          <w:rFonts w:ascii="Times New Roman" w:hAnsi="Times New Roman"/>
        </w:rPr>
        <w:t>6 ustawy o finansach publicznych,</w:t>
      </w:r>
    </w:p>
    <w:p w14:paraId="47C266DB" w14:textId="7CDE5FBA" w:rsidR="00811576" w:rsidRPr="009F791E" w:rsidRDefault="000B7CD3" w:rsidP="009F791E">
      <w:pPr>
        <w:pStyle w:val="Akapitzlist"/>
        <w:numPr>
          <w:ilvl w:val="0"/>
          <w:numId w:val="36"/>
        </w:numPr>
        <w:spacing w:before="120" w:line="360" w:lineRule="auto"/>
        <w:jc w:val="both"/>
        <w:rPr>
          <w:rFonts w:ascii="Times New Roman" w:hAnsi="Times New Roman"/>
        </w:rPr>
      </w:pPr>
      <w:r w:rsidRPr="009F791E">
        <w:rPr>
          <w:rFonts w:ascii="Times New Roman" w:hAnsi="Times New Roman"/>
        </w:rPr>
        <w:t xml:space="preserve">wydatki na realizację programów </w:t>
      </w:r>
      <w:r w:rsidR="00811576" w:rsidRPr="009F791E">
        <w:rPr>
          <w:rFonts w:ascii="Times New Roman" w:hAnsi="Times New Roman"/>
        </w:rPr>
        <w:t xml:space="preserve">finansowanych ze środków, o których mowa w art. 5 ust. 3 pkt 2 ustawy o finansach publicznych, </w:t>
      </w:r>
    </w:p>
    <w:p w14:paraId="1062B7DD" w14:textId="59266B6C" w:rsidR="00811576" w:rsidRPr="009F791E" w:rsidRDefault="005A2F14" w:rsidP="009F791E">
      <w:pPr>
        <w:pStyle w:val="Akapitzlist"/>
        <w:numPr>
          <w:ilvl w:val="0"/>
          <w:numId w:val="36"/>
        </w:numPr>
        <w:spacing w:before="120" w:line="360" w:lineRule="auto"/>
        <w:jc w:val="both"/>
        <w:rPr>
          <w:rFonts w:ascii="Times New Roman" w:hAnsi="Times New Roman"/>
        </w:rPr>
      </w:pPr>
      <w:r w:rsidRPr="009F791E">
        <w:rPr>
          <w:rFonts w:ascii="Times New Roman" w:hAnsi="Times New Roman"/>
        </w:rPr>
        <w:t xml:space="preserve">wydatki </w:t>
      </w:r>
      <w:r w:rsidR="00811576" w:rsidRPr="009F791E">
        <w:rPr>
          <w:rFonts w:ascii="Times New Roman" w:hAnsi="Times New Roman"/>
        </w:rPr>
        <w:t>na realizację planu rozwojowego, o którym mowa w art. 5 pkt 7aa ustawy o zasadach prowadzenia polityki rozwoju</w:t>
      </w:r>
      <w:r w:rsidR="003A7003">
        <w:rPr>
          <w:rFonts w:ascii="Times New Roman" w:hAnsi="Times New Roman"/>
        </w:rPr>
        <w:t>,</w:t>
      </w:r>
      <w:r w:rsidR="00811576" w:rsidRPr="009F791E">
        <w:rPr>
          <w:rFonts w:ascii="Times New Roman" w:hAnsi="Times New Roman"/>
        </w:rPr>
        <w:t xml:space="preserve"> w zakresie objętym finansowaniem ze środków, o których mowa w art. 5 ust. 3 pkt 5d ustawy o finansach publicznych</w:t>
      </w:r>
      <w:r w:rsidR="00974D42" w:rsidRPr="009F791E">
        <w:rPr>
          <w:rFonts w:ascii="Times New Roman" w:hAnsi="Times New Roman"/>
        </w:rPr>
        <w:t>,</w:t>
      </w:r>
    </w:p>
    <w:p w14:paraId="56126D30" w14:textId="0F25E1EC" w:rsidR="00974D42" w:rsidRPr="009F791E" w:rsidRDefault="00974D42" w:rsidP="009F791E">
      <w:pPr>
        <w:pStyle w:val="Akapitzlist"/>
        <w:numPr>
          <w:ilvl w:val="0"/>
          <w:numId w:val="36"/>
        </w:numPr>
        <w:spacing w:before="120" w:line="360" w:lineRule="auto"/>
        <w:jc w:val="both"/>
        <w:rPr>
          <w:rFonts w:ascii="Times New Roman" w:hAnsi="Times New Roman"/>
        </w:rPr>
      </w:pPr>
      <w:r w:rsidRPr="009F791E">
        <w:rPr>
          <w:rFonts w:ascii="Times New Roman" w:hAnsi="Times New Roman"/>
        </w:rPr>
        <w:t>przepływ</w:t>
      </w:r>
      <w:r w:rsidR="005A2F14" w:rsidRPr="009F791E">
        <w:rPr>
          <w:rFonts w:ascii="Times New Roman" w:hAnsi="Times New Roman"/>
        </w:rPr>
        <w:t>y</w:t>
      </w:r>
      <w:r w:rsidRPr="009F791E">
        <w:rPr>
          <w:rFonts w:ascii="Times New Roman" w:hAnsi="Times New Roman"/>
        </w:rPr>
        <w:t xml:space="preserve"> finansow</w:t>
      </w:r>
      <w:r w:rsidR="005A2F14" w:rsidRPr="009F791E">
        <w:rPr>
          <w:rFonts w:ascii="Times New Roman" w:hAnsi="Times New Roman"/>
        </w:rPr>
        <w:t>e</w:t>
      </w:r>
      <w:r w:rsidRPr="009F791E">
        <w:rPr>
          <w:rFonts w:ascii="Times New Roman" w:hAnsi="Times New Roman"/>
        </w:rPr>
        <w:t xml:space="preserve"> między organami i jednostkami, o których mowa w ust. 1, z tytułu dotacji i subwencji, </w:t>
      </w:r>
    </w:p>
    <w:p w14:paraId="1BF3A661" w14:textId="3B58C8E4" w:rsidR="00974D42" w:rsidRPr="009F791E" w:rsidRDefault="00974D42" w:rsidP="009F791E">
      <w:pPr>
        <w:pStyle w:val="Akapitzlist"/>
        <w:numPr>
          <w:ilvl w:val="0"/>
          <w:numId w:val="36"/>
        </w:numPr>
        <w:spacing w:before="120" w:line="360" w:lineRule="auto"/>
        <w:jc w:val="both"/>
        <w:rPr>
          <w:rFonts w:ascii="Times New Roman" w:hAnsi="Times New Roman"/>
        </w:rPr>
      </w:pPr>
      <w:r w:rsidRPr="009F791E">
        <w:rPr>
          <w:rFonts w:ascii="Times New Roman" w:hAnsi="Times New Roman"/>
        </w:rPr>
        <w:t>przepływ</w:t>
      </w:r>
      <w:r w:rsidR="005A2F14" w:rsidRPr="009F791E">
        <w:rPr>
          <w:rFonts w:ascii="Times New Roman" w:hAnsi="Times New Roman"/>
        </w:rPr>
        <w:t>y</w:t>
      </w:r>
      <w:r w:rsidRPr="009F791E">
        <w:rPr>
          <w:rFonts w:ascii="Times New Roman" w:hAnsi="Times New Roman"/>
        </w:rPr>
        <w:t xml:space="preserve"> finansow</w:t>
      </w:r>
      <w:r w:rsidR="005A2F14" w:rsidRPr="009F791E">
        <w:rPr>
          <w:rFonts w:ascii="Times New Roman" w:hAnsi="Times New Roman"/>
        </w:rPr>
        <w:t>e</w:t>
      </w:r>
      <w:r w:rsidRPr="009F791E">
        <w:rPr>
          <w:rFonts w:ascii="Times New Roman" w:hAnsi="Times New Roman"/>
        </w:rPr>
        <w:t xml:space="preserve"> między funduszami zarządzanymi przez Zakład Ubezpieczeń Społecznych oraz Prezesa Kasy Rolniczego Ubezpieczenia Społecznego,</w:t>
      </w:r>
    </w:p>
    <w:p w14:paraId="26683DC4" w14:textId="7E96AB77" w:rsidR="00974D42" w:rsidRPr="009F791E" w:rsidRDefault="00974D42" w:rsidP="009F791E">
      <w:pPr>
        <w:pStyle w:val="Akapitzlist"/>
        <w:numPr>
          <w:ilvl w:val="0"/>
          <w:numId w:val="36"/>
        </w:numPr>
        <w:spacing w:before="120" w:line="360" w:lineRule="auto"/>
        <w:jc w:val="both"/>
        <w:rPr>
          <w:rFonts w:ascii="Times New Roman" w:hAnsi="Times New Roman"/>
        </w:rPr>
      </w:pPr>
      <w:bookmarkStart w:id="0" w:name="_Hlk168513812"/>
      <w:r w:rsidRPr="009F791E">
        <w:rPr>
          <w:rFonts w:ascii="Times New Roman" w:hAnsi="Times New Roman"/>
        </w:rPr>
        <w:t>spłaty wartości nominalnych instrumentów dłużnych, w szczególności kredytów, pożyczek oraz dłużnych papierów wartościowych</w:t>
      </w:r>
      <w:bookmarkEnd w:id="0"/>
      <w:r w:rsidRPr="009F791E">
        <w:rPr>
          <w:rFonts w:ascii="Times New Roman" w:hAnsi="Times New Roman"/>
        </w:rPr>
        <w:t>.</w:t>
      </w:r>
    </w:p>
    <w:p w14:paraId="3EE0A17B" w14:textId="06367C09" w:rsidR="00811576" w:rsidRPr="009F791E" w:rsidRDefault="00811576" w:rsidP="009F791E">
      <w:pPr>
        <w:spacing w:line="360" w:lineRule="auto"/>
        <w:rPr>
          <w:rFonts w:ascii="Times New Roman" w:hAnsi="Times New Roman"/>
        </w:rPr>
      </w:pPr>
    </w:p>
    <w:p w14:paraId="24F71E73" w14:textId="4778E584" w:rsidR="00811576" w:rsidRPr="009F791E" w:rsidRDefault="00B458B5" w:rsidP="009F791E">
      <w:pPr>
        <w:pStyle w:val="Nagwek4"/>
        <w:spacing w:line="360" w:lineRule="auto"/>
        <w:jc w:val="both"/>
        <w:rPr>
          <w:rFonts w:ascii="Times New Roman" w:hAnsi="Times New Roman" w:cs="Times New Roman"/>
          <w:b/>
          <w:bCs/>
          <w:color w:val="auto"/>
        </w:rPr>
      </w:pPr>
      <w:r w:rsidRPr="009F791E">
        <w:rPr>
          <w:rFonts w:ascii="Times New Roman" w:hAnsi="Times New Roman" w:cs="Times New Roman"/>
          <w:b/>
          <w:bCs/>
          <w:color w:val="auto"/>
        </w:rPr>
        <w:lastRenderedPageBreak/>
        <w:t>O</w:t>
      </w:r>
      <w:r w:rsidR="00811576" w:rsidRPr="009F791E">
        <w:rPr>
          <w:rFonts w:ascii="Times New Roman" w:hAnsi="Times New Roman" w:cs="Times New Roman"/>
          <w:b/>
          <w:bCs/>
          <w:color w:val="auto"/>
        </w:rPr>
        <w:t>bjęcie SRW skarbowych papierów wartościowych przekazywanych nieodpłatnie przez jednostki i organy objęte SRW jednostkom sektora instytucji rządowych i samorządowych (zrównanie takiego przekazania z</w:t>
      </w:r>
      <w:r w:rsidR="00B505A1">
        <w:rPr>
          <w:rFonts w:ascii="Times New Roman" w:hAnsi="Times New Roman" w:cs="Times New Roman"/>
          <w:b/>
          <w:bCs/>
          <w:color w:val="auto"/>
        </w:rPr>
        <w:t xml:space="preserve"> </w:t>
      </w:r>
      <w:r w:rsidR="00811576" w:rsidRPr="009F791E">
        <w:rPr>
          <w:rFonts w:ascii="Times New Roman" w:hAnsi="Times New Roman" w:cs="Times New Roman"/>
          <w:b/>
          <w:bCs/>
          <w:color w:val="auto"/>
        </w:rPr>
        <w:t>wydatkiem w ramach SRW)</w:t>
      </w:r>
    </w:p>
    <w:p w14:paraId="76A481BB" w14:textId="06367AF3" w:rsidR="00811576" w:rsidRPr="009F791E" w:rsidRDefault="00811576" w:rsidP="009F791E">
      <w:pPr>
        <w:spacing w:before="120" w:line="360" w:lineRule="auto"/>
        <w:jc w:val="both"/>
        <w:rPr>
          <w:rFonts w:ascii="Times New Roman" w:hAnsi="Times New Roman"/>
        </w:rPr>
      </w:pPr>
      <w:r w:rsidRPr="009F791E">
        <w:rPr>
          <w:rFonts w:ascii="Times New Roman" w:hAnsi="Times New Roman"/>
        </w:rPr>
        <w:t xml:space="preserve">W projekcie ustawy zaproponowano zmianę sposobu traktowania skarbowych papierów wartościowych (spw) przekazywanych nieodpłatnie przez jednostki i organy objęte SRW jednostkom sektora instytucji rządowych i samorządowych na potrzeby ustalenia kwoty wydatków SRW. </w:t>
      </w:r>
      <w:r w:rsidR="002531A7" w:rsidRPr="009F791E">
        <w:rPr>
          <w:rFonts w:ascii="Times New Roman" w:hAnsi="Times New Roman"/>
        </w:rPr>
        <w:t>Przekazywanie spw stosowane często jako ominięcie limitu wydatków</w:t>
      </w:r>
      <w:r w:rsidR="00B505A1">
        <w:rPr>
          <w:rFonts w:ascii="Times New Roman" w:hAnsi="Times New Roman"/>
        </w:rPr>
        <w:t xml:space="preserve"> </w:t>
      </w:r>
      <w:r w:rsidR="002531A7" w:rsidRPr="009F791E">
        <w:rPr>
          <w:rFonts w:ascii="Times New Roman" w:hAnsi="Times New Roman"/>
        </w:rPr>
        <w:t xml:space="preserve">powoduje obniżenie </w:t>
      </w:r>
      <w:r w:rsidRPr="009F791E">
        <w:rPr>
          <w:rFonts w:ascii="Times New Roman" w:hAnsi="Times New Roman"/>
        </w:rPr>
        <w:t>wielkości wydatków budżetu państwa</w:t>
      </w:r>
      <w:r w:rsidR="002531A7" w:rsidRPr="009F791E">
        <w:rPr>
          <w:rFonts w:ascii="Times New Roman" w:hAnsi="Times New Roman"/>
        </w:rPr>
        <w:t xml:space="preserve"> lub wykreowanie przestrzeni na dodatkowe wydatki</w:t>
      </w:r>
      <w:r w:rsidRPr="009F791E">
        <w:rPr>
          <w:rFonts w:ascii="Times New Roman" w:hAnsi="Times New Roman"/>
        </w:rPr>
        <w:t xml:space="preserve">. </w:t>
      </w:r>
    </w:p>
    <w:p w14:paraId="2C0A1AD2" w14:textId="3559CE01" w:rsidR="00E31771" w:rsidRPr="009F791E" w:rsidRDefault="00E31771" w:rsidP="009F791E">
      <w:pPr>
        <w:spacing w:before="120" w:line="360" w:lineRule="auto"/>
        <w:jc w:val="both"/>
        <w:rPr>
          <w:rFonts w:ascii="Times New Roman" w:hAnsi="Times New Roman"/>
        </w:rPr>
      </w:pPr>
      <w:r w:rsidRPr="009F791E">
        <w:rPr>
          <w:rFonts w:ascii="Times New Roman" w:hAnsi="Times New Roman"/>
        </w:rPr>
        <w:t>Z tego powodu zdecydowano się, na potrzeby SRW, zrównać nieodpłatne przekazanie spw przez jednostki i organy objęte SRW jednostkom sektora instytucji rządowych i</w:t>
      </w:r>
      <w:r w:rsidR="00C733CA" w:rsidRPr="009F791E">
        <w:rPr>
          <w:rFonts w:ascii="Times New Roman" w:hAnsi="Times New Roman"/>
        </w:rPr>
        <w:t> </w:t>
      </w:r>
      <w:r w:rsidRPr="009F791E">
        <w:rPr>
          <w:rFonts w:ascii="Times New Roman" w:hAnsi="Times New Roman"/>
        </w:rPr>
        <w:t xml:space="preserve">samorządowych z wydatkiem. Proponowane rozwiązanie nie ma wpływu na sposób ujmowania tego typu operacji w planach finansowych jednostek objętych SRW. </w:t>
      </w:r>
    </w:p>
    <w:p w14:paraId="3A2BAFA3" w14:textId="5140D0F5" w:rsidR="00E31771" w:rsidRPr="009F791E" w:rsidRDefault="00E31771" w:rsidP="009F791E">
      <w:pPr>
        <w:spacing w:before="120" w:line="360" w:lineRule="auto"/>
        <w:jc w:val="both"/>
        <w:rPr>
          <w:rFonts w:ascii="Times New Roman" w:hAnsi="Times New Roman"/>
        </w:rPr>
      </w:pPr>
      <w:r w:rsidRPr="009F791E">
        <w:rPr>
          <w:rFonts w:ascii="Times New Roman" w:hAnsi="Times New Roman"/>
        </w:rPr>
        <w:t>Ustalając wydatki jednostki na potrzeby ustalenia kwoty SRW, z wydatków jednostki (w</w:t>
      </w:r>
      <w:r w:rsidR="00C733CA" w:rsidRPr="009F791E">
        <w:rPr>
          <w:rFonts w:ascii="Times New Roman" w:hAnsi="Times New Roman"/>
        </w:rPr>
        <w:t> </w:t>
      </w:r>
      <w:r w:rsidRPr="009F791E">
        <w:rPr>
          <w:rFonts w:ascii="Times New Roman" w:hAnsi="Times New Roman"/>
        </w:rPr>
        <w:t xml:space="preserve">rozumieniu art. 6 ust. 1 pkt 1 ustawy o finansach publicznych) eliminowane </w:t>
      </w:r>
      <w:r w:rsidR="00B458B5" w:rsidRPr="009F791E">
        <w:rPr>
          <w:rFonts w:ascii="Times New Roman" w:hAnsi="Times New Roman"/>
        </w:rPr>
        <w:t>będą</w:t>
      </w:r>
      <w:r w:rsidRPr="009F791E">
        <w:rPr>
          <w:rFonts w:ascii="Times New Roman" w:hAnsi="Times New Roman"/>
        </w:rPr>
        <w:t xml:space="preserve"> wydatki</w:t>
      </w:r>
      <w:r w:rsidR="003E0EF5" w:rsidRPr="009F791E">
        <w:rPr>
          <w:rFonts w:ascii="Times New Roman" w:hAnsi="Times New Roman"/>
        </w:rPr>
        <w:t>:</w:t>
      </w:r>
      <w:r w:rsidRPr="009F791E">
        <w:rPr>
          <w:rFonts w:ascii="Times New Roman" w:hAnsi="Times New Roman"/>
        </w:rPr>
        <w:t xml:space="preserve"> </w:t>
      </w:r>
    </w:p>
    <w:p w14:paraId="2859FA52" w14:textId="77777777" w:rsidR="00E31771" w:rsidRPr="009F791E" w:rsidRDefault="00E31771" w:rsidP="009F791E">
      <w:pPr>
        <w:pStyle w:val="Akapitzlist"/>
        <w:numPr>
          <w:ilvl w:val="0"/>
          <w:numId w:val="37"/>
        </w:numPr>
        <w:spacing w:before="120" w:line="360" w:lineRule="auto"/>
        <w:jc w:val="both"/>
        <w:rPr>
          <w:rFonts w:ascii="Times New Roman" w:hAnsi="Times New Roman"/>
        </w:rPr>
      </w:pPr>
      <w:r w:rsidRPr="009F791E">
        <w:rPr>
          <w:rFonts w:ascii="Times New Roman" w:hAnsi="Times New Roman"/>
        </w:rPr>
        <w:t>budżetu środków europejskich,</w:t>
      </w:r>
    </w:p>
    <w:p w14:paraId="1EE4DE41" w14:textId="1FAF1E48" w:rsidR="00E31771" w:rsidRPr="009F791E" w:rsidRDefault="00E31771" w:rsidP="009F791E">
      <w:pPr>
        <w:pStyle w:val="Akapitzlist"/>
        <w:numPr>
          <w:ilvl w:val="0"/>
          <w:numId w:val="37"/>
        </w:numPr>
        <w:spacing w:before="120" w:line="360" w:lineRule="auto"/>
        <w:jc w:val="both"/>
        <w:rPr>
          <w:rFonts w:ascii="Times New Roman" w:hAnsi="Times New Roman"/>
        </w:rPr>
      </w:pPr>
      <w:r w:rsidRPr="009F791E">
        <w:rPr>
          <w:rFonts w:ascii="Times New Roman" w:hAnsi="Times New Roman"/>
        </w:rPr>
        <w:t>na realizację programów finansowanych z udziałem środków, o których mowa w art. 5 ust. 3 pkt 1 i 3</w:t>
      </w:r>
      <w:r w:rsidR="00B505A1">
        <w:rPr>
          <w:rFonts w:ascii="Times New Roman" w:hAnsi="Times New Roman"/>
        </w:rPr>
        <w:t>–</w:t>
      </w:r>
      <w:r w:rsidRPr="009F791E">
        <w:rPr>
          <w:rFonts w:ascii="Times New Roman" w:hAnsi="Times New Roman"/>
        </w:rPr>
        <w:t>6 ustawy o finansach publicznych,</w:t>
      </w:r>
    </w:p>
    <w:p w14:paraId="4D2F1B82" w14:textId="0FB49BB5" w:rsidR="00E31771" w:rsidRPr="009F791E" w:rsidRDefault="005A2F14" w:rsidP="009F791E">
      <w:pPr>
        <w:pStyle w:val="Akapitzlist"/>
        <w:numPr>
          <w:ilvl w:val="0"/>
          <w:numId w:val="37"/>
        </w:numPr>
        <w:spacing w:before="120" w:line="360" w:lineRule="auto"/>
        <w:jc w:val="both"/>
        <w:rPr>
          <w:rFonts w:ascii="Times New Roman" w:hAnsi="Times New Roman"/>
        </w:rPr>
      </w:pPr>
      <w:r w:rsidRPr="009F791E">
        <w:rPr>
          <w:rFonts w:ascii="Times New Roman" w:hAnsi="Times New Roman"/>
        </w:rPr>
        <w:t xml:space="preserve">na realizację programów </w:t>
      </w:r>
      <w:r w:rsidR="00E31771" w:rsidRPr="009F791E">
        <w:rPr>
          <w:rFonts w:ascii="Times New Roman" w:hAnsi="Times New Roman"/>
        </w:rPr>
        <w:t>finansowanych ze środków, o których mowa w art. 5 ust. 3 pkt</w:t>
      </w:r>
      <w:r w:rsidR="008B155F">
        <w:rPr>
          <w:rFonts w:ascii="Times New Roman" w:hAnsi="Times New Roman"/>
        </w:rPr>
        <w:t> </w:t>
      </w:r>
      <w:r w:rsidR="00E31771" w:rsidRPr="009F791E">
        <w:rPr>
          <w:rFonts w:ascii="Times New Roman" w:hAnsi="Times New Roman"/>
        </w:rPr>
        <w:t xml:space="preserve">2 ustawy o finansach publicznych, </w:t>
      </w:r>
    </w:p>
    <w:p w14:paraId="233F3766" w14:textId="581FA878" w:rsidR="00E31771" w:rsidRPr="009F791E" w:rsidRDefault="00E31771" w:rsidP="009F791E">
      <w:pPr>
        <w:pStyle w:val="Akapitzlist"/>
        <w:numPr>
          <w:ilvl w:val="0"/>
          <w:numId w:val="37"/>
        </w:numPr>
        <w:spacing w:before="120" w:line="360" w:lineRule="auto"/>
        <w:jc w:val="both"/>
        <w:rPr>
          <w:rFonts w:ascii="Times New Roman" w:hAnsi="Times New Roman"/>
        </w:rPr>
      </w:pPr>
      <w:r w:rsidRPr="009F791E">
        <w:rPr>
          <w:rFonts w:ascii="Times New Roman" w:hAnsi="Times New Roman"/>
        </w:rPr>
        <w:t>na realizację planu rozwojowego, o którym mowa w art. 5 pkt 7aa ustawy o zasadach prowadzenia polityki rozwoju w zakresie objętym finansowaniem ze środków, o których mowa w art. 5 ust. 3 pkt 5d ustawy o finansach publicznych</w:t>
      </w:r>
    </w:p>
    <w:p w14:paraId="7ADFFC92" w14:textId="665AA2F2" w:rsidR="00E31771" w:rsidRPr="009F791E" w:rsidRDefault="00E31771" w:rsidP="009F791E">
      <w:pPr>
        <w:spacing w:before="120" w:line="360" w:lineRule="auto"/>
        <w:jc w:val="both"/>
        <w:rPr>
          <w:rFonts w:ascii="Times New Roman" w:hAnsi="Times New Roman"/>
        </w:rPr>
      </w:pPr>
      <w:r w:rsidRPr="009F791E">
        <w:rPr>
          <w:rFonts w:ascii="Times New Roman" w:hAnsi="Times New Roman"/>
        </w:rPr>
        <w:t>oraz dodawane</w:t>
      </w:r>
      <w:r w:rsidR="00B458B5" w:rsidRPr="009F791E">
        <w:rPr>
          <w:rFonts w:ascii="Times New Roman" w:hAnsi="Times New Roman"/>
        </w:rPr>
        <w:t xml:space="preserve"> będą do nich </w:t>
      </w:r>
      <w:r w:rsidR="00F943D1" w:rsidRPr="009F791E">
        <w:rPr>
          <w:rFonts w:ascii="Times New Roman" w:hAnsi="Times New Roman"/>
        </w:rPr>
        <w:t>w</w:t>
      </w:r>
      <w:r w:rsidR="00C733CA" w:rsidRPr="009F791E">
        <w:rPr>
          <w:rFonts w:ascii="Times New Roman" w:hAnsi="Times New Roman"/>
        </w:rPr>
        <w:t>edłu</w:t>
      </w:r>
      <w:r w:rsidR="00F943D1" w:rsidRPr="009F791E">
        <w:rPr>
          <w:rFonts w:ascii="Times New Roman" w:hAnsi="Times New Roman"/>
        </w:rPr>
        <w:t>g wartości nominalnej</w:t>
      </w:r>
      <w:r w:rsidRPr="009F791E">
        <w:rPr>
          <w:rFonts w:ascii="Times New Roman" w:hAnsi="Times New Roman"/>
        </w:rPr>
        <w:t xml:space="preserve"> </w:t>
      </w:r>
      <w:r w:rsidR="00F943D1" w:rsidRPr="009F791E">
        <w:rPr>
          <w:rFonts w:ascii="Times New Roman" w:hAnsi="Times New Roman"/>
        </w:rPr>
        <w:t>skarbowe papiery wartościowe nieopłatnie przekazane jednostkom zaliczanym do sektora instytucji rządowych i</w:t>
      </w:r>
      <w:r w:rsidR="00C733CA" w:rsidRPr="009F791E">
        <w:rPr>
          <w:rFonts w:ascii="Times New Roman" w:hAnsi="Times New Roman"/>
        </w:rPr>
        <w:t> </w:t>
      </w:r>
      <w:r w:rsidR="00F943D1" w:rsidRPr="009F791E">
        <w:rPr>
          <w:rFonts w:ascii="Times New Roman" w:hAnsi="Times New Roman"/>
        </w:rPr>
        <w:t>samorządowych.</w:t>
      </w:r>
      <w:r w:rsidR="00B505A1">
        <w:rPr>
          <w:rFonts w:ascii="Times New Roman" w:hAnsi="Times New Roman"/>
        </w:rPr>
        <w:t xml:space="preserve"> </w:t>
      </w:r>
    </w:p>
    <w:p w14:paraId="2C5D49C0" w14:textId="1DC2E894" w:rsidR="00CF709C" w:rsidRPr="009F791E" w:rsidRDefault="00F943D1" w:rsidP="009F791E">
      <w:pPr>
        <w:spacing w:before="120" w:line="360" w:lineRule="auto"/>
        <w:jc w:val="both"/>
        <w:rPr>
          <w:rFonts w:ascii="Times New Roman" w:hAnsi="Times New Roman"/>
        </w:rPr>
      </w:pPr>
      <w:r w:rsidRPr="009F791E">
        <w:rPr>
          <w:rFonts w:ascii="Times New Roman" w:hAnsi="Times New Roman"/>
        </w:rPr>
        <w:t xml:space="preserve">Nieodpłatne przekazanie spw przez jednostki objęte SRW jednostkom zaliczanym do sektora instytucji rządowych i samorządowych będą polegały konsolidacji w ramach SRW (takie przekazanie będzie bowiem traktowane </w:t>
      </w:r>
      <w:r w:rsidR="007537EB" w:rsidRPr="009F791E">
        <w:rPr>
          <w:rFonts w:ascii="Times New Roman" w:hAnsi="Times New Roman"/>
        </w:rPr>
        <w:t xml:space="preserve">analogicznie </w:t>
      </w:r>
      <w:r w:rsidRPr="009F791E">
        <w:rPr>
          <w:rFonts w:ascii="Times New Roman" w:hAnsi="Times New Roman"/>
        </w:rPr>
        <w:t>jak dotacja). Oznacza to</w:t>
      </w:r>
      <w:r w:rsidR="007537EB" w:rsidRPr="009F791E">
        <w:rPr>
          <w:rFonts w:ascii="Times New Roman" w:hAnsi="Times New Roman"/>
        </w:rPr>
        <w:t>,</w:t>
      </w:r>
      <w:r w:rsidRPr="009F791E">
        <w:rPr>
          <w:rFonts w:ascii="Times New Roman" w:hAnsi="Times New Roman"/>
        </w:rPr>
        <w:t xml:space="preserve"> że nieodpłatne przekazanie spw przez jedną jednostkę objętą SRW innej jednost</w:t>
      </w:r>
      <w:r w:rsidR="00354B10" w:rsidRPr="009F791E">
        <w:rPr>
          <w:rFonts w:ascii="Times New Roman" w:hAnsi="Times New Roman"/>
        </w:rPr>
        <w:t>ce</w:t>
      </w:r>
      <w:r w:rsidRPr="009F791E">
        <w:rPr>
          <w:rFonts w:ascii="Times New Roman" w:hAnsi="Times New Roman"/>
        </w:rPr>
        <w:t xml:space="preserve"> objętej SRW nie będzie miał</w:t>
      </w:r>
      <w:r w:rsidR="007537EB" w:rsidRPr="009F791E">
        <w:rPr>
          <w:rFonts w:ascii="Times New Roman" w:hAnsi="Times New Roman"/>
        </w:rPr>
        <w:t>o</w:t>
      </w:r>
      <w:r w:rsidRPr="009F791E">
        <w:rPr>
          <w:rFonts w:ascii="Times New Roman" w:hAnsi="Times New Roman"/>
        </w:rPr>
        <w:t xml:space="preserve"> wpływu na poziom kwoty wydatków SRW. </w:t>
      </w:r>
      <w:r w:rsidR="00CF709C" w:rsidRPr="009F791E">
        <w:rPr>
          <w:rFonts w:ascii="Times New Roman" w:hAnsi="Times New Roman"/>
        </w:rPr>
        <w:t>Przestrzeń</w:t>
      </w:r>
      <w:r w:rsidRPr="009F791E">
        <w:rPr>
          <w:rFonts w:ascii="Times New Roman" w:hAnsi="Times New Roman"/>
        </w:rPr>
        <w:t xml:space="preserve"> wydatkową </w:t>
      </w:r>
      <w:r w:rsidR="007537EB" w:rsidRPr="009F791E">
        <w:rPr>
          <w:rFonts w:ascii="Times New Roman" w:hAnsi="Times New Roman"/>
        </w:rPr>
        <w:t xml:space="preserve">wyznaczaną przez SRW </w:t>
      </w:r>
      <w:r w:rsidRPr="009F791E">
        <w:rPr>
          <w:rFonts w:ascii="Times New Roman" w:hAnsi="Times New Roman"/>
        </w:rPr>
        <w:t>będą zmniejszały</w:t>
      </w:r>
      <w:r w:rsidR="00CF709C" w:rsidRPr="009F791E">
        <w:rPr>
          <w:rFonts w:ascii="Times New Roman" w:hAnsi="Times New Roman"/>
        </w:rPr>
        <w:t xml:space="preserve"> zatem</w:t>
      </w:r>
      <w:r w:rsidRPr="009F791E">
        <w:rPr>
          <w:rFonts w:ascii="Times New Roman" w:hAnsi="Times New Roman"/>
        </w:rPr>
        <w:t xml:space="preserve"> tylko te nieodpłatnie przekazane przez jednostki objęte SRW </w:t>
      </w:r>
      <w:r w:rsidR="00CF709C" w:rsidRPr="009F791E">
        <w:rPr>
          <w:rFonts w:ascii="Times New Roman" w:hAnsi="Times New Roman"/>
        </w:rPr>
        <w:lastRenderedPageBreak/>
        <w:t>skarbowe</w:t>
      </w:r>
      <w:r w:rsidRPr="009F791E">
        <w:rPr>
          <w:rFonts w:ascii="Times New Roman" w:hAnsi="Times New Roman"/>
        </w:rPr>
        <w:t xml:space="preserve"> papiery wartościowe, które zostały przekazane </w:t>
      </w:r>
      <w:r w:rsidR="00CF709C" w:rsidRPr="009F791E">
        <w:rPr>
          <w:rFonts w:ascii="Times New Roman" w:hAnsi="Times New Roman"/>
        </w:rPr>
        <w:t>tym jednostkom</w:t>
      </w:r>
      <w:r w:rsidRPr="009F791E">
        <w:rPr>
          <w:rFonts w:ascii="Times New Roman" w:hAnsi="Times New Roman"/>
        </w:rPr>
        <w:t xml:space="preserve"> </w:t>
      </w:r>
      <w:r w:rsidR="00CF709C" w:rsidRPr="009F791E">
        <w:rPr>
          <w:rFonts w:ascii="Times New Roman" w:hAnsi="Times New Roman"/>
        </w:rPr>
        <w:t>sektora</w:t>
      </w:r>
      <w:r w:rsidRPr="009F791E">
        <w:rPr>
          <w:rFonts w:ascii="Times New Roman" w:hAnsi="Times New Roman"/>
        </w:rPr>
        <w:t xml:space="preserve"> instytucji </w:t>
      </w:r>
      <w:r w:rsidR="00CF709C" w:rsidRPr="009F791E">
        <w:rPr>
          <w:rFonts w:ascii="Times New Roman" w:hAnsi="Times New Roman"/>
        </w:rPr>
        <w:t>rządowych</w:t>
      </w:r>
      <w:r w:rsidRPr="009F791E">
        <w:rPr>
          <w:rFonts w:ascii="Times New Roman" w:hAnsi="Times New Roman"/>
        </w:rPr>
        <w:t xml:space="preserve"> i samorządowyc</w:t>
      </w:r>
      <w:r w:rsidR="00CF709C" w:rsidRPr="009F791E">
        <w:rPr>
          <w:rFonts w:ascii="Times New Roman" w:hAnsi="Times New Roman"/>
        </w:rPr>
        <w:t>h, które nie są objęte SRW.</w:t>
      </w:r>
    </w:p>
    <w:p w14:paraId="24A2E63D" w14:textId="6DEC97EF" w:rsidR="00CF709C" w:rsidRPr="009F791E" w:rsidRDefault="00CF709C" w:rsidP="009F791E">
      <w:pPr>
        <w:spacing w:before="120" w:line="360" w:lineRule="auto"/>
        <w:jc w:val="both"/>
        <w:rPr>
          <w:rFonts w:ascii="Times New Roman" w:hAnsi="Times New Roman"/>
        </w:rPr>
      </w:pPr>
      <w:r w:rsidRPr="009F791E">
        <w:rPr>
          <w:rFonts w:ascii="Times New Roman" w:hAnsi="Times New Roman"/>
        </w:rPr>
        <w:t>Zmiana te realizuje zastrzeżenia Najwyższej Izby Kontroli, która w „Analiza wykonania budżetu państwa i</w:t>
      </w:r>
      <w:r w:rsidR="00B505A1">
        <w:rPr>
          <w:rFonts w:ascii="Times New Roman" w:hAnsi="Times New Roman"/>
        </w:rPr>
        <w:t xml:space="preserve"> </w:t>
      </w:r>
      <w:r w:rsidRPr="009F791E">
        <w:rPr>
          <w:rFonts w:ascii="Times New Roman" w:hAnsi="Times New Roman"/>
        </w:rPr>
        <w:t>założeń polityki pieniężnej w 2022 roku” (nr ewid. 68/2023/P/23/001/KBF; nr ewid. 69/2023/P/23/002/KBF) stwierdziła:</w:t>
      </w:r>
    </w:p>
    <w:p w14:paraId="70EEE90D" w14:textId="1EB68471" w:rsidR="00CF709C" w:rsidRPr="009F791E" w:rsidRDefault="00CF709C" w:rsidP="009F791E">
      <w:pPr>
        <w:spacing w:before="120" w:line="360" w:lineRule="auto"/>
        <w:jc w:val="both"/>
        <w:rPr>
          <w:rFonts w:ascii="Times New Roman" w:hAnsi="Times New Roman"/>
        </w:rPr>
      </w:pPr>
      <w:r w:rsidRPr="009F791E">
        <w:rPr>
          <w:rFonts w:ascii="Times New Roman" w:hAnsi="Times New Roman"/>
        </w:rPr>
        <w:t>„Do czynników ograniczających poprawne działanie stabilizującej reguły wydatkowej zaliczyć należy również przekazywanie do jednostek nieobjętych regułą wydatkową środków w formie skarbowych papierów wartościowych, co pozwalało ominąć ograniczenia wydatkowe nałożone tą regułą.”</w:t>
      </w:r>
      <w:r w:rsidR="00B95093" w:rsidRPr="009F791E">
        <w:rPr>
          <w:rFonts w:ascii="Times New Roman" w:hAnsi="Times New Roman"/>
        </w:rPr>
        <w:t xml:space="preserve"> (str. 45)</w:t>
      </w:r>
      <w:r w:rsidRPr="009F791E">
        <w:rPr>
          <w:rFonts w:ascii="Times New Roman" w:hAnsi="Times New Roman"/>
        </w:rPr>
        <w:t xml:space="preserve"> czy też</w:t>
      </w:r>
    </w:p>
    <w:p w14:paraId="553A1DA9" w14:textId="58EB3D96" w:rsidR="00811576" w:rsidRPr="009F791E" w:rsidRDefault="00CF709C" w:rsidP="009F791E">
      <w:pPr>
        <w:spacing w:before="120" w:line="360" w:lineRule="auto"/>
        <w:jc w:val="both"/>
        <w:rPr>
          <w:rFonts w:ascii="Times New Roman" w:hAnsi="Times New Roman"/>
        </w:rPr>
      </w:pPr>
      <w:r w:rsidRPr="009F791E">
        <w:rPr>
          <w:rFonts w:ascii="Times New Roman" w:hAnsi="Times New Roman"/>
        </w:rPr>
        <w:t>„Za nieprawidłowe działanie zostało uznane także dofinansowanie wybranych podmiotów w formie nieodpłatnego przekazania obligacji skarbowych. Operacje te powinny mieć charakter działań incydentalnych, a w rzeczywistości, z uwagi na ich skalę oraz regularność, stały się rozwiązaniami systemowymi.” (str.</w:t>
      </w:r>
      <w:r w:rsidR="003A7003">
        <w:rPr>
          <w:rFonts w:ascii="Times New Roman" w:hAnsi="Times New Roman"/>
        </w:rPr>
        <w:t xml:space="preserve"> </w:t>
      </w:r>
      <w:r w:rsidRPr="009F791E">
        <w:rPr>
          <w:rFonts w:ascii="Times New Roman" w:hAnsi="Times New Roman"/>
        </w:rPr>
        <w:t xml:space="preserve">233). </w:t>
      </w:r>
    </w:p>
    <w:p w14:paraId="3757EA3C" w14:textId="596145A3" w:rsidR="00811576" w:rsidRPr="009F791E" w:rsidRDefault="00B95093" w:rsidP="009F791E">
      <w:pPr>
        <w:spacing w:before="120" w:line="360" w:lineRule="auto"/>
        <w:jc w:val="both"/>
        <w:rPr>
          <w:rFonts w:ascii="Times New Roman" w:hAnsi="Times New Roman"/>
        </w:rPr>
      </w:pPr>
      <w:r w:rsidRPr="009F791E">
        <w:rPr>
          <w:rFonts w:ascii="Times New Roman" w:hAnsi="Times New Roman"/>
        </w:rPr>
        <w:t>Ponadto zap</w:t>
      </w:r>
      <w:r w:rsidR="00811576" w:rsidRPr="009F791E">
        <w:rPr>
          <w:rFonts w:ascii="Times New Roman" w:hAnsi="Times New Roman"/>
        </w:rPr>
        <w:t>roponowane zmiany mają przeciwdziałać temu niepożądanemu z punktu widzenia przejrzystości finansów publicznych i skuteczności SRW zjawisku</w:t>
      </w:r>
      <w:r w:rsidR="007537EB" w:rsidRPr="009F791E">
        <w:rPr>
          <w:rFonts w:ascii="Times New Roman" w:hAnsi="Times New Roman"/>
        </w:rPr>
        <w:t>, jakim jest nieodpłatne przekazywanie SPW zamiast dotacji</w:t>
      </w:r>
      <w:r w:rsidR="00811576" w:rsidRPr="009F791E">
        <w:rPr>
          <w:rFonts w:ascii="Times New Roman" w:hAnsi="Times New Roman"/>
        </w:rPr>
        <w:t xml:space="preserve">. </w:t>
      </w:r>
    </w:p>
    <w:p w14:paraId="5931EB0F" w14:textId="03B9702F" w:rsidR="00B648AA" w:rsidRPr="009F791E" w:rsidRDefault="00E74F16" w:rsidP="009F791E">
      <w:pPr>
        <w:pStyle w:val="Nagwek2"/>
        <w:spacing w:line="360" w:lineRule="auto"/>
        <w:jc w:val="both"/>
        <w:rPr>
          <w:rFonts w:ascii="Times New Roman" w:hAnsi="Times New Roman" w:cs="Times New Roman"/>
          <w:b/>
          <w:bCs/>
          <w:i/>
          <w:iCs/>
          <w:color w:val="auto"/>
          <w:sz w:val="24"/>
          <w:szCs w:val="24"/>
        </w:rPr>
      </w:pPr>
      <w:r w:rsidRPr="009F791E">
        <w:rPr>
          <w:rFonts w:ascii="Times New Roman" w:hAnsi="Times New Roman" w:cs="Times New Roman"/>
          <w:b/>
          <w:bCs/>
          <w:i/>
          <w:iCs/>
          <w:color w:val="auto"/>
          <w:sz w:val="24"/>
          <w:szCs w:val="24"/>
        </w:rPr>
        <w:t>Wyłączenie spłaty ze środków budżetu państwa wybranych zobowiązań innych jednostek z</w:t>
      </w:r>
      <w:r w:rsidR="00354B10" w:rsidRPr="009F791E">
        <w:rPr>
          <w:rFonts w:ascii="Times New Roman" w:hAnsi="Times New Roman" w:cs="Times New Roman"/>
          <w:b/>
          <w:bCs/>
          <w:i/>
          <w:iCs/>
          <w:color w:val="auto"/>
          <w:sz w:val="24"/>
          <w:szCs w:val="24"/>
        </w:rPr>
        <w:t> </w:t>
      </w:r>
      <w:r w:rsidRPr="009F791E">
        <w:rPr>
          <w:rFonts w:ascii="Times New Roman" w:hAnsi="Times New Roman" w:cs="Times New Roman"/>
          <w:b/>
          <w:bCs/>
          <w:i/>
          <w:iCs/>
          <w:color w:val="auto"/>
          <w:sz w:val="24"/>
          <w:szCs w:val="24"/>
        </w:rPr>
        <w:t xml:space="preserve">SRW </w:t>
      </w:r>
    </w:p>
    <w:p w14:paraId="682ADBD3" w14:textId="35D4B225" w:rsidR="00B648AA" w:rsidRPr="009F791E" w:rsidRDefault="004010A5" w:rsidP="009F791E">
      <w:pPr>
        <w:spacing w:before="120" w:line="360" w:lineRule="auto"/>
        <w:jc w:val="both"/>
        <w:rPr>
          <w:rFonts w:ascii="Times New Roman" w:hAnsi="Times New Roman"/>
        </w:rPr>
      </w:pPr>
      <w:r w:rsidRPr="009F791E">
        <w:rPr>
          <w:rFonts w:ascii="Times New Roman" w:hAnsi="Times New Roman"/>
        </w:rPr>
        <w:t>W projekcie zaproponowano wyłączenie z ograniczeń wynikających z SRW wydatków budżetu państwa z tytułu przekazania innym jednostkom</w:t>
      </w:r>
      <w:r w:rsidR="00D20072" w:rsidRPr="009F791E">
        <w:rPr>
          <w:rFonts w:ascii="Times New Roman" w:hAnsi="Times New Roman"/>
        </w:rPr>
        <w:t xml:space="preserve"> niż jednostki objęte SRW</w:t>
      </w:r>
      <w:r w:rsidRPr="009F791E">
        <w:rPr>
          <w:rFonts w:ascii="Times New Roman" w:hAnsi="Times New Roman"/>
        </w:rPr>
        <w:t xml:space="preserve"> środków </w:t>
      </w:r>
      <w:r w:rsidR="00BC2DB9" w:rsidRPr="009F791E">
        <w:rPr>
          <w:rFonts w:ascii="Times New Roman" w:hAnsi="Times New Roman"/>
        </w:rPr>
        <w:t>finansowych</w:t>
      </w:r>
      <w:r w:rsidRPr="009F791E">
        <w:rPr>
          <w:rFonts w:ascii="Times New Roman" w:hAnsi="Times New Roman"/>
        </w:rPr>
        <w:t xml:space="preserve"> z przeznaczeniem na </w:t>
      </w:r>
      <w:r w:rsidR="00BC2DB9" w:rsidRPr="009F791E">
        <w:rPr>
          <w:rFonts w:ascii="Times New Roman" w:hAnsi="Times New Roman"/>
        </w:rPr>
        <w:t>spłatę</w:t>
      </w:r>
      <w:r w:rsidRPr="009F791E">
        <w:rPr>
          <w:rFonts w:ascii="Times New Roman" w:hAnsi="Times New Roman"/>
        </w:rPr>
        <w:t xml:space="preserve"> zobowiązań objętych poręczeniem lub gwarancją Skarbu Państwa zaciągniętych w okresie pomiędzy</w:t>
      </w:r>
      <w:r w:rsidR="0039259D" w:rsidRPr="009F791E">
        <w:rPr>
          <w:rFonts w:ascii="Times New Roman" w:hAnsi="Times New Roman"/>
        </w:rPr>
        <w:t xml:space="preserve"> dniem</w:t>
      </w:r>
      <w:r w:rsidRPr="009F791E">
        <w:rPr>
          <w:rFonts w:ascii="Times New Roman" w:hAnsi="Times New Roman"/>
        </w:rPr>
        <w:t xml:space="preserve"> </w:t>
      </w:r>
      <w:r w:rsidR="00D20072" w:rsidRPr="009F791E">
        <w:rPr>
          <w:rFonts w:ascii="Times New Roman" w:hAnsi="Times New Roman"/>
        </w:rPr>
        <w:t xml:space="preserve">14 </w:t>
      </w:r>
      <w:r w:rsidRPr="009F791E">
        <w:rPr>
          <w:rFonts w:ascii="Times New Roman" w:hAnsi="Times New Roman"/>
        </w:rPr>
        <w:t>marca 2020 r</w:t>
      </w:r>
      <w:r w:rsidR="00354B10" w:rsidRPr="009F791E">
        <w:rPr>
          <w:rFonts w:ascii="Times New Roman" w:hAnsi="Times New Roman"/>
        </w:rPr>
        <w:t>.</w:t>
      </w:r>
      <w:r w:rsidRPr="009F791E">
        <w:rPr>
          <w:rFonts w:ascii="Times New Roman" w:hAnsi="Times New Roman"/>
        </w:rPr>
        <w:t xml:space="preserve"> a</w:t>
      </w:r>
      <w:r w:rsidR="0039259D" w:rsidRPr="009F791E">
        <w:rPr>
          <w:rFonts w:ascii="Times New Roman" w:hAnsi="Times New Roman"/>
        </w:rPr>
        <w:t xml:space="preserve"> dniem</w:t>
      </w:r>
      <w:r w:rsidRPr="009F791E">
        <w:rPr>
          <w:rFonts w:ascii="Times New Roman" w:hAnsi="Times New Roman"/>
        </w:rPr>
        <w:t xml:space="preserve"> </w:t>
      </w:r>
      <w:r w:rsidR="005A2F14" w:rsidRPr="009F791E">
        <w:rPr>
          <w:rFonts w:ascii="Times New Roman" w:hAnsi="Times New Roman"/>
        </w:rPr>
        <w:t>30</w:t>
      </w:r>
      <w:r w:rsidRPr="009F791E">
        <w:rPr>
          <w:rFonts w:ascii="Times New Roman" w:hAnsi="Times New Roman"/>
        </w:rPr>
        <w:t xml:space="preserve"> </w:t>
      </w:r>
      <w:r w:rsidR="005A2F14" w:rsidRPr="009F791E">
        <w:rPr>
          <w:rFonts w:ascii="Times New Roman" w:hAnsi="Times New Roman"/>
        </w:rPr>
        <w:t xml:space="preserve">czerwca </w:t>
      </w:r>
      <w:r w:rsidRPr="009F791E">
        <w:rPr>
          <w:rFonts w:ascii="Times New Roman" w:hAnsi="Times New Roman"/>
        </w:rPr>
        <w:t>2023 r</w:t>
      </w:r>
      <w:r w:rsidR="00354B10" w:rsidRPr="009F791E">
        <w:rPr>
          <w:rFonts w:ascii="Times New Roman" w:hAnsi="Times New Roman"/>
        </w:rPr>
        <w:t>.</w:t>
      </w:r>
      <w:r w:rsidRPr="009F791E">
        <w:rPr>
          <w:rFonts w:ascii="Times New Roman" w:hAnsi="Times New Roman"/>
        </w:rPr>
        <w:t xml:space="preserve"> lub wydatków budżetu państwa związanych z udzielonymi przez Skarb Państwa </w:t>
      </w:r>
      <w:r w:rsidR="00BC2DB9" w:rsidRPr="009F791E">
        <w:rPr>
          <w:rFonts w:ascii="Times New Roman" w:hAnsi="Times New Roman"/>
        </w:rPr>
        <w:t>poręczeniami i</w:t>
      </w:r>
      <w:r w:rsidR="00354B10" w:rsidRPr="009F791E">
        <w:rPr>
          <w:rFonts w:ascii="Times New Roman" w:hAnsi="Times New Roman"/>
        </w:rPr>
        <w:t> </w:t>
      </w:r>
      <w:r w:rsidR="00BC2DB9" w:rsidRPr="009F791E">
        <w:rPr>
          <w:rFonts w:ascii="Times New Roman" w:hAnsi="Times New Roman"/>
        </w:rPr>
        <w:t xml:space="preserve">gwarancjami zobowiązań zaciągniętych przez jednostki </w:t>
      </w:r>
      <w:r w:rsidR="00D20072" w:rsidRPr="009F791E">
        <w:rPr>
          <w:rFonts w:ascii="Times New Roman" w:hAnsi="Times New Roman"/>
        </w:rPr>
        <w:t xml:space="preserve">innych niż jednostki objęte SRW </w:t>
      </w:r>
      <w:r w:rsidR="00BC2DB9" w:rsidRPr="009F791E">
        <w:rPr>
          <w:rFonts w:ascii="Times New Roman" w:hAnsi="Times New Roman"/>
        </w:rPr>
        <w:t>pomiędzy</w:t>
      </w:r>
      <w:r w:rsidR="0039259D" w:rsidRPr="009F791E">
        <w:rPr>
          <w:rFonts w:ascii="Times New Roman" w:hAnsi="Times New Roman"/>
        </w:rPr>
        <w:t xml:space="preserve"> dniem</w:t>
      </w:r>
      <w:r w:rsidR="00BC2DB9" w:rsidRPr="009F791E">
        <w:rPr>
          <w:rFonts w:ascii="Times New Roman" w:hAnsi="Times New Roman"/>
        </w:rPr>
        <w:t xml:space="preserve"> </w:t>
      </w:r>
      <w:r w:rsidR="00D20072" w:rsidRPr="009F791E">
        <w:rPr>
          <w:rFonts w:ascii="Times New Roman" w:hAnsi="Times New Roman"/>
        </w:rPr>
        <w:t xml:space="preserve">14 </w:t>
      </w:r>
      <w:r w:rsidR="00BC2DB9" w:rsidRPr="009F791E">
        <w:rPr>
          <w:rFonts w:ascii="Times New Roman" w:hAnsi="Times New Roman"/>
        </w:rPr>
        <w:t>marca 2020 r</w:t>
      </w:r>
      <w:r w:rsidR="00354B10" w:rsidRPr="009F791E">
        <w:rPr>
          <w:rFonts w:ascii="Times New Roman" w:hAnsi="Times New Roman"/>
        </w:rPr>
        <w:t>.</w:t>
      </w:r>
      <w:r w:rsidR="00BC2DB9" w:rsidRPr="009F791E">
        <w:rPr>
          <w:rFonts w:ascii="Times New Roman" w:hAnsi="Times New Roman"/>
        </w:rPr>
        <w:t xml:space="preserve"> a</w:t>
      </w:r>
      <w:r w:rsidR="0039259D" w:rsidRPr="009F791E">
        <w:rPr>
          <w:rFonts w:ascii="Times New Roman" w:hAnsi="Times New Roman"/>
        </w:rPr>
        <w:t xml:space="preserve"> dniem</w:t>
      </w:r>
      <w:r w:rsidR="00BC2DB9" w:rsidRPr="009F791E">
        <w:rPr>
          <w:rFonts w:ascii="Times New Roman" w:hAnsi="Times New Roman"/>
        </w:rPr>
        <w:t xml:space="preserve"> </w:t>
      </w:r>
      <w:r w:rsidR="005A2F14" w:rsidRPr="009F791E">
        <w:rPr>
          <w:rFonts w:ascii="Times New Roman" w:hAnsi="Times New Roman"/>
        </w:rPr>
        <w:t>30</w:t>
      </w:r>
      <w:r w:rsidR="00BC2DB9" w:rsidRPr="009F791E">
        <w:rPr>
          <w:rFonts w:ascii="Times New Roman" w:hAnsi="Times New Roman"/>
        </w:rPr>
        <w:t xml:space="preserve"> </w:t>
      </w:r>
      <w:r w:rsidR="005A2F14" w:rsidRPr="009F791E">
        <w:rPr>
          <w:rFonts w:ascii="Times New Roman" w:hAnsi="Times New Roman"/>
        </w:rPr>
        <w:t xml:space="preserve">czerwca </w:t>
      </w:r>
      <w:r w:rsidR="00BC2DB9" w:rsidRPr="009F791E">
        <w:rPr>
          <w:rFonts w:ascii="Times New Roman" w:hAnsi="Times New Roman"/>
        </w:rPr>
        <w:t>2023 r</w:t>
      </w:r>
      <w:r w:rsidR="00354B10" w:rsidRPr="009F791E">
        <w:rPr>
          <w:rFonts w:ascii="Times New Roman" w:hAnsi="Times New Roman"/>
        </w:rPr>
        <w:t>.</w:t>
      </w:r>
    </w:p>
    <w:p w14:paraId="4448E01E" w14:textId="2D89E61B" w:rsidR="00BC2DB9" w:rsidRPr="009F791E" w:rsidRDefault="00BC2DB9" w:rsidP="009F791E">
      <w:pPr>
        <w:spacing w:before="120" w:line="360" w:lineRule="auto"/>
        <w:jc w:val="both"/>
        <w:rPr>
          <w:rFonts w:ascii="Times New Roman" w:hAnsi="Times New Roman"/>
        </w:rPr>
      </w:pPr>
      <w:r w:rsidRPr="009F791E">
        <w:rPr>
          <w:rFonts w:ascii="Times New Roman" w:hAnsi="Times New Roman"/>
        </w:rPr>
        <w:t xml:space="preserve">Zaproponowany zakres dat jest spójny z obowiązywaniem na terytoriom Rzeczypospolitej Polskiej stanu epidemii/stanu </w:t>
      </w:r>
      <w:r w:rsidR="00461747" w:rsidRPr="009F791E">
        <w:rPr>
          <w:rFonts w:ascii="Times New Roman" w:hAnsi="Times New Roman"/>
        </w:rPr>
        <w:t xml:space="preserve">zagrożenia </w:t>
      </w:r>
      <w:r w:rsidRPr="009F791E">
        <w:rPr>
          <w:rFonts w:ascii="Times New Roman" w:hAnsi="Times New Roman"/>
        </w:rPr>
        <w:t xml:space="preserve">epidemicznego. </w:t>
      </w:r>
    </w:p>
    <w:p w14:paraId="0572C75D" w14:textId="12C3C684" w:rsidR="00FD4291" w:rsidRPr="009F791E" w:rsidRDefault="00FD4291" w:rsidP="009F791E">
      <w:pPr>
        <w:spacing w:before="120" w:line="360" w:lineRule="auto"/>
        <w:jc w:val="both"/>
        <w:rPr>
          <w:rFonts w:ascii="Times New Roman" w:hAnsi="Times New Roman"/>
        </w:rPr>
      </w:pPr>
      <w:r w:rsidRPr="009F791E">
        <w:rPr>
          <w:rFonts w:ascii="Times New Roman" w:hAnsi="Times New Roman"/>
        </w:rPr>
        <w:t>Na obszarze Rzeczypospolitej Polskiej w związku z zakażeniami wirusem SARS-CoV-2 wprowadzono</w:t>
      </w:r>
      <w:r w:rsidR="00354B10" w:rsidRPr="009F791E">
        <w:rPr>
          <w:rFonts w:ascii="Times New Roman" w:hAnsi="Times New Roman"/>
        </w:rPr>
        <w:t xml:space="preserve"> w dniu</w:t>
      </w:r>
      <w:r w:rsidRPr="009F791E">
        <w:rPr>
          <w:rFonts w:ascii="Times New Roman" w:hAnsi="Times New Roman"/>
        </w:rPr>
        <w:t>:</w:t>
      </w:r>
    </w:p>
    <w:p w14:paraId="536B2A29" w14:textId="7D8F109C" w:rsidR="00FD4291" w:rsidRPr="009F791E" w:rsidRDefault="00BC2DB9" w:rsidP="009F791E">
      <w:pPr>
        <w:pStyle w:val="Akapitzlist"/>
        <w:numPr>
          <w:ilvl w:val="0"/>
          <w:numId w:val="38"/>
        </w:numPr>
        <w:spacing w:before="120" w:line="360" w:lineRule="auto"/>
        <w:jc w:val="both"/>
        <w:rPr>
          <w:rFonts w:ascii="Times New Roman" w:hAnsi="Times New Roman"/>
        </w:rPr>
      </w:pPr>
      <w:r w:rsidRPr="009F791E">
        <w:rPr>
          <w:rFonts w:ascii="Times New Roman" w:hAnsi="Times New Roman"/>
        </w:rPr>
        <w:lastRenderedPageBreak/>
        <w:t xml:space="preserve">14 marca 2020 r. </w:t>
      </w:r>
      <w:r w:rsidR="00B505A1">
        <w:rPr>
          <w:rFonts w:ascii="Times New Roman" w:hAnsi="Times New Roman"/>
        </w:rPr>
        <w:t>–</w:t>
      </w:r>
      <w:r w:rsidRPr="009F791E">
        <w:rPr>
          <w:rFonts w:ascii="Times New Roman" w:hAnsi="Times New Roman"/>
        </w:rPr>
        <w:t xml:space="preserve"> stan zagrożenia epidemicznego</w:t>
      </w:r>
      <w:r w:rsidRPr="009F791E">
        <w:rPr>
          <w:rFonts w:ascii="Times New Roman" w:hAnsi="Times New Roman"/>
          <w:vertAlign w:val="superscript"/>
        </w:rPr>
        <w:footnoteReference w:id="2"/>
      </w:r>
      <w:r w:rsidR="00F278F4" w:rsidRPr="009F791E">
        <w:rPr>
          <w:rFonts w:ascii="Times New Roman" w:hAnsi="Times New Roman"/>
        </w:rPr>
        <w:t xml:space="preserve">, </w:t>
      </w:r>
    </w:p>
    <w:p w14:paraId="0A7CC25B" w14:textId="03979E3B" w:rsidR="00FD4291" w:rsidRPr="009F791E" w:rsidRDefault="00F278F4" w:rsidP="009F791E">
      <w:pPr>
        <w:pStyle w:val="Akapitzlist"/>
        <w:numPr>
          <w:ilvl w:val="0"/>
          <w:numId w:val="38"/>
        </w:numPr>
        <w:spacing w:before="120" w:line="360" w:lineRule="auto"/>
        <w:jc w:val="both"/>
        <w:rPr>
          <w:rFonts w:ascii="Times New Roman" w:hAnsi="Times New Roman"/>
        </w:rPr>
      </w:pPr>
      <w:r w:rsidRPr="009F791E">
        <w:rPr>
          <w:rFonts w:ascii="Times New Roman" w:hAnsi="Times New Roman"/>
        </w:rPr>
        <w:t xml:space="preserve">20 marca 2020 r. </w:t>
      </w:r>
      <w:r w:rsidR="00B505A1">
        <w:rPr>
          <w:rFonts w:ascii="Times New Roman" w:hAnsi="Times New Roman"/>
        </w:rPr>
        <w:t>–</w:t>
      </w:r>
      <w:r w:rsidRPr="009F791E">
        <w:rPr>
          <w:rFonts w:ascii="Times New Roman" w:hAnsi="Times New Roman"/>
        </w:rPr>
        <w:t xml:space="preserve"> stan epidemii</w:t>
      </w:r>
      <w:r w:rsidRPr="009F791E">
        <w:rPr>
          <w:rFonts w:ascii="Times New Roman" w:hAnsi="Times New Roman"/>
          <w:vertAlign w:val="superscript"/>
        </w:rPr>
        <w:footnoteReference w:id="3"/>
      </w:r>
      <w:r w:rsidR="00822057" w:rsidRPr="009F791E">
        <w:rPr>
          <w:rFonts w:ascii="Times New Roman" w:hAnsi="Times New Roman"/>
          <w:vertAlign w:val="superscript"/>
        </w:rPr>
        <w:t xml:space="preserve"> </w:t>
      </w:r>
      <w:r w:rsidR="00822057" w:rsidRPr="009F791E">
        <w:rPr>
          <w:rFonts w:ascii="Times New Roman" w:hAnsi="Times New Roman"/>
        </w:rPr>
        <w:t>(zastąpił on stan zagrożenia epidemicznego)</w:t>
      </w:r>
      <w:r w:rsidRPr="009F791E">
        <w:rPr>
          <w:rFonts w:ascii="Times New Roman" w:hAnsi="Times New Roman"/>
        </w:rPr>
        <w:t>,</w:t>
      </w:r>
    </w:p>
    <w:p w14:paraId="75FB6495" w14:textId="466F807E" w:rsidR="00FD4291" w:rsidRPr="009F791E" w:rsidRDefault="00F278F4" w:rsidP="009F791E">
      <w:pPr>
        <w:pStyle w:val="Akapitzlist"/>
        <w:numPr>
          <w:ilvl w:val="0"/>
          <w:numId w:val="38"/>
        </w:numPr>
        <w:spacing w:before="120" w:line="360" w:lineRule="auto"/>
        <w:jc w:val="both"/>
        <w:rPr>
          <w:rFonts w:ascii="Times New Roman" w:hAnsi="Times New Roman"/>
        </w:rPr>
      </w:pPr>
      <w:r w:rsidRPr="009F791E">
        <w:rPr>
          <w:rFonts w:ascii="Times New Roman" w:hAnsi="Times New Roman"/>
        </w:rPr>
        <w:t xml:space="preserve">16 maja 2022 r. </w:t>
      </w:r>
      <w:r w:rsidR="00B505A1">
        <w:rPr>
          <w:rFonts w:ascii="Times New Roman" w:hAnsi="Times New Roman"/>
        </w:rPr>
        <w:t xml:space="preserve">– </w:t>
      </w:r>
      <w:r w:rsidRPr="009F791E">
        <w:rPr>
          <w:rFonts w:ascii="Times New Roman" w:hAnsi="Times New Roman"/>
        </w:rPr>
        <w:t>stan zagrożenia epidemicznego</w:t>
      </w:r>
      <w:r w:rsidRPr="009F791E">
        <w:rPr>
          <w:rFonts w:ascii="Times New Roman" w:hAnsi="Times New Roman"/>
          <w:vertAlign w:val="superscript"/>
        </w:rPr>
        <w:footnoteReference w:id="4"/>
      </w:r>
      <w:r w:rsidR="00822057" w:rsidRPr="009F791E">
        <w:rPr>
          <w:rFonts w:ascii="Times New Roman" w:hAnsi="Times New Roman"/>
          <w:vertAlign w:val="superscript"/>
        </w:rPr>
        <w:t xml:space="preserve"> </w:t>
      </w:r>
      <w:r w:rsidR="00822057" w:rsidRPr="009F791E">
        <w:rPr>
          <w:rFonts w:ascii="Times New Roman" w:hAnsi="Times New Roman"/>
        </w:rPr>
        <w:t>(zastąpił on stan epidemii)</w:t>
      </w:r>
      <w:r w:rsidR="00354B10" w:rsidRPr="009F791E">
        <w:rPr>
          <w:rFonts w:ascii="Times New Roman" w:hAnsi="Times New Roman"/>
        </w:rPr>
        <w:t>.</w:t>
      </w:r>
    </w:p>
    <w:p w14:paraId="4EB5A49E" w14:textId="5EFAAF2D" w:rsidR="00BC2DB9" w:rsidRPr="009F791E" w:rsidRDefault="00354B10" w:rsidP="009F791E">
      <w:pPr>
        <w:spacing w:before="120" w:line="360" w:lineRule="auto"/>
        <w:jc w:val="both"/>
        <w:rPr>
          <w:rFonts w:ascii="Times New Roman" w:hAnsi="Times New Roman"/>
        </w:rPr>
      </w:pPr>
      <w:r w:rsidRPr="009F791E">
        <w:rPr>
          <w:rFonts w:ascii="Times New Roman" w:hAnsi="Times New Roman"/>
        </w:rPr>
        <w:t xml:space="preserve">Z dniem </w:t>
      </w:r>
      <w:r w:rsidR="00BC2DB9" w:rsidRPr="009F791E">
        <w:rPr>
          <w:rFonts w:ascii="Times New Roman" w:hAnsi="Times New Roman"/>
        </w:rPr>
        <w:t xml:space="preserve">1 lipca 2023 r. na terenie Polski </w:t>
      </w:r>
      <w:r w:rsidR="00F278F4" w:rsidRPr="009F791E">
        <w:rPr>
          <w:rFonts w:ascii="Times New Roman" w:hAnsi="Times New Roman"/>
        </w:rPr>
        <w:t>zniesiono</w:t>
      </w:r>
      <w:r w:rsidR="00BC2DB9" w:rsidRPr="009F791E">
        <w:rPr>
          <w:rFonts w:ascii="Times New Roman" w:hAnsi="Times New Roman"/>
        </w:rPr>
        <w:t xml:space="preserve"> stan zagrożenia epidemicznego spowodowany zakażeniami wirusem SARS-CoV-2</w:t>
      </w:r>
      <w:r w:rsidR="00F278F4" w:rsidRPr="009F791E">
        <w:rPr>
          <w:rFonts w:ascii="Times New Roman" w:hAnsi="Times New Roman"/>
          <w:vertAlign w:val="superscript"/>
        </w:rPr>
        <w:footnoteReference w:id="5"/>
      </w:r>
      <w:r w:rsidR="00F278F4" w:rsidRPr="009F791E">
        <w:rPr>
          <w:rFonts w:ascii="Times New Roman" w:hAnsi="Times New Roman"/>
          <w:vertAlign w:val="superscript"/>
        </w:rPr>
        <w:t>.</w:t>
      </w:r>
      <w:r w:rsidR="00A002B3" w:rsidRPr="009F791E">
        <w:rPr>
          <w:rFonts w:ascii="Times New Roman" w:hAnsi="Times New Roman"/>
        </w:rPr>
        <w:t>.</w:t>
      </w:r>
    </w:p>
    <w:p w14:paraId="1BD14210" w14:textId="578C534E" w:rsidR="002917FC" w:rsidRPr="009F791E" w:rsidRDefault="003647C7" w:rsidP="009F791E">
      <w:pPr>
        <w:spacing w:before="120" w:line="360" w:lineRule="auto"/>
        <w:jc w:val="both"/>
        <w:rPr>
          <w:rFonts w:ascii="Times New Roman" w:hAnsi="Times New Roman"/>
        </w:rPr>
      </w:pPr>
      <w:r w:rsidRPr="009F791E">
        <w:rPr>
          <w:rFonts w:ascii="Times New Roman" w:hAnsi="Times New Roman"/>
        </w:rPr>
        <w:t>W okresie pandemii podjęto działania, których celem było ograniczenie społecznych i</w:t>
      </w:r>
      <w:r w:rsidR="00BB6861" w:rsidRPr="009F791E">
        <w:rPr>
          <w:rFonts w:ascii="Times New Roman" w:hAnsi="Times New Roman"/>
        </w:rPr>
        <w:t> </w:t>
      </w:r>
      <w:r w:rsidRPr="009F791E">
        <w:rPr>
          <w:rFonts w:ascii="Times New Roman" w:hAnsi="Times New Roman"/>
        </w:rPr>
        <w:t xml:space="preserve">ekonomicznych skutków pandemii COVID-19. Działania te były finansowane m.in. poprzez emisje obligacji objętych gwarancjami Skarbu Państwa (np. finansowanie Tarcz Finansowych PFR). Gwarancjami Skarbu Państwa objęte są także obligacje wyemitowane przez BGK na rzecz Funduszu Przeciwdziałania COVID-19 i Funduszu Pomocy. Fundusze te nie </w:t>
      </w:r>
      <w:r w:rsidR="00461747" w:rsidRPr="009F791E">
        <w:rPr>
          <w:rFonts w:ascii="Times New Roman" w:hAnsi="Times New Roman"/>
        </w:rPr>
        <w:t xml:space="preserve">mają </w:t>
      </w:r>
      <w:r w:rsidRPr="009F791E">
        <w:rPr>
          <w:rFonts w:ascii="Times New Roman" w:hAnsi="Times New Roman"/>
        </w:rPr>
        <w:t>wystarczających źródeł własnych przychodów</w:t>
      </w:r>
      <w:r w:rsidR="00FD4291" w:rsidRPr="009F791E">
        <w:rPr>
          <w:rFonts w:ascii="Times New Roman" w:hAnsi="Times New Roman"/>
        </w:rPr>
        <w:t>,</w:t>
      </w:r>
      <w:r w:rsidRPr="009F791E">
        <w:rPr>
          <w:rFonts w:ascii="Times New Roman" w:hAnsi="Times New Roman"/>
        </w:rPr>
        <w:t xml:space="preserve"> aby samodzielnie dokonać spłaty wyemitowanych obligacji. Spłata ta będzie musiała być sfinansowana albo ze środków otrzymanych</w:t>
      </w:r>
      <w:r w:rsidR="00822057" w:rsidRPr="009F791E">
        <w:rPr>
          <w:rFonts w:ascii="Times New Roman" w:hAnsi="Times New Roman"/>
        </w:rPr>
        <w:t xml:space="preserve"> przez te jednostki </w:t>
      </w:r>
      <w:r w:rsidRPr="009F791E">
        <w:rPr>
          <w:rFonts w:ascii="Times New Roman" w:hAnsi="Times New Roman"/>
        </w:rPr>
        <w:t xml:space="preserve">z budżetu państwa, albo </w:t>
      </w:r>
      <w:r w:rsidR="00822057" w:rsidRPr="009F791E">
        <w:rPr>
          <w:rFonts w:ascii="Times New Roman" w:hAnsi="Times New Roman"/>
        </w:rPr>
        <w:t>być dokonana</w:t>
      </w:r>
      <w:r w:rsidRPr="009F791E">
        <w:rPr>
          <w:rFonts w:ascii="Times New Roman" w:hAnsi="Times New Roman"/>
        </w:rPr>
        <w:t xml:space="preserve"> bezpośrednio przez budżet państwa.</w:t>
      </w:r>
      <w:r w:rsidR="00FD4291" w:rsidRPr="009F791E">
        <w:rPr>
          <w:rFonts w:ascii="Times New Roman" w:hAnsi="Times New Roman"/>
        </w:rPr>
        <w:t xml:space="preserve"> Obj</w:t>
      </w:r>
      <w:r w:rsidR="00EB2423" w:rsidRPr="009F791E">
        <w:rPr>
          <w:rFonts w:ascii="Times New Roman" w:hAnsi="Times New Roman"/>
        </w:rPr>
        <w:t>ę</w:t>
      </w:r>
      <w:r w:rsidR="00FD4291" w:rsidRPr="009F791E">
        <w:rPr>
          <w:rFonts w:ascii="Times New Roman" w:hAnsi="Times New Roman"/>
        </w:rPr>
        <w:t xml:space="preserve">cie operacji spłaty zobowiązań innych jednostek </w:t>
      </w:r>
      <w:r w:rsidR="00EB2423" w:rsidRPr="009F791E">
        <w:rPr>
          <w:rFonts w:ascii="Times New Roman" w:hAnsi="Times New Roman"/>
        </w:rPr>
        <w:t xml:space="preserve">bezpośrednio </w:t>
      </w:r>
      <w:r w:rsidR="00FD4291" w:rsidRPr="009F791E">
        <w:rPr>
          <w:rFonts w:ascii="Times New Roman" w:hAnsi="Times New Roman"/>
        </w:rPr>
        <w:t>ze środków budżetu państwa ograniczeniami wynikającymi z SRW w sposób statystyczny zaniż</w:t>
      </w:r>
      <w:r w:rsidR="00EB2423" w:rsidRPr="009F791E">
        <w:rPr>
          <w:rFonts w:ascii="Times New Roman" w:hAnsi="Times New Roman"/>
        </w:rPr>
        <w:t>a</w:t>
      </w:r>
      <w:r w:rsidR="00FD4291" w:rsidRPr="009F791E">
        <w:rPr>
          <w:rFonts w:ascii="Times New Roman" w:hAnsi="Times New Roman"/>
        </w:rPr>
        <w:t xml:space="preserve"> przestrzeń wydatkową wynikając</w:t>
      </w:r>
      <w:r w:rsidR="00EB2423" w:rsidRPr="009F791E">
        <w:rPr>
          <w:rFonts w:ascii="Times New Roman" w:hAnsi="Times New Roman"/>
        </w:rPr>
        <w:t>ą</w:t>
      </w:r>
      <w:r w:rsidR="00FD4291" w:rsidRPr="009F791E">
        <w:rPr>
          <w:rFonts w:ascii="Times New Roman" w:hAnsi="Times New Roman"/>
        </w:rPr>
        <w:t xml:space="preserve"> z SRW.</w:t>
      </w:r>
      <w:r w:rsidRPr="009F791E">
        <w:rPr>
          <w:rFonts w:ascii="Times New Roman" w:hAnsi="Times New Roman"/>
        </w:rPr>
        <w:t xml:space="preserve"> </w:t>
      </w:r>
      <w:r w:rsidR="00EB2423" w:rsidRPr="009F791E">
        <w:rPr>
          <w:rFonts w:ascii="Times New Roman" w:hAnsi="Times New Roman"/>
        </w:rPr>
        <w:t xml:space="preserve">Przekazanie środków z budżetu państwa innej jednostce objętej SRW na spłatę jej zobowiązań jest neutralne dla przestrzeni wydatkowej wynikającej z SRW, gdyż przepływ się skonsoliduje (wydatek budżet państwa i dochód jednostki objętej SRW). W przypadku bezpośredniej spłaty zobowiązań tej jednostki </w:t>
      </w:r>
      <w:r w:rsidR="00822057" w:rsidRPr="009F791E">
        <w:rPr>
          <w:rFonts w:ascii="Times New Roman" w:hAnsi="Times New Roman"/>
        </w:rPr>
        <w:t>przez budżet państwa operacja ta ma negatywny na przestrzeń wydatkową. Na poziomie SRW jako całości, operacja ta ma takie samo znaczenie ekonomiczne.</w:t>
      </w:r>
      <w:r w:rsidR="00B20C91" w:rsidRPr="009F791E">
        <w:rPr>
          <w:rFonts w:ascii="Times New Roman" w:hAnsi="Times New Roman"/>
        </w:rPr>
        <w:t xml:space="preserve"> Rozwiązanie to będzie jednocze</w:t>
      </w:r>
      <w:r w:rsidR="00461747" w:rsidRPr="009F791E">
        <w:rPr>
          <w:rFonts w:ascii="Times New Roman" w:hAnsi="Times New Roman"/>
        </w:rPr>
        <w:t>ś</w:t>
      </w:r>
      <w:r w:rsidR="00B20C91" w:rsidRPr="009F791E">
        <w:rPr>
          <w:rFonts w:ascii="Times New Roman" w:hAnsi="Times New Roman"/>
        </w:rPr>
        <w:t>n</w:t>
      </w:r>
      <w:r w:rsidR="00461747" w:rsidRPr="009F791E">
        <w:rPr>
          <w:rFonts w:ascii="Times New Roman" w:hAnsi="Times New Roman"/>
        </w:rPr>
        <w:t>i</w:t>
      </w:r>
      <w:r w:rsidR="00B20C91" w:rsidRPr="009F791E">
        <w:rPr>
          <w:rFonts w:ascii="Times New Roman" w:hAnsi="Times New Roman"/>
        </w:rPr>
        <w:t xml:space="preserve">e spójne z </w:t>
      </w:r>
      <w:r w:rsidR="00461747" w:rsidRPr="009F791E">
        <w:rPr>
          <w:rFonts w:ascii="Times New Roman" w:hAnsi="Times New Roman"/>
        </w:rPr>
        <w:t>za</w:t>
      </w:r>
      <w:r w:rsidR="00B20C91" w:rsidRPr="009F791E">
        <w:rPr>
          <w:rFonts w:ascii="Times New Roman" w:hAnsi="Times New Roman"/>
        </w:rPr>
        <w:t>stosowaniem w trakcie epidemii COVID klauzul wyjścia z reguł fiskalnych (zarówno w Polsce, jak i w UE).</w:t>
      </w:r>
      <w:r w:rsidR="00513E8B" w:rsidRPr="009F791E">
        <w:rPr>
          <w:rFonts w:ascii="Times New Roman" w:hAnsi="Times New Roman"/>
        </w:rPr>
        <w:t xml:space="preserve"> </w:t>
      </w:r>
      <w:r w:rsidR="00664D34" w:rsidRPr="009F791E">
        <w:rPr>
          <w:rFonts w:ascii="Times New Roman" w:hAnsi="Times New Roman"/>
        </w:rPr>
        <w:t>Zaciągnięte zobowiązania zostały przeznaczone na finansowanie zadań w okresie obowiązywania ogólnej klauzuli wyjścia (GEC</w:t>
      </w:r>
      <w:r w:rsidR="00565B1F" w:rsidRPr="009F791E">
        <w:rPr>
          <w:rFonts w:ascii="Times New Roman" w:hAnsi="Times New Roman"/>
        </w:rPr>
        <w:t>).</w:t>
      </w:r>
      <w:r w:rsidR="00B505A1">
        <w:rPr>
          <w:rFonts w:ascii="Times New Roman" w:hAnsi="Times New Roman"/>
        </w:rPr>
        <w:t xml:space="preserve"> </w:t>
      </w:r>
      <w:r w:rsidR="00664D34" w:rsidRPr="009F791E">
        <w:rPr>
          <w:rFonts w:ascii="Times New Roman" w:hAnsi="Times New Roman"/>
        </w:rPr>
        <w:t>W latach 2020</w:t>
      </w:r>
      <w:r w:rsidR="00B505A1">
        <w:rPr>
          <w:rFonts w:ascii="Times New Roman" w:hAnsi="Times New Roman"/>
        </w:rPr>
        <w:t>–</w:t>
      </w:r>
      <w:r w:rsidR="00664D34" w:rsidRPr="009F791E">
        <w:rPr>
          <w:rFonts w:ascii="Times New Roman" w:hAnsi="Times New Roman"/>
        </w:rPr>
        <w:t xml:space="preserve">2023 Komisja Europejska wprowadziła </w:t>
      </w:r>
      <w:r w:rsidR="00565B1F" w:rsidRPr="009F791E">
        <w:rPr>
          <w:rFonts w:ascii="Times New Roman" w:hAnsi="Times New Roman"/>
        </w:rPr>
        <w:t xml:space="preserve">bowiem </w:t>
      </w:r>
      <w:r w:rsidR="00664D34" w:rsidRPr="009F791E">
        <w:rPr>
          <w:rFonts w:ascii="Times New Roman" w:hAnsi="Times New Roman"/>
        </w:rPr>
        <w:t>ogólną klauzulę wyjścia, umożliwiającą zawieszenie unijnych reguł fiskalnych oraz dającą większą elastyczność państwom członkowskim w reagowaniu na pojawiające się szoki</w:t>
      </w:r>
      <w:r w:rsidR="00565B1F" w:rsidRPr="009F791E">
        <w:rPr>
          <w:rFonts w:ascii="Times New Roman" w:hAnsi="Times New Roman"/>
        </w:rPr>
        <w:t>.</w:t>
      </w:r>
      <w:r w:rsidR="00B505A1">
        <w:rPr>
          <w:rFonts w:ascii="Times New Roman" w:hAnsi="Times New Roman"/>
        </w:rPr>
        <w:t xml:space="preserve"> </w:t>
      </w:r>
      <w:r w:rsidR="00974D42" w:rsidRPr="009F791E">
        <w:rPr>
          <w:rFonts w:ascii="Times New Roman" w:hAnsi="Times New Roman"/>
        </w:rPr>
        <w:t xml:space="preserve">Wprowadzona zmiana uspójni sposób </w:t>
      </w:r>
      <w:r w:rsidR="00974D42" w:rsidRPr="009F791E">
        <w:rPr>
          <w:rFonts w:ascii="Times New Roman" w:hAnsi="Times New Roman"/>
        </w:rPr>
        <w:lastRenderedPageBreak/>
        <w:t>wpływu tych wydatków na przestrzeń wydatkową wynikającą z SRW z generalną klauzulą wyjścia</w:t>
      </w:r>
      <w:r w:rsidR="006320F4" w:rsidRPr="009F791E">
        <w:rPr>
          <w:rFonts w:ascii="Times New Roman" w:hAnsi="Times New Roman"/>
        </w:rPr>
        <w:t xml:space="preserve"> stosowaną w UE w latach 2020</w:t>
      </w:r>
      <w:r w:rsidR="00B505A1">
        <w:rPr>
          <w:rFonts w:ascii="Times New Roman" w:hAnsi="Times New Roman"/>
        </w:rPr>
        <w:t>–</w:t>
      </w:r>
      <w:r w:rsidR="006320F4" w:rsidRPr="009F791E">
        <w:rPr>
          <w:rFonts w:ascii="Times New Roman" w:hAnsi="Times New Roman"/>
        </w:rPr>
        <w:t>2023</w:t>
      </w:r>
      <w:r w:rsidR="00974D42" w:rsidRPr="009F791E">
        <w:rPr>
          <w:rFonts w:ascii="Times New Roman" w:hAnsi="Times New Roman"/>
        </w:rPr>
        <w:t>.</w:t>
      </w:r>
    </w:p>
    <w:p w14:paraId="6B5A3500" w14:textId="43C91C25" w:rsidR="002917FC" w:rsidRPr="009F791E" w:rsidRDefault="002917FC" w:rsidP="009F791E">
      <w:pPr>
        <w:spacing w:before="120" w:line="360" w:lineRule="auto"/>
        <w:jc w:val="both"/>
        <w:rPr>
          <w:rFonts w:ascii="Times New Roman" w:hAnsi="Times New Roman"/>
        </w:rPr>
      </w:pPr>
      <w:r w:rsidRPr="009F791E">
        <w:rPr>
          <w:rFonts w:ascii="Times New Roman" w:hAnsi="Times New Roman"/>
        </w:rPr>
        <w:t>Zgodnie z obowiązującymi regulacjami przekazanie środków z budżetu państwa na spłatę zobowiązań innej jednostki traktowane jest jako wydatek budżetu państwa, analogicznie tratowane są wypłaty z tytułu udzielonych gwarancji i poręczeń</w:t>
      </w:r>
      <w:r w:rsidR="00B80F57" w:rsidRPr="009F791E">
        <w:rPr>
          <w:rFonts w:ascii="Times New Roman" w:hAnsi="Times New Roman"/>
        </w:rPr>
        <w:t xml:space="preserve">, które </w:t>
      </w:r>
      <w:r w:rsidRPr="009F791E">
        <w:rPr>
          <w:rFonts w:ascii="Times New Roman" w:hAnsi="Times New Roman"/>
        </w:rPr>
        <w:t xml:space="preserve">klasyfikowane są one jako </w:t>
      </w:r>
      <w:r w:rsidR="00B80F57" w:rsidRPr="009F791E">
        <w:rPr>
          <w:rFonts w:ascii="Times New Roman" w:hAnsi="Times New Roman"/>
        </w:rPr>
        <w:t>wydatki na obsługę długu Skarbu Państwa</w:t>
      </w:r>
      <w:r w:rsidR="00B80F57" w:rsidRPr="009F791E">
        <w:rPr>
          <w:rFonts w:ascii="Times New Roman" w:hAnsi="Times New Roman"/>
          <w:vertAlign w:val="superscript"/>
        </w:rPr>
        <w:footnoteReference w:id="6"/>
      </w:r>
      <w:r w:rsidRPr="009F791E">
        <w:rPr>
          <w:rFonts w:ascii="Times New Roman" w:hAnsi="Times New Roman"/>
        </w:rPr>
        <w:t xml:space="preserve">. </w:t>
      </w:r>
    </w:p>
    <w:p w14:paraId="2685A46B" w14:textId="72A697D1" w:rsidR="003647C7" w:rsidRPr="009F791E" w:rsidRDefault="003647C7" w:rsidP="009F791E">
      <w:pPr>
        <w:spacing w:before="120" w:line="360" w:lineRule="auto"/>
        <w:jc w:val="both"/>
        <w:rPr>
          <w:rFonts w:ascii="Times New Roman" w:hAnsi="Times New Roman"/>
        </w:rPr>
      </w:pPr>
      <w:r w:rsidRPr="009F791E">
        <w:rPr>
          <w:rFonts w:ascii="Times New Roman" w:hAnsi="Times New Roman"/>
        </w:rPr>
        <w:t xml:space="preserve">Dokonanie spłaty zobowiązania wyemitowanego przez inny podmiot jest wydatkiem podmiotu </w:t>
      </w:r>
      <w:r w:rsidR="00315801" w:rsidRPr="009F791E">
        <w:rPr>
          <w:rFonts w:ascii="Times New Roman" w:hAnsi="Times New Roman"/>
        </w:rPr>
        <w:t>przekazującego środki temu innemu podmiotowi</w:t>
      </w:r>
      <w:r w:rsidR="00B505A1">
        <w:rPr>
          <w:rFonts w:ascii="Times New Roman" w:hAnsi="Times New Roman"/>
        </w:rPr>
        <w:t xml:space="preserve"> </w:t>
      </w:r>
      <w:r w:rsidR="00315801" w:rsidRPr="009F791E">
        <w:rPr>
          <w:rFonts w:ascii="Times New Roman" w:hAnsi="Times New Roman"/>
        </w:rPr>
        <w:t>na spłatę wyemitowanego lub zaciągniętego zobowiązania</w:t>
      </w:r>
      <w:r w:rsidRPr="009F791E">
        <w:rPr>
          <w:rFonts w:ascii="Times New Roman" w:hAnsi="Times New Roman"/>
        </w:rPr>
        <w:t>. W przypadku gdy spłaty kapitał</w:t>
      </w:r>
      <w:r w:rsidR="00315801" w:rsidRPr="009F791E">
        <w:rPr>
          <w:rFonts w:ascii="Times New Roman" w:hAnsi="Times New Roman"/>
        </w:rPr>
        <w:t>u</w:t>
      </w:r>
      <w:r w:rsidRPr="009F791E">
        <w:rPr>
          <w:rFonts w:ascii="Times New Roman" w:hAnsi="Times New Roman"/>
        </w:rPr>
        <w:t xml:space="preserve"> dokonuje podmiot zaciągający zobowiązanie</w:t>
      </w:r>
      <w:r w:rsidR="003A7003">
        <w:rPr>
          <w:rFonts w:ascii="Times New Roman" w:hAnsi="Times New Roman"/>
        </w:rPr>
        <w:t>,</w:t>
      </w:r>
      <w:r w:rsidRPr="009F791E">
        <w:rPr>
          <w:rFonts w:ascii="Times New Roman" w:hAnsi="Times New Roman"/>
        </w:rPr>
        <w:t xml:space="preserve"> operacja taka jest jego rozchodem</w:t>
      </w:r>
      <w:r w:rsidR="00315801" w:rsidRPr="009F791E">
        <w:rPr>
          <w:rFonts w:ascii="Times New Roman" w:hAnsi="Times New Roman"/>
        </w:rPr>
        <w:t xml:space="preserve"> wg ustawy o finansach publicznych, natomiast dla innych jednostek jest zmniejszeniem zobowiązań.</w:t>
      </w:r>
      <w:r w:rsidR="002531A7" w:rsidRPr="009F791E">
        <w:rPr>
          <w:rFonts w:ascii="Times New Roman" w:hAnsi="Times New Roman"/>
        </w:rPr>
        <w:t xml:space="preserve"> </w:t>
      </w:r>
      <w:r w:rsidR="00315801" w:rsidRPr="009F791E">
        <w:rPr>
          <w:rFonts w:ascii="Times New Roman" w:hAnsi="Times New Roman"/>
        </w:rPr>
        <w:t xml:space="preserve">W ustawie </w:t>
      </w:r>
      <w:r w:rsidR="002531A7" w:rsidRPr="009F791E">
        <w:rPr>
          <w:rFonts w:ascii="Times New Roman" w:hAnsi="Times New Roman"/>
        </w:rPr>
        <w:t>dokonano dookreślenia, że</w:t>
      </w:r>
      <w:r w:rsidR="00315801" w:rsidRPr="009F791E">
        <w:rPr>
          <w:rFonts w:ascii="Times New Roman" w:hAnsi="Times New Roman"/>
        </w:rPr>
        <w:t xml:space="preserve"> wydatki na </w:t>
      </w:r>
      <w:r w:rsidR="002531A7" w:rsidRPr="009F791E">
        <w:rPr>
          <w:rFonts w:ascii="Times New Roman" w:hAnsi="Times New Roman"/>
        </w:rPr>
        <w:t>spłat</w:t>
      </w:r>
      <w:r w:rsidR="00315801" w:rsidRPr="009F791E">
        <w:rPr>
          <w:rFonts w:ascii="Times New Roman" w:hAnsi="Times New Roman"/>
        </w:rPr>
        <w:t>y</w:t>
      </w:r>
      <w:r w:rsidR="002531A7" w:rsidRPr="009F791E">
        <w:rPr>
          <w:rFonts w:ascii="Times New Roman" w:hAnsi="Times New Roman"/>
        </w:rPr>
        <w:t xml:space="preserve"> nominalnych wartości instrumentów dłużnych nie </w:t>
      </w:r>
      <w:r w:rsidR="00315801" w:rsidRPr="009F791E">
        <w:rPr>
          <w:rFonts w:ascii="Times New Roman" w:hAnsi="Times New Roman"/>
        </w:rPr>
        <w:t>są zaliczane do</w:t>
      </w:r>
      <w:r w:rsidR="002531A7" w:rsidRPr="009F791E">
        <w:rPr>
          <w:rFonts w:ascii="Times New Roman" w:hAnsi="Times New Roman"/>
        </w:rPr>
        <w:t xml:space="preserve"> wydat</w:t>
      </w:r>
      <w:r w:rsidR="00315801" w:rsidRPr="009F791E">
        <w:rPr>
          <w:rFonts w:ascii="Times New Roman" w:hAnsi="Times New Roman"/>
        </w:rPr>
        <w:t>ków</w:t>
      </w:r>
      <w:r w:rsidR="002531A7" w:rsidRPr="009F791E">
        <w:rPr>
          <w:rFonts w:ascii="Times New Roman" w:hAnsi="Times New Roman"/>
        </w:rPr>
        <w:t xml:space="preserve"> na potrzeby obliczania SRW.</w:t>
      </w:r>
      <w:r w:rsidRPr="009F791E">
        <w:rPr>
          <w:rFonts w:ascii="Times New Roman" w:hAnsi="Times New Roman"/>
        </w:rPr>
        <w:t xml:space="preserve"> </w:t>
      </w:r>
    </w:p>
    <w:p w14:paraId="4F95CA2D" w14:textId="7A613906" w:rsidR="00822057" w:rsidRPr="009F791E" w:rsidRDefault="003647C7" w:rsidP="009F791E">
      <w:pPr>
        <w:spacing w:before="120" w:line="360" w:lineRule="auto"/>
        <w:jc w:val="both"/>
        <w:rPr>
          <w:rFonts w:ascii="Times New Roman" w:hAnsi="Times New Roman"/>
        </w:rPr>
      </w:pPr>
      <w:r w:rsidRPr="009F791E">
        <w:rPr>
          <w:rFonts w:ascii="Times New Roman" w:hAnsi="Times New Roman"/>
        </w:rPr>
        <w:t xml:space="preserve">Projekt przewiduje przeniesienie rozwiązania </w:t>
      </w:r>
      <w:r w:rsidR="00E74F16" w:rsidRPr="009F791E">
        <w:rPr>
          <w:rFonts w:ascii="Times New Roman" w:hAnsi="Times New Roman"/>
        </w:rPr>
        <w:t>funkcjonującego w skali mikro (na poziomie poszczególnych jednostek), na poziom makro (na poziom jednostek i organów objętych SRW, traktowanych jako całość).</w:t>
      </w:r>
      <w:r w:rsidR="00B505A1">
        <w:rPr>
          <w:rFonts w:ascii="Times New Roman" w:hAnsi="Times New Roman"/>
        </w:rPr>
        <w:t xml:space="preserve"> </w:t>
      </w:r>
      <w:r w:rsidR="00E74F16" w:rsidRPr="009F791E">
        <w:rPr>
          <w:rFonts w:ascii="Times New Roman" w:hAnsi="Times New Roman"/>
        </w:rPr>
        <w:t>Z pun</w:t>
      </w:r>
      <w:r w:rsidR="00BB6861" w:rsidRPr="009F791E">
        <w:rPr>
          <w:rFonts w:ascii="Times New Roman" w:hAnsi="Times New Roman"/>
        </w:rPr>
        <w:t>k</w:t>
      </w:r>
      <w:r w:rsidR="00E74F16" w:rsidRPr="009F791E">
        <w:rPr>
          <w:rFonts w:ascii="Times New Roman" w:hAnsi="Times New Roman"/>
        </w:rPr>
        <w:t>tu widzenie sektora instytucji rządowych i samorządowych jaki całości nie jest istotne jaka jednostka tego sektora dokonuje spłaty zobowiązania. Zasad</w:t>
      </w:r>
      <w:r w:rsidR="00822057" w:rsidRPr="009F791E">
        <w:rPr>
          <w:rFonts w:ascii="Times New Roman" w:hAnsi="Times New Roman"/>
        </w:rPr>
        <w:t>ą</w:t>
      </w:r>
      <w:r w:rsidR="00E74F16" w:rsidRPr="009F791E">
        <w:rPr>
          <w:rFonts w:ascii="Times New Roman" w:hAnsi="Times New Roman"/>
        </w:rPr>
        <w:t xml:space="preserve"> jest</w:t>
      </w:r>
      <w:r w:rsidR="00822057" w:rsidRPr="009F791E">
        <w:rPr>
          <w:rFonts w:ascii="Times New Roman" w:hAnsi="Times New Roman"/>
        </w:rPr>
        <w:t>,</w:t>
      </w:r>
      <w:r w:rsidR="00E74F16" w:rsidRPr="009F791E">
        <w:rPr>
          <w:rFonts w:ascii="Times New Roman" w:hAnsi="Times New Roman"/>
        </w:rPr>
        <w:t xml:space="preserve"> że prezentując dane dotyczące sektora instytucji rządowych i samorządowych</w:t>
      </w:r>
      <w:r w:rsidR="003A7003">
        <w:rPr>
          <w:rFonts w:ascii="Times New Roman" w:hAnsi="Times New Roman"/>
        </w:rPr>
        <w:t>,</w:t>
      </w:r>
      <w:r w:rsidR="00E74F16" w:rsidRPr="009F791E">
        <w:rPr>
          <w:rFonts w:ascii="Times New Roman" w:hAnsi="Times New Roman"/>
        </w:rPr>
        <w:t xml:space="preserve"> dokonuje się ich konsolidacji</w:t>
      </w:r>
      <w:r w:rsidR="00540C54" w:rsidRPr="009F791E">
        <w:rPr>
          <w:rFonts w:ascii="Times New Roman" w:hAnsi="Times New Roman"/>
        </w:rPr>
        <w:t>,</w:t>
      </w:r>
      <w:r w:rsidR="00E74F16" w:rsidRPr="009F791E">
        <w:rPr>
          <w:rFonts w:ascii="Times New Roman" w:hAnsi="Times New Roman"/>
        </w:rPr>
        <w:t xml:space="preserve"> czyli eliminacji przepływów pomiędzy jednostkami tego sektora (dochody, wydatki)</w:t>
      </w:r>
      <w:r w:rsidR="00540C54" w:rsidRPr="009F791E">
        <w:rPr>
          <w:rFonts w:ascii="Times New Roman" w:hAnsi="Times New Roman"/>
        </w:rPr>
        <w:t>,</w:t>
      </w:r>
      <w:r w:rsidR="00E74F16" w:rsidRPr="009F791E">
        <w:rPr>
          <w:rFonts w:ascii="Times New Roman" w:hAnsi="Times New Roman"/>
        </w:rPr>
        <w:t xml:space="preserve"> </w:t>
      </w:r>
      <w:r w:rsidR="00E83D06" w:rsidRPr="009F791E">
        <w:rPr>
          <w:rFonts w:ascii="Times New Roman" w:hAnsi="Times New Roman"/>
        </w:rPr>
        <w:t>oraz</w:t>
      </w:r>
      <w:r w:rsidR="00E74F16" w:rsidRPr="009F791E">
        <w:rPr>
          <w:rFonts w:ascii="Times New Roman" w:hAnsi="Times New Roman"/>
        </w:rPr>
        <w:t xml:space="preserve"> wzajemnych zobowiązań między jednostkami tego sektor</w:t>
      </w:r>
      <w:r w:rsidR="00461747" w:rsidRPr="009F791E">
        <w:rPr>
          <w:rFonts w:ascii="Times New Roman" w:hAnsi="Times New Roman"/>
        </w:rPr>
        <w:t>a</w:t>
      </w:r>
      <w:r w:rsidR="00E74F16" w:rsidRPr="009F791E">
        <w:rPr>
          <w:rFonts w:ascii="Times New Roman" w:hAnsi="Times New Roman"/>
        </w:rPr>
        <w:t xml:space="preserve"> (dług). </w:t>
      </w:r>
    </w:p>
    <w:p w14:paraId="1C866635" w14:textId="13C41236" w:rsidR="003647C7" w:rsidRPr="009F791E" w:rsidRDefault="00822057" w:rsidP="009F791E">
      <w:pPr>
        <w:spacing w:before="120" w:line="360" w:lineRule="auto"/>
        <w:jc w:val="both"/>
        <w:rPr>
          <w:rFonts w:ascii="Times New Roman" w:hAnsi="Times New Roman"/>
        </w:rPr>
      </w:pPr>
      <w:r w:rsidRPr="009F791E">
        <w:rPr>
          <w:rFonts w:ascii="Times New Roman" w:hAnsi="Times New Roman"/>
        </w:rPr>
        <w:t xml:space="preserve">Z powyższych względów, ujednolicając podejście </w:t>
      </w:r>
      <w:r w:rsidR="00540C54" w:rsidRPr="009F791E">
        <w:rPr>
          <w:rFonts w:ascii="Times New Roman" w:hAnsi="Times New Roman"/>
        </w:rPr>
        <w:t>ekonomiczne</w:t>
      </w:r>
      <w:r w:rsidR="00E83D06" w:rsidRPr="009F791E">
        <w:rPr>
          <w:rFonts w:ascii="Times New Roman" w:hAnsi="Times New Roman"/>
        </w:rPr>
        <w:t>,</w:t>
      </w:r>
      <w:r w:rsidRPr="009F791E">
        <w:rPr>
          <w:rFonts w:ascii="Times New Roman" w:hAnsi="Times New Roman"/>
        </w:rPr>
        <w:t xml:space="preserve"> planuje się wprowadzić rozwiązanie,</w:t>
      </w:r>
      <w:r w:rsidR="00540C54" w:rsidRPr="009F791E">
        <w:rPr>
          <w:rFonts w:ascii="Times New Roman" w:hAnsi="Times New Roman"/>
        </w:rPr>
        <w:t xml:space="preserve"> aby spłata przez budżet państwa zobowiązań </w:t>
      </w:r>
      <w:r w:rsidR="00E74F16" w:rsidRPr="009F791E">
        <w:rPr>
          <w:rFonts w:ascii="Times New Roman" w:hAnsi="Times New Roman"/>
        </w:rPr>
        <w:t xml:space="preserve">zaciągniętych </w:t>
      </w:r>
      <w:r w:rsidR="00540C54" w:rsidRPr="009F791E">
        <w:rPr>
          <w:rFonts w:ascii="Times New Roman" w:hAnsi="Times New Roman"/>
        </w:rPr>
        <w:t>przez inne jednostki</w:t>
      </w:r>
      <w:r w:rsidR="00D20072" w:rsidRPr="009F791E">
        <w:rPr>
          <w:rFonts w:ascii="Times New Roman" w:hAnsi="Times New Roman"/>
        </w:rPr>
        <w:t xml:space="preserve"> niż jednostki objęte SRW</w:t>
      </w:r>
      <w:r w:rsidR="00540C54" w:rsidRPr="009F791E">
        <w:rPr>
          <w:rFonts w:ascii="Times New Roman" w:hAnsi="Times New Roman"/>
        </w:rPr>
        <w:t xml:space="preserve"> </w:t>
      </w:r>
      <w:r w:rsidR="00E74F16" w:rsidRPr="009F791E">
        <w:rPr>
          <w:rFonts w:ascii="Times New Roman" w:hAnsi="Times New Roman"/>
        </w:rPr>
        <w:t>pomiędzy</w:t>
      </w:r>
      <w:r w:rsidR="0039259D" w:rsidRPr="009F791E">
        <w:rPr>
          <w:rFonts w:ascii="Times New Roman" w:hAnsi="Times New Roman"/>
        </w:rPr>
        <w:t xml:space="preserve"> dniem</w:t>
      </w:r>
      <w:r w:rsidR="00E74F16" w:rsidRPr="009F791E">
        <w:rPr>
          <w:rFonts w:ascii="Times New Roman" w:hAnsi="Times New Roman"/>
        </w:rPr>
        <w:t xml:space="preserve"> </w:t>
      </w:r>
      <w:r w:rsidR="00D20072" w:rsidRPr="009F791E">
        <w:rPr>
          <w:rFonts w:ascii="Times New Roman" w:hAnsi="Times New Roman"/>
        </w:rPr>
        <w:t xml:space="preserve">14 </w:t>
      </w:r>
      <w:r w:rsidR="00E74F16" w:rsidRPr="009F791E">
        <w:rPr>
          <w:rFonts w:ascii="Times New Roman" w:hAnsi="Times New Roman"/>
        </w:rPr>
        <w:t>marca 2020 r</w:t>
      </w:r>
      <w:r w:rsidR="00BB6861" w:rsidRPr="009F791E">
        <w:rPr>
          <w:rFonts w:ascii="Times New Roman" w:hAnsi="Times New Roman"/>
        </w:rPr>
        <w:t>.</w:t>
      </w:r>
      <w:r w:rsidR="00E74F16" w:rsidRPr="009F791E">
        <w:rPr>
          <w:rFonts w:ascii="Times New Roman" w:hAnsi="Times New Roman"/>
        </w:rPr>
        <w:t xml:space="preserve"> a</w:t>
      </w:r>
      <w:r w:rsidR="0039259D" w:rsidRPr="009F791E">
        <w:rPr>
          <w:rFonts w:ascii="Times New Roman" w:hAnsi="Times New Roman"/>
        </w:rPr>
        <w:t xml:space="preserve"> dniem</w:t>
      </w:r>
      <w:r w:rsidR="00E74F16" w:rsidRPr="009F791E">
        <w:rPr>
          <w:rFonts w:ascii="Times New Roman" w:hAnsi="Times New Roman"/>
        </w:rPr>
        <w:t xml:space="preserve"> </w:t>
      </w:r>
      <w:r w:rsidR="005A2F14" w:rsidRPr="009F791E">
        <w:rPr>
          <w:rFonts w:ascii="Times New Roman" w:hAnsi="Times New Roman"/>
        </w:rPr>
        <w:t>30</w:t>
      </w:r>
      <w:r w:rsidR="00E74F16" w:rsidRPr="009F791E">
        <w:rPr>
          <w:rFonts w:ascii="Times New Roman" w:hAnsi="Times New Roman"/>
        </w:rPr>
        <w:t xml:space="preserve"> </w:t>
      </w:r>
      <w:r w:rsidR="005A2F14" w:rsidRPr="009F791E">
        <w:rPr>
          <w:rFonts w:ascii="Times New Roman" w:hAnsi="Times New Roman"/>
        </w:rPr>
        <w:t xml:space="preserve">czerwca </w:t>
      </w:r>
      <w:r w:rsidR="00E74F16" w:rsidRPr="009F791E">
        <w:rPr>
          <w:rFonts w:ascii="Times New Roman" w:hAnsi="Times New Roman"/>
        </w:rPr>
        <w:t>2023 r</w:t>
      </w:r>
      <w:r w:rsidR="00BB6861" w:rsidRPr="009F791E">
        <w:rPr>
          <w:rFonts w:ascii="Times New Roman" w:hAnsi="Times New Roman"/>
        </w:rPr>
        <w:t>.</w:t>
      </w:r>
      <w:r w:rsidR="00E74F16" w:rsidRPr="009F791E">
        <w:rPr>
          <w:rFonts w:ascii="Times New Roman" w:hAnsi="Times New Roman"/>
        </w:rPr>
        <w:t xml:space="preserve"> objętych gwarancjami i poręczeniami Skarbu Państwa</w:t>
      </w:r>
      <w:r w:rsidR="00540C54" w:rsidRPr="009F791E">
        <w:rPr>
          <w:rFonts w:ascii="Times New Roman" w:hAnsi="Times New Roman"/>
        </w:rPr>
        <w:t xml:space="preserve"> nie była objęta SRW. </w:t>
      </w:r>
    </w:p>
    <w:p w14:paraId="6C55039C" w14:textId="2CEEC824" w:rsidR="00B95093" w:rsidRPr="009F791E" w:rsidRDefault="00B95093" w:rsidP="009F791E">
      <w:pPr>
        <w:pStyle w:val="Nagwek2"/>
        <w:spacing w:line="360" w:lineRule="auto"/>
        <w:rPr>
          <w:rFonts w:ascii="Times New Roman" w:hAnsi="Times New Roman" w:cs="Times New Roman"/>
          <w:b/>
          <w:bCs/>
          <w:color w:val="auto"/>
          <w:sz w:val="24"/>
          <w:szCs w:val="24"/>
        </w:rPr>
      </w:pPr>
      <w:r w:rsidRPr="009F791E">
        <w:rPr>
          <w:rFonts w:ascii="Times New Roman" w:hAnsi="Times New Roman" w:cs="Times New Roman"/>
          <w:b/>
          <w:bCs/>
          <w:color w:val="auto"/>
          <w:sz w:val="24"/>
          <w:szCs w:val="24"/>
        </w:rPr>
        <w:t>Kwota startowa</w:t>
      </w:r>
    </w:p>
    <w:p w14:paraId="1C552DB0" w14:textId="292F4879" w:rsidR="00B95093" w:rsidRPr="009F791E" w:rsidRDefault="00B95093" w:rsidP="009F791E">
      <w:pPr>
        <w:spacing w:before="120" w:line="360" w:lineRule="auto"/>
        <w:jc w:val="both"/>
        <w:rPr>
          <w:rFonts w:ascii="Times New Roman" w:hAnsi="Times New Roman"/>
        </w:rPr>
      </w:pPr>
      <w:r w:rsidRPr="009F791E">
        <w:rPr>
          <w:rFonts w:ascii="Times New Roman" w:hAnsi="Times New Roman"/>
        </w:rPr>
        <w:t xml:space="preserve">Zmiana zakresu podmiotowego SRW oraz zmiana zakresu operacji uwzględnianych w kwocie wydatków SRW (zrównanie </w:t>
      </w:r>
      <w:r w:rsidR="00E83D06" w:rsidRPr="009F791E">
        <w:rPr>
          <w:rFonts w:ascii="Times New Roman" w:hAnsi="Times New Roman"/>
        </w:rPr>
        <w:t xml:space="preserve">z wydatkami </w:t>
      </w:r>
      <w:r w:rsidRPr="009F791E">
        <w:rPr>
          <w:rFonts w:ascii="Times New Roman" w:hAnsi="Times New Roman"/>
        </w:rPr>
        <w:t>nieodpłatnego przekazania s</w:t>
      </w:r>
      <w:r w:rsidR="00BB6861" w:rsidRPr="009F791E">
        <w:rPr>
          <w:rFonts w:ascii="Times New Roman" w:hAnsi="Times New Roman"/>
        </w:rPr>
        <w:t>pw</w:t>
      </w:r>
      <w:r w:rsidRPr="009F791E">
        <w:rPr>
          <w:rFonts w:ascii="Times New Roman" w:hAnsi="Times New Roman"/>
        </w:rPr>
        <w:t xml:space="preserve"> przez jednostki i</w:t>
      </w:r>
      <w:r w:rsidR="00BB6861" w:rsidRPr="009F791E">
        <w:rPr>
          <w:rFonts w:ascii="Times New Roman" w:hAnsi="Times New Roman"/>
        </w:rPr>
        <w:t> </w:t>
      </w:r>
      <w:r w:rsidRPr="009F791E">
        <w:rPr>
          <w:rFonts w:ascii="Times New Roman" w:hAnsi="Times New Roman"/>
        </w:rPr>
        <w:t>or</w:t>
      </w:r>
      <w:r w:rsidR="00A002B3" w:rsidRPr="009F791E">
        <w:rPr>
          <w:rFonts w:ascii="Times New Roman" w:hAnsi="Times New Roman"/>
        </w:rPr>
        <w:t>g</w:t>
      </w:r>
      <w:r w:rsidRPr="009F791E">
        <w:rPr>
          <w:rFonts w:ascii="Times New Roman" w:hAnsi="Times New Roman"/>
        </w:rPr>
        <w:t xml:space="preserve">any objęte SRW jednostkom zaliczanym do sektora instytucji rządowych i samorządowych </w:t>
      </w:r>
      <w:r w:rsidR="005730D8" w:rsidRPr="009F791E">
        <w:rPr>
          <w:rFonts w:ascii="Times New Roman" w:hAnsi="Times New Roman"/>
        </w:rPr>
        <w:t xml:space="preserve">oraz rozszerzenie wyłączeń o współfinansowanie wydatków finansowanych ze środków </w:t>
      </w:r>
      <w:r w:rsidR="005730D8" w:rsidRPr="009F791E">
        <w:rPr>
          <w:rFonts w:ascii="Times New Roman" w:hAnsi="Times New Roman"/>
        </w:rPr>
        <w:lastRenderedPageBreak/>
        <w:t>z</w:t>
      </w:r>
      <w:r w:rsidR="00BB6861" w:rsidRPr="009F791E">
        <w:rPr>
          <w:rFonts w:ascii="Times New Roman" w:hAnsi="Times New Roman"/>
        </w:rPr>
        <w:t> </w:t>
      </w:r>
      <w:r w:rsidR="005730D8" w:rsidRPr="009F791E">
        <w:rPr>
          <w:rFonts w:ascii="Times New Roman" w:hAnsi="Times New Roman"/>
        </w:rPr>
        <w:t>bezzwrotnej pomocy UE</w:t>
      </w:r>
      <w:r w:rsidRPr="009F791E">
        <w:rPr>
          <w:rFonts w:ascii="Times New Roman" w:hAnsi="Times New Roman"/>
        </w:rPr>
        <w:t>) skutkuje koniecznością skorygowania kwoty startowej wydatków stanowiącej podstawę ustalenia kwoty wydatków SRW na rok 2025.</w:t>
      </w:r>
    </w:p>
    <w:p w14:paraId="083AD23D" w14:textId="55767263" w:rsidR="00B95093" w:rsidRPr="009F791E" w:rsidRDefault="003032C1" w:rsidP="009F791E">
      <w:pPr>
        <w:spacing w:before="120" w:line="360" w:lineRule="auto"/>
        <w:jc w:val="both"/>
        <w:rPr>
          <w:rFonts w:ascii="Times New Roman" w:hAnsi="Times New Roman"/>
        </w:rPr>
      </w:pPr>
      <w:r w:rsidRPr="009F791E">
        <w:rPr>
          <w:rFonts w:ascii="Times New Roman" w:hAnsi="Times New Roman"/>
        </w:rPr>
        <w:t>Proponuje</w:t>
      </w:r>
      <w:r w:rsidR="00B95093" w:rsidRPr="009F791E">
        <w:rPr>
          <w:rFonts w:ascii="Times New Roman" w:hAnsi="Times New Roman"/>
        </w:rPr>
        <w:t xml:space="preserve"> się, aby kwota startow</w:t>
      </w:r>
      <w:r w:rsidR="009A21AC" w:rsidRPr="009F791E">
        <w:rPr>
          <w:rFonts w:ascii="Times New Roman" w:hAnsi="Times New Roman"/>
        </w:rPr>
        <w:t>a</w:t>
      </w:r>
      <w:r w:rsidR="00B95093" w:rsidRPr="009F791E">
        <w:rPr>
          <w:rFonts w:ascii="Times New Roman" w:hAnsi="Times New Roman"/>
        </w:rPr>
        <w:t xml:space="preserve"> stanowiąca podstawę ustalenia kwoty wydatków SRW na rok 2025, tj</w:t>
      </w:r>
      <w:r w:rsidRPr="009F791E">
        <w:rPr>
          <w:rFonts w:ascii="Times New Roman" w:hAnsi="Times New Roman"/>
        </w:rPr>
        <w:t xml:space="preserve">. kwota oznaczona symbolem </w:t>
      </w:r>
      <m:oMath>
        <m:sSubSup>
          <m:sSubSupPr>
            <m:ctrlPr>
              <w:rPr>
                <w:rFonts w:ascii="Cambria Math" w:hAnsi="Cambria Math"/>
                <w:i/>
              </w:rPr>
            </m:ctrlPr>
          </m:sSubSupPr>
          <m:e>
            <m:r>
              <w:rPr>
                <w:rFonts w:ascii="Cambria Math" w:hAnsi="Cambria Math"/>
              </w:rPr>
              <m:t>WYD</m:t>
            </m:r>
          </m:e>
          <m:sub>
            <m:r>
              <w:rPr>
                <w:rFonts w:ascii="Cambria Math" w:hAnsi="Cambria Math"/>
              </w:rPr>
              <m:t>n-1</m:t>
            </m:r>
          </m:sub>
          <m:sup>
            <m:r>
              <w:rPr>
                <w:rFonts w:ascii="Cambria Math" w:hAnsi="Cambria Math"/>
              </w:rPr>
              <m:t>*</m:t>
            </m:r>
          </m:sup>
        </m:sSubSup>
      </m:oMath>
      <w:r w:rsidRPr="009F791E">
        <w:rPr>
          <w:rFonts w:ascii="Times New Roman" w:hAnsi="Times New Roman"/>
        </w:rPr>
        <w:t xml:space="preserve"> we wzorze określonym w art. 112aa ust.</w:t>
      </w:r>
      <w:r w:rsidR="003A7003">
        <w:rPr>
          <w:rFonts w:ascii="Times New Roman" w:hAnsi="Times New Roman"/>
        </w:rPr>
        <w:t xml:space="preserve"> </w:t>
      </w:r>
      <w:r w:rsidRPr="009F791E">
        <w:rPr>
          <w:rFonts w:ascii="Times New Roman" w:hAnsi="Times New Roman"/>
        </w:rPr>
        <w:t>1 ustawy o finansach publicznych</w:t>
      </w:r>
      <w:r w:rsidR="003A7003">
        <w:rPr>
          <w:rFonts w:ascii="Times New Roman" w:hAnsi="Times New Roman"/>
        </w:rPr>
        <w:t>,</w:t>
      </w:r>
      <w:r w:rsidRPr="009F791E">
        <w:rPr>
          <w:rFonts w:ascii="Times New Roman" w:hAnsi="Times New Roman"/>
        </w:rPr>
        <w:t xml:space="preserve"> wyniosła </w:t>
      </w:r>
      <w:r w:rsidR="00B14E8D" w:rsidRPr="009F791E">
        <w:rPr>
          <w:rFonts w:ascii="Times New Roman" w:hAnsi="Times New Roman"/>
        </w:rPr>
        <w:t>1 724 188 910</w:t>
      </w:r>
      <w:r w:rsidRPr="009F791E">
        <w:rPr>
          <w:rFonts w:ascii="Times New Roman" w:hAnsi="Times New Roman"/>
        </w:rPr>
        <w:t xml:space="preserve"> </w:t>
      </w:r>
      <w:r w:rsidR="00A002B3" w:rsidRPr="009F791E">
        <w:rPr>
          <w:rFonts w:ascii="Times New Roman" w:hAnsi="Times New Roman"/>
        </w:rPr>
        <w:t>tys.</w:t>
      </w:r>
      <w:r w:rsidRPr="009F791E">
        <w:rPr>
          <w:rFonts w:ascii="Times New Roman" w:hAnsi="Times New Roman"/>
        </w:rPr>
        <w:t xml:space="preserve"> zł. </w:t>
      </w:r>
    </w:p>
    <w:p w14:paraId="7CBAC7D4" w14:textId="4656C63B" w:rsidR="00B95093" w:rsidRPr="009F791E" w:rsidRDefault="003032C1" w:rsidP="009F791E">
      <w:pPr>
        <w:spacing w:before="120" w:line="360" w:lineRule="auto"/>
        <w:jc w:val="both"/>
        <w:rPr>
          <w:rFonts w:ascii="Times New Roman" w:hAnsi="Times New Roman"/>
        </w:rPr>
      </w:pPr>
      <w:r w:rsidRPr="009F791E">
        <w:rPr>
          <w:rFonts w:ascii="Times New Roman" w:hAnsi="Times New Roman"/>
        </w:rPr>
        <w:t>Ustalając tę wartość</w:t>
      </w:r>
      <w:r w:rsidR="003A7003">
        <w:rPr>
          <w:rFonts w:ascii="Times New Roman" w:hAnsi="Times New Roman"/>
        </w:rPr>
        <w:t>,</w:t>
      </w:r>
      <w:r w:rsidRPr="009F791E">
        <w:rPr>
          <w:rFonts w:ascii="Times New Roman" w:hAnsi="Times New Roman"/>
        </w:rPr>
        <w:t xml:space="preserve"> za punkt wyjścia przyjęto kwotę wydatków SRW określoną w ustawie budżetowej na rok 2024 w wysokości 1 703 995 918 tys. zł. Wartość tę skorygowano o </w:t>
      </w:r>
      <w:r w:rsidR="00315801" w:rsidRPr="009F791E">
        <w:rPr>
          <w:rFonts w:ascii="Times New Roman" w:hAnsi="Times New Roman"/>
        </w:rPr>
        <w:t xml:space="preserve">maksymalną </w:t>
      </w:r>
      <w:r w:rsidRPr="009F791E">
        <w:rPr>
          <w:rFonts w:ascii="Times New Roman" w:hAnsi="Times New Roman"/>
        </w:rPr>
        <w:t xml:space="preserve">wartość nominalną </w:t>
      </w:r>
      <w:r w:rsidR="00E83D06" w:rsidRPr="009F791E">
        <w:rPr>
          <w:rFonts w:ascii="Times New Roman" w:hAnsi="Times New Roman"/>
        </w:rPr>
        <w:t xml:space="preserve">skarbowych papierów wartościowych </w:t>
      </w:r>
      <w:r w:rsidRPr="009F791E">
        <w:rPr>
          <w:rFonts w:ascii="Times New Roman" w:hAnsi="Times New Roman"/>
        </w:rPr>
        <w:t>planowanych</w:t>
      </w:r>
      <w:r w:rsidR="00E83D06" w:rsidRPr="009F791E">
        <w:rPr>
          <w:rFonts w:ascii="Times New Roman" w:hAnsi="Times New Roman"/>
        </w:rPr>
        <w:t>,</w:t>
      </w:r>
      <w:r w:rsidRPr="009F791E">
        <w:rPr>
          <w:rFonts w:ascii="Times New Roman" w:hAnsi="Times New Roman"/>
        </w:rPr>
        <w:t xml:space="preserve"> </w:t>
      </w:r>
      <w:r w:rsidR="005730D8" w:rsidRPr="009F791E">
        <w:rPr>
          <w:rFonts w:ascii="Times New Roman" w:hAnsi="Times New Roman"/>
        </w:rPr>
        <w:t>w ustawie budżetowej na rok 2024</w:t>
      </w:r>
      <w:r w:rsidR="00E83D06" w:rsidRPr="009F791E">
        <w:rPr>
          <w:rFonts w:ascii="Times New Roman" w:hAnsi="Times New Roman"/>
        </w:rPr>
        <w:t>,</w:t>
      </w:r>
      <w:r w:rsidR="005730D8" w:rsidRPr="009F791E">
        <w:rPr>
          <w:rFonts w:ascii="Times New Roman" w:hAnsi="Times New Roman"/>
        </w:rPr>
        <w:t xml:space="preserve"> </w:t>
      </w:r>
      <w:r w:rsidRPr="009F791E">
        <w:rPr>
          <w:rFonts w:ascii="Times New Roman" w:hAnsi="Times New Roman"/>
        </w:rPr>
        <w:t>do nieodpłatnego przekazania, tj.</w:t>
      </w:r>
      <w:r w:rsidR="00E83D06" w:rsidRPr="009F791E">
        <w:rPr>
          <w:rFonts w:ascii="Times New Roman" w:hAnsi="Times New Roman"/>
        </w:rPr>
        <w:t xml:space="preserve"> zwiększenie o</w:t>
      </w:r>
      <w:r w:rsidRPr="009F791E">
        <w:rPr>
          <w:rFonts w:ascii="Times New Roman" w:hAnsi="Times New Roman"/>
        </w:rPr>
        <w:t xml:space="preserve"> 24 mld zł oraz o zaplanowane w planach finansowych jednostek i organów objętych SRW wydatki na współfinansowanie wydatków finansowanych ze środków z bezzwrotnej pomocy UE (</w:t>
      </w:r>
      <w:r w:rsidR="00B77775" w:rsidRPr="009F791E">
        <w:rPr>
          <w:rFonts w:ascii="Times New Roman" w:hAnsi="Times New Roman"/>
        </w:rPr>
        <w:t>pomniejszenie</w:t>
      </w:r>
      <w:r w:rsidRPr="009F791E">
        <w:rPr>
          <w:rFonts w:ascii="Times New Roman" w:hAnsi="Times New Roman"/>
        </w:rPr>
        <w:t xml:space="preserve">) i skutki </w:t>
      </w:r>
      <w:r w:rsidR="00B77775" w:rsidRPr="009F791E">
        <w:rPr>
          <w:rFonts w:ascii="Times New Roman" w:hAnsi="Times New Roman"/>
        </w:rPr>
        <w:t xml:space="preserve">netto </w:t>
      </w:r>
      <w:r w:rsidRPr="009F791E">
        <w:rPr>
          <w:rFonts w:ascii="Times New Roman" w:hAnsi="Times New Roman"/>
        </w:rPr>
        <w:t>rozszerzenia zakresu SRW (</w:t>
      </w:r>
      <w:r w:rsidR="00B77775" w:rsidRPr="009F791E">
        <w:rPr>
          <w:rFonts w:ascii="Times New Roman" w:hAnsi="Times New Roman"/>
        </w:rPr>
        <w:t xml:space="preserve">planowane </w:t>
      </w:r>
      <w:r w:rsidR="005730D8" w:rsidRPr="009F791E">
        <w:rPr>
          <w:rFonts w:ascii="Times New Roman" w:hAnsi="Times New Roman"/>
        </w:rPr>
        <w:t xml:space="preserve">w ustawie budżetowej na rok 2024 </w:t>
      </w:r>
      <w:r w:rsidR="00B77775" w:rsidRPr="009F791E">
        <w:rPr>
          <w:rFonts w:ascii="Times New Roman" w:hAnsi="Times New Roman"/>
        </w:rPr>
        <w:t xml:space="preserve">wydatki </w:t>
      </w:r>
      <w:bookmarkStart w:id="1" w:name="_Hlk166870081"/>
      <w:r w:rsidR="00B77775" w:rsidRPr="009F791E">
        <w:rPr>
          <w:rFonts w:ascii="Times New Roman" w:hAnsi="Times New Roman"/>
        </w:rPr>
        <w:t>agencji wykonawczych, ZUS, instytucji gospodarki budżetowej i państwowych osób prawnych</w:t>
      </w:r>
      <w:r w:rsidR="00BB6861" w:rsidRPr="009F791E">
        <w:rPr>
          <w:rFonts w:ascii="Times New Roman" w:hAnsi="Times New Roman"/>
        </w:rPr>
        <w:t>,</w:t>
      </w:r>
      <w:r w:rsidR="00B77775" w:rsidRPr="009F791E">
        <w:rPr>
          <w:rFonts w:ascii="Times New Roman" w:hAnsi="Times New Roman"/>
        </w:rPr>
        <w:t xml:space="preserve"> o</w:t>
      </w:r>
      <w:r w:rsidR="00BB6861" w:rsidRPr="009F791E">
        <w:rPr>
          <w:rFonts w:ascii="Times New Roman" w:hAnsi="Times New Roman"/>
        </w:rPr>
        <w:t> </w:t>
      </w:r>
      <w:r w:rsidR="00B77775" w:rsidRPr="009F791E">
        <w:rPr>
          <w:rFonts w:ascii="Times New Roman" w:hAnsi="Times New Roman"/>
        </w:rPr>
        <w:t>których mowa w art. 9 pkt 14 ustawy o finansach publicznych innych niż NFOŚiGW</w:t>
      </w:r>
      <w:bookmarkEnd w:id="1"/>
      <w:r w:rsidR="00B77775" w:rsidRPr="009F791E">
        <w:rPr>
          <w:rFonts w:ascii="Times New Roman" w:hAnsi="Times New Roman"/>
        </w:rPr>
        <w:t>)</w:t>
      </w:r>
      <w:r w:rsidR="00A002B3" w:rsidRPr="009F791E">
        <w:rPr>
          <w:rFonts w:ascii="Times New Roman" w:hAnsi="Times New Roman"/>
        </w:rPr>
        <w:t xml:space="preserve">. </w:t>
      </w:r>
    </w:p>
    <w:p w14:paraId="0FEE295C" w14:textId="5135D9AE" w:rsidR="004D653C" w:rsidRPr="009F791E" w:rsidRDefault="004D653C" w:rsidP="009F791E">
      <w:pPr>
        <w:spacing w:before="120" w:line="360" w:lineRule="auto"/>
        <w:jc w:val="both"/>
        <w:rPr>
          <w:rFonts w:ascii="Times New Roman" w:hAnsi="Times New Roman"/>
        </w:rPr>
      </w:pPr>
      <w:r w:rsidRPr="009F791E">
        <w:rPr>
          <w:rFonts w:ascii="Times New Roman" w:hAnsi="Times New Roman"/>
        </w:rPr>
        <w:t>Obecna szczegółowość planów finansowych większości jednostek, o które rozszerzany jest zakres podmiotowy SRW</w:t>
      </w:r>
      <w:r w:rsidR="00E024A4" w:rsidRPr="009F791E">
        <w:rPr>
          <w:rFonts w:ascii="Times New Roman" w:hAnsi="Times New Roman"/>
        </w:rPr>
        <w:t>,</w:t>
      </w:r>
      <w:r w:rsidRPr="009F791E">
        <w:rPr>
          <w:rFonts w:ascii="Times New Roman" w:hAnsi="Times New Roman"/>
        </w:rPr>
        <w:t xml:space="preserve"> nie pozwala na </w:t>
      </w:r>
      <w:r w:rsidR="006320F4" w:rsidRPr="009F791E">
        <w:rPr>
          <w:rFonts w:ascii="Times New Roman" w:hAnsi="Times New Roman"/>
        </w:rPr>
        <w:t xml:space="preserve">pełną </w:t>
      </w:r>
      <w:r w:rsidRPr="009F791E">
        <w:rPr>
          <w:rFonts w:ascii="Times New Roman" w:hAnsi="Times New Roman"/>
        </w:rPr>
        <w:t xml:space="preserve">identyfikację wartości wydatków finansowanych ze środków z UE i współfinansowanie tych wydatków. Wydatki te są ujmowane w szerszych agregatach, np. wydatki majątkowe. </w:t>
      </w:r>
    </w:p>
    <w:p w14:paraId="742A3A4E" w14:textId="262882F1" w:rsidR="004D653C" w:rsidRPr="009F791E" w:rsidRDefault="004D653C" w:rsidP="009F791E">
      <w:pPr>
        <w:spacing w:before="120" w:line="360" w:lineRule="auto"/>
        <w:jc w:val="both"/>
        <w:rPr>
          <w:rFonts w:ascii="Times New Roman" w:hAnsi="Times New Roman"/>
        </w:rPr>
      </w:pPr>
      <w:r w:rsidRPr="009F791E">
        <w:rPr>
          <w:rFonts w:ascii="Times New Roman" w:hAnsi="Times New Roman"/>
        </w:rPr>
        <w:t>W związku z brakiem możliwości uzyskania pełnej informacji w zakresie wysokości wydatków na współfinansowanie ujętych w planach finansowych</w:t>
      </w:r>
      <w:r w:rsidR="00B505A1">
        <w:rPr>
          <w:rFonts w:ascii="Times New Roman" w:hAnsi="Times New Roman"/>
        </w:rPr>
        <w:t xml:space="preserve"> </w:t>
      </w:r>
      <w:r w:rsidRPr="009F791E">
        <w:rPr>
          <w:rFonts w:ascii="Times New Roman" w:hAnsi="Times New Roman"/>
        </w:rPr>
        <w:t xml:space="preserve">na </w:t>
      </w:r>
      <w:r w:rsidR="00E024A4" w:rsidRPr="009F791E">
        <w:rPr>
          <w:rFonts w:ascii="Times New Roman" w:hAnsi="Times New Roman"/>
        </w:rPr>
        <w:t xml:space="preserve">rok </w:t>
      </w:r>
      <w:r w:rsidRPr="009F791E">
        <w:rPr>
          <w:rFonts w:ascii="Times New Roman" w:hAnsi="Times New Roman"/>
        </w:rPr>
        <w:t>2024 jednostek objętych zgodnie z projektem SRW wpływ ten został oszacowany</w:t>
      </w:r>
      <w:r w:rsidR="006320F4" w:rsidRPr="009F791E">
        <w:rPr>
          <w:rFonts w:ascii="Times New Roman" w:hAnsi="Times New Roman"/>
        </w:rPr>
        <w:t>,</w:t>
      </w:r>
      <w:r w:rsidRPr="009F791E">
        <w:rPr>
          <w:rFonts w:ascii="Times New Roman" w:hAnsi="Times New Roman"/>
        </w:rPr>
        <w:t xml:space="preserve"> ogranicz</w:t>
      </w:r>
      <w:r w:rsidR="006320F4" w:rsidRPr="009F791E">
        <w:rPr>
          <w:rFonts w:ascii="Times New Roman" w:hAnsi="Times New Roman"/>
        </w:rPr>
        <w:t>ając</w:t>
      </w:r>
      <w:r w:rsidRPr="009F791E">
        <w:rPr>
          <w:rFonts w:ascii="Times New Roman" w:hAnsi="Times New Roman"/>
        </w:rPr>
        <w:t xml:space="preserve"> się do największych jednostek (budżet </w:t>
      </w:r>
      <w:r w:rsidR="00C0086C" w:rsidRPr="009F791E">
        <w:rPr>
          <w:rFonts w:ascii="Times New Roman" w:hAnsi="Times New Roman"/>
        </w:rPr>
        <w:t>p</w:t>
      </w:r>
      <w:r w:rsidRPr="009F791E">
        <w:rPr>
          <w:rFonts w:ascii="Times New Roman" w:hAnsi="Times New Roman"/>
        </w:rPr>
        <w:t xml:space="preserve">aństwa, </w:t>
      </w:r>
      <w:r w:rsidR="00C0086C" w:rsidRPr="009F791E">
        <w:rPr>
          <w:rFonts w:ascii="Times New Roman" w:hAnsi="Times New Roman"/>
        </w:rPr>
        <w:t xml:space="preserve">jednostki samorządu terytorialnego i ich związki, Funduszu Pracy, PFRON oraz NFZ). </w:t>
      </w:r>
      <w:r w:rsidR="006320F4" w:rsidRPr="009F791E">
        <w:rPr>
          <w:rFonts w:ascii="Times New Roman" w:hAnsi="Times New Roman"/>
        </w:rPr>
        <w:t>Skonsolidowaną w</w:t>
      </w:r>
      <w:r w:rsidR="00C0086C" w:rsidRPr="009F791E">
        <w:rPr>
          <w:rFonts w:ascii="Times New Roman" w:hAnsi="Times New Roman"/>
        </w:rPr>
        <w:t>artość współfinansowania tych jednostek w warunkach ustalania kwoty wydatków na rok 2024 oszacowano na 15,4 mld zł.</w:t>
      </w:r>
    </w:p>
    <w:p w14:paraId="0824D7DF" w14:textId="7ED1D08E" w:rsidR="00B77775" w:rsidRPr="009F791E" w:rsidRDefault="00B77775" w:rsidP="009F791E">
      <w:pPr>
        <w:spacing w:before="120" w:line="360" w:lineRule="auto"/>
        <w:jc w:val="both"/>
        <w:rPr>
          <w:rFonts w:ascii="Times New Roman" w:hAnsi="Times New Roman"/>
        </w:rPr>
      </w:pPr>
      <w:r w:rsidRPr="009F791E">
        <w:rPr>
          <w:rFonts w:ascii="Times New Roman" w:hAnsi="Times New Roman"/>
        </w:rPr>
        <w:t>Mając na uwadze, że startowa kwota wydatków SRW w momencie wprowadzania reguły stanowiła sumę wydatków objętych nią jednostek/podmiotów (po skonsolidowaniu), rozszerzając zakres jednostek objętych SRW</w:t>
      </w:r>
      <w:r w:rsidR="00440E3D">
        <w:rPr>
          <w:rFonts w:ascii="Times New Roman" w:hAnsi="Times New Roman"/>
        </w:rPr>
        <w:t>,</w:t>
      </w:r>
      <w:r w:rsidRPr="009F791E">
        <w:rPr>
          <w:rFonts w:ascii="Times New Roman" w:hAnsi="Times New Roman"/>
        </w:rPr>
        <w:t xml:space="preserve"> należy dokonać odpowiedniego zwiększenia kwoty wydatków SRW w taki sposób, aby rozszerzenie zakresu było neutralne z punktu widzenia poziomu finansowania zadań realizowanych przez jednostki i organy objęte SRW.</w:t>
      </w:r>
    </w:p>
    <w:p w14:paraId="5F3ABC8F" w14:textId="56F64EB9" w:rsidR="00C34A88" w:rsidRPr="009F791E" w:rsidRDefault="00B77775" w:rsidP="009F791E">
      <w:pPr>
        <w:spacing w:before="120" w:line="360" w:lineRule="auto"/>
        <w:jc w:val="both"/>
        <w:rPr>
          <w:rFonts w:ascii="Times New Roman" w:hAnsi="Times New Roman"/>
        </w:rPr>
      </w:pPr>
      <w:r w:rsidRPr="009F791E">
        <w:rPr>
          <w:rFonts w:ascii="Times New Roman" w:hAnsi="Times New Roman"/>
        </w:rPr>
        <w:t>Włączenie do zakresu SRW agencji wykonawczych, ZUS, instytucji gospodarki budżetowej i</w:t>
      </w:r>
      <w:r w:rsidR="00E024A4" w:rsidRPr="009F791E">
        <w:rPr>
          <w:rFonts w:ascii="Times New Roman" w:hAnsi="Times New Roman"/>
        </w:rPr>
        <w:t> </w:t>
      </w:r>
      <w:r w:rsidRPr="009F791E">
        <w:rPr>
          <w:rFonts w:ascii="Times New Roman" w:hAnsi="Times New Roman"/>
        </w:rPr>
        <w:t>państwowych osób prawnych</w:t>
      </w:r>
      <w:r w:rsidR="00E024A4" w:rsidRPr="009F791E">
        <w:rPr>
          <w:rFonts w:ascii="Times New Roman" w:hAnsi="Times New Roman"/>
        </w:rPr>
        <w:t>,</w:t>
      </w:r>
      <w:r w:rsidRPr="009F791E">
        <w:rPr>
          <w:rFonts w:ascii="Times New Roman" w:hAnsi="Times New Roman"/>
        </w:rPr>
        <w:t xml:space="preserve"> o których mowa w art. 9 pkt 14 ustawy o finansach </w:t>
      </w:r>
      <w:r w:rsidRPr="009F791E">
        <w:rPr>
          <w:rFonts w:ascii="Times New Roman" w:hAnsi="Times New Roman"/>
        </w:rPr>
        <w:lastRenderedPageBreak/>
        <w:t>publicznych</w:t>
      </w:r>
      <w:r w:rsidR="00440E3D">
        <w:rPr>
          <w:rFonts w:ascii="Times New Roman" w:hAnsi="Times New Roman"/>
        </w:rPr>
        <w:t>,</w:t>
      </w:r>
      <w:r w:rsidRPr="009F791E">
        <w:rPr>
          <w:rFonts w:ascii="Times New Roman" w:hAnsi="Times New Roman"/>
        </w:rPr>
        <w:t xml:space="preserve"> innych niż NFOŚiGW wiąże się z koniecznością skorygowania kwoty wydatków</w:t>
      </w:r>
      <w:r w:rsidR="00B505A1">
        <w:rPr>
          <w:rFonts w:ascii="Times New Roman" w:hAnsi="Times New Roman"/>
        </w:rPr>
        <w:t xml:space="preserve"> </w:t>
      </w:r>
      <w:r w:rsidRPr="009F791E">
        <w:rPr>
          <w:rFonts w:ascii="Times New Roman" w:hAnsi="Times New Roman"/>
        </w:rPr>
        <w:t xml:space="preserve">SRW. Skutek </w:t>
      </w:r>
      <w:r w:rsidR="00C34A88" w:rsidRPr="009F791E">
        <w:rPr>
          <w:rFonts w:ascii="Times New Roman" w:hAnsi="Times New Roman"/>
        </w:rPr>
        <w:t>rozszerzenia</w:t>
      </w:r>
      <w:r w:rsidRPr="009F791E">
        <w:rPr>
          <w:rFonts w:ascii="Times New Roman" w:hAnsi="Times New Roman"/>
        </w:rPr>
        <w:t xml:space="preserve"> został oszacowany na </w:t>
      </w:r>
      <w:r w:rsidR="00C34A88" w:rsidRPr="009F791E">
        <w:rPr>
          <w:rFonts w:ascii="Times New Roman" w:hAnsi="Times New Roman"/>
        </w:rPr>
        <w:t>podstawie planów</w:t>
      </w:r>
      <w:r w:rsidRPr="009F791E">
        <w:rPr>
          <w:rFonts w:ascii="Times New Roman" w:hAnsi="Times New Roman"/>
        </w:rPr>
        <w:t xml:space="preserve"> </w:t>
      </w:r>
      <w:r w:rsidR="00C34A88" w:rsidRPr="009F791E">
        <w:rPr>
          <w:rFonts w:ascii="Times New Roman" w:hAnsi="Times New Roman"/>
        </w:rPr>
        <w:t>finansowych</w:t>
      </w:r>
      <w:r w:rsidRPr="009F791E">
        <w:rPr>
          <w:rFonts w:ascii="Times New Roman" w:hAnsi="Times New Roman"/>
        </w:rPr>
        <w:t xml:space="preserve"> na rok</w:t>
      </w:r>
      <w:r w:rsidR="005730D8" w:rsidRPr="009F791E">
        <w:rPr>
          <w:rFonts w:ascii="Times New Roman" w:hAnsi="Times New Roman"/>
        </w:rPr>
        <w:t xml:space="preserve"> </w:t>
      </w:r>
      <w:r w:rsidRPr="009F791E">
        <w:rPr>
          <w:rFonts w:ascii="Times New Roman" w:hAnsi="Times New Roman"/>
        </w:rPr>
        <w:t>2024</w:t>
      </w:r>
      <w:r w:rsidR="00C34A88" w:rsidRPr="009F791E">
        <w:rPr>
          <w:rFonts w:ascii="Times New Roman" w:hAnsi="Times New Roman"/>
        </w:rPr>
        <w:t xml:space="preserve"> </w:t>
      </w:r>
      <w:r w:rsidRPr="009F791E">
        <w:rPr>
          <w:rFonts w:ascii="Times New Roman" w:hAnsi="Times New Roman"/>
        </w:rPr>
        <w:t xml:space="preserve">przekazanych do </w:t>
      </w:r>
      <w:r w:rsidR="00C34A88" w:rsidRPr="009F791E">
        <w:rPr>
          <w:rFonts w:ascii="Times New Roman" w:hAnsi="Times New Roman"/>
        </w:rPr>
        <w:t>Ministerstwa</w:t>
      </w:r>
      <w:r w:rsidRPr="009F791E">
        <w:rPr>
          <w:rFonts w:ascii="Times New Roman" w:hAnsi="Times New Roman"/>
        </w:rPr>
        <w:t xml:space="preserve"> Finansów na etapie prac nad projektem </w:t>
      </w:r>
      <w:r w:rsidR="00C34A88" w:rsidRPr="009F791E">
        <w:rPr>
          <w:rFonts w:ascii="Times New Roman" w:hAnsi="Times New Roman"/>
        </w:rPr>
        <w:t>ustawy</w:t>
      </w:r>
      <w:r w:rsidRPr="009F791E">
        <w:rPr>
          <w:rFonts w:ascii="Times New Roman" w:hAnsi="Times New Roman"/>
        </w:rPr>
        <w:t xml:space="preserve"> </w:t>
      </w:r>
      <w:r w:rsidR="00C34A88" w:rsidRPr="009F791E">
        <w:rPr>
          <w:rFonts w:ascii="Times New Roman" w:hAnsi="Times New Roman"/>
        </w:rPr>
        <w:t>budżetowej</w:t>
      </w:r>
      <w:r w:rsidRPr="009F791E">
        <w:rPr>
          <w:rFonts w:ascii="Times New Roman" w:hAnsi="Times New Roman"/>
        </w:rPr>
        <w:t xml:space="preserve"> na rok 2024</w:t>
      </w:r>
      <w:r w:rsidR="00C34A88" w:rsidRPr="009F791E">
        <w:rPr>
          <w:rFonts w:ascii="Times New Roman" w:hAnsi="Times New Roman"/>
        </w:rPr>
        <w:t xml:space="preserve"> (z wydatków ogółem jednostek</w:t>
      </w:r>
      <w:r w:rsidR="00CD6939" w:rsidRPr="009F791E">
        <w:rPr>
          <w:rFonts w:ascii="Times New Roman" w:hAnsi="Times New Roman"/>
        </w:rPr>
        <w:t>,</w:t>
      </w:r>
      <w:r w:rsidR="00C34A88" w:rsidRPr="009F791E">
        <w:rPr>
          <w:rFonts w:ascii="Times New Roman" w:hAnsi="Times New Roman"/>
        </w:rPr>
        <w:t xml:space="preserve"> o które rozszerzamy zakres SRW</w:t>
      </w:r>
      <w:r w:rsidR="00440E3D">
        <w:rPr>
          <w:rFonts w:ascii="Times New Roman" w:hAnsi="Times New Roman"/>
        </w:rPr>
        <w:t>,</w:t>
      </w:r>
      <w:r w:rsidR="00C34A88" w:rsidRPr="009F791E">
        <w:rPr>
          <w:rFonts w:ascii="Times New Roman" w:hAnsi="Times New Roman"/>
        </w:rPr>
        <w:t xml:space="preserve"> wyłączono wydatki</w:t>
      </w:r>
      <w:r w:rsidR="00C0086C" w:rsidRPr="009F791E">
        <w:rPr>
          <w:rStyle w:val="Odwoanieprzypisudolnego"/>
          <w:rFonts w:ascii="Times New Roman" w:hAnsi="Times New Roman"/>
        </w:rPr>
        <w:footnoteReference w:id="7"/>
      </w:r>
      <w:r w:rsidR="00C34A88" w:rsidRPr="009F791E">
        <w:rPr>
          <w:rFonts w:ascii="Times New Roman" w:hAnsi="Times New Roman"/>
        </w:rPr>
        <w:t xml:space="preserve">, które nie są </w:t>
      </w:r>
      <w:r w:rsidR="00D56C7F" w:rsidRPr="009F791E">
        <w:rPr>
          <w:rFonts w:ascii="Times New Roman" w:hAnsi="Times New Roman"/>
        </w:rPr>
        <w:t>uwzględniane</w:t>
      </w:r>
      <w:r w:rsidR="00C34A88" w:rsidRPr="009F791E">
        <w:rPr>
          <w:rFonts w:ascii="Times New Roman" w:hAnsi="Times New Roman"/>
        </w:rPr>
        <w:t xml:space="preserve"> przy </w:t>
      </w:r>
      <w:r w:rsidR="003D2A6B" w:rsidRPr="009F791E">
        <w:rPr>
          <w:rFonts w:ascii="Times New Roman" w:hAnsi="Times New Roman"/>
        </w:rPr>
        <w:t>obliczaniu</w:t>
      </w:r>
      <w:r w:rsidR="00C34A88" w:rsidRPr="009F791E">
        <w:rPr>
          <w:rFonts w:ascii="Times New Roman" w:hAnsi="Times New Roman"/>
        </w:rPr>
        <w:t xml:space="preserve"> kwoty wydatków SRW oraz</w:t>
      </w:r>
      <w:r w:rsidR="00B505A1">
        <w:rPr>
          <w:rFonts w:ascii="Times New Roman" w:hAnsi="Times New Roman"/>
        </w:rPr>
        <w:t xml:space="preserve"> </w:t>
      </w:r>
      <w:r w:rsidR="00C34A88" w:rsidRPr="009F791E">
        <w:rPr>
          <w:rFonts w:ascii="Times New Roman" w:hAnsi="Times New Roman"/>
        </w:rPr>
        <w:t xml:space="preserve">po wyeliminowaniu transferów </w:t>
      </w:r>
      <w:r w:rsidR="003D2A6B" w:rsidRPr="009F791E">
        <w:rPr>
          <w:rFonts w:ascii="Times New Roman" w:hAnsi="Times New Roman"/>
        </w:rPr>
        <w:t>pomiędzy jednostkami</w:t>
      </w:r>
      <w:r w:rsidR="00C34A88" w:rsidRPr="009F791E">
        <w:rPr>
          <w:rFonts w:ascii="Times New Roman" w:hAnsi="Times New Roman"/>
        </w:rPr>
        <w:t xml:space="preserve">, o które poszerzany jest zakres SRW, lub pomiędzy tymi </w:t>
      </w:r>
      <w:r w:rsidR="003D2A6B" w:rsidRPr="009F791E">
        <w:rPr>
          <w:rFonts w:ascii="Times New Roman" w:hAnsi="Times New Roman"/>
        </w:rPr>
        <w:t xml:space="preserve">jednostkami </w:t>
      </w:r>
      <w:r w:rsidR="00C34A88" w:rsidRPr="009F791E">
        <w:rPr>
          <w:rFonts w:ascii="Times New Roman" w:hAnsi="Times New Roman"/>
        </w:rPr>
        <w:t>a jednostkami i organami objętymi obecnie SRW</w:t>
      </w:r>
      <w:r w:rsidR="00CD6939" w:rsidRPr="009F791E">
        <w:rPr>
          <w:rFonts w:ascii="Times New Roman" w:hAnsi="Times New Roman"/>
        </w:rPr>
        <w:t>).</w:t>
      </w:r>
    </w:p>
    <w:p w14:paraId="670EFDBD" w14:textId="04AA1071" w:rsidR="002531A7" w:rsidRPr="009F791E" w:rsidRDefault="00D56C7F" w:rsidP="009F791E">
      <w:pPr>
        <w:spacing w:before="120" w:line="360" w:lineRule="auto"/>
        <w:jc w:val="both"/>
        <w:rPr>
          <w:rFonts w:ascii="Times New Roman" w:hAnsi="Times New Roman"/>
        </w:rPr>
      </w:pPr>
      <w:r w:rsidRPr="009F791E">
        <w:rPr>
          <w:rFonts w:ascii="Times New Roman" w:hAnsi="Times New Roman"/>
        </w:rPr>
        <w:t xml:space="preserve">Dla ustalenia kwoty wydatków SRW </w:t>
      </w:r>
      <w:r w:rsidR="005730D8" w:rsidRPr="009F791E">
        <w:rPr>
          <w:rFonts w:ascii="Times New Roman" w:hAnsi="Times New Roman"/>
        </w:rPr>
        <w:t xml:space="preserve">w projekcie ustawy budżetowej </w:t>
      </w:r>
      <w:r w:rsidRPr="009F791E">
        <w:rPr>
          <w:rFonts w:ascii="Times New Roman" w:hAnsi="Times New Roman"/>
        </w:rPr>
        <w:t>na rok 2025 przyjęto korektę K</w:t>
      </w:r>
      <w:r w:rsidRPr="009F791E">
        <w:rPr>
          <w:rFonts w:ascii="Times New Roman" w:hAnsi="Times New Roman"/>
          <w:vertAlign w:val="subscript"/>
        </w:rPr>
        <w:t>n</w:t>
      </w:r>
      <w:r w:rsidRPr="009F791E">
        <w:rPr>
          <w:rFonts w:ascii="Times New Roman" w:hAnsi="Times New Roman"/>
        </w:rPr>
        <w:t xml:space="preserve"> w wysokości 0. Wynika to z faktu, że </w:t>
      </w:r>
      <w:r w:rsidR="00CF60C0" w:rsidRPr="009F791E">
        <w:rPr>
          <w:rFonts w:ascii="Times New Roman" w:hAnsi="Times New Roman"/>
        </w:rPr>
        <w:t xml:space="preserve">projekt ustawy budżetowej na rok 2025 będzie opracowywany w okresie „przejściowym”, tj. w okresie wdrażania nowych rozwiązań instytucjonalnych </w:t>
      </w:r>
      <w:r w:rsidR="00E83D06" w:rsidRPr="009F791E">
        <w:rPr>
          <w:rFonts w:ascii="Times New Roman" w:hAnsi="Times New Roman"/>
        </w:rPr>
        <w:t xml:space="preserve">w zakresie </w:t>
      </w:r>
      <w:r w:rsidR="00CF60C0" w:rsidRPr="009F791E">
        <w:rPr>
          <w:rFonts w:ascii="Times New Roman" w:hAnsi="Times New Roman"/>
        </w:rPr>
        <w:t>zarzadzania budżetowego. Zgodnie z rozporządzeniem Parlamentu Europejskiego i Rady (UE) 2024/1263 z dnia 29 kwietnia 2024 r. w sprawie skutecznej koordynacji polityk gospodarczych i w sprawie wielostronnego nadzoru budżetowego oraz uchylające rozporządzenie Rady (WE) nr 1466/97 państwa członkowskie przedkładają swoje krajowe średniookresowe plany budżetowo-strukturalne do dnia 20</w:t>
      </w:r>
      <w:r w:rsidR="009D0EB3" w:rsidRPr="009F791E">
        <w:rPr>
          <w:rFonts w:ascii="Times New Roman" w:hAnsi="Times New Roman"/>
        </w:rPr>
        <w:t> </w:t>
      </w:r>
      <w:r w:rsidR="00CF60C0" w:rsidRPr="009F791E">
        <w:rPr>
          <w:rFonts w:ascii="Times New Roman" w:hAnsi="Times New Roman"/>
        </w:rPr>
        <w:t xml:space="preserve">września 2024 r. (istnieje możliwość przedłużenia tego terminu). Plany te </w:t>
      </w:r>
      <w:r w:rsidR="000155F9" w:rsidRPr="009F791E">
        <w:rPr>
          <w:rFonts w:ascii="Times New Roman" w:hAnsi="Times New Roman"/>
        </w:rPr>
        <w:t>opracowywane będą po raz pierwszy w roku 2024.</w:t>
      </w:r>
      <w:r w:rsidR="00B505A1">
        <w:rPr>
          <w:rFonts w:ascii="Times New Roman" w:hAnsi="Times New Roman"/>
        </w:rPr>
        <w:t xml:space="preserve"> </w:t>
      </w:r>
      <w:r w:rsidR="000155F9" w:rsidRPr="009F791E">
        <w:rPr>
          <w:rFonts w:ascii="Times New Roman" w:hAnsi="Times New Roman"/>
        </w:rPr>
        <w:t>Oznacza to, że w terminie umożliwiającym uwzględnienie zaleceń Rady UE w projekcie budżetu państwa nie będzie znana zatwierdzona przez Radę UE ścieżka wydatków netto.</w:t>
      </w:r>
      <w:r w:rsidR="002531A7" w:rsidRPr="009F791E">
        <w:rPr>
          <w:rFonts w:ascii="Times New Roman" w:hAnsi="Times New Roman"/>
        </w:rPr>
        <w:t xml:space="preserve"> Należy pamiętać, że plan budżetowo-strukturalny nie ma </w:t>
      </w:r>
      <w:r w:rsidR="009D0EB3" w:rsidRPr="009F791E">
        <w:rPr>
          <w:rFonts w:ascii="Times New Roman" w:hAnsi="Times New Roman"/>
        </w:rPr>
        <w:t>–</w:t>
      </w:r>
      <w:r w:rsidR="002531A7" w:rsidRPr="009F791E">
        <w:rPr>
          <w:rFonts w:ascii="Times New Roman" w:hAnsi="Times New Roman"/>
        </w:rPr>
        <w:t xml:space="preserve"> w</w:t>
      </w:r>
      <w:r w:rsidR="009D0EB3" w:rsidRPr="009F791E">
        <w:rPr>
          <w:rFonts w:ascii="Times New Roman" w:hAnsi="Times New Roman"/>
        </w:rPr>
        <w:t> </w:t>
      </w:r>
      <w:r w:rsidR="002531A7" w:rsidRPr="009F791E">
        <w:rPr>
          <w:rFonts w:ascii="Times New Roman" w:hAnsi="Times New Roman"/>
        </w:rPr>
        <w:t xml:space="preserve">przeciwieństwie </w:t>
      </w:r>
      <w:r w:rsidR="009D0EB3" w:rsidRPr="009F791E">
        <w:rPr>
          <w:rFonts w:ascii="Times New Roman" w:hAnsi="Times New Roman"/>
        </w:rPr>
        <w:t>do</w:t>
      </w:r>
      <w:r w:rsidR="002531A7" w:rsidRPr="009F791E">
        <w:rPr>
          <w:rFonts w:ascii="Times New Roman" w:hAnsi="Times New Roman"/>
        </w:rPr>
        <w:t xml:space="preserve"> ustawy budżetowej charakteru jednorocznego. Stąd jego realizacja i</w:t>
      </w:r>
      <w:r w:rsidR="009D0EB3" w:rsidRPr="009F791E">
        <w:rPr>
          <w:rFonts w:ascii="Times New Roman" w:hAnsi="Times New Roman"/>
        </w:rPr>
        <w:t> </w:t>
      </w:r>
      <w:r w:rsidR="002531A7" w:rsidRPr="009F791E">
        <w:rPr>
          <w:rFonts w:ascii="Times New Roman" w:hAnsi="Times New Roman"/>
        </w:rPr>
        <w:t>wdrażanie odpowiednich działań będzie odbywało się w całym jego horyzoncie</w:t>
      </w:r>
      <w:r w:rsidR="009D0EB3" w:rsidRPr="009F791E">
        <w:rPr>
          <w:rFonts w:ascii="Times New Roman" w:hAnsi="Times New Roman"/>
        </w:rPr>
        <w:t>,</w:t>
      </w:r>
      <w:r w:rsidR="002531A7" w:rsidRPr="009F791E">
        <w:rPr>
          <w:rFonts w:ascii="Times New Roman" w:hAnsi="Times New Roman"/>
        </w:rPr>
        <w:t xml:space="preserve"> co oznacza, że w projekcie ustawy budżetowej (na każdy kolejny rok) nie muszą być określone wszystkie działania, które w zależności od kształtowania się wyniku sektora instytucji rządowych i</w:t>
      </w:r>
      <w:r w:rsidR="009D0EB3" w:rsidRPr="009F791E">
        <w:rPr>
          <w:rFonts w:ascii="Times New Roman" w:hAnsi="Times New Roman"/>
        </w:rPr>
        <w:t> </w:t>
      </w:r>
      <w:r w:rsidR="002531A7" w:rsidRPr="009F791E">
        <w:rPr>
          <w:rFonts w:ascii="Times New Roman" w:hAnsi="Times New Roman"/>
        </w:rPr>
        <w:t>samorządowych będą wdrażane w kolejnych latach.</w:t>
      </w:r>
    </w:p>
    <w:p w14:paraId="51C2C072" w14:textId="080CE132" w:rsidR="00D56C7F" w:rsidRPr="009F791E" w:rsidRDefault="00D56C7F" w:rsidP="009F791E">
      <w:pPr>
        <w:pStyle w:val="Nagwek2"/>
        <w:spacing w:line="360" w:lineRule="auto"/>
        <w:rPr>
          <w:rFonts w:ascii="Times New Roman" w:hAnsi="Times New Roman" w:cs="Times New Roman"/>
          <w:b/>
          <w:bCs/>
          <w:color w:val="auto"/>
          <w:sz w:val="24"/>
          <w:szCs w:val="24"/>
        </w:rPr>
      </w:pPr>
      <w:r w:rsidRPr="009F791E">
        <w:rPr>
          <w:rFonts w:ascii="Times New Roman" w:hAnsi="Times New Roman" w:cs="Times New Roman"/>
          <w:b/>
          <w:bCs/>
          <w:color w:val="auto"/>
          <w:sz w:val="24"/>
          <w:szCs w:val="24"/>
        </w:rPr>
        <w:t>Inne zmiany</w:t>
      </w:r>
    </w:p>
    <w:p w14:paraId="56465190" w14:textId="6B2952E8" w:rsidR="007F3CAC" w:rsidRPr="009F791E" w:rsidRDefault="007F3CAC" w:rsidP="009F791E">
      <w:pPr>
        <w:spacing w:before="120" w:line="360" w:lineRule="auto"/>
        <w:jc w:val="both"/>
        <w:rPr>
          <w:rFonts w:ascii="Times New Roman" w:hAnsi="Times New Roman"/>
        </w:rPr>
      </w:pPr>
      <w:r w:rsidRPr="009F791E">
        <w:rPr>
          <w:rFonts w:ascii="Times New Roman" w:hAnsi="Times New Roman"/>
        </w:rPr>
        <w:t>W projekcie proponuje się także zmiany o charakterze technicznym i doprecyzowującym:</w:t>
      </w:r>
    </w:p>
    <w:p w14:paraId="696A0AA0" w14:textId="066B515F" w:rsidR="00174DAC" w:rsidRPr="009F791E" w:rsidRDefault="00174DAC" w:rsidP="009F791E">
      <w:pPr>
        <w:pStyle w:val="Akapitzlist"/>
        <w:numPr>
          <w:ilvl w:val="0"/>
          <w:numId w:val="16"/>
        </w:numPr>
        <w:spacing w:before="120" w:line="360" w:lineRule="auto"/>
        <w:jc w:val="both"/>
        <w:rPr>
          <w:rFonts w:ascii="Times New Roman" w:hAnsi="Times New Roman"/>
        </w:rPr>
      </w:pPr>
      <w:r w:rsidRPr="009F791E">
        <w:rPr>
          <w:rFonts w:ascii="Times New Roman" w:hAnsi="Times New Roman"/>
        </w:rPr>
        <w:t>W związku ze zmianą algorytmu ustalania kwoty wydatków w art. 112aa ust. 1 ustawy o finansach publicznych, tj. zastąpienia średniorocznego wskaźnika cen towarów i usług konsumpcyjnych (CPI) de</w:t>
      </w:r>
      <w:r w:rsidR="00EE650B" w:rsidRPr="009F791E">
        <w:rPr>
          <w:rFonts w:ascii="Times New Roman" w:hAnsi="Times New Roman"/>
        </w:rPr>
        <w:t>f</w:t>
      </w:r>
      <w:r w:rsidRPr="009F791E">
        <w:rPr>
          <w:rFonts w:ascii="Times New Roman" w:hAnsi="Times New Roman"/>
        </w:rPr>
        <w:t>latorem PKB i wprowadzeniem mechanizmu korekty błędu prognozy PKB</w:t>
      </w:r>
      <w:r w:rsidR="00440E3D">
        <w:rPr>
          <w:rFonts w:ascii="Times New Roman" w:hAnsi="Times New Roman"/>
        </w:rPr>
        <w:t>,</w:t>
      </w:r>
      <w:r w:rsidRPr="009F791E">
        <w:rPr>
          <w:rFonts w:ascii="Times New Roman" w:hAnsi="Times New Roman"/>
        </w:rPr>
        <w:t xml:space="preserve"> zachodzi konieczność zapewnienia źródła danych odnośnie do zrealizowanych w roku poprzedzającym o dwa lata rok</w:t>
      </w:r>
      <w:r w:rsidR="00A77BC9" w:rsidRPr="009F791E">
        <w:rPr>
          <w:rFonts w:ascii="Times New Roman" w:hAnsi="Times New Roman"/>
        </w:rPr>
        <w:t>,</w:t>
      </w:r>
      <w:r w:rsidRPr="009F791E">
        <w:rPr>
          <w:rFonts w:ascii="Times New Roman" w:hAnsi="Times New Roman"/>
        </w:rPr>
        <w:t xml:space="preserve"> na który obliczana jest kwota </w:t>
      </w:r>
      <w:r w:rsidRPr="009F791E">
        <w:rPr>
          <w:rFonts w:ascii="Times New Roman" w:hAnsi="Times New Roman"/>
        </w:rPr>
        <w:lastRenderedPageBreak/>
        <w:t>wydatków. Dlatego, zgodnie z projektem, nałożony zostanie na Prezesa Głównego Urzędu Statystycznego obowiązek ogłaszania, w formie komunikatu, w Dzienniku Urzędowym Rzeczypospolitej Polskiej ,,Monitor Polski</w:t>
      </w:r>
      <w:r w:rsidR="00A77BC9" w:rsidRPr="009F791E">
        <w:rPr>
          <w:rFonts w:ascii="Times New Roman" w:hAnsi="Times New Roman"/>
        </w:rPr>
        <w:t>”,</w:t>
      </w:r>
      <w:r w:rsidRPr="009F791E">
        <w:rPr>
          <w:rFonts w:ascii="Times New Roman" w:hAnsi="Times New Roman"/>
        </w:rPr>
        <w:t xml:space="preserve"> w terminie do dnia 16</w:t>
      </w:r>
      <w:r w:rsidR="00A77BC9" w:rsidRPr="009F791E">
        <w:rPr>
          <w:rFonts w:ascii="Times New Roman" w:hAnsi="Times New Roman"/>
        </w:rPr>
        <w:t> </w:t>
      </w:r>
      <w:r w:rsidRPr="009F791E">
        <w:rPr>
          <w:rFonts w:ascii="Times New Roman" w:hAnsi="Times New Roman"/>
        </w:rPr>
        <w:t xml:space="preserve">kwietnia </w:t>
      </w:r>
      <w:r w:rsidR="008A24DA" w:rsidRPr="009F791E">
        <w:rPr>
          <w:rFonts w:ascii="Times New Roman" w:hAnsi="Times New Roman"/>
        </w:rPr>
        <w:t>deflatora</w:t>
      </w:r>
      <w:r w:rsidRPr="009F791E">
        <w:rPr>
          <w:rFonts w:ascii="Times New Roman" w:hAnsi="Times New Roman"/>
        </w:rPr>
        <w:t xml:space="preserve"> produktu krajowego brutto za rok poprzedzający o dwa lata </w:t>
      </w:r>
      <w:r w:rsidR="008A24DA" w:rsidRPr="009F791E">
        <w:rPr>
          <w:rFonts w:ascii="Times New Roman" w:hAnsi="Times New Roman"/>
        </w:rPr>
        <w:t xml:space="preserve">rok budżetowy oraz dynamiki wartości produktu krajowego brutto w cenach stałych za rok poprzedzający rok budżetowy o dwa lata. Po raz pierwszy przepis </w:t>
      </w:r>
      <w:r w:rsidR="002B68E3" w:rsidRPr="009F791E">
        <w:rPr>
          <w:rFonts w:ascii="Times New Roman" w:hAnsi="Times New Roman"/>
        </w:rPr>
        <w:t>dot</w:t>
      </w:r>
      <w:r w:rsidR="00C344D7" w:rsidRPr="009F791E">
        <w:rPr>
          <w:rFonts w:ascii="Times New Roman" w:hAnsi="Times New Roman"/>
        </w:rPr>
        <w:t>yczący</w:t>
      </w:r>
      <w:r w:rsidR="002B68E3" w:rsidRPr="009F791E">
        <w:rPr>
          <w:rFonts w:ascii="Times New Roman" w:hAnsi="Times New Roman"/>
        </w:rPr>
        <w:t xml:space="preserve"> deflatora PKB </w:t>
      </w:r>
      <w:r w:rsidR="008A24DA" w:rsidRPr="009F791E">
        <w:rPr>
          <w:rFonts w:ascii="Times New Roman" w:hAnsi="Times New Roman"/>
        </w:rPr>
        <w:t xml:space="preserve">będzie praktycznie mógł być zastosowany do projektu </w:t>
      </w:r>
      <w:r w:rsidR="00F72AD9" w:rsidRPr="009F791E">
        <w:rPr>
          <w:rFonts w:ascii="Times New Roman" w:hAnsi="Times New Roman"/>
        </w:rPr>
        <w:t>ustawy</w:t>
      </w:r>
      <w:r w:rsidR="008A24DA" w:rsidRPr="009F791E">
        <w:rPr>
          <w:rFonts w:ascii="Times New Roman" w:hAnsi="Times New Roman"/>
        </w:rPr>
        <w:t xml:space="preserve"> budżetowej na rok </w:t>
      </w:r>
      <w:r w:rsidR="002B68E3" w:rsidRPr="009F791E">
        <w:rPr>
          <w:rFonts w:ascii="Times New Roman" w:hAnsi="Times New Roman"/>
        </w:rPr>
        <w:t>2027</w:t>
      </w:r>
      <w:r w:rsidR="008A24DA" w:rsidRPr="009F791E">
        <w:rPr>
          <w:rFonts w:ascii="Times New Roman" w:hAnsi="Times New Roman"/>
        </w:rPr>
        <w:t xml:space="preserve">. </w:t>
      </w:r>
    </w:p>
    <w:p w14:paraId="5909B399" w14:textId="0B050312" w:rsidR="008A24DA" w:rsidRPr="009F791E" w:rsidRDefault="00AB2A92" w:rsidP="009F791E">
      <w:pPr>
        <w:pStyle w:val="Akapitzlist"/>
        <w:numPr>
          <w:ilvl w:val="0"/>
          <w:numId w:val="16"/>
        </w:numPr>
        <w:spacing w:before="120" w:line="360" w:lineRule="auto"/>
        <w:jc w:val="both"/>
        <w:rPr>
          <w:rFonts w:ascii="Times New Roman" w:hAnsi="Times New Roman"/>
        </w:rPr>
      </w:pPr>
      <w:r w:rsidRPr="009F791E">
        <w:rPr>
          <w:rFonts w:ascii="Times New Roman" w:hAnsi="Times New Roman"/>
        </w:rPr>
        <w:t>Jednocześnie</w:t>
      </w:r>
      <w:r w:rsidR="008A24DA" w:rsidRPr="009F791E">
        <w:rPr>
          <w:rFonts w:ascii="Times New Roman" w:hAnsi="Times New Roman"/>
        </w:rPr>
        <w:t xml:space="preserve"> proponuje się </w:t>
      </w:r>
      <w:r w:rsidR="00D33B14" w:rsidRPr="009F791E">
        <w:rPr>
          <w:rFonts w:ascii="Times New Roman" w:hAnsi="Times New Roman"/>
        </w:rPr>
        <w:t xml:space="preserve">uchylenie </w:t>
      </w:r>
      <w:r w:rsidR="008A24DA" w:rsidRPr="009F791E">
        <w:rPr>
          <w:rFonts w:ascii="Times New Roman" w:hAnsi="Times New Roman"/>
        </w:rPr>
        <w:t xml:space="preserve">przepisu </w:t>
      </w:r>
      <w:r w:rsidRPr="009F791E">
        <w:rPr>
          <w:rFonts w:ascii="Times New Roman" w:hAnsi="Times New Roman"/>
        </w:rPr>
        <w:t>nakładającego</w:t>
      </w:r>
      <w:r w:rsidR="008A24DA" w:rsidRPr="009F791E">
        <w:rPr>
          <w:rFonts w:ascii="Times New Roman" w:hAnsi="Times New Roman"/>
        </w:rPr>
        <w:t xml:space="preserve"> na Prezesa GUS obowiązek ogłaszania w terminie do dnia 16 kwietnia wyniku nominalnego sektora instytucji rządowych i samorządowych podawanego do wiadomości publicznej zgodnie z art. 7 rozporządzenia Rady (WE) nr 479/2009 z dnia 25 maja 2009 r. o stosowaniu Protokołu w sprawie procedury dotyczącej nadmiernego deficytu załączonego do Traktatu ustanawiającego Wspólnotę Europejską za ostatnie cztery lata, w związku ze zmian</w:t>
      </w:r>
      <w:r w:rsidR="00D33B14" w:rsidRPr="009F791E">
        <w:rPr>
          <w:rFonts w:ascii="Times New Roman" w:hAnsi="Times New Roman"/>
        </w:rPr>
        <w:t>ą</w:t>
      </w:r>
      <w:r w:rsidR="008A24DA" w:rsidRPr="009F791E">
        <w:rPr>
          <w:rFonts w:ascii="Times New Roman" w:hAnsi="Times New Roman"/>
        </w:rPr>
        <w:t xml:space="preserve"> mechanizmu korekty SRW. Do nowelizacji </w:t>
      </w:r>
      <w:r w:rsidRPr="009F791E">
        <w:rPr>
          <w:rFonts w:ascii="Times New Roman" w:hAnsi="Times New Roman"/>
        </w:rPr>
        <w:t xml:space="preserve">z </w:t>
      </w:r>
      <w:r w:rsidR="00A77BC9" w:rsidRPr="009F791E">
        <w:rPr>
          <w:rFonts w:ascii="Times New Roman" w:hAnsi="Times New Roman"/>
        </w:rPr>
        <w:t xml:space="preserve">roku </w:t>
      </w:r>
      <w:r w:rsidRPr="009F791E">
        <w:rPr>
          <w:rFonts w:ascii="Times New Roman" w:hAnsi="Times New Roman"/>
        </w:rPr>
        <w:t>2023</w:t>
      </w:r>
      <w:r w:rsidRPr="009F791E">
        <w:rPr>
          <w:rFonts w:ascii="Times New Roman" w:hAnsi="Times New Roman"/>
          <w:vertAlign w:val="superscript"/>
        </w:rPr>
        <w:footnoteReference w:id="8"/>
      </w:r>
      <w:r w:rsidR="008A24DA" w:rsidRPr="009F791E">
        <w:rPr>
          <w:rFonts w:ascii="Times New Roman" w:hAnsi="Times New Roman"/>
        </w:rPr>
        <w:t xml:space="preserve"> jednym z parametrów aktywacji mechanizmu korekty kwoty SRW był wynik nominalny sektora instytucji rządowych i samorządowych </w:t>
      </w:r>
      <w:r w:rsidRPr="009F791E">
        <w:rPr>
          <w:rFonts w:ascii="Times New Roman" w:hAnsi="Times New Roman"/>
        </w:rPr>
        <w:t xml:space="preserve">w relacji do PKB </w:t>
      </w:r>
      <w:r w:rsidR="008A24DA" w:rsidRPr="009F791E">
        <w:rPr>
          <w:rFonts w:ascii="Times New Roman" w:hAnsi="Times New Roman"/>
        </w:rPr>
        <w:t xml:space="preserve">lub skumulowane odchylenie wyniku </w:t>
      </w:r>
      <w:r w:rsidRPr="009F791E">
        <w:rPr>
          <w:rFonts w:ascii="Times New Roman" w:hAnsi="Times New Roman"/>
        </w:rPr>
        <w:t>nominalnego sektora instytucji rządowych i samorządowych w relacji do PKB od MTO</w:t>
      </w:r>
      <w:r w:rsidRPr="009F791E">
        <w:rPr>
          <w:rFonts w:ascii="Times New Roman" w:hAnsi="Times New Roman"/>
          <w:vertAlign w:val="superscript"/>
        </w:rPr>
        <w:footnoteReference w:id="9"/>
      </w:r>
      <w:r w:rsidRPr="009F791E">
        <w:rPr>
          <w:rFonts w:ascii="Times New Roman" w:hAnsi="Times New Roman"/>
        </w:rPr>
        <w:t xml:space="preserve">. Aktualnie mechanizm korekty (określony w art. 112aa ust. 4 ustawy o finansach publicznych) nie używa tych wskaźników do oceny czy należy czy też nie aktywować korektę kwoty SRW. </w:t>
      </w:r>
    </w:p>
    <w:p w14:paraId="074CC83E" w14:textId="5E2F7783" w:rsidR="00B56165" w:rsidRPr="009F791E" w:rsidRDefault="001B7E37" w:rsidP="009F791E">
      <w:pPr>
        <w:pStyle w:val="Akapitzlist"/>
        <w:numPr>
          <w:ilvl w:val="0"/>
          <w:numId w:val="16"/>
        </w:numPr>
        <w:spacing w:before="120" w:line="360" w:lineRule="auto"/>
        <w:jc w:val="both"/>
        <w:rPr>
          <w:rFonts w:ascii="Times New Roman" w:hAnsi="Times New Roman"/>
        </w:rPr>
      </w:pPr>
      <w:r w:rsidRPr="009F791E">
        <w:rPr>
          <w:rFonts w:ascii="Times New Roman" w:hAnsi="Times New Roman"/>
        </w:rPr>
        <w:t>Zaktualizowano terminologię w zakresie publikowanych wskaźników makroekonomicznych w uzasadnieniu do projektu ustawy budżetowej. Poprawki mają charakter definicyjny (termin „konsumpcja zbiorowa” proponuje się zastąpić terminem „konsumpcja publiczna) lub redakcyjny („eksport netto” zamiast „wielkość eksportu netto”, nakłady brutto na środki trwałe są składnikiem popytu krajowego</w:t>
      </w:r>
      <w:r w:rsidR="00C34A1B" w:rsidRPr="009F791E">
        <w:rPr>
          <w:rFonts w:ascii="Times New Roman" w:hAnsi="Times New Roman"/>
        </w:rPr>
        <w:t xml:space="preserve"> </w:t>
      </w:r>
      <w:r w:rsidR="00B505A1">
        <w:rPr>
          <w:rFonts w:ascii="Times New Roman" w:hAnsi="Times New Roman"/>
        </w:rPr>
        <w:t>–</w:t>
      </w:r>
      <w:r w:rsidR="00C34A1B" w:rsidRPr="009F791E">
        <w:rPr>
          <w:rFonts w:ascii="Times New Roman" w:hAnsi="Times New Roman"/>
        </w:rPr>
        <w:t xml:space="preserve"> d</w:t>
      </w:r>
      <w:r w:rsidRPr="009F791E">
        <w:rPr>
          <w:rFonts w:ascii="Times New Roman" w:hAnsi="Times New Roman"/>
        </w:rPr>
        <w:t xml:space="preserve">okonano także zmian w zakresie składowych PKB zamieszczanych w uzasadnieniu do projektu ustawy </w:t>
      </w:r>
      <w:r w:rsidR="00C34A1B" w:rsidRPr="009F791E">
        <w:rPr>
          <w:rFonts w:ascii="Times New Roman" w:hAnsi="Times New Roman"/>
        </w:rPr>
        <w:t>budżetowej (przeniesiecie pozycji „nakłady brutto na środki trwałe: z samodzielnego tiret do pozycji składowej popytu krajowego)</w:t>
      </w:r>
      <w:r w:rsidRPr="009F791E">
        <w:rPr>
          <w:rFonts w:ascii="Times New Roman" w:hAnsi="Times New Roman"/>
        </w:rPr>
        <w:t>.</w:t>
      </w:r>
    </w:p>
    <w:p w14:paraId="092A4CFE" w14:textId="16FC418C" w:rsidR="008D2CD3" w:rsidRPr="009F791E" w:rsidRDefault="008D2CD3" w:rsidP="009F791E">
      <w:pPr>
        <w:pStyle w:val="Nagwek2"/>
        <w:spacing w:line="360" w:lineRule="auto"/>
        <w:rPr>
          <w:rFonts w:ascii="Times New Roman" w:hAnsi="Times New Roman" w:cs="Times New Roman"/>
          <w:b/>
          <w:bCs/>
          <w:color w:val="auto"/>
          <w:sz w:val="24"/>
          <w:szCs w:val="24"/>
        </w:rPr>
      </w:pPr>
      <w:r w:rsidRPr="009F791E">
        <w:rPr>
          <w:rFonts w:ascii="Times New Roman" w:hAnsi="Times New Roman" w:cs="Times New Roman"/>
          <w:b/>
          <w:bCs/>
          <w:color w:val="auto"/>
          <w:sz w:val="24"/>
          <w:szCs w:val="24"/>
        </w:rPr>
        <w:lastRenderedPageBreak/>
        <w:t>Klauzula wyjścia</w:t>
      </w:r>
    </w:p>
    <w:p w14:paraId="0A6BDC94" w14:textId="2F25ABB2" w:rsidR="008D2CD3" w:rsidRPr="009F791E" w:rsidRDefault="008D2CD3" w:rsidP="009F791E">
      <w:pPr>
        <w:spacing w:before="120" w:line="360" w:lineRule="auto"/>
        <w:jc w:val="both"/>
        <w:rPr>
          <w:rFonts w:ascii="Times New Roman" w:hAnsi="Times New Roman"/>
        </w:rPr>
      </w:pPr>
      <w:r w:rsidRPr="009F791E">
        <w:rPr>
          <w:rFonts w:ascii="Times New Roman" w:hAnsi="Times New Roman"/>
        </w:rPr>
        <w:t xml:space="preserve">Jednym z wniosków </w:t>
      </w:r>
      <w:r w:rsidR="00A77BC9" w:rsidRPr="009F791E">
        <w:rPr>
          <w:rFonts w:ascii="Times New Roman" w:hAnsi="Times New Roman"/>
        </w:rPr>
        <w:t xml:space="preserve">z </w:t>
      </w:r>
      <w:r w:rsidRPr="009F791E">
        <w:rPr>
          <w:rFonts w:ascii="Times New Roman" w:hAnsi="Times New Roman"/>
        </w:rPr>
        <w:t>przeglądu SRW</w:t>
      </w:r>
      <w:r w:rsidR="00F540F4" w:rsidRPr="009F791E">
        <w:rPr>
          <w:rFonts w:ascii="Times New Roman" w:hAnsi="Times New Roman"/>
        </w:rPr>
        <w:t>,</w:t>
      </w:r>
      <w:r w:rsidRPr="009F791E">
        <w:rPr>
          <w:rFonts w:ascii="Times New Roman" w:hAnsi="Times New Roman"/>
        </w:rPr>
        <w:t xml:space="preserve"> jaki został przeprowadzony na przełomie 2023 i 2024 roku we współpracy z Międzynarodowym Funduszem Walutowym</w:t>
      </w:r>
      <w:r w:rsidR="00F540F4" w:rsidRPr="009F791E">
        <w:rPr>
          <w:rFonts w:ascii="Times New Roman" w:hAnsi="Times New Roman"/>
        </w:rPr>
        <w:t xml:space="preserve"> (MFW)</w:t>
      </w:r>
      <w:r w:rsidR="00A77BC9" w:rsidRPr="009F791E">
        <w:rPr>
          <w:rFonts w:ascii="Times New Roman" w:hAnsi="Times New Roman"/>
        </w:rPr>
        <w:t>,</w:t>
      </w:r>
      <w:r w:rsidRPr="009F791E">
        <w:rPr>
          <w:rFonts w:ascii="Times New Roman" w:hAnsi="Times New Roman"/>
        </w:rPr>
        <w:t xml:space="preserve"> było zmodyfikowanie warunków</w:t>
      </w:r>
      <w:r w:rsidR="00F540F4" w:rsidRPr="009F791E">
        <w:rPr>
          <w:rFonts w:ascii="Times New Roman" w:hAnsi="Times New Roman"/>
        </w:rPr>
        <w:t xml:space="preserve">, których </w:t>
      </w:r>
      <w:r w:rsidR="00E83D06" w:rsidRPr="009F791E">
        <w:rPr>
          <w:rFonts w:ascii="Times New Roman" w:hAnsi="Times New Roman"/>
        </w:rPr>
        <w:t xml:space="preserve">spełnienie determinuje </w:t>
      </w:r>
      <w:r w:rsidR="00F540F4" w:rsidRPr="009F791E">
        <w:rPr>
          <w:rFonts w:ascii="Times New Roman" w:hAnsi="Times New Roman"/>
        </w:rPr>
        <w:t>czasowe zawieszenie stosowania SRW (zawieszenie reguły wydatkowej)</w:t>
      </w:r>
      <w:r w:rsidRPr="009F791E">
        <w:rPr>
          <w:rFonts w:ascii="Times New Roman" w:hAnsi="Times New Roman"/>
        </w:rPr>
        <w:t xml:space="preserve">. Przegląd ten był jednym z kamieni milowych A4G </w:t>
      </w:r>
      <w:r w:rsidR="00C344D7" w:rsidRPr="009F791E">
        <w:rPr>
          <w:rFonts w:ascii="Times New Roman" w:hAnsi="Times New Roman"/>
        </w:rPr>
        <w:t>KPO</w:t>
      </w:r>
      <w:r w:rsidR="00F540F4" w:rsidRPr="009F791E">
        <w:rPr>
          <w:rFonts w:ascii="Times New Roman" w:hAnsi="Times New Roman"/>
        </w:rPr>
        <w:t>.</w:t>
      </w:r>
    </w:p>
    <w:p w14:paraId="39F8E5E9" w14:textId="2FB41EEC" w:rsidR="00F540F4" w:rsidRPr="009F791E" w:rsidRDefault="00F540F4" w:rsidP="009F791E">
      <w:pPr>
        <w:spacing w:before="120" w:line="360" w:lineRule="auto"/>
        <w:jc w:val="both"/>
        <w:rPr>
          <w:rFonts w:ascii="Times New Roman" w:hAnsi="Times New Roman"/>
        </w:rPr>
      </w:pPr>
      <w:r w:rsidRPr="009F791E">
        <w:rPr>
          <w:rFonts w:ascii="Times New Roman" w:hAnsi="Times New Roman"/>
        </w:rPr>
        <w:t>Obecnie, aby zastosować klauzulę wyjścia (zawieszenie stosowania SRW) wprowadzenie jednego ze stanów nadzwyczajnych musi być połączone ze znacznym spowolnieniem gospodarczym. Proponowane zmiany polegają, zgodnie z zaleceniem MFW, na uniezależnieniu zastosowania klauzuli wyjścia w przypadku znacznego spowolnienia gospodarczego od konieczności współistnienia innych czynników (wystąpienie jednego ze stanów nadzwyczajnych). Po zmianie</w:t>
      </w:r>
      <w:r w:rsidR="00E83D06" w:rsidRPr="009F791E">
        <w:rPr>
          <w:rFonts w:ascii="Times New Roman" w:hAnsi="Times New Roman"/>
        </w:rPr>
        <w:t>,</w:t>
      </w:r>
      <w:r w:rsidRPr="009F791E">
        <w:rPr>
          <w:rFonts w:ascii="Times New Roman" w:hAnsi="Times New Roman"/>
        </w:rPr>
        <w:t xml:space="preserve"> zawieszenie stosowania SRW będzie możliwe w</w:t>
      </w:r>
      <w:r w:rsidR="00A77BC9" w:rsidRPr="009F791E">
        <w:rPr>
          <w:rFonts w:ascii="Times New Roman" w:hAnsi="Times New Roman"/>
        </w:rPr>
        <w:t> </w:t>
      </w:r>
      <w:r w:rsidRPr="009F791E">
        <w:rPr>
          <w:rFonts w:ascii="Times New Roman" w:hAnsi="Times New Roman"/>
        </w:rPr>
        <w:t>momencie wprowadzenia jednego ze stanów nadzwyczajnych lub w przypadku znacznego spowolnienia gospodarczego. Przy czy</w:t>
      </w:r>
      <w:r w:rsidR="00EF0416" w:rsidRPr="009F791E">
        <w:rPr>
          <w:rFonts w:ascii="Times New Roman" w:hAnsi="Times New Roman"/>
        </w:rPr>
        <w:t>m</w:t>
      </w:r>
      <w:r w:rsidRPr="009F791E">
        <w:rPr>
          <w:rFonts w:ascii="Times New Roman" w:hAnsi="Times New Roman"/>
        </w:rPr>
        <w:t xml:space="preserve"> nowelizacja nie przewiduje zmiany ekonomicznej definicji znacznego spowolnienia gospodarczego</w:t>
      </w:r>
      <w:r w:rsidR="00EF0416" w:rsidRPr="009F791E">
        <w:rPr>
          <w:rFonts w:ascii="Times New Roman" w:hAnsi="Times New Roman"/>
        </w:rPr>
        <w:t xml:space="preserve"> ani nie zmienia katalogu stanów </w:t>
      </w:r>
      <w:r w:rsidR="00C73AF8" w:rsidRPr="009F791E">
        <w:rPr>
          <w:rFonts w:ascii="Times New Roman" w:hAnsi="Times New Roman"/>
        </w:rPr>
        <w:t>nadzwyczajnych</w:t>
      </w:r>
      <w:r w:rsidR="00EF0416" w:rsidRPr="009F791E">
        <w:rPr>
          <w:rStyle w:val="Odwoanieprzypisudolnego"/>
          <w:rFonts w:ascii="Times New Roman" w:hAnsi="Times New Roman"/>
        </w:rPr>
        <w:footnoteReference w:id="10"/>
      </w:r>
      <w:r w:rsidRPr="009F791E">
        <w:rPr>
          <w:rFonts w:ascii="Times New Roman" w:hAnsi="Times New Roman"/>
        </w:rPr>
        <w:t>. Znaczne spowolnienie gospodarcze będzie nadal oznaczać</w:t>
      </w:r>
      <w:r w:rsidR="00EF0416" w:rsidRPr="009F791E">
        <w:rPr>
          <w:rFonts w:ascii="Times New Roman" w:hAnsi="Times New Roman"/>
        </w:rPr>
        <w:t xml:space="preserve">, że prognozowana na rok budżetowy roczna dynamika wartości PKB w </w:t>
      </w:r>
      <w:r w:rsidR="00C73AF8" w:rsidRPr="009F791E">
        <w:rPr>
          <w:rFonts w:ascii="Times New Roman" w:hAnsi="Times New Roman"/>
        </w:rPr>
        <w:t>cenach</w:t>
      </w:r>
      <w:r w:rsidR="00EF0416" w:rsidRPr="009F791E">
        <w:rPr>
          <w:rFonts w:ascii="Times New Roman" w:hAnsi="Times New Roman"/>
        </w:rPr>
        <w:t xml:space="preserve"> stałych jest mniejsza o więcej niż dwa punkty procentowe od wskaźnika średniookresowej wartości PKB w cenach stałych określonego w uzasadnieniu do projektu ustawy budżetowej na rok poprzedzający zawieszenie stosowania SRW.</w:t>
      </w:r>
    </w:p>
    <w:p w14:paraId="48B7A8BB" w14:textId="09BF225A" w:rsidR="00F540F4" w:rsidRPr="009F791E" w:rsidRDefault="00F540F4" w:rsidP="009F791E">
      <w:pPr>
        <w:spacing w:before="120" w:line="360" w:lineRule="auto"/>
        <w:jc w:val="both"/>
        <w:rPr>
          <w:rFonts w:ascii="Times New Roman" w:hAnsi="Times New Roman"/>
        </w:rPr>
      </w:pPr>
      <w:r w:rsidRPr="009F791E">
        <w:rPr>
          <w:rFonts w:ascii="Times New Roman" w:hAnsi="Times New Roman"/>
        </w:rPr>
        <w:t xml:space="preserve">Wprowadzone rozwiązanie pozwoli na szybsze reagowanie w sytuacjach kryzysowych, przy zachowaniu stabilności finansów publicznych. </w:t>
      </w:r>
    </w:p>
    <w:p w14:paraId="5CF10D3C" w14:textId="4D410657" w:rsidR="00F72AD9" w:rsidRPr="009F791E" w:rsidRDefault="00566322" w:rsidP="009F791E">
      <w:pPr>
        <w:pStyle w:val="Nagwek2"/>
        <w:spacing w:line="360" w:lineRule="auto"/>
        <w:rPr>
          <w:rFonts w:ascii="Times New Roman" w:hAnsi="Times New Roman" w:cs="Times New Roman"/>
          <w:b/>
          <w:bCs/>
          <w:color w:val="auto"/>
          <w:sz w:val="24"/>
          <w:szCs w:val="24"/>
        </w:rPr>
      </w:pPr>
      <w:r w:rsidRPr="009F791E">
        <w:rPr>
          <w:rFonts w:ascii="Times New Roman" w:hAnsi="Times New Roman" w:cs="Times New Roman"/>
          <w:b/>
          <w:bCs/>
          <w:color w:val="auto"/>
          <w:sz w:val="24"/>
          <w:szCs w:val="24"/>
        </w:rPr>
        <w:t>Korekta Kn</w:t>
      </w:r>
    </w:p>
    <w:p w14:paraId="1D8DFB56" w14:textId="2B5E6F2A" w:rsidR="00566322" w:rsidRPr="009F791E" w:rsidRDefault="00EF0416" w:rsidP="009F791E">
      <w:pPr>
        <w:spacing w:before="120" w:line="360" w:lineRule="auto"/>
        <w:jc w:val="both"/>
        <w:rPr>
          <w:rFonts w:ascii="Times New Roman" w:hAnsi="Times New Roman"/>
        </w:rPr>
      </w:pPr>
      <w:r w:rsidRPr="009F791E">
        <w:rPr>
          <w:rFonts w:ascii="Times New Roman" w:hAnsi="Times New Roman"/>
        </w:rPr>
        <w:t xml:space="preserve">W związku z wprowadzonymi zmianami w klauzuli wyjścia (zawieszenie stosowania SRW) zachodzi konieczność wprowadzenia zmian w zakresie warunków uruchamiających odpowiednią wielkość korekty kwoty wydatków </w:t>
      </w:r>
      <m:oMath>
        <m:sSub>
          <m:sSubPr>
            <m:ctrlPr>
              <w:rPr>
                <w:rFonts w:ascii="Cambria Math" w:hAnsi="Cambria Math"/>
                <w:i/>
                <w:vertAlign w:val="subscript"/>
              </w:rPr>
            </m:ctrlPr>
          </m:sSubPr>
          <m:e>
            <m:r>
              <w:rPr>
                <w:rFonts w:ascii="Cambria Math" w:hAnsi="Cambria Math"/>
                <w:vertAlign w:val="subscript"/>
              </w:rPr>
              <m:t>K</m:t>
            </m:r>
          </m:e>
          <m:sub>
            <m:r>
              <w:rPr>
                <w:rFonts w:ascii="Cambria Math" w:hAnsi="Cambria Math"/>
                <w:vertAlign w:val="subscript"/>
              </w:rPr>
              <m:t>n</m:t>
            </m:r>
          </m:sub>
        </m:sSub>
      </m:oMath>
      <w:r w:rsidRPr="009F791E">
        <w:rPr>
          <w:rFonts w:ascii="Times New Roman" w:hAnsi="Times New Roman"/>
        </w:rPr>
        <w:t>, o której mowa w art. 112aa ust. 1 ustawy o finansach publicznych. Obecnie poziom korekty uzależniony był od prognozowanego przez Komisj</w:t>
      </w:r>
      <w:r w:rsidR="00A77BC9" w:rsidRPr="009F791E">
        <w:rPr>
          <w:rFonts w:ascii="Times New Roman" w:hAnsi="Times New Roman"/>
        </w:rPr>
        <w:t>ę</w:t>
      </w:r>
      <w:r w:rsidRPr="009F791E">
        <w:rPr>
          <w:rFonts w:ascii="Times New Roman" w:hAnsi="Times New Roman"/>
        </w:rPr>
        <w:t xml:space="preserve"> Europejską poziomu deficyt</w:t>
      </w:r>
      <w:r w:rsidR="004B6402" w:rsidRPr="009F791E">
        <w:rPr>
          <w:rFonts w:ascii="Times New Roman" w:hAnsi="Times New Roman"/>
        </w:rPr>
        <w:t>u</w:t>
      </w:r>
      <w:r w:rsidRPr="009F791E">
        <w:rPr>
          <w:rFonts w:ascii="Times New Roman" w:hAnsi="Times New Roman"/>
        </w:rPr>
        <w:t xml:space="preserve"> i dług</w:t>
      </w:r>
      <w:r w:rsidR="00C73AF8" w:rsidRPr="009F791E">
        <w:rPr>
          <w:rFonts w:ascii="Times New Roman" w:hAnsi="Times New Roman"/>
        </w:rPr>
        <w:t xml:space="preserve">u </w:t>
      </w:r>
      <w:r w:rsidRPr="009F791E">
        <w:rPr>
          <w:rFonts w:ascii="Times New Roman" w:hAnsi="Times New Roman"/>
        </w:rPr>
        <w:t xml:space="preserve">sektora instytucji rządowych i samorządowych </w:t>
      </w:r>
      <w:r w:rsidRPr="009F791E">
        <w:rPr>
          <w:rFonts w:ascii="Times New Roman" w:hAnsi="Times New Roman"/>
        </w:rPr>
        <w:lastRenderedPageBreak/>
        <w:t xml:space="preserve">na rok budżetowy (n) i rok poprzedzający rok budżetowy (rok n-1) </w:t>
      </w:r>
      <w:r w:rsidR="00C73AF8" w:rsidRPr="009F791E">
        <w:rPr>
          <w:rFonts w:ascii="Times New Roman" w:hAnsi="Times New Roman"/>
        </w:rPr>
        <w:t>(warunek przekroczenia przez dług lub deficyt sektora instytucji rządowych wartości referencyjnych odpowiednio 60%</w:t>
      </w:r>
      <w:r w:rsidR="008219C6" w:rsidRPr="009F791E">
        <w:rPr>
          <w:rFonts w:ascii="Times New Roman" w:hAnsi="Times New Roman"/>
        </w:rPr>
        <w:t> </w:t>
      </w:r>
      <w:r w:rsidR="00C73AF8" w:rsidRPr="009F791E">
        <w:rPr>
          <w:rFonts w:ascii="Times New Roman" w:hAnsi="Times New Roman"/>
        </w:rPr>
        <w:t>PKB i 3%</w:t>
      </w:r>
      <w:r w:rsidR="008219C6" w:rsidRPr="009F791E">
        <w:rPr>
          <w:rFonts w:ascii="Times New Roman" w:hAnsi="Times New Roman"/>
        </w:rPr>
        <w:t> </w:t>
      </w:r>
      <w:r w:rsidR="00C73AF8" w:rsidRPr="009F791E">
        <w:rPr>
          <w:rFonts w:ascii="Times New Roman" w:hAnsi="Times New Roman"/>
        </w:rPr>
        <w:t>PKB), oraz prognozowanej na rok budżetowy rocznej dynamiki wartości PKB w cenach stałych (niespełniony warunek złych czasów).</w:t>
      </w:r>
    </w:p>
    <w:p w14:paraId="651872D0" w14:textId="5B2CC862" w:rsidR="00C73AF8" w:rsidRPr="009F791E" w:rsidRDefault="00C73AF8" w:rsidP="009F791E">
      <w:pPr>
        <w:spacing w:before="120" w:line="360" w:lineRule="auto"/>
        <w:jc w:val="both"/>
        <w:rPr>
          <w:rFonts w:ascii="Times New Roman" w:hAnsi="Times New Roman"/>
        </w:rPr>
      </w:pPr>
      <w:r w:rsidRPr="009F791E">
        <w:rPr>
          <w:rFonts w:ascii="Times New Roman" w:hAnsi="Times New Roman"/>
        </w:rPr>
        <w:t>W związku z proponowanymi zmianami w klauzuli wyjścia, które polegają</w:t>
      </w:r>
      <w:r w:rsidR="00D92751" w:rsidRPr="009F791E">
        <w:rPr>
          <w:rFonts w:ascii="Times New Roman" w:hAnsi="Times New Roman"/>
        </w:rPr>
        <w:t xml:space="preserve"> na</w:t>
      </w:r>
      <w:r w:rsidRPr="009F791E">
        <w:rPr>
          <w:rFonts w:ascii="Times New Roman" w:hAnsi="Times New Roman"/>
        </w:rPr>
        <w:t xml:space="preserve"> uznaniu znacznego spowolnienia gospodarczego za </w:t>
      </w:r>
      <w:r w:rsidR="00D92751" w:rsidRPr="009F791E">
        <w:rPr>
          <w:rFonts w:ascii="Times New Roman" w:hAnsi="Times New Roman"/>
        </w:rPr>
        <w:t>wystarczający</w:t>
      </w:r>
      <w:r w:rsidRPr="009F791E">
        <w:rPr>
          <w:rFonts w:ascii="Times New Roman" w:hAnsi="Times New Roman"/>
        </w:rPr>
        <w:t xml:space="preserve"> </w:t>
      </w:r>
      <w:r w:rsidR="00D92751" w:rsidRPr="009F791E">
        <w:rPr>
          <w:rFonts w:ascii="Times New Roman" w:hAnsi="Times New Roman"/>
        </w:rPr>
        <w:t xml:space="preserve">(i samodzielny) </w:t>
      </w:r>
      <w:r w:rsidRPr="009F791E">
        <w:rPr>
          <w:rFonts w:ascii="Times New Roman" w:hAnsi="Times New Roman"/>
        </w:rPr>
        <w:t>warunek aktywacji klauzuli wyjścia (zawieszenia SRW)</w:t>
      </w:r>
      <w:r w:rsidR="00D92751" w:rsidRPr="009F791E">
        <w:rPr>
          <w:rFonts w:ascii="Times New Roman" w:hAnsi="Times New Roman"/>
        </w:rPr>
        <w:t>, zaszła konieczność modyfikacji warunków aktywacji korekty na określonym poziomie.</w:t>
      </w:r>
    </w:p>
    <w:p w14:paraId="601039AE" w14:textId="721BE236" w:rsidR="00D92751" w:rsidRPr="009F791E" w:rsidRDefault="00D92751" w:rsidP="009F791E">
      <w:pPr>
        <w:spacing w:before="120" w:line="360" w:lineRule="auto"/>
        <w:jc w:val="both"/>
        <w:rPr>
          <w:rFonts w:ascii="Times New Roman" w:hAnsi="Times New Roman"/>
        </w:rPr>
      </w:pPr>
      <w:r w:rsidRPr="009F791E">
        <w:rPr>
          <w:rFonts w:ascii="Times New Roman" w:hAnsi="Times New Roman"/>
        </w:rPr>
        <w:t>Po zmianie standardowa wielkość korekty nie będzie uzależniona od warunków ekonomicznych (dynamiki wzrostu realnego PKB). Wysokość standardowej korekty (0</w:t>
      </w:r>
      <w:r w:rsidR="00E83D06" w:rsidRPr="009F791E">
        <w:rPr>
          <w:rFonts w:ascii="Times New Roman" w:hAnsi="Times New Roman"/>
        </w:rPr>
        <w:t>;</w:t>
      </w:r>
      <w:r w:rsidRPr="009F791E">
        <w:rPr>
          <w:rFonts w:ascii="Times New Roman" w:hAnsi="Times New Roman"/>
        </w:rPr>
        <w:t xml:space="preserve"> 0,5% PKB) będzie uzależniona wyłącznie od prognozowanego przez Komisj</w:t>
      </w:r>
      <w:r w:rsidR="00E83D06" w:rsidRPr="009F791E">
        <w:rPr>
          <w:rFonts w:ascii="Times New Roman" w:hAnsi="Times New Roman"/>
        </w:rPr>
        <w:t>ę</w:t>
      </w:r>
      <w:r w:rsidRPr="009F791E">
        <w:rPr>
          <w:rFonts w:ascii="Times New Roman" w:hAnsi="Times New Roman"/>
        </w:rPr>
        <w:t xml:space="preserve"> Europejską poziomu deficytu i długu sektora instytucji rządowych i samorządowy</w:t>
      </w:r>
      <w:r w:rsidR="00E83D06" w:rsidRPr="009F791E">
        <w:rPr>
          <w:rFonts w:ascii="Times New Roman" w:hAnsi="Times New Roman"/>
        </w:rPr>
        <w:t>ch</w:t>
      </w:r>
      <w:r w:rsidRPr="009F791E">
        <w:rPr>
          <w:rFonts w:ascii="Times New Roman" w:hAnsi="Times New Roman"/>
        </w:rPr>
        <w:t xml:space="preserve">. </w:t>
      </w:r>
    </w:p>
    <w:p w14:paraId="2B11A21C" w14:textId="740D7BCD" w:rsidR="00D92751" w:rsidRPr="009F791E" w:rsidRDefault="00D92751" w:rsidP="009F791E">
      <w:pPr>
        <w:spacing w:before="120" w:line="360" w:lineRule="auto"/>
        <w:jc w:val="both"/>
        <w:rPr>
          <w:rFonts w:ascii="Times New Roman" w:hAnsi="Times New Roman"/>
        </w:rPr>
      </w:pPr>
      <w:r w:rsidRPr="009F791E">
        <w:rPr>
          <w:rFonts w:ascii="Times New Roman" w:hAnsi="Times New Roman"/>
        </w:rPr>
        <w:t xml:space="preserve">Zgodnie z propozycją standardowa wielkość korekty kwoty wydatków </w:t>
      </w:r>
      <m:oMath>
        <m:sSub>
          <m:sSubPr>
            <m:ctrlPr>
              <w:rPr>
                <w:rFonts w:ascii="Cambria Math" w:hAnsi="Cambria Math"/>
              </w:rPr>
            </m:ctrlPr>
          </m:sSubPr>
          <m:e>
            <m:r>
              <w:rPr>
                <w:rFonts w:ascii="Cambria Math" w:hAnsi="Cambria Math"/>
              </w:rPr>
              <m:t>K</m:t>
            </m:r>
          </m:e>
          <m:sub>
            <m:r>
              <w:rPr>
                <w:rFonts w:ascii="Cambria Math" w:hAnsi="Cambria Math"/>
              </w:rPr>
              <m:t>n</m:t>
            </m:r>
          </m:sub>
        </m:sSub>
      </m:oMath>
      <w:r w:rsidRPr="009F791E">
        <w:rPr>
          <w:rFonts w:ascii="Times New Roman" w:hAnsi="Times New Roman"/>
        </w:rPr>
        <w:t xml:space="preserve"> wynosić będzie 0. Jednak wielkość korekty kwoty wydatków </w:t>
      </w:r>
      <w:bookmarkStart w:id="2" w:name="_Hlk168145268"/>
      <m:oMath>
        <m:sSub>
          <m:sSubPr>
            <m:ctrlPr>
              <w:rPr>
                <w:rFonts w:ascii="Cambria Math" w:hAnsi="Cambria Math"/>
              </w:rPr>
            </m:ctrlPr>
          </m:sSubPr>
          <m:e>
            <m:r>
              <w:rPr>
                <w:rFonts w:ascii="Cambria Math" w:hAnsi="Cambria Math"/>
              </w:rPr>
              <m:t>K</m:t>
            </m:r>
          </m:e>
          <m:sub>
            <m:r>
              <w:rPr>
                <w:rFonts w:ascii="Cambria Math" w:hAnsi="Cambria Math"/>
              </w:rPr>
              <m:t>n</m:t>
            </m:r>
          </m:sub>
        </m:sSub>
      </m:oMath>
      <w:bookmarkEnd w:id="2"/>
      <w:r w:rsidRPr="009F791E">
        <w:rPr>
          <w:rFonts w:ascii="Times New Roman" w:hAnsi="Times New Roman"/>
        </w:rPr>
        <w:t xml:space="preserve"> </w:t>
      </w:r>
      <w:r w:rsidR="007B5100" w:rsidRPr="009F791E">
        <w:rPr>
          <w:rFonts w:ascii="Times New Roman" w:hAnsi="Times New Roman"/>
        </w:rPr>
        <w:t xml:space="preserve">nie będzie mogła być wyższa niż minus 0,5% PKB planowanego na rok budżetowy </w:t>
      </w:r>
      <w:r w:rsidRPr="009F791E">
        <w:rPr>
          <w:rFonts w:ascii="Times New Roman" w:hAnsi="Times New Roman"/>
        </w:rPr>
        <w:t>w przypadku gdy najbardziej aktualne prognozy Komisji Europejskiej przewidują, że:</w:t>
      </w:r>
    </w:p>
    <w:p w14:paraId="5E84E808" w14:textId="72C194D3" w:rsidR="00D92751" w:rsidRPr="009F791E" w:rsidRDefault="00D92751" w:rsidP="009F791E">
      <w:pPr>
        <w:spacing w:before="120" w:line="360" w:lineRule="auto"/>
        <w:jc w:val="both"/>
        <w:rPr>
          <w:rFonts w:ascii="Times New Roman" w:hAnsi="Times New Roman"/>
        </w:rPr>
      </w:pPr>
      <w:r w:rsidRPr="009F791E">
        <w:rPr>
          <w:rFonts w:ascii="Times New Roman" w:hAnsi="Times New Roman"/>
        </w:rPr>
        <w:t>a) wartość relacji wyniku nominalnego sektora instytucji rządowych i samorządowych</w:t>
      </w:r>
      <w:r w:rsidR="00E83D06" w:rsidRPr="009F791E">
        <w:rPr>
          <w:rFonts w:ascii="Times New Roman" w:hAnsi="Times New Roman"/>
        </w:rPr>
        <w:t>,</w:t>
      </w:r>
      <w:r w:rsidRPr="009F791E">
        <w:rPr>
          <w:rFonts w:ascii="Times New Roman" w:hAnsi="Times New Roman"/>
        </w:rPr>
        <w:t xml:space="preserve"> w</w:t>
      </w:r>
      <w:r w:rsidR="00A77BC9" w:rsidRPr="009F791E">
        <w:rPr>
          <w:rFonts w:ascii="Times New Roman" w:hAnsi="Times New Roman"/>
        </w:rPr>
        <w:t> </w:t>
      </w:r>
      <w:r w:rsidRPr="009F791E">
        <w:rPr>
          <w:rFonts w:ascii="Times New Roman" w:hAnsi="Times New Roman"/>
        </w:rPr>
        <w:t>rozumieniu rozporządzenia Rady (WE) nr 479/2009 z dnia 25 maja 2009 r. o stosowaniu Protokołu w sprawie procedury nadmiernego deficytu załączonego do Traktatu ustanawiającego Wspólnotę Europejską</w:t>
      </w:r>
      <w:r w:rsidR="00E83D06" w:rsidRPr="009F791E">
        <w:rPr>
          <w:rFonts w:ascii="Times New Roman" w:hAnsi="Times New Roman"/>
        </w:rPr>
        <w:t>,</w:t>
      </w:r>
      <w:r w:rsidRPr="009F791E">
        <w:rPr>
          <w:rFonts w:ascii="Times New Roman" w:hAnsi="Times New Roman"/>
        </w:rPr>
        <w:t xml:space="preserve"> do produktu krajowego brutto w roku poprzedzającym rok budżetowy (roku n-1) lub roku budżetowym (roku n) jest niższa niż -3%, lub</w:t>
      </w:r>
    </w:p>
    <w:p w14:paraId="2BC66F45" w14:textId="07775226" w:rsidR="00D92751" w:rsidRPr="009F791E" w:rsidRDefault="00D92751" w:rsidP="009F791E">
      <w:pPr>
        <w:spacing w:before="120" w:line="360" w:lineRule="auto"/>
        <w:jc w:val="both"/>
        <w:rPr>
          <w:rFonts w:ascii="Times New Roman" w:hAnsi="Times New Roman"/>
        </w:rPr>
      </w:pPr>
      <w:r w:rsidRPr="009F791E">
        <w:rPr>
          <w:rFonts w:ascii="Times New Roman" w:hAnsi="Times New Roman"/>
        </w:rPr>
        <w:t xml:space="preserve">b) </w:t>
      </w:r>
      <w:bookmarkStart w:id="3" w:name="_Hlk167084937"/>
      <w:r w:rsidRPr="009F791E">
        <w:rPr>
          <w:rFonts w:ascii="Times New Roman" w:hAnsi="Times New Roman"/>
        </w:rPr>
        <w:t>wartość relacji długu sektora instytucji rządowych i samorządowych</w:t>
      </w:r>
      <w:r w:rsidR="00E83D06" w:rsidRPr="009F791E">
        <w:rPr>
          <w:rFonts w:ascii="Times New Roman" w:hAnsi="Times New Roman"/>
        </w:rPr>
        <w:t>,</w:t>
      </w:r>
      <w:r w:rsidRPr="009F791E">
        <w:rPr>
          <w:rFonts w:ascii="Times New Roman" w:hAnsi="Times New Roman"/>
        </w:rPr>
        <w:t xml:space="preserve"> w rozumieniu rozporządzenia Rady (WE) nr 479/2009 z dnia 25 maja 2009 r. o stosowaniu Protokołu w</w:t>
      </w:r>
      <w:r w:rsidR="00A77BC9" w:rsidRPr="009F791E">
        <w:rPr>
          <w:rFonts w:ascii="Times New Roman" w:hAnsi="Times New Roman"/>
        </w:rPr>
        <w:t> </w:t>
      </w:r>
      <w:r w:rsidRPr="009F791E">
        <w:rPr>
          <w:rFonts w:ascii="Times New Roman" w:hAnsi="Times New Roman"/>
        </w:rPr>
        <w:t>sprawie procedury dotyczącej nadmiernego deficytu załączonego do Traktatu ustanawiającego Wspólnotę Europejską</w:t>
      </w:r>
      <w:r w:rsidR="003B1A70" w:rsidRPr="009F791E">
        <w:rPr>
          <w:rFonts w:ascii="Times New Roman" w:hAnsi="Times New Roman"/>
        </w:rPr>
        <w:t>,</w:t>
      </w:r>
      <w:r w:rsidRPr="009F791E">
        <w:rPr>
          <w:rFonts w:ascii="Times New Roman" w:hAnsi="Times New Roman"/>
        </w:rPr>
        <w:t xml:space="preserve"> do produktu krajowego brutto w roku poprzedzającym rok budżetowy (roku n-1) lub roku budżetowym (roku n) jest wyższa niż 60%</w:t>
      </w:r>
      <w:r w:rsidR="007B5100" w:rsidRPr="009F791E">
        <w:rPr>
          <w:rFonts w:ascii="Times New Roman" w:hAnsi="Times New Roman"/>
        </w:rPr>
        <w:t>.</w:t>
      </w:r>
    </w:p>
    <w:bookmarkEnd w:id="3"/>
    <w:p w14:paraId="72F99912" w14:textId="6E526269" w:rsidR="00D92751" w:rsidRPr="009F791E" w:rsidRDefault="001062F0" w:rsidP="009F791E">
      <w:pPr>
        <w:spacing w:before="120" w:line="360" w:lineRule="auto"/>
        <w:jc w:val="both"/>
        <w:rPr>
          <w:rFonts w:ascii="Times New Roman" w:hAnsi="Times New Roman"/>
        </w:rPr>
      </w:pPr>
      <w:r w:rsidRPr="009F791E">
        <w:rPr>
          <w:rFonts w:ascii="Times New Roman" w:hAnsi="Times New Roman"/>
        </w:rPr>
        <w:t xml:space="preserve">W przypadku zatwierdzenia przez Radę Unii Europejskiej ścieżki wydatków netto, o której mowa w rozporządzeniu Parlamentu Europejskiego i Rady (UE) 2024/1263 z dnia 29 kwietnia 2024 r. w sprawie skutecznej koordynacji polityk gospodarczych i w sprawie wielostronnego nadzoru budżetowego oraz uchylającego rozporządzenie Rady (WE) nr 1466/97, nie będzie stosowana standardowa wielkość korekty kwoty wydatków </w:t>
      </w:r>
      <m:oMath>
        <m:sSub>
          <m:sSubPr>
            <m:ctrlPr>
              <w:rPr>
                <w:rFonts w:ascii="Cambria Math" w:hAnsi="Cambria Math"/>
              </w:rPr>
            </m:ctrlPr>
          </m:sSubPr>
          <m:e>
            <m:r>
              <w:rPr>
                <w:rFonts w:ascii="Cambria Math" w:hAnsi="Cambria Math"/>
              </w:rPr>
              <m:t>K</m:t>
            </m:r>
          </m:e>
          <m:sub>
            <m:r>
              <w:rPr>
                <w:rFonts w:ascii="Cambria Math" w:hAnsi="Cambria Math"/>
              </w:rPr>
              <m:t>n</m:t>
            </m:r>
          </m:sub>
        </m:sSub>
      </m:oMath>
      <w:r w:rsidRPr="009F791E">
        <w:rPr>
          <w:rFonts w:ascii="Times New Roman" w:hAnsi="Times New Roman"/>
        </w:rPr>
        <w:t xml:space="preserve"> określona w ar 112aa ust. 4 ustawy o finansach publicznych (0 lub 0,5% PKB), lecz korekta </w:t>
      </w:r>
      <m:oMath>
        <m:sSub>
          <m:sSubPr>
            <m:ctrlPr>
              <w:rPr>
                <w:rFonts w:ascii="Cambria Math" w:hAnsi="Cambria Math"/>
              </w:rPr>
            </m:ctrlPr>
          </m:sSubPr>
          <m:e>
            <m:r>
              <w:rPr>
                <w:rFonts w:ascii="Cambria Math" w:hAnsi="Cambria Math"/>
              </w:rPr>
              <m:t>K</m:t>
            </m:r>
          </m:e>
          <m:sub>
            <m:r>
              <w:rPr>
                <w:rFonts w:ascii="Cambria Math" w:hAnsi="Cambria Math"/>
              </w:rPr>
              <m:t>n</m:t>
            </m:r>
          </m:sub>
        </m:sSub>
      </m:oMath>
      <w:r w:rsidRPr="009F791E">
        <w:rPr>
          <w:rFonts w:ascii="Times New Roman" w:hAnsi="Times New Roman"/>
        </w:rPr>
        <w:t xml:space="preserve"> będzie odpowiadała </w:t>
      </w:r>
      <w:r w:rsidR="00D05C3D" w:rsidRPr="009F791E">
        <w:rPr>
          <w:rFonts w:ascii="Times New Roman" w:hAnsi="Times New Roman"/>
        </w:rPr>
        <w:lastRenderedPageBreak/>
        <w:t>wysiłkowi fiskalnemu</w:t>
      </w:r>
      <w:r w:rsidR="001050C9" w:rsidRPr="009F791E">
        <w:rPr>
          <w:rFonts w:ascii="Times New Roman" w:hAnsi="Times New Roman"/>
        </w:rPr>
        <w:t xml:space="preserve"> </w:t>
      </w:r>
      <w:r w:rsidRPr="009F791E">
        <w:rPr>
          <w:rFonts w:ascii="Times New Roman" w:hAnsi="Times New Roman"/>
        </w:rPr>
        <w:t>zgodnemu z zatwierdzoną przez Radę Unii Europejskiej ścieżką wydatków netto, o której mowa w tym rozporządzeniu.</w:t>
      </w:r>
    </w:p>
    <w:p w14:paraId="53F7E042" w14:textId="3BC2FF19" w:rsidR="001062F0" w:rsidRPr="009F791E" w:rsidRDefault="001062F0" w:rsidP="009F791E">
      <w:pPr>
        <w:spacing w:before="120" w:line="360" w:lineRule="auto"/>
        <w:jc w:val="both"/>
        <w:rPr>
          <w:rFonts w:ascii="Times New Roman" w:hAnsi="Times New Roman"/>
        </w:rPr>
      </w:pPr>
      <w:r w:rsidRPr="009F791E">
        <w:rPr>
          <w:rFonts w:ascii="Times New Roman" w:hAnsi="Times New Roman"/>
        </w:rPr>
        <w:t xml:space="preserve">Dodatkowo wprowadzono możliwość zastosowania innej </w:t>
      </w:r>
      <w:r w:rsidR="00236149" w:rsidRPr="009F791E">
        <w:rPr>
          <w:rFonts w:ascii="Times New Roman" w:hAnsi="Times New Roman"/>
        </w:rPr>
        <w:t xml:space="preserve">korekty </w:t>
      </w:r>
      <m:oMath>
        <m:sSub>
          <m:sSubPr>
            <m:ctrlPr>
              <w:rPr>
                <w:rFonts w:ascii="Cambria Math" w:hAnsi="Cambria Math"/>
              </w:rPr>
            </m:ctrlPr>
          </m:sSubPr>
          <m:e>
            <m:r>
              <w:rPr>
                <w:rFonts w:ascii="Cambria Math" w:hAnsi="Cambria Math"/>
              </w:rPr>
              <m:t>K</m:t>
            </m:r>
          </m:e>
          <m:sub>
            <m:r>
              <w:rPr>
                <w:rFonts w:ascii="Cambria Math" w:hAnsi="Cambria Math"/>
              </w:rPr>
              <m:t>n</m:t>
            </m:r>
          </m:sub>
        </m:sSub>
      </m:oMath>
      <w:r w:rsidR="00236149" w:rsidRPr="009F791E">
        <w:rPr>
          <w:rFonts w:ascii="Times New Roman" w:hAnsi="Times New Roman"/>
        </w:rPr>
        <w:t xml:space="preserve"> </w:t>
      </w:r>
      <w:r w:rsidRPr="009F791E">
        <w:rPr>
          <w:rFonts w:ascii="Times New Roman" w:hAnsi="Times New Roman"/>
        </w:rPr>
        <w:t xml:space="preserve">niż standardowa wielkość korekty (art. 112aa ust 4 ustawy o finansach publicznych) czy odpowiadająca </w:t>
      </w:r>
      <w:r w:rsidR="00D05C3D" w:rsidRPr="009F791E">
        <w:rPr>
          <w:rFonts w:ascii="Times New Roman" w:hAnsi="Times New Roman"/>
        </w:rPr>
        <w:t xml:space="preserve">wysiłkowi fiskalnemu </w:t>
      </w:r>
      <w:r w:rsidRPr="009F791E">
        <w:rPr>
          <w:rFonts w:ascii="Times New Roman" w:hAnsi="Times New Roman"/>
        </w:rPr>
        <w:t>zgodnemu z zatwierdzoną przez Radę Unii Europejskiej ścieżką wydatków netto, o której mowa w rozporządzeniu Parlamentu Europejskiego i Rady (UE) 2024/1263, jeżeli będzie to wynikało z zaleceń Rady Unii Europejskiej wydanych na podstawie art. 121 ust. 2 lub 4 lub art.</w:t>
      </w:r>
      <w:r w:rsidR="00A77BC9" w:rsidRPr="009F791E">
        <w:rPr>
          <w:rFonts w:ascii="Times New Roman" w:hAnsi="Times New Roman"/>
        </w:rPr>
        <w:t> </w:t>
      </w:r>
      <w:r w:rsidRPr="009F791E">
        <w:rPr>
          <w:rFonts w:ascii="Times New Roman" w:hAnsi="Times New Roman"/>
        </w:rPr>
        <w:t>126 ust. 7 Traktatu o funkcjonowaniu Unii Europejskiej.</w:t>
      </w:r>
    </w:p>
    <w:p w14:paraId="7517CE49" w14:textId="52230CC2" w:rsidR="00D92751" w:rsidRPr="009F791E" w:rsidRDefault="00236149" w:rsidP="009F791E">
      <w:pPr>
        <w:spacing w:before="120" w:line="360" w:lineRule="auto"/>
        <w:jc w:val="both"/>
        <w:rPr>
          <w:rFonts w:ascii="Times New Roman" w:hAnsi="Times New Roman"/>
        </w:rPr>
      </w:pPr>
      <w:r w:rsidRPr="009F791E">
        <w:rPr>
          <w:rFonts w:ascii="Times New Roman" w:hAnsi="Times New Roman"/>
        </w:rPr>
        <w:t>Zaproponowane rozwiązanie na celu zapewnienie zgodności polityki fiskalnej z regułami UE i</w:t>
      </w:r>
      <w:r w:rsidR="00A77BC9" w:rsidRPr="009F791E">
        <w:rPr>
          <w:rFonts w:ascii="Times New Roman" w:hAnsi="Times New Roman"/>
        </w:rPr>
        <w:t> </w:t>
      </w:r>
      <w:r w:rsidRPr="009F791E">
        <w:rPr>
          <w:rFonts w:ascii="Times New Roman" w:hAnsi="Times New Roman"/>
        </w:rPr>
        <w:t>zobowiązaniami traktatowymi Polski.</w:t>
      </w:r>
      <w:r w:rsidR="00B505A1">
        <w:rPr>
          <w:rFonts w:ascii="Times New Roman" w:hAnsi="Times New Roman"/>
        </w:rPr>
        <w:t xml:space="preserve"> </w:t>
      </w:r>
    </w:p>
    <w:p w14:paraId="6AC6CFCB" w14:textId="38F371C4" w:rsidR="00D56C7F" w:rsidRPr="009F791E" w:rsidRDefault="000155F9" w:rsidP="009F791E">
      <w:pPr>
        <w:pStyle w:val="Nagwek2"/>
        <w:spacing w:line="360" w:lineRule="auto"/>
        <w:rPr>
          <w:rFonts w:ascii="Times New Roman" w:hAnsi="Times New Roman" w:cs="Times New Roman"/>
          <w:b/>
          <w:bCs/>
          <w:color w:val="auto"/>
          <w:sz w:val="24"/>
          <w:szCs w:val="24"/>
        </w:rPr>
      </w:pPr>
      <w:r w:rsidRPr="009F791E">
        <w:rPr>
          <w:rFonts w:ascii="Times New Roman" w:hAnsi="Times New Roman" w:cs="Times New Roman"/>
          <w:b/>
          <w:bCs/>
          <w:color w:val="auto"/>
          <w:sz w:val="24"/>
          <w:szCs w:val="24"/>
        </w:rPr>
        <w:t>Korekta wydatków 2026</w:t>
      </w:r>
    </w:p>
    <w:p w14:paraId="7AA8E7DE" w14:textId="26889256" w:rsidR="00A814C8" w:rsidRPr="009F791E" w:rsidRDefault="00A814C8" w:rsidP="009F791E">
      <w:pPr>
        <w:spacing w:line="360" w:lineRule="auto"/>
        <w:jc w:val="both"/>
        <w:rPr>
          <w:rFonts w:ascii="Times New Roman" w:hAnsi="Times New Roman"/>
        </w:rPr>
      </w:pPr>
      <w:r w:rsidRPr="009F791E">
        <w:rPr>
          <w:rFonts w:ascii="Times New Roman" w:hAnsi="Times New Roman"/>
        </w:rPr>
        <w:t xml:space="preserve">W 2025 r. będzie znana rzeczywista wartość nominalna nieodpłatnie przekazanych </w:t>
      </w:r>
      <w:r w:rsidR="003B1A70" w:rsidRPr="009F791E">
        <w:rPr>
          <w:rFonts w:ascii="Times New Roman" w:hAnsi="Times New Roman"/>
        </w:rPr>
        <w:t xml:space="preserve">przez jednostki i organy objęte SRW </w:t>
      </w:r>
      <w:r w:rsidRPr="009F791E">
        <w:rPr>
          <w:rFonts w:ascii="Times New Roman" w:hAnsi="Times New Roman"/>
        </w:rPr>
        <w:t>skarbowych papierów wartościowych jednostkom zaliczanym do sektora instytucji rządowych i samorządowych</w:t>
      </w:r>
      <w:r w:rsidR="003B1A70" w:rsidRPr="009F791E">
        <w:rPr>
          <w:rFonts w:ascii="Times New Roman" w:hAnsi="Times New Roman"/>
        </w:rPr>
        <w:t xml:space="preserve"> w 2024 r.</w:t>
      </w:r>
      <w:r w:rsidRPr="009F791E">
        <w:rPr>
          <w:rFonts w:ascii="Times New Roman" w:hAnsi="Times New Roman"/>
        </w:rPr>
        <w:t xml:space="preserve"> Ponieważ, ustalając kwotę wydatków SRW na rok 2025, w kwocie startowej stanowiącej podstawę do</w:t>
      </w:r>
      <w:r w:rsidR="003B1A70" w:rsidRPr="009F791E">
        <w:rPr>
          <w:rFonts w:ascii="Times New Roman" w:hAnsi="Times New Roman"/>
        </w:rPr>
        <w:t xml:space="preserve"> jej</w:t>
      </w:r>
      <w:r w:rsidRPr="009F791E">
        <w:rPr>
          <w:rFonts w:ascii="Times New Roman" w:hAnsi="Times New Roman"/>
        </w:rPr>
        <w:t xml:space="preserve"> ustalenia przyjęto planowaną </w:t>
      </w:r>
      <w:r w:rsidR="008219C6" w:rsidRPr="009F791E">
        <w:rPr>
          <w:rFonts w:ascii="Times New Roman" w:hAnsi="Times New Roman"/>
        </w:rPr>
        <w:t xml:space="preserve">w ustawie budżetowej na rok 2024 </w:t>
      </w:r>
      <w:r w:rsidRPr="009F791E">
        <w:rPr>
          <w:rFonts w:ascii="Times New Roman" w:hAnsi="Times New Roman"/>
        </w:rPr>
        <w:t xml:space="preserve">wartość nominalną nieodpłatnie przekazanych skarbowych papierów wartościowych, zdecydowano się zweryfikować </w:t>
      </w:r>
      <w:r w:rsidR="003B1A70" w:rsidRPr="009F791E">
        <w:rPr>
          <w:rFonts w:ascii="Times New Roman" w:hAnsi="Times New Roman"/>
        </w:rPr>
        <w:t xml:space="preserve">tę wartość </w:t>
      </w:r>
      <w:r w:rsidRPr="009F791E">
        <w:rPr>
          <w:rFonts w:ascii="Times New Roman" w:hAnsi="Times New Roman"/>
        </w:rPr>
        <w:t>w kwocie startowej stanowiącej podstawę ustalenia kwoty wydatków na rok 2026.</w:t>
      </w:r>
    </w:p>
    <w:p w14:paraId="3DEC7346" w14:textId="0B4E542D" w:rsidR="00A814C8" w:rsidRPr="009F791E" w:rsidRDefault="00A814C8" w:rsidP="009F791E">
      <w:pPr>
        <w:spacing w:before="120" w:line="360" w:lineRule="auto"/>
        <w:jc w:val="both"/>
        <w:rPr>
          <w:rFonts w:ascii="Times New Roman" w:hAnsi="Times New Roman"/>
        </w:rPr>
      </w:pPr>
      <w:r w:rsidRPr="009F791E">
        <w:rPr>
          <w:rFonts w:ascii="Times New Roman" w:hAnsi="Times New Roman"/>
        </w:rPr>
        <w:t>Kwota wydatków na rok 2026 zostanie ustalona w</w:t>
      </w:r>
      <w:r w:rsidR="004E72BB" w:rsidRPr="009F791E">
        <w:rPr>
          <w:rFonts w:ascii="Times New Roman" w:hAnsi="Times New Roman"/>
        </w:rPr>
        <w:t>edług wzoru</w:t>
      </w:r>
      <w:r w:rsidR="00B14E8D" w:rsidRPr="009F791E">
        <w:rPr>
          <w:rFonts w:ascii="Times New Roman" w:hAnsi="Times New Roman"/>
        </w:rPr>
        <w:t xml:space="preserve"> (wartość w tys. zł)</w:t>
      </w:r>
      <w:r w:rsidRPr="009F791E">
        <w:rPr>
          <w:rFonts w:ascii="Times New Roman" w:hAnsi="Times New Roman"/>
        </w:rPr>
        <w:t>:</w:t>
      </w:r>
    </w:p>
    <w:p w14:paraId="1B7B1A92" w14:textId="3ACA66EC" w:rsidR="00314A11" w:rsidRPr="009F791E" w:rsidRDefault="003850D5" w:rsidP="009F791E">
      <w:pPr>
        <w:spacing w:before="120" w:line="360" w:lineRule="auto"/>
        <w:jc w:val="both"/>
        <w:rPr>
          <w:rFonts w:ascii="Times New Roman" w:hAnsi="Times New Roman"/>
        </w:rPr>
      </w:pPr>
      <m:oMathPara>
        <m:oMath>
          <m:sSub>
            <m:sSubPr>
              <m:ctrlPr>
                <w:rPr>
                  <w:rFonts w:ascii="Cambria Math" w:hAnsi="Cambria Math"/>
                </w:rPr>
              </m:ctrlPr>
            </m:sSubPr>
            <m:e>
              <m:r>
                <w:rPr>
                  <w:rStyle w:val="Kkursywa"/>
                  <w:rFonts w:ascii="Cambria Math" w:hAnsi="Cambria Math"/>
                </w:rPr>
                <m:t>WYD</m:t>
              </m:r>
            </m:e>
            <m:sub>
              <m:r>
                <w:rPr>
                  <w:rStyle w:val="Kkursywa"/>
                  <w:rFonts w:ascii="Cambria Math" w:hAnsi="Cambria Math"/>
                </w:rPr>
                <m:t>n</m:t>
              </m:r>
              <m:r>
                <m:rPr>
                  <m:sty m:val="p"/>
                </m:rPr>
                <w:rPr>
                  <w:rFonts w:ascii="Cambria Math" w:hAnsi="Cambria Math"/>
                </w:rPr>
                <m:t>-1</m:t>
              </m:r>
            </m:sub>
          </m:sSub>
          <m:r>
            <m:rPr>
              <m:sty m:val="p"/>
            </m:rPr>
            <w:rPr>
              <w:rFonts w:ascii="Cambria Math" w:hAnsi="Cambria Math"/>
            </w:rPr>
            <m:t>=</m:t>
          </m:r>
          <m:d>
            <m:dPr>
              <m:ctrlPr>
                <w:rPr>
                  <w:rFonts w:ascii="Cambria Math" w:hAnsi="Cambria Math"/>
                </w:rPr>
              </m:ctrlPr>
            </m:dPr>
            <m:e>
              <m:r>
                <m:rPr>
                  <m:sty m:val="p"/>
                </m:rPr>
                <w:rPr>
                  <w:rFonts w:ascii="Cambria Math" w:hAnsi="Cambria Math"/>
                  <w:lang w:eastAsia="pl-PL"/>
                </w:rPr>
                <m:t xml:space="preserve">1 724 188 910 </m:t>
              </m:r>
              <m:r>
                <m:rPr>
                  <m:sty m:val="p"/>
                </m:rPr>
                <w:rPr>
                  <w:rFonts w:ascii="Cambria Math" w:hAnsi="Cambria Math"/>
                </w:rPr>
                <m:t>-24 000 000+</m:t>
              </m:r>
              <m:sSubSup>
                <m:sSubSupPr>
                  <m:ctrlPr>
                    <w:rPr>
                      <w:rFonts w:ascii="Cambria Math" w:hAnsi="Cambria Math"/>
                    </w:rPr>
                  </m:ctrlPr>
                </m:sSubSupPr>
                <m:e>
                  <m:r>
                    <w:rPr>
                      <w:rStyle w:val="Kkursywa"/>
                      <w:rFonts w:ascii="Cambria Math" w:hAnsi="Cambria Math"/>
                    </w:rPr>
                    <m:t>SPW</m:t>
                  </m:r>
                </m:e>
                <m:sub>
                  <m:r>
                    <m:rPr>
                      <m:sty m:val="p"/>
                    </m:rPr>
                    <w:rPr>
                      <w:rFonts w:ascii="Cambria Math" w:hAnsi="Cambria Math"/>
                    </w:rPr>
                    <m:t>2024</m:t>
                  </m:r>
                </m:sub>
                <m:sup>
                  <m:r>
                    <w:rPr>
                      <w:rStyle w:val="Kkursywa"/>
                      <w:rFonts w:ascii="Cambria Math" w:hAnsi="Cambria Math"/>
                    </w:rPr>
                    <m:t>W</m:t>
                  </m:r>
                </m:sup>
              </m:sSubSup>
            </m:e>
          </m:d>
          <m:r>
            <m:rPr>
              <m:sty m:val="p"/>
            </m:rPr>
            <w:rPr>
              <w:rFonts w:ascii="Cambria Math" w:hAnsi="Cambria Math"/>
            </w:rPr>
            <m:t>*</m:t>
          </m:r>
          <m:sSub>
            <m:sSubPr>
              <m:ctrlPr>
                <w:rPr>
                  <w:rFonts w:ascii="Cambria Math" w:hAnsi="Cambria Math"/>
                </w:rPr>
              </m:ctrlPr>
            </m:sSubPr>
            <m:e>
              <m:r>
                <w:rPr>
                  <w:rStyle w:val="Kkursywa"/>
                  <w:rFonts w:ascii="Cambria Math" w:hAnsi="Cambria Math"/>
                </w:rPr>
                <m:t>E</m:t>
              </m:r>
            </m:e>
            <m:sub>
              <m:r>
                <m:rPr>
                  <m:sty m:val="p"/>
                </m:rPr>
                <w:rPr>
                  <w:rFonts w:ascii="Cambria Math" w:hAnsi="Cambria Math"/>
                </w:rPr>
                <m:t>2025</m:t>
              </m:r>
            </m:sub>
          </m:sSub>
          <m:d>
            <m:dPr>
              <m:ctrlPr>
                <w:rPr>
                  <w:rFonts w:ascii="Cambria Math" w:hAnsi="Cambria Math"/>
                </w:rPr>
              </m:ctrlPr>
            </m:dPr>
            <m:e>
              <m:sSub>
                <m:sSubPr>
                  <m:ctrlPr>
                    <w:rPr>
                      <w:rFonts w:ascii="Cambria Math" w:hAnsi="Cambria Math"/>
                    </w:rPr>
                  </m:ctrlPr>
                </m:sSubPr>
                <m:e>
                  <m:r>
                    <w:rPr>
                      <w:rStyle w:val="Kkursywa"/>
                      <w:rFonts w:ascii="Cambria Math" w:hAnsi="Cambria Math"/>
                    </w:rPr>
                    <m:t>DEF</m:t>
                  </m:r>
                </m:e>
                <m:sub>
                  <m:r>
                    <m:rPr>
                      <m:sty m:val="p"/>
                    </m:rPr>
                    <w:rPr>
                      <w:rFonts w:ascii="Cambria Math" w:hAnsi="Cambria Math"/>
                    </w:rPr>
                    <m:t>2025</m:t>
                  </m:r>
                </m:sub>
              </m:sSub>
            </m:e>
          </m:d>
          <m:r>
            <m:rPr>
              <m:sty m:val="p"/>
            </m:rPr>
            <w:rPr>
              <w:rFonts w:ascii="Cambria Math" w:hAnsi="Cambria Math"/>
            </w:rPr>
            <m:t>*</m:t>
          </m:r>
          <m:sSub>
            <m:sSubPr>
              <m:ctrlPr>
                <w:rPr>
                  <w:rFonts w:ascii="Cambria Math" w:hAnsi="Cambria Math"/>
                </w:rPr>
              </m:ctrlPr>
            </m:sSubPr>
            <m:e>
              <m:r>
                <w:rPr>
                  <w:rStyle w:val="Kkursywa"/>
                  <w:rFonts w:ascii="Cambria Math" w:hAnsi="Cambria Math"/>
                </w:rPr>
                <m:t>WPKB</m:t>
              </m:r>
            </m:e>
            <m:sub>
              <m:r>
                <m:rPr>
                  <m:sty m:val="p"/>
                </m:rPr>
                <w:rPr>
                  <w:rFonts w:ascii="Cambria Math" w:hAnsi="Cambria Math"/>
                </w:rPr>
                <m:t>2025</m:t>
              </m:r>
            </m:sub>
          </m:sSub>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2025</m:t>
                  </m:r>
                </m:sub>
              </m:sSub>
              <m:r>
                <m:rPr>
                  <m:sty m:val="p"/>
                </m:rPr>
                <w:rPr>
                  <w:rFonts w:ascii="Cambria Math" w:hAnsi="Cambria Math"/>
                </w:rPr>
                <m:t>+E</m:t>
              </m:r>
            </m:e>
            <m:sub>
              <m:r>
                <w:rPr>
                  <w:rStyle w:val="Kkursywa"/>
                  <w:rFonts w:ascii="Cambria Math" w:hAnsi="Cambria Math"/>
                </w:rPr>
                <m:t>2025</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ΔDD</m:t>
                  </m:r>
                </m:e>
                <m:sub>
                  <m:r>
                    <w:rPr>
                      <w:rStyle w:val="Kkursywa"/>
                      <w:rFonts w:ascii="Cambria Math" w:hAnsi="Cambria Math"/>
                    </w:rPr>
                    <m:t>2025</m:t>
                  </m:r>
                </m:sub>
              </m:sSub>
            </m:e>
          </m:d>
        </m:oMath>
      </m:oMathPara>
    </w:p>
    <w:p w14:paraId="304EA1AF" w14:textId="77777777" w:rsidR="00A814C8" w:rsidRPr="009F791E" w:rsidRDefault="00A814C8" w:rsidP="009F791E">
      <w:pPr>
        <w:spacing w:before="120" w:line="360" w:lineRule="auto"/>
        <w:jc w:val="both"/>
        <w:rPr>
          <w:rFonts w:ascii="Times New Roman" w:hAnsi="Times New Roman"/>
        </w:rPr>
      </w:pPr>
      <w:r w:rsidRPr="009F791E">
        <w:rPr>
          <w:rFonts w:ascii="Times New Roman" w:hAnsi="Times New Roman"/>
        </w:rPr>
        <w:t>w którym poszczególne symbole oznaczają:</w:t>
      </w:r>
    </w:p>
    <w:p w14:paraId="539D81F4" w14:textId="27C807BE" w:rsidR="00A814C8" w:rsidRPr="009F791E" w:rsidRDefault="003850D5" w:rsidP="009F791E">
      <w:pPr>
        <w:spacing w:before="120" w:line="360" w:lineRule="auto"/>
        <w:jc w:val="both"/>
        <w:rPr>
          <w:rFonts w:ascii="Times New Roman" w:hAnsi="Times New Roman"/>
        </w:rPr>
      </w:pPr>
      <m:oMath>
        <m:sSubSup>
          <m:sSubSupPr>
            <m:ctrlPr>
              <w:rPr>
                <w:rFonts w:ascii="Cambria Math" w:hAnsi="Cambria Math"/>
              </w:rPr>
            </m:ctrlPr>
          </m:sSubSupPr>
          <m:e>
            <m:r>
              <w:rPr>
                <w:rFonts w:ascii="Cambria Math" w:hAnsi="Cambria Math"/>
              </w:rPr>
              <m:t>WYD</m:t>
            </m:r>
          </m:e>
          <m:sub>
            <m:r>
              <w:rPr>
                <w:rFonts w:ascii="Cambria Math" w:hAnsi="Cambria Math"/>
              </w:rPr>
              <m:t>n</m:t>
            </m:r>
            <m:r>
              <m:rPr>
                <m:sty m:val="p"/>
              </m:rPr>
              <w:rPr>
                <w:rFonts w:ascii="Cambria Math" w:hAnsi="Cambria Math"/>
              </w:rPr>
              <m:t>-1</m:t>
            </m:r>
          </m:sub>
          <m:sup/>
        </m:sSubSup>
      </m:oMath>
      <w:r w:rsidR="00A814C8" w:rsidRPr="009F791E">
        <w:rPr>
          <w:rFonts w:ascii="Times New Roman" w:hAnsi="Times New Roman"/>
        </w:rPr>
        <w:t xml:space="preserve"> – kwota wydatków określona w uzasadnieniu projektu ustawy budżetowej na rok 2026 przedłożonego Sejmowi służąca do ustalenia kwoty wydatków </w:t>
      </w:r>
      <m:oMath>
        <m:sSub>
          <m:sSubPr>
            <m:ctrlPr>
              <w:rPr>
                <w:rFonts w:ascii="Cambria Math" w:hAnsi="Cambria Math"/>
              </w:rPr>
            </m:ctrlPr>
          </m:sSubPr>
          <m:e>
            <m:r>
              <w:rPr>
                <w:rFonts w:ascii="Cambria Math" w:hAnsi="Cambria Math"/>
              </w:rPr>
              <m:t>WYD</m:t>
            </m:r>
          </m:e>
          <m:sub>
            <m:r>
              <w:rPr>
                <w:rFonts w:ascii="Cambria Math" w:hAnsi="Cambria Math"/>
              </w:rPr>
              <m:t>n</m:t>
            </m:r>
          </m:sub>
        </m:sSub>
      </m:oMath>
      <w:r w:rsidR="00A814C8" w:rsidRPr="009F791E">
        <w:rPr>
          <w:rFonts w:ascii="Times New Roman" w:hAnsi="Times New Roman"/>
        </w:rPr>
        <w:t xml:space="preserve">, o której mowa w art. 112aa ust. 1 </w:t>
      </w:r>
      <w:r w:rsidR="00126524" w:rsidRPr="009F791E">
        <w:rPr>
          <w:rFonts w:ascii="Times New Roman" w:hAnsi="Times New Roman"/>
        </w:rPr>
        <w:t>o finansach publicznych</w:t>
      </w:r>
      <w:r w:rsidR="00A814C8" w:rsidRPr="009F791E">
        <w:rPr>
          <w:rFonts w:ascii="Times New Roman" w:hAnsi="Times New Roman"/>
        </w:rPr>
        <w:t>,</w:t>
      </w:r>
    </w:p>
    <w:p w14:paraId="5C8F3D23" w14:textId="2784462A" w:rsidR="00A814C8" w:rsidRPr="009F791E" w:rsidRDefault="003850D5" w:rsidP="009F791E">
      <w:pPr>
        <w:spacing w:before="120" w:line="360" w:lineRule="auto"/>
        <w:jc w:val="both"/>
        <w:rPr>
          <w:rFonts w:ascii="Times New Roman" w:hAnsi="Times New Roman"/>
        </w:rPr>
      </w:pPr>
      <m:oMath>
        <m:sSubSup>
          <m:sSubSupPr>
            <m:ctrlPr>
              <w:rPr>
                <w:rFonts w:ascii="Cambria Math" w:hAnsi="Cambria Math"/>
              </w:rPr>
            </m:ctrlPr>
          </m:sSubSupPr>
          <m:e>
            <m:r>
              <w:rPr>
                <w:rFonts w:ascii="Cambria Math" w:hAnsi="Cambria Math"/>
              </w:rPr>
              <m:t>SPW</m:t>
            </m:r>
          </m:e>
          <m:sub>
            <m:r>
              <m:rPr>
                <m:sty m:val="p"/>
              </m:rPr>
              <w:rPr>
                <w:rFonts w:ascii="Cambria Math" w:hAnsi="Cambria Math"/>
              </w:rPr>
              <m:t>2024</m:t>
            </m:r>
          </m:sub>
          <m:sup>
            <m:r>
              <w:rPr>
                <w:rFonts w:ascii="Cambria Math" w:hAnsi="Cambria Math"/>
              </w:rPr>
              <m:t>W</m:t>
            </m:r>
          </m:sup>
        </m:sSubSup>
      </m:oMath>
      <w:r w:rsidR="00A814C8" w:rsidRPr="009F791E">
        <w:rPr>
          <w:rFonts w:ascii="Times New Roman" w:hAnsi="Times New Roman"/>
        </w:rPr>
        <w:t xml:space="preserve"> – </w:t>
      </w:r>
      <w:bookmarkStart w:id="4" w:name="_Hlk163909054"/>
      <w:r w:rsidR="00A814C8" w:rsidRPr="009F791E">
        <w:rPr>
          <w:rFonts w:ascii="Times New Roman" w:hAnsi="Times New Roman"/>
        </w:rPr>
        <w:t xml:space="preserve">wartość nominalna nieodpłatnie przekazanych skarbowych papierów wartościowych przez jednostki lub organy, </w:t>
      </w:r>
      <w:r w:rsidR="00126524" w:rsidRPr="009F791E">
        <w:rPr>
          <w:rFonts w:ascii="Times New Roman" w:hAnsi="Times New Roman"/>
        </w:rPr>
        <w:t>objęte SRW</w:t>
      </w:r>
      <w:r w:rsidR="00A814C8" w:rsidRPr="009F791E">
        <w:rPr>
          <w:rFonts w:ascii="Times New Roman" w:hAnsi="Times New Roman"/>
        </w:rPr>
        <w:t xml:space="preserve"> jednostkom zaliczanym do sektora instytucji rządowych i samorządowych w rozumieniu rozporządzenia Parlamentu Europejskiego i Rady (UE) nr 549/2013 z dnia 21 maja 2013 r. w sprawie europejskiego systemu rachunków narodowych i regionalnych w Unii Europejskiej w roku 2024 </w:t>
      </w:r>
      <w:bookmarkEnd w:id="4"/>
      <w:r w:rsidR="00A814C8" w:rsidRPr="009F791E">
        <w:rPr>
          <w:rFonts w:ascii="Times New Roman" w:hAnsi="Times New Roman"/>
        </w:rPr>
        <w:t>wykazana w</w:t>
      </w:r>
      <w:r w:rsidR="004E72BB" w:rsidRPr="009F791E">
        <w:rPr>
          <w:rFonts w:ascii="Times New Roman" w:hAnsi="Times New Roman"/>
        </w:rPr>
        <w:t> </w:t>
      </w:r>
      <w:r w:rsidR="00A814C8" w:rsidRPr="009F791E">
        <w:rPr>
          <w:rFonts w:ascii="Times New Roman" w:hAnsi="Times New Roman"/>
        </w:rPr>
        <w:t>sprawozdaniu z wykonania ustawy budżetowej na rok 2024,</w:t>
      </w:r>
    </w:p>
    <w:p w14:paraId="7E295D33" w14:textId="77777777" w:rsidR="00A814C8" w:rsidRPr="009F791E" w:rsidRDefault="003850D5" w:rsidP="009F791E">
      <w:pPr>
        <w:spacing w:before="120" w:line="360" w:lineRule="auto"/>
        <w:jc w:val="both"/>
        <w:rPr>
          <w:rFonts w:ascii="Times New Roman" w:hAnsi="Times New Roman"/>
        </w:rPr>
      </w:pPr>
      <m:oMath>
        <m:sSubSup>
          <m:sSubSupPr>
            <m:ctrlPr>
              <w:rPr>
                <w:rFonts w:ascii="Cambria Math" w:hAnsi="Cambria Math"/>
              </w:rPr>
            </m:ctrlPr>
          </m:sSubSupPr>
          <m:e>
            <m:r>
              <w:rPr>
                <w:rFonts w:ascii="Cambria Math" w:hAnsi="Cambria Math"/>
              </w:rPr>
              <m:t>E</m:t>
            </m:r>
          </m:e>
          <m:sub>
            <m:r>
              <m:rPr>
                <m:sty m:val="p"/>
              </m:rPr>
              <w:rPr>
                <w:rFonts w:ascii="Cambria Math" w:hAnsi="Cambria Math"/>
              </w:rPr>
              <m:t>2025</m:t>
            </m:r>
          </m:sub>
          <m:sup/>
        </m:sSubSup>
        <m:d>
          <m:dPr>
            <m:ctrlPr>
              <w:rPr>
                <w:rFonts w:ascii="Cambria Math" w:hAnsi="Cambria Math"/>
              </w:rPr>
            </m:ctrlPr>
          </m:dPr>
          <m:e>
            <m:sSub>
              <m:sSubPr>
                <m:ctrlPr>
                  <w:rPr>
                    <w:rFonts w:ascii="Cambria Math" w:hAnsi="Cambria Math"/>
                  </w:rPr>
                </m:ctrlPr>
              </m:sSubPr>
              <m:e>
                <m:r>
                  <w:rPr>
                    <w:rFonts w:ascii="Cambria Math" w:hAnsi="Cambria Math"/>
                  </w:rPr>
                  <m:t>DEF</m:t>
                </m:r>
              </m:e>
              <m:sub>
                <m:r>
                  <m:rPr>
                    <m:sty m:val="p"/>
                  </m:rPr>
                  <w:rPr>
                    <w:rFonts w:ascii="Cambria Math" w:hAnsi="Cambria Math"/>
                  </w:rPr>
                  <m:t>2025</m:t>
                </m:r>
              </m:sub>
            </m:sSub>
          </m:e>
        </m:d>
      </m:oMath>
      <w:r w:rsidR="00A814C8" w:rsidRPr="009F791E">
        <w:rPr>
          <w:rFonts w:ascii="Times New Roman" w:hAnsi="Times New Roman"/>
        </w:rPr>
        <w:t xml:space="preserve"> – prognozowany w uzasadnieniu projektu ustawy budżetowej na rok 2025 przedłożonego Sejmowi deflator produktu krajowego brutto w roku 2025; jeżeli wskaźnik jest niższy od 1, przyjmuje się, że wynosi 1,</w:t>
      </w:r>
    </w:p>
    <w:p w14:paraId="13E9668A" w14:textId="62E0D086" w:rsidR="00A814C8" w:rsidRPr="009F791E" w:rsidRDefault="003850D5" w:rsidP="009F791E">
      <w:pPr>
        <w:spacing w:before="120" w:line="360" w:lineRule="auto"/>
        <w:jc w:val="both"/>
        <w:rPr>
          <w:rFonts w:ascii="Times New Roman" w:hAnsi="Times New Roman"/>
        </w:rPr>
      </w:pPr>
      <m:oMath>
        <m:sSubSup>
          <m:sSubSupPr>
            <m:ctrlPr>
              <w:rPr>
                <w:rFonts w:ascii="Cambria Math" w:hAnsi="Cambria Math"/>
              </w:rPr>
            </m:ctrlPr>
          </m:sSubSupPr>
          <m:e>
            <m:r>
              <w:rPr>
                <w:rFonts w:ascii="Cambria Math" w:hAnsi="Cambria Math"/>
              </w:rPr>
              <m:t>WPKB</m:t>
            </m:r>
          </m:e>
          <m:sub>
            <m:r>
              <m:rPr>
                <m:sty m:val="p"/>
              </m:rPr>
              <w:rPr>
                <w:rFonts w:ascii="Cambria Math" w:hAnsi="Cambria Math"/>
              </w:rPr>
              <m:t>2025</m:t>
            </m:r>
          </m:sub>
          <m:sup/>
        </m:sSubSup>
      </m:oMath>
      <w:r w:rsidR="00A814C8" w:rsidRPr="009F791E">
        <w:rPr>
          <w:rFonts w:ascii="Times New Roman" w:hAnsi="Times New Roman"/>
        </w:rPr>
        <w:t xml:space="preserve"> – wskaźnik średniookresowej dynamiki wartości produktu krajowego brutto w</w:t>
      </w:r>
      <w:r w:rsidR="004E72BB" w:rsidRPr="009F791E">
        <w:rPr>
          <w:rFonts w:ascii="Times New Roman" w:hAnsi="Times New Roman"/>
        </w:rPr>
        <w:t> </w:t>
      </w:r>
      <w:r w:rsidR="00A814C8" w:rsidRPr="009F791E">
        <w:rPr>
          <w:rFonts w:ascii="Times New Roman" w:hAnsi="Times New Roman"/>
        </w:rPr>
        <w:t>cenach stałych zawarty w uzasadnieniu projektu ustawy budżetowej na rok 2025 przedłożonego Sejmowi z dokładnością do setnych części procentu</w:t>
      </w:r>
      <w:r w:rsidR="00C344D7" w:rsidRPr="009F791E">
        <w:rPr>
          <w:rFonts w:ascii="Times New Roman" w:hAnsi="Times New Roman"/>
        </w:rPr>
        <w:t>,</w:t>
      </w:r>
    </w:p>
    <w:p w14:paraId="314EFF0A" w14:textId="77777777" w:rsidR="00314A11" w:rsidRPr="009F791E" w:rsidRDefault="003850D5" w:rsidP="009F791E">
      <w:pPr>
        <w:spacing w:before="120" w:line="360" w:lineRule="auto"/>
        <w:jc w:val="both"/>
        <w:rPr>
          <w:rFonts w:ascii="Times New Roman" w:hAnsi="Times New Roman"/>
        </w:rPr>
      </w:pPr>
      <m:oMath>
        <m:sSub>
          <m:sSubPr>
            <m:ctrlPr>
              <w:rPr>
                <w:rFonts w:ascii="Cambria Math" w:hAnsi="Cambria Math"/>
              </w:rPr>
            </m:ctrlPr>
          </m:sSubPr>
          <m:e>
            <m:r>
              <m:rPr>
                <m:sty m:val="p"/>
              </m:rPr>
              <w:rPr>
                <w:rFonts w:ascii="Cambria Math" w:hAnsi="Cambria Math"/>
              </w:rPr>
              <m:t>E</m:t>
            </m:r>
          </m:e>
          <m:sub>
            <m:r>
              <m:rPr>
                <m:sty m:val="p"/>
              </m:rPr>
              <w:rPr>
                <w:rStyle w:val="Kkursywa"/>
                <w:rFonts w:ascii="Cambria Math" w:hAnsi="Cambria Math"/>
              </w:rPr>
              <m:t>2025</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ΔDD</m:t>
                </m:r>
              </m:e>
              <m:sub>
                <m:r>
                  <m:rPr>
                    <m:sty m:val="p"/>
                  </m:rPr>
                  <w:rPr>
                    <w:rStyle w:val="Kkursywa"/>
                    <w:rFonts w:ascii="Cambria Math" w:hAnsi="Cambria Math"/>
                  </w:rPr>
                  <m:t>202</m:t>
                </m:r>
                <m:r>
                  <w:rPr>
                    <w:rStyle w:val="Kkursywa"/>
                    <w:rFonts w:ascii="Cambria Math" w:hAnsi="Cambria Math"/>
                  </w:rPr>
                  <m:t>5</m:t>
                </m:r>
              </m:sub>
            </m:sSub>
          </m:e>
        </m:d>
      </m:oMath>
      <w:r w:rsidR="0016032E" w:rsidRPr="009F791E">
        <w:rPr>
          <w:rFonts w:ascii="Times New Roman" w:hAnsi="Times New Roman"/>
        </w:rPr>
        <w:t xml:space="preserve"> – suma wartości działań dyskrecjonalnych, o których mowa w art. 112aa ust. 1 o finansach publicznych, uwzględnionych w kwocie wydatków, o której mowa w art. 112aa ust. 1 ustawy o finansach </w:t>
      </w:r>
      <w:r w:rsidR="00314A11" w:rsidRPr="009F791E">
        <w:rPr>
          <w:rFonts w:ascii="Times New Roman" w:hAnsi="Times New Roman"/>
        </w:rPr>
        <w:t>publicznych</w:t>
      </w:r>
      <w:r w:rsidR="0016032E" w:rsidRPr="009F791E">
        <w:rPr>
          <w:rFonts w:ascii="Times New Roman" w:hAnsi="Times New Roman"/>
        </w:rPr>
        <w:t>, zawarta w uzasadnieniu projektu ustawy budżetowej na rok 2025 przedłożonego Sejmowi</w:t>
      </w:r>
      <w:r w:rsidR="00314A11" w:rsidRPr="009F791E">
        <w:rPr>
          <w:rFonts w:ascii="Times New Roman" w:hAnsi="Times New Roman"/>
        </w:rPr>
        <w:t>,</w:t>
      </w:r>
    </w:p>
    <w:p w14:paraId="57A72400" w14:textId="1419B449" w:rsidR="0016032E" w:rsidRPr="009F791E" w:rsidRDefault="003850D5" w:rsidP="009F791E">
      <w:pPr>
        <w:spacing w:before="120" w:line="360" w:lineRule="auto"/>
        <w:jc w:val="both"/>
        <w:rPr>
          <w:rFonts w:ascii="Times New Roman" w:hAnsi="Times New Roman"/>
        </w:rPr>
      </w:pPr>
      <m:oMath>
        <m:sSub>
          <m:sSubPr>
            <m:ctrlPr>
              <w:rPr>
                <w:rFonts w:ascii="Cambria Math" w:hAnsi="Cambria Math"/>
              </w:rPr>
            </m:ctrlPr>
          </m:sSubPr>
          <m:e>
            <m:r>
              <w:rPr>
                <w:rFonts w:ascii="Cambria Math" w:hAnsi="Cambria Math"/>
              </w:rPr>
              <m:t>K</m:t>
            </m:r>
          </m:e>
          <m:sub>
            <m:r>
              <m:rPr>
                <m:sty m:val="p"/>
              </m:rPr>
              <w:rPr>
                <w:rFonts w:ascii="Cambria Math" w:hAnsi="Cambria Math"/>
              </w:rPr>
              <m:t>2025</m:t>
            </m:r>
          </m:sub>
        </m:sSub>
      </m:oMath>
      <w:r w:rsidR="00314A11" w:rsidRPr="009F791E">
        <w:rPr>
          <w:rFonts w:ascii="Times New Roman" w:hAnsi="Times New Roman"/>
        </w:rPr>
        <w:t xml:space="preserve"> </w:t>
      </w:r>
      <w:r w:rsidR="00B505A1">
        <w:rPr>
          <w:rFonts w:ascii="Times New Roman" w:hAnsi="Times New Roman"/>
        </w:rPr>
        <w:t>–</w:t>
      </w:r>
      <w:r w:rsidR="00314A11" w:rsidRPr="009F791E">
        <w:rPr>
          <w:rFonts w:ascii="Times New Roman" w:hAnsi="Times New Roman"/>
        </w:rPr>
        <w:t xml:space="preserve"> wielkość korekty kwoty wydatków, o której mowa w art. 112aa ust. 1 ustawy o</w:t>
      </w:r>
      <w:r w:rsidR="004E72BB" w:rsidRPr="009F791E">
        <w:rPr>
          <w:rFonts w:ascii="Times New Roman" w:hAnsi="Times New Roman"/>
        </w:rPr>
        <w:t> </w:t>
      </w:r>
      <w:r w:rsidR="00314A11" w:rsidRPr="009F791E">
        <w:rPr>
          <w:rFonts w:ascii="Times New Roman" w:hAnsi="Times New Roman"/>
        </w:rPr>
        <w:t>finansach, w brzmieniu nadanym niniejszą projektem, zawarta w uzasadnieniu projektu ustawy budżetowej na rok 2025 przedłożonego Sejmowi.</w:t>
      </w:r>
    </w:p>
    <w:p w14:paraId="65818B14" w14:textId="70714783" w:rsidR="00314A11" w:rsidRPr="009F791E" w:rsidRDefault="00126524" w:rsidP="009F791E">
      <w:pPr>
        <w:spacing w:before="120" w:line="360" w:lineRule="auto"/>
        <w:jc w:val="both"/>
        <w:rPr>
          <w:rFonts w:ascii="Times New Roman" w:hAnsi="Times New Roman"/>
        </w:rPr>
      </w:pPr>
      <w:r w:rsidRPr="009F791E">
        <w:rPr>
          <w:rFonts w:ascii="Times New Roman" w:hAnsi="Times New Roman"/>
        </w:rPr>
        <w:t xml:space="preserve">Oznacza to, że podstawa ustalenia kwoty wydatków SRW na </w:t>
      </w:r>
      <w:r w:rsidR="004E72BB" w:rsidRPr="009F791E">
        <w:rPr>
          <w:rFonts w:ascii="Times New Roman" w:hAnsi="Times New Roman"/>
        </w:rPr>
        <w:t xml:space="preserve">rok </w:t>
      </w:r>
      <w:r w:rsidRPr="009F791E">
        <w:rPr>
          <w:rFonts w:ascii="Times New Roman" w:hAnsi="Times New Roman"/>
        </w:rPr>
        <w:t>2026 będzie ustalona w</w:t>
      </w:r>
      <w:r w:rsidR="004E72BB" w:rsidRPr="009F791E">
        <w:rPr>
          <w:rFonts w:ascii="Times New Roman" w:hAnsi="Times New Roman"/>
        </w:rPr>
        <w:t>edług</w:t>
      </w:r>
      <w:r w:rsidRPr="009F791E">
        <w:rPr>
          <w:rFonts w:ascii="Times New Roman" w:hAnsi="Times New Roman"/>
        </w:rPr>
        <w:t xml:space="preserve"> tych samych parametrów, jakie </w:t>
      </w:r>
      <w:r w:rsidR="008219C6" w:rsidRPr="009F791E">
        <w:rPr>
          <w:rFonts w:ascii="Times New Roman" w:hAnsi="Times New Roman"/>
        </w:rPr>
        <w:t>zostaną za</w:t>
      </w:r>
      <w:r w:rsidRPr="009F791E">
        <w:rPr>
          <w:rFonts w:ascii="Times New Roman" w:hAnsi="Times New Roman"/>
        </w:rPr>
        <w:t>stosowan</w:t>
      </w:r>
      <w:r w:rsidR="008219C6" w:rsidRPr="009F791E">
        <w:rPr>
          <w:rFonts w:ascii="Times New Roman" w:hAnsi="Times New Roman"/>
        </w:rPr>
        <w:t>e</w:t>
      </w:r>
      <w:r w:rsidRPr="009F791E">
        <w:rPr>
          <w:rFonts w:ascii="Times New Roman" w:hAnsi="Times New Roman"/>
        </w:rPr>
        <w:t xml:space="preserve"> dla ustalenia kwoty wydatków SRW w</w:t>
      </w:r>
      <w:r w:rsidR="004E72BB" w:rsidRPr="009F791E">
        <w:rPr>
          <w:rFonts w:ascii="Times New Roman" w:hAnsi="Times New Roman"/>
        </w:rPr>
        <w:t> </w:t>
      </w:r>
      <w:r w:rsidRPr="009F791E">
        <w:rPr>
          <w:rFonts w:ascii="Times New Roman" w:hAnsi="Times New Roman"/>
        </w:rPr>
        <w:t>ustawie budżetowej na rok 2025</w:t>
      </w:r>
      <w:r w:rsidR="0016032E" w:rsidRPr="009F791E">
        <w:rPr>
          <w:rFonts w:ascii="Times New Roman" w:hAnsi="Times New Roman"/>
        </w:rPr>
        <w:t>, tj. wartości działań dyskrecjonalnych, kwoty korekty (Kn=0), wartości delatora PKB, wskaźnika średniookresowej dynamiki wartości produktu krajowego brutto w cenach stałych</w:t>
      </w:r>
      <w:r w:rsidRPr="009F791E">
        <w:rPr>
          <w:rFonts w:ascii="Times New Roman" w:hAnsi="Times New Roman"/>
        </w:rPr>
        <w:t xml:space="preserve">. Jedyna zmiana będzie polegała na </w:t>
      </w:r>
      <w:r w:rsidR="0016032E" w:rsidRPr="009F791E">
        <w:rPr>
          <w:rFonts w:ascii="Times New Roman" w:hAnsi="Times New Roman"/>
        </w:rPr>
        <w:t>zaktualizowaniu kwoty startowej stanowiącej podstawę ustalenia kwoty wydatków SRW na rok 2025 o wartość różnicy pomiędzy planowaną a faktycznie wykonan</w:t>
      </w:r>
      <w:r w:rsidR="003B1A70" w:rsidRPr="009F791E">
        <w:rPr>
          <w:rFonts w:ascii="Times New Roman" w:hAnsi="Times New Roman"/>
        </w:rPr>
        <w:t>ą</w:t>
      </w:r>
      <w:r w:rsidR="0016032E" w:rsidRPr="009F791E">
        <w:rPr>
          <w:rFonts w:ascii="Times New Roman" w:hAnsi="Times New Roman"/>
        </w:rPr>
        <w:t xml:space="preserve"> wartością nominalną nieodpłatnie przekazanych skarbowych papierów wartościowych przez jednostki i organy objęte SRW jednostkom zaliczanym do sektora instytucji rządowych i samorządowych.</w:t>
      </w:r>
    </w:p>
    <w:p w14:paraId="1BF27C35" w14:textId="2E9B5846" w:rsidR="00A814C8" w:rsidRPr="009F791E" w:rsidRDefault="00314A11" w:rsidP="009F791E">
      <w:pPr>
        <w:spacing w:before="120" w:line="360" w:lineRule="auto"/>
        <w:jc w:val="both"/>
        <w:rPr>
          <w:rFonts w:ascii="Times New Roman" w:hAnsi="Times New Roman"/>
        </w:rPr>
      </w:pPr>
      <w:r w:rsidRPr="009F791E">
        <w:rPr>
          <w:rFonts w:ascii="Times New Roman" w:hAnsi="Times New Roman"/>
        </w:rPr>
        <w:t xml:space="preserve">W przypadku nowelizacji ustawy budżetowej na rok 2025 kwota korekty Kn może być inna niż 0. </w:t>
      </w:r>
      <w:r w:rsidR="00484A26" w:rsidRPr="009F791E">
        <w:rPr>
          <w:rFonts w:ascii="Times New Roman" w:hAnsi="Times New Roman"/>
        </w:rPr>
        <w:t>Na</w:t>
      </w:r>
      <w:r w:rsidR="00E8603A" w:rsidRPr="009F791E">
        <w:rPr>
          <w:rFonts w:ascii="Times New Roman" w:hAnsi="Times New Roman"/>
        </w:rPr>
        <w:t xml:space="preserve"> etapie nowelizacji</w:t>
      </w:r>
      <w:r w:rsidR="00484A26" w:rsidRPr="009F791E">
        <w:rPr>
          <w:rFonts w:ascii="Times New Roman" w:hAnsi="Times New Roman"/>
        </w:rPr>
        <w:t xml:space="preserve"> ustawy budżetowej na rok 2025 może być już znana zatwierdzona ścieżka wydatków netto lub rekomendacje Rady UE (proponowany </w:t>
      </w:r>
      <w:r w:rsidR="00E8603A" w:rsidRPr="009F791E">
        <w:rPr>
          <w:rFonts w:ascii="Times New Roman" w:hAnsi="Times New Roman"/>
        </w:rPr>
        <w:t>art. 112ab ustawy o</w:t>
      </w:r>
      <w:r w:rsidR="004E72BB" w:rsidRPr="009F791E">
        <w:rPr>
          <w:rFonts w:ascii="Times New Roman" w:hAnsi="Times New Roman"/>
        </w:rPr>
        <w:t> </w:t>
      </w:r>
      <w:r w:rsidR="00E8603A" w:rsidRPr="009F791E">
        <w:rPr>
          <w:rFonts w:ascii="Times New Roman" w:hAnsi="Times New Roman"/>
        </w:rPr>
        <w:t xml:space="preserve">finansach publicznych </w:t>
      </w:r>
      <w:r w:rsidR="00484A26" w:rsidRPr="009F791E">
        <w:rPr>
          <w:rFonts w:ascii="Times New Roman" w:hAnsi="Times New Roman"/>
        </w:rPr>
        <w:t>dopuszcza w takiej sytuacji zastosowanie innej niż standardowa (art.</w:t>
      </w:r>
      <w:r w:rsidR="004E72BB" w:rsidRPr="009F791E">
        <w:rPr>
          <w:rFonts w:ascii="Times New Roman" w:hAnsi="Times New Roman"/>
        </w:rPr>
        <w:t> </w:t>
      </w:r>
      <w:r w:rsidR="00484A26" w:rsidRPr="009F791E">
        <w:rPr>
          <w:rFonts w:ascii="Times New Roman" w:hAnsi="Times New Roman"/>
        </w:rPr>
        <w:t xml:space="preserve">112aa ust. 4) wartość korekty Kn). </w:t>
      </w:r>
    </w:p>
    <w:p w14:paraId="64F59FC5" w14:textId="18964528" w:rsidR="009D53A9" w:rsidRPr="009F791E" w:rsidRDefault="009D53A9" w:rsidP="009F791E">
      <w:pPr>
        <w:pStyle w:val="Nagwek2"/>
        <w:spacing w:line="360" w:lineRule="auto"/>
        <w:rPr>
          <w:rFonts w:ascii="Times New Roman" w:hAnsi="Times New Roman" w:cs="Times New Roman"/>
          <w:b/>
          <w:bCs/>
          <w:color w:val="auto"/>
          <w:sz w:val="24"/>
          <w:szCs w:val="24"/>
        </w:rPr>
      </w:pPr>
      <w:r w:rsidRPr="009F791E">
        <w:rPr>
          <w:rFonts w:ascii="Times New Roman" w:hAnsi="Times New Roman" w:cs="Times New Roman"/>
          <w:b/>
          <w:bCs/>
          <w:color w:val="auto"/>
          <w:sz w:val="24"/>
          <w:szCs w:val="24"/>
        </w:rPr>
        <w:t xml:space="preserve">Zmiany w obszarze gospodarki finansowej jednostek sektora finansów publicznych </w:t>
      </w:r>
    </w:p>
    <w:p w14:paraId="3C9EF183" w14:textId="77777777" w:rsidR="005D1F37" w:rsidRPr="009F791E" w:rsidRDefault="005D1F37" w:rsidP="009F791E">
      <w:pPr>
        <w:spacing w:line="360" w:lineRule="auto"/>
        <w:jc w:val="both"/>
        <w:rPr>
          <w:rFonts w:ascii="Times New Roman" w:hAnsi="Times New Roman"/>
          <w:b/>
        </w:rPr>
      </w:pPr>
      <w:bookmarkStart w:id="5" w:name="_Hlk166245675"/>
      <w:r w:rsidRPr="009F791E">
        <w:rPr>
          <w:rFonts w:ascii="Times New Roman" w:hAnsi="Times New Roman"/>
          <w:b/>
        </w:rPr>
        <w:t>Zmiana brzmienia art. 21</w:t>
      </w:r>
    </w:p>
    <w:bookmarkEnd w:id="5"/>
    <w:p w14:paraId="07AD9818" w14:textId="77777777" w:rsidR="005D1F37" w:rsidRPr="009F791E" w:rsidRDefault="005D1F37" w:rsidP="009F791E">
      <w:pPr>
        <w:spacing w:line="360" w:lineRule="auto"/>
        <w:jc w:val="both"/>
        <w:rPr>
          <w:rFonts w:ascii="Times New Roman" w:hAnsi="Times New Roman"/>
        </w:rPr>
      </w:pPr>
      <w:r w:rsidRPr="009F791E">
        <w:rPr>
          <w:rFonts w:ascii="Times New Roman" w:hAnsi="Times New Roman"/>
        </w:rPr>
        <w:t xml:space="preserve">Z uwagi na wprowadzenie wielu zmian w tym przepisie i jego przemodelowanie zdecydowano o nadaniu art. 21 nowego brzmienia. </w:t>
      </w:r>
    </w:p>
    <w:p w14:paraId="73F761E5" w14:textId="77777777" w:rsidR="005D1F37" w:rsidRPr="009F791E" w:rsidRDefault="005D1F37" w:rsidP="009F791E">
      <w:pPr>
        <w:spacing w:line="360" w:lineRule="auto"/>
        <w:jc w:val="both"/>
        <w:rPr>
          <w:rFonts w:ascii="Times New Roman" w:hAnsi="Times New Roman"/>
        </w:rPr>
      </w:pPr>
      <w:r w:rsidRPr="009F791E">
        <w:rPr>
          <w:rFonts w:ascii="Times New Roman" w:hAnsi="Times New Roman"/>
        </w:rPr>
        <w:t>Zaproponowano zmiany:</w:t>
      </w:r>
    </w:p>
    <w:p w14:paraId="1C8E4D35" w14:textId="0E5DBFA8" w:rsidR="00CE1F2E" w:rsidRPr="009F791E" w:rsidRDefault="005D1F37" w:rsidP="009F791E">
      <w:pPr>
        <w:pStyle w:val="Akapitzlist"/>
        <w:numPr>
          <w:ilvl w:val="0"/>
          <w:numId w:val="23"/>
        </w:numPr>
        <w:spacing w:line="360" w:lineRule="auto"/>
        <w:jc w:val="both"/>
        <w:rPr>
          <w:rFonts w:ascii="Times New Roman" w:hAnsi="Times New Roman"/>
        </w:rPr>
      </w:pPr>
      <w:r w:rsidRPr="009F791E">
        <w:rPr>
          <w:rFonts w:ascii="Times New Roman" w:hAnsi="Times New Roman"/>
        </w:rPr>
        <w:lastRenderedPageBreak/>
        <w:t>we wprowadzeniu do wyliczenia w ust. 1 – wskazując, że roczny plan finansowy będący podstawą gospodarki finansowej agencji wykonawczej obejmuje „w szczególności” wymienione pozycje. Przepis ma na celu określenie obligatoryjnych dla wszystkich jednostek elementów planu, wskazując jednocześnie, że zawartość planu finansowego agencji nie stanowi katalogu zamkniętego – tj. plan może obejmować również inne pozycje niż wymienione w tym przepisie</w:t>
      </w:r>
      <w:r w:rsidR="00854E74" w:rsidRPr="009F791E">
        <w:rPr>
          <w:rFonts w:ascii="Times New Roman" w:hAnsi="Times New Roman"/>
        </w:rPr>
        <w:t>. Należy mieć na względzie, iż obecnie plany finansowe w układzie kasowym (tj. ujęcie w terminach zapłaty) prezentowane są w załącznikach do ustawy budżetowej przez agencje wykonawcze i państwowe fundusze celowe. Projekt ustawy rozszerza taki układ planu finansowego także na instytucje gospodarki budżetowej oraz państwowe osoby prawne</w:t>
      </w:r>
      <w:r w:rsidR="0096087B" w:rsidRPr="009F791E">
        <w:rPr>
          <w:rFonts w:ascii="Times New Roman" w:hAnsi="Times New Roman"/>
        </w:rPr>
        <w:t>,</w:t>
      </w:r>
      <w:r w:rsidR="00854E74" w:rsidRPr="009F791E">
        <w:rPr>
          <w:rFonts w:ascii="Times New Roman" w:hAnsi="Times New Roman"/>
        </w:rPr>
        <w:t xml:space="preserve"> o których mowa w art. 9 pkt 8 i 14. Wprowadzana zmiana ma związek z rozszerzeniem zakresu SRW, do monitorowania której niezbędne jest dysponowanie najbardziej aktualnymi danymi dotyczącymi układu kasowego. W związku z tym zaproponowano także stosowne zmiany dotyczące sprawozdawczości wszystkich tych jednostek. Zagadnienie dotyczące obligatoryjnej zawartości przyjmowanego dla danego roku planu finansowego zosta</w:t>
      </w:r>
      <w:r w:rsidR="00CE1F2E" w:rsidRPr="009F791E">
        <w:rPr>
          <w:rFonts w:ascii="Times New Roman" w:hAnsi="Times New Roman"/>
        </w:rPr>
        <w:t>ło</w:t>
      </w:r>
      <w:r w:rsidR="00854E74" w:rsidRPr="009F791E">
        <w:rPr>
          <w:rFonts w:ascii="Times New Roman" w:hAnsi="Times New Roman"/>
        </w:rPr>
        <w:t xml:space="preserve"> uregulowane w ustawie, natomiast szczegółowy zakres niezbędnych informacji gromadzonych na etapie planowania budżetowego w tym dot</w:t>
      </w:r>
      <w:r w:rsidR="00C344D7" w:rsidRPr="009F791E">
        <w:rPr>
          <w:rFonts w:ascii="Times New Roman" w:hAnsi="Times New Roman"/>
        </w:rPr>
        <w:t>yczących</w:t>
      </w:r>
      <w:r w:rsidR="00854E74" w:rsidRPr="009F791E">
        <w:rPr>
          <w:rFonts w:ascii="Times New Roman" w:hAnsi="Times New Roman"/>
        </w:rPr>
        <w:t xml:space="preserve"> układu kasowego uregulowany jest w tzw. </w:t>
      </w:r>
      <w:r w:rsidR="00B505A1">
        <w:rPr>
          <w:rFonts w:ascii="Times New Roman" w:hAnsi="Times New Roman"/>
        </w:rPr>
        <w:t>„</w:t>
      </w:r>
      <w:r w:rsidR="00854E74" w:rsidRPr="009F791E">
        <w:rPr>
          <w:rFonts w:ascii="Times New Roman" w:hAnsi="Times New Roman"/>
        </w:rPr>
        <w:t>nocie budżetowej</w:t>
      </w:r>
      <w:r w:rsidR="00B505A1">
        <w:rPr>
          <w:rFonts w:ascii="Times New Roman" w:hAnsi="Times New Roman"/>
        </w:rPr>
        <w:t>”</w:t>
      </w:r>
      <w:r w:rsidR="00854E74" w:rsidRPr="009F791E">
        <w:rPr>
          <w:rFonts w:ascii="Times New Roman" w:hAnsi="Times New Roman"/>
        </w:rPr>
        <w:t xml:space="preserve"> </w:t>
      </w:r>
      <w:r w:rsidR="00B505A1">
        <w:rPr>
          <w:rFonts w:ascii="Times New Roman" w:hAnsi="Times New Roman"/>
        </w:rPr>
        <w:t>–</w:t>
      </w:r>
      <w:r w:rsidR="00854E74" w:rsidRPr="009F791E">
        <w:rPr>
          <w:rFonts w:ascii="Times New Roman" w:hAnsi="Times New Roman"/>
        </w:rPr>
        <w:t xml:space="preserve"> rozporządzeniu Ministra Finansów w sprawie szczegółowego sposobu, trybu i terminów opracowania materiałów do projektu ustawy budżetowej. Nie ulega zatem zmianom </w:t>
      </w:r>
      <w:r w:rsidR="00990627" w:rsidRPr="009F791E">
        <w:rPr>
          <w:rFonts w:ascii="Times New Roman" w:hAnsi="Times New Roman"/>
        </w:rPr>
        <w:t xml:space="preserve">zakres i </w:t>
      </w:r>
      <w:r w:rsidR="00854E74" w:rsidRPr="009F791E">
        <w:rPr>
          <w:rFonts w:ascii="Times New Roman" w:hAnsi="Times New Roman"/>
        </w:rPr>
        <w:t xml:space="preserve">sposób zbierania danych dotyczących projektów wszystkich planów finansowych </w:t>
      </w:r>
      <w:r w:rsidR="00B505A1">
        <w:rPr>
          <w:rFonts w:ascii="Times New Roman" w:hAnsi="Times New Roman"/>
        </w:rPr>
        <w:t>–</w:t>
      </w:r>
      <w:r w:rsidR="00854E74" w:rsidRPr="009F791E">
        <w:rPr>
          <w:rFonts w:ascii="Times New Roman" w:hAnsi="Times New Roman"/>
        </w:rPr>
        <w:t xml:space="preserve"> już obecnie na podstawie tzw. noty budżetowej wszystkie jednostki sporządzają projekty planów finansowych także w układzie kasowym. </w:t>
      </w:r>
    </w:p>
    <w:p w14:paraId="6DF54A8F" w14:textId="50C09D9F" w:rsidR="00854E74" w:rsidRPr="009F791E" w:rsidRDefault="00854E74" w:rsidP="009F791E">
      <w:pPr>
        <w:pStyle w:val="Akapitzlist"/>
        <w:spacing w:line="360" w:lineRule="auto"/>
        <w:jc w:val="both"/>
        <w:rPr>
          <w:rFonts w:ascii="Times New Roman" w:hAnsi="Times New Roman"/>
        </w:rPr>
      </w:pPr>
      <w:r w:rsidRPr="009F791E">
        <w:rPr>
          <w:rFonts w:ascii="Times New Roman" w:hAnsi="Times New Roman"/>
        </w:rPr>
        <w:t>Analogiczn</w:t>
      </w:r>
      <w:r w:rsidR="001075D3" w:rsidRPr="009F791E">
        <w:rPr>
          <w:rFonts w:ascii="Times New Roman" w:hAnsi="Times New Roman"/>
        </w:rPr>
        <w:t>e rozwiązania zawarto</w:t>
      </w:r>
      <w:r w:rsidR="00B505A1">
        <w:rPr>
          <w:rFonts w:ascii="Times New Roman" w:hAnsi="Times New Roman"/>
        </w:rPr>
        <w:t xml:space="preserve"> </w:t>
      </w:r>
      <w:r w:rsidR="00B21391" w:rsidRPr="009F791E">
        <w:rPr>
          <w:rFonts w:ascii="Times New Roman" w:hAnsi="Times New Roman"/>
        </w:rPr>
        <w:t xml:space="preserve">w odniesieniu do </w:t>
      </w:r>
      <w:r w:rsidRPr="009F791E">
        <w:rPr>
          <w:rFonts w:ascii="Times New Roman" w:hAnsi="Times New Roman"/>
        </w:rPr>
        <w:t>planów: instytucji gospodarki budżetowej</w:t>
      </w:r>
      <w:r w:rsidR="00CE1F2E" w:rsidRPr="009F791E">
        <w:rPr>
          <w:rFonts w:ascii="Times New Roman" w:hAnsi="Times New Roman"/>
        </w:rPr>
        <w:t xml:space="preserve"> (art. 24 ust. 1)</w:t>
      </w:r>
      <w:r w:rsidRPr="009F791E">
        <w:rPr>
          <w:rFonts w:ascii="Times New Roman" w:hAnsi="Times New Roman"/>
        </w:rPr>
        <w:t>, państwowych funduszy celowych</w:t>
      </w:r>
      <w:r w:rsidR="00CE1F2E" w:rsidRPr="009F791E">
        <w:rPr>
          <w:rFonts w:ascii="Times New Roman" w:hAnsi="Times New Roman"/>
        </w:rPr>
        <w:t xml:space="preserve"> (art. 29 ust. 6)</w:t>
      </w:r>
      <w:r w:rsidRPr="009F791E">
        <w:rPr>
          <w:rFonts w:ascii="Times New Roman" w:hAnsi="Times New Roman"/>
        </w:rPr>
        <w:t xml:space="preserve"> oraz państwowych i samorządowych osób prawnych</w:t>
      </w:r>
      <w:r w:rsidR="00CE1F2E" w:rsidRPr="009F791E">
        <w:rPr>
          <w:rFonts w:ascii="Times New Roman" w:hAnsi="Times New Roman"/>
        </w:rPr>
        <w:t xml:space="preserve"> (art. 30 ust. 2)</w:t>
      </w:r>
      <w:r w:rsidRPr="009F791E">
        <w:rPr>
          <w:rFonts w:ascii="Times New Roman" w:hAnsi="Times New Roman"/>
        </w:rPr>
        <w:t xml:space="preserve">, </w:t>
      </w:r>
    </w:p>
    <w:p w14:paraId="0C95939F" w14:textId="77777777" w:rsidR="005D1F37" w:rsidRPr="009F791E" w:rsidRDefault="005D1F37" w:rsidP="009F791E">
      <w:pPr>
        <w:pStyle w:val="Akapitzlist"/>
        <w:numPr>
          <w:ilvl w:val="0"/>
          <w:numId w:val="23"/>
        </w:numPr>
        <w:spacing w:line="360" w:lineRule="auto"/>
        <w:jc w:val="both"/>
        <w:rPr>
          <w:rFonts w:ascii="Times New Roman" w:hAnsi="Times New Roman"/>
        </w:rPr>
      </w:pPr>
      <w:r w:rsidRPr="009F791E">
        <w:rPr>
          <w:rFonts w:ascii="Times New Roman" w:hAnsi="Times New Roman"/>
        </w:rPr>
        <w:t>w części wspólnej w ust. 1 w pkt 3 doprecyzowano zastosowany termin: „wynagrodzeń” i zaproponowano dodanie sformułowania „uposażeń i wynagrodzeń ze stosunku pracy”,</w:t>
      </w:r>
    </w:p>
    <w:p w14:paraId="614CF820" w14:textId="03141762" w:rsidR="005D1F37" w:rsidRPr="009F791E" w:rsidRDefault="009D53A9" w:rsidP="009F791E">
      <w:pPr>
        <w:pStyle w:val="Akapitzlist"/>
        <w:numPr>
          <w:ilvl w:val="0"/>
          <w:numId w:val="23"/>
        </w:numPr>
        <w:spacing w:line="360" w:lineRule="auto"/>
        <w:jc w:val="both"/>
        <w:rPr>
          <w:rFonts w:ascii="Times New Roman" w:hAnsi="Times New Roman"/>
        </w:rPr>
      </w:pPr>
      <w:r w:rsidRPr="009F791E">
        <w:rPr>
          <w:rFonts w:ascii="Times New Roman" w:hAnsi="Times New Roman"/>
        </w:rPr>
        <w:t xml:space="preserve">w ust. 4 </w:t>
      </w:r>
      <w:r w:rsidR="005D1F37" w:rsidRPr="009F791E">
        <w:rPr>
          <w:rFonts w:ascii="Times New Roman" w:hAnsi="Times New Roman"/>
        </w:rPr>
        <w:t xml:space="preserve">określono, że w planach finansowych agencji wykonawczych </w:t>
      </w:r>
      <w:bookmarkStart w:id="6" w:name="_Hlk166506178"/>
      <w:r w:rsidR="005D1F37" w:rsidRPr="009F791E">
        <w:rPr>
          <w:rFonts w:ascii="Times New Roman" w:hAnsi="Times New Roman"/>
        </w:rPr>
        <w:t>mogą być dokonywane</w:t>
      </w:r>
      <w:r w:rsidRPr="009F791E">
        <w:rPr>
          <w:rFonts w:ascii="Times New Roman" w:hAnsi="Times New Roman"/>
        </w:rPr>
        <w:t xml:space="preserve"> zmiany przychodów i kosztów lub dochodów i wydatków</w:t>
      </w:r>
      <w:r w:rsidR="005D1F37" w:rsidRPr="009F791E">
        <w:rPr>
          <w:rFonts w:ascii="Times New Roman" w:hAnsi="Times New Roman"/>
        </w:rPr>
        <w:t xml:space="preserve"> w trakcie roku budżetowego (tj. mogą dotyczyć wyłącznie bieżącego roku budżetowego). Mogą to być zmiany polegające na przesunięciach pomiędzy ich poszczególnymi pozycjami w ramach łącznych kwot przychodów, kosztów, dochodów lub wydatków. Istotne jest przy tym, aby nie powodowały zwiększenia zobowiązań agencji</w:t>
      </w:r>
      <w:r w:rsidR="00E02309" w:rsidRPr="009F791E">
        <w:rPr>
          <w:rFonts w:ascii="Times New Roman" w:hAnsi="Times New Roman"/>
        </w:rPr>
        <w:t xml:space="preserve"> </w:t>
      </w:r>
      <w:r w:rsidR="00854E74" w:rsidRPr="009F791E">
        <w:rPr>
          <w:rFonts w:ascii="Times New Roman" w:hAnsi="Times New Roman"/>
        </w:rPr>
        <w:t xml:space="preserve">ani </w:t>
      </w:r>
      <w:r w:rsidR="005D1F37" w:rsidRPr="009F791E">
        <w:rPr>
          <w:rFonts w:ascii="Times New Roman" w:hAnsi="Times New Roman"/>
        </w:rPr>
        <w:t xml:space="preserve">pogorszenia </w:t>
      </w:r>
      <w:r w:rsidR="005D1F37" w:rsidRPr="009F791E">
        <w:rPr>
          <w:rFonts w:ascii="Times New Roman" w:hAnsi="Times New Roman"/>
        </w:rPr>
        <w:lastRenderedPageBreak/>
        <w:t xml:space="preserve">planowanego wyniku finansowego brutto. </w:t>
      </w:r>
      <w:bookmarkEnd w:id="6"/>
      <w:r w:rsidRPr="009F791E">
        <w:rPr>
          <w:rFonts w:ascii="Times New Roman" w:hAnsi="Times New Roman"/>
        </w:rPr>
        <w:t xml:space="preserve">Odrębne </w:t>
      </w:r>
      <w:r w:rsidR="005D1F37" w:rsidRPr="009F791E">
        <w:rPr>
          <w:rFonts w:ascii="Times New Roman" w:hAnsi="Times New Roman"/>
        </w:rPr>
        <w:t>rozwiązani</w:t>
      </w:r>
      <w:r w:rsidRPr="009F791E">
        <w:rPr>
          <w:rFonts w:ascii="Times New Roman" w:hAnsi="Times New Roman"/>
        </w:rPr>
        <w:t>a zaproponowano natomiast do zmian w planach finansowych agencji wykonawczej polegających na zwiększeniu:</w:t>
      </w:r>
    </w:p>
    <w:p w14:paraId="60D7DAC2" w14:textId="77777777" w:rsidR="005D1F37" w:rsidRPr="009F791E" w:rsidRDefault="005D1F37" w:rsidP="009F791E">
      <w:pPr>
        <w:pStyle w:val="Akapitzlist"/>
        <w:numPr>
          <w:ilvl w:val="0"/>
          <w:numId w:val="30"/>
        </w:numPr>
        <w:spacing w:line="360" w:lineRule="auto"/>
        <w:jc w:val="both"/>
        <w:rPr>
          <w:rFonts w:ascii="Times New Roman" w:hAnsi="Times New Roman"/>
        </w:rPr>
      </w:pPr>
      <w:r w:rsidRPr="009F791E">
        <w:rPr>
          <w:rFonts w:ascii="Times New Roman" w:hAnsi="Times New Roman"/>
        </w:rPr>
        <w:t>łącznych kwot przychodów i kosztów lub łącznych kwot dochodów i wydatków,</w:t>
      </w:r>
    </w:p>
    <w:p w14:paraId="53F03D56" w14:textId="77777777" w:rsidR="005D1F37" w:rsidRPr="009F791E" w:rsidRDefault="005D1F37" w:rsidP="009F791E">
      <w:pPr>
        <w:pStyle w:val="Akapitzlist"/>
        <w:numPr>
          <w:ilvl w:val="0"/>
          <w:numId w:val="30"/>
        </w:numPr>
        <w:spacing w:line="360" w:lineRule="auto"/>
        <w:jc w:val="both"/>
        <w:rPr>
          <w:rFonts w:ascii="Times New Roman" w:hAnsi="Times New Roman"/>
        </w:rPr>
      </w:pPr>
      <w:r w:rsidRPr="009F791E">
        <w:rPr>
          <w:rFonts w:ascii="Times New Roman" w:hAnsi="Times New Roman"/>
        </w:rPr>
        <w:t>planowanych wydatków ponad planowane dochody, z uwzględnieniem możliwości wykorzystania środków pieniężnych z poprzednich okresów, pozostających w dyspozycji agencji wykonawczej,</w:t>
      </w:r>
    </w:p>
    <w:p w14:paraId="426DE58F" w14:textId="77777777" w:rsidR="005D1F37" w:rsidRPr="009F791E" w:rsidRDefault="005D1F37" w:rsidP="009F791E">
      <w:pPr>
        <w:pStyle w:val="Akapitzlist"/>
        <w:numPr>
          <w:ilvl w:val="0"/>
          <w:numId w:val="30"/>
        </w:numPr>
        <w:spacing w:line="360" w:lineRule="auto"/>
        <w:jc w:val="both"/>
        <w:rPr>
          <w:rFonts w:ascii="Times New Roman" w:hAnsi="Times New Roman"/>
        </w:rPr>
      </w:pPr>
      <w:r w:rsidRPr="009F791E">
        <w:rPr>
          <w:rFonts w:ascii="Times New Roman" w:hAnsi="Times New Roman"/>
        </w:rPr>
        <w:t xml:space="preserve">dotacji z budżetu państwa, </w:t>
      </w:r>
    </w:p>
    <w:p w14:paraId="0D0C6636" w14:textId="77777777" w:rsidR="005D1F37" w:rsidRPr="009F791E" w:rsidRDefault="005D1F37" w:rsidP="009F791E">
      <w:pPr>
        <w:pStyle w:val="Akapitzlist"/>
        <w:numPr>
          <w:ilvl w:val="0"/>
          <w:numId w:val="30"/>
        </w:numPr>
        <w:spacing w:line="360" w:lineRule="auto"/>
        <w:jc w:val="both"/>
        <w:rPr>
          <w:rFonts w:ascii="Times New Roman" w:hAnsi="Times New Roman"/>
        </w:rPr>
      </w:pPr>
      <w:r w:rsidRPr="009F791E">
        <w:rPr>
          <w:rFonts w:ascii="Times New Roman" w:hAnsi="Times New Roman"/>
        </w:rPr>
        <w:t>uposażeń i wynagrodzeń ze stosunku pracy.</w:t>
      </w:r>
    </w:p>
    <w:p w14:paraId="2FB9CF21" w14:textId="7DD78B18" w:rsidR="005D1F37" w:rsidRPr="009F791E" w:rsidRDefault="005D1F37" w:rsidP="009F791E">
      <w:pPr>
        <w:pStyle w:val="Akapitzlist"/>
        <w:spacing w:line="360" w:lineRule="auto"/>
        <w:jc w:val="both"/>
        <w:rPr>
          <w:rFonts w:ascii="Times New Roman" w:hAnsi="Times New Roman"/>
        </w:rPr>
      </w:pPr>
      <w:r w:rsidRPr="009F791E">
        <w:rPr>
          <w:rFonts w:ascii="Times New Roman" w:hAnsi="Times New Roman"/>
        </w:rPr>
        <w:t>Zaproponowano też regulację umożliwiającą dokonywanie zmian, w tym przesunięć w</w:t>
      </w:r>
      <w:r w:rsidR="004E72BB" w:rsidRPr="009F791E">
        <w:rPr>
          <w:rFonts w:ascii="Times New Roman" w:hAnsi="Times New Roman"/>
        </w:rPr>
        <w:t> </w:t>
      </w:r>
      <w:r w:rsidRPr="009F791E">
        <w:rPr>
          <w:rFonts w:ascii="Times New Roman" w:hAnsi="Times New Roman"/>
        </w:rPr>
        <w:t>planie finansowym agencji wykonawczej dotyczących środków przeznaczonych na realizację programów finansowanych z udziałem środków, o których mowa w art. 5 ust.</w:t>
      </w:r>
      <w:r w:rsidR="004E72BB" w:rsidRPr="009F791E">
        <w:rPr>
          <w:rFonts w:ascii="Times New Roman" w:hAnsi="Times New Roman"/>
        </w:rPr>
        <w:t> </w:t>
      </w:r>
      <w:r w:rsidRPr="009F791E">
        <w:rPr>
          <w:rFonts w:ascii="Times New Roman" w:hAnsi="Times New Roman"/>
        </w:rPr>
        <w:t xml:space="preserve">1 pkt 2. Jest to wyodrębniony tryb dokonywania zmian w planach finansowych, odnoszący się do ww. środków. </w:t>
      </w:r>
    </w:p>
    <w:p w14:paraId="064BF098" w14:textId="7DD6D424" w:rsidR="005D1F37" w:rsidRPr="009F791E" w:rsidRDefault="00354E25" w:rsidP="009F791E">
      <w:pPr>
        <w:pStyle w:val="Akapitzlist"/>
        <w:numPr>
          <w:ilvl w:val="0"/>
          <w:numId w:val="39"/>
        </w:numPr>
        <w:spacing w:line="360" w:lineRule="auto"/>
        <w:jc w:val="both"/>
        <w:rPr>
          <w:rFonts w:ascii="Times New Roman" w:hAnsi="Times New Roman"/>
        </w:rPr>
      </w:pPr>
      <w:r w:rsidRPr="009F791E">
        <w:rPr>
          <w:rFonts w:ascii="Times New Roman" w:hAnsi="Times New Roman"/>
        </w:rPr>
        <w:t xml:space="preserve">w </w:t>
      </w:r>
      <w:r w:rsidR="005D1F37" w:rsidRPr="009F791E">
        <w:rPr>
          <w:rFonts w:ascii="Times New Roman" w:hAnsi="Times New Roman"/>
        </w:rPr>
        <w:t>ust. 5 wskazano, które zmiany wymagają poinformowania Ministra Finansów, które wymagają jego zgody, a które wymagają też zgody innych organów, w tym sejmowej komisji właściwej do spraw budżetu.</w:t>
      </w:r>
    </w:p>
    <w:p w14:paraId="2A59B543" w14:textId="05C10C8D" w:rsidR="005D1F37" w:rsidRPr="009F791E" w:rsidRDefault="005D1F37" w:rsidP="009F791E">
      <w:pPr>
        <w:spacing w:line="360" w:lineRule="auto"/>
        <w:ind w:left="708"/>
        <w:jc w:val="both"/>
        <w:rPr>
          <w:rFonts w:ascii="Times New Roman" w:hAnsi="Times New Roman"/>
        </w:rPr>
      </w:pPr>
      <w:r w:rsidRPr="009F791E">
        <w:rPr>
          <w:rFonts w:ascii="Times New Roman" w:hAnsi="Times New Roman"/>
        </w:rPr>
        <w:t>Jak wskazano w ust. 6</w:t>
      </w:r>
      <w:r w:rsidR="00440E3D">
        <w:rPr>
          <w:rFonts w:ascii="Times New Roman" w:hAnsi="Times New Roman"/>
        </w:rPr>
        <w:t>,</w:t>
      </w:r>
      <w:r w:rsidRPr="009F791E">
        <w:rPr>
          <w:rFonts w:ascii="Times New Roman" w:hAnsi="Times New Roman"/>
        </w:rPr>
        <w:t xml:space="preserve"> minister sprawujący nadzór nad agencją wykonawczą</w:t>
      </w:r>
      <w:r w:rsidR="00440E3D">
        <w:rPr>
          <w:rFonts w:ascii="Times New Roman" w:hAnsi="Times New Roman"/>
        </w:rPr>
        <w:t>,</w:t>
      </w:r>
      <w:r w:rsidRPr="009F791E">
        <w:rPr>
          <w:rFonts w:ascii="Times New Roman" w:hAnsi="Times New Roman"/>
        </w:rPr>
        <w:t xml:space="preserve"> występując do Ministra Finansów o zgodę, o której mowa w ust. 5 pkt 2</w:t>
      </w:r>
      <w:r w:rsidR="00C344D7" w:rsidRPr="009F791E">
        <w:rPr>
          <w:rFonts w:ascii="Times New Roman" w:hAnsi="Times New Roman"/>
        </w:rPr>
        <w:t>,</w:t>
      </w:r>
      <w:r w:rsidRPr="009F791E">
        <w:rPr>
          <w:rFonts w:ascii="Times New Roman" w:hAnsi="Times New Roman"/>
        </w:rPr>
        <w:t xml:space="preserve"> przedstawia jednocześnie swoją opinię w tej sprawie.</w:t>
      </w:r>
    </w:p>
    <w:p w14:paraId="5AD74F37" w14:textId="77777777" w:rsidR="005D1F37" w:rsidRPr="009F791E" w:rsidRDefault="005D1F37" w:rsidP="009F791E">
      <w:pPr>
        <w:spacing w:line="360" w:lineRule="auto"/>
        <w:jc w:val="both"/>
        <w:rPr>
          <w:rFonts w:ascii="Times New Roman" w:hAnsi="Times New Roman"/>
          <w:b/>
        </w:rPr>
      </w:pPr>
      <w:r w:rsidRPr="009F791E">
        <w:rPr>
          <w:rFonts w:ascii="Times New Roman" w:hAnsi="Times New Roman"/>
          <w:b/>
        </w:rPr>
        <w:t>Zmiana brzmienia art. 24</w:t>
      </w:r>
    </w:p>
    <w:p w14:paraId="4D0CE70C" w14:textId="77777777" w:rsidR="005D1F37" w:rsidRPr="009F791E" w:rsidRDefault="005D1F37" w:rsidP="009F791E">
      <w:pPr>
        <w:spacing w:line="360" w:lineRule="auto"/>
        <w:jc w:val="both"/>
        <w:rPr>
          <w:rFonts w:ascii="Times New Roman" w:hAnsi="Times New Roman"/>
        </w:rPr>
      </w:pPr>
      <w:r w:rsidRPr="009F791E">
        <w:rPr>
          <w:rFonts w:ascii="Times New Roman" w:hAnsi="Times New Roman"/>
        </w:rPr>
        <w:t xml:space="preserve">Z uwagi na wprowadzenie wielu zmian w tym przepisie i jego przemodelowanie zdecydowano o nadaniu art. 24 nowego brzmienia. </w:t>
      </w:r>
    </w:p>
    <w:p w14:paraId="7A2D2967" w14:textId="77777777" w:rsidR="005D1F37" w:rsidRPr="009F791E" w:rsidRDefault="005D1F37" w:rsidP="009F791E">
      <w:pPr>
        <w:spacing w:line="360" w:lineRule="auto"/>
        <w:jc w:val="both"/>
        <w:rPr>
          <w:rFonts w:ascii="Times New Roman" w:hAnsi="Times New Roman"/>
        </w:rPr>
      </w:pPr>
      <w:r w:rsidRPr="009F791E">
        <w:rPr>
          <w:rFonts w:ascii="Times New Roman" w:hAnsi="Times New Roman"/>
        </w:rPr>
        <w:t>Zaproponowano zmiany:</w:t>
      </w:r>
    </w:p>
    <w:p w14:paraId="319A5A2B" w14:textId="15A73D00" w:rsidR="005D1F37" w:rsidRPr="009F791E" w:rsidRDefault="005D1F37" w:rsidP="009F791E">
      <w:pPr>
        <w:pStyle w:val="Akapitzlist"/>
        <w:numPr>
          <w:ilvl w:val="0"/>
          <w:numId w:val="21"/>
        </w:numPr>
        <w:spacing w:line="360" w:lineRule="auto"/>
        <w:jc w:val="both"/>
        <w:rPr>
          <w:rFonts w:ascii="Times New Roman" w:hAnsi="Times New Roman"/>
        </w:rPr>
      </w:pPr>
      <w:r w:rsidRPr="009F791E">
        <w:rPr>
          <w:rFonts w:ascii="Times New Roman" w:hAnsi="Times New Roman"/>
        </w:rPr>
        <w:t>we wprowadzeniu do wyliczenia w ust. 1 – wskazując, że roczny plan finansowy będący podstawą gospodarki finansowej instytucji gospodarki budżetowej „w szczególności” obejmuje wymienione pozycje. Przepis ma na celu określenie obligatoryjnych dla wszystkich jednostek elementów planu, wskazując jednocześnie, że zawartość rocznego planu finansowego instytucji gospodarki budżetowej nie stanowi katalogu zamkniętego – tj. plan może obejmować również inne pozycje niż wymienione w tym przepisie,</w:t>
      </w:r>
    </w:p>
    <w:p w14:paraId="0981F6DF" w14:textId="77777777" w:rsidR="005D1F37" w:rsidRPr="009F791E" w:rsidRDefault="005D1F37" w:rsidP="009F791E">
      <w:pPr>
        <w:pStyle w:val="Akapitzlist"/>
        <w:numPr>
          <w:ilvl w:val="0"/>
          <w:numId w:val="21"/>
        </w:numPr>
        <w:spacing w:line="360" w:lineRule="auto"/>
        <w:jc w:val="both"/>
        <w:rPr>
          <w:rFonts w:ascii="Times New Roman" w:hAnsi="Times New Roman"/>
        </w:rPr>
      </w:pPr>
      <w:r w:rsidRPr="009F791E">
        <w:rPr>
          <w:rFonts w:ascii="Times New Roman" w:hAnsi="Times New Roman"/>
        </w:rPr>
        <w:t xml:space="preserve">w ust. 1 pkt 3 i ust. 7 pkt 2 lit. d zdecydowano o doprecyzowaniu zastosowanego terminu „wynagrodzenia” i zaproponowano dodanie sformułowania „uposażeń i wynagrodzeń ze stosunku pracy”, </w:t>
      </w:r>
    </w:p>
    <w:p w14:paraId="59E874EB" w14:textId="77777777" w:rsidR="005D1F37" w:rsidRPr="009F791E" w:rsidRDefault="005D1F37" w:rsidP="009F791E">
      <w:pPr>
        <w:pStyle w:val="Akapitzlist"/>
        <w:numPr>
          <w:ilvl w:val="0"/>
          <w:numId w:val="21"/>
        </w:numPr>
        <w:spacing w:line="360" w:lineRule="auto"/>
        <w:jc w:val="both"/>
        <w:rPr>
          <w:rFonts w:ascii="Times New Roman" w:hAnsi="Times New Roman"/>
        </w:rPr>
      </w:pPr>
      <w:r w:rsidRPr="009F791E">
        <w:rPr>
          <w:rFonts w:ascii="Times New Roman" w:hAnsi="Times New Roman"/>
        </w:rPr>
        <w:lastRenderedPageBreak/>
        <w:t>w ust. 2 z uwagi na objęcie instytucji gospodarki budżetowej SRW uregulowano obowiązek sporządzania w ramach planu finansowego instytucji gospodarki budżetowej planu dochodów i wydatków (układ kasowy). Tym samym ujednolicono wymagania we wszystkich jednostkach (państwowych osobach prawnych, agencjach wykonawczych, instytucjach gospodarki budżetowej, państwowych funduszach celowych) w zakresie sporządzania planów finansowych,</w:t>
      </w:r>
    </w:p>
    <w:p w14:paraId="45DA4625" w14:textId="77777777" w:rsidR="005D1F37" w:rsidRPr="009F791E" w:rsidRDefault="005D1F37" w:rsidP="009F791E">
      <w:pPr>
        <w:pStyle w:val="Akapitzlist"/>
        <w:numPr>
          <w:ilvl w:val="0"/>
          <w:numId w:val="21"/>
        </w:numPr>
        <w:spacing w:line="360" w:lineRule="auto"/>
        <w:jc w:val="both"/>
        <w:rPr>
          <w:rFonts w:ascii="Times New Roman" w:hAnsi="Times New Roman"/>
        </w:rPr>
      </w:pPr>
      <w:r w:rsidRPr="009F791E">
        <w:rPr>
          <w:rFonts w:ascii="Times New Roman" w:hAnsi="Times New Roman"/>
        </w:rPr>
        <w:t>w ust. 6 w odniesieniu do przychodów zrezygnowano z wyrazu „uzyskanych”, w celu usunięcia wątpliwości interpretacyjnych,</w:t>
      </w:r>
    </w:p>
    <w:p w14:paraId="61C1CD0F" w14:textId="1CA5A884" w:rsidR="005D1F37" w:rsidRPr="009F791E" w:rsidRDefault="005D1F37" w:rsidP="009F791E">
      <w:pPr>
        <w:pStyle w:val="Akapitzlist"/>
        <w:numPr>
          <w:ilvl w:val="0"/>
          <w:numId w:val="21"/>
        </w:numPr>
        <w:spacing w:line="360" w:lineRule="auto"/>
        <w:jc w:val="both"/>
        <w:rPr>
          <w:rFonts w:ascii="Times New Roman" w:hAnsi="Times New Roman"/>
        </w:rPr>
      </w:pPr>
      <w:r w:rsidRPr="009F791E">
        <w:rPr>
          <w:rFonts w:ascii="Times New Roman" w:hAnsi="Times New Roman"/>
        </w:rPr>
        <w:t>w ust. 7</w:t>
      </w:r>
      <w:r w:rsidR="00440E3D">
        <w:rPr>
          <w:rFonts w:ascii="Times New Roman" w:hAnsi="Times New Roman"/>
        </w:rPr>
        <w:t>,</w:t>
      </w:r>
      <w:r w:rsidRPr="009F791E">
        <w:rPr>
          <w:rFonts w:ascii="Times New Roman" w:hAnsi="Times New Roman"/>
        </w:rPr>
        <w:t xml:space="preserve"> uwzględniając specyfikę instytucji gospodarki budżetowej</w:t>
      </w:r>
      <w:r w:rsidR="00440E3D">
        <w:rPr>
          <w:rFonts w:ascii="Times New Roman" w:hAnsi="Times New Roman"/>
        </w:rPr>
        <w:t>,</w:t>
      </w:r>
      <w:r w:rsidRPr="009F791E">
        <w:rPr>
          <w:rFonts w:ascii="Times New Roman" w:hAnsi="Times New Roman"/>
        </w:rPr>
        <w:t xml:space="preserve"> zaproponowano dwa tryby wprowadzania zmian w planach finansowych. Dookreślono, że zmiany w planie finansowym mogą być dokonywane w trakcie roku budżetowego (tj. mogą dotyczyć wyłącznie bieżącego roku budżetowego). Mogą to być zmiany przychodów i kosztów lub dochodów i wydatków, w tym przesunięcia między poszczególnymi ich pozycjami w ramach łącznych kwot. Istotne jest, aby nie powodowały one zwiększenia dotacji z</w:t>
      </w:r>
      <w:r w:rsidR="00DF6442" w:rsidRPr="009F791E">
        <w:rPr>
          <w:rFonts w:ascii="Times New Roman" w:hAnsi="Times New Roman"/>
        </w:rPr>
        <w:t> </w:t>
      </w:r>
      <w:r w:rsidRPr="009F791E">
        <w:rPr>
          <w:rFonts w:ascii="Times New Roman" w:hAnsi="Times New Roman"/>
        </w:rPr>
        <w:t xml:space="preserve">budżetu państwa </w:t>
      </w:r>
      <w:r w:rsidR="00E02309" w:rsidRPr="009F791E">
        <w:rPr>
          <w:rFonts w:ascii="Times New Roman" w:hAnsi="Times New Roman"/>
        </w:rPr>
        <w:t>lub</w:t>
      </w:r>
      <w:r w:rsidRPr="009F791E">
        <w:rPr>
          <w:rFonts w:ascii="Times New Roman" w:hAnsi="Times New Roman"/>
        </w:rPr>
        <w:t> pogorszenia jej planowanego wyniku finansowego brutto (pkt 1). Zmiany tego rodzaju nie wymagają</w:t>
      </w:r>
      <w:r w:rsidR="00B505A1">
        <w:rPr>
          <w:rFonts w:ascii="Times New Roman" w:hAnsi="Times New Roman"/>
        </w:rPr>
        <w:t xml:space="preserve"> </w:t>
      </w:r>
      <w:r w:rsidR="00251CD6" w:rsidRPr="009F791E">
        <w:rPr>
          <w:rFonts w:ascii="Times New Roman" w:hAnsi="Times New Roman"/>
        </w:rPr>
        <w:t xml:space="preserve">zgody </w:t>
      </w:r>
      <w:r w:rsidRPr="009F791E">
        <w:rPr>
          <w:rFonts w:ascii="Times New Roman" w:hAnsi="Times New Roman"/>
        </w:rPr>
        <w:t xml:space="preserve">komisji sejmowej właściwej do spraw budżetu. O ich dokonaniu należy jedynie niezwłocznie poinformować Ministra Finansów. </w:t>
      </w:r>
    </w:p>
    <w:p w14:paraId="62E4AD8F" w14:textId="77777777" w:rsidR="005D1F37" w:rsidRPr="009F791E" w:rsidRDefault="005D1F37" w:rsidP="009F791E">
      <w:pPr>
        <w:spacing w:line="360" w:lineRule="auto"/>
        <w:ind w:left="708"/>
        <w:jc w:val="both"/>
        <w:rPr>
          <w:rFonts w:ascii="Times New Roman" w:hAnsi="Times New Roman"/>
        </w:rPr>
      </w:pPr>
      <w:r w:rsidRPr="009F791E">
        <w:rPr>
          <w:rFonts w:ascii="Times New Roman" w:hAnsi="Times New Roman"/>
        </w:rPr>
        <w:t>Natomiast w pkt 2 zaproponowano rozwiązanie, zgodnie z którym w planie finansowym instytucji gospodarki budżetowej, mogą być dokonywane zmiany polegające na zwiększeniu:</w:t>
      </w:r>
    </w:p>
    <w:p w14:paraId="79E3437A" w14:textId="77777777" w:rsidR="005D1F37" w:rsidRPr="009F791E" w:rsidRDefault="005D1F37" w:rsidP="009F791E">
      <w:pPr>
        <w:pStyle w:val="Akapitzlist"/>
        <w:numPr>
          <w:ilvl w:val="0"/>
          <w:numId w:val="22"/>
        </w:numPr>
        <w:spacing w:line="360" w:lineRule="auto"/>
        <w:jc w:val="both"/>
        <w:rPr>
          <w:rFonts w:ascii="Times New Roman" w:hAnsi="Times New Roman"/>
        </w:rPr>
      </w:pPr>
      <w:r w:rsidRPr="009F791E">
        <w:rPr>
          <w:rFonts w:ascii="Times New Roman" w:hAnsi="Times New Roman"/>
        </w:rPr>
        <w:t xml:space="preserve">łącznych kwot przychodów i kosztów lub łącznych kwot dochodów i wydatków, </w:t>
      </w:r>
    </w:p>
    <w:p w14:paraId="1EA09B2E" w14:textId="77777777" w:rsidR="005D1F37" w:rsidRPr="009F791E" w:rsidRDefault="005D1F37" w:rsidP="009F791E">
      <w:pPr>
        <w:pStyle w:val="Akapitzlist"/>
        <w:numPr>
          <w:ilvl w:val="0"/>
          <w:numId w:val="22"/>
        </w:numPr>
        <w:spacing w:line="360" w:lineRule="auto"/>
        <w:jc w:val="both"/>
        <w:rPr>
          <w:rFonts w:ascii="Times New Roman" w:hAnsi="Times New Roman"/>
        </w:rPr>
      </w:pPr>
      <w:r w:rsidRPr="009F791E">
        <w:rPr>
          <w:rFonts w:ascii="Times New Roman" w:hAnsi="Times New Roman"/>
        </w:rPr>
        <w:t>planowanych wydatków ponad planowane dochody, o ile nie przewyższają one wysokości pozostających w dyspozycji instytucji gospodarki budżetowej środków pieniężnych z poprzednich okresów,</w:t>
      </w:r>
    </w:p>
    <w:p w14:paraId="126DF0EE" w14:textId="035A1115" w:rsidR="005D1F37" w:rsidRPr="009F791E" w:rsidRDefault="005D1F37" w:rsidP="009F791E">
      <w:pPr>
        <w:pStyle w:val="Akapitzlist"/>
        <w:numPr>
          <w:ilvl w:val="0"/>
          <w:numId w:val="22"/>
        </w:numPr>
        <w:spacing w:line="360" w:lineRule="auto"/>
        <w:jc w:val="both"/>
        <w:rPr>
          <w:rFonts w:ascii="Times New Roman" w:hAnsi="Times New Roman"/>
        </w:rPr>
      </w:pPr>
      <w:r w:rsidRPr="009F791E">
        <w:rPr>
          <w:rFonts w:ascii="Times New Roman" w:hAnsi="Times New Roman"/>
        </w:rPr>
        <w:t xml:space="preserve">uposażeń i wynagrodzeń ze stosunku pracy </w:t>
      </w:r>
    </w:p>
    <w:p w14:paraId="1EC09D4D" w14:textId="77777777" w:rsidR="005D1F37" w:rsidRPr="009F791E" w:rsidRDefault="005D1F37" w:rsidP="009F791E">
      <w:pPr>
        <w:spacing w:line="360" w:lineRule="auto"/>
        <w:ind w:left="708"/>
        <w:jc w:val="both"/>
        <w:rPr>
          <w:rFonts w:ascii="Times New Roman" w:hAnsi="Times New Roman"/>
        </w:rPr>
      </w:pPr>
      <w:r w:rsidRPr="009F791E">
        <w:rPr>
          <w:rFonts w:ascii="Times New Roman" w:hAnsi="Times New Roman"/>
        </w:rPr>
        <w:t>które będą wymagały zgody organu wykonującego funkcję organu założycielskiego instytucji gospodarki budżetowej wydanej w porozumieniu z Ministrem Finansów.</w:t>
      </w:r>
    </w:p>
    <w:p w14:paraId="5E5F4759" w14:textId="23F65CA9" w:rsidR="005D1F37" w:rsidRPr="009F791E" w:rsidRDefault="005D1F37" w:rsidP="009F791E">
      <w:pPr>
        <w:spacing w:line="360" w:lineRule="auto"/>
        <w:ind w:left="708"/>
        <w:jc w:val="both"/>
        <w:rPr>
          <w:rFonts w:ascii="Times New Roman" w:hAnsi="Times New Roman"/>
        </w:rPr>
      </w:pPr>
      <w:r w:rsidRPr="009F791E">
        <w:rPr>
          <w:rFonts w:ascii="Times New Roman" w:hAnsi="Times New Roman"/>
        </w:rPr>
        <w:t>W ust. 7 pkt 3 zaproponowano odrębny tryb zmian, w tym przesunięć w planie finansowym, dotyczących środków przeznaczonych na realizację programów finansowanych z udziałem środków, o których mowa w art. 5 ust. 1 pkt 2, w którym wymagana jest zgoda organu wykonującego funkcje organu założycielskiego instytucji gospodarki budżetowej wydana w porozumieniu z Ministrem Finansów.</w:t>
      </w:r>
    </w:p>
    <w:p w14:paraId="3FBFBADB" w14:textId="77777777" w:rsidR="005D1F37" w:rsidRPr="009F791E" w:rsidRDefault="005D1F37" w:rsidP="009F791E">
      <w:pPr>
        <w:spacing w:line="360" w:lineRule="auto"/>
        <w:jc w:val="both"/>
        <w:rPr>
          <w:rFonts w:ascii="Times New Roman" w:hAnsi="Times New Roman"/>
          <w:b/>
        </w:rPr>
      </w:pPr>
      <w:r w:rsidRPr="009F791E">
        <w:rPr>
          <w:rFonts w:ascii="Times New Roman" w:hAnsi="Times New Roman"/>
          <w:b/>
        </w:rPr>
        <w:lastRenderedPageBreak/>
        <w:t>Zmiana brzmienia art. 29</w:t>
      </w:r>
    </w:p>
    <w:p w14:paraId="20DF3004" w14:textId="77777777" w:rsidR="005D1F37" w:rsidRPr="009F791E" w:rsidRDefault="005D1F37" w:rsidP="009F791E">
      <w:pPr>
        <w:spacing w:line="360" w:lineRule="auto"/>
        <w:jc w:val="both"/>
        <w:rPr>
          <w:rFonts w:ascii="Times New Roman" w:hAnsi="Times New Roman"/>
        </w:rPr>
      </w:pPr>
      <w:r w:rsidRPr="009F791E">
        <w:rPr>
          <w:rFonts w:ascii="Times New Roman" w:hAnsi="Times New Roman"/>
        </w:rPr>
        <w:t xml:space="preserve">Z uwagi na wprowadzenie wielu zmian w tym przepisie i jego przemodelowanie zdecydowano o nadaniu art. 29 nowego brzmienia. </w:t>
      </w:r>
    </w:p>
    <w:p w14:paraId="4F165B54" w14:textId="77777777" w:rsidR="005D1F37" w:rsidRPr="009F791E" w:rsidRDefault="005D1F37" w:rsidP="009F791E">
      <w:pPr>
        <w:spacing w:line="360" w:lineRule="auto"/>
        <w:jc w:val="both"/>
        <w:rPr>
          <w:rFonts w:ascii="Times New Roman" w:hAnsi="Times New Roman"/>
        </w:rPr>
      </w:pPr>
      <w:r w:rsidRPr="009F791E">
        <w:rPr>
          <w:rFonts w:ascii="Times New Roman" w:hAnsi="Times New Roman"/>
        </w:rPr>
        <w:t>Zaproponowano zmiany:</w:t>
      </w:r>
    </w:p>
    <w:p w14:paraId="27BA8CEB" w14:textId="50CC3413" w:rsidR="005D1F37" w:rsidRPr="009F791E" w:rsidRDefault="005D1F37" w:rsidP="009F791E">
      <w:pPr>
        <w:pStyle w:val="Akapitzlist"/>
        <w:numPr>
          <w:ilvl w:val="0"/>
          <w:numId w:val="24"/>
        </w:numPr>
        <w:spacing w:line="360" w:lineRule="auto"/>
        <w:jc w:val="both"/>
        <w:rPr>
          <w:rFonts w:ascii="Times New Roman" w:hAnsi="Times New Roman"/>
        </w:rPr>
      </w:pPr>
      <w:r w:rsidRPr="009F791E">
        <w:rPr>
          <w:rFonts w:ascii="Times New Roman" w:hAnsi="Times New Roman"/>
        </w:rPr>
        <w:t>do art. 29 przeniesiono regulację art. 123 ust. 2 odnoszącą się do zawartości planu finansowego państwowego funduszu celowego. Zmiana ta ma charakter porządkujący. Jednocześnie doprecyzowano, że roczny plan finansowy będący podstawą gospodarki finansowej państwowego funduszu celowego obejmuje „w szczególności” wymienione pozycje. Przepis ma na celu określenie obligatoryjnych dla wszystkich jednostek elementów planu, wskazując jednocześnie,</w:t>
      </w:r>
      <w:r w:rsidR="00B505A1">
        <w:rPr>
          <w:rFonts w:ascii="Times New Roman" w:hAnsi="Times New Roman"/>
        </w:rPr>
        <w:t xml:space="preserve"> </w:t>
      </w:r>
      <w:r w:rsidRPr="009F791E">
        <w:rPr>
          <w:rFonts w:ascii="Times New Roman" w:hAnsi="Times New Roman"/>
        </w:rPr>
        <w:t>że zawartość rocznego planu finansowego państwowego funduszu celowego nie stanowi katalogu zamkniętego – tj. plan może obejmować również inne pozycje niż wymienione w tym przepisie,</w:t>
      </w:r>
    </w:p>
    <w:p w14:paraId="3ABCE053" w14:textId="77777777" w:rsidR="005D1F37" w:rsidRPr="009F791E" w:rsidRDefault="005D1F37" w:rsidP="009F791E">
      <w:pPr>
        <w:pStyle w:val="Akapitzlist"/>
        <w:numPr>
          <w:ilvl w:val="0"/>
          <w:numId w:val="24"/>
        </w:numPr>
        <w:spacing w:line="360" w:lineRule="auto"/>
        <w:jc w:val="both"/>
        <w:rPr>
          <w:rFonts w:ascii="Times New Roman" w:hAnsi="Times New Roman"/>
        </w:rPr>
      </w:pPr>
      <w:r w:rsidRPr="009F791E">
        <w:rPr>
          <w:rFonts w:ascii="Times New Roman" w:hAnsi="Times New Roman"/>
        </w:rPr>
        <w:t>w ust. 10 doprecyzowano, że środki pieniężne z poprzednich okresów mogą być wykorzystywane w trakcie roku budżetowego na cele funduszu, analogicznie jak w przypadku instytucji gospodarki budżetowej,</w:t>
      </w:r>
    </w:p>
    <w:p w14:paraId="7AF69888" w14:textId="418379E5" w:rsidR="005D1F37" w:rsidRPr="009F791E" w:rsidRDefault="005D1F37" w:rsidP="009F791E">
      <w:pPr>
        <w:pStyle w:val="Akapitzlist"/>
        <w:numPr>
          <w:ilvl w:val="0"/>
          <w:numId w:val="23"/>
        </w:numPr>
        <w:spacing w:line="360" w:lineRule="auto"/>
        <w:jc w:val="both"/>
        <w:rPr>
          <w:rFonts w:ascii="Times New Roman" w:hAnsi="Times New Roman"/>
        </w:rPr>
      </w:pPr>
      <w:r w:rsidRPr="009F791E">
        <w:rPr>
          <w:rFonts w:ascii="Times New Roman" w:hAnsi="Times New Roman"/>
        </w:rPr>
        <w:t>w ust. 12 w połączeniu z ust. 13 wskazano, że zmiany w tym przesunięcia w ramach łącznych kwot przychodów i kosztów lub dochodów i wydatków lub zadań państwowego funduszu celowego dokonywane w trakcie roku budżetowego przez dysponenta tego funduszu będą wymagały zgody wyrażonej przez organ nadzorujący dysponenta funduszu (o ile fundusz posiada organ nadzorujący). Zmiany tego rodzaju nie wymagają</w:t>
      </w:r>
      <w:r w:rsidR="00B505A1">
        <w:rPr>
          <w:rFonts w:ascii="Times New Roman" w:hAnsi="Times New Roman"/>
        </w:rPr>
        <w:t xml:space="preserve"> </w:t>
      </w:r>
      <w:r w:rsidRPr="009F791E">
        <w:rPr>
          <w:rFonts w:ascii="Times New Roman" w:hAnsi="Times New Roman"/>
        </w:rPr>
        <w:t xml:space="preserve">dodatkowych zgód np. komisji sejmowej właściwej do spraw budżetu. O ich dokonaniu należy jedynie niezwłocznie poinformować Ministra Finansów. </w:t>
      </w:r>
    </w:p>
    <w:p w14:paraId="61468514" w14:textId="71D65098" w:rsidR="005D1F37" w:rsidRPr="009F791E" w:rsidRDefault="005D1F37" w:rsidP="009F791E">
      <w:pPr>
        <w:pStyle w:val="Akapitzlist"/>
        <w:numPr>
          <w:ilvl w:val="0"/>
          <w:numId w:val="24"/>
        </w:numPr>
        <w:spacing w:line="360" w:lineRule="auto"/>
        <w:jc w:val="both"/>
        <w:rPr>
          <w:rFonts w:ascii="Times New Roman" w:hAnsi="Times New Roman"/>
        </w:rPr>
      </w:pPr>
      <w:r w:rsidRPr="009F791E">
        <w:rPr>
          <w:rFonts w:ascii="Times New Roman" w:hAnsi="Times New Roman"/>
        </w:rPr>
        <w:t>w ust. 13 pkt 1 zaproponowano</w:t>
      </w:r>
      <w:r w:rsidR="009D53A9" w:rsidRPr="009F791E">
        <w:rPr>
          <w:rFonts w:ascii="Times New Roman" w:hAnsi="Times New Roman"/>
        </w:rPr>
        <w:t xml:space="preserve"> odrębne rozwiązania do zmian w planach finansowych państwowych funduszy celowych, polegające na zwiększeniu:</w:t>
      </w:r>
    </w:p>
    <w:p w14:paraId="696C2ADA" w14:textId="77777777" w:rsidR="005D1F37" w:rsidRPr="009F791E" w:rsidRDefault="005D1F37" w:rsidP="009F791E">
      <w:pPr>
        <w:pStyle w:val="Akapitzlist"/>
        <w:numPr>
          <w:ilvl w:val="0"/>
          <w:numId w:val="25"/>
        </w:numPr>
        <w:spacing w:line="360" w:lineRule="auto"/>
        <w:jc w:val="both"/>
        <w:rPr>
          <w:rFonts w:ascii="Times New Roman" w:hAnsi="Times New Roman"/>
        </w:rPr>
      </w:pPr>
      <w:r w:rsidRPr="009F791E">
        <w:rPr>
          <w:rFonts w:ascii="Times New Roman" w:hAnsi="Times New Roman"/>
        </w:rPr>
        <w:t>łącznych kwot przychodów i kosztów lub łącznych kwot dochodów i wydatków,</w:t>
      </w:r>
    </w:p>
    <w:p w14:paraId="75B4DE2F" w14:textId="77777777" w:rsidR="005D1F37" w:rsidRPr="009F791E" w:rsidRDefault="005D1F37" w:rsidP="009F791E">
      <w:pPr>
        <w:pStyle w:val="Akapitzlist"/>
        <w:numPr>
          <w:ilvl w:val="0"/>
          <w:numId w:val="25"/>
        </w:numPr>
        <w:spacing w:line="360" w:lineRule="auto"/>
        <w:jc w:val="both"/>
        <w:rPr>
          <w:rFonts w:ascii="Times New Roman" w:hAnsi="Times New Roman"/>
        </w:rPr>
      </w:pPr>
      <w:r w:rsidRPr="009F791E">
        <w:rPr>
          <w:rFonts w:ascii="Times New Roman" w:hAnsi="Times New Roman"/>
        </w:rPr>
        <w:t>planowanych wydatków ponad planowane dochody, jednak nie więcej niż o wysokość środków pieniężnych z poprzednich okresów, pozostających w dyspozycji państwowego funduszu celowego,</w:t>
      </w:r>
    </w:p>
    <w:p w14:paraId="36BCADFB" w14:textId="68493E85" w:rsidR="005D1F37" w:rsidRPr="009F791E" w:rsidRDefault="005D1F37" w:rsidP="009F791E">
      <w:pPr>
        <w:pStyle w:val="Akapitzlist"/>
        <w:numPr>
          <w:ilvl w:val="0"/>
          <w:numId w:val="25"/>
        </w:numPr>
        <w:spacing w:line="360" w:lineRule="auto"/>
        <w:jc w:val="both"/>
        <w:rPr>
          <w:rFonts w:ascii="Times New Roman" w:hAnsi="Times New Roman"/>
        </w:rPr>
      </w:pPr>
      <w:r w:rsidRPr="009F791E">
        <w:rPr>
          <w:rFonts w:ascii="Times New Roman" w:hAnsi="Times New Roman"/>
        </w:rPr>
        <w:t>uposażeń i wynagrodzeń ze stosunku pracy</w:t>
      </w:r>
    </w:p>
    <w:p w14:paraId="51BED54D" w14:textId="3F4BF369" w:rsidR="005D1F37" w:rsidRPr="009F791E" w:rsidRDefault="005D1F37" w:rsidP="009F791E">
      <w:pPr>
        <w:spacing w:line="360" w:lineRule="auto"/>
        <w:jc w:val="both"/>
        <w:rPr>
          <w:rFonts w:ascii="Times New Roman" w:hAnsi="Times New Roman"/>
        </w:rPr>
      </w:pPr>
      <w:r w:rsidRPr="009F791E">
        <w:rPr>
          <w:rFonts w:ascii="Times New Roman" w:hAnsi="Times New Roman"/>
        </w:rPr>
        <w:t>które będą wymagały zgody Ministra Finansów oraz uzyskania przez dysponenta państwowego funduszu celowego opinii sejmowej komisji właściwej do spraw budżetu. Dysponent państwowego funduszu celowego</w:t>
      </w:r>
      <w:r w:rsidR="00440E3D">
        <w:rPr>
          <w:rFonts w:ascii="Times New Roman" w:hAnsi="Times New Roman"/>
        </w:rPr>
        <w:t>,</w:t>
      </w:r>
      <w:r w:rsidRPr="009F791E">
        <w:rPr>
          <w:rFonts w:ascii="Times New Roman" w:hAnsi="Times New Roman"/>
        </w:rPr>
        <w:t xml:space="preserve"> występując do Ministra Finansów o zgodę, o której mowa w ust. 13 pkt 1, przedstawia swoją opinię w sprawie, przy czym w przypadku gdy dysponentem </w:t>
      </w:r>
      <w:r w:rsidRPr="009F791E">
        <w:rPr>
          <w:rFonts w:ascii="Times New Roman" w:hAnsi="Times New Roman"/>
        </w:rPr>
        <w:lastRenderedPageBreak/>
        <w:t>funduszu nie jest minister</w:t>
      </w:r>
      <w:r w:rsidR="00440E3D">
        <w:rPr>
          <w:rFonts w:ascii="Times New Roman" w:hAnsi="Times New Roman"/>
        </w:rPr>
        <w:t>,</w:t>
      </w:r>
      <w:r w:rsidRPr="009F791E">
        <w:rPr>
          <w:rFonts w:ascii="Times New Roman" w:hAnsi="Times New Roman"/>
        </w:rPr>
        <w:t xml:space="preserve"> opinię przedstawia organ nadzorujący dysponenta funduszu, o ile dysponent funduszu posiada taki organ. </w:t>
      </w:r>
    </w:p>
    <w:p w14:paraId="2109CB1C" w14:textId="6954FD1E" w:rsidR="005D1F37" w:rsidRPr="009F791E" w:rsidRDefault="005D1F37" w:rsidP="009F791E">
      <w:pPr>
        <w:spacing w:line="360" w:lineRule="auto"/>
        <w:jc w:val="both"/>
        <w:rPr>
          <w:rFonts w:ascii="Times New Roman" w:hAnsi="Times New Roman"/>
        </w:rPr>
      </w:pPr>
      <w:r w:rsidRPr="009F791E">
        <w:rPr>
          <w:rFonts w:ascii="Times New Roman" w:hAnsi="Times New Roman"/>
        </w:rPr>
        <w:t>W ust. 13 pkt 2 zaproponowano odrębny tryb zmian w tym przesunięć w planie finansowym państwowego funduszu celowego dotyczących środków przeznaczonych na realizację programów finansowanych z udziałem środków, o których mowa w art. 5 ust. 1 pkt 2,</w:t>
      </w:r>
      <w:r w:rsidR="00DF6442" w:rsidRPr="009F791E">
        <w:rPr>
          <w:rFonts w:ascii="Times New Roman" w:hAnsi="Times New Roman"/>
        </w:rPr>
        <w:t xml:space="preserve"> </w:t>
      </w:r>
      <w:r w:rsidRPr="009F791E">
        <w:rPr>
          <w:rFonts w:ascii="Times New Roman" w:hAnsi="Times New Roman"/>
        </w:rPr>
        <w:t>w którym wymagana jest zgoda Ministra Finansów.</w:t>
      </w:r>
    </w:p>
    <w:p w14:paraId="13186301" w14:textId="77777777" w:rsidR="005D1F37" w:rsidRPr="009F791E" w:rsidRDefault="005D1F37" w:rsidP="009F791E">
      <w:pPr>
        <w:keepNext/>
        <w:keepLines/>
        <w:spacing w:line="360" w:lineRule="auto"/>
        <w:jc w:val="both"/>
        <w:rPr>
          <w:rFonts w:ascii="Times New Roman" w:hAnsi="Times New Roman"/>
          <w:b/>
        </w:rPr>
      </w:pPr>
      <w:bookmarkStart w:id="7" w:name="_Hlk166833846"/>
      <w:r w:rsidRPr="009F791E">
        <w:rPr>
          <w:rFonts w:ascii="Times New Roman" w:hAnsi="Times New Roman"/>
          <w:b/>
        </w:rPr>
        <w:t>Zmiana brzmienia art. 30</w:t>
      </w:r>
      <w:bookmarkEnd w:id="7"/>
      <w:r w:rsidRPr="009F791E">
        <w:rPr>
          <w:rFonts w:ascii="Times New Roman" w:hAnsi="Times New Roman"/>
          <w:b/>
        </w:rPr>
        <w:t xml:space="preserve"> i uchylenie art. 31</w:t>
      </w:r>
    </w:p>
    <w:p w14:paraId="36445782" w14:textId="3BCF8A2B" w:rsidR="005D1F37" w:rsidRPr="009F791E" w:rsidRDefault="00024D6C" w:rsidP="009F791E">
      <w:pPr>
        <w:spacing w:line="360" w:lineRule="auto"/>
        <w:jc w:val="both"/>
        <w:rPr>
          <w:rFonts w:ascii="Times New Roman" w:hAnsi="Times New Roman"/>
        </w:rPr>
      </w:pPr>
      <w:r w:rsidRPr="009F791E">
        <w:rPr>
          <w:rFonts w:ascii="Times New Roman" w:hAnsi="Times New Roman"/>
        </w:rPr>
        <w:t>W związku z włączeniem do zakresu SRW państwowych osób prawnych, których plany są załącznikami do ustawy budżetowej</w:t>
      </w:r>
      <w:r w:rsidR="00440E3D">
        <w:rPr>
          <w:rFonts w:ascii="Times New Roman" w:hAnsi="Times New Roman"/>
        </w:rPr>
        <w:t>,</w:t>
      </w:r>
      <w:r w:rsidRPr="009F791E">
        <w:rPr>
          <w:rFonts w:ascii="Times New Roman" w:hAnsi="Times New Roman"/>
        </w:rPr>
        <w:t xml:space="preserve"> konieczne stało się zmodyfikowanie brzmienia art. 30 i w konsekwencji tych modyfikacji uchylenie art. 31. Podkreślenia wymaga w tym miejscu, że zmienione brzmienie art. 30 nie wywołuje zmian merytorycznych w odniesieniu do</w:t>
      </w:r>
      <w:r w:rsidR="00B505A1">
        <w:rPr>
          <w:rFonts w:ascii="Times New Roman" w:hAnsi="Times New Roman"/>
        </w:rPr>
        <w:t xml:space="preserve"> </w:t>
      </w:r>
      <w:r w:rsidRPr="009F791E">
        <w:rPr>
          <w:rFonts w:ascii="Times New Roman" w:hAnsi="Times New Roman"/>
        </w:rPr>
        <w:t xml:space="preserve">samorządowych osób prawnych (zmieniona redakcja przepisów – zmiany mają wyłącznie charakter doprecyzowujący). </w:t>
      </w:r>
    </w:p>
    <w:p w14:paraId="388F4D89" w14:textId="77777777" w:rsidR="005D1F37" w:rsidRPr="009F791E" w:rsidRDefault="005D1F37" w:rsidP="009F791E">
      <w:pPr>
        <w:spacing w:line="360" w:lineRule="auto"/>
        <w:jc w:val="both"/>
        <w:rPr>
          <w:rFonts w:ascii="Times New Roman" w:hAnsi="Times New Roman"/>
          <w:b/>
          <w:bCs/>
        </w:rPr>
      </w:pPr>
      <w:r w:rsidRPr="009F791E">
        <w:rPr>
          <w:rFonts w:ascii="Times New Roman" w:hAnsi="Times New Roman"/>
          <w:b/>
          <w:bCs/>
        </w:rPr>
        <w:t>Nowe brzmienie art. 30:</w:t>
      </w:r>
    </w:p>
    <w:p w14:paraId="6C9E4015" w14:textId="4F345DF2" w:rsidR="005D1F37" w:rsidRPr="009F791E" w:rsidRDefault="005D1F37" w:rsidP="009F791E">
      <w:pPr>
        <w:pStyle w:val="Akapitzlist"/>
        <w:numPr>
          <w:ilvl w:val="0"/>
          <w:numId w:val="27"/>
        </w:numPr>
        <w:spacing w:after="160" w:line="360" w:lineRule="auto"/>
        <w:jc w:val="both"/>
        <w:rPr>
          <w:rFonts w:ascii="Times New Roman" w:hAnsi="Times New Roman"/>
        </w:rPr>
      </w:pPr>
      <w:r w:rsidRPr="009F791E">
        <w:rPr>
          <w:rFonts w:ascii="Times New Roman" w:hAnsi="Times New Roman"/>
        </w:rPr>
        <w:t>art. 30 w nowym brzmieniu stanowi przepis odnoszący się do państwowych i</w:t>
      </w:r>
      <w:r w:rsidR="00DF6442" w:rsidRPr="009F791E">
        <w:rPr>
          <w:rFonts w:ascii="Times New Roman" w:hAnsi="Times New Roman"/>
        </w:rPr>
        <w:t> </w:t>
      </w:r>
      <w:r w:rsidRPr="009F791E">
        <w:rPr>
          <w:rFonts w:ascii="Times New Roman" w:hAnsi="Times New Roman"/>
        </w:rPr>
        <w:t>samorządowych osób prawnych tworzonych na podstawie odrębnych ustaw. Przepis zawiera jednocześnie regulacje o charakterze szczególnym odnoszące się bezpośrednio do państwowych osób prawnych, o których mowa w art. 9 pkt 8 i 14,</w:t>
      </w:r>
    </w:p>
    <w:p w14:paraId="0E0D5221" w14:textId="50F081C1" w:rsidR="005D1F37" w:rsidRPr="009F791E" w:rsidRDefault="005D1F37" w:rsidP="009F791E">
      <w:pPr>
        <w:pStyle w:val="Akapitzlist"/>
        <w:numPr>
          <w:ilvl w:val="0"/>
          <w:numId w:val="27"/>
        </w:numPr>
        <w:spacing w:line="360" w:lineRule="auto"/>
        <w:jc w:val="both"/>
        <w:rPr>
          <w:rFonts w:ascii="Times New Roman" w:hAnsi="Times New Roman"/>
        </w:rPr>
      </w:pPr>
      <w:r w:rsidRPr="009F791E">
        <w:rPr>
          <w:rFonts w:ascii="Times New Roman" w:hAnsi="Times New Roman"/>
        </w:rPr>
        <w:t>w ust. 2 doprecyzowano wprowadzenie do wyliczenia, wskazując, że państwowe i samorządowe osoby prawne wyodrębniają w planach finansowych „w szczególności” wymienione pozycje. Przepis ma na celu określenie obligatoryjnych dla wszystkich jednostek elementów planu, wskazując jednocześnie, że zawartość rocznego planu finansowego ww. jednostek nie stanowi katalogu zamkniętego – tj. plan może obejmować również inne pozycje niż wymienione w tym przepisie. Ponadto zaproponowano doprecyzowanie dotyczące ust. 2 pkt 3. W lit. a użyto sformułowania „uposażenia i wynagrodzenia ze stosunku pracy oraz składki od nich naliczane”,</w:t>
      </w:r>
    </w:p>
    <w:p w14:paraId="30147011" w14:textId="00291CD5" w:rsidR="005D1F37" w:rsidRPr="009F791E" w:rsidRDefault="005D1F37" w:rsidP="009F791E">
      <w:pPr>
        <w:pStyle w:val="Akapitzlist"/>
        <w:numPr>
          <w:ilvl w:val="0"/>
          <w:numId w:val="26"/>
        </w:numPr>
        <w:spacing w:line="360" w:lineRule="auto"/>
        <w:jc w:val="both"/>
        <w:rPr>
          <w:rFonts w:ascii="Times New Roman" w:hAnsi="Times New Roman"/>
        </w:rPr>
      </w:pPr>
      <w:r w:rsidRPr="009F791E">
        <w:rPr>
          <w:rFonts w:ascii="Times New Roman" w:hAnsi="Times New Roman"/>
        </w:rPr>
        <w:t>w ust. 4 z uwagi na objęcie państwowych osób prawnych, o których mowa w art. 9 pkt</w:t>
      </w:r>
      <w:r w:rsidR="008B155F">
        <w:rPr>
          <w:rFonts w:ascii="Times New Roman" w:hAnsi="Times New Roman"/>
        </w:rPr>
        <w:t> </w:t>
      </w:r>
      <w:r w:rsidRPr="009F791E">
        <w:rPr>
          <w:rFonts w:ascii="Times New Roman" w:hAnsi="Times New Roman"/>
        </w:rPr>
        <w:t>8 i 14 SRW, uregulowano obowiązek sporządzania w ramach planu finansowego tych jednostek planu dochodów i wydatków (układ kasowy).Tym samym ujednolicono</w:t>
      </w:r>
      <w:r w:rsidR="00B505A1">
        <w:rPr>
          <w:rFonts w:ascii="Times New Roman" w:hAnsi="Times New Roman"/>
        </w:rPr>
        <w:t xml:space="preserve"> </w:t>
      </w:r>
      <w:r w:rsidRPr="009F791E">
        <w:rPr>
          <w:rFonts w:ascii="Times New Roman" w:hAnsi="Times New Roman"/>
        </w:rPr>
        <w:t>wymagania we wszystkich jednostkach (państwowych osobach prawnych, agencjach wykonawczych, instytucjach gospodarki budżetowej, państwowych funduszach celowych) w zakresie sporządzania planów finansowych,</w:t>
      </w:r>
    </w:p>
    <w:p w14:paraId="1B1BF8DF" w14:textId="77777777" w:rsidR="005D1F37" w:rsidRPr="009F791E" w:rsidRDefault="005D1F37" w:rsidP="009F791E">
      <w:pPr>
        <w:pStyle w:val="Akapitzlist"/>
        <w:numPr>
          <w:ilvl w:val="0"/>
          <w:numId w:val="26"/>
        </w:numPr>
        <w:spacing w:after="160" w:line="360" w:lineRule="auto"/>
        <w:jc w:val="both"/>
        <w:rPr>
          <w:rFonts w:ascii="Times New Roman" w:hAnsi="Times New Roman"/>
        </w:rPr>
      </w:pPr>
      <w:r w:rsidRPr="009F791E">
        <w:rPr>
          <w:rFonts w:ascii="Times New Roman" w:hAnsi="Times New Roman"/>
        </w:rPr>
        <w:lastRenderedPageBreak/>
        <w:t>w ust. 5 uregulowano obowiązek przekazywania Ministrowi Finansów projektów planów finansowych (w trybie i terminach określonych w przepisach dotyczących prac nad projektem ustawy budżetowej),</w:t>
      </w:r>
    </w:p>
    <w:p w14:paraId="1B273B6F" w14:textId="7262F942" w:rsidR="005D1F37" w:rsidRPr="009F791E" w:rsidRDefault="005D1F37" w:rsidP="009F791E">
      <w:pPr>
        <w:pStyle w:val="Akapitzlist"/>
        <w:numPr>
          <w:ilvl w:val="0"/>
          <w:numId w:val="26"/>
        </w:numPr>
        <w:spacing w:line="360" w:lineRule="auto"/>
        <w:jc w:val="both"/>
        <w:rPr>
          <w:rFonts w:ascii="Times New Roman" w:hAnsi="Times New Roman"/>
        </w:rPr>
      </w:pPr>
      <w:r w:rsidRPr="009F791E">
        <w:rPr>
          <w:rFonts w:ascii="Times New Roman" w:hAnsi="Times New Roman"/>
        </w:rPr>
        <w:t xml:space="preserve">w ust. 6 uwzględniono możliwość dokonywania, za zgodą organu sprawującego nadzór nad państwową osobą prawną lub organu, któremu państwowa osoba prawna podlega, zmian przychodów i kosztów lub dochodów i wydatków, w tym przesunięcia pomiędzy ich poszczególnymi pozycjami w ramach łącznych kwot, jeżeli nie spowodują one zwiększenia zobowiązań państwowej osoby prawnej </w:t>
      </w:r>
      <w:r w:rsidR="00E02309" w:rsidRPr="009F791E">
        <w:rPr>
          <w:rFonts w:ascii="Times New Roman" w:hAnsi="Times New Roman"/>
        </w:rPr>
        <w:t>lub</w:t>
      </w:r>
      <w:r w:rsidR="00A81139" w:rsidRPr="009F791E">
        <w:rPr>
          <w:rFonts w:ascii="Times New Roman" w:hAnsi="Times New Roman"/>
        </w:rPr>
        <w:t xml:space="preserve"> </w:t>
      </w:r>
      <w:r w:rsidRPr="009F791E">
        <w:rPr>
          <w:rFonts w:ascii="Times New Roman" w:hAnsi="Times New Roman"/>
        </w:rPr>
        <w:t xml:space="preserve">pogorszenia planowanego wyniku finansowego brutto państwowej osoby prawnej. O zmianach tych należy poinformować Ministra Finansów. </w:t>
      </w:r>
    </w:p>
    <w:p w14:paraId="4B1FE28C" w14:textId="1C44B967" w:rsidR="005D1F37" w:rsidRPr="009F791E" w:rsidRDefault="005D1F37" w:rsidP="009F791E">
      <w:pPr>
        <w:pStyle w:val="Akapitzlist"/>
        <w:spacing w:line="360" w:lineRule="auto"/>
        <w:jc w:val="both"/>
        <w:rPr>
          <w:rFonts w:ascii="Times New Roman" w:hAnsi="Times New Roman"/>
        </w:rPr>
      </w:pPr>
      <w:r w:rsidRPr="009F791E">
        <w:rPr>
          <w:rFonts w:ascii="Times New Roman" w:hAnsi="Times New Roman"/>
        </w:rPr>
        <w:t xml:space="preserve">Zaproponowano ponadto </w:t>
      </w:r>
      <w:r w:rsidR="00A81139" w:rsidRPr="009F791E">
        <w:rPr>
          <w:rFonts w:ascii="Times New Roman" w:hAnsi="Times New Roman"/>
        </w:rPr>
        <w:t>odrębne rozwiązanie</w:t>
      </w:r>
      <w:r w:rsidR="00B505A1">
        <w:rPr>
          <w:rFonts w:ascii="Times New Roman" w:hAnsi="Times New Roman"/>
        </w:rPr>
        <w:t xml:space="preserve"> </w:t>
      </w:r>
      <w:r w:rsidR="00A81139" w:rsidRPr="009F791E">
        <w:rPr>
          <w:rFonts w:ascii="Times New Roman" w:hAnsi="Times New Roman"/>
        </w:rPr>
        <w:t>do zmian w planach finansowych</w:t>
      </w:r>
      <w:r w:rsidRPr="009F791E">
        <w:rPr>
          <w:rFonts w:ascii="Times New Roman" w:hAnsi="Times New Roman"/>
        </w:rPr>
        <w:t xml:space="preserve"> państwowych osób prawnych, o których mowa w art. 9 pkt 8 i 14</w:t>
      </w:r>
      <w:r w:rsidR="00440E3D">
        <w:rPr>
          <w:rFonts w:ascii="Times New Roman" w:hAnsi="Times New Roman"/>
        </w:rPr>
        <w:t>,</w:t>
      </w:r>
      <w:r w:rsidRPr="009F791E">
        <w:rPr>
          <w:rFonts w:ascii="Times New Roman" w:hAnsi="Times New Roman"/>
        </w:rPr>
        <w:t xml:space="preserve"> powodujących zwiększenie:</w:t>
      </w:r>
    </w:p>
    <w:p w14:paraId="2142EACE" w14:textId="77777777" w:rsidR="005D1F37" w:rsidRPr="009F791E" w:rsidRDefault="005D1F37" w:rsidP="009F791E">
      <w:pPr>
        <w:pStyle w:val="Akapitzlist"/>
        <w:numPr>
          <w:ilvl w:val="0"/>
          <w:numId w:val="29"/>
        </w:numPr>
        <w:spacing w:line="360" w:lineRule="auto"/>
        <w:jc w:val="both"/>
        <w:rPr>
          <w:rFonts w:ascii="Times New Roman" w:hAnsi="Times New Roman"/>
        </w:rPr>
      </w:pPr>
      <w:r w:rsidRPr="009F791E">
        <w:rPr>
          <w:rFonts w:ascii="Times New Roman" w:hAnsi="Times New Roman"/>
        </w:rPr>
        <w:t>łącznych kwot przychodów i kosztów lub łącznych kwot dochodów i wydatków,</w:t>
      </w:r>
    </w:p>
    <w:p w14:paraId="1F36A16D" w14:textId="77777777" w:rsidR="005D1F37" w:rsidRPr="009F791E" w:rsidRDefault="005D1F37" w:rsidP="009F791E">
      <w:pPr>
        <w:pStyle w:val="Akapitzlist"/>
        <w:numPr>
          <w:ilvl w:val="0"/>
          <w:numId w:val="29"/>
        </w:numPr>
        <w:spacing w:line="360" w:lineRule="auto"/>
        <w:jc w:val="both"/>
        <w:rPr>
          <w:rFonts w:ascii="Times New Roman" w:hAnsi="Times New Roman"/>
        </w:rPr>
      </w:pPr>
      <w:r w:rsidRPr="009F791E">
        <w:rPr>
          <w:rFonts w:ascii="Times New Roman" w:hAnsi="Times New Roman"/>
        </w:rPr>
        <w:t xml:space="preserve">planowanych wydatków ponad planowane dochody, z uwzględnieniem możliwości wykorzystania środków pieniężnych pozostających w dyspozycji państwowej osoby prawnej z poprzednich okresów, </w:t>
      </w:r>
    </w:p>
    <w:p w14:paraId="0DDB9C1B" w14:textId="77777777" w:rsidR="005D1F37" w:rsidRPr="009F791E" w:rsidRDefault="005D1F37" w:rsidP="009F791E">
      <w:pPr>
        <w:pStyle w:val="Akapitzlist"/>
        <w:numPr>
          <w:ilvl w:val="0"/>
          <w:numId w:val="29"/>
        </w:numPr>
        <w:spacing w:after="160" w:line="360" w:lineRule="auto"/>
        <w:rPr>
          <w:rFonts w:ascii="Times New Roman" w:hAnsi="Times New Roman"/>
        </w:rPr>
      </w:pPr>
      <w:r w:rsidRPr="009F791E">
        <w:rPr>
          <w:rFonts w:ascii="Times New Roman" w:hAnsi="Times New Roman"/>
        </w:rPr>
        <w:t>dotacji z budżetu państwa,</w:t>
      </w:r>
    </w:p>
    <w:p w14:paraId="3D00728E" w14:textId="098395DE" w:rsidR="005D1F37" w:rsidRPr="009F791E" w:rsidRDefault="005D1F37" w:rsidP="009F791E">
      <w:pPr>
        <w:pStyle w:val="Akapitzlist"/>
        <w:numPr>
          <w:ilvl w:val="0"/>
          <w:numId w:val="29"/>
        </w:numPr>
        <w:spacing w:line="360" w:lineRule="auto"/>
        <w:jc w:val="both"/>
        <w:rPr>
          <w:rFonts w:ascii="Times New Roman" w:hAnsi="Times New Roman"/>
        </w:rPr>
      </w:pPr>
      <w:r w:rsidRPr="009F791E">
        <w:rPr>
          <w:rFonts w:ascii="Times New Roman" w:hAnsi="Times New Roman"/>
        </w:rPr>
        <w:t>uposażeń i wynagrodzeń ze stosunku pracy</w:t>
      </w:r>
    </w:p>
    <w:p w14:paraId="4B82CD96" w14:textId="2870F85F" w:rsidR="005D1F37" w:rsidRPr="009F791E" w:rsidRDefault="005D1F37" w:rsidP="009F791E">
      <w:pPr>
        <w:spacing w:line="360" w:lineRule="auto"/>
        <w:ind w:left="708"/>
        <w:jc w:val="both"/>
        <w:rPr>
          <w:rFonts w:ascii="Times New Roman" w:hAnsi="Times New Roman"/>
        </w:rPr>
      </w:pPr>
      <w:r w:rsidRPr="009F791E">
        <w:rPr>
          <w:rFonts w:ascii="Times New Roman" w:hAnsi="Times New Roman"/>
        </w:rPr>
        <w:t>które będą wymagały zgody Ministra Finansów i następnie uzyskania przez organ sprawujący nadzór nad państwową osobą prawną lub organ, któremu państwowa osoba prawna podlega</w:t>
      </w:r>
      <w:r w:rsidR="00440E3D">
        <w:rPr>
          <w:rFonts w:ascii="Times New Roman" w:hAnsi="Times New Roman"/>
        </w:rPr>
        <w:t>,</w:t>
      </w:r>
      <w:r w:rsidRPr="009F791E">
        <w:rPr>
          <w:rFonts w:ascii="Times New Roman" w:hAnsi="Times New Roman"/>
        </w:rPr>
        <w:t xml:space="preserve"> opinii komisji sejmowej właściwej do spraw budżetu. W ust. </w:t>
      </w:r>
      <w:r w:rsidR="004B3B21" w:rsidRPr="009F791E">
        <w:rPr>
          <w:rFonts w:ascii="Times New Roman" w:hAnsi="Times New Roman"/>
        </w:rPr>
        <w:t xml:space="preserve">8 </w:t>
      </w:r>
      <w:r w:rsidRPr="009F791E">
        <w:rPr>
          <w:rFonts w:ascii="Times New Roman" w:hAnsi="Times New Roman"/>
        </w:rPr>
        <w:t xml:space="preserve">wskazano, że występując o zgodę, opisaną w ust. </w:t>
      </w:r>
      <w:r w:rsidR="004B3B21" w:rsidRPr="009F791E">
        <w:rPr>
          <w:rFonts w:ascii="Times New Roman" w:hAnsi="Times New Roman"/>
        </w:rPr>
        <w:t xml:space="preserve">7 </w:t>
      </w:r>
      <w:r w:rsidRPr="009F791E">
        <w:rPr>
          <w:rFonts w:ascii="Times New Roman" w:hAnsi="Times New Roman"/>
        </w:rPr>
        <w:t>pkt 2</w:t>
      </w:r>
      <w:r w:rsidR="00EA3A4B" w:rsidRPr="009F791E">
        <w:rPr>
          <w:rFonts w:ascii="Times New Roman" w:hAnsi="Times New Roman"/>
        </w:rPr>
        <w:t>,</w:t>
      </w:r>
      <w:r w:rsidRPr="009F791E">
        <w:rPr>
          <w:rFonts w:ascii="Times New Roman" w:hAnsi="Times New Roman"/>
        </w:rPr>
        <w:t xml:space="preserve"> organ sprawujący nadzór nad państwową osobą prawną lub organ, któremu państwowa osoba prawna podlega</w:t>
      </w:r>
      <w:r w:rsidR="00440E3D">
        <w:rPr>
          <w:rFonts w:ascii="Times New Roman" w:hAnsi="Times New Roman"/>
        </w:rPr>
        <w:t>,</w:t>
      </w:r>
      <w:r w:rsidRPr="009F791E">
        <w:rPr>
          <w:rFonts w:ascii="Times New Roman" w:hAnsi="Times New Roman"/>
        </w:rPr>
        <w:t xml:space="preserve"> przedstawia Ministrowi Finansów swoją opinię w sprawie.</w:t>
      </w:r>
    </w:p>
    <w:p w14:paraId="615FA833" w14:textId="131D1E5B" w:rsidR="00CE1F2E" w:rsidRPr="00FF3CE2" w:rsidRDefault="005D1F37" w:rsidP="00FF3CE2">
      <w:pPr>
        <w:pStyle w:val="Akapitzlist"/>
        <w:spacing w:line="360" w:lineRule="auto"/>
        <w:jc w:val="both"/>
        <w:rPr>
          <w:rFonts w:ascii="Times New Roman" w:hAnsi="Times New Roman"/>
        </w:rPr>
      </w:pPr>
      <w:r w:rsidRPr="009F791E">
        <w:rPr>
          <w:rFonts w:ascii="Times New Roman" w:hAnsi="Times New Roman"/>
        </w:rPr>
        <w:t>W ust. 6 pkt 3 zaproponowano odrębny tryb zmian, w tym przesunięć w planach finansowych państwowych osób prawnych, o których mowa w art. 9 pkt 8 i 14</w:t>
      </w:r>
      <w:r w:rsidR="00EA3A4B" w:rsidRPr="009F791E">
        <w:rPr>
          <w:rFonts w:ascii="Times New Roman" w:hAnsi="Times New Roman"/>
        </w:rPr>
        <w:t>,</w:t>
      </w:r>
      <w:r w:rsidRPr="009F791E">
        <w:rPr>
          <w:rFonts w:ascii="Times New Roman" w:hAnsi="Times New Roman"/>
        </w:rPr>
        <w:t xml:space="preserve"> dotyczących środków przeznaczonych na realizację programów finansowanych z udziałem środków, o których mowa w art. 5 ust. 1 pkt 2, w którym wymagana jest zgoda</w:t>
      </w:r>
      <w:r w:rsidR="00B14E8D" w:rsidRPr="009F791E">
        <w:rPr>
          <w:rFonts w:ascii="Times New Roman" w:hAnsi="Times New Roman"/>
        </w:rPr>
        <w:t xml:space="preserve"> </w:t>
      </w:r>
      <w:r w:rsidRPr="009F791E">
        <w:rPr>
          <w:rFonts w:ascii="Times New Roman" w:hAnsi="Times New Roman"/>
        </w:rPr>
        <w:t>organu sprawującego nadzór nad państwową osobą prawną lub organu, któremu państwowa osoba prawna podlega, wydana w porozumieniu z Ministrem Finansów.</w:t>
      </w:r>
    </w:p>
    <w:p w14:paraId="08E63D84" w14:textId="77777777" w:rsidR="005D1F37" w:rsidRPr="009F791E" w:rsidRDefault="005D1F37" w:rsidP="009F791E">
      <w:pPr>
        <w:spacing w:line="360" w:lineRule="auto"/>
        <w:jc w:val="both"/>
        <w:rPr>
          <w:rFonts w:ascii="Times New Roman" w:hAnsi="Times New Roman"/>
        </w:rPr>
      </w:pPr>
      <w:r w:rsidRPr="009F791E">
        <w:rPr>
          <w:rFonts w:ascii="Times New Roman" w:hAnsi="Times New Roman"/>
          <w:bCs/>
        </w:rPr>
        <w:t xml:space="preserve">Zmiana brzmienia art. 30 powoduje, że zachowanie w mocy przepisu art. 31 jest bezprzedmiotowe. </w:t>
      </w:r>
    </w:p>
    <w:p w14:paraId="42851270" w14:textId="3E683C6F" w:rsidR="005D1F37" w:rsidRPr="009F791E" w:rsidRDefault="005D1F37" w:rsidP="00440E3D">
      <w:pPr>
        <w:keepNext/>
        <w:keepLines/>
        <w:spacing w:line="360" w:lineRule="auto"/>
        <w:jc w:val="both"/>
        <w:rPr>
          <w:rFonts w:ascii="Times New Roman" w:hAnsi="Times New Roman"/>
          <w:b/>
          <w:bCs/>
        </w:rPr>
      </w:pPr>
      <w:r w:rsidRPr="009F791E">
        <w:rPr>
          <w:rFonts w:ascii="Times New Roman" w:hAnsi="Times New Roman"/>
          <w:b/>
          <w:bCs/>
        </w:rPr>
        <w:lastRenderedPageBreak/>
        <w:t>Zmiana brzmienia w art. 41 w ust. 2 w pkt 1lit.i oraz dodanie lit. k</w:t>
      </w:r>
    </w:p>
    <w:p w14:paraId="406A079D" w14:textId="3FE339C7" w:rsidR="005D1F37" w:rsidRPr="009F791E" w:rsidRDefault="005D1F37" w:rsidP="009F791E">
      <w:pPr>
        <w:spacing w:line="360" w:lineRule="auto"/>
        <w:jc w:val="both"/>
        <w:rPr>
          <w:rFonts w:ascii="Times New Roman" w:hAnsi="Times New Roman"/>
        </w:rPr>
      </w:pPr>
      <w:r w:rsidRPr="009F791E">
        <w:rPr>
          <w:rFonts w:ascii="Times New Roman" w:hAnsi="Times New Roman"/>
        </w:rPr>
        <w:t>Zmiana w lit.</w:t>
      </w:r>
      <w:r w:rsidR="001050C9" w:rsidRPr="009F791E">
        <w:rPr>
          <w:rFonts w:ascii="Times New Roman" w:hAnsi="Times New Roman"/>
        </w:rPr>
        <w:t xml:space="preserve"> </w:t>
      </w:r>
      <w:r w:rsidRPr="009F791E">
        <w:rPr>
          <w:rFonts w:ascii="Times New Roman" w:hAnsi="Times New Roman"/>
        </w:rPr>
        <w:t>i polega na doprecyzowaniu, że do składania sprawozdań z wykonania planów finansowych zobowiązane są także Zakład Ubezpieczeń Społecznych i zarządzane przez niego fundusze oraz Kasa Rolniczego Ubezpieczenia Społecznego i fundusze zarządzane przez Prezesa Kasy Rolniczego Ubezpieczenia Społecznego, o których mowa w art. 9 pkt 8. Dodanie regulacji w lit. k odnoszącej się do państwowych osób prawnych, o których mowa w art. 9 pkt 14</w:t>
      </w:r>
      <w:r w:rsidR="00DF6442" w:rsidRPr="009F791E">
        <w:rPr>
          <w:rFonts w:ascii="Times New Roman" w:hAnsi="Times New Roman"/>
        </w:rPr>
        <w:t>,</w:t>
      </w:r>
      <w:r w:rsidRPr="009F791E">
        <w:rPr>
          <w:rFonts w:ascii="Times New Roman" w:hAnsi="Times New Roman"/>
        </w:rPr>
        <w:t xml:space="preserve"> jest konsekwencją rozszerzenia zakresu podmiotów objętych SRW. Realizacja obowiązków sprawozdawczych przez większy krąg podmiotów spowoduje, że zwiększy się liczba ogólnie dostępnych informacji o sytuacji finansowej poszczególnych jednostek. Proponowana zmiana przyczyni się do zwiększenia transparentności i przejrzystości finansów publicznych.</w:t>
      </w:r>
    </w:p>
    <w:p w14:paraId="72D02DDF" w14:textId="77777777" w:rsidR="005D1F37" w:rsidRPr="009F791E" w:rsidRDefault="005D1F37" w:rsidP="009F791E">
      <w:pPr>
        <w:spacing w:line="360" w:lineRule="auto"/>
        <w:jc w:val="both"/>
        <w:rPr>
          <w:rFonts w:ascii="Times New Roman" w:hAnsi="Times New Roman"/>
          <w:b/>
          <w:bCs/>
        </w:rPr>
      </w:pPr>
      <w:r w:rsidRPr="009F791E">
        <w:rPr>
          <w:rFonts w:ascii="Times New Roman" w:hAnsi="Times New Roman"/>
          <w:b/>
          <w:bCs/>
        </w:rPr>
        <w:t>Zmiana brzmienia art. 122</w:t>
      </w:r>
      <w:r w:rsidRPr="009F791E">
        <w:rPr>
          <w:rFonts w:ascii="Times New Roman" w:hAnsi="Times New Roman"/>
        </w:rPr>
        <w:t xml:space="preserve"> </w:t>
      </w:r>
      <w:r w:rsidRPr="009F791E">
        <w:rPr>
          <w:rFonts w:ascii="Times New Roman" w:hAnsi="Times New Roman"/>
          <w:b/>
          <w:bCs/>
        </w:rPr>
        <w:t>w ust. 1 w pkt 1. lit. d</w:t>
      </w:r>
    </w:p>
    <w:p w14:paraId="07E08DAA" w14:textId="4015CCD8" w:rsidR="00631540" w:rsidRPr="009F791E" w:rsidRDefault="005D1F37" w:rsidP="009F791E">
      <w:pPr>
        <w:spacing w:line="360" w:lineRule="auto"/>
        <w:jc w:val="both"/>
        <w:rPr>
          <w:rFonts w:ascii="Times New Roman" w:hAnsi="Times New Roman"/>
        </w:rPr>
      </w:pPr>
      <w:r w:rsidRPr="009F791E">
        <w:rPr>
          <w:rFonts w:ascii="Times New Roman" w:hAnsi="Times New Roman"/>
        </w:rPr>
        <w:t xml:space="preserve">Zmiana w ust. 1 w pkt 1 lit. d polega na dookreśleniu, że w załącznikach do ustawy budżetowej zamieszcza się plany finansowe państwowych osób prawnych, o których mowa w art. 9 pkt 8 i 14. Sankcjonuje </w:t>
      </w:r>
      <w:r w:rsidR="00631540" w:rsidRPr="009F791E">
        <w:rPr>
          <w:rFonts w:ascii="Times New Roman" w:hAnsi="Times New Roman"/>
        </w:rPr>
        <w:t xml:space="preserve">ona </w:t>
      </w:r>
      <w:r w:rsidRPr="009F791E">
        <w:rPr>
          <w:rFonts w:ascii="Times New Roman" w:hAnsi="Times New Roman"/>
        </w:rPr>
        <w:t>obowiązek w odniesieniu do Zakładu Ubezpieczeń Społecznych, który de facto ZUS już wykonuje</w:t>
      </w:r>
      <w:r w:rsidR="00631540" w:rsidRPr="009F791E">
        <w:rPr>
          <w:rFonts w:ascii="Times New Roman" w:hAnsi="Times New Roman"/>
        </w:rPr>
        <w:t xml:space="preserve"> oraz uwzględnia dodatkowo zarządzane przez ZUS i KRUS fundusze posiadające status państwowych osób prawnych.</w:t>
      </w:r>
    </w:p>
    <w:p w14:paraId="0D1002AE" w14:textId="77777777" w:rsidR="005D1F37" w:rsidRPr="009F791E" w:rsidRDefault="005D1F37" w:rsidP="009F791E">
      <w:pPr>
        <w:spacing w:line="360" w:lineRule="auto"/>
        <w:jc w:val="both"/>
        <w:rPr>
          <w:rFonts w:ascii="Times New Roman" w:hAnsi="Times New Roman"/>
          <w:b/>
          <w:bCs/>
        </w:rPr>
      </w:pPr>
      <w:bookmarkStart w:id="8" w:name="_Hlk166833979"/>
      <w:r w:rsidRPr="009F791E">
        <w:rPr>
          <w:rFonts w:ascii="Times New Roman" w:hAnsi="Times New Roman"/>
          <w:b/>
          <w:bCs/>
        </w:rPr>
        <w:t>Zmiana brzmienia art. 123</w:t>
      </w:r>
    </w:p>
    <w:bookmarkEnd w:id="8"/>
    <w:p w14:paraId="61CB48AF" w14:textId="45FE9FC2" w:rsidR="00631540" w:rsidRPr="009F791E" w:rsidRDefault="00631540" w:rsidP="009F791E">
      <w:pPr>
        <w:spacing w:line="360" w:lineRule="auto"/>
        <w:jc w:val="both"/>
        <w:rPr>
          <w:rFonts w:ascii="Times New Roman" w:hAnsi="Times New Roman"/>
        </w:rPr>
      </w:pPr>
      <w:r w:rsidRPr="009F791E">
        <w:rPr>
          <w:rFonts w:ascii="Times New Roman" w:hAnsi="Times New Roman"/>
        </w:rPr>
        <w:t>Zmienione brzmienie art. 21, art. 24, art. 29 i art. 30 i uregulowanie w nich zakresu danych, które będą zawierały plany finansowe poszczególnych jednostek</w:t>
      </w:r>
      <w:r w:rsidR="00132446">
        <w:rPr>
          <w:rFonts w:ascii="Times New Roman" w:hAnsi="Times New Roman"/>
        </w:rPr>
        <w:t>,</w:t>
      </w:r>
      <w:r w:rsidRPr="009F791E">
        <w:rPr>
          <w:rFonts w:ascii="Times New Roman" w:hAnsi="Times New Roman"/>
        </w:rPr>
        <w:t xml:space="preserve"> implikuje konieczność nadania art. 123 nowego brzmienia. </w:t>
      </w:r>
    </w:p>
    <w:p w14:paraId="472DDB5F" w14:textId="77777777" w:rsidR="005D1F37" w:rsidRPr="009F791E" w:rsidRDefault="005D1F37" w:rsidP="009F791E">
      <w:pPr>
        <w:spacing w:line="360" w:lineRule="auto"/>
        <w:jc w:val="both"/>
        <w:rPr>
          <w:rFonts w:ascii="Times New Roman" w:hAnsi="Times New Roman"/>
          <w:b/>
          <w:bCs/>
        </w:rPr>
      </w:pPr>
      <w:r w:rsidRPr="009F791E">
        <w:rPr>
          <w:rFonts w:ascii="Times New Roman" w:hAnsi="Times New Roman"/>
          <w:b/>
          <w:bCs/>
        </w:rPr>
        <w:t>Zmiana brzmienia art. 182</w:t>
      </w:r>
      <w:r w:rsidRPr="009F791E">
        <w:rPr>
          <w:rFonts w:ascii="Times New Roman" w:hAnsi="Times New Roman"/>
        </w:rPr>
        <w:t xml:space="preserve"> </w:t>
      </w:r>
      <w:r w:rsidRPr="009F791E">
        <w:rPr>
          <w:rFonts w:ascii="Times New Roman" w:hAnsi="Times New Roman"/>
          <w:b/>
          <w:bCs/>
        </w:rPr>
        <w:t>w ust. 3 pkt 6</w:t>
      </w:r>
    </w:p>
    <w:p w14:paraId="24A81D7E" w14:textId="30D58F3D" w:rsidR="00631540" w:rsidRPr="009F791E" w:rsidRDefault="005D1F37" w:rsidP="009F791E">
      <w:pPr>
        <w:spacing w:line="360" w:lineRule="auto"/>
        <w:jc w:val="both"/>
        <w:rPr>
          <w:rFonts w:ascii="Times New Roman" w:hAnsi="Times New Roman"/>
        </w:rPr>
      </w:pPr>
      <w:r w:rsidRPr="009F791E">
        <w:rPr>
          <w:rFonts w:ascii="Times New Roman" w:hAnsi="Times New Roman"/>
        </w:rPr>
        <w:t>Zmiana w ust. 3 pkt 6 sankcjonuje obowiązek sprawozdawczy Zakładu Ubezpieczeń Społecznych, który de facto ZUS już wykonuje</w:t>
      </w:r>
      <w:r w:rsidR="00631540" w:rsidRPr="009F791E">
        <w:rPr>
          <w:rFonts w:ascii="Times New Roman" w:hAnsi="Times New Roman"/>
        </w:rPr>
        <w:t xml:space="preserve"> oraz przewiduje dodatkowo obowiązek sprawozdawczy w odniesieniu do zarządzanych przez ZUS i KRUS funduszy posiadających status państwowych osób prawnych.</w:t>
      </w:r>
    </w:p>
    <w:p w14:paraId="0D3F864E" w14:textId="4A14A13F" w:rsidR="005D1F37" w:rsidRPr="009F791E" w:rsidRDefault="003945E0" w:rsidP="009F791E">
      <w:pPr>
        <w:spacing w:line="360" w:lineRule="auto"/>
        <w:jc w:val="both"/>
        <w:rPr>
          <w:rFonts w:ascii="Times New Roman" w:hAnsi="Times New Roman"/>
        </w:rPr>
      </w:pPr>
      <w:r w:rsidRPr="009F791E">
        <w:rPr>
          <w:rFonts w:ascii="Times New Roman" w:hAnsi="Times New Roman"/>
        </w:rPr>
        <w:t>Z</w:t>
      </w:r>
      <w:r w:rsidR="005D1F37" w:rsidRPr="009F791E">
        <w:rPr>
          <w:rFonts w:ascii="Times New Roman" w:hAnsi="Times New Roman"/>
        </w:rPr>
        <w:t xml:space="preserve">aproponowano przepis przejściowy regulujący kwestię zachowania </w:t>
      </w:r>
      <w:r w:rsidRPr="009F791E">
        <w:rPr>
          <w:rFonts w:ascii="Times New Roman" w:hAnsi="Times New Roman"/>
        </w:rPr>
        <w:t xml:space="preserve">w </w:t>
      </w:r>
      <w:r w:rsidR="005D1F37" w:rsidRPr="009F791E">
        <w:rPr>
          <w:rFonts w:ascii="Times New Roman" w:hAnsi="Times New Roman"/>
        </w:rPr>
        <w:t xml:space="preserve">mocy przepisów wykonawczych wydanych na podstawie art. 41 ust. 2 ustawy </w:t>
      </w:r>
      <w:r w:rsidRPr="009F791E">
        <w:rPr>
          <w:rFonts w:ascii="Times New Roman" w:hAnsi="Times New Roman"/>
        </w:rPr>
        <w:t>o finansach publicznych</w:t>
      </w:r>
      <w:r w:rsidR="005075D5" w:rsidRPr="009F791E">
        <w:rPr>
          <w:rFonts w:ascii="Times New Roman" w:hAnsi="Times New Roman"/>
        </w:rPr>
        <w:t xml:space="preserve"> do czasu wydania nowych, jednak nie dłużej niż przez 12 miesięcy od dnia wejścia w życie niniejszej ustawy</w:t>
      </w:r>
      <w:r w:rsidR="00280056" w:rsidRPr="009F791E">
        <w:rPr>
          <w:rFonts w:ascii="Times New Roman" w:hAnsi="Times New Roman"/>
        </w:rPr>
        <w:t>. Projektowany przepis przewiduje również możliwość zmiany tych przepisów w ww. okresie.</w:t>
      </w:r>
    </w:p>
    <w:p w14:paraId="5AC4307F" w14:textId="23FDA401" w:rsidR="005D1F37" w:rsidRPr="009F791E" w:rsidRDefault="005075D5" w:rsidP="009F791E">
      <w:pPr>
        <w:spacing w:line="360" w:lineRule="auto"/>
        <w:jc w:val="both"/>
        <w:rPr>
          <w:rFonts w:ascii="Times New Roman" w:hAnsi="Times New Roman"/>
        </w:rPr>
      </w:pPr>
      <w:r w:rsidRPr="009F791E">
        <w:rPr>
          <w:rFonts w:ascii="Times New Roman" w:hAnsi="Times New Roman"/>
        </w:rPr>
        <w:t>Określono</w:t>
      </w:r>
      <w:r w:rsidR="005D1F37" w:rsidRPr="009F791E">
        <w:rPr>
          <w:rFonts w:ascii="Times New Roman" w:hAnsi="Times New Roman"/>
        </w:rPr>
        <w:t xml:space="preserve"> termin stosowania obowiązujących przepisów w zakresie dokonywania zmian w planach finansowych agencji wykonawczych, instytucji gospodarki budżetowej, państwowych funduszy celowych, państwowych i samorządowych osób prawnych</w:t>
      </w:r>
      <w:r w:rsidRPr="009F791E">
        <w:rPr>
          <w:rFonts w:ascii="Times New Roman" w:hAnsi="Times New Roman"/>
        </w:rPr>
        <w:t xml:space="preserve"> oraz </w:t>
      </w:r>
      <w:r w:rsidRPr="009F791E">
        <w:rPr>
          <w:rFonts w:ascii="Times New Roman" w:hAnsi="Times New Roman"/>
        </w:rPr>
        <w:lastRenderedPageBreak/>
        <w:t>wskazano</w:t>
      </w:r>
      <w:r w:rsidR="005D1F37" w:rsidRPr="009F791E">
        <w:rPr>
          <w:rFonts w:ascii="Times New Roman" w:hAnsi="Times New Roman"/>
        </w:rPr>
        <w:t xml:space="preserve"> od kiedy po raz pierwszy stosuje się art. 21, art. 24, art. 29</w:t>
      </w:r>
      <w:r w:rsidR="00EA3A4B" w:rsidRPr="009F791E">
        <w:rPr>
          <w:rFonts w:ascii="Times New Roman" w:hAnsi="Times New Roman"/>
        </w:rPr>
        <w:t xml:space="preserve"> i</w:t>
      </w:r>
      <w:r w:rsidR="005D1F37" w:rsidRPr="009F791E">
        <w:rPr>
          <w:rFonts w:ascii="Times New Roman" w:hAnsi="Times New Roman"/>
        </w:rPr>
        <w:t xml:space="preserve"> art. 30 ustawy </w:t>
      </w:r>
      <w:r w:rsidRPr="009F791E">
        <w:rPr>
          <w:rFonts w:ascii="Times New Roman" w:hAnsi="Times New Roman"/>
        </w:rPr>
        <w:t>o finansach publicznych w brzmieniu wynikającym z proponowanych zmian</w:t>
      </w:r>
      <w:r w:rsidR="005D1F37" w:rsidRPr="009F791E">
        <w:rPr>
          <w:rFonts w:ascii="Times New Roman" w:hAnsi="Times New Roman"/>
        </w:rPr>
        <w:t>.</w:t>
      </w:r>
    </w:p>
    <w:p w14:paraId="202A6D04" w14:textId="314243EF" w:rsidR="005D1F37" w:rsidRPr="009F791E" w:rsidRDefault="005075D5" w:rsidP="009F791E">
      <w:pPr>
        <w:spacing w:line="360" w:lineRule="auto"/>
        <w:jc w:val="both"/>
        <w:rPr>
          <w:rFonts w:ascii="Times New Roman" w:hAnsi="Times New Roman"/>
        </w:rPr>
      </w:pPr>
      <w:r w:rsidRPr="009F791E">
        <w:rPr>
          <w:rFonts w:ascii="Times New Roman" w:hAnsi="Times New Roman"/>
        </w:rPr>
        <w:t>Przepisy</w:t>
      </w:r>
      <w:r w:rsidR="005D1F37" w:rsidRPr="009F791E">
        <w:rPr>
          <w:rFonts w:ascii="Times New Roman" w:hAnsi="Times New Roman"/>
        </w:rPr>
        <w:t xml:space="preserve"> art. 122 i art. 123 ustawy </w:t>
      </w:r>
      <w:r w:rsidRPr="009F791E">
        <w:rPr>
          <w:rFonts w:ascii="Times New Roman" w:hAnsi="Times New Roman"/>
        </w:rPr>
        <w:t>o finansach publicznych w brzmieniu wynikającym z proponowanych zmian</w:t>
      </w:r>
      <w:r w:rsidR="005D1F37" w:rsidRPr="009F791E">
        <w:rPr>
          <w:rFonts w:ascii="Times New Roman" w:hAnsi="Times New Roman"/>
        </w:rPr>
        <w:t xml:space="preserve"> mają zastosowanie po raz pierwszy do projektu ustawy budżetowej na rok 2025.</w:t>
      </w:r>
    </w:p>
    <w:p w14:paraId="16A4F3F1" w14:textId="41E5C734" w:rsidR="005D1F37" w:rsidRPr="009F791E" w:rsidRDefault="005075D5" w:rsidP="009F791E">
      <w:pPr>
        <w:spacing w:line="360" w:lineRule="auto"/>
        <w:jc w:val="both"/>
        <w:rPr>
          <w:rFonts w:ascii="Times New Roman" w:hAnsi="Times New Roman"/>
        </w:rPr>
      </w:pPr>
      <w:r w:rsidRPr="009F791E">
        <w:rPr>
          <w:rFonts w:ascii="Times New Roman" w:hAnsi="Times New Roman"/>
        </w:rPr>
        <w:t>A</w:t>
      </w:r>
      <w:r w:rsidR="005D1F37" w:rsidRPr="009F791E">
        <w:rPr>
          <w:rFonts w:ascii="Times New Roman" w:hAnsi="Times New Roman"/>
        </w:rPr>
        <w:t xml:space="preserve">rt. 182 ustawy </w:t>
      </w:r>
      <w:r w:rsidRPr="009F791E">
        <w:rPr>
          <w:rFonts w:ascii="Times New Roman" w:hAnsi="Times New Roman"/>
        </w:rPr>
        <w:t>o finansach publicznych w brzmieniu wynikającym z proponowanych zmian</w:t>
      </w:r>
      <w:r w:rsidR="00B505A1">
        <w:rPr>
          <w:rFonts w:ascii="Times New Roman" w:hAnsi="Times New Roman"/>
        </w:rPr>
        <w:t xml:space="preserve"> </w:t>
      </w:r>
      <w:r w:rsidR="005D1F37" w:rsidRPr="009F791E">
        <w:rPr>
          <w:rFonts w:ascii="Times New Roman" w:hAnsi="Times New Roman"/>
        </w:rPr>
        <w:t>ma zastosowanie po raz pierwszy do sprawozdania z wykonania ustawy budżetowej na rok 2025.</w:t>
      </w:r>
    </w:p>
    <w:p w14:paraId="52BCD89F" w14:textId="11F61B1B" w:rsidR="005D1F37" w:rsidRPr="009F791E" w:rsidRDefault="005D1F37" w:rsidP="009F791E">
      <w:pPr>
        <w:spacing w:before="120" w:line="360" w:lineRule="auto"/>
        <w:jc w:val="both"/>
        <w:rPr>
          <w:rFonts w:ascii="Times New Roman" w:hAnsi="Times New Roman"/>
        </w:rPr>
      </w:pPr>
      <w:r w:rsidRPr="009F791E">
        <w:rPr>
          <w:rFonts w:ascii="Times New Roman" w:hAnsi="Times New Roman"/>
          <w:b/>
          <w:bCs/>
        </w:rPr>
        <w:t>Pozostałe zmiany</w:t>
      </w:r>
    </w:p>
    <w:p w14:paraId="29788DC5" w14:textId="361B2EA7" w:rsidR="00060A09" w:rsidRPr="009F791E" w:rsidRDefault="00060A09" w:rsidP="009F791E">
      <w:pPr>
        <w:spacing w:before="120" w:line="360" w:lineRule="auto"/>
        <w:jc w:val="both"/>
        <w:rPr>
          <w:rFonts w:ascii="Times New Roman" w:hAnsi="Times New Roman"/>
        </w:rPr>
      </w:pPr>
      <w:r w:rsidRPr="009F791E">
        <w:rPr>
          <w:rFonts w:ascii="Times New Roman" w:hAnsi="Times New Roman"/>
        </w:rPr>
        <w:t>Zmiany w zakresie Funduszu Wsparcia Policji, Funduszu Wparcia Straży Granicznej, Funduszu Wparcia Państwowej Straży Pożarnej, Funduszu Pracy, Funduszu Gwarantowanych Świadczeń Pracowniczych</w:t>
      </w:r>
      <w:r w:rsidR="00B85AFB" w:rsidRPr="009F791E">
        <w:rPr>
          <w:rFonts w:ascii="Times New Roman" w:hAnsi="Times New Roman"/>
        </w:rPr>
        <w:t>, Państwowego Funduszu Rehabilitacji Osób Niepełnosprawnych</w:t>
      </w:r>
      <w:r w:rsidRPr="009F791E">
        <w:rPr>
          <w:rFonts w:ascii="Times New Roman" w:hAnsi="Times New Roman"/>
        </w:rPr>
        <w:t xml:space="preserve"> i Funduszu Solidarnościowego wynikają z konieczności dostosowania do zmian proponowanych w nowelizacji ustawy o finansach publicznych w</w:t>
      </w:r>
      <w:r w:rsidR="00E24B35" w:rsidRPr="009F791E">
        <w:rPr>
          <w:rFonts w:ascii="Times New Roman" w:hAnsi="Times New Roman"/>
        </w:rPr>
        <w:t> </w:t>
      </w:r>
      <w:r w:rsidRPr="009F791E">
        <w:rPr>
          <w:rFonts w:ascii="Times New Roman" w:hAnsi="Times New Roman"/>
        </w:rPr>
        <w:t>związku ze zmianami wprowadzanymi w art. 29 wskazanej ustawy, m.in w zakresie wymogu bądź braku konieczności uzyskiwania zgody Ministra Finansów i pozytywnej opinii sejmowej komisji właściwej do spraw budżetu w stosunku do zmian w planie finansowym. Niezbędne jest dokonanie zmian w następujących</w:t>
      </w:r>
      <w:r w:rsidR="00D34E33" w:rsidRPr="009F791E">
        <w:rPr>
          <w:rFonts w:ascii="Times New Roman" w:hAnsi="Times New Roman"/>
        </w:rPr>
        <w:t xml:space="preserve"> ustawach</w:t>
      </w:r>
      <w:r w:rsidRPr="009F791E">
        <w:rPr>
          <w:rFonts w:ascii="Times New Roman" w:hAnsi="Times New Roman"/>
        </w:rPr>
        <w:t xml:space="preserve">: </w:t>
      </w:r>
      <w:r w:rsidR="00D34E33" w:rsidRPr="009F791E">
        <w:rPr>
          <w:rFonts w:ascii="Times New Roman" w:hAnsi="Times New Roman"/>
        </w:rPr>
        <w:t xml:space="preserve">ustawie </w:t>
      </w:r>
      <w:r w:rsidRPr="009F791E">
        <w:rPr>
          <w:rFonts w:ascii="Times New Roman" w:hAnsi="Times New Roman"/>
        </w:rPr>
        <w:t xml:space="preserve">z dnia 6 kwietnia 1990 r. o Policji, </w:t>
      </w:r>
      <w:r w:rsidR="00D34E33" w:rsidRPr="009F791E">
        <w:rPr>
          <w:rFonts w:ascii="Times New Roman" w:hAnsi="Times New Roman"/>
        </w:rPr>
        <w:t xml:space="preserve">ustawie </w:t>
      </w:r>
      <w:r w:rsidRPr="009F791E">
        <w:rPr>
          <w:rFonts w:ascii="Times New Roman" w:hAnsi="Times New Roman"/>
        </w:rPr>
        <w:t xml:space="preserve">z dnia 12 października 1990 r. o Straży Granicznej, </w:t>
      </w:r>
      <w:r w:rsidR="00D34E33" w:rsidRPr="009F791E">
        <w:rPr>
          <w:rFonts w:ascii="Times New Roman" w:hAnsi="Times New Roman"/>
        </w:rPr>
        <w:t xml:space="preserve">ustawie </w:t>
      </w:r>
      <w:r w:rsidRPr="009F791E">
        <w:rPr>
          <w:rFonts w:ascii="Times New Roman" w:hAnsi="Times New Roman"/>
        </w:rPr>
        <w:t xml:space="preserve">z dnia 24 sierpnia 1991 r. o Państwowej Straży Pożarnej, </w:t>
      </w:r>
      <w:r w:rsidR="00D34E33" w:rsidRPr="009F791E">
        <w:rPr>
          <w:rFonts w:ascii="Times New Roman" w:hAnsi="Times New Roman"/>
        </w:rPr>
        <w:t xml:space="preserve">ustawie </w:t>
      </w:r>
      <w:r w:rsidR="00B85AFB" w:rsidRPr="009F791E">
        <w:rPr>
          <w:rFonts w:ascii="Times New Roman" w:hAnsi="Times New Roman"/>
        </w:rPr>
        <w:t xml:space="preserve">z dnia 27 sierpnia 1997 r. o rehabilitacji zawodowej i społecznej oraz zatrudnianiu osób niepełnosprawnych, </w:t>
      </w:r>
      <w:r w:rsidR="00D34E33" w:rsidRPr="009F791E">
        <w:rPr>
          <w:rFonts w:ascii="Times New Roman" w:hAnsi="Times New Roman"/>
        </w:rPr>
        <w:t>ustawie</w:t>
      </w:r>
      <w:r w:rsidR="00B85AFB" w:rsidRPr="009F791E">
        <w:rPr>
          <w:rFonts w:ascii="Times New Roman" w:hAnsi="Times New Roman"/>
        </w:rPr>
        <w:t xml:space="preserve"> </w:t>
      </w:r>
      <w:r w:rsidRPr="009F791E">
        <w:rPr>
          <w:rFonts w:ascii="Times New Roman" w:hAnsi="Times New Roman"/>
        </w:rPr>
        <w:t xml:space="preserve">z dnia 20 kwietnia 2004 r. o promocji zatrudnienia i instytucjach rynku pracy, </w:t>
      </w:r>
      <w:r w:rsidR="00D34E33" w:rsidRPr="009F791E">
        <w:rPr>
          <w:rFonts w:ascii="Times New Roman" w:hAnsi="Times New Roman"/>
        </w:rPr>
        <w:t xml:space="preserve">ustawie </w:t>
      </w:r>
      <w:r w:rsidRPr="009F791E">
        <w:rPr>
          <w:rFonts w:ascii="Times New Roman" w:hAnsi="Times New Roman"/>
        </w:rPr>
        <w:t xml:space="preserve">z dnia 13 lipca 2006 r. o ochronie roszczeń pracowniczych w razie niewypłacalności oraz </w:t>
      </w:r>
      <w:r w:rsidR="00D34E33" w:rsidRPr="009F791E">
        <w:rPr>
          <w:rFonts w:ascii="Times New Roman" w:hAnsi="Times New Roman"/>
        </w:rPr>
        <w:t xml:space="preserve">ustawie </w:t>
      </w:r>
      <w:r w:rsidRPr="009F791E">
        <w:rPr>
          <w:rFonts w:ascii="Times New Roman" w:hAnsi="Times New Roman"/>
        </w:rPr>
        <w:t>z dnia 23 października 2018 r. o Funduszu Solidarnościowym.</w:t>
      </w:r>
    </w:p>
    <w:p w14:paraId="6AF35BC0" w14:textId="42C12AC3" w:rsidR="004D1EC5" w:rsidRPr="009F791E" w:rsidRDefault="00371750" w:rsidP="009F791E">
      <w:pPr>
        <w:spacing w:before="120" w:line="360" w:lineRule="auto"/>
        <w:jc w:val="both"/>
        <w:rPr>
          <w:rFonts w:ascii="Times New Roman" w:hAnsi="Times New Roman"/>
        </w:rPr>
      </w:pPr>
      <w:r w:rsidRPr="009F791E">
        <w:rPr>
          <w:rFonts w:ascii="Times New Roman" w:hAnsi="Times New Roman"/>
        </w:rPr>
        <w:t xml:space="preserve">Proponowane w nowelizacji ustawy o finansach publicznych regulacje w zakresie zmiany planów finansowych państwowych osób prawnych wymagają odpowiedniego dostosowania przepisów ustaw tworzących </w:t>
      </w:r>
      <w:r w:rsidR="00D34E33" w:rsidRPr="009F791E">
        <w:rPr>
          <w:rFonts w:ascii="Times New Roman" w:hAnsi="Times New Roman"/>
        </w:rPr>
        <w:t xml:space="preserve">te </w:t>
      </w:r>
      <w:r w:rsidRPr="009F791E">
        <w:rPr>
          <w:rFonts w:ascii="Times New Roman" w:hAnsi="Times New Roman"/>
        </w:rPr>
        <w:t xml:space="preserve">osoby prawne. Niezbędne jest dokonanie zmian w następujących ustawach: </w:t>
      </w:r>
      <w:r w:rsidR="00D34E33" w:rsidRPr="009F791E">
        <w:rPr>
          <w:rFonts w:ascii="Times New Roman" w:hAnsi="Times New Roman"/>
        </w:rPr>
        <w:t xml:space="preserve">ustawie </w:t>
      </w:r>
      <w:r w:rsidRPr="009F791E">
        <w:rPr>
          <w:rFonts w:ascii="Times New Roman" w:hAnsi="Times New Roman"/>
        </w:rPr>
        <w:t xml:space="preserve">z dnia 27 kwietnia 2001 r. </w:t>
      </w:r>
      <w:r w:rsidR="00B505A1">
        <w:rPr>
          <w:rFonts w:ascii="Times New Roman" w:hAnsi="Times New Roman"/>
        </w:rPr>
        <w:t>–</w:t>
      </w:r>
      <w:r w:rsidR="00D34E33" w:rsidRPr="009F791E">
        <w:rPr>
          <w:rFonts w:ascii="Times New Roman" w:hAnsi="Times New Roman"/>
        </w:rPr>
        <w:t xml:space="preserve"> </w:t>
      </w:r>
      <w:r w:rsidRPr="009F791E">
        <w:rPr>
          <w:rFonts w:ascii="Times New Roman" w:hAnsi="Times New Roman"/>
        </w:rPr>
        <w:t xml:space="preserve">Prawo ochrony środowiska, </w:t>
      </w:r>
      <w:r w:rsidR="00D34E33" w:rsidRPr="009F791E">
        <w:rPr>
          <w:rFonts w:ascii="Times New Roman" w:hAnsi="Times New Roman"/>
        </w:rPr>
        <w:t xml:space="preserve">ustawie </w:t>
      </w:r>
      <w:r w:rsidRPr="009F791E">
        <w:rPr>
          <w:rFonts w:ascii="Times New Roman" w:hAnsi="Times New Roman"/>
        </w:rPr>
        <w:t xml:space="preserve">z dnia 16 kwietnia 2004 r. o ochronie przyrody, </w:t>
      </w:r>
      <w:r w:rsidR="00D34E33" w:rsidRPr="009F791E">
        <w:rPr>
          <w:rFonts w:ascii="Times New Roman" w:hAnsi="Times New Roman"/>
        </w:rPr>
        <w:t xml:space="preserve">ustawie </w:t>
      </w:r>
      <w:r w:rsidRPr="009F791E">
        <w:rPr>
          <w:rFonts w:ascii="Times New Roman" w:hAnsi="Times New Roman"/>
        </w:rPr>
        <w:t xml:space="preserve">z dnia 8 grudnia 2006 r. o Polskiej Agencji Żeglugi Powietrznej, </w:t>
      </w:r>
      <w:r w:rsidR="00D34E33" w:rsidRPr="009F791E">
        <w:rPr>
          <w:rFonts w:ascii="Times New Roman" w:hAnsi="Times New Roman"/>
        </w:rPr>
        <w:t xml:space="preserve">ustawie </w:t>
      </w:r>
      <w:r w:rsidRPr="009F791E">
        <w:rPr>
          <w:rFonts w:ascii="Times New Roman" w:hAnsi="Times New Roman"/>
        </w:rPr>
        <w:t xml:space="preserve">z dnia 13 kwietnia 2016 r. o systemach oceny zgodności i nadzoru rynku, </w:t>
      </w:r>
      <w:r w:rsidR="00D34E33" w:rsidRPr="009F791E">
        <w:rPr>
          <w:rFonts w:ascii="Times New Roman" w:hAnsi="Times New Roman"/>
        </w:rPr>
        <w:t xml:space="preserve">ustawie </w:t>
      </w:r>
      <w:r w:rsidRPr="009F791E">
        <w:rPr>
          <w:rFonts w:ascii="Times New Roman" w:hAnsi="Times New Roman"/>
        </w:rPr>
        <w:t xml:space="preserve">z dnia 20 lipca 2017 r. o Krajowym Zasobie Nieruchomości oraz </w:t>
      </w:r>
      <w:r w:rsidR="00D34E33" w:rsidRPr="009F791E">
        <w:rPr>
          <w:rFonts w:ascii="Times New Roman" w:hAnsi="Times New Roman"/>
        </w:rPr>
        <w:t xml:space="preserve">ustawie </w:t>
      </w:r>
      <w:r w:rsidRPr="009F791E">
        <w:rPr>
          <w:rFonts w:ascii="Times New Roman" w:hAnsi="Times New Roman"/>
        </w:rPr>
        <w:t xml:space="preserve">z dnia 20 lipca 2017 r. </w:t>
      </w:r>
      <w:r w:rsidR="00B505A1">
        <w:rPr>
          <w:rFonts w:ascii="Times New Roman" w:hAnsi="Times New Roman"/>
        </w:rPr>
        <w:t>–</w:t>
      </w:r>
      <w:r w:rsidRPr="009F791E">
        <w:rPr>
          <w:rFonts w:ascii="Times New Roman" w:hAnsi="Times New Roman"/>
        </w:rPr>
        <w:t xml:space="preserve"> Prawo </w:t>
      </w:r>
      <w:r w:rsidR="00D34E33" w:rsidRPr="009F791E">
        <w:rPr>
          <w:rFonts w:ascii="Times New Roman" w:hAnsi="Times New Roman"/>
        </w:rPr>
        <w:t>w</w:t>
      </w:r>
      <w:r w:rsidRPr="009F791E">
        <w:rPr>
          <w:rFonts w:ascii="Times New Roman" w:hAnsi="Times New Roman"/>
        </w:rPr>
        <w:t>odne.</w:t>
      </w:r>
      <w:r w:rsidR="00060A09" w:rsidRPr="009F791E">
        <w:rPr>
          <w:rFonts w:ascii="Times New Roman" w:hAnsi="Times New Roman"/>
        </w:rPr>
        <w:t xml:space="preserve"> </w:t>
      </w:r>
    </w:p>
    <w:p w14:paraId="1639FBE8" w14:textId="59386E6D" w:rsidR="00060A09" w:rsidRPr="009F791E" w:rsidRDefault="00060A09" w:rsidP="009F791E">
      <w:pPr>
        <w:spacing w:before="120" w:line="360" w:lineRule="auto"/>
        <w:jc w:val="both"/>
        <w:rPr>
          <w:rFonts w:ascii="Times New Roman" w:hAnsi="Times New Roman"/>
        </w:rPr>
      </w:pPr>
      <w:r w:rsidRPr="009F791E">
        <w:rPr>
          <w:rFonts w:ascii="Times New Roman" w:hAnsi="Times New Roman"/>
        </w:rPr>
        <w:t xml:space="preserve">Proponowane są również zmiany w ustawie z dnia 25 czerwca 1999 r. o Polskiej Organizacji Turystycznej oraz ustawie z dnia 25 marca 2011 r. o Centrum Dialogu im. Juliusza </w:t>
      </w:r>
      <w:r w:rsidRPr="009F791E">
        <w:rPr>
          <w:rFonts w:ascii="Times New Roman" w:hAnsi="Times New Roman"/>
        </w:rPr>
        <w:lastRenderedPageBreak/>
        <w:t>Mieroszewskiego, będące konsekwencją wprowadzanych zmian do ustawy o finansach publicznych w zakresie gospodarki finansowej państwowych osób prawnych i mają</w:t>
      </w:r>
      <w:r w:rsidR="00B505A1">
        <w:rPr>
          <w:rFonts w:ascii="Times New Roman" w:hAnsi="Times New Roman"/>
        </w:rPr>
        <w:t xml:space="preserve"> </w:t>
      </w:r>
      <w:r w:rsidRPr="009F791E">
        <w:rPr>
          <w:rFonts w:ascii="Times New Roman" w:hAnsi="Times New Roman"/>
        </w:rPr>
        <w:t>charakter dostosowujący. Doprowadzą do ujednolicenia przepisów, w efekcie czego dodatkowo wyeliminowane zostaną wątpliwości interpretacyjne. W wyniku zmiany art. 18 ust. 4 ustawy z dnia 25 czerwca 1999 r. o Polskiej Organizacji Turystycznej (art. 2 projektu) roczne sprawozdania finansowe Polskiej Organizacji Turystycznej będą zatwierdzane wyłącznie przez właściwego ministra. Zgodnie z obowiązującą regulacją roczne sprawozdanie finansowe Polskiej Organizacji Turystycznej zatwierdza właściwy minister w porozumieniu z ministrem właściwym do spraw budżetu. Minister właściwy do spraw budżetu nie sprawuje nadzoru nad Polską Organizacją Turystyczną. Dodatkowo nie dysponuje danymi ani informacjami, niezbędnymi do potwierdzenia prezentowanych przez właściwego ministra informacji. Proponowana zmiana ma również charakter dostosowujący do regulacji odnoszących się do innych przypadków rocznych sprawozdań finansowych państwowych osób prawnych. Przepis będzie miał zastosowanie po raz pierwszy do rocznego sprawozdania za 2024 r.</w:t>
      </w:r>
    </w:p>
    <w:p w14:paraId="54CC66D5" w14:textId="7953D383" w:rsidR="00E02309" w:rsidRPr="009F791E" w:rsidRDefault="00371750" w:rsidP="009F791E">
      <w:pPr>
        <w:spacing w:before="120" w:line="360" w:lineRule="auto"/>
        <w:jc w:val="both"/>
        <w:rPr>
          <w:rFonts w:ascii="Times New Roman" w:hAnsi="Times New Roman"/>
        </w:rPr>
      </w:pPr>
      <w:r w:rsidRPr="009F791E">
        <w:rPr>
          <w:rFonts w:ascii="Times New Roman" w:hAnsi="Times New Roman"/>
        </w:rPr>
        <w:t xml:space="preserve">W obowiązującym stanie prawnym fundusze utworzone, powierzone lub przekazane BGK na podstawie ustaw posiadają odrębne uregulowania prawne w zakresie sprawozdawczości. Planowane jest wprowadzenie jednolitych zasad sprawozdawczości dla ww. funduszy, co przyczyni się do prawidłowej realizacji obowiązków sprawozdawczych nałożonych na ministra właściwego do spraw finansów publicznych ustawą o finansach publicznych. Zmiany w zakresie sprawozdawczości funduszy utworzonych, powierzonych lub przekazanych BGK </w:t>
      </w:r>
      <w:r w:rsidR="004D1EC5" w:rsidRPr="009F791E">
        <w:rPr>
          <w:rFonts w:ascii="Times New Roman" w:hAnsi="Times New Roman"/>
        </w:rPr>
        <w:t xml:space="preserve">w projekcie </w:t>
      </w:r>
      <w:r w:rsidRPr="009F791E">
        <w:rPr>
          <w:rFonts w:ascii="Times New Roman" w:hAnsi="Times New Roman"/>
        </w:rPr>
        <w:t xml:space="preserve">wprowadzono </w:t>
      </w:r>
      <w:r w:rsidR="004D1EC5" w:rsidRPr="009F791E">
        <w:rPr>
          <w:rFonts w:ascii="Times New Roman" w:hAnsi="Times New Roman"/>
        </w:rPr>
        <w:t>zmiany w</w:t>
      </w:r>
      <w:r w:rsidR="00D34E33" w:rsidRPr="009F791E">
        <w:rPr>
          <w:rFonts w:ascii="Times New Roman" w:hAnsi="Times New Roman"/>
        </w:rPr>
        <w:t>:</w:t>
      </w:r>
      <w:r w:rsidR="004D1EC5" w:rsidRPr="009F791E">
        <w:rPr>
          <w:rFonts w:ascii="Times New Roman" w:hAnsi="Times New Roman"/>
        </w:rPr>
        <w:t xml:space="preserve"> </w:t>
      </w:r>
      <w:r w:rsidR="00D34E33" w:rsidRPr="009F791E">
        <w:rPr>
          <w:rFonts w:ascii="Times New Roman" w:hAnsi="Times New Roman"/>
        </w:rPr>
        <w:t>ustawie</w:t>
      </w:r>
      <w:r w:rsidRPr="009F791E">
        <w:rPr>
          <w:rFonts w:ascii="Times New Roman" w:hAnsi="Times New Roman"/>
        </w:rPr>
        <w:t xml:space="preserve"> dnia 26 października 1995 r. o społecznych formach rozwoju mieszkalnictwa, </w:t>
      </w:r>
      <w:r w:rsidR="00D34E33" w:rsidRPr="009F791E">
        <w:rPr>
          <w:rFonts w:ascii="Times New Roman" w:hAnsi="Times New Roman"/>
        </w:rPr>
        <w:t xml:space="preserve">ustawie </w:t>
      </w:r>
      <w:r w:rsidRPr="009F791E">
        <w:rPr>
          <w:rFonts w:ascii="Times New Roman" w:hAnsi="Times New Roman"/>
        </w:rPr>
        <w:t xml:space="preserve">z dnia 5 grudnia 2002 r. o dopłatach do oprocentowania kredytów mieszkaniowych o stałej stopie procentowej, </w:t>
      </w:r>
      <w:r w:rsidR="00D34E33" w:rsidRPr="009F791E">
        <w:rPr>
          <w:rFonts w:ascii="Times New Roman" w:hAnsi="Times New Roman"/>
        </w:rPr>
        <w:t xml:space="preserve">ustawie </w:t>
      </w:r>
      <w:r w:rsidRPr="009F791E">
        <w:rPr>
          <w:rFonts w:ascii="Times New Roman" w:hAnsi="Times New Roman"/>
        </w:rPr>
        <w:t>z dnia 21</w:t>
      </w:r>
      <w:r w:rsidR="008B155F">
        <w:rPr>
          <w:rFonts w:ascii="Times New Roman" w:hAnsi="Times New Roman"/>
        </w:rPr>
        <w:t> </w:t>
      </w:r>
      <w:r w:rsidRPr="009F791E">
        <w:rPr>
          <w:rFonts w:ascii="Times New Roman" w:hAnsi="Times New Roman"/>
        </w:rPr>
        <w:t>listopada 2008 r. o wspieraniu termomodernizacji i remontów oraz o centralnej ewidencji emisyjności budynków</w:t>
      </w:r>
      <w:r w:rsidR="00060A09" w:rsidRPr="009F791E">
        <w:rPr>
          <w:rFonts w:ascii="Times New Roman" w:hAnsi="Times New Roman"/>
        </w:rPr>
        <w:t xml:space="preserve">, </w:t>
      </w:r>
      <w:r w:rsidR="00D34E33" w:rsidRPr="009F791E">
        <w:rPr>
          <w:rFonts w:ascii="Times New Roman" w:hAnsi="Times New Roman"/>
        </w:rPr>
        <w:t xml:space="preserve">ustawie </w:t>
      </w:r>
      <w:r w:rsidR="00060A09" w:rsidRPr="009F791E">
        <w:rPr>
          <w:rFonts w:ascii="Times New Roman" w:hAnsi="Times New Roman"/>
        </w:rPr>
        <w:t>z dnia 20 lipca 2018 r. – Prawo o szkolnictwie wyższym i nauce,</w:t>
      </w:r>
      <w:r w:rsidR="00B505A1">
        <w:rPr>
          <w:rFonts w:ascii="Times New Roman" w:hAnsi="Times New Roman"/>
        </w:rPr>
        <w:t xml:space="preserve"> </w:t>
      </w:r>
      <w:r w:rsidR="00D34E33" w:rsidRPr="009F791E">
        <w:rPr>
          <w:rFonts w:ascii="Times New Roman" w:hAnsi="Times New Roman"/>
        </w:rPr>
        <w:t xml:space="preserve">ustawie </w:t>
      </w:r>
      <w:r w:rsidR="006A472D" w:rsidRPr="009F791E">
        <w:rPr>
          <w:rFonts w:ascii="Times New Roman" w:hAnsi="Times New Roman"/>
        </w:rPr>
        <w:t>z dnia 4 kwietnia 2019 r. o wspieraniu działalności naukowej z Funduszu Polskiej Nauki,</w:t>
      </w:r>
      <w:r w:rsidR="00B505A1">
        <w:rPr>
          <w:rFonts w:ascii="Times New Roman" w:hAnsi="Times New Roman"/>
        </w:rPr>
        <w:t xml:space="preserve"> </w:t>
      </w:r>
      <w:r w:rsidR="00D34E33" w:rsidRPr="009F791E">
        <w:rPr>
          <w:rFonts w:ascii="Times New Roman" w:hAnsi="Times New Roman"/>
        </w:rPr>
        <w:t>ustawie</w:t>
      </w:r>
      <w:r w:rsidR="00EA3A4B" w:rsidRPr="009F791E">
        <w:rPr>
          <w:rFonts w:ascii="Times New Roman" w:hAnsi="Times New Roman"/>
        </w:rPr>
        <w:t xml:space="preserve"> z</w:t>
      </w:r>
      <w:r w:rsidRPr="009F791E">
        <w:rPr>
          <w:rFonts w:ascii="Times New Roman" w:hAnsi="Times New Roman"/>
        </w:rPr>
        <w:t xml:space="preserve"> dnia 1 października 2021 r. o rodzinnym kredycie mieszkaniowym</w:t>
      </w:r>
      <w:r w:rsidR="00D34E33" w:rsidRPr="009F791E">
        <w:rPr>
          <w:rFonts w:ascii="Times New Roman" w:hAnsi="Times New Roman"/>
        </w:rPr>
        <w:t>, ustawie</w:t>
      </w:r>
      <w:r w:rsidR="006A472D" w:rsidRPr="009F791E">
        <w:rPr>
          <w:rFonts w:ascii="Times New Roman" w:hAnsi="Times New Roman"/>
        </w:rPr>
        <w:t xml:space="preserve"> z dnia 11 marca 2022 r. o obronie Ojczyzny</w:t>
      </w:r>
      <w:r w:rsidR="00E02309" w:rsidRPr="009F791E" w:rsidDel="00E02309">
        <w:rPr>
          <w:rFonts w:ascii="Times New Roman" w:hAnsi="Times New Roman"/>
        </w:rPr>
        <w:t xml:space="preserve"> </w:t>
      </w:r>
      <w:r w:rsidR="00E02309" w:rsidRPr="009F791E">
        <w:rPr>
          <w:rFonts w:ascii="Times New Roman" w:hAnsi="Times New Roman"/>
        </w:rPr>
        <w:t>oraz ustaw</w:t>
      </w:r>
      <w:r w:rsidR="00D34E33" w:rsidRPr="009F791E">
        <w:rPr>
          <w:rFonts w:ascii="Times New Roman" w:hAnsi="Times New Roman"/>
        </w:rPr>
        <w:t>ie</w:t>
      </w:r>
      <w:r w:rsidR="00E02309" w:rsidRPr="009F791E">
        <w:rPr>
          <w:rFonts w:ascii="Times New Roman" w:hAnsi="Times New Roman"/>
        </w:rPr>
        <w:t xml:space="preserve"> z dnia 31 marca 2020 r. o zmianie ustawy o szczególnych rozwiązaniach związanych z zapobieganiem, przeciwdziałaniem i zwalczaniem COVID-19, innych chorób zakaźnych oraz wywołanych nimi sytuacji kryzysowych oraz niektórych innych ustaw. </w:t>
      </w:r>
    </w:p>
    <w:p w14:paraId="2AE09CA3" w14:textId="74DA84F2" w:rsidR="00A814C8" w:rsidRPr="009F791E" w:rsidRDefault="00371750" w:rsidP="009F791E">
      <w:pPr>
        <w:spacing w:before="120" w:line="360" w:lineRule="auto"/>
        <w:jc w:val="both"/>
        <w:rPr>
          <w:rFonts w:ascii="Times New Roman" w:hAnsi="Times New Roman"/>
        </w:rPr>
      </w:pPr>
      <w:r w:rsidRPr="009F791E">
        <w:rPr>
          <w:rFonts w:ascii="Times New Roman" w:hAnsi="Times New Roman"/>
        </w:rPr>
        <w:t xml:space="preserve">Proponowane regulacje mają na celu ujednolicenie terminów, trybu oraz zakresu sprawozdawczości dla ww. funduszy. W ww. ustawach zawarty został przepis, zgodnie z </w:t>
      </w:r>
      <w:r w:rsidRPr="009F791E">
        <w:rPr>
          <w:rFonts w:ascii="Times New Roman" w:hAnsi="Times New Roman"/>
        </w:rPr>
        <w:lastRenderedPageBreak/>
        <w:t>którym Bank Gospodarstwa Krajowego będzie przekazywał ministrowi właściwemu do spraw finansów publicznych oraz innym organom sprawującym nadzór nad danym funduszem, w terminach określonych w przepisach dotyczących sprawozdawczości budżetowej państwowych funduszy celowych, sprawozdanie miesięczne z realizacji planu finansowego danego funduszu, sporządzone za okres od dnia 1 stycznia do dnia 31 marca, a następnie narastająco za kolejne miesiące roku budżetowego, w szczegółowości niemniejszej niż wynikająca z tego planu. W</w:t>
      </w:r>
      <w:r w:rsidR="00585332" w:rsidRPr="009F791E">
        <w:rPr>
          <w:rFonts w:ascii="Times New Roman" w:hAnsi="Times New Roman"/>
        </w:rPr>
        <w:t> </w:t>
      </w:r>
      <w:r w:rsidRPr="009F791E">
        <w:rPr>
          <w:rFonts w:ascii="Times New Roman" w:hAnsi="Times New Roman"/>
        </w:rPr>
        <w:t>przypadku sprawozdawczości rocznej, za sprawozdanie roczne uznane będzie, zgodnie z</w:t>
      </w:r>
      <w:r w:rsidR="00585332" w:rsidRPr="009F791E">
        <w:rPr>
          <w:rFonts w:ascii="Times New Roman" w:hAnsi="Times New Roman"/>
        </w:rPr>
        <w:t> </w:t>
      </w:r>
      <w:r w:rsidRPr="009F791E">
        <w:rPr>
          <w:rFonts w:ascii="Times New Roman" w:hAnsi="Times New Roman"/>
        </w:rPr>
        <w:t>ogólnymi zasadami przyjętymi dla państwowych funduszy celowych, sprawozdanie za grudzień. Przedstawione regulacje przyczynią się w szczególności do pełniejszej realizacji obowiązków sprawozdawczych nałożonych na ministra właściwego do spraw finansów publicznych przez przepisy ustawy o finansach publicznych. Proponuje się jednocześnie wprowadzenie przepis</w:t>
      </w:r>
      <w:r w:rsidR="00E02309" w:rsidRPr="009F791E">
        <w:rPr>
          <w:rFonts w:ascii="Times New Roman" w:hAnsi="Times New Roman"/>
        </w:rPr>
        <w:t>u</w:t>
      </w:r>
      <w:r w:rsidRPr="009F791E">
        <w:rPr>
          <w:rFonts w:ascii="Times New Roman" w:hAnsi="Times New Roman"/>
        </w:rPr>
        <w:t xml:space="preserve"> przejściow</w:t>
      </w:r>
      <w:r w:rsidR="00E02309" w:rsidRPr="009F791E">
        <w:rPr>
          <w:rFonts w:ascii="Times New Roman" w:hAnsi="Times New Roman"/>
        </w:rPr>
        <w:t>ego,</w:t>
      </w:r>
      <w:r w:rsidRPr="009F791E">
        <w:rPr>
          <w:rFonts w:ascii="Times New Roman" w:hAnsi="Times New Roman"/>
        </w:rPr>
        <w:t xml:space="preserve"> zgodnie z którym, w zależności od obowiązujących przepisów dot</w:t>
      </w:r>
      <w:r w:rsidR="00EA3A4B" w:rsidRPr="009F791E">
        <w:rPr>
          <w:rFonts w:ascii="Times New Roman" w:hAnsi="Times New Roman"/>
        </w:rPr>
        <w:t>yczących</w:t>
      </w:r>
      <w:r w:rsidRPr="009F791E">
        <w:rPr>
          <w:rFonts w:ascii="Times New Roman" w:hAnsi="Times New Roman"/>
        </w:rPr>
        <w:t xml:space="preserve"> poszczególnych funduszy, do sprawozdania z realizacji planu finansowego za rok 2024, sprawozdania z realizacji planu finansowego za </w:t>
      </w:r>
      <w:r w:rsidR="00315F59" w:rsidRPr="009F791E">
        <w:rPr>
          <w:rFonts w:ascii="Times New Roman" w:hAnsi="Times New Roman"/>
        </w:rPr>
        <w:t xml:space="preserve">trzeci i </w:t>
      </w:r>
      <w:r w:rsidRPr="009F791E">
        <w:rPr>
          <w:rFonts w:ascii="Times New Roman" w:hAnsi="Times New Roman"/>
        </w:rPr>
        <w:t xml:space="preserve">czwarty kwartał 2024 r., informacji o realizacji planu finansowego za </w:t>
      </w:r>
      <w:r w:rsidR="00315F59" w:rsidRPr="009F791E">
        <w:rPr>
          <w:rFonts w:ascii="Times New Roman" w:hAnsi="Times New Roman"/>
        </w:rPr>
        <w:t xml:space="preserve">trzeci i </w:t>
      </w:r>
      <w:r w:rsidRPr="009F791E">
        <w:rPr>
          <w:rFonts w:ascii="Times New Roman" w:hAnsi="Times New Roman"/>
        </w:rPr>
        <w:t>czwarty kwartał 2024 r. oraz bilansu i</w:t>
      </w:r>
      <w:r w:rsidR="00585332" w:rsidRPr="009F791E">
        <w:rPr>
          <w:rFonts w:ascii="Times New Roman" w:hAnsi="Times New Roman"/>
        </w:rPr>
        <w:t> </w:t>
      </w:r>
      <w:r w:rsidRPr="009F791E">
        <w:rPr>
          <w:rFonts w:ascii="Times New Roman" w:hAnsi="Times New Roman"/>
        </w:rPr>
        <w:t>rachunku zysków i strat za rok 2024 stosuje się przepisy dotychczasowe.</w:t>
      </w:r>
    </w:p>
    <w:p w14:paraId="3F234E7A" w14:textId="1A6222A6" w:rsidR="005F599C" w:rsidRPr="009F791E" w:rsidRDefault="005F599C" w:rsidP="009F791E">
      <w:pPr>
        <w:spacing w:before="120" w:line="360" w:lineRule="auto"/>
        <w:jc w:val="both"/>
        <w:rPr>
          <w:rFonts w:ascii="Times New Roman" w:hAnsi="Times New Roman"/>
        </w:rPr>
      </w:pPr>
      <w:r w:rsidRPr="009F791E">
        <w:rPr>
          <w:rFonts w:ascii="Times New Roman" w:hAnsi="Times New Roman"/>
        </w:rPr>
        <w:t>Przepisy dotychczasowe będą stosowane do:</w:t>
      </w:r>
    </w:p>
    <w:p w14:paraId="4886783C" w14:textId="77777777" w:rsidR="005F599C" w:rsidRPr="009F791E" w:rsidRDefault="005F599C" w:rsidP="009F791E">
      <w:pPr>
        <w:spacing w:before="120" w:line="360" w:lineRule="auto"/>
        <w:jc w:val="both"/>
        <w:rPr>
          <w:rFonts w:ascii="Times New Roman" w:hAnsi="Times New Roman"/>
        </w:rPr>
      </w:pPr>
      <w:r w:rsidRPr="009F791E">
        <w:rPr>
          <w:rFonts w:ascii="Times New Roman" w:hAnsi="Times New Roman"/>
        </w:rPr>
        <w:t>1)</w:t>
      </w:r>
      <w:r w:rsidRPr="009F791E">
        <w:rPr>
          <w:rFonts w:ascii="Times New Roman" w:hAnsi="Times New Roman"/>
        </w:rPr>
        <w:tab/>
        <w:t xml:space="preserve">sprawozdań z realizacji planów finansowych za rok 2024, o których mowa w: </w:t>
      </w:r>
    </w:p>
    <w:p w14:paraId="69BF6E6F" w14:textId="042EBF67" w:rsidR="005F599C" w:rsidRPr="009F791E" w:rsidRDefault="005F599C" w:rsidP="009F791E">
      <w:pPr>
        <w:pStyle w:val="Akapitzlist"/>
        <w:numPr>
          <w:ilvl w:val="0"/>
          <w:numId w:val="42"/>
        </w:numPr>
        <w:spacing w:before="120" w:line="360" w:lineRule="auto"/>
        <w:jc w:val="both"/>
        <w:rPr>
          <w:rFonts w:ascii="Times New Roman" w:hAnsi="Times New Roman"/>
        </w:rPr>
      </w:pPr>
      <w:r w:rsidRPr="009F791E">
        <w:rPr>
          <w:rFonts w:ascii="Times New Roman" w:hAnsi="Times New Roman"/>
        </w:rPr>
        <w:t xml:space="preserve">art. 33r ust. 7 pkt 1 lit. a ustawy zmienianej w art. 5 </w:t>
      </w:r>
      <w:bookmarkStart w:id="9" w:name="_Hlk168599347"/>
      <w:r w:rsidRPr="009F791E">
        <w:rPr>
          <w:rFonts w:ascii="Times New Roman" w:hAnsi="Times New Roman"/>
        </w:rPr>
        <w:t>projektu</w:t>
      </w:r>
      <w:bookmarkEnd w:id="9"/>
      <w:r w:rsidRPr="009F791E">
        <w:rPr>
          <w:rFonts w:ascii="Times New Roman" w:hAnsi="Times New Roman"/>
        </w:rPr>
        <w:t xml:space="preserve">, </w:t>
      </w:r>
    </w:p>
    <w:p w14:paraId="6FFC93F4" w14:textId="451AD973" w:rsidR="005F599C" w:rsidRPr="009F791E" w:rsidRDefault="005F599C" w:rsidP="009F791E">
      <w:pPr>
        <w:pStyle w:val="Akapitzlist"/>
        <w:numPr>
          <w:ilvl w:val="0"/>
          <w:numId w:val="42"/>
        </w:numPr>
        <w:spacing w:before="120" w:line="360" w:lineRule="auto"/>
        <w:jc w:val="both"/>
        <w:rPr>
          <w:rFonts w:ascii="Times New Roman" w:hAnsi="Times New Roman"/>
        </w:rPr>
      </w:pPr>
      <w:r w:rsidRPr="009F791E">
        <w:rPr>
          <w:rFonts w:ascii="Times New Roman" w:hAnsi="Times New Roman"/>
        </w:rPr>
        <w:t xml:space="preserve">art. 27 ust. 4 ustawy zmienianej w art. 14 projektu, </w:t>
      </w:r>
    </w:p>
    <w:p w14:paraId="47C4EC9B" w14:textId="28ACCACC" w:rsidR="005F599C" w:rsidRPr="009F791E" w:rsidRDefault="005F599C" w:rsidP="009F791E">
      <w:pPr>
        <w:pStyle w:val="Akapitzlist"/>
        <w:numPr>
          <w:ilvl w:val="0"/>
          <w:numId w:val="42"/>
        </w:numPr>
        <w:spacing w:before="120" w:line="360" w:lineRule="auto"/>
        <w:jc w:val="both"/>
        <w:rPr>
          <w:rFonts w:ascii="Times New Roman" w:hAnsi="Times New Roman"/>
        </w:rPr>
      </w:pPr>
      <w:r w:rsidRPr="009F791E">
        <w:rPr>
          <w:rFonts w:ascii="Times New Roman" w:hAnsi="Times New Roman"/>
        </w:rPr>
        <w:t xml:space="preserve">art. 422 ust. 5 pkt 1 lit. a ustawy zmienianej w art. 19 projektu, </w:t>
      </w:r>
    </w:p>
    <w:p w14:paraId="68B5BE9D" w14:textId="1E5A10D3" w:rsidR="005F599C" w:rsidRPr="009F791E" w:rsidRDefault="005F599C" w:rsidP="009F791E">
      <w:pPr>
        <w:pStyle w:val="Akapitzlist"/>
        <w:numPr>
          <w:ilvl w:val="0"/>
          <w:numId w:val="42"/>
        </w:numPr>
        <w:spacing w:before="120" w:line="360" w:lineRule="auto"/>
        <w:jc w:val="both"/>
        <w:rPr>
          <w:rFonts w:ascii="Times New Roman" w:hAnsi="Times New Roman"/>
        </w:rPr>
      </w:pPr>
      <w:r w:rsidRPr="009F791E">
        <w:rPr>
          <w:rFonts w:ascii="Times New Roman" w:hAnsi="Times New Roman"/>
        </w:rPr>
        <w:t xml:space="preserve">art. 15 ust. 2 pkt 5 ustawy zmienianej w art. 22 projektu, </w:t>
      </w:r>
    </w:p>
    <w:p w14:paraId="1F5E71BE" w14:textId="50E43454" w:rsidR="005F599C" w:rsidRPr="009F791E" w:rsidRDefault="005F599C" w:rsidP="009F791E">
      <w:pPr>
        <w:pStyle w:val="Akapitzlist"/>
        <w:numPr>
          <w:ilvl w:val="0"/>
          <w:numId w:val="42"/>
        </w:numPr>
        <w:spacing w:before="120" w:line="360" w:lineRule="auto"/>
        <w:jc w:val="both"/>
        <w:rPr>
          <w:rFonts w:ascii="Times New Roman" w:hAnsi="Times New Roman"/>
        </w:rPr>
      </w:pPr>
      <w:r w:rsidRPr="009F791E">
        <w:rPr>
          <w:rFonts w:ascii="Times New Roman" w:hAnsi="Times New Roman"/>
        </w:rPr>
        <w:t xml:space="preserve">art. 65 ust. 23 ustawy zmienianej w art. 23 projektu, </w:t>
      </w:r>
    </w:p>
    <w:p w14:paraId="053E3E4C" w14:textId="794EF808" w:rsidR="005F599C" w:rsidRPr="009F791E" w:rsidRDefault="005F599C" w:rsidP="009F791E">
      <w:pPr>
        <w:pStyle w:val="Akapitzlist"/>
        <w:numPr>
          <w:ilvl w:val="0"/>
          <w:numId w:val="42"/>
        </w:numPr>
        <w:spacing w:before="120" w:line="360" w:lineRule="auto"/>
        <w:jc w:val="both"/>
        <w:rPr>
          <w:rFonts w:ascii="Times New Roman" w:hAnsi="Times New Roman"/>
        </w:rPr>
      </w:pPr>
      <w:r w:rsidRPr="009F791E">
        <w:rPr>
          <w:rFonts w:ascii="Times New Roman" w:hAnsi="Times New Roman"/>
        </w:rPr>
        <w:t xml:space="preserve">art. 11 ust. 9 pkt 1 ustawy zmienianej w art. 24 projektu, </w:t>
      </w:r>
    </w:p>
    <w:p w14:paraId="3FE8ACE5" w14:textId="63435F3F" w:rsidR="005F599C" w:rsidRPr="009F791E" w:rsidRDefault="005F599C" w:rsidP="009F791E">
      <w:pPr>
        <w:pStyle w:val="Akapitzlist"/>
        <w:numPr>
          <w:ilvl w:val="0"/>
          <w:numId w:val="42"/>
        </w:numPr>
        <w:spacing w:before="120" w:line="360" w:lineRule="auto"/>
        <w:jc w:val="both"/>
        <w:rPr>
          <w:rFonts w:ascii="Times New Roman" w:hAnsi="Times New Roman"/>
        </w:rPr>
      </w:pPr>
      <w:r w:rsidRPr="009F791E">
        <w:rPr>
          <w:rFonts w:ascii="Times New Roman" w:hAnsi="Times New Roman"/>
        </w:rPr>
        <w:t xml:space="preserve">art. 42 ust. 7 pkt 2 ustawy zmienianej w art. 25 projektu, </w:t>
      </w:r>
    </w:p>
    <w:p w14:paraId="5C3DAB60" w14:textId="13072CB1" w:rsidR="005F599C" w:rsidRPr="009F791E" w:rsidRDefault="005F599C" w:rsidP="009F791E">
      <w:pPr>
        <w:pStyle w:val="Akapitzlist"/>
        <w:numPr>
          <w:ilvl w:val="0"/>
          <w:numId w:val="42"/>
        </w:numPr>
        <w:spacing w:before="120" w:line="360" w:lineRule="auto"/>
        <w:jc w:val="both"/>
        <w:rPr>
          <w:rFonts w:ascii="Times New Roman" w:hAnsi="Times New Roman"/>
        </w:rPr>
      </w:pPr>
      <w:r w:rsidRPr="009F791E">
        <w:rPr>
          <w:rFonts w:ascii="Times New Roman" w:hAnsi="Times New Roman"/>
        </w:rPr>
        <w:t xml:space="preserve">art. 14 ust. 29 ustawy zmienianej w art. 26 projektu, </w:t>
      </w:r>
    </w:p>
    <w:p w14:paraId="44E46814" w14:textId="2AB40697" w:rsidR="005F599C" w:rsidRPr="009F791E" w:rsidRDefault="005F599C" w:rsidP="009F791E">
      <w:pPr>
        <w:spacing w:before="120" w:line="360" w:lineRule="auto"/>
        <w:jc w:val="both"/>
        <w:rPr>
          <w:rFonts w:ascii="Times New Roman" w:hAnsi="Times New Roman"/>
        </w:rPr>
      </w:pPr>
      <w:r w:rsidRPr="009F791E">
        <w:rPr>
          <w:rFonts w:ascii="Times New Roman" w:hAnsi="Times New Roman"/>
        </w:rPr>
        <w:t>2)</w:t>
      </w:r>
      <w:r w:rsidRPr="009F791E">
        <w:rPr>
          <w:rFonts w:ascii="Times New Roman" w:hAnsi="Times New Roman"/>
        </w:rPr>
        <w:tab/>
        <w:t>sprawozdania z realizacji planu finansowego za trzeci i czwarty kwartał 2024 r., o którym mowa w art. 27 ust. 3 ustawy zmienianej w art. 14 projektu,</w:t>
      </w:r>
    </w:p>
    <w:p w14:paraId="097997D1" w14:textId="77777777" w:rsidR="005F599C" w:rsidRPr="009F791E" w:rsidRDefault="005F599C" w:rsidP="009F791E">
      <w:pPr>
        <w:spacing w:before="120" w:line="360" w:lineRule="auto"/>
        <w:jc w:val="both"/>
        <w:rPr>
          <w:rFonts w:ascii="Times New Roman" w:hAnsi="Times New Roman"/>
        </w:rPr>
      </w:pPr>
      <w:r w:rsidRPr="009F791E">
        <w:rPr>
          <w:rFonts w:ascii="Times New Roman" w:hAnsi="Times New Roman"/>
        </w:rPr>
        <w:t>3)</w:t>
      </w:r>
      <w:r w:rsidRPr="009F791E">
        <w:rPr>
          <w:rFonts w:ascii="Times New Roman" w:hAnsi="Times New Roman"/>
        </w:rPr>
        <w:tab/>
        <w:t xml:space="preserve">informacji o realizacji planu finansowego za trzeci i czwarty kwartał 2024 r., o którym mowa w: </w:t>
      </w:r>
    </w:p>
    <w:p w14:paraId="18C1EA85" w14:textId="14F5BAFF" w:rsidR="005F599C" w:rsidRPr="009F791E" w:rsidRDefault="005F599C" w:rsidP="009F791E">
      <w:pPr>
        <w:pStyle w:val="Akapitzlist"/>
        <w:numPr>
          <w:ilvl w:val="0"/>
          <w:numId w:val="43"/>
        </w:numPr>
        <w:spacing w:before="120" w:line="360" w:lineRule="auto"/>
        <w:jc w:val="both"/>
        <w:rPr>
          <w:rFonts w:ascii="Times New Roman" w:hAnsi="Times New Roman"/>
        </w:rPr>
      </w:pPr>
      <w:r w:rsidRPr="009F791E">
        <w:rPr>
          <w:rFonts w:ascii="Times New Roman" w:hAnsi="Times New Roman"/>
        </w:rPr>
        <w:t xml:space="preserve">art. w art. 33r ust. 8 ustawy zmienianej w art. 5 projektu, </w:t>
      </w:r>
    </w:p>
    <w:p w14:paraId="624EAFA1" w14:textId="3A1202A9" w:rsidR="005F599C" w:rsidRPr="009F791E" w:rsidRDefault="005F599C" w:rsidP="009F791E">
      <w:pPr>
        <w:pStyle w:val="Akapitzlist"/>
        <w:numPr>
          <w:ilvl w:val="0"/>
          <w:numId w:val="43"/>
        </w:numPr>
        <w:spacing w:before="120" w:line="360" w:lineRule="auto"/>
        <w:jc w:val="both"/>
        <w:rPr>
          <w:rFonts w:ascii="Times New Roman" w:hAnsi="Times New Roman"/>
        </w:rPr>
      </w:pPr>
      <w:r w:rsidRPr="009F791E">
        <w:rPr>
          <w:rFonts w:ascii="Times New Roman" w:hAnsi="Times New Roman"/>
        </w:rPr>
        <w:t xml:space="preserve">art. 5 ust. 4 pkt 3 ustawy zmienianej w art. 9 projektu, </w:t>
      </w:r>
    </w:p>
    <w:p w14:paraId="7FB49FFB" w14:textId="7B619014" w:rsidR="005F599C" w:rsidRPr="009F791E" w:rsidRDefault="005F599C" w:rsidP="009F791E">
      <w:pPr>
        <w:pStyle w:val="Akapitzlist"/>
        <w:numPr>
          <w:ilvl w:val="0"/>
          <w:numId w:val="43"/>
        </w:numPr>
        <w:spacing w:before="120" w:line="360" w:lineRule="auto"/>
        <w:jc w:val="both"/>
        <w:rPr>
          <w:rFonts w:ascii="Times New Roman" w:hAnsi="Times New Roman"/>
        </w:rPr>
      </w:pPr>
      <w:r w:rsidRPr="009F791E">
        <w:rPr>
          <w:rFonts w:ascii="Times New Roman" w:hAnsi="Times New Roman"/>
        </w:rPr>
        <w:lastRenderedPageBreak/>
        <w:t xml:space="preserve">art. 422b ust. 6 ustawy zmienianej w art. 19 projektu, </w:t>
      </w:r>
    </w:p>
    <w:p w14:paraId="4F6A60FC" w14:textId="1D185E80" w:rsidR="005F599C" w:rsidRPr="009F791E" w:rsidRDefault="005F599C" w:rsidP="009F791E">
      <w:pPr>
        <w:pStyle w:val="Akapitzlist"/>
        <w:numPr>
          <w:ilvl w:val="0"/>
          <w:numId w:val="43"/>
        </w:numPr>
        <w:spacing w:before="120" w:line="360" w:lineRule="auto"/>
        <w:jc w:val="both"/>
        <w:rPr>
          <w:rFonts w:ascii="Times New Roman" w:hAnsi="Times New Roman"/>
        </w:rPr>
      </w:pPr>
      <w:r w:rsidRPr="009F791E">
        <w:rPr>
          <w:rFonts w:ascii="Times New Roman" w:hAnsi="Times New Roman"/>
        </w:rPr>
        <w:t>art. 11 ust. 9 pkt 2 ustawy zmienianej w art. 24 projektu,</w:t>
      </w:r>
    </w:p>
    <w:p w14:paraId="3F1786AD" w14:textId="69745EA5" w:rsidR="005F599C" w:rsidRPr="009F791E" w:rsidRDefault="005F599C" w:rsidP="009F791E">
      <w:pPr>
        <w:spacing w:before="120" w:line="360" w:lineRule="auto"/>
        <w:jc w:val="both"/>
        <w:rPr>
          <w:rFonts w:ascii="Times New Roman" w:hAnsi="Times New Roman"/>
        </w:rPr>
      </w:pPr>
      <w:r w:rsidRPr="009F791E">
        <w:rPr>
          <w:rFonts w:ascii="Times New Roman" w:hAnsi="Times New Roman"/>
        </w:rPr>
        <w:t>4)</w:t>
      </w:r>
      <w:r w:rsidRPr="009F791E">
        <w:rPr>
          <w:rFonts w:ascii="Times New Roman" w:hAnsi="Times New Roman"/>
        </w:rPr>
        <w:tab/>
        <w:t>bilansu i rachunku zysków i strat za rok 2024, o którym mowa w art. 33r ust. 7 pkt 1 lit.</w:t>
      </w:r>
      <w:r w:rsidR="008B155F">
        <w:rPr>
          <w:rFonts w:ascii="Times New Roman" w:hAnsi="Times New Roman"/>
        </w:rPr>
        <w:t> </w:t>
      </w:r>
      <w:r w:rsidRPr="009F791E">
        <w:rPr>
          <w:rFonts w:ascii="Times New Roman" w:hAnsi="Times New Roman"/>
        </w:rPr>
        <w:t>b ustawy zmienianej w art. 5 projektu,</w:t>
      </w:r>
    </w:p>
    <w:p w14:paraId="0496809B" w14:textId="63F1BBD0" w:rsidR="005F599C" w:rsidRPr="009F791E" w:rsidRDefault="005F599C" w:rsidP="009F791E">
      <w:pPr>
        <w:spacing w:before="120" w:line="360" w:lineRule="auto"/>
        <w:jc w:val="both"/>
        <w:rPr>
          <w:rFonts w:ascii="Times New Roman" w:hAnsi="Times New Roman"/>
        </w:rPr>
      </w:pPr>
      <w:r w:rsidRPr="009F791E">
        <w:rPr>
          <w:rFonts w:ascii="Times New Roman" w:hAnsi="Times New Roman"/>
        </w:rPr>
        <w:t xml:space="preserve">5) </w:t>
      </w:r>
      <w:r w:rsidRPr="009F791E">
        <w:rPr>
          <w:rFonts w:ascii="Times New Roman" w:hAnsi="Times New Roman"/>
        </w:rPr>
        <w:tab/>
        <w:t>sprawozdania z działalności oraz wyników za rok 2024, o których mowa w art. 422b ust. 5 pkt 1 lit. b ustawy zmienianej w art. 19 projektu.</w:t>
      </w:r>
    </w:p>
    <w:p w14:paraId="561CB252" w14:textId="2484BDE6" w:rsidR="00371750" w:rsidRPr="009F791E" w:rsidRDefault="00371750" w:rsidP="009F791E">
      <w:pPr>
        <w:spacing w:before="120" w:line="360" w:lineRule="auto"/>
        <w:jc w:val="both"/>
        <w:rPr>
          <w:rFonts w:ascii="Times New Roman" w:hAnsi="Times New Roman"/>
        </w:rPr>
      </w:pPr>
      <w:r w:rsidRPr="009F791E">
        <w:rPr>
          <w:rFonts w:ascii="Times New Roman" w:hAnsi="Times New Roman"/>
        </w:rPr>
        <w:t>Zmiana w art. 65 ustawy z dnia 31 marca 2020 r. o zmianie ustawy o szczególnych rozwiązaniach związanych z zapobieganiem, przeciwdziałaniem i zwalczaniem COVID-19, innych chorób zakaźnych oraz wywołanych nimi sytuacji kryzysowych oraz niektórych innych ustaw ma ponadto związek ze zgłaszanymi na etapie realizacji tej ustawy wątpliwościami dotyczącymi trybu dochodzenia zwrotu środków przekazanych z Funduszu Przeciwdziałania COVID-19, które zostały wykorzystane niezgodnie z przeznaczeniem, pobrane nienależnie lub w nadmiernej wysokości. Brak odpowiednich regulacji w tym zakresie utrudnia odzyskiwania środków pochodzących z tego funduszu.</w:t>
      </w:r>
    </w:p>
    <w:p w14:paraId="25F1D93E" w14:textId="0A6B710D" w:rsidR="00371750" w:rsidRPr="009F791E" w:rsidRDefault="00371750" w:rsidP="009F791E">
      <w:pPr>
        <w:spacing w:before="120" w:line="360" w:lineRule="auto"/>
        <w:jc w:val="both"/>
        <w:rPr>
          <w:rFonts w:ascii="Times New Roman" w:hAnsi="Times New Roman"/>
        </w:rPr>
      </w:pPr>
      <w:r w:rsidRPr="009F791E">
        <w:rPr>
          <w:rFonts w:ascii="Times New Roman" w:hAnsi="Times New Roman"/>
        </w:rPr>
        <w:t>W dodawanych ust. 44–48 została uregulowana kwestia zwrotu środków udzielonych z</w:t>
      </w:r>
      <w:r w:rsidR="00585332" w:rsidRPr="009F791E">
        <w:rPr>
          <w:rFonts w:ascii="Times New Roman" w:hAnsi="Times New Roman"/>
        </w:rPr>
        <w:t> </w:t>
      </w:r>
      <w:r w:rsidRPr="009F791E">
        <w:rPr>
          <w:rFonts w:ascii="Times New Roman" w:hAnsi="Times New Roman"/>
        </w:rPr>
        <w:t>Funduszu Przeciwdziałania COVID-19 w części, w jakiej zostały one niewykorzystane, pobrane nienależnie, pobrane w nadmiernej wysokości lub wykorzystane niezgodnie z</w:t>
      </w:r>
      <w:r w:rsidR="00B505A1">
        <w:rPr>
          <w:rFonts w:ascii="Times New Roman" w:hAnsi="Times New Roman"/>
        </w:rPr>
        <w:t xml:space="preserve"> </w:t>
      </w:r>
      <w:r w:rsidRPr="009F791E">
        <w:rPr>
          <w:rFonts w:ascii="Times New Roman" w:hAnsi="Times New Roman"/>
        </w:rPr>
        <w:t>przeznaczeniem. Przepisy określają także organy pierwszej instancji właściwe do wydawania decyzji w sprawie zwrotu środków oraz organy odwoławcze.</w:t>
      </w:r>
    </w:p>
    <w:p w14:paraId="4A27F71D" w14:textId="77777777" w:rsidR="00371750" w:rsidRPr="009F791E" w:rsidRDefault="00371750" w:rsidP="009F791E">
      <w:pPr>
        <w:spacing w:before="120" w:line="360" w:lineRule="auto"/>
        <w:jc w:val="both"/>
        <w:rPr>
          <w:rFonts w:ascii="Times New Roman" w:hAnsi="Times New Roman"/>
        </w:rPr>
      </w:pPr>
      <w:r w:rsidRPr="009F791E">
        <w:rPr>
          <w:rFonts w:ascii="Times New Roman" w:hAnsi="Times New Roman"/>
        </w:rPr>
        <w:t>Zastrzec należy, że odrębne przepisy mogą określać kwestie dochodzenia zwrotu środków przekazanych z Funduszu Przeciwdziałania COVID-19, w tym organów właściwych do wydawania decyzji w sprawie zwrotu środków, w sposób odmienny. Należą do nich m.in. przepisy ustaw dotyczących wsparcia podmiotów dotkniętych kryzysem energetycznym lub zapewnienia bezpieczeństwa energetycznego, dotyczące decyzji w sprawie zwrotu środków wydawanych przez Zarządcę Rozliczeń S.A. czy przez organy wykonawcze gminy. Ustawy te nie regulują jednak kwestii zwrotów w sposób kompleksowy i jednolity (np. w zakresie określenia terminów zwrotów).</w:t>
      </w:r>
    </w:p>
    <w:p w14:paraId="7A3FFA55" w14:textId="40C3418C" w:rsidR="00371750" w:rsidRPr="009F791E" w:rsidRDefault="00371750" w:rsidP="009F791E">
      <w:pPr>
        <w:spacing w:before="120" w:line="360" w:lineRule="auto"/>
        <w:jc w:val="both"/>
        <w:rPr>
          <w:rFonts w:ascii="Times New Roman" w:hAnsi="Times New Roman"/>
        </w:rPr>
      </w:pPr>
      <w:r w:rsidRPr="009F791E">
        <w:rPr>
          <w:rFonts w:ascii="Times New Roman" w:hAnsi="Times New Roman"/>
        </w:rPr>
        <w:t>Do postępowania odwoławczego w zakresie zwrotu środków udzielonych z Funduszu Przeciwdziałania COVID-19 będzie miała zastosowanie odpowiednio ustawa o finansach publicznych, w zakresie przepisów dotyczących zwrotu dotacji udzielanych z budżetu państwa. Tym samym, zgodnie z art. 67 tej ustawy, odpowiednie zastosowanie znajdą przepisy ustawy z dnia 14 czerwca 1960 r. – Kodeks postępowania administracyjnego (Dz.</w:t>
      </w:r>
      <w:r w:rsidR="008B155F">
        <w:rPr>
          <w:rFonts w:ascii="Times New Roman" w:hAnsi="Times New Roman"/>
        </w:rPr>
        <w:t xml:space="preserve"> </w:t>
      </w:r>
      <w:r w:rsidRPr="009F791E">
        <w:rPr>
          <w:rFonts w:ascii="Times New Roman" w:hAnsi="Times New Roman"/>
        </w:rPr>
        <w:t xml:space="preserve">U. z 2024 r. </w:t>
      </w:r>
      <w:r w:rsidRPr="009F791E">
        <w:rPr>
          <w:rFonts w:ascii="Times New Roman" w:hAnsi="Times New Roman"/>
        </w:rPr>
        <w:lastRenderedPageBreak/>
        <w:t>poz.</w:t>
      </w:r>
      <w:r w:rsidR="008B155F">
        <w:rPr>
          <w:rFonts w:ascii="Times New Roman" w:hAnsi="Times New Roman"/>
        </w:rPr>
        <w:t> </w:t>
      </w:r>
      <w:r w:rsidRPr="009F791E">
        <w:rPr>
          <w:rFonts w:ascii="Times New Roman" w:hAnsi="Times New Roman"/>
        </w:rPr>
        <w:t>572) i odpowiednio przepisy działu III ustawy z dnia 29 sierpnia 1997 r. – Ordynacja podatkowa (Dz.U. z 2023 r. poz. 2383, z późn. zm.).</w:t>
      </w:r>
      <w:r w:rsidR="00B505A1">
        <w:rPr>
          <w:rFonts w:ascii="Times New Roman" w:hAnsi="Times New Roman"/>
        </w:rPr>
        <w:t xml:space="preserve"> </w:t>
      </w:r>
    </w:p>
    <w:p w14:paraId="0373972D" w14:textId="77777777" w:rsidR="00371750" w:rsidRPr="009F791E" w:rsidRDefault="00371750" w:rsidP="009F791E">
      <w:pPr>
        <w:spacing w:before="120" w:line="360" w:lineRule="auto"/>
        <w:jc w:val="both"/>
        <w:rPr>
          <w:rFonts w:ascii="Times New Roman" w:hAnsi="Times New Roman"/>
        </w:rPr>
      </w:pPr>
      <w:r w:rsidRPr="009F791E">
        <w:rPr>
          <w:rFonts w:ascii="Times New Roman" w:hAnsi="Times New Roman"/>
        </w:rPr>
        <w:t>Powyższe rozwiązanie jest analogiczne do przyjętego dla Funduszu Pomocy w ustawie z dnia 15 maja 2024 r. o zmianie ustawy o pomocy obywatelom Ukrainy w związku z konfliktem zbrojnym na terytorium tego państwa oraz niektórych innych ustaw, służy zatem ujednoliceniu zasad gospodarowania środkami publicznymi.</w:t>
      </w:r>
    </w:p>
    <w:p w14:paraId="13B472C4" w14:textId="7C53E6E4" w:rsidR="00EB68E8" w:rsidRPr="009F791E" w:rsidRDefault="00371750" w:rsidP="009F791E">
      <w:pPr>
        <w:spacing w:before="120" w:line="360" w:lineRule="auto"/>
        <w:jc w:val="both"/>
        <w:rPr>
          <w:rFonts w:ascii="Times New Roman" w:hAnsi="Times New Roman"/>
        </w:rPr>
      </w:pPr>
      <w:r w:rsidRPr="009F791E">
        <w:rPr>
          <w:rFonts w:ascii="Times New Roman" w:hAnsi="Times New Roman"/>
        </w:rPr>
        <w:t>Proponowane przepisy znajdą zastosowanie po raz pierwszy do finansowania lub dofinansowania ze środków pochodzących z Funduszu Przeciwdziałania COVID-19 udzielonego od dnia wejścia w życie niniejszej ustawy.</w:t>
      </w:r>
    </w:p>
    <w:p w14:paraId="6661BE32" w14:textId="2A981B6B" w:rsidR="00C30E0B" w:rsidRPr="009F791E" w:rsidRDefault="00C30E0B" w:rsidP="009F791E">
      <w:pPr>
        <w:spacing w:before="120" w:line="360" w:lineRule="auto"/>
        <w:jc w:val="both"/>
        <w:rPr>
          <w:rFonts w:ascii="Times New Roman" w:hAnsi="Times New Roman"/>
        </w:rPr>
      </w:pPr>
      <w:r w:rsidRPr="009F791E">
        <w:rPr>
          <w:rFonts w:ascii="Times New Roman" w:hAnsi="Times New Roman"/>
        </w:rPr>
        <w:t xml:space="preserve">Nowe rozwiązania w zakresie SRW będą miały zastosowanie po raz pierwszy do projektu ustawy budżetowej na rok 2025. W przypadku zmiany ustawy budżetowej na rok 2024 w zakresie SRW będą miały zastosowanie przepisy ustawy o finansach publicznych w brzmieniu </w:t>
      </w:r>
      <w:r w:rsidR="0074695E" w:rsidRPr="009F791E">
        <w:rPr>
          <w:rFonts w:ascii="Times New Roman" w:hAnsi="Times New Roman"/>
        </w:rPr>
        <w:t>dotychczasowym oraz przepisy ustawy z dnia 13 lipca 2023 r. o zmianie ustawy o finansach publicznych oraz niektórych innych ustaw (zmienianej w art. 28), w brzmieniu nadanym niniejszą ustawą</w:t>
      </w:r>
      <w:r w:rsidRPr="009F791E">
        <w:rPr>
          <w:rFonts w:ascii="Times New Roman" w:hAnsi="Times New Roman"/>
        </w:rPr>
        <w:t xml:space="preserve">. </w:t>
      </w:r>
    </w:p>
    <w:p w14:paraId="4C39F0D3" w14:textId="77777777" w:rsidR="00EB68E8" w:rsidRPr="009F791E" w:rsidRDefault="00EB68E8" w:rsidP="009F791E">
      <w:pPr>
        <w:pStyle w:val="Nagwek1"/>
        <w:spacing w:line="360" w:lineRule="auto"/>
        <w:rPr>
          <w:rStyle w:val="Wyrnieniedelikatne"/>
          <w:rFonts w:ascii="Times New Roman" w:hAnsi="Times New Roman" w:cs="Times New Roman"/>
          <w:b/>
          <w:bCs/>
          <w:i w:val="0"/>
          <w:iCs w:val="0"/>
          <w:color w:val="auto"/>
          <w:sz w:val="24"/>
          <w:szCs w:val="24"/>
        </w:rPr>
      </w:pPr>
      <w:r w:rsidRPr="009F791E">
        <w:rPr>
          <w:rStyle w:val="Wyrnieniedelikatne"/>
          <w:rFonts w:ascii="Times New Roman" w:hAnsi="Times New Roman" w:cs="Times New Roman"/>
          <w:b/>
          <w:bCs/>
          <w:i w:val="0"/>
          <w:iCs w:val="0"/>
          <w:color w:val="auto"/>
          <w:sz w:val="24"/>
          <w:szCs w:val="24"/>
        </w:rPr>
        <w:t>III. Skutki społeczno-gospodarcze</w:t>
      </w:r>
    </w:p>
    <w:p w14:paraId="65D8AF15" w14:textId="24076D7F" w:rsidR="00EB68E8" w:rsidRPr="009F791E" w:rsidRDefault="00EB68E8" w:rsidP="009F791E">
      <w:pPr>
        <w:spacing w:before="120" w:line="360" w:lineRule="auto"/>
        <w:jc w:val="both"/>
        <w:rPr>
          <w:rFonts w:ascii="Times New Roman" w:hAnsi="Times New Roman"/>
        </w:rPr>
      </w:pPr>
      <w:r w:rsidRPr="009F791E">
        <w:rPr>
          <w:rFonts w:ascii="Times New Roman" w:hAnsi="Times New Roman"/>
        </w:rPr>
        <w:t>Projektowane przepisy nie będą miały wpływu na całość życia społeczno-gospodarczego w Polsce.</w:t>
      </w:r>
      <w:r w:rsidR="00B505A1">
        <w:rPr>
          <w:rFonts w:ascii="Times New Roman" w:hAnsi="Times New Roman"/>
        </w:rPr>
        <w:t xml:space="preserve"> </w:t>
      </w:r>
      <w:r w:rsidRPr="009F791E">
        <w:rPr>
          <w:rFonts w:ascii="Times New Roman" w:hAnsi="Times New Roman"/>
        </w:rPr>
        <w:t>Wpływ na sektor finansów publicznych będzie miała realizacja wydatków, możliwa dzięki dodatkowej przestrzeni fiskalnej, stworzonej poprzez zmiany w SRW, w szczególności wprowadzenie wyłączenie z SRW wydatków jednostek i organów objętych SRW na współfinansowanie projektów finansowanych ze środków z UE.</w:t>
      </w:r>
    </w:p>
    <w:p w14:paraId="44C1B011" w14:textId="37FFEC6F" w:rsidR="00EB68E8" w:rsidRPr="009F791E" w:rsidRDefault="00EB68E8" w:rsidP="009F791E">
      <w:pPr>
        <w:pStyle w:val="Nagwek1"/>
        <w:spacing w:line="360" w:lineRule="auto"/>
        <w:jc w:val="both"/>
        <w:rPr>
          <w:rStyle w:val="Wyrnieniedelikatne"/>
          <w:rFonts w:ascii="Times New Roman" w:hAnsi="Times New Roman" w:cs="Times New Roman"/>
          <w:b/>
          <w:bCs/>
          <w:i w:val="0"/>
          <w:iCs w:val="0"/>
          <w:color w:val="auto"/>
          <w:sz w:val="24"/>
          <w:szCs w:val="24"/>
        </w:rPr>
      </w:pPr>
      <w:r w:rsidRPr="009F791E">
        <w:rPr>
          <w:rStyle w:val="Wyrnieniedelikatne"/>
          <w:rFonts w:ascii="Times New Roman" w:hAnsi="Times New Roman" w:cs="Times New Roman"/>
          <w:b/>
          <w:bCs/>
          <w:i w:val="0"/>
          <w:iCs w:val="0"/>
          <w:color w:val="auto"/>
          <w:sz w:val="24"/>
          <w:szCs w:val="24"/>
        </w:rPr>
        <w:t xml:space="preserve">IV. Realizacja art. 66 ustawy z dnia 6 marca 2018 r. </w:t>
      </w:r>
      <w:r w:rsidR="00B505A1">
        <w:rPr>
          <w:rStyle w:val="Wyrnieniedelikatne"/>
          <w:rFonts w:ascii="Times New Roman" w:hAnsi="Times New Roman" w:cs="Times New Roman"/>
          <w:b/>
          <w:bCs/>
          <w:i w:val="0"/>
          <w:iCs w:val="0"/>
          <w:color w:val="auto"/>
          <w:sz w:val="24"/>
          <w:szCs w:val="24"/>
        </w:rPr>
        <w:t>–</w:t>
      </w:r>
      <w:r w:rsidRPr="009F791E">
        <w:rPr>
          <w:rStyle w:val="Wyrnieniedelikatne"/>
          <w:rFonts w:ascii="Times New Roman" w:hAnsi="Times New Roman" w:cs="Times New Roman"/>
          <w:b/>
          <w:bCs/>
          <w:i w:val="0"/>
          <w:iCs w:val="0"/>
          <w:color w:val="auto"/>
          <w:sz w:val="24"/>
          <w:szCs w:val="24"/>
        </w:rPr>
        <w:t xml:space="preserve"> Prawo przedsiębiorców (</w:t>
      </w:r>
      <w:hyperlink r:id="rId8" w:history="1">
        <w:r w:rsidRPr="009F791E">
          <w:rPr>
            <w:rStyle w:val="Wyrnieniedelikatne"/>
            <w:rFonts w:ascii="Times New Roman" w:hAnsi="Times New Roman" w:cs="Times New Roman"/>
            <w:b/>
            <w:bCs/>
            <w:i w:val="0"/>
            <w:iCs w:val="0"/>
            <w:color w:val="auto"/>
            <w:sz w:val="24"/>
            <w:szCs w:val="24"/>
          </w:rPr>
          <w:t>Dz.</w:t>
        </w:r>
        <w:r w:rsidR="00585332" w:rsidRPr="009F791E">
          <w:rPr>
            <w:rStyle w:val="Wyrnieniedelikatne"/>
            <w:rFonts w:ascii="Times New Roman" w:hAnsi="Times New Roman" w:cs="Times New Roman"/>
            <w:b/>
            <w:bCs/>
            <w:i w:val="0"/>
            <w:iCs w:val="0"/>
            <w:color w:val="auto"/>
            <w:sz w:val="24"/>
            <w:szCs w:val="24"/>
          </w:rPr>
          <w:t xml:space="preserve"> </w:t>
        </w:r>
        <w:r w:rsidRPr="009F791E">
          <w:rPr>
            <w:rStyle w:val="Wyrnieniedelikatne"/>
            <w:rFonts w:ascii="Times New Roman" w:hAnsi="Times New Roman" w:cs="Times New Roman"/>
            <w:b/>
            <w:bCs/>
            <w:i w:val="0"/>
            <w:iCs w:val="0"/>
            <w:color w:val="auto"/>
            <w:sz w:val="24"/>
            <w:szCs w:val="24"/>
          </w:rPr>
          <w:t>U. z</w:t>
        </w:r>
        <w:r w:rsidR="00585332" w:rsidRPr="009F791E">
          <w:rPr>
            <w:rStyle w:val="Wyrnieniedelikatne"/>
            <w:rFonts w:ascii="Times New Roman" w:hAnsi="Times New Roman" w:cs="Times New Roman"/>
            <w:b/>
            <w:bCs/>
            <w:i w:val="0"/>
            <w:iCs w:val="0"/>
            <w:color w:val="auto"/>
            <w:sz w:val="24"/>
            <w:szCs w:val="24"/>
          </w:rPr>
          <w:t> </w:t>
        </w:r>
        <w:r w:rsidRPr="009F791E">
          <w:rPr>
            <w:rStyle w:val="Wyrnieniedelikatne"/>
            <w:rFonts w:ascii="Times New Roman" w:hAnsi="Times New Roman" w:cs="Times New Roman"/>
            <w:b/>
            <w:bCs/>
            <w:i w:val="0"/>
            <w:iCs w:val="0"/>
            <w:color w:val="auto"/>
            <w:sz w:val="24"/>
            <w:szCs w:val="24"/>
          </w:rPr>
          <w:t>2024 r. poz. 236)</w:t>
        </w:r>
      </w:hyperlink>
      <w:r w:rsidRPr="009F791E">
        <w:rPr>
          <w:rStyle w:val="Wyrnieniedelikatne"/>
          <w:rFonts w:ascii="Times New Roman" w:hAnsi="Times New Roman" w:cs="Times New Roman"/>
          <w:b/>
          <w:bCs/>
          <w:i w:val="0"/>
          <w:iCs w:val="0"/>
          <w:color w:val="auto"/>
          <w:sz w:val="24"/>
          <w:szCs w:val="24"/>
        </w:rPr>
        <w:t xml:space="preserve"> i ocena przewidywanego wpływu projektu ustawy na działalność mikroprzedsiębiorców oraz małych i średnich przedsiębiorców</w:t>
      </w:r>
    </w:p>
    <w:p w14:paraId="558C442E" w14:textId="77777777" w:rsidR="00EB68E8" w:rsidRPr="009F791E" w:rsidRDefault="00EB68E8" w:rsidP="009F791E">
      <w:pPr>
        <w:spacing w:before="120" w:line="360" w:lineRule="auto"/>
        <w:jc w:val="both"/>
        <w:rPr>
          <w:rFonts w:ascii="Times New Roman" w:hAnsi="Times New Roman"/>
          <w:bCs/>
          <w:iCs/>
        </w:rPr>
      </w:pPr>
      <w:r w:rsidRPr="009F791E">
        <w:rPr>
          <w:rFonts w:ascii="Times New Roman" w:hAnsi="Times New Roman"/>
          <w:bCs/>
          <w:iCs/>
        </w:rPr>
        <w:t>Projekt ustawy bezpośrednio nie wpływa na mikro-, małych i średnich przedsiębiorców.</w:t>
      </w:r>
    </w:p>
    <w:p w14:paraId="012087E9" w14:textId="77777777" w:rsidR="00EB68E8" w:rsidRPr="009F791E" w:rsidRDefault="00EB68E8" w:rsidP="009F791E">
      <w:pPr>
        <w:pStyle w:val="Nagwek1"/>
        <w:spacing w:line="360" w:lineRule="auto"/>
        <w:rPr>
          <w:rStyle w:val="Wyrnieniedelikatne"/>
          <w:rFonts w:ascii="Times New Roman" w:hAnsi="Times New Roman" w:cs="Times New Roman"/>
          <w:b/>
          <w:bCs/>
          <w:i w:val="0"/>
          <w:iCs w:val="0"/>
          <w:color w:val="auto"/>
          <w:sz w:val="24"/>
          <w:szCs w:val="24"/>
        </w:rPr>
      </w:pPr>
      <w:r w:rsidRPr="009F791E">
        <w:rPr>
          <w:rStyle w:val="Wyrnieniedelikatne"/>
          <w:rFonts w:ascii="Times New Roman" w:hAnsi="Times New Roman" w:cs="Times New Roman"/>
          <w:b/>
          <w:bCs/>
          <w:i w:val="0"/>
          <w:iCs w:val="0"/>
          <w:color w:val="auto"/>
          <w:sz w:val="24"/>
          <w:szCs w:val="24"/>
        </w:rPr>
        <w:t>V. Pozostałe kwestie</w:t>
      </w:r>
    </w:p>
    <w:p w14:paraId="580A9809" w14:textId="01D44218" w:rsidR="00EB68E8" w:rsidRPr="009F791E" w:rsidRDefault="00EB68E8" w:rsidP="009F791E">
      <w:pPr>
        <w:spacing w:before="120" w:line="360" w:lineRule="auto"/>
        <w:jc w:val="both"/>
        <w:rPr>
          <w:rFonts w:ascii="Times New Roman" w:hAnsi="Times New Roman"/>
        </w:rPr>
      </w:pPr>
      <w:r w:rsidRPr="009F791E">
        <w:rPr>
          <w:rFonts w:ascii="Times New Roman" w:hAnsi="Times New Roman"/>
        </w:rPr>
        <w:t>Projekt ustawy</w:t>
      </w:r>
      <w:r w:rsidR="00194E6E" w:rsidRPr="009F791E">
        <w:rPr>
          <w:rFonts w:ascii="Times New Roman" w:hAnsi="Times New Roman"/>
          <w:color w:val="000000" w:themeColor="text1"/>
        </w:rPr>
        <w:t xml:space="preserve"> </w:t>
      </w:r>
      <w:r w:rsidRPr="009F791E">
        <w:rPr>
          <w:rFonts w:ascii="Times New Roman" w:hAnsi="Times New Roman"/>
        </w:rPr>
        <w:t>jest zgodny z prawem Unii Europejskiej. Zaproponowane w projekcie ustawy działanie jest spójne z rozwiązaniem zastosowanym w</w:t>
      </w:r>
      <w:r w:rsidR="00585332" w:rsidRPr="009F791E">
        <w:rPr>
          <w:rFonts w:ascii="Times New Roman" w:hAnsi="Times New Roman"/>
        </w:rPr>
        <w:t> </w:t>
      </w:r>
      <w:r w:rsidRPr="009F791E">
        <w:rPr>
          <w:rFonts w:ascii="Times New Roman" w:hAnsi="Times New Roman"/>
        </w:rPr>
        <w:t xml:space="preserve">Unii Europejskiej. </w:t>
      </w:r>
    </w:p>
    <w:p w14:paraId="2977796C" w14:textId="77777777" w:rsidR="00EB68E8" w:rsidRPr="009F791E" w:rsidRDefault="00EB68E8" w:rsidP="009F791E">
      <w:pPr>
        <w:suppressAutoHyphens/>
        <w:spacing w:before="120" w:line="360" w:lineRule="auto"/>
        <w:jc w:val="both"/>
        <w:rPr>
          <w:rFonts w:ascii="Times New Roman" w:hAnsi="Times New Roman"/>
        </w:rPr>
      </w:pPr>
      <w:r w:rsidRPr="009F791E">
        <w:rPr>
          <w:rFonts w:ascii="Times New Roman" w:hAnsi="Times New Roman"/>
        </w:rPr>
        <w:t xml:space="preserve">Projekt nie zawiera przepisów technicznych wymagających notyfikacji w rozumieniu rozporządzenia Rady Ministrów z dnia 23 grudnia 2002 r. w sprawie sposobu funkcjonowania </w:t>
      </w:r>
      <w:r w:rsidRPr="009F791E">
        <w:rPr>
          <w:rFonts w:ascii="Times New Roman" w:hAnsi="Times New Roman"/>
        </w:rPr>
        <w:lastRenderedPageBreak/>
        <w:t>krajowego systemu notyfikacji norm i aktów prawnych (Dz. U. poz. 2039 oraz z 2004 r. poz. 597) oraz nie podlega notyfikacji na zasadach przewidzianych w tym rozporządzeniu.</w:t>
      </w:r>
    </w:p>
    <w:p w14:paraId="6779F59B" w14:textId="77777777" w:rsidR="00EB68E8" w:rsidRPr="009F791E" w:rsidRDefault="00EB68E8" w:rsidP="009F791E">
      <w:pPr>
        <w:suppressAutoHyphens/>
        <w:spacing w:before="120" w:line="360" w:lineRule="auto"/>
        <w:jc w:val="both"/>
        <w:rPr>
          <w:rFonts w:ascii="Times New Roman" w:hAnsi="Times New Roman"/>
        </w:rPr>
      </w:pPr>
      <w:r w:rsidRPr="009F791E">
        <w:rPr>
          <w:rFonts w:ascii="Times New Roman" w:hAnsi="Times New Roman"/>
        </w:rPr>
        <w:t>Projekt ustawy nie wymaga uzyskania opinii, dokonania powiadomienia, konsultacji albo uzgodnienia z właściwym organami i instytucjami Unii Europejskiej, w tym z Europejskim Bankiem Centralnym, o czym mowa w § 39 uchwały nr 190 Rady Ministrów z dnia 29 października 2013 r. – Regulamin pracy Rady Ministrów (M.P. z 2022 r. poz. 348).</w:t>
      </w:r>
    </w:p>
    <w:p w14:paraId="4CD01F30" w14:textId="477CE685" w:rsidR="00EB68E8" w:rsidRPr="009F791E" w:rsidRDefault="00EB68E8" w:rsidP="009F791E">
      <w:pPr>
        <w:suppressAutoHyphens/>
        <w:spacing w:before="120" w:line="360" w:lineRule="auto"/>
        <w:jc w:val="both"/>
        <w:rPr>
          <w:rFonts w:ascii="Times New Roman" w:hAnsi="Times New Roman"/>
        </w:rPr>
      </w:pPr>
      <w:r w:rsidRPr="009F791E">
        <w:rPr>
          <w:rFonts w:ascii="Times New Roman" w:hAnsi="Times New Roman"/>
        </w:rPr>
        <w:t xml:space="preserve">Stosownie do art. 4 ustawy z dnia 7 lipca 2005 r. o działalności lobbingowej w procesie stanowienia prawa (Dz. U. z 2017 r. poz. 248) projekt został zamieszczony w wykazie prac legislacyjnych i programowych Rady Ministrów pod nr UC49. </w:t>
      </w:r>
    </w:p>
    <w:p w14:paraId="67495325" w14:textId="4766D26B" w:rsidR="00EB68E8" w:rsidRPr="009F791E" w:rsidRDefault="00EB68E8" w:rsidP="009F791E">
      <w:pPr>
        <w:suppressAutoHyphens/>
        <w:spacing w:before="120" w:line="360" w:lineRule="auto"/>
        <w:jc w:val="both"/>
        <w:rPr>
          <w:rFonts w:ascii="Times New Roman" w:hAnsi="Times New Roman"/>
        </w:rPr>
      </w:pPr>
      <w:r w:rsidRPr="009F791E">
        <w:rPr>
          <w:rFonts w:ascii="Times New Roman" w:hAnsi="Times New Roman"/>
        </w:rPr>
        <w:t>Zgodnie z art. 5 ustawy z dnia 7 lipca 2005 r. o działalności lobbingowej w procesie stanowienia prawa oraz § 52 uchwały nr 190 Rady Ministrów z dnia 29 października 2013 r. – Regulamin pracy Rady Ministrów (M.P. z 2022 r. poz. 348) projekt ustawy zosta</w:t>
      </w:r>
      <w:r w:rsidR="0074695E" w:rsidRPr="009F791E">
        <w:rPr>
          <w:rFonts w:ascii="Times New Roman" w:hAnsi="Times New Roman"/>
        </w:rPr>
        <w:t>ł</w:t>
      </w:r>
      <w:r w:rsidRPr="009F791E">
        <w:rPr>
          <w:rFonts w:ascii="Times New Roman" w:hAnsi="Times New Roman"/>
        </w:rPr>
        <w:t xml:space="preserve"> udostępniony w</w:t>
      </w:r>
      <w:r w:rsidR="00585332" w:rsidRPr="009F791E">
        <w:rPr>
          <w:rFonts w:ascii="Times New Roman" w:hAnsi="Times New Roman"/>
        </w:rPr>
        <w:t> </w:t>
      </w:r>
      <w:r w:rsidRPr="009F791E">
        <w:rPr>
          <w:rFonts w:ascii="Times New Roman" w:hAnsi="Times New Roman"/>
        </w:rPr>
        <w:t>Biuletynie Informacji Publicznej na stronie podmiotowej Rządowego Centrum Legislacji, w</w:t>
      </w:r>
      <w:r w:rsidR="00B505A1">
        <w:rPr>
          <w:rFonts w:ascii="Times New Roman" w:hAnsi="Times New Roman"/>
        </w:rPr>
        <w:t xml:space="preserve"> </w:t>
      </w:r>
      <w:r w:rsidRPr="009F791E">
        <w:rPr>
          <w:rFonts w:ascii="Times New Roman" w:hAnsi="Times New Roman"/>
        </w:rPr>
        <w:t>serwisie Rządowy Proces Legislacyjny.</w:t>
      </w:r>
    </w:p>
    <w:p w14:paraId="0307A310" w14:textId="3DFA3A38" w:rsidR="00EB68E8" w:rsidRPr="009F791E" w:rsidRDefault="00EB68E8" w:rsidP="009F791E">
      <w:pPr>
        <w:suppressAutoHyphens/>
        <w:spacing w:before="120" w:line="360" w:lineRule="auto"/>
        <w:jc w:val="both"/>
        <w:rPr>
          <w:rFonts w:ascii="Times New Roman" w:hAnsi="Times New Roman"/>
        </w:rPr>
      </w:pPr>
      <w:r w:rsidRPr="009F791E">
        <w:rPr>
          <w:rFonts w:ascii="Times New Roman" w:hAnsi="Times New Roman"/>
        </w:rPr>
        <w:t xml:space="preserve">Wprowadzenie do polskiego systemu prawnego </w:t>
      </w:r>
      <w:r w:rsidR="00585332" w:rsidRPr="009F791E">
        <w:rPr>
          <w:rFonts w:ascii="Times New Roman" w:hAnsi="Times New Roman"/>
        </w:rPr>
        <w:t>SRW</w:t>
      </w:r>
      <w:r w:rsidRPr="009F791E">
        <w:rPr>
          <w:rFonts w:ascii="Times New Roman" w:hAnsi="Times New Roman"/>
        </w:rPr>
        <w:t xml:space="preserve"> stanowiło element transpozycji dyrektywy Rady 2011/85/UE w sprawie wymogów dla ram budżetowych państw członkowskich. W związku z tym, po opublikowaniu ustawy w Dzienniku Ustaw wymagana będzie notyfikacja zmian do Komisji Europejskiej.</w:t>
      </w:r>
    </w:p>
    <w:p w14:paraId="30237100" w14:textId="31984C7E" w:rsidR="00383B9E" w:rsidRPr="009F791E" w:rsidRDefault="00EB68E8" w:rsidP="009F791E">
      <w:pPr>
        <w:suppressAutoHyphens/>
        <w:autoSpaceDE w:val="0"/>
        <w:autoSpaceDN w:val="0"/>
        <w:adjustRightInd w:val="0"/>
        <w:spacing w:before="120" w:line="360" w:lineRule="auto"/>
        <w:jc w:val="both"/>
        <w:rPr>
          <w:rFonts w:ascii="Times New Roman" w:hAnsi="Times New Roman"/>
        </w:rPr>
      </w:pPr>
      <w:r w:rsidRPr="009F791E">
        <w:rPr>
          <w:rFonts w:ascii="Times New Roman" w:hAnsi="Times New Roman"/>
        </w:rPr>
        <w:t xml:space="preserve">Wprowadzenie zmian w projekcie ustawy o finansach publicznych w zakresie polskich ram fiskalnych nie będzie miało </w:t>
      </w:r>
      <w:r w:rsidR="00200055" w:rsidRPr="009F791E">
        <w:rPr>
          <w:rFonts w:ascii="Times New Roman" w:hAnsi="Times New Roman"/>
        </w:rPr>
        <w:t xml:space="preserve">negatywnego </w:t>
      </w:r>
      <w:r w:rsidRPr="009F791E">
        <w:rPr>
          <w:rFonts w:ascii="Times New Roman" w:hAnsi="Times New Roman"/>
        </w:rPr>
        <w:t xml:space="preserve">wpływu na realizację kamieni milowych zawartych w </w:t>
      </w:r>
      <w:r w:rsidR="008F40C6" w:rsidRPr="009F791E">
        <w:rPr>
          <w:rFonts w:ascii="Times New Roman" w:hAnsi="Times New Roman"/>
        </w:rPr>
        <w:t>KPO</w:t>
      </w:r>
      <w:r w:rsidRPr="009F791E">
        <w:rPr>
          <w:rFonts w:ascii="Times New Roman" w:hAnsi="Times New Roman"/>
        </w:rPr>
        <w:t>.</w:t>
      </w:r>
    </w:p>
    <w:sectPr w:rsidR="00383B9E" w:rsidRPr="009F791E" w:rsidSect="009F791E">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57921" w14:textId="77777777" w:rsidR="00421212" w:rsidRDefault="00421212" w:rsidP="004D6514">
      <w:r>
        <w:separator/>
      </w:r>
    </w:p>
  </w:endnote>
  <w:endnote w:type="continuationSeparator" w:id="0">
    <w:p w14:paraId="7CF4291B" w14:textId="77777777" w:rsidR="00421212" w:rsidRDefault="00421212" w:rsidP="004D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268081385"/>
      <w:docPartObj>
        <w:docPartGallery w:val="Page Numbers (Bottom of Page)"/>
        <w:docPartUnique/>
      </w:docPartObj>
    </w:sdtPr>
    <w:sdtEndPr/>
    <w:sdtContent>
      <w:p w14:paraId="625EDDF1" w14:textId="50DEDF50" w:rsidR="00DF2321" w:rsidRPr="009F791E" w:rsidRDefault="00CF5867" w:rsidP="009F791E">
        <w:pPr>
          <w:pStyle w:val="Stopka"/>
          <w:jc w:val="center"/>
          <w:rPr>
            <w:rFonts w:ascii="Times New Roman" w:hAnsi="Times New Roman"/>
          </w:rPr>
        </w:pPr>
        <w:r w:rsidRPr="009F791E">
          <w:rPr>
            <w:rFonts w:ascii="Times New Roman" w:hAnsi="Times New Roman"/>
          </w:rPr>
          <w:fldChar w:fldCharType="begin"/>
        </w:r>
        <w:r w:rsidRPr="009F791E">
          <w:rPr>
            <w:rFonts w:ascii="Times New Roman" w:hAnsi="Times New Roman"/>
          </w:rPr>
          <w:instrText>PAGE   \* MERGEFORMAT</w:instrText>
        </w:r>
        <w:r w:rsidRPr="009F791E">
          <w:rPr>
            <w:rFonts w:ascii="Times New Roman" w:hAnsi="Times New Roman"/>
          </w:rPr>
          <w:fldChar w:fldCharType="separate"/>
        </w:r>
        <w:r w:rsidRPr="009F791E">
          <w:rPr>
            <w:rFonts w:ascii="Times New Roman" w:hAnsi="Times New Roman"/>
          </w:rPr>
          <w:t>2</w:t>
        </w:r>
        <w:r w:rsidRPr="009F791E">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2CE0A" w14:textId="77777777" w:rsidR="00421212" w:rsidRDefault="00421212" w:rsidP="004D6514">
      <w:r>
        <w:separator/>
      </w:r>
    </w:p>
  </w:footnote>
  <w:footnote w:type="continuationSeparator" w:id="0">
    <w:p w14:paraId="090142CF" w14:textId="77777777" w:rsidR="00421212" w:rsidRDefault="00421212" w:rsidP="004D6514">
      <w:r>
        <w:continuationSeparator/>
      </w:r>
    </w:p>
  </w:footnote>
  <w:footnote w:id="1">
    <w:p w14:paraId="34E8B800" w14:textId="33B580E4" w:rsidR="00383B9E" w:rsidRPr="009F791E" w:rsidRDefault="00383B9E" w:rsidP="008B155F">
      <w:pPr>
        <w:pStyle w:val="Tekstprzypisudolnego"/>
        <w:ind w:left="142" w:hanging="142"/>
        <w:jc w:val="both"/>
        <w:rPr>
          <w:rFonts w:ascii="Times New Roman" w:hAnsi="Times New Roman"/>
        </w:rPr>
      </w:pPr>
      <w:r w:rsidRPr="009F791E">
        <w:rPr>
          <w:rStyle w:val="Odwoanieprzypisudolnego"/>
          <w:rFonts w:ascii="Times New Roman" w:hAnsi="Times New Roman"/>
        </w:rPr>
        <w:footnoteRef/>
      </w:r>
      <w:r w:rsidRPr="009F791E">
        <w:rPr>
          <w:rFonts w:ascii="Times New Roman" w:hAnsi="Times New Roman"/>
        </w:rPr>
        <w:t xml:space="preserve"> Akty ustawodawcze reformujące unijne ramy zarządzania gospodarczego. Włączają one do prawa UE treść tytułu III „Pakt fiskalny” Traktatu o stabilności, koordynacji i zarządzaniu w unii gospodarczej i walutowej z</w:t>
      </w:r>
      <w:r w:rsidR="006241BA" w:rsidRPr="009F791E">
        <w:rPr>
          <w:rFonts w:ascii="Times New Roman" w:hAnsi="Times New Roman"/>
        </w:rPr>
        <w:t> </w:t>
      </w:r>
      <w:r w:rsidRPr="009F791E">
        <w:rPr>
          <w:rFonts w:ascii="Times New Roman" w:hAnsi="Times New Roman"/>
        </w:rPr>
        <w:t>dnia 2</w:t>
      </w:r>
      <w:r w:rsidR="008B155F">
        <w:rPr>
          <w:rFonts w:ascii="Times New Roman" w:hAnsi="Times New Roman"/>
        </w:rPr>
        <w:t> </w:t>
      </w:r>
      <w:r w:rsidRPr="009F791E">
        <w:rPr>
          <w:rFonts w:ascii="Times New Roman" w:hAnsi="Times New Roman"/>
        </w:rPr>
        <w:t>marca 2012 r., zgodnie z jego art. 16</w:t>
      </w:r>
      <w:r w:rsidR="008E26F7" w:rsidRPr="009F791E">
        <w:rPr>
          <w:rFonts w:ascii="Times New Roman" w:hAnsi="Times New Roman"/>
        </w:rPr>
        <w:t xml:space="preserve"> i obejmują:</w:t>
      </w:r>
    </w:p>
    <w:p w14:paraId="5EE79DC2" w14:textId="07925C07" w:rsidR="00383B9E" w:rsidRPr="009F791E" w:rsidRDefault="00383B9E" w:rsidP="008B155F">
      <w:pPr>
        <w:pStyle w:val="Tekstprzypisudolnego"/>
        <w:numPr>
          <w:ilvl w:val="0"/>
          <w:numId w:val="35"/>
        </w:numPr>
        <w:ind w:left="426" w:hanging="284"/>
        <w:jc w:val="both"/>
        <w:rPr>
          <w:rFonts w:ascii="Times New Roman" w:hAnsi="Times New Roman"/>
        </w:rPr>
      </w:pPr>
      <w:r w:rsidRPr="009F791E">
        <w:rPr>
          <w:rFonts w:ascii="Times New Roman" w:hAnsi="Times New Roman"/>
        </w:rPr>
        <w:t>rozporządzenie Rady (UE) 2024/1264 z dnia 29 kwietnia 2024 r. zmieniające rozporządzenie (WE) nr</w:t>
      </w:r>
      <w:r w:rsidR="008B155F">
        <w:rPr>
          <w:rFonts w:ascii="Times New Roman" w:hAnsi="Times New Roman"/>
        </w:rPr>
        <w:t> </w:t>
      </w:r>
      <w:r w:rsidRPr="009F791E">
        <w:rPr>
          <w:rFonts w:ascii="Times New Roman" w:hAnsi="Times New Roman"/>
        </w:rPr>
        <w:t>1467/97 w sprawie przyspieszenia i wyjaśnienia procedury nadmiernego deficytu (Dz.</w:t>
      </w:r>
      <w:r w:rsidR="009F791E" w:rsidRPr="009F791E">
        <w:rPr>
          <w:rFonts w:ascii="Times New Roman" w:hAnsi="Times New Roman"/>
        </w:rPr>
        <w:t xml:space="preserve"> </w:t>
      </w:r>
      <w:r w:rsidRPr="009F791E">
        <w:rPr>
          <w:rFonts w:ascii="Times New Roman" w:hAnsi="Times New Roman"/>
        </w:rPr>
        <w:t>U</w:t>
      </w:r>
      <w:r w:rsidR="00706792" w:rsidRPr="009F791E">
        <w:rPr>
          <w:rFonts w:ascii="Times New Roman" w:hAnsi="Times New Roman"/>
        </w:rPr>
        <w:t>rz</w:t>
      </w:r>
      <w:r w:rsidRPr="009F791E">
        <w:rPr>
          <w:rFonts w:ascii="Times New Roman" w:hAnsi="Times New Roman"/>
        </w:rPr>
        <w:t>.</w:t>
      </w:r>
      <w:r w:rsidR="00706792" w:rsidRPr="009F791E">
        <w:rPr>
          <w:rFonts w:ascii="Times New Roman" w:hAnsi="Times New Roman"/>
        </w:rPr>
        <w:t xml:space="preserve"> UE</w:t>
      </w:r>
      <w:r w:rsidRPr="009F791E">
        <w:rPr>
          <w:rFonts w:ascii="Times New Roman" w:hAnsi="Times New Roman"/>
        </w:rPr>
        <w:t xml:space="preserve"> L 2024/1264</w:t>
      </w:r>
      <w:r w:rsidR="00706792" w:rsidRPr="009F791E">
        <w:rPr>
          <w:rFonts w:ascii="Times New Roman" w:hAnsi="Times New Roman"/>
        </w:rPr>
        <w:t xml:space="preserve"> z</w:t>
      </w:r>
      <w:r w:rsidRPr="009F791E">
        <w:rPr>
          <w:rFonts w:ascii="Times New Roman" w:hAnsi="Times New Roman"/>
        </w:rPr>
        <w:t xml:space="preserve"> 30.4.2024, ELI: http://data.europa. eu/eli/reg/2024/1264/oj)</w:t>
      </w:r>
      <w:r w:rsidR="009F791E">
        <w:rPr>
          <w:rFonts w:ascii="Times New Roman" w:hAnsi="Times New Roman"/>
        </w:rPr>
        <w:t>;</w:t>
      </w:r>
    </w:p>
    <w:p w14:paraId="769BF96F" w14:textId="14E11C36" w:rsidR="00383B9E" w:rsidRPr="009F791E" w:rsidRDefault="00383B9E" w:rsidP="008B155F">
      <w:pPr>
        <w:pStyle w:val="Tekstprzypisudolnego"/>
        <w:numPr>
          <w:ilvl w:val="0"/>
          <w:numId w:val="35"/>
        </w:numPr>
        <w:ind w:left="426" w:hanging="284"/>
        <w:jc w:val="both"/>
        <w:rPr>
          <w:rFonts w:ascii="Times New Roman" w:hAnsi="Times New Roman"/>
        </w:rPr>
      </w:pPr>
      <w:r w:rsidRPr="009F791E">
        <w:rPr>
          <w:rFonts w:ascii="Times New Roman" w:hAnsi="Times New Roman"/>
        </w:rPr>
        <w:t>dyrektyw</w:t>
      </w:r>
      <w:r w:rsidR="008E26F7" w:rsidRPr="009F791E">
        <w:rPr>
          <w:rFonts w:ascii="Times New Roman" w:hAnsi="Times New Roman"/>
        </w:rPr>
        <w:t>ę</w:t>
      </w:r>
      <w:r w:rsidRPr="009F791E">
        <w:rPr>
          <w:rFonts w:ascii="Times New Roman" w:hAnsi="Times New Roman"/>
        </w:rPr>
        <w:t xml:space="preserve"> Rady (UE) 2024/1265 z dnia 29 kwietnia 2024 r. zmieniając</w:t>
      </w:r>
      <w:r w:rsidR="008E26F7" w:rsidRPr="009F791E">
        <w:rPr>
          <w:rFonts w:ascii="Times New Roman" w:hAnsi="Times New Roman"/>
        </w:rPr>
        <w:t>ą</w:t>
      </w:r>
      <w:r w:rsidRPr="009F791E">
        <w:rPr>
          <w:rFonts w:ascii="Times New Roman" w:hAnsi="Times New Roman"/>
        </w:rPr>
        <w:t xml:space="preserve"> dyrektywę Rady 2011/85/UE w sprawie wymogów dla ram budżetowych państw członkowskich (Dz.</w:t>
      </w:r>
      <w:r w:rsidR="009F791E" w:rsidRPr="009F791E">
        <w:rPr>
          <w:rFonts w:ascii="Times New Roman" w:hAnsi="Times New Roman"/>
        </w:rPr>
        <w:t xml:space="preserve"> </w:t>
      </w:r>
      <w:r w:rsidRPr="009F791E">
        <w:rPr>
          <w:rFonts w:ascii="Times New Roman" w:hAnsi="Times New Roman"/>
        </w:rPr>
        <w:t>U</w:t>
      </w:r>
      <w:r w:rsidR="00706792" w:rsidRPr="009F791E">
        <w:rPr>
          <w:rFonts w:ascii="Times New Roman" w:hAnsi="Times New Roman"/>
        </w:rPr>
        <w:t>rz</w:t>
      </w:r>
      <w:r w:rsidRPr="009F791E">
        <w:rPr>
          <w:rFonts w:ascii="Times New Roman" w:hAnsi="Times New Roman"/>
        </w:rPr>
        <w:t>.</w:t>
      </w:r>
      <w:r w:rsidR="00706792" w:rsidRPr="009F791E">
        <w:rPr>
          <w:rFonts w:ascii="Times New Roman" w:hAnsi="Times New Roman"/>
        </w:rPr>
        <w:t xml:space="preserve"> UE</w:t>
      </w:r>
      <w:r w:rsidRPr="009F791E">
        <w:rPr>
          <w:rFonts w:ascii="Times New Roman" w:hAnsi="Times New Roman"/>
        </w:rPr>
        <w:t xml:space="preserve"> L 2024/1265</w:t>
      </w:r>
      <w:r w:rsidR="00706792" w:rsidRPr="009F791E">
        <w:rPr>
          <w:rFonts w:ascii="Times New Roman" w:hAnsi="Times New Roman"/>
        </w:rPr>
        <w:t xml:space="preserve"> z</w:t>
      </w:r>
      <w:r w:rsidRPr="009F791E">
        <w:rPr>
          <w:rFonts w:ascii="Times New Roman" w:hAnsi="Times New Roman"/>
        </w:rPr>
        <w:t xml:space="preserve"> 30.4.2024, ELI: http://data.europa.eu/eli/dir/2024/1265/oj)</w:t>
      </w:r>
      <w:r w:rsidR="009F791E">
        <w:rPr>
          <w:rFonts w:ascii="Times New Roman" w:hAnsi="Times New Roman"/>
        </w:rPr>
        <w:t>;</w:t>
      </w:r>
    </w:p>
    <w:p w14:paraId="58BD0EFC" w14:textId="1F67F45B" w:rsidR="00383B9E" w:rsidRPr="009F791E" w:rsidRDefault="00383B9E" w:rsidP="008B155F">
      <w:pPr>
        <w:pStyle w:val="Tekstprzypisudolnego"/>
        <w:numPr>
          <w:ilvl w:val="0"/>
          <w:numId w:val="35"/>
        </w:numPr>
        <w:ind w:left="426" w:hanging="284"/>
        <w:jc w:val="both"/>
        <w:rPr>
          <w:rFonts w:ascii="Times New Roman" w:hAnsi="Times New Roman"/>
        </w:rPr>
      </w:pPr>
      <w:r w:rsidRPr="009F791E">
        <w:rPr>
          <w:rFonts w:ascii="Times New Roman" w:hAnsi="Times New Roman"/>
        </w:rPr>
        <w:t>rozporządzenie Parlamentu Europejskiego i Rady (UE) 2024/1263 z dnia 29 kwietnia 2024 r. w sprawie skutecznej koordynacji polityk gospodarczych i wielostronnego nadzoru budżetowego oraz uchylające rozporządzenie Rady (WE) nr 1466/97 (Dz. U</w:t>
      </w:r>
      <w:r w:rsidR="00706792" w:rsidRPr="009F791E">
        <w:rPr>
          <w:rFonts w:ascii="Times New Roman" w:hAnsi="Times New Roman"/>
        </w:rPr>
        <w:t>rz</w:t>
      </w:r>
      <w:r w:rsidRPr="009F791E">
        <w:rPr>
          <w:rFonts w:ascii="Times New Roman" w:hAnsi="Times New Roman"/>
        </w:rPr>
        <w:t>.</w:t>
      </w:r>
      <w:r w:rsidR="00706792" w:rsidRPr="009F791E">
        <w:rPr>
          <w:rFonts w:ascii="Times New Roman" w:hAnsi="Times New Roman"/>
        </w:rPr>
        <w:t xml:space="preserve"> UE</w:t>
      </w:r>
      <w:r w:rsidRPr="009F791E">
        <w:rPr>
          <w:rFonts w:ascii="Times New Roman" w:hAnsi="Times New Roman"/>
        </w:rPr>
        <w:t xml:space="preserve"> L 2024/1263</w:t>
      </w:r>
      <w:r w:rsidR="005E3D2C" w:rsidRPr="009F791E">
        <w:rPr>
          <w:rFonts w:ascii="Times New Roman" w:hAnsi="Times New Roman"/>
        </w:rPr>
        <w:t xml:space="preserve"> z</w:t>
      </w:r>
      <w:r w:rsidRPr="009F791E">
        <w:rPr>
          <w:rFonts w:ascii="Times New Roman" w:hAnsi="Times New Roman"/>
        </w:rPr>
        <w:t xml:space="preserve"> 30.4.2024, ELI: http://data.europa.eu/eli/reg/2024/1263/oj).</w:t>
      </w:r>
    </w:p>
  </w:footnote>
  <w:footnote w:id="2">
    <w:p w14:paraId="0F8AE000" w14:textId="57D2B1A9" w:rsidR="00BC2DB9" w:rsidRPr="009F791E" w:rsidRDefault="00BC2DB9" w:rsidP="009F791E">
      <w:pPr>
        <w:pStyle w:val="Tekstprzypisudolnego"/>
        <w:ind w:left="142" w:hanging="142"/>
        <w:jc w:val="both"/>
        <w:rPr>
          <w:rFonts w:ascii="Times New Roman" w:hAnsi="Times New Roman"/>
        </w:rPr>
      </w:pPr>
      <w:r w:rsidRPr="009F791E">
        <w:rPr>
          <w:rStyle w:val="Odwoanieprzypisudolnego"/>
          <w:rFonts w:ascii="Times New Roman" w:hAnsi="Times New Roman"/>
        </w:rPr>
        <w:footnoteRef/>
      </w:r>
      <w:r w:rsidRPr="009F791E">
        <w:rPr>
          <w:rFonts w:ascii="Times New Roman" w:hAnsi="Times New Roman"/>
        </w:rPr>
        <w:t xml:space="preserve"> Rozporządzenie Ministra Zdrowia</w:t>
      </w:r>
      <w:r w:rsidR="00F278F4" w:rsidRPr="009F791E">
        <w:rPr>
          <w:rFonts w:ascii="Times New Roman" w:hAnsi="Times New Roman"/>
        </w:rPr>
        <w:t xml:space="preserve"> z dnia 13 marca 2020 r.</w:t>
      </w:r>
      <w:r w:rsidRPr="009F791E">
        <w:rPr>
          <w:rFonts w:ascii="Times New Roman" w:hAnsi="Times New Roman"/>
        </w:rPr>
        <w:t xml:space="preserve"> w sprawie ogłoszenia na obszarze Rzeczypospolitej Polskiej stanu zagrożenia epidemicznego</w:t>
      </w:r>
      <w:r w:rsidR="00F278F4" w:rsidRPr="009F791E">
        <w:rPr>
          <w:rFonts w:ascii="Times New Roman" w:hAnsi="Times New Roman"/>
        </w:rPr>
        <w:t xml:space="preserve"> (</w:t>
      </w:r>
      <w:r w:rsidRPr="009F791E">
        <w:rPr>
          <w:rFonts w:ascii="Times New Roman" w:hAnsi="Times New Roman"/>
        </w:rPr>
        <w:t>Dz.</w:t>
      </w:r>
      <w:r w:rsidR="0039259D" w:rsidRPr="009F791E">
        <w:rPr>
          <w:rFonts w:ascii="Times New Roman" w:hAnsi="Times New Roman"/>
        </w:rPr>
        <w:t xml:space="preserve"> </w:t>
      </w:r>
      <w:r w:rsidRPr="009F791E">
        <w:rPr>
          <w:rFonts w:ascii="Times New Roman" w:hAnsi="Times New Roman"/>
        </w:rPr>
        <w:t>U. poz. 433</w:t>
      </w:r>
      <w:r w:rsidR="00F278F4" w:rsidRPr="009F791E">
        <w:rPr>
          <w:rFonts w:ascii="Times New Roman" w:hAnsi="Times New Roman"/>
        </w:rPr>
        <w:t>)</w:t>
      </w:r>
      <w:r w:rsidR="00163E32" w:rsidRPr="009F791E">
        <w:rPr>
          <w:rFonts w:ascii="Times New Roman" w:hAnsi="Times New Roman"/>
        </w:rPr>
        <w:t>.</w:t>
      </w:r>
    </w:p>
  </w:footnote>
  <w:footnote w:id="3">
    <w:p w14:paraId="4DB7F80E" w14:textId="4BF54780" w:rsidR="00F278F4" w:rsidRPr="009F791E" w:rsidRDefault="00F278F4" w:rsidP="009F791E">
      <w:pPr>
        <w:pStyle w:val="Tekstprzypisudolnego"/>
        <w:ind w:left="142" w:hanging="142"/>
        <w:jc w:val="both"/>
        <w:rPr>
          <w:rFonts w:ascii="Times New Roman" w:hAnsi="Times New Roman"/>
        </w:rPr>
      </w:pPr>
      <w:r w:rsidRPr="009F791E">
        <w:rPr>
          <w:rStyle w:val="Odwoanieprzypisudolnego"/>
          <w:rFonts w:ascii="Times New Roman" w:hAnsi="Times New Roman"/>
        </w:rPr>
        <w:footnoteRef/>
      </w:r>
      <w:r w:rsidRPr="009F791E">
        <w:rPr>
          <w:rFonts w:ascii="Times New Roman" w:hAnsi="Times New Roman"/>
        </w:rPr>
        <w:t xml:space="preserve"> Rozporządzenie Ministra Zdrowia z dnia 20 marca 2020 r. w sprawie ogłoszenia na obszarze Rzeczypospolitej Polskiej stanu epidemii (Dz. U. poz. 491, z późn. zm.)</w:t>
      </w:r>
      <w:r w:rsidR="00163E32" w:rsidRPr="009F791E">
        <w:rPr>
          <w:rFonts w:ascii="Times New Roman" w:hAnsi="Times New Roman"/>
        </w:rPr>
        <w:t>.</w:t>
      </w:r>
    </w:p>
  </w:footnote>
  <w:footnote w:id="4">
    <w:p w14:paraId="22FBC9E1" w14:textId="48F68D91" w:rsidR="00F278F4" w:rsidRPr="009F791E" w:rsidRDefault="00F278F4" w:rsidP="009F791E">
      <w:pPr>
        <w:pStyle w:val="Tekstprzypisudolnego"/>
        <w:ind w:left="142" w:hanging="142"/>
        <w:jc w:val="both"/>
        <w:rPr>
          <w:rFonts w:ascii="Times New Roman" w:hAnsi="Times New Roman"/>
        </w:rPr>
      </w:pPr>
      <w:r w:rsidRPr="009F791E">
        <w:rPr>
          <w:rStyle w:val="Odwoanieprzypisudolnego"/>
          <w:rFonts w:ascii="Times New Roman" w:hAnsi="Times New Roman"/>
        </w:rPr>
        <w:footnoteRef/>
      </w:r>
      <w:r w:rsidRPr="009F791E">
        <w:rPr>
          <w:rFonts w:ascii="Times New Roman" w:hAnsi="Times New Roman"/>
        </w:rPr>
        <w:t xml:space="preserve"> Rozporządzenie Ministra Zdrowia z dnia 12 maja 2022 r. w sprawie ogłoszenia na obszarze Rzeczypospolitej Polskiej stanu zagrożenia epidemicznego (Dz.</w:t>
      </w:r>
      <w:r w:rsidR="0039259D" w:rsidRPr="009F791E">
        <w:rPr>
          <w:rFonts w:ascii="Times New Roman" w:hAnsi="Times New Roman"/>
        </w:rPr>
        <w:t xml:space="preserve"> </w:t>
      </w:r>
      <w:r w:rsidRPr="009F791E">
        <w:rPr>
          <w:rFonts w:ascii="Times New Roman" w:hAnsi="Times New Roman"/>
        </w:rPr>
        <w:t>U. poz. 1028)</w:t>
      </w:r>
      <w:r w:rsidR="00163E32" w:rsidRPr="009F791E">
        <w:rPr>
          <w:rFonts w:ascii="Times New Roman" w:hAnsi="Times New Roman"/>
        </w:rPr>
        <w:t>.</w:t>
      </w:r>
    </w:p>
  </w:footnote>
  <w:footnote w:id="5">
    <w:p w14:paraId="50668451" w14:textId="53247990" w:rsidR="00F278F4" w:rsidRPr="009F791E" w:rsidRDefault="00F278F4" w:rsidP="009F791E">
      <w:pPr>
        <w:pStyle w:val="Tekstprzypisudolnego"/>
        <w:ind w:left="142" w:hanging="142"/>
        <w:jc w:val="both"/>
        <w:rPr>
          <w:rFonts w:ascii="Times New Roman" w:hAnsi="Times New Roman"/>
        </w:rPr>
      </w:pPr>
      <w:r w:rsidRPr="009F791E">
        <w:rPr>
          <w:rStyle w:val="Odwoanieprzypisudolnego"/>
          <w:rFonts w:ascii="Times New Roman" w:hAnsi="Times New Roman"/>
        </w:rPr>
        <w:footnoteRef/>
      </w:r>
      <w:r w:rsidRPr="009F791E">
        <w:rPr>
          <w:rFonts w:ascii="Times New Roman" w:hAnsi="Times New Roman"/>
        </w:rPr>
        <w:t xml:space="preserve"> Rozporządzenie Ministra Zdrowia z dnia 14 czerwca 2023 r. w sprawie odwołania na obszarze Rzeczypospolitej Polskiej stanu zagrożenia epidemicznego (Dz.</w:t>
      </w:r>
      <w:r w:rsidR="0039259D" w:rsidRPr="009F791E">
        <w:rPr>
          <w:rFonts w:ascii="Times New Roman" w:hAnsi="Times New Roman"/>
        </w:rPr>
        <w:t xml:space="preserve"> </w:t>
      </w:r>
      <w:r w:rsidRPr="009F791E">
        <w:rPr>
          <w:rFonts w:ascii="Times New Roman" w:hAnsi="Times New Roman"/>
        </w:rPr>
        <w:t>U. poz</w:t>
      </w:r>
      <w:r w:rsidR="009F791E" w:rsidRPr="009F791E">
        <w:rPr>
          <w:rFonts w:ascii="Times New Roman" w:hAnsi="Times New Roman"/>
        </w:rPr>
        <w:t>.</w:t>
      </w:r>
      <w:r w:rsidRPr="009F791E">
        <w:rPr>
          <w:rFonts w:ascii="Times New Roman" w:hAnsi="Times New Roman"/>
        </w:rPr>
        <w:t xml:space="preserve"> 1118)</w:t>
      </w:r>
      <w:r w:rsidR="00163E32" w:rsidRPr="009F791E">
        <w:rPr>
          <w:rFonts w:ascii="Times New Roman" w:hAnsi="Times New Roman"/>
        </w:rPr>
        <w:t>.</w:t>
      </w:r>
    </w:p>
  </w:footnote>
  <w:footnote w:id="6">
    <w:p w14:paraId="1549A2D1" w14:textId="4A4DC825" w:rsidR="00B80F57" w:rsidRPr="009F791E" w:rsidRDefault="00B80F57" w:rsidP="009F791E">
      <w:pPr>
        <w:pStyle w:val="Tekstprzypisudolnego"/>
        <w:ind w:left="142" w:hanging="142"/>
        <w:jc w:val="both"/>
        <w:rPr>
          <w:rFonts w:ascii="Times New Roman" w:hAnsi="Times New Roman"/>
        </w:rPr>
      </w:pPr>
      <w:r w:rsidRPr="009F791E">
        <w:rPr>
          <w:rStyle w:val="Odwoanieprzypisudolnego"/>
          <w:rFonts w:ascii="Times New Roman" w:hAnsi="Times New Roman"/>
        </w:rPr>
        <w:footnoteRef/>
      </w:r>
      <w:r w:rsidRPr="009F791E">
        <w:rPr>
          <w:rFonts w:ascii="Times New Roman" w:hAnsi="Times New Roman"/>
        </w:rPr>
        <w:t xml:space="preserve"> Wydatki na obsługę długu Skarbu Państwa obejmują w szczególności wydatki budżetu państwa z tytułu oprocentowania i dyskonta od skarbowych papierów wartościowych, oprocentowania zaciągniętych kredytów i</w:t>
      </w:r>
      <w:r w:rsidR="00BB6861" w:rsidRPr="009F791E">
        <w:rPr>
          <w:rFonts w:ascii="Times New Roman" w:hAnsi="Times New Roman"/>
        </w:rPr>
        <w:t> </w:t>
      </w:r>
      <w:r w:rsidRPr="009F791E">
        <w:rPr>
          <w:rFonts w:ascii="Times New Roman" w:hAnsi="Times New Roman"/>
        </w:rPr>
        <w:t>pożyczek oraz wypłat związanych z udzielonymi przez Skarb Państwa poręczeniami i gwarancjami, a także koszty związane z emisją skarbowych papierów wartościowych.</w:t>
      </w:r>
    </w:p>
  </w:footnote>
  <w:footnote w:id="7">
    <w:p w14:paraId="0479A1FD" w14:textId="772C527A" w:rsidR="00C0086C" w:rsidRPr="009F791E" w:rsidRDefault="00C0086C" w:rsidP="009F791E">
      <w:pPr>
        <w:pStyle w:val="Tekstprzypisudolnego"/>
        <w:ind w:left="142" w:hanging="142"/>
        <w:jc w:val="both"/>
        <w:rPr>
          <w:rFonts w:ascii="Times New Roman" w:hAnsi="Times New Roman"/>
        </w:rPr>
      </w:pPr>
      <w:r w:rsidRPr="009F791E">
        <w:rPr>
          <w:rStyle w:val="Odwoanieprzypisudolnego"/>
          <w:rFonts w:ascii="Times New Roman" w:hAnsi="Times New Roman"/>
        </w:rPr>
        <w:footnoteRef/>
      </w:r>
      <w:r w:rsidRPr="009F791E">
        <w:rPr>
          <w:rFonts w:ascii="Times New Roman" w:hAnsi="Times New Roman"/>
        </w:rPr>
        <w:t xml:space="preserve"> Wyjątek stanowiły wydatki na współfinansowanie.</w:t>
      </w:r>
    </w:p>
  </w:footnote>
  <w:footnote w:id="8">
    <w:p w14:paraId="3D2E9A1C" w14:textId="1F4111F7" w:rsidR="00AB2A92" w:rsidRPr="009F791E" w:rsidRDefault="00AB2A92" w:rsidP="009F791E">
      <w:pPr>
        <w:pStyle w:val="Tekstprzypisudolnego"/>
        <w:ind w:left="142" w:hanging="142"/>
        <w:jc w:val="both"/>
        <w:rPr>
          <w:rFonts w:ascii="Times New Roman" w:hAnsi="Times New Roman"/>
        </w:rPr>
      </w:pPr>
      <w:r w:rsidRPr="009F791E">
        <w:rPr>
          <w:rStyle w:val="Odwoanieprzypisudolnego"/>
          <w:rFonts w:ascii="Times New Roman" w:hAnsi="Times New Roman"/>
        </w:rPr>
        <w:footnoteRef/>
      </w:r>
      <w:r w:rsidRPr="009F791E">
        <w:rPr>
          <w:rFonts w:ascii="Times New Roman" w:hAnsi="Times New Roman"/>
        </w:rPr>
        <w:t xml:space="preserve"> Zmiany w mechanizmie korekty wprowadzono ustawą z dnia 13 lipca 2023 r. zmianie ustawy o finansach publicznych oraz niektórych innych ustaw (Dz.U. poz. 1641)</w:t>
      </w:r>
      <w:r w:rsidR="00163E32" w:rsidRPr="009F791E">
        <w:rPr>
          <w:rFonts w:ascii="Times New Roman" w:hAnsi="Times New Roman"/>
        </w:rPr>
        <w:t>.</w:t>
      </w:r>
    </w:p>
  </w:footnote>
  <w:footnote w:id="9">
    <w:p w14:paraId="70E2AD7A" w14:textId="1E5AE7BB" w:rsidR="00AB2A92" w:rsidRPr="009F791E" w:rsidRDefault="00AB2A92" w:rsidP="009F791E">
      <w:pPr>
        <w:pStyle w:val="Tekstprzypisudolnego"/>
        <w:ind w:left="142" w:hanging="142"/>
        <w:jc w:val="both"/>
        <w:rPr>
          <w:rFonts w:ascii="Times New Roman" w:hAnsi="Times New Roman"/>
        </w:rPr>
      </w:pPr>
      <w:r w:rsidRPr="009F791E">
        <w:rPr>
          <w:rStyle w:val="Odwoanieprzypisudolnego"/>
          <w:rFonts w:ascii="Times New Roman" w:hAnsi="Times New Roman"/>
        </w:rPr>
        <w:footnoteRef/>
      </w:r>
      <w:r w:rsidRPr="009F791E">
        <w:rPr>
          <w:rFonts w:ascii="Times New Roman" w:hAnsi="Times New Roman"/>
        </w:rPr>
        <w:t xml:space="preserve"> średniookresowego celu budżetowego określonego w Programie Konwergencji opracowanym zgodnie z rozporządzeniem Rady (WE) nr 1466/97/WE z dnia 7 lipca 1997 r. w sprawie wzmocnienia nadzoru pozycji budżetowych oraz nadzoru i koordynacji polityk gospodarczych</w:t>
      </w:r>
      <w:r w:rsidR="00163E32" w:rsidRPr="009F791E">
        <w:rPr>
          <w:rFonts w:ascii="Times New Roman" w:hAnsi="Times New Roman"/>
        </w:rPr>
        <w:t>.</w:t>
      </w:r>
    </w:p>
  </w:footnote>
  <w:footnote w:id="10">
    <w:p w14:paraId="671EFEDD" w14:textId="77777777" w:rsidR="00EF0416" w:rsidRPr="009F791E" w:rsidRDefault="00EF0416" w:rsidP="009F791E">
      <w:pPr>
        <w:pStyle w:val="Tekstprzypisudolnego"/>
        <w:ind w:left="142" w:hanging="142"/>
        <w:jc w:val="both"/>
        <w:rPr>
          <w:rFonts w:ascii="Times New Roman" w:hAnsi="Times New Roman"/>
        </w:rPr>
      </w:pPr>
      <w:r w:rsidRPr="009F791E">
        <w:rPr>
          <w:rStyle w:val="Odwoanieprzypisudolnego"/>
          <w:rFonts w:ascii="Times New Roman" w:hAnsi="Times New Roman"/>
        </w:rPr>
        <w:footnoteRef/>
      </w:r>
      <w:r w:rsidRPr="009F791E">
        <w:rPr>
          <w:rFonts w:ascii="Times New Roman" w:hAnsi="Times New Roman"/>
        </w:rPr>
        <w:t xml:space="preserve"> Stanami tymi na potrzeby SRW są:</w:t>
      </w:r>
    </w:p>
    <w:p w14:paraId="26016F5A" w14:textId="776D572B" w:rsidR="00EF0416" w:rsidRPr="009F791E" w:rsidRDefault="00EF0416" w:rsidP="009F791E">
      <w:pPr>
        <w:pStyle w:val="Tekstprzypisudolnego"/>
        <w:numPr>
          <w:ilvl w:val="0"/>
          <w:numId w:val="19"/>
        </w:numPr>
        <w:ind w:left="142" w:hanging="142"/>
        <w:jc w:val="both"/>
        <w:rPr>
          <w:rFonts w:ascii="Times New Roman" w:hAnsi="Times New Roman"/>
        </w:rPr>
      </w:pPr>
      <w:r w:rsidRPr="009F791E">
        <w:rPr>
          <w:rFonts w:ascii="Times New Roman" w:hAnsi="Times New Roman"/>
        </w:rPr>
        <w:t>wprowadzenie stanu wojennego,</w:t>
      </w:r>
    </w:p>
    <w:p w14:paraId="20199B86" w14:textId="3BCBE454" w:rsidR="00EF0416" w:rsidRPr="009F791E" w:rsidRDefault="00EF0416" w:rsidP="009F791E">
      <w:pPr>
        <w:pStyle w:val="Tekstprzypisudolnego"/>
        <w:numPr>
          <w:ilvl w:val="0"/>
          <w:numId w:val="19"/>
        </w:numPr>
        <w:ind w:left="142" w:hanging="142"/>
        <w:jc w:val="both"/>
        <w:rPr>
          <w:rFonts w:ascii="Times New Roman" w:hAnsi="Times New Roman"/>
        </w:rPr>
      </w:pPr>
      <w:r w:rsidRPr="009F791E">
        <w:rPr>
          <w:rFonts w:ascii="Times New Roman" w:hAnsi="Times New Roman"/>
        </w:rPr>
        <w:t>wprowadzenie stanu wyjątkowego na całym terytorium Rzeczypospolitej Polskiej,</w:t>
      </w:r>
    </w:p>
    <w:p w14:paraId="117036A1" w14:textId="4DFDE447" w:rsidR="00EF0416" w:rsidRPr="009F791E" w:rsidRDefault="00EF0416" w:rsidP="009F791E">
      <w:pPr>
        <w:pStyle w:val="Tekstprzypisudolnego"/>
        <w:numPr>
          <w:ilvl w:val="0"/>
          <w:numId w:val="19"/>
        </w:numPr>
        <w:ind w:left="142" w:hanging="142"/>
        <w:jc w:val="both"/>
        <w:rPr>
          <w:rFonts w:ascii="Times New Roman" w:hAnsi="Times New Roman"/>
        </w:rPr>
      </w:pPr>
      <w:r w:rsidRPr="009F791E">
        <w:rPr>
          <w:rFonts w:ascii="Times New Roman" w:hAnsi="Times New Roman"/>
        </w:rPr>
        <w:t>wprowadzenie stanu klęski żywiołowej na całym terytorium Rzeczypospolitej Polskiej,</w:t>
      </w:r>
    </w:p>
    <w:p w14:paraId="00FA6B18" w14:textId="488C8865" w:rsidR="00EF0416" w:rsidRPr="009F791E" w:rsidRDefault="00EF0416" w:rsidP="009F791E">
      <w:pPr>
        <w:pStyle w:val="Tekstprzypisudolnego"/>
        <w:numPr>
          <w:ilvl w:val="0"/>
          <w:numId w:val="19"/>
        </w:numPr>
        <w:ind w:left="142" w:hanging="142"/>
        <w:jc w:val="both"/>
        <w:rPr>
          <w:rFonts w:ascii="Times New Roman" w:hAnsi="Times New Roman"/>
        </w:rPr>
      </w:pPr>
      <w:r w:rsidRPr="009F791E">
        <w:rPr>
          <w:rFonts w:ascii="Times New Roman" w:hAnsi="Times New Roman"/>
        </w:rPr>
        <w:t>ogłoszenie stanu epidemii na całym obszarze Rzeczypospolitej Polskiej.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8B9"/>
    <w:multiLevelType w:val="hybridMultilevel"/>
    <w:tmpl w:val="7E18C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354220"/>
    <w:multiLevelType w:val="hybridMultilevel"/>
    <w:tmpl w:val="EB220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F46550"/>
    <w:multiLevelType w:val="hybridMultilevel"/>
    <w:tmpl w:val="FA309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C922F4"/>
    <w:multiLevelType w:val="hybridMultilevel"/>
    <w:tmpl w:val="25E87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EF332B"/>
    <w:multiLevelType w:val="hybridMultilevel"/>
    <w:tmpl w:val="6206D9FC"/>
    <w:lvl w:ilvl="0" w:tplc="13807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C927D0"/>
    <w:multiLevelType w:val="hybridMultilevel"/>
    <w:tmpl w:val="45A07548"/>
    <w:lvl w:ilvl="0" w:tplc="13807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C03E20"/>
    <w:multiLevelType w:val="hybridMultilevel"/>
    <w:tmpl w:val="04A0B62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3C4754"/>
    <w:multiLevelType w:val="hybridMultilevel"/>
    <w:tmpl w:val="1720AF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60764D"/>
    <w:multiLevelType w:val="hybridMultilevel"/>
    <w:tmpl w:val="F3988F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716B94"/>
    <w:multiLevelType w:val="hybridMultilevel"/>
    <w:tmpl w:val="FCB09C58"/>
    <w:lvl w:ilvl="0" w:tplc="D904FBA8">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47A45"/>
    <w:multiLevelType w:val="hybridMultilevel"/>
    <w:tmpl w:val="0F3852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507CA0"/>
    <w:multiLevelType w:val="hybridMultilevel"/>
    <w:tmpl w:val="A4FA75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D67AFE"/>
    <w:multiLevelType w:val="hybridMultilevel"/>
    <w:tmpl w:val="55201C8C"/>
    <w:lvl w:ilvl="0" w:tplc="13807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02391A"/>
    <w:multiLevelType w:val="hybridMultilevel"/>
    <w:tmpl w:val="9C16980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E268A6"/>
    <w:multiLevelType w:val="hybridMultilevel"/>
    <w:tmpl w:val="E342F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2B127C"/>
    <w:multiLevelType w:val="hybridMultilevel"/>
    <w:tmpl w:val="22C2C1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6469C0"/>
    <w:multiLevelType w:val="hybridMultilevel"/>
    <w:tmpl w:val="6BF89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232ACB"/>
    <w:multiLevelType w:val="hybridMultilevel"/>
    <w:tmpl w:val="CD92C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B9E0CA2"/>
    <w:multiLevelType w:val="hybridMultilevel"/>
    <w:tmpl w:val="AC70E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FA1DD9"/>
    <w:multiLevelType w:val="hybridMultilevel"/>
    <w:tmpl w:val="6B4CC2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133008"/>
    <w:multiLevelType w:val="hybridMultilevel"/>
    <w:tmpl w:val="BBCE5F08"/>
    <w:lvl w:ilvl="0" w:tplc="E4C87DC0">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BD0708"/>
    <w:multiLevelType w:val="hybridMultilevel"/>
    <w:tmpl w:val="D90A02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83C1D26"/>
    <w:multiLevelType w:val="hybridMultilevel"/>
    <w:tmpl w:val="E7AAFAD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CC39BA"/>
    <w:multiLevelType w:val="hybridMultilevel"/>
    <w:tmpl w:val="B29EC944"/>
    <w:lvl w:ilvl="0" w:tplc="696249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B401EF"/>
    <w:multiLevelType w:val="hybridMultilevel"/>
    <w:tmpl w:val="C428CB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9563F6F"/>
    <w:multiLevelType w:val="hybridMultilevel"/>
    <w:tmpl w:val="91E0B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7C1C2D"/>
    <w:multiLevelType w:val="hybridMultilevel"/>
    <w:tmpl w:val="35E63D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6A95F11"/>
    <w:multiLevelType w:val="hybridMultilevel"/>
    <w:tmpl w:val="97CA9D6C"/>
    <w:lvl w:ilvl="0" w:tplc="13807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D4708E"/>
    <w:multiLevelType w:val="hybridMultilevel"/>
    <w:tmpl w:val="1EC26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2E3F3C"/>
    <w:multiLevelType w:val="hybridMultilevel"/>
    <w:tmpl w:val="34D681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33361E"/>
    <w:multiLevelType w:val="hybridMultilevel"/>
    <w:tmpl w:val="C02CC9D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7D4F66"/>
    <w:multiLevelType w:val="hybridMultilevel"/>
    <w:tmpl w:val="8F16C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673974"/>
    <w:multiLevelType w:val="hybridMultilevel"/>
    <w:tmpl w:val="7DB85F1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AFE6306"/>
    <w:multiLevelType w:val="hybridMultilevel"/>
    <w:tmpl w:val="2ECA67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6C886ADA"/>
    <w:multiLevelType w:val="hybridMultilevel"/>
    <w:tmpl w:val="EE1E99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DE6613C"/>
    <w:multiLevelType w:val="hybridMultilevel"/>
    <w:tmpl w:val="E9B8F6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EDD6EF5"/>
    <w:multiLevelType w:val="hybridMultilevel"/>
    <w:tmpl w:val="F9365950"/>
    <w:lvl w:ilvl="0" w:tplc="13807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F660A9"/>
    <w:multiLevelType w:val="hybridMultilevel"/>
    <w:tmpl w:val="751A00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393312D"/>
    <w:multiLevelType w:val="hybridMultilevel"/>
    <w:tmpl w:val="B02C3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B04642"/>
    <w:multiLevelType w:val="hybridMultilevel"/>
    <w:tmpl w:val="5B729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94703B"/>
    <w:multiLevelType w:val="hybridMultilevel"/>
    <w:tmpl w:val="BC50F180"/>
    <w:lvl w:ilvl="0" w:tplc="13807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A24960"/>
    <w:multiLevelType w:val="hybridMultilevel"/>
    <w:tmpl w:val="33663F9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CC138DB"/>
    <w:multiLevelType w:val="hybridMultilevel"/>
    <w:tmpl w:val="FF54FC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6B49B6"/>
    <w:multiLevelType w:val="hybridMultilevel"/>
    <w:tmpl w:val="36942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14680927">
    <w:abstractNumId w:val="39"/>
  </w:num>
  <w:num w:numId="2" w16cid:durableId="1283807615">
    <w:abstractNumId w:val="14"/>
  </w:num>
  <w:num w:numId="3" w16cid:durableId="1009873178">
    <w:abstractNumId w:val="8"/>
  </w:num>
  <w:num w:numId="4" w16cid:durableId="1059935467">
    <w:abstractNumId w:val="18"/>
  </w:num>
  <w:num w:numId="5" w16cid:durableId="1601447387">
    <w:abstractNumId w:val="7"/>
  </w:num>
  <w:num w:numId="6" w16cid:durableId="1847092252">
    <w:abstractNumId w:val="37"/>
  </w:num>
  <w:num w:numId="7" w16cid:durableId="1731417654">
    <w:abstractNumId w:val="10"/>
  </w:num>
  <w:num w:numId="8" w16cid:durableId="700975290">
    <w:abstractNumId w:val="11"/>
  </w:num>
  <w:num w:numId="9" w16cid:durableId="1324821801">
    <w:abstractNumId w:val="1"/>
  </w:num>
  <w:num w:numId="10" w16cid:durableId="2077976059">
    <w:abstractNumId w:val="3"/>
  </w:num>
  <w:num w:numId="11" w16cid:durableId="1107845284">
    <w:abstractNumId w:val="31"/>
  </w:num>
  <w:num w:numId="12" w16cid:durableId="1900286112">
    <w:abstractNumId w:val="29"/>
  </w:num>
  <w:num w:numId="13" w16cid:durableId="2046103504">
    <w:abstractNumId w:val="25"/>
  </w:num>
  <w:num w:numId="14" w16cid:durableId="1533227710">
    <w:abstractNumId w:val="38"/>
  </w:num>
  <w:num w:numId="15" w16cid:durableId="1233395254">
    <w:abstractNumId w:val="2"/>
  </w:num>
  <w:num w:numId="16" w16cid:durableId="1719938559">
    <w:abstractNumId w:val="42"/>
  </w:num>
  <w:num w:numId="17" w16cid:durableId="399331738">
    <w:abstractNumId w:val="16"/>
  </w:num>
  <w:num w:numId="18" w16cid:durableId="436952291">
    <w:abstractNumId w:val="43"/>
  </w:num>
  <w:num w:numId="19" w16cid:durableId="1555966992">
    <w:abstractNumId w:val="17"/>
  </w:num>
  <w:num w:numId="20" w16cid:durableId="834688769">
    <w:abstractNumId w:val="15"/>
  </w:num>
  <w:num w:numId="21" w16cid:durableId="1952977322">
    <w:abstractNumId w:val="27"/>
  </w:num>
  <w:num w:numId="22" w16cid:durableId="1067192852">
    <w:abstractNumId w:val="24"/>
  </w:num>
  <w:num w:numId="23" w16cid:durableId="1200775038">
    <w:abstractNumId w:val="36"/>
  </w:num>
  <w:num w:numId="24" w16cid:durableId="1265916928">
    <w:abstractNumId w:val="5"/>
  </w:num>
  <w:num w:numId="25" w16cid:durableId="1784302468">
    <w:abstractNumId w:val="21"/>
  </w:num>
  <w:num w:numId="26" w16cid:durableId="1447891430">
    <w:abstractNumId w:val="12"/>
  </w:num>
  <w:num w:numId="27" w16cid:durableId="315842172">
    <w:abstractNumId w:val="4"/>
  </w:num>
  <w:num w:numId="28" w16cid:durableId="1635017457">
    <w:abstractNumId w:val="40"/>
  </w:num>
  <w:num w:numId="29" w16cid:durableId="2093770318">
    <w:abstractNumId w:val="33"/>
  </w:num>
  <w:num w:numId="30" w16cid:durableId="42363538">
    <w:abstractNumId w:val="34"/>
  </w:num>
  <w:num w:numId="31" w16cid:durableId="2042657784">
    <w:abstractNumId w:val="28"/>
  </w:num>
  <w:num w:numId="32" w16cid:durableId="775759401">
    <w:abstractNumId w:val="30"/>
  </w:num>
  <w:num w:numId="33" w16cid:durableId="1810708087">
    <w:abstractNumId w:val="13"/>
  </w:num>
  <w:num w:numId="34" w16cid:durableId="1452938398">
    <w:abstractNumId w:val="6"/>
  </w:num>
  <w:num w:numId="35" w16cid:durableId="947347917">
    <w:abstractNumId w:val="32"/>
  </w:num>
  <w:num w:numId="36" w16cid:durableId="1132946121">
    <w:abstractNumId w:val="35"/>
  </w:num>
  <w:num w:numId="37" w16cid:durableId="248271489">
    <w:abstractNumId w:val="26"/>
  </w:num>
  <w:num w:numId="38" w16cid:durableId="1580335372">
    <w:abstractNumId w:val="41"/>
  </w:num>
  <w:num w:numId="39" w16cid:durableId="908349286">
    <w:abstractNumId w:val="23"/>
  </w:num>
  <w:num w:numId="40" w16cid:durableId="487327312">
    <w:abstractNumId w:val="19"/>
  </w:num>
  <w:num w:numId="41" w16cid:durableId="510028645">
    <w:abstractNumId w:val="9"/>
  </w:num>
  <w:num w:numId="42" w16cid:durableId="74322540">
    <w:abstractNumId w:val="22"/>
  </w:num>
  <w:num w:numId="43" w16cid:durableId="143395251">
    <w:abstractNumId w:val="0"/>
  </w:num>
  <w:num w:numId="44" w16cid:durableId="18228877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A3"/>
    <w:rsid w:val="00014467"/>
    <w:rsid w:val="000155F9"/>
    <w:rsid w:val="00024D6C"/>
    <w:rsid w:val="00030327"/>
    <w:rsid w:val="00045BA3"/>
    <w:rsid w:val="00060A09"/>
    <w:rsid w:val="00067286"/>
    <w:rsid w:val="00097674"/>
    <w:rsid w:val="000A38F0"/>
    <w:rsid w:val="000B364F"/>
    <w:rsid w:val="000B7CD3"/>
    <w:rsid w:val="000D31EC"/>
    <w:rsid w:val="000E7E8E"/>
    <w:rsid w:val="000F1E05"/>
    <w:rsid w:val="000F4AC9"/>
    <w:rsid w:val="001050C9"/>
    <w:rsid w:val="001062F0"/>
    <w:rsid w:val="001075D3"/>
    <w:rsid w:val="0011427C"/>
    <w:rsid w:val="00126524"/>
    <w:rsid w:val="00132446"/>
    <w:rsid w:val="00141022"/>
    <w:rsid w:val="00141047"/>
    <w:rsid w:val="00141AB8"/>
    <w:rsid w:val="00157199"/>
    <w:rsid w:val="0016032E"/>
    <w:rsid w:val="00163E32"/>
    <w:rsid w:val="00170EE0"/>
    <w:rsid w:val="00174DAC"/>
    <w:rsid w:val="00185054"/>
    <w:rsid w:val="00194E6E"/>
    <w:rsid w:val="001B25D5"/>
    <w:rsid w:val="001B6E03"/>
    <w:rsid w:val="001B7E37"/>
    <w:rsid w:val="001D0054"/>
    <w:rsid w:val="001D6C23"/>
    <w:rsid w:val="001E6103"/>
    <w:rsid w:val="001E7A44"/>
    <w:rsid w:val="001F76FE"/>
    <w:rsid w:val="00200055"/>
    <w:rsid w:val="00202BCB"/>
    <w:rsid w:val="0020354C"/>
    <w:rsid w:val="00212580"/>
    <w:rsid w:val="00214CDA"/>
    <w:rsid w:val="00221D51"/>
    <w:rsid w:val="00223F9A"/>
    <w:rsid w:val="00236149"/>
    <w:rsid w:val="00243262"/>
    <w:rsid w:val="00251CD6"/>
    <w:rsid w:val="002531A7"/>
    <w:rsid w:val="0026005E"/>
    <w:rsid w:val="002611DA"/>
    <w:rsid w:val="00271B29"/>
    <w:rsid w:val="00280056"/>
    <w:rsid w:val="0028105E"/>
    <w:rsid w:val="00281530"/>
    <w:rsid w:val="002917FC"/>
    <w:rsid w:val="002A6A35"/>
    <w:rsid w:val="002B68E3"/>
    <w:rsid w:val="002D3A8D"/>
    <w:rsid w:val="00302C3F"/>
    <w:rsid w:val="003032C1"/>
    <w:rsid w:val="00305107"/>
    <w:rsid w:val="00307AD5"/>
    <w:rsid w:val="00313052"/>
    <w:rsid w:val="00314A11"/>
    <w:rsid w:val="00315801"/>
    <w:rsid w:val="00315F59"/>
    <w:rsid w:val="0032158F"/>
    <w:rsid w:val="0032511D"/>
    <w:rsid w:val="0034332C"/>
    <w:rsid w:val="00354B10"/>
    <w:rsid w:val="00354E25"/>
    <w:rsid w:val="003647C7"/>
    <w:rsid w:val="00371750"/>
    <w:rsid w:val="0038323D"/>
    <w:rsid w:val="00383B9E"/>
    <w:rsid w:val="003850D5"/>
    <w:rsid w:val="00385B71"/>
    <w:rsid w:val="0039259D"/>
    <w:rsid w:val="003945E0"/>
    <w:rsid w:val="003960A6"/>
    <w:rsid w:val="0039720C"/>
    <w:rsid w:val="003A5D8C"/>
    <w:rsid w:val="003A7003"/>
    <w:rsid w:val="003B1A70"/>
    <w:rsid w:val="003B3068"/>
    <w:rsid w:val="003D2A6B"/>
    <w:rsid w:val="003E0EF5"/>
    <w:rsid w:val="003E4450"/>
    <w:rsid w:val="003F5D16"/>
    <w:rsid w:val="003F7C1B"/>
    <w:rsid w:val="004010A5"/>
    <w:rsid w:val="00402415"/>
    <w:rsid w:val="0041656D"/>
    <w:rsid w:val="00421212"/>
    <w:rsid w:val="00423040"/>
    <w:rsid w:val="0043281C"/>
    <w:rsid w:val="004401AA"/>
    <w:rsid w:val="00440E3D"/>
    <w:rsid w:val="0045312A"/>
    <w:rsid w:val="00461747"/>
    <w:rsid w:val="00463964"/>
    <w:rsid w:val="00484A26"/>
    <w:rsid w:val="004B3B21"/>
    <w:rsid w:val="004B5690"/>
    <w:rsid w:val="004B6402"/>
    <w:rsid w:val="004C5CA9"/>
    <w:rsid w:val="004D1EC5"/>
    <w:rsid w:val="004D6514"/>
    <w:rsid w:val="004D653C"/>
    <w:rsid w:val="004E72BB"/>
    <w:rsid w:val="005075D5"/>
    <w:rsid w:val="00507A80"/>
    <w:rsid w:val="00512E7B"/>
    <w:rsid w:val="00513E8B"/>
    <w:rsid w:val="00540C54"/>
    <w:rsid w:val="005426AA"/>
    <w:rsid w:val="00545CBE"/>
    <w:rsid w:val="00546DEF"/>
    <w:rsid w:val="00550874"/>
    <w:rsid w:val="00565B1F"/>
    <w:rsid w:val="00566322"/>
    <w:rsid w:val="00572FED"/>
    <w:rsid w:val="005730D8"/>
    <w:rsid w:val="005844F9"/>
    <w:rsid w:val="005846FD"/>
    <w:rsid w:val="00585332"/>
    <w:rsid w:val="005A2F14"/>
    <w:rsid w:val="005D1F37"/>
    <w:rsid w:val="005D2C30"/>
    <w:rsid w:val="005D5846"/>
    <w:rsid w:val="005E3D2C"/>
    <w:rsid w:val="005F599C"/>
    <w:rsid w:val="0060777D"/>
    <w:rsid w:val="0061451D"/>
    <w:rsid w:val="00623E78"/>
    <w:rsid w:val="006241BA"/>
    <w:rsid w:val="00631540"/>
    <w:rsid w:val="006320F4"/>
    <w:rsid w:val="006335C7"/>
    <w:rsid w:val="006504E8"/>
    <w:rsid w:val="00651109"/>
    <w:rsid w:val="00664D34"/>
    <w:rsid w:val="00675210"/>
    <w:rsid w:val="00685517"/>
    <w:rsid w:val="00687966"/>
    <w:rsid w:val="00692AE6"/>
    <w:rsid w:val="006A11D4"/>
    <w:rsid w:val="006A472D"/>
    <w:rsid w:val="006B1894"/>
    <w:rsid w:val="006B522D"/>
    <w:rsid w:val="006E4BF6"/>
    <w:rsid w:val="006E5281"/>
    <w:rsid w:val="006F2BAC"/>
    <w:rsid w:val="006F575E"/>
    <w:rsid w:val="007002D3"/>
    <w:rsid w:val="007049D4"/>
    <w:rsid w:val="00706792"/>
    <w:rsid w:val="00714076"/>
    <w:rsid w:val="00720B91"/>
    <w:rsid w:val="00724471"/>
    <w:rsid w:val="00733010"/>
    <w:rsid w:val="00735051"/>
    <w:rsid w:val="0074695E"/>
    <w:rsid w:val="007537EB"/>
    <w:rsid w:val="00761C12"/>
    <w:rsid w:val="0078245B"/>
    <w:rsid w:val="00791FB9"/>
    <w:rsid w:val="007B3E34"/>
    <w:rsid w:val="007B5100"/>
    <w:rsid w:val="007C1D73"/>
    <w:rsid w:val="007D032B"/>
    <w:rsid w:val="007E2C57"/>
    <w:rsid w:val="007F3CAC"/>
    <w:rsid w:val="008113A2"/>
    <w:rsid w:val="00811576"/>
    <w:rsid w:val="008219C6"/>
    <w:rsid w:val="00822057"/>
    <w:rsid w:val="00823F94"/>
    <w:rsid w:val="0083222F"/>
    <w:rsid w:val="00854E74"/>
    <w:rsid w:val="008579F2"/>
    <w:rsid w:val="0088173B"/>
    <w:rsid w:val="00883209"/>
    <w:rsid w:val="008907E8"/>
    <w:rsid w:val="008A24DA"/>
    <w:rsid w:val="008A4E75"/>
    <w:rsid w:val="008B155F"/>
    <w:rsid w:val="008D2CD3"/>
    <w:rsid w:val="008E1E9B"/>
    <w:rsid w:val="008E26F7"/>
    <w:rsid w:val="008F40C6"/>
    <w:rsid w:val="009003E1"/>
    <w:rsid w:val="009029B7"/>
    <w:rsid w:val="00923425"/>
    <w:rsid w:val="00932322"/>
    <w:rsid w:val="00933176"/>
    <w:rsid w:val="00952B94"/>
    <w:rsid w:val="0096087B"/>
    <w:rsid w:val="00974D42"/>
    <w:rsid w:val="00975F02"/>
    <w:rsid w:val="009805FA"/>
    <w:rsid w:val="00990627"/>
    <w:rsid w:val="009A21AC"/>
    <w:rsid w:val="009C1E0D"/>
    <w:rsid w:val="009D0EB3"/>
    <w:rsid w:val="009D53A9"/>
    <w:rsid w:val="009E11CB"/>
    <w:rsid w:val="009F791E"/>
    <w:rsid w:val="00A002B3"/>
    <w:rsid w:val="00A0534E"/>
    <w:rsid w:val="00A40B82"/>
    <w:rsid w:val="00A44F2D"/>
    <w:rsid w:val="00A7117E"/>
    <w:rsid w:val="00A71632"/>
    <w:rsid w:val="00A7605D"/>
    <w:rsid w:val="00A77BC9"/>
    <w:rsid w:val="00A81139"/>
    <w:rsid w:val="00A814C8"/>
    <w:rsid w:val="00A94A8D"/>
    <w:rsid w:val="00AA0085"/>
    <w:rsid w:val="00AB2A92"/>
    <w:rsid w:val="00B14E8D"/>
    <w:rsid w:val="00B1575A"/>
    <w:rsid w:val="00B17AAC"/>
    <w:rsid w:val="00B20C91"/>
    <w:rsid w:val="00B21391"/>
    <w:rsid w:val="00B21D42"/>
    <w:rsid w:val="00B44635"/>
    <w:rsid w:val="00B458B5"/>
    <w:rsid w:val="00B505A1"/>
    <w:rsid w:val="00B56165"/>
    <w:rsid w:val="00B648AA"/>
    <w:rsid w:val="00B77775"/>
    <w:rsid w:val="00B80F57"/>
    <w:rsid w:val="00B85AFB"/>
    <w:rsid w:val="00B95093"/>
    <w:rsid w:val="00BA7EC6"/>
    <w:rsid w:val="00BB04AC"/>
    <w:rsid w:val="00BB6861"/>
    <w:rsid w:val="00BB706F"/>
    <w:rsid w:val="00BC2DB9"/>
    <w:rsid w:val="00BD353A"/>
    <w:rsid w:val="00BD3B0F"/>
    <w:rsid w:val="00BD541E"/>
    <w:rsid w:val="00BE61B4"/>
    <w:rsid w:val="00BE6CB4"/>
    <w:rsid w:val="00C0086C"/>
    <w:rsid w:val="00C03583"/>
    <w:rsid w:val="00C06CE3"/>
    <w:rsid w:val="00C14E84"/>
    <w:rsid w:val="00C22FBE"/>
    <w:rsid w:val="00C30122"/>
    <w:rsid w:val="00C30E0B"/>
    <w:rsid w:val="00C344D7"/>
    <w:rsid w:val="00C34A1B"/>
    <w:rsid w:val="00C34A88"/>
    <w:rsid w:val="00C651D5"/>
    <w:rsid w:val="00C733CA"/>
    <w:rsid w:val="00C73AF8"/>
    <w:rsid w:val="00C74A99"/>
    <w:rsid w:val="00C76927"/>
    <w:rsid w:val="00C810BE"/>
    <w:rsid w:val="00C8570D"/>
    <w:rsid w:val="00CA400E"/>
    <w:rsid w:val="00CA7951"/>
    <w:rsid w:val="00CB7B48"/>
    <w:rsid w:val="00CC6CF4"/>
    <w:rsid w:val="00CD0EC8"/>
    <w:rsid w:val="00CD0FAB"/>
    <w:rsid w:val="00CD39F6"/>
    <w:rsid w:val="00CD6939"/>
    <w:rsid w:val="00CD70CA"/>
    <w:rsid w:val="00CE1F2E"/>
    <w:rsid w:val="00CF5867"/>
    <w:rsid w:val="00CF60C0"/>
    <w:rsid w:val="00CF709C"/>
    <w:rsid w:val="00D05C3D"/>
    <w:rsid w:val="00D11105"/>
    <w:rsid w:val="00D14499"/>
    <w:rsid w:val="00D20072"/>
    <w:rsid w:val="00D33B14"/>
    <w:rsid w:val="00D34E33"/>
    <w:rsid w:val="00D353EF"/>
    <w:rsid w:val="00D45ED4"/>
    <w:rsid w:val="00D46E3E"/>
    <w:rsid w:val="00D47E4D"/>
    <w:rsid w:val="00D5437E"/>
    <w:rsid w:val="00D56C7F"/>
    <w:rsid w:val="00D56EFC"/>
    <w:rsid w:val="00D614E3"/>
    <w:rsid w:val="00D6775A"/>
    <w:rsid w:val="00D8021C"/>
    <w:rsid w:val="00D92751"/>
    <w:rsid w:val="00D97705"/>
    <w:rsid w:val="00DC6BB9"/>
    <w:rsid w:val="00DD24CE"/>
    <w:rsid w:val="00DD6787"/>
    <w:rsid w:val="00DE09B6"/>
    <w:rsid w:val="00DE0D88"/>
    <w:rsid w:val="00DF2321"/>
    <w:rsid w:val="00DF6442"/>
    <w:rsid w:val="00E0009B"/>
    <w:rsid w:val="00E02309"/>
    <w:rsid w:val="00E024A4"/>
    <w:rsid w:val="00E03E66"/>
    <w:rsid w:val="00E24B35"/>
    <w:rsid w:val="00E31771"/>
    <w:rsid w:val="00E41D28"/>
    <w:rsid w:val="00E46075"/>
    <w:rsid w:val="00E6452C"/>
    <w:rsid w:val="00E669CB"/>
    <w:rsid w:val="00E72570"/>
    <w:rsid w:val="00E729AF"/>
    <w:rsid w:val="00E74F16"/>
    <w:rsid w:val="00E83D06"/>
    <w:rsid w:val="00E8603A"/>
    <w:rsid w:val="00E96EE4"/>
    <w:rsid w:val="00EA3A4B"/>
    <w:rsid w:val="00EB2423"/>
    <w:rsid w:val="00EB373D"/>
    <w:rsid w:val="00EB60E6"/>
    <w:rsid w:val="00EB68E8"/>
    <w:rsid w:val="00EB7C8D"/>
    <w:rsid w:val="00EC45CB"/>
    <w:rsid w:val="00ED4D8F"/>
    <w:rsid w:val="00EE650B"/>
    <w:rsid w:val="00EF0416"/>
    <w:rsid w:val="00EF4198"/>
    <w:rsid w:val="00EF7EA8"/>
    <w:rsid w:val="00F04E5E"/>
    <w:rsid w:val="00F1281F"/>
    <w:rsid w:val="00F1339D"/>
    <w:rsid w:val="00F220AB"/>
    <w:rsid w:val="00F278F4"/>
    <w:rsid w:val="00F353B6"/>
    <w:rsid w:val="00F36413"/>
    <w:rsid w:val="00F37D20"/>
    <w:rsid w:val="00F415E4"/>
    <w:rsid w:val="00F428A9"/>
    <w:rsid w:val="00F506CD"/>
    <w:rsid w:val="00F540F4"/>
    <w:rsid w:val="00F54EBF"/>
    <w:rsid w:val="00F64667"/>
    <w:rsid w:val="00F72AD9"/>
    <w:rsid w:val="00F748CE"/>
    <w:rsid w:val="00F943D1"/>
    <w:rsid w:val="00F971BB"/>
    <w:rsid w:val="00FB2C52"/>
    <w:rsid w:val="00FB3335"/>
    <w:rsid w:val="00FB70C0"/>
    <w:rsid w:val="00FD4291"/>
    <w:rsid w:val="00FE6DBE"/>
    <w:rsid w:val="00FF01E8"/>
    <w:rsid w:val="00FF3C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986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5BA3"/>
    <w:pPr>
      <w:spacing w:after="0" w:line="240" w:lineRule="auto"/>
    </w:pPr>
    <w:rPr>
      <w:rFonts w:ascii="Cambria" w:eastAsia="Cambria" w:hAnsi="Cambria" w:cs="Times New Roman"/>
      <w:sz w:val="24"/>
      <w:szCs w:val="24"/>
    </w:rPr>
  </w:style>
  <w:style w:type="paragraph" w:styleId="Nagwek1">
    <w:name w:val="heading 1"/>
    <w:basedOn w:val="Normalny"/>
    <w:next w:val="Normalny"/>
    <w:link w:val="Nagwek1Znak"/>
    <w:uiPriority w:val="9"/>
    <w:qFormat/>
    <w:rsid w:val="00975F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115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D4D8F"/>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qFormat/>
    <w:rsid w:val="00B458B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basedOn w:val="Domylnaczcionkaakapitu"/>
    <w:uiPriority w:val="19"/>
    <w:qFormat/>
    <w:rsid w:val="00045BA3"/>
    <w:rPr>
      <w:i/>
      <w:iCs/>
      <w:color w:val="404040" w:themeColor="text1" w:themeTint="BF"/>
    </w:rPr>
  </w:style>
  <w:style w:type="paragraph" w:styleId="Akapitzlist">
    <w:name w:val="List Paragraph"/>
    <w:basedOn w:val="Normalny"/>
    <w:uiPriority w:val="34"/>
    <w:qFormat/>
    <w:rsid w:val="00385B71"/>
    <w:pPr>
      <w:ind w:left="720"/>
      <w:contextualSpacing/>
    </w:pPr>
  </w:style>
  <w:style w:type="paragraph" w:styleId="Bezodstpw">
    <w:name w:val="No Spacing"/>
    <w:uiPriority w:val="1"/>
    <w:qFormat/>
    <w:rsid w:val="00975F02"/>
    <w:pPr>
      <w:spacing w:after="0" w:line="240" w:lineRule="auto"/>
    </w:pPr>
    <w:rPr>
      <w:rFonts w:ascii="Cambria" w:eastAsia="Cambria" w:hAnsi="Cambria" w:cs="Times New Roman"/>
      <w:sz w:val="24"/>
      <w:szCs w:val="24"/>
    </w:rPr>
  </w:style>
  <w:style w:type="character" w:customStyle="1" w:styleId="Nagwek1Znak">
    <w:name w:val="Nagłówek 1 Znak"/>
    <w:basedOn w:val="Domylnaczcionkaakapitu"/>
    <w:link w:val="Nagwek1"/>
    <w:uiPriority w:val="9"/>
    <w:rsid w:val="00975F02"/>
    <w:rPr>
      <w:rFonts w:asciiTheme="majorHAnsi" w:eastAsiaTheme="majorEastAsia" w:hAnsiTheme="majorHAnsi" w:cstheme="majorBidi"/>
      <w:color w:val="2F5496" w:themeColor="accent1" w:themeShade="BF"/>
      <w:sz w:val="32"/>
      <w:szCs w:val="32"/>
    </w:rPr>
  </w:style>
  <w:style w:type="paragraph" w:styleId="Tekstprzypisukocowego">
    <w:name w:val="endnote text"/>
    <w:basedOn w:val="Normalny"/>
    <w:link w:val="TekstprzypisukocowegoZnak"/>
    <w:uiPriority w:val="99"/>
    <w:semiHidden/>
    <w:unhideWhenUsed/>
    <w:rsid w:val="00811576"/>
    <w:rPr>
      <w:sz w:val="20"/>
      <w:szCs w:val="20"/>
    </w:rPr>
  </w:style>
  <w:style w:type="character" w:customStyle="1" w:styleId="TekstprzypisukocowegoZnak">
    <w:name w:val="Tekst przypisu końcowego Znak"/>
    <w:basedOn w:val="Domylnaczcionkaakapitu"/>
    <w:link w:val="Tekstprzypisukocowego"/>
    <w:uiPriority w:val="99"/>
    <w:semiHidden/>
    <w:rsid w:val="00811576"/>
    <w:rPr>
      <w:rFonts w:ascii="Cambria" w:eastAsia="Cambria" w:hAnsi="Cambria" w:cs="Times New Roman"/>
      <w:sz w:val="20"/>
      <w:szCs w:val="20"/>
    </w:rPr>
  </w:style>
  <w:style w:type="character" w:styleId="Odwoanieprzypisukocowego">
    <w:name w:val="endnote reference"/>
    <w:basedOn w:val="Domylnaczcionkaakapitu"/>
    <w:uiPriority w:val="99"/>
    <w:semiHidden/>
    <w:unhideWhenUsed/>
    <w:rsid w:val="00811576"/>
    <w:rPr>
      <w:vertAlign w:val="superscript"/>
    </w:rPr>
  </w:style>
  <w:style w:type="character" w:customStyle="1" w:styleId="Nagwek2Znak">
    <w:name w:val="Nagłówek 2 Znak"/>
    <w:basedOn w:val="Domylnaczcionkaakapitu"/>
    <w:link w:val="Nagwek2"/>
    <w:uiPriority w:val="9"/>
    <w:rsid w:val="00811576"/>
    <w:rPr>
      <w:rFonts w:asciiTheme="majorHAnsi" w:eastAsiaTheme="majorEastAsia" w:hAnsiTheme="majorHAnsi" w:cstheme="majorBidi"/>
      <w:color w:val="2F5496" w:themeColor="accent1" w:themeShade="BF"/>
      <w:sz w:val="26"/>
      <w:szCs w:val="26"/>
    </w:rPr>
  </w:style>
  <w:style w:type="character" w:styleId="Tekstzastpczy">
    <w:name w:val="Placeholder Text"/>
    <w:basedOn w:val="Domylnaczcionkaakapitu"/>
    <w:uiPriority w:val="99"/>
    <w:semiHidden/>
    <w:rsid w:val="00550874"/>
    <w:rPr>
      <w:color w:val="808080"/>
    </w:rPr>
  </w:style>
  <w:style w:type="paragraph" w:styleId="Tekstprzypisudolnego">
    <w:name w:val="footnote text"/>
    <w:basedOn w:val="Normalny"/>
    <w:link w:val="TekstprzypisudolnegoZnak"/>
    <w:uiPriority w:val="99"/>
    <w:semiHidden/>
    <w:unhideWhenUsed/>
    <w:rsid w:val="00B648AA"/>
    <w:rPr>
      <w:sz w:val="20"/>
      <w:szCs w:val="20"/>
    </w:rPr>
  </w:style>
  <w:style w:type="character" w:customStyle="1" w:styleId="TekstprzypisudolnegoZnak">
    <w:name w:val="Tekst przypisu dolnego Znak"/>
    <w:basedOn w:val="Domylnaczcionkaakapitu"/>
    <w:link w:val="Tekstprzypisudolnego"/>
    <w:uiPriority w:val="99"/>
    <w:semiHidden/>
    <w:rsid w:val="00B648AA"/>
    <w:rPr>
      <w:rFonts w:ascii="Cambria" w:eastAsia="Cambria" w:hAnsi="Cambria" w:cs="Times New Roman"/>
      <w:sz w:val="20"/>
      <w:szCs w:val="20"/>
    </w:rPr>
  </w:style>
  <w:style w:type="character" w:styleId="Odwoanieprzypisudolnego">
    <w:name w:val="footnote reference"/>
    <w:basedOn w:val="Domylnaczcionkaakapitu"/>
    <w:uiPriority w:val="99"/>
    <w:semiHidden/>
    <w:unhideWhenUsed/>
    <w:rsid w:val="00B648AA"/>
    <w:rPr>
      <w:vertAlign w:val="superscript"/>
    </w:rPr>
  </w:style>
  <w:style w:type="paragraph" w:styleId="Nagwek">
    <w:name w:val="header"/>
    <w:basedOn w:val="Normalny"/>
    <w:link w:val="NagwekZnak"/>
    <w:uiPriority w:val="99"/>
    <w:unhideWhenUsed/>
    <w:rsid w:val="00DF2321"/>
    <w:pPr>
      <w:tabs>
        <w:tab w:val="center" w:pos="4536"/>
        <w:tab w:val="right" w:pos="9072"/>
      </w:tabs>
    </w:pPr>
  </w:style>
  <w:style w:type="character" w:customStyle="1" w:styleId="NagwekZnak">
    <w:name w:val="Nagłówek Znak"/>
    <w:basedOn w:val="Domylnaczcionkaakapitu"/>
    <w:link w:val="Nagwek"/>
    <w:uiPriority w:val="99"/>
    <w:rsid w:val="00DF2321"/>
    <w:rPr>
      <w:rFonts w:ascii="Cambria" w:eastAsia="Cambria" w:hAnsi="Cambria" w:cs="Times New Roman"/>
      <w:sz w:val="24"/>
      <w:szCs w:val="24"/>
    </w:rPr>
  </w:style>
  <w:style w:type="paragraph" w:styleId="Stopka">
    <w:name w:val="footer"/>
    <w:basedOn w:val="Normalny"/>
    <w:link w:val="StopkaZnak"/>
    <w:uiPriority w:val="99"/>
    <w:unhideWhenUsed/>
    <w:rsid w:val="00DF2321"/>
    <w:pPr>
      <w:tabs>
        <w:tab w:val="center" w:pos="4536"/>
        <w:tab w:val="right" w:pos="9072"/>
      </w:tabs>
    </w:pPr>
  </w:style>
  <w:style w:type="character" w:customStyle="1" w:styleId="StopkaZnak">
    <w:name w:val="Stopka Znak"/>
    <w:basedOn w:val="Domylnaczcionkaakapitu"/>
    <w:link w:val="Stopka"/>
    <w:uiPriority w:val="99"/>
    <w:rsid w:val="00DF2321"/>
    <w:rPr>
      <w:rFonts w:ascii="Cambria" w:eastAsia="Cambria" w:hAnsi="Cambria" w:cs="Times New Roman"/>
      <w:sz w:val="24"/>
      <w:szCs w:val="24"/>
    </w:rPr>
  </w:style>
  <w:style w:type="character" w:styleId="Odwoaniedokomentarza">
    <w:name w:val="annotation reference"/>
    <w:basedOn w:val="Domylnaczcionkaakapitu"/>
    <w:uiPriority w:val="99"/>
    <w:semiHidden/>
    <w:unhideWhenUsed/>
    <w:rsid w:val="00F72AD9"/>
    <w:rPr>
      <w:sz w:val="16"/>
      <w:szCs w:val="16"/>
    </w:rPr>
  </w:style>
  <w:style w:type="paragraph" w:styleId="Tekstkomentarza">
    <w:name w:val="annotation text"/>
    <w:basedOn w:val="Normalny"/>
    <w:link w:val="TekstkomentarzaZnak"/>
    <w:uiPriority w:val="99"/>
    <w:unhideWhenUsed/>
    <w:rsid w:val="00F72AD9"/>
    <w:pPr>
      <w:spacing w:after="160"/>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rsid w:val="00F72AD9"/>
    <w:rPr>
      <w:sz w:val="20"/>
      <w:szCs w:val="20"/>
    </w:rPr>
  </w:style>
  <w:style w:type="character" w:customStyle="1" w:styleId="Kkursywa">
    <w:name w:val="_K_ – kursywa"/>
    <w:basedOn w:val="Domylnaczcionkaakapitu"/>
    <w:uiPriority w:val="1"/>
    <w:qFormat/>
    <w:rsid w:val="00F72AD9"/>
    <w:rPr>
      <w:i/>
    </w:rPr>
  </w:style>
  <w:style w:type="paragraph" w:customStyle="1" w:styleId="ZLITLEGWMATFIZCHEMzmlegendywzorumatfizlubchemliter">
    <w:name w:val="Z_LIT/LEG_W_MAT(FIZ|CHEM) – zm. legendy wzoru mat. (fiz. lub chem.) literą"/>
    <w:basedOn w:val="Normalny"/>
    <w:uiPriority w:val="54"/>
    <w:qFormat/>
    <w:rsid w:val="00F72AD9"/>
    <w:pPr>
      <w:spacing w:line="360" w:lineRule="auto"/>
      <w:ind w:left="2291" w:hanging="794"/>
      <w:jc w:val="both"/>
    </w:pPr>
    <w:rPr>
      <w:rFonts w:ascii="Times New Roman" w:eastAsiaTheme="minorEastAsia" w:hAnsi="Times New Roman" w:cs="Arial"/>
      <w:szCs w:val="20"/>
      <w:lang w:eastAsia="pl-PL"/>
    </w:rPr>
  </w:style>
  <w:style w:type="character" w:styleId="Hipercze">
    <w:name w:val="Hyperlink"/>
    <w:basedOn w:val="Domylnaczcionkaakapitu"/>
    <w:uiPriority w:val="99"/>
    <w:unhideWhenUsed/>
    <w:rsid w:val="00BB706F"/>
    <w:rPr>
      <w:color w:val="0563C1" w:themeColor="hyperlink"/>
      <w:u w:val="single"/>
    </w:rPr>
  </w:style>
  <w:style w:type="character" w:styleId="Nierozpoznanawzmianka">
    <w:name w:val="Unresolved Mention"/>
    <w:basedOn w:val="Domylnaczcionkaakapitu"/>
    <w:uiPriority w:val="99"/>
    <w:semiHidden/>
    <w:unhideWhenUsed/>
    <w:rsid w:val="00BB706F"/>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FB2C52"/>
    <w:pPr>
      <w:spacing w:after="0"/>
    </w:pPr>
    <w:rPr>
      <w:rFonts w:ascii="Cambria" w:eastAsia="Cambria" w:hAnsi="Cambria" w:cs="Times New Roman"/>
      <w:b/>
      <w:bCs/>
    </w:rPr>
  </w:style>
  <w:style w:type="character" w:customStyle="1" w:styleId="TematkomentarzaZnak">
    <w:name w:val="Temat komentarza Znak"/>
    <w:basedOn w:val="TekstkomentarzaZnak"/>
    <w:link w:val="Tematkomentarza"/>
    <w:uiPriority w:val="99"/>
    <w:semiHidden/>
    <w:rsid w:val="00FB2C52"/>
    <w:rPr>
      <w:rFonts w:ascii="Cambria" w:eastAsia="Cambria" w:hAnsi="Cambria" w:cs="Times New Roman"/>
      <w:b/>
      <w:bCs/>
      <w:sz w:val="20"/>
      <w:szCs w:val="20"/>
    </w:rPr>
  </w:style>
  <w:style w:type="character" w:customStyle="1" w:styleId="Nagwek3Znak">
    <w:name w:val="Nagłówek 3 Znak"/>
    <w:basedOn w:val="Domylnaczcionkaakapitu"/>
    <w:link w:val="Nagwek3"/>
    <w:uiPriority w:val="9"/>
    <w:rsid w:val="00ED4D8F"/>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B458B5"/>
    <w:rPr>
      <w:rFonts w:asciiTheme="majorHAnsi" w:eastAsiaTheme="majorEastAsia" w:hAnsiTheme="majorHAnsi" w:cstheme="majorBidi"/>
      <w:i/>
      <w:iCs/>
      <w:color w:val="2F5496" w:themeColor="accent1" w:themeShade="BF"/>
      <w:sz w:val="24"/>
      <w:szCs w:val="24"/>
    </w:rPr>
  </w:style>
  <w:style w:type="paragraph" w:customStyle="1" w:styleId="ARTartustawynprozporzdzenia">
    <w:name w:val="ART(§) – art. ustawy (§ np. rozporządzenia)"/>
    <w:uiPriority w:val="11"/>
    <w:qFormat/>
    <w:rsid w:val="00A814C8"/>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WMATFIZCHEMwzrmatfizlubchem">
    <w:name w:val="W_MAT(FIZ|CHEM) – wzór mat. (fiz. lub chem.)"/>
    <w:uiPriority w:val="18"/>
    <w:qFormat/>
    <w:rsid w:val="00A814C8"/>
    <w:pPr>
      <w:spacing w:after="0" w:line="360" w:lineRule="auto"/>
      <w:jc w:val="center"/>
    </w:pPr>
    <w:rPr>
      <w:rFonts w:ascii="Times New Roman" w:eastAsiaTheme="minorEastAsia" w:hAnsi="Times New Roman" w:cs="Arial"/>
      <w:sz w:val="24"/>
      <w:szCs w:val="20"/>
      <w:lang w:eastAsia="pl-PL"/>
    </w:rPr>
  </w:style>
  <w:style w:type="paragraph" w:customStyle="1" w:styleId="LEGWMATFIZCHEMlegendawzorumatfizlubchem">
    <w:name w:val="LEG_W_MAT(FIZ|CHEM) – legenda wzoru mat. (fiz. lub chem.)"/>
    <w:basedOn w:val="WMATFIZCHEMwzrmatfizlubchem"/>
    <w:uiPriority w:val="19"/>
    <w:qFormat/>
    <w:rsid w:val="00A814C8"/>
    <w:pPr>
      <w:ind w:left="1304" w:hanging="794"/>
      <w:jc w:val="both"/>
    </w:pPr>
  </w:style>
  <w:style w:type="paragraph" w:customStyle="1" w:styleId="ZLITUSTzmustliter">
    <w:name w:val="Z_LIT/UST(§) – zm. ust. (§) literą"/>
    <w:basedOn w:val="Normalny"/>
    <w:uiPriority w:val="46"/>
    <w:qFormat/>
    <w:rsid w:val="00D92751"/>
    <w:pPr>
      <w:suppressAutoHyphens/>
      <w:autoSpaceDE w:val="0"/>
      <w:autoSpaceDN w:val="0"/>
      <w:adjustRightInd w:val="0"/>
      <w:spacing w:line="360" w:lineRule="auto"/>
      <w:ind w:left="987" w:firstLine="510"/>
      <w:jc w:val="both"/>
    </w:pPr>
    <w:rPr>
      <w:rFonts w:ascii="Times" w:eastAsiaTheme="minorEastAsia" w:hAnsi="Times" w:cs="Arial"/>
      <w:bCs/>
      <w:szCs w:val="20"/>
      <w:lang w:eastAsia="pl-PL"/>
    </w:rPr>
  </w:style>
  <w:style w:type="paragraph" w:customStyle="1" w:styleId="ZLITPKTzmpktliter">
    <w:name w:val="Z_LIT/PKT – zm. pkt literą"/>
    <w:basedOn w:val="Normalny"/>
    <w:uiPriority w:val="47"/>
    <w:qFormat/>
    <w:rsid w:val="00D92751"/>
    <w:pPr>
      <w:spacing w:line="360" w:lineRule="auto"/>
      <w:ind w:left="1497" w:hanging="510"/>
      <w:jc w:val="both"/>
    </w:pPr>
    <w:rPr>
      <w:rFonts w:ascii="Times" w:eastAsiaTheme="minorEastAsia" w:hAnsi="Times" w:cs="Arial"/>
      <w:bCs/>
      <w:szCs w:val="20"/>
      <w:lang w:eastAsia="pl-PL"/>
    </w:rPr>
  </w:style>
  <w:style w:type="paragraph" w:customStyle="1" w:styleId="ZLITLITwPKTzmlitwpktliter">
    <w:name w:val="Z_LIT/LIT_w_PKT – zm. lit. w pkt literą"/>
    <w:basedOn w:val="Normalny"/>
    <w:uiPriority w:val="48"/>
    <w:qFormat/>
    <w:rsid w:val="00D92751"/>
    <w:pPr>
      <w:spacing w:line="360" w:lineRule="auto"/>
      <w:ind w:left="1973" w:hanging="476"/>
      <w:jc w:val="both"/>
    </w:pPr>
    <w:rPr>
      <w:rFonts w:ascii="Times" w:eastAsiaTheme="minorEastAsia" w:hAnsi="Times" w:cs="Arial"/>
      <w:bCs/>
      <w:szCs w:val="20"/>
      <w:lang w:eastAsia="pl-PL"/>
    </w:rPr>
  </w:style>
  <w:style w:type="paragraph" w:customStyle="1" w:styleId="ZLITCZWSPLITwPKTzmczciwsplitwpktliter">
    <w:name w:val="Z_LIT/CZ_WSP_LIT_w_PKT – zm. części wsp. lit. w pkt literą"/>
    <w:basedOn w:val="Normalny"/>
    <w:next w:val="Normalny"/>
    <w:uiPriority w:val="51"/>
    <w:qFormat/>
    <w:rsid w:val="00D92751"/>
    <w:pPr>
      <w:spacing w:line="360" w:lineRule="auto"/>
      <w:ind w:left="1497"/>
      <w:jc w:val="both"/>
    </w:pPr>
    <w:rPr>
      <w:rFonts w:ascii="Times" w:eastAsiaTheme="minorEastAsia" w:hAnsi="Times" w:cs="Arial"/>
      <w:bCs/>
      <w:lang w:eastAsia="pl-PL"/>
    </w:rPr>
  </w:style>
  <w:style w:type="character" w:customStyle="1" w:styleId="IGindeksgrny">
    <w:name w:val="_IG_ – indeks górny"/>
    <w:basedOn w:val="Domylnaczcionkaakapitu"/>
    <w:uiPriority w:val="2"/>
    <w:qFormat/>
    <w:rsid w:val="00D92751"/>
    <w:rPr>
      <w:b w:val="0"/>
      <w:i w:val="0"/>
      <w:vanish w:val="0"/>
      <w:spacing w:val="0"/>
      <w:vertAlign w:val="superscript"/>
    </w:rPr>
  </w:style>
  <w:style w:type="character" w:customStyle="1" w:styleId="IDindeksdolny">
    <w:name w:val="_ID_ – indeks dolny"/>
    <w:basedOn w:val="Domylnaczcionkaakapitu"/>
    <w:uiPriority w:val="3"/>
    <w:qFormat/>
    <w:rsid w:val="00D92751"/>
    <w:rPr>
      <w:b w:val="0"/>
      <w:i w:val="0"/>
      <w:vanish w:val="0"/>
      <w:spacing w:val="0"/>
      <w:vertAlign w:val="subscript"/>
    </w:rPr>
  </w:style>
  <w:style w:type="paragraph" w:customStyle="1" w:styleId="ZLITWMATFIZCHEMzmwzorumatfizlubchemliter">
    <w:name w:val="Z_LIT/W_MAT(FIZ|CHEM) – zm. wzoru mat. (fiz. lub chem.) literą"/>
    <w:basedOn w:val="Normalny"/>
    <w:next w:val="ZLITUSTzmustliter"/>
    <w:uiPriority w:val="53"/>
    <w:qFormat/>
    <w:rsid w:val="00D92751"/>
    <w:pPr>
      <w:spacing w:line="360" w:lineRule="auto"/>
      <w:ind w:left="987"/>
      <w:jc w:val="center"/>
    </w:pPr>
    <w:rPr>
      <w:rFonts w:ascii="Times New Roman" w:eastAsiaTheme="minorEastAsia" w:hAnsi="Times New Roman" w:cs="Arial"/>
      <w:szCs w:val="20"/>
      <w:lang w:eastAsia="pl-PL"/>
    </w:rPr>
  </w:style>
  <w:style w:type="paragraph" w:styleId="Poprawka">
    <w:name w:val="Revision"/>
    <w:hidden/>
    <w:uiPriority w:val="99"/>
    <w:semiHidden/>
    <w:rsid w:val="006320F4"/>
    <w:pPr>
      <w:spacing w:after="0" w:line="240" w:lineRule="auto"/>
    </w:pPr>
    <w:rPr>
      <w:rFonts w:ascii="Cambria" w:eastAsia="Cambria" w:hAnsi="Cambria" w:cs="Times New Roman"/>
      <w:sz w:val="24"/>
      <w:szCs w:val="24"/>
    </w:rPr>
  </w:style>
  <w:style w:type="paragraph" w:styleId="Tekstdymka">
    <w:name w:val="Balloon Text"/>
    <w:basedOn w:val="Normalny"/>
    <w:link w:val="TekstdymkaZnak"/>
    <w:uiPriority w:val="99"/>
    <w:semiHidden/>
    <w:unhideWhenUsed/>
    <w:rsid w:val="00EA3A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3A4B"/>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50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zdambzgizt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EEBD-0AE5-409F-8E7C-1ACEE35C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11055</Words>
  <Characters>66332</Characters>
  <Application>Microsoft Office Word</Application>
  <DocSecurity>0</DocSecurity>
  <Lines>552</Lines>
  <Paragraphs>154</Paragraphs>
  <ScaleCrop>false</ScaleCrop>
  <Company/>
  <LinksUpToDate>false</LinksUpToDate>
  <CharactersWithSpaces>77233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2024-06-24T06:34:00Z</dcterms:created>
  <dcterms:modified xsi:type="dcterms:W3CDTF">2024-06-24T06:34:00Z</dcterms:modified>
</cp:coreProperties>
</file>