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9457" w14:textId="77777777" w:rsidR="000B7ADE" w:rsidRPr="00FE0558" w:rsidRDefault="000B7ADE" w:rsidP="00FE0558">
      <w:pPr>
        <w:keepNext/>
        <w:suppressAutoHyphens/>
        <w:spacing w:after="240" w:line="360" w:lineRule="auto"/>
        <w:jc w:val="center"/>
        <w:rPr>
          <w:rFonts w:ascii="Times New Roman" w:eastAsia="Times New Roman" w:hAnsi="Times New Roman" w:cs="Times New Roman"/>
          <w:bCs/>
          <w:caps/>
          <w:kern w:val="24"/>
          <w:sz w:val="24"/>
          <w:szCs w:val="24"/>
          <w:lang w:eastAsia="pl-PL"/>
        </w:rPr>
      </w:pPr>
      <w:r w:rsidRPr="00FE0558">
        <w:rPr>
          <w:rFonts w:ascii="Times New Roman" w:eastAsia="Times New Roman" w:hAnsi="Times New Roman" w:cs="Times New Roman"/>
          <w:bCs/>
          <w:caps/>
          <w:kern w:val="24"/>
          <w:sz w:val="24"/>
          <w:szCs w:val="24"/>
          <w:lang w:eastAsia="pl-PL"/>
        </w:rPr>
        <w:t>UZASADNIENIE</w:t>
      </w:r>
    </w:p>
    <w:p w14:paraId="676EC1BE" w14:textId="1E3504CF"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sz w:val="24"/>
          <w:szCs w:val="20"/>
          <w:lang w:eastAsia="pl-PL" w:bidi="pl-PL"/>
        </w:rPr>
      </w:pPr>
      <w:bookmarkStart w:id="0" w:name="_Hlk153454337"/>
      <w:r w:rsidRPr="00A90541">
        <w:rPr>
          <w:rFonts w:ascii="Times" w:eastAsiaTheme="minorEastAsia" w:hAnsi="Times" w:cs="Arial"/>
          <w:sz w:val="24"/>
          <w:szCs w:val="20"/>
          <w:lang w:eastAsia="pl-PL" w:bidi="pl-PL"/>
        </w:rPr>
        <w:t>Aktualnie uregulowany w art. 8 ustawy z dnia 22 sierpnia 1997 r. o publicznej służbie krwi (Dz. U. z 2024 r. poz. 281) sposób przeliczania oddanych składników krwi na krew pełną opracowano 17 lat temu. Jest on bardzo uproszczony, przez co nie wyczerpuje wszystkich możliwości pobierania składników krwi przy użyciu różnych typów separatorów komórkowych, jakimi dysponują centra krwiodawstwa i krwiolecznictwa, a w szczególności nie uwzględniają donacji kilku składników krwi podczas jednego zabiegu np. krwinek płytkowych i osocza. Postępujący rozwój technologii w medycynie i pojawianie się na rynku nowych typów urządzeń do pobierania składników krwi od dawców powoduje, że występują nowe rodzaje zabiegów wykonywanych u dawców.</w:t>
      </w:r>
    </w:p>
    <w:bookmarkEnd w:id="0"/>
    <w:p w14:paraId="1F0B84D8" w14:textId="77777777"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sz w:val="24"/>
          <w:szCs w:val="20"/>
          <w:lang w:eastAsia="pl-PL" w:bidi="pl-PL"/>
        </w:rPr>
      </w:pPr>
      <w:r w:rsidRPr="00A90541">
        <w:rPr>
          <w:rFonts w:ascii="Times" w:eastAsiaTheme="minorEastAsia" w:hAnsi="Times" w:cs="Arial"/>
          <w:sz w:val="24"/>
          <w:szCs w:val="20"/>
          <w:lang w:eastAsia="pl-PL" w:bidi="pl-PL"/>
        </w:rPr>
        <w:t>Uwzględniając uwagi zgłaszane przez dawców krwi w zakresie braku jednolitego schematu przeliczania oddanych przez składników krwi na krew pełną na terenie kraju oraz konieczność przedstawienia jednolitego sposobu przeliczania różnych donacji na potrzeby realizacji „Projektu e-Krew – Informatyzacja Publicznej Służby Krwi oraz Rozwój Nadzoru nad Krwiolecznictwem”, zespół roboczy działający przy ww. projekcie, w skład którego wchodzili przedstawiciele regionalnych centrów krwiodawstwa i krwiolecznictwa, Instytutu Hematologii i Transfuzjologii, Centrum e-Zdrowia oraz Narodowego Centrum Krwi, opracował i zarekomendował w 2019 r. ujednolicony sposób przeliczania objętości składników krwi pobieranych przy użyciu separatorów komórkowych metodą automatycznej aferezy i</w:t>
      </w:r>
      <w:r>
        <w:rPr>
          <w:rFonts w:ascii="Times" w:eastAsiaTheme="minorEastAsia" w:hAnsi="Times" w:cs="Arial"/>
          <w:sz w:val="24"/>
          <w:szCs w:val="20"/>
          <w:lang w:eastAsia="pl-PL" w:bidi="pl-PL"/>
        </w:rPr>
        <w:t> </w:t>
      </w:r>
      <w:r w:rsidRPr="00A90541">
        <w:rPr>
          <w:rFonts w:ascii="Times" w:eastAsiaTheme="minorEastAsia" w:hAnsi="Times" w:cs="Arial"/>
          <w:sz w:val="24"/>
          <w:szCs w:val="20"/>
          <w:lang w:eastAsia="pl-PL" w:bidi="pl-PL"/>
        </w:rPr>
        <w:t>sposób ich przeliczania na krew pełną. Jednakże, w związku z kontrolą prowadzaną przez Najwyższą Izbę Kontroli w jednostkach organizacyjnych publicznej służby krwi oraz Narodowym Centrum Krwi, Najwyższa Izba Kontroli poddała pod wątpliwość zgodność stosowanego przelicznika z postanowieniami art. 8 ustawy z dnia 22 sierpnia 1997 r. o</w:t>
      </w:r>
      <w:r>
        <w:rPr>
          <w:rFonts w:ascii="Times" w:eastAsiaTheme="minorEastAsia" w:hAnsi="Times" w:cs="Arial"/>
          <w:sz w:val="24"/>
          <w:szCs w:val="20"/>
          <w:lang w:eastAsia="pl-PL" w:bidi="pl-PL"/>
        </w:rPr>
        <w:t> </w:t>
      </w:r>
      <w:r w:rsidRPr="00A90541">
        <w:rPr>
          <w:rFonts w:ascii="Times" w:eastAsiaTheme="minorEastAsia" w:hAnsi="Times" w:cs="Arial"/>
          <w:sz w:val="24"/>
          <w:szCs w:val="20"/>
          <w:lang w:eastAsia="pl-PL" w:bidi="pl-PL"/>
        </w:rPr>
        <w:t>publicznej służbie krwi. Narodowe Centrum Krwi niezwłocznie zwróciło się do ww. zespołu o ponowne przeanalizowanie zagadnienia. Zespół w wyniku prac uznał, że nie ma technicznej możliwości jednoznacznego zastosowania przelicznika zapisanego w ww. przepisie ustawy, który uwzględniałby wszystkie możliwe kombinacje pobierania składników krwi oraz był możliwy do zastosowania i funkcjonalny w stosowanych systemach komputerowych.</w:t>
      </w:r>
    </w:p>
    <w:p w14:paraId="17F41EC0" w14:textId="2F1E98E3"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sz w:val="24"/>
          <w:szCs w:val="20"/>
          <w:lang w:eastAsia="pl-PL" w:bidi="pl-PL"/>
        </w:rPr>
      </w:pPr>
      <w:r w:rsidRPr="00A90541">
        <w:rPr>
          <w:rFonts w:ascii="Times" w:eastAsiaTheme="minorEastAsia" w:hAnsi="Times" w:cs="Arial"/>
          <w:sz w:val="24"/>
          <w:szCs w:val="20"/>
          <w:lang w:eastAsia="pl-PL" w:bidi="pl-PL"/>
        </w:rPr>
        <w:t xml:space="preserve">Rozwiązaniem wprowadzanym w projekcie nowelizacji ustawy z dnia 22 sierpnia 1997 r. o publicznej służbie krwi jest przeniesienie przepisów dotyczących przeliczania oddanych składników krwi na krew pełną z poziomu regulacji ustawowej na poziom aktu wykonawczego, w celu bardziej elastycznego określania przelicznika donacji składników krwi oddanych podczas zabiegów aferezy oraz w celu objęcia wszystkich możliwych typów donacji podczas </w:t>
      </w:r>
      <w:r w:rsidRPr="00A90541">
        <w:rPr>
          <w:rFonts w:ascii="Times" w:eastAsiaTheme="minorEastAsia" w:hAnsi="Times" w:cs="Arial"/>
          <w:sz w:val="24"/>
          <w:szCs w:val="20"/>
          <w:lang w:eastAsia="pl-PL" w:bidi="pl-PL"/>
        </w:rPr>
        <w:lastRenderedPageBreak/>
        <w:t xml:space="preserve">aferezy. Przelicznik będzie miał zastosowanie w praktyce we wszystkich centrach krwiodawstwa i krwiolecznictwa w jednolity sposób i przyczyni się do docenienia </w:t>
      </w:r>
      <w:bookmarkStart w:id="1" w:name="_Hlk153454769"/>
      <w:r w:rsidRPr="00A90541">
        <w:rPr>
          <w:rFonts w:ascii="Times" w:eastAsiaTheme="minorEastAsia" w:hAnsi="Times" w:cs="Arial"/>
          <w:sz w:val="24"/>
          <w:szCs w:val="20"/>
          <w:lang w:eastAsia="pl-PL" w:bidi="pl-PL"/>
        </w:rPr>
        <w:t>dawcy oraz zachęcenia większej liczby dawców do poddania się zabiegom pobrania krwi i jej składników. Dla realizacji tego celu minister właściwy do spraw zdrowia, wydając rzeczone rozporządzenie, będzie kierował się potrzebą zapewnienia prawidłowego i jednolitego przeliczania donacji składników krwi na krew pełną, jak również będzie musiał uwzględnić rozwój technologii w</w:t>
      </w:r>
      <w:r>
        <w:rPr>
          <w:rFonts w:ascii="Times" w:eastAsiaTheme="minorEastAsia" w:hAnsi="Times" w:cs="Arial"/>
          <w:sz w:val="24"/>
          <w:szCs w:val="20"/>
          <w:lang w:eastAsia="pl-PL" w:bidi="pl-PL"/>
        </w:rPr>
        <w:t> </w:t>
      </w:r>
      <w:r w:rsidRPr="00A90541">
        <w:rPr>
          <w:rFonts w:ascii="Times" w:eastAsiaTheme="minorEastAsia" w:hAnsi="Times" w:cs="Arial"/>
          <w:sz w:val="24"/>
          <w:szCs w:val="20"/>
          <w:lang w:eastAsia="pl-PL" w:bidi="pl-PL"/>
        </w:rPr>
        <w:t>medycynie i nowe typy urządzeń do pobierania składników krwi (w tym regulacją objęta zostanie m.in. wspomniana na wstępie możliwość pobrania podczas jednej aferezy więcej niż jednego składnika krwi).</w:t>
      </w:r>
    </w:p>
    <w:p w14:paraId="0B4C5BC8" w14:textId="102E1AE8"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sz w:val="24"/>
          <w:szCs w:val="20"/>
          <w:lang w:val="x-none" w:eastAsia="pl-PL" w:bidi="pl-PL"/>
        </w:rPr>
      </w:pPr>
      <w:r w:rsidRPr="00A90541">
        <w:rPr>
          <w:rFonts w:ascii="Times" w:eastAsiaTheme="minorEastAsia" w:hAnsi="Times" w:cs="Arial"/>
          <w:sz w:val="24"/>
          <w:szCs w:val="20"/>
          <w:lang w:eastAsia="pl-PL" w:bidi="pl-PL"/>
        </w:rPr>
        <w:t xml:space="preserve">W związku z szybkim postępem technologicznym w służbie krwi wskazane jest umieszczanie szczegółowych regulacji w zakresie przeliczania donacji składników krwi w akcie normatywnym niższej rangi, podobnie jak w prawodawstwie Unii Europejskiej, gdzie szczegóły techniczne są umieszczone w „Guide to the </w:t>
      </w:r>
      <w:proofErr w:type="spellStart"/>
      <w:r w:rsidRPr="00A90541">
        <w:rPr>
          <w:rFonts w:ascii="Times" w:eastAsiaTheme="minorEastAsia" w:hAnsi="Times" w:cs="Arial"/>
          <w:sz w:val="24"/>
          <w:szCs w:val="20"/>
          <w:lang w:eastAsia="pl-PL" w:bidi="pl-PL"/>
        </w:rPr>
        <w:t>preparation</w:t>
      </w:r>
      <w:proofErr w:type="spellEnd"/>
      <w:r w:rsidRPr="00A90541">
        <w:rPr>
          <w:rFonts w:ascii="Times" w:eastAsiaTheme="minorEastAsia" w:hAnsi="Times" w:cs="Arial"/>
          <w:sz w:val="24"/>
          <w:szCs w:val="20"/>
          <w:lang w:eastAsia="pl-PL" w:bidi="pl-PL"/>
        </w:rPr>
        <w:t xml:space="preserve">, </w:t>
      </w:r>
      <w:proofErr w:type="spellStart"/>
      <w:r w:rsidRPr="00A90541">
        <w:rPr>
          <w:rFonts w:ascii="Times" w:eastAsiaTheme="minorEastAsia" w:hAnsi="Times" w:cs="Arial"/>
          <w:sz w:val="24"/>
          <w:szCs w:val="20"/>
          <w:lang w:eastAsia="pl-PL" w:bidi="pl-PL"/>
        </w:rPr>
        <w:t>use</w:t>
      </w:r>
      <w:proofErr w:type="spellEnd"/>
      <w:r w:rsidRPr="00A90541">
        <w:rPr>
          <w:rFonts w:ascii="Times" w:eastAsiaTheme="minorEastAsia" w:hAnsi="Times" w:cs="Arial"/>
          <w:sz w:val="24"/>
          <w:szCs w:val="20"/>
          <w:lang w:eastAsia="pl-PL" w:bidi="pl-PL"/>
        </w:rPr>
        <w:t xml:space="preserve"> and </w:t>
      </w:r>
      <w:proofErr w:type="spellStart"/>
      <w:r w:rsidRPr="00A90541">
        <w:rPr>
          <w:rFonts w:ascii="Times" w:eastAsiaTheme="minorEastAsia" w:hAnsi="Times" w:cs="Arial"/>
          <w:sz w:val="24"/>
          <w:szCs w:val="20"/>
          <w:lang w:eastAsia="pl-PL" w:bidi="pl-PL"/>
        </w:rPr>
        <w:t>quality</w:t>
      </w:r>
      <w:proofErr w:type="spellEnd"/>
      <w:r w:rsidRPr="00A90541">
        <w:rPr>
          <w:rFonts w:ascii="Times" w:eastAsiaTheme="minorEastAsia" w:hAnsi="Times" w:cs="Arial"/>
          <w:sz w:val="24"/>
          <w:szCs w:val="20"/>
          <w:lang w:eastAsia="pl-PL" w:bidi="pl-PL"/>
        </w:rPr>
        <w:t xml:space="preserve"> </w:t>
      </w:r>
      <w:proofErr w:type="spellStart"/>
      <w:r w:rsidRPr="00A90541">
        <w:rPr>
          <w:rFonts w:ascii="Times" w:eastAsiaTheme="minorEastAsia" w:hAnsi="Times" w:cs="Arial"/>
          <w:sz w:val="24"/>
          <w:szCs w:val="20"/>
          <w:lang w:eastAsia="pl-PL" w:bidi="pl-PL"/>
        </w:rPr>
        <w:t>assurance</w:t>
      </w:r>
      <w:proofErr w:type="spellEnd"/>
      <w:r w:rsidRPr="00A90541">
        <w:rPr>
          <w:rFonts w:ascii="Times" w:eastAsiaTheme="minorEastAsia" w:hAnsi="Times" w:cs="Arial"/>
          <w:sz w:val="24"/>
          <w:szCs w:val="20"/>
          <w:lang w:eastAsia="pl-PL" w:bidi="pl-PL"/>
        </w:rPr>
        <w:t xml:space="preserve"> of Blood Components”, który będzie załącznikiem do rozporządzenia Parlamentu Europejskiego i Rady w sprawie norm jakości i bezpieczeństwa substancji pochodzenia ludzkiego przeznaczonych do zastosowania u ludzi oraz uchylającego dyrektywy 2002/98/WE i 2004/23/WE. Zgodnie z przekazywanymi aktualnymi informacjami z Komisji Europejskiej osiągnięto porozumienie polityczne w sprawie projektu tego rozporządzenia pomiędzy Parlamentem Europejskim a Radą Europy. Parlament Europejski i Rada będą teraz musiały formalnie przyjąć nowe rozporządzenie, które zacznie obowiązywać 3 lata po jego przyjęciu</w:t>
      </w:r>
      <w:r w:rsidR="00B53E6E">
        <w:rPr>
          <w:rFonts w:ascii="Times" w:eastAsiaTheme="minorEastAsia" w:hAnsi="Times" w:cs="Arial"/>
          <w:sz w:val="24"/>
          <w:szCs w:val="20"/>
          <w:lang w:eastAsia="pl-PL" w:bidi="pl-PL"/>
        </w:rPr>
        <w:t>.</w:t>
      </w:r>
    </w:p>
    <w:bookmarkEnd w:id="1"/>
    <w:p w14:paraId="0B69CBB2" w14:textId="0DD39143"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bCs/>
          <w:sz w:val="24"/>
          <w:szCs w:val="20"/>
          <w:lang w:eastAsia="pl-PL" w:bidi="pl-PL"/>
        </w:rPr>
      </w:pPr>
      <w:r w:rsidRPr="00A90541">
        <w:rPr>
          <w:rFonts w:ascii="Times" w:eastAsiaTheme="minorEastAsia" w:hAnsi="Times" w:cs="Arial"/>
          <w:bCs/>
          <w:sz w:val="24"/>
          <w:szCs w:val="20"/>
          <w:lang w:eastAsia="pl-PL" w:bidi="pl-PL"/>
        </w:rPr>
        <w:t>Przewiduje się, że ustawa wejdzie w życie po upływie 14 dni od dnia ogłoszenia.</w:t>
      </w:r>
    </w:p>
    <w:p w14:paraId="74B81C71" w14:textId="77777777"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bCs/>
          <w:sz w:val="24"/>
          <w:szCs w:val="20"/>
          <w:lang w:eastAsia="pl-PL" w:bidi="pl-PL"/>
        </w:rPr>
      </w:pPr>
      <w:r w:rsidRPr="00A90541">
        <w:rPr>
          <w:rFonts w:ascii="Times" w:eastAsiaTheme="minorEastAsia" w:hAnsi="Times" w:cs="Arial"/>
          <w:bCs/>
          <w:sz w:val="24"/>
          <w:szCs w:val="20"/>
          <w:lang w:eastAsia="pl-PL" w:bidi="pl-PL"/>
        </w:rPr>
        <w:t xml:space="preserve">Przyjęte w projekcie ustawy rozwiązania nie będą miały wpływu na działalność </w:t>
      </w:r>
      <w:proofErr w:type="spellStart"/>
      <w:r w:rsidRPr="00A90541">
        <w:rPr>
          <w:rFonts w:ascii="Times" w:eastAsiaTheme="minorEastAsia" w:hAnsi="Times" w:cs="Arial"/>
          <w:bCs/>
          <w:sz w:val="24"/>
          <w:szCs w:val="20"/>
          <w:lang w:eastAsia="pl-PL" w:bidi="pl-PL"/>
        </w:rPr>
        <w:t>mikroprzedsiębiorców</w:t>
      </w:r>
      <w:proofErr w:type="spellEnd"/>
      <w:r w:rsidRPr="00A90541">
        <w:rPr>
          <w:rFonts w:ascii="Times" w:eastAsiaTheme="minorEastAsia" w:hAnsi="Times" w:cs="Arial"/>
          <w:bCs/>
          <w:sz w:val="24"/>
          <w:szCs w:val="20"/>
          <w:lang w:eastAsia="pl-PL" w:bidi="pl-PL"/>
        </w:rPr>
        <w:t xml:space="preserve"> oraz małych i średnich przedsiębiorców.</w:t>
      </w:r>
    </w:p>
    <w:p w14:paraId="5627FE68" w14:textId="77777777"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bCs/>
          <w:sz w:val="24"/>
          <w:szCs w:val="20"/>
          <w:lang w:eastAsia="pl-PL" w:bidi="pl-PL"/>
        </w:rPr>
      </w:pPr>
      <w:r w:rsidRPr="00A90541">
        <w:rPr>
          <w:rFonts w:ascii="Times" w:eastAsiaTheme="minorEastAsia" w:hAnsi="Times" w:cs="Arial"/>
          <w:bCs/>
          <w:sz w:val="24"/>
          <w:szCs w:val="20"/>
          <w:lang w:eastAsia="pl-PL" w:bidi="pl-PL"/>
        </w:rPr>
        <w:t>Projekt nie zawiera przepisów technicznych w rozumieniu przepisów rozporządzenia Rady Ministrów z dnia 23 grudnia 2002 r. w sprawie sposobu funkcjonowania krajowego systemu notyfikacji norm i aktów prawnych (Dz. U. poz. 2039 oraz z 2004 r. poz. 597) i w związku z tym nie podlega procedurze notyfikacji.</w:t>
      </w:r>
    </w:p>
    <w:p w14:paraId="5757B039" w14:textId="77777777"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bCs/>
          <w:sz w:val="24"/>
          <w:szCs w:val="20"/>
          <w:lang w:eastAsia="pl-PL" w:bidi="pl-PL"/>
        </w:rPr>
      </w:pPr>
      <w:r w:rsidRPr="00A90541">
        <w:rPr>
          <w:rFonts w:ascii="Times" w:eastAsiaTheme="minorEastAsia" w:hAnsi="Times" w:cs="Arial"/>
          <w:bCs/>
          <w:sz w:val="24"/>
          <w:szCs w:val="20"/>
          <w:lang w:eastAsia="pl-PL" w:bidi="pl-PL"/>
        </w:rPr>
        <w:t>Projektowan</w:t>
      </w:r>
      <w:r>
        <w:rPr>
          <w:rFonts w:ascii="Times" w:eastAsiaTheme="minorEastAsia" w:hAnsi="Times" w:cs="Arial"/>
          <w:bCs/>
          <w:sz w:val="24"/>
          <w:szCs w:val="20"/>
          <w:lang w:eastAsia="pl-PL" w:bidi="pl-PL"/>
        </w:rPr>
        <w:t>a</w:t>
      </w:r>
      <w:r w:rsidRPr="00A90541">
        <w:rPr>
          <w:rFonts w:ascii="Times" w:eastAsiaTheme="minorEastAsia" w:hAnsi="Times" w:cs="Arial"/>
          <w:bCs/>
          <w:sz w:val="24"/>
          <w:szCs w:val="20"/>
          <w:lang w:eastAsia="pl-PL" w:bidi="pl-PL"/>
        </w:rPr>
        <w:t xml:space="preserve"> </w:t>
      </w:r>
      <w:r>
        <w:rPr>
          <w:rFonts w:ascii="Times" w:eastAsiaTheme="minorEastAsia" w:hAnsi="Times" w:cs="Arial"/>
          <w:bCs/>
          <w:sz w:val="24"/>
          <w:szCs w:val="20"/>
          <w:lang w:eastAsia="pl-PL" w:bidi="pl-PL"/>
        </w:rPr>
        <w:t>ustawa</w:t>
      </w:r>
      <w:r w:rsidRPr="00A90541">
        <w:rPr>
          <w:rFonts w:ascii="Times" w:eastAsiaTheme="minorEastAsia" w:hAnsi="Times" w:cs="Arial"/>
          <w:bCs/>
          <w:sz w:val="24"/>
          <w:szCs w:val="20"/>
          <w:lang w:eastAsia="pl-PL" w:bidi="pl-PL"/>
        </w:rPr>
        <w:t xml:space="preserve"> nie zawiera wymogów nakładanych na usługodawców podlegających notyfikacji, o której mowa w art. 15 ust. 7 lub art. 39 ust. 5 dyrektywy 2006/123/WE Parlamentu Europejskiego i Rady z dnia 12 grudnia 2006 r. dotyczącej usług na rynku wewnętrznym (Dz. Urz. UE L 376 z 27.12.2006, str. 36).</w:t>
      </w:r>
    </w:p>
    <w:p w14:paraId="5A106FBE" w14:textId="77777777"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bCs/>
          <w:sz w:val="24"/>
          <w:szCs w:val="20"/>
          <w:lang w:eastAsia="pl-PL" w:bidi="pl-PL"/>
        </w:rPr>
      </w:pPr>
      <w:r w:rsidRPr="00A90541">
        <w:rPr>
          <w:rFonts w:ascii="Times" w:eastAsiaTheme="minorEastAsia" w:hAnsi="Times" w:cs="Arial"/>
          <w:bCs/>
          <w:sz w:val="24"/>
          <w:szCs w:val="20"/>
          <w:lang w:eastAsia="pl-PL" w:bidi="pl-PL"/>
        </w:rPr>
        <w:t>Projektowane regulacje nie są sprzeczne z prawem Unii Europejskiej.</w:t>
      </w:r>
    </w:p>
    <w:p w14:paraId="439BC196" w14:textId="08787289"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sz w:val="24"/>
          <w:szCs w:val="20"/>
          <w:lang w:eastAsia="pl-PL"/>
        </w:rPr>
      </w:pPr>
      <w:r w:rsidRPr="00A90541">
        <w:rPr>
          <w:rFonts w:ascii="Times" w:eastAsiaTheme="minorEastAsia" w:hAnsi="Times" w:cs="Arial"/>
          <w:sz w:val="24"/>
          <w:szCs w:val="20"/>
          <w:lang w:eastAsia="pl-PL"/>
        </w:rPr>
        <w:lastRenderedPageBreak/>
        <w:t xml:space="preserve">Projekt </w:t>
      </w:r>
      <w:r>
        <w:rPr>
          <w:rFonts w:ascii="Times" w:eastAsiaTheme="minorEastAsia" w:hAnsi="Times" w:cs="Arial"/>
          <w:sz w:val="24"/>
          <w:szCs w:val="20"/>
          <w:lang w:eastAsia="pl-PL"/>
        </w:rPr>
        <w:t>ustawy</w:t>
      </w:r>
      <w:r w:rsidRPr="00A90541">
        <w:rPr>
          <w:rFonts w:ascii="Times" w:eastAsiaTheme="minorEastAsia" w:hAnsi="Times" w:cs="Arial"/>
          <w:sz w:val="24"/>
          <w:szCs w:val="20"/>
          <w:lang w:eastAsia="pl-PL"/>
        </w:rPr>
        <w:t xml:space="preserve"> nie wywiera wpływu na obszar danych osobowych. W związku z tym nie przeprowadzono oceny skutków ochrony danych osobowych, o której mowa w art. 35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A90541">
        <w:rPr>
          <w:rFonts w:ascii="Times" w:eastAsiaTheme="minorEastAsia" w:hAnsi="Times" w:cs="Arial"/>
          <w:sz w:val="24"/>
          <w:szCs w:val="20"/>
          <w:lang w:eastAsia="pl-PL"/>
        </w:rPr>
        <w:t>późn</w:t>
      </w:r>
      <w:proofErr w:type="spellEnd"/>
      <w:r w:rsidRPr="00A90541">
        <w:rPr>
          <w:rFonts w:ascii="Times" w:eastAsiaTheme="minorEastAsia" w:hAnsi="Times" w:cs="Arial"/>
          <w:sz w:val="24"/>
          <w:szCs w:val="20"/>
          <w:lang w:eastAsia="pl-PL"/>
        </w:rPr>
        <w:t>. zm.).</w:t>
      </w:r>
    </w:p>
    <w:p w14:paraId="495E711B" w14:textId="0FCEB848" w:rsidR="000B7ADE" w:rsidRPr="00A90541" w:rsidRDefault="000B7ADE" w:rsidP="00FE0558">
      <w:pPr>
        <w:suppressAutoHyphens/>
        <w:autoSpaceDE w:val="0"/>
        <w:autoSpaceDN w:val="0"/>
        <w:adjustRightInd w:val="0"/>
        <w:spacing w:before="120" w:after="0" w:line="360" w:lineRule="auto"/>
        <w:jc w:val="both"/>
        <w:rPr>
          <w:rFonts w:ascii="Times" w:eastAsiaTheme="minorEastAsia" w:hAnsi="Times" w:cs="Arial"/>
          <w:bCs/>
          <w:sz w:val="24"/>
          <w:szCs w:val="20"/>
          <w:lang w:eastAsia="pl-PL" w:bidi="pl-PL"/>
        </w:rPr>
      </w:pPr>
      <w:r w:rsidRPr="00A90541">
        <w:rPr>
          <w:rFonts w:ascii="Times" w:eastAsiaTheme="minorEastAsia" w:hAnsi="Times" w:cs="Arial"/>
          <w:bCs/>
          <w:sz w:val="24"/>
          <w:szCs w:val="20"/>
          <w:lang w:eastAsia="pl-PL" w:bidi="pl-PL"/>
        </w:rPr>
        <w:t xml:space="preserve">Projekt </w:t>
      </w:r>
      <w:r>
        <w:rPr>
          <w:rFonts w:ascii="Times" w:eastAsiaTheme="minorEastAsia" w:hAnsi="Times" w:cs="Arial"/>
          <w:bCs/>
          <w:sz w:val="24"/>
          <w:szCs w:val="20"/>
          <w:lang w:eastAsia="pl-PL" w:bidi="pl-PL"/>
        </w:rPr>
        <w:t xml:space="preserve">ustawy </w:t>
      </w:r>
      <w:r w:rsidRPr="00A90541">
        <w:rPr>
          <w:rFonts w:ascii="Times" w:eastAsiaTheme="minorEastAsia" w:hAnsi="Times" w:cs="Arial"/>
          <w:bCs/>
          <w:sz w:val="24"/>
          <w:szCs w:val="20"/>
          <w:lang w:eastAsia="pl-PL" w:bidi="pl-PL"/>
        </w:rPr>
        <w:t>nie wymaga przedstawienia właściwym organom i instytucjom Unii Europejskiej, w tym Europejskiemu Bankowi Centralnemu, w celu uzyskania opinii, dokonania powiadomienia, konsultacji albo uzgodnienia.</w:t>
      </w:r>
    </w:p>
    <w:p w14:paraId="66C32F8F" w14:textId="088052B7" w:rsidR="00581453" w:rsidRDefault="000B7ADE" w:rsidP="00FE0558">
      <w:pPr>
        <w:suppressAutoHyphens/>
        <w:autoSpaceDE w:val="0"/>
        <w:autoSpaceDN w:val="0"/>
        <w:adjustRightInd w:val="0"/>
        <w:spacing w:before="120" w:after="0" w:line="360" w:lineRule="auto"/>
        <w:jc w:val="both"/>
      </w:pPr>
      <w:r w:rsidRPr="00A90541">
        <w:rPr>
          <w:rFonts w:ascii="Times" w:eastAsiaTheme="minorEastAsia" w:hAnsi="Times" w:cs="Arial"/>
          <w:bCs/>
          <w:sz w:val="24"/>
          <w:szCs w:val="20"/>
          <w:lang w:eastAsia="pl-PL" w:bidi="pl-PL"/>
        </w:rPr>
        <w:t>Nie istnieją alternatywne środki w stosunku do projektowanej ustawy umożliwiające osiągniecie zamierzonego celu.</w:t>
      </w:r>
    </w:p>
    <w:sectPr w:rsidR="00581453" w:rsidSect="000B7ADE">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DFC6" w14:textId="77777777" w:rsidR="001D72F4" w:rsidRDefault="001D72F4" w:rsidP="000B7ADE">
      <w:pPr>
        <w:spacing w:after="0" w:line="240" w:lineRule="auto"/>
      </w:pPr>
      <w:r>
        <w:separator/>
      </w:r>
    </w:p>
  </w:endnote>
  <w:endnote w:type="continuationSeparator" w:id="0">
    <w:p w14:paraId="48E041B6" w14:textId="77777777" w:rsidR="001D72F4" w:rsidRDefault="001D72F4" w:rsidP="000B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128097"/>
      <w:docPartObj>
        <w:docPartGallery w:val="Page Numbers (Bottom of Page)"/>
        <w:docPartUnique/>
      </w:docPartObj>
    </w:sdtPr>
    <w:sdtEndPr>
      <w:rPr>
        <w:rFonts w:ascii="Times New Roman" w:hAnsi="Times New Roman" w:cs="Times New Roman"/>
        <w:sz w:val="24"/>
        <w:szCs w:val="24"/>
      </w:rPr>
    </w:sdtEndPr>
    <w:sdtContent>
      <w:p w14:paraId="7ABFD6D2" w14:textId="7D80DBC7" w:rsidR="000B7ADE" w:rsidRPr="000B7ADE" w:rsidRDefault="000B7ADE" w:rsidP="000B7ADE">
        <w:pPr>
          <w:pStyle w:val="Stopka"/>
          <w:jc w:val="center"/>
          <w:rPr>
            <w:rFonts w:ascii="Times New Roman" w:hAnsi="Times New Roman" w:cs="Times New Roman"/>
            <w:sz w:val="24"/>
            <w:szCs w:val="24"/>
          </w:rPr>
        </w:pPr>
        <w:r w:rsidRPr="000B7ADE">
          <w:rPr>
            <w:rFonts w:ascii="Times New Roman" w:hAnsi="Times New Roman" w:cs="Times New Roman"/>
            <w:sz w:val="24"/>
            <w:szCs w:val="24"/>
          </w:rPr>
          <w:fldChar w:fldCharType="begin"/>
        </w:r>
        <w:r w:rsidRPr="000B7ADE">
          <w:rPr>
            <w:rFonts w:ascii="Times New Roman" w:hAnsi="Times New Roman" w:cs="Times New Roman"/>
            <w:sz w:val="24"/>
            <w:szCs w:val="24"/>
          </w:rPr>
          <w:instrText>PAGE   \* MERGEFORMAT</w:instrText>
        </w:r>
        <w:r w:rsidRPr="000B7ADE">
          <w:rPr>
            <w:rFonts w:ascii="Times New Roman" w:hAnsi="Times New Roman" w:cs="Times New Roman"/>
            <w:sz w:val="24"/>
            <w:szCs w:val="24"/>
          </w:rPr>
          <w:fldChar w:fldCharType="separate"/>
        </w:r>
        <w:r w:rsidRPr="000B7ADE">
          <w:rPr>
            <w:rFonts w:ascii="Times New Roman" w:hAnsi="Times New Roman" w:cs="Times New Roman"/>
            <w:sz w:val="24"/>
            <w:szCs w:val="24"/>
          </w:rPr>
          <w:t>2</w:t>
        </w:r>
        <w:r w:rsidRPr="000B7AD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25F7" w14:textId="77777777" w:rsidR="001D72F4" w:rsidRDefault="001D72F4" w:rsidP="000B7ADE">
      <w:pPr>
        <w:spacing w:after="0" w:line="240" w:lineRule="auto"/>
      </w:pPr>
      <w:r>
        <w:separator/>
      </w:r>
    </w:p>
  </w:footnote>
  <w:footnote w:type="continuationSeparator" w:id="0">
    <w:p w14:paraId="63C8D5E6" w14:textId="77777777" w:rsidR="001D72F4" w:rsidRDefault="001D72F4" w:rsidP="000B7A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DE"/>
    <w:rsid w:val="000B7ADE"/>
    <w:rsid w:val="001D72F4"/>
    <w:rsid w:val="002B4356"/>
    <w:rsid w:val="00581453"/>
    <w:rsid w:val="00667CE9"/>
    <w:rsid w:val="00B53E6E"/>
    <w:rsid w:val="00FE0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51A"/>
  <w15:chartTrackingRefBased/>
  <w15:docId w15:val="{B354AE2C-0AA9-4028-B246-0A6F350A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AD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7A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ADE"/>
    <w:rPr>
      <w:kern w:val="0"/>
      <w14:ligatures w14:val="none"/>
    </w:rPr>
  </w:style>
  <w:style w:type="paragraph" w:styleId="Stopka">
    <w:name w:val="footer"/>
    <w:basedOn w:val="Normalny"/>
    <w:link w:val="StopkaZnak"/>
    <w:uiPriority w:val="99"/>
    <w:unhideWhenUsed/>
    <w:rsid w:val="000B7A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ADE"/>
    <w:rPr>
      <w:kern w:val="0"/>
      <w14:ligatures w14:val="none"/>
    </w:rPr>
  </w:style>
  <w:style w:type="paragraph" w:styleId="Poprawka">
    <w:name w:val="Revision"/>
    <w:hidden/>
    <w:uiPriority w:val="99"/>
    <w:semiHidden/>
    <w:rsid w:val="000B7AD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873</Words>
  <Characters>5242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Bodych Dominika</dc:creator>
  <cp:keywords/>
  <dc:description/>
  <cp:lastModifiedBy>Olszak Krzysztof</cp:lastModifiedBy>
  <cp:revision>4</cp:revision>
  <dcterms:created xsi:type="dcterms:W3CDTF">2024-07-12T09:36:00Z</dcterms:created>
  <dcterms:modified xsi:type="dcterms:W3CDTF">2024-07-15T12:41:00Z</dcterms:modified>
</cp:coreProperties>
</file>