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120D4" w14:textId="77777777" w:rsidR="00D27137" w:rsidRPr="00D27137" w:rsidRDefault="00D27137" w:rsidP="00D27137">
      <w:pPr>
        <w:jc w:val="right"/>
      </w:pPr>
    </w:p>
    <w:p w14:paraId="2A8DC715" w14:textId="77777777" w:rsidR="00AD366B" w:rsidRDefault="00626774" w:rsidP="00626774">
      <w:pPr>
        <w:jc w:val="center"/>
        <w:rPr>
          <w:rFonts w:ascii="Segoe UI" w:hAnsi="Segoe UI" w:cs="Segoe UI"/>
          <w:b/>
        </w:rPr>
      </w:pPr>
      <w:bookmarkStart w:id="0" w:name="_GoBack"/>
      <w:bookmarkEnd w:id="0"/>
      <w:r>
        <w:rPr>
          <w:rFonts w:ascii="Segoe UI" w:hAnsi="Segoe UI" w:cs="Segoe UI"/>
          <w:b/>
        </w:rPr>
        <w:t>UZASADNIENIE</w:t>
      </w:r>
    </w:p>
    <w:p w14:paraId="1C1B40BB" w14:textId="77777777" w:rsidR="00F967ED" w:rsidRDefault="00F967ED" w:rsidP="00626774">
      <w:pPr>
        <w:jc w:val="center"/>
        <w:rPr>
          <w:rFonts w:ascii="Segoe UI" w:hAnsi="Segoe UI" w:cs="Segoe UI"/>
          <w:b/>
        </w:rPr>
      </w:pPr>
    </w:p>
    <w:p w14:paraId="5C8F0014" w14:textId="77777777" w:rsidR="00626774" w:rsidRDefault="00626774" w:rsidP="00D2713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Od 2004 roku Rzeczpospolita Polska jest członkiem Unii Europejskiej. Decyzja o wstąpieniu do tego sojuszu współpracujących ze sobą, lecz</w:t>
      </w:r>
      <w:r w:rsidR="00F967ED">
        <w:rPr>
          <w:rFonts w:ascii="Segoe UI" w:hAnsi="Segoe UI" w:cs="Segoe UI"/>
        </w:rPr>
        <w:t xml:space="preserve"> zarazem</w:t>
      </w:r>
      <w:r>
        <w:rPr>
          <w:rFonts w:ascii="Segoe UI" w:hAnsi="Segoe UI" w:cs="Segoe UI"/>
        </w:rPr>
        <w:t xml:space="preserve"> odrębnych</w:t>
      </w:r>
      <w:r w:rsidR="00F967ED">
        <w:rPr>
          <w:rFonts w:ascii="Segoe UI" w:hAnsi="Segoe UI" w:cs="Segoe UI"/>
        </w:rPr>
        <w:t xml:space="preserve"> od siebie</w:t>
      </w:r>
      <w:r>
        <w:rPr>
          <w:rFonts w:ascii="Segoe UI" w:hAnsi="Segoe UI" w:cs="Segoe UI"/>
        </w:rPr>
        <w:t xml:space="preserve">, równych, suwerennych i wolnych państw została podjęta przez Naród w referendum akcesyjnym w dniach 7 i 8 czerwca 2003 r. Do </w:t>
      </w:r>
      <w:r w:rsidR="00551C57">
        <w:rPr>
          <w:rFonts w:ascii="Segoe UI" w:hAnsi="Segoe UI" w:cs="Segoe UI"/>
        </w:rPr>
        <w:t>dnia dzisiejszego</w:t>
      </w:r>
      <w:r>
        <w:rPr>
          <w:rFonts w:ascii="Segoe UI" w:hAnsi="Segoe UI" w:cs="Segoe UI"/>
        </w:rPr>
        <w:t xml:space="preserve"> za obecnością naszego kraju w UE w obecnym jej kształcie opowiada się</w:t>
      </w:r>
      <w:r w:rsidR="00551C57">
        <w:rPr>
          <w:rFonts w:ascii="Segoe UI" w:hAnsi="Segoe UI" w:cs="Segoe UI"/>
        </w:rPr>
        <w:t xml:space="preserve"> w dalszym ciągu</w:t>
      </w:r>
      <w:r w:rsidR="00F967ED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według badań opinii publicznej</w:t>
      </w:r>
      <w:r w:rsidR="00F967ED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przytłaczająca większość Polaków.</w:t>
      </w:r>
    </w:p>
    <w:p w14:paraId="7502D74E" w14:textId="77777777" w:rsidR="00F967ED" w:rsidRDefault="00626774" w:rsidP="00D2713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 ostatnich latach </w:t>
      </w:r>
      <w:r w:rsidR="00551C57">
        <w:rPr>
          <w:rFonts w:ascii="Segoe UI" w:hAnsi="Segoe UI" w:cs="Segoe UI"/>
        </w:rPr>
        <w:t xml:space="preserve">w części państw UE </w:t>
      </w:r>
      <w:r>
        <w:rPr>
          <w:rFonts w:ascii="Segoe UI" w:hAnsi="Segoe UI" w:cs="Segoe UI"/>
        </w:rPr>
        <w:t>zaobserwować można tendencje do przekształcenia tej organizacji w kierunku, który niepokoi znaczną część polskiego społeczeństwa. Dotychczas proces ten odbywał się w drodze tzw. prowspólnotowej / prointegracyjnej wykładni prawa UE</w:t>
      </w:r>
      <w:r w:rsidR="00551C57">
        <w:rPr>
          <w:rFonts w:ascii="Segoe UI" w:hAnsi="Segoe UI" w:cs="Segoe UI"/>
        </w:rPr>
        <w:t xml:space="preserve"> przez Trybunał Sprawiedliwości Unii Europejskiej</w:t>
      </w:r>
      <w:r w:rsidR="00F967ED">
        <w:rPr>
          <w:rFonts w:ascii="Segoe UI" w:hAnsi="Segoe UI" w:cs="Segoe UI"/>
        </w:rPr>
        <w:t>.</w:t>
      </w:r>
    </w:p>
    <w:p w14:paraId="090AB597" w14:textId="77777777" w:rsidR="00626774" w:rsidRDefault="00F967ED" w:rsidP="00D2713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="00626774">
        <w:rPr>
          <w:rFonts w:ascii="Segoe UI" w:hAnsi="Segoe UI" w:cs="Segoe UI"/>
        </w:rPr>
        <w:t xml:space="preserve"> myśl </w:t>
      </w:r>
      <w:r>
        <w:rPr>
          <w:rFonts w:ascii="Segoe UI" w:hAnsi="Segoe UI" w:cs="Segoe UI"/>
        </w:rPr>
        <w:t>tej wykładni,</w:t>
      </w:r>
      <w:r w:rsidR="00626774">
        <w:rPr>
          <w:rFonts w:ascii="Segoe UI" w:hAnsi="Segoe UI" w:cs="Segoe UI"/>
        </w:rPr>
        <w:t xml:space="preserve"> poszczególne przepisy Traktatu o Unii Europejskiej, Traktatu o Funkcjonowaniu Unii Europejskiej, a także innych elementów </w:t>
      </w:r>
      <w:r w:rsidR="00626774">
        <w:rPr>
          <w:rFonts w:ascii="Segoe UI" w:hAnsi="Segoe UI" w:cs="Segoe UI"/>
          <w:i/>
        </w:rPr>
        <w:t xml:space="preserve">acquis communautaire </w:t>
      </w:r>
      <w:r w:rsidR="00626774">
        <w:rPr>
          <w:rFonts w:ascii="Segoe UI" w:hAnsi="Segoe UI" w:cs="Segoe UI"/>
        </w:rPr>
        <w:t xml:space="preserve">reinterpretowane były konsekwentnie w taki sposób, aby rozszerzać kompetencje organów Unii kosztem jej państw członkowskich. </w:t>
      </w:r>
    </w:p>
    <w:p w14:paraId="7AE504D8" w14:textId="77777777" w:rsidR="00626774" w:rsidRDefault="00626774" w:rsidP="00D2713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Proces ten był wielokrotnie krytykowany przez zwolenników ochrony zasad, które przyświecały ojcom założycielom UE, rozumianej jako Europa Ojczyzn. Choć niebezpieczny i niepokojący, nie prowadzi</w:t>
      </w:r>
      <w:r w:rsidR="00F967ED">
        <w:rPr>
          <w:rFonts w:ascii="Segoe UI" w:hAnsi="Segoe UI" w:cs="Segoe UI"/>
        </w:rPr>
        <w:t>ł</w:t>
      </w:r>
      <w:r>
        <w:rPr>
          <w:rFonts w:ascii="Segoe UI" w:hAnsi="Segoe UI" w:cs="Segoe UI"/>
        </w:rPr>
        <w:t xml:space="preserve"> jednak </w:t>
      </w:r>
      <w:r w:rsidR="00F967ED">
        <w:rPr>
          <w:rFonts w:ascii="Segoe UI" w:hAnsi="Segoe UI" w:cs="Segoe UI"/>
        </w:rPr>
        <w:t xml:space="preserve">dotąd </w:t>
      </w:r>
      <w:r>
        <w:rPr>
          <w:rFonts w:ascii="Segoe UI" w:hAnsi="Segoe UI" w:cs="Segoe UI"/>
        </w:rPr>
        <w:t>do gwałtownego pozbawi</w:t>
      </w:r>
      <w:r w:rsidR="00551C57">
        <w:rPr>
          <w:rFonts w:ascii="Segoe UI" w:hAnsi="Segoe UI" w:cs="Segoe UI"/>
        </w:rPr>
        <w:t>ania</w:t>
      </w:r>
      <w:r>
        <w:rPr>
          <w:rFonts w:ascii="Segoe UI" w:hAnsi="Segoe UI" w:cs="Segoe UI"/>
        </w:rPr>
        <w:t xml:space="preserve"> państw członkowskich UE ich fundamentalnych kompetencji – a jego postępy</w:t>
      </w:r>
      <w:r w:rsidR="00F967ED">
        <w:rPr>
          <w:rFonts w:ascii="Segoe UI" w:hAnsi="Segoe UI" w:cs="Segoe UI"/>
        </w:rPr>
        <w:t xml:space="preserve"> mogły i wciąż</w:t>
      </w:r>
      <w:r>
        <w:rPr>
          <w:rFonts w:ascii="Segoe UI" w:hAnsi="Segoe UI" w:cs="Segoe UI"/>
        </w:rPr>
        <w:t xml:space="preserve"> </w:t>
      </w:r>
      <w:r w:rsidR="00551C57">
        <w:rPr>
          <w:rFonts w:ascii="Segoe UI" w:hAnsi="Segoe UI" w:cs="Segoe UI"/>
        </w:rPr>
        <w:t>mogą być powstrzymywane</w:t>
      </w:r>
      <w:r>
        <w:rPr>
          <w:rFonts w:ascii="Segoe UI" w:hAnsi="Segoe UI" w:cs="Segoe UI"/>
        </w:rPr>
        <w:t>, czy to w drodze kroków o charakterze politycznym podejmowanym przez państwa w Radzie i Radzie Europejskiej, czy to w drodze dyskusji prawnej między TSUE a krajowymi sądami konstytucyjnymi.</w:t>
      </w:r>
    </w:p>
    <w:p w14:paraId="3EF7CC01" w14:textId="77777777" w:rsidR="00551C57" w:rsidRDefault="00626774" w:rsidP="00D2713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Ten stan rzeczy uległ zmianie </w:t>
      </w:r>
      <w:r w:rsidR="00EB44F7">
        <w:rPr>
          <w:rFonts w:ascii="Segoe UI" w:hAnsi="Segoe UI" w:cs="Segoe UI"/>
        </w:rPr>
        <w:t>w 2023 roku</w:t>
      </w:r>
      <w:r w:rsidR="00824B34">
        <w:rPr>
          <w:rFonts w:ascii="Segoe UI" w:hAnsi="Segoe UI" w:cs="Segoe UI"/>
        </w:rPr>
        <w:t>, wraz z rozpoczęciem prac</w:t>
      </w:r>
      <w:r w:rsidR="00D27137">
        <w:rPr>
          <w:rFonts w:ascii="Segoe UI" w:hAnsi="Segoe UI" w:cs="Segoe UI"/>
        </w:rPr>
        <w:t xml:space="preserve"> nad propozycjami reformy Traktatu o Unii Europejskiej oraz Traktatu o Funkcjonowaniu Unii Europejskiej. W wyniku </w:t>
      </w:r>
      <w:r w:rsidR="00551C57">
        <w:rPr>
          <w:rFonts w:ascii="Segoe UI" w:hAnsi="Segoe UI" w:cs="Segoe UI"/>
        </w:rPr>
        <w:t xml:space="preserve">rozpoczętych w maju </w:t>
      </w:r>
      <w:r w:rsidR="00D27137">
        <w:rPr>
          <w:rFonts w:ascii="Segoe UI" w:hAnsi="Segoe UI" w:cs="Segoe UI"/>
        </w:rPr>
        <w:t>prac Komisji Spraw Konstytucyjnych (AFCO) Parlamentu Europejskiego</w:t>
      </w:r>
      <w:r w:rsidR="00551C57">
        <w:rPr>
          <w:rFonts w:ascii="Segoe UI" w:hAnsi="Segoe UI" w:cs="Segoe UI"/>
        </w:rPr>
        <w:t xml:space="preserve">, </w:t>
      </w:r>
      <w:r w:rsidR="00D27137">
        <w:rPr>
          <w:rFonts w:ascii="Segoe UI" w:hAnsi="Segoe UI" w:cs="Segoe UI"/>
        </w:rPr>
        <w:t>przyjęt</w:t>
      </w:r>
      <w:r w:rsidR="00DD7E92">
        <w:rPr>
          <w:rFonts w:ascii="Segoe UI" w:hAnsi="Segoe UI" w:cs="Segoe UI"/>
        </w:rPr>
        <w:t>e</w:t>
      </w:r>
      <w:r w:rsidR="00D27137">
        <w:rPr>
          <w:rFonts w:ascii="Segoe UI" w:hAnsi="Segoe UI" w:cs="Segoe UI"/>
        </w:rPr>
        <w:t xml:space="preserve"> został</w:t>
      </w:r>
      <w:r w:rsidR="00DD7E92">
        <w:rPr>
          <w:rFonts w:ascii="Segoe UI" w:hAnsi="Segoe UI" w:cs="Segoe UI"/>
        </w:rPr>
        <w:t>o</w:t>
      </w:r>
      <w:r w:rsidR="00D27137">
        <w:rPr>
          <w:rFonts w:ascii="Segoe UI" w:hAnsi="Segoe UI" w:cs="Segoe UI"/>
        </w:rPr>
        <w:t xml:space="preserve"> </w:t>
      </w:r>
      <w:r w:rsidR="00DD7E92">
        <w:rPr>
          <w:rFonts w:ascii="Segoe UI" w:hAnsi="Segoe UI" w:cs="Segoe UI"/>
        </w:rPr>
        <w:t>sprawozdanie</w:t>
      </w:r>
      <w:r w:rsidR="00D27137">
        <w:rPr>
          <w:rFonts w:ascii="Segoe UI" w:hAnsi="Segoe UI" w:cs="Segoe UI"/>
        </w:rPr>
        <w:t xml:space="preserve"> wraz z wnioskiem o dalsze procedowanie pakietu 267 poprawek do obu traktatów. </w:t>
      </w:r>
    </w:p>
    <w:p w14:paraId="435A0DD1" w14:textId="77777777" w:rsidR="00626774" w:rsidRDefault="00D27137" w:rsidP="00D2713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Poprawki te zasadniczo modyfikują system instytucjonalny Unii Europejskiej oraz jej mechanizmy decyzyjne, poprzez likwidację zasady jednomyślności (a więc pozbawienie państw członkowskich prawa weta) w szeregu istotnych kwestii, m. in. takich jak polityka obronna, ochrona granic, polityka zagraniczna, polityka klimatyczna i energetyczna, współpraca sądowa i policyjna, sprawy </w:t>
      </w:r>
      <w:r w:rsidRPr="006532C3">
        <w:rPr>
          <w:rFonts w:ascii="Segoe UI" w:hAnsi="Segoe UI" w:cs="Segoe UI"/>
        </w:rPr>
        <w:t>wewnętrzn</w:t>
      </w:r>
      <w:r>
        <w:rPr>
          <w:rFonts w:ascii="Segoe UI" w:hAnsi="Segoe UI" w:cs="Segoe UI"/>
        </w:rPr>
        <w:t>e</w:t>
      </w:r>
      <w:r w:rsidRPr="006532C3">
        <w:rPr>
          <w:rFonts w:ascii="Segoe UI" w:hAnsi="Segoe UI" w:cs="Segoe UI"/>
        </w:rPr>
        <w:t>, wymiar sprawiedliwości, polityk</w:t>
      </w:r>
      <w:r w:rsidR="00F967ED">
        <w:rPr>
          <w:rFonts w:ascii="Segoe UI" w:hAnsi="Segoe UI" w:cs="Segoe UI"/>
        </w:rPr>
        <w:t>a</w:t>
      </w:r>
      <w:r w:rsidRPr="006532C3">
        <w:rPr>
          <w:rFonts w:ascii="Segoe UI" w:hAnsi="Segoe UI" w:cs="Segoe UI"/>
        </w:rPr>
        <w:t xml:space="preserve"> społeczn</w:t>
      </w:r>
      <w:r>
        <w:rPr>
          <w:rFonts w:ascii="Segoe UI" w:hAnsi="Segoe UI" w:cs="Segoe UI"/>
        </w:rPr>
        <w:t>a</w:t>
      </w:r>
      <w:r w:rsidRPr="006532C3">
        <w:rPr>
          <w:rFonts w:ascii="Segoe UI" w:hAnsi="Segoe UI" w:cs="Segoe UI"/>
        </w:rPr>
        <w:t>, polityk</w:t>
      </w:r>
      <w:r>
        <w:rPr>
          <w:rFonts w:ascii="Segoe UI" w:hAnsi="Segoe UI" w:cs="Segoe UI"/>
        </w:rPr>
        <w:t>a</w:t>
      </w:r>
      <w:r w:rsidRPr="006532C3">
        <w:rPr>
          <w:rFonts w:ascii="Segoe UI" w:hAnsi="Segoe UI" w:cs="Segoe UI"/>
        </w:rPr>
        <w:t xml:space="preserve"> monetarn</w:t>
      </w:r>
      <w:r>
        <w:rPr>
          <w:rFonts w:ascii="Segoe UI" w:hAnsi="Segoe UI" w:cs="Segoe UI"/>
        </w:rPr>
        <w:t>a</w:t>
      </w:r>
      <w:r w:rsidRPr="006532C3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czy </w:t>
      </w:r>
      <w:r w:rsidRPr="006532C3">
        <w:rPr>
          <w:rFonts w:ascii="Segoe UI" w:hAnsi="Segoe UI" w:cs="Segoe UI"/>
        </w:rPr>
        <w:t>polityk</w:t>
      </w:r>
      <w:r>
        <w:rPr>
          <w:rFonts w:ascii="Segoe UI" w:hAnsi="Segoe UI" w:cs="Segoe UI"/>
        </w:rPr>
        <w:t>a</w:t>
      </w:r>
      <w:r w:rsidRPr="006532C3">
        <w:rPr>
          <w:rFonts w:ascii="Segoe UI" w:hAnsi="Segoe UI" w:cs="Segoe UI"/>
        </w:rPr>
        <w:t xml:space="preserve"> podatkow</w:t>
      </w:r>
      <w:r>
        <w:rPr>
          <w:rFonts w:ascii="Segoe UI" w:hAnsi="Segoe UI" w:cs="Segoe UI"/>
        </w:rPr>
        <w:t>a – i zastąpienia jej zasadą głosowania większościowego.</w:t>
      </w:r>
      <w:r w:rsidR="00551C57">
        <w:rPr>
          <w:rFonts w:ascii="Segoe UI" w:hAnsi="Segoe UI" w:cs="Segoe UI"/>
        </w:rPr>
        <w:t xml:space="preserve"> Poprawki ograniczają także uprawnienie państw członkowskich do wyrażenia sprzeciwu</w:t>
      </w:r>
      <w:r w:rsidR="00F967ED">
        <w:rPr>
          <w:rFonts w:ascii="Segoe UI" w:hAnsi="Segoe UI" w:cs="Segoe UI"/>
        </w:rPr>
        <w:t xml:space="preserve"> wobec decyzji ingerujących w ich kompetencje za pośrednictwem parlamentów narodowych.</w:t>
      </w:r>
    </w:p>
    <w:p w14:paraId="70D0E164" w14:textId="77777777" w:rsidR="00551C57" w:rsidRDefault="00551C57" w:rsidP="00D2713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Wśród proponowanych poprawek znalazły się m.in.:</w:t>
      </w:r>
    </w:p>
    <w:p w14:paraId="1863AAB3" w14:textId="77777777" w:rsidR="00F967ED" w:rsidRDefault="00F967ED" w:rsidP="00F967ED">
      <w:pPr>
        <w:pStyle w:val="Akapitzlist"/>
        <w:numPr>
          <w:ilvl w:val="0"/>
          <w:numId w:val="4"/>
        </w:numPr>
        <w:ind w:left="1423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Poprawki nr 55-58, likwidujące zasadę jednomyślności w polityce zagranicznej. Ich przyjęcie oznaczałoby, że </w:t>
      </w:r>
      <w:r w:rsidRPr="00F967ED">
        <w:rPr>
          <w:rFonts w:ascii="Segoe UI" w:hAnsi="Segoe UI" w:cs="Segoe UI"/>
          <w:b/>
        </w:rPr>
        <w:t xml:space="preserve">organy UE </w:t>
      </w:r>
      <w:r>
        <w:rPr>
          <w:rFonts w:ascii="Segoe UI" w:hAnsi="Segoe UI" w:cs="Segoe UI"/>
          <w:b/>
        </w:rPr>
        <w:t>będą mogły</w:t>
      </w:r>
      <w:r w:rsidRPr="00F967ED">
        <w:rPr>
          <w:rFonts w:ascii="Segoe UI" w:hAnsi="Segoe UI" w:cs="Segoe UI"/>
          <w:b/>
        </w:rPr>
        <w:t xml:space="preserve"> narzucać Polsce obecność w sojuszach politycznych ze wskazanymi przez siebie państwami </w:t>
      </w:r>
      <w:r w:rsidRPr="00F967ED">
        <w:rPr>
          <w:rFonts w:ascii="Segoe UI" w:hAnsi="Segoe UI" w:cs="Segoe UI"/>
          <w:b/>
        </w:rPr>
        <w:lastRenderedPageBreak/>
        <w:t xml:space="preserve">(np. z Rosją) </w:t>
      </w:r>
      <w:r>
        <w:rPr>
          <w:rFonts w:ascii="Segoe UI" w:hAnsi="Segoe UI" w:cs="Segoe UI"/>
        </w:rPr>
        <w:t>– a jednocześnie nakazać prowadzenie polityki nieprzyjaznej wobec krajów, z którymi Polska chce utrzymywać dobre stosunki.</w:t>
      </w:r>
    </w:p>
    <w:p w14:paraId="429841C2" w14:textId="77777777" w:rsidR="00F967ED" w:rsidRPr="00F967ED" w:rsidRDefault="00F967ED" w:rsidP="00F967ED">
      <w:pPr>
        <w:pStyle w:val="Akapitzlist"/>
        <w:numPr>
          <w:ilvl w:val="0"/>
          <w:numId w:val="4"/>
        </w:numPr>
        <w:ind w:left="1423" w:hanging="357"/>
        <w:contextualSpacing w:val="0"/>
        <w:jc w:val="both"/>
        <w:rPr>
          <w:rFonts w:ascii="Segoe UI" w:hAnsi="Segoe UI" w:cs="Segoe UI"/>
          <w:b/>
        </w:rPr>
      </w:pPr>
      <w:r w:rsidRPr="00B466C7">
        <w:rPr>
          <w:rFonts w:ascii="Segoe UI" w:hAnsi="Segoe UI" w:cs="Segoe UI"/>
        </w:rPr>
        <w:t xml:space="preserve">Poprawki nr 59-70, ustanawiające tzw. </w:t>
      </w:r>
      <w:r w:rsidRPr="00B466C7">
        <w:rPr>
          <w:rFonts w:ascii="Segoe UI" w:hAnsi="Segoe UI" w:cs="Segoe UI"/>
          <w:i/>
        </w:rPr>
        <w:t>Unię Obrony</w:t>
      </w:r>
      <w:r w:rsidRPr="00B466C7">
        <w:rPr>
          <w:rFonts w:ascii="Segoe UI" w:hAnsi="Segoe UI" w:cs="Segoe UI"/>
        </w:rPr>
        <w:t xml:space="preserve"> i wprowadzające zasadę, że polityka obronna każdego państwa członkowskiego musi być zgodna z celami wspólnej, unijnej polityki obronnej. Wraz ze zlikwidowaniem w tym zakresie zasady jednomyślności oznacza to, że </w:t>
      </w:r>
      <w:r w:rsidRPr="00F967ED">
        <w:rPr>
          <w:rFonts w:ascii="Segoe UI" w:hAnsi="Segoe UI" w:cs="Segoe UI"/>
          <w:b/>
        </w:rPr>
        <w:t xml:space="preserve">organy UE będą mogły zablokować </w:t>
      </w:r>
      <w:r>
        <w:rPr>
          <w:rFonts w:ascii="Segoe UI" w:hAnsi="Segoe UI" w:cs="Segoe UI"/>
          <w:b/>
        </w:rPr>
        <w:t>rozwój, rozbudowę i lepsze wyposażenie</w:t>
      </w:r>
      <w:r w:rsidRPr="00F967ED">
        <w:rPr>
          <w:rFonts w:ascii="Segoe UI" w:hAnsi="Segoe UI" w:cs="Segoe UI"/>
          <w:b/>
        </w:rPr>
        <w:t xml:space="preserve"> Wojska Polskiego – np. pod pretekstem, że zbyt liczna </w:t>
      </w:r>
      <w:r>
        <w:rPr>
          <w:rFonts w:ascii="Segoe UI" w:hAnsi="Segoe UI" w:cs="Segoe UI"/>
          <w:b/>
        </w:rPr>
        <w:t xml:space="preserve">polska </w:t>
      </w:r>
      <w:r w:rsidRPr="00F967ED">
        <w:rPr>
          <w:rFonts w:ascii="Segoe UI" w:hAnsi="Segoe UI" w:cs="Segoe UI"/>
          <w:b/>
        </w:rPr>
        <w:t>armia może prowokować Rosję</w:t>
      </w:r>
      <w:r w:rsidR="002E20A8">
        <w:rPr>
          <w:rFonts w:ascii="Segoe UI" w:hAnsi="Segoe UI" w:cs="Segoe UI"/>
          <w:b/>
        </w:rPr>
        <w:t>, z którą UE chce utrzymywać dobre relacje polityczne i gospodarcze</w:t>
      </w:r>
      <w:r w:rsidRPr="00F967ED">
        <w:rPr>
          <w:rFonts w:ascii="Segoe UI" w:hAnsi="Segoe UI" w:cs="Segoe UI"/>
          <w:b/>
        </w:rPr>
        <w:t>.</w:t>
      </w:r>
    </w:p>
    <w:p w14:paraId="661F9A2C" w14:textId="77777777" w:rsidR="002E20A8" w:rsidRDefault="00551C57" w:rsidP="00F967ED">
      <w:pPr>
        <w:pStyle w:val="Akapitzlist"/>
        <w:numPr>
          <w:ilvl w:val="0"/>
          <w:numId w:val="4"/>
        </w:numPr>
        <w:ind w:left="1423" w:hanging="357"/>
        <w:contextualSpacing w:val="0"/>
        <w:jc w:val="both"/>
        <w:rPr>
          <w:rFonts w:ascii="Segoe UI" w:hAnsi="Segoe UI" w:cs="Segoe UI"/>
        </w:rPr>
      </w:pPr>
      <w:r w:rsidRPr="00B466C7">
        <w:rPr>
          <w:rFonts w:ascii="Segoe UI" w:hAnsi="Segoe UI" w:cs="Segoe UI"/>
        </w:rPr>
        <w:t xml:space="preserve">Poprawka nr 112, rozszerzająca kompetencje UE wskazane w art. 77 TFUE o prawo </w:t>
      </w:r>
      <w:r w:rsidRPr="00B466C7">
        <w:rPr>
          <w:rFonts w:ascii="Segoe UI" w:hAnsi="Segoe UI" w:cs="Segoe UI"/>
          <w:i/>
        </w:rPr>
        <w:t>podjęcia wszelkich środków niezbędnych i proporcjonalnych służących zapewnieniu skutecznego monitorowania, zabezpieczenia i efektywnej kontroli zewnętrznych granic Unii</w:t>
      </w:r>
      <w:r w:rsidRPr="00B466C7">
        <w:rPr>
          <w:rFonts w:ascii="Segoe UI" w:hAnsi="Segoe UI" w:cs="Segoe UI"/>
        </w:rPr>
        <w:t xml:space="preserve"> – a zatem </w:t>
      </w:r>
      <w:r w:rsidRPr="00B466C7">
        <w:rPr>
          <w:rFonts w:ascii="Segoe UI" w:hAnsi="Segoe UI" w:cs="Segoe UI"/>
          <w:i/>
        </w:rPr>
        <w:t xml:space="preserve">de facto </w:t>
      </w:r>
      <w:r w:rsidRPr="00B466C7">
        <w:rPr>
          <w:rFonts w:ascii="Segoe UI" w:hAnsi="Segoe UI" w:cs="Segoe UI"/>
        </w:rPr>
        <w:t xml:space="preserve">odbierająca te kompetencje państwom członkowskim w zakresie, w jakim nie wykona ich Unia. Oznacza to, że </w:t>
      </w:r>
      <w:r w:rsidR="002E20A8" w:rsidRPr="002E20A8">
        <w:rPr>
          <w:rFonts w:ascii="Segoe UI" w:hAnsi="Segoe UI" w:cs="Segoe UI"/>
          <w:b/>
        </w:rPr>
        <w:t xml:space="preserve">organy Unii zyskałyby </w:t>
      </w:r>
      <w:r w:rsidRPr="002E20A8">
        <w:rPr>
          <w:rFonts w:ascii="Segoe UI" w:hAnsi="Segoe UI" w:cs="Segoe UI"/>
          <w:b/>
        </w:rPr>
        <w:t>pełną kontrolę nad tym, kto wjeżdża do Polski przez granice z Białorusią, Rosją czy Ukrainą, a także prawo do decyzji czy utrzymać, czy zburzyć zaporę i zdemontować zabezpieczenia na granicy z Białorusią i Rosją</w:t>
      </w:r>
      <w:r w:rsidRPr="00B466C7">
        <w:rPr>
          <w:rFonts w:ascii="Segoe UI" w:hAnsi="Segoe UI" w:cs="Segoe UI"/>
        </w:rPr>
        <w:t>.</w:t>
      </w:r>
      <w:r w:rsidR="00F967ED" w:rsidRPr="00F967ED">
        <w:rPr>
          <w:rFonts w:ascii="Segoe UI" w:hAnsi="Segoe UI" w:cs="Segoe UI"/>
        </w:rPr>
        <w:t xml:space="preserve"> </w:t>
      </w:r>
    </w:p>
    <w:p w14:paraId="656A7CFF" w14:textId="77777777" w:rsidR="00F967ED" w:rsidRPr="002E20A8" w:rsidRDefault="00F967ED" w:rsidP="00F967ED">
      <w:pPr>
        <w:pStyle w:val="Akapitzlist"/>
        <w:numPr>
          <w:ilvl w:val="0"/>
          <w:numId w:val="4"/>
        </w:numPr>
        <w:ind w:left="1423" w:hanging="357"/>
        <w:contextualSpacing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Poprawki nr 117-119, likwidująca zasadę jednomyślności – a także prawo weta parlamentów narodowych – w zakresie współpracy sądowej w transgranicznych sprawach rodzinnych. W aktualnym stanie prawnym </w:t>
      </w:r>
      <w:r w:rsidRPr="002E20A8">
        <w:rPr>
          <w:rFonts w:ascii="Segoe UI" w:hAnsi="Segoe UI" w:cs="Segoe UI"/>
          <w:b/>
        </w:rPr>
        <w:t>Polska może wyrazić sprzeciw wobec regulacji ułatwiających wywożenie poza granice naszego kraju</w:t>
      </w:r>
      <w:r>
        <w:rPr>
          <w:rFonts w:ascii="Segoe UI" w:hAnsi="Segoe UI" w:cs="Segoe UI"/>
        </w:rPr>
        <w:t xml:space="preserve"> dzieci, których jedno z rodziców posiada inne niż polskie obywatelstwo. Sprzeciw taki może wyrazić również Sejm RP, zgodnie z art. 81 (3) (3) TFUE. Przyjęcie poprawek przedstawionych przez AFCO oznaczałoby odebranie polskiemu Sejmowi tego prawa – i </w:t>
      </w:r>
      <w:r w:rsidRPr="002E20A8">
        <w:rPr>
          <w:rFonts w:ascii="Segoe UI" w:hAnsi="Segoe UI" w:cs="Segoe UI"/>
          <w:b/>
        </w:rPr>
        <w:t xml:space="preserve">mogłoby doprowadzić do sytuacji, w której Polska zostanie </w:t>
      </w:r>
      <w:r w:rsidR="002E20A8">
        <w:rPr>
          <w:rFonts w:ascii="Segoe UI" w:hAnsi="Segoe UI" w:cs="Segoe UI"/>
          <w:b/>
        </w:rPr>
        <w:t>pozbawiona możliwości zablokowania</w:t>
      </w:r>
      <w:r w:rsidRPr="002E20A8">
        <w:rPr>
          <w:rFonts w:ascii="Segoe UI" w:hAnsi="Segoe UI" w:cs="Segoe UI"/>
          <w:b/>
        </w:rPr>
        <w:t xml:space="preserve"> regulacj</w:t>
      </w:r>
      <w:r w:rsidR="002E20A8">
        <w:rPr>
          <w:rFonts w:ascii="Segoe UI" w:hAnsi="Segoe UI" w:cs="Segoe UI"/>
          <w:b/>
        </w:rPr>
        <w:t>i</w:t>
      </w:r>
      <w:r w:rsidRPr="002E20A8">
        <w:rPr>
          <w:rFonts w:ascii="Segoe UI" w:hAnsi="Segoe UI" w:cs="Segoe UI"/>
          <w:b/>
        </w:rPr>
        <w:t xml:space="preserve"> niekorzystn</w:t>
      </w:r>
      <w:r w:rsidR="002E20A8">
        <w:rPr>
          <w:rFonts w:ascii="Segoe UI" w:hAnsi="Segoe UI" w:cs="Segoe UI"/>
          <w:b/>
        </w:rPr>
        <w:t>ych</w:t>
      </w:r>
      <w:r w:rsidRPr="002E20A8">
        <w:rPr>
          <w:rFonts w:ascii="Segoe UI" w:hAnsi="Segoe UI" w:cs="Segoe UI"/>
          <w:b/>
        </w:rPr>
        <w:t xml:space="preserve"> dla bezpieczeństwa dzieci.</w:t>
      </w:r>
    </w:p>
    <w:p w14:paraId="414A3BDF" w14:textId="77777777" w:rsidR="00F967ED" w:rsidRPr="002E20A8" w:rsidRDefault="00F967ED" w:rsidP="00F967ED">
      <w:pPr>
        <w:pStyle w:val="Akapitzlist"/>
        <w:numPr>
          <w:ilvl w:val="0"/>
          <w:numId w:val="4"/>
        </w:numPr>
        <w:ind w:left="1423" w:hanging="357"/>
        <w:contextualSpacing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Poprawka nr 124 eliminuje prawo weta w sprawach dotyczących współpracy policyjnej. W aktualnym stanie prawnym możliwe jest działanie policji i innych służb danego państwa członkowskiego na terytorium innego państwa – pod warunkiem wyrażenia na to zgody. Przyjęcie poprawki AFCO oznaczać będzie </w:t>
      </w:r>
      <w:r w:rsidRPr="002E20A8">
        <w:rPr>
          <w:rFonts w:ascii="Segoe UI" w:hAnsi="Segoe UI" w:cs="Segoe UI"/>
        </w:rPr>
        <w:t>otwarcie drogi do przyjęcia regulacji, w myśl których</w:t>
      </w:r>
      <w:r w:rsidRPr="002E20A8">
        <w:rPr>
          <w:rFonts w:ascii="Segoe UI" w:hAnsi="Segoe UI" w:cs="Segoe UI"/>
          <w:b/>
        </w:rPr>
        <w:t xml:space="preserve"> </w:t>
      </w:r>
      <w:r w:rsidR="002E20A8" w:rsidRPr="002E20A8">
        <w:rPr>
          <w:rFonts w:ascii="Segoe UI" w:hAnsi="Segoe UI" w:cs="Segoe UI"/>
          <w:b/>
        </w:rPr>
        <w:t xml:space="preserve">np. niemiecka </w:t>
      </w:r>
      <w:r w:rsidRPr="002E20A8">
        <w:rPr>
          <w:rFonts w:ascii="Segoe UI" w:hAnsi="Segoe UI" w:cs="Segoe UI"/>
          <w:b/>
        </w:rPr>
        <w:t>policja będzie miała prawo do prowadzenia czynności takich jak kontrole, zatrzymania, przeszukania – także wobec polskich obywateli, na terenie RP, bez konieczności uzyskania zgody na te działania ani możliwości ich zablokowania przez Polskę.</w:t>
      </w:r>
    </w:p>
    <w:p w14:paraId="57E7AFCE" w14:textId="77777777" w:rsidR="00B466C7" w:rsidRDefault="00B466C7" w:rsidP="00F967ED">
      <w:pPr>
        <w:pStyle w:val="Akapitzlist"/>
        <w:numPr>
          <w:ilvl w:val="0"/>
          <w:numId w:val="4"/>
        </w:numPr>
        <w:ind w:left="1423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Poprawka nr 154, znosząca zasadę jednomyślności w zakresie przepisów dotyczących zatrudniania imigrantów spoza UE. Przyjęcie tej zasady oznaczałoby, że </w:t>
      </w:r>
      <w:r w:rsidRPr="002E20A8">
        <w:rPr>
          <w:rFonts w:ascii="Segoe UI" w:hAnsi="Segoe UI" w:cs="Segoe UI"/>
          <w:b/>
        </w:rPr>
        <w:t>organy Unii mogłyby narzucić Polsce obowiązek zatrudnienia imigrantów z innych państw</w:t>
      </w:r>
      <w:r>
        <w:rPr>
          <w:rFonts w:ascii="Segoe UI" w:hAnsi="Segoe UI" w:cs="Segoe UI"/>
        </w:rPr>
        <w:t>, niezależnie od braku zgody naszego kraju.</w:t>
      </w:r>
    </w:p>
    <w:p w14:paraId="6E504AD9" w14:textId="77777777" w:rsidR="00617CFD" w:rsidRPr="002E20A8" w:rsidRDefault="00617CFD" w:rsidP="00F967ED">
      <w:pPr>
        <w:pStyle w:val="Akapitzlist"/>
        <w:numPr>
          <w:ilvl w:val="0"/>
          <w:numId w:val="4"/>
        </w:numPr>
        <w:ind w:left="1423" w:hanging="357"/>
        <w:contextualSpacing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lastRenderedPageBreak/>
        <w:t xml:space="preserve">Poprawki nr 178 i 185 skreślają zasadę jednomyślności przy ustanawianiu </w:t>
      </w:r>
      <w:r w:rsidRPr="00617CFD">
        <w:rPr>
          <w:rFonts w:ascii="Segoe UI" w:hAnsi="Segoe UI" w:cs="Segoe UI"/>
          <w:i/>
        </w:rPr>
        <w:t xml:space="preserve">środków wpływających znacząco na wybór </w:t>
      </w:r>
      <w:r>
        <w:rPr>
          <w:rFonts w:ascii="Segoe UI" w:hAnsi="Segoe UI" w:cs="Segoe UI"/>
          <w:i/>
        </w:rPr>
        <w:t>p</w:t>
      </w:r>
      <w:r w:rsidRPr="00617CFD">
        <w:rPr>
          <w:rFonts w:ascii="Segoe UI" w:hAnsi="Segoe UI" w:cs="Segoe UI"/>
          <w:i/>
        </w:rPr>
        <w:t xml:space="preserve">aństwa </w:t>
      </w:r>
      <w:r>
        <w:rPr>
          <w:rFonts w:ascii="Segoe UI" w:hAnsi="Segoe UI" w:cs="Segoe UI"/>
          <w:i/>
        </w:rPr>
        <w:t>c</w:t>
      </w:r>
      <w:r w:rsidRPr="00617CFD">
        <w:rPr>
          <w:rFonts w:ascii="Segoe UI" w:hAnsi="Segoe UI" w:cs="Segoe UI"/>
          <w:i/>
        </w:rPr>
        <w:t>złonkowskiego między różnymi źródłami energii i ogólną strukturę jego zaopatrzenia w energię</w:t>
      </w:r>
      <w:r>
        <w:rPr>
          <w:rFonts w:ascii="Segoe UI" w:hAnsi="Segoe UI" w:cs="Segoe UI"/>
        </w:rPr>
        <w:t xml:space="preserve">; eliminują też prawo państw członkowskich do </w:t>
      </w:r>
      <w:r w:rsidRPr="00617CFD">
        <w:rPr>
          <w:rFonts w:ascii="Segoe UI" w:hAnsi="Segoe UI" w:cs="Segoe UI"/>
          <w:i/>
        </w:rPr>
        <w:t>określania warunków wykorzystania ich zasobów energetycznych, wyboru między różnymi źródłami energii i ogólnej struktury zaopatrzenia w energię</w:t>
      </w:r>
      <w:r>
        <w:rPr>
          <w:rFonts w:ascii="Segoe UI" w:hAnsi="Segoe UI" w:cs="Segoe UI"/>
          <w:i/>
        </w:rPr>
        <w:t xml:space="preserve">. </w:t>
      </w:r>
      <w:r w:rsidRPr="002E20A8">
        <w:rPr>
          <w:rFonts w:ascii="Segoe UI" w:hAnsi="Segoe UI" w:cs="Segoe UI"/>
          <w:b/>
        </w:rPr>
        <w:t>To jedne z najgroźniejszych zapisów w całym pakiecie</w:t>
      </w:r>
      <w:r>
        <w:rPr>
          <w:rFonts w:ascii="Segoe UI" w:hAnsi="Segoe UI" w:cs="Segoe UI"/>
        </w:rPr>
        <w:t xml:space="preserve"> – ich przyjęcie oznaczałoby, że całość polskiego systemu energetycznego będzie podlegać decyzjom organów UE. Mając na uwadze wydarzenia ostatnich lat i próby wyłączenia z polskiego systemu energetycznego jednego z najważniejszych jej elementów</w:t>
      </w:r>
      <w:r w:rsidR="00F967ED">
        <w:rPr>
          <w:rFonts w:ascii="Segoe UI" w:hAnsi="Segoe UI" w:cs="Segoe UI"/>
        </w:rPr>
        <w:t xml:space="preserve"> – Elektrowni „Turów” – </w:t>
      </w:r>
      <w:r>
        <w:rPr>
          <w:rFonts w:ascii="Segoe UI" w:hAnsi="Segoe UI" w:cs="Segoe UI"/>
        </w:rPr>
        <w:t>należy</w:t>
      </w:r>
      <w:r w:rsidR="00F967ED">
        <w:rPr>
          <w:rFonts w:ascii="Segoe UI" w:hAnsi="Segoe UI" w:cs="Segoe UI"/>
        </w:rPr>
        <w:t xml:space="preserve"> racjonalnie zakładać, że </w:t>
      </w:r>
      <w:r w:rsidR="00F967ED" w:rsidRPr="002E20A8">
        <w:rPr>
          <w:rFonts w:ascii="Segoe UI" w:hAnsi="Segoe UI" w:cs="Segoe UI"/>
          <w:b/>
        </w:rPr>
        <w:t>przyjęcie tych poprawek doprowadziłoby w bardzo krótkim czasie do likwidacji polskiej energetyki</w:t>
      </w:r>
      <w:r w:rsidR="002E20A8">
        <w:rPr>
          <w:rFonts w:ascii="Segoe UI" w:hAnsi="Segoe UI" w:cs="Segoe UI"/>
          <w:b/>
        </w:rPr>
        <w:t xml:space="preserve"> węglowej i gazowej, zablokowania inwestycji w energię atomową, a w konsekwencji</w:t>
      </w:r>
      <w:r w:rsidR="00F967ED" w:rsidRPr="002E20A8">
        <w:rPr>
          <w:rFonts w:ascii="Segoe UI" w:hAnsi="Segoe UI" w:cs="Segoe UI"/>
          <w:b/>
        </w:rPr>
        <w:t xml:space="preserve"> zmuszenia naszego kraju do importowania energii elektrycznej produkowanej przez Niemcy i inne państwa.</w:t>
      </w:r>
    </w:p>
    <w:p w14:paraId="19545EF2" w14:textId="77777777" w:rsidR="00F967ED" w:rsidRPr="002E20A8" w:rsidRDefault="00F967ED" w:rsidP="00F967ED">
      <w:pPr>
        <w:pStyle w:val="Akapitzlist"/>
        <w:numPr>
          <w:ilvl w:val="0"/>
          <w:numId w:val="4"/>
        </w:numPr>
        <w:ind w:left="1423" w:hanging="357"/>
        <w:contextualSpacing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Poprawki nr 247 i 248, likwidujące zasadę jednomyślności przy ustanawianiu zasobów własnych – tj. źródeł finansowania budżetu UE. W aktualnym stanie prawnym takie środki, np. w postaci wspólnych podatków, z których dochód trafia do unijnego budżetu, mogą być przyjęte wyłącznie za zgodą wszystkich państw członkowskich. Propozycja zmian traktatów zakłada, że </w:t>
      </w:r>
      <w:r w:rsidRPr="002E20A8">
        <w:rPr>
          <w:rFonts w:ascii="Segoe UI" w:hAnsi="Segoe UI" w:cs="Segoe UI"/>
          <w:b/>
        </w:rPr>
        <w:t xml:space="preserve">nowe unijne podatki – również takie, które obciążałyby polskich obywateli, a przeznaczone byłyby na finansowanie celów niezwiązanych z Polską – mogłyby zostać narzucone naszemu krajowi bez możliwości ich zablokowania. </w:t>
      </w:r>
    </w:p>
    <w:p w14:paraId="54CB23FC" w14:textId="77777777" w:rsidR="002E20A8" w:rsidRDefault="002E20A8" w:rsidP="00D2713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Sprawozdanie</w:t>
      </w:r>
      <w:r w:rsidR="00D27137">
        <w:rPr>
          <w:rFonts w:ascii="Segoe UI" w:hAnsi="Segoe UI" w:cs="Segoe UI"/>
        </w:rPr>
        <w:t xml:space="preserve"> komisji AFCO został</w:t>
      </w:r>
      <w:r>
        <w:rPr>
          <w:rFonts w:ascii="Segoe UI" w:hAnsi="Segoe UI" w:cs="Segoe UI"/>
        </w:rPr>
        <w:t>o</w:t>
      </w:r>
      <w:r w:rsidR="00D27137">
        <w:rPr>
          <w:rFonts w:ascii="Segoe UI" w:hAnsi="Segoe UI" w:cs="Segoe UI"/>
        </w:rPr>
        <w:t xml:space="preserve"> przyjęt</w:t>
      </w:r>
      <w:r>
        <w:rPr>
          <w:rFonts w:ascii="Segoe UI" w:hAnsi="Segoe UI" w:cs="Segoe UI"/>
        </w:rPr>
        <w:t>e</w:t>
      </w:r>
      <w:r w:rsidR="00D27137">
        <w:rPr>
          <w:rFonts w:ascii="Segoe UI" w:hAnsi="Segoe UI" w:cs="Segoe UI"/>
        </w:rPr>
        <w:t xml:space="preserve"> 25 października 2023 r. i przedstawion</w:t>
      </w:r>
      <w:r>
        <w:rPr>
          <w:rFonts w:ascii="Segoe UI" w:hAnsi="Segoe UI" w:cs="Segoe UI"/>
        </w:rPr>
        <w:t>e</w:t>
      </w:r>
      <w:r w:rsidR="00D27137">
        <w:rPr>
          <w:rFonts w:ascii="Segoe UI" w:hAnsi="Segoe UI" w:cs="Segoe UI"/>
        </w:rPr>
        <w:t xml:space="preserve"> do rozpatrzenia przez Parlament Europejski. Głosowanie w sprawie jego przyjęcia</w:t>
      </w:r>
      <w:r>
        <w:rPr>
          <w:rFonts w:ascii="Segoe UI" w:hAnsi="Segoe UI" w:cs="Segoe UI"/>
        </w:rPr>
        <w:t xml:space="preserve"> na posiedzeniu plenarnym</w:t>
      </w:r>
      <w:r w:rsidR="00D27137">
        <w:rPr>
          <w:rFonts w:ascii="Segoe UI" w:hAnsi="Segoe UI" w:cs="Segoe UI"/>
        </w:rPr>
        <w:t xml:space="preserve"> ma odbyć się 22 listopada</w:t>
      </w:r>
      <w:r w:rsidR="002D4D90">
        <w:rPr>
          <w:rFonts w:ascii="Segoe UI" w:hAnsi="Segoe UI" w:cs="Segoe UI"/>
        </w:rPr>
        <w:t xml:space="preserve"> </w:t>
      </w:r>
      <w:r w:rsidR="00551C57">
        <w:rPr>
          <w:rFonts w:ascii="Segoe UI" w:hAnsi="Segoe UI" w:cs="Segoe UI"/>
        </w:rPr>
        <w:t xml:space="preserve">2023 r. </w:t>
      </w:r>
    </w:p>
    <w:p w14:paraId="10304B9F" w14:textId="77777777" w:rsidR="002E20A8" w:rsidRPr="002E20A8" w:rsidRDefault="00551C57" w:rsidP="00D27137">
      <w:pPr>
        <w:ind w:firstLine="708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Mając to na uwadze, zachodzi </w:t>
      </w:r>
      <w:r w:rsidRPr="002E20A8">
        <w:rPr>
          <w:rFonts w:ascii="Segoe UI" w:hAnsi="Segoe UI" w:cs="Segoe UI"/>
          <w:b/>
        </w:rPr>
        <w:t xml:space="preserve">bardzo pilna konieczność wyrażenia zdecydowanego sprzeciwu wobec tych propozycji i wezwania wszystkich Posłów do Parlamentu Europejskiego, aby taki sprzeciw wyrazili w głosowaniu. </w:t>
      </w:r>
    </w:p>
    <w:p w14:paraId="27D1DAC5" w14:textId="77777777" w:rsidR="00D27137" w:rsidRPr="002E20A8" w:rsidRDefault="00551C57" w:rsidP="00D27137">
      <w:pPr>
        <w:ind w:firstLine="708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Ponadto</w:t>
      </w:r>
      <w:r w:rsidR="002E20A8">
        <w:rPr>
          <w:rFonts w:ascii="Segoe UI" w:hAnsi="Segoe UI" w:cs="Segoe UI"/>
        </w:rPr>
        <w:t xml:space="preserve"> w ocenie Sejmu RP</w:t>
      </w:r>
      <w:r>
        <w:rPr>
          <w:rFonts w:ascii="Segoe UI" w:hAnsi="Segoe UI" w:cs="Segoe UI"/>
        </w:rPr>
        <w:t xml:space="preserve"> </w:t>
      </w:r>
      <w:r w:rsidRPr="002E20A8">
        <w:rPr>
          <w:rFonts w:ascii="Segoe UI" w:hAnsi="Segoe UI" w:cs="Segoe UI"/>
          <w:b/>
        </w:rPr>
        <w:t>niezbędne jest zobowiązanie Rady Ministrów do podjęcia zdecydowanych działań na rzecz powstrzymania tych niekorzystnych zmian, zagrażających suwerenności Rzeczypospolitej Polskiej i ograniczającej jej kompetencje w unijnych procesach decyzyjnych</w:t>
      </w:r>
      <w:r w:rsidR="002E20A8" w:rsidRPr="002E20A8">
        <w:rPr>
          <w:rFonts w:ascii="Segoe UI" w:hAnsi="Segoe UI" w:cs="Segoe UI"/>
          <w:b/>
        </w:rPr>
        <w:t xml:space="preserve"> – zarówno w odniesieniu do obecnych propozycji, jak i w stosunku do podobnych prób w przyszłości.</w:t>
      </w:r>
    </w:p>
    <w:p w14:paraId="38C28066" w14:textId="77777777" w:rsidR="002E20A8" w:rsidRDefault="002E20A8" w:rsidP="00D2713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Uchwała jest zgodna z Konstytucją RP i prawem europejskim – stanowi wyraz troski o jego przestrzeganie i zapewnienie sprawności funkcjonowania Unii Europejskiej, zgodnie z przepisami jej traktatów, z poszanowaniem kompetencji państw członkowskich i ich suwerenności.</w:t>
      </w:r>
    </w:p>
    <w:p w14:paraId="18C491D0" w14:textId="3EF4CA9F" w:rsidR="002E20A8" w:rsidRPr="00626774" w:rsidRDefault="002E20A8" w:rsidP="00D27137">
      <w:pPr>
        <w:ind w:firstLine="708"/>
        <w:jc w:val="both"/>
        <w:rPr>
          <w:rFonts w:ascii="Segoe UI" w:hAnsi="Segoe UI" w:cs="Segoe UI"/>
        </w:rPr>
      </w:pPr>
    </w:p>
    <w:sectPr w:rsidR="002E20A8" w:rsidRPr="00626774" w:rsidSect="002E20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EFF73" w14:textId="77777777" w:rsidR="00EB04EC" w:rsidRDefault="00EB04EC" w:rsidP="00440318">
      <w:pPr>
        <w:spacing w:after="0" w:line="240" w:lineRule="auto"/>
      </w:pPr>
      <w:r>
        <w:separator/>
      </w:r>
    </w:p>
  </w:endnote>
  <w:endnote w:type="continuationSeparator" w:id="0">
    <w:p w14:paraId="56EBF079" w14:textId="77777777" w:rsidR="00EB04EC" w:rsidRDefault="00EB04EC" w:rsidP="0044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1FB4B" w14:textId="77777777" w:rsidR="00EB04EC" w:rsidRDefault="00EB04EC" w:rsidP="00440318">
      <w:pPr>
        <w:spacing w:after="0" w:line="240" w:lineRule="auto"/>
      </w:pPr>
      <w:r>
        <w:separator/>
      </w:r>
    </w:p>
  </w:footnote>
  <w:footnote w:type="continuationSeparator" w:id="0">
    <w:p w14:paraId="7D3F8FB0" w14:textId="77777777" w:rsidR="00EB04EC" w:rsidRDefault="00EB04EC" w:rsidP="0044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7E3"/>
    <w:multiLevelType w:val="hybridMultilevel"/>
    <w:tmpl w:val="73587898"/>
    <w:lvl w:ilvl="0" w:tplc="E8627E10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B40"/>
    <w:multiLevelType w:val="hybridMultilevel"/>
    <w:tmpl w:val="8D0CAF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2877F5"/>
    <w:multiLevelType w:val="hybridMultilevel"/>
    <w:tmpl w:val="82462248"/>
    <w:lvl w:ilvl="0" w:tplc="C4521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D5E61"/>
    <w:multiLevelType w:val="hybridMultilevel"/>
    <w:tmpl w:val="16C6218E"/>
    <w:lvl w:ilvl="0" w:tplc="C4521D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18"/>
    <w:rsid w:val="000C12EB"/>
    <w:rsid w:val="00151756"/>
    <w:rsid w:val="002D4D90"/>
    <w:rsid w:val="002E20A8"/>
    <w:rsid w:val="0035221D"/>
    <w:rsid w:val="00440318"/>
    <w:rsid w:val="00551C57"/>
    <w:rsid w:val="005C0758"/>
    <w:rsid w:val="00617CFD"/>
    <w:rsid w:val="00626774"/>
    <w:rsid w:val="006532C3"/>
    <w:rsid w:val="006A7D10"/>
    <w:rsid w:val="00824B34"/>
    <w:rsid w:val="00A228AF"/>
    <w:rsid w:val="00AD366B"/>
    <w:rsid w:val="00B31825"/>
    <w:rsid w:val="00B43DD0"/>
    <w:rsid w:val="00B4651E"/>
    <w:rsid w:val="00B466C7"/>
    <w:rsid w:val="00B648BD"/>
    <w:rsid w:val="00CE4B0D"/>
    <w:rsid w:val="00D27137"/>
    <w:rsid w:val="00DA21F8"/>
    <w:rsid w:val="00DA2D00"/>
    <w:rsid w:val="00DC6E4F"/>
    <w:rsid w:val="00DD7E92"/>
    <w:rsid w:val="00E52A1A"/>
    <w:rsid w:val="00EB04EC"/>
    <w:rsid w:val="00EB44F7"/>
    <w:rsid w:val="00F9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B3BE"/>
  <w15:chartTrackingRefBased/>
  <w15:docId w15:val="{FEA4B6A8-A027-4ADC-BAA8-147EA625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3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3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3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3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7E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50F2-2BFF-4793-8B35-093C74E4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Molesztak</cp:lastModifiedBy>
  <cp:revision>2</cp:revision>
  <cp:lastPrinted>2023-11-20T15:56:00Z</cp:lastPrinted>
  <dcterms:created xsi:type="dcterms:W3CDTF">2023-11-20T14:01:00Z</dcterms:created>
  <dcterms:modified xsi:type="dcterms:W3CDTF">2023-11-21T11:56:00Z</dcterms:modified>
</cp:coreProperties>
</file>