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C46E" w14:textId="38BDD5A1" w:rsidR="00386820" w:rsidRPr="007978D6" w:rsidRDefault="007978D6" w:rsidP="002A23C5">
      <w:pPr>
        <w:pStyle w:val="Default"/>
        <w:spacing w:after="240" w:line="360" w:lineRule="auto"/>
        <w:jc w:val="center"/>
      </w:pPr>
      <w:r w:rsidRPr="007978D6">
        <w:rPr>
          <w:rStyle w:val="Pogrubienie"/>
          <w:rFonts w:ascii="Times New Roman" w:hAnsi="Times New Roman" w:cs="Times New Roman"/>
          <w:b w:val="0"/>
          <w:bCs w:val="0"/>
        </w:rPr>
        <w:t>UZASADNIENIE</w:t>
      </w:r>
    </w:p>
    <w:p w14:paraId="2B419976" w14:textId="12F736EF" w:rsidR="00386820" w:rsidRPr="007978D6" w:rsidRDefault="00386820" w:rsidP="002A23C5">
      <w:pPr>
        <w:tabs>
          <w:tab w:val="left" w:pos="426"/>
        </w:tabs>
        <w:spacing w:before="120" w:after="0"/>
        <w:rPr>
          <w:rFonts w:ascii="Times New Roman" w:hAnsi="Times New Roman" w:cs="Times New Roman"/>
          <w:b/>
          <w:bCs/>
          <w:color w:val="000000" w:themeColor="text1"/>
          <w:sz w:val="24"/>
          <w:szCs w:val="24"/>
        </w:rPr>
      </w:pPr>
      <w:r w:rsidRPr="007978D6">
        <w:rPr>
          <w:rFonts w:ascii="Times New Roman" w:hAnsi="Times New Roman" w:cs="Times New Roman"/>
          <w:b/>
          <w:bCs/>
          <w:color w:val="000000" w:themeColor="text1"/>
          <w:sz w:val="24"/>
          <w:szCs w:val="24"/>
        </w:rPr>
        <w:t>I.</w:t>
      </w:r>
      <w:r w:rsidR="00286AFE">
        <w:rPr>
          <w:rFonts w:ascii="Times New Roman" w:hAnsi="Times New Roman" w:cs="Times New Roman"/>
          <w:b/>
          <w:bCs/>
          <w:color w:val="000000" w:themeColor="text1"/>
          <w:sz w:val="24"/>
          <w:szCs w:val="24"/>
        </w:rPr>
        <w:tab/>
      </w:r>
      <w:r w:rsidRPr="007978D6">
        <w:rPr>
          <w:rFonts w:ascii="Times New Roman" w:hAnsi="Times New Roman" w:cs="Times New Roman"/>
          <w:b/>
          <w:bCs/>
          <w:color w:val="000000" w:themeColor="text1"/>
          <w:sz w:val="24"/>
          <w:szCs w:val="24"/>
        </w:rPr>
        <w:t>Potrzeba i cel uchwalenia projektowanej regulacji</w:t>
      </w:r>
      <w:r w:rsidR="00531181" w:rsidRPr="007978D6">
        <w:rPr>
          <w:rFonts w:ascii="Times New Roman" w:hAnsi="Times New Roman" w:cs="Times New Roman"/>
          <w:b/>
          <w:bCs/>
          <w:color w:val="000000" w:themeColor="text1"/>
          <w:sz w:val="24"/>
          <w:szCs w:val="24"/>
        </w:rPr>
        <w:t xml:space="preserve"> </w:t>
      </w:r>
    </w:p>
    <w:p w14:paraId="0EA9141E" w14:textId="5EFA44A5" w:rsidR="00386820" w:rsidRPr="007978D6" w:rsidRDefault="00386820" w:rsidP="002A23C5">
      <w:pPr>
        <w:tabs>
          <w:tab w:val="left" w:pos="426"/>
        </w:tabs>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1.</w:t>
      </w:r>
      <w:r w:rsidR="007978D6">
        <w:rPr>
          <w:rFonts w:ascii="Times New Roman" w:hAnsi="Times New Roman" w:cs="Times New Roman"/>
          <w:color w:val="000000" w:themeColor="text1"/>
          <w:sz w:val="24"/>
          <w:szCs w:val="24"/>
        </w:rPr>
        <w:tab/>
      </w:r>
      <w:r w:rsidRPr="007978D6">
        <w:rPr>
          <w:rFonts w:ascii="Times New Roman" w:hAnsi="Times New Roman" w:cs="Times New Roman"/>
          <w:color w:val="000000" w:themeColor="text1"/>
          <w:sz w:val="24"/>
          <w:szCs w:val="24"/>
        </w:rPr>
        <w:t>Implementacja dyrektywy Parlamentu Europejskiego i Rady (UE) 2021/2118 z dnia 24</w:t>
      </w:r>
      <w:r w:rsidR="00AD0B0D">
        <w:rPr>
          <w:rFonts w:ascii="Times New Roman" w:hAnsi="Times New Roman" w:cs="Times New Roman"/>
          <w:color w:val="000000" w:themeColor="text1"/>
          <w:sz w:val="24"/>
          <w:szCs w:val="24"/>
        </w:rPr>
        <w:t> </w:t>
      </w:r>
      <w:r w:rsidRPr="007978D6">
        <w:rPr>
          <w:rFonts w:ascii="Times New Roman" w:hAnsi="Times New Roman" w:cs="Times New Roman"/>
          <w:color w:val="000000" w:themeColor="text1"/>
          <w:sz w:val="24"/>
          <w:szCs w:val="24"/>
        </w:rPr>
        <w:t>listopada 2021 r. zmieniającej dyrektywę 2009/103/WE w sprawie ubezpieczenia od odpowiedzialności cywilnej za szkody powstałe w związku z ruchem pojazdów mechanicznych i egzekwowania obowiązku ubezpieczania od takiej odpowiedzialności.</w:t>
      </w:r>
    </w:p>
    <w:p w14:paraId="07758AFC" w14:textId="484FCD35"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Nowelizacje ustaw:</w:t>
      </w:r>
      <w:r w:rsidR="001A3E46" w:rsidRPr="007978D6">
        <w:rPr>
          <w:rFonts w:ascii="Times New Roman" w:hAnsi="Times New Roman" w:cs="Times New Roman"/>
          <w:color w:val="000000" w:themeColor="text1"/>
          <w:sz w:val="24"/>
          <w:szCs w:val="24"/>
        </w:rPr>
        <w:t xml:space="preserve"> </w:t>
      </w:r>
    </w:p>
    <w:p w14:paraId="43618EFB" w14:textId="42285904" w:rsidR="00386820" w:rsidRPr="007978D6" w:rsidRDefault="00386820" w:rsidP="002A23C5">
      <w:pPr>
        <w:pStyle w:val="Akapitzlist"/>
        <w:numPr>
          <w:ilvl w:val="0"/>
          <w:numId w:val="3"/>
        </w:numPr>
        <w:spacing w:before="120" w:after="0"/>
        <w:ind w:left="426" w:hanging="426"/>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ustawy z dnia 22 maja 2003 r. o </w:t>
      </w:r>
      <w:r w:rsidRPr="007978D6">
        <w:rPr>
          <w:rFonts w:ascii="Times New Roman" w:hAnsi="Times New Roman" w:cs="Times New Roman"/>
          <w:color w:val="000000"/>
          <w:sz w:val="24"/>
          <w:szCs w:val="24"/>
        </w:rPr>
        <w:t>ubezpieczeniach obowiązkowych, Ubezpieczeniowym Funduszu Gwarancyjnym i Polskim Biurze Ubezpieczycieli Komunikacyjnych</w:t>
      </w:r>
      <w:r w:rsidRPr="007978D6">
        <w:rPr>
          <w:rFonts w:ascii="Times New Roman" w:hAnsi="Times New Roman" w:cs="Times New Roman"/>
          <w:color w:val="000000" w:themeColor="text1"/>
          <w:sz w:val="24"/>
          <w:szCs w:val="24"/>
        </w:rPr>
        <w:t xml:space="preserve"> (Dz. U. z</w:t>
      </w:r>
      <w:r w:rsidR="00AD0B0D">
        <w:rPr>
          <w:rFonts w:ascii="Times New Roman" w:hAnsi="Times New Roman" w:cs="Times New Roman"/>
          <w:color w:val="000000" w:themeColor="text1"/>
          <w:sz w:val="24"/>
          <w:szCs w:val="24"/>
        </w:rPr>
        <w:t> </w:t>
      </w:r>
      <w:r w:rsidRPr="007978D6">
        <w:rPr>
          <w:rFonts w:ascii="Times New Roman" w:hAnsi="Times New Roman" w:cs="Times New Roman"/>
          <w:color w:val="000000" w:themeColor="text1"/>
          <w:sz w:val="24"/>
          <w:szCs w:val="24"/>
        </w:rPr>
        <w:t>202</w:t>
      </w:r>
      <w:r w:rsidR="00C51421" w:rsidRPr="007978D6">
        <w:rPr>
          <w:rFonts w:ascii="Times New Roman" w:hAnsi="Times New Roman" w:cs="Times New Roman"/>
          <w:color w:val="000000" w:themeColor="text1"/>
          <w:sz w:val="24"/>
          <w:szCs w:val="24"/>
        </w:rPr>
        <w:t>3</w:t>
      </w:r>
      <w:r w:rsidRPr="007978D6">
        <w:rPr>
          <w:rFonts w:ascii="Times New Roman" w:hAnsi="Times New Roman" w:cs="Times New Roman"/>
          <w:color w:val="000000" w:themeColor="text1"/>
          <w:sz w:val="24"/>
          <w:szCs w:val="24"/>
        </w:rPr>
        <w:t xml:space="preserve"> poz. 2</w:t>
      </w:r>
      <w:r w:rsidR="00C51421" w:rsidRPr="007978D6">
        <w:rPr>
          <w:rFonts w:ascii="Times New Roman" w:hAnsi="Times New Roman" w:cs="Times New Roman"/>
          <w:color w:val="000000" w:themeColor="text1"/>
          <w:sz w:val="24"/>
          <w:szCs w:val="24"/>
        </w:rPr>
        <w:t>500</w:t>
      </w:r>
      <w:r w:rsidRPr="007978D6">
        <w:rPr>
          <w:rFonts w:ascii="Times New Roman" w:hAnsi="Times New Roman" w:cs="Times New Roman"/>
          <w:color w:val="000000" w:themeColor="text1"/>
          <w:sz w:val="24"/>
          <w:szCs w:val="24"/>
        </w:rPr>
        <w:t>), dalej jako „ustawa o ubezpieczeniach obowiązkowych”</w:t>
      </w:r>
      <w:r w:rsidR="0009666C" w:rsidRPr="007978D6">
        <w:rPr>
          <w:rFonts w:ascii="Times New Roman" w:hAnsi="Times New Roman" w:cs="Times New Roman"/>
          <w:color w:val="000000" w:themeColor="text1"/>
          <w:sz w:val="24"/>
          <w:szCs w:val="24"/>
        </w:rPr>
        <w:t>,</w:t>
      </w:r>
      <w:r w:rsidRPr="007978D6">
        <w:rPr>
          <w:rFonts w:ascii="Times New Roman" w:hAnsi="Times New Roman" w:cs="Times New Roman"/>
          <w:color w:val="000000" w:themeColor="text1"/>
          <w:sz w:val="24"/>
          <w:szCs w:val="24"/>
        </w:rPr>
        <w:t xml:space="preserve"> </w:t>
      </w:r>
    </w:p>
    <w:p w14:paraId="10B71E2F" w14:textId="0DEEB3C3" w:rsidR="00386820" w:rsidRPr="007978D6" w:rsidRDefault="00386820" w:rsidP="002A23C5">
      <w:pPr>
        <w:pStyle w:val="Akapitzlist"/>
        <w:numPr>
          <w:ilvl w:val="0"/>
          <w:numId w:val="3"/>
        </w:numPr>
        <w:spacing w:before="120" w:after="0"/>
        <w:ind w:left="426" w:hanging="426"/>
        <w:jc w:val="both"/>
        <w:rPr>
          <w:rFonts w:ascii="Times New Roman" w:hAnsi="Times New Roman" w:cs="Times New Roman"/>
          <w:color w:val="000000" w:themeColor="text1"/>
          <w:sz w:val="24"/>
          <w:szCs w:val="24"/>
        </w:rPr>
      </w:pPr>
      <w:r w:rsidRPr="007978D6">
        <w:rPr>
          <w:rFonts w:ascii="Times New Roman" w:hAnsi="Times New Roman" w:cs="Times New Roman"/>
          <w:color w:val="000000"/>
          <w:sz w:val="24"/>
          <w:szCs w:val="24"/>
        </w:rPr>
        <w:t xml:space="preserve">ustawy z </w:t>
      </w:r>
      <w:r w:rsidRPr="002A23C5">
        <w:rPr>
          <w:rFonts w:ascii="Times New Roman" w:hAnsi="Times New Roman" w:cs="Times New Roman"/>
          <w:color w:val="000000" w:themeColor="text1"/>
          <w:sz w:val="24"/>
          <w:szCs w:val="24"/>
        </w:rPr>
        <w:t>dnia</w:t>
      </w:r>
      <w:r w:rsidRPr="007978D6">
        <w:rPr>
          <w:rFonts w:ascii="Times New Roman" w:hAnsi="Times New Roman" w:cs="Times New Roman"/>
          <w:color w:val="000000"/>
          <w:sz w:val="24"/>
          <w:szCs w:val="24"/>
        </w:rPr>
        <w:t xml:space="preserve"> 11 września 2015 r. o działalności ubezpieczeniowej i reasekuracyjnej (Dz.</w:t>
      </w:r>
      <w:r w:rsidR="00AD0B0D">
        <w:rPr>
          <w:rFonts w:ascii="Times New Roman" w:hAnsi="Times New Roman" w:cs="Times New Roman"/>
          <w:color w:val="000000"/>
          <w:sz w:val="24"/>
          <w:szCs w:val="24"/>
        </w:rPr>
        <w:t> </w:t>
      </w:r>
      <w:r w:rsidRPr="007978D6">
        <w:rPr>
          <w:rFonts w:ascii="Times New Roman" w:hAnsi="Times New Roman" w:cs="Times New Roman"/>
          <w:color w:val="000000"/>
          <w:sz w:val="24"/>
          <w:szCs w:val="24"/>
        </w:rPr>
        <w:t>U. z 202</w:t>
      </w:r>
      <w:r w:rsidR="0009666C" w:rsidRPr="007978D6">
        <w:rPr>
          <w:rFonts w:ascii="Times New Roman" w:hAnsi="Times New Roman" w:cs="Times New Roman"/>
          <w:color w:val="000000"/>
          <w:sz w:val="24"/>
          <w:szCs w:val="24"/>
        </w:rPr>
        <w:t>4</w:t>
      </w:r>
      <w:r w:rsidRPr="007978D6">
        <w:rPr>
          <w:rFonts w:ascii="Times New Roman" w:hAnsi="Times New Roman" w:cs="Times New Roman"/>
          <w:color w:val="000000"/>
          <w:sz w:val="24"/>
          <w:szCs w:val="24"/>
        </w:rPr>
        <w:t xml:space="preserve"> r. poz. </w:t>
      </w:r>
      <w:r w:rsidR="0009666C" w:rsidRPr="007978D6">
        <w:rPr>
          <w:rFonts w:ascii="Times New Roman" w:hAnsi="Times New Roman" w:cs="Times New Roman"/>
          <w:color w:val="000000"/>
          <w:sz w:val="24"/>
          <w:szCs w:val="24"/>
        </w:rPr>
        <w:t>838</w:t>
      </w:r>
      <w:r w:rsidRPr="007978D6">
        <w:rPr>
          <w:rFonts w:ascii="Times New Roman" w:hAnsi="Times New Roman" w:cs="Times New Roman"/>
          <w:color w:val="000000"/>
          <w:sz w:val="24"/>
          <w:szCs w:val="24"/>
        </w:rPr>
        <w:t>), dalej jako „ustawa o działalności ubezpieczeniowej i</w:t>
      </w:r>
      <w:r w:rsidR="001B3B8B">
        <w:rPr>
          <w:rFonts w:ascii="Times New Roman" w:hAnsi="Times New Roman" w:cs="Times New Roman"/>
          <w:color w:val="000000"/>
          <w:sz w:val="24"/>
          <w:szCs w:val="24"/>
        </w:rPr>
        <w:t> </w:t>
      </w:r>
      <w:r w:rsidRPr="007978D6">
        <w:rPr>
          <w:rFonts w:ascii="Times New Roman" w:hAnsi="Times New Roman" w:cs="Times New Roman"/>
          <w:color w:val="000000"/>
          <w:sz w:val="24"/>
          <w:szCs w:val="24"/>
        </w:rPr>
        <w:t>reasekuracyjnej”</w:t>
      </w:r>
    </w:p>
    <w:p w14:paraId="5C0DB33C" w14:textId="6999DFD9"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dokonują transpozycji </w:t>
      </w:r>
      <w:r w:rsidRPr="007978D6">
        <w:rPr>
          <w:rFonts w:ascii="Times New Roman" w:hAnsi="Times New Roman" w:cs="Times New Roman"/>
          <w:color w:val="000000"/>
          <w:sz w:val="24"/>
          <w:szCs w:val="24"/>
        </w:rPr>
        <w:t>dyrektywy Parlamentu Europejskiego i Rady (UE) 2021/2118 z dnia 24</w:t>
      </w:r>
      <w:r w:rsidR="00AD0B0D">
        <w:rPr>
          <w:rFonts w:ascii="Times New Roman" w:hAnsi="Times New Roman" w:cs="Times New Roman"/>
          <w:color w:val="000000"/>
          <w:sz w:val="24"/>
          <w:szCs w:val="24"/>
        </w:rPr>
        <w:t> </w:t>
      </w:r>
      <w:r w:rsidRPr="007978D6">
        <w:rPr>
          <w:rFonts w:ascii="Times New Roman" w:hAnsi="Times New Roman" w:cs="Times New Roman"/>
          <w:color w:val="000000"/>
          <w:sz w:val="24"/>
          <w:szCs w:val="24"/>
        </w:rPr>
        <w:t>listopada 2021 r. zmieniającej dyrektywę 2009/103/WE w sprawie ubezpieczenia od odpowiedzialności cywilnej za szkody powstałe w związku z ruchem pojazdów mechanicznych i egzekwowania obowiązku ubezpieczania od takiej odpowiedzialności (Dz. U. UE L 430 z</w:t>
      </w:r>
      <w:r w:rsidR="001B3B8B">
        <w:rPr>
          <w:rFonts w:ascii="Times New Roman" w:hAnsi="Times New Roman" w:cs="Times New Roman"/>
          <w:color w:val="000000"/>
          <w:sz w:val="24"/>
          <w:szCs w:val="24"/>
        </w:rPr>
        <w:t> </w:t>
      </w:r>
      <w:r w:rsidRPr="007978D6">
        <w:rPr>
          <w:rFonts w:ascii="Times New Roman" w:hAnsi="Times New Roman" w:cs="Times New Roman"/>
          <w:color w:val="000000"/>
          <w:sz w:val="24"/>
          <w:szCs w:val="24"/>
        </w:rPr>
        <w:t>02.12 2021, str. 1</w:t>
      </w:r>
      <w:r w:rsidRPr="007978D6">
        <w:rPr>
          <w:rFonts w:ascii="Times New Roman" w:hAnsi="Times New Roman" w:cs="Times New Roman"/>
          <w:color w:val="000000" w:themeColor="text1"/>
          <w:sz w:val="24"/>
          <w:szCs w:val="24"/>
        </w:rPr>
        <w:t>, dalej</w:t>
      </w:r>
      <w:r w:rsidR="00016835" w:rsidRPr="007978D6">
        <w:rPr>
          <w:rFonts w:ascii="Times New Roman" w:hAnsi="Times New Roman" w:cs="Times New Roman"/>
          <w:color w:val="000000" w:themeColor="text1"/>
          <w:sz w:val="24"/>
          <w:szCs w:val="24"/>
        </w:rPr>
        <w:t xml:space="preserve"> jako</w:t>
      </w:r>
      <w:r w:rsidRPr="007978D6">
        <w:rPr>
          <w:rFonts w:ascii="Times New Roman" w:hAnsi="Times New Roman" w:cs="Times New Roman"/>
          <w:color w:val="000000" w:themeColor="text1"/>
          <w:sz w:val="24"/>
          <w:szCs w:val="24"/>
        </w:rPr>
        <w:t xml:space="preserve"> „dyrektywa”). </w:t>
      </w:r>
      <w:r w:rsidRPr="007978D6">
        <w:rPr>
          <w:rFonts w:ascii="Times New Roman" w:hAnsi="Times New Roman" w:cs="Times New Roman"/>
          <w:color w:val="000000"/>
          <w:sz w:val="24"/>
          <w:szCs w:val="24"/>
        </w:rPr>
        <w:t xml:space="preserve">W 2017 r. Komisja Europejska przeprowadziła ocenę funkcjonowania dyrektywy Parlamentu Europejskiego i Rady 2009/103/WE, w wyniku której wskazano cztery obszary, w odniesieniu do których należałoby wprowadzić ukierunkowane zmiany: </w:t>
      </w:r>
    </w:p>
    <w:p w14:paraId="14A1ED8D" w14:textId="4F2D65A4" w:rsidR="00386820" w:rsidRPr="007978D6" w:rsidRDefault="00BD1FF1" w:rsidP="002A23C5">
      <w:pPr>
        <w:spacing w:before="120" w:after="0"/>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386820" w:rsidRPr="007978D6">
        <w:rPr>
          <w:rFonts w:ascii="Times New Roman" w:hAnsi="Times New Roman" w:cs="Times New Roman"/>
          <w:color w:val="000000"/>
          <w:sz w:val="24"/>
          <w:szCs w:val="24"/>
        </w:rPr>
        <w:t xml:space="preserve">zapewnienie wypłaty odszkodowania poszkodowanym w wyniku wypadku w przypadku niewypłacalności zakładu ubezpieczeń, </w:t>
      </w:r>
    </w:p>
    <w:p w14:paraId="2322EB27" w14:textId="1BA12E4E" w:rsidR="00386820" w:rsidRPr="007978D6" w:rsidRDefault="00BD1FF1" w:rsidP="002A23C5">
      <w:pPr>
        <w:spacing w:before="120" w:after="0"/>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386820" w:rsidRPr="007978D6">
        <w:rPr>
          <w:rFonts w:ascii="Times New Roman" w:hAnsi="Times New Roman" w:cs="Times New Roman"/>
          <w:color w:val="000000"/>
          <w:sz w:val="24"/>
          <w:szCs w:val="24"/>
        </w:rPr>
        <w:t xml:space="preserve">ujednolicenie minimalnych obowiązkowych sum gwarancyjnych, </w:t>
      </w:r>
    </w:p>
    <w:p w14:paraId="0DA4021A" w14:textId="117A2521" w:rsidR="00386820" w:rsidRPr="007978D6" w:rsidRDefault="00BD1FF1" w:rsidP="002A23C5">
      <w:pPr>
        <w:spacing w:before="120" w:after="0"/>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386820" w:rsidRPr="007978D6">
        <w:rPr>
          <w:rFonts w:ascii="Times New Roman" w:hAnsi="Times New Roman" w:cs="Times New Roman"/>
          <w:color w:val="000000"/>
          <w:sz w:val="24"/>
          <w:szCs w:val="24"/>
        </w:rPr>
        <w:t>kontrola ubezpieczenia pojazdów przez państwa członkowskie oraz</w:t>
      </w:r>
    </w:p>
    <w:p w14:paraId="67F14522" w14:textId="15EF1EB6" w:rsidR="00386820" w:rsidRPr="002A23C5" w:rsidRDefault="00BD1FF1" w:rsidP="002A23C5">
      <w:pPr>
        <w:spacing w:before="120" w:after="0"/>
        <w:ind w:left="284" w:hanging="284"/>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386820" w:rsidRPr="007978D6">
        <w:rPr>
          <w:rFonts w:ascii="Times New Roman" w:hAnsi="Times New Roman" w:cs="Times New Roman"/>
          <w:color w:val="000000"/>
          <w:sz w:val="24"/>
          <w:szCs w:val="24"/>
        </w:rPr>
        <w:t>korzystanie przez nowy zakład ubezpieczeń z przedkładanych przez ubezpieczających zaświadczeń o przebiegu ubezpieczenia, szczególnie w kontekście transgranicznym.</w:t>
      </w:r>
      <w:r w:rsidR="00386820" w:rsidRPr="002A23C5">
        <w:rPr>
          <w:rFonts w:ascii="Times New Roman" w:hAnsi="Times New Roman" w:cs="Times New Roman"/>
          <w:sz w:val="24"/>
          <w:szCs w:val="24"/>
        </w:rPr>
        <w:t xml:space="preserve"> </w:t>
      </w:r>
    </w:p>
    <w:p w14:paraId="2DF61134" w14:textId="77777777" w:rsidR="00386820" w:rsidRPr="007978D6" w:rsidRDefault="00386820" w:rsidP="002A23C5">
      <w:pPr>
        <w:spacing w:before="120" w:after="0"/>
        <w:jc w:val="both"/>
        <w:rPr>
          <w:rFonts w:ascii="Times New Roman" w:hAnsi="Times New Roman" w:cs="Times New Roman"/>
          <w:color w:val="000000"/>
          <w:sz w:val="24"/>
          <w:szCs w:val="24"/>
        </w:rPr>
      </w:pPr>
      <w:r w:rsidRPr="007978D6">
        <w:rPr>
          <w:rFonts w:ascii="Times New Roman" w:hAnsi="Times New Roman" w:cs="Times New Roman"/>
          <w:color w:val="000000"/>
          <w:sz w:val="24"/>
          <w:szCs w:val="24"/>
        </w:rPr>
        <w:t xml:space="preserve">Oprócz tych czterech zagadnień dyrektywa wprowadza regulacje w zakresie: pojazdów wysyłanych z jednego państwa członkowskiego do drugiego, zdarzeń z udziałem przyczepy ciągniętej przez pojazd, niezależnego narzędzia porównywania cen ubezpieczeń </w:t>
      </w:r>
      <w:r w:rsidRPr="007978D6">
        <w:rPr>
          <w:rFonts w:ascii="Times New Roman" w:hAnsi="Times New Roman" w:cs="Times New Roman"/>
          <w:color w:val="000000"/>
          <w:sz w:val="24"/>
          <w:szCs w:val="24"/>
        </w:rPr>
        <w:lastRenderedPageBreak/>
        <w:t xml:space="preserve">komunikacyjnych oraz dostarczania centrom informacyjnym danych i informacji dla osób poszkodowanych. </w:t>
      </w:r>
    </w:p>
    <w:p w14:paraId="53FEC84A" w14:textId="0A2D8B49" w:rsidR="00386820" w:rsidRPr="007978D6" w:rsidRDefault="00386820" w:rsidP="002A23C5">
      <w:pPr>
        <w:tabs>
          <w:tab w:val="left" w:pos="426"/>
        </w:tabs>
        <w:spacing w:before="120" w:after="0"/>
        <w:jc w:val="both"/>
        <w:rPr>
          <w:rFonts w:ascii="Times New Roman" w:hAnsi="Times New Roman" w:cs="Times New Roman"/>
          <w:color w:val="000000"/>
          <w:sz w:val="24"/>
          <w:szCs w:val="24"/>
        </w:rPr>
      </w:pPr>
      <w:r w:rsidRPr="007978D6">
        <w:rPr>
          <w:rFonts w:ascii="Times New Roman" w:hAnsi="Times New Roman" w:cs="Times New Roman"/>
          <w:color w:val="000000"/>
          <w:sz w:val="24"/>
          <w:szCs w:val="24"/>
        </w:rPr>
        <w:t>2.</w:t>
      </w:r>
      <w:r w:rsidR="007C70EF">
        <w:rPr>
          <w:rFonts w:ascii="Times New Roman" w:hAnsi="Times New Roman" w:cs="Times New Roman"/>
          <w:color w:val="000000"/>
          <w:sz w:val="24"/>
          <w:szCs w:val="24"/>
        </w:rPr>
        <w:tab/>
      </w:r>
      <w:r w:rsidRPr="007978D6">
        <w:rPr>
          <w:rFonts w:ascii="Times New Roman" w:hAnsi="Times New Roman" w:cs="Times New Roman"/>
          <w:color w:val="000000"/>
          <w:sz w:val="24"/>
          <w:szCs w:val="24"/>
        </w:rPr>
        <w:t>Zobowiązania legislacyjne wynikające z orzeczenia prejudycjalnego TSUE w trybie art.</w:t>
      </w:r>
      <w:r w:rsidR="001B3B8B">
        <w:rPr>
          <w:rFonts w:ascii="Times New Roman" w:hAnsi="Times New Roman" w:cs="Times New Roman"/>
          <w:color w:val="000000"/>
          <w:sz w:val="24"/>
          <w:szCs w:val="24"/>
        </w:rPr>
        <w:t> </w:t>
      </w:r>
      <w:r w:rsidRPr="007978D6">
        <w:rPr>
          <w:rFonts w:ascii="Times New Roman" w:hAnsi="Times New Roman" w:cs="Times New Roman"/>
          <w:color w:val="000000"/>
          <w:sz w:val="24"/>
          <w:szCs w:val="24"/>
        </w:rPr>
        <w:t>267 TFUE w sprawie C-428/20 Skarb Państwa (ubezpieczenie OC za szkody powstałe w związku z ruchem pojazdów mechanicznych; minimalne sumy gwarancyjne; okresy przejściowe).</w:t>
      </w:r>
    </w:p>
    <w:p w14:paraId="705694E6" w14:textId="6A6FA4D5" w:rsidR="00386820" w:rsidRPr="007978D6" w:rsidRDefault="00386820" w:rsidP="002A23C5">
      <w:pPr>
        <w:spacing w:before="120" w:after="0"/>
        <w:jc w:val="both"/>
        <w:rPr>
          <w:rFonts w:ascii="Times New Roman" w:hAnsi="Times New Roman" w:cs="Times New Roman"/>
          <w:bCs/>
          <w:color w:val="000000"/>
          <w:sz w:val="24"/>
          <w:szCs w:val="24"/>
        </w:rPr>
      </w:pPr>
      <w:r w:rsidRPr="007978D6">
        <w:rPr>
          <w:rFonts w:ascii="Times New Roman" w:hAnsi="Times New Roman" w:cs="Times New Roman"/>
          <w:bCs/>
          <w:color w:val="000000"/>
          <w:sz w:val="24"/>
          <w:szCs w:val="24"/>
        </w:rPr>
        <w:t xml:space="preserve">Konieczność nowelizacji ustawy o ubezpieczeniach obowiązkowych zaistniała także w związku z wyrokiem Trybunału Sprawiedliwości Unii Europejskiej (TSUE) z 21.12.2021 r. w sprawie C-428/20. </w:t>
      </w:r>
      <w:r w:rsidRPr="007978D6">
        <w:rPr>
          <w:rFonts w:ascii="Times New Roman" w:hAnsi="Times New Roman" w:cs="Times New Roman"/>
          <w:color w:val="000000"/>
          <w:sz w:val="24"/>
          <w:szCs w:val="24"/>
        </w:rPr>
        <w:t xml:space="preserve">TSUE orzekł, że </w:t>
      </w:r>
      <w:r w:rsidRPr="007978D6">
        <w:rPr>
          <w:rFonts w:ascii="Times New Roman" w:hAnsi="Times New Roman" w:cs="Times New Roman"/>
          <w:i/>
          <w:color w:val="000000"/>
          <w:sz w:val="24"/>
          <w:szCs w:val="24"/>
        </w:rPr>
        <w:t>artykuł 1 ust. 2 drugiej dyrektywy 84/5/EWG Rady z dnia 30 grudnia 1983 r. w sprawie zbliżenia ustawodawstw państw członkowskich odnoszących się do ubezpieczenia w zakresie odpowiedzialności cywilnej za szkody powstałe w związku z ruchem pojazdów silnikowych [mechanicznych], zmienionej dyrektywą 2005/14/WE Parlamentu Europejskiego i Rady z dnia 11 maja 2005 r., i art. 9 ust. 1 dyrektywy Parlamentu Europejskiego i Rady 2009/103/WE z dnia 16 września 2009 r. w sprawie ubezpieczenia od odpowiedzialności cywilnej za szkody powstałe w związku z ruchem pojazdów mechanicznych i egzekwowania obowiązku ubezpieczania od takiej odpowiedzialności należy interpretować w ten sposób, że państwa członkowskie, które skorzystały z przewidzianej w tych przepisach możliwości ustanowienia okresu przejściowego, były zobowiązane wymagać, aby od dnia 11 grudnia 2009 r. minimalne sumy gwarancyjne przewidziane w umowach ubezpieczenia od odpowiedzialności cywilnej za szkody powstałe w związku z ruchem pojazdów mechanicznych zawartych przed tą datą, lecz obowiązujących jeszcze w tym dniu, były zgodne z zasadą ustanowioną w akapicie czwartym tych przepisów</w:t>
      </w:r>
      <w:r w:rsidRPr="007978D6">
        <w:rPr>
          <w:rFonts w:ascii="Times New Roman" w:hAnsi="Times New Roman" w:cs="Times New Roman"/>
          <w:color w:val="000000"/>
          <w:sz w:val="24"/>
          <w:szCs w:val="24"/>
        </w:rPr>
        <w:t xml:space="preserve">. </w:t>
      </w:r>
    </w:p>
    <w:p w14:paraId="449B2979" w14:textId="77777777" w:rsidR="00386820" w:rsidRPr="007978D6" w:rsidRDefault="00386820" w:rsidP="002A23C5">
      <w:pPr>
        <w:spacing w:before="120" w:after="0"/>
        <w:jc w:val="both"/>
        <w:rPr>
          <w:rFonts w:ascii="Times New Roman" w:hAnsi="Times New Roman" w:cs="Times New Roman"/>
          <w:color w:val="000000"/>
          <w:sz w:val="24"/>
          <w:szCs w:val="24"/>
        </w:rPr>
      </w:pPr>
      <w:r w:rsidRPr="007978D6">
        <w:rPr>
          <w:rFonts w:ascii="Times New Roman" w:hAnsi="Times New Roman" w:cs="Times New Roman"/>
          <w:color w:val="000000"/>
          <w:sz w:val="24"/>
          <w:szCs w:val="24"/>
        </w:rPr>
        <w:t>Krajowe regulacje, korzystające z okresu przejściowego, wprowadzone ustawą z dnia 24 maja 2007 r. o zmianie ustawy o ubezpieczeniach obowiązkowych, Ubezpieczeniowym Funduszu Gwarancyjnym i Polskim Biurze Ubezpieczycieli Komunikacyjnych oraz ustawy o działalności ubezpieczeniowej (Dz. U. poz. 691), przewidywały stopniowe podwyższanie sumy gwarancyjnej. Zgodnie z art. 5 tej ustawy, w przypadku umów ubezpieczenia OC posiadaczy pojazdów mechanicznych wysokość minimalnej sumy gwarancyjnej wynosiła równowartość w złotych:</w:t>
      </w:r>
    </w:p>
    <w:p w14:paraId="0F92F2C8" w14:textId="10451A3B" w:rsidR="00386820" w:rsidRPr="007978D6" w:rsidRDefault="00BD1FF1" w:rsidP="002A23C5">
      <w:pPr>
        <w:spacing w:before="120" w:after="0"/>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386820" w:rsidRPr="007978D6">
        <w:rPr>
          <w:rFonts w:ascii="Times New Roman" w:hAnsi="Times New Roman" w:cs="Times New Roman"/>
          <w:color w:val="000000"/>
          <w:sz w:val="24"/>
          <w:szCs w:val="24"/>
        </w:rPr>
        <w:t>w odniesieniu do umów zawieranych w okresie do dnia 10 grudnia 2009 r. w przypadku szkód na osobie – 1 500 000 euro w odniesieniu do jednego zdarzenia, którego skutki są objęte ubezpieczeniem bez względu na liczbę poszkodowanych,</w:t>
      </w:r>
    </w:p>
    <w:p w14:paraId="1378A4BF" w14:textId="460C1171" w:rsidR="00386820" w:rsidRPr="007978D6" w:rsidRDefault="00BD1FF1" w:rsidP="002A23C5">
      <w:pPr>
        <w:spacing w:before="120" w:after="0"/>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b/>
      </w:r>
      <w:r w:rsidR="00386820" w:rsidRPr="007978D6">
        <w:rPr>
          <w:rFonts w:ascii="Times New Roman" w:hAnsi="Times New Roman" w:cs="Times New Roman"/>
          <w:color w:val="000000"/>
          <w:sz w:val="24"/>
          <w:szCs w:val="24"/>
        </w:rPr>
        <w:t>w odniesieniu do umów zawieranych w okresie od dnia 11 grudnia 2009 r. do dnia 10 czerwca 2012 r. w przypadku szkód na osobie – 2 500 000 euro w odniesieniu do jednego zdarzenia, którego skutki są objęte ubezpieczeniem bez względu na liczbę poszkodowanych.</w:t>
      </w:r>
    </w:p>
    <w:p w14:paraId="1654EECF" w14:textId="77777777" w:rsidR="00386820" w:rsidRPr="007978D6" w:rsidRDefault="00386820" w:rsidP="002A23C5">
      <w:pPr>
        <w:spacing w:before="120" w:after="0"/>
        <w:jc w:val="both"/>
        <w:rPr>
          <w:rFonts w:ascii="Times New Roman" w:hAnsi="Times New Roman" w:cs="Times New Roman"/>
          <w:color w:val="000000"/>
          <w:sz w:val="24"/>
          <w:szCs w:val="24"/>
        </w:rPr>
      </w:pPr>
      <w:r w:rsidRPr="007978D6">
        <w:rPr>
          <w:rFonts w:ascii="Times New Roman" w:hAnsi="Times New Roman" w:cs="Times New Roman"/>
          <w:color w:val="000000"/>
          <w:sz w:val="24"/>
          <w:szCs w:val="24"/>
        </w:rPr>
        <w:t>Zgodnie z zapadłym wyrokiem państwo członkowskie, które ustanowiło okres przejściowy na dostosowanie minimalnych sum gwarancyjnych, miało obowiązek podnieść sumy gwarancyjne do co najmniej połowy kwot określonych w zmienionym artykule 1 ustęp 2 dyrektywy 84/5/EWG w ciągu 30 miesięcy od upływu terminu do wykonania dyrektywy w odniesieniu do wszystkich umów ubezpieczenia komunikacyjnego obowiązujących po upływie wskazanych 30 miesięcy, w tym także umów zawartych przed dniem 11 grudnia 2009 roku, ale obowiązujących nadal po tej dacie – w odniesieniu do zdarzeń szkodowych zaistniałych po dniu 11 grudnia 2009 r., tj. do kwot:</w:t>
      </w:r>
    </w:p>
    <w:p w14:paraId="535A303F" w14:textId="5805E4E1" w:rsidR="00386820" w:rsidRPr="007978D6" w:rsidRDefault="00BD1FF1" w:rsidP="002A23C5">
      <w:pPr>
        <w:spacing w:before="120" w:after="0"/>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386820" w:rsidRPr="007978D6">
        <w:rPr>
          <w:rFonts w:ascii="Times New Roman" w:hAnsi="Times New Roman" w:cs="Times New Roman"/>
          <w:color w:val="000000"/>
          <w:sz w:val="24"/>
          <w:szCs w:val="24"/>
        </w:rPr>
        <w:t>w przypadku szkód na osobie – równowartości 2 500 000 euro w odniesieniu do jednego zdarzenia, którego skutki są objęte ubezpieczeniem bez względu na liczbę poszkodowanych,</w:t>
      </w:r>
    </w:p>
    <w:p w14:paraId="45F9D1CE" w14:textId="752A7ADB" w:rsidR="00386820" w:rsidRPr="007978D6" w:rsidRDefault="00BD1FF1" w:rsidP="002A23C5">
      <w:pPr>
        <w:spacing w:before="120" w:after="0"/>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386820" w:rsidRPr="007978D6">
        <w:rPr>
          <w:rFonts w:ascii="Times New Roman" w:hAnsi="Times New Roman" w:cs="Times New Roman"/>
          <w:color w:val="000000"/>
          <w:sz w:val="24"/>
          <w:szCs w:val="24"/>
        </w:rPr>
        <w:t>w przypadku szkód na mieniu – równowartości 500 000 euro w odniesieniu do jednego zdarzenia, którego skutki są objęte ubezpieczeniem bez względu na liczbę poszkodowanych.</w:t>
      </w:r>
    </w:p>
    <w:p w14:paraId="1BF29B6A" w14:textId="77777777" w:rsidR="00386820" w:rsidRPr="007978D6" w:rsidRDefault="00386820" w:rsidP="002A23C5">
      <w:pPr>
        <w:spacing w:before="120" w:after="0"/>
        <w:jc w:val="both"/>
        <w:rPr>
          <w:rFonts w:ascii="Times New Roman" w:hAnsi="Times New Roman" w:cs="Times New Roman"/>
          <w:color w:val="000000"/>
          <w:sz w:val="24"/>
          <w:szCs w:val="24"/>
        </w:rPr>
      </w:pPr>
      <w:r w:rsidRPr="007978D6">
        <w:rPr>
          <w:rFonts w:ascii="Times New Roman" w:hAnsi="Times New Roman" w:cs="Times New Roman"/>
          <w:color w:val="000000"/>
          <w:sz w:val="24"/>
          <w:szCs w:val="24"/>
        </w:rPr>
        <w:t>Wyrok TSUE ma zastosowanie do umów ubezpieczenia OC posiadaczy pojazdów mechanicznych zawieranych przed dniem 11 grudnia 2009 r. i obowiązujących po tej dacie.</w:t>
      </w:r>
    </w:p>
    <w:p w14:paraId="4540E13D" w14:textId="79B80BB5" w:rsidR="00386820" w:rsidRPr="007978D6" w:rsidRDefault="00386820" w:rsidP="002A23C5">
      <w:pPr>
        <w:tabs>
          <w:tab w:val="left" w:pos="426"/>
        </w:tabs>
        <w:spacing w:before="120" w:after="0"/>
        <w:jc w:val="both"/>
        <w:rPr>
          <w:rFonts w:ascii="Times New Roman" w:hAnsi="Times New Roman" w:cs="Times New Roman"/>
          <w:b/>
          <w:bCs/>
          <w:color w:val="000000" w:themeColor="text1"/>
          <w:sz w:val="24"/>
          <w:szCs w:val="24"/>
        </w:rPr>
      </w:pPr>
      <w:r w:rsidRPr="007978D6">
        <w:rPr>
          <w:rFonts w:ascii="Times New Roman" w:hAnsi="Times New Roman" w:cs="Times New Roman"/>
          <w:b/>
          <w:bCs/>
          <w:color w:val="000000" w:themeColor="text1"/>
          <w:sz w:val="24"/>
          <w:szCs w:val="24"/>
        </w:rPr>
        <w:t>II.</w:t>
      </w:r>
      <w:r w:rsidR="00286AFE">
        <w:rPr>
          <w:rFonts w:ascii="Times New Roman" w:hAnsi="Times New Roman" w:cs="Times New Roman"/>
          <w:b/>
          <w:bCs/>
          <w:color w:val="000000" w:themeColor="text1"/>
          <w:sz w:val="24"/>
          <w:szCs w:val="24"/>
        </w:rPr>
        <w:tab/>
      </w:r>
      <w:r w:rsidRPr="007978D6">
        <w:rPr>
          <w:rFonts w:ascii="Times New Roman" w:hAnsi="Times New Roman" w:cs="Times New Roman"/>
          <w:b/>
          <w:bCs/>
          <w:color w:val="000000" w:themeColor="text1"/>
          <w:sz w:val="24"/>
          <w:szCs w:val="24"/>
        </w:rPr>
        <w:t>Zakres projektowanej regulacji</w:t>
      </w:r>
    </w:p>
    <w:p w14:paraId="650DAFAF" w14:textId="77777777" w:rsidR="00386820" w:rsidRPr="007978D6" w:rsidRDefault="00386820" w:rsidP="002A23C5">
      <w:pPr>
        <w:spacing w:before="120" w:after="0"/>
        <w:jc w:val="both"/>
        <w:rPr>
          <w:rFonts w:ascii="Times New Roman" w:hAnsi="Times New Roman" w:cs="Times New Roman"/>
          <w:bCs/>
          <w:color w:val="000000" w:themeColor="text1"/>
          <w:sz w:val="24"/>
          <w:szCs w:val="24"/>
        </w:rPr>
      </w:pPr>
      <w:r w:rsidRPr="007978D6">
        <w:rPr>
          <w:rFonts w:ascii="Times New Roman" w:hAnsi="Times New Roman" w:cs="Times New Roman"/>
          <w:color w:val="000000" w:themeColor="text1"/>
          <w:sz w:val="24"/>
          <w:szCs w:val="24"/>
        </w:rPr>
        <w:t xml:space="preserve">Projekt ustawy o </w:t>
      </w:r>
      <w:r w:rsidRPr="007978D6">
        <w:rPr>
          <w:rFonts w:ascii="Times New Roman" w:hAnsi="Times New Roman" w:cs="Times New Roman"/>
          <w:color w:val="000000"/>
          <w:sz w:val="24"/>
          <w:szCs w:val="24"/>
        </w:rPr>
        <w:t>zmianie ustawy o ubezpieczeniach obowiązkowych, Ubezpieczeniowym Funduszu Gwarancyjnym i Polskim Biurze Ubezpieczycieli Komunikacyjnych oraz ustawy o działalności ubezpieczeniowej i reasekuracyjnej</w:t>
      </w:r>
      <w:r w:rsidRPr="007978D6">
        <w:rPr>
          <w:rFonts w:ascii="Times New Roman" w:hAnsi="Times New Roman" w:cs="Times New Roman"/>
          <w:bCs/>
          <w:color w:val="000000" w:themeColor="text1"/>
          <w:sz w:val="24"/>
          <w:szCs w:val="24"/>
        </w:rPr>
        <w:t xml:space="preserve"> </w:t>
      </w:r>
      <w:r w:rsidRPr="007978D6">
        <w:rPr>
          <w:rFonts w:ascii="Times New Roman" w:hAnsi="Times New Roman" w:cs="Times New Roman"/>
          <w:color w:val="000000" w:themeColor="text1"/>
          <w:sz w:val="24"/>
          <w:szCs w:val="24"/>
        </w:rPr>
        <w:t>obejmuje takie zagadnienia, jak:</w:t>
      </w:r>
    </w:p>
    <w:p w14:paraId="5919B433" w14:textId="77777777" w:rsidR="00386820" w:rsidRPr="007978D6" w:rsidRDefault="00386820" w:rsidP="002A23C5">
      <w:pPr>
        <w:pStyle w:val="Akapitzlist"/>
        <w:numPr>
          <w:ilvl w:val="0"/>
          <w:numId w:val="2"/>
        </w:numPr>
        <w:spacing w:before="120" w:after="0"/>
        <w:ind w:left="426" w:hanging="426"/>
        <w:jc w:val="both"/>
        <w:rPr>
          <w:rFonts w:ascii="Times New Roman" w:hAnsi="Times New Roman" w:cs="Times New Roman"/>
          <w:color w:val="000000"/>
          <w:spacing w:val="-2"/>
          <w:sz w:val="24"/>
          <w:szCs w:val="24"/>
        </w:rPr>
      </w:pPr>
      <w:r w:rsidRPr="007978D6">
        <w:rPr>
          <w:rFonts w:ascii="Times New Roman" w:hAnsi="Times New Roman" w:cs="Times New Roman"/>
          <w:color w:val="000000"/>
          <w:spacing w:val="-2"/>
          <w:sz w:val="24"/>
          <w:szCs w:val="24"/>
        </w:rPr>
        <w:t>dostosowanie określeń użytych w ustawie do definicji „ruchu pojazdu” zawartej w ww. dyrektywie,</w:t>
      </w:r>
    </w:p>
    <w:p w14:paraId="4A22EA62" w14:textId="77777777" w:rsidR="00386820" w:rsidRPr="007978D6" w:rsidRDefault="00386820" w:rsidP="002A23C5">
      <w:pPr>
        <w:pStyle w:val="Akapitzlist"/>
        <w:numPr>
          <w:ilvl w:val="0"/>
          <w:numId w:val="2"/>
        </w:numPr>
        <w:spacing w:before="120" w:after="0"/>
        <w:ind w:left="426" w:hanging="426"/>
        <w:jc w:val="both"/>
        <w:rPr>
          <w:rFonts w:ascii="Times New Roman" w:hAnsi="Times New Roman" w:cs="Times New Roman"/>
          <w:color w:val="000000"/>
          <w:spacing w:val="-2"/>
          <w:sz w:val="24"/>
          <w:szCs w:val="24"/>
        </w:rPr>
      </w:pPr>
      <w:r w:rsidRPr="007978D6">
        <w:rPr>
          <w:rFonts w:ascii="Times New Roman" w:hAnsi="Times New Roman" w:cs="Times New Roman"/>
          <w:color w:val="000000"/>
          <w:spacing w:val="-2"/>
          <w:sz w:val="24"/>
          <w:szCs w:val="24"/>
        </w:rPr>
        <w:t>zapewnienie ochrony poszkodowanych lub uprawnionych do odszkodowania w razie niewypłacalności zakładu ubezpieczeń, w odniesieniu do szkód wynikających z wypadków drogowych w państwie członkowskim ich miejsca zamieszkania oraz w państwie członkowskim innym niż państwo członkowskie ich miejsca zamieszkania – obecnie istnieją już częściowe regulacje krajowe przyznające kompetencję Ubezpieczeniowemu Funduszowi Gwarancyjnemu (dalej jako „Fundusz” lub „UFG”) w zakresie upadłości zakładu,</w:t>
      </w:r>
    </w:p>
    <w:p w14:paraId="388693FC" w14:textId="77777777" w:rsidR="00386820" w:rsidRPr="007978D6" w:rsidRDefault="00386820" w:rsidP="002A23C5">
      <w:pPr>
        <w:pStyle w:val="Akapitzlist"/>
        <w:numPr>
          <w:ilvl w:val="0"/>
          <w:numId w:val="2"/>
        </w:numPr>
        <w:spacing w:before="120" w:after="0"/>
        <w:ind w:left="426" w:hanging="426"/>
        <w:jc w:val="both"/>
        <w:rPr>
          <w:rFonts w:ascii="Times New Roman" w:hAnsi="Times New Roman" w:cs="Times New Roman"/>
          <w:color w:val="000000"/>
          <w:spacing w:val="-2"/>
          <w:sz w:val="24"/>
          <w:szCs w:val="24"/>
        </w:rPr>
      </w:pPr>
      <w:r w:rsidRPr="007978D6">
        <w:rPr>
          <w:rFonts w:ascii="Times New Roman" w:hAnsi="Times New Roman" w:cs="Times New Roman"/>
          <w:color w:val="000000"/>
          <w:spacing w:val="-2"/>
          <w:sz w:val="24"/>
          <w:szCs w:val="24"/>
        </w:rPr>
        <w:t>dostosowanie wysokości minimalnych sum gwarancyjnych w obowiązkowym ubezpieczeniu OC posiadaczy pojazdów mechanicznych oraz OC rolników – dyrektywa określa minimalne wysokości sumy gwarancyjnej na poziomie:</w:t>
      </w:r>
    </w:p>
    <w:p w14:paraId="1DE7F0FB" w14:textId="6A4E68F8" w:rsidR="00386820" w:rsidRPr="007978D6" w:rsidRDefault="00BD1FF1" w:rsidP="002A23C5">
      <w:pPr>
        <w:pStyle w:val="Akapitzlist"/>
        <w:spacing w:before="120" w:after="0"/>
        <w:ind w:left="851" w:hanging="38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w:t>
      </w:r>
      <w:r>
        <w:rPr>
          <w:rFonts w:ascii="Times New Roman" w:hAnsi="Times New Roman" w:cs="Times New Roman"/>
          <w:color w:val="000000"/>
          <w:spacing w:val="-2"/>
          <w:sz w:val="24"/>
          <w:szCs w:val="24"/>
        </w:rPr>
        <w:tab/>
      </w:r>
      <w:r w:rsidR="00386820" w:rsidRPr="007978D6">
        <w:rPr>
          <w:rFonts w:ascii="Times New Roman" w:hAnsi="Times New Roman" w:cs="Times New Roman"/>
          <w:color w:val="000000"/>
          <w:spacing w:val="-2"/>
          <w:sz w:val="24"/>
          <w:szCs w:val="24"/>
        </w:rPr>
        <w:t>6 450 000 EUR w odniesieniu do jednego wypadku bez względu na liczbę osób poszkodowanych lub 1 300 000 EUR w odniesieniu do jednej osoby poszkodowanej – w przypadku szkód na osobie</w:t>
      </w:r>
      <w:r w:rsidR="0073271F">
        <w:rPr>
          <w:rFonts w:ascii="Times New Roman" w:hAnsi="Times New Roman" w:cs="Times New Roman"/>
          <w:color w:val="000000"/>
          <w:spacing w:val="-2"/>
          <w:sz w:val="24"/>
          <w:szCs w:val="24"/>
        </w:rPr>
        <w:t>,</w:t>
      </w:r>
    </w:p>
    <w:p w14:paraId="66149D21" w14:textId="5D1DF2BF" w:rsidR="00386820" w:rsidRPr="007978D6" w:rsidRDefault="00BD1FF1" w:rsidP="002A23C5">
      <w:pPr>
        <w:pStyle w:val="Akapitzlist"/>
        <w:spacing w:before="120" w:after="0"/>
        <w:ind w:left="851" w:hanging="38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ab/>
      </w:r>
      <w:r w:rsidR="00386820" w:rsidRPr="007978D6">
        <w:rPr>
          <w:rFonts w:ascii="Times New Roman" w:hAnsi="Times New Roman" w:cs="Times New Roman"/>
          <w:color w:val="000000"/>
          <w:spacing w:val="-2"/>
          <w:sz w:val="24"/>
          <w:szCs w:val="24"/>
        </w:rPr>
        <w:t>1 300 000 EUR w odniesieniu do jednego wypadku bez względu na liczbę osób poszkodowanych – w przypadku szkody majątkowej,</w:t>
      </w:r>
    </w:p>
    <w:p w14:paraId="3FDCF3EC" w14:textId="77777777" w:rsidR="00386820" w:rsidRPr="007978D6" w:rsidRDefault="00386820" w:rsidP="002A23C5">
      <w:pPr>
        <w:pStyle w:val="Akapitzlist"/>
        <w:numPr>
          <w:ilvl w:val="0"/>
          <w:numId w:val="2"/>
        </w:numPr>
        <w:spacing w:before="120" w:after="0"/>
        <w:ind w:left="426" w:hanging="426"/>
        <w:jc w:val="both"/>
        <w:rPr>
          <w:rFonts w:ascii="Times New Roman" w:hAnsi="Times New Roman" w:cs="Times New Roman"/>
          <w:color w:val="000000"/>
          <w:spacing w:val="-2"/>
          <w:sz w:val="24"/>
          <w:szCs w:val="24"/>
        </w:rPr>
      </w:pPr>
      <w:r w:rsidRPr="007978D6">
        <w:rPr>
          <w:rFonts w:ascii="Times New Roman" w:hAnsi="Times New Roman" w:cs="Times New Roman"/>
          <w:color w:val="000000"/>
          <w:spacing w:val="-2"/>
          <w:sz w:val="24"/>
          <w:szCs w:val="24"/>
        </w:rPr>
        <w:t>uregulowanie wydawania i wykorzystywania zaświadczeń o przebiegu ubezpieczenia,</w:t>
      </w:r>
    </w:p>
    <w:p w14:paraId="1A868505" w14:textId="77777777" w:rsidR="00386820" w:rsidRPr="007978D6" w:rsidRDefault="00386820" w:rsidP="002A23C5">
      <w:pPr>
        <w:pStyle w:val="Akapitzlist"/>
        <w:numPr>
          <w:ilvl w:val="0"/>
          <w:numId w:val="2"/>
        </w:numPr>
        <w:spacing w:before="120" w:after="0"/>
        <w:ind w:left="426" w:hanging="426"/>
        <w:jc w:val="both"/>
        <w:rPr>
          <w:rFonts w:ascii="Times New Roman" w:hAnsi="Times New Roman" w:cs="Times New Roman"/>
          <w:color w:val="000000"/>
          <w:spacing w:val="-2"/>
          <w:sz w:val="24"/>
          <w:szCs w:val="24"/>
        </w:rPr>
      </w:pPr>
      <w:r w:rsidRPr="007978D6">
        <w:rPr>
          <w:rFonts w:ascii="Times New Roman" w:hAnsi="Times New Roman" w:cs="Times New Roman"/>
          <w:color w:val="000000"/>
          <w:spacing w:val="-2"/>
          <w:sz w:val="24"/>
          <w:szCs w:val="24"/>
        </w:rPr>
        <w:t>określenie państwa członkowskiego Unii Europejskiej umiejscowienia ryzyka w przypadku pojazdów wysyłanych z jednego państwa członkowskiego do drugiego,</w:t>
      </w:r>
    </w:p>
    <w:p w14:paraId="35A9D3F4" w14:textId="77777777" w:rsidR="00386820" w:rsidRPr="002A23C5" w:rsidRDefault="00386820" w:rsidP="002A23C5">
      <w:pPr>
        <w:pStyle w:val="Akapitzlist"/>
        <w:numPr>
          <w:ilvl w:val="0"/>
          <w:numId w:val="2"/>
        </w:numPr>
        <w:spacing w:before="120" w:after="0"/>
        <w:ind w:left="426" w:hanging="426"/>
        <w:jc w:val="both"/>
        <w:rPr>
          <w:rFonts w:ascii="Times New Roman" w:hAnsi="Times New Roman" w:cs="Times New Roman"/>
          <w:color w:val="000000"/>
          <w:spacing w:val="-2"/>
          <w:szCs w:val="24"/>
        </w:rPr>
      </w:pPr>
      <w:r w:rsidRPr="002A23C5">
        <w:rPr>
          <w:rFonts w:ascii="Times New Roman" w:hAnsi="Times New Roman" w:cs="Times New Roman"/>
          <w:color w:val="000000"/>
          <w:spacing w:val="-2"/>
          <w:sz w:val="24"/>
          <w:szCs w:val="24"/>
        </w:rPr>
        <w:t>wprowadzenie regulacji w zakresie zdarzeń z udziałem przyczepy ciągniętej przez pojazd,</w:t>
      </w:r>
    </w:p>
    <w:p w14:paraId="4F3507E3" w14:textId="77777777" w:rsidR="00386820" w:rsidRPr="002A23C5" w:rsidRDefault="00386820" w:rsidP="002A23C5">
      <w:pPr>
        <w:pStyle w:val="Akapitzlist"/>
        <w:numPr>
          <w:ilvl w:val="0"/>
          <w:numId w:val="2"/>
        </w:numPr>
        <w:spacing w:before="120" w:after="0"/>
        <w:ind w:left="426" w:hanging="426"/>
        <w:jc w:val="both"/>
        <w:rPr>
          <w:rFonts w:ascii="Times New Roman" w:hAnsi="Times New Roman" w:cs="Times New Roman"/>
          <w:szCs w:val="24"/>
        </w:rPr>
      </w:pPr>
      <w:r w:rsidRPr="002A23C5">
        <w:rPr>
          <w:rFonts w:ascii="Times New Roman" w:hAnsi="Times New Roman" w:cs="Times New Roman"/>
          <w:color w:val="000000"/>
          <w:spacing w:val="-2"/>
          <w:sz w:val="24"/>
          <w:szCs w:val="24"/>
        </w:rPr>
        <w:t>zmiana przepisów w związku z wyrokiem TSUE w sprawie C-428/20 – wprowadzenie regulacji, która w przypadku wyczerpania sumy gwarancyjnej pozwoli na zaspokojenie roszczeń</w:t>
      </w:r>
      <w:r w:rsidRPr="002A23C5">
        <w:rPr>
          <w:rFonts w:ascii="Times New Roman" w:hAnsi="Times New Roman" w:cs="Times New Roman"/>
          <w:sz w:val="24"/>
          <w:szCs w:val="24"/>
        </w:rPr>
        <w:t xml:space="preserve"> poszkodowanych przez Fundusz w odniesieniu do zdarzeń szkodowych, mających miejsce w okresie od dnia 11 grudnia 2009 r. do dnia 10 czerwca 2012 r., do wysokości: </w:t>
      </w:r>
    </w:p>
    <w:p w14:paraId="407C7DE9" w14:textId="60F65E81" w:rsidR="00386820" w:rsidRPr="007978D6" w:rsidRDefault="00386820" w:rsidP="002A23C5">
      <w:pPr>
        <w:pStyle w:val="ZUSTzmustartykuempunktem"/>
        <w:spacing w:before="120"/>
        <w:ind w:left="851" w:hanging="425"/>
        <w:rPr>
          <w:rFonts w:ascii="Times New Roman" w:hAnsi="Times New Roman" w:cs="Times New Roman"/>
          <w:szCs w:val="24"/>
        </w:rPr>
      </w:pPr>
      <w:r w:rsidRPr="007978D6">
        <w:rPr>
          <w:rFonts w:ascii="Times New Roman" w:hAnsi="Times New Roman" w:cs="Times New Roman"/>
          <w:szCs w:val="24"/>
        </w:rPr>
        <w:t>1)</w:t>
      </w:r>
      <w:r w:rsidR="00BD1FF1">
        <w:rPr>
          <w:rFonts w:ascii="Times New Roman" w:hAnsi="Times New Roman" w:cs="Times New Roman"/>
          <w:szCs w:val="24"/>
        </w:rPr>
        <w:tab/>
      </w:r>
      <w:r w:rsidRPr="007978D6">
        <w:rPr>
          <w:rFonts w:ascii="Times New Roman" w:hAnsi="Times New Roman" w:cs="Times New Roman"/>
          <w:szCs w:val="24"/>
        </w:rPr>
        <w:t>w przypadku szkód na osobie – 2 500 000 euro w odniesieniu do jednego zdarzenia, którego skutki są objęte ubezpieczeniem bez względu na liczbę poszkodowanych,</w:t>
      </w:r>
    </w:p>
    <w:p w14:paraId="02F72372" w14:textId="669461E3" w:rsidR="00386820" w:rsidRPr="007978D6" w:rsidRDefault="00386820" w:rsidP="002A23C5">
      <w:pPr>
        <w:pStyle w:val="ZUSTzmustartykuempunktem"/>
        <w:spacing w:before="120"/>
        <w:ind w:left="851" w:hanging="425"/>
        <w:rPr>
          <w:rFonts w:ascii="Times New Roman" w:hAnsi="Times New Roman" w:cs="Times New Roman"/>
          <w:szCs w:val="24"/>
        </w:rPr>
      </w:pPr>
      <w:r w:rsidRPr="007978D6">
        <w:rPr>
          <w:rFonts w:ascii="Times New Roman" w:hAnsi="Times New Roman" w:cs="Times New Roman"/>
          <w:szCs w:val="24"/>
        </w:rPr>
        <w:t>2)</w:t>
      </w:r>
      <w:r w:rsidR="007C70EF">
        <w:rPr>
          <w:rFonts w:ascii="Times New Roman" w:hAnsi="Times New Roman" w:cs="Times New Roman"/>
          <w:szCs w:val="24"/>
        </w:rPr>
        <w:tab/>
      </w:r>
      <w:r w:rsidRPr="007978D6">
        <w:rPr>
          <w:rFonts w:ascii="Times New Roman" w:hAnsi="Times New Roman" w:cs="Times New Roman"/>
          <w:szCs w:val="24"/>
        </w:rPr>
        <w:t>w przypadku szkód w mieniu – 500 000 euro w odniesieniu do jednego zdarzenia, którego skutki są objęte ubezpieczeniem bez względu na liczbę poszkodowanych</w:t>
      </w:r>
    </w:p>
    <w:p w14:paraId="5E17910C" w14:textId="657C384D" w:rsidR="00386820" w:rsidRPr="007978D6" w:rsidRDefault="007C70EF" w:rsidP="002A23C5">
      <w:pPr>
        <w:ind w:left="426"/>
        <w:jc w:val="both"/>
        <w:rPr>
          <w:rFonts w:ascii="Times New Roman" w:hAnsi="Times New Roman" w:cs="Times New Roman"/>
          <w:color w:val="000000"/>
          <w:spacing w:val="-2"/>
          <w:sz w:val="24"/>
          <w:szCs w:val="24"/>
        </w:rPr>
      </w:pPr>
      <w:r>
        <w:rPr>
          <w:rFonts w:ascii="Times New Roman" w:hAnsi="Times New Roman" w:cs="Times New Roman"/>
          <w:sz w:val="24"/>
          <w:szCs w:val="24"/>
        </w:rPr>
        <w:t>–</w:t>
      </w:r>
      <w:r w:rsidR="00286AFE">
        <w:rPr>
          <w:rFonts w:ascii="Times New Roman" w:hAnsi="Times New Roman" w:cs="Times New Roman"/>
          <w:sz w:val="24"/>
          <w:szCs w:val="24"/>
        </w:rPr>
        <w:t xml:space="preserve"> </w:t>
      </w:r>
      <w:r w:rsidR="00386820" w:rsidRPr="007978D6">
        <w:rPr>
          <w:rFonts w:ascii="Times New Roman" w:hAnsi="Times New Roman" w:cs="Times New Roman"/>
          <w:sz w:val="24"/>
          <w:szCs w:val="24"/>
        </w:rPr>
        <w:t>ustalanej przy zastosowaniu kursu średniego ogłaszanego przez Narodowy Bank Polski obowiązującego w dniu wyrządzenia szkody</w:t>
      </w:r>
      <w:r w:rsidR="00386820" w:rsidRPr="007978D6">
        <w:rPr>
          <w:rFonts w:ascii="Times New Roman" w:hAnsi="Times New Roman" w:cs="Times New Roman"/>
          <w:color w:val="000000"/>
          <w:spacing w:val="-2"/>
          <w:sz w:val="24"/>
          <w:szCs w:val="24"/>
        </w:rPr>
        <w:t>,</w:t>
      </w:r>
    </w:p>
    <w:p w14:paraId="737C62C6" w14:textId="6F426973" w:rsidR="00F6787A" w:rsidRPr="007978D6" w:rsidRDefault="00F6787A" w:rsidP="002A23C5">
      <w:pPr>
        <w:pStyle w:val="Akapitzlist"/>
        <w:numPr>
          <w:ilvl w:val="0"/>
          <w:numId w:val="2"/>
        </w:numPr>
        <w:spacing w:before="120" w:after="0"/>
        <w:ind w:left="426" w:hanging="426"/>
        <w:jc w:val="both"/>
        <w:rPr>
          <w:rFonts w:ascii="Times New Roman" w:hAnsi="Times New Roman" w:cs="Times New Roman"/>
          <w:color w:val="000000"/>
          <w:spacing w:val="-2"/>
          <w:sz w:val="24"/>
          <w:szCs w:val="24"/>
        </w:rPr>
      </w:pPr>
      <w:r w:rsidRPr="007978D6">
        <w:rPr>
          <w:rFonts w:ascii="Times New Roman" w:hAnsi="Times New Roman" w:cs="Times New Roman"/>
          <w:color w:val="000000"/>
          <w:spacing w:val="-2"/>
          <w:sz w:val="24"/>
          <w:szCs w:val="24"/>
        </w:rPr>
        <w:t>przepi</w:t>
      </w:r>
      <w:r w:rsidR="002B027D" w:rsidRPr="007978D6">
        <w:rPr>
          <w:rFonts w:ascii="Times New Roman" w:hAnsi="Times New Roman" w:cs="Times New Roman"/>
          <w:color w:val="000000"/>
          <w:spacing w:val="-2"/>
          <w:sz w:val="24"/>
          <w:szCs w:val="24"/>
        </w:rPr>
        <w:t>sy</w:t>
      </w:r>
      <w:r w:rsidRPr="007978D6">
        <w:rPr>
          <w:rFonts w:ascii="Times New Roman" w:hAnsi="Times New Roman" w:cs="Times New Roman"/>
          <w:color w:val="000000"/>
          <w:spacing w:val="-2"/>
          <w:sz w:val="24"/>
          <w:szCs w:val="24"/>
        </w:rPr>
        <w:t xml:space="preserve"> epizodyczn</w:t>
      </w:r>
      <w:r w:rsidR="002B027D" w:rsidRPr="007978D6">
        <w:rPr>
          <w:rFonts w:ascii="Times New Roman" w:hAnsi="Times New Roman" w:cs="Times New Roman"/>
          <w:color w:val="000000"/>
          <w:spacing w:val="-2"/>
          <w:sz w:val="24"/>
          <w:szCs w:val="24"/>
        </w:rPr>
        <w:t>e, przejściowe i końcowe</w:t>
      </w:r>
      <w:r w:rsidRPr="007978D6">
        <w:rPr>
          <w:rFonts w:ascii="Times New Roman" w:hAnsi="Times New Roman" w:cs="Times New Roman"/>
          <w:color w:val="000000"/>
          <w:spacing w:val="-2"/>
          <w:sz w:val="24"/>
          <w:szCs w:val="24"/>
        </w:rPr>
        <w:t>,</w:t>
      </w:r>
    </w:p>
    <w:p w14:paraId="492461E3" w14:textId="21F05CD9" w:rsidR="00386820" w:rsidRPr="007978D6" w:rsidRDefault="00386820" w:rsidP="002A23C5">
      <w:pPr>
        <w:pStyle w:val="Akapitzlist"/>
        <w:numPr>
          <w:ilvl w:val="0"/>
          <w:numId w:val="2"/>
        </w:numPr>
        <w:spacing w:before="120" w:after="0"/>
        <w:ind w:left="426" w:hanging="426"/>
        <w:jc w:val="both"/>
        <w:rPr>
          <w:rFonts w:ascii="Times New Roman" w:hAnsi="Times New Roman" w:cs="Times New Roman"/>
          <w:color w:val="000000" w:themeColor="text1"/>
          <w:sz w:val="24"/>
          <w:szCs w:val="24"/>
        </w:rPr>
      </w:pPr>
      <w:r w:rsidRPr="002A23C5">
        <w:rPr>
          <w:rFonts w:ascii="Times New Roman" w:hAnsi="Times New Roman" w:cs="Times New Roman"/>
          <w:color w:val="000000"/>
          <w:spacing w:val="-2"/>
          <w:sz w:val="24"/>
          <w:szCs w:val="24"/>
        </w:rPr>
        <w:t>przepis</w:t>
      </w:r>
      <w:r w:rsidRPr="007978D6">
        <w:rPr>
          <w:rFonts w:ascii="Times New Roman" w:hAnsi="Times New Roman" w:cs="Times New Roman"/>
          <w:color w:val="000000" w:themeColor="text1"/>
          <w:sz w:val="24"/>
          <w:szCs w:val="24"/>
        </w:rPr>
        <w:t>y o wejściu w życie ustawy.</w:t>
      </w:r>
    </w:p>
    <w:p w14:paraId="13CC1ADB" w14:textId="6988BEF5" w:rsidR="00386820" w:rsidRPr="007978D6" w:rsidRDefault="00386820" w:rsidP="002A23C5">
      <w:pPr>
        <w:tabs>
          <w:tab w:val="left" w:pos="426"/>
        </w:tabs>
        <w:spacing w:before="120" w:after="0"/>
        <w:jc w:val="both"/>
        <w:rPr>
          <w:rFonts w:ascii="Times New Roman" w:hAnsi="Times New Roman" w:cs="Times New Roman"/>
          <w:b/>
          <w:bCs/>
          <w:color w:val="000000" w:themeColor="text1"/>
          <w:sz w:val="24"/>
          <w:szCs w:val="24"/>
        </w:rPr>
      </w:pPr>
      <w:r w:rsidRPr="007978D6">
        <w:rPr>
          <w:rFonts w:ascii="Times New Roman" w:hAnsi="Times New Roman" w:cs="Times New Roman"/>
          <w:b/>
          <w:bCs/>
          <w:color w:val="000000" w:themeColor="text1"/>
          <w:sz w:val="24"/>
          <w:szCs w:val="24"/>
        </w:rPr>
        <w:t>III.</w:t>
      </w:r>
      <w:r w:rsidR="00286AFE">
        <w:rPr>
          <w:rFonts w:ascii="Times New Roman" w:hAnsi="Times New Roman" w:cs="Times New Roman"/>
          <w:b/>
          <w:bCs/>
          <w:color w:val="000000" w:themeColor="text1"/>
          <w:sz w:val="24"/>
          <w:szCs w:val="24"/>
        </w:rPr>
        <w:tab/>
      </w:r>
      <w:r w:rsidRPr="007978D6">
        <w:rPr>
          <w:rFonts w:ascii="Times New Roman" w:hAnsi="Times New Roman" w:cs="Times New Roman"/>
          <w:b/>
          <w:bCs/>
          <w:color w:val="000000" w:themeColor="text1"/>
          <w:sz w:val="24"/>
          <w:szCs w:val="24"/>
        </w:rPr>
        <w:t>Opis proponowanych rozwiązań</w:t>
      </w:r>
    </w:p>
    <w:p w14:paraId="728287DD" w14:textId="0AC58350" w:rsidR="00F842A9" w:rsidRPr="007978D6" w:rsidRDefault="00F842A9" w:rsidP="002A23C5">
      <w:pPr>
        <w:tabs>
          <w:tab w:val="left" w:pos="426"/>
        </w:tabs>
        <w:autoSpaceDE w:val="0"/>
        <w:autoSpaceDN w:val="0"/>
        <w:adjustRightInd w:val="0"/>
        <w:spacing w:before="120" w:after="0"/>
        <w:jc w:val="both"/>
        <w:rPr>
          <w:rFonts w:ascii="Times New Roman" w:hAnsi="Times New Roman" w:cs="Times New Roman"/>
          <w:b/>
          <w:bCs/>
          <w:color w:val="000000" w:themeColor="text1"/>
          <w:sz w:val="24"/>
          <w:szCs w:val="24"/>
        </w:rPr>
      </w:pPr>
      <w:bookmarkStart w:id="0" w:name="_Hlk162519377"/>
      <w:r w:rsidRPr="007978D6">
        <w:rPr>
          <w:rFonts w:ascii="Times New Roman" w:hAnsi="Times New Roman" w:cs="Times New Roman"/>
          <w:b/>
          <w:bCs/>
          <w:color w:val="000000" w:themeColor="text1"/>
          <w:sz w:val="24"/>
          <w:szCs w:val="24"/>
        </w:rPr>
        <w:t>1.</w:t>
      </w:r>
      <w:r w:rsidR="00DC17B2" w:rsidRPr="007978D6">
        <w:rPr>
          <w:rFonts w:ascii="Times New Roman" w:hAnsi="Times New Roman" w:cs="Times New Roman"/>
          <w:b/>
          <w:bCs/>
          <w:color w:val="000000" w:themeColor="text1"/>
          <w:sz w:val="24"/>
          <w:szCs w:val="24"/>
        </w:rPr>
        <w:tab/>
      </w:r>
      <w:r w:rsidRPr="007978D6">
        <w:rPr>
          <w:rFonts w:ascii="Times New Roman" w:hAnsi="Times New Roman" w:cs="Times New Roman"/>
          <w:b/>
          <w:bCs/>
          <w:color w:val="000000" w:themeColor="text1"/>
          <w:sz w:val="24"/>
          <w:szCs w:val="24"/>
        </w:rPr>
        <w:t>Zaktualizowanie odnośnika nr 1 do tytułu ustawy</w:t>
      </w:r>
    </w:p>
    <w:p w14:paraId="14A30E4B" w14:textId="4F888F2E" w:rsidR="00F842A9" w:rsidRPr="007978D6" w:rsidRDefault="00F842A9" w:rsidP="002A23C5">
      <w:pPr>
        <w:autoSpaceDE w:val="0"/>
        <w:autoSpaceDN w:val="0"/>
        <w:adjustRightInd w:val="0"/>
        <w:spacing w:before="120" w:after="0"/>
        <w:jc w:val="both"/>
        <w:rPr>
          <w:rFonts w:ascii="Times New Roman" w:hAnsi="Times New Roman" w:cs="Times New Roman"/>
          <w:sz w:val="24"/>
          <w:szCs w:val="24"/>
        </w:rPr>
      </w:pPr>
      <w:r w:rsidRPr="007978D6">
        <w:rPr>
          <w:rFonts w:ascii="Times New Roman" w:hAnsi="Times New Roman" w:cs="Times New Roman"/>
          <w:sz w:val="24"/>
          <w:szCs w:val="24"/>
        </w:rPr>
        <w:t xml:space="preserve">Obowiązująca ustawa o ubezpieczeniach obowiązkowych nie wskazuje obecnie w odnośniku nr 1 do jej tytułu na wdrożenie w niej tzw. dyrektywy-matki, tj. zmienianej ww. dyrektywą </w:t>
      </w:r>
      <w:r w:rsidRPr="007978D6">
        <w:rPr>
          <w:rFonts w:ascii="Times New Roman" w:hAnsi="Times New Roman" w:cs="Times New Roman"/>
          <w:i/>
          <w:iCs/>
          <w:sz w:val="24"/>
          <w:szCs w:val="24"/>
        </w:rPr>
        <w:t>dyrektywy</w:t>
      </w:r>
      <w:r w:rsidRPr="007978D6">
        <w:rPr>
          <w:rFonts w:ascii="Times New Roman" w:hAnsi="Times New Roman" w:cs="Times New Roman"/>
          <w:sz w:val="24"/>
          <w:szCs w:val="24"/>
        </w:rPr>
        <w:t xml:space="preserve"> </w:t>
      </w:r>
      <w:r w:rsidRPr="007978D6">
        <w:rPr>
          <w:rFonts w:ascii="Times New Roman" w:hAnsi="Times New Roman" w:cs="Times New Roman"/>
          <w:i/>
          <w:iCs/>
          <w:sz w:val="24"/>
          <w:szCs w:val="24"/>
        </w:rPr>
        <w:t>Parlamentu Europejskiego i Rady 2009/103/WE z dnia 16 września 2009 r. w sprawie</w:t>
      </w:r>
      <w:r w:rsidRPr="007978D6">
        <w:rPr>
          <w:rFonts w:ascii="Times New Roman" w:hAnsi="Times New Roman" w:cs="Times New Roman"/>
          <w:sz w:val="24"/>
          <w:szCs w:val="24"/>
        </w:rPr>
        <w:t xml:space="preserve"> </w:t>
      </w:r>
      <w:r w:rsidRPr="007978D6">
        <w:rPr>
          <w:rFonts w:ascii="Times New Roman" w:hAnsi="Times New Roman" w:cs="Times New Roman"/>
          <w:i/>
          <w:iCs/>
          <w:sz w:val="24"/>
          <w:szCs w:val="24"/>
        </w:rPr>
        <w:t>ubezpieczenia od odpowiedzialności cywilnej za szkody powstałe w związku z ruchem</w:t>
      </w:r>
      <w:r w:rsidRPr="007978D6">
        <w:rPr>
          <w:rFonts w:ascii="Times New Roman" w:hAnsi="Times New Roman" w:cs="Times New Roman"/>
          <w:sz w:val="24"/>
          <w:szCs w:val="24"/>
        </w:rPr>
        <w:t xml:space="preserve"> </w:t>
      </w:r>
      <w:r w:rsidRPr="007978D6">
        <w:rPr>
          <w:rFonts w:ascii="Times New Roman" w:hAnsi="Times New Roman" w:cs="Times New Roman"/>
          <w:i/>
          <w:iCs/>
          <w:sz w:val="24"/>
          <w:szCs w:val="24"/>
        </w:rPr>
        <w:t>pojazdów mechanicznych i egzekwowania obowiązku ubezpieczania od takiej</w:t>
      </w:r>
      <w:r w:rsidRPr="007978D6">
        <w:rPr>
          <w:rFonts w:ascii="Times New Roman" w:hAnsi="Times New Roman" w:cs="Times New Roman"/>
          <w:sz w:val="24"/>
          <w:szCs w:val="24"/>
        </w:rPr>
        <w:t xml:space="preserve"> </w:t>
      </w:r>
      <w:r w:rsidRPr="007978D6">
        <w:rPr>
          <w:rFonts w:ascii="Times New Roman" w:hAnsi="Times New Roman" w:cs="Times New Roman"/>
          <w:i/>
          <w:iCs/>
          <w:sz w:val="24"/>
          <w:szCs w:val="24"/>
        </w:rPr>
        <w:t>odpowiedzialności</w:t>
      </w:r>
      <w:r w:rsidRPr="007978D6">
        <w:rPr>
          <w:rFonts w:ascii="Times New Roman" w:hAnsi="Times New Roman" w:cs="Times New Roman"/>
          <w:sz w:val="24"/>
          <w:szCs w:val="24"/>
        </w:rPr>
        <w:t>. W związku z tym proponuje się stosowne zaktualizowanie odnośnika nr 1 do tytułu ustawy o ubezpieczeniach obowiązkowych (wskazującego obecnie na wdrożenie uchylonych już dyrektyw 92/49/EWG oraz 2000/26/WE).</w:t>
      </w:r>
    </w:p>
    <w:p w14:paraId="60CA17C5" w14:textId="19D30F84" w:rsidR="00386820" w:rsidRPr="007978D6" w:rsidRDefault="00F842A9" w:rsidP="002A23C5">
      <w:pPr>
        <w:tabs>
          <w:tab w:val="left" w:pos="426"/>
        </w:tabs>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b/>
          <w:bCs/>
          <w:color w:val="000000" w:themeColor="text1"/>
          <w:sz w:val="24"/>
          <w:szCs w:val="24"/>
        </w:rPr>
        <w:lastRenderedPageBreak/>
        <w:t>2.</w:t>
      </w:r>
      <w:r w:rsidR="00C5376F" w:rsidRPr="007978D6">
        <w:rPr>
          <w:rFonts w:ascii="Times New Roman" w:hAnsi="Times New Roman" w:cs="Times New Roman"/>
          <w:b/>
          <w:bCs/>
          <w:color w:val="000000" w:themeColor="text1"/>
          <w:sz w:val="24"/>
          <w:szCs w:val="24"/>
        </w:rPr>
        <w:tab/>
        <w:t>Definicja „ruchu pojazdu”</w:t>
      </w:r>
      <w:bookmarkEnd w:id="0"/>
      <w:r w:rsidR="00D84672" w:rsidRPr="007978D6">
        <w:rPr>
          <w:rFonts w:ascii="Times New Roman" w:hAnsi="Times New Roman" w:cs="Times New Roman"/>
          <w:b/>
          <w:bCs/>
          <w:color w:val="000000" w:themeColor="text1"/>
          <w:sz w:val="24"/>
          <w:szCs w:val="24"/>
        </w:rPr>
        <w:t xml:space="preserve"> </w:t>
      </w:r>
      <w:r w:rsidR="00386820" w:rsidRPr="007978D6">
        <w:rPr>
          <w:rFonts w:ascii="Times New Roman" w:hAnsi="Times New Roman" w:cs="Times New Roman"/>
          <w:color w:val="000000" w:themeColor="text1"/>
          <w:sz w:val="24"/>
          <w:szCs w:val="24"/>
        </w:rPr>
        <w:t xml:space="preserve">W wydanych w ostatnim czasie rozstrzygnięciach Trybunału Sprawiedliwości Unii Europejskiej, (sprawy: </w:t>
      </w:r>
      <w:proofErr w:type="spellStart"/>
      <w:r w:rsidR="00386820" w:rsidRPr="007978D6">
        <w:rPr>
          <w:rFonts w:ascii="Times New Roman" w:hAnsi="Times New Roman" w:cs="Times New Roman"/>
          <w:i/>
          <w:color w:val="000000" w:themeColor="text1"/>
          <w:sz w:val="24"/>
          <w:szCs w:val="24"/>
        </w:rPr>
        <w:t>Vnuk</w:t>
      </w:r>
      <w:proofErr w:type="spellEnd"/>
      <w:r w:rsidR="00386820" w:rsidRPr="007978D6">
        <w:rPr>
          <w:rFonts w:ascii="Times New Roman" w:hAnsi="Times New Roman" w:cs="Times New Roman"/>
          <w:color w:val="000000" w:themeColor="text1"/>
          <w:sz w:val="24"/>
          <w:szCs w:val="24"/>
        </w:rPr>
        <w:t xml:space="preserve">, </w:t>
      </w:r>
      <w:proofErr w:type="spellStart"/>
      <w:r w:rsidR="00386820" w:rsidRPr="007978D6">
        <w:rPr>
          <w:rFonts w:ascii="Times New Roman" w:hAnsi="Times New Roman" w:cs="Times New Roman"/>
          <w:i/>
          <w:color w:val="000000" w:themeColor="text1"/>
          <w:sz w:val="24"/>
          <w:szCs w:val="24"/>
        </w:rPr>
        <w:t>Rodrigues</w:t>
      </w:r>
      <w:proofErr w:type="spellEnd"/>
      <w:r w:rsidR="00386820" w:rsidRPr="007978D6">
        <w:rPr>
          <w:rFonts w:ascii="Times New Roman" w:hAnsi="Times New Roman" w:cs="Times New Roman"/>
          <w:i/>
          <w:color w:val="000000" w:themeColor="text1"/>
          <w:sz w:val="24"/>
          <w:szCs w:val="24"/>
        </w:rPr>
        <w:t xml:space="preserve"> de </w:t>
      </w:r>
      <w:proofErr w:type="spellStart"/>
      <w:r w:rsidR="00386820" w:rsidRPr="007978D6">
        <w:rPr>
          <w:rFonts w:ascii="Times New Roman" w:hAnsi="Times New Roman" w:cs="Times New Roman"/>
          <w:i/>
          <w:color w:val="000000" w:themeColor="text1"/>
          <w:sz w:val="24"/>
          <w:szCs w:val="24"/>
        </w:rPr>
        <w:t>Andrade</w:t>
      </w:r>
      <w:proofErr w:type="spellEnd"/>
      <w:r w:rsidR="00386820" w:rsidRPr="007978D6">
        <w:rPr>
          <w:rFonts w:ascii="Times New Roman" w:hAnsi="Times New Roman" w:cs="Times New Roman"/>
          <w:color w:val="000000" w:themeColor="text1"/>
          <w:sz w:val="24"/>
          <w:szCs w:val="24"/>
        </w:rPr>
        <w:t xml:space="preserve"> i </w:t>
      </w:r>
      <w:proofErr w:type="spellStart"/>
      <w:r w:rsidR="00386820" w:rsidRPr="007978D6">
        <w:rPr>
          <w:rFonts w:ascii="Times New Roman" w:hAnsi="Times New Roman" w:cs="Times New Roman"/>
          <w:i/>
          <w:color w:val="000000" w:themeColor="text1"/>
          <w:sz w:val="24"/>
          <w:szCs w:val="24"/>
        </w:rPr>
        <w:t>Torreiro</w:t>
      </w:r>
      <w:proofErr w:type="spellEnd"/>
      <w:r w:rsidR="00386820" w:rsidRPr="007978D6">
        <w:rPr>
          <w:rFonts w:ascii="Times New Roman" w:hAnsi="Times New Roman" w:cs="Times New Roman"/>
          <w:color w:val="000000" w:themeColor="text1"/>
          <w:sz w:val="24"/>
          <w:szCs w:val="24"/>
        </w:rPr>
        <w:t>), Trybunał Sprawiedliwości doprecyzował znaczenie pojęcia „ruch pojazdów”. W szczególności Trybunał Sprawiedliwości wyjaśnił, że pojazdy mechaniczne mają z zasady służyć jako środki transportu, niezależnie od swych cech, oraz że ruch takich pojazdów obejmuje każde użytkowanie pojazdu, które jest zgodne z normalną funkcją tego pojazdu w charakterze środka transportu, niezależnie od terenu, na którym pojazd mechaniczny jest używany, oraz niezależnie od tego, czy pojazd jest nieruchomy, czy też znajduje się w ruchu. Dyrektywa 2009/103/WE nie ma zastosowania, jeżeli w czasie wypadku normalną funkcją takiego pojazdu jest „użytkowanie inne niż jako środek transportu”. Może tak być w przypadku, gdy normalną funkcją pojazdu jest przykładowo „użytkowanie jako przemysłowe lub rolnicze źródło energii”. Wprowadzenie definicji „ruchu pojazdu” uwzględnia to orzecznictwo w dyrektywie 2009/103/WE, i odpowiednio także na poziomie krajowym.</w:t>
      </w:r>
    </w:p>
    <w:p w14:paraId="38E3CCD3" w14:textId="334FC47C" w:rsidR="00F6787A"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Na gruncie obecnych regulacji krajowych, nie ma definicji ruchu pojazdu. Dotychczasowe orzecznictwo w tym temacie przyjmuje szerszy zakres niż wynikający z dyrektywy. Niemniej jednak pojęcie to pojawia się w treści ustawy o ubezpieczeniach obowiązkowych (np. w art. 34 ust. 1). Mając na uwadze powyższe oraz konieczność zapewniania jednolitego stosowania przepisów i zapewnienia spójnej wykładni przepisów implementujących dyrektywę proponuje się ustawową regulację pojęcia „ruchu pojazdu”</w:t>
      </w:r>
      <w:r w:rsidR="00F6787A" w:rsidRPr="007978D6">
        <w:rPr>
          <w:rFonts w:ascii="Times New Roman" w:hAnsi="Times New Roman" w:cs="Times New Roman"/>
          <w:color w:val="000000" w:themeColor="text1"/>
          <w:sz w:val="24"/>
          <w:szCs w:val="24"/>
        </w:rPr>
        <w:t xml:space="preserve"> (dodany pkt 12b w art. 2 ust. 1)</w:t>
      </w:r>
      <w:r w:rsidRPr="007978D6">
        <w:rPr>
          <w:rFonts w:ascii="Times New Roman" w:hAnsi="Times New Roman" w:cs="Times New Roman"/>
          <w:color w:val="000000" w:themeColor="text1"/>
          <w:sz w:val="24"/>
          <w:szCs w:val="24"/>
        </w:rPr>
        <w:t>.</w:t>
      </w:r>
      <w:r w:rsidR="00351F1D" w:rsidRPr="007978D6">
        <w:rPr>
          <w:rFonts w:ascii="Times New Roman" w:hAnsi="Times New Roman" w:cs="Times New Roman"/>
          <w:color w:val="000000" w:themeColor="text1"/>
          <w:sz w:val="24"/>
          <w:szCs w:val="24"/>
        </w:rPr>
        <w:t xml:space="preserve"> </w:t>
      </w:r>
    </w:p>
    <w:p w14:paraId="03197679" w14:textId="5A59F650" w:rsidR="002D4516" w:rsidRPr="007978D6" w:rsidRDefault="002D4516" w:rsidP="002A23C5">
      <w:pPr>
        <w:spacing w:before="120" w:after="0"/>
        <w:jc w:val="both"/>
        <w:rPr>
          <w:rFonts w:ascii="Times New Roman" w:hAnsi="Times New Roman" w:cs="Times New Roman"/>
          <w:sz w:val="24"/>
          <w:szCs w:val="24"/>
        </w:rPr>
      </w:pPr>
      <w:r w:rsidRPr="007978D6">
        <w:rPr>
          <w:rFonts w:ascii="Times New Roman" w:hAnsi="Times New Roman" w:cs="Times New Roman"/>
          <w:sz w:val="24"/>
          <w:szCs w:val="24"/>
        </w:rPr>
        <w:t xml:space="preserve">Projekt ustawy wprowadza także zmiany do art. 2 ust. 1 pkt 14a </w:t>
      </w:r>
      <w:r w:rsidR="00C76B24" w:rsidRPr="007978D6">
        <w:rPr>
          <w:rFonts w:ascii="Times New Roman" w:hAnsi="Times New Roman" w:cs="Times New Roman"/>
          <w:sz w:val="24"/>
          <w:szCs w:val="24"/>
        </w:rPr>
        <w:t>ustawy o ubezpieczeniach obowiązkowych</w:t>
      </w:r>
      <w:r w:rsidRPr="007978D6">
        <w:rPr>
          <w:rFonts w:ascii="Times New Roman" w:hAnsi="Times New Roman" w:cs="Times New Roman"/>
          <w:sz w:val="24"/>
          <w:szCs w:val="24"/>
        </w:rPr>
        <w:t xml:space="preserve"> w zakresie definicji „wprowadzenia pojazdu do ruchu”. Definicja ta jest pochodną wprowadzonej do projektu ustawy nowej definicji „ruch pojazdu”, która wynika z przepisów implementowanej dyrektywy. </w:t>
      </w:r>
    </w:p>
    <w:p w14:paraId="21EDEF2A" w14:textId="0F30C9A5" w:rsidR="00386820" w:rsidRPr="007978D6" w:rsidRDefault="00351F1D"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P</w:t>
      </w:r>
      <w:r w:rsidR="00386820" w:rsidRPr="007978D6">
        <w:rPr>
          <w:rFonts w:ascii="Times New Roman" w:hAnsi="Times New Roman" w:cs="Times New Roman"/>
          <w:color w:val="000000" w:themeColor="text1"/>
          <w:sz w:val="24"/>
          <w:szCs w:val="24"/>
        </w:rPr>
        <w:t xml:space="preserve">onadto, ze stosowania przepisów dyrektywy wyłączono ruch pojazdów w ramach </w:t>
      </w:r>
      <w:r w:rsidR="004804D8" w:rsidRPr="007978D6">
        <w:rPr>
          <w:rFonts w:ascii="Times New Roman" w:hAnsi="Times New Roman" w:cs="Times New Roman"/>
          <w:color w:val="000000" w:themeColor="text1"/>
          <w:sz w:val="24"/>
          <w:szCs w:val="24"/>
        </w:rPr>
        <w:t xml:space="preserve">działań związanych ze </w:t>
      </w:r>
      <w:r w:rsidR="00386820" w:rsidRPr="007978D6">
        <w:rPr>
          <w:rFonts w:ascii="Times New Roman" w:hAnsi="Times New Roman" w:cs="Times New Roman"/>
          <w:color w:val="000000" w:themeColor="text1"/>
          <w:sz w:val="24"/>
          <w:szCs w:val="24"/>
        </w:rPr>
        <w:t>sport</w:t>
      </w:r>
      <w:r w:rsidR="004804D8" w:rsidRPr="007978D6">
        <w:rPr>
          <w:rFonts w:ascii="Times New Roman" w:hAnsi="Times New Roman" w:cs="Times New Roman"/>
          <w:color w:val="000000" w:themeColor="text1"/>
          <w:sz w:val="24"/>
          <w:szCs w:val="24"/>
        </w:rPr>
        <w:t>em</w:t>
      </w:r>
      <w:r w:rsidR="00386820" w:rsidRPr="007978D6">
        <w:rPr>
          <w:rFonts w:ascii="Times New Roman" w:hAnsi="Times New Roman" w:cs="Times New Roman"/>
          <w:color w:val="000000" w:themeColor="text1"/>
          <w:sz w:val="24"/>
          <w:szCs w:val="24"/>
        </w:rPr>
        <w:t xml:space="preserve"> motorow</w:t>
      </w:r>
      <w:r w:rsidR="004804D8" w:rsidRPr="007978D6">
        <w:rPr>
          <w:rFonts w:ascii="Times New Roman" w:hAnsi="Times New Roman" w:cs="Times New Roman"/>
          <w:color w:val="000000" w:themeColor="text1"/>
          <w:sz w:val="24"/>
          <w:szCs w:val="24"/>
        </w:rPr>
        <w:t>ym</w:t>
      </w:r>
      <w:r w:rsidR="00386820" w:rsidRPr="007978D6">
        <w:rPr>
          <w:rFonts w:ascii="Times New Roman" w:hAnsi="Times New Roman" w:cs="Times New Roman"/>
          <w:color w:val="000000" w:themeColor="text1"/>
          <w:sz w:val="24"/>
          <w:szCs w:val="24"/>
        </w:rPr>
        <w:t>, w tym wyścigów, zawodów, szkoleń, testów i pokazów, dozwolonych zgodnie z prawem krajowym państw członkowskich. W związku z tym proponuje się dodać ust. 3 i 4 do art. 23 w celu wyłączenia z obowiązku ubezpieczenia OC posiadaczy pojazdów mechanicznych w odniesieniu do wydarzeń związanych ze sportem motorowym,</w:t>
      </w:r>
      <w:r w:rsidR="00215DA5" w:rsidRPr="007978D6">
        <w:rPr>
          <w:rFonts w:ascii="Times New Roman" w:hAnsi="Times New Roman" w:cs="Times New Roman"/>
          <w:color w:val="000000" w:themeColor="text1"/>
          <w:sz w:val="24"/>
          <w:szCs w:val="24"/>
        </w:rPr>
        <w:t xml:space="preserve"> </w:t>
      </w:r>
      <w:r w:rsidR="00386820" w:rsidRPr="007978D6">
        <w:rPr>
          <w:rFonts w:ascii="Times New Roman" w:hAnsi="Times New Roman" w:cs="Times New Roman"/>
          <w:color w:val="000000" w:themeColor="text1"/>
          <w:sz w:val="24"/>
          <w:szCs w:val="24"/>
        </w:rPr>
        <w:t>w wyznaczonej strefie ograniczonego dostępu, o ile organizator, uczestnik lub inna strona zapewni alternatywne zabezpieczenie finansowe (umowę</w:t>
      </w:r>
      <w:r w:rsidR="00D93653" w:rsidRPr="007978D6">
        <w:rPr>
          <w:rFonts w:ascii="Times New Roman" w:hAnsi="Times New Roman" w:cs="Times New Roman"/>
          <w:color w:val="000000" w:themeColor="text1"/>
          <w:sz w:val="24"/>
          <w:szCs w:val="24"/>
        </w:rPr>
        <w:t xml:space="preserve"> </w:t>
      </w:r>
      <w:r w:rsidR="004804D8" w:rsidRPr="007978D6">
        <w:rPr>
          <w:rFonts w:ascii="Times New Roman" w:hAnsi="Times New Roman" w:cs="Times New Roman"/>
          <w:color w:val="000000" w:themeColor="text1"/>
          <w:sz w:val="24"/>
          <w:szCs w:val="24"/>
        </w:rPr>
        <w:t>innego</w:t>
      </w:r>
      <w:r w:rsidR="00386820" w:rsidRPr="007978D6">
        <w:rPr>
          <w:rFonts w:ascii="Times New Roman" w:hAnsi="Times New Roman" w:cs="Times New Roman"/>
          <w:color w:val="000000" w:themeColor="text1"/>
          <w:sz w:val="24"/>
          <w:szCs w:val="24"/>
        </w:rPr>
        <w:t xml:space="preserve"> ubezpieczenia lub </w:t>
      </w:r>
      <w:r w:rsidR="00D93653" w:rsidRPr="007978D6">
        <w:rPr>
          <w:rFonts w:ascii="Times New Roman" w:hAnsi="Times New Roman" w:cs="Times New Roman"/>
          <w:color w:val="000000" w:themeColor="text1"/>
          <w:sz w:val="24"/>
          <w:szCs w:val="24"/>
        </w:rPr>
        <w:t xml:space="preserve">umowę </w:t>
      </w:r>
      <w:r w:rsidR="00386820" w:rsidRPr="007978D6">
        <w:rPr>
          <w:rFonts w:ascii="Times New Roman" w:hAnsi="Times New Roman" w:cs="Times New Roman"/>
          <w:color w:val="000000" w:themeColor="text1"/>
          <w:sz w:val="24"/>
          <w:szCs w:val="24"/>
        </w:rPr>
        <w:t>gwarancj</w:t>
      </w:r>
      <w:r w:rsidR="00D93653" w:rsidRPr="007978D6">
        <w:rPr>
          <w:rFonts w:ascii="Times New Roman" w:hAnsi="Times New Roman" w:cs="Times New Roman"/>
          <w:color w:val="000000" w:themeColor="text1"/>
          <w:sz w:val="24"/>
          <w:szCs w:val="24"/>
        </w:rPr>
        <w:t>i</w:t>
      </w:r>
      <w:r w:rsidR="00386820" w:rsidRPr="007978D6">
        <w:rPr>
          <w:rFonts w:ascii="Times New Roman" w:hAnsi="Times New Roman" w:cs="Times New Roman"/>
          <w:color w:val="000000" w:themeColor="text1"/>
          <w:sz w:val="24"/>
          <w:szCs w:val="24"/>
        </w:rPr>
        <w:t xml:space="preserve"> ubezpieczeniow</w:t>
      </w:r>
      <w:r w:rsidR="00D93653" w:rsidRPr="007978D6">
        <w:rPr>
          <w:rFonts w:ascii="Times New Roman" w:hAnsi="Times New Roman" w:cs="Times New Roman"/>
          <w:color w:val="000000" w:themeColor="text1"/>
          <w:sz w:val="24"/>
          <w:szCs w:val="24"/>
        </w:rPr>
        <w:t>ej</w:t>
      </w:r>
      <w:r w:rsidR="00386820" w:rsidRPr="007978D6">
        <w:rPr>
          <w:rFonts w:ascii="Times New Roman" w:hAnsi="Times New Roman" w:cs="Times New Roman"/>
          <w:color w:val="000000" w:themeColor="text1"/>
          <w:sz w:val="24"/>
          <w:szCs w:val="24"/>
        </w:rPr>
        <w:t>)</w:t>
      </w:r>
      <w:r w:rsidR="000C2576" w:rsidRPr="007978D6">
        <w:rPr>
          <w:rFonts w:ascii="Times New Roman" w:hAnsi="Times New Roman" w:cs="Times New Roman"/>
          <w:color w:val="000000" w:themeColor="text1"/>
          <w:sz w:val="24"/>
          <w:szCs w:val="24"/>
        </w:rPr>
        <w:t>.</w:t>
      </w:r>
      <w:r w:rsidR="00215DA5" w:rsidRPr="007978D6">
        <w:rPr>
          <w:rFonts w:ascii="Times New Roman" w:hAnsi="Times New Roman" w:cs="Times New Roman"/>
          <w:color w:val="000000" w:themeColor="text1"/>
          <w:sz w:val="24"/>
          <w:szCs w:val="24"/>
        </w:rPr>
        <w:t xml:space="preserve"> </w:t>
      </w:r>
      <w:r w:rsidR="000C2576" w:rsidRPr="007978D6">
        <w:rPr>
          <w:rFonts w:ascii="Times New Roman" w:hAnsi="Times New Roman" w:cs="Times New Roman"/>
          <w:color w:val="000000" w:themeColor="text1"/>
          <w:sz w:val="24"/>
          <w:szCs w:val="24"/>
        </w:rPr>
        <w:t>Co do zasady chodzi tu o dobrowolne umowy ubezpieczenia, czyli takie które będą zawierane przez organizatora lub uczestników imprezy sportowej</w:t>
      </w:r>
      <w:r w:rsidR="004E391B" w:rsidRPr="007978D6">
        <w:rPr>
          <w:rFonts w:ascii="Times New Roman" w:hAnsi="Times New Roman" w:cs="Times New Roman"/>
          <w:color w:val="000000" w:themeColor="text1"/>
          <w:sz w:val="24"/>
          <w:szCs w:val="24"/>
        </w:rPr>
        <w:t xml:space="preserve"> i</w:t>
      </w:r>
      <w:r w:rsidR="000C2576" w:rsidRPr="007978D6">
        <w:rPr>
          <w:rFonts w:ascii="Times New Roman" w:hAnsi="Times New Roman" w:cs="Times New Roman"/>
          <w:color w:val="000000" w:themeColor="text1"/>
          <w:sz w:val="24"/>
          <w:szCs w:val="24"/>
        </w:rPr>
        <w:t xml:space="preserve"> </w:t>
      </w:r>
      <w:r w:rsidR="00027FF6" w:rsidRPr="007978D6">
        <w:rPr>
          <w:rFonts w:ascii="Times New Roman" w:hAnsi="Times New Roman" w:cs="Times New Roman"/>
          <w:color w:val="000000" w:themeColor="text1"/>
          <w:sz w:val="24"/>
          <w:szCs w:val="24"/>
        </w:rPr>
        <w:t xml:space="preserve">które </w:t>
      </w:r>
      <w:r w:rsidR="000C2576" w:rsidRPr="007978D6">
        <w:rPr>
          <w:rFonts w:ascii="Times New Roman" w:hAnsi="Times New Roman" w:cs="Times New Roman"/>
          <w:color w:val="000000" w:themeColor="text1"/>
          <w:sz w:val="24"/>
          <w:szCs w:val="24"/>
        </w:rPr>
        <w:lastRenderedPageBreak/>
        <w:t>będ</w:t>
      </w:r>
      <w:r w:rsidR="00D93653" w:rsidRPr="007978D6">
        <w:rPr>
          <w:rFonts w:ascii="Times New Roman" w:hAnsi="Times New Roman" w:cs="Times New Roman"/>
          <w:color w:val="000000" w:themeColor="text1"/>
          <w:sz w:val="24"/>
          <w:szCs w:val="24"/>
        </w:rPr>
        <w:t xml:space="preserve">ą </w:t>
      </w:r>
      <w:r w:rsidR="000C2576" w:rsidRPr="007978D6">
        <w:rPr>
          <w:rFonts w:ascii="Times New Roman" w:hAnsi="Times New Roman" w:cs="Times New Roman"/>
          <w:color w:val="000000" w:themeColor="text1"/>
          <w:sz w:val="24"/>
          <w:szCs w:val="24"/>
        </w:rPr>
        <w:t>obejmował</w:t>
      </w:r>
      <w:r w:rsidR="00D93653" w:rsidRPr="007978D6">
        <w:rPr>
          <w:rFonts w:ascii="Times New Roman" w:hAnsi="Times New Roman" w:cs="Times New Roman"/>
          <w:color w:val="000000" w:themeColor="text1"/>
          <w:sz w:val="24"/>
          <w:szCs w:val="24"/>
        </w:rPr>
        <w:t>y</w:t>
      </w:r>
      <w:r w:rsidR="00386820" w:rsidRPr="007978D6">
        <w:rPr>
          <w:rFonts w:ascii="Times New Roman" w:hAnsi="Times New Roman" w:cs="Times New Roman"/>
          <w:color w:val="000000" w:themeColor="text1"/>
          <w:sz w:val="24"/>
          <w:szCs w:val="24"/>
        </w:rPr>
        <w:t xml:space="preserve"> szkody wyrządzone osobom trzecim porównywalne swym zakresem i sumą gwarancyjną do obowiązkowego ubezpieczenia OC posiadaczy pojazdów mechanicznych.</w:t>
      </w:r>
    </w:p>
    <w:p w14:paraId="312561C3" w14:textId="57262D24" w:rsidR="00351F1D" w:rsidRPr="007978D6" w:rsidRDefault="00CB3444" w:rsidP="002A23C5">
      <w:pPr>
        <w:pStyle w:val="Default"/>
        <w:tabs>
          <w:tab w:val="left" w:pos="426"/>
        </w:tabs>
        <w:spacing w:before="120" w:line="360" w:lineRule="auto"/>
        <w:jc w:val="both"/>
        <w:rPr>
          <w:rFonts w:ascii="Times New Roman" w:hAnsi="Times New Roman" w:cs="Times New Roman"/>
          <w:b/>
          <w:bCs/>
        </w:rPr>
      </w:pPr>
      <w:r w:rsidRPr="007978D6">
        <w:rPr>
          <w:rFonts w:ascii="Times New Roman" w:hAnsi="Times New Roman" w:cs="Times New Roman"/>
          <w:b/>
          <w:bCs/>
        </w:rPr>
        <w:t>3</w:t>
      </w:r>
      <w:r w:rsidR="00351F1D" w:rsidRPr="007978D6">
        <w:rPr>
          <w:rFonts w:ascii="Times New Roman" w:hAnsi="Times New Roman" w:cs="Times New Roman"/>
          <w:b/>
          <w:bCs/>
        </w:rPr>
        <w:t>.</w:t>
      </w:r>
      <w:r w:rsidR="00351F1D" w:rsidRPr="007978D6">
        <w:rPr>
          <w:rFonts w:ascii="Times New Roman" w:hAnsi="Times New Roman" w:cs="Times New Roman"/>
          <w:b/>
          <w:bCs/>
        </w:rPr>
        <w:tab/>
        <w:t>Dostosowanie wysokości minimalnych sum gwarancyjnych w obowiązkowym ubezpieczeniu OC posiadaczy pojazdów mechanicznych oraz OC rolników</w:t>
      </w:r>
    </w:p>
    <w:p w14:paraId="3FFCF2C7" w14:textId="2A58F114" w:rsidR="00386820" w:rsidRPr="007978D6" w:rsidRDefault="00386820" w:rsidP="002A23C5">
      <w:pPr>
        <w:pStyle w:val="Default"/>
        <w:spacing w:before="120" w:line="360" w:lineRule="auto"/>
        <w:jc w:val="both"/>
        <w:rPr>
          <w:rFonts w:ascii="Times New Roman" w:hAnsi="Times New Roman" w:cs="Times New Roman"/>
        </w:rPr>
      </w:pPr>
      <w:r w:rsidRPr="007978D6">
        <w:rPr>
          <w:rFonts w:ascii="Times New Roman" w:hAnsi="Times New Roman" w:cs="Times New Roman"/>
        </w:rPr>
        <w:t>Dyrektywa podwyższa minimalne wysokości sum gwarancyjnych do poziomu:</w:t>
      </w:r>
    </w:p>
    <w:p w14:paraId="65FA91EF" w14:textId="0814DDB8" w:rsidR="00386820" w:rsidRPr="007978D6" w:rsidRDefault="00386820" w:rsidP="002A23C5">
      <w:pPr>
        <w:pStyle w:val="Default"/>
        <w:spacing w:before="120" w:line="360" w:lineRule="auto"/>
        <w:ind w:left="426" w:hanging="426"/>
        <w:jc w:val="both"/>
        <w:rPr>
          <w:rFonts w:ascii="Times New Roman" w:hAnsi="Times New Roman" w:cs="Times New Roman"/>
        </w:rPr>
      </w:pPr>
      <w:r w:rsidRPr="007978D6">
        <w:rPr>
          <w:rFonts w:ascii="Times New Roman" w:hAnsi="Times New Roman" w:cs="Times New Roman"/>
        </w:rPr>
        <w:t>a)</w:t>
      </w:r>
      <w:r w:rsidR="00286AFE">
        <w:rPr>
          <w:rFonts w:ascii="Times New Roman" w:hAnsi="Times New Roman" w:cs="Times New Roman"/>
        </w:rPr>
        <w:tab/>
      </w:r>
      <w:r w:rsidRPr="007978D6">
        <w:rPr>
          <w:rFonts w:ascii="Times New Roman" w:hAnsi="Times New Roman" w:cs="Times New Roman"/>
        </w:rPr>
        <w:t>w przypadku szkód na osobie: 6 450 000 EUR w odniesieniu do jednego wypadku bez względu na liczbę osób poszkodowanych lub 1 300 000 EUR w odniesieniu do jednej osoby poszkodowanej;</w:t>
      </w:r>
    </w:p>
    <w:p w14:paraId="58BD6F44" w14:textId="1732DCBF" w:rsidR="00386820" w:rsidRPr="007978D6" w:rsidRDefault="00386820" w:rsidP="002A23C5">
      <w:pPr>
        <w:pStyle w:val="Default"/>
        <w:spacing w:before="120" w:line="360" w:lineRule="auto"/>
        <w:ind w:left="426" w:hanging="426"/>
        <w:jc w:val="both"/>
        <w:rPr>
          <w:rFonts w:ascii="Times New Roman" w:hAnsi="Times New Roman" w:cs="Times New Roman"/>
        </w:rPr>
      </w:pPr>
      <w:r w:rsidRPr="007978D6">
        <w:rPr>
          <w:rFonts w:ascii="Times New Roman" w:hAnsi="Times New Roman" w:cs="Times New Roman"/>
        </w:rPr>
        <w:t>b)</w:t>
      </w:r>
      <w:r w:rsidR="00286AFE">
        <w:rPr>
          <w:rFonts w:ascii="Times New Roman" w:hAnsi="Times New Roman" w:cs="Times New Roman"/>
        </w:rPr>
        <w:tab/>
      </w:r>
      <w:r w:rsidRPr="007978D6">
        <w:rPr>
          <w:rFonts w:ascii="Times New Roman" w:hAnsi="Times New Roman" w:cs="Times New Roman"/>
        </w:rPr>
        <w:t>w przypadku szkody majątkowej: 1 300 000 EUR w odniesieniu do jednego wypadku bez względu na liczbę osób poszkodowanych.</w:t>
      </w:r>
    </w:p>
    <w:p w14:paraId="76625DB0" w14:textId="77777777" w:rsidR="00386820" w:rsidRPr="007978D6" w:rsidRDefault="00386820" w:rsidP="002A23C5">
      <w:pPr>
        <w:pStyle w:val="Default"/>
        <w:spacing w:before="120" w:line="360" w:lineRule="auto"/>
        <w:jc w:val="both"/>
        <w:rPr>
          <w:rFonts w:ascii="Times New Roman" w:hAnsi="Times New Roman" w:cs="Times New Roman"/>
        </w:rPr>
      </w:pPr>
      <w:r w:rsidRPr="007978D6">
        <w:rPr>
          <w:rFonts w:ascii="Times New Roman" w:hAnsi="Times New Roman" w:cs="Times New Roman"/>
        </w:rPr>
        <w:t xml:space="preserve">W związku z tym, że ubezpieczenie OC rolników obejmuje również szkody powstałe w związku z ruchem pojazdów wolnobieżnych, będących w posiadaniu rolników posiadających gospodarstwo rolne i użytkowanych w związku z posiadaniem tego gospodarstwa, konieczne jest także podwyższenie wysokości minimalnych sum gwarancyjnych w tym ubezpieczeniu, tak jak w przypadku ubezpieczenia OC posiadaczy pojazdów mechanicznych. </w:t>
      </w:r>
    </w:p>
    <w:p w14:paraId="36B12EE9" w14:textId="77777777" w:rsidR="00386820" w:rsidRPr="007978D6" w:rsidRDefault="00386820" w:rsidP="002A23C5">
      <w:pPr>
        <w:pStyle w:val="Default"/>
        <w:spacing w:before="120" w:line="360" w:lineRule="auto"/>
        <w:jc w:val="both"/>
        <w:rPr>
          <w:rFonts w:ascii="Times New Roman" w:hAnsi="Times New Roman" w:cs="Times New Roman"/>
        </w:rPr>
      </w:pPr>
      <w:r w:rsidRPr="007978D6">
        <w:rPr>
          <w:rFonts w:ascii="Times New Roman" w:hAnsi="Times New Roman" w:cs="Times New Roman"/>
        </w:rPr>
        <w:t>Dyrektywa wskazuje minimalne kwoty sum gwarancyjnych w euro, określając je na wyższym, wspólnym dla wszystkich państw członkowskich poziomie. Dotychczas, dzięki zastosowaniu okresów przejściowych, i różnych momentów, od których dokonywano okresowego przeglądu zgodnie ze zharmonizowanym wskaźnikiem cen konsumpcyjnych (HICP), w poszczególnych państwach członkowskich minimalne kwoty sum gwarancyjnych różniły się.</w:t>
      </w:r>
    </w:p>
    <w:p w14:paraId="466171CB" w14:textId="77777777" w:rsidR="00386820" w:rsidRPr="007978D6" w:rsidRDefault="00386820" w:rsidP="002A23C5">
      <w:pPr>
        <w:pStyle w:val="Default"/>
        <w:spacing w:before="120" w:line="360" w:lineRule="auto"/>
        <w:jc w:val="both"/>
        <w:rPr>
          <w:rFonts w:ascii="Times New Roman" w:hAnsi="Times New Roman" w:cs="Times New Roman"/>
        </w:rPr>
      </w:pPr>
      <w:r w:rsidRPr="007978D6">
        <w:rPr>
          <w:rFonts w:ascii="Times New Roman" w:hAnsi="Times New Roman" w:cs="Times New Roman"/>
        </w:rPr>
        <w:t xml:space="preserve">Nowością jest także wskazanie, że w odniesieniu do państw, które nie przyjęły euro, kwoty minimalne przelicza się na ich walutę krajową, stosując kurs wymiany obowiązujący na dzień 22 grudnia 2021 r., opublikowany w </w:t>
      </w:r>
      <w:r w:rsidRPr="007978D6">
        <w:rPr>
          <w:rFonts w:ascii="Times New Roman" w:hAnsi="Times New Roman" w:cs="Times New Roman"/>
          <w:i/>
          <w:iCs/>
        </w:rPr>
        <w:t>Dzienniku Urzędowym Unii Europejskiej</w:t>
      </w:r>
      <w:r w:rsidRPr="007978D6">
        <w:rPr>
          <w:rFonts w:ascii="Times New Roman" w:hAnsi="Times New Roman" w:cs="Times New Roman"/>
        </w:rPr>
        <w:t xml:space="preserve">. </w:t>
      </w:r>
    </w:p>
    <w:p w14:paraId="235747B9" w14:textId="154B4948" w:rsidR="00386820" w:rsidRDefault="00386820">
      <w:pPr>
        <w:pStyle w:val="Default"/>
        <w:spacing w:before="120" w:line="360" w:lineRule="auto"/>
        <w:jc w:val="both"/>
        <w:rPr>
          <w:rFonts w:ascii="Times New Roman" w:hAnsi="Times New Roman" w:cs="Times New Roman"/>
        </w:rPr>
      </w:pPr>
      <w:r w:rsidRPr="007978D6">
        <w:rPr>
          <w:rFonts w:ascii="Times New Roman" w:hAnsi="Times New Roman" w:cs="Times New Roman"/>
        </w:rPr>
        <w:t>Przyjęte w ramach proponowanego brzmienia art. 36 ust. 1 oraz art. 52 ustawy o ubezpieczeniach obowiązkowych wyliczenia oparto na kursie wymiany euro na dzień 22 grudnia 2021 r., które wynosi 4,6320 złote (</w:t>
      </w:r>
      <w:r w:rsidRPr="007978D6">
        <w:rPr>
          <w:rFonts w:ascii="Times New Roman" w:hAnsi="Times New Roman" w:cs="Times New Roman"/>
          <w:color w:val="212529"/>
          <w:shd w:val="clear" w:color="auto" w:fill="FFFFFF"/>
        </w:rPr>
        <w:t>Dz.U.UE.C.2021.520.5</w:t>
      </w:r>
      <w:r w:rsidRPr="007978D6">
        <w:rPr>
          <w:rFonts w:ascii="Times New Roman" w:hAnsi="Times New Roman" w:cs="Times New Roman"/>
        </w:rPr>
        <w:t>). Z tego powodu w projekcie minimalne sumy gwarancyjne zostały określone w złotych, przeliczone po kursie wskazanym w nowym brzmieniu art. 9 ust. 1 akapit 2 dyrektywy 2009/103/WE.</w:t>
      </w:r>
    </w:p>
    <w:p w14:paraId="3FD93941" w14:textId="77777777" w:rsidR="001B3B8B" w:rsidRPr="007978D6" w:rsidRDefault="001B3B8B" w:rsidP="002A23C5">
      <w:pPr>
        <w:pStyle w:val="Default"/>
        <w:spacing w:before="120" w:line="360" w:lineRule="auto"/>
        <w:jc w:val="both"/>
        <w:rPr>
          <w:rFonts w:ascii="Times New Roman" w:hAnsi="Times New Roman" w:cs="Times New Roman"/>
        </w:rPr>
      </w:pPr>
    </w:p>
    <w:p w14:paraId="666748EA" w14:textId="6E9E9631" w:rsidR="00386820" w:rsidRPr="007978D6" w:rsidRDefault="00CB3444" w:rsidP="002A23C5">
      <w:pPr>
        <w:tabs>
          <w:tab w:val="left" w:pos="426"/>
        </w:tabs>
        <w:spacing w:before="120" w:after="0"/>
        <w:jc w:val="both"/>
        <w:rPr>
          <w:rFonts w:ascii="Times New Roman" w:hAnsi="Times New Roman" w:cs="Times New Roman"/>
          <w:b/>
          <w:color w:val="000000" w:themeColor="text1"/>
          <w:sz w:val="24"/>
          <w:szCs w:val="24"/>
        </w:rPr>
      </w:pPr>
      <w:r w:rsidRPr="007978D6">
        <w:rPr>
          <w:rFonts w:ascii="Times New Roman" w:hAnsi="Times New Roman" w:cs="Times New Roman"/>
          <w:b/>
          <w:color w:val="000000" w:themeColor="text1"/>
          <w:sz w:val="24"/>
          <w:szCs w:val="24"/>
        </w:rPr>
        <w:t>4</w:t>
      </w:r>
      <w:r w:rsidR="00351F1D" w:rsidRPr="007978D6">
        <w:rPr>
          <w:rFonts w:ascii="Times New Roman" w:hAnsi="Times New Roman" w:cs="Times New Roman"/>
          <w:b/>
          <w:color w:val="000000" w:themeColor="text1"/>
          <w:sz w:val="24"/>
          <w:szCs w:val="24"/>
        </w:rPr>
        <w:t>.</w:t>
      </w:r>
      <w:r w:rsidR="00351F1D" w:rsidRPr="007978D6">
        <w:rPr>
          <w:rFonts w:ascii="Times New Roman" w:hAnsi="Times New Roman" w:cs="Times New Roman"/>
          <w:b/>
          <w:color w:val="000000" w:themeColor="text1"/>
          <w:sz w:val="24"/>
          <w:szCs w:val="24"/>
        </w:rPr>
        <w:tab/>
      </w:r>
      <w:r w:rsidR="00386820" w:rsidRPr="007978D6">
        <w:rPr>
          <w:rFonts w:ascii="Times New Roman" w:hAnsi="Times New Roman" w:cs="Times New Roman"/>
          <w:b/>
          <w:color w:val="000000" w:themeColor="text1"/>
          <w:sz w:val="24"/>
          <w:szCs w:val="24"/>
        </w:rPr>
        <w:t>Ochrona poszkodowanych lub uprawnionych do odszkodowania na wypadek niewypłacalności ubezpieczyciela</w:t>
      </w:r>
    </w:p>
    <w:p w14:paraId="23652881" w14:textId="77777777"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lastRenderedPageBreak/>
        <w:t>W celu implementacji rozwiązań przyjętych w dyrektywie proponuje się wprowadzenie regulacji umożliwiających poszkodowanym lub uprawnionym do odszkodowania dochodzenie odszkodowania z tytułu obowiązkowego ubezpieczenia OC posiadaczy pojazdów mechanicznych w miejscu ich zamieszkania lub siedziby, niezależnie od wypłacalności ubezpieczyciela. W przypadku niewypłacalności zakładu ubezpieczeń, ochrona osób poszkodowanych lub uprawnionych do odszkodowania w wyniku zdarzeń drogowych przewidziana w dyrektywie jest uregulowana oddzielnie w odniesieniu do wypadków zaistniałych w państwie członkowskim ich miejsca zamieszkania lub siedziby (art. 10a dyrektywy 2009/103/WE) oraz w państwie innym niż państwo członkowskie ich miejsca zamieszkania (art. 25a dyrektywy 2009/103/WE). Projekt ustawy implementującej uwzględnia to rozróżnienie. Ustawodawca unijny zawęża ochronę na wypadek niewypłacalności ubezpieczyciela, jedynie do poszkodowanych. Jednakże mając na uwadze minimalną harmonizację dyrektywy proponuje się, aby w ustawie rozszerzyć tę ochronę także na osoby uprawnione do odszkodowania.</w:t>
      </w:r>
    </w:p>
    <w:p w14:paraId="1C3180B8" w14:textId="0058AA1B" w:rsidR="00DE3F26"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Mając na uwadze systematykę dyrektywy oraz dotychczasowe regulacje krajowe w zakresie ochrony na wypadek upadłości zakładu ubezpieczeń proponuje się, aby zadania organu, o którym mowa w art. 10a ust. 1 dyrektywy, zostały przypisane Funduszowi (dodanie ust. 2a w art. 98 ustawy o ubezpieczeniach obowiązkowych).</w:t>
      </w:r>
      <w:r w:rsidR="00DE3F26" w:rsidRPr="007978D6">
        <w:rPr>
          <w:rFonts w:ascii="Times New Roman" w:hAnsi="Times New Roman" w:cs="Times New Roman"/>
          <w:color w:val="000000" w:themeColor="text1"/>
          <w:sz w:val="24"/>
          <w:szCs w:val="24"/>
        </w:rPr>
        <w:t xml:space="preserve"> Z kolei zadanie, o którym mowa w art. 25a ust. 1 dyrektywy, zostanie przypisane Polskiemu Biuru Ubezpieczycieli Komunikacyjnych (PBUK). Proponuje się, aby zasadnicza część regulacji dotyczącej ochrony poszkodowanych lub uprawnionych do odszkodowania w odniesieniu do szkód wynikających z wypadków drogowych w państwie członkowskim innym niż państwo członkowskie ich miejsca zamieszkania w razie niewypłacalności ubezpieczyciela była umiejscowiona w rozdziale 5 ustawy o ubezpieczeniach obowiązkowych „Dochodzenie roszczeń z tytułu zdarzeń powstałych za granicą”, a częściowo w rozdziale 8 „Polskie Biuro Ubezpieczycieli Komunikacyjnych”. Nowe zadanie, o którym mowa w projektowanym art. 122 ust.</w:t>
      </w:r>
      <w:r w:rsidR="001658AF">
        <w:rPr>
          <w:rFonts w:ascii="Times New Roman" w:hAnsi="Times New Roman" w:cs="Times New Roman"/>
          <w:color w:val="000000" w:themeColor="text1"/>
          <w:sz w:val="24"/>
          <w:szCs w:val="24"/>
        </w:rPr>
        <w:t xml:space="preserve"> </w:t>
      </w:r>
      <w:r w:rsidR="00DE3F26" w:rsidRPr="007978D6">
        <w:rPr>
          <w:rFonts w:ascii="Times New Roman" w:hAnsi="Times New Roman" w:cs="Times New Roman"/>
          <w:color w:val="000000" w:themeColor="text1"/>
          <w:sz w:val="24"/>
          <w:szCs w:val="24"/>
        </w:rPr>
        <w:t>1 pkt 9, wymaga wprowadzenia odpowiednich zmian w art. 136a–136c ustawy o ubezpieczeniach obowiązkowych.</w:t>
      </w:r>
    </w:p>
    <w:p w14:paraId="3793FC4C" w14:textId="6065B22B" w:rsidR="00DE3F26" w:rsidRPr="007978D6" w:rsidRDefault="00DE3F26"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Ochrona na wypadek niewypłacalności zakładu ubezpieczeń przewidziana w art. 10a (i odpowiednio art. 25a) dyrektywy jest przewidziana już od momentu objęcia ubezpieczyciela postępowaniem upadłościowym lub likwidacyjnym (niezależnie od tego, czy jest ono dobrowolne czy przymusowe zgodnie z art. 268 ust. 1 lit. d dyrektywy 2009/138/WE). </w:t>
      </w:r>
      <w:r w:rsidR="00FA7EEB" w:rsidRPr="007978D6">
        <w:rPr>
          <w:rFonts w:ascii="Times New Roman" w:hAnsi="Times New Roman" w:cs="Times New Roman"/>
          <w:color w:val="000000" w:themeColor="text1"/>
          <w:sz w:val="24"/>
          <w:szCs w:val="24"/>
        </w:rPr>
        <w:t>P</w:t>
      </w:r>
      <w:r w:rsidRPr="007978D6">
        <w:rPr>
          <w:rFonts w:ascii="Times New Roman" w:hAnsi="Times New Roman" w:cs="Times New Roman"/>
          <w:color w:val="000000" w:themeColor="text1"/>
          <w:sz w:val="24"/>
          <w:szCs w:val="24"/>
        </w:rPr>
        <w:t xml:space="preserve">roponuje się </w:t>
      </w:r>
      <w:r w:rsidR="00EC4AEB" w:rsidRPr="007978D6">
        <w:rPr>
          <w:rFonts w:ascii="Times New Roman" w:hAnsi="Times New Roman" w:cs="Times New Roman"/>
          <w:color w:val="000000" w:themeColor="text1"/>
          <w:sz w:val="24"/>
          <w:szCs w:val="24"/>
        </w:rPr>
        <w:t>więc</w:t>
      </w:r>
      <w:r w:rsidR="00FA7EEB" w:rsidRPr="007978D6">
        <w:rPr>
          <w:rFonts w:ascii="Times New Roman" w:hAnsi="Times New Roman" w:cs="Times New Roman"/>
          <w:color w:val="000000" w:themeColor="text1"/>
          <w:sz w:val="24"/>
          <w:szCs w:val="24"/>
        </w:rPr>
        <w:t xml:space="preserve"> </w:t>
      </w:r>
      <w:r w:rsidRPr="007978D6">
        <w:rPr>
          <w:rFonts w:ascii="Times New Roman" w:hAnsi="Times New Roman" w:cs="Times New Roman"/>
          <w:color w:val="000000" w:themeColor="text1"/>
          <w:sz w:val="24"/>
          <w:szCs w:val="24"/>
        </w:rPr>
        <w:t xml:space="preserve">wyłączenie obowiązkowego ubezpieczenia OC posiadaczy pojazdów </w:t>
      </w:r>
      <w:r w:rsidRPr="007978D6">
        <w:rPr>
          <w:rFonts w:ascii="Times New Roman" w:hAnsi="Times New Roman" w:cs="Times New Roman"/>
          <w:color w:val="000000" w:themeColor="text1"/>
          <w:sz w:val="24"/>
          <w:szCs w:val="24"/>
        </w:rPr>
        <w:lastRenderedPageBreak/>
        <w:t xml:space="preserve">mechanicznych z ochrony przewidzianej w art. 98 ust. 2 i dostosowanie regulacji zadań UFG do wymogów nowo dodanego art. 10a dyrektywy. </w:t>
      </w:r>
    </w:p>
    <w:p w14:paraId="4342C40E" w14:textId="77777777" w:rsidR="00DE3F26" w:rsidRPr="007978D6" w:rsidRDefault="00DE3F26" w:rsidP="002A23C5">
      <w:pPr>
        <w:spacing w:before="120" w:after="0"/>
        <w:jc w:val="both"/>
        <w:rPr>
          <w:rFonts w:ascii="Times New Roman" w:hAnsi="Times New Roman" w:cs="Times New Roman"/>
          <w:bCs/>
          <w:sz w:val="24"/>
          <w:szCs w:val="24"/>
        </w:rPr>
      </w:pPr>
      <w:r w:rsidRPr="007978D6">
        <w:rPr>
          <w:rFonts w:ascii="Times New Roman" w:hAnsi="Times New Roman" w:cs="Times New Roman"/>
          <w:color w:val="000000" w:themeColor="text1"/>
          <w:sz w:val="24"/>
          <w:szCs w:val="24"/>
        </w:rPr>
        <w:t xml:space="preserve">Ponadto, proponuje się zmianę w art. 107 ustawy o ubezpieczeniach obowiązkowych i dodanie nowego ustępu w tym przepisie. </w:t>
      </w:r>
      <w:r w:rsidRPr="007978D6">
        <w:rPr>
          <w:rFonts w:ascii="Times New Roman" w:hAnsi="Times New Roman" w:cs="Times New Roman"/>
          <w:bCs/>
          <w:sz w:val="24"/>
          <w:szCs w:val="24"/>
        </w:rPr>
        <w:t>Proponowana zmiana wynika ze wskazanej powyżej zmiany w zakresie art. 98 ust. 2 pkt 1 tej ustawy. Z zakresu tego przepisu wyłącza się odpowiedzialność Funduszu w przypadkach szeroko rozumianej niewypłacalności zakładu ubezpieczeń za szkody z umów ubezpieczenia OC posiadaczy pojazdów mechanicznych, a odpowiedzialność tę zastępuje się wprowadzaną w ust. 2a tego przepisu odpowiedzialnością względem podmiotów mających miejsce zamieszkania lub siedzibę na terytorium RP, zgodnie z implementacją art. 10a dyrektywy. Ze względu na powyższą zmianę osoby niemające miejsca zamieszkania ani siedziby na terytorium RP, które w aktualnym stanie prawnym mogłyby korzystać z zasady wzajemności, po uchwaleniu projektowanej nowelizacji w obecnym kształcie zostaną pozbawione takiej możliwości.</w:t>
      </w:r>
    </w:p>
    <w:p w14:paraId="7CA3EBA4" w14:textId="56379721" w:rsidR="00DE3F26" w:rsidRPr="007978D6" w:rsidRDefault="00DE3F26" w:rsidP="002A23C5">
      <w:pPr>
        <w:spacing w:before="120" w:after="0"/>
        <w:jc w:val="both"/>
        <w:rPr>
          <w:rFonts w:ascii="Times New Roman" w:hAnsi="Times New Roman" w:cs="Times New Roman"/>
          <w:bCs/>
          <w:sz w:val="24"/>
          <w:szCs w:val="24"/>
        </w:rPr>
      </w:pPr>
      <w:r w:rsidRPr="007978D6">
        <w:rPr>
          <w:rFonts w:ascii="Times New Roman" w:hAnsi="Times New Roman" w:cs="Times New Roman"/>
          <w:bCs/>
          <w:sz w:val="24"/>
          <w:szCs w:val="24"/>
        </w:rPr>
        <w:t>Jednocześnie, ze względu na to, że zawarte w aktualnym przepisie art. 107 ustawy sformułowanie „podmiotów polskich” nie jest pojęciem zdefiniowanym ustawą, trudno jednoznacznie określić jego zakres i wskazać relację względem użytego w art. 98 ust. 2a ustawy pojęcia „poszkodowanych lub uprawnionych do odszkodowania, mających miejsce zamieszkania lub siedzibę na terytorium RP” na potrzeby przyszłego stosowania znowelizowanych przepisów. Z tego powodu proponuje się wyodrębnienie oddzielnego ustępu na potrzeby art. 98 ust. 2a ustawy, zamiast dodania „i ust. 2a” do wyliczenia zawartego w obecnym art. 107 ustawy.</w:t>
      </w:r>
    </w:p>
    <w:p w14:paraId="2DAD9E96" w14:textId="783649B1" w:rsidR="0008575C" w:rsidRPr="007978D6" w:rsidRDefault="00713876"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W</w:t>
      </w:r>
      <w:r w:rsidR="0008575C" w:rsidRPr="007978D6">
        <w:rPr>
          <w:rFonts w:ascii="Times New Roman" w:hAnsi="Times New Roman" w:cs="Times New Roman"/>
          <w:color w:val="000000" w:themeColor="text1"/>
          <w:sz w:val="24"/>
          <w:szCs w:val="24"/>
        </w:rPr>
        <w:t xml:space="preserve"> celu implementowania art. 10a i </w:t>
      </w:r>
      <w:r w:rsidR="001658AF">
        <w:rPr>
          <w:rFonts w:ascii="Times New Roman" w:hAnsi="Times New Roman" w:cs="Times New Roman"/>
          <w:color w:val="000000" w:themeColor="text1"/>
          <w:sz w:val="24"/>
          <w:szCs w:val="24"/>
        </w:rPr>
        <w:t xml:space="preserve">art. </w:t>
      </w:r>
      <w:r w:rsidR="0008575C" w:rsidRPr="007978D6">
        <w:rPr>
          <w:rFonts w:ascii="Times New Roman" w:hAnsi="Times New Roman" w:cs="Times New Roman"/>
          <w:color w:val="000000" w:themeColor="text1"/>
          <w:sz w:val="24"/>
          <w:szCs w:val="24"/>
        </w:rPr>
        <w:t xml:space="preserve">25a dyrektywy, przy jednoczesnym dostosowaniu projektowanych przepisów do obowiązujących regulacji krajowych w zakresie postępowania upadłościowego i likwidacyjnego proponuje się, aby wszczęcie postępowania upadłościowego rozumiane było jako moment wydania przez sąd postanowienia o ogłoszeniu upadłości (które zgodnie z polskim prawem upadłościowym jest początkowym etapem postępowania i jednocześnie zainicjowaniem całego procesu upadłościowego), a wszczęcie postępowania likwidacyjnego – jako moment otwarcia likwidacji zakładu ubezpieczeń. Projekt ustawy przewiduje, że w przypadku wydania postanowienia o ogłoszeniu upadłości lub otwarcia likwidacji zakładu ubezpieczeń, sąd </w:t>
      </w:r>
      <w:r w:rsidR="00A33FA6" w:rsidRPr="007978D6">
        <w:rPr>
          <w:rFonts w:ascii="Times New Roman" w:hAnsi="Times New Roman" w:cs="Times New Roman"/>
          <w:color w:val="000000" w:themeColor="text1"/>
          <w:sz w:val="24"/>
          <w:szCs w:val="24"/>
        </w:rPr>
        <w:t xml:space="preserve">lub organ nadzoru </w:t>
      </w:r>
      <w:r w:rsidR="0008575C" w:rsidRPr="007978D6">
        <w:rPr>
          <w:rFonts w:ascii="Times New Roman" w:hAnsi="Times New Roman" w:cs="Times New Roman"/>
          <w:color w:val="000000" w:themeColor="text1"/>
          <w:sz w:val="24"/>
          <w:szCs w:val="24"/>
        </w:rPr>
        <w:t xml:space="preserve">będzie informował zarówno Fundusz, jak i Polskie Biuro Ubezpieczycieli Komunikacyjnych o wszczęciu postępowania upadłościowego albo likwidacyjnego (dodanie ust. 2 i 3 w art. 83f oraz ust. 2 i 3 w art. 111a). W przypadku postępowania upadłościowego proponuje się ponadto, aby już w momencie </w:t>
      </w:r>
      <w:r w:rsidR="0008575C" w:rsidRPr="007978D6">
        <w:rPr>
          <w:rFonts w:ascii="Times New Roman" w:hAnsi="Times New Roman" w:cs="Times New Roman"/>
          <w:color w:val="000000" w:themeColor="text1"/>
          <w:sz w:val="24"/>
          <w:szCs w:val="24"/>
        </w:rPr>
        <w:lastRenderedPageBreak/>
        <w:t xml:space="preserve">złożenia skutecznego wniosku o ogłoszenie upadłości, Fundusz oraz Polskie Biuro Ubezpieczycieli Komunikacyjnych były informowane o tym fakcie przez sąd lub organ nadzoru (dodanie ust. 1 w art. 83f oraz ust. 1 w art. 111a). </w:t>
      </w:r>
    </w:p>
    <w:p w14:paraId="7AD988C5" w14:textId="394AACCA" w:rsidR="00DE3F26" w:rsidRPr="007978D6" w:rsidRDefault="00DE3F26" w:rsidP="002A23C5">
      <w:pPr>
        <w:spacing w:before="120" w:after="0"/>
        <w:jc w:val="both"/>
        <w:rPr>
          <w:rFonts w:ascii="Times New Roman" w:hAnsi="Times New Roman" w:cs="Times New Roman"/>
          <w:color w:val="000000" w:themeColor="text1"/>
          <w:sz w:val="24"/>
          <w:szCs w:val="24"/>
          <w:u w:val="single"/>
        </w:rPr>
      </w:pPr>
      <w:r w:rsidRPr="007978D6">
        <w:rPr>
          <w:rFonts w:ascii="Times New Roman" w:hAnsi="Times New Roman" w:cs="Times New Roman"/>
          <w:color w:val="000000" w:themeColor="text1"/>
          <w:sz w:val="24"/>
          <w:szCs w:val="24"/>
          <w:u w:val="single"/>
        </w:rPr>
        <w:t>Finansowanie zadań UFG i PBUK</w:t>
      </w:r>
    </w:p>
    <w:p w14:paraId="097F18A8" w14:textId="46EDDA61"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Projekt przewiduje, że w celu realizacji zadania wynikającego z art. 98 ust. 2a ustawy o ubezpieczeniach obowiązkowych, w ramach Funduszu wyodrębniony zostanie fundusz do spraw niewypłacalności</w:t>
      </w:r>
      <w:r w:rsidR="00AD23F0" w:rsidRPr="007978D6">
        <w:rPr>
          <w:rFonts w:ascii="Times New Roman" w:hAnsi="Times New Roman" w:cs="Times New Roman"/>
          <w:color w:val="000000" w:themeColor="text1"/>
          <w:sz w:val="24"/>
          <w:szCs w:val="24"/>
        </w:rPr>
        <w:t xml:space="preserve">, będący rachunkiem </w:t>
      </w:r>
      <w:r w:rsidRPr="007978D6">
        <w:rPr>
          <w:rFonts w:ascii="Times New Roman" w:hAnsi="Times New Roman" w:cs="Times New Roman"/>
          <w:color w:val="000000" w:themeColor="text1"/>
          <w:sz w:val="24"/>
          <w:szCs w:val="24"/>
        </w:rPr>
        <w:t>obejm</w:t>
      </w:r>
      <w:r w:rsidR="00AD23F0" w:rsidRPr="007978D6">
        <w:rPr>
          <w:rFonts w:ascii="Times New Roman" w:hAnsi="Times New Roman" w:cs="Times New Roman"/>
          <w:color w:val="000000" w:themeColor="text1"/>
          <w:sz w:val="24"/>
          <w:szCs w:val="24"/>
        </w:rPr>
        <w:t>ującym</w:t>
      </w:r>
      <w:r w:rsidRPr="007978D6">
        <w:rPr>
          <w:rFonts w:ascii="Times New Roman" w:hAnsi="Times New Roman" w:cs="Times New Roman"/>
          <w:color w:val="000000" w:themeColor="text1"/>
          <w:sz w:val="24"/>
          <w:szCs w:val="24"/>
        </w:rPr>
        <w:t xml:space="preserve"> dochody i koszty, aktywa i zobowiązania związane z realizacją ww. zadania, a środki funduszu do spraw niewypłacalności gromadzone będą na wyodrębnionym rachunku bankowym Funduszu (dodanie ust. 1a i 1b w art. 117). </w:t>
      </w:r>
    </w:p>
    <w:p w14:paraId="6BE1AC96" w14:textId="3ACEF5E2"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Potencjalna upadłość zakładu ubezpieczeń może spowodować bardzo duże obciążenie finansowe funduszu do spraw niewypłacalności. W związku z tym istnieje konieczność zapewnienia odpowiedniego poziomu środków w tym funduszu, aby w sposób efektywny i niezwłoczny realizować zadania związane z upadłością zakładu ubezpieczeń lub jego likwidacją, na zasadach określonych w art. 98 ust. 2a. Aby nie obciążać nadmiernie zakładów ubezpieczeń, proponuje się wprowadzenie możliwości przekazywania nadwyżki bilansowej UFG, w części nieprzekraczającej 75% jej wysokości na fundusz do spraw niewypłacalności. Tym sposobem, w przypadku osiągania przez UFG dodatnich wyników finansowych, znaczna część nadwyżki bilansowej mogłaby zasilać fundusz do spraw niewypłacalności, aby w możliwie krótkim czasie zgromadzić niezbędne środki finansowe (dodanie ust. 2c w art. 117). </w:t>
      </w:r>
    </w:p>
    <w:p w14:paraId="4BA6E23D" w14:textId="7CEBC798"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Dodatkowo, w celu zapewnienia środków na finansowanie zadania, o którym mowa w art. 98 ust. 2a projekt przewiduje nałożenie na krajowe zakłady ubezpieczeń, posiadające zezwolenie na wykonywanie działalności ubezpieczeniowej w grupie obejmującej ubezpieczenie OC posiadaczy pojazdów mechanicznych, obowiązku wniesienia składki na rzecz funduszu do spraw niewypłacalności, </w:t>
      </w:r>
      <w:r w:rsidR="00F56C04" w:rsidRPr="007978D6">
        <w:rPr>
          <w:rFonts w:ascii="Times New Roman" w:hAnsi="Times New Roman" w:cs="Times New Roman"/>
          <w:color w:val="000000" w:themeColor="text1"/>
          <w:sz w:val="24"/>
          <w:szCs w:val="24"/>
        </w:rPr>
        <w:t xml:space="preserve">nie większej niż </w:t>
      </w:r>
      <w:r w:rsidRPr="007978D6">
        <w:rPr>
          <w:rFonts w:ascii="Times New Roman" w:hAnsi="Times New Roman" w:cs="Times New Roman"/>
          <w:color w:val="000000" w:themeColor="text1"/>
          <w:sz w:val="24"/>
          <w:szCs w:val="24"/>
        </w:rPr>
        <w:t>0,1% składki przypisanej brutto w ubezpieczeniu obowiązkowym posiadaczy pojazdów mechanicznych (dodanie ust. 3a w art. 117).</w:t>
      </w:r>
      <w:r w:rsidR="00D91B3A" w:rsidRPr="007978D6">
        <w:rPr>
          <w:rFonts w:ascii="Times New Roman" w:hAnsi="Times New Roman" w:cs="Times New Roman"/>
          <w:color w:val="000000" w:themeColor="text1"/>
          <w:sz w:val="24"/>
          <w:szCs w:val="24"/>
        </w:rPr>
        <w:t xml:space="preserve"> </w:t>
      </w:r>
      <w:r w:rsidR="00DA201C" w:rsidRPr="007978D6">
        <w:rPr>
          <w:rFonts w:ascii="Times New Roman" w:hAnsi="Times New Roman" w:cs="Times New Roman"/>
          <w:color w:val="000000" w:themeColor="text1"/>
          <w:sz w:val="24"/>
          <w:szCs w:val="24"/>
        </w:rPr>
        <w:t>Maksymalna procentowa wysokość składki</w:t>
      </w:r>
      <w:r w:rsidR="006E5911" w:rsidRPr="007978D6">
        <w:rPr>
          <w:rFonts w:ascii="Times New Roman" w:hAnsi="Times New Roman" w:cs="Times New Roman"/>
          <w:color w:val="000000" w:themeColor="text1"/>
          <w:sz w:val="24"/>
          <w:szCs w:val="24"/>
        </w:rPr>
        <w:t xml:space="preserve"> </w:t>
      </w:r>
      <w:r w:rsidR="00DA201C" w:rsidRPr="007978D6">
        <w:rPr>
          <w:rFonts w:ascii="Times New Roman" w:hAnsi="Times New Roman" w:cs="Times New Roman"/>
          <w:color w:val="000000" w:themeColor="text1"/>
          <w:sz w:val="24"/>
          <w:szCs w:val="24"/>
        </w:rPr>
        <w:t>z</w:t>
      </w:r>
      <w:r w:rsidR="006E5911" w:rsidRPr="007978D6">
        <w:rPr>
          <w:rFonts w:ascii="Times New Roman" w:hAnsi="Times New Roman" w:cs="Times New Roman"/>
          <w:color w:val="000000" w:themeColor="text1"/>
          <w:sz w:val="24"/>
          <w:szCs w:val="24"/>
        </w:rPr>
        <w:t>ostała wyznaczona w oparciu o przyjęte w trakcie uzgodnień ustalenia</w:t>
      </w:r>
      <w:r w:rsidR="00DA201C" w:rsidRPr="007978D6">
        <w:rPr>
          <w:rFonts w:ascii="Times New Roman" w:hAnsi="Times New Roman" w:cs="Times New Roman"/>
          <w:color w:val="000000" w:themeColor="text1"/>
          <w:sz w:val="24"/>
          <w:szCs w:val="24"/>
        </w:rPr>
        <w:t>.</w:t>
      </w:r>
      <w:r w:rsidR="006E5911" w:rsidRPr="007978D6">
        <w:rPr>
          <w:rFonts w:ascii="Times New Roman" w:hAnsi="Times New Roman" w:cs="Times New Roman"/>
          <w:color w:val="000000" w:themeColor="text1"/>
          <w:sz w:val="24"/>
          <w:szCs w:val="24"/>
        </w:rPr>
        <w:t xml:space="preserve"> </w:t>
      </w:r>
      <w:r w:rsidR="00DA201C" w:rsidRPr="007978D6">
        <w:rPr>
          <w:rFonts w:ascii="Times New Roman" w:hAnsi="Times New Roman" w:cs="Times New Roman"/>
          <w:color w:val="000000" w:themeColor="text1"/>
          <w:sz w:val="24"/>
          <w:szCs w:val="24"/>
        </w:rPr>
        <w:t xml:space="preserve">Jednocześnie do projektu został wprowadzony </w:t>
      </w:r>
      <w:r w:rsidR="00CA2F1B" w:rsidRPr="007978D6">
        <w:rPr>
          <w:rFonts w:ascii="Times New Roman" w:hAnsi="Times New Roman" w:cs="Times New Roman"/>
          <w:color w:val="000000" w:themeColor="text1"/>
          <w:sz w:val="24"/>
          <w:szCs w:val="24"/>
        </w:rPr>
        <w:t>przepis</w:t>
      </w:r>
      <w:r w:rsidR="00083E01" w:rsidRPr="007978D6">
        <w:rPr>
          <w:rFonts w:ascii="Times New Roman" w:hAnsi="Times New Roman" w:cs="Times New Roman"/>
          <w:color w:val="000000" w:themeColor="text1"/>
          <w:sz w:val="24"/>
          <w:szCs w:val="24"/>
        </w:rPr>
        <w:t xml:space="preserve"> zawierając</w:t>
      </w:r>
      <w:r w:rsidR="00DA201C" w:rsidRPr="007978D6">
        <w:rPr>
          <w:rFonts w:ascii="Times New Roman" w:hAnsi="Times New Roman" w:cs="Times New Roman"/>
          <w:color w:val="000000" w:themeColor="text1"/>
          <w:sz w:val="24"/>
          <w:szCs w:val="24"/>
        </w:rPr>
        <w:t>y</w:t>
      </w:r>
      <w:r w:rsidR="00083E01" w:rsidRPr="007978D6">
        <w:rPr>
          <w:rFonts w:ascii="Times New Roman" w:hAnsi="Times New Roman" w:cs="Times New Roman"/>
          <w:color w:val="000000" w:themeColor="text1"/>
          <w:sz w:val="24"/>
          <w:szCs w:val="24"/>
        </w:rPr>
        <w:t xml:space="preserve"> upoważnienie dla</w:t>
      </w:r>
      <w:r w:rsidR="00CA2F1B" w:rsidRPr="007978D6">
        <w:rPr>
          <w:rFonts w:ascii="Times New Roman" w:hAnsi="Times New Roman" w:cs="Times New Roman"/>
          <w:color w:val="000000" w:themeColor="text1"/>
          <w:sz w:val="24"/>
          <w:szCs w:val="24"/>
        </w:rPr>
        <w:t xml:space="preserve"> ministra właściwego do spraw instytucji finansowych do wydania stosownego aktu wykonawczego określającego wysokość tej składki oraz termin uiszczania</w:t>
      </w:r>
      <w:r w:rsidR="000B5089" w:rsidRPr="007978D6">
        <w:rPr>
          <w:rFonts w:ascii="Times New Roman" w:hAnsi="Times New Roman" w:cs="Times New Roman"/>
          <w:color w:val="000000" w:themeColor="text1"/>
          <w:sz w:val="24"/>
          <w:szCs w:val="24"/>
        </w:rPr>
        <w:t xml:space="preserve"> (dodanie ust. 5a w art. 117)</w:t>
      </w:r>
      <w:r w:rsidR="00CA2F1B" w:rsidRPr="007978D6">
        <w:rPr>
          <w:rFonts w:ascii="Times New Roman" w:hAnsi="Times New Roman" w:cs="Times New Roman"/>
          <w:color w:val="000000" w:themeColor="text1"/>
          <w:sz w:val="24"/>
          <w:szCs w:val="24"/>
        </w:rPr>
        <w:t>.</w:t>
      </w:r>
    </w:p>
    <w:p w14:paraId="75B74D5A" w14:textId="7C551FAE" w:rsidR="00F56C04"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lastRenderedPageBreak/>
        <w:t>Proponuje się również przyjęcie mechanizmu składki dodatkowej. Składka dodatkowa byłaby uiszczania przez zakłady ubezpieczeń wyłącznie w przypadku wszczęcia postępowania upadłościowego albo likwidacyjnego względem krajowego zakładu ubezpieczeń, prowadzącego działalność w zakresie ubezpieczeń, o których mowa w art. 4 ust. 1, jeśli środki zgromadzone w funduszu do spraw niewypłacalności okazał</w:t>
      </w:r>
      <w:r w:rsidR="001658AF">
        <w:rPr>
          <w:rFonts w:ascii="Times New Roman" w:hAnsi="Times New Roman" w:cs="Times New Roman"/>
          <w:color w:val="000000" w:themeColor="text1"/>
          <w:sz w:val="24"/>
          <w:szCs w:val="24"/>
        </w:rPr>
        <w:t>y</w:t>
      </w:r>
      <w:r w:rsidRPr="007978D6">
        <w:rPr>
          <w:rFonts w:ascii="Times New Roman" w:hAnsi="Times New Roman" w:cs="Times New Roman"/>
          <w:color w:val="000000" w:themeColor="text1"/>
          <w:sz w:val="24"/>
          <w:szCs w:val="24"/>
        </w:rPr>
        <w:t xml:space="preserve">by się niewystarczające na potrzeby realizacji zadań wynikających z art. 98 ust. 2a. Składka ta nie miałaby zatem charakteru stałego, ani cyklicznego. Byłaby uiszczana wyłącznie w sytuacjach nadzwyczajnych, tj. konieczności realizowania przez Fundusz wypłat i jednoczesnego braku środków w funduszu do spraw niewypłacalności. Projekt przewiduje także, aby ewentualna składka dodatkowa wnoszona była corocznie na pokrycie szacowanych wypłat odszkodowań i świadczeń, wynikających z art. 98 ust. 2a, w okresie kolejnych 12 miesięcy, a nie jednorazowo. Mechanizm corocznej składki dodatkowej stanowiłby mniejsze obciążenie finansowe dla zakładów ubezpieczeń, niż wpłata składki jednorazowej oszacowanej na podstawie wszystkich zobowiązań upadłego lub likwidowanego zakładu ubezpieczeń. Jednocześnie, szacuje się, że składka coroczna byłaby sumarycznie znacznie niższa niż składka jednorazowa, nie tylko z powodu szacowania zobowiązań Funduszu w skali roku, ale również ze względu na to, że każdego roku Fundusz będzie zasilany nowymi środkami ze składki, o której mowa w ust. 3a oraz z ewentualnej nadwyżki bilansowej, o której mowa w proponowanym ust. 2c, jak również Fundusz na bieżąco może dochodzić zwrotu wypłaconych należności. Wszystkie te czynniki wpływałyby na obniżenie potencjalnej corocznej składki dodatkowej (dodanie ust. 3b w art. 117). </w:t>
      </w:r>
      <w:r w:rsidR="00301A8A" w:rsidRPr="007978D6">
        <w:rPr>
          <w:rFonts w:ascii="Times New Roman" w:hAnsi="Times New Roman" w:cs="Times New Roman"/>
          <w:color w:val="000000" w:themeColor="text1"/>
          <w:sz w:val="24"/>
          <w:szCs w:val="24"/>
        </w:rPr>
        <w:t xml:space="preserve">Na obecnym etapie prac nie ma możliwości skalkulowania konkretnej wysokości takiej składki, ponieważ wysokość potrzebnych środków finansowych zależeć będzie od wielu czynników, m.in. wielkości skali upadłości </w:t>
      </w:r>
      <w:r w:rsidR="0044085A" w:rsidRPr="007978D6">
        <w:rPr>
          <w:rFonts w:ascii="Times New Roman" w:hAnsi="Times New Roman" w:cs="Times New Roman"/>
          <w:color w:val="000000" w:themeColor="text1"/>
          <w:sz w:val="24"/>
          <w:szCs w:val="24"/>
        </w:rPr>
        <w:t xml:space="preserve">czy też </w:t>
      </w:r>
      <w:r w:rsidR="00301A8A" w:rsidRPr="007978D6">
        <w:rPr>
          <w:rFonts w:ascii="Times New Roman" w:hAnsi="Times New Roman" w:cs="Times New Roman"/>
          <w:color w:val="000000" w:themeColor="text1"/>
          <w:sz w:val="24"/>
          <w:szCs w:val="24"/>
        </w:rPr>
        <w:t xml:space="preserve">wielkości podmiotu objętego postępowaniem upadłościowym lub likwidacyjnym. </w:t>
      </w:r>
      <w:r w:rsidR="00DA201C" w:rsidRPr="007978D6">
        <w:rPr>
          <w:rFonts w:ascii="Times New Roman" w:hAnsi="Times New Roman" w:cs="Times New Roman"/>
          <w:color w:val="000000" w:themeColor="text1"/>
          <w:sz w:val="24"/>
          <w:szCs w:val="24"/>
        </w:rPr>
        <w:t xml:space="preserve">W związku z tym, nie ma również możliwości wyznaczenia maksymalnej wysokości takiej składki. </w:t>
      </w:r>
      <w:r w:rsidR="00F56C04" w:rsidRPr="007978D6">
        <w:rPr>
          <w:rFonts w:ascii="Times New Roman" w:hAnsi="Times New Roman" w:cs="Times New Roman"/>
          <w:color w:val="000000" w:themeColor="text1"/>
          <w:sz w:val="24"/>
          <w:szCs w:val="24"/>
        </w:rPr>
        <w:t>Z uwagi na szczególny charakter składki dodatkowej</w:t>
      </w:r>
      <w:r w:rsidR="00301A8A" w:rsidRPr="007978D6">
        <w:rPr>
          <w:rFonts w:ascii="Times New Roman" w:hAnsi="Times New Roman" w:cs="Times New Roman"/>
          <w:color w:val="000000" w:themeColor="text1"/>
          <w:sz w:val="24"/>
          <w:szCs w:val="24"/>
        </w:rPr>
        <w:t xml:space="preserve"> </w:t>
      </w:r>
      <w:r w:rsidR="00F56C04" w:rsidRPr="007978D6">
        <w:rPr>
          <w:rFonts w:ascii="Times New Roman" w:hAnsi="Times New Roman" w:cs="Times New Roman"/>
          <w:color w:val="000000" w:themeColor="text1"/>
          <w:sz w:val="24"/>
          <w:szCs w:val="24"/>
        </w:rPr>
        <w:t xml:space="preserve">przewiduje się wprowadzenie do projektu ustawy </w:t>
      </w:r>
      <w:r w:rsidR="00DA201C" w:rsidRPr="007978D6">
        <w:rPr>
          <w:rFonts w:ascii="Times New Roman" w:hAnsi="Times New Roman" w:cs="Times New Roman"/>
          <w:color w:val="000000" w:themeColor="text1"/>
          <w:sz w:val="24"/>
          <w:szCs w:val="24"/>
        </w:rPr>
        <w:t xml:space="preserve">przepisu zawierającego upoważnienie ustawowe do wydania rozporządzenia przez Ministra Finansów, który to przepis będzie miał </w:t>
      </w:r>
      <w:r w:rsidR="00F56C04" w:rsidRPr="007978D6">
        <w:rPr>
          <w:rFonts w:ascii="Times New Roman" w:hAnsi="Times New Roman" w:cs="Times New Roman"/>
          <w:color w:val="000000" w:themeColor="text1"/>
          <w:sz w:val="24"/>
          <w:szCs w:val="24"/>
        </w:rPr>
        <w:t>charakter fakultatywny</w:t>
      </w:r>
      <w:r w:rsidR="00DA201C" w:rsidRPr="007978D6">
        <w:rPr>
          <w:rFonts w:ascii="Times New Roman" w:hAnsi="Times New Roman" w:cs="Times New Roman"/>
          <w:color w:val="000000" w:themeColor="text1"/>
          <w:sz w:val="24"/>
          <w:szCs w:val="24"/>
        </w:rPr>
        <w:t>.</w:t>
      </w:r>
      <w:r w:rsidR="000B5089" w:rsidRPr="007978D6">
        <w:rPr>
          <w:rFonts w:ascii="Times New Roman" w:hAnsi="Times New Roman" w:cs="Times New Roman"/>
          <w:color w:val="000000" w:themeColor="text1"/>
          <w:sz w:val="24"/>
          <w:szCs w:val="24"/>
        </w:rPr>
        <w:t xml:space="preserve"> </w:t>
      </w:r>
      <w:r w:rsidR="00D12826" w:rsidRPr="007978D6">
        <w:rPr>
          <w:rFonts w:ascii="Times New Roman" w:hAnsi="Times New Roman" w:cs="Times New Roman"/>
          <w:color w:val="000000" w:themeColor="text1"/>
          <w:sz w:val="24"/>
          <w:szCs w:val="24"/>
        </w:rPr>
        <w:t xml:space="preserve">W przypadku zaistnienia określonych okoliczności minister </w:t>
      </w:r>
      <w:r w:rsidR="00F56C04" w:rsidRPr="007978D6">
        <w:rPr>
          <w:rFonts w:ascii="Times New Roman" w:hAnsi="Times New Roman" w:cs="Times New Roman"/>
          <w:color w:val="000000" w:themeColor="text1"/>
          <w:sz w:val="24"/>
          <w:szCs w:val="24"/>
        </w:rPr>
        <w:t>właściw</w:t>
      </w:r>
      <w:r w:rsidR="00D12826" w:rsidRPr="007978D6">
        <w:rPr>
          <w:rFonts w:ascii="Times New Roman" w:hAnsi="Times New Roman" w:cs="Times New Roman"/>
          <w:color w:val="000000" w:themeColor="text1"/>
          <w:sz w:val="24"/>
          <w:szCs w:val="24"/>
        </w:rPr>
        <w:t>y</w:t>
      </w:r>
      <w:r w:rsidR="00F56C04" w:rsidRPr="007978D6">
        <w:rPr>
          <w:rFonts w:ascii="Times New Roman" w:hAnsi="Times New Roman" w:cs="Times New Roman"/>
          <w:color w:val="000000" w:themeColor="text1"/>
          <w:sz w:val="24"/>
          <w:szCs w:val="24"/>
        </w:rPr>
        <w:t xml:space="preserve"> do spraw instytucji finansowych</w:t>
      </w:r>
      <w:r w:rsidR="00D12826" w:rsidRPr="007978D6">
        <w:rPr>
          <w:rFonts w:ascii="Times New Roman" w:hAnsi="Times New Roman" w:cs="Times New Roman"/>
          <w:color w:val="000000" w:themeColor="text1"/>
          <w:sz w:val="24"/>
          <w:szCs w:val="24"/>
        </w:rPr>
        <w:t xml:space="preserve">, po zasięgnięciu opinii </w:t>
      </w:r>
      <w:r w:rsidR="00A1252E" w:rsidRPr="007978D6">
        <w:rPr>
          <w:rFonts w:ascii="Times New Roman" w:hAnsi="Times New Roman" w:cs="Times New Roman"/>
          <w:color w:val="000000" w:themeColor="text1"/>
          <w:sz w:val="24"/>
          <w:szCs w:val="24"/>
        </w:rPr>
        <w:t xml:space="preserve">Funduszu i </w:t>
      </w:r>
      <w:r w:rsidR="00D12826" w:rsidRPr="007978D6">
        <w:rPr>
          <w:rFonts w:ascii="Times New Roman" w:hAnsi="Times New Roman" w:cs="Times New Roman"/>
          <w:color w:val="000000" w:themeColor="text1"/>
          <w:sz w:val="24"/>
          <w:szCs w:val="24"/>
        </w:rPr>
        <w:t xml:space="preserve">organu nadzoru, będzie </w:t>
      </w:r>
      <w:r w:rsidR="00301A8A" w:rsidRPr="007978D6">
        <w:rPr>
          <w:rFonts w:ascii="Times New Roman" w:hAnsi="Times New Roman" w:cs="Times New Roman"/>
          <w:color w:val="000000" w:themeColor="text1"/>
          <w:sz w:val="24"/>
          <w:szCs w:val="24"/>
        </w:rPr>
        <w:t xml:space="preserve">mógł określić wysokość </w:t>
      </w:r>
      <w:r w:rsidR="00D12826" w:rsidRPr="007978D6">
        <w:rPr>
          <w:rFonts w:ascii="Times New Roman" w:hAnsi="Times New Roman" w:cs="Times New Roman"/>
          <w:color w:val="000000" w:themeColor="text1"/>
          <w:sz w:val="24"/>
          <w:szCs w:val="24"/>
        </w:rPr>
        <w:t xml:space="preserve">procentu </w:t>
      </w:r>
      <w:r w:rsidR="00301A8A" w:rsidRPr="007978D6">
        <w:rPr>
          <w:rFonts w:ascii="Times New Roman" w:hAnsi="Times New Roman" w:cs="Times New Roman"/>
          <w:color w:val="000000" w:themeColor="text1"/>
          <w:sz w:val="24"/>
          <w:szCs w:val="24"/>
        </w:rPr>
        <w:t xml:space="preserve">składki </w:t>
      </w:r>
      <w:r w:rsidR="0044085A" w:rsidRPr="007978D6">
        <w:rPr>
          <w:rFonts w:ascii="Times New Roman" w:hAnsi="Times New Roman" w:cs="Times New Roman"/>
          <w:color w:val="000000" w:themeColor="text1"/>
          <w:sz w:val="24"/>
          <w:szCs w:val="24"/>
        </w:rPr>
        <w:t xml:space="preserve">dodatkowej </w:t>
      </w:r>
      <w:r w:rsidR="00301A8A" w:rsidRPr="007978D6">
        <w:rPr>
          <w:rFonts w:ascii="Times New Roman" w:hAnsi="Times New Roman" w:cs="Times New Roman"/>
          <w:color w:val="000000" w:themeColor="text1"/>
          <w:sz w:val="24"/>
          <w:szCs w:val="24"/>
        </w:rPr>
        <w:t>oraz termin jej uiszczania</w:t>
      </w:r>
      <w:r w:rsidR="000B5089" w:rsidRPr="007978D6">
        <w:rPr>
          <w:rFonts w:ascii="Times New Roman" w:hAnsi="Times New Roman" w:cs="Times New Roman"/>
          <w:color w:val="000000" w:themeColor="text1"/>
          <w:sz w:val="24"/>
          <w:szCs w:val="24"/>
        </w:rPr>
        <w:t xml:space="preserve"> (dodanie ust. 5b w art. 117)</w:t>
      </w:r>
      <w:r w:rsidR="00F56C04" w:rsidRPr="007978D6">
        <w:rPr>
          <w:rFonts w:ascii="Times New Roman" w:hAnsi="Times New Roman" w:cs="Times New Roman"/>
          <w:color w:val="000000" w:themeColor="text1"/>
          <w:sz w:val="24"/>
          <w:szCs w:val="24"/>
        </w:rPr>
        <w:t xml:space="preserve">. </w:t>
      </w:r>
    </w:p>
    <w:p w14:paraId="71F05306" w14:textId="4BCAE101" w:rsidR="0012171D" w:rsidRPr="007978D6" w:rsidRDefault="00386820" w:rsidP="002A23C5">
      <w:pPr>
        <w:spacing w:before="120" w:after="0"/>
        <w:jc w:val="both"/>
        <w:rPr>
          <w:rFonts w:ascii="Times New Roman" w:hAnsi="Times New Roman" w:cs="Times New Roman"/>
          <w:sz w:val="24"/>
          <w:szCs w:val="24"/>
          <w:lang w:eastAsia="pl-PL"/>
        </w:rPr>
      </w:pPr>
      <w:r w:rsidRPr="007978D6">
        <w:rPr>
          <w:rFonts w:ascii="Times New Roman" w:hAnsi="Times New Roman" w:cs="Times New Roman"/>
          <w:color w:val="000000" w:themeColor="text1"/>
          <w:sz w:val="24"/>
          <w:szCs w:val="24"/>
        </w:rPr>
        <w:t>W celu zapewnienia środków na finansowanie zadania PBUK, o którym mowa w art. 122 ust. 1 pkt 9, projekt ustawy przewiduje dodanie art. 138a. D</w:t>
      </w:r>
      <w:r w:rsidRPr="007978D6">
        <w:rPr>
          <w:rFonts w:ascii="Times New Roman" w:hAnsi="Times New Roman" w:cs="Times New Roman"/>
          <w:sz w:val="24"/>
          <w:szCs w:val="24"/>
          <w:lang w:eastAsia="pl-PL"/>
        </w:rPr>
        <w:t xml:space="preserve">oświadczenia </w:t>
      </w:r>
      <w:r w:rsidR="008A332E" w:rsidRPr="007978D6">
        <w:rPr>
          <w:rFonts w:ascii="Times New Roman" w:hAnsi="Times New Roman" w:cs="Times New Roman"/>
          <w:sz w:val="24"/>
          <w:szCs w:val="24"/>
          <w:lang w:eastAsia="pl-PL"/>
        </w:rPr>
        <w:t xml:space="preserve">PBUK </w:t>
      </w:r>
      <w:r w:rsidRPr="007978D6">
        <w:rPr>
          <w:rFonts w:ascii="Times New Roman" w:hAnsi="Times New Roman" w:cs="Times New Roman"/>
          <w:sz w:val="24"/>
          <w:szCs w:val="24"/>
          <w:lang w:eastAsia="pl-PL"/>
        </w:rPr>
        <w:t xml:space="preserve">zebrane w trakcie </w:t>
      </w:r>
      <w:r w:rsidRPr="007978D6">
        <w:rPr>
          <w:rFonts w:ascii="Times New Roman" w:hAnsi="Times New Roman" w:cs="Times New Roman"/>
          <w:sz w:val="24"/>
          <w:szCs w:val="24"/>
          <w:lang w:eastAsia="pl-PL"/>
        </w:rPr>
        <w:lastRenderedPageBreak/>
        <w:t xml:space="preserve">procesów upadłościowych zagranicznych ubezpieczycieli w ostatnich latach </w:t>
      </w:r>
      <w:r w:rsidR="00553F02" w:rsidRPr="007978D6">
        <w:rPr>
          <w:rFonts w:ascii="Times New Roman" w:hAnsi="Times New Roman" w:cs="Times New Roman"/>
          <w:sz w:val="24"/>
          <w:szCs w:val="24"/>
          <w:lang w:eastAsia="pl-PL"/>
        </w:rPr>
        <w:t>wskazują</w:t>
      </w:r>
      <w:r w:rsidRPr="007978D6">
        <w:rPr>
          <w:rFonts w:ascii="Times New Roman" w:hAnsi="Times New Roman" w:cs="Times New Roman"/>
          <w:sz w:val="24"/>
          <w:szCs w:val="24"/>
          <w:lang w:eastAsia="pl-PL"/>
        </w:rPr>
        <w:t xml:space="preserve">, że zapotrzebowanie na środki finansowe będzie rozłożone w czasie na przestrzeni kilku bądź nawet kilkunastu lat. Należy również uwzględnić to, że w znacznej części przypadków, w których ustawa przewiduje interwencję PBUK na wypadek niewypłacalności ubezpieczyciela, koszty PBUK przeznaczone na likwidację szkód będą refundowane przez równoważne podmioty wyznaczone do pełnienia analogicznych zadań w innych państwach członkowskich UE. Z tego też powodu można przyjąć, </w:t>
      </w:r>
      <w:r w:rsidR="008A332E" w:rsidRPr="007978D6">
        <w:rPr>
          <w:rFonts w:ascii="Times New Roman" w:hAnsi="Times New Roman" w:cs="Times New Roman"/>
          <w:sz w:val="24"/>
          <w:szCs w:val="24"/>
          <w:lang w:eastAsia="pl-PL"/>
        </w:rPr>
        <w:t>że</w:t>
      </w:r>
      <w:r w:rsidRPr="007978D6">
        <w:rPr>
          <w:rFonts w:ascii="Times New Roman" w:hAnsi="Times New Roman" w:cs="Times New Roman"/>
          <w:sz w:val="24"/>
          <w:szCs w:val="24"/>
          <w:lang w:eastAsia="pl-PL"/>
        </w:rPr>
        <w:t xml:space="preserve"> poziom zabezpieczenia finansowego w istocie nie powinien znacznie przekraczać dotychczasowego funduszu, którym PBUK dysponuje w ramach bieżącej działalności. W przypadku PBUK niezasadne jest gromadzenie znaczniejszych środków na poczet ewentualnej niewypłacalności, a celowym jest przyjęcie rozwiązania bardziej elastycznego i jednocześnie zapewniającego możliwość zgromadzenia w odpowiednim czasie środków dostosowanych do rozmiarów przewidywanych zobowiązań. </w:t>
      </w:r>
      <w:r w:rsidR="004D55CE" w:rsidRPr="007978D6">
        <w:rPr>
          <w:rFonts w:ascii="Times New Roman" w:hAnsi="Times New Roman" w:cs="Times New Roman"/>
          <w:sz w:val="24"/>
          <w:szCs w:val="24"/>
          <w:lang w:eastAsia="pl-PL"/>
        </w:rPr>
        <w:t>Z</w:t>
      </w:r>
      <w:r w:rsidRPr="007978D6">
        <w:rPr>
          <w:rFonts w:ascii="Times New Roman" w:hAnsi="Times New Roman" w:cs="Times New Roman"/>
          <w:sz w:val="24"/>
          <w:szCs w:val="24"/>
          <w:lang w:eastAsia="pl-PL"/>
        </w:rPr>
        <w:t xml:space="preserve">asady wyliczania </w:t>
      </w:r>
      <w:r w:rsidR="004D55CE" w:rsidRPr="007978D6">
        <w:rPr>
          <w:rFonts w:ascii="Times New Roman" w:hAnsi="Times New Roman" w:cs="Times New Roman"/>
          <w:sz w:val="24"/>
          <w:szCs w:val="24"/>
          <w:lang w:eastAsia="pl-PL"/>
        </w:rPr>
        <w:t xml:space="preserve">wysokości składki </w:t>
      </w:r>
      <w:r w:rsidRPr="007978D6">
        <w:rPr>
          <w:rFonts w:ascii="Times New Roman" w:hAnsi="Times New Roman" w:cs="Times New Roman"/>
          <w:sz w:val="24"/>
          <w:szCs w:val="24"/>
          <w:lang w:eastAsia="pl-PL"/>
        </w:rPr>
        <w:t xml:space="preserve">oraz terminy uiszczania składki będzie określał Statut Biura. </w:t>
      </w:r>
      <w:r w:rsidR="00323A8B" w:rsidRPr="007978D6">
        <w:rPr>
          <w:rFonts w:ascii="Times New Roman" w:hAnsi="Times New Roman" w:cs="Times New Roman"/>
          <w:sz w:val="24"/>
          <w:szCs w:val="24"/>
          <w:lang w:eastAsia="pl-PL"/>
        </w:rPr>
        <w:t xml:space="preserve">Na obecnym etapie, z uwagi na brak </w:t>
      </w:r>
      <w:r w:rsidR="005506A4" w:rsidRPr="007978D6">
        <w:rPr>
          <w:rFonts w:ascii="Times New Roman" w:hAnsi="Times New Roman" w:cs="Times New Roman"/>
          <w:sz w:val="24"/>
          <w:szCs w:val="24"/>
          <w:lang w:eastAsia="pl-PL"/>
        </w:rPr>
        <w:t xml:space="preserve">wiedzy </w:t>
      </w:r>
      <w:r w:rsidR="00323A8B" w:rsidRPr="007978D6">
        <w:rPr>
          <w:rFonts w:ascii="Times New Roman" w:hAnsi="Times New Roman" w:cs="Times New Roman"/>
          <w:sz w:val="24"/>
          <w:szCs w:val="24"/>
          <w:lang w:eastAsia="pl-PL"/>
        </w:rPr>
        <w:t xml:space="preserve">o </w:t>
      </w:r>
      <w:r w:rsidR="005506A4" w:rsidRPr="007978D6">
        <w:rPr>
          <w:rFonts w:ascii="Times New Roman" w:hAnsi="Times New Roman" w:cs="Times New Roman"/>
          <w:sz w:val="24"/>
          <w:szCs w:val="24"/>
          <w:lang w:eastAsia="pl-PL"/>
        </w:rPr>
        <w:t xml:space="preserve">wielkości niezbędnych środków na poczet </w:t>
      </w:r>
      <w:r w:rsidR="00323A8B" w:rsidRPr="007978D6">
        <w:rPr>
          <w:rFonts w:ascii="Times New Roman" w:hAnsi="Times New Roman" w:cs="Times New Roman"/>
          <w:sz w:val="24"/>
          <w:szCs w:val="24"/>
          <w:lang w:eastAsia="pl-PL"/>
        </w:rPr>
        <w:t xml:space="preserve">ewentualnej </w:t>
      </w:r>
      <w:r w:rsidR="005506A4" w:rsidRPr="007978D6">
        <w:rPr>
          <w:rFonts w:ascii="Times New Roman" w:hAnsi="Times New Roman" w:cs="Times New Roman"/>
          <w:sz w:val="24"/>
          <w:szCs w:val="24"/>
          <w:lang w:eastAsia="pl-PL"/>
        </w:rPr>
        <w:t xml:space="preserve">upadłości, </w:t>
      </w:r>
      <w:r w:rsidR="00323A8B" w:rsidRPr="007978D6">
        <w:rPr>
          <w:rFonts w:ascii="Times New Roman" w:hAnsi="Times New Roman" w:cs="Times New Roman"/>
          <w:sz w:val="24"/>
          <w:szCs w:val="24"/>
          <w:lang w:eastAsia="pl-PL"/>
        </w:rPr>
        <w:t xml:space="preserve">nie ma możliwości wyznaczenia maksymalnej wysokości takiej składki. </w:t>
      </w:r>
      <w:r w:rsidR="005506A4" w:rsidRPr="007978D6">
        <w:rPr>
          <w:rFonts w:ascii="Times New Roman" w:hAnsi="Times New Roman" w:cs="Times New Roman"/>
          <w:sz w:val="24"/>
          <w:szCs w:val="24"/>
          <w:lang w:eastAsia="pl-PL"/>
        </w:rPr>
        <w:t>P</w:t>
      </w:r>
      <w:r w:rsidRPr="007978D6">
        <w:rPr>
          <w:rFonts w:ascii="Times New Roman" w:hAnsi="Times New Roman" w:cs="Times New Roman"/>
          <w:sz w:val="24"/>
          <w:szCs w:val="24"/>
          <w:lang w:eastAsia="pl-PL"/>
        </w:rPr>
        <w:t>ostanowienia statutu Biura, jak i jego zmiany wymagają każdorazowo zatwierdzenia przez Ministra Finansów po zasięgnięciu opinii organu nadzoru. Tym samym zachowana jest i byłaby w przyszłości kontrola nad sposobem gromadzenia i wydatkowania środków przeznaczonych na realizację zadań określonych w ustawie.</w:t>
      </w:r>
      <w:r w:rsidR="00961803" w:rsidRPr="007978D6">
        <w:rPr>
          <w:rFonts w:ascii="Times New Roman" w:hAnsi="Times New Roman" w:cs="Times New Roman"/>
          <w:sz w:val="24"/>
          <w:szCs w:val="24"/>
          <w:lang w:eastAsia="pl-PL"/>
        </w:rPr>
        <w:t xml:space="preserve"> </w:t>
      </w:r>
    </w:p>
    <w:p w14:paraId="5D81C083" w14:textId="308ADEFA"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Projekt ustawy implementujący przepisy art. 10a i </w:t>
      </w:r>
      <w:r w:rsidR="001658AF">
        <w:rPr>
          <w:rFonts w:ascii="Times New Roman" w:hAnsi="Times New Roman" w:cs="Times New Roman"/>
          <w:color w:val="000000" w:themeColor="text1"/>
          <w:sz w:val="24"/>
          <w:szCs w:val="24"/>
        </w:rPr>
        <w:t xml:space="preserve">art. </w:t>
      </w:r>
      <w:r w:rsidRPr="007978D6">
        <w:rPr>
          <w:rFonts w:ascii="Times New Roman" w:hAnsi="Times New Roman" w:cs="Times New Roman"/>
          <w:color w:val="000000" w:themeColor="text1"/>
          <w:sz w:val="24"/>
          <w:szCs w:val="24"/>
        </w:rPr>
        <w:t>25a dyrektywy wprowadza następujące regulacje:</w:t>
      </w:r>
    </w:p>
    <w:p w14:paraId="55C33CED" w14:textId="77777777" w:rsidR="00386820" w:rsidRPr="007978D6" w:rsidRDefault="00386820" w:rsidP="002A23C5">
      <w:pPr>
        <w:pStyle w:val="Akapitzlist"/>
        <w:numPr>
          <w:ilvl w:val="0"/>
          <w:numId w:val="4"/>
        </w:numPr>
        <w:spacing w:before="120" w:after="0"/>
        <w:ind w:left="426" w:hanging="426"/>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ciężar finansowy realizowania tych zadań zostanie nałożony na krajowe zakłady ubezpieczeń, posiadające zezwolenie na wykonywanie działalności ubezpieczeniowej w zakresie obowiązkowego ubezpieczenia OC posiadaczy pojazdów mechanicznych (zmiany w art. 117 i odpowiednio dodanie art. 138a w ustawie o ubezpieczeniach obowiązkowych),</w:t>
      </w:r>
    </w:p>
    <w:p w14:paraId="3E053A0C" w14:textId="0114AE6B" w:rsidR="00386820" w:rsidRPr="007978D6" w:rsidRDefault="00386820" w:rsidP="002A23C5">
      <w:pPr>
        <w:pStyle w:val="Akapitzlist"/>
        <w:numPr>
          <w:ilvl w:val="0"/>
          <w:numId w:val="4"/>
        </w:numPr>
        <w:spacing w:before="120" w:after="0"/>
        <w:ind w:left="426" w:hanging="426"/>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obowiązki informacyjne (nowo dodany art. 83f i </w:t>
      </w:r>
      <w:r w:rsidR="001658AF">
        <w:rPr>
          <w:rFonts w:ascii="Times New Roman" w:hAnsi="Times New Roman" w:cs="Times New Roman"/>
          <w:color w:val="000000" w:themeColor="text1"/>
          <w:sz w:val="24"/>
          <w:szCs w:val="24"/>
        </w:rPr>
        <w:t xml:space="preserve">art. </w:t>
      </w:r>
      <w:r w:rsidRPr="007978D6">
        <w:rPr>
          <w:rFonts w:ascii="Times New Roman" w:hAnsi="Times New Roman" w:cs="Times New Roman"/>
          <w:color w:val="000000" w:themeColor="text1"/>
          <w:sz w:val="24"/>
          <w:szCs w:val="24"/>
        </w:rPr>
        <w:t>83h oraz art. 108b i art. 111a ustawy o ubezpieczeniach obowiązkowych),</w:t>
      </w:r>
    </w:p>
    <w:p w14:paraId="6990B20D" w14:textId="77777777" w:rsidR="00386820" w:rsidRPr="007978D6" w:rsidRDefault="00386820" w:rsidP="002A23C5">
      <w:pPr>
        <w:pStyle w:val="Akapitzlist"/>
        <w:numPr>
          <w:ilvl w:val="0"/>
          <w:numId w:val="4"/>
        </w:numPr>
        <w:spacing w:before="120" w:after="0"/>
        <w:ind w:left="426" w:hanging="426"/>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możliwe sposoby dochodzenia roszczeń (zmiany w art. 19 ustawy o ubezpieczeniach obowiązkowych),</w:t>
      </w:r>
    </w:p>
    <w:p w14:paraId="6F0B98CD" w14:textId="68AD5403" w:rsidR="00386820" w:rsidRPr="007978D6" w:rsidRDefault="00386820" w:rsidP="002A23C5">
      <w:pPr>
        <w:pStyle w:val="Akapitzlist"/>
        <w:numPr>
          <w:ilvl w:val="0"/>
          <w:numId w:val="4"/>
        </w:numPr>
        <w:spacing w:before="120" w:after="0"/>
        <w:ind w:left="426" w:hanging="426"/>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procedurę rozpatrywania zgłoszonych roszczeń poszkodowanych i termin wypłaty odszkodowania (projektowany art. 83g, art. 108a, art. 125a ustawy o ubezpieczeniach obowiązkowych),</w:t>
      </w:r>
    </w:p>
    <w:p w14:paraId="2AF1E8E2" w14:textId="77777777" w:rsidR="00386820" w:rsidRPr="007978D6" w:rsidRDefault="00386820" w:rsidP="002A23C5">
      <w:pPr>
        <w:pStyle w:val="Akapitzlist"/>
        <w:numPr>
          <w:ilvl w:val="0"/>
          <w:numId w:val="4"/>
        </w:numPr>
        <w:spacing w:before="120" w:after="0"/>
        <w:ind w:left="426" w:hanging="426"/>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lastRenderedPageBreak/>
        <w:t>zwrot i dochodzenie wypłaconego odszkodowania (projektowane regulacje art. 110a, art. 129, art. 130a ustawy o ubezpieczeniach obowiązkowych),</w:t>
      </w:r>
    </w:p>
    <w:p w14:paraId="1D7FFC0C" w14:textId="77777777" w:rsidR="00386820" w:rsidRPr="007978D6" w:rsidRDefault="00386820" w:rsidP="002A23C5">
      <w:pPr>
        <w:pStyle w:val="Akapitzlist"/>
        <w:numPr>
          <w:ilvl w:val="0"/>
          <w:numId w:val="4"/>
        </w:numPr>
        <w:spacing w:before="120" w:after="0"/>
        <w:ind w:left="426" w:hanging="426"/>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współpraca z równoważnymi organami państw członkowskich oraz uprawnienie do negocjowania i zawierania z nimi porozumienia o współpracy (nowo dodany art. 98e i art. 136e ustawy o ubezpieczeniach obowiązkowych) – w myśl dyrektywy, brak zawarcia tego porozumienia do dnia 23 grudnia 2023 r. będzie skutkował uprawnieniem Komisji do przyjęcia stosownych aktów delegowanych określających wzajemne prawa i obowiązki tych organów.</w:t>
      </w:r>
    </w:p>
    <w:p w14:paraId="51F518F2" w14:textId="032D1F14"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W związku z powierzeniem wykonywania zadania, o którym mowa w art. 98 ust. 2a, Ubezpieczeniowemu Funduszowi Gwarancyjnemu, Fundusz uprawniony będzie do negocjowania i zawarcia porozumienia o współpracy w zakresie wymiany informacji oraz wzajemnego spełniania roszczeń z równoważnymi organami państw członkowskich Unii Europejskiej, a tym samym do przetwarzania danych osobowych. Także Polskie Biuro Ubezpieczycieli Komunikacyjnych na mocy przepisów projektu ustawy uprawnione będzie do negocjowania i zawierania porozumienia o współpracy w zakresie </w:t>
      </w:r>
      <w:r w:rsidRPr="007978D6">
        <w:rPr>
          <w:rFonts w:ascii="Times New Roman" w:hAnsi="Times New Roman" w:cs="Times New Roman"/>
          <w:sz w:val="24"/>
          <w:szCs w:val="24"/>
        </w:rPr>
        <w:t>wymiany informacji oraz wzajemnego spełniania roszczeń z właściwymi organami państw członkowskich Unii Europejskiej.</w:t>
      </w:r>
      <w:r w:rsidRPr="007978D6">
        <w:rPr>
          <w:rFonts w:ascii="Times New Roman" w:hAnsi="Times New Roman" w:cs="Times New Roman"/>
          <w:color w:val="000000" w:themeColor="text1"/>
          <w:sz w:val="24"/>
          <w:szCs w:val="24"/>
        </w:rPr>
        <w:t xml:space="preserve"> Powyższa wymiana informacji </w:t>
      </w:r>
      <w:r w:rsidRPr="007978D6">
        <w:rPr>
          <w:rFonts w:ascii="Times New Roman" w:hAnsi="Times New Roman" w:cs="Times New Roman"/>
          <w:sz w:val="24"/>
          <w:szCs w:val="24"/>
        </w:rPr>
        <w:t>spełnia wymogi zasady minimalizacji danych określon</w:t>
      </w:r>
      <w:r w:rsidR="00B504EA" w:rsidRPr="007978D6">
        <w:rPr>
          <w:rFonts w:ascii="Times New Roman" w:hAnsi="Times New Roman" w:cs="Times New Roman"/>
          <w:sz w:val="24"/>
          <w:szCs w:val="24"/>
        </w:rPr>
        <w:t>ej</w:t>
      </w:r>
      <w:r w:rsidRPr="007978D6">
        <w:rPr>
          <w:rFonts w:ascii="Times New Roman" w:hAnsi="Times New Roman" w:cs="Times New Roman"/>
          <w:sz w:val="24"/>
          <w:szCs w:val="24"/>
        </w:rPr>
        <w:t xml:space="preserve"> w </w:t>
      </w:r>
      <w:r w:rsidR="00553F02" w:rsidRPr="007978D6">
        <w:rPr>
          <w:rFonts w:ascii="Times New Roman" w:hAnsi="Times New Roman" w:cs="Times New Roman"/>
          <w:sz w:val="24"/>
          <w:szCs w:val="24"/>
        </w:rPr>
        <w:t xml:space="preserve">rozporządzeniu </w:t>
      </w:r>
      <w:r w:rsidRPr="007978D6">
        <w:rPr>
          <w:rFonts w:ascii="Times New Roman" w:hAnsi="Times New Roman" w:cs="Times New Roman"/>
          <w:sz w:val="24"/>
          <w:szCs w:val="24"/>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w:t>
      </w:r>
      <w:r w:rsidR="00553F02" w:rsidRPr="007978D6">
        <w:rPr>
          <w:rFonts w:ascii="Times New Roman" w:hAnsi="Times New Roman" w:cs="Times New Roman"/>
          <w:sz w:val="24"/>
          <w:szCs w:val="24"/>
        </w:rPr>
        <w:t>,</w:t>
      </w:r>
      <w:r w:rsidRPr="007978D6">
        <w:rPr>
          <w:rFonts w:ascii="Times New Roman" w:hAnsi="Times New Roman" w:cs="Times New Roman"/>
          <w:sz w:val="24"/>
          <w:szCs w:val="24"/>
        </w:rPr>
        <w:t xml:space="preserve"> i jest niezbędna do realizacji celu, dla którego informacje te mają być przekazane. </w:t>
      </w:r>
      <w:r w:rsidRPr="007978D6">
        <w:rPr>
          <w:rFonts w:ascii="Times New Roman" w:hAnsi="Times New Roman" w:cs="Times New Roman"/>
          <w:color w:val="000000" w:themeColor="text1"/>
          <w:sz w:val="24"/>
          <w:szCs w:val="24"/>
        </w:rPr>
        <w:t xml:space="preserve">Kwestia przetwarzania danych osobowych przez Ubezpieczeniowy Fundusz Gwarancyjny oraz Polskie Biuro Ubezpieczycieli Komunikacyjnych już teraz wynika z obowiązujących przepisów ustawowych. I tak ustawa o działalności ubezpieczeniowej i reasekuracyjnej wskazuje, kto jest zobowiązany do zachowania tajemnicy ubezpieczeniowej oraz na czyj wniosek dane osób ubezpieczonych i poszkodowanych mogą zostać udostępnione. Zgodnie z art. 35 ust. 1 tej ustawy, do zachowania tajemnicy dotyczącej poszczególnych umów ubezpieczenia obowiązany jest zakład ubezpieczeń i osoby w nim zatrudnione, a także osoby i podmioty, za pomocą których zakład ubezpieczeń wykonuje czynności ubezpieczeniowe. Natomiast w art. 35 </w:t>
      </w:r>
      <w:r w:rsidR="001658AF" w:rsidRPr="007978D6">
        <w:rPr>
          <w:rFonts w:ascii="Times New Roman" w:hAnsi="Times New Roman" w:cs="Times New Roman"/>
          <w:color w:val="000000" w:themeColor="text1"/>
          <w:sz w:val="24"/>
          <w:szCs w:val="24"/>
        </w:rPr>
        <w:t xml:space="preserve">ust. 2 </w:t>
      </w:r>
      <w:r w:rsidRPr="007978D6">
        <w:rPr>
          <w:rFonts w:ascii="Times New Roman" w:hAnsi="Times New Roman" w:cs="Times New Roman"/>
          <w:color w:val="000000" w:themeColor="text1"/>
          <w:sz w:val="24"/>
          <w:szCs w:val="24"/>
        </w:rPr>
        <w:t>ww. ustawy określony został krąg podmiotów</w:t>
      </w:r>
      <w:r w:rsidR="00553F02" w:rsidRPr="007978D6">
        <w:rPr>
          <w:rFonts w:ascii="Times New Roman" w:hAnsi="Times New Roman" w:cs="Times New Roman"/>
          <w:color w:val="000000" w:themeColor="text1"/>
          <w:sz w:val="24"/>
          <w:szCs w:val="24"/>
        </w:rPr>
        <w:t>,</w:t>
      </w:r>
      <w:r w:rsidRPr="007978D6">
        <w:rPr>
          <w:rFonts w:ascii="Times New Roman" w:hAnsi="Times New Roman" w:cs="Times New Roman"/>
          <w:color w:val="000000" w:themeColor="text1"/>
          <w:sz w:val="24"/>
          <w:szCs w:val="24"/>
        </w:rPr>
        <w:t xml:space="preserve"> w stosunku do których obowiązek zachowania tajemnicy nie odnosi się. W katalogu tym widnieje także Ubezpieczeniowy Fundusz Gwarancyjny oraz Polskie Biuro Ubezpieczycieli Komunikacyjnych w zakresie wykonywania ustawowych zadań. </w:t>
      </w:r>
      <w:r w:rsidRPr="007978D6">
        <w:rPr>
          <w:rFonts w:ascii="Times New Roman" w:hAnsi="Times New Roman" w:cs="Times New Roman"/>
          <w:color w:val="000000" w:themeColor="text1"/>
          <w:sz w:val="24"/>
          <w:szCs w:val="24"/>
        </w:rPr>
        <w:lastRenderedPageBreak/>
        <w:t>Na tej podstawie UFG i PBUK są zatem upraw</w:t>
      </w:r>
      <w:r w:rsidR="00524DE0" w:rsidRPr="007978D6">
        <w:rPr>
          <w:rFonts w:ascii="Times New Roman" w:hAnsi="Times New Roman" w:cs="Times New Roman"/>
          <w:color w:val="000000" w:themeColor="text1"/>
          <w:sz w:val="24"/>
          <w:szCs w:val="24"/>
        </w:rPr>
        <w:t>n</w:t>
      </w:r>
      <w:r w:rsidRPr="007978D6">
        <w:rPr>
          <w:rFonts w:ascii="Times New Roman" w:hAnsi="Times New Roman" w:cs="Times New Roman"/>
          <w:color w:val="000000" w:themeColor="text1"/>
          <w:sz w:val="24"/>
          <w:szCs w:val="24"/>
        </w:rPr>
        <w:t xml:space="preserve">ione do pozyskiwania danych od uprawnionych podmiotów i do ewentualnego przekazania ich dalej. Także art. 16 ustawy o ubezpieczeniach obowiązkowych określa obowiązki osoby objętej ubezpieczeniem i stanowi o zakresie danych, które powinny być przekazywane do zakładu ubezpieczeń w przypadku zaistnienia zdarzenia objętego ubezpieczeniem obowiązkowym. Wydaje się zatem, że w przywołanym zakresie odpowiednie podstawy prawne są już określone. Ponadto, dane osobowe w każdym państwie członkowskim podlegają RODO, zatem każde porozumienie będzie respektowało przepisy tego rozporządzenia. </w:t>
      </w:r>
    </w:p>
    <w:p w14:paraId="42CAEBC8" w14:textId="228B5E4D" w:rsidR="00386820" w:rsidRPr="007978D6" w:rsidRDefault="00CB3444" w:rsidP="002A23C5">
      <w:pPr>
        <w:tabs>
          <w:tab w:val="left" w:pos="426"/>
        </w:tabs>
        <w:spacing w:before="120" w:after="0"/>
        <w:jc w:val="both"/>
        <w:rPr>
          <w:rFonts w:ascii="Times New Roman" w:hAnsi="Times New Roman" w:cs="Times New Roman"/>
          <w:b/>
          <w:color w:val="000000" w:themeColor="text1"/>
          <w:sz w:val="24"/>
          <w:szCs w:val="24"/>
        </w:rPr>
      </w:pPr>
      <w:r w:rsidRPr="007978D6">
        <w:rPr>
          <w:rFonts w:ascii="Times New Roman" w:hAnsi="Times New Roman" w:cs="Times New Roman"/>
          <w:b/>
          <w:color w:val="000000" w:themeColor="text1"/>
          <w:sz w:val="24"/>
          <w:szCs w:val="24"/>
        </w:rPr>
        <w:t>5</w:t>
      </w:r>
      <w:r w:rsidR="00351F1D" w:rsidRPr="007978D6">
        <w:rPr>
          <w:rFonts w:ascii="Times New Roman" w:hAnsi="Times New Roman" w:cs="Times New Roman"/>
          <w:b/>
          <w:color w:val="000000" w:themeColor="text1"/>
          <w:sz w:val="24"/>
          <w:szCs w:val="24"/>
        </w:rPr>
        <w:t>.</w:t>
      </w:r>
      <w:r w:rsidR="00351F1D" w:rsidRPr="007978D6">
        <w:rPr>
          <w:rFonts w:ascii="Times New Roman" w:hAnsi="Times New Roman" w:cs="Times New Roman"/>
          <w:b/>
          <w:color w:val="000000" w:themeColor="text1"/>
          <w:sz w:val="24"/>
          <w:szCs w:val="24"/>
        </w:rPr>
        <w:tab/>
      </w:r>
      <w:r w:rsidR="00386820" w:rsidRPr="007978D6">
        <w:rPr>
          <w:rFonts w:ascii="Times New Roman" w:hAnsi="Times New Roman" w:cs="Times New Roman"/>
          <w:b/>
          <w:color w:val="000000" w:themeColor="text1"/>
          <w:sz w:val="24"/>
          <w:szCs w:val="24"/>
        </w:rPr>
        <w:t>Zaświadczenie o przebiegu ubezpieczenia (art. 8 ust. 3a i 3b oraz art. 104 ust.</w:t>
      </w:r>
      <w:r w:rsidR="001658AF">
        <w:rPr>
          <w:rFonts w:ascii="Times New Roman" w:hAnsi="Times New Roman" w:cs="Times New Roman"/>
          <w:b/>
          <w:color w:val="000000" w:themeColor="text1"/>
          <w:sz w:val="24"/>
          <w:szCs w:val="24"/>
        </w:rPr>
        <w:t xml:space="preserve"> </w:t>
      </w:r>
      <w:r w:rsidR="00386820" w:rsidRPr="007978D6">
        <w:rPr>
          <w:rFonts w:ascii="Times New Roman" w:hAnsi="Times New Roman" w:cs="Times New Roman"/>
          <w:b/>
          <w:color w:val="000000" w:themeColor="text1"/>
          <w:sz w:val="24"/>
          <w:szCs w:val="24"/>
        </w:rPr>
        <w:t>7a)</w:t>
      </w:r>
    </w:p>
    <w:p w14:paraId="7DC438C3" w14:textId="2AA5F1C2"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Dyrektywa uzupełnia dotychczasowe regulacje w zakresie zaświadczeń o roszczeniach odszkodowawczych objętych umową obowiązkowego ubezpieczenia OC posiadaczy pojazdów mechanicznych.</w:t>
      </w:r>
      <w:r w:rsidR="006C4A33" w:rsidRPr="007978D6">
        <w:rPr>
          <w:rFonts w:ascii="Times New Roman" w:hAnsi="Times New Roman" w:cs="Times New Roman"/>
          <w:color w:val="000000" w:themeColor="text1"/>
          <w:sz w:val="24"/>
          <w:szCs w:val="24"/>
        </w:rPr>
        <w:t xml:space="preserve"> Przy ustalaniu wysokości składki ubezpieczeniowej za ubezpieczenie OC posiadaczy pojazdów mechanicznych, w przypadku gdy zakład ubezpieczeń będzie uwzględniał zaświadczenia o przebiegu ubezpieczenia, </w:t>
      </w:r>
      <w:r w:rsidR="00184FAD" w:rsidRPr="007978D6">
        <w:rPr>
          <w:rFonts w:ascii="Times New Roman" w:hAnsi="Times New Roman" w:cs="Times New Roman"/>
          <w:color w:val="000000" w:themeColor="text1"/>
          <w:sz w:val="24"/>
          <w:szCs w:val="24"/>
        </w:rPr>
        <w:t xml:space="preserve">projekt przewiduje wprowadzenie </w:t>
      </w:r>
      <w:r w:rsidRPr="007978D6">
        <w:rPr>
          <w:rFonts w:ascii="Times New Roman" w:hAnsi="Times New Roman" w:cs="Times New Roman"/>
          <w:color w:val="000000" w:themeColor="text1"/>
          <w:sz w:val="24"/>
          <w:szCs w:val="24"/>
        </w:rPr>
        <w:t>zakaz</w:t>
      </w:r>
      <w:r w:rsidR="00184FAD" w:rsidRPr="007978D6">
        <w:rPr>
          <w:rFonts w:ascii="Times New Roman" w:hAnsi="Times New Roman" w:cs="Times New Roman"/>
          <w:color w:val="000000" w:themeColor="text1"/>
          <w:sz w:val="24"/>
          <w:szCs w:val="24"/>
        </w:rPr>
        <w:t>u</w:t>
      </w:r>
      <w:r w:rsidRPr="007978D6">
        <w:rPr>
          <w:rFonts w:ascii="Times New Roman" w:hAnsi="Times New Roman" w:cs="Times New Roman"/>
          <w:color w:val="000000" w:themeColor="text1"/>
          <w:sz w:val="24"/>
          <w:szCs w:val="24"/>
        </w:rPr>
        <w:t xml:space="preserve"> dyskryminacji ubezpieczających ze względu na narodowość posiadacza pojazdu mechanicznego, jego poprzednie państwo miejsca zamieszkania lub siedziby oraz konieczność równoważnego traktowania zaświadczeń z innych państw członkowskich przez ubezpieczycieli. Zakłady ubezpieczeń będą także zobligowane do </w:t>
      </w:r>
      <w:r w:rsidR="00553F02" w:rsidRPr="007978D6">
        <w:rPr>
          <w:rFonts w:ascii="Times New Roman" w:hAnsi="Times New Roman" w:cs="Times New Roman"/>
          <w:color w:val="000000" w:themeColor="text1"/>
          <w:sz w:val="24"/>
          <w:szCs w:val="24"/>
        </w:rPr>
        <w:t xml:space="preserve">udostępnienia </w:t>
      </w:r>
      <w:r w:rsidR="003E4CC3" w:rsidRPr="007978D6">
        <w:rPr>
          <w:rFonts w:ascii="Times New Roman" w:hAnsi="Times New Roman" w:cs="Times New Roman"/>
          <w:color w:val="000000" w:themeColor="text1"/>
          <w:sz w:val="24"/>
          <w:szCs w:val="24"/>
        </w:rPr>
        <w:t xml:space="preserve">na swoich stronach internetowych </w:t>
      </w:r>
      <w:r w:rsidRPr="007978D6">
        <w:rPr>
          <w:rFonts w:ascii="Times New Roman" w:hAnsi="Times New Roman" w:cs="Times New Roman"/>
          <w:color w:val="000000" w:themeColor="text1"/>
          <w:sz w:val="24"/>
          <w:szCs w:val="24"/>
        </w:rPr>
        <w:t>ogólnych zarysów polityki w zakresie wykorzystywania zaświadczeń o przebiegu ubezpieczenia przy wyliczaniu wysokości składek ubezpieczeniowych.</w:t>
      </w:r>
    </w:p>
    <w:p w14:paraId="470071DB" w14:textId="750DE5A1" w:rsidR="001A570E" w:rsidRPr="002A23C5" w:rsidRDefault="00184FAD"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Zasadnicze zmiany dotyczą wprowadzenia jednolitego formularza takich zaświadczeń we wszystkich państwach członkowskich UE. </w:t>
      </w:r>
      <w:r w:rsidR="00386820" w:rsidRPr="007978D6">
        <w:rPr>
          <w:rFonts w:ascii="Times New Roman" w:hAnsi="Times New Roman" w:cs="Times New Roman"/>
          <w:color w:val="000000" w:themeColor="text1"/>
          <w:sz w:val="24"/>
          <w:szCs w:val="24"/>
        </w:rPr>
        <w:t>Obecnie kwestia zaświadczeń jest regulowana w art. 104 ust. 1 pkt 1a oraz ust. 7a ustawy o ubezpieczeniach obowiązkowych. Organem wyznaczonym do wydawania zaświadczeń o przebiegu ubezpieczenia jest Ubezpieczeniowy Fundusz Gwarancyjny. Nowością jest obowiązek wydawania zaświadczenia na formularzu, którego wzór określi Komisja Europejska w drodze akt</w:t>
      </w:r>
      <w:r w:rsidR="00FE27FA" w:rsidRPr="007978D6">
        <w:rPr>
          <w:rFonts w:ascii="Times New Roman" w:hAnsi="Times New Roman" w:cs="Times New Roman"/>
          <w:color w:val="000000" w:themeColor="text1"/>
          <w:sz w:val="24"/>
          <w:szCs w:val="24"/>
        </w:rPr>
        <w:t>u</w:t>
      </w:r>
      <w:r w:rsidR="00386820" w:rsidRPr="007978D6">
        <w:rPr>
          <w:rFonts w:ascii="Times New Roman" w:hAnsi="Times New Roman" w:cs="Times New Roman"/>
          <w:color w:val="000000" w:themeColor="text1"/>
          <w:sz w:val="24"/>
          <w:szCs w:val="24"/>
        </w:rPr>
        <w:t xml:space="preserve"> wykonawcz</w:t>
      </w:r>
      <w:r w:rsidR="00FE27FA" w:rsidRPr="007978D6">
        <w:rPr>
          <w:rFonts w:ascii="Times New Roman" w:hAnsi="Times New Roman" w:cs="Times New Roman"/>
          <w:color w:val="000000" w:themeColor="text1"/>
          <w:sz w:val="24"/>
          <w:szCs w:val="24"/>
        </w:rPr>
        <w:t>ego</w:t>
      </w:r>
      <w:r w:rsidR="00386820" w:rsidRPr="007978D6">
        <w:rPr>
          <w:rFonts w:ascii="Times New Roman" w:hAnsi="Times New Roman" w:cs="Times New Roman"/>
          <w:color w:val="000000" w:themeColor="text1"/>
          <w:sz w:val="24"/>
          <w:szCs w:val="24"/>
        </w:rPr>
        <w:t xml:space="preserve"> wydan</w:t>
      </w:r>
      <w:r w:rsidR="00FE27FA" w:rsidRPr="007978D6">
        <w:rPr>
          <w:rFonts w:ascii="Times New Roman" w:hAnsi="Times New Roman" w:cs="Times New Roman"/>
          <w:color w:val="000000" w:themeColor="text1"/>
          <w:sz w:val="24"/>
          <w:szCs w:val="24"/>
        </w:rPr>
        <w:t>ego</w:t>
      </w:r>
      <w:r w:rsidR="00386820" w:rsidRPr="007978D6">
        <w:rPr>
          <w:rFonts w:ascii="Times New Roman" w:hAnsi="Times New Roman" w:cs="Times New Roman"/>
          <w:color w:val="000000" w:themeColor="text1"/>
          <w:sz w:val="24"/>
          <w:szCs w:val="24"/>
        </w:rPr>
        <w:t xml:space="preserve"> na podstawie art. 16 akapit 6 dyrektywy 2009/103/WE</w:t>
      </w:r>
      <w:r w:rsidR="00D12CDD">
        <w:rPr>
          <w:rFonts w:ascii="Times New Roman" w:hAnsi="Times New Roman" w:cs="Times New Roman"/>
          <w:color w:val="000000" w:themeColor="text1"/>
          <w:sz w:val="24"/>
          <w:szCs w:val="24"/>
        </w:rPr>
        <w:t>.</w:t>
      </w:r>
    </w:p>
    <w:p w14:paraId="1ED94C0F" w14:textId="65B8740C" w:rsidR="00386820" w:rsidRPr="007978D6" w:rsidRDefault="00CB3444" w:rsidP="002A23C5">
      <w:pPr>
        <w:tabs>
          <w:tab w:val="left" w:pos="426"/>
        </w:tabs>
        <w:spacing w:before="120" w:after="0"/>
        <w:jc w:val="both"/>
        <w:rPr>
          <w:rFonts w:ascii="Times New Roman" w:hAnsi="Times New Roman" w:cs="Times New Roman"/>
          <w:b/>
          <w:color w:val="000000"/>
          <w:sz w:val="24"/>
          <w:szCs w:val="24"/>
        </w:rPr>
      </w:pPr>
      <w:r w:rsidRPr="007978D6">
        <w:rPr>
          <w:rFonts w:ascii="Times New Roman" w:hAnsi="Times New Roman" w:cs="Times New Roman"/>
          <w:b/>
          <w:color w:val="000000"/>
          <w:sz w:val="24"/>
          <w:szCs w:val="24"/>
        </w:rPr>
        <w:t>6</w:t>
      </w:r>
      <w:r w:rsidR="00351F1D" w:rsidRPr="007978D6">
        <w:rPr>
          <w:rFonts w:ascii="Times New Roman" w:hAnsi="Times New Roman" w:cs="Times New Roman"/>
          <w:b/>
          <w:color w:val="000000"/>
          <w:sz w:val="24"/>
          <w:szCs w:val="24"/>
        </w:rPr>
        <w:t>.</w:t>
      </w:r>
      <w:r w:rsidR="00351F1D" w:rsidRPr="007978D6">
        <w:rPr>
          <w:rFonts w:ascii="Times New Roman" w:hAnsi="Times New Roman" w:cs="Times New Roman"/>
          <w:b/>
          <w:color w:val="000000"/>
          <w:sz w:val="24"/>
          <w:szCs w:val="24"/>
        </w:rPr>
        <w:tab/>
      </w:r>
      <w:r w:rsidR="00386820" w:rsidRPr="007978D6">
        <w:rPr>
          <w:rFonts w:ascii="Times New Roman" w:hAnsi="Times New Roman" w:cs="Times New Roman"/>
          <w:b/>
          <w:color w:val="000000"/>
          <w:sz w:val="24"/>
          <w:szCs w:val="24"/>
        </w:rPr>
        <w:t xml:space="preserve">Wprowadzenie regulacji w zakresie zdarzeń z udziałem przyczepy ciągniętej przez pojazd (art. 37 ust. </w:t>
      </w:r>
      <w:r w:rsidR="00C861C5" w:rsidRPr="007978D6">
        <w:rPr>
          <w:rFonts w:ascii="Times New Roman" w:hAnsi="Times New Roman" w:cs="Times New Roman"/>
          <w:b/>
          <w:color w:val="000000"/>
          <w:sz w:val="24"/>
          <w:szCs w:val="24"/>
        </w:rPr>
        <w:t>2a</w:t>
      </w:r>
      <w:r w:rsidR="00386820" w:rsidRPr="007978D6">
        <w:rPr>
          <w:rFonts w:ascii="Times New Roman" w:hAnsi="Times New Roman" w:cs="Times New Roman"/>
          <w:b/>
          <w:color w:val="000000"/>
          <w:sz w:val="24"/>
          <w:szCs w:val="24"/>
        </w:rPr>
        <w:t>)</w:t>
      </w:r>
    </w:p>
    <w:p w14:paraId="1147AEB3" w14:textId="415C0860"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Dodawany w art. 37 ust. </w:t>
      </w:r>
      <w:r w:rsidR="00C861C5" w:rsidRPr="007978D6">
        <w:rPr>
          <w:rFonts w:ascii="Times New Roman" w:hAnsi="Times New Roman" w:cs="Times New Roman"/>
          <w:color w:val="000000" w:themeColor="text1"/>
          <w:sz w:val="24"/>
          <w:szCs w:val="24"/>
        </w:rPr>
        <w:t>2a</w:t>
      </w:r>
      <w:r w:rsidRPr="007978D6">
        <w:rPr>
          <w:rFonts w:ascii="Times New Roman" w:hAnsi="Times New Roman" w:cs="Times New Roman"/>
          <w:color w:val="000000" w:themeColor="text1"/>
          <w:sz w:val="24"/>
          <w:szCs w:val="24"/>
        </w:rPr>
        <w:t xml:space="preserve"> wskazuje, iż na wniosek poszkodowanego lub uprawnionego zakład ubezpieczeń posiadacza przyczepy będzie informował go niezwłocznie o nazwie i adresie zakładu ubezpieczeń, który zawarł umowę ubezpieczenia lub o możliwości dochodzenia </w:t>
      </w:r>
      <w:r w:rsidRPr="007978D6">
        <w:rPr>
          <w:rFonts w:ascii="Times New Roman" w:hAnsi="Times New Roman" w:cs="Times New Roman"/>
          <w:color w:val="000000" w:themeColor="text1"/>
          <w:sz w:val="24"/>
          <w:szCs w:val="24"/>
        </w:rPr>
        <w:lastRenderedPageBreak/>
        <w:t xml:space="preserve">roszczenia od Ubezpieczeniowego Funduszu Gwarancyjnego, w przypadku gdy nie można będzie tych danych ustalić. </w:t>
      </w:r>
    </w:p>
    <w:p w14:paraId="0605B4F0" w14:textId="7048CF11" w:rsidR="00386820" w:rsidRPr="007978D6" w:rsidRDefault="00CB3444" w:rsidP="002A23C5">
      <w:pPr>
        <w:tabs>
          <w:tab w:val="left" w:pos="426"/>
        </w:tabs>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b/>
          <w:color w:val="000000" w:themeColor="text1"/>
          <w:sz w:val="24"/>
          <w:szCs w:val="24"/>
        </w:rPr>
        <w:t>7</w:t>
      </w:r>
      <w:r w:rsidR="00386820" w:rsidRPr="007978D6">
        <w:rPr>
          <w:rFonts w:ascii="Times New Roman" w:hAnsi="Times New Roman" w:cs="Times New Roman"/>
          <w:b/>
          <w:color w:val="000000" w:themeColor="text1"/>
          <w:sz w:val="24"/>
          <w:szCs w:val="24"/>
        </w:rPr>
        <w:t>.</w:t>
      </w:r>
      <w:r w:rsidR="00386820" w:rsidRPr="007978D6">
        <w:rPr>
          <w:rFonts w:ascii="Times New Roman" w:hAnsi="Times New Roman" w:cs="Times New Roman"/>
          <w:color w:val="000000" w:themeColor="text1"/>
          <w:sz w:val="24"/>
          <w:szCs w:val="24"/>
        </w:rPr>
        <w:tab/>
      </w:r>
      <w:r w:rsidR="00386820" w:rsidRPr="007978D6">
        <w:rPr>
          <w:rFonts w:ascii="Times New Roman" w:hAnsi="Times New Roman" w:cs="Times New Roman"/>
          <w:b/>
          <w:color w:val="000000" w:themeColor="text1"/>
          <w:sz w:val="24"/>
          <w:szCs w:val="24"/>
        </w:rPr>
        <w:t xml:space="preserve">Zadania Funduszu w związku z wyrokiem TSUE w sprawie C-428/20 Skarb Państwa (art. </w:t>
      </w:r>
      <w:r w:rsidR="00A30380" w:rsidRPr="007978D6">
        <w:rPr>
          <w:rFonts w:ascii="Times New Roman" w:hAnsi="Times New Roman" w:cs="Times New Roman"/>
          <w:b/>
          <w:color w:val="000000" w:themeColor="text1"/>
          <w:sz w:val="24"/>
          <w:szCs w:val="24"/>
        </w:rPr>
        <w:t>158a</w:t>
      </w:r>
      <w:r w:rsidR="00386820" w:rsidRPr="007978D6">
        <w:rPr>
          <w:rFonts w:ascii="Times New Roman" w:hAnsi="Times New Roman" w:cs="Times New Roman"/>
          <w:b/>
          <w:color w:val="000000" w:themeColor="text1"/>
          <w:sz w:val="24"/>
          <w:szCs w:val="24"/>
        </w:rPr>
        <w:t>)</w:t>
      </w:r>
    </w:p>
    <w:p w14:paraId="3131FAA4" w14:textId="312F4781" w:rsidR="00A30380" w:rsidRPr="007978D6" w:rsidRDefault="00A3038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Zgodnie z zapadłym wyrokiem TSUE w sprawie C-428/20 państwo członkowskie, które ustanowiło okres przejściowy na dostosowanie minimalnych sum gwarancyjnych, miało obowiązek podnieść sumy gwarancyjne do co najmniej połowy kwot określonych w zmienionym artykule 1 ustęp 2 dyrektywy 84/5/EWG w ciągu 30 miesięcy od upływu terminu do wykonania dyrektywy (czyli do 10 czerwca 2012 r.) w odniesieniu do wszystkich umów ubezpieczenia komunikacyjnego obowiązujących po upływie wskazanych 30 miesięcy, w tym także umów zawartych przed dniem 11 grudnia 2009 r., ale obowiązujących nadal po tej dacie </w:t>
      </w:r>
      <w:r w:rsidR="00286AFE">
        <w:rPr>
          <w:rFonts w:ascii="Times New Roman" w:hAnsi="Times New Roman" w:cs="Times New Roman"/>
          <w:color w:val="000000" w:themeColor="text1"/>
          <w:sz w:val="24"/>
          <w:szCs w:val="24"/>
        </w:rPr>
        <w:t>–</w:t>
      </w:r>
      <w:r w:rsidRPr="007978D6">
        <w:rPr>
          <w:rFonts w:ascii="Times New Roman" w:hAnsi="Times New Roman" w:cs="Times New Roman"/>
          <w:color w:val="000000" w:themeColor="text1"/>
          <w:sz w:val="24"/>
          <w:szCs w:val="24"/>
        </w:rPr>
        <w:t xml:space="preserve"> w odniesieniu do zdarzeń szkodowych zaistniałych po dniu 11 grudnia 2009 r.</w:t>
      </w:r>
    </w:p>
    <w:p w14:paraId="6685E5F3" w14:textId="77777777" w:rsidR="00A652C7" w:rsidRPr="007978D6" w:rsidRDefault="00386820" w:rsidP="002A23C5">
      <w:pPr>
        <w:pStyle w:val="ZUSTzmustartykuempunktem"/>
        <w:spacing w:before="120"/>
        <w:ind w:left="0" w:firstLine="0"/>
        <w:rPr>
          <w:rFonts w:ascii="Times New Roman" w:hAnsi="Times New Roman" w:cs="Times New Roman"/>
          <w:color w:val="000000" w:themeColor="text1"/>
          <w:szCs w:val="24"/>
        </w:rPr>
      </w:pPr>
      <w:r w:rsidRPr="007978D6">
        <w:rPr>
          <w:rFonts w:ascii="Times New Roman" w:hAnsi="Times New Roman" w:cs="Times New Roman"/>
          <w:color w:val="000000" w:themeColor="text1"/>
          <w:szCs w:val="24"/>
        </w:rPr>
        <w:t xml:space="preserve">W związku z </w:t>
      </w:r>
      <w:r w:rsidR="00A30380" w:rsidRPr="007978D6">
        <w:rPr>
          <w:rFonts w:ascii="Times New Roman" w:hAnsi="Times New Roman" w:cs="Times New Roman"/>
          <w:color w:val="000000" w:themeColor="text1"/>
          <w:szCs w:val="24"/>
        </w:rPr>
        <w:t xml:space="preserve">ww. </w:t>
      </w:r>
      <w:r w:rsidRPr="007978D6">
        <w:rPr>
          <w:rFonts w:ascii="Times New Roman" w:hAnsi="Times New Roman" w:cs="Times New Roman"/>
          <w:color w:val="000000" w:themeColor="text1"/>
          <w:szCs w:val="24"/>
        </w:rPr>
        <w:t xml:space="preserve">wyrokiem TSUE, proponuje się wprowadzenie regulacji, która w przypadku wyczerpania sumy gwarancyjnej pozwalałaby na zaspokojenie </w:t>
      </w:r>
      <w:r w:rsidR="002B027D" w:rsidRPr="007978D6">
        <w:rPr>
          <w:rFonts w:ascii="Times New Roman" w:hAnsi="Times New Roman" w:cs="Times New Roman"/>
          <w:color w:val="000000" w:themeColor="text1"/>
          <w:szCs w:val="24"/>
        </w:rPr>
        <w:t xml:space="preserve">przez Fundusz </w:t>
      </w:r>
      <w:r w:rsidRPr="007978D6">
        <w:rPr>
          <w:rFonts w:ascii="Times New Roman" w:hAnsi="Times New Roman" w:cs="Times New Roman"/>
          <w:color w:val="000000" w:themeColor="text1"/>
          <w:szCs w:val="24"/>
        </w:rPr>
        <w:t xml:space="preserve">roszczeń </w:t>
      </w:r>
      <w:r w:rsidR="002B027D" w:rsidRPr="007978D6">
        <w:rPr>
          <w:rFonts w:ascii="Times New Roman" w:hAnsi="Times New Roman" w:cs="Times New Roman"/>
          <w:color w:val="000000" w:themeColor="text1"/>
          <w:szCs w:val="24"/>
        </w:rPr>
        <w:t>poszkodowanych</w:t>
      </w:r>
      <w:r w:rsidRPr="007978D6">
        <w:rPr>
          <w:rFonts w:ascii="Times New Roman" w:hAnsi="Times New Roman" w:cs="Times New Roman"/>
          <w:color w:val="000000" w:themeColor="text1"/>
          <w:szCs w:val="24"/>
        </w:rPr>
        <w:t xml:space="preserve">. Już w chwili obecnej UFG spełnia świadczenia w przypadku wyczerpania sumy gwarancyjnej na podstawie ustawy z dnia 19 lipca 2019 r. o szczególnych uprawnieniach osób poszkodowanych w przypadku wyczerpania sumy gwarancyjnej ustalonej na podstawie przepisów obowiązujących przed dniem 1 stycznia 2006 r. (Dz. U. poz. 1631) (ustawa o tzw. rentach szczególnych). </w:t>
      </w:r>
      <w:r w:rsidR="00412A8A" w:rsidRPr="007978D6">
        <w:rPr>
          <w:rFonts w:ascii="Times New Roman" w:eastAsiaTheme="minorHAnsi" w:hAnsi="Times New Roman" w:cs="Times New Roman"/>
          <w:color w:val="000000" w:themeColor="text1"/>
          <w:szCs w:val="24"/>
          <w:lang w:eastAsia="en-US"/>
        </w:rPr>
        <w:t xml:space="preserve">Z uwagi na szczególny charakter wprowadzanej regulacji, która dotyczyć będzie jedynie określonego czasu, jeżeli chodzi o zaistniałą szkodę, proponuje </w:t>
      </w:r>
      <w:r w:rsidR="00CC2310" w:rsidRPr="007978D6">
        <w:rPr>
          <w:rFonts w:ascii="Times New Roman" w:eastAsiaTheme="minorHAnsi" w:hAnsi="Times New Roman" w:cs="Times New Roman"/>
          <w:color w:val="000000" w:themeColor="text1"/>
          <w:szCs w:val="24"/>
          <w:lang w:eastAsia="en-US"/>
        </w:rPr>
        <w:t xml:space="preserve">się </w:t>
      </w:r>
      <w:r w:rsidR="00412A8A" w:rsidRPr="007978D6">
        <w:rPr>
          <w:rFonts w:ascii="Times New Roman" w:eastAsiaTheme="minorHAnsi" w:hAnsi="Times New Roman" w:cs="Times New Roman"/>
          <w:color w:val="000000" w:themeColor="text1"/>
          <w:szCs w:val="24"/>
          <w:lang w:eastAsia="en-US"/>
        </w:rPr>
        <w:t>umieszczenie tego przepisu w końcowej części ustawy</w:t>
      </w:r>
      <w:r w:rsidR="00AD40CF" w:rsidRPr="007978D6">
        <w:rPr>
          <w:rFonts w:ascii="Times New Roman" w:eastAsiaTheme="minorHAnsi" w:hAnsi="Times New Roman" w:cs="Times New Roman"/>
          <w:color w:val="000000" w:themeColor="text1"/>
          <w:szCs w:val="24"/>
          <w:lang w:eastAsia="en-US"/>
        </w:rPr>
        <w:t xml:space="preserve"> jako przepis epizodyczny </w:t>
      </w:r>
      <w:r w:rsidR="00B511EE" w:rsidRPr="007978D6">
        <w:rPr>
          <w:rFonts w:ascii="Times New Roman" w:eastAsiaTheme="minorHAnsi" w:hAnsi="Times New Roman" w:cs="Times New Roman"/>
          <w:color w:val="000000" w:themeColor="text1"/>
          <w:szCs w:val="24"/>
          <w:lang w:eastAsia="en-US"/>
        </w:rPr>
        <w:t>(</w:t>
      </w:r>
      <w:r w:rsidR="00AD40CF" w:rsidRPr="007978D6">
        <w:rPr>
          <w:rFonts w:ascii="Times New Roman" w:eastAsiaTheme="minorHAnsi" w:hAnsi="Times New Roman" w:cs="Times New Roman"/>
          <w:color w:val="000000" w:themeColor="text1"/>
          <w:szCs w:val="24"/>
          <w:lang w:eastAsia="en-US"/>
        </w:rPr>
        <w:t>dodany art. 158a</w:t>
      </w:r>
      <w:r w:rsidR="00B511EE" w:rsidRPr="007978D6">
        <w:rPr>
          <w:rFonts w:ascii="Times New Roman" w:eastAsiaTheme="minorHAnsi" w:hAnsi="Times New Roman" w:cs="Times New Roman"/>
          <w:color w:val="000000" w:themeColor="text1"/>
          <w:szCs w:val="24"/>
          <w:lang w:eastAsia="en-US"/>
        </w:rPr>
        <w:t>)</w:t>
      </w:r>
      <w:r w:rsidR="00AD40CF" w:rsidRPr="007978D6">
        <w:rPr>
          <w:rFonts w:ascii="Times New Roman" w:eastAsiaTheme="minorHAnsi" w:hAnsi="Times New Roman" w:cs="Times New Roman"/>
          <w:color w:val="000000" w:themeColor="text1"/>
          <w:szCs w:val="24"/>
          <w:lang w:eastAsia="en-US"/>
        </w:rPr>
        <w:t xml:space="preserve">. </w:t>
      </w:r>
      <w:r w:rsidR="004B0480" w:rsidRPr="007978D6">
        <w:rPr>
          <w:rFonts w:ascii="Times New Roman" w:hAnsi="Times New Roman" w:cs="Times New Roman"/>
          <w:color w:val="000000" w:themeColor="text1"/>
          <w:szCs w:val="24"/>
        </w:rPr>
        <w:t xml:space="preserve">Wskazana </w:t>
      </w:r>
      <w:r w:rsidRPr="007978D6">
        <w:rPr>
          <w:rFonts w:ascii="Times New Roman" w:hAnsi="Times New Roman" w:cs="Times New Roman"/>
          <w:color w:val="000000" w:themeColor="text1"/>
          <w:szCs w:val="24"/>
        </w:rPr>
        <w:t xml:space="preserve">regulacja pozwoli na zaspokojenie przez Fundusz roszczeń poszkodowanych, w przypadku wyczerpania sumy gwarancyjnej, ustalonej w umowach ubezpieczenia </w:t>
      </w:r>
      <w:r w:rsidRPr="007978D6">
        <w:rPr>
          <w:rFonts w:ascii="Times New Roman" w:hAnsi="Times New Roman" w:cs="Times New Roman"/>
          <w:szCs w:val="24"/>
        </w:rPr>
        <w:t>OC posiadaczy pojazdów mechanicznych i umowach ubezpieczenia OC rolników</w:t>
      </w:r>
      <w:r w:rsidRPr="007978D6">
        <w:rPr>
          <w:rFonts w:ascii="Times New Roman" w:hAnsi="Times New Roman" w:cs="Times New Roman"/>
          <w:color w:val="000000" w:themeColor="text1"/>
          <w:szCs w:val="24"/>
        </w:rPr>
        <w:t xml:space="preserve">. </w:t>
      </w:r>
    </w:p>
    <w:p w14:paraId="73F80433" w14:textId="7DD6ED8F" w:rsidR="00386820" w:rsidRPr="002A23C5" w:rsidRDefault="00386820" w:rsidP="002A23C5">
      <w:pPr>
        <w:pStyle w:val="ZUSTzmustartykuempunktem"/>
        <w:spacing w:before="120"/>
        <w:ind w:left="0" w:firstLine="0"/>
        <w:rPr>
          <w:rFonts w:ascii="Times New Roman" w:hAnsi="Times New Roman" w:cs="Times New Roman"/>
          <w:szCs w:val="24"/>
        </w:rPr>
      </w:pPr>
      <w:r w:rsidRPr="007978D6">
        <w:rPr>
          <w:rFonts w:ascii="Times New Roman" w:hAnsi="Times New Roman" w:cs="Times New Roman"/>
          <w:color w:val="000000" w:themeColor="text1"/>
          <w:szCs w:val="24"/>
        </w:rPr>
        <w:t xml:space="preserve">Odpowiedzialność Funduszu zostanie ograniczona </w:t>
      </w:r>
      <w:r w:rsidR="00A652C7" w:rsidRPr="007978D6">
        <w:rPr>
          <w:rFonts w:ascii="Times New Roman" w:hAnsi="Times New Roman" w:cs="Times New Roman"/>
          <w:color w:val="000000" w:themeColor="text1"/>
          <w:szCs w:val="24"/>
        </w:rPr>
        <w:t xml:space="preserve">do umów </w:t>
      </w:r>
      <w:r w:rsidR="00A652C7" w:rsidRPr="002A23C5">
        <w:rPr>
          <w:rFonts w:ascii="Times New Roman" w:hAnsi="Times New Roman" w:cs="Times New Roman"/>
          <w:szCs w:val="24"/>
        </w:rPr>
        <w:t>zawartych przed dniem 11 grudnia 2009 r. i ob</w:t>
      </w:r>
      <w:r w:rsidR="00A45B92" w:rsidRPr="002A23C5">
        <w:rPr>
          <w:rFonts w:ascii="Times New Roman" w:hAnsi="Times New Roman" w:cs="Times New Roman"/>
          <w:szCs w:val="24"/>
        </w:rPr>
        <w:t>o</w:t>
      </w:r>
      <w:r w:rsidR="00A652C7" w:rsidRPr="002A23C5">
        <w:rPr>
          <w:rFonts w:ascii="Times New Roman" w:hAnsi="Times New Roman" w:cs="Times New Roman"/>
          <w:szCs w:val="24"/>
        </w:rPr>
        <w:t>wiązujących w tym dniu, jeżeli zdarzenie, z którego wynikła szkoda, miało miejsce w okresie od dnia 11 grudnia 2009 r. do dnia 10 czerwca 2012 r., w zakresie różnicy pomiędzy sumą gwarancyjną, która została określona w tych umowach ubezpieczenia i równowartością w złotych odpowiednio następujących sum gwarancyjnych</w:t>
      </w:r>
      <w:r w:rsidRPr="007978D6">
        <w:rPr>
          <w:rFonts w:ascii="Times New Roman" w:hAnsi="Times New Roman" w:cs="Times New Roman"/>
          <w:color w:val="000000" w:themeColor="text1"/>
          <w:szCs w:val="24"/>
        </w:rPr>
        <w:t>:</w:t>
      </w:r>
    </w:p>
    <w:p w14:paraId="0CC60DA5" w14:textId="39649504" w:rsidR="00386820" w:rsidRPr="007978D6" w:rsidRDefault="00386820" w:rsidP="002A23C5">
      <w:pPr>
        <w:pStyle w:val="ZUSTzmustartykuempunktem"/>
        <w:spacing w:before="120"/>
        <w:ind w:left="426" w:hanging="426"/>
        <w:rPr>
          <w:rFonts w:ascii="Times New Roman" w:hAnsi="Times New Roman" w:cs="Times New Roman"/>
          <w:szCs w:val="24"/>
        </w:rPr>
      </w:pPr>
      <w:r w:rsidRPr="007978D6">
        <w:rPr>
          <w:rFonts w:ascii="Times New Roman" w:hAnsi="Times New Roman" w:cs="Times New Roman"/>
          <w:szCs w:val="24"/>
        </w:rPr>
        <w:t>1)</w:t>
      </w:r>
      <w:r w:rsidR="00286AFE">
        <w:rPr>
          <w:rFonts w:ascii="Times New Roman" w:hAnsi="Times New Roman" w:cs="Times New Roman"/>
          <w:szCs w:val="24"/>
        </w:rPr>
        <w:tab/>
      </w:r>
      <w:r w:rsidRPr="007978D6">
        <w:rPr>
          <w:rFonts w:ascii="Times New Roman" w:hAnsi="Times New Roman" w:cs="Times New Roman"/>
          <w:szCs w:val="24"/>
        </w:rPr>
        <w:t>w przypadku szkód na osobie – 2 500 000 euro w odniesieniu do jednego zdarzenia, którego skutki są objęte ubezpieczeniem bez względu na liczbę poszkodowanych,</w:t>
      </w:r>
    </w:p>
    <w:p w14:paraId="250622D3" w14:textId="62B57CEA" w:rsidR="00386820" w:rsidRPr="007978D6" w:rsidRDefault="00386820" w:rsidP="002A23C5">
      <w:pPr>
        <w:pStyle w:val="ZUSTzmustartykuempunktem"/>
        <w:spacing w:before="120"/>
        <w:ind w:left="426" w:hanging="426"/>
        <w:rPr>
          <w:rFonts w:ascii="Times New Roman" w:hAnsi="Times New Roman" w:cs="Times New Roman"/>
          <w:szCs w:val="24"/>
        </w:rPr>
      </w:pPr>
      <w:r w:rsidRPr="007978D6">
        <w:rPr>
          <w:rFonts w:ascii="Times New Roman" w:hAnsi="Times New Roman" w:cs="Times New Roman"/>
          <w:szCs w:val="24"/>
        </w:rPr>
        <w:lastRenderedPageBreak/>
        <w:t>2)</w:t>
      </w:r>
      <w:r w:rsidR="00286AFE">
        <w:rPr>
          <w:rFonts w:ascii="Times New Roman" w:hAnsi="Times New Roman" w:cs="Times New Roman"/>
          <w:szCs w:val="24"/>
        </w:rPr>
        <w:tab/>
      </w:r>
      <w:r w:rsidRPr="007978D6">
        <w:rPr>
          <w:rFonts w:ascii="Times New Roman" w:hAnsi="Times New Roman" w:cs="Times New Roman"/>
          <w:szCs w:val="24"/>
        </w:rPr>
        <w:t>w przypadku szkód w mieniu – 500 000 euro w odniesieniu do jednego zdarzenia, którego skutki są objęte ubezpieczeniem bez względu na liczbę poszkodowanych</w:t>
      </w:r>
    </w:p>
    <w:p w14:paraId="7772AEBF" w14:textId="6785FB44" w:rsidR="00386820" w:rsidRPr="007978D6" w:rsidRDefault="00286AFE" w:rsidP="002A23C5">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 </w:t>
      </w:r>
      <w:r w:rsidR="00386820" w:rsidRPr="007978D6">
        <w:rPr>
          <w:rFonts w:ascii="Times New Roman" w:hAnsi="Times New Roman" w:cs="Times New Roman"/>
          <w:sz w:val="24"/>
          <w:szCs w:val="24"/>
        </w:rPr>
        <w:t>ustalanej przy zastosowaniu kursu średniego ogłaszanego przez Narodowy Bank Polski obowiązującego w dniu wyrządzenia szkody.</w:t>
      </w:r>
    </w:p>
    <w:p w14:paraId="52604FBC" w14:textId="1B742985" w:rsidR="003847D0" w:rsidRPr="007978D6" w:rsidRDefault="003847D0" w:rsidP="002A23C5">
      <w:pPr>
        <w:spacing w:before="120" w:after="0"/>
        <w:jc w:val="both"/>
        <w:rPr>
          <w:rFonts w:ascii="Times New Roman" w:hAnsi="Times New Roman" w:cs="Times New Roman"/>
          <w:sz w:val="24"/>
          <w:szCs w:val="24"/>
        </w:rPr>
      </w:pPr>
      <w:r w:rsidRPr="007978D6">
        <w:rPr>
          <w:rFonts w:ascii="Times New Roman" w:hAnsi="Times New Roman" w:cs="Times New Roman"/>
          <w:sz w:val="24"/>
          <w:szCs w:val="24"/>
        </w:rPr>
        <w:t xml:space="preserve">Z uwagi na fakt, iż przedmiotowy wyrok odnosił się do stanu prawnego, który nie przewidywał możliwości przeliczenia kwot sum gwarancyjnych na walutę krajową, wskazane w projekcie sumy gwarancyjne zostały określone w euro. </w:t>
      </w:r>
    </w:p>
    <w:p w14:paraId="011734A2" w14:textId="0BCF3A90" w:rsidR="00386820" w:rsidRPr="007978D6" w:rsidRDefault="00386820" w:rsidP="002A23C5">
      <w:pPr>
        <w:spacing w:before="120" w:after="0"/>
        <w:jc w:val="both"/>
        <w:rPr>
          <w:rFonts w:ascii="Times New Roman" w:hAnsi="Times New Roman" w:cs="Times New Roman"/>
          <w:bCs/>
          <w:sz w:val="24"/>
          <w:szCs w:val="24"/>
        </w:rPr>
      </w:pPr>
      <w:r w:rsidRPr="007978D6">
        <w:rPr>
          <w:rFonts w:ascii="Times New Roman" w:hAnsi="Times New Roman" w:cs="Times New Roman"/>
          <w:sz w:val="24"/>
          <w:szCs w:val="24"/>
        </w:rPr>
        <w:t xml:space="preserve">Do projektowanego przepisu zaproponowano dodanie sformułowania: „następujących sum gwarancyjnych” </w:t>
      </w:r>
      <w:r w:rsidR="00553F02" w:rsidRPr="007978D6">
        <w:rPr>
          <w:rFonts w:ascii="Times New Roman" w:hAnsi="Times New Roman" w:cs="Times New Roman"/>
          <w:sz w:val="24"/>
          <w:szCs w:val="24"/>
        </w:rPr>
        <w:t xml:space="preserve">w celu </w:t>
      </w:r>
      <w:r w:rsidRPr="007978D6">
        <w:rPr>
          <w:rFonts w:ascii="Times New Roman" w:hAnsi="Times New Roman" w:cs="Times New Roman"/>
          <w:sz w:val="24"/>
          <w:szCs w:val="24"/>
        </w:rPr>
        <w:t>doprecyzowania charakteru przewidzianych w przepisie kwot. Związane jest to z mogącym pojawić się ryzykiem w interpretacji, zgodnie z którym</w:t>
      </w:r>
      <w:r w:rsidR="00B22A1E" w:rsidRPr="007978D6">
        <w:rPr>
          <w:rFonts w:ascii="Times New Roman" w:hAnsi="Times New Roman" w:cs="Times New Roman"/>
          <w:sz w:val="24"/>
          <w:szCs w:val="24"/>
        </w:rPr>
        <w:t>,</w:t>
      </w:r>
      <w:r w:rsidRPr="007978D6">
        <w:rPr>
          <w:rFonts w:ascii="Times New Roman" w:hAnsi="Times New Roman" w:cs="Times New Roman"/>
          <w:sz w:val="24"/>
          <w:szCs w:val="24"/>
        </w:rPr>
        <w:t xml:space="preserve"> </w:t>
      </w:r>
      <w:r w:rsidRPr="007978D6">
        <w:rPr>
          <w:rFonts w:ascii="Times New Roman" w:hAnsi="Times New Roman" w:cs="Times New Roman"/>
          <w:bCs/>
          <w:sz w:val="24"/>
          <w:szCs w:val="24"/>
        </w:rPr>
        <w:t>zamiast uznać wskazane kwoty za nowe sumy gwarancyjne częściowo skonsumowane przez wypłacone już odszkodowania lub świadczenia w ramach wcześniej obowiązujących sum gwarancyjnych</w:t>
      </w:r>
      <w:r w:rsidR="00B22A1E" w:rsidRPr="007978D6">
        <w:rPr>
          <w:rFonts w:ascii="Times New Roman" w:hAnsi="Times New Roman" w:cs="Times New Roman"/>
          <w:bCs/>
          <w:sz w:val="24"/>
          <w:szCs w:val="24"/>
        </w:rPr>
        <w:t>,</w:t>
      </w:r>
      <w:r w:rsidRPr="007978D6">
        <w:rPr>
          <w:rFonts w:ascii="Times New Roman" w:hAnsi="Times New Roman" w:cs="Times New Roman"/>
          <w:bCs/>
          <w:sz w:val="24"/>
          <w:szCs w:val="24"/>
        </w:rPr>
        <w:t xml:space="preserve"> poszkodowanemu przysługiwałoby dalej idące roszczenie o wypłatę odszkodowania lub świadczenia w dodatkowej względem wcześniej wyczerpanych sum gwarancyjnych wysokości</w:t>
      </w:r>
      <w:r w:rsidR="00B22A1E" w:rsidRPr="007978D6">
        <w:rPr>
          <w:rFonts w:ascii="Times New Roman" w:hAnsi="Times New Roman" w:cs="Times New Roman"/>
          <w:bCs/>
          <w:sz w:val="24"/>
          <w:szCs w:val="24"/>
        </w:rPr>
        <w:t xml:space="preserve"> odpowiednio </w:t>
      </w:r>
      <w:r w:rsidRPr="007978D6">
        <w:rPr>
          <w:rFonts w:ascii="Times New Roman" w:hAnsi="Times New Roman" w:cs="Times New Roman"/>
          <w:bCs/>
          <w:sz w:val="24"/>
          <w:szCs w:val="24"/>
        </w:rPr>
        <w:t>2,5 mln eur</w:t>
      </w:r>
      <w:r w:rsidR="00B22A1E" w:rsidRPr="007978D6">
        <w:rPr>
          <w:rFonts w:ascii="Times New Roman" w:hAnsi="Times New Roman" w:cs="Times New Roman"/>
          <w:bCs/>
          <w:sz w:val="24"/>
          <w:szCs w:val="24"/>
        </w:rPr>
        <w:t>o</w:t>
      </w:r>
      <w:r w:rsidRPr="007978D6">
        <w:rPr>
          <w:rFonts w:ascii="Times New Roman" w:hAnsi="Times New Roman" w:cs="Times New Roman"/>
          <w:bCs/>
          <w:sz w:val="24"/>
          <w:szCs w:val="24"/>
        </w:rPr>
        <w:t xml:space="preserve"> lub </w:t>
      </w:r>
      <w:r w:rsidR="00B22A1E" w:rsidRPr="007978D6">
        <w:rPr>
          <w:rFonts w:ascii="Times New Roman" w:hAnsi="Times New Roman" w:cs="Times New Roman"/>
          <w:bCs/>
          <w:sz w:val="24"/>
          <w:szCs w:val="24"/>
        </w:rPr>
        <w:t>0,5</w:t>
      </w:r>
      <w:r w:rsidR="00ED0E41" w:rsidRPr="007978D6">
        <w:rPr>
          <w:rFonts w:ascii="Times New Roman" w:hAnsi="Times New Roman" w:cs="Times New Roman"/>
          <w:bCs/>
          <w:sz w:val="24"/>
          <w:szCs w:val="24"/>
        </w:rPr>
        <w:t xml:space="preserve"> </w:t>
      </w:r>
      <w:r w:rsidR="00B22A1E" w:rsidRPr="007978D6">
        <w:rPr>
          <w:rFonts w:ascii="Times New Roman" w:hAnsi="Times New Roman" w:cs="Times New Roman"/>
          <w:bCs/>
          <w:sz w:val="24"/>
          <w:szCs w:val="24"/>
        </w:rPr>
        <w:t>mln euro</w:t>
      </w:r>
      <w:r w:rsidRPr="007978D6">
        <w:rPr>
          <w:rFonts w:ascii="Times New Roman" w:hAnsi="Times New Roman" w:cs="Times New Roman"/>
          <w:bCs/>
          <w:sz w:val="24"/>
          <w:szCs w:val="24"/>
        </w:rPr>
        <w:t>.</w:t>
      </w:r>
    </w:p>
    <w:p w14:paraId="05A6DB23" w14:textId="343CAFCB" w:rsidR="00386820" w:rsidRPr="007978D6" w:rsidRDefault="00CB3444" w:rsidP="002A23C5">
      <w:pPr>
        <w:tabs>
          <w:tab w:val="left" w:pos="426"/>
        </w:tabs>
        <w:spacing w:before="120" w:after="0"/>
        <w:jc w:val="both"/>
        <w:rPr>
          <w:rFonts w:ascii="Times New Roman" w:hAnsi="Times New Roman" w:cs="Times New Roman"/>
          <w:b/>
          <w:color w:val="000000" w:themeColor="text1"/>
          <w:sz w:val="24"/>
          <w:szCs w:val="24"/>
        </w:rPr>
      </w:pPr>
      <w:r w:rsidRPr="007978D6">
        <w:rPr>
          <w:rFonts w:ascii="Times New Roman" w:hAnsi="Times New Roman" w:cs="Times New Roman"/>
          <w:b/>
          <w:color w:val="000000" w:themeColor="text1"/>
          <w:sz w:val="24"/>
          <w:szCs w:val="24"/>
        </w:rPr>
        <w:t>8</w:t>
      </w:r>
      <w:r w:rsidR="00386820" w:rsidRPr="007978D6">
        <w:rPr>
          <w:rFonts w:ascii="Times New Roman" w:hAnsi="Times New Roman" w:cs="Times New Roman"/>
          <w:b/>
          <w:color w:val="000000" w:themeColor="text1"/>
          <w:sz w:val="24"/>
          <w:szCs w:val="24"/>
        </w:rPr>
        <w:t>.</w:t>
      </w:r>
      <w:r w:rsidR="00386820" w:rsidRPr="007978D6">
        <w:rPr>
          <w:rFonts w:ascii="Times New Roman" w:hAnsi="Times New Roman" w:cs="Times New Roman"/>
          <w:b/>
          <w:color w:val="000000" w:themeColor="text1"/>
          <w:sz w:val="24"/>
          <w:szCs w:val="24"/>
        </w:rPr>
        <w:tab/>
        <w:t xml:space="preserve">Pojazdy wysyłane z jednego państwa członkowskiego do drugiego </w:t>
      </w:r>
    </w:p>
    <w:p w14:paraId="6D318A08" w14:textId="77777777" w:rsidR="00386820" w:rsidRPr="007978D6" w:rsidRDefault="00386820" w:rsidP="002A23C5">
      <w:pPr>
        <w:spacing w:before="120" w:after="0"/>
        <w:jc w:val="both"/>
        <w:rPr>
          <w:rFonts w:ascii="Times New Roman" w:hAnsi="Times New Roman" w:cs="Times New Roman"/>
          <w:sz w:val="24"/>
          <w:szCs w:val="24"/>
        </w:rPr>
      </w:pPr>
      <w:r w:rsidRPr="007978D6">
        <w:rPr>
          <w:rFonts w:ascii="Times New Roman" w:hAnsi="Times New Roman" w:cs="Times New Roman"/>
          <w:sz w:val="24"/>
          <w:szCs w:val="24"/>
        </w:rPr>
        <w:t>Dyrektywa wprowadza nową regulację w zakresie pojazdu wysyłanego z jednego państwa członkowskiego do drugiego. Dotychczas, państwem członkowskim Unii Europejskiej umiejscowienia ryzyka było państwo, w którym pojazd mechaniczny ma być zarejestrowany, w przypadku gdy pojazd mechaniczny został nabyty w państwie członkowskim Unii Europejskiej innym niż to, w którym ma być zarejestrowany, ale nie dłużej niż przez okres 30 dni od dnia objęcia pojazdu mechanicznego w posiadanie przez jego nabywcę (art. 3 ust. 1 pkt 28 lit. c ustawy o działalności ubezpieczeniowej i reasekuracyjnej). Dyrektywa umożliwia wybór przez ubezpieczającego, czy wykupić polisę ubezpieczeniową w państwie członkowskim, w którym pojazd jest zarejestrowany, czy też, przez okres 30 dni od daty przyjęcia dostawy przez nabywcę, w państwie członkowskim przeznaczenia, nawet jeśli pojazd nie został jeszcze formalnie zarejestrowany w państwie członkowskim przeznaczenia. Ta modyfikacja wymaga odpowiedniej zmiany w ustawie o działalności ubezpieczeniowej i reasekuracyjnej (w zakresie art. 3 ust. 1 pkt 28 lit. c).</w:t>
      </w:r>
    </w:p>
    <w:p w14:paraId="20893737" w14:textId="4B15930F" w:rsidR="00386820" w:rsidRPr="007978D6" w:rsidRDefault="00386820" w:rsidP="002A23C5">
      <w:pPr>
        <w:spacing w:before="120" w:after="0"/>
        <w:jc w:val="both"/>
        <w:rPr>
          <w:rFonts w:ascii="Times New Roman" w:hAnsi="Times New Roman" w:cs="Times New Roman"/>
          <w:b/>
          <w:color w:val="000000" w:themeColor="text1"/>
          <w:sz w:val="24"/>
          <w:szCs w:val="24"/>
        </w:rPr>
      </w:pPr>
      <w:r w:rsidRPr="007978D6">
        <w:rPr>
          <w:rFonts w:ascii="Times New Roman" w:hAnsi="Times New Roman" w:cs="Times New Roman"/>
          <w:sz w:val="24"/>
          <w:szCs w:val="24"/>
        </w:rPr>
        <w:t xml:space="preserve">Jednocześnie, proponuje się rozszerzenie katalogu podmiotów, którym mogą być udostępniane dane (określone w art. 102 ust. 2–4 oraz w art. 103 ustawy o ubezpieczeniach obowiązkowych) zgromadzone przez Fundusz pełniący funkcję ośrodka informacji. Zmiana w zakresie art. 104 </w:t>
      </w:r>
      <w:r w:rsidRPr="007978D6">
        <w:rPr>
          <w:rFonts w:ascii="Times New Roman" w:hAnsi="Times New Roman" w:cs="Times New Roman"/>
          <w:sz w:val="24"/>
          <w:szCs w:val="24"/>
        </w:rPr>
        <w:lastRenderedPageBreak/>
        <w:t>ust. 1 pkt 1</w:t>
      </w:r>
      <w:r w:rsidR="00756F60" w:rsidRPr="007978D6">
        <w:rPr>
          <w:rFonts w:ascii="Times New Roman" w:hAnsi="Times New Roman" w:cs="Times New Roman"/>
          <w:sz w:val="24"/>
          <w:szCs w:val="24"/>
        </w:rPr>
        <w:t>6</w:t>
      </w:r>
      <w:r w:rsidRPr="007978D6">
        <w:rPr>
          <w:rFonts w:ascii="Times New Roman" w:hAnsi="Times New Roman" w:cs="Times New Roman"/>
          <w:sz w:val="24"/>
          <w:szCs w:val="24"/>
        </w:rPr>
        <w:t xml:space="preserve"> ustawy o ubezpieczeniach obowiązkowych ma na celu zapewnienie wymiany informacji</w:t>
      </w:r>
      <w:r w:rsidRPr="002A23C5">
        <w:rPr>
          <w:rFonts w:ascii="Times New Roman" w:hAnsi="Times New Roman" w:cs="Times New Roman"/>
          <w:sz w:val="24"/>
          <w:szCs w:val="24"/>
        </w:rPr>
        <w:t xml:space="preserve"> </w:t>
      </w:r>
      <w:r w:rsidRPr="007978D6">
        <w:rPr>
          <w:rFonts w:ascii="Times New Roman" w:hAnsi="Times New Roman" w:cs="Times New Roman"/>
          <w:sz w:val="24"/>
          <w:szCs w:val="24"/>
        </w:rPr>
        <w:t>pomiędzy ośrodkami informacyjnymi państw członkowskich UE w odniesieniu do pojazdów wysyłanych</w:t>
      </w:r>
      <w:r w:rsidRPr="002A23C5">
        <w:rPr>
          <w:rFonts w:ascii="Times New Roman" w:hAnsi="Times New Roman" w:cs="Times New Roman"/>
          <w:sz w:val="24"/>
          <w:szCs w:val="24"/>
        </w:rPr>
        <w:t xml:space="preserve"> </w:t>
      </w:r>
      <w:r w:rsidRPr="007978D6">
        <w:rPr>
          <w:rFonts w:ascii="Times New Roman" w:hAnsi="Times New Roman" w:cs="Times New Roman"/>
          <w:sz w:val="24"/>
          <w:szCs w:val="24"/>
        </w:rPr>
        <w:t>z jednego państwa członkowskiego do drugiego.</w:t>
      </w:r>
    </w:p>
    <w:p w14:paraId="4B17F872" w14:textId="1730D8E3" w:rsidR="00386820" w:rsidRPr="007978D6" w:rsidRDefault="00802363" w:rsidP="002A23C5">
      <w:pPr>
        <w:tabs>
          <w:tab w:val="left" w:pos="426"/>
        </w:tabs>
        <w:spacing w:before="120" w:after="0"/>
        <w:jc w:val="both"/>
        <w:rPr>
          <w:rFonts w:ascii="Times New Roman" w:hAnsi="Times New Roman" w:cs="Times New Roman"/>
          <w:b/>
          <w:color w:val="000000" w:themeColor="text1"/>
          <w:sz w:val="24"/>
          <w:szCs w:val="24"/>
        </w:rPr>
      </w:pPr>
      <w:r w:rsidRPr="007978D6">
        <w:rPr>
          <w:rFonts w:ascii="Times New Roman" w:hAnsi="Times New Roman" w:cs="Times New Roman"/>
          <w:b/>
          <w:color w:val="000000" w:themeColor="text1"/>
          <w:sz w:val="24"/>
          <w:szCs w:val="24"/>
        </w:rPr>
        <w:t>9</w:t>
      </w:r>
      <w:r w:rsidR="00386820" w:rsidRPr="007978D6">
        <w:rPr>
          <w:rFonts w:ascii="Times New Roman" w:hAnsi="Times New Roman" w:cs="Times New Roman"/>
          <w:b/>
          <w:color w:val="000000" w:themeColor="text1"/>
          <w:sz w:val="24"/>
          <w:szCs w:val="24"/>
        </w:rPr>
        <w:t>.</w:t>
      </w:r>
      <w:r w:rsidR="00386820" w:rsidRPr="007978D6">
        <w:rPr>
          <w:rFonts w:ascii="Times New Roman" w:hAnsi="Times New Roman" w:cs="Times New Roman"/>
          <w:b/>
          <w:color w:val="000000" w:themeColor="text1"/>
          <w:sz w:val="24"/>
          <w:szCs w:val="24"/>
        </w:rPr>
        <w:tab/>
        <w:t>Przepis</w:t>
      </w:r>
      <w:r w:rsidR="001154C5" w:rsidRPr="007978D6">
        <w:rPr>
          <w:rFonts w:ascii="Times New Roman" w:hAnsi="Times New Roman" w:cs="Times New Roman"/>
          <w:b/>
          <w:color w:val="000000" w:themeColor="text1"/>
          <w:sz w:val="24"/>
          <w:szCs w:val="24"/>
        </w:rPr>
        <w:t>y</w:t>
      </w:r>
      <w:r w:rsidR="00F13567" w:rsidRPr="007978D6">
        <w:rPr>
          <w:rFonts w:ascii="Times New Roman" w:hAnsi="Times New Roman" w:cs="Times New Roman"/>
          <w:b/>
          <w:color w:val="000000" w:themeColor="text1"/>
          <w:sz w:val="24"/>
          <w:szCs w:val="24"/>
        </w:rPr>
        <w:t xml:space="preserve"> </w:t>
      </w:r>
      <w:r w:rsidR="00386820" w:rsidRPr="007978D6">
        <w:rPr>
          <w:rFonts w:ascii="Times New Roman" w:hAnsi="Times New Roman" w:cs="Times New Roman"/>
          <w:b/>
          <w:color w:val="000000" w:themeColor="text1"/>
          <w:sz w:val="24"/>
          <w:szCs w:val="24"/>
        </w:rPr>
        <w:t>przejściow</w:t>
      </w:r>
      <w:r w:rsidR="002B027D" w:rsidRPr="007978D6">
        <w:rPr>
          <w:rFonts w:ascii="Times New Roman" w:hAnsi="Times New Roman" w:cs="Times New Roman"/>
          <w:b/>
          <w:color w:val="000000" w:themeColor="text1"/>
          <w:sz w:val="24"/>
          <w:szCs w:val="24"/>
        </w:rPr>
        <w:t>e</w:t>
      </w:r>
      <w:r w:rsidR="00EC295A" w:rsidRPr="007978D6">
        <w:rPr>
          <w:rFonts w:ascii="Times New Roman" w:hAnsi="Times New Roman" w:cs="Times New Roman"/>
          <w:b/>
          <w:color w:val="000000" w:themeColor="text1"/>
          <w:sz w:val="24"/>
          <w:szCs w:val="24"/>
        </w:rPr>
        <w:t xml:space="preserve"> </w:t>
      </w:r>
    </w:p>
    <w:p w14:paraId="54EB3357" w14:textId="6EFCB2AB" w:rsidR="00EC295A" w:rsidRPr="007978D6" w:rsidRDefault="00386820" w:rsidP="002A23C5">
      <w:pPr>
        <w:spacing w:before="120" w:after="0"/>
        <w:ind w:left="-56"/>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Projekt ustawy przewiduje </w:t>
      </w:r>
      <w:r w:rsidR="00EC295A" w:rsidRPr="007978D6">
        <w:rPr>
          <w:rFonts w:ascii="Times New Roman" w:hAnsi="Times New Roman" w:cs="Times New Roman"/>
          <w:color w:val="000000" w:themeColor="text1"/>
          <w:sz w:val="24"/>
          <w:szCs w:val="24"/>
        </w:rPr>
        <w:t xml:space="preserve">dwa </w:t>
      </w:r>
      <w:r w:rsidRPr="007978D6">
        <w:rPr>
          <w:rFonts w:ascii="Times New Roman" w:hAnsi="Times New Roman" w:cs="Times New Roman"/>
          <w:color w:val="000000" w:themeColor="text1"/>
          <w:sz w:val="24"/>
          <w:szCs w:val="24"/>
        </w:rPr>
        <w:t>przepis</w:t>
      </w:r>
      <w:r w:rsidR="00B511EE" w:rsidRPr="007978D6">
        <w:rPr>
          <w:rFonts w:ascii="Times New Roman" w:hAnsi="Times New Roman" w:cs="Times New Roman"/>
          <w:color w:val="000000" w:themeColor="text1"/>
          <w:sz w:val="24"/>
          <w:szCs w:val="24"/>
        </w:rPr>
        <w:t>y</w:t>
      </w:r>
      <w:r w:rsidRPr="007978D6">
        <w:rPr>
          <w:rFonts w:ascii="Times New Roman" w:hAnsi="Times New Roman" w:cs="Times New Roman"/>
          <w:color w:val="000000" w:themeColor="text1"/>
          <w:sz w:val="24"/>
          <w:szCs w:val="24"/>
        </w:rPr>
        <w:t xml:space="preserve"> przejściow</w:t>
      </w:r>
      <w:r w:rsidR="00065DF6" w:rsidRPr="007978D6">
        <w:rPr>
          <w:rFonts w:ascii="Times New Roman" w:hAnsi="Times New Roman" w:cs="Times New Roman"/>
          <w:color w:val="000000" w:themeColor="text1"/>
          <w:sz w:val="24"/>
          <w:szCs w:val="24"/>
        </w:rPr>
        <w:t>e</w:t>
      </w:r>
      <w:r w:rsidR="00EC295A" w:rsidRPr="007978D6">
        <w:rPr>
          <w:rFonts w:ascii="Times New Roman" w:hAnsi="Times New Roman" w:cs="Times New Roman"/>
          <w:color w:val="000000" w:themeColor="text1"/>
          <w:sz w:val="24"/>
          <w:szCs w:val="24"/>
        </w:rPr>
        <w:t>.</w:t>
      </w:r>
    </w:p>
    <w:p w14:paraId="6A35A6E5" w14:textId="1A054CE0" w:rsidR="002D4516" w:rsidRPr="002A23C5" w:rsidRDefault="00CB6B24" w:rsidP="002A23C5">
      <w:pPr>
        <w:spacing w:before="120" w:after="0"/>
        <w:jc w:val="both"/>
        <w:rPr>
          <w:rFonts w:ascii="Times New Roman" w:hAnsi="Times New Roman" w:cs="Times New Roman"/>
          <w:sz w:val="24"/>
          <w:szCs w:val="24"/>
        </w:rPr>
      </w:pPr>
      <w:bookmarkStart w:id="1" w:name="_Hlk169264193"/>
      <w:r w:rsidRPr="007978D6">
        <w:rPr>
          <w:rFonts w:ascii="Times New Roman" w:hAnsi="Times New Roman" w:cs="Times New Roman"/>
          <w:sz w:val="24"/>
          <w:szCs w:val="24"/>
        </w:rPr>
        <w:t>Przepisy art. 3 projektu zawierają normy przejściowe odnoszące się zarówno do zawartych umów ubezpieczenia OC posiadaczy pojazdów mechanicznych, jak i umów ubezpieczenia OC rolników z tytułu posiadania gospodarstwa rolnego.</w:t>
      </w:r>
      <w:r w:rsidRPr="002A23C5">
        <w:rPr>
          <w:rFonts w:ascii="Times New Roman" w:hAnsi="Times New Roman" w:cs="Times New Roman"/>
          <w:sz w:val="24"/>
          <w:szCs w:val="24"/>
        </w:rPr>
        <w:t xml:space="preserve"> </w:t>
      </w:r>
      <w:r w:rsidR="002D4516" w:rsidRPr="007978D6">
        <w:rPr>
          <w:rFonts w:ascii="Times New Roman" w:hAnsi="Times New Roman" w:cs="Times New Roman"/>
          <w:sz w:val="24"/>
          <w:szCs w:val="24"/>
        </w:rPr>
        <w:t xml:space="preserve">Wynika to z faktu, iż z tego ubezpieczenia likwidowane są szkody wyrządzone ruchem pojazdów wolnobieżnych będących w posiadaniu rolników posiadających gospodarstwo rolne i użytkowanych w związku z posiadaniem tego gospodarstwa. </w:t>
      </w:r>
    </w:p>
    <w:p w14:paraId="27509E59" w14:textId="5862F9CD" w:rsidR="002D4516" w:rsidRPr="007978D6" w:rsidRDefault="002D4516" w:rsidP="002A23C5">
      <w:pPr>
        <w:spacing w:before="120" w:after="0"/>
        <w:jc w:val="both"/>
        <w:rPr>
          <w:rFonts w:ascii="Times New Roman" w:hAnsi="Times New Roman" w:cs="Times New Roman"/>
          <w:sz w:val="24"/>
          <w:szCs w:val="24"/>
        </w:rPr>
      </w:pPr>
      <w:r w:rsidRPr="007978D6">
        <w:rPr>
          <w:rFonts w:ascii="Times New Roman" w:hAnsi="Times New Roman" w:cs="Times New Roman"/>
          <w:sz w:val="24"/>
          <w:szCs w:val="24"/>
        </w:rPr>
        <w:t xml:space="preserve">Przepis art. 3 </w:t>
      </w:r>
      <w:r w:rsidR="001658AF" w:rsidRPr="007978D6">
        <w:rPr>
          <w:rFonts w:ascii="Times New Roman" w:hAnsi="Times New Roman" w:cs="Times New Roman"/>
          <w:sz w:val="24"/>
          <w:szCs w:val="24"/>
        </w:rPr>
        <w:t xml:space="preserve">ust. 1 </w:t>
      </w:r>
      <w:r w:rsidRPr="007978D6">
        <w:rPr>
          <w:rFonts w:ascii="Times New Roman" w:hAnsi="Times New Roman" w:cs="Times New Roman"/>
          <w:sz w:val="24"/>
          <w:szCs w:val="24"/>
        </w:rPr>
        <w:t>odnosi się do umów ubezpieczenia OC posiadaczy pojazdów mechanicznych i umów ubezpieczenia odpowiedzialności cywilnej rolników z tytułu posiadania gospodarstwa rolnego</w:t>
      </w:r>
      <w:r w:rsidR="00756ABD" w:rsidRPr="007978D6">
        <w:rPr>
          <w:rFonts w:ascii="Times New Roman" w:hAnsi="Times New Roman" w:cs="Times New Roman"/>
          <w:sz w:val="24"/>
          <w:szCs w:val="24"/>
        </w:rPr>
        <w:t>,</w:t>
      </w:r>
      <w:r w:rsidRPr="007978D6">
        <w:rPr>
          <w:rFonts w:ascii="Times New Roman" w:hAnsi="Times New Roman" w:cs="Times New Roman"/>
          <w:sz w:val="24"/>
          <w:szCs w:val="24"/>
        </w:rPr>
        <w:t xml:space="preserve"> zawartych przed dniem 23 grudnia 2023 r. i obowiązujących na ten dzień, jeżeli zdarzenie zaistniało przed tym dniem. Jako zasadę proponuje się, aby do takich umów zastosowanie miały przepisy dotychczasowe. </w:t>
      </w:r>
    </w:p>
    <w:p w14:paraId="5AD7792C" w14:textId="28FDBC8D" w:rsidR="002D4516" w:rsidRPr="007978D6" w:rsidRDefault="002D4516" w:rsidP="002A23C5">
      <w:pPr>
        <w:spacing w:before="120" w:after="0"/>
        <w:jc w:val="both"/>
        <w:rPr>
          <w:rFonts w:ascii="Times New Roman" w:hAnsi="Times New Roman" w:cs="Times New Roman"/>
          <w:b/>
          <w:bCs/>
          <w:sz w:val="24"/>
          <w:szCs w:val="24"/>
        </w:rPr>
      </w:pPr>
      <w:r w:rsidRPr="007978D6">
        <w:rPr>
          <w:rFonts w:ascii="Times New Roman" w:hAnsi="Times New Roman" w:cs="Times New Roman"/>
          <w:sz w:val="24"/>
          <w:szCs w:val="24"/>
        </w:rPr>
        <w:t>Jednocześnie w związku z opóźnieniem wdrożenia przepisów dyrektywy do polskiego porządku prawnego wprowadzono regulacje oddziałujące ze skutkiem wstecznym. Z uwagi na fakt, iż przepisy unijne powinny zostać zaimplementowane do dnia 23 grudnia 2023 r</w:t>
      </w:r>
      <w:r w:rsidR="001658AF">
        <w:rPr>
          <w:rFonts w:ascii="Times New Roman" w:hAnsi="Times New Roman" w:cs="Times New Roman"/>
          <w:sz w:val="24"/>
          <w:szCs w:val="24"/>
        </w:rPr>
        <w:t>.</w:t>
      </w:r>
      <w:r w:rsidRPr="007978D6">
        <w:rPr>
          <w:rFonts w:ascii="Times New Roman" w:hAnsi="Times New Roman" w:cs="Times New Roman"/>
          <w:sz w:val="24"/>
          <w:szCs w:val="24"/>
        </w:rPr>
        <w:t>, powstała luka czasowa od tego dnia do dnia wejścia w życie przepisów projektowanej ustawy. Dotyczy ona umów ubezpieczenia, które zostały zawarte przed dniem 23 grudnia 2023 r</w:t>
      </w:r>
      <w:r w:rsidR="001658AF">
        <w:rPr>
          <w:rFonts w:ascii="Times New Roman" w:hAnsi="Times New Roman" w:cs="Times New Roman"/>
          <w:sz w:val="24"/>
          <w:szCs w:val="24"/>
        </w:rPr>
        <w:t>.</w:t>
      </w:r>
      <w:r w:rsidRPr="007978D6">
        <w:rPr>
          <w:rFonts w:ascii="Times New Roman" w:hAnsi="Times New Roman" w:cs="Times New Roman"/>
          <w:sz w:val="24"/>
          <w:szCs w:val="24"/>
        </w:rPr>
        <w:t xml:space="preserve"> i obowiązywały w tym dniu, a zdarzenie powodujące szkodę zaistniało od tego dnia. Mając na uwadze konieczność dostosowania do wymaganych przez przepisy dyrektywy wysokości minimalnych sum gwarancyjnych w ww. ubezpieczeniach, w art. 3 </w:t>
      </w:r>
      <w:r w:rsidR="001658AF" w:rsidRPr="007978D6">
        <w:rPr>
          <w:rFonts w:ascii="Times New Roman" w:hAnsi="Times New Roman" w:cs="Times New Roman"/>
          <w:sz w:val="24"/>
          <w:szCs w:val="24"/>
        </w:rPr>
        <w:t xml:space="preserve">ust. 2 i 3 </w:t>
      </w:r>
      <w:r w:rsidRPr="007978D6">
        <w:rPr>
          <w:rFonts w:ascii="Times New Roman" w:hAnsi="Times New Roman" w:cs="Times New Roman"/>
          <w:sz w:val="24"/>
          <w:szCs w:val="24"/>
        </w:rPr>
        <w:t>wprowadzono przepisy przejściowe przewidujące, że do umów ubezpieczenia odpowiedzialności cywilnej posiadaczy pojazdów mechanicznych za szkody powstałe w związku z ruchem tych pojazdów oraz umów ubezpieczenia odpowiedzialności cywilnej rolników z tytułu posiadania gospodarstwa rolnego, zawartych przed dniem 23 grudnia 2023 r. i obowiązujących na ten dzień, jeżeli zdarzenie zaistniało od tego dnia, stosuje się nowe przepisy (odpowiednio art. 36 ust. 1 i art. 52 ustawy o ubezpieczeniach obowiązkowych w brzmieniu nadanym ustawą nowelizując</w:t>
      </w:r>
      <w:r w:rsidR="001658AF">
        <w:rPr>
          <w:rFonts w:ascii="Times New Roman" w:hAnsi="Times New Roman" w:cs="Times New Roman"/>
          <w:sz w:val="24"/>
          <w:szCs w:val="24"/>
        </w:rPr>
        <w:t>ą</w:t>
      </w:r>
      <w:r w:rsidRPr="007978D6">
        <w:rPr>
          <w:rFonts w:ascii="Times New Roman" w:hAnsi="Times New Roman" w:cs="Times New Roman"/>
          <w:sz w:val="24"/>
          <w:szCs w:val="24"/>
        </w:rPr>
        <w:t>).</w:t>
      </w:r>
      <w:r w:rsidR="0045079C" w:rsidRPr="007978D6">
        <w:rPr>
          <w:rFonts w:ascii="Times New Roman" w:hAnsi="Times New Roman" w:cs="Times New Roman"/>
          <w:sz w:val="24"/>
          <w:szCs w:val="24"/>
        </w:rPr>
        <w:t xml:space="preserve"> </w:t>
      </w:r>
      <w:r w:rsidR="00B400C2" w:rsidRPr="007978D6">
        <w:rPr>
          <w:rFonts w:ascii="Times New Roman" w:hAnsi="Times New Roman" w:cs="Times New Roman"/>
          <w:sz w:val="24"/>
          <w:szCs w:val="24"/>
        </w:rPr>
        <w:t>W</w:t>
      </w:r>
      <w:r w:rsidR="001D2590" w:rsidRPr="007978D6">
        <w:rPr>
          <w:rFonts w:ascii="Times New Roman" w:hAnsi="Times New Roman" w:cs="Times New Roman"/>
          <w:sz w:val="24"/>
          <w:szCs w:val="24"/>
        </w:rPr>
        <w:t>prowadzenie powyższego rozwiązania</w:t>
      </w:r>
      <w:r w:rsidR="00ED5141" w:rsidRPr="007978D6">
        <w:rPr>
          <w:rFonts w:ascii="Times New Roman" w:hAnsi="Times New Roman" w:cs="Times New Roman"/>
          <w:sz w:val="24"/>
          <w:szCs w:val="24"/>
        </w:rPr>
        <w:t xml:space="preserve"> jest korzystne</w:t>
      </w:r>
      <w:r w:rsidR="0045079C" w:rsidRPr="007978D6">
        <w:rPr>
          <w:rFonts w:ascii="Times New Roman" w:hAnsi="Times New Roman" w:cs="Times New Roman"/>
          <w:sz w:val="24"/>
          <w:szCs w:val="24"/>
        </w:rPr>
        <w:t xml:space="preserve"> dla </w:t>
      </w:r>
      <w:r w:rsidR="00C72021" w:rsidRPr="007978D6">
        <w:rPr>
          <w:rFonts w:ascii="Times New Roman" w:hAnsi="Times New Roman" w:cs="Times New Roman"/>
          <w:sz w:val="24"/>
          <w:szCs w:val="24"/>
        </w:rPr>
        <w:t>potencjalnych poszkodowanych</w:t>
      </w:r>
      <w:r w:rsidR="00B400C2" w:rsidRPr="007978D6">
        <w:rPr>
          <w:rFonts w:ascii="Times New Roman" w:hAnsi="Times New Roman" w:cs="Times New Roman"/>
          <w:sz w:val="24"/>
          <w:szCs w:val="24"/>
        </w:rPr>
        <w:t xml:space="preserve">, ponieważ ochrona ubezpieczeniowa z tytułu podwyższonych sum gwarancyjnych obowiązywać będzie od </w:t>
      </w:r>
      <w:r w:rsidR="00B400C2" w:rsidRPr="007978D6">
        <w:rPr>
          <w:rFonts w:ascii="Times New Roman" w:hAnsi="Times New Roman" w:cs="Times New Roman"/>
          <w:sz w:val="24"/>
          <w:szCs w:val="24"/>
        </w:rPr>
        <w:lastRenderedPageBreak/>
        <w:t xml:space="preserve">możliwie wczesnego momentu. Mając na uwadze zabezpieczenie słusznego interesu ubezpieczających </w:t>
      </w:r>
      <w:r w:rsidR="00637315" w:rsidRPr="007978D6">
        <w:rPr>
          <w:rFonts w:ascii="Times New Roman" w:hAnsi="Times New Roman" w:cs="Times New Roman"/>
          <w:sz w:val="24"/>
          <w:szCs w:val="24"/>
        </w:rPr>
        <w:t xml:space="preserve">wprowadzenie mocy wstecznej przepisu jest zgodne z zasadą </w:t>
      </w:r>
      <w:r w:rsidR="003D162F" w:rsidRPr="007978D6">
        <w:rPr>
          <w:rFonts w:ascii="Times New Roman" w:hAnsi="Times New Roman" w:cs="Times New Roman"/>
          <w:sz w:val="24"/>
          <w:szCs w:val="24"/>
        </w:rPr>
        <w:t>demokratycznego państwa</w:t>
      </w:r>
      <w:r w:rsidR="00637315" w:rsidRPr="007978D6">
        <w:rPr>
          <w:rFonts w:ascii="Times New Roman" w:hAnsi="Times New Roman" w:cs="Times New Roman"/>
          <w:sz w:val="24"/>
          <w:szCs w:val="24"/>
        </w:rPr>
        <w:t xml:space="preserve"> prawnego</w:t>
      </w:r>
      <w:r w:rsidR="00F65DEB" w:rsidRPr="007978D6">
        <w:rPr>
          <w:rFonts w:ascii="Times New Roman" w:hAnsi="Times New Roman" w:cs="Times New Roman"/>
          <w:color w:val="333333"/>
          <w:sz w:val="24"/>
          <w:szCs w:val="24"/>
          <w:shd w:val="clear" w:color="auto" w:fill="FFFFFF"/>
        </w:rPr>
        <w:t xml:space="preserve"> urzeczywistniającego zasady sprawiedliwości społecznej</w:t>
      </w:r>
      <w:r w:rsidR="003D162F" w:rsidRPr="007978D6">
        <w:rPr>
          <w:rFonts w:ascii="Times New Roman" w:hAnsi="Times New Roman" w:cs="Times New Roman"/>
          <w:sz w:val="24"/>
          <w:szCs w:val="24"/>
        </w:rPr>
        <w:t>.</w:t>
      </w:r>
    </w:p>
    <w:p w14:paraId="175079B5" w14:textId="17D3D4AF" w:rsidR="002D4516" w:rsidRPr="007978D6" w:rsidRDefault="002D4516" w:rsidP="002A23C5">
      <w:pPr>
        <w:spacing w:before="120" w:after="0"/>
        <w:jc w:val="both"/>
        <w:rPr>
          <w:rFonts w:ascii="Times New Roman" w:hAnsi="Times New Roman" w:cs="Times New Roman"/>
          <w:sz w:val="24"/>
          <w:szCs w:val="24"/>
        </w:rPr>
      </w:pPr>
      <w:r w:rsidRPr="007978D6">
        <w:rPr>
          <w:rFonts w:ascii="Times New Roman" w:hAnsi="Times New Roman" w:cs="Times New Roman"/>
          <w:sz w:val="24"/>
          <w:szCs w:val="24"/>
        </w:rPr>
        <w:t xml:space="preserve">W art. 3 </w:t>
      </w:r>
      <w:r w:rsidR="001658AF" w:rsidRPr="007978D6">
        <w:rPr>
          <w:rFonts w:ascii="Times New Roman" w:hAnsi="Times New Roman" w:cs="Times New Roman"/>
          <w:sz w:val="24"/>
          <w:szCs w:val="24"/>
        </w:rPr>
        <w:t xml:space="preserve">ust. 4 i 5 </w:t>
      </w:r>
      <w:r w:rsidRPr="007978D6">
        <w:rPr>
          <w:rFonts w:ascii="Times New Roman" w:hAnsi="Times New Roman" w:cs="Times New Roman"/>
          <w:sz w:val="24"/>
          <w:szCs w:val="24"/>
        </w:rPr>
        <w:t>uregulowano natomiast sytuacje dotyczące umów ubezpieczenia zawartych od dnia 23 grudnia 2023 r</w:t>
      </w:r>
      <w:r w:rsidR="001658AF">
        <w:rPr>
          <w:rFonts w:ascii="Times New Roman" w:hAnsi="Times New Roman" w:cs="Times New Roman"/>
          <w:sz w:val="24"/>
          <w:szCs w:val="24"/>
        </w:rPr>
        <w:t>.</w:t>
      </w:r>
      <w:r w:rsidRPr="007978D6">
        <w:rPr>
          <w:rFonts w:ascii="Times New Roman" w:hAnsi="Times New Roman" w:cs="Times New Roman"/>
          <w:sz w:val="24"/>
          <w:szCs w:val="24"/>
        </w:rPr>
        <w:t xml:space="preserve"> i szkód zaistniałych po tym dniu. Przepisy te przewidują, że w zakresie umów ubezpieczenia odpowiedzialności cywilnej posiadaczy pojazdów mechanicznych za szkody powstałe w związku z ruchem tych pojazdów oraz umów ubezpieczenia odpowiedzialności cywilnej rolników z tytułu posiadania gospodarstwa rolnego, zawartych od dnia 23 grudnia 2023 r</w:t>
      </w:r>
      <w:r w:rsidR="001658AF">
        <w:rPr>
          <w:rFonts w:ascii="Times New Roman" w:hAnsi="Times New Roman" w:cs="Times New Roman"/>
          <w:sz w:val="24"/>
          <w:szCs w:val="24"/>
        </w:rPr>
        <w:t>.</w:t>
      </w:r>
      <w:r w:rsidRPr="007978D6">
        <w:rPr>
          <w:rFonts w:ascii="Times New Roman" w:hAnsi="Times New Roman" w:cs="Times New Roman"/>
          <w:sz w:val="24"/>
          <w:szCs w:val="24"/>
        </w:rPr>
        <w:t>, stosuje się nowe przepisy (odpowiednio art. 36 ust. 1</w:t>
      </w:r>
      <w:r w:rsidR="001658AF">
        <w:rPr>
          <w:rFonts w:ascii="Times New Roman" w:hAnsi="Times New Roman" w:cs="Times New Roman"/>
          <w:sz w:val="24"/>
          <w:szCs w:val="24"/>
        </w:rPr>
        <w:t xml:space="preserve"> </w:t>
      </w:r>
      <w:r w:rsidRPr="007978D6">
        <w:rPr>
          <w:rFonts w:ascii="Times New Roman" w:hAnsi="Times New Roman" w:cs="Times New Roman"/>
          <w:sz w:val="24"/>
          <w:szCs w:val="24"/>
        </w:rPr>
        <w:t xml:space="preserve">i art. 52 ustawy zmienianej). </w:t>
      </w:r>
    </w:p>
    <w:p w14:paraId="157CC43F" w14:textId="4823EEB2" w:rsidR="00386820" w:rsidRPr="007978D6" w:rsidRDefault="00386820" w:rsidP="002A23C5">
      <w:pPr>
        <w:spacing w:before="120" w:after="0"/>
        <w:ind w:left="-56"/>
        <w:jc w:val="both"/>
        <w:rPr>
          <w:rFonts w:ascii="Times New Roman" w:hAnsi="Times New Roman" w:cs="Times New Roman"/>
          <w:sz w:val="24"/>
          <w:szCs w:val="24"/>
        </w:rPr>
      </w:pPr>
      <w:bookmarkStart w:id="2" w:name="_Hlk169258465"/>
      <w:bookmarkEnd w:id="1"/>
      <w:r w:rsidRPr="007978D6">
        <w:rPr>
          <w:rFonts w:ascii="Times New Roman" w:hAnsi="Times New Roman" w:cs="Times New Roman"/>
          <w:sz w:val="24"/>
          <w:szCs w:val="24"/>
        </w:rPr>
        <w:t xml:space="preserve">Wprowadzenie </w:t>
      </w:r>
      <w:r w:rsidR="0043569F" w:rsidRPr="007978D6">
        <w:rPr>
          <w:rFonts w:ascii="Times New Roman" w:hAnsi="Times New Roman" w:cs="Times New Roman"/>
          <w:sz w:val="24"/>
          <w:szCs w:val="24"/>
        </w:rPr>
        <w:t xml:space="preserve">powyższych rozwiązań </w:t>
      </w:r>
      <w:r w:rsidRPr="007978D6">
        <w:rPr>
          <w:rFonts w:ascii="Times New Roman" w:hAnsi="Times New Roman" w:cs="Times New Roman"/>
          <w:sz w:val="24"/>
          <w:szCs w:val="24"/>
        </w:rPr>
        <w:t>jest uzasadnione mając również na uwadze wskazany wcześniej wyrok TSUE w sprawie C-428/20.</w:t>
      </w:r>
      <w:r w:rsidR="00B22A1E" w:rsidRPr="007978D6">
        <w:rPr>
          <w:rFonts w:ascii="Times New Roman" w:hAnsi="Times New Roman" w:cs="Times New Roman"/>
          <w:sz w:val="24"/>
          <w:szCs w:val="24"/>
        </w:rPr>
        <w:t xml:space="preserve"> </w:t>
      </w:r>
    </w:p>
    <w:bookmarkEnd w:id="2"/>
    <w:p w14:paraId="563BB758" w14:textId="77777777" w:rsidR="00061C91" w:rsidRPr="007978D6" w:rsidRDefault="00061C91" w:rsidP="002A23C5">
      <w:pPr>
        <w:spacing w:before="120" w:after="0"/>
        <w:ind w:left="-56"/>
        <w:jc w:val="both"/>
        <w:rPr>
          <w:rFonts w:ascii="Times New Roman" w:hAnsi="Times New Roman" w:cs="Times New Roman"/>
          <w:sz w:val="24"/>
          <w:szCs w:val="24"/>
        </w:rPr>
      </w:pPr>
      <w:r w:rsidRPr="007978D6">
        <w:rPr>
          <w:rFonts w:ascii="Times New Roman" w:hAnsi="Times New Roman" w:cs="Times New Roman"/>
          <w:sz w:val="24"/>
          <w:szCs w:val="24"/>
        </w:rPr>
        <w:t xml:space="preserve">Dodatkowo proponuje się dodanie przepisu przejściowego w zakresie roszczeń poszkodowanych lub uprawnionych do odszkodowania, w przypadku postępowań upadłościowych i likwidacyjnych wszczętych i niezakończonych przed dniem 23 grudnia 2023 r. oraz wszczętych po dniu 22 grudnia 2023 r. W stosunku do roszczeń poszkodowanych lub uprawnionych do odszkodowania, w przypadku postępowań upadłościowych i likwidacyjnych wszczętych i niezakończonych przed dniem 23 grudnia 2023 r., zastosowanie będą miały przepisy dotychczasowe. </w:t>
      </w:r>
    </w:p>
    <w:p w14:paraId="4BF586D5" w14:textId="67DEDE06" w:rsidR="00061C91" w:rsidRPr="007978D6" w:rsidRDefault="00061C91" w:rsidP="002A23C5">
      <w:pPr>
        <w:spacing w:before="120" w:after="0"/>
        <w:ind w:left="-56"/>
        <w:jc w:val="both"/>
        <w:rPr>
          <w:rFonts w:ascii="Times New Roman" w:hAnsi="Times New Roman" w:cs="Times New Roman"/>
          <w:sz w:val="24"/>
          <w:szCs w:val="24"/>
        </w:rPr>
      </w:pPr>
      <w:r w:rsidRPr="007978D6">
        <w:rPr>
          <w:rFonts w:ascii="Times New Roman" w:hAnsi="Times New Roman" w:cs="Times New Roman"/>
          <w:sz w:val="24"/>
          <w:szCs w:val="24"/>
        </w:rPr>
        <w:t>W stosunku do roszczeń poszkodowanych lub uprawnionych do odszkodowania, w przypadku postępowań upadłościowych i likwidacyjnych wszczętych po dniu 22 grudnia 2023 r., zastosowanie będą miały przepisy ustawy zmienianej w art. 1, w brzmieniu nadanym niniejszą ustawą. Wynika to z faktu, iż dyrektywa wymaga bowiem, aby Państwa członkowskie stosowały wprowadzane przepisy od dnia 23 grudnia 2023 r. Ponadto, umowy organów ds. niewypłacalności, które UFG i PBUK mają podpisać jako odpowiednio organ ds. niewypłacalności w rozumieniu art. 10a i organ ds. niewypłacalności w rozumieniu art. 25a dyrektywy przewidują, że umowy będą miały zastosowanie do niewypłacalności zaistniałych od 23 grudnia 2023 r. Tym samym UFG i PBUK będą realizować swoje zadania (jako zobowiązania do wypłaty określonych roszczeń i uprawnienia wynikające z ww. umów) względem niewypłacalności, które będą miały miejsce przed dniem wejścia w życie ustawy transponującej. Wprowadzenie tego przepisu przejściowego jest więc niezbędne w celu zapewnienia możliwości stosowania przepisów implementujących dyrektywę zgodnie z jej wymogami.</w:t>
      </w:r>
    </w:p>
    <w:p w14:paraId="2A2A5C68" w14:textId="0B8B4A56" w:rsidR="00FA5CBF" w:rsidRPr="007978D6" w:rsidRDefault="0089228E"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sz w:val="24"/>
          <w:szCs w:val="24"/>
        </w:rPr>
        <w:lastRenderedPageBreak/>
        <w:t>Proponuje się także dodanie odrębnej jednostki redakcyjnej zawierającej postanowienia o stosowaniu art. 8 ust. 3a i 3b oraz art. 104 ust. 7a. Zgodnie z projektowanym art. 5 przepisy te stosuje się od dnia rozpoczęcia stosowania aktu wykonawczego Komisji Europejskiej określającego wzór zaświadczenia o przebiegu ubezpieczenia</w:t>
      </w:r>
      <w:r w:rsidR="00A56ABF" w:rsidRPr="007978D6">
        <w:rPr>
          <w:rFonts w:ascii="Times New Roman" w:hAnsi="Times New Roman" w:cs="Times New Roman"/>
          <w:sz w:val="24"/>
          <w:szCs w:val="24"/>
        </w:rPr>
        <w:t xml:space="preserve"> wydanego na podstawie art. 16 akapit 6 dyrektywy</w:t>
      </w:r>
      <w:r w:rsidRPr="007978D6">
        <w:rPr>
          <w:rFonts w:ascii="Times New Roman" w:hAnsi="Times New Roman" w:cs="Times New Roman"/>
          <w:sz w:val="24"/>
          <w:szCs w:val="24"/>
        </w:rPr>
        <w:t>.</w:t>
      </w:r>
      <w:r w:rsidR="00FA5CBF" w:rsidRPr="007978D6">
        <w:rPr>
          <w:rFonts w:ascii="Times New Roman" w:hAnsi="Times New Roman" w:cs="Times New Roman"/>
          <w:sz w:val="24"/>
          <w:szCs w:val="24"/>
        </w:rPr>
        <w:t xml:space="preserve"> </w:t>
      </w:r>
      <w:r w:rsidR="00FA5CBF" w:rsidRPr="007978D6">
        <w:rPr>
          <w:rFonts w:ascii="Times New Roman" w:hAnsi="Times New Roman" w:cs="Times New Roman"/>
          <w:color w:val="000000" w:themeColor="text1"/>
          <w:sz w:val="24"/>
          <w:szCs w:val="24"/>
        </w:rPr>
        <w:t>P</w:t>
      </w:r>
      <w:r w:rsidR="00263F20" w:rsidRPr="007978D6">
        <w:rPr>
          <w:rFonts w:ascii="Times New Roman" w:hAnsi="Times New Roman" w:cs="Times New Roman"/>
          <w:color w:val="000000" w:themeColor="text1"/>
          <w:sz w:val="24"/>
          <w:szCs w:val="24"/>
        </w:rPr>
        <w:t>unkt</w:t>
      </w:r>
      <w:r w:rsidR="00FA5CBF" w:rsidRPr="007978D6">
        <w:rPr>
          <w:rFonts w:ascii="Times New Roman" w:hAnsi="Times New Roman" w:cs="Times New Roman"/>
          <w:color w:val="000000" w:themeColor="text1"/>
          <w:sz w:val="24"/>
          <w:szCs w:val="24"/>
        </w:rPr>
        <w:t xml:space="preserve"> 23 dyrektywy, który wprowadza zmiany w art. 30 dyrektywy 2009/103/WE, stanowi bowiem w akapicie czwartym, że art. 16 akapit drugi zdanie drugie oraz akapit trzeci, czwarty i piąty stosuje się od dnia 23 kwietnia 2024 r. lub od dnia rozpoczęcia stosowania aktu wykonawczego Komisji, o którym mowa w art. 16 akapit szósty, w zależności od tego</w:t>
      </w:r>
      <w:r w:rsidR="00AE671E" w:rsidRPr="007978D6">
        <w:rPr>
          <w:rFonts w:ascii="Times New Roman" w:hAnsi="Times New Roman" w:cs="Times New Roman"/>
          <w:color w:val="000000" w:themeColor="text1"/>
          <w:sz w:val="24"/>
          <w:szCs w:val="24"/>
        </w:rPr>
        <w:t>,</w:t>
      </w:r>
      <w:r w:rsidR="00FA5CBF" w:rsidRPr="007978D6">
        <w:rPr>
          <w:rFonts w:ascii="Times New Roman" w:hAnsi="Times New Roman" w:cs="Times New Roman"/>
          <w:color w:val="000000" w:themeColor="text1"/>
          <w:sz w:val="24"/>
          <w:szCs w:val="24"/>
        </w:rPr>
        <w:t xml:space="preserve"> która z dat będzie późniejsza. </w:t>
      </w:r>
      <w:r w:rsidR="00FA5CBF" w:rsidRPr="007978D6">
        <w:rPr>
          <w:rFonts w:ascii="Times New Roman" w:hAnsi="Times New Roman" w:cs="Times New Roman"/>
          <w:sz w:val="24"/>
          <w:szCs w:val="24"/>
        </w:rPr>
        <w:t>Biorąc pod uwagę fakt, że 23 kwietnia 2024 r. już minął, w projektowanych przepisach zawarto jedynie drugą część ww. przepisu dyrektywy wskazując, że przepisy art. 8 ust. 3a i 3b oraz art. 104 ust. 7a ustawy zmienianej stosuje się od dnia rozpoczęcia stosowania aktu wykonawczego Komisji Europejskiej określającego wzór zaświadczenia o przebiegu ubezpieczenia. Jednocześnie</w:t>
      </w:r>
      <w:r w:rsidR="00AE671E" w:rsidRPr="007978D6">
        <w:rPr>
          <w:rFonts w:ascii="Times New Roman" w:hAnsi="Times New Roman" w:cs="Times New Roman"/>
          <w:sz w:val="24"/>
          <w:szCs w:val="24"/>
        </w:rPr>
        <w:t>,</w:t>
      </w:r>
      <w:r w:rsidR="00FA5CBF" w:rsidRPr="007978D6">
        <w:rPr>
          <w:rFonts w:ascii="Times New Roman" w:hAnsi="Times New Roman" w:cs="Times New Roman"/>
          <w:sz w:val="24"/>
          <w:szCs w:val="24"/>
        </w:rPr>
        <w:t xml:space="preserve"> mając na uwadze wyżej wymienion</w:t>
      </w:r>
      <w:r w:rsidR="00AE671E" w:rsidRPr="007978D6">
        <w:rPr>
          <w:rFonts w:ascii="Times New Roman" w:hAnsi="Times New Roman" w:cs="Times New Roman"/>
          <w:sz w:val="24"/>
          <w:szCs w:val="24"/>
        </w:rPr>
        <w:t>y</w:t>
      </w:r>
      <w:r w:rsidR="00FA5CBF" w:rsidRPr="007978D6">
        <w:rPr>
          <w:rFonts w:ascii="Times New Roman" w:hAnsi="Times New Roman" w:cs="Times New Roman"/>
          <w:sz w:val="24"/>
          <w:szCs w:val="24"/>
        </w:rPr>
        <w:t xml:space="preserve"> przepis dyrektywy</w:t>
      </w:r>
      <w:r w:rsidR="00AE671E" w:rsidRPr="007978D6">
        <w:rPr>
          <w:rFonts w:ascii="Times New Roman" w:hAnsi="Times New Roman" w:cs="Times New Roman"/>
          <w:sz w:val="24"/>
          <w:szCs w:val="24"/>
        </w:rPr>
        <w:t>,</w:t>
      </w:r>
      <w:r w:rsidR="00FA5CBF" w:rsidRPr="007978D6">
        <w:rPr>
          <w:rFonts w:ascii="Times New Roman" w:hAnsi="Times New Roman" w:cs="Times New Roman"/>
          <w:sz w:val="24"/>
          <w:szCs w:val="24"/>
        </w:rPr>
        <w:t xml:space="preserve"> wskazując</w:t>
      </w:r>
      <w:r w:rsidR="00AE671E" w:rsidRPr="007978D6">
        <w:rPr>
          <w:rFonts w:ascii="Times New Roman" w:hAnsi="Times New Roman" w:cs="Times New Roman"/>
          <w:sz w:val="24"/>
          <w:szCs w:val="24"/>
        </w:rPr>
        <w:t>y</w:t>
      </w:r>
      <w:r w:rsidR="00FA5CBF" w:rsidRPr="007978D6">
        <w:rPr>
          <w:rFonts w:ascii="Times New Roman" w:hAnsi="Times New Roman" w:cs="Times New Roman"/>
          <w:sz w:val="24"/>
          <w:szCs w:val="24"/>
        </w:rPr>
        <w:t xml:space="preserve"> na liczbę pojedynczą w odniesieniu do aktu wykonawczego Komisji, jak również trwające aktualnie prace KE nad jednym rozporządzeniem wykonawczym</w:t>
      </w:r>
      <w:r w:rsidR="002D2E72" w:rsidRPr="007978D6">
        <w:rPr>
          <w:rFonts w:ascii="Times New Roman" w:hAnsi="Times New Roman" w:cs="Times New Roman"/>
          <w:sz w:val="24"/>
          <w:szCs w:val="24"/>
        </w:rPr>
        <w:t xml:space="preserve">, którego załącznikiem będzie wzór formularza </w:t>
      </w:r>
      <w:r w:rsidR="00FA5CBF" w:rsidRPr="007978D6">
        <w:rPr>
          <w:rFonts w:ascii="Times New Roman" w:hAnsi="Times New Roman" w:cs="Times New Roman"/>
          <w:sz w:val="24"/>
          <w:szCs w:val="24"/>
        </w:rPr>
        <w:t xml:space="preserve">zaświadczenia o przebiegu ubezpieczenia, w projektowanych przepisach art. 1 pkt 15b oraz art. 5 </w:t>
      </w:r>
      <w:r w:rsidR="00EC776C" w:rsidRPr="007978D6">
        <w:rPr>
          <w:rFonts w:ascii="Times New Roman" w:hAnsi="Times New Roman" w:cs="Times New Roman"/>
          <w:sz w:val="24"/>
          <w:szCs w:val="24"/>
        </w:rPr>
        <w:t>wskazano</w:t>
      </w:r>
      <w:r w:rsidR="00FA5CBF" w:rsidRPr="007978D6">
        <w:rPr>
          <w:rFonts w:ascii="Times New Roman" w:hAnsi="Times New Roman" w:cs="Times New Roman"/>
          <w:sz w:val="24"/>
          <w:szCs w:val="24"/>
        </w:rPr>
        <w:t xml:space="preserve"> na jeden akt wykonawczy </w:t>
      </w:r>
      <w:r w:rsidR="002D2E72" w:rsidRPr="007978D6">
        <w:rPr>
          <w:rFonts w:ascii="Times New Roman" w:hAnsi="Times New Roman" w:cs="Times New Roman"/>
          <w:color w:val="000000" w:themeColor="text1"/>
          <w:sz w:val="24"/>
          <w:szCs w:val="24"/>
        </w:rPr>
        <w:t>w odniesieniu do</w:t>
      </w:r>
      <w:r w:rsidR="00FA5CBF" w:rsidRPr="007978D6">
        <w:rPr>
          <w:rFonts w:ascii="Times New Roman" w:hAnsi="Times New Roman" w:cs="Times New Roman"/>
          <w:color w:val="000000" w:themeColor="text1"/>
          <w:sz w:val="24"/>
          <w:szCs w:val="24"/>
        </w:rPr>
        <w:t xml:space="preserve"> wzoru zaświadczenia o przebiegu ubezpieczenia</w:t>
      </w:r>
      <w:r w:rsidR="00FA5CBF" w:rsidRPr="007978D6">
        <w:rPr>
          <w:rFonts w:ascii="Times New Roman" w:hAnsi="Times New Roman" w:cs="Times New Roman"/>
          <w:sz w:val="24"/>
          <w:szCs w:val="24"/>
        </w:rPr>
        <w:t>.</w:t>
      </w:r>
    </w:p>
    <w:p w14:paraId="6E816266" w14:textId="47FD43A6" w:rsidR="00386820" w:rsidRPr="007978D6" w:rsidRDefault="00802363" w:rsidP="002A23C5">
      <w:pPr>
        <w:tabs>
          <w:tab w:val="left" w:pos="426"/>
        </w:tabs>
        <w:spacing w:before="120" w:after="0"/>
        <w:jc w:val="both"/>
        <w:rPr>
          <w:rFonts w:ascii="Times New Roman" w:hAnsi="Times New Roman" w:cs="Times New Roman"/>
          <w:b/>
          <w:color w:val="000000" w:themeColor="text1"/>
          <w:sz w:val="24"/>
          <w:szCs w:val="24"/>
        </w:rPr>
      </w:pPr>
      <w:r w:rsidRPr="007978D6">
        <w:rPr>
          <w:rFonts w:ascii="Times New Roman" w:hAnsi="Times New Roman" w:cs="Times New Roman"/>
          <w:b/>
          <w:color w:val="000000" w:themeColor="text1"/>
          <w:sz w:val="24"/>
          <w:szCs w:val="24"/>
        </w:rPr>
        <w:t>10</w:t>
      </w:r>
      <w:r w:rsidR="00386820" w:rsidRPr="007978D6">
        <w:rPr>
          <w:rFonts w:ascii="Times New Roman" w:hAnsi="Times New Roman" w:cs="Times New Roman"/>
          <w:b/>
          <w:color w:val="000000" w:themeColor="text1"/>
          <w:sz w:val="24"/>
          <w:szCs w:val="24"/>
        </w:rPr>
        <w:t>.</w:t>
      </w:r>
      <w:r w:rsidR="00386820" w:rsidRPr="007978D6">
        <w:rPr>
          <w:rFonts w:ascii="Times New Roman" w:hAnsi="Times New Roman" w:cs="Times New Roman"/>
          <w:b/>
          <w:color w:val="000000" w:themeColor="text1"/>
          <w:sz w:val="24"/>
          <w:szCs w:val="24"/>
        </w:rPr>
        <w:tab/>
        <w:t>Wejście w życie</w:t>
      </w:r>
    </w:p>
    <w:p w14:paraId="62D83EA8" w14:textId="79AF6C20" w:rsidR="00C0148E" w:rsidRPr="007978D6" w:rsidRDefault="00386820" w:rsidP="002A23C5">
      <w:pPr>
        <w:spacing w:before="120" w:after="0"/>
        <w:jc w:val="both"/>
        <w:rPr>
          <w:rFonts w:ascii="Times New Roman" w:hAnsi="Times New Roman" w:cs="Times New Roman"/>
          <w:bCs/>
          <w:color w:val="000000" w:themeColor="text1"/>
          <w:sz w:val="24"/>
          <w:szCs w:val="24"/>
        </w:rPr>
      </w:pPr>
      <w:r w:rsidRPr="007978D6">
        <w:rPr>
          <w:rFonts w:ascii="Times New Roman" w:hAnsi="Times New Roman" w:cs="Times New Roman"/>
          <w:bCs/>
          <w:color w:val="000000" w:themeColor="text1"/>
          <w:sz w:val="24"/>
          <w:szCs w:val="24"/>
        </w:rPr>
        <w:t>Przewiduje się wejście w życie ustawy</w:t>
      </w:r>
      <w:r w:rsidR="00726131" w:rsidRPr="007978D6">
        <w:rPr>
          <w:rFonts w:ascii="Times New Roman" w:hAnsi="Times New Roman" w:cs="Times New Roman"/>
          <w:bCs/>
          <w:color w:val="000000" w:themeColor="text1"/>
          <w:sz w:val="24"/>
          <w:szCs w:val="24"/>
        </w:rPr>
        <w:t xml:space="preserve"> </w:t>
      </w:r>
      <w:r w:rsidR="00263F20" w:rsidRPr="007978D6">
        <w:rPr>
          <w:rFonts w:ascii="Times New Roman" w:hAnsi="Times New Roman" w:cs="Times New Roman"/>
          <w:bCs/>
          <w:color w:val="000000" w:themeColor="text1"/>
          <w:sz w:val="24"/>
          <w:szCs w:val="24"/>
        </w:rPr>
        <w:t>po upływie</w:t>
      </w:r>
      <w:r w:rsidR="00726131" w:rsidRPr="007978D6">
        <w:rPr>
          <w:rFonts w:ascii="Times New Roman" w:hAnsi="Times New Roman" w:cs="Times New Roman"/>
          <w:bCs/>
          <w:color w:val="000000" w:themeColor="text1"/>
          <w:sz w:val="24"/>
          <w:szCs w:val="24"/>
        </w:rPr>
        <w:t xml:space="preserve"> 14 dni od ogłoszenia.</w:t>
      </w:r>
      <w:r w:rsidRPr="007978D6">
        <w:rPr>
          <w:rFonts w:ascii="Times New Roman" w:hAnsi="Times New Roman" w:cs="Times New Roman"/>
          <w:bCs/>
          <w:color w:val="000000" w:themeColor="text1"/>
          <w:sz w:val="24"/>
          <w:szCs w:val="24"/>
        </w:rPr>
        <w:t xml:space="preserve"> </w:t>
      </w:r>
    </w:p>
    <w:p w14:paraId="765598A9" w14:textId="77777777"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 xml:space="preserve">Projekt ustawy nie zawiera przepisów technicznych, o których mowa w § 4 rozporządzenia Rady Ministrów z dnia 23 grudnia 2002 r. w sprawie sposobu funkcjonowania krajowego systemu notyfikacji norm i aktów prawnych (Dz. U. poz. 2039, z późn. zm.) i w związku z tym nie podlega notyfikacji. </w:t>
      </w:r>
    </w:p>
    <w:p w14:paraId="4CCE78F0" w14:textId="59D4123E"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Zgodnie z art. 5 ustawy z dnia 7 lipca 2005 r. o działalności lobbingowej w procesie stanowienia prawa (Dz. U. z 2017 r. poz. 248) oraz stosownie do § 52 ust. 1 uchwały nr 190 Rady Ministrów z dnia 29 października 2013 r. – Regulamin pracy Rady Ministrów (M. P. z 2022 r. poz. 348) projekt został udostępniony w Biuletynie Informacji Publicznej na stronie podmiotowej Rządowego Centrum Legislacji, w serwisie Rządowy Proces Legislacyjny.</w:t>
      </w:r>
    </w:p>
    <w:p w14:paraId="28027E9C" w14:textId="77777777"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t>Projekt ustawy jest zgodny z prawem Unii Europejskiej.</w:t>
      </w:r>
    </w:p>
    <w:p w14:paraId="02BFDDF9" w14:textId="77777777" w:rsidR="00386820" w:rsidRPr="007978D6" w:rsidRDefault="00386820" w:rsidP="002A23C5">
      <w:pPr>
        <w:spacing w:before="120" w:after="0"/>
        <w:jc w:val="both"/>
        <w:rPr>
          <w:rFonts w:ascii="Times New Roman" w:hAnsi="Times New Roman" w:cs="Times New Roman"/>
          <w:color w:val="000000" w:themeColor="text1"/>
          <w:sz w:val="24"/>
          <w:szCs w:val="24"/>
        </w:rPr>
      </w:pPr>
      <w:r w:rsidRPr="007978D6">
        <w:rPr>
          <w:rFonts w:ascii="Times New Roman" w:hAnsi="Times New Roman" w:cs="Times New Roman"/>
          <w:color w:val="000000" w:themeColor="text1"/>
          <w:sz w:val="24"/>
          <w:szCs w:val="24"/>
        </w:rPr>
        <w:lastRenderedPageBreak/>
        <w:t>Projekt ustawy nie wymaga przedstawienia właściwym organom i instytucjom Unii Europejskiej, w tym Europejskiemu Bankowi Centralnemu w celu uzyskania opinii, dokonania powiadomienia, konsultacji albo uzgodnienia.</w:t>
      </w:r>
    </w:p>
    <w:p w14:paraId="3F9AFB9B" w14:textId="482762B5" w:rsidR="000A6A84" w:rsidRPr="002A23C5" w:rsidRDefault="00386820" w:rsidP="002A23C5">
      <w:pPr>
        <w:spacing w:before="120" w:after="0"/>
        <w:jc w:val="both"/>
        <w:rPr>
          <w:rFonts w:ascii="Times New Roman" w:hAnsi="Times New Roman" w:cs="Times New Roman"/>
          <w:sz w:val="24"/>
          <w:szCs w:val="24"/>
        </w:rPr>
      </w:pPr>
      <w:r w:rsidRPr="007978D6">
        <w:rPr>
          <w:rFonts w:ascii="Times New Roman" w:hAnsi="Times New Roman" w:cs="Times New Roman"/>
          <w:color w:val="000000" w:themeColor="text1"/>
          <w:sz w:val="24"/>
          <w:szCs w:val="24"/>
        </w:rPr>
        <w:t>Zawarte w projekcie regulacje nie będą miały wpływu na działalność mikroprzedsiębiorców, małych i średnich przedsiębiorców, zgodnie z ustawą z dnia 6 marca 2018 r. – Prawo przedsiębiorców (Dz. U. z 202</w:t>
      </w:r>
      <w:r w:rsidR="009F3995" w:rsidRPr="007978D6">
        <w:rPr>
          <w:rFonts w:ascii="Times New Roman" w:hAnsi="Times New Roman" w:cs="Times New Roman"/>
          <w:color w:val="000000" w:themeColor="text1"/>
          <w:sz w:val="24"/>
          <w:szCs w:val="24"/>
        </w:rPr>
        <w:t>4</w:t>
      </w:r>
      <w:r w:rsidRPr="007978D6">
        <w:rPr>
          <w:rFonts w:ascii="Times New Roman" w:hAnsi="Times New Roman" w:cs="Times New Roman"/>
          <w:color w:val="000000" w:themeColor="text1"/>
          <w:sz w:val="24"/>
          <w:szCs w:val="24"/>
        </w:rPr>
        <w:t xml:space="preserve"> r. poz. 2</w:t>
      </w:r>
      <w:r w:rsidR="009F3995" w:rsidRPr="007978D6">
        <w:rPr>
          <w:rFonts w:ascii="Times New Roman" w:hAnsi="Times New Roman" w:cs="Times New Roman"/>
          <w:color w:val="000000" w:themeColor="text1"/>
          <w:sz w:val="24"/>
          <w:szCs w:val="24"/>
        </w:rPr>
        <w:t>36</w:t>
      </w:r>
      <w:r w:rsidRPr="007978D6">
        <w:rPr>
          <w:rFonts w:ascii="Times New Roman" w:hAnsi="Times New Roman" w:cs="Times New Roman"/>
          <w:color w:val="000000" w:themeColor="text1"/>
          <w:sz w:val="24"/>
          <w:szCs w:val="24"/>
        </w:rPr>
        <w:t xml:space="preserve">). </w:t>
      </w:r>
    </w:p>
    <w:sectPr w:rsidR="000A6A84" w:rsidRPr="002A23C5" w:rsidSect="00E132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CD5D" w14:textId="77777777" w:rsidR="00146808" w:rsidRDefault="00146808">
      <w:pPr>
        <w:spacing w:after="0" w:line="240" w:lineRule="auto"/>
      </w:pPr>
      <w:r>
        <w:separator/>
      </w:r>
    </w:p>
  </w:endnote>
  <w:endnote w:type="continuationSeparator" w:id="0">
    <w:p w14:paraId="0127E705" w14:textId="77777777" w:rsidR="00146808" w:rsidRDefault="0014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63401"/>
      <w:docPartObj>
        <w:docPartGallery w:val="Page Numbers (Bottom of Page)"/>
        <w:docPartUnique/>
      </w:docPartObj>
    </w:sdtPr>
    <w:sdtEndPr>
      <w:rPr>
        <w:rFonts w:ascii="Times New Roman" w:hAnsi="Times New Roman" w:cs="Times New Roman"/>
        <w:sz w:val="24"/>
        <w:szCs w:val="24"/>
      </w:rPr>
    </w:sdtEndPr>
    <w:sdtContent>
      <w:p w14:paraId="63D122D8" w14:textId="6A701881" w:rsidR="00770092" w:rsidRPr="00E132E2" w:rsidRDefault="00351F1D" w:rsidP="00E132E2">
        <w:pPr>
          <w:pStyle w:val="Stopka"/>
          <w:jc w:val="center"/>
          <w:rPr>
            <w:rFonts w:ascii="Times New Roman" w:hAnsi="Times New Roman" w:cs="Times New Roman"/>
            <w:sz w:val="24"/>
            <w:szCs w:val="24"/>
          </w:rPr>
        </w:pPr>
        <w:r w:rsidRPr="00E132E2">
          <w:rPr>
            <w:rFonts w:ascii="Times New Roman" w:hAnsi="Times New Roman" w:cs="Times New Roman"/>
            <w:sz w:val="24"/>
            <w:szCs w:val="24"/>
          </w:rPr>
          <w:fldChar w:fldCharType="begin"/>
        </w:r>
        <w:r w:rsidRPr="00E132E2">
          <w:rPr>
            <w:rFonts w:ascii="Times New Roman" w:hAnsi="Times New Roman" w:cs="Times New Roman"/>
            <w:sz w:val="24"/>
            <w:szCs w:val="24"/>
          </w:rPr>
          <w:instrText>PAGE   \* MERGEFORMAT</w:instrText>
        </w:r>
        <w:r w:rsidRPr="00E132E2">
          <w:rPr>
            <w:rFonts w:ascii="Times New Roman" w:hAnsi="Times New Roman" w:cs="Times New Roman"/>
            <w:sz w:val="24"/>
            <w:szCs w:val="24"/>
          </w:rPr>
          <w:fldChar w:fldCharType="separate"/>
        </w:r>
        <w:r w:rsidRPr="00E132E2">
          <w:rPr>
            <w:rFonts w:ascii="Times New Roman" w:hAnsi="Times New Roman" w:cs="Times New Roman"/>
            <w:noProof/>
            <w:sz w:val="24"/>
            <w:szCs w:val="24"/>
          </w:rPr>
          <w:t>14</w:t>
        </w:r>
        <w:r w:rsidRPr="00E132E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461E" w14:textId="77777777" w:rsidR="00146808" w:rsidRDefault="00146808">
      <w:pPr>
        <w:spacing w:after="0" w:line="240" w:lineRule="auto"/>
      </w:pPr>
      <w:r>
        <w:separator/>
      </w:r>
    </w:p>
  </w:footnote>
  <w:footnote w:type="continuationSeparator" w:id="0">
    <w:p w14:paraId="0AEFE199" w14:textId="77777777" w:rsidR="00146808" w:rsidRDefault="00146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078"/>
    <w:multiLevelType w:val="hybridMultilevel"/>
    <w:tmpl w:val="9C8AD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AF271D"/>
    <w:multiLevelType w:val="hybridMultilevel"/>
    <w:tmpl w:val="2F96D8D0"/>
    <w:lvl w:ilvl="0" w:tplc="12964FEE">
      <w:start w:val="1"/>
      <w:numFmt w:val="decimal"/>
      <w:pStyle w:val="ListanumeracjaMF"/>
      <w:lvlText w:val="%1."/>
      <w:lvlJc w:val="left"/>
      <w:pPr>
        <w:ind w:left="720" w:hanging="360"/>
      </w:pPr>
    </w:lvl>
    <w:lvl w:ilvl="1" w:tplc="BA328878" w:tentative="1">
      <w:start w:val="1"/>
      <w:numFmt w:val="lowerLetter"/>
      <w:lvlText w:val="%2."/>
      <w:lvlJc w:val="left"/>
      <w:pPr>
        <w:ind w:left="1440" w:hanging="360"/>
      </w:pPr>
    </w:lvl>
    <w:lvl w:ilvl="2" w:tplc="FAAC3ABA" w:tentative="1">
      <w:start w:val="1"/>
      <w:numFmt w:val="lowerRoman"/>
      <w:lvlText w:val="%3."/>
      <w:lvlJc w:val="right"/>
      <w:pPr>
        <w:ind w:left="2160" w:hanging="180"/>
      </w:pPr>
    </w:lvl>
    <w:lvl w:ilvl="3" w:tplc="3CCA8D5C" w:tentative="1">
      <w:start w:val="1"/>
      <w:numFmt w:val="decimal"/>
      <w:lvlText w:val="%4."/>
      <w:lvlJc w:val="left"/>
      <w:pPr>
        <w:ind w:left="2880" w:hanging="360"/>
      </w:pPr>
    </w:lvl>
    <w:lvl w:ilvl="4" w:tplc="92B4A56E" w:tentative="1">
      <w:start w:val="1"/>
      <w:numFmt w:val="lowerLetter"/>
      <w:lvlText w:val="%5."/>
      <w:lvlJc w:val="left"/>
      <w:pPr>
        <w:ind w:left="3600" w:hanging="360"/>
      </w:pPr>
    </w:lvl>
    <w:lvl w:ilvl="5" w:tplc="048CED58" w:tentative="1">
      <w:start w:val="1"/>
      <w:numFmt w:val="lowerRoman"/>
      <w:lvlText w:val="%6."/>
      <w:lvlJc w:val="right"/>
      <w:pPr>
        <w:ind w:left="4320" w:hanging="180"/>
      </w:pPr>
    </w:lvl>
    <w:lvl w:ilvl="6" w:tplc="CCEE53FE" w:tentative="1">
      <w:start w:val="1"/>
      <w:numFmt w:val="decimal"/>
      <w:lvlText w:val="%7."/>
      <w:lvlJc w:val="left"/>
      <w:pPr>
        <w:ind w:left="5040" w:hanging="360"/>
      </w:pPr>
    </w:lvl>
    <w:lvl w:ilvl="7" w:tplc="CAB4D684" w:tentative="1">
      <w:start w:val="1"/>
      <w:numFmt w:val="lowerLetter"/>
      <w:lvlText w:val="%8."/>
      <w:lvlJc w:val="left"/>
      <w:pPr>
        <w:ind w:left="5760" w:hanging="360"/>
      </w:pPr>
    </w:lvl>
    <w:lvl w:ilvl="8" w:tplc="048E1CE6" w:tentative="1">
      <w:start w:val="1"/>
      <w:numFmt w:val="lowerRoman"/>
      <w:lvlText w:val="%9."/>
      <w:lvlJc w:val="right"/>
      <w:pPr>
        <w:ind w:left="6480" w:hanging="180"/>
      </w:pPr>
    </w:lvl>
  </w:abstractNum>
  <w:abstractNum w:abstractNumId="2" w15:restartNumberingAfterBreak="0">
    <w:nsid w:val="405F3A42"/>
    <w:multiLevelType w:val="hybridMultilevel"/>
    <w:tmpl w:val="F35EF2F2"/>
    <w:lvl w:ilvl="0" w:tplc="9DF657D8">
      <w:start w:val="1"/>
      <w:numFmt w:val="decimal"/>
      <w:lvlText w:val="%1."/>
      <w:lvlJc w:val="left"/>
      <w:pPr>
        <w:ind w:left="765" w:hanging="765"/>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2938C3"/>
    <w:multiLevelType w:val="hybridMultilevel"/>
    <w:tmpl w:val="336E51EC"/>
    <w:lvl w:ilvl="0" w:tplc="04150017">
      <w:start w:val="1"/>
      <w:numFmt w:val="lowerLetter"/>
      <w:lvlText w:val="%1)"/>
      <w:lvlJc w:val="left"/>
      <w:pPr>
        <w:ind w:left="720" w:hanging="360"/>
      </w:pPr>
    </w:lvl>
    <w:lvl w:ilvl="1" w:tplc="24AA04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DF1327"/>
    <w:multiLevelType w:val="hybridMultilevel"/>
    <w:tmpl w:val="F0707A1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6D8A147F"/>
    <w:multiLevelType w:val="hybridMultilevel"/>
    <w:tmpl w:val="67BAA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F1437D"/>
    <w:multiLevelType w:val="hybridMultilevel"/>
    <w:tmpl w:val="656C65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4066698">
    <w:abstractNumId w:val="2"/>
  </w:num>
  <w:num w:numId="2" w16cid:durableId="2119256810">
    <w:abstractNumId w:val="3"/>
  </w:num>
  <w:num w:numId="3" w16cid:durableId="635641695">
    <w:abstractNumId w:val="6"/>
  </w:num>
  <w:num w:numId="4" w16cid:durableId="2051106669">
    <w:abstractNumId w:val="5"/>
  </w:num>
  <w:num w:numId="5" w16cid:durableId="2101442814">
    <w:abstractNumId w:val="4"/>
  </w:num>
  <w:num w:numId="6" w16cid:durableId="1924533447">
    <w:abstractNumId w:val="0"/>
  </w:num>
  <w:num w:numId="7" w16cid:durableId="91994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20"/>
    <w:rsid w:val="00006753"/>
    <w:rsid w:val="00016835"/>
    <w:rsid w:val="00024A91"/>
    <w:rsid w:val="00027FF6"/>
    <w:rsid w:val="00041094"/>
    <w:rsid w:val="00061BAA"/>
    <w:rsid w:val="00061C91"/>
    <w:rsid w:val="00064C03"/>
    <w:rsid w:val="00065DF6"/>
    <w:rsid w:val="00083E01"/>
    <w:rsid w:val="0008575C"/>
    <w:rsid w:val="000879FD"/>
    <w:rsid w:val="00096233"/>
    <w:rsid w:val="0009666C"/>
    <w:rsid w:val="000A3227"/>
    <w:rsid w:val="000A407A"/>
    <w:rsid w:val="000A6A84"/>
    <w:rsid w:val="000B5089"/>
    <w:rsid w:val="000B6502"/>
    <w:rsid w:val="000C03E1"/>
    <w:rsid w:val="000C2576"/>
    <w:rsid w:val="000C2FC3"/>
    <w:rsid w:val="000D1DFE"/>
    <w:rsid w:val="000E4891"/>
    <w:rsid w:val="000E76ED"/>
    <w:rsid w:val="00112EF9"/>
    <w:rsid w:val="001154C5"/>
    <w:rsid w:val="0012171D"/>
    <w:rsid w:val="00126F4C"/>
    <w:rsid w:val="00144D2D"/>
    <w:rsid w:val="00146808"/>
    <w:rsid w:val="001658AF"/>
    <w:rsid w:val="00172A6C"/>
    <w:rsid w:val="00175903"/>
    <w:rsid w:val="00180D77"/>
    <w:rsid w:val="00184FAD"/>
    <w:rsid w:val="001867F5"/>
    <w:rsid w:val="001A3E46"/>
    <w:rsid w:val="001A570E"/>
    <w:rsid w:val="001A67AC"/>
    <w:rsid w:val="001B3B8B"/>
    <w:rsid w:val="001D2590"/>
    <w:rsid w:val="001F0664"/>
    <w:rsid w:val="0020270D"/>
    <w:rsid w:val="00215DA5"/>
    <w:rsid w:val="00227D16"/>
    <w:rsid w:val="002375E5"/>
    <w:rsid w:val="002431BA"/>
    <w:rsid w:val="00243B53"/>
    <w:rsid w:val="00246911"/>
    <w:rsid w:val="002471F8"/>
    <w:rsid w:val="00260962"/>
    <w:rsid w:val="00263F20"/>
    <w:rsid w:val="0026451C"/>
    <w:rsid w:val="00273E8E"/>
    <w:rsid w:val="00275490"/>
    <w:rsid w:val="002768DC"/>
    <w:rsid w:val="0027790F"/>
    <w:rsid w:val="00283B01"/>
    <w:rsid w:val="00286AFE"/>
    <w:rsid w:val="00291A5C"/>
    <w:rsid w:val="002A0BAB"/>
    <w:rsid w:val="002A23C5"/>
    <w:rsid w:val="002B027D"/>
    <w:rsid w:val="002B1442"/>
    <w:rsid w:val="002D2E72"/>
    <w:rsid w:val="002D4516"/>
    <w:rsid w:val="002F1502"/>
    <w:rsid w:val="00301A8A"/>
    <w:rsid w:val="003023D2"/>
    <w:rsid w:val="00310077"/>
    <w:rsid w:val="00311012"/>
    <w:rsid w:val="00323A8B"/>
    <w:rsid w:val="00343C46"/>
    <w:rsid w:val="003450F6"/>
    <w:rsid w:val="0034684E"/>
    <w:rsid w:val="00351F1D"/>
    <w:rsid w:val="00373458"/>
    <w:rsid w:val="0038034F"/>
    <w:rsid w:val="003847D0"/>
    <w:rsid w:val="00386820"/>
    <w:rsid w:val="00390CF0"/>
    <w:rsid w:val="003D162F"/>
    <w:rsid w:val="003D1DD9"/>
    <w:rsid w:val="003E11AE"/>
    <w:rsid w:val="003E4CC3"/>
    <w:rsid w:val="003F7E6B"/>
    <w:rsid w:val="0041125B"/>
    <w:rsid w:val="00412A8A"/>
    <w:rsid w:val="004232AE"/>
    <w:rsid w:val="004308C0"/>
    <w:rsid w:val="0043569F"/>
    <w:rsid w:val="0044085A"/>
    <w:rsid w:val="0045079C"/>
    <w:rsid w:val="00470595"/>
    <w:rsid w:val="004804D8"/>
    <w:rsid w:val="00481D84"/>
    <w:rsid w:val="0049315C"/>
    <w:rsid w:val="004A7DAE"/>
    <w:rsid w:val="004B0480"/>
    <w:rsid w:val="004D3D48"/>
    <w:rsid w:val="004D55CE"/>
    <w:rsid w:val="004E391B"/>
    <w:rsid w:val="004F5D19"/>
    <w:rsid w:val="004F7526"/>
    <w:rsid w:val="00524DE0"/>
    <w:rsid w:val="00525838"/>
    <w:rsid w:val="005273ED"/>
    <w:rsid w:val="00531181"/>
    <w:rsid w:val="00540580"/>
    <w:rsid w:val="005506A4"/>
    <w:rsid w:val="00552E06"/>
    <w:rsid w:val="00553F02"/>
    <w:rsid w:val="005563B6"/>
    <w:rsid w:val="005636DB"/>
    <w:rsid w:val="00573297"/>
    <w:rsid w:val="0058720D"/>
    <w:rsid w:val="005B2D42"/>
    <w:rsid w:val="005C698C"/>
    <w:rsid w:val="005E02A4"/>
    <w:rsid w:val="005E498D"/>
    <w:rsid w:val="0060440A"/>
    <w:rsid w:val="00616675"/>
    <w:rsid w:val="00623102"/>
    <w:rsid w:val="00637315"/>
    <w:rsid w:val="0063783D"/>
    <w:rsid w:val="00637BC5"/>
    <w:rsid w:val="00673E08"/>
    <w:rsid w:val="00675047"/>
    <w:rsid w:val="006874F9"/>
    <w:rsid w:val="006B0452"/>
    <w:rsid w:val="006B4844"/>
    <w:rsid w:val="006C4A33"/>
    <w:rsid w:val="006E3F6A"/>
    <w:rsid w:val="006E5911"/>
    <w:rsid w:val="0070434E"/>
    <w:rsid w:val="007052DE"/>
    <w:rsid w:val="00712A12"/>
    <w:rsid w:val="00713876"/>
    <w:rsid w:val="007174F0"/>
    <w:rsid w:val="00726131"/>
    <w:rsid w:val="0073271F"/>
    <w:rsid w:val="00741379"/>
    <w:rsid w:val="00756653"/>
    <w:rsid w:val="00756ABD"/>
    <w:rsid w:val="00756F60"/>
    <w:rsid w:val="00794452"/>
    <w:rsid w:val="007978D6"/>
    <w:rsid w:val="007B372A"/>
    <w:rsid w:val="007B4A32"/>
    <w:rsid w:val="007C2BDE"/>
    <w:rsid w:val="007C6559"/>
    <w:rsid w:val="007C70EF"/>
    <w:rsid w:val="007D6930"/>
    <w:rsid w:val="007E7945"/>
    <w:rsid w:val="007F5AF0"/>
    <w:rsid w:val="00802363"/>
    <w:rsid w:val="0081214A"/>
    <w:rsid w:val="00815FF8"/>
    <w:rsid w:val="00817E61"/>
    <w:rsid w:val="00821AD5"/>
    <w:rsid w:val="00882346"/>
    <w:rsid w:val="0089228E"/>
    <w:rsid w:val="008935A9"/>
    <w:rsid w:val="008963AC"/>
    <w:rsid w:val="00896749"/>
    <w:rsid w:val="008A332E"/>
    <w:rsid w:val="008E27CE"/>
    <w:rsid w:val="008F5095"/>
    <w:rsid w:val="0090062C"/>
    <w:rsid w:val="00916098"/>
    <w:rsid w:val="009171D7"/>
    <w:rsid w:val="009204D3"/>
    <w:rsid w:val="009263B4"/>
    <w:rsid w:val="009350A0"/>
    <w:rsid w:val="00946D9C"/>
    <w:rsid w:val="00961803"/>
    <w:rsid w:val="009657E9"/>
    <w:rsid w:val="009914E3"/>
    <w:rsid w:val="009B3485"/>
    <w:rsid w:val="009D1B3F"/>
    <w:rsid w:val="009D74D3"/>
    <w:rsid w:val="009D7679"/>
    <w:rsid w:val="009F202E"/>
    <w:rsid w:val="009F3995"/>
    <w:rsid w:val="00A1252E"/>
    <w:rsid w:val="00A26656"/>
    <w:rsid w:val="00A30380"/>
    <w:rsid w:val="00A33FA6"/>
    <w:rsid w:val="00A35C4C"/>
    <w:rsid w:val="00A432E7"/>
    <w:rsid w:val="00A45B92"/>
    <w:rsid w:val="00A56ABF"/>
    <w:rsid w:val="00A652C7"/>
    <w:rsid w:val="00A6684D"/>
    <w:rsid w:val="00A910FD"/>
    <w:rsid w:val="00A923A7"/>
    <w:rsid w:val="00A97415"/>
    <w:rsid w:val="00AC5A40"/>
    <w:rsid w:val="00AD0596"/>
    <w:rsid w:val="00AD0B0D"/>
    <w:rsid w:val="00AD23F0"/>
    <w:rsid w:val="00AD40CF"/>
    <w:rsid w:val="00AD55A4"/>
    <w:rsid w:val="00AE1ACC"/>
    <w:rsid w:val="00AE671E"/>
    <w:rsid w:val="00AE68A0"/>
    <w:rsid w:val="00AE7D9A"/>
    <w:rsid w:val="00AF005A"/>
    <w:rsid w:val="00B22A1E"/>
    <w:rsid w:val="00B252F8"/>
    <w:rsid w:val="00B3427B"/>
    <w:rsid w:val="00B400C2"/>
    <w:rsid w:val="00B44BFC"/>
    <w:rsid w:val="00B479CB"/>
    <w:rsid w:val="00B504EA"/>
    <w:rsid w:val="00B511EE"/>
    <w:rsid w:val="00B66F1A"/>
    <w:rsid w:val="00B860B3"/>
    <w:rsid w:val="00BA44B0"/>
    <w:rsid w:val="00BA764E"/>
    <w:rsid w:val="00BD1FF1"/>
    <w:rsid w:val="00BD345C"/>
    <w:rsid w:val="00BE3485"/>
    <w:rsid w:val="00BF29C8"/>
    <w:rsid w:val="00C0148E"/>
    <w:rsid w:val="00C25BC7"/>
    <w:rsid w:val="00C31388"/>
    <w:rsid w:val="00C51421"/>
    <w:rsid w:val="00C5376F"/>
    <w:rsid w:val="00C72021"/>
    <w:rsid w:val="00C76B24"/>
    <w:rsid w:val="00C861C5"/>
    <w:rsid w:val="00CA2F1B"/>
    <w:rsid w:val="00CB0B5B"/>
    <w:rsid w:val="00CB3444"/>
    <w:rsid w:val="00CB6B24"/>
    <w:rsid w:val="00CC07B6"/>
    <w:rsid w:val="00CC2310"/>
    <w:rsid w:val="00CD6CC5"/>
    <w:rsid w:val="00CF6947"/>
    <w:rsid w:val="00D03458"/>
    <w:rsid w:val="00D12826"/>
    <w:rsid w:val="00D12CDD"/>
    <w:rsid w:val="00D13076"/>
    <w:rsid w:val="00D20FBB"/>
    <w:rsid w:val="00D27633"/>
    <w:rsid w:val="00D45040"/>
    <w:rsid w:val="00D7113B"/>
    <w:rsid w:val="00D84672"/>
    <w:rsid w:val="00D91B3A"/>
    <w:rsid w:val="00D93653"/>
    <w:rsid w:val="00DA201C"/>
    <w:rsid w:val="00DA40AC"/>
    <w:rsid w:val="00DB1846"/>
    <w:rsid w:val="00DB6C2A"/>
    <w:rsid w:val="00DC17B2"/>
    <w:rsid w:val="00DD2C21"/>
    <w:rsid w:val="00DE3F26"/>
    <w:rsid w:val="00DE4EB6"/>
    <w:rsid w:val="00E01D72"/>
    <w:rsid w:val="00E132E2"/>
    <w:rsid w:val="00E15FF9"/>
    <w:rsid w:val="00E17A71"/>
    <w:rsid w:val="00E37022"/>
    <w:rsid w:val="00E478AB"/>
    <w:rsid w:val="00E52173"/>
    <w:rsid w:val="00E82859"/>
    <w:rsid w:val="00E856CA"/>
    <w:rsid w:val="00E903F2"/>
    <w:rsid w:val="00EB3AA5"/>
    <w:rsid w:val="00EC295A"/>
    <w:rsid w:val="00EC4AEB"/>
    <w:rsid w:val="00EC51EE"/>
    <w:rsid w:val="00EC776C"/>
    <w:rsid w:val="00ED0E41"/>
    <w:rsid w:val="00ED5141"/>
    <w:rsid w:val="00EE1D0A"/>
    <w:rsid w:val="00EE2911"/>
    <w:rsid w:val="00F13567"/>
    <w:rsid w:val="00F15965"/>
    <w:rsid w:val="00F21162"/>
    <w:rsid w:val="00F373C4"/>
    <w:rsid w:val="00F473D9"/>
    <w:rsid w:val="00F50554"/>
    <w:rsid w:val="00F54BEB"/>
    <w:rsid w:val="00F56C04"/>
    <w:rsid w:val="00F65DEB"/>
    <w:rsid w:val="00F6787A"/>
    <w:rsid w:val="00F755E6"/>
    <w:rsid w:val="00F76FA3"/>
    <w:rsid w:val="00F842A9"/>
    <w:rsid w:val="00F863CF"/>
    <w:rsid w:val="00FA3332"/>
    <w:rsid w:val="00FA5CBF"/>
    <w:rsid w:val="00FA7CA8"/>
    <w:rsid w:val="00FA7EEB"/>
    <w:rsid w:val="00FB02B7"/>
    <w:rsid w:val="00FB6D21"/>
    <w:rsid w:val="00FC5DF0"/>
    <w:rsid w:val="00FD7583"/>
    <w:rsid w:val="00FE2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4A7B9"/>
  <w15:chartTrackingRefBased/>
  <w15:docId w15:val="{321B7113-BB49-4639-AF4E-BABEC72B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8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ce,Recommendation,List Paragraph1,List Paragraph11,L,Listaszerű bekezdés1,List Paragraph à moi,Kolorowa lista — akcent 11,Numerowanie,Dot pt,F5 List Paragraph"/>
    <w:basedOn w:val="Normalny"/>
    <w:link w:val="AkapitzlistZnak"/>
    <w:uiPriority w:val="34"/>
    <w:qFormat/>
    <w:rsid w:val="00386820"/>
    <w:pPr>
      <w:ind w:left="720"/>
      <w:contextualSpacing/>
    </w:pPr>
  </w:style>
  <w:style w:type="paragraph" w:styleId="Stopka">
    <w:name w:val="footer"/>
    <w:basedOn w:val="Normalny"/>
    <w:link w:val="StopkaZnak"/>
    <w:uiPriority w:val="99"/>
    <w:unhideWhenUsed/>
    <w:rsid w:val="003868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6820"/>
  </w:style>
  <w:style w:type="paragraph" w:customStyle="1" w:styleId="Default">
    <w:name w:val="Default"/>
    <w:rsid w:val="00386820"/>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styleId="Pogrubienie">
    <w:name w:val="Strong"/>
    <w:basedOn w:val="Domylnaczcionkaakapitu"/>
    <w:uiPriority w:val="22"/>
    <w:qFormat/>
    <w:rsid w:val="00386820"/>
    <w:rPr>
      <w:b/>
      <w:bCs/>
    </w:rPr>
  </w:style>
  <w:style w:type="paragraph" w:customStyle="1" w:styleId="ZLITwPKTzmlitwpktartykuempunktem">
    <w:name w:val="Z/LIT_w_PKT – zm. lit. w pkt artykułem (punktem)"/>
    <w:basedOn w:val="Normalny"/>
    <w:uiPriority w:val="32"/>
    <w:qFormat/>
    <w:rsid w:val="00386820"/>
    <w:pPr>
      <w:spacing w:after="0"/>
      <w:ind w:left="1497" w:hanging="476"/>
      <w:jc w:val="both"/>
    </w:pPr>
    <w:rPr>
      <w:rFonts w:ascii="Times" w:eastAsiaTheme="minorEastAsia" w:hAnsi="Times" w:cs="Arial"/>
      <w:bCs/>
      <w:sz w:val="24"/>
      <w:szCs w:val="20"/>
      <w:lang w:eastAsia="pl-PL"/>
    </w:rPr>
  </w:style>
  <w:style w:type="paragraph" w:customStyle="1" w:styleId="ZUSTzmustartykuempunktem">
    <w:name w:val="Z/UST(§) – zm. ust. (§) artykułem (punktem)"/>
    <w:basedOn w:val="Normalny"/>
    <w:uiPriority w:val="30"/>
    <w:qFormat/>
    <w:rsid w:val="00386820"/>
    <w:pPr>
      <w:suppressAutoHyphens/>
      <w:autoSpaceDE w:val="0"/>
      <w:autoSpaceDN w:val="0"/>
      <w:adjustRightInd w:val="0"/>
      <w:spacing w:after="0"/>
      <w:ind w:left="510" w:firstLine="510"/>
      <w:jc w:val="both"/>
    </w:pPr>
    <w:rPr>
      <w:rFonts w:ascii="Times" w:eastAsiaTheme="minorEastAsia" w:hAnsi="Times" w:cs="Arial"/>
      <w:sz w:val="24"/>
      <w:szCs w:val="20"/>
      <w:lang w:eastAsia="pl-PL"/>
    </w:rPr>
  </w:style>
  <w:style w:type="character" w:customStyle="1" w:styleId="AkapitzlistZnak">
    <w:name w:val="Akapit z listą Znak"/>
    <w:aliases w:val="Puce Znak,Recommendation Znak,List Paragraph1 Znak,List Paragraph11 Znak,L Znak,Listaszerű bekezdés1 Znak,List Paragraph à moi Znak,Kolorowa lista — akcent 11 Znak,Numerowanie Znak,Dot pt Znak,F5 List Paragraph Znak"/>
    <w:link w:val="Akapitzlist"/>
    <w:uiPriority w:val="34"/>
    <w:qFormat/>
    <w:locked/>
    <w:rsid w:val="00386820"/>
  </w:style>
  <w:style w:type="character" w:styleId="Odwoaniedokomentarza">
    <w:name w:val="annotation reference"/>
    <w:basedOn w:val="Domylnaczcionkaakapitu"/>
    <w:uiPriority w:val="99"/>
    <w:semiHidden/>
    <w:unhideWhenUsed/>
    <w:rsid w:val="004308C0"/>
    <w:rPr>
      <w:sz w:val="16"/>
      <w:szCs w:val="16"/>
    </w:rPr>
  </w:style>
  <w:style w:type="paragraph" w:styleId="Tekstkomentarza">
    <w:name w:val="annotation text"/>
    <w:basedOn w:val="Normalny"/>
    <w:link w:val="TekstkomentarzaZnak"/>
    <w:uiPriority w:val="99"/>
    <w:unhideWhenUsed/>
    <w:rsid w:val="004308C0"/>
    <w:pPr>
      <w:spacing w:line="240" w:lineRule="auto"/>
    </w:pPr>
    <w:rPr>
      <w:sz w:val="20"/>
      <w:szCs w:val="20"/>
    </w:rPr>
  </w:style>
  <w:style w:type="character" w:customStyle="1" w:styleId="TekstkomentarzaZnak">
    <w:name w:val="Tekst komentarza Znak"/>
    <w:basedOn w:val="Domylnaczcionkaakapitu"/>
    <w:link w:val="Tekstkomentarza"/>
    <w:uiPriority w:val="99"/>
    <w:rsid w:val="004308C0"/>
    <w:rPr>
      <w:sz w:val="20"/>
      <w:szCs w:val="20"/>
    </w:rPr>
  </w:style>
  <w:style w:type="paragraph" w:styleId="Tematkomentarza">
    <w:name w:val="annotation subject"/>
    <w:basedOn w:val="Tekstkomentarza"/>
    <w:next w:val="Tekstkomentarza"/>
    <w:link w:val="TematkomentarzaZnak"/>
    <w:uiPriority w:val="99"/>
    <w:semiHidden/>
    <w:unhideWhenUsed/>
    <w:rsid w:val="004308C0"/>
    <w:rPr>
      <w:b/>
      <w:bCs/>
    </w:rPr>
  </w:style>
  <w:style w:type="character" w:customStyle="1" w:styleId="TematkomentarzaZnak">
    <w:name w:val="Temat komentarza Znak"/>
    <w:basedOn w:val="TekstkomentarzaZnak"/>
    <w:link w:val="Tematkomentarza"/>
    <w:uiPriority w:val="99"/>
    <w:semiHidden/>
    <w:rsid w:val="004308C0"/>
    <w:rPr>
      <w:b/>
      <w:bCs/>
      <w:sz w:val="20"/>
      <w:szCs w:val="20"/>
    </w:rPr>
  </w:style>
  <w:style w:type="paragraph" w:customStyle="1" w:styleId="ARTartustawynprozporzdzenia">
    <w:name w:val="ART(§) – art. ustawy (§ np. rozporządzenia)"/>
    <w:uiPriority w:val="11"/>
    <w:qFormat/>
    <w:rsid w:val="0089228E"/>
    <w:pPr>
      <w:suppressAutoHyphens/>
      <w:autoSpaceDE w:val="0"/>
      <w:autoSpaceDN w:val="0"/>
      <w:adjustRightInd w:val="0"/>
      <w:spacing w:before="120" w:after="0"/>
      <w:ind w:firstLine="510"/>
      <w:jc w:val="both"/>
    </w:pPr>
    <w:rPr>
      <w:rFonts w:ascii="Times" w:eastAsiaTheme="minorEastAsia" w:hAnsi="Times" w:cs="Arial"/>
      <w:sz w:val="24"/>
      <w:szCs w:val="20"/>
      <w:lang w:eastAsia="pl-PL"/>
    </w:rPr>
  </w:style>
  <w:style w:type="paragraph" w:customStyle="1" w:styleId="ListanumeracjaMF">
    <w:name w:val="Lista numeracja MF"/>
    <w:link w:val="ListanumeracjaMFZnak"/>
    <w:qFormat/>
    <w:rsid w:val="001A570E"/>
    <w:pPr>
      <w:numPr>
        <w:numId w:val="7"/>
      </w:numPr>
      <w:spacing w:before="60" w:after="0" w:line="260" w:lineRule="exact"/>
      <w:ind w:left="284" w:hanging="284"/>
    </w:pPr>
    <w:rPr>
      <w:rFonts w:ascii="Lato" w:eastAsia="Lato" w:hAnsi="Lato"/>
      <w:lang w:eastAsia="pl-PL"/>
    </w:rPr>
  </w:style>
  <w:style w:type="character" w:customStyle="1" w:styleId="ListanumeracjaMFZnak">
    <w:name w:val="Lista numeracja MF Znak"/>
    <w:basedOn w:val="AkapitzlistZnak"/>
    <w:link w:val="ListanumeracjaMF"/>
    <w:rsid w:val="001A570E"/>
    <w:rPr>
      <w:rFonts w:ascii="Lato" w:eastAsia="Lato" w:hAnsi="Lato"/>
      <w:lang w:eastAsia="pl-PL"/>
    </w:rPr>
  </w:style>
  <w:style w:type="paragraph" w:styleId="Poprawka">
    <w:name w:val="Revision"/>
    <w:hidden/>
    <w:uiPriority w:val="99"/>
    <w:semiHidden/>
    <w:rsid w:val="0041125B"/>
    <w:pPr>
      <w:spacing w:after="0" w:line="240" w:lineRule="auto"/>
    </w:pPr>
  </w:style>
  <w:style w:type="paragraph" w:styleId="Nagwek">
    <w:name w:val="header"/>
    <w:basedOn w:val="Normalny"/>
    <w:link w:val="NagwekZnak"/>
    <w:uiPriority w:val="99"/>
    <w:unhideWhenUsed/>
    <w:rsid w:val="00E13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2E2"/>
  </w:style>
  <w:style w:type="paragraph" w:styleId="Tekstdymka">
    <w:name w:val="Balloon Text"/>
    <w:basedOn w:val="Normalny"/>
    <w:link w:val="TekstdymkaZnak"/>
    <w:uiPriority w:val="99"/>
    <w:semiHidden/>
    <w:unhideWhenUsed/>
    <w:rsid w:val="007327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3621">
      <w:bodyDiv w:val="1"/>
      <w:marLeft w:val="0"/>
      <w:marRight w:val="0"/>
      <w:marTop w:val="0"/>
      <w:marBottom w:val="0"/>
      <w:divBdr>
        <w:top w:val="none" w:sz="0" w:space="0" w:color="auto"/>
        <w:left w:val="none" w:sz="0" w:space="0" w:color="auto"/>
        <w:bottom w:val="none" w:sz="0" w:space="0" w:color="auto"/>
        <w:right w:val="none" w:sz="0" w:space="0" w:color="auto"/>
      </w:divBdr>
    </w:div>
    <w:div w:id="1050497939">
      <w:bodyDiv w:val="1"/>
      <w:marLeft w:val="0"/>
      <w:marRight w:val="0"/>
      <w:marTop w:val="0"/>
      <w:marBottom w:val="0"/>
      <w:divBdr>
        <w:top w:val="none" w:sz="0" w:space="0" w:color="auto"/>
        <w:left w:val="none" w:sz="0" w:space="0" w:color="auto"/>
        <w:bottom w:val="none" w:sz="0" w:space="0" w:color="auto"/>
        <w:right w:val="none" w:sz="0" w:space="0" w:color="auto"/>
      </w:divBdr>
    </w:div>
    <w:div w:id="1119950994">
      <w:bodyDiv w:val="1"/>
      <w:marLeft w:val="0"/>
      <w:marRight w:val="0"/>
      <w:marTop w:val="0"/>
      <w:marBottom w:val="0"/>
      <w:divBdr>
        <w:top w:val="none" w:sz="0" w:space="0" w:color="auto"/>
        <w:left w:val="none" w:sz="0" w:space="0" w:color="auto"/>
        <w:bottom w:val="none" w:sz="0" w:space="0" w:color="auto"/>
        <w:right w:val="none" w:sz="0" w:space="0" w:color="auto"/>
      </w:divBdr>
    </w:div>
    <w:div w:id="1153791569">
      <w:bodyDiv w:val="1"/>
      <w:marLeft w:val="0"/>
      <w:marRight w:val="0"/>
      <w:marTop w:val="0"/>
      <w:marBottom w:val="0"/>
      <w:divBdr>
        <w:top w:val="none" w:sz="0" w:space="0" w:color="auto"/>
        <w:left w:val="none" w:sz="0" w:space="0" w:color="auto"/>
        <w:bottom w:val="none" w:sz="0" w:space="0" w:color="auto"/>
        <w:right w:val="none" w:sz="0" w:space="0" w:color="auto"/>
      </w:divBdr>
    </w:div>
    <w:div w:id="1397700628">
      <w:bodyDiv w:val="1"/>
      <w:marLeft w:val="0"/>
      <w:marRight w:val="0"/>
      <w:marTop w:val="0"/>
      <w:marBottom w:val="0"/>
      <w:divBdr>
        <w:top w:val="none" w:sz="0" w:space="0" w:color="auto"/>
        <w:left w:val="none" w:sz="0" w:space="0" w:color="auto"/>
        <w:bottom w:val="none" w:sz="0" w:space="0" w:color="auto"/>
        <w:right w:val="none" w:sz="0" w:space="0" w:color="auto"/>
      </w:divBdr>
    </w:div>
    <w:div w:id="21221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6531-AF69-428A-9F2B-685D9237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6496</Words>
  <Characters>38978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Litwiniuk Piotr</dc:creator>
  <cp:keywords/>
  <dc:description/>
  <cp:lastModifiedBy>Wójcik Aleksandra</cp:lastModifiedBy>
  <cp:revision>2</cp:revision>
  <dcterms:created xsi:type="dcterms:W3CDTF">2024-07-17T08:16:00Z</dcterms:created>
  <dcterms:modified xsi:type="dcterms:W3CDTF">2024-07-17T08:16:00Z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UxC4dwLulzfINJ8nQH+xvX5LNGipWa4BRSZhPgxsCvmw/5N3DDDo2fMXGSKe1zQjeLHcz0b6ggYcYT892qSgvA==</vt:lpwstr>
  </property>
  <property fmtid="{D5CDD505-2E9C-101B-9397-08002B2CF9AE}" pid="4" name="MFClassificationDate">
    <vt:lpwstr>2023-11-29T13:05:40.6524921+01:00</vt:lpwstr>
  </property>
  <property fmtid="{D5CDD505-2E9C-101B-9397-08002B2CF9AE}" pid="5" name="MFClassifiedBySID">
    <vt:lpwstr>UxC4dwLulzfINJ8nQH+xvX5LNGipWa4BRSZhPgxsCvm42mrIC/DSDv0ggS+FjUN/2v1BBotkLlY5aAiEhoi6ucLpuYK9RJ3K98HfavWhPJ706wQDJgi8Soxr8eHRWRi4</vt:lpwstr>
  </property>
  <property fmtid="{D5CDD505-2E9C-101B-9397-08002B2CF9AE}" pid="6" name="MFGRNItemId">
    <vt:lpwstr>GRN-835119be-5515-47dd-a61a-29ffb4055d7a</vt:lpwstr>
  </property>
  <property fmtid="{D5CDD505-2E9C-101B-9397-08002B2CF9AE}" pid="7" name="MFHash">
    <vt:lpwstr>4nyUwogBRyH8tjOe/sRMV4GbIe8qfcnac2f4lkjZYWI=</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