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83F51" w14:textId="1D077FD4" w:rsidR="00706265" w:rsidRDefault="00706265" w:rsidP="00235DF6">
      <w:pPr>
        <w:spacing w:after="0" w:line="360" w:lineRule="auto"/>
        <w:jc w:val="center"/>
        <w:rPr>
          <w:rFonts w:ascii="Tahoma" w:hAnsi="Tahoma"/>
          <w:b/>
          <w:bCs/>
          <w:sz w:val="24"/>
          <w:szCs w:val="24"/>
        </w:rPr>
      </w:pPr>
      <w:bookmarkStart w:id="0" w:name="_Hlk91678753"/>
      <w:bookmarkStart w:id="1" w:name="_GoBack"/>
      <w:bookmarkEnd w:id="1"/>
      <w:r>
        <w:rPr>
          <w:rFonts w:ascii="Tahoma" w:hAnsi="Tahoma"/>
          <w:b/>
          <w:bCs/>
          <w:sz w:val="24"/>
          <w:szCs w:val="24"/>
        </w:rPr>
        <w:t>UZASADNIENIE</w:t>
      </w:r>
    </w:p>
    <w:p w14:paraId="5989C3C2" w14:textId="77777777" w:rsidR="00A379CF" w:rsidRDefault="00A379CF" w:rsidP="00706265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</w:p>
    <w:p w14:paraId="5151BFE5" w14:textId="3D065B26" w:rsidR="00706265" w:rsidRDefault="00706265" w:rsidP="00706265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Komisja Śledcza powinna zbadać legalność, prawidłowość oraz celowość</w:t>
      </w:r>
      <w:r w:rsidR="00235DF6">
        <w:rPr>
          <w:rFonts w:ascii="Tahoma" w:hAnsi="Tahoma"/>
          <w:sz w:val="24"/>
          <w:szCs w:val="24"/>
        </w:rPr>
        <w:t>, a</w:t>
      </w:r>
      <w:r w:rsidR="00A379CF">
        <w:rPr>
          <w:rFonts w:ascii="Tahoma" w:hAnsi="Tahoma"/>
          <w:sz w:val="24"/>
          <w:szCs w:val="24"/>
        </w:rPr>
        <w:t> </w:t>
      </w:r>
      <w:r w:rsidR="00235DF6">
        <w:rPr>
          <w:rFonts w:ascii="Tahoma" w:hAnsi="Tahoma"/>
          <w:sz w:val="24"/>
          <w:szCs w:val="24"/>
        </w:rPr>
        <w:t>także wystąpienie</w:t>
      </w:r>
      <w:r>
        <w:rPr>
          <w:rFonts w:ascii="Tahoma" w:hAnsi="Tahoma"/>
          <w:sz w:val="24"/>
          <w:szCs w:val="24"/>
        </w:rPr>
        <w:t xml:space="preserve"> </w:t>
      </w:r>
      <w:r w:rsidR="00235DF6" w:rsidRPr="00235DF6">
        <w:rPr>
          <w:rFonts w:ascii="Tahoma" w:hAnsi="Tahoma"/>
          <w:sz w:val="24"/>
          <w:szCs w:val="24"/>
        </w:rPr>
        <w:t>nadużyć, zaniedbań i zaniechań w zakresie legalizacji pobytu cudzoziemców na terytorium Rzeczypospolitej Polskie</w:t>
      </w:r>
      <w:r w:rsidR="00235DF6">
        <w:rPr>
          <w:rFonts w:ascii="Tahoma" w:hAnsi="Tahoma"/>
          <w:sz w:val="24"/>
          <w:szCs w:val="24"/>
        </w:rPr>
        <w:t xml:space="preserve">j </w:t>
      </w:r>
      <w:r w:rsidR="00235DF6" w:rsidRPr="00235DF6">
        <w:rPr>
          <w:rFonts w:ascii="Tahoma" w:hAnsi="Tahoma"/>
          <w:sz w:val="24"/>
          <w:szCs w:val="24"/>
        </w:rPr>
        <w:t xml:space="preserve">w okresie od dnia </w:t>
      </w:r>
      <w:r w:rsidR="00A379CF">
        <w:rPr>
          <w:rFonts w:ascii="Tahoma" w:hAnsi="Tahoma"/>
          <w:sz w:val="24"/>
          <w:szCs w:val="24"/>
        </w:rPr>
        <w:t>12</w:t>
      </w:r>
      <w:r w:rsidR="00235DF6" w:rsidRPr="00235DF6">
        <w:rPr>
          <w:rFonts w:ascii="Tahoma" w:hAnsi="Tahoma"/>
          <w:sz w:val="24"/>
          <w:szCs w:val="24"/>
        </w:rPr>
        <w:t xml:space="preserve"> listopada 201</w:t>
      </w:r>
      <w:r w:rsidR="00A379CF">
        <w:rPr>
          <w:rFonts w:ascii="Tahoma" w:hAnsi="Tahoma"/>
          <w:sz w:val="24"/>
          <w:szCs w:val="24"/>
        </w:rPr>
        <w:t>9</w:t>
      </w:r>
      <w:r w:rsidR="00235DF6" w:rsidRPr="00235DF6">
        <w:rPr>
          <w:rFonts w:ascii="Tahoma" w:hAnsi="Tahoma"/>
          <w:sz w:val="24"/>
          <w:szCs w:val="24"/>
        </w:rPr>
        <w:t xml:space="preserve"> r. do dnia  20 listopada 2023 r.</w:t>
      </w:r>
      <w:r>
        <w:rPr>
          <w:rFonts w:ascii="Tahoma" w:hAnsi="Tahoma"/>
          <w:sz w:val="24"/>
          <w:szCs w:val="24"/>
        </w:rPr>
        <w:t xml:space="preserve"> </w:t>
      </w:r>
    </w:p>
    <w:p w14:paraId="46D1F7EE" w14:textId="63FC5564" w:rsidR="00A379CF" w:rsidRDefault="00706265" w:rsidP="00A379CF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Niepokojąco wyglądają dane z ostatnich lat, dotyczące </w:t>
      </w:r>
      <w:r w:rsidR="00A379CF">
        <w:rPr>
          <w:rFonts w:ascii="Tahoma" w:hAnsi="Tahoma"/>
          <w:sz w:val="24"/>
          <w:szCs w:val="24"/>
        </w:rPr>
        <w:t>liczby osób (zwłaszcza z</w:t>
      </w:r>
      <w:r w:rsidR="005956CB">
        <w:rPr>
          <w:rFonts w:ascii="Tahoma" w:hAnsi="Tahoma"/>
          <w:sz w:val="24"/>
          <w:szCs w:val="24"/>
        </w:rPr>
        <w:t> </w:t>
      </w:r>
      <w:r w:rsidR="00A379CF">
        <w:rPr>
          <w:rFonts w:ascii="Tahoma" w:hAnsi="Tahoma"/>
          <w:sz w:val="24"/>
          <w:szCs w:val="24"/>
        </w:rPr>
        <w:t>krajów afrykańskich oraz azjatyckich), które</w:t>
      </w:r>
      <w:r w:rsidR="005956CB">
        <w:rPr>
          <w:rFonts w:ascii="Tahoma" w:hAnsi="Tahoma"/>
          <w:sz w:val="24"/>
          <w:szCs w:val="24"/>
        </w:rPr>
        <w:t xml:space="preserve"> </w:t>
      </w:r>
      <w:r w:rsidR="00A379CF">
        <w:rPr>
          <w:rFonts w:ascii="Tahoma" w:hAnsi="Tahoma"/>
          <w:sz w:val="24"/>
          <w:szCs w:val="24"/>
        </w:rPr>
        <w:t>uzyskały</w:t>
      </w:r>
      <w:r w:rsidR="00777387">
        <w:rPr>
          <w:rFonts w:ascii="Tahoma" w:hAnsi="Tahoma"/>
          <w:sz w:val="24"/>
          <w:szCs w:val="24"/>
        </w:rPr>
        <w:t xml:space="preserve"> lub</w:t>
      </w:r>
      <w:r w:rsidR="00A379CF">
        <w:rPr>
          <w:rFonts w:ascii="Tahoma" w:hAnsi="Tahoma"/>
          <w:sz w:val="24"/>
          <w:szCs w:val="24"/>
        </w:rPr>
        <w:t xml:space="preserve"> </w:t>
      </w:r>
      <w:r w:rsidR="005956CB">
        <w:rPr>
          <w:rFonts w:ascii="Tahoma" w:hAnsi="Tahoma"/>
          <w:sz w:val="24"/>
          <w:szCs w:val="24"/>
        </w:rPr>
        <w:t xml:space="preserve">ubiegły się o </w:t>
      </w:r>
      <w:r w:rsidR="00A379CF">
        <w:rPr>
          <w:rFonts w:ascii="Tahoma" w:hAnsi="Tahoma"/>
          <w:sz w:val="24"/>
          <w:szCs w:val="24"/>
        </w:rPr>
        <w:t xml:space="preserve">legalizację pobytu na terytorium Rzeczypospolitej Polskiej. </w:t>
      </w:r>
      <w:r w:rsidR="005956CB">
        <w:rPr>
          <w:rFonts w:ascii="Tahoma" w:hAnsi="Tahoma"/>
          <w:sz w:val="24"/>
          <w:szCs w:val="24"/>
        </w:rPr>
        <w:t xml:space="preserve">Z informacji ujawnionych w mediach wynika, że w okresie ostatnich 30 miesięcy </w:t>
      </w:r>
      <w:r w:rsidR="005956CB" w:rsidRPr="005956CB">
        <w:rPr>
          <w:rFonts w:ascii="Tahoma" w:hAnsi="Tahoma"/>
          <w:sz w:val="24"/>
          <w:szCs w:val="24"/>
        </w:rPr>
        <w:t>wyda</w:t>
      </w:r>
      <w:r w:rsidR="005956CB">
        <w:rPr>
          <w:rFonts w:ascii="Tahoma" w:hAnsi="Tahoma"/>
          <w:sz w:val="24"/>
          <w:szCs w:val="24"/>
        </w:rPr>
        <w:t>no</w:t>
      </w:r>
      <w:r w:rsidR="005956CB" w:rsidRPr="005956CB">
        <w:rPr>
          <w:rFonts w:ascii="Tahoma" w:hAnsi="Tahoma"/>
          <w:sz w:val="24"/>
          <w:szCs w:val="24"/>
        </w:rPr>
        <w:t xml:space="preserve"> cudzoziemcom łącznie ponad 1</w:t>
      </w:r>
      <w:r w:rsidR="00777387">
        <w:rPr>
          <w:rFonts w:ascii="Tahoma" w:hAnsi="Tahoma"/>
          <w:sz w:val="24"/>
          <w:szCs w:val="24"/>
        </w:rPr>
        <w:t> </w:t>
      </w:r>
      <w:r w:rsidR="005956CB" w:rsidRPr="005956CB">
        <w:rPr>
          <w:rFonts w:ascii="Tahoma" w:hAnsi="Tahoma"/>
          <w:sz w:val="24"/>
          <w:szCs w:val="24"/>
        </w:rPr>
        <w:t>mln 950 tys. wiz (krajowych i Schengen), w tym ponad 1 mln 782 tys. wiz krajowych (pozwalających na przebywanie jedynie w Polsce).</w:t>
      </w:r>
      <w:r w:rsidR="005956CB">
        <w:rPr>
          <w:rStyle w:val="Odwoanieprzypisudolnego"/>
          <w:rFonts w:ascii="Tahoma" w:hAnsi="Tahoma"/>
          <w:sz w:val="24"/>
          <w:szCs w:val="24"/>
        </w:rPr>
        <w:footnoteReference w:id="1"/>
      </w:r>
      <w:r w:rsidR="005956CB">
        <w:rPr>
          <w:rFonts w:ascii="Tahoma" w:hAnsi="Tahoma"/>
          <w:sz w:val="24"/>
          <w:szCs w:val="24"/>
        </w:rPr>
        <w:t xml:space="preserve"> N</w:t>
      </w:r>
      <w:r w:rsidR="005956CB" w:rsidRPr="005956CB">
        <w:rPr>
          <w:rFonts w:ascii="Tahoma" w:hAnsi="Tahoma"/>
          <w:sz w:val="24"/>
          <w:szCs w:val="24"/>
        </w:rPr>
        <w:t>iemal 375 tys. wiz Schengen i</w:t>
      </w:r>
      <w:r w:rsidR="00777387">
        <w:rPr>
          <w:rFonts w:ascii="Tahoma" w:hAnsi="Tahoma"/>
          <w:sz w:val="24"/>
          <w:szCs w:val="24"/>
        </w:rPr>
        <w:t> </w:t>
      </w:r>
      <w:r w:rsidR="005956CB" w:rsidRPr="005956CB">
        <w:rPr>
          <w:rFonts w:ascii="Tahoma" w:hAnsi="Tahoma"/>
          <w:sz w:val="24"/>
          <w:szCs w:val="24"/>
        </w:rPr>
        <w:t>krajowych wydano obywatelom innych krajów</w:t>
      </w:r>
      <w:r w:rsidR="005956CB">
        <w:rPr>
          <w:rFonts w:ascii="Tahoma" w:hAnsi="Tahoma"/>
          <w:sz w:val="24"/>
          <w:szCs w:val="24"/>
        </w:rPr>
        <w:t xml:space="preserve"> niż Białoruś i Ukraina (</w:t>
      </w:r>
      <w:r w:rsidR="005956CB" w:rsidRPr="005956CB">
        <w:rPr>
          <w:rFonts w:ascii="Tahoma" w:hAnsi="Tahoma"/>
          <w:sz w:val="24"/>
          <w:szCs w:val="24"/>
        </w:rPr>
        <w:t>obywatel</w:t>
      </w:r>
      <w:r w:rsidR="005956CB">
        <w:rPr>
          <w:rFonts w:ascii="Tahoma" w:hAnsi="Tahoma"/>
          <w:sz w:val="24"/>
          <w:szCs w:val="24"/>
        </w:rPr>
        <w:t>om</w:t>
      </w:r>
      <w:r w:rsidR="005956CB" w:rsidRPr="005956CB">
        <w:rPr>
          <w:rFonts w:ascii="Tahoma" w:hAnsi="Tahoma"/>
          <w:sz w:val="24"/>
          <w:szCs w:val="24"/>
        </w:rPr>
        <w:t xml:space="preserve"> Turcji - nieco ponad 51,1 tys. wiz, Rosji - 44,6 tys., Indii - 44,2 tys.</w:t>
      </w:r>
      <w:r w:rsidR="005956CB">
        <w:rPr>
          <w:rFonts w:ascii="Tahoma" w:hAnsi="Tahoma"/>
          <w:sz w:val="24"/>
          <w:szCs w:val="24"/>
        </w:rPr>
        <w:t xml:space="preserve">, </w:t>
      </w:r>
      <w:r w:rsidR="005956CB" w:rsidRPr="005956CB">
        <w:rPr>
          <w:rFonts w:ascii="Tahoma" w:hAnsi="Tahoma"/>
          <w:sz w:val="24"/>
          <w:szCs w:val="24"/>
        </w:rPr>
        <w:t>Kazachstanu - 17,1 tys., Uzbekistanu - 16,3 tys., Gruzji - 16,2 tys., Filipin - 16 tys</w:t>
      </w:r>
      <w:r w:rsidR="005956CB">
        <w:rPr>
          <w:rFonts w:ascii="Tahoma" w:hAnsi="Tahoma"/>
          <w:sz w:val="24"/>
          <w:szCs w:val="24"/>
        </w:rPr>
        <w:t>).</w:t>
      </w:r>
      <w:r w:rsidR="005956CB">
        <w:rPr>
          <w:rStyle w:val="Odwoanieprzypisudolnego"/>
          <w:rFonts w:ascii="Tahoma" w:hAnsi="Tahoma"/>
          <w:sz w:val="24"/>
          <w:szCs w:val="24"/>
        </w:rPr>
        <w:footnoteReference w:id="2"/>
      </w:r>
      <w:r w:rsidR="005956CB">
        <w:rPr>
          <w:rFonts w:ascii="Tahoma" w:hAnsi="Tahoma"/>
          <w:sz w:val="24"/>
          <w:szCs w:val="24"/>
        </w:rPr>
        <w:t xml:space="preserve"> </w:t>
      </w:r>
      <w:r w:rsidR="007D2369">
        <w:rPr>
          <w:rFonts w:ascii="Tahoma" w:hAnsi="Tahoma"/>
          <w:sz w:val="24"/>
          <w:szCs w:val="24"/>
        </w:rPr>
        <w:t>Dziennikarze wskazują przy tym, że w ciągu ostatnich lat nastąpił radykalny, skokowy wzrost poziomu imigracji w odniesieniu do cudzoziemców z niektórych państw spoza zachodniego kręgu kulturowego.</w:t>
      </w:r>
      <w:r w:rsidR="007D2369">
        <w:rPr>
          <w:rStyle w:val="Odwoanieprzypisudolnego"/>
          <w:rFonts w:ascii="Tahoma" w:hAnsi="Tahoma"/>
          <w:sz w:val="24"/>
          <w:szCs w:val="24"/>
        </w:rPr>
        <w:footnoteReference w:id="3"/>
      </w:r>
      <w:r w:rsidR="007D2369">
        <w:rPr>
          <w:rFonts w:ascii="Tahoma" w:hAnsi="Tahoma"/>
          <w:sz w:val="24"/>
          <w:szCs w:val="24"/>
        </w:rPr>
        <w:t xml:space="preserve"> </w:t>
      </w:r>
      <w:r w:rsidR="00A73485">
        <w:rPr>
          <w:rFonts w:ascii="Tahoma" w:hAnsi="Tahoma"/>
          <w:sz w:val="24"/>
          <w:szCs w:val="24"/>
        </w:rPr>
        <w:t>Nieznane są przy tym metody weryfikacji osób, które</w:t>
      </w:r>
      <w:r w:rsidR="00AA09B6">
        <w:rPr>
          <w:rFonts w:ascii="Tahoma" w:hAnsi="Tahoma"/>
          <w:sz w:val="24"/>
          <w:szCs w:val="24"/>
        </w:rPr>
        <w:t> </w:t>
      </w:r>
      <w:r w:rsidR="00A73485">
        <w:rPr>
          <w:rFonts w:ascii="Tahoma" w:hAnsi="Tahoma"/>
          <w:sz w:val="24"/>
          <w:szCs w:val="24"/>
        </w:rPr>
        <w:t xml:space="preserve">uzyskały legalizację pobytu na terytorium Rzeczypospolitej Polskiej dokonywane przez polskie służby specjalne i Policję. </w:t>
      </w:r>
    </w:p>
    <w:p w14:paraId="15DE33DF" w14:textId="34B3CE4F" w:rsidR="00A73485" w:rsidRPr="00474B3D" w:rsidRDefault="00A73485" w:rsidP="00474B3D">
      <w:pPr>
        <w:spacing w:after="0" w:line="360" w:lineRule="auto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ab/>
        <w:t xml:space="preserve">Wzrost liczby cudzoziemców którzy legalizują pobyt w Polsce </w:t>
      </w:r>
      <w:r w:rsidR="00C57270">
        <w:rPr>
          <w:rFonts w:ascii="Tahoma" w:hAnsi="Tahoma"/>
          <w:sz w:val="24"/>
          <w:szCs w:val="24"/>
        </w:rPr>
        <w:t>(</w:t>
      </w:r>
      <w:r w:rsidR="00777387">
        <w:rPr>
          <w:rFonts w:ascii="Tahoma" w:hAnsi="Tahoma"/>
          <w:sz w:val="24"/>
          <w:szCs w:val="24"/>
        </w:rPr>
        <w:t>część z nich</w:t>
      </w:r>
      <w:r>
        <w:rPr>
          <w:rFonts w:ascii="Tahoma" w:hAnsi="Tahoma"/>
          <w:sz w:val="24"/>
          <w:szCs w:val="24"/>
        </w:rPr>
        <w:t xml:space="preserve"> uzyskuj</w:t>
      </w:r>
      <w:r w:rsidR="00777387">
        <w:rPr>
          <w:rFonts w:ascii="Tahoma" w:hAnsi="Tahoma"/>
          <w:sz w:val="24"/>
          <w:szCs w:val="24"/>
        </w:rPr>
        <w:t>e</w:t>
      </w:r>
      <w:r>
        <w:rPr>
          <w:rFonts w:ascii="Tahoma" w:hAnsi="Tahoma"/>
          <w:sz w:val="24"/>
          <w:szCs w:val="24"/>
        </w:rPr>
        <w:t xml:space="preserve"> tym samym uprawnienie do przemieszczania się w innych krajach Unii Europejskiej oraz państw obszaru Schengen</w:t>
      </w:r>
      <w:r w:rsidR="00C57270">
        <w:rPr>
          <w:rFonts w:ascii="Tahoma" w:hAnsi="Tahoma"/>
          <w:sz w:val="24"/>
          <w:szCs w:val="24"/>
        </w:rPr>
        <w:t>) zbiegł się w czasie z ujawnioną tzw.</w:t>
      </w:r>
      <w:r w:rsidR="00AA09B6">
        <w:rPr>
          <w:rFonts w:ascii="Tahoma" w:hAnsi="Tahoma"/>
          <w:sz w:val="24"/>
          <w:szCs w:val="24"/>
        </w:rPr>
        <w:t> </w:t>
      </w:r>
      <w:r w:rsidR="00C57270">
        <w:rPr>
          <w:rFonts w:ascii="Tahoma" w:hAnsi="Tahoma"/>
          <w:sz w:val="24"/>
          <w:szCs w:val="24"/>
        </w:rPr>
        <w:t>„</w:t>
      </w:r>
      <w:r w:rsidR="00C57270">
        <w:rPr>
          <w:rFonts w:ascii="Tahoma" w:hAnsi="Tahoma"/>
          <w:i/>
          <w:iCs/>
          <w:sz w:val="24"/>
          <w:szCs w:val="24"/>
        </w:rPr>
        <w:t>aferą wizową</w:t>
      </w:r>
      <w:r w:rsidR="00C57270">
        <w:rPr>
          <w:rFonts w:ascii="Tahoma" w:hAnsi="Tahoma"/>
          <w:sz w:val="24"/>
          <w:szCs w:val="24"/>
        </w:rPr>
        <w:t>”. Zgodnie z ustaleniami dziennikarzy w Ministerstwie Spraw Zagranicznych miała działać grupa osób</w:t>
      </w:r>
      <w:r w:rsidR="008D00E5">
        <w:rPr>
          <w:rFonts w:ascii="Tahoma" w:hAnsi="Tahoma"/>
          <w:sz w:val="24"/>
          <w:szCs w:val="24"/>
        </w:rPr>
        <w:t xml:space="preserve"> ściśle współpracująca z sekretarzem stanu w</w:t>
      </w:r>
      <w:r w:rsidR="00AA09B6">
        <w:rPr>
          <w:rFonts w:ascii="Tahoma" w:hAnsi="Tahoma"/>
          <w:sz w:val="24"/>
          <w:szCs w:val="24"/>
        </w:rPr>
        <w:t> </w:t>
      </w:r>
      <w:r w:rsidR="008D00E5">
        <w:rPr>
          <w:rFonts w:ascii="Tahoma" w:hAnsi="Tahoma"/>
          <w:sz w:val="24"/>
          <w:szCs w:val="24"/>
        </w:rPr>
        <w:t>Ministerstwie Spraw Zagranicznych – Piotrem Wawrzykiem – której zarzuca się korupcję przy przyznawaniu wiz cudzoziemcom przybywającym do Polski.</w:t>
      </w:r>
      <w:r w:rsidR="008D00E5">
        <w:rPr>
          <w:rStyle w:val="Odwoanieprzypisudolnego"/>
          <w:rFonts w:ascii="Tahoma" w:hAnsi="Tahoma"/>
          <w:sz w:val="24"/>
          <w:szCs w:val="24"/>
        </w:rPr>
        <w:footnoteReference w:id="4"/>
      </w:r>
      <w:r w:rsidR="008D00E5">
        <w:rPr>
          <w:rFonts w:ascii="Tahoma" w:hAnsi="Tahoma"/>
          <w:sz w:val="24"/>
          <w:szCs w:val="24"/>
        </w:rPr>
        <w:t xml:space="preserve"> Sama afera </w:t>
      </w:r>
      <w:r w:rsidR="008D00E5">
        <w:rPr>
          <w:rFonts w:ascii="Tahoma" w:hAnsi="Tahoma"/>
          <w:sz w:val="24"/>
          <w:szCs w:val="24"/>
        </w:rPr>
        <w:lastRenderedPageBreak/>
        <w:t xml:space="preserve">dotyczyć ma </w:t>
      </w:r>
      <w:r w:rsidR="008D00E5" w:rsidRPr="008D00E5">
        <w:rPr>
          <w:rFonts w:ascii="Tahoma" w:hAnsi="Tahoma"/>
          <w:sz w:val="24"/>
          <w:szCs w:val="24"/>
        </w:rPr>
        <w:t>przyznawania polskich wiz imigrantom z krajów Afryki i Azji poza kolejką za pieniądze przez polskich urzędników służb konsularnych i Ministerstwa Spraw Zagranicznych.</w:t>
      </w:r>
      <w:r w:rsidR="008D00E5">
        <w:rPr>
          <w:rStyle w:val="Odwoanieprzypisudolnego"/>
          <w:rFonts w:ascii="Tahoma" w:hAnsi="Tahoma"/>
          <w:sz w:val="24"/>
          <w:szCs w:val="24"/>
        </w:rPr>
        <w:footnoteReference w:id="5"/>
      </w:r>
      <w:r w:rsidR="0009539D">
        <w:rPr>
          <w:rFonts w:ascii="Tahoma" w:hAnsi="Tahoma"/>
          <w:sz w:val="24"/>
          <w:szCs w:val="24"/>
        </w:rPr>
        <w:t xml:space="preserve"> Sprawą miało zajmować się Centralne Biuro Antykorupcyjne oraz prokuratura, jednak brak jest efektów ich prac w postaci postawienia w stan oskarżenia sprawców oraz organizatorów przedmiotowego procederu. </w:t>
      </w:r>
      <w:r w:rsidR="00474B3D">
        <w:rPr>
          <w:rFonts w:ascii="Tahoma" w:hAnsi="Tahoma"/>
          <w:sz w:val="24"/>
          <w:szCs w:val="24"/>
        </w:rPr>
        <w:t xml:space="preserve">Kulisy całego przedsięwzięcia, które ujawnili dziennikarze, są przy tym bulwersujące: </w:t>
      </w:r>
      <w:r w:rsidR="0009539D">
        <w:rPr>
          <w:rFonts w:ascii="Tahoma" w:hAnsi="Tahoma"/>
          <w:sz w:val="24"/>
          <w:szCs w:val="24"/>
        </w:rPr>
        <w:t xml:space="preserve"> </w:t>
      </w:r>
      <w:r w:rsidR="00474B3D">
        <w:rPr>
          <w:rFonts w:ascii="Tahoma" w:hAnsi="Tahoma"/>
          <w:sz w:val="24"/>
          <w:szCs w:val="24"/>
        </w:rPr>
        <w:t>„</w:t>
      </w:r>
      <w:r w:rsidR="00474B3D" w:rsidRPr="00474B3D">
        <w:rPr>
          <w:rFonts w:ascii="Tahoma" w:hAnsi="Tahoma"/>
          <w:i/>
          <w:iCs/>
          <w:sz w:val="24"/>
          <w:szCs w:val="24"/>
        </w:rPr>
        <w:t xml:space="preserve">Zaskakujące są informacje o tym, w jaki sposób załatwiano wizy dla Hindusów. Chodzi o tzw. filmowców z Bollywood, czyli grupy imigrantów z Indii, którzy udawali ekipy filmowe. Wszystko odbywało się z polecenia ministra Wawrzyka, który przygotowywał listy "filmowców", którzy mieli dostać wizy w szybszym trybie, poza kolejką – te listy trafiały potem do konsulatów takich miast jak Delhi czy Bombaj. W procederze rolę odegrał wspomniany wcześniej pośrednik, Edgar K. Jedną z osób, które uczestniczyły w akcji ściągania do Polski "filmowców Wawrzyka", był także znajdujący się wśród aresztowanych Saikat B. </w:t>
      </w:r>
      <w:r w:rsidR="00474B3D">
        <w:rPr>
          <w:rFonts w:ascii="Tahoma" w:hAnsi="Tahoma"/>
          <w:i/>
          <w:iCs/>
          <w:sz w:val="24"/>
          <w:szCs w:val="24"/>
        </w:rPr>
        <w:t xml:space="preserve"> </w:t>
      </w:r>
      <w:r w:rsidR="00474B3D" w:rsidRPr="00474B3D">
        <w:rPr>
          <w:rFonts w:ascii="Tahoma" w:hAnsi="Tahoma"/>
          <w:i/>
          <w:iCs/>
          <w:sz w:val="24"/>
          <w:szCs w:val="24"/>
        </w:rPr>
        <w:t>Inna duża grupa imigrantów z podejrzanymi polskimi wizami miała pochodzić z Gruzji. Służby amerykańskie miały informować polskie władze o</w:t>
      </w:r>
      <w:r w:rsidR="00AA09B6">
        <w:rPr>
          <w:rFonts w:ascii="Tahoma" w:hAnsi="Tahoma"/>
          <w:i/>
          <w:iCs/>
          <w:sz w:val="24"/>
          <w:szCs w:val="24"/>
        </w:rPr>
        <w:t> </w:t>
      </w:r>
      <w:r w:rsidR="00474B3D" w:rsidRPr="00474B3D">
        <w:rPr>
          <w:rFonts w:ascii="Tahoma" w:hAnsi="Tahoma"/>
          <w:i/>
          <w:iCs/>
          <w:sz w:val="24"/>
          <w:szCs w:val="24"/>
        </w:rPr>
        <w:t>obywatelach Gruzji, którzy z polskimi wizami próbowali dostać się do USA lub Kanady przez Meksyk.</w:t>
      </w:r>
      <w:r w:rsidR="00474B3D">
        <w:rPr>
          <w:rFonts w:ascii="Tahoma" w:hAnsi="Tahoma"/>
          <w:i/>
          <w:iCs/>
          <w:sz w:val="24"/>
          <w:szCs w:val="24"/>
        </w:rPr>
        <w:t xml:space="preserve"> </w:t>
      </w:r>
      <w:r w:rsidR="00474B3D" w:rsidRPr="00474B3D">
        <w:rPr>
          <w:rFonts w:ascii="Tahoma" w:hAnsi="Tahoma"/>
          <w:i/>
          <w:iCs/>
          <w:sz w:val="24"/>
          <w:szCs w:val="24"/>
        </w:rPr>
        <w:t>Do skandalu z polskimi wizami pracowniczymi miało dojść w Ugandzie. Polskie wizy pracownicze można uzyskać w najbliższej ambasadzie RP w kenijskim Nairobi. Ponad 200 osób oskarża tam polski rząd o wyłudzenie tysięcy dolarów. Poszkodowani Ugandyjczycy musieli płacić nawet do 4 tys. dolarów pośrednikom za</w:t>
      </w:r>
      <w:r w:rsidR="00AA09B6">
        <w:rPr>
          <w:rFonts w:ascii="Tahoma" w:hAnsi="Tahoma"/>
          <w:i/>
          <w:iCs/>
          <w:sz w:val="24"/>
          <w:szCs w:val="24"/>
        </w:rPr>
        <w:t> </w:t>
      </w:r>
      <w:r w:rsidR="00474B3D" w:rsidRPr="00474B3D">
        <w:rPr>
          <w:rFonts w:ascii="Tahoma" w:hAnsi="Tahoma"/>
          <w:i/>
          <w:iCs/>
          <w:sz w:val="24"/>
          <w:szCs w:val="24"/>
        </w:rPr>
        <w:t>dokumenty i wizytę w konsulacie, a potem jeszcze dodatkowe pieniądze, m.in. za</w:t>
      </w:r>
      <w:r w:rsidR="00AA09B6">
        <w:rPr>
          <w:rFonts w:ascii="Tahoma" w:hAnsi="Tahoma"/>
          <w:i/>
          <w:iCs/>
          <w:sz w:val="24"/>
          <w:szCs w:val="24"/>
        </w:rPr>
        <w:t> </w:t>
      </w:r>
      <w:r w:rsidR="00474B3D" w:rsidRPr="00474B3D">
        <w:rPr>
          <w:rFonts w:ascii="Tahoma" w:hAnsi="Tahoma"/>
          <w:i/>
          <w:iCs/>
          <w:sz w:val="24"/>
          <w:szCs w:val="24"/>
        </w:rPr>
        <w:t>ubezpieczenie. A nie wszyscy, którzy zapłacili, dostali pozytywną decyzję</w:t>
      </w:r>
      <w:r w:rsidR="00474B3D">
        <w:rPr>
          <w:rFonts w:ascii="Tahoma" w:hAnsi="Tahoma"/>
          <w:i/>
          <w:iCs/>
          <w:sz w:val="24"/>
          <w:szCs w:val="24"/>
        </w:rPr>
        <w:t>”</w:t>
      </w:r>
      <w:r w:rsidR="00474B3D">
        <w:rPr>
          <w:rStyle w:val="Odwoanieprzypisudolnego"/>
          <w:rFonts w:ascii="Tahoma" w:hAnsi="Tahoma"/>
          <w:i/>
          <w:iCs/>
          <w:sz w:val="24"/>
          <w:szCs w:val="24"/>
        </w:rPr>
        <w:footnoteReference w:id="6"/>
      </w:r>
      <w:r w:rsidR="00474B3D">
        <w:rPr>
          <w:rFonts w:ascii="Tahoma" w:hAnsi="Tahoma"/>
          <w:sz w:val="24"/>
          <w:szCs w:val="24"/>
        </w:rPr>
        <w:t xml:space="preserve">. </w:t>
      </w:r>
    </w:p>
    <w:p w14:paraId="59CB6DFD" w14:textId="3F6CD470" w:rsidR="008D20F0" w:rsidRDefault="009E23FF" w:rsidP="002010D7">
      <w:pPr>
        <w:spacing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Osoby zaangażowane w tzw. „</w:t>
      </w:r>
      <w:r>
        <w:rPr>
          <w:rFonts w:ascii="Tahoma" w:hAnsi="Tahoma"/>
          <w:i/>
          <w:iCs/>
          <w:sz w:val="24"/>
          <w:szCs w:val="24"/>
        </w:rPr>
        <w:t xml:space="preserve">aferę wizową” </w:t>
      </w:r>
      <w:r>
        <w:rPr>
          <w:rFonts w:ascii="Tahoma" w:hAnsi="Tahoma"/>
          <w:sz w:val="24"/>
          <w:szCs w:val="24"/>
        </w:rPr>
        <w:t xml:space="preserve">miały </w:t>
      </w:r>
      <w:r w:rsidR="009140FF">
        <w:rPr>
          <w:rFonts w:ascii="Tahoma" w:hAnsi="Tahoma"/>
          <w:sz w:val="24"/>
          <w:szCs w:val="24"/>
        </w:rPr>
        <w:t>podjąć szereg działań, w tym ingerować w proces legislacyjny</w:t>
      </w:r>
      <w:r w:rsidR="00095B0B">
        <w:rPr>
          <w:rFonts w:ascii="Tahoma" w:hAnsi="Tahoma"/>
          <w:sz w:val="24"/>
          <w:szCs w:val="24"/>
        </w:rPr>
        <w:t xml:space="preserve"> poprzez przygotowanie podstaw prawnych</w:t>
      </w:r>
      <w:r w:rsidR="009140FF">
        <w:rPr>
          <w:rFonts w:ascii="Tahoma" w:hAnsi="Tahoma"/>
          <w:sz w:val="24"/>
          <w:szCs w:val="24"/>
        </w:rPr>
        <w:t>, któr</w:t>
      </w:r>
      <w:r w:rsidR="00095B0B">
        <w:rPr>
          <w:rFonts w:ascii="Tahoma" w:hAnsi="Tahoma"/>
          <w:sz w:val="24"/>
          <w:szCs w:val="24"/>
        </w:rPr>
        <w:t>e</w:t>
      </w:r>
      <w:r w:rsidR="008D20F0">
        <w:rPr>
          <w:rFonts w:ascii="Tahoma" w:hAnsi="Tahoma"/>
          <w:sz w:val="24"/>
          <w:szCs w:val="24"/>
        </w:rPr>
        <w:t> </w:t>
      </w:r>
      <w:r w:rsidR="009140FF">
        <w:rPr>
          <w:rFonts w:ascii="Tahoma" w:hAnsi="Tahoma"/>
          <w:sz w:val="24"/>
          <w:szCs w:val="24"/>
        </w:rPr>
        <w:t>miały ułatwić im podejmowan</w:t>
      </w:r>
      <w:r w:rsidR="004B57A3">
        <w:rPr>
          <w:rFonts w:ascii="Tahoma" w:hAnsi="Tahoma"/>
          <w:sz w:val="24"/>
          <w:szCs w:val="24"/>
        </w:rPr>
        <w:t>i</w:t>
      </w:r>
      <w:r w:rsidR="009140FF">
        <w:rPr>
          <w:rFonts w:ascii="Tahoma" w:hAnsi="Tahoma"/>
          <w:sz w:val="24"/>
          <w:szCs w:val="24"/>
        </w:rPr>
        <w:t xml:space="preserve">e </w:t>
      </w:r>
      <w:r w:rsidR="00AA09B6">
        <w:rPr>
          <w:rFonts w:ascii="Tahoma" w:hAnsi="Tahoma"/>
          <w:sz w:val="24"/>
          <w:szCs w:val="24"/>
        </w:rPr>
        <w:t>opisywanych czynności</w:t>
      </w:r>
      <w:r w:rsidR="009140FF">
        <w:rPr>
          <w:rFonts w:ascii="Tahoma" w:hAnsi="Tahoma"/>
          <w:sz w:val="24"/>
          <w:szCs w:val="24"/>
        </w:rPr>
        <w:t xml:space="preserve">. </w:t>
      </w:r>
      <w:r w:rsidR="00095B0B">
        <w:rPr>
          <w:rFonts w:ascii="Tahoma" w:hAnsi="Tahoma"/>
          <w:sz w:val="24"/>
          <w:szCs w:val="24"/>
        </w:rPr>
        <w:t xml:space="preserve">I tak dzięki rządowej autopoprawce, zgłoszonej przez Prezesa Rady Ministrów do projektu ustawy </w:t>
      </w:r>
      <w:r w:rsidR="001F0BA3" w:rsidRPr="001F0BA3">
        <w:rPr>
          <w:rFonts w:ascii="Tahoma" w:hAnsi="Tahoma"/>
          <w:sz w:val="24"/>
          <w:szCs w:val="24"/>
        </w:rPr>
        <w:t>o zmianie ustawy o szczególnych</w:t>
      </w:r>
      <w:r w:rsidR="001F0BA3">
        <w:rPr>
          <w:rFonts w:ascii="Tahoma" w:hAnsi="Tahoma"/>
          <w:sz w:val="24"/>
          <w:szCs w:val="24"/>
        </w:rPr>
        <w:t xml:space="preserve"> </w:t>
      </w:r>
      <w:r w:rsidR="001F0BA3" w:rsidRPr="001F0BA3">
        <w:rPr>
          <w:rFonts w:ascii="Tahoma" w:hAnsi="Tahoma"/>
          <w:sz w:val="24"/>
          <w:szCs w:val="24"/>
        </w:rPr>
        <w:t>rozwiązaniach związanych z zapobieganiem,</w:t>
      </w:r>
      <w:r w:rsidR="001F0BA3">
        <w:rPr>
          <w:rFonts w:ascii="Tahoma" w:hAnsi="Tahoma"/>
          <w:sz w:val="24"/>
          <w:szCs w:val="24"/>
        </w:rPr>
        <w:t xml:space="preserve"> </w:t>
      </w:r>
      <w:r w:rsidR="001F0BA3" w:rsidRPr="001F0BA3">
        <w:rPr>
          <w:rFonts w:ascii="Tahoma" w:hAnsi="Tahoma"/>
          <w:sz w:val="24"/>
          <w:szCs w:val="24"/>
        </w:rPr>
        <w:t>przeciwdziałaniem i zwalczaniem COVID-19,</w:t>
      </w:r>
      <w:r w:rsidR="001F0BA3">
        <w:rPr>
          <w:rFonts w:ascii="Tahoma" w:hAnsi="Tahoma"/>
          <w:sz w:val="24"/>
          <w:szCs w:val="24"/>
        </w:rPr>
        <w:t xml:space="preserve"> </w:t>
      </w:r>
      <w:r w:rsidR="001F0BA3" w:rsidRPr="001F0BA3">
        <w:rPr>
          <w:rFonts w:ascii="Tahoma" w:hAnsi="Tahoma"/>
          <w:sz w:val="24"/>
          <w:szCs w:val="24"/>
        </w:rPr>
        <w:t>innych chorób zakaźnych oraz wywołanych</w:t>
      </w:r>
      <w:r w:rsidR="001F0BA3">
        <w:rPr>
          <w:rFonts w:ascii="Tahoma" w:hAnsi="Tahoma"/>
          <w:sz w:val="24"/>
          <w:szCs w:val="24"/>
        </w:rPr>
        <w:t xml:space="preserve"> </w:t>
      </w:r>
      <w:r w:rsidR="001F0BA3" w:rsidRPr="001F0BA3">
        <w:rPr>
          <w:rFonts w:ascii="Tahoma" w:hAnsi="Tahoma"/>
          <w:sz w:val="24"/>
          <w:szCs w:val="24"/>
        </w:rPr>
        <w:t>nimi sytuacji kryzysowych oraz niektórych</w:t>
      </w:r>
      <w:r w:rsidR="001F0BA3">
        <w:rPr>
          <w:rFonts w:ascii="Tahoma" w:hAnsi="Tahoma"/>
          <w:sz w:val="24"/>
          <w:szCs w:val="24"/>
        </w:rPr>
        <w:t xml:space="preserve"> </w:t>
      </w:r>
      <w:r w:rsidR="001F0BA3" w:rsidRPr="001F0BA3">
        <w:rPr>
          <w:rFonts w:ascii="Tahoma" w:hAnsi="Tahoma"/>
          <w:sz w:val="24"/>
          <w:szCs w:val="24"/>
        </w:rPr>
        <w:t>innych ustaw</w:t>
      </w:r>
      <w:r w:rsidR="001F0BA3">
        <w:rPr>
          <w:rFonts w:ascii="Tahoma" w:hAnsi="Tahoma"/>
          <w:sz w:val="24"/>
          <w:szCs w:val="24"/>
        </w:rPr>
        <w:t xml:space="preserve"> (druk nr 828-A IX kadencji Sejmu) </w:t>
      </w:r>
      <w:r w:rsidR="001F0BA3">
        <w:rPr>
          <w:rFonts w:ascii="Tahoma" w:hAnsi="Tahoma"/>
          <w:sz w:val="24"/>
          <w:szCs w:val="24"/>
        </w:rPr>
        <w:lastRenderedPageBreak/>
        <w:t xml:space="preserve">zaproponowano wprowadzenie zmian w art. 66 ustawy </w:t>
      </w:r>
      <w:r w:rsidR="001F0BA3" w:rsidRPr="001F0BA3">
        <w:rPr>
          <w:rFonts w:ascii="Tahoma" w:hAnsi="Tahoma"/>
          <w:sz w:val="24"/>
          <w:szCs w:val="24"/>
        </w:rPr>
        <w:t>z dnia 12 grudnia 2013 r. o</w:t>
      </w:r>
      <w:r w:rsidR="001F0BA3">
        <w:rPr>
          <w:rFonts w:ascii="Tahoma" w:hAnsi="Tahoma"/>
          <w:sz w:val="24"/>
          <w:szCs w:val="24"/>
        </w:rPr>
        <w:t> </w:t>
      </w:r>
      <w:r w:rsidR="001F0BA3" w:rsidRPr="001F0BA3">
        <w:rPr>
          <w:rFonts w:ascii="Tahoma" w:hAnsi="Tahoma"/>
          <w:sz w:val="24"/>
          <w:szCs w:val="24"/>
        </w:rPr>
        <w:t>cudzoziemcach (Dz. U. z 2020 r. poz. 35, 2023, 2320 i 2369</w:t>
      </w:r>
      <w:r w:rsidR="001F0BA3">
        <w:rPr>
          <w:rFonts w:ascii="Tahoma" w:hAnsi="Tahoma"/>
          <w:sz w:val="24"/>
          <w:szCs w:val="24"/>
        </w:rPr>
        <w:t xml:space="preserve"> z późn. zm.</w:t>
      </w:r>
      <w:r w:rsidR="001F0BA3" w:rsidRPr="001F0BA3">
        <w:rPr>
          <w:rFonts w:ascii="Tahoma" w:hAnsi="Tahoma"/>
          <w:sz w:val="24"/>
          <w:szCs w:val="24"/>
        </w:rPr>
        <w:t>)</w:t>
      </w:r>
      <w:r w:rsidR="001F0BA3">
        <w:rPr>
          <w:rFonts w:ascii="Tahoma" w:hAnsi="Tahoma"/>
          <w:sz w:val="24"/>
          <w:szCs w:val="24"/>
        </w:rPr>
        <w:t>, na mocy których w określonych przypadkach w</w:t>
      </w:r>
      <w:r w:rsidR="001F0BA3" w:rsidRPr="001F0BA3">
        <w:rPr>
          <w:rFonts w:ascii="Tahoma" w:hAnsi="Tahoma"/>
          <w:sz w:val="24"/>
          <w:szCs w:val="24"/>
        </w:rPr>
        <w:t>izę m</w:t>
      </w:r>
      <w:r w:rsidR="001F0BA3">
        <w:rPr>
          <w:rFonts w:ascii="Tahoma" w:hAnsi="Tahoma"/>
          <w:sz w:val="24"/>
          <w:szCs w:val="24"/>
        </w:rPr>
        <w:t>ógł</w:t>
      </w:r>
      <w:r w:rsidR="001F0BA3" w:rsidRPr="001F0BA3">
        <w:rPr>
          <w:rFonts w:ascii="Tahoma" w:hAnsi="Tahoma"/>
          <w:sz w:val="24"/>
          <w:szCs w:val="24"/>
        </w:rPr>
        <w:t xml:space="preserve"> również wydać albo odmówić jej</w:t>
      </w:r>
      <w:r w:rsidR="00423299">
        <w:rPr>
          <w:rFonts w:ascii="Tahoma" w:hAnsi="Tahoma"/>
          <w:sz w:val="24"/>
          <w:szCs w:val="24"/>
        </w:rPr>
        <w:t> </w:t>
      </w:r>
      <w:r w:rsidR="001F0BA3" w:rsidRPr="001F0BA3">
        <w:rPr>
          <w:rFonts w:ascii="Tahoma" w:hAnsi="Tahoma"/>
          <w:sz w:val="24"/>
          <w:szCs w:val="24"/>
        </w:rPr>
        <w:t>wydania minister właściwy do spraw zagranicznych</w:t>
      </w:r>
      <w:r w:rsidR="001F0BA3">
        <w:rPr>
          <w:rFonts w:ascii="Tahoma" w:hAnsi="Tahoma"/>
          <w:sz w:val="24"/>
          <w:szCs w:val="24"/>
        </w:rPr>
        <w:t xml:space="preserve">. </w:t>
      </w:r>
      <w:r w:rsidR="00E11720">
        <w:rPr>
          <w:rFonts w:ascii="Tahoma" w:hAnsi="Tahoma"/>
          <w:sz w:val="24"/>
          <w:szCs w:val="24"/>
        </w:rPr>
        <w:t>Wprowadzenie tych oraz</w:t>
      </w:r>
      <w:r w:rsidR="00423299">
        <w:rPr>
          <w:rFonts w:ascii="Tahoma" w:hAnsi="Tahoma"/>
          <w:sz w:val="24"/>
          <w:szCs w:val="24"/>
        </w:rPr>
        <w:t> </w:t>
      </w:r>
      <w:r w:rsidR="00E11720">
        <w:rPr>
          <w:rFonts w:ascii="Tahoma" w:hAnsi="Tahoma"/>
          <w:sz w:val="24"/>
          <w:szCs w:val="24"/>
        </w:rPr>
        <w:t>innych zmian dotyczących szeroko rozumianego prawa wizowego uzasadniał na posiedzeniu Komisji Finansów Publicznych s</w:t>
      </w:r>
      <w:r w:rsidR="00E11720" w:rsidRPr="00E11720">
        <w:rPr>
          <w:rFonts w:ascii="Tahoma" w:hAnsi="Tahoma"/>
          <w:sz w:val="24"/>
          <w:szCs w:val="24"/>
        </w:rPr>
        <w:t>ekretarz stanu w Ministerstwie Spraw Zagranicznych Piotr Wawrzyk</w:t>
      </w:r>
      <w:r w:rsidR="00E11720">
        <w:rPr>
          <w:rFonts w:ascii="Tahoma" w:hAnsi="Tahoma"/>
          <w:sz w:val="24"/>
          <w:szCs w:val="24"/>
        </w:rPr>
        <w:t xml:space="preserve"> wskazując, że: </w:t>
      </w:r>
      <w:r w:rsidR="00E11720" w:rsidRPr="00E11720">
        <w:rPr>
          <w:rFonts w:ascii="Tahoma" w:hAnsi="Tahoma"/>
          <w:i/>
          <w:iCs/>
          <w:sz w:val="24"/>
          <w:szCs w:val="24"/>
        </w:rPr>
        <w:t>„(…) to jest właśnie ten problem, który</w:t>
      </w:r>
      <w:r w:rsidR="00423299">
        <w:rPr>
          <w:rFonts w:ascii="Tahoma" w:hAnsi="Tahoma"/>
          <w:i/>
          <w:iCs/>
          <w:sz w:val="24"/>
          <w:szCs w:val="24"/>
        </w:rPr>
        <w:t> </w:t>
      </w:r>
      <w:r w:rsidR="00E11720" w:rsidRPr="00E11720">
        <w:rPr>
          <w:rFonts w:ascii="Tahoma" w:hAnsi="Tahoma"/>
          <w:i/>
          <w:iCs/>
          <w:sz w:val="24"/>
          <w:szCs w:val="24"/>
        </w:rPr>
        <w:t>poruszałem, proponując, żeby te wszystkie zapisy dotyczące spraw wizowych omówić jak gdyby w</w:t>
      </w:r>
      <w:r w:rsidR="008D20F0">
        <w:rPr>
          <w:rFonts w:ascii="Tahoma" w:hAnsi="Tahoma"/>
          <w:i/>
          <w:iCs/>
          <w:sz w:val="24"/>
          <w:szCs w:val="24"/>
        </w:rPr>
        <w:t> </w:t>
      </w:r>
      <w:r w:rsidR="00E11720" w:rsidRPr="00E11720">
        <w:rPr>
          <w:rFonts w:ascii="Tahoma" w:hAnsi="Tahoma"/>
          <w:i/>
          <w:iCs/>
          <w:sz w:val="24"/>
          <w:szCs w:val="24"/>
        </w:rPr>
        <w:t>jednym punkcie, bo wtedy powstanie pełny obraz przepisów, które chcemy wprowadzić. W cudzysłowie oczywiście i bardzo na wyrost nazywamy centralnym organem wizowym, czyli żeby gros obsługi wniosków wizowych w każdym względzie i</w:t>
      </w:r>
      <w:r w:rsidR="008D20F0">
        <w:rPr>
          <w:rFonts w:ascii="Tahoma" w:hAnsi="Tahoma"/>
          <w:i/>
          <w:iCs/>
          <w:sz w:val="24"/>
          <w:szCs w:val="24"/>
        </w:rPr>
        <w:t> </w:t>
      </w:r>
      <w:r w:rsidR="00E11720" w:rsidRPr="00E11720">
        <w:rPr>
          <w:rFonts w:ascii="Tahoma" w:hAnsi="Tahoma"/>
          <w:i/>
          <w:iCs/>
          <w:sz w:val="24"/>
          <w:szCs w:val="24"/>
        </w:rPr>
        <w:t>w każdym aspekcie – dlatego są to zmiany w kilku ustawach – było w</w:t>
      </w:r>
      <w:r w:rsidR="00423299">
        <w:rPr>
          <w:rFonts w:ascii="Tahoma" w:hAnsi="Tahoma"/>
          <w:i/>
          <w:iCs/>
          <w:sz w:val="24"/>
          <w:szCs w:val="24"/>
        </w:rPr>
        <w:t> </w:t>
      </w:r>
      <w:r w:rsidR="00E11720" w:rsidRPr="00E11720">
        <w:rPr>
          <w:rFonts w:ascii="Tahoma" w:hAnsi="Tahoma"/>
          <w:i/>
          <w:iCs/>
          <w:sz w:val="24"/>
          <w:szCs w:val="24"/>
        </w:rPr>
        <w:t>Ministerstwie Spraw Zagranicznych, a konsulowie, żeby zajmowali się wyłącznie kwestiami technicznymi, mówiąc wprost, przyjmowaniem wniosków, wbijaniem wiz i</w:t>
      </w:r>
      <w:r w:rsidR="00423299">
        <w:rPr>
          <w:rFonts w:ascii="Tahoma" w:hAnsi="Tahoma"/>
          <w:i/>
          <w:iCs/>
          <w:sz w:val="24"/>
          <w:szCs w:val="24"/>
        </w:rPr>
        <w:t> </w:t>
      </w:r>
      <w:r w:rsidR="00E11720" w:rsidRPr="00E11720">
        <w:rPr>
          <w:rFonts w:ascii="Tahoma" w:hAnsi="Tahoma"/>
          <w:i/>
          <w:iCs/>
          <w:sz w:val="24"/>
          <w:szCs w:val="24"/>
        </w:rPr>
        <w:t>koniec kropka. Jaki to ma związek? Właśnie taki, jak mówiłem wcześniej, że to wszystko sprawi, że nie będzie potrzeby kontaktu bezpośredniego, tworzenia się tłumów w</w:t>
      </w:r>
      <w:r w:rsidR="008D20F0">
        <w:rPr>
          <w:rFonts w:ascii="Tahoma" w:hAnsi="Tahoma"/>
          <w:i/>
          <w:iCs/>
          <w:sz w:val="24"/>
          <w:szCs w:val="24"/>
        </w:rPr>
        <w:t> </w:t>
      </w:r>
      <w:r w:rsidR="00E11720" w:rsidRPr="00E11720">
        <w:rPr>
          <w:rFonts w:ascii="Tahoma" w:hAnsi="Tahoma"/>
          <w:i/>
          <w:iCs/>
          <w:sz w:val="24"/>
          <w:szCs w:val="24"/>
        </w:rPr>
        <w:t>konsulatach, szczególnie właśnie na Białorusi chwili obecnej</w:t>
      </w:r>
      <w:r w:rsidR="00E11720">
        <w:rPr>
          <w:rFonts w:ascii="Tahoma" w:hAnsi="Tahoma"/>
          <w:i/>
          <w:iCs/>
          <w:sz w:val="24"/>
          <w:szCs w:val="24"/>
        </w:rPr>
        <w:t>”</w:t>
      </w:r>
      <w:r w:rsidR="00E11720">
        <w:rPr>
          <w:rStyle w:val="Odwoanieprzypisudolnego"/>
          <w:rFonts w:ascii="Tahoma" w:hAnsi="Tahoma"/>
          <w:i/>
          <w:iCs/>
          <w:sz w:val="24"/>
          <w:szCs w:val="24"/>
        </w:rPr>
        <w:footnoteReference w:id="7"/>
      </w:r>
      <w:r w:rsidR="00E11720">
        <w:rPr>
          <w:rFonts w:ascii="Tahoma" w:hAnsi="Tahoma"/>
          <w:i/>
          <w:iCs/>
          <w:sz w:val="24"/>
          <w:szCs w:val="24"/>
        </w:rPr>
        <w:t>.</w:t>
      </w:r>
      <w:r w:rsidR="00E11720">
        <w:rPr>
          <w:rFonts w:ascii="Tahoma" w:hAnsi="Tahoma"/>
          <w:sz w:val="24"/>
          <w:szCs w:val="24"/>
        </w:rPr>
        <w:t xml:space="preserve"> </w:t>
      </w:r>
    </w:p>
    <w:p w14:paraId="0D305036" w14:textId="77777777" w:rsidR="008D20F0" w:rsidRDefault="007F52E4" w:rsidP="002010D7">
      <w:pPr>
        <w:spacing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Zmiany zaproponowane w rządowym projekcie ustawy oraz autopoprawce zgłoszonej przez Prezesa Rady Ministrów, których konieczność szerzej uzasadniał Piotr Wawrzyk na posiedzeniu sejmowej Komisji Finansów Publicznych, zostały ostatecznie wprowadzone</w:t>
      </w:r>
      <w:r w:rsidR="006C0AEA">
        <w:rPr>
          <w:rFonts w:ascii="Tahoma" w:hAnsi="Tahoma"/>
          <w:sz w:val="24"/>
          <w:szCs w:val="24"/>
        </w:rPr>
        <w:t xml:space="preserve"> do porządku prawnego. </w:t>
      </w:r>
    </w:p>
    <w:p w14:paraId="7750212B" w14:textId="291A0F9E" w:rsidR="002010D7" w:rsidRDefault="002010D7" w:rsidP="002010D7">
      <w:pPr>
        <w:spacing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Dodatkowo dnia 19 czerwca 2023 r. opublikowano projekt </w:t>
      </w:r>
      <w:r w:rsidRPr="002010D7">
        <w:rPr>
          <w:rFonts w:ascii="Tahoma" w:hAnsi="Tahoma"/>
          <w:sz w:val="24"/>
          <w:szCs w:val="24"/>
        </w:rPr>
        <w:t>rozporządzenia Ministra Spraw Zagranicznych w sprawie państw, w których cudzoziemcy mogą składać wnioski o wydanie wizy przez ministra właściwego do spraw zagranicznych</w:t>
      </w:r>
      <w:r>
        <w:rPr>
          <w:rFonts w:ascii="Tahoma" w:hAnsi="Tahoma"/>
          <w:sz w:val="24"/>
          <w:szCs w:val="24"/>
        </w:rPr>
        <w:t>.</w:t>
      </w:r>
      <w:r>
        <w:rPr>
          <w:rStyle w:val="Odwoanieprzypisudolnego"/>
          <w:rFonts w:ascii="Tahoma" w:hAnsi="Tahoma"/>
          <w:sz w:val="24"/>
          <w:szCs w:val="24"/>
        </w:rPr>
        <w:footnoteReference w:id="8"/>
      </w:r>
      <w:r>
        <w:rPr>
          <w:rFonts w:ascii="Tahoma" w:hAnsi="Tahoma"/>
          <w:sz w:val="24"/>
          <w:szCs w:val="24"/>
        </w:rPr>
        <w:t xml:space="preserve"> W treści projektu określono  </w:t>
      </w:r>
      <w:r w:rsidRPr="002010D7">
        <w:rPr>
          <w:rFonts w:ascii="Tahoma" w:hAnsi="Tahoma"/>
          <w:sz w:val="24"/>
          <w:szCs w:val="24"/>
        </w:rPr>
        <w:t>państwa, w których cudzoziemcy mogą składać wnioski o wydanie wizy przez ministra właściwego do spraw zagranicznych</w:t>
      </w:r>
      <w:r>
        <w:rPr>
          <w:rFonts w:ascii="Tahoma" w:hAnsi="Tahoma"/>
          <w:sz w:val="24"/>
          <w:szCs w:val="24"/>
        </w:rPr>
        <w:t xml:space="preserve"> oraz </w:t>
      </w:r>
      <w:r w:rsidRPr="002010D7">
        <w:rPr>
          <w:rFonts w:ascii="Tahoma" w:hAnsi="Tahoma"/>
          <w:sz w:val="24"/>
          <w:szCs w:val="24"/>
        </w:rPr>
        <w:t>dodatkowe warunki, po</w:t>
      </w:r>
      <w:r w:rsidR="008D20F0">
        <w:rPr>
          <w:rFonts w:ascii="Tahoma" w:hAnsi="Tahoma"/>
          <w:sz w:val="24"/>
          <w:szCs w:val="24"/>
        </w:rPr>
        <w:t> </w:t>
      </w:r>
      <w:r w:rsidRPr="002010D7">
        <w:rPr>
          <w:rFonts w:ascii="Tahoma" w:hAnsi="Tahoma"/>
          <w:sz w:val="24"/>
          <w:szCs w:val="24"/>
        </w:rPr>
        <w:t>spełnieniu których cudzoziemcy mogą składać wnioski o</w:t>
      </w:r>
      <w:r w:rsidR="008D20F0">
        <w:rPr>
          <w:rFonts w:ascii="Tahoma" w:hAnsi="Tahoma"/>
          <w:sz w:val="24"/>
          <w:szCs w:val="24"/>
        </w:rPr>
        <w:t> </w:t>
      </w:r>
      <w:r w:rsidRPr="002010D7">
        <w:rPr>
          <w:rFonts w:ascii="Tahoma" w:hAnsi="Tahoma"/>
          <w:sz w:val="24"/>
          <w:szCs w:val="24"/>
        </w:rPr>
        <w:t>wydanie wizy do ministra właściwego do spraw zagranicznych</w:t>
      </w:r>
      <w:r>
        <w:rPr>
          <w:rFonts w:ascii="Tahoma" w:hAnsi="Tahoma"/>
          <w:sz w:val="24"/>
          <w:szCs w:val="24"/>
        </w:rPr>
        <w:t>. Projekt zakładał, że</w:t>
      </w:r>
      <w:r w:rsidR="008D20F0">
        <w:rPr>
          <w:rFonts w:ascii="Tahoma" w:hAnsi="Tahoma"/>
          <w:sz w:val="24"/>
          <w:szCs w:val="24"/>
        </w:rPr>
        <w:t> </w:t>
      </w:r>
      <w:r>
        <w:rPr>
          <w:rFonts w:ascii="Tahoma" w:hAnsi="Tahoma"/>
          <w:sz w:val="24"/>
          <w:szCs w:val="24"/>
        </w:rPr>
        <w:t xml:space="preserve">wśród państw, </w:t>
      </w:r>
      <w:r w:rsidRPr="002010D7">
        <w:rPr>
          <w:rFonts w:ascii="Tahoma" w:hAnsi="Tahoma"/>
          <w:sz w:val="24"/>
          <w:szCs w:val="24"/>
        </w:rPr>
        <w:t xml:space="preserve">w których cudzoziemcy mogą składać wnioski o wydanie wizy przez ministra właściwego </w:t>
      </w:r>
      <w:r w:rsidRPr="002010D7">
        <w:rPr>
          <w:rFonts w:ascii="Tahoma" w:hAnsi="Tahoma"/>
          <w:sz w:val="24"/>
          <w:szCs w:val="24"/>
        </w:rPr>
        <w:lastRenderedPageBreak/>
        <w:t>do</w:t>
      </w:r>
      <w:r w:rsidR="008D20F0">
        <w:rPr>
          <w:rFonts w:ascii="Tahoma" w:hAnsi="Tahoma"/>
          <w:sz w:val="24"/>
          <w:szCs w:val="24"/>
        </w:rPr>
        <w:t> </w:t>
      </w:r>
      <w:r w:rsidRPr="002010D7">
        <w:rPr>
          <w:rFonts w:ascii="Tahoma" w:hAnsi="Tahoma"/>
          <w:sz w:val="24"/>
          <w:szCs w:val="24"/>
        </w:rPr>
        <w:t>spraw zagranicznych</w:t>
      </w:r>
      <w:r>
        <w:rPr>
          <w:rFonts w:ascii="Tahoma" w:hAnsi="Tahoma"/>
          <w:sz w:val="24"/>
          <w:szCs w:val="24"/>
        </w:rPr>
        <w:t xml:space="preserve"> znajdą się: </w:t>
      </w:r>
      <w:r w:rsidRPr="002010D7">
        <w:rPr>
          <w:rFonts w:ascii="Tahoma" w:hAnsi="Tahoma"/>
          <w:sz w:val="24"/>
          <w:szCs w:val="24"/>
        </w:rPr>
        <w:t>Królestwo Arabii  Saudyjskiej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Republika Armenii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Republika Azerbejdżanu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Republika Białorusi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Republika Filipin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Gruzja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Republika Indii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Republika Indonezji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Islamska Republika Iranu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Państwo Katar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Republika Kazachstanu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Państwo Kuwejt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Republika Mołdawii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Federalna Republika Nigerii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Islamska Republika Pakistanu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Królestwo Tajlandii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Republika Turcji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Ukraina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Republika Uzbekistanu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Socjalistyczna Republika Wietnamu</w:t>
      </w:r>
      <w:r>
        <w:rPr>
          <w:rFonts w:ascii="Tahoma" w:hAnsi="Tahoma"/>
          <w:sz w:val="24"/>
          <w:szCs w:val="24"/>
        </w:rPr>
        <w:t xml:space="preserve">, </w:t>
      </w:r>
      <w:r w:rsidRPr="002010D7">
        <w:rPr>
          <w:rFonts w:ascii="Tahoma" w:hAnsi="Tahoma"/>
          <w:sz w:val="24"/>
          <w:szCs w:val="24"/>
        </w:rPr>
        <w:t>Państwo Zjednoczonych Emiratów Arabskich.</w:t>
      </w:r>
      <w:r>
        <w:rPr>
          <w:rFonts w:ascii="Tahoma" w:hAnsi="Tahoma"/>
          <w:sz w:val="24"/>
          <w:szCs w:val="24"/>
        </w:rPr>
        <w:t xml:space="preserve"> Dzięki działaniom posłów opozycji oraz krytyce opinii publicznej przedmiotowe rozporządzenie nie zostało ostatecznie uchwalone.</w:t>
      </w:r>
    </w:p>
    <w:p w14:paraId="2EA5E349" w14:textId="1C4C776E" w:rsidR="00706265" w:rsidRDefault="002010D7" w:rsidP="002010D7">
      <w:pPr>
        <w:spacing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Powyższe pokazuje, że w proceder legalizacji pobytu cudzoziemców w Polsce zaangażowani byli przedstawiciele władz zajmujących kierownicze stanowiska państwowe.</w:t>
      </w:r>
      <w:r w:rsidR="004B57A3">
        <w:rPr>
          <w:rFonts w:ascii="Tahoma" w:hAnsi="Tahoma"/>
          <w:sz w:val="24"/>
          <w:szCs w:val="24"/>
        </w:rPr>
        <w:t xml:space="preserve"> Wobec części z nich pojawiły się poważne oskarżenia korupcyjne, których z niewiadomych przyczyn nie wyjaśniła prokuratura oraz służby specjalne.</w:t>
      </w:r>
      <w:r>
        <w:rPr>
          <w:rFonts w:ascii="Tahoma" w:hAnsi="Tahoma"/>
          <w:sz w:val="24"/>
          <w:szCs w:val="24"/>
        </w:rPr>
        <w:t xml:space="preserve"> </w:t>
      </w:r>
      <w:r w:rsidR="00706265">
        <w:rPr>
          <w:rFonts w:ascii="Tahoma" w:hAnsi="Tahoma"/>
          <w:sz w:val="24"/>
          <w:szCs w:val="24"/>
        </w:rPr>
        <w:t>Z tego też powodu niezbędne jest zbadanie przez Komisję Śledczą okresu lat 201</w:t>
      </w:r>
      <w:r>
        <w:rPr>
          <w:rFonts w:ascii="Tahoma" w:hAnsi="Tahoma"/>
          <w:sz w:val="24"/>
          <w:szCs w:val="24"/>
        </w:rPr>
        <w:t>9</w:t>
      </w:r>
      <w:r w:rsidR="00706265">
        <w:rPr>
          <w:rFonts w:ascii="Tahoma" w:hAnsi="Tahoma"/>
          <w:sz w:val="24"/>
          <w:szCs w:val="24"/>
        </w:rPr>
        <w:t xml:space="preserve"> – 2023 wskazanego w treści Uchwały, aby wyjaśnić w jakim zakresie </w:t>
      </w:r>
      <w:r>
        <w:rPr>
          <w:rFonts w:ascii="Tahoma" w:hAnsi="Tahoma"/>
          <w:sz w:val="24"/>
          <w:szCs w:val="24"/>
        </w:rPr>
        <w:t>oraz trybie podejmowan</w:t>
      </w:r>
      <w:r w:rsidR="008D20F0">
        <w:rPr>
          <w:rFonts w:ascii="Tahoma" w:hAnsi="Tahoma"/>
          <w:sz w:val="24"/>
          <w:szCs w:val="24"/>
        </w:rPr>
        <w:t>o</w:t>
      </w:r>
      <w:r>
        <w:rPr>
          <w:rFonts w:ascii="Tahoma" w:hAnsi="Tahoma"/>
          <w:sz w:val="24"/>
          <w:szCs w:val="24"/>
        </w:rPr>
        <w:t xml:space="preserve"> działania w </w:t>
      </w:r>
      <w:r w:rsidR="004B57A3">
        <w:rPr>
          <w:rFonts w:ascii="Tahoma" w:hAnsi="Tahoma"/>
          <w:sz w:val="24"/>
          <w:szCs w:val="24"/>
        </w:rPr>
        <w:t>przedmiotowej</w:t>
      </w:r>
      <w:r>
        <w:rPr>
          <w:rFonts w:ascii="Tahoma" w:hAnsi="Tahoma"/>
          <w:sz w:val="24"/>
          <w:szCs w:val="24"/>
        </w:rPr>
        <w:t xml:space="preserve"> sprawie</w:t>
      </w:r>
      <w:r w:rsidR="00706265">
        <w:rPr>
          <w:rFonts w:ascii="Tahoma" w:hAnsi="Tahoma"/>
          <w:sz w:val="24"/>
          <w:szCs w:val="24"/>
        </w:rPr>
        <w:t>.</w:t>
      </w:r>
    </w:p>
    <w:p w14:paraId="2D0D428F" w14:textId="77777777" w:rsidR="00706265" w:rsidRDefault="00706265" w:rsidP="00706265">
      <w:pPr>
        <w:spacing w:after="0" w:line="360" w:lineRule="auto"/>
        <w:ind w:firstLine="708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Wskutek bierności organów i instytucji publicznych w zakresie opisanych powyżej uchybień i nieprawidłowości niezbędne jest powołanie Komisji Śledczej.</w:t>
      </w:r>
      <w:bookmarkEnd w:id="0"/>
    </w:p>
    <w:p w14:paraId="70BF3606" w14:textId="77777777" w:rsidR="00706265" w:rsidRDefault="00706265" w:rsidP="00706265"/>
    <w:p w14:paraId="6ED90028" w14:textId="77777777" w:rsidR="00400B90" w:rsidRDefault="00400B90"/>
    <w:sectPr w:rsidR="0040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A72C8" w14:textId="77777777" w:rsidR="008B3DF5" w:rsidRDefault="008B3DF5" w:rsidP="00706265">
      <w:pPr>
        <w:spacing w:after="0" w:line="240" w:lineRule="auto"/>
      </w:pPr>
      <w:r>
        <w:separator/>
      </w:r>
    </w:p>
  </w:endnote>
  <w:endnote w:type="continuationSeparator" w:id="0">
    <w:p w14:paraId="4EF20106" w14:textId="77777777" w:rsidR="008B3DF5" w:rsidRDefault="008B3DF5" w:rsidP="0070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8DC57" w14:textId="77777777" w:rsidR="008B3DF5" w:rsidRDefault="008B3DF5" w:rsidP="00706265">
      <w:pPr>
        <w:spacing w:after="0" w:line="240" w:lineRule="auto"/>
      </w:pPr>
      <w:r>
        <w:separator/>
      </w:r>
    </w:p>
  </w:footnote>
  <w:footnote w:type="continuationSeparator" w:id="0">
    <w:p w14:paraId="78CBB265" w14:textId="77777777" w:rsidR="008B3DF5" w:rsidRDefault="008B3DF5" w:rsidP="00706265">
      <w:pPr>
        <w:spacing w:after="0" w:line="240" w:lineRule="auto"/>
      </w:pPr>
      <w:r>
        <w:continuationSeparator/>
      </w:r>
    </w:p>
  </w:footnote>
  <w:footnote w:id="1">
    <w:p w14:paraId="7984064F" w14:textId="1686F2D5" w:rsidR="005956CB" w:rsidRDefault="005956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7D2369" w:rsidRPr="00566DBE">
          <w:rPr>
            <w:rStyle w:val="Hipercze"/>
          </w:rPr>
          <w:t>https://tvn24.pl/biznes/z-kraju/afera-wizowa-ministerstwo-spraw-zagranicznych-podalo-dane-dotyczace-wydawania-wiz-cudzoziemcom-liczby-st7346065</w:t>
        </w:r>
      </w:hyperlink>
      <w:r w:rsidR="007D2369">
        <w:t>, dostęp dn. 20 listopada 2023 r.</w:t>
      </w:r>
    </w:p>
  </w:footnote>
  <w:footnote w:id="2">
    <w:p w14:paraId="5225F1DC" w14:textId="4D8A772B" w:rsidR="005956CB" w:rsidRDefault="005956CB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3">
    <w:p w14:paraId="5F9EBD5D" w14:textId="0F661088" w:rsidR="007D2369" w:rsidRDefault="007D2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566DBE">
          <w:rPr>
            <w:rStyle w:val="Hipercze"/>
          </w:rPr>
          <w:t>https://www.rp.pl/spoleczenstwo/art38600021-pis-szeroko-otworzyl-drzwi-dla-cudzoziemcow-spoza-europy-ktorymi-straszyl-polakow</w:t>
        </w:r>
      </w:hyperlink>
      <w:r>
        <w:t xml:space="preserve">; dostęp dn. 20 listopada 2023 r. </w:t>
      </w:r>
    </w:p>
  </w:footnote>
  <w:footnote w:id="4">
    <w:p w14:paraId="709CAFFF" w14:textId="5247B535" w:rsidR="008D00E5" w:rsidRDefault="008D00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566DBE">
          <w:rPr>
            <w:rStyle w:val="Hipercze"/>
          </w:rPr>
          <w:t>https://wyborcza.pl/7,75398,30145557,dymisja-w-msz-po-wizycie-cba-kulisy-odwolania-piotra-wawrzyka.html?_gl=</w:t>
        </w:r>
      </w:hyperlink>
      <w:r>
        <w:t>, dostęp dn. 20 listopada 2023 r.</w:t>
      </w:r>
    </w:p>
  </w:footnote>
  <w:footnote w:id="5">
    <w:p w14:paraId="0742144C" w14:textId="09F9D156" w:rsidR="008D00E5" w:rsidRDefault="008D00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Pr="00566DBE">
          <w:rPr>
            <w:rStyle w:val="Hipercze"/>
          </w:rPr>
          <w:t>https://biqdata.wyborcza.pl/biqdata/7,159116,30219885,afera-wizowa-w-pigulce-co-gdzie-kiedy-siec-powiazan.html?_gl=</w:t>
        </w:r>
      </w:hyperlink>
      <w:r>
        <w:t xml:space="preserve">, dostęp dn. 20 listopada 2023 r. </w:t>
      </w:r>
    </w:p>
  </w:footnote>
  <w:footnote w:id="6">
    <w:p w14:paraId="15D37E27" w14:textId="2432AD38" w:rsidR="00474B3D" w:rsidRDefault="00474B3D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7">
    <w:p w14:paraId="4061ADFB" w14:textId="163FCBE0" w:rsidR="00E11720" w:rsidRDefault="00E117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5" w:history="1">
        <w:r w:rsidRPr="004B77C3">
          <w:rPr>
            <w:rStyle w:val="Hipercze"/>
          </w:rPr>
          <w:t>https://www.sejm.gov.pl/Sejm9.nsf/biuletyn.xsp?skrnr=FPB-123</w:t>
        </w:r>
      </w:hyperlink>
      <w:r>
        <w:t>; dostęp dn. 20 listopada 2023 r.</w:t>
      </w:r>
    </w:p>
  </w:footnote>
  <w:footnote w:id="8">
    <w:p w14:paraId="53C86C05" w14:textId="0EC2B31E" w:rsidR="002010D7" w:rsidRDefault="002010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anchor="12983052" w:history="1">
        <w:r w:rsidRPr="002A2ED6">
          <w:rPr>
            <w:rStyle w:val="Hipercze"/>
          </w:rPr>
          <w:t>https://legislacja.rcl.gov.pl/projekt/12373650/katalog/12983052#12983052</w:t>
        </w:r>
      </w:hyperlink>
      <w:r>
        <w:t xml:space="preserve">, dostęp dn. 20 listopada 2023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697D"/>
    <w:multiLevelType w:val="hybridMultilevel"/>
    <w:tmpl w:val="58A66DAC"/>
    <w:lvl w:ilvl="0" w:tplc="04150011">
      <w:start w:val="5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5D8754B9"/>
    <w:multiLevelType w:val="hybridMultilevel"/>
    <w:tmpl w:val="27F2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260FA58-3E25-441A-9DFA-3AEEC03141EC}"/>
  </w:docVars>
  <w:rsids>
    <w:rsidRoot w:val="00706265"/>
    <w:rsid w:val="0001592A"/>
    <w:rsid w:val="00034C45"/>
    <w:rsid w:val="0009539D"/>
    <w:rsid w:val="00095B0B"/>
    <w:rsid w:val="000A7A0C"/>
    <w:rsid w:val="00107D31"/>
    <w:rsid w:val="00162800"/>
    <w:rsid w:val="00162AF2"/>
    <w:rsid w:val="001B3B92"/>
    <w:rsid w:val="001C7A11"/>
    <w:rsid w:val="001F0BA3"/>
    <w:rsid w:val="002010D7"/>
    <w:rsid w:val="00202E2D"/>
    <w:rsid w:val="002054FE"/>
    <w:rsid w:val="00234410"/>
    <w:rsid w:val="00235DF6"/>
    <w:rsid w:val="002C5E42"/>
    <w:rsid w:val="0036591B"/>
    <w:rsid w:val="003B168C"/>
    <w:rsid w:val="003F2456"/>
    <w:rsid w:val="00400B90"/>
    <w:rsid w:val="00423299"/>
    <w:rsid w:val="00434AC2"/>
    <w:rsid w:val="00474B3D"/>
    <w:rsid w:val="004B57A3"/>
    <w:rsid w:val="004D4481"/>
    <w:rsid w:val="00504704"/>
    <w:rsid w:val="00512B64"/>
    <w:rsid w:val="005956CB"/>
    <w:rsid w:val="005F0E18"/>
    <w:rsid w:val="006B2756"/>
    <w:rsid w:val="006C0AEA"/>
    <w:rsid w:val="006E259B"/>
    <w:rsid w:val="007045D9"/>
    <w:rsid w:val="00706265"/>
    <w:rsid w:val="0072759B"/>
    <w:rsid w:val="00777387"/>
    <w:rsid w:val="007D2369"/>
    <w:rsid w:val="007E1542"/>
    <w:rsid w:val="007F1EE1"/>
    <w:rsid w:val="007F52E4"/>
    <w:rsid w:val="00830A12"/>
    <w:rsid w:val="008535E6"/>
    <w:rsid w:val="008661C9"/>
    <w:rsid w:val="00876127"/>
    <w:rsid w:val="008B3DF5"/>
    <w:rsid w:val="008D00E5"/>
    <w:rsid w:val="008D20F0"/>
    <w:rsid w:val="008D23C9"/>
    <w:rsid w:val="009140FF"/>
    <w:rsid w:val="009E23FF"/>
    <w:rsid w:val="009E6C75"/>
    <w:rsid w:val="00A379CF"/>
    <w:rsid w:val="00A46232"/>
    <w:rsid w:val="00A73485"/>
    <w:rsid w:val="00AA09B6"/>
    <w:rsid w:val="00AF6602"/>
    <w:rsid w:val="00BB457B"/>
    <w:rsid w:val="00C25B3F"/>
    <w:rsid w:val="00C57270"/>
    <w:rsid w:val="00D36C4E"/>
    <w:rsid w:val="00E10940"/>
    <w:rsid w:val="00E11720"/>
    <w:rsid w:val="00E16A65"/>
    <w:rsid w:val="00E716A3"/>
    <w:rsid w:val="00F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1456"/>
  <w15:chartTrackingRefBased/>
  <w15:docId w15:val="{3EFFDFE2-B994-4C06-9C11-637B270A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265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2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265"/>
    <w:rPr>
      <w:rFonts w:ascii="Calibri" w:eastAsia="Calibri" w:hAnsi="Calibri" w:cs="Calibri"/>
      <w:color w:val="000000"/>
      <w:kern w:val="0"/>
      <w:sz w:val="20"/>
      <w:szCs w:val="20"/>
      <w:u w:color="000000"/>
      <w:lang w:eastAsia="pl-PL"/>
      <w14:ligatures w14:val="none"/>
    </w:rPr>
  </w:style>
  <w:style w:type="paragraph" w:styleId="Akapitzlist">
    <w:name w:val="List Paragraph"/>
    <w:qFormat/>
    <w:rsid w:val="00706265"/>
    <w:pP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62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23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36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11720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E1542"/>
    <w:pPr>
      <w:spacing w:after="0" w:line="240" w:lineRule="auto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09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0940"/>
    <w:rPr>
      <w:rFonts w:ascii="Calibri" w:eastAsia="Calibri" w:hAnsi="Calibri" w:cs="Calibri"/>
      <w:color w:val="000000"/>
      <w:kern w:val="0"/>
      <w:sz w:val="20"/>
      <w:szCs w:val="20"/>
      <w:u w:color="00000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940"/>
    <w:rPr>
      <w:rFonts w:ascii="Calibri" w:eastAsia="Calibri" w:hAnsi="Calibri" w:cs="Calibri"/>
      <w:b/>
      <w:bCs/>
      <w:color w:val="000000"/>
      <w:kern w:val="0"/>
      <w:sz w:val="20"/>
      <w:szCs w:val="20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yborcza.pl/7,75398,30145557,dymisja-w-msz-po-wizycie-cba-kulisy-odwolania-piotra-wawrzyka.html?_gl=" TargetMode="External"/><Relationship Id="rId2" Type="http://schemas.openxmlformats.org/officeDocument/2006/relationships/hyperlink" Target="https://www.rp.pl/spoleczenstwo/art38600021-pis-szeroko-otworzyl-drzwi-dla-cudzoziemcow-spoza-europy-ktorymi-straszyl-polakow" TargetMode="External"/><Relationship Id="rId1" Type="http://schemas.openxmlformats.org/officeDocument/2006/relationships/hyperlink" Target="https://tvn24.pl/biznes/z-kraju/afera-wizowa-ministerstwo-spraw-zagranicznych-podalo-dane-dotyczace-wydawania-wiz-cudzoziemcom-liczby-st7346065" TargetMode="External"/><Relationship Id="rId6" Type="http://schemas.openxmlformats.org/officeDocument/2006/relationships/hyperlink" Target="https://legislacja.rcl.gov.pl/projekt/12373650/katalog/12983052" TargetMode="External"/><Relationship Id="rId5" Type="http://schemas.openxmlformats.org/officeDocument/2006/relationships/hyperlink" Target="https://www.sejm.gov.pl/Sejm9.nsf/biuletyn.xsp?skrnr=FPB-123" TargetMode="External"/><Relationship Id="rId4" Type="http://schemas.openxmlformats.org/officeDocument/2006/relationships/hyperlink" Target="https://biqdata.wyborcza.pl/biqdata/7,159116,30219885,afera-wizowa-w-pigulce-co-gdzie-kiedy-siec-powiazan.html?_gl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260FA58-3E25-441A-9DFA-3AEEC03141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Molesztak</cp:lastModifiedBy>
  <cp:revision>2</cp:revision>
  <cp:lastPrinted>2023-11-22T15:23:00Z</cp:lastPrinted>
  <dcterms:created xsi:type="dcterms:W3CDTF">2023-11-22T11:16:00Z</dcterms:created>
  <dcterms:modified xsi:type="dcterms:W3CDTF">2023-11-23T09:19:00Z</dcterms:modified>
</cp:coreProperties>
</file>