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6ABE8" w14:textId="07DFF545" w:rsidR="00481599" w:rsidRPr="00481599" w:rsidRDefault="00481599" w:rsidP="00481599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481599">
        <w:rPr>
          <w:rFonts w:ascii="Tahoma" w:hAnsi="Tahoma" w:cs="Tahoma"/>
          <w:b/>
          <w:sz w:val="24"/>
          <w:szCs w:val="24"/>
        </w:rPr>
        <w:t>UZASADNIENIE</w:t>
      </w:r>
    </w:p>
    <w:p w14:paraId="55ADA524" w14:textId="28EC5BAA" w:rsidR="00481599" w:rsidRPr="00481599" w:rsidRDefault="00481599" w:rsidP="00481599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81599">
        <w:rPr>
          <w:rFonts w:ascii="Tahoma" w:hAnsi="Tahoma" w:cs="Tahoma"/>
          <w:sz w:val="24"/>
          <w:szCs w:val="24"/>
        </w:rPr>
        <w:t>Komisja Śledcza powinna zbadać legalność, prawidłowość oraz celowość przypadków stosowania czynności operacyjno-rozpoznawczych w stosunku do polskich obywateli. Skala zjawiska inwigilowania obywateli jest coraz szerzej komentowana, a</w:t>
      </w:r>
      <w:r w:rsidR="00F41EAB">
        <w:rPr>
          <w:rFonts w:ascii="Tahoma" w:hAnsi="Tahoma" w:cs="Tahoma"/>
          <w:sz w:val="24"/>
          <w:szCs w:val="24"/>
        </w:rPr>
        <w:t> </w:t>
      </w:r>
      <w:r w:rsidRPr="00481599">
        <w:rPr>
          <w:rFonts w:ascii="Tahoma" w:hAnsi="Tahoma" w:cs="Tahoma"/>
          <w:sz w:val="24"/>
          <w:szCs w:val="24"/>
        </w:rPr>
        <w:t xml:space="preserve">działania służb specjalnych, Policji oraz prokuratury bulwersują opinię publiczną.  </w:t>
      </w:r>
    </w:p>
    <w:p w14:paraId="01A54952" w14:textId="289E307B" w:rsidR="00481599" w:rsidRPr="00481599" w:rsidRDefault="00481599" w:rsidP="00481599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81599">
        <w:rPr>
          <w:rFonts w:ascii="Tahoma" w:hAnsi="Tahoma" w:cs="Tahoma"/>
          <w:sz w:val="24"/>
          <w:szCs w:val="24"/>
        </w:rPr>
        <w:t>Niepokojąco wyglądają dane z ostatnich lat, dotyczące przetwarzania przez</w:t>
      </w:r>
      <w:r w:rsidR="00F41EAB">
        <w:rPr>
          <w:rFonts w:ascii="Tahoma" w:hAnsi="Tahoma" w:cs="Tahoma"/>
          <w:sz w:val="24"/>
          <w:szCs w:val="24"/>
        </w:rPr>
        <w:t> </w:t>
      </w:r>
      <w:r w:rsidRPr="00481599">
        <w:rPr>
          <w:rFonts w:ascii="Tahoma" w:hAnsi="Tahoma" w:cs="Tahoma"/>
          <w:sz w:val="24"/>
          <w:szCs w:val="24"/>
        </w:rPr>
        <w:t>służby specjalne i policję danych telekomunikacyjnych, pocztowych oraz</w:t>
      </w:r>
      <w:r w:rsidR="00F41EAB">
        <w:rPr>
          <w:rFonts w:ascii="Tahoma" w:hAnsi="Tahoma" w:cs="Tahoma"/>
          <w:sz w:val="24"/>
          <w:szCs w:val="24"/>
        </w:rPr>
        <w:t> </w:t>
      </w:r>
      <w:r w:rsidRPr="00481599">
        <w:rPr>
          <w:rFonts w:ascii="Tahoma" w:hAnsi="Tahoma" w:cs="Tahoma"/>
          <w:sz w:val="24"/>
          <w:szCs w:val="24"/>
        </w:rPr>
        <w:t>internetowych. W 2022 r. uprawnione podmioty przetworzyły łącznie 1 830 528 danych, z czego 1 787 885 danych telekomunikacyjnych, 22 283 danych pocztowych, 20 360 danych internetowych.</w:t>
      </w:r>
      <w:r w:rsidRPr="00481599">
        <w:rPr>
          <w:rFonts w:ascii="Tahoma" w:hAnsi="Tahoma" w:cs="Tahoma"/>
          <w:sz w:val="24"/>
          <w:szCs w:val="24"/>
          <w:vertAlign w:val="superscript"/>
        </w:rPr>
        <w:footnoteReference w:id="1"/>
      </w:r>
      <w:r w:rsidRPr="00481599">
        <w:rPr>
          <w:rFonts w:ascii="Tahoma" w:hAnsi="Tahoma" w:cs="Tahoma"/>
          <w:sz w:val="24"/>
          <w:szCs w:val="24"/>
        </w:rPr>
        <w:t xml:space="preserve"> W 2021 r. uprawnione podmioty przetworzyły łącznie 1 857 501 danych, z czego 1 820 630 danych telekomunikacyjnych, 16 764 danych pocztowych, 20 107 danych internetowych.</w:t>
      </w:r>
      <w:r w:rsidRPr="00481599">
        <w:rPr>
          <w:rFonts w:ascii="Tahoma" w:hAnsi="Tahoma" w:cs="Tahoma"/>
          <w:sz w:val="24"/>
          <w:szCs w:val="24"/>
          <w:vertAlign w:val="superscript"/>
        </w:rPr>
        <w:footnoteReference w:id="2"/>
      </w:r>
      <w:r w:rsidRPr="00481599">
        <w:rPr>
          <w:rFonts w:ascii="Tahoma" w:hAnsi="Tahoma" w:cs="Tahoma"/>
          <w:sz w:val="24"/>
          <w:szCs w:val="24"/>
        </w:rPr>
        <w:t xml:space="preserve"> </w:t>
      </w:r>
    </w:p>
    <w:p w14:paraId="3CFA9034" w14:textId="77777777" w:rsidR="00481599" w:rsidRPr="00481599" w:rsidRDefault="00481599" w:rsidP="00481599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81599">
        <w:rPr>
          <w:rFonts w:ascii="Tahoma" w:hAnsi="Tahoma" w:cs="Tahoma"/>
          <w:sz w:val="24"/>
          <w:szCs w:val="24"/>
        </w:rPr>
        <w:t>Równie niepokojąco wyglądają dane dot. liczby osób, wobec których kierowano wnioski o zarządzenie kontroli i utrwalanie rozmów lub wnioski o zarządzenie kontroli operacyjnej – w 2022 r. było to 6381 osób</w:t>
      </w:r>
      <w:r w:rsidRPr="00481599">
        <w:rPr>
          <w:rFonts w:ascii="Tahoma" w:hAnsi="Tahoma" w:cs="Tahoma"/>
          <w:sz w:val="24"/>
          <w:szCs w:val="24"/>
          <w:vertAlign w:val="superscript"/>
        </w:rPr>
        <w:footnoteReference w:id="3"/>
      </w:r>
      <w:r w:rsidRPr="00481599">
        <w:rPr>
          <w:rFonts w:ascii="Tahoma" w:hAnsi="Tahoma" w:cs="Tahoma"/>
          <w:sz w:val="24"/>
          <w:szCs w:val="24"/>
        </w:rPr>
        <w:t>, natomiast w 2021 r. liczba ta wynosiła 7071 osób</w:t>
      </w:r>
      <w:r w:rsidRPr="00481599">
        <w:rPr>
          <w:rFonts w:ascii="Tahoma" w:hAnsi="Tahoma" w:cs="Tahoma"/>
          <w:sz w:val="24"/>
          <w:szCs w:val="24"/>
          <w:vertAlign w:val="superscript"/>
        </w:rPr>
        <w:footnoteReference w:id="4"/>
      </w:r>
      <w:r w:rsidRPr="00481599">
        <w:rPr>
          <w:rFonts w:ascii="Tahoma" w:hAnsi="Tahoma" w:cs="Tahoma"/>
          <w:sz w:val="24"/>
          <w:szCs w:val="24"/>
        </w:rPr>
        <w:t xml:space="preserve">. </w:t>
      </w:r>
    </w:p>
    <w:p w14:paraId="737AE452" w14:textId="1F226FC2" w:rsidR="00481599" w:rsidRPr="00481599" w:rsidRDefault="00481599" w:rsidP="00481599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81599">
        <w:rPr>
          <w:rFonts w:ascii="Tahoma" w:hAnsi="Tahoma" w:cs="Tahoma"/>
          <w:sz w:val="24"/>
          <w:szCs w:val="24"/>
        </w:rPr>
        <w:t>Konkretna skala występowania zjawiska, na przestrzeni okresu wskazanego w</w:t>
      </w:r>
      <w:r w:rsidR="00F41EAB">
        <w:rPr>
          <w:rFonts w:ascii="Tahoma" w:hAnsi="Tahoma" w:cs="Tahoma"/>
          <w:sz w:val="24"/>
          <w:szCs w:val="24"/>
        </w:rPr>
        <w:t> </w:t>
      </w:r>
      <w:r w:rsidRPr="00481599">
        <w:rPr>
          <w:rFonts w:ascii="Tahoma" w:hAnsi="Tahoma" w:cs="Tahoma"/>
          <w:sz w:val="24"/>
          <w:szCs w:val="24"/>
        </w:rPr>
        <w:t>treści uchwały, jest trudna do oszacowania. W licznych doniesieniach medialnych pojawiają się informacje na temat możliwości stosowania podsłuchów oraz korzystania z zaawansowanego oprogramowania lub systemu do przechwytywania danych z</w:t>
      </w:r>
      <w:r w:rsidR="00F41EAB">
        <w:rPr>
          <w:rFonts w:ascii="Tahoma" w:hAnsi="Tahoma" w:cs="Tahoma"/>
          <w:sz w:val="24"/>
          <w:szCs w:val="24"/>
        </w:rPr>
        <w:t> </w:t>
      </w:r>
      <w:r w:rsidRPr="00481599">
        <w:rPr>
          <w:rFonts w:ascii="Tahoma" w:hAnsi="Tahoma" w:cs="Tahoma"/>
          <w:sz w:val="24"/>
          <w:szCs w:val="24"/>
        </w:rPr>
        <w:t>telekomunikacyjnych urządzeń końcowych w stosunku do osób podlegających ustawowo chronionej tajemnicy zawodowej – m.in. adwokatów, dziennikarzy, kontrolerów Najwyższej Izby Kontroli, prokuratorów. Sam problem stosowania czynności operacyjno-rozpoznawczych może dotyczyć ogromnej liczby obywateli. Znane są przypadki wycieku prywatnej korespondencji do mediów przed postawieniem</w:t>
      </w:r>
    </w:p>
    <w:p w14:paraId="4C960364" w14:textId="35291D1D" w:rsidR="00481599" w:rsidRPr="00481599" w:rsidRDefault="00481599" w:rsidP="0048159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81599">
        <w:rPr>
          <w:rFonts w:ascii="Tahoma" w:hAnsi="Tahoma" w:cs="Tahoma"/>
          <w:sz w:val="24"/>
          <w:szCs w:val="24"/>
        </w:rPr>
        <w:lastRenderedPageBreak/>
        <w:t>zarzutów, skierowaniem aktu oskarżenia do sądu lub wydaniem prawomocnego orzeczenia w sprawie</w:t>
      </w:r>
      <w:r w:rsidR="00F2297E">
        <w:rPr>
          <w:rFonts w:ascii="Tahoma" w:hAnsi="Tahoma" w:cs="Tahoma"/>
          <w:sz w:val="24"/>
          <w:szCs w:val="24"/>
        </w:rPr>
        <w:t xml:space="preserve"> wobec osób, które były przedmiotem operacyjnego rozpoznania</w:t>
      </w:r>
      <w:r w:rsidRPr="00481599">
        <w:rPr>
          <w:rFonts w:ascii="Tahoma" w:hAnsi="Tahoma" w:cs="Tahoma"/>
          <w:sz w:val="24"/>
          <w:szCs w:val="24"/>
        </w:rPr>
        <w:t xml:space="preserve">. Takie działanie może pokazywać, że czynności operacyjno-rozpoznawcze podejmowane są w celu zbierania informacji, głównie kompromatów na temat danej osoby, a nie w ścisłym związku z przeciwdziałaniem przestępczości.  </w:t>
      </w:r>
    </w:p>
    <w:p w14:paraId="320CF8DB" w14:textId="3A4F97CC" w:rsidR="00481599" w:rsidRPr="00481599" w:rsidRDefault="00481599" w:rsidP="00BC25F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81599">
        <w:rPr>
          <w:rFonts w:ascii="Tahoma" w:hAnsi="Tahoma" w:cs="Tahoma"/>
          <w:sz w:val="24"/>
          <w:szCs w:val="24"/>
        </w:rPr>
        <w:t>Opisywane postępowanie służb może naruszać art. 47, art. 49 oraz art. 51 Konstytucji Rzeczypospolitej</w:t>
      </w:r>
      <w:r w:rsidR="00E05EAC">
        <w:rPr>
          <w:rFonts w:ascii="Tahoma" w:hAnsi="Tahoma" w:cs="Tahoma"/>
          <w:sz w:val="24"/>
          <w:szCs w:val="24"/>
        </w:rPr>
        <w:t xml:space="preserve"> Polskiej</w:t>
      </w:r>
      <w:r w:rsidRPr="00481599">
        <w:rPr>
          <w:rFonts w:ascii="Tahoma" w:hAnsi="Tahoma" w:cs="Tahoma"/>
          <w:sz w:val="24"/>
          <w:szCs w:val="24"/>
        </w:rPr>
        <w:t>. Zgodnie z brzmieniem tych przepisów każdy ma prawo do ochrony prawnej życia prywatnego, rodzinnego, czci i dobrego imienia oraz do decydowania o swoim życiu osobistym, przy czym zapewnia się wolność i ochronę tajemnicy komunikowania się (ich ograniczenie może nastąpić jedynie w przypadkach określonych w ustawie i w sposób w niej określony). Ponadto nikt nie może być obowiązany inaczej niż na podstawie ustawy do ujawniania informacji dotyczących jego osoby, a władze publiczne nie mogą pozyskiwać, gromadzić i udostępniać innych informacji o obywatelach niż niezbędne w demokratycznym państwie prawnym. W</w:t>
      </w:r>
      <w:r w:rsidR="00F41EAB">
        <w:rPr>
          <w:rFonts w:ascii="Tahoma" w:hAnsi="Tahoma" w:cs="Tahoma"/>
          <w:sz w:val="24"/>
          <w:szCs w:val="24"/>
        </w:rPr>
        <w:t> </w:t>
      </w:r>
      <w:r w:rsidRPr="00481599">
        <w:rPr>
          <w:rFonts w:ascii="Tahoma" w:hAnsi="Tahoma" w:cs="Tahoma"/>
          <w:sz w:val="24"/>
          <w:szCs w:val="24"/>
        </w:rPr>
        <w:t>zakresie gromadzenia danych pochodzących z czynności operacyjno-rozpoznawczych, zwłaszcza w sprawach, w których nie doczekano się ich prawomocnego zakończenia, możemy mieć do czynienia z naruszeniem art. 51 ust. 3 i 4 Konstytucji Rzeczypospolitej Polskiej, które wskazują, że każdy ma prawo dostępu do dotyczących go urzędowych dokumentów i zbiorów danych oraz prawo do żądania sprostowania oraz usunięcia informacji nieprawdziwych, niepełnych lub zebranych w</w:t>
      </w:r>
      <w:r w:rsidR="00F41EAB">
        <w:rPr>
          <w:rFonts w:ascii="Tahoma" w:hAnsi="Tahoma" w:cs="Tahoma"/>
          <w:sz w:val="24"/>
          <w:szCs w:val="24"/>
        </w:rPr>
        <w:t> </w:t>
      </w:r>
      <w:r w:rsidRPr="00481599">
        <w:rPr>
          <w:rFonts w:ascii="Tahoma" w:hAnsi="Tahoma" w:cs="Tahoma"/>
          <w:sz w:val="24"/>
          <w:szCs w:val="24"/>
        </w:rPr>
        <w:t>sposób sprzeczny z ustawą. W świetle powyższych przepisów wiele organów oraz</w:t>
      </w:r>
      <w:r w:rsidR="00F41EAB">
        <w:rPr>
          <w:rFonts w:ascii="Tahoma" w:hAnsi="Tahoma" w:cs="Tahoma"/>
          <w:sz w:val="24"/>
          <w:szCs w:val="24"/>
        </w:rPr>
        <w:t> </w:t>
      </w:r>
      <w:r w:rsidRPr="00481599">
        <w:rPr>
          <w:rFonts w:ascii="Tahoma" w:hAnsi="Tahoma" w:cs="Tahoma"/>
          <w:sz w:val="24"/>
          <w:szCs w:val="24"/>
        </w:rPr>
        <w:t>organizacji pozarządowych wskazuje na potrzebę zwiększenia kontroli nad działaniami podejmowanymi przez służby specjalne oraz Policję, które mogą być dokonywane z naruszeniem prawa, między innymi poprzez ustawowe zagwarantowanie późniejszego poinformowania o tym fakcie figurantów, jak również osoby postronne, które przypadkowo stały się obiektem kontroli.</w:t>
      </w:r>
      <w:r w:rsidRPr="00481599">
        <w:rPr>
          <w:rFonts w:ascii="Tahoma" w:hAnsi="Tahoma" w:cs="Tahoma"/>
          <w:sz w:val="24"/>
          <w:szCs w:val="24"/>
          <w:vertAlign w:val="superscript"/>
        </w:rPr>
        <w:footnoteReference w:id="5"/>
      </w:r>
      <w:r w:rsidRPr="00481599">
        <w:rPr>
          <w:rFonts w:ascii="Tahoma" w:hAnsi="Tahoma" w:cs="Tahoma"/>
          <w:sz w:val="24"/>
          <w:szCs w:val="24"/>
        </w:rPr>
        <w:t xml:space="preserve"> Nie bez znaczenia jest zakres podejmowanych czynności i rejestrowania życia prywatnego obywateli przez służby specjalne. Trybunał Konstytucyjny słusznie podkreśla, że „</w:t>
      </w:r>
      <w:r w:rsidRPr="00481599">
        <w:rPr>
          <w:rFonts w:ascii="Tahoma" w:hAnsi="Tahoma" w:cs="Tahoma"/>
          <w:i/>
          <w:iCs/>
          <w:sz w:val="24"/>
          <w:szCs w:val="24"/>
        </w:rPr>
        <w:t xml:space="preserve">nie jest dopuszczalne w demokratycznym państwie prawnym rejestrowanie całokształtu życia </w:t>
      </w:r>
      <w:r w:rsidRPr="00481599">
        <w:rPr>
          <w:rFonts w:ascii="Tahoma" w:hAnsi="Tahoma" w:cs="Tahoma"/>
          <w:i/>
          <w:iCs/>
          <w:sz w:val="24"/>
          <w:szCs w:val="24"/>
        </w:rPr>
        <w:lastRenderedPageBreak/>
        <w:t>prywatnego jednostek, zwłaszcza w sposób umożliwiający rekonstrukcję wszelkich przejawów ich życiowej aktywności. Stanowiłoby to naruszenie istoty prawa do</w:t>
      </w:r>
      <w:r w:rsidR="00CB364E">
        <w:rPr>
          <w:rFonts w:ascii="Tahoma" w:hAnsi="Tahoma" w:cs="Tahoma"/>
          <w:i/>
          <w:iCs/>
          <w:sz w:val="24"/>
          <w:szCs w:val="24"/>
        </w:rPr>
        <w:t> </w:t>
      </w:r>
      <w:r w:rsidRPr="00481599">
        <w:rPr>
          <w:rFonts w:ascii="Tahoma" w:hAnsi="Tahoma" w:cs="Tahoma"/>
          <w:i/>
          <w:iCs/>
          <w:sz w:val="24"/>
          <w:szCs w:val="24"/>
        </w:rPr>
        <w:t>prywatności, tajemnicy komunikowania się i autonomii informacyjnej, czego bezwzględnie zabrania art. 31 ust. 3 zdanie drugie Konstytucji.</w:t>
      </w:r>
      <w:r w:rsidRPr="00481599">
        <w:rPr>
          <w:rFonts w:ascii="Tahoma" w:hAnsi="Tahoma" w:cs="Tahoma"/>
          <w:sz w:val="24"/>
          <w:szCs w:val="24"/>
        </w:rPr>
        <w:t>”</w:t>
      </w:r>
      <w:r w:rsidRPr="00481599">
        <w:rPr>
          <w:rFonts w:ascii="Tahoma" w:hAnsi="Tahoma" w:cs="Tahoma"/>
          <w:sz w:val="24"/>
          <w:szCs w:val="24"/>
          <w:vertAlign w:val="superscript"/>
        </w:rPr>
        <w:footnoteReference w:id="6"/>
      </w:r>
      <w:r w:rsidRPr="00481599">
        <w:rPr>
          <w:rFonts w:ascii="Tahoma" w:hAnsi="Tahoma" w:cs="Tahoma"/>
          <w:sz w:val="24"/>
          <w:szCs w:val="24"/>
        </w:rPr>
        <w:t xml:space="preserve"> </w:t>
      </w:r>
    </w:p>
    <w:p w14:paraId="36B3C81E" w14:textId="77777777" w:rsidR="00481599" w:rsidRPr="00481599" w:rsidRDefault="00481599" w:rsidP="00BC25F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81599">
        <w:rPr>
          <w:rFonts w:ascii="Tahoma" w:hAnsi="Tahoma" w:cs="Tahoma"/>
          <w:sz w:val="24"/>
          <w:szCs w:val="24"/>
        </w:rPr>
        <w:t xml:space="preserve">Powołanie Komisji Śledczej uzasadniają również doniesienia dot. inwigilacji osób pełniących funkcje publiczne. Amerykańska agencja prasowa Associated Press poinformowała o używaniu oprogramowania, którego producentem jest izraelskie przedsiębiorstwo NSO Group w celu inwigilowania działaczy opozycji demokratycznej oraz osób publicznych krytykujących działalność polskiego rządu. Do dnia złożenia niniejszego projektu ujawniono informacje o stosowaniu szpiegowskiego oprogramowania m.in. wobec: </w:t>
      </w:r>
    </w:p>
    <w:p w14:paraId="2A110995" w14:textId="7E5C788C" w:rsidR="00481599" w:rsidRPr="00481599" w:rsidRDefault="00BC25F4" w:rsidP="00BC25F4">
      <w:pPr>
        <w:spacing w:line="360" w:lineRule="auto"/>
        <w:ind w:left="1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481599" w:rsidRPr="00481599">
        <w:rPr>
          <w:rFonts w:ascii="Tahoma" w:hAnsi="Tahoma" w:cs="Tahoma"/>
          <w:sz w:val="24"/>
          <w:szCs w:val="24"/>
        </w:rPr>
        <w:t xml:space="preserve">Krzysztofa Brejzy – obecnie posła na Sejm RP; w czasie podejmowania intensywnej działalności inwigilacyjnej przez polskie państwo pełnił on jako poseł na Sejm Rzeczypospolitej Polskiej funkcję szefa sztabu Koalicyjnego Komitetu Wyborczego Koalicja Obywatelska PO .N IPL ZIELONI,  </w:t>
      </w:r>
    </w:p>
    <w:p w14:paraId="6AA95512" w14:textId="1FCBBAF6" w:rsidR="00481599" w:rsidRPr="00481599" w:rsidRDefault="00BC25F4" w:rsidP="00BC25F4">
      <w:pPr>
        <w:spacing w:line="360" w:lineRule="auto"/>
        <w:ind w:left="1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481599" w:rsidRPr="00481599">
        <w:rPr>
          <w:rFonts w:ascii="Tahoma" w:hAnsi="Tahoma" w:cs="Tahoma"/>
          <w:sz w:val="24"/>
          <w:szCs w:val="24"/>
        </w:rPr>
        <w:t xml:space="preserve">Romana Giertycha – obecnie posła na Sejm RP, adwokata, członka Okręgowej Rady Adwokackiej w Warszawie; w czasie kampanii wyborczych i wyborów organizowanych w 2019 r. podejmował współpracę z politykami opozycji demokratycznej w zakresie wsparcia prawnego prowadzonej działalności; ponadto jest pełnomocnikiem Gerarda Birgfellnera, który pozostaje w sporze z Jarosławem Kaczyńskim w sprawie budowy wieżowców (biurowców biznesowych) w centrum Warszawy;  </w:t>
      </w:r>
    </w:p>
    <w:p w14:paraId="7D31795D" w14:textId="763863DD" w:rsidR="00481599" w:rsidRPr="00481599" w:rsidRDefault="00BC25F4" w:rsidP="00BC25F4">
      <w:pPr>
        <w:spacing w:line="360" w:lineRule="auto"/>
        <w:ind w:left="1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481599" w:rsidRPr="00481599">
        <w:rPr>
          <w:rFonts w:ascii="Tahoma" w:hAnsi="Tahoma" w:cs="Tahoma"/>
          <w:sz w:val="24"/>
          <w:szCs w:val="24"/>
        </w:rPr>
        <w:t xml:space="preserve">Ewy Wrzosek – prokurator Prokuratury Rejonowej Warszawa-Mokotów; członkini stowarzyszenia Lex Super Omnia, które zajmuje się działalnością na rzecz odpolitycznienia prokuratury; prokurator Ewa Wrzosek wszczęła śledztwo w sprawie tzw. wyborów kopertowych – wyborów prezydenckich w 2020 r., które się nie odbyły;  </w:t>
      </w:r>
      <w:r>
        <w:rPr>
          <w:rFonts w:ascii="Tahoma" w:hAnsi="Tahoma" w:cs="Tahoma"/>
          <w:sz w:val="24"/>
          <w:szCs w:val="24"/>
        </w:rPr>
        <w:t xml:space="preserve">- </w:t>
      </w:r>
      <w:r w:rsidR="00481599" w:rsidRPr="00481599">
        <w:rPr>
          <w:rFonts w:ascii="Tahoma" w:hAnsi="Tahoma" w:cs="Tahoma"/>
          <w:sz w:val="24"/>
          <w:szCs w:val="24"/>
        </w:rPr>
        <w:t xml:space="preserve">Michała Kołodziejczaka – obecnie posła na Sejm RP, Prezesa Zarządu Fundacji Agrounia, która krytykuje rząd Prawa i Sprawiedliwości za działalność naruszającą prawa oraz interesy polskich rolników;  </w:t>
      </w:r>
    </w:p>
    <w:p w14:paraId="0BC539B2" w14:textId="24BF6E96" w:rsidR="00481599" w:rsidRPr="00481599" w:rsidRDefault="00CC63DA" w:rsidP="00CC63DA">
      <w:pPr>
        <w:spacing w:line="360" w:lineRule="auto"/>
        <w:ind w:left="1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- </w:t>
      </w:r>
      <w:r w:rsidR="00481599" w:rsidRPr="00481599">
        <w:rPr>
          <w:rFonts w:ascii="Tahoma" w:hAnsi="Tahoma" w:cs="Tahoma"/>
          <w:sz w:val="24"/>
          <w:szCs w:val="24"/>
        </w:rPr>
        <w:t>pracowników oraz kontrolerów Najwyższej Izby Kontroli – jak podają dziennikarze w</w:t>
      </w:r>
      <w:r w:rsidR="00F41EAB">
        <w:rPr>
          <w:rFonts w:ascii="Tahoma" w:hAnsi="Tahoma" w:cs="Tahoma"/>
          <w:sz w:val="24"/>
          <w:szCs w:val="24"/>
        </w:rPr>
        <w:t> </w:t>
      </w:r>
      <w:r w:rsidR="00481599" w:rsidRPr="00481599">
        <w:rPr>
          <w:rFonts w:ascii="Tahoma" w:hAnsi="Tahoma" w:cs="Tahoma"/>
          <w:sz w:val="24"/>
          <w:szCs w:val="24"/>
        </w:rPr>
        <w:t>stosunku do pracowników oraz kontrolerów Najwyższej Izby Kontroli mogło dojść do nawet ok. 6 000 ataków na ok. 500 urządzeń z użyciem cybernetycznej broni służącej do walki z terroryzmem i przestępczością zorganizowaną; większość ataków</w:t>
      </w:r>
      <w:r w:rsidR="00BC25F4">
        <w:rPr>
          <w:rFonts w:ascii="Tahoma" w:hAnsi="Tahoma" w:cs="Tahoma"/>
          <w:sz w:val="24"/>
          <w:szCs w:val="24"/>
        </w:rPr>
        <w:t xml:space="preserve"> </w:t>
      </w:r>
      <w:r w:rsidR="00481599" w:rsidRPr="00481599">
        <w:rPr>
          <w:rFonts w:ascii="Tahoma" w:hAnsi="Tahoma" w:cs="Tahoma"/>
          <w:sz w:val="24"/>
          <w:szCs w:val="24"/>
        </w:rPr>
        <w:t>miała mieć miejsce w czasie, kiedy Najwyższa Izba Kontroli badała prawidłowość i</w:t>
      </w:r>
      <w:r w:rsidR="00F41EAB">
        <w:rPr>
          <w:rFonts w:ascii="Tahoma" w:hAnsi="Tahoma" w:cs="Tahoma"/>
          <w:sz w:val="24"/>
          <w:szCs w:val="24"/>
        </w:rPr>
        <w:t> </w:t>
      </w:r>
      <w:r w:rsidR="00481599" w:rsidRPr="00481599">
        <w:rPr>
          <w:rFonts w:ascii="Tahoma" w:hAnsi="Tahoma" w:cs="Tahoma"/>
          <w:sz w:val="24"/>
          <w:szCs w:val="24"/>
        </w:rPr>
        <w:t>gospodarność przeprowadzenia prezydenckich wyborów kopertowych, które się ostatecznie nie odbyły oraz wydatkowanie środków z Funduszu Sprawiedliwości. W</w:t>
      </w:r>
      <w:r w:rsidR="00F41EAB">
        <w:rPr>
          <w:rFonts w:ascii="Tahoma" w:hAnsi="Tahoma" w:cs="Tahoma"/>
          <w:sz w:val="24"/>
          <w:szCs w:val="24"/>
        </w:rPr>
        <w:t> </w:t>
      </w:r>
      <w:r w:rsidR="00481599" w:rsidRPr="00481599">
        <w:rPr>
          <w:rFonts w:ascii="Tahoma" w:hAnsi="Tahoma" w:cs="Tahoma"/>
          <w:sz w:val="24"/>
          <w:szCs w:val="24"/>
        </w:rPr>
        <w:t>tym przypadku kontrola operacyjna mogła być stosowana do obejścia tajemnicy kontrolerskiej, o której mowa w art. 73 ustawy z dnia 23 grudnia 1994 r. o Najwyższej Izbie Kontroli w celu uzyskania informacji na temat szczegółów prowadzonych kontroli.</w:t>
      </w:r>
      <w:r w:rsidR="00481599" w:rsidRPr="00481599">
        <w:rPr>
          <w:rFonts w:ascii="Tahoma" w:hAnsi="Tahoma" w:cs="Tahoma"/>
          <w:sz w:val="24"/>
          <w:szCs w:val="24"/>
          <w:vertAlign w:val="superscript"/>
        </w:rPr>
        <w:footnoteReference w:id="7"/>
      </w:r>
      <w:r w:rsidR="00481599" w:rsidRPr="00481599">
        <w:rPr>
          <w:rFonts w:ascii="Tahoma" w:hAnsi="Tahoma" w:cs="Tahoma"/>
          <w:sz w:val="24"/>
          <w:szCs w:val="24"/>
        </w:rPr>
        <w:t xml:space="preserve"> Eksperci NIK wciąż jeszcze pracują nad danymi, które uzyskali i ich dokładną interpretacją, zatem obecnie określenie skali zjawiska nie jest możliwe.  </w:t>
      </w:r>
    </w:p>
    <w:p w14:paraId="284306C1" w14:textId="1E72F9BB" w:rsidR="00481599" w:rsidRPr="00481599" w:rsidRDefault="00481599" w:rsidP="00BC25F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81599">
        <w:rPr>
          <w:rFonts w:ascii="Tahoma" w:hAnsi="Tahoma" w:cs="Tahoma"/>
          <w:sz w:val="24"/>
          <w:szCs w:val="24"/>
        </w:rPr>
        <w:t>Z raportów sporządzonych przez Citizen Lab funkcjonującym w ramach Uniwersytetu w Toronto wynika, że w okresie przedwyborczym w roku 2019 pan</w:t>
      </w:r>
      <w:r w:rsidR="00CB364E">
        <w:rPr>
          <w:rFonts w:ascii="Tahoma" w:hAnsi="Tahoma" w:cs="Tahoma"/>
          <w:sz w:val="24"/>
          <w:szCs w:val="24"/>
        </w:rPr>
        <w:t> </w:t>
      </w:r>
      <w:r w:rsidRPr="00481599">
        <w:rPr>
          <w:rFonts w:ascii="Tahoma" w:hAnsi="Tahoma" w:cs="Tahoma"/>
          <w:sz w:val="24"/>
          <w:szCs w:val="24"/>
        </w:rPr>
        <w:t>Roman Giertych inwigilowany był 18 razy. Z kolei telefony pana Krzysztofa Brejzy, ówczesnego szefa sztabu wyborczego Koalicyjnego Komitetu Wyborczego Koalicja Obywatelska – PO, .N, IPL, ZIELONI penetrowane były przez polskie służby specjalne 33 razy – m.in. w czasie szczytu kampanii wyborczej przed wyborami do Sejmu i Senatu Rzeczypospolitej Polskiej. Informacje w sprawie inwigilacji Krzysztofa Brejzy za pomocą systemu Pegasus potwierdziła również organizacja Amnesty International. Telefon pani prokurator Ewy Wrzosek był kontrolowany oprogramowaniem Pegasus w okresie czerwiec – sierpień 2021 r., jednak inwigilacja miała najprawdopodobniej związek z</w:t>
      </w:r>
      <w:r w:rsidR="00F41EAB">
        <w:rPr>
          <w:rFonts w:ascii="Tahoma" w:hAnsi="Tahoma" w:cs="Tahoma"/>
          <w:sz w:val="24"/>
          <w:szCs w:val="24"/>
        </w:rPr>
        <w:t> </w:t>
      </w:r>
      <w:r w:rsidRPr="00481599">
        <w:rPr>
          <w:rFonts w:ascii="Tahoma" w:hAnsi="Tahoma" w:cs="Tahoma"/>
          <w:sz w:val="24"/>
          <w:szCs w:val="24"/>
        </w:rPr>
        <w:t xml:space="preserve">wszczęciem śledztwa w sprawie tzw. wyborów kopertowych – wyborów prezydenckich organizowanych w maju 2020 r., które się nie odbyły. Telefon pana Michała Kołodziejczaka był szpiegowany kilka razy w 2019 r., czyli w roku, w którym organizowano wybory do Parlamentu Europejskiego oraz wybory parlamentarne.  </w:t>
      </w:r>
    </w:p>
    <w:p w14:paraId="2E66F095" w14:textId="66248A43" w:rsidR="00481599" w:rsidRPr="00481599" w:rsidRDefault="00481599" w:rsidP="00BC25F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81599">
        <w:rPr>
          <w:rFonts w:ascii="Tahoma" w:hAnsi="Tahoma" w:cs="Tahoma"/>
          <w:sz w:val="24"/>
          <w:szCs w:val="24"/>
        </w:rPr>
        <w:t xml:space="preserve">Oprogramowanie Pegasus udostępniane jest przez przedsiębiorstwo NSO Group tylko i wyłącznie oficjalnie działającym agencjom rządowym. W Polsce pierwsze informacje na temat możliwości zakupu narzędzia totalnej inwigilacji pojawiły się </w:t>
      </w:r>
      <w:r w:rsidRPr="00481599">
        <w:rPr>
          <w:rFonts w:ascii="Tahoma" w:hAnsi="Tahoma" w:cs="Tahoma"/>
          <w:sz w:val="24"/>
          <w:szCs w:val="24"/>
        </w:rPr>
        <w:lastRenderedPageBreak/>
        <w:t>w</w:t>
      </w:r>
      <w:r w:rsidR="00F41EAB">
        <w:rPr>
          <w:rFonts w:ascii="Tahoma" w:hAnsi="Tahoma" w:cs="Tahoma"/>
          <w:sz w:val="24"/>
          <w:szCs w:val="24"/>
        </w:rPr>
        <w:t> </w:t>
      </w:r>
      <w:r w:rsidRPr="00481599">
        <w:rPr>
          <w:rFonts w:ascii="Tahoma" w:hAnsi="Tahoma" w:cs="Tahoma"/>
          <w:sz w:val="24"/>
          <w:szCs w:val="24"/>
        </w:rPr>
        <w:t>2018 r. Wzmianka o przekazaniu z Funduszu Pomocy Pokrzywdzonym oraz Pomocy Postpenitencjarnej kwoty 25 mln zł na rzecz Centralnego Biura Antykorupcyjnego,  pojawiła się w analizie wykonania budżetu państwa i założeń polityki pieniężnej w 2017 r. sporządzonej przez Najwyższą Izbę Kontroli. „</w:t>
      </w:r>
      <w:r w:rsidRPr="00481599">
        <w:rPr>
          <w:rFonts w:ascii="Tahoma" w:hAnsi="Tahoma" w:cs="Tahoma"/>
          <w:i/>
          <w:iCs/>
          <w:sz w:val="24"/>
          <w:szCs w:val="24"/>
        </w:rPr>
        <w:t>Najwyższa Izba Kontroli oceniła negatywnie wykonanie planu finansowego Funduszu Pomocy Pokrzywdzonym oraz Pomocy Postpenitencjarnej w 2017 r. z uwagi na fakt nieuprawnionego przekazania środków w kwocie 25,0 mln zł na ustawowe zadania Centralnego Biura Antykorupcyjnego związane z zapobieganiem i wykrywaniem przestępczości, podczas gdy jednostka ta, zgodnie z art. 4 ust. 1 ustawy z dnia 9 czerwca 2006 r. o Centralnym Biurze Antykorupcyjnym powinna być finansowana środkami pochodzącymi wyłącznie z budżetu państwa. Ponadto w Funduszu tym stwierdzono nierozliczenie dotacji w</w:t>
      </w:r>
      <w:r w:rsidR="00F41EAB">
        <w:rPr>
          <w:rFonts w:ascii="Tahoma" w:hAnsi="Tahoma" w:cs="Tahoma"/>
          <w:i/>
          <w:iCs/>
          <w:sz w:val="24"/>
          <w:szCs w:val="24"/>
        </w:rPr>
        <w:t> </w:t>
      </w:r>
      <w:r w:rsidRPr="00481599">
        <w:rPr>
          <w:rFonts w:ascii="Tahoma" w:hAnsi="Tahoma" w:cs="Tahoma"/>
          <w:i/>
          <w:iCs/>
          <w:sz w:val="24"/>
          <w:szCs w:val="24"/>
        </w:rPr>
        <w:t>kwocie 12,0 mln zł (stanowiącej 33% dotacji przekazanych organizacjom pozarządowym w 2017 r.) w wyznaczonych terminach.</w:t>
      </w:r>
      <w:r w:rsidRPr="00481599">
        <w:rPr>
          <w:rFonts w:ascii="Tahoma" w:hAnsi="Tahoma" w:cs="Tahoma"/>
          <w:sz w:val="24"/>
          <w:szCs w:val="24"/>
        </w:rPr>
        <w:t>”</w:t>
      </w:r>
      <w:r w:rsidRPr="00481599">
        <w:rPr>
          <w:rFonts w:ascii="Tahoma" w:hAnsi="Tahoma" w:cs="Tahoma"/>
          <w:sz w:val="24"/>
          <w:szCs w:val="24"/>
          <w:vertAlign w:val="superscript"/>
        </w:rPr>
        <w:footnoteReference w:id="8"/>
      </w:r>
      <w:r w:rsidRPr="00481599">
        <w:rPr>
          <w:rFonts w:ascii="Tahoma" w:hAnsi="Tahoma" w:cs="Tahoma"/>
          <w:sz w:val="24"/>
          <w:szCs w:val="24"/>
        </w:rPr>
        <w:t xml:space="preserve">  </w:t>
      </w:r>
    </w:p>
    <w:p w14:paraId="2B709E60" w14:textId="3441BE25" w:rsidR="00481599" w:rsidRPr="00481599" w:rsidRDefault="00481599" w:rsidP="00BC25F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81599">
        <w:rPr>
          <w:rFonts w:ascii="Tahoma" w:hAnsi="Tahoma" w:cs="Tahoma"/>
          <w:sz w:val="24"/>
          <w:szCs w:val="24"/>
        </w:rPr>
        <w:t xml:space="preserve">Zgodnie z informacjami ujawnianymi przez media na temat oprogramowania Pegasus uznać można je za narzędzie inwigilacji totalnej, wyspecjalizowaną formę cyberbroni, pomocną w zwalczaniu zbrodni o najcięższym charakterze gatunkowym, przypadków pedofilii czy przestępstw terrorystycznych i narkotykowych. Żadne państwo nie może i nie powinno używać tego typu cyberbroni do walki z opozycją demokratyczną, obywatelami lub urzędnikami w celu zbierania kompromatów na ich temat, fałszowania ich oraz publikowania za pomocą dziennikarzy przychylnych rządowi w mediach (zwłaszcza w mediach publicznych). Szczególnie skandaliczne jest wykorzystanie izraelskiej cyberbroni wobec szefa sztabu wyborczego Koalicyjnego Komitetu Wyborczego Koalicja Obywatelska – PO, .N, IPL, ZIELONI. Najprawdopodobniej w taki sposób pozyskano prywatną korespondencję Krzysztofa Brejzy, później ją spreparowano i sfałszowano przez bliżej nieokreślone osoby, przypuszczalnie przez służby specjalne oraz pracowników lub współpracowników Telewizji Polskiej S.A. m.in. w ten sposób, że: </w:t>
      </w:r>
    </w:p>
    <w:p w14:paraId="1A78863E" w14:textId="7F219297" w:rsidR="00481599" w:rsidRPr="00481599" w:rsidRDefault="00BC25F4" w:rsidP="00BC25F4">
      <w:pPr>
        <w:spacing w:line="360" w:lineRule="auto"/>
        <w:ind w:left="1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481599" w:rsidRPr="00481599">
        <w:rPr>
          <w:rFonts w:ascii="Tahoma" w:hAnsi="Tahoma" w:cs="Tahoma"/>
          <w:sz w:val="24"/>
          <w:szCs w:val="24"/>
        </w:rPr>
        <w:t xml:space="preserve">z kilkunastu wiadomości SMS wysyłanych do różnych osób i w różnym czasie utworzono jedną, dopisując na końcu dodatkową treść i nazywając tak stworzony </w:t>
      </w:r>
      <w:r w:rsidR="00481599" w:rsidRPr="00481599">
        <w:rPr>
          <w:rFonts w:ascii="Tahoma" w:hAnsi="Tahoma" w:cs="Tahoma"/>
          <w:sz w:val="24"/>
          <w:szCs w:val="24"/>
        </w:rPr>
        <w:lastRenderedPageBreak/>
        <w:t>„materiał” mianem „maila”, pomijając przy tym istotne treści, co zmieniało znaczenie i</w:t>
      </w:r>
      <w:r w:rsidR="00F41EAB">
        <w:rPr>
          <w:rFonts w:ascii="Tahoma" w:hAnsi="Tahoma" w:cs="Tahoma"/>
          <w:sz w:val="24"/>
          <w:szCs w:val="24"/>
        </w:rPr>
        <w:t> </w:t>
      </w:r>
      <w:r w:rsidR="00481599" w:rsidRPr="00481599">
        <w:rPr>
          <w:rFonts w:ascii="Tahoma" w:hAnsi="Tahoma" w:cs="Tahoma"/>
          <w:sz w:val="24"/>
          <w:szCs w:val="24"/>
        </w:rPr>
        <w:t xml:space="preserve">odbiór korespondencji sugerując, iż Krzysztof Brejza podejmuje działania niezgodne z prawem albo przynajmniej nieetyczne;  </w:t>
      </w:r>
    </w:p>
    <w:p w14:paraId="1CC2C94C" w14:textId="6ADADB61" w:rsidR="00481599" w:rsidRPr="00481599" w:rsidRDefault="00BC25F4" w:rsidP="00BC25F4">
      <w:pPr>
        <w:spacing w:line="360" w:lineRule="auto"/>
        <w:ind w:left="1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481599" w:rsidRPr="00481599">
        <w:rPr>
          <w:rFonts w:ascii="Tahoma" w:hAnsi="Tahoma" w:cs="Tahoma"/>
          <w:sz w:val="24"/>
          <w:szCs w:val="24"/>
        </w:rPr>
        <w:t xml:space="preserve">autorstwo części wiadomości SMS zostało przypisane senatorowi Krzysztofowi Brejzie, chociaż to nie on był ich rzeczywistym nadawcą.  </w:t>
      </w:r>
    </w:p>
    <w:p w14:paraId="77B13B1A" w14:textId="48B93562" w:rsidR="00481599" w:rsidRPr="00481599" w:rsidRDefault="00481599" w:rsidP="00BC25F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81599">
        <w:rPr>
          <w:rFonts w:ascii="Tahoma" w:hAnsi="Tahoma" w:cs="Tahoma"/>
          <w:sz w:val="24"/>
          <w:szCs w:val="24"/>
        </w:rPr>
        <w:t>Warto podkreślić, że w sprawie możliwości stosowania czynności operacyjno-rozpoznawczych (również w zakresie korzystania z systemu inwigilacji totalnej) właściwych działań nie podejmują służby państwa, w szczególności prokuratura. Wyżej wskazane osoby pokrzywdzone, wobec których używano cyberbroni, powiadomiły organy ścigania o możliwości popełnienia przestępstwa bezprawnego uzyskania informacji stypizowanego w art. 267 k.k. Zgodnie z jego brzmieniem kto bez uprawnienia uzyskuje dostęp do informacji dla niego nieprzeznaczonej, otwierając zamknięte pismo, podłączając się do sieci telekomunikacyjnej lub przełamując albo</w:t>
      </w:r>
      <w:r w:rsidR="00CB364E">
        <w:rPr>
          <w:rFonts w:ascii="Tahoma" w:hAnsi="Tahoma" w:cs="Tahoma"/>
          <w:sz w:val="24"/>
          <w:szCs w:val="24"/>
        </w:rPr>
        <w:t> </w:t>
      </w:r>
      <w:r w:rsidRPr="00481599">
        <w:rPr>
          <w:rFonts w:ascii="Tahoma" w:hAnsi="Tahoma" w:cs="Tahoma"/>
          <w:sz w:val="24"/>
          <w:szCs w:val="24"/>
        </w:rPr>
        <w:t>omijając elektroniczne, magnetyczne, informatyczne lub inne szczególne jej</w:t>
      </w:r>
      <w:r w:rsidR="00CB364E">
        <w:rPr>
          <w:rFonts w:ascii="Tahoma" w:hAnsi="Tahoma" w:cs="Tahoma"/>
          <w:sz w:val="24"/>
          <w:szCs w:val="24"/>
        </w:rPr>
        <w:t> </w:t>
      </w:r>
      <w:r w:rsidRPr="00481599">
        <w:rPr>
          <w:rFonts w:ascii="Tahoma" w:hAnsi="Tahoma" w:cs="Tahoma"/>
          <w:sz w:val="24"/>
          <w:szCs w:val="24"/>
        </w:rPr>
        <w:t xml:space="preserve">zabezpieczenie, podlega grzywnie, karze ograniczenia wolności albo pozbawienia wolności do lat 2. Prokuratura w opisywanych sprawach działa opieszale, przekazując postepowania z jednej jednostki organizacyjnej do innej lub nie podejmując stosownych czynności zmierzających do wykrycia i postawienia w stan oskarżenia sprawców w/w przestępstwa.  </w:t>
      </w:r>
    </w:p>
    <w:p w14:paraId="49E916E2" w14:textId="5219A452" w:rsidR="00481599" w:rsidRPr="00481599" w:rsidRDefault="00481599" w:rsidP="00BC25F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81599">
        <w:rPr>
          <w:rFonts w:ascii="Tahoma" w:hAnsi="Tahoma" w:cs="Tahoma"/>
          <w:sz w:val="24"/>
          <w:szCs w:val="24"/>
        </w:rPr>
        <w:t>Dokładna skala działania i wykorzystania czynności operacyjno-rozpoznawczych do inwigilacji nie jest znana. Obecnie najważniejsze osoby w Państwie nie komentują sprawy lub udzielają wymijających odpowiedzi na ten temat, a z dostępnych publicznie informacji wynika, że system Pegasus mógł być wykorzystywany na masową skalę, podobną do</w:t>
      </w:r>
      <w:r w:rsidR="004844E5">
        <w:rPr>
          <w:rFonts w:ascii="Tahoma" w:hAnsi="Tahoma" w:cs="Tahoma"/>
          <w:sz w:val="24"/>
          <w:szCs w:val="24"/>
        </w:rPr>
        <w:t xml:space="preserve"> występującej w</w:t>
      </w:r>
      <w:r w:rsidRPr="00481599">
        <w:rPr>
          <w:rFonts w:ascii="Tahoma" w:hAnsi="Tahoma" w:cs="Tahoma"/>
          <w:sz w:val="24"/>
          <w:szCs w:val="24"/>
        </w:rPr>
        <w:t xml:space="preserve"> państw</w:t>
      </w:r>
      <w:r w:rsidR="004844E5">
        <w:rPr>
          <w:rFonts w:ascii="Tahoma" w:hAnsi="Tahoma" w:cs="Tahoma"/>
          <w:sz w:val="24"/>
          <w:szCs w:val="24"/>
        </w:rPr>
        <w:t>ach</w:t>
      </w:r>
      <w:r w:rsidRPr="00481599">
        <w:rPr>
          <w:rFonts w:ascii="Tahoma" w:hAnsi="Tahoma" w:cs="Tahoma"/>
          <w:sz w:val="24"/>
          <w:szCs w:val="24"/>
        </w:rPr>
        <w:t xml:space="preserve"> autorytarnych. Rząd Izraela wykreślił Polskę z</w:t>
      </w:r>
      <w:r w:rsidR="004844E5">
        <w:rPr>
          <w:rFonts w:ascii="Tahoma" w:hAnsi="Tahoma" w:cs="Tahoma"/>
          <w:sz w:val="24"/>
          <w:szCs w:val="24"/>
        </w:rPr>
        <w:t> </w:t>
      </w:r>
      <w:r w:rsidRPr="00481599">
        <w:rPr>
          <w:rFonts w:ascii="Tahoma" w:hAnsi="Tahoma" w:cs="Tahoma"/>
          <w:sz w:val="24"/>
          <w:szCs w:val="24"/>
        </w:rPr>
        <w:t>listy państw, którym izraelskie firmy mogą sprzedawać broń przeznaczoną do użycia w cyberprzestrzeni. Dziennikarze informują, że system nie jest udostępniany państwom, w których funkcjonują autokratyczne reżimy, gdyż wykorzystywany jest niezgodnie z przeznaczeniem, naruszając podstawowe wolności i prawa człowieka.</w:t>
      </w:r>
      <w:r w:rsidRPr="00481599">
        <w:rPr>
          <w:rFonts w:ascii="Tahoma" w:hAnsi="Tahoma" w:cs="Tahoma"/>
          <w:sz w:val="24"/>
          <w:szCs w:val="24"/>
          <w:vertAlign w:val="superscript"/>
        </w:rPr>
        <w:footnoteReference w:id="9"/>
      </w:r>
      <w:r w:rsidRPr="00481599">
        <w:rPr>
          <w:rFonts w:ascii="Tahoma" w:hAnsi="Tahoma" w:cs="Tahoma"/>
          <w:sz w:val="24"/>
          <w:szCs w:val="24"/>
        </w:rPr>
        <w:t xml:space="preserve"> Tym samym rodzi się uzasadnione pytanie kto i w jakim zakresie, poza polskimi </w:t>
      </w:r>
      <w:r w:rsidRPr="00481599">
        <w:rPr>
          <w:rFonts w:ascii="Tahoma" w:hAnsi="Tahoma" w:cs="Tahoma"/>
          <w:sz w:val="24"/>
          <w:szCs w:val="24"/>
        </w:rPr>
        <w:lastRenderedPageBreak/>
        <w:t>służbami specjalnymi, politykami większości rządzącej, prokuraturą oraz pracownikami lub współpracownikami Telewizji Polskiej S.A. mógł mieć dostęp do informacji zdobytych poprzez cyberbroń służącą do inwigilacji totalnej. Komisja Śledcza powinna w szczególności ustalić zakres w jakim przedstawiciele NSO Group lub rządu Izraela mogli zapoznawać się ze zgromadzonymi materiałami, a także czy zgromadzone materiały były zapisywane w tzw. chmurze gromadzącej zebrane dane, dostępnej dla przedstawicieli NSO Group. Fakt wykreślenia Polski z listy państw, którym udostępniana jest cyberbroń wskazuje, że w/w osoby mogły mieć przynajmniej wiedzę o stosowaniu Pegasusa przez polskie służby specjalne i prokuraturę z naruszeniem podstawowych norm i wzorców postępowania wyznaczonych przez prawa i wolności człowieka. Wobec powyższego</w:t>
      </w:r>
      <w:r w:rsidR="004844E5">
        <w:rPr>
          <w:rFonts w:ascii="Tahoma" w:hAnsi="Tahoma" w:cs="Tahoma"/>
          <w:sz w:val="24"/>
          <w:szCs w:val="24"/>
        </w:rPr>
        <w:t>,</w:t>
      </w:r>
      <w:r w:rsidRPr="00481599">
        <w:rPr>
          <w:rFonts w:ascii="Tahoma" w:hAnsi="Tahoma" w:cs="Tahoma"/>
          <w:sz w:val="24"/>
          <w:szCs w:val="24"/>
        </w:rPr>
        <w:t xml:space="preserve"> osoby odpowiedzialne za zakup lub wykorzystywanie oprogramowania Pegasus dopuściły lub mogły dopuścić do nielegalnego ujawnienia danych na temat zainteresowań polskich służb specjalnych obcym wywiadom.</w:t>
      </w:r>
    </w:p>
    <w:p w14:paraId="0E1FABFA" w14:textId="1CCD72BF" w:rsidR="00481599" w:rsidRPr="00481599" w:rsidRDefault="00481599" w:rsidP="00BC25F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81599">
        <w:rPr>
          <w:rFonts w:ascii="Tahoma" w:hAnsi="Tahoma" w:cs="Tahoma"/>
          <w:sz w:val="24"/>
          <w:szCs w:val="24"/>
        </w:rPr>
        <w:t>Należy wskazać, że Komisja śledcza Parlamentu Europejskiego, która badała przypadki inwigilacji Pegasusem m.in. w Polsce,  opublikowała wstępny raport, zgodnie z którym stwierdzono, że oprogramowanie szpiegujące stanowi integralny element całego systemu zaprojektowanego w celu kontroli, a wręcz opresji obywateli krytykujących rząd. Raport jednoznacznie potępia nadużycia, do których doszło  w</w:t>
      </w:r>
      <w:r w:rsidR="00691BDF">
        <w:rPr>
          <w:rFonts w:ascii="Tahoma" w:hAnsi="Tahoma" w:cs="Tahoma"/>
          <w:sz w:val="24"/>
          <w:szCs w:val="24"/>
        </w:rPr>
        <w:t> </w:t>
      </w:r>
      <w:r w:rsidRPr="00481599">
        <w:rPr>
          <w:rFonts w:ascii="Tahoma" w:hAnsi="Tahoma" w:cs="Tahoma"/>
          <w:sz w:val="24"/>
          <w:szCs w:val="24"/>
        </w:rPr>
        <w:t>Polsce poprzez wykorzystywanie tego oprogramowania.</w:t>
      </w:r>
      <w:r w:rsidRPr="00481599">
        <w:rPr>
          <w:rFonts w:ascii="Tahoma" w:hAnsi="Tahoma" w:cs="Tahoma"/>
          <w:sz w:val="24"/>
          <w:szCs w:val="24"/>
          <w:vertAlign w:val="superscript"/>
        </w:rPr>
        <w:footnoteReference w:id="10"/>
      </w:r>
      <w:r w:rsidRPr="00481599">
        <w:rPr>
          <w:rFonts w:ascii="Tahoma" w:hAnsi="Tahoma" w:cs="Tahoma"/>
          <w:sz w:val="24"/>
          <w:szCs w:val="24"/>
        </w:rPr>
        <w:t xml:space="preserve"> </w:t>
      </w:r>
    </w:p>
    <w:p w14:paraId="7015616C" w14:textId="7755CF66" w:rsidR="00481599" w:rsidRPr="00481599" w:rsidRDefault="00481599" w:rsidP="00BC25F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81599">
        <w:rPr>
          <w:rFonts w:ascii="Tahoma" w:hAnsi="Tahoma" w:cs="Tahoma"/>
          <w:sz w:val="24"/>
          <w:szCs w:val="24"/>
        </w:rPr>
        <w:t>Jednocześnie w sprawie brak jest adekwatnych działań polskich służb specjalnych oraz prokuratury. Pomimo tego, że istniała w państwie grupa osób, która zorganizowała proceder podsłuchiwania obywateli, w tym osób pełniących funkcje publiczne, a także publikowania tak zdobytych materiałów w środkach masowego przekazu, zazwyczaj bez kierowania sprawy na drogę postępowania sądowego, nie podjęto odpowiednich czynności procesowych zmierzających do kompleksowego wyjaśnienia tzw. „</w:t>
      </w:r>
      <w:r w:rsidRPr="00481599">
        <w:rPr>
          <w:rFonts w:ascii="Tahoma" w:hAnsi="Tahoma" w:cs="Tahoma"/>
          <w:i/>
          <w:iCs/>
          <w:sz w:val="24"/>
          <w:szCs w:val="24"/>
        </w:rPr>
        <w:t>Afery Pegasusa”</w:t>
      </w:r>
      <w:r w:rsidRPr="00481599">
        <w:rPr>
          <w:rFonts w:ascii="Tahoma" w:hAnsi="Tahoma" w:cs="Tahoma"/>
          <w:sz w:val="24"/>
          <w:szCs w:val="24"/>
        </w:rPr>
        <w:t>. Biorąc pod uwagę jej skalę oraz fakt, że</w:t>
      </w:r>
      <w:r w:rsidR="00691BDF">
        <w:rPr>
          <w:rFonts w:ascii="Tahoma" w:hAnsi="Tahoma" w:cs="Tahoma"/>
          <w:sz w:val="24"/>
          <w:szCs w:val="24"/>
        </w:rPr>
        <w:t> </w:t>
      </w:r>
      <w:r w:rsidRPr="00481599">
        <w:rPr>
          <w:rFonts w:ascii="Tahoma" w:hAnsi="Tahoma" w:cs="Tahoma"/>
          <w:sz w:val="24"/>
          <w:szCs w:val="24"/>
        </w:rPr>
        <w:t xml:space="preserve">funkcjonowaniem tego procederu zainteresowały się organy i instytucje (w tym międzynarodowe) odpowiedzialne za ochronę praw człowieka, powołanie Komisji Śledczej uznać należy za w pełni uzasadnione. Osoby, które wskutek niezależnych </w:t>
      </w:r>
      <w:r w:rsidRPr="00481599">
        <w:rPr>
          <w:rFonts w:ascii="Tahoma" w:hAnsi="Tahoma" w:cs="Tahoma"/>
          <w:sz w:val="24"/>
          <w:szCs w:val="24"/>
        </w:rPr>
        <w:lastRenderedPageBreak/>
        <w:t>czynności organizacji pozarządowych i naukowych dowiedziały się o stosowaniu wobec nich cyberbroni, musiały samodzielnie bronić swojego dobrego imienia przy jednoczesnym zaangażowaniu znacznych sił i środków po stronie władzy państwowej wymierzonych w tę obronę. Wskazać należy, że w każdym z wymienionych powyżej przypadków, istnieją liczne publikacje wskazujące na bezpośrednie lub pośrednie zaangażowanie członków Rady Ministrów lub szefów służb specjalnych i podległych im funkcjonariuszy w poszczególne czynności związane z prowadzonymi postępowaniami, które po ich ujawnieniu budzą poważne wątpliwości, co do ich legalności. Tym samym istnieją uzasadnione wątpliwości i prawdopodobieństwo, że osoby odpowiedzialne za</w:t>
      </w:r>
      <w:r w:rsidR="00CB364E">
        <w:rPr>
          <w:rFonts w:ascii="Tahoma" w:hAnsi="Tahoma" w:cs="Tahoma"/>
          <w:sz w:val="24"/>
          <w:szCs w:val="24"/>
        </w:rPr>
        <w:t> </w:t>
      </w:r>
      <w:r w:rsidRPr="00481599">
        <w:rPr>
          <w:rFonts w:ascii="Tahoma" w:hAnsi="Tahoma" w:cs="Tahoma"/>
          <w:sz w:val="24"/>
          <w:szCs w:val="24"/>
        </w:rPr>
        <w:t>funkcjonowanie systemu inwigilacji jednocześnie tuszowały lub próbowały tuszować całą aferę. Podkreślenia wymaga, że właściwe organy państwa, odpowiedzialne za</w:t>
      </w:r>
      <w:r w:rsidR="00CB364E">
        <w:rPr>
          <w:rFonts w:ascii="Tahoma" w:hAnsi="Tahoma" w:cs="Tahoma"/>
          <w:sz w:val="24"/>
          <w:szCs w:val="24"/>
        </w:rPr>
        <w:t> </w:t>
      </w:r>
      <w:r w:rsidRPr="00481599">
        <w:rPr>
          <w:rFonts w:ascii="Tahoma" w:hAnsi="Tahoma" w:cs="Tahoma"/>
          <w:sz w:val="24"/>
          <w:szCs w:val="24"/>
        </w:rPr>
        <w:t xml:space="preserve">rozpatrzenie tego typu spraw, nie wywiązały się należycie ze swoich obowiązków. Zatem istnieją w sprawie uzasadnione podstawy do jej wyjaśnienia przez sejmową komisję śledczą. </w:t>
      </w:r>
    </w:p>
    <w:p w14:paraId="7F4750A2" w14:textId="77777777" w:rsidR="00481599" w:rsidRPr="00481599" w:rsidRDefault="00481599" w:rsidP="00BC25F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81599">
        <w:rPr>
          <w:rFonts w:ascii="Tahoma" w:hAnsi="Tahoma" w:cs="Tahoma"/>
          <w:sz w:val="24"/>
          <w:szCs w:val="24"/>
        </w:rPr>
        <w:t xml:space="preserve">Z tego też powodu niezbędne jest zbadanie przez Komisję Śledczą okresu lat 2015 – 2023 wskazanego w treści Uchwały, aby wyjaśnić w jakim zakresie oraz wobec kogo używano czynności operacyjno-rozpoznawczych, a także w jaki sposób wykorzystano tak zdobyte materiały oraz kto i w jakim celu mógł się z nimi zapoznać. </w:t>
      </w:r>
    </w:p>
    <w:p w14:paraId="6DED6656" w14:textId="77777777" w:rsidR="00481599" w:rsidRPr="00481599" w:rsidRDefault="00481599" w:rsidP="00BC25F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81599">
        <w:rPr>
          <w:rFonts w:ascii="Tahoma" w:hAnsi="Tahoma" w:cs="Tahoma"/>
          <w:sz w:val="24"/>
          <w:szCs w:val="24"/>
        </w:rPr>
        <w:t>Wskutek bierności organów i instytucji publicznych w zakresie opisanych powyżej uchybień i nieprawidłowości niezbędne jest powołanie Komisji Śledczej.</w:t>
      </w:r>
    </w:p>
    <w:p w14:paraId="7542DD97" w14:textId="77777777" w:rsidR="00400B90" w:rsidRPr="00481599" w:rsidRDefault="00400B90" w:rsidP="0048159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sectPr w:rsidR="00400B90" w:rsidRPr="00481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32310" w14:textId="77777777" w:rsidR="00803DD2" w:rsidRDefault="00803DD2" w:rsidP="00481599">
      <w:pPr>
        <w:spacing w:after="0" w:line="240" w:lineRule="auto"/>
      </w:pPr>
      <w:r>
        <w:separator/>
      </w:r>
    </w:p>
  </w:endnote>
  <w:endnote w:type="continuationSeparator" w:id="0">
    <w:p w14:paraId="243FAA85" w14:textId="77777777" w:rsidR="00803DD2" w:rsidRDefault="00803DD2" w:rsidP="0048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B5E39" w14:textId="77777777" w:rsidR="00803DD2" w:rsidRDefault="00803DD2" w:rsidP="00481599">
      <w:pPr>
        <w:spacing w:after="0" w:line="240" w:lineRule="auto"/>
      </w:pPr>
      <w:r>
        <w:separator/>
      </w:r>
    </w:p>
  </w:footnote>
  <w:footnote w:type="continuationSeparator" w:id="0">
    <w:p w14:paraId="5546B9C4" w14:textId="77777777" w:rsidR="00803DD2" w:rsidRDefault="00803DD2" w:rsidP="00481599">
      <w:pPr>
        <w:spacing w:after="0" w:line="240" w:lineRule="auto"/>
      </w:pPr>
      <w:r>
        <w:continuationSeparator/>
      </w:r>
    </w:p>
  </w:footnote>
  <w:footnote w:id="1">
    <w:p w14:paraId="477BEB73" w14:textId="06C84D69" w:rsidR="00481599" w:rsidRPr="00481599" w:rsidRDefault="00481599" w:rsidP="00481599">
      <w:pPr>
        <w:contextualSpacing/>
        <w:jc w:val="both"/>
        <w:rPr>
          <w:rFonts w:ascii="Tahoma" w:hAnsi="Tahoma" w:cs="Tahoma"/>
          <w:sz w:val="16"/>
          <w:szCs w:val="16"/>
        </w:rPr>
      </w:pPr>
      <w:r w:rsidRPr="00481599">
        <w:rPr>
          <w:rFonts w:ascii="Tahoma" w:hAnsi="Tahoma" w:cs="Tahoma"/>
          <w:sz w:val="16"/>
          <w:szCs w:val="16"/>
        </w:rPr>
        <w:footnoteRef/>
      </w:r>
      <w:r w:rsidRPr="00481599">
        <w:rPr>
          <w:rFonts w:ascii="Tahoma" w:hAnsi="Tahoma" w:cs="Tahoma"/>
          <w:sz w:val="16"/>
          <w:szCs w:val="16"/>
        </w:rPr>
        <w:t xml:space="preserve"> Informacja Ministra Sprawiedliwości na temat przetwarzania danych telekomunikacyjnych, pocztowych i internetowych oraz</w:t>
      </w:r>
      <w:r w:rsidR="00F41EAB">
        <w:rPr>
          <w:rFonts w:ascii="Tahoma" w:hAnsi="Tahoma" w:cs="Tahoma"/>
          <w:sz w:val="16"/>
          <w:szCs w:val="16"/>
        </w:rPr>
        <w:t> </w:t>
      </w:r>
      <w:r w:rsidRPr="00481599">
        <w:rPr>
          <w:rFonts w:ascii="Tahoma" w:hAnsi="Tahoma" w:cs="Tahoma"/>
          <w:sz w:val="16"/>
          <w:szCs w:val="16"/>
        </w:rPr>
        <w:t xml:space="preserve">wyników przeprowadzonych kontroli w 2022 roku (druk senacki nr 1073) </w:t>
      </w:r>
    </w:p>
  </w:footnote>
  <w:footnote w:id="2">
    <w:p w14:paraId="78047E81" w14:textId="5324B80A" w:rsidR="00481599" w:rsidRPr="00481599" w:rsidRDefault="00481599" w:rsidP="00481599">
      <w:pPr>
        <w:contextualSpacing/>
        <w:jc w:val="both"/>
        <w:rPr>
          <w:rFonts w:ascii="Tahoma" w:hAnsi="Tahoma" w:cs="Tahoma"/>
          <w:sz w:val="16"/>
          <w:szCs w:val="16"/>
        </w:rPr>
      </w:pPr>
      <w:r w:rsidRPr="00481599">
        <w:rPr>
          <w:rFonts w:ascii="Tahoma" w:hAnsi="Tahoma" w:cs="Tahoma"/>
          <w:sz w:val="16"/>
          <w:szCs w:val="16"/>
        </w:rPr>
        <w:footnoteRef/>
      </w:r>
      <w:r w:rsidRPr="00481599">
        <w:rPr>
          <w:rFonts w:ascii="Tahoma" w:hAnsi="Tahoma" w:cs="Tahoma"/>
          <w:sz w:val="16"/>
          <w:szCs w:val="16"/>
        </w:rPr>
        <w:t xml:space="preserve"> Informacja Ministra Sprawiedliwości na temat przetwarzania danych telekomunikacyjnych, pocztowych i internetowych oraz</w:t>
      </w:r>
      <w:r w:rsidR="00F41EAB">
        <w:rPr>
          <w:rFonts w:ascii="Tahoma" w:hAnsi="Tahoma" w:cs="Tahoma"/>
          <w:sz w:val="16"/>
          <w:szCs w:val="16"/>
        </w:rPr>
        <w:t> </w:t>
      </w:r>
      <w:r w:rsidRPr="00481599">
        <w:rPr>
          <w:rFonts w:ascii="Tahoma" w:hAnsi="Tahoma" w:cs="Tahoma"/>
          <w:sz w:val="16"/>
          <w:szCs w:val="16"/>
        </w:rPr>
        <w:t xml:space="preserve">wyników przeprowadzonych kontroli w 2021 roku (druk senacki 769) </w:t>
      </w:r>
    </w:p>
  </w:footnote>
  <w:footnote w:id="3">
    <w:p w14:paraId="5F7611FF" w14:textId="3B0CCE14" w:rsidR="00481599" w:rsidRPr="00481599" w:rsidRDefault="00481599" w:rsidP="00481599">
      <w:pPr>
        <w:spacing w:line="252" w:lineRule="auto"/>
        <w:contextualSpacing/>
        <w:jc w:val="both"/>
        <w:rPr>
          <w:rFonts w:ascii="Tahoma" w:hAnsi="Tahoma" w:cs="Tahoma"/>
          <w:sz w:val="16"/>
          <w:szCs w:val="16"/>
        </w:rPr>
      </w:pPr>
      <w:r w:rsidRPr="00481599">
        <w:rPr>
          <w:rFonts w:ascii="Tahoma" w:hAnsi="Tahoma" w:cs="Tahoma"/>
          <w:sz w:val="16"/>
          <w:szCs w:val="16"/>
        </w:rPr>
        <w:footnoteRef/>
      </w:r>
      <w:r w:rsidRPr="00481599">
        <w:rPr>
          <w:rFonts w:ascii="Tahoma" w:hAnsi="Tahoma" w:cs="Tahoma"/>
          <w:sz w:val="16"/>
          <w:szCs w:val="16"/>
        </w:rPr>
        <w:t xml:space="preserve"> Jawna roczna informacja Prokuratora Generalnego o łącznej liczbie osób, wobec których został skierowany wniosek o</w:t>
      </w:r>
      <w:r w:rsidR="00F41EAB">
        <w:rPr>
          <w:rFonts w:ascii="Tahoma" w:hAnsi="Tahoma" w:cs="Tahoma"/>
          <w:sz w:val="16"/>
          <w:szCs w:val="16"/>
        </w:rPr>
        <w:t> </w:t>
      </w:r>
      <w:r w:rsidRPr="00481599">
        <w:rPr>
          <w:rFonts w:ascii="Tahoma" w:hAnsi="Tahoma" w:cs="Tahoma"/>
          <w:sz w:val="16"/>
          <w:szCs w:val="16"/>
        </w:rPr>
        <w:t xml:space="preserve">zarządzenie kontroli i utrwalania rozmów lub wniosek o zarządzenie kontroli operacyjnej (druk senacki nr 1004) </w:t>
      </w:r>
    </w:p>
  </w:footnote>
  <w:footnote w:id="4">
    <w:p w14:paraId="4F9D5CA5" w14:textId="4E1825E0" w:rsidR="00481599" w:rsidRPr="00481599" w:rsidRDefault="00481599" w:rsidP="00481599">
      <w:pPr>
        <w:spacing w:line="252" w:lineRule="auto"/>
        <w:contextualSpacing/>
        <w:jc w:val="both"/>
        <w:rPr>
          <w:rFonts w:ascii="Tahoma" w:hAnsi="Tahoma" w:cs="Tahoma"/>
          <w:sz w:val="16"/>
          <w:szCs w:val="16"/>
        </w:rPr>
      </w:pPr>
      <w:r w:rsidRPr="00481599">
        <w:rPr>
          <w:rFonts w:ascii="Tahoma" w:hAnsi="Tahoma" w:cs="Tahoma"/>
          <w:sz w:val="16"/>
          <w:szCs w:val="16"/>
        </w:rPr>
        <w:footnoteRef/>
      </w:r>
      <w:r w:rsidRPr="00481599">
        <w:rPr>
          <w:rFonts w:ascii="Tahoma" w:hAnsi="Tahoma" w:cs="Tahoma"/>
          <w:sz w:val="16"/>
          <w:szCs w:val="16"/>
        </w:rPr>
        <w:t xml:space="preserve"> Jawna roczna informacja Prokuratora Generalnego o łącznej liczbie osób, wobec których został skierowany wniosek o</w:t>
      </w:r>
      <w:r w:rsidR="00F41EAB">
        <w:rPr>
          <w:rFonts w:ascii="Tahoma" w:hAnsi="Tahoma" w:cs="Tahoma"/>
          <w:sz w:val="16"/>
          <w:szCs w:val="16"/>
        </w:rPr>
        <w:t> </w:t>
      </w:r>
      <w:r w:rsidRPr="00481599">
        <w:rPr>
          <w:rFonts w:ascii="Tahoma" w:hAnsi="Tahoma" w:cs="Tahoma"/>
          <w:sz w:val="16"/>
          <w:szCs w:val="16"/>
        </w:rPr>
        <w:t xml:space="preserve">zarządzenie kontroli i utrwalania rozmów lub wniosek o zarządzenie kontroli operacyjnej (druk senacki nr 731) </w:t>
      </w:r>
    </w:p>
  </w:footnote>
  <w:footnote w:id="5">
    <w:p w14:paraId="62F80D31" w14:textId="77777777" w:rsidR="00481599" w:rsidRPr="00BC25F4" w:rsidRDefault="00481599" w:rsidP="00BC25F4">
      <w:pPr>
        <w:spacing w:line="261" w:lineRule="auto"/>
        <w:jc w:val="both"/>
        <w:rPr>
          <w:rFonts w:ascii="Tahoma" w:hAnsi="Tahoma" w:cs="Tahoma"/>
          <w:sz w:val="16"/>
          <w:szCs w:val="16"/>
        </w:rPr>
      </w:pPr>
      <w:r w:rsidRPr="00BC25F4">
        <w:rPr>
          <w:rFonts w:ascii="Tahoma" w:hAnsi="Tahoma" w:cs="Tahoma"/>
          <w:sz w:val="16"/>
          <w:szCs w:val="16"/>
        </w:rPr>
        <w:footnoteRef/>
      </w:r>
      <w:r w:rsidRPr="00BC25F4">
        <w:rPr>
          <w:rFonts w:ascii="Tahoma" w:hAnsi="Tahoma" w:cs="Tahoma"/>
          <w:sz w:val="16"/>
          <w:szCs w:val="16"/>
        </w:rPr>
        <w:t xml:space="preserve"> Chociażby pismo Rzecznika Praw Obywatelskich Marcina Wiącka z dn. 13 stycznia 2022 r. skierowane do Prezesa Rady Ministrów, znak sprawy VII.501.306.2021.KZ.  </w:t>
      </w:r>
    </w:p>
  </w:footnote>
  <w:footnote w:id="6">
    <w:p w14:paraId="611EF62D" w14:textId="77777777" w:rsidR="00481599" w:rsidRPr="00F41EAB" w:rsidRDefault="00481599" w:rsidP="00481599">
      <w:pPr>
        <w:spacing w:line="256" w:lineRule="auto"/>
        <w:rPr>
          <w:rFonts w:ascii="Tahoma" w:hAnsi="Tahoma" w:cs="Tahoma"/>
          <w:sz w:val="16"/>
          <w:szCs w:val="16"/>
        </w:rPr>
      </w:pPr>
      <w:r w:rsidRPr="00F41EAB">
        <w:rPr>
          <w:rFonts w:ascii="Tahoma" w:hAnsi="Tahoma" w:cs="Tahoma"/>
          <w:sz w:val="16"/>
          <w:szCs w:val="16"/>
        </w:rPr>
        <w:footnoteRef/>
      </w:r>
      <w:r w:rsidRPr="00F41EAB">
        <w:rPr>
          <w:rFonts w:ascii="Tahoma" w:hAnsi="Tahoma" w:cs="Tahoma"/>
          <w:sz w:val="16"/>
          <w:szCs w:val="16"/>
        </w:rPr>
        <w:t xml:space="preserve"> Wyrok Trybunału Konstytucyjnego z dnia 30 lipca 2014 r., sygn. akt K 23/11 </w:t>
      </w:r>
    </w:p>
  </w:footnote>
  <w:footnote w:id="7">
    <w:p w14:paraId="7BD71355" w14:textId="77777777" w:rsidR="00481599" w:rsidRPr="00D941B5" w:rsidRDefault="00481599" w:rsidP="00481599">
      <w:pPr>
        <w:spacing w:line="242" w:lineRule="auto"/>
        <w:rPr>
          <w:rFonts w:ascii="Tahoma" w:hAnsi="Tahoma" w:cs="Tahoma"/>
          <w:sz w:val="16"/>
          <w:szCs w:val="16"/>
        </w:rPr>
      </w:pPr>
      <w:r w:rsidRPr="00D941B5">
        <w:rPr>
          <w:rFonts w:ascii="Tahoma" w:hAnsi="Tahoma" w:cs="Tahoma"/>
          <w:sz w:val="16"/>
          <w:szCs w:val="16"/>
        </w:rPr>
        <w:footnoteRef/>
      </w:r>
      <w:r w:rsidRPr="00D941B5">
        <w:rPr>
          <w:rFonts w:ascii="Tahoma" w:hAnsi="Tahoma" w:cs="Tahoma"/>
          <w:sz w:val="16"/>
          <w:szCs w:val="16"/>
        </w:rPr>
        <w:t xml:space="preserve"> https://www.rmf24.pl/fakty/polska/news-nieoficjalnie-6-tys-atakow-pegasusem-na-nik-500-urzadzenzai,nId,5813469#crp_state=1 </w:t>
      </w:r>
    </w:p>
  </w:footnote>
  <w:footnote w:id="8">
    <w:p w14:paraId="050D8ECE" w14:textId="491F6A66" w:rsidR="00481599" w:rsidRPr="00481599" w:rsidRDefault="00481599" w:rsidP="00BC25F4">
      <w:pPr>
        <w:spacing w:line="261" w:lineRule="auto"/>
        <w:jc w:val="both"/>
        <w:rPr>
          <w:rFonts w:ascii="Tahoma" w:hAnsi="Tahoma" w:cs="Tahoma"/>
          <w:sz w:val="16"/>
          <w:szCs w:val="16"/>
        </w:rPr>
      </w:pPr>
      <w:r w:rsidRPr="00481599">
        <w:rPr>
          <w:rFonts w:ascii="Tahoma" w:hAnsi="Tahoma" w:cs="Tahoma"/>
          <w:sz w:val="16"/>
          <w:szCs w:val="16"/>
        </w:rPr>
        <w:footnoteRef/>
      </w:r>
      <w:r w:rsidRPr="00481599">
        <w:rPr>
          <w:rFonts w:ascii="Tahoma" w:hAnsi="Tahoma" w:cs="Tahoma"/>
          <w:sz w:val="16"/>
          <w:szCs w:val="16"/>
        </w:rPr>
        <w:t xml:space="preserve"> Analiza wykonania budżetu państwa i założeń polityki pieniężnej w 2017 r., źródło: https://www.nik.gov.pl/plik/id,17136,vp,19696.pdf</w:t>
      </w:r>
    </w:p>
  </w:footnote>
  <w:footnote w:id="9">
    <w:p w14:paraId="742C301A" w14:textId="77777777" w:rsidR="00481599" w:rsidRPr="00BC25F4" w:rsidRDefault="00481599" w:rsidP="00481599">
      <w:pPr>
        <w:spacing w:line="256" w:lineRule="auto"/>
        <w:rPr>
          <w:rFonts w:ascii="Tahoma" w:hAnsi="Tahoma" w:cs="Tahoma"/>
          <w:sz w:val="16"/>
          <w:szCs w:val="16"/>
        </w:rPr>
      </w:pPr>
      <w:r w:rsidRPr="00BC25F4">
        <w:rPr>
          <w:rFonts w:ascii="Tahoma" w:hAnsi="Tahoma" w:cs="Tahoma"/>
          <w:sz w:val="16"/>
          <w:szCs w:val="16"/>
        </w:rPr>
        <w:footnoteRef/>
      </w:r>
      <w:r w:rsidRPr="00BC25F4">
        <w:rPr>
          <w:rFonts w:ascii="Tahoma" w:hAnsi="Tahoma" w:cs="Tahoma"/>
          <w:sz w:val="16"/>
          <w:szCs w:val="16"/>
        </w:rPr>
        <w:t xml:space="preserve"> https://www.prawo.pl/prawo/pegazus-izralel-nie-sprzeda-polsce,511996.html </w:t>
      </w:r>
    </w:p>
  </w:footnote>
  <w:footnote w:id="10">
    <w:p w14:paraId="5E3E4948" w14:textId="77777777" w:rsidR="00481599" w:rsidRPr="00BC25F4" w:rsidRDefault="00481599" w:rsidP="00481599">
      <w:pPr>
        <w:spacing w:line="242" w:lineRule="auto"/>
        <w:rPr>
          <w:rFonts w:ascii="Tahoma" w:hAnsi="Tahoma" w:cs="Tahoma"/>
          <w:sz w:val="16"/>
          <w:szCs w:val="16"/>
        </w:rPr>
      </w:pPr>
      <w:r w:rsidRPr="00BC25F4">
        <w:rPr>
          <w:rFonts w:ascii="Tahoma" w:hAnsi="Tahoma" w:cs="Tahoma"/>
          <w:sz w:val="16"/>
          <w:szCs w:val="16"/>
        </w:rPr>
        <w:footnoteRef/>
      </w:r>
      <w:r w:rsidRPr="00BC25F4">
        <w:rPr>
          <w:rFonts w:ascii="Tahoma" w:hAnsi="Tahoma" w:cs="Tahoma"/>
          <w:sz w:val="16"/>
          <w:szCs w:val="16"/>
        </w:rPr>
        <w:t xml:space="preserve"> https://tvn24.pl/swiat/inwigilacja-w-polsce-co-ustalila-komisja-parlamentu-europejskiego-ds-pegasusawstepny-raport-6207364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001F9"/>
    <w:multiLevelType w:val="hybridMultilevel"/>
    <w:tmpl w:val="9FECB6DC"/>
    <w:lvl w:ilvl="0" w:tplc="8F6EDCE6">
      <w:start w:val="1"/>
      <w:numFmt w:val="bullet"/>
      <w:lvlText w:val="-"/>
      <w:lvlJc w:val="left"/>
      <w:pPr>
        <w:ind w:left="1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5CEF4E">
      <w:start w:val="1"/>
      <w:numFmt w:val="bullet"/>
      <w:lvlText w:val="o"/>
      <w:lvlJc w:val="left"/>
      <w:pPr>
        <w:ind w:left="109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5382C58">
      <w:start w:val="1"/>
      <w:numFmt w:val="bullet"/>
      <w:lvlText w:val="▪"/>
      <w:lvlJc w:val="left"/>
      <w:pPr>
        <w:ind w:left="181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85E969E">
      <w:start w:val="1"/>
      <w:numFmt w:val="bullet"/>
      <w:lvlText w:val="•"/>
      <w:lvlJc w:val="left"/>
      <w:pPr>
        <w:ind w:left="253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08C3594">
      <w:start w:val="1"/>
      <w:numFmt w:val="bullet"/>
      <w:lvlText w:val="o"/>
      <w:lvlJc w:val="left"/>
      <w:pPr>
        <w:ind w:left="325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072C7E6">
      <w:start w:val="1"/>
      <w:numFmt w:val="bullet"/>
      <w:lvlText w:val="▪"/>
      <w:lvlJc w:val="left"/>
      <w:pPr>
        <w:ind w:left="397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E340492">
      <w:start w:val="1"/>
      <w:numFmt w:val="bullet"/>
      <w:lvlText w:val="•"/>
      <w:lvlJc w:val="left"/>
      <w:pPr>
        <w:ind w:left="469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8EE58C">
      <w:start w:val="1"/>
      <w:numFmt w:val="bullet"/>
      <w:lvlText w:val="o"/>
      <w:lvlJc w:val="left"/>
      <w:pPr>
        <w:ind w:left="541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7F298BE">
      <w:start w:val="1"/>
      <w:numFmt w:val="bullet"/>
      <w:lvlText w:val="▪"/>
      <w:lvlJc w:val="left"/>
      <w:pPr>
        <w:ind w:left="613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3A245A5"/>
    <w:multiLevelType w:val="hybridMultilevel"/>
    <w:tmpl w:val="26B6816E"/>
    <w:lvl w:ilvl="0" w:tplc="D31ED696">
      <w:start w:val="1"/>
      <w:numFmt w:val="decimal"/>
      <w:lvlText w:val="%1)"/>
      <w:lvlJc w:val="left"/>
      <w:pPr>
        <w:ind w:left="73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83C6AEC">
      <w:start w:val="1"/>
      <w:numFmt w:val="lowerLetter"/>
      <w:lvlText w:val="%2"/>
      <w:lvlJc w:val="left"/>
      <w:pPr>
        <w:ind w:left="1291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53E3638">
      <w:start w:val="1"/>
      <w:numFmt w:val="lowerRoman"/>
      <w:lvlText w:val="%3"/>
      <w:lvlJc w:val="left"/>
      <w:pPr>
        <w:ind w:left="2011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E22A4B2">
      <w:start w:val="1"/>
      <w:numFmt w:val="decimal"/>
      <w:lvlText w:val="%4"/>
      <w:lvlJc w:val="left"/>
      <w:pPr>
        <w:ind w:left="2731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9307EB4">
      <w:start w:val="1"/>
      <w:numFmt w:val="lowerLetter"/>
      <w:lvlText w:val="%5"/>
      <w:lvlJc w:val="left"/>
      <w:pPr>
        <w:ind w:left="3451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28F7A0">
      <w:start w:val="1"/>
      <w:numFmt w:val="lowerRoman"/>
      <w:lvlText w:val="%6"/>
      <w:lvlJc w:val="left"/>
      <w:pPr>
        <w:ind w:left="4171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AEEDE12">
      <w:start w:val="1"/>
      <w:numFmt w:val="decimal"/>
      <w:lvlText w:val="%7"/>
      <w:lvlJc w:val="left"/>
      <w:pPr>
        <w:ind w:left="4891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BF4EFDC">
      <w:start w:val="1"/>
      <w:numFmt w:val="lowerLetter"/>
      <w:lvlText w:val="%8"/>
      <w:lvlJc w:val="left"/>
      <w:pPr>
        <w:ind w:left="5611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D1017CC">
      <w:start w:val="1"/>
      <w:numFmt w:val="lowerRoman"/>
      <w:lvlText w:val="%9"/>
      <w:lvlJc w:val="left"/>
      <w:pPr>
        <w:ind w:left="6331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8DB3F09"/>
    <w:multiLevelType w:val="hybridMultilevel"/>
    <w:tmpl w:val="DA00D57A"/>
    <w:lvl w:ilvl="0" w:tplc="22CEAB5A">
      <w:start w:val="1"/>
      <w:numFmt w:val="bullet"/>
      <w:lvlText w:val="-"/>
      <w:lvlJc w:val="left"/>
      <w:pPr>
        <w:ind w:left="1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514A6E6">
      <w:start w:val="1"/>
      <w:numFmt w:val="bullet"/>
      <w:lvlText w:val="o"/>
      <w:lvlJc w:val="left"/>
      <w:pPr>
        <w:ind w:left="109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DF0734E">
      <w:start w:val="1"/>
      <w:numFmt w:val="bullet"/>
      <w:lvlText w:val="▪"/>
      <w:lvlJc w:val="left"/>
      <w:pPr>
        <w:ind w:left="181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622F872">
      <w:start w:val="1"/>
      <w:numFmt w:val="bullet"/>
      <w:lvlText w:val="•"/>
      <w:lvlJc w:val="left"/>
      <w:pPr>
        <w:ind w:left="253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7E27174">
      <w:start w:val="1"/>
      <w:numFmt w:val="bullet"/>
      <w:lvlText w:val="o"/>
      <w:lvlJc w:val="left"/>
      <w:pPr>
        <w:ind w:left="325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3075E6">
      <w:start w:val="1"/>
      <w:numFmt w:val="bullet"/>
      <w:lvlText w:val="▪"/>
      <w:lvlJc w:val="left"/>
      <w:pPr>
        <w:ind w:left="397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9E62060">
      <w:start w:val="1"/>
      <w:numFmt w:val="bullet"/>
      <w:lvlText w:val="•"/>
      <w:lvlJc w:val="left"/>
      <w:pPr>
        <w:ind w:left="469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A4E6630">
      <w:start w:val="1"/>
      <w:numFmt w:val="bullet"/>
      <w:lvlText w:val="o"/>
      <w:lvlJc w:val="left"/>
      <w:pPr>
        <w:ind w:left="541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D305928">
      <w:start w:val="1"/>
      <w:numFmt w:val="bullet"/>
      <w:lvlText w:val="▪"/>
      <w:lvlJc w:val="left"/>
      <w:pPr>
        <w:ind w:left="613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ABFBD98-D74B-42BC-B47B-7C650001928E}"/>
  </w:docVars>
  <w:rsids>
    <w:rsidRoot w:val="00481599"/>
    <w:rsid w:val="001D3C8B"/>
    <w:rsid w:val="003A63BB"/>
    <w:rsid w:val="00400B90"/>
    <w:rsid w:val="00481599"/>
    <w:rsid w:val="004844E5"/>
    <w:rsid w:val="005F2A30"/>
    <w:rsid w:val="006058C5"/>
    <w:rsid w:val="00691BDF"/>
    <w:rsid w:val="006B5EC5"/>
    <w:rsid w:val="006D67CA"/>
    <w:rsid w:val="007853FC"/>
    <w:rsid w:val="00803DD2"/>
    <w:rsid w:val="00820F06"/>
    <w:rsid w:val="00855CB6"/>
    <w:rsid w:val="009132E3"/>
    <w:rsid w:val="00A05662"/>
    <w:rsid w:val="00A126DA"/>
    <w:rsid w:val="00A27878"/>
    <w:rsid w:val="00B12127"/>
    <w:rsid w:val="00BC25F4"/>
    <w:rsid w:val="00C76F14"/>
    <w:rsid w:val="00CB364E"/>
    <w:rsid w:val="00CC63DA"/>
    <w:rsid w:val="00CD0F4A"/>
    <w:rsid w:val="00D62DCF"/>
    <w:rsid w:val="00D941B5"/>
    <w:rsid w:val="00E05EAC"/>
    <w:rsid w:val="00EC3B45"/>
    <w:rsid w:val="00F2297E"/>
    <w:rsid w:val="00F4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E699"/>
  <w15:chartTrackingRefBased/>
  <w15:docId w15:val="{0492A06F-5398-4D8C-B815-FED7CC21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A63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63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63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3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3B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A63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BFBD98-D74B-42BC-B47B-7C650001928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2363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Grzegorz Molesztak</cp:lastModifiedBy>
  <cp:revision>2</cp:revision>
  <dcterms:created xsi:type="dcterms:W3CDTF">2023-11-22T11:10:00Z</dcterms:created>
  <dcterms:modified xsi:type="dcterms:W3CDTF">2023-11-23T09:22:00Z</dcterms:modified>
</cp:coreProperties>
</file>