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Projekt</w:t>
      </w:r>
    </w:p>
    <w:p w:rsidR="00000000" w:rsidDel="00000000" w:rsidP="00000000" w:rsidRDefault="00000000" w:rsidRPr="00000000" w14:paraId="00000002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USTAWA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 2024 r.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wypowiedzeniu Konwencji o zakazie użycia, składowania, produkcji i przekazywania min przeciwpiechotnych oraz o ich zniszczeniu, sporządzonej w Oslo dnia 18 września 1997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 się zgodę na dokonanie przez Prezydenta Rzeczypospolitej Polskiej wypowiedzenia Konwencji o zakazie użycia, składowania, produkcji i przekazywania min przeciwpiechotnych oraz o ich zniszczeniu, sporządzonej w Oslo dnia 18 września 1997 r.</w:t>
      </w:r>
    </w:p>
    <w:p w:rsidR="00000000" w:rsidDel="00000000" w:rsidP="00000000" w:rsidRDefault="00000000" w:rsidRPr="00000000" w14:paraId="00000007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wchodzi w życie po upływie 14 dni od dnia ogłoszenia.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dniu 14 grudnia 2012 r. Prezydent Rzeczypospolitej Polskiej ratyfikował Konwencję sporządzoną w Oslo dnia 18 września 1997 r. o zakazie użycia, składowania, produkcji i przekazywania min przeciwpiechotnych oraz o ich zniszczeniu („Traktatu Ottawskiego”). Ratyfikacja konwencji wymagała, zgodnie z przepisami Konstytucji RP, zgody uprzednio wyrażonej przez Sejm RP w ustawie, którą Sejm wyraził w dniu 10 października 2012 r.</w:t>
      </w:r>
    </w:p>
    <w:p w:rsidR="00000000" w:rsidDel="00000000" w:rsidP="00000000" w:rsidRDefault="00000000" w:rsidRPr="00000000" w14:paraId="0000001C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Konwencja zobowiązuje państwa-strony do tego, że żadne z nich, nigdy w żadnych okolicznościach nie będzie:</w:t>
      </w:r>
    </w:p>
    <w:p w:rsidR="00000000" w:rsidDel="00000000" w:rsidP="00000000" w:rsidRDefault="00000000" w:rsidRPr="00000000" w14:paraId="0000001D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  <w:tab/>
        <w:t xml:space="preserve">używać min przeciwpiechotnych;</w:t>
      </w:r>
    </w:p>
    <w:p w:rsidR="00000000" w:rsidDel="00000000" w:rsidP="00000000" w:rsidRDefault="00000000" w:rsidRPr="00000000" w14:paraId="0000001E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  <w:tab/>
        <w:t xml:space="preserve">prowadzić badań, produkować, w żaden inny sposób nabywać, składować lub przechowywać min przeciwpiechotnych lub przekazywać komukolwiek pośrednio lub bezpośrednio min przeciwpiechotnych;</w:t>
      </w:r>
    </w:p>
    <w:p w:rsidR="00000000" w:rsidDel="00000000" w:rsidP="00000000" w:rsidRDefault="00000000" w:rsidRPr="00000000" w14:paraId="0000001F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  <w:tab/>
        <w:t xml:space="preserve">pomagać, zachęcać ani nakłaniać w jakikolwiek sposób nikogo do podejmowania jakiejkolwiek działalności zabronionej Państwu-Stronie na mocy niniejszej Konwencji.</w:t>
      </w:r>
    </w:p>
    <w:p w:rsidR="00000000" w:rsidDel="00000000" w:rsidP="00000000" w:rsidRDefault="00000000" w:rsidRPr="00000000" w14:paraId="00000020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Nadto państwa-strony zobowiązują się do zniszczenia lub zapewnienia zniszczenia wszystkich posiadanych min przeciwpiechotnych.</w:t>
      </w:r>
    </w:p>
    <w:p w:rsidR="00000000" w:rsidDel="00000000" w:rsidP="00000000" w:rsidRDefault="00000000" w:rsidRPr="00000000" w14:paraId="00000021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Racjonalizacją dla powyższych zobowiązań jest postrzeganie min przeciwpiechotnych jako szczególnie niehumanitarnego środka walki, stwarzającego poważne zagrożenie dla ludności cywilnej.</w:t>
      </w:r>
    </w:p>
    <w:p w:rsidR="00000000" w:rsidDel="00000000" w:rsidP="00000000" w:rsidRDefault="00000000" w:rsidRPr="00000000" w14:paraId="00000022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tym miejscu sformułować należy dwie tezy. Po pierwsze, utrzymywanie w polskim porządku prawnym zobowiązań wynikających z omawianej konwencji jest sprzeczne z polskim interesem narodowym. Po drugie, argumenty natury moralnej stojące u podstaw omawianej konwencji nie są ufundowane na solidnych podstawach.</w:t>
      </w:r>
    </w:p>
    <w:p w:rsidR="00000000" w:rsidDel="00000000" w:rsidP="00000000" w:rsidRDefault="00000000" w:rsidRPr="00000000" w14:paraId="00000023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Zobowiązania powyższe są sprzeczne z polskim interesem narodowym, albowiem tworzą nieuzasadnioną przewagę po stronie ewentualnego przeciwnika, który użyłby takiego środka w wojnie przeciwko Rzeczypospolitej Polskiej. W szczególności wskazać należy, że z min przeciwpiechotnych korzysta niebędąca stroną konwencji Federacja Rosyjska w toczącej się obecnie wojnie na Ukrainie. Dokładnie to samo czyni również państwo ukraińskie pomimo bycia stroną tej samej konwencji. W tej sytuacji, w przypadku agresji rosyjskiej, Rzeczpospolita Polska narażałaby się na jednostronne częściowe rozbrojenie z efektywnego środka przeciwdziałania operacjom zaczepnym lub stanęłaby przed koniecznością łamania prawa międzynarodowego. „Awaryjne” używanie min przeciwpiechotnych z naruszeniem Traktatu Ottawskiego byłoby rozwiązaniem skrajnie niekorzystnym. Pozbawiłoby Polskę korzyści wojskowych płynących z również zakazanych tym traktatem, wcześniejszych działań o charakterze badawczo-rozwojowym. Dałoby również mocne podstawy do naruszeń ratyfikowanych umów przez stronę przeciwną i podstawy do oskarżeń w stosunku do żołnierzy wykonujących rozkazy w tym zakresie i do władz państwowych.</w:t>
      </w:r>
    </w:p>
    <w:p w:rsidR="00000000" w:rsidDel="00000000" w:rsidP="00000000" w:rsidRDefault="00000000" w:rsidRPr="00000000" w14:paraId="00000024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odniesieniu do argumentacji natury moralnej stojącej za Traktatem Ottawskim należy zauważyć, że ewentualność obrażeń lub śmierci po stronie osób niebędących kombatantami jest w sposób nierozłączny wpisana w specyfikę każdego pola walki i dotyczy absolutnie każdego jej sposobu. Już sam fakt śmierci lub zranienia osoby będącej kombatantem wiąże się przeważnie z ciężką dolegliwością po stronie licznych osób niebędących kombatantami, dla których życie i zdrowie tego kombatanta stanowiło istotną wartość, w szczególności członków jego rodziny. Nie istnieje żaden algorytm, który pozwoliłby ustalić, że jedne skutki uboczne walki są „jeszcze” dopuszczalne, a inne „już” niedopuszczalne. Szkody ponoszone przez niekombatantów nie są zatem argumentem za tym, aby nie stosować min przeciwpiechotnych, ale za tym, aby nie wszczynać lekkomyślnie wojen i nie umieszczać własnego kraju w sytuacji geopolitycznej skutkującej zagrożeniem wojną. Używanie natomiast jakichkolwiek środków odpierania agresji jest w pierwszym rzędzie działaniem chroniącym dobra niekombatantów. Mieć bowiem trzeba na uwadze, że stan okupacji jest sytuacją, która nieuchronnie wiąże się z ciężkim ryzykiem naruszeń praw człowieka przez okupanta i powstania innych szkód rażąco uderzających w dobra osobiste niekombatantów – stąd też stanowi temu należy przeciwdziałać, w tym z użyciem min przeciwpiechotnych.</w:t>
      </w:r>
    </w:p>
    <w:p w:rsidR="00000000" w:rsidDel="00000000" w:rsidP="00000000" w:rsidRDefault="00000000" w:rsidRPr="00000000" w14:paraId="00000025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Traktat Ottawski należy wypowiedzieć możliwie szybko, aby możliwie szybko polskie przedsiębiorstwa i jednostki badawcze mogły rozpocząć badania nad nowymi modelami min przeciwpiechotnych. Trzeba uwzględnić, że Traktat Ottawski przewiduje sześciomiesięczny termin wypowiedzenia biegnący od momentu zawiadomienia Sekretarza Generalnego ONZ o jego wypowiedzeniu przez Prezydenta RP.</w:t>
      </w:r>
    </w:p>
    <w:p w:rsidR="00000000" w:rsidDel="00000000" w:rsidP="00000000" w:rsidRDefault="00000000" w:rsidRPr="00000000" w14:paraId="00000026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dniu 12 stycznia br. przewodniczący Komitetu Obrony Narodowej estońskiego parlamentu Leo Kunnas stwierdził, że Estonia może rozważyć zabezpieczenie granicy z Rosją m.in. minami przeciwpiechotnymi. Wycofanie się z traktatu ottawskiego jest obecnie postulatem poważnie rozważanym w debacie publicznej w państwach bałtyckich w związku z zagrożeniem agresją rosyjską. Postulat wypowiedzenia Traktatu Ottawskiego jest również regularnie podnoszony od dłuższego czasu w Finlandii.</w:t>
      </w:r>
    </w:p>
    <w:p w:rsidR="00000000" w:rsidDel="00000000" w:rsidP="00000000" w:rsidRDefault="00000000" w:rsidRPr="00000000" w14:paraId="00000027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Autorzy niniejszego projektu zdecydowali się złożyć na ręce Marszałka Sejmu projekt ustawy o wyrażeniu zgody na wypowiedzenie przez Prezydenta RP umowy międzynarodowej z pominięciem  działań Rady Ministrów i jej członków, o których mowa w przepisach Ustawy o umowach międzynarodowych. Działanie projektodawców jest zgodne z prawem i oparte jest o zastosowanie przepisów Konstytucji Rzeczypospolitej Polskiej. Ani Konstytucja RP ani Ustawa o umowach międzynarodowych nie wymagają, aby wyrażenie przez Sejm RP zgody na wypowiedzenie umowy międzynarodowej było chronologicznie późniejsze od podjęcia w tej materii inicjatywy przez Radę Ministrów. Uchwalona już zgoda na wypowiedzenie Traktatu Ottawskiego może oczekiwać na działania innych organów, gdyż żaden przepis w sposób wyraźny nie wyklucza takiej chronologii działania organów państwa. Żaden przepis nie stanowi również, że katalog podmiotów uprawnionych do złożenia projektu ustawy w przedmiotowej sprawie jest katalogiem innym od tego, o którym mowa w art. 118 Konstytucji Rzeczypospolitej Polskiej. W analogicznej sytuacji, dotyczącej zgody wyrażonej przez Sejm RP na ratyfikację umowy międzynarodowej, spostrzeżenia takiego dokonali konstytucjonaliści  K. Działocha i B. Banaszak (K. Działocha, Uwaga 5. do art. 89 Konstytucji [w:] L. Garlicki (red.), Konstytucja Rzeczypospolitej Polskiej. Komentarz, t. I, Warszawa 1999, s. 4-5, B. Banaszak, Opinia w sprawie ratyfikacji Traktatu z Lizbony, „Przegląd Sejmowy” 2009, nr 2, s. 132). Jest to stanowisko zgodne z literalną wykładnią przepisów Konstytucji RP.</w:t>
      </w:r>
    </w:p>
    <w:p w:rsidR="00000000" w:rsidDel="00000000" w:rsidP="00000000" w:rsidRDefault="00000000" w:rsidRPr="00000000" w14:paraId="00000028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Intencją projektodawców jest zmobilizowanie władzy wykonawczej do podjęcia koniecznych działań zmierzających do pilnego usunięcia Traktatu Ottawskiego z porządku prawnego Rzeczypospolitej Polskiej, z uwzględnieniem sześciomiesięcznego terminu wypowiedzenia przewidzianego przez ten traktat. Dalsze utrzymywanie obowiązywania tej umowy międzynarodowej naraża Rzeczpospolitą Polską na poważne szkody.</w:t>
      </w:r>
    </w:p>
    <w:p w:rsidR="00000000" w:rsidDel="00000000" w:rsidP="00000000" w:rsidRDefault="00000000" w:rsidRPr="00000000" w14:paraId="00000029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Uchwalenie ustawy nie spowoduje kosztów budżetowych.</w:t>
      </w:r>
    </w:p>
    <w:p w:rsidR="00000000" w:rsidDel="00000000" w:rsidP="00000000" w:rsidRDefault="00000000" w:rsidRPr="00000000" w14:paraId="0000002A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ustawy nie powoduje skutków finansowych dla jednostek samorządu terytorialnego.</w:t>
      </w:r>
    </w:p>
    <w:p w:rsidR="00000000" w:rsidDel="00000000" w:rsidP="00000000" w:rsidRDefault="00000000" w:rsidRPr="00000000" w14:paraId="0000002B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niesie za sobą pozytywne skutki gospodarcze i społeczne, zwłaszcza w zakresie zwiększenia bezpieczeństwa Polaków.</w:t>
      </w:r>
    </w:p>
    <w:p w:rsidR="00000000" w:rsidDel="00000000" w:rsidP="00000000" w:rsidRDefault="00000000" w:rsidRPr="00000000" w14:paraId="0000002C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nie wpłynie na majątkowe prawa i obowiązki przedsiębiorców w tym działalność mikroprzedsiębiorców oraz małych i średnich przedsiębiorców.</w:t>
      </w:r>
    </w:p>
    <w:p w:rsidR="00000000" w:rsidDel="00000000" w:rsidP="00000000" w:rsidRDefault="00000000" w:rsidRPr="00000000" w14:paraId="0000002D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nie przewiduje wydawania dodatkowych aktów wykonawczych.</w:t>
      </w:r>
    </w:p>
    <w:p w:rsidR="00000000" w:rsidDel="00000000" w:rsidP="00000000" w:rsidRDefault="00000000" w:rsidRPr="00000000" w14:paraId="0000002E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Zakres regulacji ustawy nie jest objęty prawem Unii Europejskiej.</w:t>
      </w:r>
    </w:p>
    <w:p w:rsidR="00000000" w:rsidDel="00000000" w:rsidP="00000000" w:rsidRDefault="00000000" w:rsidRPr="00000000" w14:paraId="0000002F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pBdr>
        <w:bottom w:color="000000" w:space="1" w:sz="6" w:val="single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132d4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132d4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spacing w:after="0" w:line="240" w:lineRule="auto"/>
      <w:jc w:val="center"/>
      <w:rPr/>
    </w:pPr>
    <w:r w:rsidDel="00000000" w:rsidR="00000000" w:rsidRPr="00000000">
      <w:rPr>
        <w:b w:val="1"/>
        <w:color w:val="132d4d"/>
        <w:rtl w:val="0"/>
      </w:rPr>
      <w:t xml:space="preserve">Konfederacja Wolność i Niepodległość</w:t>
    </w:r>
    <w:r w:rsidDel="00000000" w:rsidR="00000000" w:rsidRPr="00000000">
      <w:rPr>
        <w:color w:val="132d4d"/>
        <w:rtl w:val="0"/>
      </w:rPr>
      <w:t xml:space="preserve">  </w:t>
    </w:r>
    <w:r w:rsidDel="00000000" w:rsidR="00000000" w:rsidRPr="00000000">
      <w:rPr>
        <w:color w:val="bfbfbf"/>
        <w:rtl w:val="0"/>
      </w:rPr>
      <w:t xml:space="preserve">|</w:t>
    </w:r>
    <w:r w:rsidDel="00000000" w:rsidR="00000000" w:rsidRPr="00000000">
      <w:rPr>
        <w:color w:val="132d4d"/>
        <w:rtl w:val="0"/>
      </w:rPr>
      <w:t xml:space="preserve">  konfederacja.pl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2736000" cy="49374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000" cy="493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