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C6C4E" w14:textId="77777777" w:rsidR="0069305A" w:rsidRPr="00685600" w:rsidRDefault="0069305A" w:rsidP="00685600">
      <w:pPr>
        <w:keepNext/>
        <w:spacing w:after="240" w:line="360" w:lineRule="auto"/>
        <w:jc w:val="center"/>
        <w:rPr>
          <w:rFonts w:ascii="Times New Roman" w:eastAsia="Times New Roman" w:hAnsi="Times New Roman" w:cs="Times New Roman"/>
          <w:caps/>
          <w:kern w:val="24"/>
          <w:sz w:val="24"/>
          <w:szCs w:val="24"/>
          <w:lang w:eastAsia="pl-PL"/>
          <w14:ligatures w14:val="none"/>
        </w:rPr>
      </w:pPr>
      <w:r w:rsidRPr="00685600">
        <w:rPr>
          <w:rFonts w:ascii="Times New Roman" w:eastAsia="Times New Roman" w:hAnsi="Times New Roman" w:cs="Times New Roman"/>
          <w:caps/>
          <w:kern w:val="24"/>
          <w:sz w:val="24"/>
          <w:szCs w:val="24"/>
          <w:lang w:eastAsia="pl-PL"/>
          <w14:ligatures w14:val="none"/>
        </w:rPr>
        <w:t>UZASADNIENIE</w:t>
      </w:r>
    </w:p>
    <w:p w14:paraId="2613B9F7" w14:textId="77777777" w:rsidR="0069305A" w:rsidRPr="00685600" w:rsidRDefault="0069305A" w:rsidP="00685600">
      <w:pPr>
        <w:suppressAutoHyphens/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eastAsia="Times New Roman" w:hAnsi="Times New Roman" w:cs="Times New Roman"/>
          <w:bCs/>
          <w:kern w:val="24"/>
          <w:sz w:val="24"/>
          <w:szCs w:val="20"/>
          <w:lang w:eastAsia="pl-PL"/>
          <w14:ligatures w14:val="none"/>
        </w:rPr>
      </w:pPr>
      <w:r w:rsidRPr="00685600">
        <w:rPr>
          <w:rFonts w:ascii="Times New Roman" w:eastAsia="Times New Roman" w:hAnsi="Times New Roman" w:cs="Times New Roman"/>
          <w:b/>
          <w:bCs/>
          <w:kern w:val="24"/>
          <w:sz w:val="24"/>
          <w:szCs w:val="20"/>
          <w:lang w:eastAsia="pl-PL"/>
          <w14:ligatures w14:val="none"/>
        </w:rPr>
        <w:t>1.</w:t>
      </w:r>
      <w:r w:rsidRPr="00685600">
        <w:rPr>
          <w:rFonts w:ascii="Times New Roman" w:eastAsia="Times New Roman" w:hAnsi="Times New Roman" w:cs="Times New Roman"/>
          <w:b/>
          <w:bCs/>
          <w:kern w:val="24"/>
          <w:sz w:val="24"/>
          <w:szCs w:val="20"/>
          <w:lang w:eastAsia="pl-PL"/>
          <w14:ligatures w14:val="none"/>
        </w:rPr>
        <w:tab/>
        <w:t>Cel projektu ustawy</w:t>
      </w:r>
    </w:p>
    <w:p w14:paraId="5DD1F319" w14:textId="767FD9FC" w:rsidR="0069305A" w:rsidRPr="00685600" w:rsidRDefault="0069305A" w:rsidP="00685600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</w:pP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Zaprojektowane zmiany w art. 25</w:t>
      </w:r>
      <w:r w:rsidR="00BF1B5C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–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25a ustawy z dnia 9 listopada 2018 r. o kołach gospodyń wiejskich (Dz. U. z 2023 r. poz. 1179) wynikają z faktu planowanego zniesienia instytucji Pełnomocnika rządu do spraw lokalnych inicjatyw społecznych w związku z brakiem potrzeby i uzasadnienia dla dalszego funkcjonowania tego pełnomocnika i przekazaniem części jego zadań ministrowi właściwe</w:t>
      </w:r>
      <w:r w:rsidR="006565D7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mu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 do spraw rozwoju wsi.</w:t>
      </w:r>
    </w:p>
    <w:p w14:paraId="5A67F307" w14:textId="71FC27C3" w:rsidR="0069305A" w:rsidRPr="00685600" w:rsidRDefault="0069305A" w:rsidP="00685600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</w:pPr>
      <w:bookmarkStart w:id="0" w:name="_Hlk176251790"/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Dodanie </w:t>
      </w:r>
      <w:r w:rsidR="0051776B" w:rsidRPr="00615561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pkt 7 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w art. 8</w:t>
      </w:r>
      <w:r w:rsidR="006565D7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ust. 2 ustawy z dnia 9 listopada 2018 r. o kołach gospodyń wiejskich ma na celu </w:t>
      </w:r>
      <w:bookmarkEnd w:id="0"/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umożliwienie ujawnienia w Krajowym Rejestrze Kół Gospodyń Wiejskich danych dotyczących kół gospodyń wiejskich zrzeszonych w Krajowym Związku Rolników, Kółek i</w:t>
      </w:r>
      <w:r w:rsidR="00EE3DF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 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Organizacji Rolniczych. Mając na uwadze, że art. 13 ustawy zmienianej określa nie tylko zawartość</w:t>
      </w:r>
      <w:r w:rsidR="006565D7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,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 ale i porządek zamieszczenia danych i informacji w </w:t>
      </w:r>
      <w:r w:rsidR="006565D7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r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ejestrze</w:t>
      </w:r>
      <w:r w:rsidR="006565D7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,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 w konsekwencji analogiczna zmiana została wprowadzona również w tym artykule.</w:t>
      </w:r>
    </w:p>
    <w:p w14:paraId="60E3316D" w14:textId="77777777" w:rsidR="0069305A" w:rsidRPr="00685600" w:rsidRDefault="0069305A" w:rsidP="00685600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</w:pP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Zmiany w art. 25 ustawy z dnia 9 listopada 2018 r. o kołach gospodyń wiejskich pozostawiają zadania w zakresie nadzoru nad działalnością kół gospodyń wiejskich (dalej: KGW) w gestii Prezesa Agencji Restrukturyzacji i Modernizacji Rolnictwa. Zadania związane z promowaniem i wspieraniem KGW oraz ich związków zostaną przekazane z właściwości Pełnomocnika rządu do spraw lokalnych inicjatyw społecznych na rzecz ministra właściwego do spraw rozwoju wsi.</w:t>
      </w:r>
    </w:p>
    <w:p w14:paraId="06EC134B" w14:textId="065186DE" w:rsidR="0069305A" w:rsidRPr="00685600" w:rsidRDefault="0069305A" w:rsidP="00685600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</w:pP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Zmiany w art. 34</w:t>
      </w:r>
      <w:r w:rsidR="002C2701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 i art. 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34a ustawy z dnia 9 listopada 2018 r. o kołach gospodyń wiejskich mają na celu zrównanie praw różnych organizacji mieszkańców wsi w zakresie dostępu do rozwiązań tej ustawy. Zmiany mają umożliwić przyznanie dotacji także KGW działającym na podstawie ustawy z dnia 8 października 1982 r. o społeczno-zawodowych organizacjach rolników (Dz.</w:t>
      </w:r>
      <w:r w:rsidR="00EE3DF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 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U.</w:t>
      </w:r>
      <w:r w:rsidR="00EE3DF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 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z 2024 r. poz. 263) (dalej: KGW-KR)</w:t>
      </w:r>
      <w:r w:rsidR="00AB519C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,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 pobieranie dotacji ze źródeł (środków) publicznych, także w miejscowościach</w:t>
      </w:r>
      <w:r w:rsidR="00AB519C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,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 gdzie siedzibę ma KGW widniejące w rejestrze KGW prowadzonym przez </w:t>
      </w:r>
      <w:r w:rsidR="004B6783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Agencję Restrukturyzacji i Modernizacji Rolnictwa (dalej: 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ARiMR</w:t>
      </w:r>
      <w:r w:rsidR="004B6783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)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, tj.</w:t>
      </w:r>
      <w:r w:rsidR="00A6474B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 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działające na podstawie ustawy </w:t>
      </w:r>
      <w:r w:rsidR="004B6783" w:rsidRPr="00A627B6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z dnia 9 listopada 2018 r. 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o kołach gospodyń wiejskich. W</w:t>
      </w:r>
      <w:r w:rsidR="00A6474B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 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tym celu konieczne jest nadanie osobowości prawnej KGW</w:t>
      </w:r>
      <w:r w:rsidR="00AB519C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,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 które osobowości prawnej nie posiadają.</w:t>
      </w:r>
    </w:p>
    <w:p w14:paraId="29ACDEEB" w14:textId="6D519E60" w:rsidR="0069305A" w:rsidRPr="00685600" w:rsidRDefault="0069305A" w:rsidP="00685600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</w:pP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Mając na uwadze dotychczasową działalność KGW-KR w strukturach kółek rolniczych (jako wyodrębnione jednostki organizacyjne kółek rolniczych, ewentualnie samodzielne kółko rolnicze będące KGW, tam gdzie nie było kółka rolniczego)</w:t>
      </w:r>
      <w:r w:rsidR="00BF1B5C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,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 zakłada się wprowadzenie mechanizmu ochrony tej współpracy oraz dorobku wieloletniej działalności przez możliwość 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lastRenderedPageBreak/>
        <w:t>dalszego bycia częścią organizacji działających na podstawie ustawy</w:t>
      </w:r>
      <w:r w:rsidR="00393903" w:rsidRPr="00393903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 z dnia 8 października 1982 r.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 o społeczno-zawodowych organizacjach rolników.</w:t>
      </w:r>
    </w:p>
    <w:p w14:paraId="67F09976" w14:textId="5CC39A95" w:rsidR="0069305A" w:rsidRPr="00685600" w:rsidRDefault="0069305A" w:rsidP="00685600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</w:pP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W projekcie ustawy wprowadzono możliwość prowadzenia przez KGW-KR działalności</w:t>
      </w:r>
      <w:r w:rsidR="0051776B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 na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 podstawie dwóch ustaw jednocześnie (ustawy </w:t>
      </w:r>
      <w:r w:rsidR="004B6783" w:rsidRPr="00A627B6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z dnia 9 listopada 2018 r. 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o kołach gospodyń wiejskich oraz ustawy</w:t>
      </w:r>
      <w:r w:rsidR="004B6783" w:rsidRPr="004B6783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="004B6783" w:rsidRPr="00A627B6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z dnia 8 października 1982 r.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 o</w:t>
      </w:r>
      <w:r w:rsidR="00EE3DF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 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społeczno-zawodowych organizacjach rolników). W związku z powyższym projekt zakłada wprowadzenie modyfikacji art. 34 ustawy </w:t>
      </w:r>
      <w:r w:rsidR="004B6783" w:rsidRPr="00A627B6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z dnia 9 listopada 2018 r. 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o kołach gospodyń wiejskich. Wprowadzanym wyjątkiem od przepisów ustawy </w:t>
      </w:r>
      <w:r w:rsidR="004B6783" w:rsidRPr="00A627B6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z dnia 9 listopada 2018 r. 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o kołach gospodyń wiejskich (art. 4 ust. 1) jest umożliwienie działania KGW-KR (a tym samym jej wpisu do rejestru KGW) w miejscowości, w której siedzibę posiada inne KGW. Za wprowadzeniem tego rozwiązania przemawiają zdiagnozowane przypadki</w:t>
      </w:r>
      <w:r w:rsidR="0051776B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,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 gdzie istniejąc</w:t>
      </w:r>
      <w:r w:rsidR="004B6783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e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 KGW-KR nie zgłosił</w:t>
      </w:r>
      <w:r w:rsidR="004B6783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o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 chęci zarejestrowania w</w:t>
      </w:r>
      <w:r w:rsidR="00EE3DF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 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terminie miesiąca od </w:t>
      </w:r>
      <w:r w:rsidR="00393903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dnia 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wejścia w życie ustawy </w:t>
      </w:r>
      <w:r w:rsidR="00393903" w:rsidRPr="00A627B6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z dnia 9 listopada 2018 r. </w:t>
      </w:r>
      <w:r w:rsidR="00393903" w:rsidRPr="0051338D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o kołach gospodyń wiejskich 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(choć wtedy miało pierwszeństwo przed innymi KGW)</w:t>
      </w:r>
      <w:r w:rsidR="0051776B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,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 a teraz nie może uzyskać wpisu do rejestru</w:t>
      </w:r>
      <w:r w:rsidR="0051776B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,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 ponieważ w danej miejscowości jest już siedziba innego KGW. Przepis ten nie wprowadza pełnej swobody</w:t>
      </w:r>
      <w:r w:rsidR="0051776B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,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 tj. nie prowadzi do nieograniczonej multiplikacji liczby KGW w miejscowościach, lecz dopuszcza wyjątek dedykowany KGW, które prowadziły działalność w chwili wejścia w życie ustawy o</w:t>
      </w:r>
      <w:r w:rsidR="00EE3DF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 </w:t>
      </w:r>
      <w:r w:rsidR="004B6783" w:rsidRPr="00A627B6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z dnia 9 listopada 2018 r. o kołach gospodyń wiejskich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, w tym KGW-KR, aby chronić wieloletni dorobek działalności tych organizacji. Trzeba zaznaczyć, że tak skonstruowany przepis gwarantuje równe traktowanie wszystkich KGW, co zgodne jest z licznymi postulatami zgłaszanymi do </w:t>
      </w:r>
      <w:r w:rsidR="004B6783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Ministerstwa Rolnictwa i</w:t>
      </w:r>
      <w:r w:rsidR="00A6474B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 </w:t>
      </w:r>
      <w:r w:rsidR="004B6783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Rozwoju Wsi (</w:t>
      </w:r>
      <w:proofErr w:type="spellStart"/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MRiRW</w:t>
      </w:r>
      <w:proofErr w:type="spellEnd"/>
      <w:r w:rsidR="004B6783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)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. W projekcie ustawy dodano nowy przepis art. 36c określający maksymalny limit wydatków budżetu państwa będących skutkiem finansowym ustawy w</w:t>
      </w:r>
      <w:r w:rsidR="00A6474B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 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latach 2024</w:t>
      </w:r>
      <w:r w:rsidR="00BF1B5C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–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2033, który wynosi łącznie 1</w:t>
      </w:r>
      <w:r w:rsidR="00A54BF8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 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480</w:t>
      </w:r>
      <w:r w:rsidR="00A54BF8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 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000</w:t>
      </w:r>
      <w:r w:rsidR="00A54BF8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 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000 zł (157</w:t>
      </w:r>
      <w:r w:rsidR="00A54BF8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 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000</w:t>
      </w:r>
      <w:r w:rsidR="00EE3DF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 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000</w:t>
      </w:r>
      <w:r w:rsidR="00EE3DF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 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zł w 2024 r. i</w:t>
      </w:r>
      <w:r w:rsidR="00A6474B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 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147</w:t>
      </w:r>
      <w:r w:rsidR="00A54BF8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 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000</w:t>
      </w:r>
      <w:r w:rsidR="00A54BF8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 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000 zł </w:t>
      </w:r>
      <w:r w:rsidR="0051776B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w 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każdym następnym roku). Przy czym w roku 2025 i</w:t>
      </w:r>
      <w:r w:rsidR="004B6783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 w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 kolejnych latach środki przeznaczone na pomoc dla KGW </w:t>
      </w:r>
      <w:r w:rsidR="004B6783"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wyn</w:t>
      </w:r>
      <w:r w:rsidR="004B6783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iosą</w:t>
      </w:r>
      <w:r w:rsidR="004B6783"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120 mln zł w ramach środków określonych na ten cel w planie finansowym ARiMR. W miarę pojawiania się dodatkowego zapotrzebowania środków na pomoc finansową dla KGW </w:t>
      </w:r>
      <w:bookmarkStart w:id="1" w:name="_Hlk176253119"/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będzie ono pokrywane z</w:t>
      </w:r>
      <w:r w:rsidR="00A6474B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 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oszczędności w ramach części 33 budżetu </w:t>
      </w:r>
      <w:proofErr w:type="spellStart"/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MRiRW</w:t>
      </w:r>
      <w:bookmarkEnd w:id="1"/>
      <w:proofErr w:type="spellEnd"/>
      <w:r w:rsidR="0051776B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,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 jednakże maksymalny limit wydatków nie może przekroczyć 147 mln zł.</w:t>
      </w:r>
    </w:p>
    <w:p w14:paraId="143C37A2" w14:textId="4D918BBC" w:rsidR="0069305A" w:rsidRPr="00685600" w:rsidRDefault="0069305A" w:rsidP="00685600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</w:pP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W celu dostosowania rozwiązań wprowadzanych do ustawy z dnia 9 listopada 2018 r. o kołach gospodyń wiejskich wprowadzono zmiany dostosowujące w art. 3 oraz </w:t>
      </w:r>
      <w:r w:rsidR="004B6783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w art. 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33 ust. 1 ustaw</w:t>
      </w:r>
      <w:r w:rsidR="004B6783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y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 z</w:t>
      </w:r>
      <w:r w:rsidR="00EE3DF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 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dnia 8 października 1982 r. o społeczno-zawodowych organizacjach rolników. Społeczno-zawodowymi organizacjami rolników staną się również koła gospodyń wiejskich wpisane do Krajowego Rejestru Kół Gospodyń Wiejskich, o którym mowa w art. 6 ust. 1 ustawy z dnia 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lastRenderedPageBreak/>
        <w:t>9</w:t>
      </w:r>
      <w:r w:rsidR="00EE3DF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 </w:t>
      </w: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listopada 2018 r. o kołach gospodyń wiejskich, jeżeli są zrzeszone w Krajowym Związku Rolników, Kółek i Organizacji Rolniczych. Koła te będą mogły zrzeszać się w ramach Krajowego Związku Rolników, Kółek i Organizacji Rolniczych na zasadach dobrowolności. Powyższe rozwiązanie pozwoli na formalną kontynuację współpracy koła gospodyń wiejskich z organizacją, w ramach której zostało utworzone i dotąd prowadziło swoją działalność.</w:t>
      </w:r>
    </w:p>
    <w:p w14:paraId="652F0DAD" w14:textId="1EC56CC5" w:rsidR="0069305A" w:rsidRPr="00685600" w:rsidRDefault="0069305A" w:rsidP="00685600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685600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W projekcie ustawy dodano przepis przejściowy</w:t>
      </w:r>
      <w:r w:rsidR="002B298D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,</w:t>
      </w:r>
      <w:r w:rsidRPr="00685600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na podstawie którego koła gospodyń wiejskich wpisane do Krajowego Rejestru Kół Gospodyń Wiejskich przed dniem wejścia w</w:t>
      </w:r>
      <w:r w:rsidR="00EE3DF0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 </w:t>
      </w:r>
      <w:r w:rsidRPr="00685600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życie ustawy, które są zrzeszone w Krajowym Związku Rolników, Kółek i Organizacji Rolniczych, będą przekazywać w terminie 3 miesięcy od dnia wejścia w życie ustawy informację, że są zrzeszone w tym związku. Koła te będą przekazywać powyższą informację kierownikowi powiatowego biura </w:t>
      </w:r>
      <w:r w:rsidR="004B6783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ARiMR</w:t>
      </w:r>
      <w:r w:rsidRPr="00685600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właściwemu ze względu na siedzibę tego koła.</w:t>
      </w:r>
    </w:p>
    <w:p w14:paraId="592C9F28" w14:textId="5477388F" w:rsidR="0069305A" w:rsidRPr="00685600" w:rsidRDefault="0069305A" w:rsidP="00685600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685600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Ze względu na pilny charakter projektowanych w ustawie rozwiązań </w:t>
      </w:r>
      <w:proofErr w:type="spellStart"/>
      <w:r w:rsidR="004B6783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MRiRW</w:t>
      </w:r>
      <w:proofErr w:type="spellEnd"/>
      <w:r w:rsidRPr="00685600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wystąpiło do Prezesa Rady Ministrów o udzielenie zgody na procedowanie projektu w trybie odrębnym z</w:t>
      </w:r>
      <w:r w:rsidR="00A6474B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 </w:t>
      </w:r>
      <w:r w:rsidRPr="00685600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pominięciem etapu uzgodnień, konsultacji publicznych </w:t>
      </w:r>
      <w:r w:rsidR="00E60176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i</w:t>
      </w:r>
      <w:r w:rsidR="00E60176" w:rsidRPr="00685600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</w:t>
      </w:r>
      <w:r w:rsidRPr="00685600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opiniowania projektu</w:t>
      </w:r>
      <w:r w:rsidR="002B298D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,</w:t>
      </w:r>
      <w:r w:rsidRPr="00685600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tym samym nie był poddany uzgodnieniom, konsultacjom publicznym i</w:t>
      </w:r>
      <w:r w:rsidR="00256BA7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 </w:t>
      </w:r>
      <w:r w:rsidRPr="00685600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opiniowaniu i został bezpośrednio rozpatrzony przez Stały Komitet Rady Ministrów w dniu 22</w:t>
      </w:r>
      <w:r w:rsidR="00EE3DF0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 </w:t>
      </w:r>
      <w:r w:rsidRPr="00685600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sierpnia 2024 r.</w:t>
      </w:r>
    </w:p>
    <w:p w14:paraId="53DF7824" w14:textId="5DDD8796" w:rsidR="0069305A" w:rsidRPr="00685600" w:rsidRDefault="0069305A" w:rsidP="00685600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685600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Pilny charakter projektu wynika z faktu, że rozwiązania zawarte w projekcie ustawy umożliwią składanie wniosków o pomoc finansową z budżetu państwa przez nowopowstające KGW (na podstawie art. 23a ustawy z dnia 9 listopada 2018 r. o kołach gospodyń wiejskich). Mając na uwadze, że niniejsza nowelizacja ustawy może wejść w życie najszybciej w trzeciej dekadzie października </w:t>
      </w:r>
      <w:r w:rsidR="002C2701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2024 r</w:t>
      </w:r>
      <w:r w:rsidRPr="00685600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.</w:t>
      </w:r>
      <w:r w:rsidR="00A54BF8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,</w:t>
      </w:r>
      <w:r w:rsidRPr="00685600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rozporządzenie Ministra Rolnictwa i Rozwoju Wsi z dnia 9 sierpnia 2021</w:t>
      </w:r>
      <w:r w:rsidR="00A6474B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 </w:t>
      </w:r>
      <w:r w:rsidRPr="00685600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r. w sprawie pomocy finansowej z budżetu państwa dla kół gospodyń wiejskich (Dz.</w:t>
      </w:r>
      <w:r w:rsidR="00A6474B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 </w:t>
      </w:r>
      <w:r w:rsidRPr="00685600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U.</w:t>
      </w:r>
      <w:r w:rsidR="00A6474B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 </w:t>
      </w:r>
      <w:r w:rsidRPr="00685600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z</w:t>
      </w:r>
      <w:r w:rsidR="00A6474B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 </w:t>
      </w:r>
      <w:r w:rsidRPr="00685600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2021 r. poz. 1438</w:t>
      </w:r>
      <w:r w:rsidR="002C2701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, z późn. zm.</w:t>
      </w:r>
      <w:r w:rsidRPr="00685600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) będzie niezwłocznie nowelizowane</w:t>
      </w:r>
      <w:r w:rsidR="00A54BF8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,</w:t>
      </w:r>
      <w:r w:rsidRPr="00685600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ponieważ dostępne środki na pomoc finansową dla KGW muszą być wydatkowane nie później niż w tym roku (zgodnie z obowiązującym rozporządzeniem KGW mogą składać wnioski o pomoc finansową do </w:t>
      </w:r>
      <w:r w:rsidR="00E60176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dnia </w:t>
      </w:r>
      <w:r w:rsidRPr="00685600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30 września </w:t>
      </w:r>
      <w:r w:rsidR="002C2701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2024 r</w:t>
      </w:r>
      <w:r w:rsidRPr="00685600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.). Tym samym prowadzenie prac legislacyjnych w trybie § 21 pkt 2 uchwały </w:t>
      </w:r>
      <w:r w:rsidR="00A54BF8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n</w:t>
      </w:r>
      <w:r w:rsidRPr="00685600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r 190 Rady Ministrów z dnia 29 października 2013 r. </w:t>
      </w:r>
      <w:r w:rsidR="00A54BF8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– </w:t>
      </w:r>
      <w:r w:rsidRPr="00685600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Regulamin pracy Rady Ministrów (M.P. z 2022 r. poz. 348 </w:t>
      </w:r>
      <w:bookmarkStart w:id="2" w:name="_Hlk176246816"/>
      <w:r w:rsidRPr="00685600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oraz z 2024 r. poz. 757</w:t>
      </w:r>
      <w:bookmarkEnd w:id="2"/>
      <w:r w:rsidRPr="00685600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) uniemożliwiłoby wypłatę zabezpieczonych środków dla KGW.</w:t>
      </w:r>
    </w:p>
    <w:p w14:paraId="3F10CF33" w14:textId="77777777" w:rsidR="0069305A" w:rsidRPr="00685600" w:rsidRDefault="0069305A" w:rsidP="00685600">
      <w:pPr>
        <w:spacing w:before="24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0"/>
          <w:lang w:eastAsia="pl-PL"/>
          <w14:ligatures w14:val="none"/>
        </w:rPr>
      </w:pPr>
      <w:r w:rsidRPr="00685600">
        <w:rPr>
          <w:rFonts w:ascii="Times New Roman" w:eastAsia="Times New Roman" w:hAnsi="Times New Roman" w:cs="Times New Roman"/>
          <w:b/>
          <w:bCs/>
          <w:kern w:val="24"/>
          <w:sz w:val="24"/>
          <w:szCs w:val="20"/>
          <w:lang w:eastAsia="pl-PL"/>
          <w14:ligatures w14:val="none"/>
        </w:rPr>
        <w:t>2.</w:t>
      </w:r>
      <w:r w:rsidRPr="00685600">
        <w:rPr>
          <w:rFonts w:ascii="Times New Roman" w:eastAsia="Times New Roman" w:hAnsi="Times New Roman" w:cs="Times New Roman"/>
          <w:b/>
          <w:bCs/>
          <w:kern w:val="24"/>
          <w:sz w:val="24"/>
          <w:szCs w:val="20"/>
          <w:lang w:eastAsia="pl-PL"/>
          <w14:ligatures w14:val="none"/>
        </w:rPr>
        <w:tab/>
        <w:t>Opinia o zgodności projektu ustawy z prawem Unii Europejskiej</w:t>
      </w:r>
    </w:p>
    <w:p w14:paraId="02E9B45E" w14:textId="77777777" w:rsidR="0069305A" w:rsidRPr="00685600" w:rsidRDefault="0069305A" w:rsidP="00685600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</w:pP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Projekt ustawy nie jest objęty zakresem prawa Unii Europejskiej.</w:t>
      </w:r>
    </w:p>
    <w:p w14:paraId="5AB92FA5" w14:textId="77777777" w:rsidR="0069305A" w:rsidRPr="00685600" w:rsidRDefault="0069305A" w:rsidP="00685600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</w:pP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lastRenderedPageBreak/>
        <w:t xml:space="preserve">Projektowana ustawa nie zawiera przepisów technicznych i w związku z tym nie podlega notyfikacji w rozumieniu przepisów rozporządzenia Rady Ministrów z dnia 23 grudnia 2002 r. w sprawie sposobu funkcjonowania krajowego systemu notyfikacji norm i aktów prawnych (Dz. U. poz. 2039, z późn. zm.). </w:t>
      </w:r>
    </w:p>
    <w:p w14:paraId="0D65C150" w14:textId="72365A3C" w:rsidR="0069305A" w:rsidRPr="00685600" w:rsidRDefault="0069305A" w:rsidP="00685600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</w:pP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Projekt ustawy nie wymaga przedstawienia właściwym organom i instytucjom Unii Europejskiej, w tym Europejskiemu Bankowi Centralnemu, w celu uzyskania opinii, dokonania powiadomienia, konsultacji albo uzgodnienia, o którym mowa w § 27 ust. 4 uchwały nr 190 Rady Ministrów z dnia 29 października 2013 r. – Regulamin pracy Rady Ministrów.</w:t>
      </w:r>
    </w:p>
    <w:p w14:paraId="13B5C18E" w14:textId="77777777" w:rsidR="0069305A" w:rsidRPr="00685600" w:rsidRDefault="0069305A" w:rsidP="00685600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</w:pP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Zgodnie z art. 5 ustawy z dnia 7 lipca 2005 r. o działalności lobbingowej w procesie stanowienia prawa (Dz. U. z 2017 r. poz. 248) projekt ustawy zostanie udostępniony w Biuletynie Informacji Publicznej na stronie podmiotowej Ministerstwa Rolnictwa i Rozwoju Wsi oraz w Biuletynie Informacji Publicznej Rządowego Centrum Legislacji w serwisie Rządowy Proces Legislacyjny.</w:t>
      </w:r>
    </w:p>
    <w:p w14:paraId="25512938" w14:textId="2A30B492" w:rsidR="0037084B" w:rsidRPr="00685600" w:rsidRDefault="0069305A" w:rsidP="00685600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</w:rPr>
      </w:pPr>
      <w:r w:rsidRPr="00685600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Projekt ustawy został wpisany do Wykazu prac legislacyjnych i programowych Rady Ministrów pod nr UD64.</w:t>
      </w:r>
    </w:p>
    <w:sectPr w:rsidR="0037084B" w:rsidRPr="00685600" w:rsidSect="00685600">
      <w:footerReference w:type="default" r:id="rId6"/>
      <w:footnotePr>
        <w:numRestart w:val="eachSect"/>
      </w:footnotePr>
      <w:pgSz w:w="11906" w:h="16838" w:code="9"/>
      <w:pgMar w:top="1418" w:right="1418" w:bottom="141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48963" w14:textId="77777777" w:rsidR="00D569F3" w:rsidRDefault="00D569F3">
      <w:pPr>
        <w:spacing w:after="0" w:line="240" w:lineRule="auto"/>
      </w:pPr>
      <w:r>
        <w:separator/>
      </w:r>
    </w:p>
  </w:endnote>
  <w:endnote w:type="continuationSeparator" w:id="0">
    <w:p w14:paraId="72CC9E7B" w14:textId="77777777" w:rsidR="00D569F3" w:rsidRDefault="00D5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33931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5343285" w14:textId="43EFFDAA" w:rsidR="00BF1B5C" w:rsidRPr="00BF1B5C" w:rsidRDefault="00BF1B5C" w:rsidP="00BF1B5C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F1B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1B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F1B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F1B5C">
          <w:rPr>
            <w:rFonts w:ascii="Times New Roman" w:hAnsi="Times New Roman" w:cs="Times New Roman"/>
            <w:sz w:val="24"/>
            <w:szCs w:val="24"/>
          </w:rPr>
          <w:t>2</w:t>
        </w:r>
        <w:r w:rsidRPr="00BF1B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8E9D1" w14:textId="77777777" w:rsidR="00D569F3" w:rsidRDefault="00D569F3">
      <w:pPr>
        <w:spacing w:after="0" w:line="240" w:lineRule="auto"/>
      </w:pPr>
      <w:r>
        <w:separator/>
      </w:r>
    </w:p>
  </w:footnote>
  <w:footnote w:type="continuationSeparator" w:id="0">
    <w:p w14:paraId="11EBB053" w14:textId="77777777" w:rsidR="00D569F3" w:rsidRDefault="00D569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5A"/>
    <w:rsid w:val="00086C3E"/>
    <w:rsid w:val="00256BA7"/>
    <w:rsid w:val="002B298D"/>
    <w:rsid w:val="002C2701"/>
    <w:rsid w:val="00327AD7"/>
    <w:rsid w:val="0037084B"/>
    <w:rsid w:val="00393903"/>
    <w:rsid w:val="004B6783"/>
    <w:rsid w:val="005065E8"/>
    <w:rsid w:val="0051776B"/>
    <w:rsid w:val="00542B9F"/>
    <w:rsid w:val="006565D7"/>
    <w:rsid w:val="00663C8F"/>
    <w:rsid w:val="00685600"/>
    <w:rsid w:val="0069305A"/>
    <w:rsid w:val="00766A89"/>
    <w:rsid w:val="00A54BF8"/>
    <w:rsid w:val="00A6474B"/>
    <w:rsid w:val="00AB519C"/>
    <w:rsid w:val="00AF00A6"/>
    <w:rsid w:val="00BB3DE9"/>
    <w:rsid w:val="00BF1B5C"/>
    <w:rsid w:val="00C10666"/>
    <w:rsid w:val="00D569F3"/>
    <w:rsid w:val="00E60176"/>
    <w:rsid w:val="00EC59B1"/>
    <w:rsid w:val="00EE3DF0"/>
    <w:rsid w:val="00F0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DA27"/>
  <w15:chartTrackingRefBased/>
  <w15:docId w15:val="{828B7604-4201-4067-8E7B-5D04E49C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3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305A"/>
  </w:style>
  <w:style w:type="paragraph" w:styleId="Stopka">
    <w:name w:val="footer"/>
    <w:basedOn w:val="Normalny"/>
    <w:link w:val="StopkaZnak"/>
    <w:uiPriority w:val="99"/>
    <w:unhideWhenUsed/>
    <w:rsid w:val="00BF1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B5C"/>
  </w:style>
  <w:style w:type="paragraph" w:styleId="Poprawka">
    <w:name w:val="Revision"/>
    <w:hidden/>
    <w:uiPriority w:val="99"/>
    <w:semiHidden/>
    <w:rsid w:val="00BF1B5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86C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6C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6C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6C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6C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1291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Pietrzak Ewa</dc:creator>
  <cp:keywords/>
  <dc:description/>
  <cp:lastModifiedBy>Pietrzak Ewa</cp:lastModifiedBy>
  <cp:revision>3</cp:revision>
  <dcterms:created xsi:type="dcterms:W3CDTF">2024-09-10T13:55:00Z</dcterms:created>
  <dcterms:modified xsi:type="dcterms:W3CDTF">2024-09-10T13:57:00Z</dcterms:modified>
</cp:coreProperties>
</file>