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D462" w14:textId="77777777" w:rsidR="00542433" w:rsidRPr="00A46C57" w:rsidRDefault="00C40A62" w:rsidP="00A46C5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Uzasadnienie</w:t>
      </w:r>
    </w:p>
    <w:p w14:paraId="529C7E83" w14:textId="3FA24C32" w:rsidR="00542433" w:rsidRPr="00A46C57" w:rsidRDefault="00542433" w:rsidP="00A46C57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Potrzeba i cel związania R</w:t>
      </w:r>
      <w:r w:rsidR="004570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zeczypospolitej </w:t>
      </w:r>
      <w:r w:rsidRPr="00A46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4570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olskiej</w:t>
      </w:r>
      <w:r w:rsidRPr="00A46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Protokołem zmieniającym</w:t>
      </w:r>
    </w:p>
    <w:p w14:paraId="3089A534" w14:textId="309F291D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zmiany Porozumienia między Rządem Rzeczypospolitej Polskiej a Organizacją Bezpieczeństwa i Współpracy w Europie w sprawie statusu Organizacji Bezpieczeństwa i Współpracy w Europie w Rzeczypospolitej Polskiej, podpisanego w Warszawie dnia 28 czerwca 2017 r. (Dz. U. z 2018 r. poz. 560 i z 2019 r. poz. 1961), zwanego dalej „Porozumieniem”, jest uwzględnienie postulatów zgłaszanych przez Organizację Bezpieczeństwa i Współpracy w Europie (</w:t>
      </w:r>
      <w:r w:rsidR="00457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="004570A5" w:rsidRPr="004570A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OBWE</w:t>
      </w:r>
      <w:r w:rsidR="004570A5" w:rsidRPr="004570A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) w zakresie przywrócenia funkcjonariuszom Biura Instytucji Demokratycznych i Praw Człowieka OBWE (</w:t>
      </w:r>
      <w:r w:rsidRPr="00A46C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OSCE Office for Democratic Institutions and Human Rights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570A5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„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ODIHR</w:t>
      </w:r>
      <w:r w:rsidR="004570A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posiadającym status dyplomatyczny w</w:t>
      </w:r>
      <w:r w:rsidR="00EA7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0A5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Rzeczypospolitej Polskiej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przywileju zwrotu podatku </w:t>
      </w:r>
      <w:r w:rsidR="00457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towarów i usług, zwanego dalej „podatkiem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VAT</w:t>
      </w:r>
      <w:r w:rsidR="004570A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zakupach na cele prywatne oraz – w</w:t>
      </w:r>
      <w:r w:rsidR="00EA7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 zakresie – przywileju zwrotu podatku akcyzowego.</w:t>
      </w:r>
    </w:p>
    <w:p w14:paraId="2B9381A7" w14:textId="7FFFC922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ODIHR jest jedną z największych instytucji międzynarodowych mających swoje siedziby w </w:t>
      </w:r>
      <w:r w:rsidR="004570A5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Rzeczypospolitej Polskiej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zarazem największą z trzech instytucji autonomicznych OBWE. Instytucja ta – początkowo działająca pod nazwą Biura Wolnych Wyborów KBWE – została ustanowiona na mocy postanowień dokumentu politycznego KBWE/OBWE, tj. Paryskiej Karty dla Nowej Europy. Rząd R</w:t>
      </w:r>
      <w:r w:rsidR="00457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zeczypospolitej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570A5">
        <w:rPr>
          <w:rFonts w:ascii="Times New Roman" w:eastAsia="Times New Roman" w:hAnsi="Times New Roman" w:cs="Times New Roman"/>
          <w:sz w:val="24"/>
          <w:szCs w:val="24"/>
          <w:lang w:eastAsia="pl-PL"/>
        </w:rPr>
        <w:t>olskiej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zobowiązał się w 1990 r. do goszczenia ODIHR w </w:t>
      </w:r>
      <w:r w:rsidR="004570A5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Rzeczypospolitej Polskiej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zapewnienia mu właściwych warunków działania, w szczególności przyznania tej instytucji stosownego statusu dyplomatycznego. W 1991 r. przywileje i immunitety dla funkcjonariuszy Biura Wolnych Wyborów</w:t>
      </w:r>
      <w:r w:rsidR="00457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KBWE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następnie w 1992 r. </w:t>
      </w:r>
      <w:r w:rsidR="004570A5">
        <w:rPr>
          <w:rFonts w:ascii="Times New Roman" w:eastAsia="Times New Roman" w:hAnsi="Times New Roman" w:cs="Times New Roman"/>
          <w:sz w:val="24"/>
          <w:szCs w:val="24"/>
          <w:lang w:eastAsia="pl-PL"/>
        </w:rPr>
        <w:t>ODIHR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 zmianie nazwy i rozszerzeniu mandatu) zostały przyznane w drodze uchwały </w:t>
      </w:r>
      <w:r w:rsidR="00EA7FC7" w:rsidRPr="00262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65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Ministrów z dnia 2 maja 1991 r. w sprawie działania Biura Wolnych Wyborów Konferencji Bezpieczeństwa i Współpracy w Europie z siedzibą w Warszawie (M.P. poz.</w:t>
      </w:r>
      <w:r w:rsidR="00EA7F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106), zastąpionej następnie uchwałą nr 62 Rady Ministrów z dnia 5 czerwca 1992 r. w sprawie Biura Instytucji Demokratycznych i Praw Człowieka Konferencji Bezpieczeństwa i Współpracy w Europie z siedzibą w</w:t>
      </w:r>
      <w:r w:rsidR="004F3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</w:t>
      </w:r>
      <w:r w:rsidRPr="00A46C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(M.P. poz.</w:t>
      </w:r>
      <w:r w:rsidR="00E824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118). Jakkolwiek po wejściu w życie ustawy z dnia 22 grudnia 2000 r. o</w:t>
      </w:r>
      <w:r w:rsidR="004F3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zmianie niektórych upoważnień ustawowych do wydawania aktów normatywnych oraz o zmianie niektórych ustaw (Dz. U. poz. 1268) – wydanej w związku z przyjęciem Konstytucji Rzeczypospolitej Polskiej z dnia 2 kwietnia 1997 </w:t>
      </w:r>
      <w:r w:rsidR="00EA7F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C72E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. (Dz.</w:t>
      </w:r>
      <w:r w:rsidR="00EA7F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U. poz.</w:t>
      </w:r>
      <w:r w:rsidR="00E824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483, z późn. zm.), porządkującej system źródeł prawa – powyższa uchwała przestała obowiązywać</w:t>
      </w:r>
      <w:r w:rsidRPr="00A46C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to podtrzymanie przyznanych w ww. uchwale Rady Ministrów przywilejów i immunitetów zostało potwierdzone na mocy decyzji politycznej, odzwierciedlonej w nocie dyplomatycznej Ministerstwa Spraw Zagranicznych nr PD 130-1-06 OBWE/684/06 z </w:t>
      </w:r>
      <w:r w:rsidR="0075385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lipca 2006</w:t>
      </w:r>
      <w:r w:rsidR="004F36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potwierdzającej korzystanie przez ODIHR oraz członków jego personelu z przywilejów i immunitetów określonych w Paryskiej Karcie dla Nowej Europy z 1990 r. Powyższy stan faktyczny wymagał jednak uporządkowania, w związku z czym zasadne stało się uregulowanie statusu prawnego OBWE oraz obecności </w:t>
      </w:r>
      <w:r w:rsidR="007538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ODIHR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funkcjonariuszy na terytorium R</w:t>
      </w:r>
      <w:r w:rsidR="00753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zeczypospolitej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5385F">
        <w:rPr>
          <w:rFonts w:ascii="Times New Roman" w:eastAsia="Times New Roman" w:hAnsi="Times New Roman" w:cs="Times New Roman"/>
          <w:sz w:val="24"/>
          <w:szCs w:val="24"/>
          <w:lang w:eastAsia="pl-PL"/>
        </w:rPr>
        <w:t>olskiej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umowy międzynarodowej. Efektem ww. działań było zawarcie Porozumienia, podpisanego w Warszawie dnia 28 czerwca 2017 r., które weszło w życie dnia 5 lutego 2018</w:t>
      </w:r>
      <w:r w:rsidR="004F36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4E19B44" w14:textId="7218CA6C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czasu wejścia w życie przywołanego Porozumienia ww. funkcjonariuszom ODIHR posiadającym status dyplomatyczny w </w:t>
      </w:r>
      <w:r w:rsidR="0075385F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Rzeczypospolitej Polskiej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przysługiwał przywilej zwrotu podatku VAT przy zakupach na cele prywatne oraz zwrotu podatku akcyzowego (w</w:t>
      </w:r>
      <w:r w:rsidR="004F3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 zakresie), przyznany na podstawie decyzji politycznej, co w początkowym okresie obecności ODIHR w Warszawie znalazło odzwierciedlenie w ww. uchwałach Rady Ministrów. W wyniku wejścia w życie Porozumienia został ustanowiony nowy stan prawny, w</w:t>
      </w:r>
      <w:r w:rsidR="004F3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którym – wobec braku stosownych postanowień Porozumienia sformułowanych </w:t>
      </w:r>
      <w:r w:rsidRPr="00A46C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expressis verbis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funkcjonariusze ODIHR, wskazani w Aneksie 2 do tegoż, utracili ww. przywileje. Tym samym stosowanie Porozumienia przestało realizować w praktyce intencję stron, wskazaną m.in. w uzasadnieniu wniosku o ratyfikację ww. umowy międzynarodowej (por. druk sejmowy Sejmu R</w:t>
      </w:r>
      <w:r w:rsidR="00753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zeczypospolitej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5385F">
        <w:rPr>
          <w:rFonts w:ascii="Times New Roman" w:eastAsia="Times New Roman" w:hAnsi="Times New Roman" w:cs="Times New Roman"/>
          <w:sz w:val="24"/>
          <w:szCs w:val="24"/>
          <w:lang w:eastAsia="pl-PL"/>
        </w:rPr>
        <w:t>olskiej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VIII </w:t>
      </w:r>
      <w:r w:rsidR="0075385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adencji nr 1872, str. 4), zgodnie z którą nowe regulacje nie powinny zawierać porozumień mniej korzystnych dla OBWE i dla jej pracowników niż te, z których korzystali oni przed wejściem w życie Porozumienia.</w:t>
      </w:r>
    </w:p>
    <w:p w14:paraId="6E0E50FF" w14:textId="77777777" w:rsidR="00542433" w:rsidRPr="00A46C57" w:rsidRDefault="00542433" w:rsidP="00A46C57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649E9" w14:textId="3C1A92C9" w:rsidR="00542433" w:rsidRPr="00A46C57" w:rsidRDefault="00542433" w:rsidP="00A46C57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Różnice między dotychczasowym </w:t>
      </w:r>
      <w:r w:rsidR="00295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A46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projektowanym stanem prawnym</w:t>
      </w:r>
    </w:p>
    <w:p w14:paraId="0BFEDC34" w14:textId="5FA201DE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zmiana </w:t>
      </w:r>
      <w:r w:rsidR="00295C0C" w:rsidRPr="005E270C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295C0C" w:rsidRPr="00295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dotyczyć wprowadzenia do Porozumienia nowego postanowienia umownego, rozszerzającego zakres przywilejów i immunitetów w odniesieniu do zwolnień podatkowych z tytułu zakupów na cele prywatne przysługujących funkcjonariuszom ODIHR akredytowanym w </w:t>
      </w:r>
      <w:r w:rsidR="0075385F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Rzeczypospolitej Polskiej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wskazanym w sekcji 2 Aneksu do Porozumienia (tj. osobom zajmującym szesnaście enumeratywnie wyliczonych stanowisk w</w:t>
      </w:r>
      <w:r w:rsidR="00D4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strukturze </w:t>
      </w:r>
      <w:r w:rsidR="00E8245E">
        <w:rPr>
          <w:rFonts w:ascii="Times New Roman" w:eastAsia="Times New Roman" w:hAnsi="Times New Roman" w:cs="Times New Roman"/>
          <w:sz w:val="24"/>
          <w:szCs w:val="24"/>
          <w:lang w:eastAsia="pl-PL"/>
        </w:rPr>
        <w:t>ODIHR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46C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526E1D" w14:textId="46FE9125" w:rsidR="00542433" w:rsidRPr="00A46C57" w:rsidRDefault="00542433" w:rsidP="00A46C57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proponowaną zmianą w artykule 9 Porozumienia (dotyczącym funkcjonariuszy </w:t>
      </w:r>
      <w:r w:rsidR="00357221">
        <w:rPr>
          <w:rFonts w:ascii="Times New Roman" w:eastAsia="Times New Roman" w:hAnsi="Times New Roman" w:cs="Times New Roman"/>
          <w:sz w:val="24"/>
          <w:szCs w:val="24"/>
          <w:lang w:eastAsia="pl-PL"/>
        </w:rPr>
        <w:t>OBWE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zostanie dodany ustęp 6a </w:t>
      </w:r>
      <w:r w:rsidR="00295C0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następującym brzmieniu:</w:t>
      </w:r>
    </w:p>
    <w:p w14:paraId="3457235B" w14:textId="77777777" w:rsidR="00542433" w:rsidRPr="00A46C57" w:rsidRDefault="00542433" w:rsidP="00A46C5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„6a. Oprócz przywilejów i immunitetów, określonych w artykule 9 ustęp 2, pracownicy ODIHR zajmujący stanowiska wymienione w sekcji 2 Aneksu, pod warunkiem że nie są oni obywatelami polskimi ani osobami posiadającymi prawo stałego pobytu w Rzeczypospolitej Polskiej, są zwolnieni z:</w:t>
      </w:r>
    </w:p>
    <w:p w14:paraId="0DF42537" w14:textId="77777777" w:rsidR="00542433" w:rsidRPr="00A46C57" w:rsidRDefault="00542433" w:rsidP="00A46C57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od towarów i usług oraz podatku akcyzowego od zakupu w Rzeczypospolitej Polskiej na cele prywatne jednego pojazdu silnikowego, nie częściej niż raz na trzy lata,</w:t>
      </w:r>
    </w:p>
    <w:p w14:paraId="6A446992" w14:textId="2F131EB8" w:rsidR="00542433" w:rsidRPr="00A46C57" w:rsidRDefault="00542433" w:rsidP="00A46C57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od towarów i usług od zakupu w Rzeczypospolitej Polskiej towarów innych niż wymienione w literze a i usług na cele prywatne</w:t>
      </w:r>
    </w:p>
    <w:p w14:paraId="5D9307E3" w14:textId="0B8E505D" w:rsidR="00542433" w:rsidRPr="00A46C57" w:rsidRDefault="004F3600" w:rsidP="00A46C57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9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2433"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lub takich podatków, które je zastąpią. Zwolnienia te są stosowane na warunkach przewidzianych w przepisach obowiązujących w Rzeczypospolitej Polskiej.”</w:t>
      </w:r>
    </w:p>
    <w:p w14:paraId="6CA28759" w14:textId="3CA8D8AB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 kwestię zwolnień personelu organizacji międzynarodowych mających siedzibę na terytorium R</w:t>
      </w:r>
      <w:r w:rsidR="0035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zeczypospolitej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57221">
        <w:rPr>
          <w:rFonts w:ascii="Times New Roman" w:eastAsia="Times New Roman" w:hAnsi="Times New Roman" w:cs="Times New Roman"/>
          <w:sz w:val="24"/>
          <w:szCs w:val="24"/>
          <w:lang w:eastAsia="pl-PL"/>
        </w:rPr>
        <w:t>olskiej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podatku od towarów i usług oraz podatku akcyzowego, z tytułu nabycia na terytorium </w:t>
      </w:r>
      <w:r w:rsidR="00357221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Rzeczypospolitej Polskiej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towarów i usług, o których mowa w</w:t>
      </w:r>
      <w:r w:rsidR="004F3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projektowanym Protokole, regulują odpowiednio:</w:t>
      </w:r>
    </w:p>
    <w:p w14:paraId="322F5326" w14:textId="1AB5E3E0" w:rsidR="00542433" w:rsidRPr="00A46C57" w:rsidRDefault="00542433" w:rsidP="00A46C57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ustawa z dnia 11 marca 2004 r. o podatku od towarów i usług (Dz. U. z 202</w:t>
      </w:r>
      <w:r w:rsidR="00DE0B08"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D3020"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4F36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E0B08"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361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zm.);</w:t>
      </w:r>
    </w:p>
    <w:p w14:paraId="5C95AF58" w14:textId="77E7A6F3" w:rsidR="00542433" w:rsidRPr="00A46C57" w:rsidRDefault="00542433" w:rsidP="00A46C57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grudnia 2008 r. o podatku akcyzowym (Dz. U. z 2023 r. poz. 1542, z późn. zm.);</w:t>
      </w:r>
    </w:p>
    <w:p w14:paraId="7574BB4D" w14:textId="55B41EA3" w:rsidR="00542433" w:rsidRPr="00A46C57" w:rsidRDefault="00542433" w:rsidP="00A46C57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Finansów z dnia 29 września 2005 r. w sprawie przypadków i trybu zwrotu podatku od towarów i usług przedstawicielstwom dyplomatycznym, urzędom konsularnym, członkom personelu tych przedstawicielstw i urzędów, a także innym osobom zrównanym z nimi na podstawie ustaw, umów lub zwyczajów międzynarodowych (Dz. U. 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z 2024 r. poz. 1220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1A426E3D" w14:textId="28954E2A" w:rsidR="00542433" w:rsidRPr="00A46C57" w:rsidRDefault="00542433" w:rsidP="00A46C57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§ 19 i nn. rozporządzenia Ministra Finansów, Funduszy i Polityki Regionalnej z dnia 28 czerwca 2021 r. w sprawie zwolnień od podatku akcyzowego (Dz. U. z 2023</w:t>
      </w:r>
      <w:r w:rsidR="004F36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4F36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1891).</w:t>
      </w:r>
    </w:p>
    <w:p w14:paraId="018BD7FB" w14:textId="13D22BD4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Odnosząc się do projektowanych zmian, należy dodatkowo wyjaśnić, że w świetle ugruntowanej praktyki międzynarodowej w zakresie stosowania postanowień Konwencji wiedeńskiej o stosunkach dyplomatycznych, sporządzonej w Wiedniu dnia 18 kwietnia 1961</w:t>
      </w:r>
      <w:r w:rsidR="004F36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(Dz. U. z 1965 r. poz. 232), 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„KWSD”, oraz Konwencji dotyczącej przywilejów i immunitetów Narodów Zjednoczonych zatwierdzonej przez Ogólne Zgromadzenie Narodów Zjednoczonych dnia 13 lutego 1946 r. (Dz. U. z 1948 r. poz.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7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286), 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„Konwencj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ONZ”, do których odwołuje się ostatni akapit preambuły Porozumienia, przyznanie pracownikom ODIHR przywilejów podatkowych określonych w projekcie Protokołu nie stanowi naruszenia art. 10 </w:t>
      </w:r>
      <w:r w:rsidR="002E4A05"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Porozumienia, zgodnie z którym przywileje i immunitety określone w Porozumieniu </w:t>
      </w:r>
      <w:r w:rsidR="004D79DB" w:rsidRPr="004B1656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4D79DB" w:rsidRPr="004D7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przyznane „wyłącznie z uwagi na interes OBWE, a nie dla osobistych korzyści poszczególnych osób”, jak również standardów w zakresie przyznawania przywilejów i immunitetów, wyznaczonych przez ww. 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onwencje.</w:t>
      </w:r>
    </w:p>
    <w:p w14:paraId="6CE9660A" w14:textId="5BF22E61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zwrócić uwagę, że jakkolwiek motyw 4 preambuły KWSD oraz §</w:t>
      </w:r>
      <w:r w:rsidR="004D79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Konwencji ONZ zawierają podobne zastrzeżenie jak w art. 10 Porozumienia, to jednak analiza postanowień obydwu 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onwencji wskazuje, że zawierają one postanowienia przyznające uprawnionym osobom szereg przywilejów, które przynajmniej częściowo mają charakter osobistej korzyści. Jako przykłady można wskazać § 18 lit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b, e 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 Konwencji ONZ przewidujący zwolnienie funkcjonariuszy ONZ od opodatkowania wynagrodzeń, ułatwienia przy wymianie waluty oraz zwolnienie od opłat celnych w odniesieniu do rzeczy wwożonych do danego kraju przy obejmowaniu stanowiska. W odniesieniu do przedstawicieli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dyplomatycznych podobne przywileje można odnaleźć w KWSD: </w:t>
      </w:r>
      <w:r w:rsidRPr="00A46C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chapeau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34 (ogólne zwolnienie z podatków i</w:t>
      </w:r>
      <w:r w:rsidR="004D7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opłat) oraz art. 36 ust. 1 lit. b (zwolnienie z podatków i opłat celnych przedmiotów przeznaczonych do osobistego użytku).</w:t>
      </w:r>
    </w:p>
    <w:p w14:paraId="50FC6DC4" w14:textId="754BCD31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postanowienia art. 9 Porozumienia, mimo zasady określonej w jego art. 10, zawierają postanowienia przyznające funkcjonariuszom OBWE przywileje mające</w:t>
      </w:r>
      <w:r w:rsidR="002E4A05"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przynajmniej częściowo</w:t>
      </w:r>
      <w:r w:rsidR="002E4A05"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 osobistych korzyści. Jako przykład można wskazać art.</w:t>
      </w:r>
      <w:r w:rsidR="004D79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9 ust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lit. c (zwolnienie z opodatkowania wynagrodzeń otrzymywanych od OBWE), lit.</w:t>
      </w:r>
      <w:r w:rsidR="004D79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f (ułatwienia dot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yczące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waluty i jej wymiany) oraz lit. j (zwolnienia od opodatkowania i cła rzeczy przywożonych do R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zeczypospolitej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olskiej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F0BDF60" w14:textId="4F686691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art. 34 lit. a KWSD, który przewiduje – jako ogólną zasadę – podleganie przedstawicieli dyplomatycznych obowiązkowi ponoszenia podatków pośrednich państwa przyjmującego, należy zwrócić uwagę na art. 47 ust. 2 lit. b KWSD, który stanowi podstawę dla przyznawania przez zainteresowane państwa, na zasadzie wzajemności, przywilejów lub immunitetów w zakresie szerszym niż przewidziany w 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tej k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onwencji. W praktyce stosunków międzynarodowych – szeroko stosowanej również przez stronę polską – przepis ten jest wykorzystywany przez państwa jako narzędzie umożliwiające uzyskiwanie zwolnienia, na zasadzie wzajemności, swych przedstawicieli dyplomatycznych od obowiązku uiszczania podatków pośrednich (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podatku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VAT i 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podatku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akcyz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owego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Wypada ponadto zaznaczyć, że przywrócenie przywileju zwrotu podatku VAT i 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podatku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akcyzowego z tytułu zakupu pojazdów wydaje się zasadne z uwagi na fakt, że pojazdy stanowią narzędzia, które bez wątpienia ułatwiają funkcjonariuszom ODIHR/OBWE wykonywanie zadań służbowych w państwie przyjmującym.</w:t>
      </w:r>
    </w:p>
    <w:p w14:paraId="05856AA7" w14:textId="733397DF" w:rsidR="00542433" w:rsidRPr="00A46C57" w:rsidRDefault="00542433" w:rsidP="00A46C5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9370C" w14:textId="77777777" w:rsidR="00542433" w:rsidRPr="00A46C57" w:rsidRDefault="00542433" w:rsidP="00A46C57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Przewidywane skutki polityczne, społeczne, gospodarcze, finansowe i prawne związane z wejściem w życie Protokołu zmieniającego </w:t>
      </w:r>
    </w:p>
    <w:p w14:paraId="0532F65D" w14:textId="40813C7E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Podstawową konsekwencją wejścia w życie Protokołu będą korzyści polityczne. Jako państwo goszczące ODIHR – a zarazem dwie najważniejsze konferencje wymiaru ludzkiego OBWE, tj. Spotkanie Przeglądowe Wymiaru Ludzkiego (</w:t>
      </w:r>
      <w:r w:rsidRPr="00A46C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Human Dimension Implementation Meeting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, HDIM) oraz Seminarium Wymiaru Ludzkiego (</w:t>
      </w:r>
      <w:r w:rsidRPr="00A46C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Human Dimension Seminar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, HDS)</w:t>
      </w:r>
      <w:r w:rsidR="00060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Rzeczpospolita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Polska przywiązuje duże znaczenie do współpracy z </w:t>
      </w:r>
      <w:r w:rsidR="003C6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ODIHR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tym kontekście brak jest uzasadnienia dla faktycznego zmniejszenia zakresu przywilejów i immunitetów funkcjonariuszy ODIHR posiadających status dyplomatyczny w stosunku do stanu sprzed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wejścia w życie aktualnie obowiązującego Porozumienia, którego głównym celem było uregulowanie prawne statusu </w:t>
      </w:r>
      <w:r w:rsidR="003C6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ODIHR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pracowników (po długotrwałym okresie funkcjonowania ODIHR w 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Rzeczypospolitej Polskiej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w oparciu o decyzje o charakterze politycznym); przy jednoczesnym założeniu, że nowy stan prawny nie będzie obejmował postanowień mniej korzystnych niż obowiązujące w poprzednim stanie prawnym. Kwestia przywrócenia poprzedniego zakresu zwolnień podatkowych była podnoszona kilkukrotnie przez ODIHR/OBWE w rozmowach ze stroną polską na szczeblu Ministra Spraw Zagranicznych, podczas których zwracano uwagę na możliwość przedstawienia tej sprawy również na forum wielostronnym, jako odnoszącego się do przywilejów i immunitetów jej funkcjonariuszy w państwach organizacji.</w:t>
      </w:r>
    </w:p>
    <w:p w14:paraId="0F22029D" w14:textId="3BFBC00D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także zaznaczyć, że na forum OBWE 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Rzeczpospolita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Polska popiera niezależny mandat </w:t>
      </w:r>
      <w:r w:rsidR="003C6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ODIHR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zapewnienie odpowiedniego finansowania jego działalności. Na uwagę zasługuje w szczególności znaczenie ODIHR dla rozwoju standardów demokratycznych, w tym zwłaszcza metodologii obserwacji wyborów na obszarze OBWE, obejmującym 57 państw Europy, Azji i</w:t>
      </w:r>
      <w:r w:rsidR="00D52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Ameryki Północnej. Ze względu na stale zmniejszającą się przestrzeń funkcjonowania instytucji demokratycznych i społeczeństwa obywatelskiego w niektórych państwach Europy Wschodniej i Azji Środkowej działalność ODIHR – obejmująca zarówno bieżący monitoring wyborów, jak i opinie oraz rekomendacje dotyczące stanu przestrzegania praw człowieka i</w:t>
      </w:r>
      <w:r w:rsidR="00D52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podstawowych wolności w poszczególnych państwach – poddawana jest krytyce przez niektóre z państw organizacji, określane mianem położonych „na wschód od Wiednia”. W tym kontekście utrzymanie aktualnego stanu prawnego w omawianym zakresie pozostaje niespójne z deklarowanymi celami polityki polskiej wobec </w:t>
      </w:r>
      <w:r w:rsidR="003C6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ODIHR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instytucji autonomicznych organizacji.</w:t>
      </w:r>
    </w:p>
    <w:p w14:paraId="26CAF6B0" w14:textId="728E2200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Wypada też dodać, że w 2022 r. 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Rzeczpospolita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Polska sprawowała roczne 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rzewodnictwo w OBWE, co przekładało się na dodatkową, zwiększoną współpracę z instytucjami organizacji. Polskie przewodnictwo w OBWE w 2022 r</w:t>
      </w:r>
      <w:r w:rsidR="001207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w istotny sposób zdeterminowane przez agresję Rosji na Ukrainę, a jego wymiernym sukcesem w obszarze wymiaru ludzkiego była organizacja Warszawskiej Konferencji Wymiaru Ludzkiego (</w:t>
      </w:r>
      <w:r w:rsidRPr="00A46C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Warsaw Human Dimension Conference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, WHDC), która odbyła się w dniach 26.09–07.10.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r. Polskie przewodnictwo potwierdziło wszechstronne zaangażowanie 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Rzeczypospolitej Polskiej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bezpieczeństwa i współpracy regionalnej, a także rosnące znaczenie ODIHR w kontekście ochrony praw człowieka w państwach Europy Wschodniej w aktualnej sytuacji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międzynarodowej. Kolejna edycja konferencji została zorganizowana w Warszawie w dniach 2</w:t>
      </w:r>
      <w:r w:rsidR="00120724" w:rsidRPr="00BA092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3C69B1">
        <w:rPr>
          <w:rFonts w:ascii="Times New Roman" w:eastAsia="Times New Roman" w:hAnsi="Times New Roman" w:cs="Times New Roman"/>
          <w:sz w:val="24"/>
          <w:szCs w:val="24"/>
          <w:lang w:eastAsia="pl-PL"/>
        </w:rPr>
        <w:t>.10.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</w:t>
      </w:r>
    </w:p>
    <w:p w14:paraId="53667383" w14:textId="77777777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Sfinalizowanie negocjacji Protokołu i doprowadzenie do jego podpisania, a docelowo również ratyfikacji, może zostać wykorzystane wizerunkowo przez stronę polską jako działanie na rzecz ugruntowania współpracy z OBWE. Byłoby to zarazem działanie dające się wpisać w zakres „przewodzenia poprzez przykład” (</w:t>
      </w:r>
      <w:r w:rsidRPr="00A46C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leading by example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), ukierunkowanego na podejmowanie własnych zobowiązań w ramach organizacji, mających na celu ułatwienie realizacji jej misji oraz ulepszenie warunków pracy i życia jej funkcjonariuszy w państwie goszczącym.</w:t>
      </w:r>
    </w:p>
    <w:p w14:paraId="1C6A3D90" w14:textId="79D073D1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Nowy stan prawny po wejściu w życie projektowanej zmiany może spowodować zmniejszenie wpływów do budżetu państwa. Mając jednak na uwadze, że projektowane zmiany </w:t>
      </w:r>
      <w:r w:rsidR="00120724" w:rsidRPr="001E7E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będą </w:t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obejmować niewielką grupę funkcjonariuszy ODIHR (około 16 osób), nie należy spodziewać się znaczącego uszczuplenia dochodów budżetu państwa z tytułu stosownych zwolnień podatkowych. W tym kontekście wypada zaznaczyć, że – tytułem przykładu – w pierwszym i</w:t>
      </w:r>
      <w:r w:rsidR="001207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drugim kwartale 2016 r. (tj. </w:t>
      </w:r>
      <w:r w:rsidRPr="00A46C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de facto</w:t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przedostatnim roku obowiązywania ww. zwolnień) łączna kwota zwolnień podatkowych dla funkcjonariuszy ODIHR z tytułu zakupów na cele prywatne wyniosła 98 878,48 PLN, w skład której wchodziła wartość zwolnień podatkowych z tytułu dwóch zakupionych samochodów (tj. po jednym w</w:t>
      </w:r>
      <w:r w:rsidR="001207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każdym kwartale)</w:t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footnoteReference w:id="3"/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W</w:t>
      </w:r>
      <w:r w:rsidR="001207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oparciu o powyższe dane można zatem założyć, że uśredniona roczna szacunkowa wartość zwrotów obu podatków (tj. </w:t>
      </w:r>
      <w:r w:rsidR="009458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podatku </w:t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VAT i </w:t>
      </w:r>
      <w:r w:rsidR="009458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podatku </w:t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akcyzowego) łącznie powinna kształtować się w rzędzie wielkości ok. 288 600 PLN</w:t>
      </w:r>
      <w:r w:rsidR="001207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uwzględniając średnioroczny wzrost cen towarów i usług konsumpcyjnych (tj. 45,95</w:t>
      </w:r>
      <w:r w:rsidR="001127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% wartości, zgodnie z</w:t>
      </w:r>
      <w:r w:rsidR="001207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udostępnionym na stronie Ministerstwa Finansów narzędziem elektronicznym przeznaczonym do szacowania wartości dóbr z uwzględnieniem inflacji</w:t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footnoteReference w:id="4"/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). Wypada przy tym zaznaczyć, że powyższy szacunek został </w:t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przeprowadzony bez uwzględnienia kształtowania się ww. wskaźników w</w:t>
      </w:r>
      <w:r w:rsidR="001207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przyszłości. Nie powinny one jednak znacząco wpływać na zwiększenie rzędu wydatków, a tym samym na istotne uszczuplenie dochodów budżetu państwa</w:t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footnoteReference w:id="5"/>
      </w:r>
      <w:r w:rsidRPr="00A4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32C8700A" w14:textId="666CE759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Wydaje się zatem, że w opisanej perspektywie korzyści polityczne </w:t>
      </w:r>
      <w:r w:rsidR="00120724" w:rsidRPr="002E1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przeważać nad zakładanymi obciążeniami dla budżetu państwa.</w:t>
      </w:r>
    </w:p>
    <w:p w14:paraId="4E7F0859" w14:textId="7AF43BC3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w życie Protokołu nie będzie miało wpływu na inne osoby niż funkcjonariusze ODIHR wskazani w Aneksie 2 Porozumienia (w szczególności nie będzie ono mieć wpływu na sytuację prawną obywateli polskich i polskich osób prawnych ani też na polski rynek pracy). Nie będzie powodowało też zagrożenia dla zdrowia i porządku publicznego oraz bezpieczeństwa państwa.</w:t>
      </w:r>
    </w:p>
    <w:p w14:paraId="7A701A91" w14:textId="06A5A067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Protokołu nie spowoduje także konieczności dokonywania zmian w prawie polskim. Nie ma również konieczności wdrażania dodatkowych środków prawnych w celu wykonania tej umowy międzynarodowej. Zakres projektowanej regulacji nie jest objęty prawem Unii Europejskiej.</w:t>
      </w:r>
    </w:p>
    <w:p w14:paraId="39B81D85" w14:textId="1B074CF0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w życie Protokołu nie wywoła skutków gospodarczych i społecznych.</w:t>
      </w:r>
    </w:p>
    <w:p w14:paraId="67514012" w14:textId="77777777" w:rsidR="00542433" w:rsidRPr="00A46C57" w:rsidRDefault="00542433" w:rsidP="00A46C5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3DAB1" w14:textId="77777777" w:rsidR="00542433" w:rsidRPr="00A46C57" w:rsidRDefault="00542433" w:rsidP="00A46C57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zmiany Porozumienia i związania Protokołem zmieniającym</w:t>
      </w:r>
    </w:p>
    <w:p w14:paraId="362BA327" w14:textId="021F4B8A" w:rsidR="00542433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 Porozumienia jego zmiana zostanie dokonana w formie pisemnej.</w:t>
      </w:r>
    </w:p>
    <w:p w14:paraId="1159E05F" w14:textId="46C964EE" w:rsidR="000624A1" w:rsidRPr="00A46C57" w:rsidRDefault="00542433" w:rsidP="00A46C57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fakt, że postanowienia Protokołu rozszerzają zakres przywilejów i immunitetów w odniesieniu do zwolnień od podatku </w:t>
      </w:r>
      <w:r w:rsidR="008A62AF">
        <w:rPr>
          <w:rFonts w:ascii="Times New Roman" w:eastAsia="Times New Roman" w:hAnsi="Times New Roman" w:cs="Times New Roman"/>
          <w:sz w:val="24"/>
          <w:szCs w:val="24"/>
          <w:lang w:eastAsia="pl-PL"/>
        </w:rPr>
        <w:t>VAT</w:t>
      </w:r>
      <w:r w:rsidR="007655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dotyczą spraw uregulowanych w ustawie lub w których Konstytucja wymaga ustawy, związanie Rzeczypospolitej Polskiej przedmiotowym Protokołem nastąpi w drodze ratyfikacji za uprzednią zgodą wyrażoną w</w:t>
      </w:r>
      <w:r w:rsidR="00765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ustawie, zgodnie z art. 12 ust. 2 ustawy z</w:t>
      </w:r>
      <w:r w:rsidR="00765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14 kwietnia 2000</w:t>
      </w:r>
      <w:r w:rsidR="007655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umowach 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międzynarodowych (Dz. U. z 2020 r. poz. 127), na podstawie art. 89 ust. 1 pkt</w:t>
      </w:r>
      <w:r w:rsidR="007655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6C57">
        <w:rPr>
          <w:rFonts w:ascii="Times New Roman" w:eastAsia="Times New Roman" w:hAnsi="Times New Roman" w:cs="Times New Roman"/>
          <w:sz w:val="24"/>
          <w:szCs w:val="24"/>
          <w:lang w:eastAsia="pl-PL"/>
        </w:rPr>
        <w:t>5 Konstytucji Rzeczypospolitej Polskiej z dnia 2 kwietnia 1997 r.</w:t>
      </w:r>
    </w:p>
    <w:sectPr w:rsidR="000624A1" w:rsidRPr="00A46C57" w:rsidSect="00F548F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346B" w14:textId="77777777" w:rsidR="008E7A4E" w:rsidRDefault="008E7A4E" w:rsidP="00542433">
      <w:pPr>
        <w:spacing w:after="0" w:line="240" w:lineRule="auto"/>
      </w:pPr>
      <w:r>
        <w:separator/>
      </w:r>
    </w:p>
  </w:endnote>
  <w:endnote w:type="continuationSeparator" w:id="0">
    <w:p w14:paraId="02E24C73" w14:textId="77777777" w:rsidR="008E7A4E" w:rsidRDefault="008E7A4E" w:rsidP="0054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E148" w14:textId="77777777" w:rsidR="005D2F74" w:rsidRPr="00F548FB" w:rsidRDefault="00431640">
    <w:pPr>
      <w:pStyle w:val="Stopka"/>
      <w:jc w:val="center"/>
      <w:rPr>
        <w:sz w:val="24"/>
        <w:szCs w:val="24"/>
      </w:rPr>
    </w:pPr>
    <w:r w:rsidRPr="00F548FB">
      <w:rPr>
        <w:sz w:val="24"/>
        <w:szCs w:val="24"/>
      </w:rPr>
      <w:fldChar w:fldCharType="begin"/>
    </w:r>
    <w:r w:rsidRPr="00F548FB">
      <w:rPr>
        <w:sz w:val="24"/>
        <w:szCs w:val="24"/>
      </w:rPr>
      <w:instrText xml:space="preserve"> PAGE   \* MERGEFORMAT </w:instrText>
    </w:r>
    <w:r w:rsidRPr="00F548FB">
      <w:rPr>
        <w:sz w:val="24"/>
        <w:szCs w:val="24"/>
      </w:rPr>
      <w:fldChar w:fldCharType="separate"/>
    </w:r>
    <w:r w:rsidR="006D3020" w:rsidRPr="00F548FB">
      <w:rPr>
        <w:noProof/>
        <w:sz w:val="24"/>
        <w:szCs w:val="24"/>
      </w:rPr>
      <w:t>3</w:t>
    </w:r>
    <w:r w:rsidRPr="00F548FB">
      <w:rPr>
        <w:sz w:val="24"/>
        <w:szCs w:val="24"/>
      </w:rPr>
      <w:fldChar w:fldCharType="end"/>
    </w:r>
  </w:p>
  <w:p w14:paraId="1D325F93" w14:textId="77777777" w:rsidR="005D2F74" w:rsidRDefault="00501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C376" w14:textId="77777777" w:rsidR="008E7A4E" w:rsidRDefault="008E7A4E" w:rsidP="00542433">
      <w:pPr>
        <w:spacing w:after="0" w:line="240" w:lineRule="auto"/>
      </w:pPr>
      <w:r>
        <w:separator/>
      </w:r>
    </w:p>
  </w:footnote>
  <w:footnote w:type="continuationSeparator" w:id="0">
    <w:p w14:paraId="6A9B545A" w14:textId="77777777" w:rsidR="008E7A4E" w:rsidRDefault="008E7A4E" w:rsidP="00542433">
      <w:pPr>
        <w:spacing w:after="0" w:line="240" w:lineRule="auto"/>
      </w:pPr>
      <w:r>
        <w:continuationSeparator/>
      </w:r>
    </w:p>
  </w:footnote>
  <w:footnote w:id="1">
    <w:p w14:paraId="6B7364BA" w14:textId="5A6E3825" w:rsidR="00542433" w:rsidRPr="00A46C57" w:rsidRDefault="00542433" w:rsidP="004F3600">
      <w:pPr>
        <w:pStyle w:val="Tekstprzypisudolnego"/>
        <w:ind w:left="284" w:hanging="284"/>
        <w:jc w:val="both"/>
        <w:rPr>
          <w:sz w:val="18"/>
          <w:szCs w:val="18"/>
        </w:rPr>
      </w:pPr>
      <w:r w:rsidRPr="00A46C57">
        <w:rPr>
          <w:rStyle w:val="Odwoanieprzypisudolnego"/>
          <w:sz w:val="18"/>
          <w:szCs w:val="18"/>
        </w:rPr>
        <w:footnoteRef/>
      </w:r>
      <w:r w:rsidR="004F3600">
        <w:rPr>
          <w:sz w:val="18"/>
          <w:szCs w:val="18"/>
        </w:rPr>
        <w:tab/>
      </w:r>
      <w:r w:rsidRPr="00A46C57">
        <w:rPr>
          <w:sz w:val="18"/>
          <w:szCs w:val="18"/>
        </w:rPr>
        <w:t>Zgodnie z systemem źródeł prawa regulowanym w Konstytucji R</w:t>
      </w:r>
      <w:r w:rsidR="0075385F">
        <w:rPr>
          <w:sz w:val="18"/>
          <w:szCs w:val="18"/>
        </w:rPr>
        <w:t xml:space="preserve">zeczypospolitej </w:t>
      </w:r>
      <w:r w:rsidRPr="00A46C57">
        <w:rPr>
          <w:sz w:val="18"/>
          <w:szCs w:val="18"/>
        </w:rPr>
        <w:t>P</w:t>
      </w:r>
      <w:r w:rsidR="0075385F">
        <w:rPr>
          <w:sz w:val="18"/>
          <w:szCs w:val="18"/>
        </w:rPr>
        <w:t>olskiej</w:t>
      </w:r>
      <w:r w:rsidRPr="00A46C57">
        <w:rPr>
          <w:sz w:val="18"/>
          <w:szCs w:val="18"/>
        </w:rPr>
        <w:t xml:space="preserve"> „uchwały Rady Ministrów oraz zarządzenia Prezesa Rady Ministrów i ministrów mają charakter wewnętrzny i obowiązują tylko jednostki organizacyjnie podległe organowi wydającemu te akty” (art. 93 ust. 1), zaś w świetle art. 75 ust. 2 ustawy </w:t>
      </w:r>
      <w:r w:rsidR="0075385F" w:rsidRPr="0075385F">
        <w:rPr>
          <w:sz w:val="18"/>
          <w:szCs w:val="18"/>
        </w:rPr>
        <w:t xml:space="preserve">z dnia 22 grudnia 2000 r. o  zmianie niektórych upoważnień ustawowych do wydawania aktów normatywnych oraz o zmianie niektórych ustaw </w:t>
      </w:r>
      <w:r w:rsidRPr="00A46C57">
        <w:rPr>
          <w:sz w:val="18"/>
          <w:szCs w:val="18"/>
        </w:rPr>
        <w:t xml:space="preserve">z dniem jej wejścia w życie, tj. </w:t>
      </w:r>
      <w:r w:rsidR="0075385F">
        <w:rPr>
          <w:sz w:val="18"/>
          <w:szCs w:val="18"/>
        </w:rPr>
        <w:t xml:space="preserve">z dniem </w:t>
      </w:r>
      <w:r w:rsidRPr="00A46C57">
        <w:rPr>
          <w:sz w:val="18"/>
          <w:szCs w:val="18"/>
        </w:rPr>
        <w:t>30</w:t>
      </w:r>
      <w:r w:rsidR="0075385F">
        <w:rPr>
          <w:sz w:val="18"/>
          <w:szCs w:val="18"/>
        </w:rPr>
        <w:t xml:space="preserve"> marca </w:t>
      </w:r>
      <w:r w:rsidRPr="00A46C57">
        <w:rPr>
          <w:sz w:val="18"/>
          <w:szCs w:val="18"/>
        </w:rPr>
        <w:t>2001</w:t>
      </w:r>
      <w:r w:rsidR="00146346">
        <w:rPr>
          <w:sz w:val="18"/>
          <w:szCs w:val="18"/>
        </w:rPr>
        <w:t> </w:t>
      </w:r>
      <w:r w:rsidRPr="00A46C57">
        <w:rPr>
          <w:sz w:val="18"/>
          <w:szCs w:val="18"/>
        </w:rPr>
        <w:t>r., utraciły moc akty normatywne Rady Ministrów, Prezesa Rady Ministrów oraz ministrów lub innych organów administracji rządowej, podjęte lub wydane przed dniem wejścia w</w:t>
      </w:r>
      <w:r w:rsidR="00146346">
        <w:rPr>
          <w:sz w:val="18"/>
          <w:szCs w:val="18"/>
        </w:rPr>
        <w:t xml:space="preserve"> </w:t>
      </w:r>
      <w:r w:rsidRPr="00A46C57">
        <w:rPr>
          <w:sz w:val="18"/>
          <w:szCs w:val="18"/>
        </w:rPr>
        <w:t>życie Konstytucji Rzeczypospolitej Polskiej, jeżeli zawiera</w:t>
      </w:r>
      <w:r w:rsidR="0075385F">
        <w:rPr>
          <w:sz w:val="18"/>
          <w:szCs w:val="18"/>
        </w:rPr>
        <w:t>ły</w:t>
      </w:r>
      <w:r w:rsidRPr="00A46C57">
        <w:rPr>
          <w:sz w:val="18"/>
          <w:szCs w:val="18"/>
        </w:rPr>
        <w:t xml:space="preserve"> normy prawne o charakterze powszechnie obowiązującym lub wewnętrznym, z wyjątkiem rozporządzeń. Tym samym przywołana uchwała nr 62 </w:t>
      </w:r>
      <w:r w:rsidR="00146346">
        <w:rPr>
          <w:sz w:val="18"/>
          <w:szCs w:val="18"/>
        </w:rPr>
        <w:t xml:space="preserve">Rady Ministrów z dnia </w:t>
      </w:r>
      <w:r w:rsidRPr="00A46C57">
        <w:rPr>
          <w:sz w:val="18"/>
          <w:szCs w:val="18"/>
        </w:rPr>
        <w:t>5</w:t>
      </w:r>
      <w:r w:rsidR="00FA1F96">
        <w:rPr>
          <w:sz w:val="18"/>
          <w:szCs w:val="18"/>
        </w:rPr>
        <w:t xml:space="preserve"> czerwca</w:t>
      </w:r>
      <w:r w:rsidR="00E8245E">
        <w:rPr>
          <w:sz w:val="18"/>
          <w:szCs w:val="18"/>
        </w:rPr>
        <w:t xml:space="preserve"> </w:t>
      </w:r>
      <w:r w:rsidRPr="00A46C57">
        <w:rPr>
          <w:sz w:val="18"/>
          <w:szCs w:val="18"/>
        </w:rPr>
        <w:t>1992 r. – która zawierała normy o charakterze powszechnie obowiązującym, odnoszące się m.in. do przywilejów i</w:t>
      </w:r>
      <w:r w:rsidR="00146346">
        <w:rPr>
          <w:sz w:val="18"/>
          <w:szCs w:val="18"/>
        </w:rPr>
        <w:t xml:space="preserve"> </w:t>
      </w:r>
      <w:r w:rsidRPr="00A46C57">
        <w:rPr>
          <w:sz w:val="18"/>
          <w:szCs w:val="18"/>
        </w:rPr>
        <w:t>immunitetów funkcjonariuszy ODIHR – utraciła moc obowiązującą.</w:t>
      </w:r>
    </w:p>
    <w:p w14:paraId="44EC1BDF" w14:textId="68AB6073" w:rsidR="00542433" w:rsidRPr="00F33A54" w:rsidRDefault="00542433" w:rsidP="00A46C57">
      <w:pPr>
        <w:pStyle w:val="Tekstprzypisudolnego"/>
        <w:ind w:left="284"/>
        <w:jc w:val="both"/>
        <w:rPr>
          <w:rFonts w:ascii="Lato" w:hAnsi="Lato"/>
          <w:sz w:val="18"/>
          <w:szCs w:val="18"/>
        </w:rPr>
      </w:pPr>
      <w:r w:rsidRPr="00A46C57">
        <w:rPr>
          <w:sz w:val="18"/>
          <w:szCs w:val="18"/>
        </w:rPr>
        <w:t>Jednocześnie należy zauważyć, iż obwieszczenie Prezesa Rady Ministrów z dnia 18 grudnia 2001 r. w sprawie wykazu uchwał Rady Ministrów, zarządzeń i innych aktów normatywnych Prezesa Rady Ministrów, ministrów i innych organów administracji rządowej, które utraciły moc z dniem 30 marca 2001 r. (M.P. poz.</w:t>
      </w:r>
      <w:r w:rsidR="00E8245E">
        <w:rPr>
          <w:sz w:val="18"/>
          <w:szCs w:val="18"/>
        </w:rPr>
        <w:t> </w:t>
      </w:r>
      <w:r w:rsidRPr="00A46C57">
        <w:rPr>
          <w:sz w:val="18"/>
          <w:szCs w:val="18"/>
        </w:rPr>
        <w:t>782) wydane na podstawie art.</w:t>
      </w:r>
      <w:r w:rsidR="00146346">
        <w:rPr>
          <w:sz w:val="18"/>
          <w:szCs w:val="18"/>
        </w:rPr>
        <w:t> </w:t>
      </w:r>
      <w:r w:rsidRPr="00A46C57">
        <w:rPr>
          <w:sz w:val="18"/>
          <w:szCs w:val="18"/>
        </w:rPr>
        <w:t>75 ust. 4 ustawy z dnia 22 grudnia 2000</w:t>
      </w:r>
      <w:r w:rsidR="00146346">
        <w:rPr>
          <w:sz w:val="18"/>
          <w:szCs w:val="18"/>
        </w:rPr>
        <w:t xml:space="preserve"> </w:t>
      </w:r>
      <w:r w:rsidRPr="00A46C57">
        <w:rPr>
          <w:sz w:val="18"/>
          <w:szCs w:val="18"/>
        </w:rPr>
        <w:t>r. o zmianie niektórych upoważnień ustawowych do wydawania aktów normatywnych oraz o zmianie niektórych ustaw ma charakter deklaratoryjny (obwieszczenie zostało ogłoszone po upływie 9 miesięcy od dnia wejścia w życie ustawy, tj. w dniu 31</w:t>
      </w:r>
      <w:r w:rsidR="0075385F">
        <w:rPr>
          <w:sz w:val="18"/>
          <w:szCs w:val="18"/>
        </w:rPr>
        <w:t xml:space="preserve"> grudnia </w:t>
      </w:r>
      <w:r w:rsidRPr="00A46C57">
        <w:rPr>
          <w:sz w:val="18"/>
          <w:szCs w:val="18"/>
        </w:rPr>
        <w:t xml:space="preserve">2001 r.), a w związku z tym brak wyszczególnienia w jego treści uchwały </w:t>
      </w:r>
      <w:r w:rsidR="00146346" w:rsidRPr="00FD3DC1">
        <w:rPr>
          <w:sz w:val="18"/>
          <w:szCs w:val="18"/>
        </w:rPr>
        <w:t xml:space="preserve">nr 62 </w:t>
      </w:r>
      <w:r w:rsidRPr="00A46C57">
        <w:rPr>
          <w:sz w:val="18"/>
          <w:szCs w:val="18"/>
        </w:rPr>
        <w:t>R</w:t>
      </w:r>
      <w:r w:rsidR="0075385F">
        <w:rPr>
          <w:sz w:val="18"/>
          <w:szCs w:val="18"/>
        </w:rPr>
        <w:t xml:space="preserve">ady </w:t>
      </w:r>
      <w:r w:rsidRPr="00A46C57">
        <w:rPr>
          <w:sz w:val="18"/>
          <w:szCs w:val="18"/>
        </w:rPr>
        <w:t>M</w:t>
      </w:r>
      <w:r w:rsidR="0075385F">
        <w:rPr>
          <w:sz w:val="18"/>
          <w:szCs w:val="18"/>
        </w:rPr>
        <w:t>inistrów z dnia 5 czerwca 1992 r.</w:t>
      </w:r>
      <w:r w:rsidRPr="00A46C57">
        <w:rPr>
          <w:sz w:val="18"/>
          <w:szCs w:val="18"/>
        </w:rPr>
        <w:t xml:space="preserve"> nie powoduje, iż uchwała ta nie utraciła mocy obowiązującej z dniem wejścia w życie ww. ustawy. Jak wskazano wyżej, przesądza o tym art. 75 ust. 2 ww. ustawy. Brak wyszczególnienia w obwieszczeniu R</w:t>
      </w:r>
      <w:r w:rsidR="0075385F">
        <w:rPr>
          <w:sz w:val="18"/>
          <w:szCs w:val="18"/>
        </w:rPr>
        <w:t xml:space="preserve">ady </w:t>
      </w:r>
      <w:r w:rsidRPr="00A46C57">
        <w:rPr>
          <w:sz w:val="18"/>
          <w:szCs w:val="18"/>
        </w:rPr>
        <w:t>M</w:t>
      </w:r>
      <w:r w:rsidR="0075385F">
        <w:rPr>
          <w:sz w:val="18"/>
          <w:szCs w:val="18"/>
        </w:rPr>
        <w:t>inistrów</w:t>
      </w:r>
      <w:r w:rsidRPr="00A46C57">
        <w:rPr>
          <w:sz w:val="18"/>
          <w:szCs w:val="18"/>
        </w:rPr>
        <w:t xml:space="preserve"> przedmiotowej uchwały nie powoduje zatem,</w:t>
      </w:r>
      <w:r w:rsidR="00146346">
        <w:rPr>
          <w:sz w:val="18"/>
          <w:szCs w:val="18"/>
        </w:rPr>
        <w:t xml:space="preserve"> </w:t>
      </w:r>
      <w:r w:rsidRPr="00A46C57">
        <w:rPr>
          <w:sz w:val="18"/>
          <w:szCs w:val="18"/>
        </w:rPr>
        <w:t>iż w dniu wejścia w życie ustawy nie doszło do utraty mocy obowiązującej uchwały na mocy art.</w:t>
      </w:r>
      <w:r w:rsidR="00146346">
        <w:rPr>
          <w:sz w:val="18"/>
          <w:szCs w:val="18"/>
        </w:rPr>
        <w:t> </w:t>
      </w:r>
      <w:r w:rsidRPr="00A46C57">
        <w:rPr>
          <w:sz w:val="18"/>
          <w:szCs w:val="18"/>
        </w:rPr>
        <w:t>75 ust. 2 ustawy.</w:t>
      </w:r>
    </w:p>
  </w:footnote>
  <w:footnote w:id="2">
    <w:p w14:paraId="6A7E6E36" w14:textId="5B65CAE0" w:rsidR="00542433" w:rsidRPr="00A46C57" w:rsidRDefault="00542433" w:rsidP="004F3600">
      <w:pPr>
        <w:pStyle w:val="Tekstprzypisudolnego"/>
        <w:ind w:left="284" w:hanging="284"/>
        <w:jc w:val="both"/>
        <w:rPr>
          <w:sz w:val="18"/>
          <w:szCs w:val="18"/>
        </w:rPr>
      </w:pPr>
    </w:p>
    <w:p w14:paraId="30F60DDC" w14:textId="3593F6A7" w:rsidR="00542433" w:rsidRPr="00A46C57" w:rsidRDefault="00EC2C00" w:rsidP="00A46C57">
      <w:pPr>
        <w:pStyle w:val="Tekstprzypisudolnego"/>
        <w:ind w:left="284" w:hanging="284"/>
        <w:jc w:val="both"/>
        <w:rPr>
          <w:sz w:val="18"/>
          <w:szCs w:val="18"/>
        </w:rPr>
      </w:pPr>
      <w:r w:rsidRPr="00A46C57">
        <w:rPr>
          <w:sz w:val="18"/>
          <w:szCs w:val="18"/>
          <w:vertAlign w:val="superscript"/>
        </w:rPr>
        <w:t>2</w:t>
      </w:r>
      <w:r w:rsidR="004F3600">
        <w:rPr>
          <w:sz w:val="18"/>
          <w:szCs w:val="18"/>
        </w:rPr>
        <w:tab/>
      </w:r>
      <w:r w:rsidR="00542433" w:rsidRPr="00A46C57">
        <w:rPr>
          <w:sz w:val="18"/>
          <w:szCs w:val="18"/>
        </w:rPr>
        <w:t>Sekcja 2 Aneksu obejmuje szesnaście stanowisk, przy czym – jak wskazuje opis stanowiska wskazanego w pkt</w:t>
      </w:r>
      <w:r w:rsidR="0028103D">
        <w:rPr>
          <w:sz w:val="18"/>
          <w:szCs w:val="18"/>
        </w:rPr>
        <w:t> </w:t>
      </w:r>
      <w:r w:rsidR="00542433" w:rsidRPr="00A46C57">
        <w:rPr>
          <w:sz w:val="18"/>
          <w:szCs w:val="18"/>
        </w:rPr>
        <w:t>6 („Doradca(y) Dyrektora</w:t>
      </w:r>
      <w:r w:rsidR="00542433" w:rsidRPr="00A46C57">
        <w:rPr>
          <w:i/>
          <w:sz w:val="18"/>
          <w:szCs w:val="18"/>
        </w:rPr>
        <w:t xml:space="preserve"> </w:t>
      </w:r>
      <w:r w:rsidR="00542433" w:rsidRPr="00A46C57">
        <w:rPr>
          <w:sz w:val="18"/>
          <w:szCs w:val="18"/>
        </w:rPr>
        <w:t>[ODIHR]”) – może być ono piastowane przez kilka osób. Jednakże, jak wynika z danych za lata ubiegłe, posiadanych przez M</w:t>
      </w:r>
      <w:r w:rsidR="00E8245E">
        <w:rPr>
          <w:sz w:val="18"/>
          <w:szCs w:val="18"/>
        </w:rPr>
        <w:t xml:space="preserve">inisterstwo </w:t>
      </w:r>
      <w:r w:rsidR="00542433" w:rsidRPr="00A46C57">
        <w:rPr>
          <w:sz w:val="18"/>
          <w:szCs w:val="18"/>
        </w:rPr>
        <w:t>S</w:t>
      </w:r>
      <w:r w:rsidR="00E8245E">
        <w:rPr>
          <w:sz w:val="18"/>
          <w:szCs w:val="18"/>
        </w:rPr>
        <w:t xml:space="preserve">praw </w:t>
      </w:r>
      <w:r w:rsidR="00542433" w:rsidRPr="00A46C57">
        <w:rPr>
          <w:sz w:val="18"/>
          <w:szCs w:val="18"/>
        </w:rPr>
        <w:t>Z</w:t>
      </w:r>
      <w:r w:rsidR="00E8245E">
        <w:rPr>
          <w:sz w:val="18"/>
          <w:szCs w:val="18"/>
        </w:rPr>
        <w:t>agranicznych</w:t>
      </w:r>
      <w:r w:rsidR="00542433" w:rsidRPr="00A46C57">
        <w:rPr>
          <w:sz w:val="18"/>
          <w:szCs w:val="18"/>
        </w:rPr>
        <w:t xml:space="preserve">, maksymalna liczba członków personelu ODIHR, posiadających status dyplomatyczny – i tym samym potencjalnie uprawnionych do ubiegania się o zwrot podatku VAT i </w:t>
      </w:r>
      <w:r w:rsidR="00E8245E">
        <w:rPr>
          <w:sz w:val="18"/>
          <w:szCs w:val="18"/>
        </w:rPr>
        <w:t xml:space="preserve">podatku </w:t>
      </w:r>
      <w:r w:rsidR="00542433" w:rsidRPr="00A46C57">
        <w:rPr>
          <w:sz w:val="18"/>
          <w:szCs w:val="18"/>
        </w:rPr>
        <w:t>akcyzowego – nie przekraczała szesnastu. Zgodnie z posiadaną przez M</w:t>
      </w:r>
      <w:r w:rsidR="00E8245E">
        <w:rPr>
          <w:sz w:val="18"/>
          <w:szCs w:val="18"/>
        </w:rPr>
        <w:t xml:space="preserve">inisterstwo </w:t>
      </w:r>
      <w:r w:rsidR="00542433" w:rsidRPr="00A46C57">
        <w:rPr>
          <w:sz w:val="18"/>
          <w:szCs w:val="18"/>
        </w:rPr>
        <w:t>S</w:t>
      </w:r>
      <w:r w:rsidR="00E8245E">
        <w:rPr>
          <w:sz w:val="18"/>
          <w:szCs w:val="18"/>
        </w:rPr>
        <w:t xml:space="preserve">praw </w:t>
      </w:r>
      <w:r w:rsidR="00542433" w:rsidRPr="00A46C57">
        <w:rPr>
          <w:sz w:val="18"/>
          <w:szCs w:val="18"/>
        </w:rPr>
        <w:t>Z</w:t>
      </w:r>
      <w:r w:rsidR="00E8245E">
        <w:rPr>
          <w:sz w:val="18"/>
          <w:szCs w:val="18"/>
        </w:rPr>
        <w:t>agranicznych</w:t>
      </w:r>
      <w:r w:rsidR="00542433" w:rsidRPr="00A46C57">
        <w:rPr>
          <w:sz w:val="18"/>
          <w:szCs w:val="18"/>
        </w:rPr>
        <w:t xml:space="preserve"> dokumentacją, wg aktualnego stanu, strona polska przyznała status dyplomatyczny czternastu pracownikom ODIHR zajmującym stanowiska określone w sekcji 2 Aneksu. Ponadto dwa stanowiska pozostają nieobsadzone. Stanowisko Doradcy Dyrektora ODIHR, o którym mowa w pkt 6 sekcji 2 Aneksu, piastuje obecnie jedna osoba. Wypada dodatkowo zaznaczyć, że ODIHR co roku przekazuje Protokołowi Dyplomatycznemu M</w:t>
      </w:r>
      <w:r w:rsidR="00357221">
        <w:rPr>
          <w:sz w:val="18"/>
          <w:szCs w:val="18"/>
        </w:rPr>
        <w:t xml:space="preserve">inisterstwa </w:t>
      </w:r>
      <w:r w:rsidR="00542433" w:rsidRPr="00A46C57">
        <w:rPr>
          <w:sz w:val="18"/>
          <w:szCs w:val="18"/>
        </w:rPr>
        <w:t>S</w:t>
      </w:r>
      <w:r w:rsidR="00357221">
        <w:rPr>
          <w:sz w:val="18"/>
          <w:szCs w:val="18"/>
        </w:rPr>
        <w:t xml:space="preserve">praw </w:t>
      </w:r>
      <w:r w:rsidR="00542433" w:rsidRPr="00A46C57">
        <w:rPr>
          <w:sz w:val="18"/>
          <w:szCs w:val="18"/>
        </w:rPr>
        <w:t>Z</w:t>
      </w:r>
      <w:r w:rsidR="00357221">
        <w:rPr>
          <w:sz w:val="18"/>
          <w:szCs w:val="18"/>
        </w:rPr>
        <w:t>agranicznych</w:t>
      </w:r>
      <w:r w:rsidR="00542433" w:rsidRPr="00A46C57">
        <w:rPr>
          <w:sz w:val="18"/>
          <w:szCs w:val="18"/>
        </w:rPr>
        <w:t xml:space="preserve"> zaktualizowane listy swego personelu, w tym w zakresie stanowisk określonych w sekcji 2 Aneksu.</w:t>
      </w:r>
    </w:p>
  </w:footnote>
  <w:footnote w:id="3">
    <w:p w14:paraId="47848EB8" w14:textId="3165AD73" w:rsidR="00542433" w:rsidRPr="00A46C57" w:rsidRDefault="00542433" w:rsidP="00A46C57">
      <w:pPr>
        <w:pStyle w:val="Tekstprzypisudolnego"/>
        <w:ind w:left="284" w:hanging="284"/>
        <w:jc w:val="both"/>
        <w:rPr>
          <w:sz w:val="18"/>
          <w:szCs w:val="18"/>
        </w:rPr>
      </w:pPr>
      <w:r w:rsidRPr="00A46C57">
        <w:rPr>
          <w:rStyle w:val="Odwoanieprzypisudolnego"/>
          <w:sz w:val="18"/>
          <w:szCs w:val="18"/>
        </w:rPr>
        <w:footnoteRef/>
      </w:r>
      <w:r w:rsidR="004F3600">
        <w:rPr>
          <w:sz w:val="18"/>
          <w:szCs w:val="18"/>
        </w:rPr>
        <w:tab/>
      </w:r>
      <w:r w:rsidRPr="00A46C57">
        <w:rPr>
          <w:sz w:val="18"/>
          <w:szCs w:val="18"/>
        </w:rPr>
        <w:t xml:space="preserve">Wypada spodziewać się, że odnotowana w pierwszym i drugim kwartale 2016 r. dynamika zakupów pojazdów, w przypadku których zgodnie z projektowaną zmianą </w:t>
      </w:r>
      <w:r w:rsidR="00937846" w:rsidRPr="00D24334">
        <w:rPr>
          <w:sz w:val="18"/>
          <w:szCs w:val="18"/>
        </w:rPr>
        <w:t>będą</w:t>
      </w:r>
      <w:r w:rsidR="00937846" w:rsidRPr="00937846">
        <w:rPr>
          <w:sz w:val="18"/>
          <w:szCs w:val="18"/>
        </w:rPr>
        <w:t xml:space="preserve"> </w:t>
      </w:r>
      <w:r w:rsidRPr="00A46C57">
        <w:rPr>
          <w:sz w:val="18"/>
          <w:szCs w:val="18"/>
        </w:rPr>
        <w:t xml:space="preserve">przysługiwać zwolnienia od podatku akcyzowego, powinna być reprezentatywna dla średniej skali tego zjawiska po ewentualnym wejściu w życie Protokołu zmieniającego. Ww. zwolnienia </w:t>
      </w:r>
      <w:r w:rsidR="00937846" w:rsidRPr="00AE78FE">
        <w:rPr>
          <w:sz w:val="18"/>
          <w:szCs w:val="18"/>
        </w:rPr>
        <w:t>będą</w:t>
      </w:r>
      <w:r w:rsidR="00937846" w:rsidRPr="00937846">
        <w:rPr>
          <w:sz w:val="18"/>
          <w:szCs w:val="18"/>
        </w:rPr>
        <w:t xml:space="preserve"> </w:t>
      </w:r>
      <w:r w:rsidRPr="00A46C57">
        <w:rPr>
          <w:sz w:val="18"/>
          <w:szCs w:val="18"/>
        </w:rPr>
        <w:t>dotyczyć szesnastu osób i przysługiwać im będą nie częściej niż raz na trzy lata, tj. w praktyce raz w trakcie zwyczajowej, trzy-</w:t>
      </w:r>
      <w:r w:rsidR="0094588A">
        <w:rPr>
          <w:sz w:val="18"/>
          <w:szCs w:val="18"/>
        </w:rPr>
        <w:t xml:space="preserve"> lub </w:t>
      </w:r>
      <w:r w:rsidRPr="00A46C57">
        <w:rPr>
          <w:sz w:val="18"/>
          <w:szCs w:val="18"/>
        </w:rPr>
        <w:t xml:space="preserve">czteroletniej kadencji – a zatem, globalnie licząc, średnio raz na kwartał. Jednocześnie wskazane jest przyjęcie, że skala zakupów pojazdów bezpośrednio po wejściu w życie Protokołu zmieniającego może być nieco wyższa, gdyż potencjalnie ww. zwolnienie </w:t>
      </w:r>
      <w:r w:rsidR="00937846" w:rsidRPr="006C0085">
        <w:rPr>
          <w:sz w:val="18"/>
          <w:szCs w:val="18"/>
        </w:rPr>
        <w:t>będzie</w:t>
      </w:r>
      <w:r w:rsidR="00937846" w:rsidRPr="00937846">
        <w:rPr>
          <w:sz w:val="18"/>
          <w:szCs w:val="18"/>
        </w:rPr>
        <w:t xml:space="preserve"> </w:t>
      </w:r>
      <w:r w:rsidRPr="00A46C57">
        <w:rPr>
          <w:sz w:val="18"/>
          <w:szCs w:val="18"/>
        </w:rPr>
        <w:t>dotyczyć wszystkich szesnastu uprawnionych osób, bez względu na datę zakupu w R</w:t>
      </w:r>
      <w:r w:rsidR="0094588A">
        <w:rPr>
          <w:sz w:val="18"/>
          <w:szCs w:val="18"/>
        </w:rPr>
        <w:t xml:space="preserve">zeczypospolitej </w:t>
      </w:r>
      <w:r w:rsidRPr="00A46C57">
        <w:rPr>
          <w:sz w:val="18"/>
          <w:szCs w:val="18"/>
        </w:rPr>
        <w:t>P</w:t>
      </w:r>
      <w:r w:rsidR="0094588A">
        <w:rPr>
          <w:sz w:val="18"/>
          <w:szCs w:val="18"/>
        </w:rPr>
        <w:t>olskiej</w:t>
      </w:r>
      <w:r w:rsidRPr="00A46C57">
        <w:rPr>
          <w:sz w:val="18"/>
          <w:szCs w:val="18"/>
        </w:rPr>
        <w:t xml:space="preserve"> ostatniego pojazdu obłożonego podatkiem akcyzowym.</w:t>
      </w:r>
    </w:p>
  </w:footnote>
  <w:footnote w:id="4">
    <w:p w14:paraId="0F56FDCA" w14:textId="3F65A6AC" w:rsidR="00542433" w:rsidRPr="00A46C57" w:rsidRDefault="00542433" w:rsidP="00A46C57">
      <w:pPr>
        <w:pStyle w:val="Tekstprzypisudolnego"/>
        <w:ind w:left="284" w:hanging="284"/>
        <w:jc w:val="both"/>
        <w:rPr>
          <w:sz w:val="18"/>
          <w:szCs w:val="18"/>
        </w:rPr>
      </w:pPr>
      <w:r w:rsidRPr="00A46C57">
        <w:rPr>
          <w:rStyle w:val="Odwoanieprzypisudolnego"/>
          <w:sz w:val="18"/>
          <w:szCs w:val="18"/>
        </w:rPr>
        <w:footnoteRef/>
      </w:r>
      <w:r w:rsidR="004F3600">
        <w:rPr>
          <w:sz w:val="18"/>
          <w:szCs w:val="18"/>
        </w:rPr>
        <w:tab/>
      </w:r>
      <w:r w:rsidRPr="00A46C57">
        <w:rPr>
          <w:sz w:val="18"/>
          <w:szCs w:val="18"/>
        </w:rPr>
        <w:t>Mowa o narzędziu „Kalkulator inflacji” (</w:t>
      </w:r>
      <w:r w:rsidR="004F3600" w:rsidRPr="00A46C57">
        <w:t>https://www.podatki.gov.pl/kalkulatory-podatkowe/kalkulator-inflacji/</w:t>
      </w:r>
      <w:r w:rsidRPr="00A46C57">
        <w:rPr>
          <w:sz w:val="18"/>
          <w:szCs w:val="18"/>
        </w:rPr>
        <w:t>, dostęp: 02.02.2024 r.). Wysokość średniorocznych wskaźników cen towarów i usług konsumpcyjnych publikowana jest corocznie w Monitorze Polskim, por.: Komunikat Prezesa Głównego Urzędu Statystycznego z dnia 13 stycznia 2017 r. w sprawie średniorocznego wskaźnika cen towarów i usług konsumpcyjnych ogółem w 2016 r. (M.P. poz. 72); Komunikat Prezesa Głównego Urzędu Statystycznego z dnia 15 stycznia 2018 r</w:t>
      </w:r>
      <w:r w:rsidRPr="00A46C57">
        <w:rPr>
          <w:i/>
          <w:sz w:val="18"/>
          <w:szCs w:val="18"/>
        </w:rPr>
        <w:t xml:space="preserve">. </w:t>
      </w:r>
      <w:r w:rsidRPr="00A46C57">
        <w:rPr>
          <w:sz w:val="18"/>
          <w:szCs w:val="18"/>
        </w:rPr>
        <w:t>w sprawie średniorocznego wskaźnika cen towarów i usług konsumpcyjnych ogółem w 2017 r. (M.P. poz. 106); Komunikat Prezesa Głównego Urzędu Statystycznego z dnia 15 stycznia 2019 r. w sprawie średniorocznego wskaźnika cen towarów i usług konsumpcyjnych ogółem w 2018 r. (M.P. poz.</w:t>
      </w:r>
      <w:r w:rsidR="0070463D">
        <w:rPr>
          <w:sz w:val="18"/>
          <w:szCs w:val="18"/>
        </w:rPr>
        <w:t> </w:t>
      </w:r>
      <w:r w:rsidRPr="00A46C57">
        <w:rPr>
          <w:sz w:val="18"/>
          <w:szCs w:val="18"/>
        </w:rPr>
        <w:t>64); Komunikat Prezesa Głównego Urzędu Statystycznego z dnia 15 stycznia 2020 r. w</w:t>
      </w:r>
      <w:r w:rsidR="0070463D">
        <w:rPr>
          <w:sz w:val="18"/>
          <w:szCs w:val="18"/>
        </w:rPr>
        <w:t xml:space="preserve"> </w:t>
      </w:r>
      <w:r w:rsidRPr="00A46C57">
        <w:rPr>
          <w:sz w:val="18"/>
          <w:szCs w:val="18"/>
        </w:rPr>
        <w:t>sprawie średniorocznego wskaźnika cen towarów i usług konsumpcyjnych ogółem w 2019 r. (M.P. poz. 72); Komunikat Prezesa Głównego Urzędu Statystycznego z dnia 15 stycznia 2021 r. w sprawie średniorocznego wskaźnika cen towarów i usług konsumpcyjnych ogółem w 2020 r. (M.P. poz. 58); Komunikat Prezesa Głównego Urzędu Statystycznego z dnia 14 stycznia 2022 r. w sprawie średniorocznego wskaźnika cen towarów i usług konsumpcyjnych ogółem w 2021 r. (M.P. poz. 31); Komunikat Prezesa Głównego Urzędu Statystycznego z dnia 13 stycznia 2023 r. w sprawie średniorocznego wskaźnika cen towarów i usług konsumpcyjnych ogółem w 2022 r. (M.P. poz. 68) oraz Komunikat Prezesa Głównego Urzędu Statystycznego z dnia 15 stycznia 2024 r. w sprawie średniorocznego wskaźnika cen towarów i usług konsumpcyjnych ogółem w 2023</w:t>
      </w:r>
      <w:r w:rsidR="0070463D">
        <w:rPr>
          <w:sz w:val="18"/>
          <w:szCs w:val="18"/>
        </w:rPr>
        <w:t> </w:t>
      </w:r>
      <w:r w:rsidRPr="00A46C57">
        <w:rPr>
          <w:sz w:val="18"/>
          <w:szCs w:val="18"/>
        </w:rPr>
        <w:t xml:space="preserve">r. (M.P. poz. </w:t>
      </w:r>
      <w:r w:rsidR="000611E4">
        <w:rPr>
          <w:sz w:val="18"/>
          <w:szCs w:val="18"/>
        </w:rPr>
        <w:t>22</w:t>
      </w:r>
      <w:r w:rsidRPr="00A46C57">
        <w:rPr>
          <w:sz w:val="18"/>
          <w:szCs w:val="18"/>
        </w:rPr>
        <w:t>).</w:t>
      </w:r>
    </w:p>
  </w:footnote>
  <w:footnote w:id="5">
    <w:p w14:paraId="1752DEA4" w14:textId="3A45B23A" w:rsidR="00542433" w:rsidRPr="00A46C57" w:rsidRDefault="00542433" w:rsidP="00A46C57">
      <w:pPr>
        <w:pStyle w:val="Tekstprzypisudolnego"/>
        <w:ind w:left="284" w:hanging="284"/>
        <w:jc w:val="both"/>
        <w:rPr>
          <w:sz w:val="18"/>
          <w:szCs w:val="18"/>
        </w:rPr>
      </w:pPr>
      <w:r w:rsidRPr="00A46C57">
        <w:rPr>
          <w:rStyle w:val="Odwoanieprzypisudolnego"/>
          <w:sz w:val="18"/>
          <w:szCs w:val="18"/>
        </w:rPr>
        <w:footnoteRef/>
      </w:r>
      <w:r w:rsidR="004F3600">
        <w:rPr>
          <w:sz w:val="18"/>
          <w:szCs w:val="18"/>
        </w:rPr>
        <w:tab/>
      </w:r>
      <w:r w:rsidRPr="00A46C57">
        <w:rPr>
          <w:sz w:val="18"/>
          <w:szCs w:val="18"/>
        </w:rPr>
        <w:t>Na podstawie posiadanych przez Protokół Dyplomatyczny M</w:t>
      </w:r>
      <w:r w:rsidR="008A62AF">
        <w:rPr>
          <w:sz w:val="18"/>
          <w:szCs w:val="18"/>
        </w:rPr>
        <w:t xml:space="preserve">inisterstwa </w:t>
      </w:r>
      <w:r w:rsidRPr="00A46C57">
        <w:rPr>
          <w:sz w:val="18"/>
          <w:szCs w:val="18"/>
        </w:rPr>
        <w:t>S</w:t>
      </w:r>
      <w:r w:rsidR="008A62AF">
        <w:rPr>
          <w:sz w:val="18"/>
          <w:szCs w:val="18"/>
        </w:rPr>
        <w:t xml:space="preserve">praw </w:t>
      </w:r>
      <w:r w:rsidRPr="00A46C57">
        <w:rPr>
          <w:sz w:val="18"/>
          <w:szCs w:val="18"/>
        </w:rPr>
        <w:t>Z</w:t>
      </w:r>
      <w:r w:rsidR="008A62AF">
        <w:rPr>
          <w:sz w:val="18"/>
          <w:szCs w:val="18"/>
        </w:rPr>
        <w:t>agranicznych</w:t>
      </w:r>
      <w:r w:rsidRPr="00A46C57">
        <w:rPr>
          <w:sz w:val="18"/>
          <w:szCs w:val="18"/>
        </w:rPr>
        <w:t xml:space="preserve"> danych dot. zwolnień z podatku VAT oraz </w:t>
      </w:r>
      <w:r w:rsidR="008A62AF">
        <w:rPr>
          <w:sz w:val="18"/>
          <w:szCs w:val="18"/>
        </w:rPr>
        <w:t xml:space="preserve">podatku </w:t>
      </w:r>
      <w:r w:rsidRPr="00A46C57">
        <w:rPr>
          <w:sz w:val="18"/>
          <w:szCs w:val="18"/>
        </w:rPr>
        <w:t>akcyzowego udzielanych przez stronę polską personelowi ODIHR przed wejściem w życie Porozumienia oraz – ujmując szerzej – na podstawie danych dot. analogicznych zwolnień stosowanych przez stronę polską wobec personelu misji dyplomatycznych oraz innych podmiotów o podobnym statusie mających siedzibę w R</w:t>
      </w:r>
      <w:r w:rsidR="008A62AF">
        <w:rPr>
          <w:sz w:val="18"/>
          <w:szCs w:val="18"/>
        </w:rPr>
        <w:t xml:space="preserve">zeczypospolitej </w:t>
      </w:r>
      <w:r w:rsidRPr="00A46C57">
        <w:rPr>
          <w:sz w:val="18"/>
          <w:szCs w:val="18"/>
        </w:rPr>
        <w:t>P</w:t>
      </w:r>
      <w:r w:rsidR="008A62AF">
        <w:rPr>
          <w:sz w:val="18"/>
          <w:szCs w:val="18"/>
        </w:rPr>
        <w:t>olskiej</w:t>
      </w:r>
      <w:r w:rsidRPr="00A46C57">
        <w:rPr>
          <w:sz w:val="18"/>
          <w:szCs w:val="18"/>
        </w:rPr>
        <w:t xml:space="preserve">, brak jest możliwości wskazania procentowego udziału kwot podatku VAT i </w:t>
      </w:r>
      <w:r w:rsidR="008A62AF">
        <w:rPr>
          <w:sz w:val="18"/>
          <w:szCs w:val="18"/>
        </w:rPr>
        <w:t>podatku akcyzowego</w:t>
      </w:r>
      <w:r w:rsidRPr="00A46C57">
        <w:rPr>
          <w:sz w:val="18"/>
          <w:szCs w:val="18"/>
        </w:rPr>
        <w:t>, którego dotyczyły te zwolnienia. Jednakże praktyka jednoznacznie wskazuje, że w ww. przypadkach kwota zwolnień z tytułu podatku VAT jest zdecydowanie wyższa niż kwota zwrotu podatku akcyzowego. Powyższe wynika z faktu, że przedmiot opodatkowania podatkiem akcyzowym jest znaczenie węższy niż w przypadku podatku VAT.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1245"/>
    <w:multiLevelType w:val="hybridMultilevel"/>
    <w:tmpl w:val="0A58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721D4"/>
    <w:multiLevelType w:val="hybridMultilevel"/>
    <w:tmpl w:val="2E700220"/>
    <w:lvl w:ilvl="0" w:tplc="4B94D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30271"/>
    <w:multiLevelType w:val="hybridMultilevel"/>
    <w:tmpl w:val="FEF0F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12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240299">
    <w:abstractNumId w:val="2"/>
  </w:num>
  <w:num w:numId="3" w16cid:durableId="16817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33"/>
    <w:rsid w:val="000605DA"/>
    <w:rsid w:val="000611E4"/>
    <w:rsid w:val="000624A1"/>
    <w:rsid w:val="00065B15"/>
    <w:rsid w:val="000C22F0"/>
    <w:rsid w:val="000E2392"/>
    <w:rsid w:val="00112719"/>
    <w:rsid w:val="00120724"/>
    <w:rsid w:val="00146346"/>
    <w:rsid w:val="001F3488"/>
    <w:rsid w:val="00206946"/>
    <w:rsid w:val="0026786E"/>
    <w:rsid w:val="0028103D"/>
    <w:rsid w:val="00295C0C"/>
    <w:rsid w:val="002E4A05"/>
    <w:rsid w:val="00357221"/>
    <w:rsid w:val="0038105D"/>
    <w:rsid w:val="003C69B1"/>
    <w:rsid w:val="00431640"/>
    <w:rsid w:val="004570A5"/>
    <w:rsid w:val="004D79DB"/>
    <w:rsid w:val="004F3600"/>
    <w:rsid w:val="0050188E"/>
    <w:rsid w:val="00542433"/>
    <w:rsid w:val="005D20BA"/>
    <w:rsid w:val="005F64E5"/>
    <w:rsid w:val="006030C9"/>
    <w:rsid w:val="006215C6"/>
    <w:rsid w:val="006D3020"/>
    <w:rsid w:val="0070463D"/>
    <w:rsid w:val="0075385F"/>
    <w:rsid w:val="00765533"/>
    <w:rsid w:val="007A042E"/>
    <w:rsid w:val="007C5E00"/>
    <w:rsid w:val="008051AF"/>
    <w:rsid w:val="00810EA8"/>
    <w:rsid w:val="00833F65"/>
    <w:rsid w:val="008A30CE"/>
    <w:rsid w:val="008A62AF"/>
    <w:rsid w:val="008E7A4E"/>
    <w:rsid w:val="009040C1"/>
    <w:rsid w:val="00937846"/>
    <w:rsid w:val="0094588A"/>
    <w:rsid w:val="0099213C"/>
    <w:rsid w:val="009B4788"/>
    <w:rsid w:val="00A368AE"/>
    <w:rsid w:val="00A46C57"/>
    <w:rsid w:val="00BD0486"/>
    <w:rsid w:val="00C40A62"/>
    <w:rsid w:val="00C64AAD"/>
    <w:rsid w:val="00CA2703"/>
    <w:rsid w:val="00CC72EB"/>
    <w:rsid w:val="00D47D28"/>
    <w:rsid w:val="00D5201F"/>
    <w:rsid w:val="00D815A6"/>
    <w:rsid w:val="00DE0B08"/>
    <w:rsid w:val="00E42F67"/>
    <w:rsid w:val="00E8245E"/>
    <w:rsid w:val="00EA7FC7"/>
    <w:rsid w:val="00EB1376"/>
    <w:rsid w:val="00EC2C00"/>
    <w:rsid w:val="00EE3C56"/>
    <w:rsid w:val="00F548FB"/>
    <w:rsid w:val="00F62D75"/>
    <w:rsid w:val="00FA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0C2D"/>
  <w15:chartTrackingRefBased/>
  <w15:docId w15:val="{A2FA402A-C7D4-4A5E-AD9C-665C8CEA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4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4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4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42433"/>
    <w:rPr>
      <w:vertAlign w:val="superscript"/>
    </w:rPr>
  </w:style>
  <w:style w:type="character" w:styleId="Hipercze">
    <w:name w:val="Hyperlink"/>
    <w:uiPriority w:val="99"/>
    <w:unhideWhenUsed/>
    <w:rsid w:val="00542433"/>
    <w:rPr>
      <w:color w:val="0563C1"/>
      <w:u w:val="single"/>
    </w:rPr>
  </w:style>
  <w:style w:type="paragraph" w:styleId="Poprawka">
    <w:name w:val="Revision"/>
    <w:hidden/>
    <w:uiPriority w:val="99"/>
    <w:semiHidden/>
    <w:rsid w:val="00F548F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5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2460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Rostkowska - Soczówka Bożena</dc:creator>
  <cp:keywords/>
  <dc:description/>
  <cp:lastModifiedBy>Wójcik Aleksandra</cp:lastModifiedBy>
  <cp:revision>5</cp:revision>
  <dcterms:created xsi:type="dcterms:W3CDTF">2024-09-18T13:59:00Z</dcterms:created>
  <dcterms:modified xsi:type="dcterms:W3CDTF">2024-09-19T11:59:00Z</dcterms:modified>
</cp:coreProperties>
</file>