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F49" w14:textId="77777777" w:rsidR="006466AC" w:rsidRDefault="007E26CA" w:rsidP="002E498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C00E008" w14:textId="26AE7CEC" w:rsidR="00A603EE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 xml:space="preserve">Realizacja konstytucyjnych zadań przez Siły Zbrojne </w:t>
      </w:r>
      <w:r>
        <w:rPr>
          <w:rFonts w:ascii="Times New Roman" w:hAnsi="Times New Roman" w:cs="Times New Roman"/>
          <w:sz w:val="24"/>
          <w:szCs w:val="24"/>
        </w:rPr>
        <w:t>Rzeczypospolitej Polskiej</w:t>
      </w:r>
      <w:r w:rsidRPr="00941DAE">
        <w:rPr>
          <w:rFonts w:ascii="Times New Roman" w:hAnsi="Times New Roman" w:cs="Times New Roman"/>
          <w:sz w:val="24"/>
          <w:szCs w:val="24"/>
        </w:rPr>
        <w:t>, w</w:t>
      </w:r>
      <w:r w:rsidRPr="00F32236">
        <w:rPr>
          <w:rFonts w:ascii="Times New Roman" w:hAnsi="Times New Roman" w:cs="Times New Roman"/>
          <w:sz w:val="24"/>
          <w:szCs w:val="24"/>
        </w:rPr>
        <w:t> </w:t>
      </w:r>
      <w:r w:rsidRPr="00941DAE">
        <w:rPr>
          <w:rFonts w:ascii="Times New Roman" w:hAnsi="Times New Roman" w:cs="Times New Roman"/>
          <w:sz w:val="24"/>
          <w:szCs w:val="24"/>
        </w:rPr>
        <w:t>szczególności w obecnej sytuacji geopolitycznej</w:t>
      </w:r>
      <w:r w:rsidR="00420849">
        <w:rPr>
          <w:rFonts w:ascii="Times New Roman" w:hAnsi="Times New Roman" w:cs="Times New Roman"/>
          <w:sz w:val="24"/>
          <w:szCs w:val="24"/>
        </w:rPr>
        <w:t>,</w:t>
      </w:r>
      <w:r w:rsidRPr="00941DAE">
        <w:rPr>
          <w:rFonts w:ascii="Times New Roman" w:hAnsi="Times New Roman" w:cs="Times New Roman"/>
          <w:sz w:val="24"/>
          <w:szCs w:val="24"/>
        </w:rPr>
        <w:t xml:space="preserve"> wymusza konieczność podjęcia interwencji legislacyjnej w zakresie wzmocnienia liczbowego personelu Sił Zbrojnych R</w:t>
      </w:r>
      <w:r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Pr="00941D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olskiej</w:t>
      </w:r>
      <w:r w:rsidRPr="00941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F8E76" w14:textId="10467F2A" w:rsidR="00A603EE" w:rsidRPr="003033B0" w:rsidRDefault="00A603EE" w:rsidP="00A603E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578297"/>
      <w:r w:rsidRPr="00941DAE">
        <w:rPr>
          <w:rFonts w:ascii="Times New Roman" w:hAnsi="Times New Roman" w:cs="Times New Roman"/>
          <w:sz w:val="24"/>
          <w:szCs w:val="24"/>
        </w:rPr>
        <w:t xml:space="preserve">Istotnym </w:t>
      </w:r>
      <w:r>
        <w:rPr>
          <w:rFonts w:ascii="Times New Roman" w:hAnsi="Times New Roman" w:cs="Times New Roman"/>
          <w:sz w:val="24"/>
          <w:szCs w:val="24"/>
        </w:rPr>
        <w:t>elementem</w:t>
      </w:r>
      <w:r w:rsidRPr="0094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wpływającym na realizację</w:t>
      </w:r>
      <w:r w:rsidRPr="00941DAE">
        <w:rPr>
          <w:rFonts w:ascii="Times New Roman" w:hAnsi="Times New Roman" w:cs="Times New Roman"/>
          <w:sz w:val="24"/>
          <w:szCs w:val="24"/>
        </w:rPr>
        <w:t xml:space="preserve"> zadań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941DAE">
        <w:rPr>
          <w:rFonts w:ascii="Times New Roman" w:hAnsi="Times New Roman" w:cs="Times New Roman"/>
          <w:sz w:val="24"/>
          <w:szCs w:val="24"/>
        </w:rPr>
        <w:t>Sił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1DAE">
        <w:rPr>
          <w:rFonts w:ascii="Times New Roman" w:hAnsi="Times New Roman" w:cs="Times New Roman"/>
          <w:sz w:val="24"/>
          <w:szCs w:val="24"/>
        </w:rPr>
        <w:t xml:space="preserve"> Zbrojn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r w:rsidRPr="00941DAE">
        <w:rPr>
          <w:rFonts w:ascii="Times New Roman" w:hAnsi="Times New Roman" w:cs="Times New Roman"/>
          <w:sz w:val="24"/>
          <w:szCs w:val="24"/>
        </w:rPr>
        <w:t xml:space="preserve">ma rozwój niezawodowych form służby wojskowej, dedykowanych </w:t>
      </w:r>
      <w:r w:rsidR="00EE1803">
        <w:rPr>
          <w:rFonts w:ascii="Times New Roman" w:hAnsi="Times New Roman" w:cs="Times New Roman"/>
          <w:sz w:val="24"/>
          <w:szCs w:val="24"/>
        </w:rPr>
        <w:t>osobom</w:t>
      </w:r>
      <w:r w:rsidRPr="00941DAE">
        <w:rPr>
          <w:rFonts w:ascii="Times New Roman" w:hAnsi="Times New Roman" w:cs="Times New Roman"/>
          <w:sz w:val="24"/>
          <w:szCs w:val="24"/>
        </w:rPr>
        <w:t>, które służbę wojskową łączą z aktywnością zawodową poza Siłami Zbrojnymi</w:t>
      </w:r>
      <w:r>
        <w:rPr>
          <w:rFonts w:ascii="Times New Roman" w:hAnsi="Times New Roman" w:cs="Times New Roman"/>
          <w:sz w:val="24"/>
          <w:szCs w:val="24"/>
        </w:rPr>
        <w:t xml:space="preserve"> Rzeczypospolitej Polskiej</w:t>
      </w:r>
      <w:r w:rsidRPr="00941DAE">
        <w:rPr>
          <w:rFonts w:ascii="Times New Roman" w:hAnsi="Times New Roman" w:cs="Times New Roman"/>
          <w:sz w:val="24"/>
          <w:szCs w:val="24"/>
        </w:rPr>
        <w:t xml:space="preserve">. </w:t>
      </w:r>
      <w:r w:rsidRPr="003033B0">
        <w:rPr>
          <w:rFonts w:ascii="Times New Roman" w:hAnsi="Times New Roman" w:cs="Times New Roman"/>
          <w:sz w:val="24"/>
          <w:szCs w:val="24"/>
        </w:rPr>
        <w:t xml:space="preserve">Zwiększenie liczby kandydatów do służby w Wojskach Obrony Terytorialnej (żołnierze OT) i aktywnej rezerwy (żołnierze AR) </w:t>
      </w:r>
      <w:r w:rsidR="00420849" w:rsidRPr="003033B0">
        <w:rPr>
          <w:rFonts w:ascii="Times New Roman" w:hAnsi="Times New Roman" w:cs="Times New Roman"/>
          <w:sz w:val="24"/>
          <w:szCs w:val="24"/>
        </w:rPr>
        <w:t xml:space="preserve">jest </w:t>
      </w:r>
      <w:r w:rsidRPr="003033B0">
        <w:rPr>
          <w:rFonts w:ascii="Times New Roman" w:hAnsi="Times New Roman" w:cs="Times New Roman"/>
          <w:sz w:val="24"/>
          <w:szCs w:val="24"/>
        </w:rPr>
        <w:t xml:space="preserve">możliwe również do osiągniecia w wyniku wprowadzenia rozwiązań prawnych skutkujących przychylnością pracodawców, u których </w:t>
      </w:r>
      <w:r w:rsidR="00420849" w:rsidRPr="003033B0">
        <w:rPr>
          <w:rFonts w:ascii="Times New Roman" w:hAnsi="Times New Roman" w:cs="Times New Roman"/>
          <w:sz w:val="24"/>
          <w:szCs w:val="24"/>
        </w:rPr>
        <w:t xml:space="preserve">są </w:t>
      </w:r>
      <w:r w:rsidRPr="003033B0">
        <w:rPr>
          <w:rFonts w:ascii="Times New Roman" w:hAnsi="Times New Roman" w:cs="Times New Roman"/>
          <w:sz w:val="24"/>
          <w:szCs w:val="24"/>
        </w:rPr>
        <w:t xml:space="preserve">zatrudnieni pracownicy będący żołnierzami OT lub AR. Obecna sytuacja geopolityczna, w tym kryzys migracyjny na pograniczu </w:t>
      </w:r>
      <w:r w:rsidR="0011210F">
        <w:rPr>
          <w:rFonts w:ascii="Times New Roman" w:hAnsi="Times New Roman" w:cs="Times New Roman"/>
          <w:sz w:val="24"/>
          <w:szCs w:val="24"/>
        </w:rPr>
        <w:t>p</w:t>
      </w:r>
      <w:r w:rsidRPr="003033B0">
        <w:rPr>
          <w:rFonts w:ascii="Times New Roman" w:hAnsi="Times New Roman" w:cs="Times New Roman"/>
          <w:sz w:val="24"/>
          <w:szCs w:val="24"/>
        </w:rPr>
        <w:t>olsko</w:t>
      </w:r>
      <w:r w:rsidR="0011210F">
        <w:rPr>
          <w:rFonts w:ascii="Times New Roman" w:hAnsi="Times New Roman" w:cs="Times New Roman"/>
          <w:sz w:val="24"/>
          <w:szCs w:val="24"/>
        </w:rPr>
        <w:t>-b</w:t>
      </w:r>
      <w:r w:rsidRPr="003033B0">
        <w:rPr>
          <w:rFonts w:ascii="Times New Roman" w:hAnsi="Times New Roman" w:cs="Times New Roman"/>
          <w:sz w:val="24"/>
          <w:szCs w:val="24"/>
        </w:rPr>
        <w:t>iałoruskim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33B0">
        <w:rPr>
          <w:rFonts w:ascii="Times New Roman" w:hAnsi="Times New Roman" w:cs="Times New Roman"/>
          <w:sz w:val="24"/>
          <w:szCs w:val="24"/>
        </w:rPr>
        <w:t xml:space="preserve"> ale również sytuacja związana z zapobieganiem, a następnie usuwaniem skutków klęski żywiołowej wywołanej powodzią na terytorium południowo</w:t>
      </w:r>
      <w:r w:rsidR="0011210F">
        <w:rPr>
          <w:rFonts w:ascii="Times New Roman" w:hAnsi="Times New Roman" w:cs="Times New Roman"/>
          <w:sz w:val="24"/>
          <w:szCs w:val="24"/>
        </w:rPr>
        <w:t>-</w:t>
      </w:r>
      <w:r w:rsidRPr="003033B0">
        <w:rPr>
          <w:rFonts w:ascii="Times New Roman" w:hAnsi="Times New Roman" w:cs="Times New Roman"/>
          <w:sz w:val="24"/>
          <w:szCs w:val="24"/>
        </w:rPr>
        <w:t>zachodniej Polski</w:t>
      </w:r>
      <w:r w:rsidR="0011210F">
        <w:rPr>
          <w:rFonts w:ascii="Times New Roman" w:hAnsi="Times New Roman" w:cs="Times New Roman"/>
          <w:sz w:val="24"/>
          <w:szCs w:val="24"/>
        </w:rPr>
        <w:t>,</w:t>
      </w:r>
      <w:r w:rsidRPr="003033B0">
        <w:rPr>
          <w:rFonts w:ascii="Times New Roman" w:hAnsi="Times New Roman" w:cs="Times New Roman"/>
          <w:sz w:val="24"/>
          <w:szCs w:val="24"/>
        </w:rPr>
        <w:t xml:space="preserve"> wymusza zwiększenie liczby tych żołnierzy zobligowanych do stawienia się w jednostkach wojskowych. Przedsiębiorcy zatrudniający tych żołnierzy traktują te sytuacje jako znaczne obciążenie, szczególnie dla sektora małych i średnich firm. </w:t>
      </w:r>
    </w:p>
    <w:p w14:paraId="1C2932F0" w14:textId="67F882EF" w:rsidR="00A603EE" w:rsidRPr="00F32236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41DAE">
        <w:rPr>
          <w:rFonts w:ascii="Times New Roman" w:hAnsi="Times New Roman" w:cs="Times New Roman"/>
          <w:bCs/>
          <w:sz w:val="24"/>
          <w:szCs w:val="24"/>
        </w:rPr>
        <w:t xml:space="preserve">Celem projektu jest zachęcenie pracodawców do zatrudniania żołnierzy OT i AR. Należy bowiem podkreślić, że osoby należące do tych grup, pomimo że co do zasady na co dzień nie pełnią służby w jednostkach organizacyjnych resortu obrony narodowej, to jednak przez cały czas pozostają żołnierzami w czynnej służbie wojskowej. W związku z tym mogą w każdej chwili zostać wezwane do wykonywania obowiązków służbowych, co </w:t>
      </w:r>
      <w:r>
        <w:rPr>
          <w:rFonts w:ascii="Times New Roman" w:hAnsi="Times New Roman" w:cs="Times New Roman"/>
          <w:bCs/>
          <w:sz w:val="24"/>
          <w:szCs w:val="24"/>
        </w:rPr>
        <w:t>wyłącza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możliwość wykonywania przez nie obowiązków w ramach stosunku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pracy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0"/>
      <w:r w:rsidRPr="00941DAE">
        <w:rPr>
          <w:rFonts w:ascii="Times New Roman" w:hAnsi="Times New Roman" w:cs="Times New Roman"/>
          <w:bCs/>
          <w:sz w:val="24"/>
          <w:szCs w:val="24"/>
        </w:rPr>
        <w:t xml:space="preserve">W przypadku żołnierzy OT stanowi o tym w szczególności art. 175 ustawy </w:t>
      </w:r>
      <w:r w:rsidR="00A32798">
        <w:rPr>
          <w:rFonts w:ascii="Times New Roman" w:hAnsi="Times New Roman" w:cs="Times New Roman"/>
          <w:bCs/>
          <w:sz w:val="24"/>
          <w:szCs w:val="24"/>
        </w:rPr>
        <w:t xml:space="preserve">z dnia 11 marca 2022 r. </w:t>
      </w:r>
      <w:r w:rsidRPr="00941DAE">
        <w:rPr>
          <w:rFonts w:ascii="Times New Roman" w:hAnsi="Times New Roman" w:cs="Times New Roman"/>
          <w:bCs/>
          <w:sz w:val="24"/>
          <w:szCs w:val="24"/>
        </w:rPr>
        <w:t>o obronie Ojczyzny</w:t>
      </w:r>
      <w:r w:rsidR="003C0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9A3">
        <w:rPr>
          <w:rFonts w:ascii="Times New Roman" w:hAnsi="Times New Roman" w:cs="Times New Roman"/>
          <w:sz w:val="24"/>
          <w:szCs w:val="24"/>
        </w:rPr>
        <w:t>(Dz. U. z 2024 r. poz. 248, z późn. zm.)</w:t>
      </w:r>
      <w:r w:rsidRPr="00941DAE">
        <w:rPr>
          <w:rFonts w:ascii="Times New Roman" w:hAnsi="Times New Roman" w:cs="Times New Roman"/>
          <w:bCs/>
          <w:sz w:val="24"/>
          <w:szCs w:val="24"/>
        </w:rPr>
        <w:t>, który ustanawia instytucję wezwania żołnierza do stawienia się w trybie natychmiastowego stawiennictwa do pełnienia terytorialnej służby wojskowej rotacyjnie. W przypadku żołnierzy AR tożsamą instytucję ustanawia art. 243 ust. 2 i 4 tej ustawy. Ponadto art. 243 ust. 1 cyt</w:t>
      </w:r>
      <w:r w:rsidR="003C09A3">
        <w:rPr>
          <w:rFonts w:ascii="Times New Roman" w:hAnsi="Times New Roman" w:cs="Times New Roman"/>
          <w:bCs/>
          <w:sz w:val="24"/>
          <w:szCs w:val="24"/>
        </w:rPr>
        <w:t>owanej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ustawy stanowi o obowiązku pełnienia służby przez żołnierza AR jednorazowo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okres </w:t>
      </w:r>
      <w:r w:rsidRPr="00941DAE">
        <w:rPr>
          <w:rFonts w:ascii="Times New Roman" w:hAnsi="Times New Roman" w:cs="Times New Roman"/>
          <w:bCs/>
          <w:sz w:val="24"/>
          <w:szCs w:val="24"/>
        </w:rPr>
        <w:t>14</w:t>
      </w:r>
      <w:r w:rsidR="003F036E">
        <w:rPr>
          <w:rFonts w:ascii="Times New Roman" w:hAnsi="Times New Roman" w:cs="Times New Roman"/>
          <w:bCs/>
          <w:sz w:val="24"/>
          <w:szCs w:val="24"/>
        </w:rPr>
        <w:t> 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dni, co najmniej raz na 3 lata. Zgodnie z art. 305 ust. 1 ustawy </w:t>
      </w:r>
      <w:r w:rsidR="00A32798">
        <w:rPr>
          <w:rFonts w:ascii="Times New Roman" w:hAnsi="Times New Roman" w:cs="Times New Roman"/>
          <w:bCs/>
          <w:sz w:val="24"/>
          <w:szCs w:val="24"/>
        </w:rPr>
        <w:t xml:space="preserve">z dnia 11 marca 2022 r. </w:t>
      </w:r>
      <w:r w:rsidRPr="00941DAE">
        <w:rPr>
          <w:rFonts w:ascii="Times New Roman" w:hAnsi="Times New Roman" w:cs="Times New Roman"/>
          <w:bCs/>
          <w:sz w:val="24"/>
          <w:szCs w:val="24"/>
        </w:rPr>
        <w:t>o</w:t>
      </w:r>
      <w:r w:rsidR="008C4335">
        <w:rPr>
          <w:rFonts w:ascii="Times New Roman" w:hAnsi="Times New Roman" w:cs="Times New Roman"/>
          <w:bCs/>
          <w:sz w:val="24"/>
          <w:szCs w:val="24"/>
        </w:rPr>
        <w:t> </w:t>
      </w:r>
      <w:r w:rsidRPr="00941DAE">
        <w:rPr>
          <w:rFonts w:ascii="Times New Roman" w:hAnsi="Times New Roman" w:cs="Times New Roman"/>
          <w:bCs/>
          <w:sz w:val="24"/>
          <w:szCs w:val="24"/>
        </w:rPr>
        <w:t>obronie Ojczyzny pracodawca udziela pracownikowi powołanemu do pełnienia terytorialnej służby wojskowej rotacyjnie, z</w:t>
      </w:r>
      <w:r w:rsidR="00203267">
        <w:rPr>
          <w:rFonts w:ascii="Times New Roman" w:hAnsi="Times New Roman" w:cs="Times New Roman"/>
          <w:bCs/>
          <w:sz w:val="24"/>
          <w:szCs w:val="24"/>
        </w:rPr>
        <w:t> 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wyjątkiem służby pełnionej w czasie lub dniu wolnym od pracy, urlopu bezpłatnego na okres </w:t>
      </w:r>
      <w:r w:rsidRPr="00941DAE">
        <w:rPr>
          <w:rFonts w:ascii="Times New Roman" w:hAnsi="Times New Roman" w:cs="Times New Roman"/>
          <w:bCs/>
          <w:sz w:val="24"/>
          <w:szCs w:val="24"/>
        </w:rPr>
        <w:lastRenderedPageBreak/>
        <w:t>trwania tej służby. Z kolei, zgodnie z art. 305 ust. 4</w:t>
      </w:r>
      <w:r w:rsidR="00A32798">
        <w:rPr>
          <w:rFonts w:ascii="Times New Roman" w:hAnsi="Times New Roman" w:cs="Times New Roman"/>
          <w:bCs/>
          <w:sz w:val="24"/>
          <w:szCs w:val="24"/>
        </w:rPr>
        <w:t>,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przepis ten stosuje się odpowiednio do żołnierza rezerwy. Projektodawca dysponuje wiedzą o tym, że kolizja między obowiązkami wynikającymi z pozostawania w stosunku służbowym a</w:t>
      </w:r>
      <w:r w:rsidR="008C4335">
        <w:rPr>
          <w:rFonts w:ascii="Times New Roman" w:hAnsi="Times New Roman" w:cs="Times New Roman"/>
          <w:bCs/>
          <w:sz w:val="24"/>
          <w:szCs w:val="24"/>
        </w:rPr>
        <w:t> </w:t>
      </w:r>
      <w:r w:rsidRPr="00941DAE">
        <w:rPr>
          <w:rFonts w:ascii="Times New Roman" w:hAnsi="Times New Roman" w:cs="Times New Roman"/>
          <w:bCs/>
          <w:sz w:val="24"/>
          <w:szCs w:val="24"/>
        </w:rPr>
        <w:t>obowiązkami wynikającymi ze stosunku pracy zniechęca wielu pracodawców do zatrudniania żołnierzy OT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jak również AR. Częste są również informacje o tym, że relacje z pracodawcą prowadzą do rezygnacji przez żołnierzy ze stosunku służbowego. </w:t>
      </w:r>
    </w:p>
    <w:p w14:paraId="7393F494" w14:textId="264C08E1" w:rsidR="00A603EE" w:rsidRDefault="00A603EE" w:rsidP="00A603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AE">
        <w:rPr>
          <w:rFonts w:ascii="Times New Roman" w:eastAsia="Times New Roman" w:hAnsi="Times New Roman" w:cs="Times New Roman"/>
          <w:sz w:val="24"/>
          <w:szCs w:val="24"/>
        </w:rPr>
        <w:t>W związku z tym proponuje się wprowadzenie rozwiązania zachęcającego pracodawców do zatrudniania pracowników będących żołnierzami OT lub AR</w:t>
      </w:r>
      <w:r w:rsidRPr="00F5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75578324"/>
      <w:r>
        <w:rPr>
          <w:rFonts w:ascii="Times New Roman" w:hAnsi="Times New Roman" w:cs="Times New Roman"/>
          <w:sz w:val="24"/>
          <w:szCs w:val="24"/>
        </w:rPr>
        <w:t>W</w:t>
      </w:r>
      <w:r w:rsidRPr="0094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projekcie </w:t>
      </w:r>
      <w:r w:rsidRPr="00941DAE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promuje się więc</w:t>
      </w:r>
      <w:r w:rsidRPr="00941DAE">
        <w:rPr>
          <w:rFonts w:ascii="Times New Roman" w:hAnsi="Times New Roman" w:cs="Times New Roman"/>
          <w:sz w:val="24"/>
          <w:szCs w:val="24"/>
        </w:rPr>
        <w:t xml:space="preserve"> działania mające na celu zmniejszenie obciążeń pracodawców oraz zastosowanie preferencji podatkowych wobec pracodawców zatrudniających osoby pełniące równocześnie te formy służby wojskowej. </w:t>
      </w:r>
      <w:r w:rsidR="000B37C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0B37C0" w:rsidRPr="004E1642">
        <w:rPr>
          <w:rFonts w:ascii="Times New Roman" w:hAnsi="Times New Roman" w:cs="Times New Roman"/>
          <w:sz w:val="24"/>
          <w:szCs w:val="24"/>
          <w:u w:val="single"/>
        </w:rPr>
        <w:t xml:space="preserve">ależy </w:t>
      </w:r>
      <w:r w:rsidRPr="004E1642">
        <w:rPr>
          <w:rFonts w:ascii="Times New Roman" w:hAnsi="Times New Roman" w:cs="Times New Roman"/>
          <w:sz w:val="24"/>
          <w:szCs w:val="24"/>
          <w:u w:val="single"/>
        </w:rPr>
        <w:t>więc</w:t>
      </w:r>
      <w:r w:rsidR="000B37C0" w:rsidRPr="000B37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37C0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0B37C0" w:rsidRPr="004E1642">
        <w:rPr>
          <w:rFonts w:ascii="Times New Roman" w:hAnsi="Times New Roman" w:cs="Times New Roman"/>
          <w:sz w:val="24"/>
          <w:szCs w:val="24"/>
          <w:u w:val="single"/>
        </w:rPr>
        <w:t>aznaczyć</w:t>
      </w:r>
      <w:r w:rsidRPr="004E1642">
        <w:rPr>
          <w:rFonts w:ascii="Times New Roman" w:hAnsi="Times New Roman" w:cs="Times New Roman"/>
          <w:sz w:val="24"/>
          <w:szCs w:val="24"/>
          <w:u w:val="single"/>
        </w:rPr>
        <w:t xml:space="preserve">, że obok szeregu ustawowych obowiązków ciążących na pracodawcach zatrudniających wymienionych żołnierzy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(jak np. brak możliwości, poza nielicznymi wyjątkami, rozwiązania stosunku pracy czy też obowiązek udzielenia urlopu bezpłatnego na czas służby wojskowej) </w:t>
      </w:r>
      <w:r w:rsidRPr="004E1642">
        <w:rPr>
          <w:rFonts w:ascii="Times New Roman" w:hAnsi="Times New Roman" w:cs="Times New Roman"/>
          <w:sz w:val="24"/>
          <w:szCs w:val="24"/>
          <w:u w:val="single"/>
        </w:rPr>
        <w:t>po raz pierwszy tworzy się również system preferencji</w:t>
      </w:r>
      <w:r w:rsidRPr="00941DA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E1AD857" w14:textId="77777777" w:rsidR="00A603EE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 xml:space="preserve">Proponowane zmiany powinny również zachęcić osoby do podejmowania niezawodowych dobrowolnych form służby wojskowej w postaci służby w Wojskach Obrony Terytorialnej przez żołnierzy OT oraz w pozostałych jednostkach wojskowych przez żołnierzy AR. </w:t>
      </w:r>
    </w:p>
    <w:p w14:paraId="36EA3DC6" w14:textId="09DA554D" w:rsidR="00A603EE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DAE">
        <w:rPr>
          <w:rFonts w:ascii="Times New Roman" w:hAnsi="Times New Roman" w:cs="Times New Roman"/>
          <w:bCs/>
          <w:sz w:val="24"/>
          <w:szCs w:val="24"/>
        </w:rPr>
        <w:t xml:space="preserve">Mając na uwadze powyższe, </w:t>
      </w:r>
      <w:r w:rsidR="003C09A3" w:rsidRPr="00941DAE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941DAE">
        <w:rPr>
          <w:rFonts w:ascii="Times New Roman" w:hAnsi="Times New Roman" w:cs="Times New Roman"/>
          <w:bCs/>
          <w:sz w:val="24"/>
          <w:szCs w:val="24"/>
        </w:rPr>
        <w:t>zasadn</w:t>
      </w:r>
      <w:r w:rsidR="003F036E">
        <w:rPr>
          <w:rFonts w:ascii="Times New Roman" w:hAnsi="Times New Roman" w:cs="Times New Roman"/>
          <w:bCs/>
          <w:sz w:val="24"/>
          <w:szCs w:val="24"/>
        </w:rPr>
        <w:t>e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wprowadzenie w systemie prawa regulacji zachęcających pracodawców do zatrudniania ww. kategorii osób. </w:t>
      </w:r>
    </w:p>
    <w:p w14:paraId="5350A94C" w14:textId="2F63614E" w:rsidR="00A603EE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DAE">
        <w:rPr>
          <w:rFonts w:ascii="Times New Roman" w:hAnsi="Times New Roman" w:cs="Times New Roman"/>
          <w:bCs/>
          <w:sz w:val="24"/>
          <w:szCs w:val="24"/>
        </w:rPr>
        <w:t xml:space="preserve">W ocenie projektodawcy </w:t>
      </w:r>
      <w:r>
        <w:rPr>
          <w:rFonts w:ascii="Times New Roman" w:hAnsi="Times New Roman" w:cs="Times New Roman"/>
          <w:bCs/>
          <w:sz w:val="24"/>
          <w:szCs w:val="24"/>
        </w:rPr>
        <w:t>jednym z takich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mechaniz</w:t>
      </w:r>
      <w:r>
        <w:rPr>
          <w:rFonts w:ascii="Times New Roman" w:hAnsi="Times New Roman" w:cs="Times New Roman"/>
          <w:bCs/>
          <w:sz w:val="24"/>
          <w:szCs w:val="24"/>
        </w:rPr>
        <w:t>mów będzie wprowadzenie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ulg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podatkow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941D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1DAE">
        <w:rPr>
          <w:rFonts w:ascii="Times New Roman" w:hAnsi="Times New Roman" w:cs="Times New Roman"/>
          <w:sz w:val="24"/>
          <w:szCs w:val="24"/>
          <w:lang w:eastAsia="pl-PL"/>
        </w:rPr>
        <w:t xml:space="preserve">Zmiany odnoszące się do </w:t>
      </w:r>
      <w:r w:rsidRPr="00941DAE">
        <w:rPr>
          <w:rFonts w:ascii="Times New Roman" w:hAnsi="Times New Roman" w:cs="Times New Roman"/>
          <w:sz w:val="24"/>
          <w:szCs w:val="24"/>
        </w:rPr>
        <w:t xml:space="preserve">ustawy z dnia 26 lipca 1991 r. o podatku dochodowym od osób fizycznych </w:t>
      </w:r>
      <w:r w:rsidR="003C09A3">
        <w:rPr>
          <w:rFonts w:ascii="Times New Roman" w:hAnsi="Times New Roman" w:cs="Times New Roman"/>
          <w:sz w:val="24"/>
          <w:szCs w:val="24"/>
        </w:rPr>
        <w:t xml:space="preserve">(Dz. U. z 2024 r. poz. 226, z późn. zm.) </w:t>
      </w:r>
      <w:r w:rsidRPr="00941DAE">
        <w:rPr>
          <w:rFonts w:ascii="Times New Roman" w:hAnsi="Times New Roman" w:cs="Times New Roman"/>
          <w:sz w:val="24"/>
          <w:szCs w:val="24"/>
        </w:rPr>
        <w:t xml:space="preserve">oraz ustawy z dnia 15 lutego 1992 r. o podatku dochodowym od osób prawnych </w:t>
      </w:r>
      <w:r w:rsidR="003C09A3" w:rsidRPr="00941DAE">
        <w:rPr>
          <w:rFonts w:ascii="Times New Roman" w:hAnsi="Times New Roman" w:cs="Times New Roman"/>
          <w:sz w:val="24"/>
          <w:szCs w:val="24"/>
        </w:rPr>
        <w:t xml:space="preserve"> </w:t>
      </w:r>
      <w:r w:rsidR="003C09A3">
        <w:rPr>
          <w:rFonts w:ascii="Times New Roman" w:hAnsi="Times New Roman" w:cs="Times New Roman"/>
          <w:sz w:val="24"/>
          <w:szCs w:val="24"/>
        </w:rPr>
        <w:t xml:space="preserve">(Dz. U. z 2023 r. poz. 2805, z późn. zm.) </w:t>
      </w:r>
      <w:r w:rsidRPr="00941DAE">
        <w:rPr>
          <w:rFonts w:ascii="Times New Roman" w:hAnsi="Times New Roman" w:cs="Times New Roman"/>
          <w:sz w:val="24"/>
          <w:szCs w:val="24"/>
        </w:rPr>
        <w:t>przewidują wprowadzenie ulgi z tytułu zatrudniania żołnierza OT, jak również żołnierza AR.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Ulga przewiduje możliwość odliczenia od podstawy opodatkowania kwoty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3F036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3F036E">
        <w:rPr>
          <w:rFonts w:ascii="Times New Roman" w:hAnsi="Times New Roman" w:cs="Times New Roman"/>
          <w:bCs/>
          <w:sz w:val="24"/>
          <w:szCs w:val="24"/>
        </w:rPr>
        <w:t>,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jeśli zatrudniony </w:t>
      </w:r>
      <w:r>
        <w:rPr>
          <w:rFonts w:ascii="Times New Roman" w:hAnsi="Times New Roman" w:cs="Times New Roman"/>
          <w:bCs/>
          <w:sz w:val="24"/>
          <w:szCs w:val="24"/>
        </w:rPr>
        <w:t xml:space="preserve">w ramach stosunku pracy 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u przedsiębiorcy żołnierz OT lub AR pełni co najmniej rok nieprzerwanie terytorialną służbę wojskową lub służbę w aktywnej rezerwie. Projekt zakłada wzrost wysokości ulgi z każdym rokiem nieprzerwanego pełnienia służby przez żołnierza OT i AR, aż do kwoty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A63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 zł, jeżeli pełni on staż służby wynoszący co najmniej 5 lat.</w:t>
      </w:r>
      <w:r w:rsidRPr="00941D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Maksymalny okres trwania kontraktu żołnierza OT wynosi 6 lat. </w:t>
      </w:r>
      <w:r w:rsidRPr="00941DAE">
        <w:rPr>
          <w:rFonts w:ascii="Times New Roman" w:hAnsi="Times New Roman" w:cs="Times New Roman"/>
          <w:bCs/>
          <w:sz w:val="24"/>
          <w:szCs w:val="24"/>
        </w:rPr>
        <w:t xml:space="preserve">W obu przypadkach projekt zakłada, aby ulga przysługiwała na każdego zatrudnionego żołnierza OT i AR niebędącego udziałowcem, akcjonariuszem ani wspólnikiem tego podatnika oraz na rzecz </w:t>
      </w:r>
      <w:r w:rsidRPr="00941DAE">
        <w:rPr>
          <w:rFonts w:ascii="Times New Roman" w:hAnsi="Times New Roman" w:cs="Times New Roman"/>
          <w:bCs/>
          <w:sz w:val="24"/>
          <w:szCs w:val="24"/>
        </w:rPr>
        <w:lastRenderedPageBreak/>
        <w:t>którego podatnik ponosi miesięczne wydatki w kwocie stanowiącej wysokość co najmniej minimalnego wynagrodzenia.</w:t>
      </w:r>
    </w:p>
    <w:p w14:paraId="587BB6AE" w14:textId="5E02B620" w:rsidR="00A603EE" w:rsidRPr="00C8562B" w:rsidRDefault="00A603EE" w:rsidP="00A603E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62B">
        <w:rPr>
          <w:rFonts w:ascii="Times New Roman" w:hAnsi="Times New Roman" w:cs="Times New Roman"/>
          <w:bCs/>
          <w:sz w:val="24"/>
          <w:szCs w:val="24"/>
        </w:rPr>
        <w:t>Kolejnym proponowanym rozwiązaniem jest promocja przedsiębiorców zatrudniających żołnierzy OT i AR, w kryteriach wyboru partnerów i dostawców w procesie udzielania zamówienia publicznego. Jest to realna szansa na promowanie firm, które swoim zaangażowaniem dają przykład innym podmiotom. Zgodnie z art. 242 ust. 2 pkt 2 ustawy z</w:t>
      </w:r>
      <w:r w:rsidR="00203267">
        <w:rPr>
          <w:rFonts w:ascii="Times New Roman" w:hAnsi="Times New Roman" w:cs="Times New Roman"/>
          <w:bCs/>
          <w:sz w:val="24"/>
          <w:szCs w:val="24"/>
        </w:rPr>
        <w:t> </w:t>
      </w:r>
      <w:r w:rsidRPr="00C8562B">
        <w:rPr>
          <w:rFonts w:ascii="Times New Roman" w:hAnsi="Times New Roman" w:cs="Times New Roman"/>
          <w:bCs/>
          <w:sz w:val="24"/>
          <w:szCs w:val="24"/>
        </w:rPr>
        <w:t xml:space="preserve">dnia 11 września 2019 r.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C8562B">
        <w:rPr>
          <w:rFonts w:ascii="Times New Roman" w:hAnsi="Times New Roman" w:cs="Times New Roman"/>
          <w:bCs/>
          <w:sz w:val="24"/>
          <w:szCs w:val="24"/>
        </w:rPr>
        <w:t xml:space="preserve"> Prawo zamówień publicznych</w:t>
      </w:r>
      <w:r w:rsidR="003C0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9A3">
        <w:rPr>
          <w:rFonts w:ascii="Times New Roman" w:hAnsi="Times New Roman" w:cs="Times New Roman"/>
          <w:sz w:val="24"/>
          <w:szCs w:val="24"/>
        </w:rPr>
        <w:t>(Dz. U. z 2024 r. poz. 1320)</w:t>
      </w:r>
      <w:r w:rsidRPr="00C8562B">
        <w:rPr>
          <w:rFonts w:ascii="Times New Roman" w:hAnsi="Times New Roman" w:cs="Times New Roman"/>
          <w:bCs/>
          <w:sz w:val="24"/>
          <w:szCs w:val="24"/>
        </w:rPr>
        <w:t xml:space="preserve"> kryterium jakościowym branym pod uwagę przy udzielaniu zamówienia publicznego może być w</w:t>
      </w:r>
      <w:r w:rsidR="00203267">
        <w:rPr>
          <w:rFonts w:ascii="Times New Roman" w:hAnsi="Times New Roman" w:cs="Times New Roman"/>
          <w:bCs/>
          <w:sz w:val="24"/>
          <w:szCs w:val="24"/>
        </w:rPr>
        <w:t> </w:t>
      </w:r>
      <w:r w:rsidRPr="00C8562B">
        <w:rPr>
          <w:rFonts w:ascii="Times New Roman" w:hAnsi="Times New Roman" w:cs="Times New Roman"/>
          <w:bCs/>
          <w:sz w:val="24"/>
          <w:szCs w:val="24"/>
        </w:rPr>
        <w:t>szczególności aspekt społeczny. Takim kryterium może więc być zatrudnianie przez podmiot ubiegający się o udzielenie zamówienia publicznego pracowników będących jednocześnie żołnierzami OT i AR. Projektowane rozwiązanie w przypadkach zamówień o wartości mniejszej niż progi unijne przewiduje więc możliwość wskazania zatrudniania żołnierza OT</w:t>
      </w:r>
      <w:r w:rsidR="00A63377">
        <w:rPr>
          <w:rFonts w:ascii="Times New Roman" w:hAnsi="Times New Roman" w:cs="Times New Roman"/>
          <w:bCs/>
          <w:sz w:val="24"/>
          <w:szCs w:val="24"/>
        </w:rPr>
        <w:t>,</w:t>
      </w:r>
      <w:r w:rsidRPr="00C8562B">
        <w:rPr>
          <w:rFonts w:ascii="Times New Roman" w:hAnsi="Times New Roman" w:cs="Times New Roman"/>
          <w:bCs/>
          <w:sz w:val="24"/>
          <w:szCs w:val="24"/>
        </w:rPr>
        <w:t xml:space="preserve"> jak również żołnierza AR przez wykonawcę lub podwykonawcę jako kryterium odnosząc</w:t>
      </w:r>
      <w:r w:rsidR="00A63377">
        <w:rPr>
          <w:rFonts w:ascii="Times New Roman" w:hAnsi="Times New Roman" w:cs="Times New Roman"/>
          <w:bCs/>
          <w:sz w:val="24"/>
          <w:szCs w:val="24"/>
        </w:rPr>
        <w:t>ego</w:t>
      </w:r>
      <w:r w:rsidRPr="00C8562B">
        <w:rPr>
          <w:rFonts w:ascii="Times New Roman" w:hAnsi="Times New Roman" w:cs="Times New Roman"/>
          <w:bCs/>
          <w:sz w:val="24"/>
          <w:szCs w:val="24"/>
        </w:rPr>
        <w:t xml:space="preserve"> się do aspektów społecznych, jako kryterium jakościowego. Dodatkowo w projekcie przewidziano, że Minister Obrony Narodowej wyznaczy jednostki organizacyjne sobie podległe i nadzorowane, które przy udzielaniu zamówień publicznych będą obowiązane stosować zatrudnianie żołnierzy OT lub AR jako „kryterium jakościowe”, a także określi wagę przypisaną temu kryterium, która nie może być niższa niż 10%. Rozwiązanie to </w:t>
      </w:r>
      <w:r w:rsidR="00A63377" w:rsidRPr="00C8562B">
        <w:rPr>
          <w:rFonts w:ascii="Times New Roman" w:hAnsi="Times New Roman" w:cs="Times New Roman"/>
          <w:bCs/>
          <w:sz w:val="24"/>
          <w:szCs w:val="24"/>
        </w:rPr>
        <w:t xml:space="preserve">będzie </w:t>
      </w:r>
      <w:r w:rsidRPr="00C8562B">
        <w:rPr>
          <w:rFonts w:ascii="Times New Roman" w:hAnsi="Times New Roman" w:cs="Times New Roman"/>
          <w:bCs/>
          <w:sz w:val="24"/>
          <w:szCs w:val="24"/>
        </w:rPr>
        <w:t>dotyczyć postępowań o udzielenie zamówienia publicznego, którego wartość nie przekracza progów unijnych (tj. poniżej 25</w:t>
      </w:r>
      <w:r w:rsidR="008C4335">
        <w:rPr>
          <w:rFonts w:ascii="Times New Roman" w:hAnsi="Times New Roman" w:cs="Times New Roman"/>
          <w:bCs/>
          <w:sz w:val="24"/>
          <w:szCs w:val="24"/>
        </w:rPr>
        <w:t> </w:t>
      </w:r>
      <w:r w:rsidRPr="00C8562B">
        <w:rPr>
          <w:rFonts w:ascii="Times New Roman" w:hAnsi="Times New Roman" w:cs="Times New Roman"/>
          <w:bCs/>
          <w:sz w:val="24"/>
          <w:szCs w:val="24"/>
        </w:rPr>
        <w:t>680</w:t>
      </w:r>
      <w:r w:rsidR="008C4335">
        <w:rPr>
          <w:rFonts w:ascii="Times New Roman" w:hAnsi="Times New Roman" w:cs="Times New Roman"/>
          <w:bCs/>
          <w:sz w:val="24"/>
          <w:szCs w:val="24"/>
        </w:rPr>
        <w:t> </w:t>
      </w:r>
      <w:r w:rsidRPr="00C8562B">
        <w:rPr>
          <w:rFonts w:ascii="Times New Roman" w:hAnsi="Times New Roman" w:cs="Times New Roman"/>
          <w:bCs/>
          <w:sz w:val="24"/>
          <w:szCs w:val="24"/>
        </w:rPr>
        <w:t>260 zł w przypadku robót budowlanych i 663</w:t>
      </w:r>
      <w:r w:rsidR="00A63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62B">
        <w:rPr>
          <w:rFonts w:ascii="Times New Roman" w:hAnsi="Times New Roman" w:cs="Times New Roman"/>
          <w:bCs/>
          <w:sz w:val="24"/>
          <w:szCs w:val="24"/>
        </w:rPr>
        <w:t>105 zł w</w:t>
      </w:r>
      <w:r w:rsidR="00203267">
        <w:rPr>
          <w:rFonts w:ascii="Times New Roman" w:hAnsi="Times New Roman" w:cs="Times New Roman"/>
          <w:bCs/>
          <w:sz w:val="24"/>
          <w:szCs w:val="24"/>
        </w:rPr>
        <w:t> </w:t>
      </w:r>
      <w:r w:rsidRPr="00C8562B">
        <w:rPr>
          <w:rFonts w:ascii="Times New Roman" w:hAnsi="Times New Roman" w:cs="Times New Roman"/>
          <w:bCs/>
          <w:sz w:val="24"/>
          <w:szCs w:val="24"/>
        </w:rPr>
        <w:t>przypadku dostaw i usług).</w:t>
      </w:r>
    </w:p>
    <w:p w14:paraId="1D1C0489" w14:textId="3F1E1355" w:rsidR="00A603EE" w:rsidRPr="00F32236" w:rsidRDefault="00A603EE" w:rsidP="002E498D">
      <w:pPr>
        <w:pStyle w:val="PKTpunkt"/>
        <w:ind w:lef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Następne proponowane rozwiązanie ma na celu zmniejszenie obciążeń pracodawcy przez zniesienie obowiązku wypłaty odprawy pracownikowi powołanemu do pełnienia terytorialnej służby wojskowej. W tym celu proponuje się</w:t>
      </w:r>
      <w:r w:rsidRPr="00F32236">
        <w:rPr>
          <w:rFonts w:ascii="Times New Roman" w:hAnsi="Times New Roman" w:cs="Times New Roman"/>
          <w:szCs w:val="24"/>
        </w:rPr>
        <w:t xml:space="preserve"> zastąpienie odprawy wypłacanej przez pracodawcę zatrudnionemu u niego pracownikowi powołanemu do terytorialnej służby wojskowej – świadczeniem początkowym. W obecnym stanie prawnym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>pracownik powołany do terytorialnej służby wojskowej otrzymuje od pracodawcy odprawę w wysokości dwutygodniowego wynagrodzenia obliczonego według zasad określonych dla ustalania ekwiwalentu za urlop wypoczynkowy. Pracodawcy, który wypłacił odprawę</w:t>
      </w:r>
      <w:r w:rsidR="00105817">
        <w:rPr>
          <w:rFonts w:ascii="Times New Roman" w:eastAsia="Times New Roman" w:hAnsi="Times New Roman" w:cs="Times New Roman"/>
          <w:color w:val="333333"/>
          <w:szCs w:val="24"/>
        </w:rPr>
        <w:t>,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 przysługuje jej rekompensata. W tym celu pracodawca </w:t>
      </w:r>
      <w:r w:rsidR="00105817"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jest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zobowiązany do złożenia szefowi wojskowego centrum rekrutacji stosownego wniosku wraz z dokumentami potwierdzającymi poniesione koszty. Szef wojskowego centrum rekrutacji wydaje decyzję o przyznaniu lub odmowie przyznania pracodawcy refundacji wypłaconej odprawy. Zgodnie z propozycją, zamiast odprawy wypłacanej przez pracodawcę, a następnie refundowanej przez wojskowe centrum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lastRenderedPageBreak/>
        <w:t>rekrutacji</w:t>
      </w:r>
      <w:r w:rsidR="00105817">
        <w:rPr>
          <w:rFonts w:ascii="Times New Roman" w:eastAsia="Times New Roman" w:hAnsi="Times New Roman" w:cs="Times New Roman"/>
          <w:color w:val="333333"/>
          <w:szCs w:val="24"/>
        </w:rPr>
        <w:t>,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 proponuje się wprowadzenie </w:t>
      </w:r>
      <w:r w:rsidRPr="00F32236">
        <w:rPr>
          <w:rFonts w:ascii="Times New Roman" w:hAnsi="Times New Roman" w:cs="Times New Roman"/>
          <w:szCs w:val="24"/>
        </w:rPr>
        <w:t>świadczenia początkowego</w:t>
      </w:r>
      <w:r w:rsidRPr="00F32236" w:rsidDel="00327A20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dla żołnierzy OT. Świadczenie to </w:t>
      </w:r>
      <w:r w:rsidR="00105817" w:rsidRPr="00F32236">
        <w:rPr>
          <w:rFonts w:ascii="Times New Roman" w:eastAsia="Times New Roman" w:hAnsi="Times New Roman" w:cs="Times New Roman"/>
          <w:color w:val="333333"/>
          <w:szCs w:val="24"/>
        </w:rPr>
        <w:t>będzie</w:t>
      </w:r>
      <w:r w:rsidR="00105817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przysługiwać po odbyciu szkolenia </w:t>
      </w:r>
      <w:r>
        <w:rPr>
          <w:rFonts w:ascii="Times New Roman" w:eastAsia="Times New Roman" w:hAnsi="Times New Roman" w:cs="Times New Roman"/>
          <w:color w:val="333333"/>
          <w:szCs w:val="24"/>
        </w:rPr>
        <w:t xml:space="preserve">podstawowego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>przewidzianego w</w:t>
      </w:r>
      <w:r w:rsidR="00203267">
        <w:rPr>
          <w:rFonts w:ascii="Times New Roman" w:eastAsia="Times New Roman" w:hAnsi="Times New Roman" w:cs="Times New Roman"/>
          <w:color w:val="333333"/>
          <w:szCs w:val="24"/>
        </w:rPr>
        <w:t> 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art. 173 ust. 1 lub </w:t>
      </w:r>
      <w:r>
        <w:rPr>
          <w:rFonts w:ascii="Times New Roman" w:eastAsia="Times New Roman" w:hAnsi="Times New Roman" w:cs="Times New Roman"/>
          <w:color w:val="333333"/>
          <w:szCs w:val="24"/>
        </w:rPr>
        <w:t>szkolenia wyrównawczego przewidzianego w nowo</w:t>
      </w:r>
      <w:r w:rsidR="00105817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Cs w:val="24"/>
        </w:rPr>
        <w:t xml:space="preserve">projektowanym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>art.</w:t>
      </w:r>
      <w:r w:rsidR="00203267">
        <w:rPr>
          <w:rFonts w:ascii="Times New Roman" w:eastAsia="Times New Roman" w:hAnsi="Times New Roman" w:cs="Times New Roman"/>
          <w:color w:val="333333"/>
          <w:szCs w:val="24"/>
        </w:rPr>
        <w:t> 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>173a ust. 1</w:t>
      </w:r>
      <w:r>
        <w:rPr>
          <w:rFonts w:ascii="Times New Roman" w:hAnsi="Times New Roman" w:cs="Times New Roman"/>
          <w:szCs w:val="24"/>
        </w:rPr>
        <w:t xml:space="preserve"> </w:t>
      </w:r>
      <w:r w:rsidRPr="001F1381">
        <w:rPr>
          <w:rFonts w:ascii="Times New Roman" w:hAnsi="Times New Roman" w:cs="Times New Roman"/>
          <w:i/>
          <w:iCs/>
          <w:szCs w:val="24"/>
        </w:rPr>
        <w:t>(przewidzianego dla osób, które wcześniej pełniły już inny rodzaj służby wojskowej i złożyły przysięgę wojskową, a obecnie po raz pierwszy są powołani do pełnienia terytorialnej służby wojskowej).</w:t>
      </w:r>
      <w:r>
        <w:rPr>
          <w:rFonts w:ascii="Times New Roman" w:hAnsi="Times New Roman" w:cs="Times New Roman"/>
          <w:szCs w:val="24"/>
        </w:rPr>
        <w:t xml:space="preserve"> </w:t>
      </w:r>
      <w:r w:rsidRPr="00F32236">
        <w:rPr>
          <w:rFonts w:ascii="Times New Roman" w:hAnsi="Times New Roman" w:cs="Times New Roman"/>
          <w:szCs w:val="24"/>
        </w:rPr>
        <w:t>Obwarowanie to ma na celu zapobieżenie zwolnieniom ze szkoleń po krótkim okresie 2</w:t>
      </w:r>
      <w:r w:rsidR="00105817">
        <w:rPr>
          <w:rFonts w:ascii="Times New Roman" w:hAnsi="Times New Roman" w:cs="Times New Roman"/>
          <w:szCs w:val="24"/>
        </w:rPr>
        <w:t>–</w:t>
      </w:r>
      <w:r w:rsidRPr="00F32236">
        <w:rPr>
          <w:rFonts w:ascii="Times New Roman" w:hAnsi="Times New Roman" w:cs="Times New Roman"/>
          <w:szCs w:val="24"/>
        </w:rPr>
        <w:t xml:space="preserve">3 dni od dnia wstąpienia w szeregi Wojsk Obrony Terytorialnej i tym samym nieukończenia szkolenia podstawowego lub wyrównawczego.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Wysokość świadczenia </w:t>
      </w:r>
      <w:r w:rsidR="00105817"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będzie </w:t>
      </w:r>
      <w:r w:rsidRPr="00F32236">
        <w:rPr>
          <w:rFonts w:ascii="Times New Roman" w:eastAsia="Times New Roman" w:hAnsi="Times New Roman" w:cs="Times New Roman"/>
          <w:color w:val="333333"/>
          <w:szCs w:val="24"/>
        </w:rPr>
        <w:t xml:space="preserve">wynosić 50% </w:t>
      </w:r>
      <w:r w:rsidRPr="00F32236">
        <w:rPr>
          <w:rFonts w:ascii="Times New Roman" w:hAnsi="Times New Roman" w:cs="Times New Roman"/>
          <w:szCs w:val="24"/>
        </w:rPr>
        <w:t>przeciętnego wynagrodzenia w drugim kwartale roku poprzedniego, ogłaszanego w Dzienniku Urzędowym Rzeczypospolitej Polskiej „Monitor Polski” przez Prezesa Głównego Urzędu Statystycznego, na podstawie art. 20 pkt 2 ustawy z</w:t>
      </w:r>
      <w:r w:rsidR="00203267">
        <w:rPr>
          <w:rFonts w:ascii="Times New Roman" w:hAnsi="Times New Roman" w:cs="Times New Roman"/>
          <w:szCs w:val="24"/>
        </w:rPr>
        <w:t> </w:t>
      </w:r>
      <w:r w:rsidR="00105817">
        <w:rPr>
          <w:rFonts w:ascii="Times New Roman" w:hAnsi="Times New Roman" w:cs="Times New Roman"/>
          <w:szCs w:val="24"/>
        </w:rPr>
        <w:t xml:space="preserve">dnia </w:t>
      </w:r>
      <w:r w:rsidRPr="00F32236">
        <w:rPr>
          <w:rFonts w:ascii="Times New Roman" w:hAnsi="Times New Roman" w:cs="Times New Roman"/>
          <w:szCs w:val="24"/>
        </w:rPr>
        <w:t>17 grudnia 1998 r. o</w:t>
      </w:r>
      <w:r w:rsidR="008C4335">
        <w:rPr>
          <w:rFonts w:ascii="Times New Roman" w:hAnsi="Times New Roman" w:cs="Times New Roman"/>
          <w:szCs w:val="24"/>
        </w:rPr>
        <w:t> </w:t>
      </w:r>
      <w:r w:rsidRPr="00F32236">
        <w:rPr>
          <w:rFonts w:ascii="Times New Roman" w:hAnsi="Times New Roman" w:cs="Times New Roman"/>
          <w:szCs w:val="24"/>
        </w:rPr>
        <w:t>emeryturach i rentach z Funduszu Ubezpieczeń Społecznych</w:t>
      </w:r>
      <w:r w:rsidR="00105817">
        <w:rPr>
          <w:rFonts w:ascii="Times New Roman" w:hAnsi="Times New Roman" w:cs="Times New Roman"/>
          <w:szCs w:val="24"/>
        </w:rPr>
        <w:t xml:space="preserve"> (Dz. U. z 2023 r. poz. 1251)</w:t>
      </w:r>
      <w:r w:rsidRPr="00F32236">
        <w:rPr>
          <w:rFonts w:ascii="Times New Roman" w:hAnsi="Times New Roman" w:cs="Times New Roman"/>
          <w:i/>
          <w:szCs w:val="24"/>
        </w:rPr>
        <w:t xml:space="preserve">. </w:t>
      </w:r>
      <w:r w:rsidRPr="00F32236">
        <w:rPr>
          <w:rFonts w:ascii="Times New Roman" w:hAnsi="Times New Roman" w:cs="Times New Roman"/>
          <w:szCs w:val="24"/>
        </w:rPr>
        <w:t>Przeciętne wynagrodzenie w II kwartale 2023</w:t>
      </w:r>
      <w:r w:rsidR="007D1809">
        <w:rPr>
          <w:rFonts w:ascii="Times New Roman" w:hAnsi="Times New Roman" w:cs="Times New Roman"/>
          <w:szCs w:val="24"/>
        </w:rPr>
        <w:t> </w:t>
      </w:r>
      <w:r w:rsidRPr="00F32236">
        <w:rPr>
          <w:rFonts w:ascii="Times New Roman" w:hAnsi="Times New Roman" w:cs="Times New Roman"/>
          <w:szCs w:val="24"/>
        </w:rPr>
        <w:t xml:space="preserve">r. wynosiło 7005,76 zł, zatem świadczenie </w:t>
      </w:r>
      <w:r w:rsidR="00105817" w:rsidRPr="00F32236">
        <w:rPr>
          <w:rFonts w:ascii="Times New Roman" w:hAnsi="Times New Roman" w:cs="Times New Roman"/>
          <w:szCs w:val="24"/>
        </w:rPr>
        <w:t xml:space="preserve">będzie </w:t>
      </w:r>
      <w:r w:rsidRPr="00F32236">
        <w:rPr>
          <w:rFonts w:ascii="Times New Roman" w:hAnsi="Times New Roman" w:cs="Times New Roman"/>
          <w:szCs w:val="24"/>
        </w:rPr>
        <w:t>wynosić 3502,88 zł. Świadczenie początkowe (analogicznie jak i</w:t>
      </w:r>
      <w:r w:rsidR="00203267">
        <w:rPr>
          <w:rFonts w:ascii="Times New Roman" w:hAnsi="Times New Roman" w:cs="Times New Roman"/>
          <w:szCs w:val="24"/>
        </w:rPr>
        <w:t> </w:t>
      </w:r>
      <w:r w:rsidRPr="00F32236">
        <w:rPr>
          <w:rFonts w:ascii="Times New Roman" w:hAnsi="Times New Roman" w:cs="Times New Roman"/>
          <w:szCs w:val="24"/>
        </w:rPr>
        <w:t>inne dochody otrzymywane przez żołnierzy OT) nie będzie podlegać opodatkowaniu podatkiem dochodowym od osób fizycznych. W wyniku wprowadzonej zmiany nastąpi również objęcie prawem do świadczenia osób, które dzisiaj nie otrzymują odprawy, bowiem nie są pracownikami. Świadczenie otrzymają więc osoby niezatrudnione na podstawie umowy o pracę, np. prowadzące działalność gospodarczą albo wykonujące pracę na podstawie umów cywilnoprawnych, będące studentami (uczniami). Zmiana ta będzie również pozytywnie oddziaływać na pracodawców, nastąpi bowiem zniesienie obowiązku wypłaty odprawy pracownikowi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56E6AEA5" w14:textId="70787400" w:rsidR="00A603EE" w:rsidRDefault="00A603EE" w:rsidP="00A603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Dodatkowo, w związku ze zniesieniem obowiązku wypłaty odprawy pracownikom powołanym do służby w WOT, proponuje się wprowadzenie przepisu przejściowego</w:t>
      </w:r>
      <w:r w:rsidR="001058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podstawie którego przedsiębiorcy, którzy wypłacili odprawę do dnia wejścia w życie niniejszej ustawy, a nie otrzymali jeszcze świadczenia rekompensującego uwzględniającego koszt wypłaconej odprawy</w:t>
      </w:r>
      <w:r w:rsidR="001058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otrzymają jej zwrot na dotychczasowych zasadach. </w:t>
      </w:r>
    </w:p>
    <w:p w14:paraId="4A8491DE" w14:textId="20383239" w:rsidR="00EF4282" w:rsidRDefault="00A603EE" w:rsidP="002E4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Ponadto </w:t>
      </w:r>
      <w:r w:rsidR="00EF4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uwagi na specyfikę rocznego rozliczania podatków dochodowych, proponuje się przepis przejściowy określający, że nowe odliczenia w tych podatkach będą miały zastosowanie do dochodów (przychodów) osiągniętych od 1 stycznia 2025 r.</w:t>
      </w:r>
    </w:p>
    <w:p w14:paraId="6AC6D697" w14:textId="29DAC172" w:rsidR="00A603EE" w:rsidRDefault="00EF4282" w:rsidP="002E4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603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roponuje się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również </w:t>
      </w:r>
      <w:r w:rsidR="00A603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przepis przejściowy dotyczący zaliczenia okresów służby w</w:t>
      </w:r>
      <w:r w:rsidR="002032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603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WOT oraz w aktywnej rezerwie sprzed dnia wejścia </w:t>
      </w:r>
      <w:r w:rsidR="001058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życie </w:t>
      </w:r>
      <w:r w:rsidR="00A603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ustawy do okresów, od których </w:t>
      </w:r>
      <w:r w:rsidR="001058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jest </w:t>
      </w:r>
      <w:r w:rsidR="00A603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uzależniona wysokość kwoty możliwej do odliczenia od podatku.</w:t>
      </w:r>
    </w:p>
    <w:p w14:paraId="69235936" w14:textId="77777777" w:rsidR="00A603EE" w:rsidRPr="00F32236" w:rsidRDefault="00A603EE" w:rsidP="002E498D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941DAE">
        <w:rPr>
          <w:rFonts w:ascii="Times New Roman" w:hAnsi="Times New Roman" w:cs="Times New Roman"/>
          <w:bCs/>
          <w:color w:val="000000" w:themeColor="text1"/>
          <w:szCs w:val="24"/>
        </w:rPr>
        <w:t>Proponuje się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,</w:t>
      </w:r>
      <w:r w:rsidRPr="00941DAE">
        <w:rPr>
          <w:rFonts w:ascii="Times New Roman" w:hAnsi="Times New Roman" w:cs="Times New Roman"/>
          <w:bCs/>
          <w:color w:val="000000" w:themeColor="text1"/>
          <w:szCs w:val="24"/>
        </w:rPr>
        <w:t xml:space="preserve"> aby ustawa weszła w życie po upływie 14 dni od dnia ogłoszenia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. </w:t>
      </w:r>
    </w:p>
    <w:p w14:paraId="0C225E49" w14:textId="77777777" w:rsidR="00A603EE" w:rsidRPr="00941DAE" w:rsidRDefault="00A603EE" w:rsidP="00A603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Zakłada się, że projektowane regulacje spowodują:</w:t>
      </w:r>
    </w:p>
    <w:p w14:paraId="1D87DF0D" w14:textId="2E135FCA" w:rsidR="00A603EE" w:rsidRDefault="00A603EE" w:rsidP="00A603E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zmian podatkowych w wyniku wprowadzenia</w:t>
      </w:r>
      <w:r w:rsidRPr="000D1E3F">
        <w:rPr>
          <w:rFonts w:ascii="Times New Roman" w:hAnsi="Times New Roman" w:cs="Times New Roman"/>
          <w:sz w:val="24"/>
          <w:szCs w:val="24"/>
        </w:rPr>
        <w:t xml:space="preserve"> preferencji podatkowej (odliczenia od podstawy opodatkowania) dla przedsiębiorców zatrudniających żołnierzy OT i AR, przy prognozowanym stanie zatrudnienia, wpłynie na obniżenie dochodów sektora finansów publicznych z tytułu podatku dochodowego za pierwszy rok obowiązywania rozwiązania w przedmiocie odliczenia (tj. za 2026 r.) w kwocie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EF7517" w:rsidRPr="002E498D">
        <w:rPr>
          <w:rFonts w:ascii="Times New Roman" w:hAnsi="Times New Roman" w:cs="Times New Roman"/>
          <w:sz w:val="24"/>
          <w:szCs w:val="24"/>
        </w:rPr>
        <w:t xml:space="preserve"> </w:t>
      </w:r>
      <w:r w:rsidRPr="000D1E3F">
        <w:rPr>
          <w:rFonts w:ascii="Times New Roman" w:hAnsi="Times New Roman" w:cs="Times New Roman"/>
          <w:sz w:val="24"/>
          <w:szCs w:val="24"/>
        </w:rPr>
        <w:t xml:space="preserve">mln zł. Dane za kolejne lata wskazano w pkt 6 OSR. Dla celów obliczenia skutku przyjęto prognozowaną liczbę żołnierzy OT i AR (konkretnej liczby ze względu na ochronę informacji nie podano), z podziałem na lata służby (od roku do 5 lat) oraz 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 xml:space="preserve">struktury firm i przedsiębiorstw, w których </w:t>
      </w:r>
      <w:r w:rsidR="00B84045" w:rsidRPr="000D1E3F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>zatrudnieni żołnierze OT i AR. S</w:t>
      </w:r>
      <w:r w:rsidRPr="000D1E3F">
        <w:rPr>
          <w:rFonts w:ascii="Times New Roman" w:hAnsi="Times New Roman" w:cs="Times New Roman"/>
          <w:sz w:val="24"/>
          <w:szCs w:val="24"/>
        </w:rPr>
        <w:t xml:space="preserve">kutek finansowy został </w:t>
      </w:r>
      <w:r w:rsidR="00B84045" w:rsidRPr="000D1E3F">
        <w:rPr>
          <w:rFonts w:ascii="Times New Roman" w:hAnsi="Times New Roman" w:cs="Times New Roman"/>
          <w:sz w:val="24"/>
          <w:szCs w:val="24"/>
        </w:rPr>
        <w:t xml:space="preserve">obliczony </w:t>
      </w:r>
      <w:r w:rsidRPr="000D1E3F">
        <w:rPr>
          <w:rFonts w:ascii="Times New Roman" w:hAnsi="Times New Roman" w:cs="Times New Roman"/>
          <w:sz w:val="24"/>
          <w:szCs w:val="24"/>
        </w:rPr>
        <w:t>dla 19% stawki podatku;</w:t>
      </w:r>
    </w:p>
    <w:p w14:paraId="0084C8F9" w14:textId="2D59187E" w:rsidR="00A603EE" w:rsidRPr="000D1E3F" w:rsidRDefault="00A603EE" w:rsidP="00A603E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wprowadzenia świadczenia początkowego nastąpi wzrost wydatków budżetowych o kwotę stanowiącą różnicę między wysokością odpraw</w:t>
      </w:r>
      <w:r w:rsidR="00B84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jakie były nadal wypłacane przez pracodawców (i refundowane przez jednostki wojskowe, w wysokości ok. 4 mln zł rocznie)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kwotą świadczenia początkowego. Różnica ta wynika </w:t>
      </w:r>
      <w:r w:rsidR="007B1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7B19B7"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głównej mierze z podwyższenia wysokości tego świadczenia względem średniej wysokości odpraw oraz przyznania tego świadczenia również osobom niepozostającym w stosunku pracy (a więc osobom, któr</w:t>
      </w:r>
      <w:r w:rsidR="00E75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obecnym stanie prawnym nie są uprawni</w:t>
      </w:r>
      <w:r w:rsidR="00E755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one</w:t>
      </w:r>
      <w:r w:rsidRPr="000D1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otrzymania odprawy). 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>Dla obliczenia skutków finansowych przyjęto liczbę osób planowanych do powołania w danym roku kalendarzowym w celu osiągni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>cia docelowego stanu żołnierzy OT (z</w:t>
      </w:r>
      <w:r w:rsidR="007D1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>uwzględnieniem liczby żołnierzy</w:t>
      </w:r>
      <w:r w:rsidR="00E755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 xml:space="preserve"> którzy w poszczególnych latach będą się zwalniać z</w:t>
      </w:r>
      <w:r w:rsidR="00EB23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1E3F">
        <w:rPr>
          <w:rFonts w:ascii="Times New Roman" w:eastAsia="Times New Roman" w:hAnsi="Times New Roman" w:cs="Times New Roman"/>
          <w:sz w:val="24"/>
          <w:szCs w:val="24"/>
        </w:rPr>
        <w:t>WOT na poziomie 10 tys.), jaki zamierza się osiągnąć:</w:t>
      </w:r>
    </w:p>
    <w:p w14:paraId="011EA45F" w14:textId="4E0D5617" w:rsidR="00A603EE" w:rsidRPr="00941DAE" w:rsidRDefault="00A603EE" w:rsidP="00A603EE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2024 r.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16 tys. osób, przy czym zakładając, że ustawa wejdzie w życie w </w:t>
      </w:r>
      <w:r>
        <w:rPr>
          <w:rFonts w:ascii="Times New Roman" w:eastAsia="Times New Roman" w:hAnsi="Times New Roman"/>
          <w:sz w:val="24"/>
          <w:szCs w:val="24"/>
        </w:rPr>
        <w:t>IV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kw. 2024 r., to do wyliczeń przyjęto liczbę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tys. osób, co spowoduje koszt w wysokości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="007D1809">
        <w:rPr>
          <w:rFonts w:ascii="Times New Roman" w:eastAsia="Times New Roman" w:hAnsi="Times New Roman"/>
          <w:sz w:val="24"/>
          <w:szCs w:val="24"/>
        </w:rPr>
        <w:t> </w:t>
      </w:r>
      <w:r w:rsidRPr="00941DAE">
        <w:rPr>
          <w:rFonts w:ascii="Times New Roman" w:eastAsia="Times New Roman" w:hAnsi="Times New Roman"/>
          <w:sz w:val="24"/>
          <w:szCs w:val="24"/>
        </w:rPr>
        <w:t>mln zł (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tys. osób x 3502,5 zł =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mln zł –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 mln zł zmniejszenie o koszt </w:t>
      </w:r>
      <w:r>
        <w:rPr>
          <w:rFonts w:ascii="Times New Roman" w:eastAsia="Times New Roman" w:hAnsi="Times New Roman"/>
          <w:sz w:val="24"/>
          <w:szCs w:val="24"/>
        </w:rPr>
        <w:t xml:space="preserve">refundacji wypłaconych </w:t>
      </w:r>
      <w:r w:rsidRPr="00941DAE">
        <w:rPr>
          <w:rFonts w:ascii="Times New Roman" w:eastAsia="Times New Roman" w:hAnsi="Times New Roman"/>
          <w:sz w:val="24"/>
          <w:szCs w:val="24"/>
        </w:rPr>
        <w:t xml:space="preserve">odpraw), </w:t>
      </w:r>
    </w:p>
    <w:p w14:paraId="0F946E90" w14:textId="77777777" w:rsidR="00A603EE" w:rsidRPr="00941DAE" w:rsidRDefault="00A603EE" w:rsidP="00A603EE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/>
          <w:bCs/>
          <w:color w:val="000000" w:themeColor="text1"/>
          <w:sz w:val="24"/>
          <w:szCs w:val="24"/>
        </w:rPr>
        <w:t>w 2025 r. – 13 tys. osób (koszt 41,5 mln zł),</w:t>
      </w:r>
    </w:p>
    <w:p w14:paraId="4C624311" w14:textId="77777777" w:rsidR="00A603EE" w:rsidRPr="00941DAE" w:rsidRDefault="00A603EE" w:rsidP="00A603EE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/>
          <w:bCs/>
          <w:color w:val="000000" w:themeColor="text1"/>
          <w:sz w:val="24"/>
          <w:szCs w:val="24"/>
        </w:rPr>
        <w:t>w 2026 r. – 11 tys. osób (koszt 34,5 mln zł),</w:t>
      </w:r>
    </w:p>
    <w:p w14:paraId="70B3CFEE" w14:textId="6944A62E" w:rsidR="00A603EE" w:rsidRPr="00941DAE" w:rsidRDefault="00A603EE" w:rsidP="00A603EE">
      <w:pPr>
        <w:pStyle w:val="Akapitzlist"/>
        <w:numPr>
          <w:ilvl w:val="0"/>
          <w:numId w:val="33"/>
        </w:numPr>
        <w:spacing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1D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2027 </w:t>
      </w:r>
      <w:r w:rsidR="00E755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r. </w:t>
      </w:r>
      <w:r w:rsidRPr="00941DAE">
        <w:rPr>
          <w:rFonts w:ascii="Times New Roman" w:hAnsi="Times New Roman"/>
          <w:bCs/>
          <w:color w:val="000000" w:themeColor="text1"/>
          <w:sz w:val="24"/>
          <w:szCs w:val="24"/>
        </w:rPr>
        <w:t>i latach następnych – 10 tys. (koszt 31 mln zł);</w:t>
      </w:r>
    </w:p>
    <w:p w14:paraId="3D3CE36F" w14:textId="66190D92" w:rsidR="00A603EE" w:rsidRPr="000D1E3F" w:rsidRDefault="00A603EE" w:rsidP="00A603E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</w:t>
      </w:r>
      <w:r w:rsidRPr="00941D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C77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pozostałe</w:t>
      </w:r>
      <w:r w:rsidRPr="00941DAE">
        <w:rPr>
          <w:rFonts w:ascii="Times New Roman" w:hAnsi="Times New Roman" w:cs="Times New Roman"/>
          <w:sz w:val="24"/>
          <w:szCs w:val="24"/>
        </w:rPr>
        <w:t xml:space="preserve"> zmiany zaproponowane w projekcie </w:t>
      </w:r>
      <w:r w:rsidR="00B76ED2">
        <w:rPr>
          <w:rFonts w:ascii="Times New Roman" w:hAnsi="Times New Roman" w:cs="Times New Roman"/>
          <w:sz w:val="24"/>
          <w:szCs w:val="24"/>
        </w:rPr>
        <w:t xml:space="preserve">ustawy </w:t>
      </w:r>
      <w:r w:rsidRPr="00941DAE">
        <w:rPr>
          <w:rFonts w:ascii="Times New Roman" w:hAnsi="Times New Roman" w:cs="Times New Roman"/>
          <w:sz w:val="24"/>
          <w:szCs w:val="24"/>
        </w:rPr>
        <w:t>z uwagi na swój charakter nie spowodują wzrostu wydatków z tego tytułu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1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DEA78" w14:textId="70AC92A9" w:rsidR="00A603EE" w:rsidRPr="00941DAE" w:rsidRDefault="00A603EE" w:rsidP="00A6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>Stosownie do postanowień § 52 uchwały nr 190 Rady Ministrów z dnia 29 października 2013 r. – Regulamin pracy Rady Ministrów (</w:t>
      </w:r>
      <w:r w:rsidRPr="00154047">
        <w:rPr>
          <w:rFonts w:ascii="Times New Roman" w:hAnsi="Times New Roman" w:cs="Times New Roman"/>
          <w:sz w:val="24"/>
          <w:szCs w:val="24"/>
        </w:rPr>
        <w:t>M.P. z 2024 r. poz. 806)</w:t>
      </w:r>
      <w:r w:rsidRPr="00941DAE">
        <w:rPr>
          <w:rFonts w:ascii="Times New Roman" w:hAnsi="Times New Roman" w:cs="Times New Roman"/>
          <w:sz w:val="24"/>
          <w:szCs w:val="24"/>
        </w:rPr>
        <w:t xml:space="preserve"> oraz zgodnie z art. 5 ustawy z dnia 7 lipca 2005 r. o działalności lobbingowej w procesie stanowienia prawa (Dz. U. </w:t>
      </w:r>
      <w:r w:rsidRPr="00941DAE">
        <w:rPr>
          <w:rFonts w:ascii="Times New Roman" w:hAnsi="Times New Roman" w:cs="Times New Roman"/>
          <w:sz w:val="24"/>
          <w:szCs w:val="24"/>
        </w:rPr>
        <w:lastRenderedPageBreak/>
        <w:t>z 2017 r. poz. 248)</w:t>
      </w:r>
      <w:r w:rsidR="00B76ED2">
        <w:rPr>
          <w:rFonts w:ascii="Times New Roman" w:hAnsi="Times New Roman" w:cs="Times New Roman"/>
          <w:sz w:val="24"/>
          <w:szCs w:val="24"/>
        </w:rPr>
        <w:t>,</w:t>
      </w:r>
      <w:r w:rsidRPr="00941DAE">
        <w:rPr>
          <w:rFonts w:ascii="Times New Roman" w:hAnsi="Times New Roman" w:cs="Times New Roman"/>
          <w:sz w:val="24"/>
          <w:szCs w:val="24"/>
        </w:rPr>
        <w:t xml:space="preserve"> projekt ustawy został zamieszczony w Biuletynie Informacji Publicznej na stronie podmiotowej Rządowego Centrum Legislacji</w:t>
      </w:r>
      <w:r w:rsidR="00B76ED2">
        <w:rPr>
          <w:rFonts w:ascii="Times New Roman" w:hAnsi="Times New Roman" w:cs="Times New Roman"/>
          <w:sz w:val="24"/>
          <w:szCs w:val="24"/>
        </w:rPr>
        <w:t>,</w:t>
      </w:r>
      <w:r w:rsidRPr="00941DAE">
        <w:rPr>
          <w:rFonts w:ascii="Times New Roman" w:hAnsi="Times New Roman" w:cs="Times New Roman"/>
          <w:sz w:val="24"/>
          <w:szCs w:val="24"/>
        </w:rPr>
        <w:t xml:space="preserve"> w serwisie </w:t>
      </w:r>
      <w:r w:rsidR="00B76ED2">
        <w:rPr>
          <w:rFonts w:ascii="Times New Roman" w:hAnsi="Times New Roman" w:cs="Times New Roman"/>
          <w:sz w:val="24"/>
          <w:szCs w:val="24"/>
        </w:rPr>
        <w:t>„</w:t>
      </w:r>
      <w:r w:rsidRPr="00941DAE">
        <w:rPr>
          <w:rFonts w:ascii="Times New Roman" w:hAnsi="Times New Roman" w:cs="Times New Roman"/>
          <w:sz w:val="24"/>
          <w:szCs w:val="24"/>
        </w:rPr>
        <w:t>Rządowy Proces Legislacyjny</w:t>
      </w:r>
      <w:r w:rsidR="00B76ED2">
        <w:rPr>
          <w:rFonts w:ascii="Times New Roman" w:hAnsi="Times New Roman" w:cs="Times New Roman"/>
          <w:sz w:val="24"/>
          <w:szCs w:val="24"/>
        </w:rPr>
        <w:t>”</w:t>
      </w:r>
      <w:r w:rsidRPr="00941DAE">
        <w:rPr>
          <w:rFonts w:ascii="Times New Roman" w:hAnsi="Times New Roman" w:cs="Times New Roman"/>
          <w:sz w:val="24"/>
          <w:szCs w:val="24"/>
        </w:rPr>
        <w:t>.</w:t>
      </w:r>
    </w:p>
    <w:p w14:paraId="3948F2EF" w14:textId="77777777" w:rsidR="00A603EE" w:rsidRPr="00941DAE" w:rsidRDefault="00A603EE" w:rsidP="00A603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>Projekt ustawy nie podlega notyfikacji zgodnie z procedurą określoną w rozporządzeniu Rady Ministrów z dnia 23 grudnia 2002 r. w sprawie sposobu funkcjonowania krajowego systemu notyfikacji norm i aktów prawnych (Dz. U. poz. 2039, z późn. zm.).</w:t>
      </w:r>
    </w:p>
    <w:p w14:paraId="3E9C7F89" w14:textId="71B6B5D9" w:rsidR="00A603EE" w:rsidRPr="00941DAE" w:rsidRDefault="00A603EE" w:rsidP="00A603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 xml:space="preserve">Projektowana ustawa dotyczy majątkowych praw i obowiązków przedsiębiorców lub praw i obowiązków przedsiębiorców wobec organów administracji publicznej. Projektowana ustawa wpływa na działalność mikroprzedsiębiorców, małych i średnich przedsiębiorców. </w:t>
      </w:r>
      <w:r w:rsidR="00B76ED2">
        <w:rPr>
          <w:rFonts w:ascii="Times New Roman" w:hAnsi="Times New Roman" w:cs="Times New Roman"/>
          <w:sz w:val="24"/>
          <w:szCs w:val="24"/>
        </w:rPr>
        <w:t>Projekt u</w:t>
      </w:r>
      <w:r w:rsidRPr="00941DAE">
        <w:rPr>
          <w:rFonts w:ascii="Times New Roman" w:hAnsi="Times New Roman" w:cs="Times New Roman"/>
          <w:color w:val="000000"/>
          <w:sz w:val="24"/>
          <w:szCs w:val="24"/>
        </w:rPr>
        <w:t>staw</w:t>
      </w:r>
      <w:r w:rsidR="00B76ED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41DAE">
        <w:rPr>
          <w:rFonts w:ascii="Times New Roman" w:hAnsi="Times New Roman" w:cs="Times New Roman"/>
          <w:color w:val="000000"/>
          <w:sz w:val="24"/>
          <w:szCs w:val="24"/>
        </w:rPr>
        <w:t xml:space="preserve"> wpłynie na przedsiębiorców w wyniku wprowadzenia preferencji przy ubieganiu się o udzielenie zamówienia publicznego, a także możliwości skorzystania z ulgi podatkowej. Ponadto wpłynie na zmniejszenie obciążeń przedsiębiorców w wyniku zniesienia konieczności wypłaty odprawy przez przedsiębiorców zatrudniających żołnierzy OT.</w:t>
      </w:r>
    </w:p>
    <w:p w14:paraId="14D573E7" w14:textId="096B455D" w:rsidR="00A603EE" w:rsidRPr="00941DAE" w:rsidRDefault="00A603EE" w:rsidP="00A603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>Ocena Skutków Regulacji projektu nie była dokonywana w trybie § 32 ww. uchwały nr</w:t>
      </w:r>
      <w:r w:rsidR="00EF7517">
        <w:rPr>
          <w:rFonts w:ascii="Times New Roman" w:hAnsi="Times New Roman" w:cs="Times New Roman"/>
          <w:sz w:val="24"/>
          <w:szCs w:val="24"/>
        </w:rPr>
        <w:t> </w:t>
      </w:r>
      <w:r w:rsidRPr="00941DAE">
        <w:rPr>
          <w:rFonts w:ascii="Times New Roman" w:hAnsi="Times New Roman" w:cs="Times New Roman"/>
          <w:sz w:val="24"/>
          <w:szCs w:val="24"/>
        </w:rPr>
        <w:t xml:space="preserve">190 Rady Ministrów z dnia 29 października 2013 r. – Regulamin pracy Rady Ministrów, lecz w trybie § 42 ust. 1 Regulaminu pracy Rady Ministrów. Projekt ustawy nie wymaga uzyskania opinii, dokonania powiadomienia, konsultacji albo uzgodnienia z właściwymi instytucjami i organami Unii Europejskiej, w tym </w:t>
      </w:r>
      <w:r w:rsidR="001752E2">
        <w:rPr>
          <w:rFonts w:ascii="Times New Roman" w:hAnsi="Times New Roman" w:cs="Times New Roman"/>
          <w:sz w:val="24"/>
          <w:szCs w:val="24"/>
        </w:rPr>
        <w:t xml:space="preserve">z </w:t>
      </w:r>
      <w:r w:rsidRPr="00941DAE">
        <w:rPr>
          <w:rFonts w:ascii="Times New Roman" w:hAnsi="Times New Roman" w:cs="Times New Roman"/>
          <w:sz w:val="24"/>
          <w:szCs w:val="24"/>
        </w:rPr>
        <w:t>Europejskim Bankiem Centralnym.</w:t>
      </w:r>
    </w:p>
    <w:p w14:paraId="5BCC232F" w14:textId="77777777" w:rsidR="00A603EE" w:rsidRPr="00941DAE" w:rsidRDefault="00A603EE" w:rsidP="00A603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1DAE">
        <w:rPr>
          <w:rFonts w:ascii="Times New Roman" w:hAnsi="Times New Roman" w:cs="Times New Roman"/>
          <w:sz w:val="24"/>
          <w:szCs w:val="24"/>
        </w:rPr>
        <w:t>Przedmiot projektowanego aktu prawnego nie jest objęty zakresem prawa Unii Europejskiej</w:t>
      </w:r>
      <w:r w:rsidRPr="00941DA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sectPr w:rsidR="00A603EE" w:rsidRPr="00941DAE" w:rsidSect="007279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2B2F" w14:textId="77777777" w:rsidR="00BB3991" w:rsidRDefault="00BB3991" w:rsidP="009D78F9">
      <w:pPr>
        <w:spacing w:after="0" w:line="240" w:lineRule="auto"/>
      </w:pPr>
      <w:r>
        <w:separator/>
      </w:r>
    </w:p>
  </w:endnote>
  <w:endnote w:type="continuationSeparator" w:id="0">
    <w:p w14:paraId="3548864D" w14:textId="77777777" w:rsidR="00BB3991" w:rsidRDefault="00BB3991" w:rsidP="009D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441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FE5FD5" w14:textId="77777777" w:rsidR="00392C21" w:rsidRPr="00392C21" w:rsidRDefault="00392C21" w:rsidP="00392C2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C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C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4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9D04" w14:textId="77777777" w:rsidR="00BB3991" w:rsidRDefault="00BB3991" w:rsidP="009D78F9">
      <w:pPr>
        <w:spacing w:after="0" w:line="240" w:lineRule="auto"/>
      </w:pPr>
      <w:r>
        <w:separator/>
      </w:r>
    </w:p>
  </w:footnote>
  <w:footnote w:type="continuationSeparator" w:id="0">
    <w:p w14:paraId="5BC7BEAB" w14:textId="77777777" w:rsidR="00BB3991" w:rsidRDefault="00BB3991" w:rsidP="009D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EA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54F"/>
    <w:multiLevelType w:val="hybridMultilevel"/>
    <w:tmpl w:val="20CA3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69C6"/>
    <w:multiLevelType w:val="hybridMultilevel"/>
    <w:tmpl w:val="4E9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E3D318B"/>
    <w:multiLevelType w:val="hybridMultilevel"/>
    <w:tmpl w:val="0D7E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45A51BA"/>
    <w:multiLevelType w:val="hybridMultilevel"/>
    <w:tmpl w:val="4970A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3FD6"/>
    <w:multiLevelType w:val="hybridMultilevel"/>
    <w:tmpl w:val="8048D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F4C0EBE"/>
    <w:multiLevelType w:val="multilevel"/>
    <w:tmpl w:val="7C6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B5719"/>
    <w:multiLevelType w:val="hybridMultilevel"/>
    <w:tmpl w:val="5CD6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4B4A"/>
    <w:multiLevelType w:val="hybridMultilevel"/>
    <w:tmpl w:val="77BCD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7D5579E"/>
    <w:multiLevelType w:val="hybridMultilevel"/>
    <w:tmpl w:val="0AD26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05729A9"/>
    <w:multiLevelType w:val="hybridMultilevel"/>
    <w:tmpl w:val="E06E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CF7D78"/>
    <w:multiLevelType w:val="hybridMultilevel"/>
    <w:tmpl w:val="EC5C0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60882663">
    <w:abstractNumId w:val="23"/>
  </w:num>
  <w:num w:numId="2" w16cid:durableId="1365785629">
    <w:abstractNumId w:val="14"/>
  </w:num>
  <w:num w:numId="3" w16cid:durableId="1751384667">
    <w:abstractNumId w:val="7"/>
  </w:num>
  <w:num w:numId="4" w16cid:durableId="1219777343">
    <w:abstractNumId w:val="1"/>
  </w:num>
  <w:num w:numId="5" w16cid:durableId="1849640927">
    <w:abstractNumId w:val="28"/>
  </w:num>
  <w:num w:numId="6" w16cid:durableId="1085344673">
    <w:abstractNumId w:val="2"/>
  </w:num>
  <w:num w:numId="7" w16cid:durableId="1601060289">
    <w:abstractNumId w:val="12"/>
  </w:num>
  <w:num w:numId="8" w16cid:durableId="196166554">
    <w:abstractNumId w:val="20"/>
  </w:num>
  <w:num w:numId="9" w16cid:durableId="2011524554">
    <w:abstractNumId w:val="8"/>
  </w:num>
  <w:num w:numId="10" w16cid:durableId="230359186">
    <w:abstractNumId w:val="22"/>
  </w:num>
  <w:num w:numId="11" w16cid:durableId="1465349679">
    <w:abstractNumId w:val="16"/>
  </w:num>
  <w:num w:numId="12" w16cid:durableId="169100384">
    <w:abstractNumId w:val="21"/>
  </w:num>
  <w:num w:numId="13" w16cid:durableId="551314126">
    <w:abstractNumId w:val="5"/>
  </w:num>
  <w:num w:numId="14" w16cid:durableId="1610503458">
    <w:abstractNumId w:val="15"/>
  </w:num>
  <w:num w:numId="15" w16cid:durableId="1244534445">
    <w:abstractNumId w:val="29"/>
  </w:num>
  <w:num w:numId="16" w16cid:durableId="1951038893">
    <w:abstractNumId w:val="24"/>
  </w:num>
  <w:num w:numId="17" w16cid:durableId="347103004">
    <w:abstractNumId w:val="26"/>
  </w:num>
  <w:num w:numId="18" w16cid:durableId="608975846">
    <w:abstractNumId w:val="9"/>
  </w:num>
  <w:num w:numId="19" w16cid:durableId="1957330049">
    <w:abstractNumId w:val="30"/>
  </w:num>
  <w:num w:numId="20" w16cid:durableId="267086416">
    <w:abstractNumId w:val="32"/>
  </w:num>
  <w:num w:numId="21" w16cid:durableId="225343884">
    <w:abstractNumId w:val="25"/>
  </w:num>
  <w:num w:numId="22" w16cid:durableId="1179001737">
    <w:abstractNumId w:val="10"/>
  </w:num>
  <w:num w:numId="23" w16cid:durableId="1720592128">
    <w:abstractNumId w:val="17"/>
  </w:num>
  <w:num w:numId="24" w16cid:durableId="365521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830923">
    <w:abstractNumId w:val="18"/>
  </w:num>
  <w:num w:numId="26" w16cid:durableId="41251062">
    <w:abstractNumId w:val="13"/>
  </w:num>
  <w:num w:numId="27" w16cid:durableId="1680306043">
    <w:abstractNumId w:val="11"/>
  </w:num>
  <w:num w:numId="28" w16cid:durableId="1568102226">
    <w:abstractNumId w:val="27"/>
  </w:num>
  <w:num w:numId="29" w16cid:durableId="17439821">
    <w:abstractNumId w:val="4"/>
  </w:num>
  <w:num w:numId="30" w16cid:durableId="1258640512">
    <w:abstractNumId w:val="6"/>
  </w:num>
  <w:num w:numId="31" w16cid:durableId="1128087444">
    <w:abstractNumId w:val="31"/>
  </w:num>
  <w:num w:numId="32" w16cid:durableId="1792244434">
    <w:abstractNumId w:val="3"/>
  </w:num>
  <w:num w:numId="33" w16cid:durableId="5938982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5"/>
    <w:rsid w:val="00056E79"/>
    <w:rsid w:val="000B37C0"/>
    <w:rsid w:val="000F301F"/>
    <w:rsid w:val="00105817"/>
    <w:rsid w:val="0011210F"/>
    <w:rsid w:val="001752E2"/>
    <w:rsid w:val="001B3166"/>
    <w:rsid w:val="001E469B"/>
    <w:rsid w:val="00203267"/>
    <w:rsid w:val="00236955"/>
    <w:rsid w:val="002D3299"/>
    <w:rsid w:val="002E498D"/>
    <w:rsid w:val="003277C0"/>
    <w:rsid w:val="00392C21"/>
    <w:rsid w:val="003938F7"/>
    <w:rsid w:val="003C09A3"/>
    <w:rsid w:val="003F036E"/>
    <w:rsid w:val="003F6C95"/>
    <w:rsid w:val="00420849"/>
    <w:rsid w:val="00445210"/>
    <w:rsid w:val="00453BA3"/>
    <w:rsid w:val="004A2B6D"/>
    <w:rsid w:val="004A37A6"/>
    <w:rsid w:val="004E0A95"/>
    <w:rsid w:val="004F3862"/>
    <w:rsid w:val="0058172C"/>
    <w:rsid w:val="005F249D"/>
    <w:rsid w:val="005F4005"/>
    <w:rsid w:val="006466AC"/>
    <w:rsid w:val="00725B90"/>
    <w:rsid w:val="00726F0A"/>
    <w:rsid w:val="00727934"/>
    <w:rsid w:val="007455B5"/>
    <w:rsid w:val="007A3A37"/>
    <w:rsid w:val="007B19B7"/>
    <w:rsid w:val="007D1809"/>
    <w:rsid w:val="007E26CA"/>
    <w:rsid w:val="0082311B"/>
    <w:rsid w:val="00865842"/>
    <w:rsid w:val="00867028"/>
    <w:rsid w:val="00874676"/>
    <w:rsid w:val="00877B10"/>
    <w:rsid w:val="00882207"/>
    <w:rsid w:val="00887DB4"/>
    <w:rsid w:val="008C4335"/>
    <w:rsid w:val="008D1573"/>
    <w:rsid w:val="008F6235"/>
    <w:rsid w:val="009B51A0"/>
    <w:rsid w:val="009D78F9"/>
    <w:rsid w:val="009E788D"/>
    <w:rsid w:val="009F03C5"/>
    <w:rsid w:val="00A32798"/>
    <w:rsid w:val="00A603EE"/>
    <w:rsid w:val="00A63377"/>
    <w:rsid w:val="00AB053F"/>
    <w:rsid w:val="00AD453B"/>
    <w:rsid w:val="00AE638F"/>
    <w:rsid w:val="00B76ED2"/>
    <w:rsid w:val="00B84045"/>
    <w:rsid w:val="00BB3991"/>
    <w:rsid w:val="00BB68CB"/>
    <w:rsid w:val="00C04DCD"/>
    <w:rsid w:val="00C60B4C"/>
    <w:rsid w:val="00C9084A"/>
    <w:rsid w:val="00CF08F2"/>
    <w:rsid w:val="00D033A0"/>
    <w:rsid w:val="00D03895"/>
    <w:rsid w:val="00D854BA"/>
    <w:rsid w:val="00DB6028"/>
    <w:rsid w:val="00DD3DB5"/>
    <w:rsid w:val="00DE0567"/>
    <w:rsid w:val="00DF4048"/>
    <w:rsid w:val="00DF59F7"/>
    <w:rsid w:val="00DF5F5A"/>
    <w:rsid w:val="00E01661"/>
    <w:rsid w:val="00E4429A"/>
    <w:rsid w:val="00E75504"/>
    <w:rsid w:val="00EB23E1"/>
    <w:rsid w:val="00EE1803"/>
    <w:rsid w:val="00EE2731"/>
    <w:rsid w:val="00EF4282"/>
    <w:rsid w:val="00EF7517"/>
    <w:rsid w:val="00F0350C"/>
    <w:rsid w:val="00F736BD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D852"/>
  <w15:docId w15:val="{7E59353C-FF48-4A97-9338-2D0045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8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08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08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F400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4005"/>
    <w:rPr>
      <w:bCs/>
    </w:rPr>
  </w:style>
  <w:style w:type="paragraph" w:customStyle="1" w:styleId="PKTpunkt">
    <w:name w:val="PKT – punkt"/>
    <w:uiPriority w:val="13"/>
    <w:qFormat/>
    <w:rsid w:val="005F400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8F9"/>
  </w:style>
  <w:style w:type="paragraph" w:styleId="Stopka">
    <w:name w:val="footer"/>
    <w:basedOn w:val="Normalny"/>
    <w:link w:val="Stopka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8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8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08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08F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F0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08F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08F2"/>
  </w:style>
  <w:style w:type="table" w:styleId="Tabela-Siatka">
    <w:name w:val="Table Grid"/>
    <w:basedOn w:val="Standardowy"/>
    <w:uiPriority w:val="99"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8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F2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08F2"/>
    <w:rPr>
      <w:vertAlign w:val="superscript"/>
    </w:rPr>
  </w:style>
  <w:style w:type="paragraph" w:styleId="Akapitzlist">
    <w:name w:val="List Paragraph"/>
    <w:aliases w:val="Akapit z listą2,List Paragraph1,Dot pt,F5 List Paragraph,Recommendation,List Paragraph11,Kolorowa lista — akcent 11,Numerowanie,List Paragraph,Akapit z listą1,Akapit z listą11,No Spacing1,List Paragraph Char Char Char,Indicator Text,2,L1"/>
    <w:basedOn w:val="Normalny"/>
    <w:link w:val="AkapitzlistZnak"/>
    <w:uiPriority w:val="34"/>
    <w:qFormat/>
    <w:rsid w:val="00CF08F2"/>
    <w:pPr>
      <w:spacing w:after="0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CF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F2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F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CF08F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8F2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CF08F2"/>
    <w:rPr>
      <w:b/>
      <w:bCs/>
    </w:rPr>
  </w:style>
  <w:style w:type="table" w:styleId="Jasnecieniowanieakcent1">
    <w:name w:val="Light Shading Accent 1"/>
    <w:basedOn w:val="Standardowy"/>
    <w:uiPriority w:val="60"/>
    <w:rsid w:val="00CF08F2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ps">
    <w:name w:val="hps"/>
    <w:rsid w:val="00CF08F2"/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C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C04D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AkapitzlistZnak">
    <w:name w:val="Akapit z listą Znak"/>
    <w:aliases w:val="Akapit z listą2 Znak,List Paragraph1 Znak,Dot pt Znak,F5 List Paragraph Znak,Recommendation Znak,List Paragraph11 Znak,Kolorowa lista — akcent 11 Znak,Numerowanie Znak,List Paragraph Znak,Akapit z listą1 Znak,Akapit z listą11 Znak"/>
    <w:link w:val="Akapitzlist"/>
    <w:uiPriority w:val="34"/>
    <w:qFormat/>
    <w:locked/>
    <w:rsid w:val="00A603E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60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2129</Words>
  <Characters>12774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Binkowska Joanna</dc:creator>
  <cp:lastModifiedBy>Wójcik Aleksandra</cp:lastModifiedBy>
  <cp:revision>2</cp:revision>
  <cp:lastPrinted>2018-10-02T13:01:00Z</cp:lastPrinted>
  <dcterms:created xsi:type="dcterms:W3CDTF">2024-09-24T16:02:00Z</dcterms:created>
  <dcterms:modified xsi:type="dcterms:W3CDTF">2024-09-24T16:02:00Z</dcterms:modified>
</cp:coreProperties>
</file>