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0EF83" w14:textId="2E28BF67" w:rsidR="00010E73" w:rsidRPr="003E7A67" w:rsidRDefault="00010E73" w:rsidP="004C1CF9">
      <w:pPr>
        <w:spacing w:after="120"/>
        <w:jc w:val="center"/>
        <w:rPr>
          <w:rFonts w:eastAsia="Times New Roman" w:cstheme="minorHAnsi"/>
          <w:b/>
          <w:spacing w:val="20"/>
          <w:lang w:eastAsia="pl-PL"/>
        </w:rPr>
      </w:pPr>
      <w:r w:rsidRPr="00A05400">
        <w:rPr>
          <w:rFonts w:ascii="Times New Roman" w:eastAsia="Times New Roman" w:hAnsi="Times New Roman" w:cs="Times New Roman"/>
          <w:spacing w:val="20"/>
          <w:sz w:val="24"/>
          <w:szCs w:val="24"/>
          <w:lang w:eastAsia="pl-PL"/>
        </w:rPr>
        <w:t>UZASADNIENIE</w:t>
      </w:r>
      <w:r w:rsidRPr="003E7A67">
        <w:rPr>
          <w:rFonts w:eastAsia="Times New Roman" w:cstheme="minorHAnsi"/>
          <w:b/>
          <w:spacing w:val="20"/>
          <w:lang w:eastAsia="pl-PL"/>
        </w:rPr>
        <w:t xml:space="preserve"> </w:t>
      </w:r>
    </w:p>
    <w:p w14:paraId="2AC17679" w14:textId="5AEAB8E7" w:rsidR="001A0EB7" w:rsidRPr="003E7A67" w:rsidRDefault="001A0EB7" w:rsidP="004C1CF9">
      <w:pPr>
        <w:spacing w:after="120"/>
        <w:jc w:val="center"/>
        <w:rPr>
          <w:rFonts w:eastAsia="Times New Roman" w:cstheme="minorHAnsi"/>
          <w:b/>
          <w:lang w:eastAsia="pl-PL"/>
        </w:rPr>
      </w:pPr>
    </w:p>
    <w:p w14:paraId="445C52E8" w14:textId="77777777" w:rsidR="002A4C92" w:rsidRPr="00C30388" w:rsidRDefault="002A4C92" w:rsidP="002A4C92">
      <w:pPr>
        <w:pStyle w:val="Nagwek1"/>
        <w:rPr>
          <w:rFonts w:ascii="Times New Roman" w:hAnsi="Times New Roman" w:cs="Times New Roman"/>
          <w:sz w:val="24"/>
        </w:rPr>
      </w:pPr>
      <w:r w:rsidRPr="00C30388">
        <w:rPr>
          <w:rFonts w:ascii="Times New Roman" w:hAnsi="Times New Roman" w:cs="Times New Roman"/>
          <w:sz w:val="24"/>
        </w:rPr>
        <w:t xml:space="preserve">I. Część ogólna </w:t>
      </w:r>
    </w:p>
    <w:p w14:paraId="24E5638D"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Przedstawiony projekt ustawy implementuje do polskiego porządku prawnego przepisy dyrektywy Rady (UE) 2022/2523 z dnia 14 grudnia 2022 r. </w:t>
      </w:r>
      <w:r w:rsidRPr="00C30388">
        <w:rPr>
          <w:rFonts w:ascii="Times New Roman" w:eastAsia="Times New Roman" w:hAnsi="Times New Roman" w:cs="Times New Roman"/>
          <w:i/>
          <w:sz w:val="24"/>
          <w:lang w:eastAsia="pl-PL"/>
        </w:rPr>
        <w:t>w sprawie zapewnienia globalnego minimalnego poziomu opodatkowania międzynarodowych grup przedsiębiorstw oraz dużych grup krajowych w Unii Europejskiej</w:t>
      </w:r>
      <w:r w:rsidRPr="00C30388">
        <w:rPr>
          <w:rFonts w:ascii="Times New Roman" w:eastAsia="Times New Roman" w:hAnsi="Times New Roman" w:cs="Times New Roman"/>
          <w:sz w:val="24"/>
          <w:lang w:eastAsia="pl-PL"/>
        </w:rPr>
        <w:t xml:space="preserve"> (dalej jako „</w:t>
      </w:r>
      <w:r w:rsidRPr="00C30388">
        <w:rPr>
          <w:rFonts w:ascii="Times New Roman" w:eastAsia="Times New Roman" w:hAnsi="Times New Roman" w:cs="Times New Roman"/>
          <w:b/>
          <w:sz w:val="24"/>
          <w:lang w:eastAsia="pl-PL"/>
        </w:rPr>
        <w:t>Dyrektywa</w:t>
      </w:r>
      <w:r w:rsidRPr="00C30388">
        <w:rPr>
          <w:rFonts w:ascii="Times New Roman" w:eastAsia="Times New Roman" w:hAnsi="Times New Roman" w:cs="Times New Roman"/>
          <w:sz w:val="24"/>
          <w:lang w:eastAsia="pl-PL"/>
        </w:rPr>
        <w:t>” lub „</w:t>
      </w:r>
      <w:r w:rsidRPr="00C30388">
        <w:rPr>
          <w:rFonts w:ascii="Times New Roman" w:eastAsia="Times New Roman" w:hAnsi="Times New Roman" w:cs="Times New Roman"/>
          <w:b/>
          <w:sz w:val="24"/>
          <w:lang w:eastAsia="pl-PL"/>
        </w:rPr>
        <w:t>Dyrektywa</w:t>
      </w:r>
      <w:r w:rsidRPr="00C30388">
        <w:rPr>
          <w:rFonts w:ascii="Times New Roman" w:eastAsia="Times New Roman" w:hAnsi="Times New Roman" w:cs="Times New Roman"/>
          <w:sz w:val="24"/>
          <w:lang w:eastAsia="pl-PL"/>
        </w:rPr>
        <w:t xml:space="preserve"> </w:t>
      </w:r>
      <w:r w:rsidRPr="00C30388">
        <w:rPr>
          <w:rFonts w:ascii="Times New Roman" w:eastAsia="Times New Roman" w:hAnsi="Times New Roman" w:cs="Times New Roman"/>
          <w:b/>
          <w:sz w:val="24"/>
          <w:lang w:eastAsia="pl-PL"/>
        </w:rPr>
        <w:t>GloBE</w:t>
      </w:r>
      <w:r w:rsidRPr="00C30388">
        <w:rPr>
          <w:rFonts w:ascii="Times New Roman" w:eastAsia="Times New Roman" w:hAnsi="Times New Roman" w:cs="Times New Roman"/>
          <w:sz w:val="24"/>
          <w:lang w:eastAsia="pl-PL"/>
        </w:rPr>
        <w:t>”)</w:t>
      </w:r>
      <w:r w:rsidRPr="00C30388">
        <w:rPr>
          <w:rStyle w:val="Odwoanieprzypisudolnego"/>
          <w:rFonts w:ascii="Times New Roman" w:eastAsia="Times New Roman" w:hAnsi="Times New Roman" w:cs="Times New Roman"/>
          <w:sz w:val="24"/>
          <w:lang w:eastAsia="pl-PL"/>
        </w:rPr>
        <w:footnoteReference w:id="1"/>
      </w:r>
      <w:r w:rsidRPr="00C30388">
        <w:rPr>
          <w:rFonts w:ascii="Times New Roman" w:eastAsia="Times New Roman" w:hAnsi="Times New Roman" w:cs="Times New Roman"/>
          <w:sz w:val="24"/>
          <w:lang w:eastAsia="pl-PL"/>
        </w:rPr>
        <w:t xml:space="preserve">. </w:t>
      </w:r>
    </w:p>
    <w:p w14:paraId="0F28E6D3" w14:textId="77777777" w:rsidR="002A4C92" w:rsidRPr="00C30388" w:rsidRDefault="002A4C92" w:rsidP="002A4C92">
      <w:pPr>
        <w:spacing w:after="120"/>
        <w:jc w:val="both"/>
        <w:rPr>
          <w:rFonts w:ascii="Times New Roman" w:eastAsia="Times New Roman" w:hAnsi="Times New Roman" w:cs="Times New Roman"/>
          <w:i/>
          <w:sz w:val="24"/>
          <w:lang w:eastAsia="pl-PL"/>
        </w:rPr>
      </w:pPr>
      <w:r w:rsidRPr="00C30388">
        <w:rPr>
          <w:rFonts w:ascii="Times New Roman" w:eastAsia="Times New Roman" w:hAnsi="Times New Roman" w:cs="Times New Roman"/>
          <w:i/>
          <w:sz w:val="24"/>
          <w:lang w:eastAsia="pl-PL"/>
        </w:rPr>
        <w:t xml:space="preserve">Geneza Dyrektywy – dorobek OECD w ramach projektu BEPS 2.0  </w:t>
      </w:r>
    </w:p>
    <w:p w14:paraId="2F2BF4E2" w14:textId="77777777" w:rsidR="002A4C92" w:rsidRPr="00C30388" w:rsidRDefault="002A4C92" w:rsidP="000416A5">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Wskazana dyrektywa jest efektem wdrożenia w ramach Unii Europejskiej (dalej jako „</w:t>
      </w:r>
      <w:r w:rsidRPr="00C30388">
        <w:rPr>
          <w:rFonts w:ascii="Times New Roman" w:eastAsia="Times New Roman" w:hAnsi="Times New Roman" w:cs="Times New Roman"/>
          <w:b/>
          <w:bCs/>
          <w:sz w:val="24"/>
          <w:lang w:eastAsia="pl-PL"/>
        </w:rPr>
        <w:t>UE</w:t>
      </w:r>
      <w:r w:rsidRPr="00C30388">
        <w:rPr>
          <w:rFonts w:ascii="Times New Roman" w:eastAsia="Times New Roman" w:hAnsi="Times New Roman" w:cs="Times New Roman"/>
          <w:sz w:val="24"/>
          <w:lang w:eastAsia="pl-PL"/>
        </w:rPr>
        <w:t>”) wyników prac Organizacji Współpracy Gospodarczej i Rozwoju (dalej jako „</w:t>
      </w:r>
      <w:r w:rsidRPr="00C30388">
        <w:rPr>
          <w:rFonts w:ascii="Times New Roman" w:eastAsia="Times New Roman" w:hAnsi="Times New Roman" w:cs="Times New Roman"/>
          <w:b/>
          <w:sz w:val="24"/>
          <w:lang w:eastAsia="pl-PL"/>
        </w:rPr>
        <w:t>OECD</w:t>
      </w:r>
      <w:r w:rsidRPr="00C30388">
        <w:rPr>
          <w:rFonts w:ascii="Times New Roman" w:eastAsia="Times New Roman" w:hAnsi="Times New Roman" w:cs="Times New Roman"/>
          <w:bCs/>
          <w:sz w:val="24"/>
          <w:lang w:eastAsia="pl-PL"/>
        </w:rPr>
        <w:t>”</w:t>
      </w:r>
      <w:r w:rsidRPr="00C30388">
        <w:rPr>
          <w:rStyle w:val="Odwoanieprzypisudolnego"/>
          <w:rFonts w:ascii="Times New Roman" w:hAnsi="Times New Roman" w:cs="Times New Roman"/>
          <w:bCs/>
          <w:sz w:val="24"/>
        </w:rPr>
        <w:footnoteReference w:id="2"/>
      </w:r>
      <w:r w:rsidRPr="00C30388">
        <w:rPr>
          <w:rFonts w:ascii="Times New Roman" w:eastAsia="Times New Roman" w:hAnsi="Times New Roman" w:cs="Times New Roman"/>
          <w:sz w:val="24"/>
          <w:lang w:eastAsia="pl-PL"/>
        </w:rPr>
        <w:t xml:space="preserve">), mających na celu wyeliminowanie praktyk podatkowych przedsiębiorstw wielonarodowych, umożliwiającym im przenoszenie zysków do państw, w których nie podlegają one żadnemu opodatkowaniu lub podlegają bardzo niskiemu opodatkowaniu. Prace prowadzone w tym zakresie w ostatnich kilku latach stanowiły kontynuację rozpoczętego jeszcze w 2013 r. projektu BEPS, tj. największej od 100 lat reformy międzynarodowego prawa podatkowego, mającej na celu sprostanie wyzwaniom, jakie dla zasad opodatkowania międzynarodowych dochodów z działalności gospodarczej niosła ze sobą globalizacja i cyfryzacja gospodarek, a której przejawem było istotne ułatwienie możliwości erozji bazy podatkowej i przenoszenia zysków. W toku tych prac OECD opracowała zestaw międzynarodowych zasad podatkowych służących temu, aby przedsiębiorstwa wielonarodowe ponosiły w odpowiednim stopniu ciężar opodatkowania niezależnie od miejsca prowadzenia działalności. </w:t>
      </w:r>
    </w:p>
    <w:p w14:paraId="445E5FD6" w14:textId="47EC003F"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8 października 2021 r. Polska wraz z blisko </w:t>
      </w:r>
      <w:r w:rsidRPr="00C30388">
        <w:rPr>
          <w:rFonts w:ascii="Times New Roman" w:hAnsi="Times New Roman" w:cs="Times New Roman"/>
          <w:sz w:val="24"/>
        </w:rPr>
        <w:t>140</w:t>
      </w:r>
      <w:r w:rsidRPr="00C30388">
        <w:rPr>
          <w:rFonts w:ascii="Times New Roman" w:hAnsi="Times New Roman" w:cs="Times New Roman"/>
          <w:bCs/>
          <w:sz w:val="24"/>
        </w:rPr>
        <w:t xml:space="preserve"> państwami </w:t>
      </w:r>
      <w:r w:rsidR="00FF4074" w:rsidRPr="00C30388">
        <w:rPr>
          <w:rFonts w:ascii="Times New Roman" w:hAnsi="Times New Roman" w:cs="Times New Roman"/>
          <w:bCs/>
          <w:sz w:val="24"/>
        </w:rPr>
        <w:t>/</w:t>
      </w:r>
      <w:r w:rsidRPr="00C30388">
        <w:rPr>
          <w:rFonts w:ascii="Times New Roman" w:hAnsi="Times New Roman" w:cs="Times New Roman"/>
          <w:bCs/>
          <w:sz w:val="24"/>
        </w:rPr>
        <w:t xml:space="preserve"> jurysdykcjami zrzeszonymi w ramach</w:t>
      </w:r>
      <w:r w:rsidRPr="00C30388">
        <w:rPr>
          <w:rFonts w:ascii="Times New Roman" w:hAnsi="Times New Roman" w:cs="Times New Roman"/>
          <w:sz w:val="24"/>
        </w:rPr>
        <w:t xml:space="preserve"> </w:t>
      </w:r>
      <w:r w:rsidRPr="00C30388">
        <w:rPr>
          <w:rFonts w:ascii="Times New Roman" w:hAnsi="Times New Roman" w:cs="Times New Roman"/>
          <w:i/>
          <w:sz w:val="24"/>
        </w:rPr>
        <w:t>Inclusive Framework on BEPS</w:t>
      </w:r>
      <w:r w:rsidRPr="00C30388">
        <w:rPr>
          <w:rStyle w:val="Odwoanieprzypisudolnego"/>
          <w:rFonts w:ascii="Times New Roman" w:hAnsi="Times New Roman" w:cs="Times New Roman"/>
          <w:sz w:val="24"/>
        </w:rPr>
        <w:footnoteReference w:id="3"/>
      </w:r>
      <w:r w:rsidRPr="00C30388">
        <w:rPr>
          <w:rFonts w:ascii="Times New Roman" w:hAnsi="Times New Roman" w:cs="Times New Roman"/>
          <w:sz w:val="24"/>
        </w:rPr>
        <w:t xml:space="preserve"> </w:t>
      </w:r>
      <w:r w:rsidRPr="00C30388">
        <w:rPr>
          <w:rFonts w:ascii="Times New Roman" w:hAnsi="Times New Roman" w:cs="Times New Roman"/>
          <w:bCs/>
          <w:sz w:val="24"/>
        </w:rPr>
        <w:t xml:space="preserve">przy OECD </w:t>
      </w:r>
      <w:r w:rsidRPr="00C30388">
        <w:rPr>
          <w:rFonts w:ascii="Times New Roman" w:hAnsi="Times New Roman" w:cs="Times New Roman"/>
          <w:sz w:val="24"/>
        </w:rPr>
        <w:t>(dalej jako „</w:t>
      </w:r>
      <w:r w:rsidRPr="00C30388">
        <w:rPr>
          <w:rFonts w:ascii="Times New Roman" w:hAnsi="Times New Roman" w:cs="Times New Roman"/>
          <w:b/>
          <w:bCs/>
          <w:iCs/>
          <w:sz w:val="24"/>
        </w:rPr>
        <w:t>Otwarte Ramy</w:t>
      </w:r>
      <w:r w:rsidRPr="00C30388">
        <w:rPr>
          <w:rFonts w:ascii="Times New Roman" w:hAnsi="Times New Roman" w:cs="Times New Roman"/>
          <w:iCs/>
          <w:sz w:val="24"/>
        </w:rPr>
        <w:t>”</w:t>
      </w:r>
      <w:r w:rsidRPr="00C30388">
        <w:rPr>
          <w:rFonts w:ascii="Times New Roman" w:hAnsi="Times New Roman" w:cs="Times New Roman"/>
          <w:b/>
          <w:bCs/>
          <w:iCs/>
          <w:sz w:val="24"/>
        </w:rPr>
        <w:t xml:space="preserve"> </w:t>
      </w:r>
      <w:r w:rsidRPr="00C30388">
        <w:rPr>
          <w:rFonts w:ascii="Times New Roman" w:hAnsi="Times New Roman" w:cs="Times New Roman"/>
          <w:iCs/>
          <w:sz w:val="24"/>
        </w:rPr>
        <w:t>lub „</w:t>
      </w:r>
      <w:r w:rsidRPr="00C30388">
        <w:rPr>
          <w:rFonts w:ascii="Times New Roman" w:hAnsi="Times New Roman" w:cs="Times New Roman"/>
          <w:b/>
          <w:bCs/>
          <w:iCs/>
          <w:sz w:val="24"/>
        </w:rPr>
        <w:t>Inclusive Framework</w:t>
      </w:r>
      <w:r w:rsidRPr="00C30388">
        <w:rPr>
          <w:rFonts w:ascii="Times New Roman" w:hAnsi="Times New Roman" w:cs="Times New Roman"/>
          <w:iCs/>
          <w:sz w:val="24"/>
        </w:rPr>
        <w:t>”</w:t>
      </w:r>
      <w:r w:rsidRPr="00C30388">
        <w:rPr>
          <w:rFonts w:ascii="Times New Roman" w:hAnsi="Times New Roman" w:cs="Times New Roman"/>
          <w:i/>
          <w:sz w:val="24"/>
        </w:rPr>
        <w:t>)</w:t>
      </w:r>
      <w:r w:rsidRPr="00C30388">
        <w:rPr>
          <w:rFonts w:ascii="Times New Roman" w:hAnsi="Times New Roman" w:cs="Times New Roman"/>
          <w:sz w:val="24"/>
        </w:rPr>
        <w:t>,</w:t>
      </w:r>
      <w:r w:rsidRPr="00C30388">
        <w:rPr>
          <w:rFonts w:ascii="Times New Roman" w:hAnsi="Times New Roman" w:cs="Times New Roman"/>
          <w:i/>
          <w:sz w:val="24"/>
        </w:rPr>
        <w:t xml:space="preserve"> </w:t>
      </w:r>
      <w:r w:rsidRPr="00C30388">
        <w:rPr>
          <w:rFonts w:ascii="Times New Roman" w:hAnsi="Times New Roman" w:cs="Times New Roman"/>
          <w:bCs/>
          <w:sz w:val="24"/>
        </w:rPr>
        <w:t xml:space="preserve">przystąpiła do </w:t>
      </w:r>
      <w:r w:rsidRPr="00C30388">
        <w:rPr>
          <w:rFonts w:ascii="Times New Roman" w:hAnsi="Times New Roman" w:cs="Times New Roman"/>
          <w:bCs/>
          <w:i/>
          <w:sz w:val="24"/>
        </w:rPr>
        <w:t>Oświadczenia w sprawie dwufilarowego rozwiązania pozwalającego sprostać wyzwaniom podatkowym wynikającym z cyfryzacji gospodark</w:t>
      </w:r>
      <w:r w:rsidRPr="00C30388">
        <w:rPr>
          <w:rFonts w:ascii="Times New Roman" w:hAnsi="Times New Roman" w:cs="Times New Roman"/>
          <w:i/>
          <w:sz w:val="24"/>
        </w:rPr>
        <w:t>i</w:t>
      </w:r>
      <w:r w:rsidRPr="00C30388">
        <w:rPr>
          <w:rStyle w:val="Odwoanieprzypisudolnego"/>
          <w:rFonts w:ascii="Times New Roman" w:hAnsi="Times New Roman" w:cs="Times New Roman"/>
          <w:i/>
          <w:sz w:val="24"/>
        </w:rPr>
        <w:footnoteReference w:id="4"/>
      </w:r>
      <w:r w:rsidRPr="00C30388">
        <w:rPr>
          <w:rFonts w:ascii="Times New Roman" w:hAnsi="Times New Roman" w:cs="Times New Roman"/>
          <w:bCs/>
          <w:sz w:val="24"/>
        </w:rPr>
        <w:t xml:space="preserve">. Oświadczenie to jest kamieniem milowym w pracach nad </w:t>
      </w:r>
      <w:r w:rsidRPr="00C30388">
        <w:rPr>
          <w:rFonts w:ascii="Times New Roman" w:hAnsi="Times New Roman" w:cs="Times New Roman"/>
          <w:b/>
          <w:bCs/>
          <w:sz w:val="24"/>
        </w:rPr>
        <w:t>globalną reformą podatkową</w:t>
      </w:r>
      <w:r w:rsidRPr="00C30388">
        <w:rPr>
          <w:rFonts w:ascii="Times New Roman" w:hAnsi="Times New Roman" w:cs="Times New Roman"/>
          <w:bCs/>
          <w:sz w:val="24"/>
        </w:rPr>
        <w:t xml:space="preserve"> w </w:t>
      </w:r>
      <w:r w:rsidRPr="00C30388">
        <w:rPr>
          <w:rFonts w:ascii="Times New Roman" w:hAnsi="Times New Roman" w:cs="Times New Roman"/>
          <w:bCs/>
          <w:i/>
          <w:sz w:val="24"/>
        </w:rPr>
        <w:t>ramach Projektu do spraw przeciwdziałania erozji podstawy opodatkowania i przenoszeniu zysku 2.0</w:t>
      </w:r>
      <w:r w:rsidRPr="00C30388">
        <w:rPr>
          <w:rFonts w:ascii="Times New Roman" w:hAnsi="Times New Roman" w:cs="Times New Roman"/>
          <w:bCs/>
          <w:sz w:val="24"/>
        </w:rPr>
        <w:t xml:space="preserve"> (dalej jako „</w:t>
      </w:r>
      <w:r w:rsidRPr="00C30388">
        <w:rPr>
          <w:rFonts w:ascii="Times New Roman" w:hAnsi="Times New Roman" w:cs="Times New Roman"/>
          <w:b/>
          <w:bCs/>
          <w:sz w:val="24"/>
        </w:rPr>
        <w:t>BEPS 2.0</w:t>
      </w:r>
      <w:r w:rsidRPr="00C30388">
        <w:rPr>
          <w:rFonts w:ascii="Times New Roman" w:hAnsi="Times New Roman" w:cs="Times New Roman"/>
          <w:sz w:val="24"/>
        </w:rPr>
        <w:t>”).</w:t>
      </w:r>
      <w:r w:rsidRPr="00C30388">
        <w:rPr>
          <w:rFonts w:ascii="Times New Roman" w:hAnsi="Times New Roman" w:cs="Times New Roman"/>
          <w:bCs/>
          <w:sz w:val="24"/>
        </w:rPr>
        <w:t xml:space="preserve"> </w:t>
      </w:r>
    </w:p>
    <w:p w14:paraId="738F777F" w14:textId="1F7AD5AF"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Ten ambitny cel polityczny wyznaczony przez G20 znalazł przełożenie w dokumencie pt. „</w:t>
      </w:r>
      <w:r w:rsidRPr="00C30388">
        <w:rPr>
          <w:rFonts w:ascii="Times New Roman" w:eastAsia="Times New Roman" w:hAnsi="Times New Roman" w:cs="Times New Roman"/>
          <w:i/>
          <w:sz w:val="24"/>
          <w:lang w:eastAsia="pl-PL"/>
        </w:rPr>
        <w:t xml:space="preserve">Wyzwania podatkowe wynikające z cyfryzacji gospodarki </w:t>
      </w:r>
      <w:r w:rsidRPr="00C30388">
        <w:rPr>
          <w:rFonts w:ascii="Times New Roman" w:eastAsia="Times New Roman" w:hAnsi="Times New Roman" w:cs="Times New Roman"/>
          <w:sz w:val="24"/>
          <w:lang w:eastAsia="pl-PL"/>
        </w:rPr>
        <w:t>–</w:t>
      </w:r>
      <w:r w:rsidRPr="00C30388">
        <w:rPr>
          <w:rFonts w:ascii="Times New Roman" w:eastAsia="Times New Roman" w:hAnsi="Times New Roman" w:cs="Times New Roman"/>
          <w:i/>
          <w:sz w:val="24"/>
          <w:lang w:eastAsia="pl-PL"/>
        </w:rPr>
        <w:t xml:space="preserve"> modelowe globalne zasady przeciwdziałania erozji podstawy opodatkowania (filar drugi)</w:t>
      </w:r>
      <w:r w:rsidRPr="00C30388">
        <w:rPr>
          <w:rStyle w:val="Odwoanieprzypisudolnego"/>
          <w:rFonts w:ascii="Times New Roman" w:eastAsia="Times New Roman" w:hAnsi="Times New Roman" w:cs="Times New Roman"/>
          <w:i/>
          <w:sz w:val="24"/>
          <w:lang w:eastAsia="pl-PL"/>
        </w:rPr>
        <w:footnoteReference w:id="5"/>
      </w:r>
      <w:r w:rsidRPr="00C30388">
        <w:rPr>
          <w:rFonts w:ascii="Times New Roman" w:eastAsia="Times New Roman" w:hAnsi="Times New Roman" w:cs="Times New Roman"/>
          <w:sz w:val="24"/>
          <w:lang w:eastAsia="pl-PL"/>
        </w:rPr>
        <w:t xml:space="preserve"> (dalej jako „</w:t>
      </w:r>
      <w:r w:rsidRPr="00C30388">
        <w:rPr>
          <w:rFonts w:ascii="Times New Roman" w:eastAsia="Times New Roman" w:hAnsi="Times New Roman" w:cs="Times New Roman"/>
          <w:b/>
          <w:sz w:val="24"/>
          <w:lang w:eastAsia="pl-PL"/>
        </w:rPr>
        <w:t>Modelowe</w:t>
      </w:r>
      <w:r w:rsidRPr="00C30388">
        <w:rPr>
          <w:rFonts w:ascii="Times New Roman" w:eastAsia="Times New Roman" w:hAnsi="Times New Roman" w:cs="Times New Roman"/>
          <w:sz w:val="24"/>
          <w:lang w:eastAsia="pl-PL"/>
        </w:rPr>
        <w:t xml:space="preserve"> </w:t>
      </w:r>
      <w:r w:rsidR="00ED3A9E" w:rsidRPr="00C30388">
        <w:rPr>
          <w:rFonts w:ascii="Times New Roman" w:eastAsia="Times New Roman" w:hAnsi="Times New Roman" w:cs="Times New Roman"/>
          <w:b/>
          <w:sz w:val="24"/>
          <w:lang w:eastAsia="pl-PL"/>
        </w:rPr>
        <w:t>z</w:t>
      </w:r>
      <w:r w:rsidRPr="00C30388">
        <w:rPr>
          <w:rFonts w:ascii="Times New Roman" w:eastAsia="Times New Roman" w:hAnsi="Times New Roman" w:cs="Times New Roman"/>
          <w:b/>
          <w:sz w:val="24"/>
          <w:lang w:eastAsia="pl-PL"/>
        </w:rPr>
        <w:t>asady OECD</w:t>
      </w:r>
      <w:r w:rsidRPr="00C30388">
        <w:rPr>
          <w:rFonts w:ascii="Times New Roman" w:eastAsia="Times New Roman" w:hAnsi="Times New Roman" w:cs="Times New Roman"/>
          <w:sz w:val="24"/>
          <w:lang w:eastAsia="pl-PL"/>
        </w:rPr>
        <w:t>” lub „</w:t>
      </w:r>
      <w:r w:rsidRPr="00C30388">
        <w:rPr>
          <w:rFonts w:ascii="Times New Roman" w:eastAsia="Times New Roman" w:hAnsi="Times New Roman" w:cs="Times New Roman"/>
          <w:b/>
          <w:iCs/>
          <w:sz w:val="24"/>
          <w:lang w:eastAsia="pl-PL"/>
        </w:rPr>
        <w:t xml:space="preserve">Modelowe </w:t>
      </w:r>
      <w:r w:rsidR="00ED3A9E" w:rsidRPr="00C30388">
        <w:rPr>
          <w:rFonts w:ascii="Times New Roman" w:eastAsia="Times New Roman" w:hAnsi="Times New Roman" w:cs="Times New Roman"/>
          <w:b/>
          <w:iCs/>
          <w:sz w:val="24"/>
          <w:lang w:eastAsia="pl-PL"/>
        </w:rPr>
        <w:t>z</w:t>
      </w:r>
      <w:r w:rsidRPr="00C30388">
        <w:rPr>
          <w:rFonts w:ascii="Times New Roman" w:eastAsia="Times New Roman" w:hAnsi="Times New Roman" w:cs="Times New Roman"/>
          <w:b/>
          <w:iCs/>
          <w:sz w:val="24"/>
          <w:lang w:eastAsia="pl-PL"/>
        </w:rPr>
        <w:t>asady</w:t>
      </w:r>
      <w:r w:rsidRPr="00C30388">
        <w:rPr>
          <w:rFonts w:ascii="Times New Roman" w:eastAsia="Times New Roman" w:hAnsi="Times New Roman" w:cs="Times New Roman"/>
          <w:iCs/>
          <w:sz w:val="24"/>
          <w:lang w:eastAsia="pl-PL"/>
        </w:rPr>
        <w:t xml:space="preserve">”), </w:t>
      </w:r>
      <w:r w:rsidRPr="00C30388">
        <w:rPr>
          <w:rFonts w:ascii="Times New Roman" w:eastAsia="Times New Roman" w:hAnsi="Times New Roman" w:cs="Times New Roman"/>
          <w:sz w:val="24"/>
          <w:lang w:eastAsia="pl-PL"/>
        </w:rPr>
        <w:t xml:space="preserve">zatwierdzone w dniu 14 grudnia 2021 r. Państwa </w:t>
      </w:r>
      <w:r w:rsidRPr="00C30388">
        <w:rPr>
          <w:rFonts w:ascii="Times New Roman" w:eastAsia="Times New Roman" w:hAnsi="Times New Roman" w:cs="Times New Roman"/>
          <w:sz w:val="24"/>
          <w:lang w:eastAsia="pl-PL"/>
        </w:rPr>
        <w:lastRenderedPageBreak/>
        <w:t>członkowskie OECD zobowiązały się do wdrożenia kompleksowego zestawu reguł wynikających z powyższego dokumentu OECD i powiązanych z nim wytycznych (dalej jako „</w:t>
      </w:r>
      <w:r w:rsidRPr="00C30388">
        <w:rPr>
          <w:rFonts w:ascii="Times New Roman" w:eastAsia="Times New Roman" w:hAnsi="Times New Roman" w:cs="Times New Roman"/>
          <w:b/>
          <w:sz w:val="24"/>
          <w:lang w:eastAsia="pl-PL"/>
        </w:rPr>
        <w:t>Zasady GloBE</w:t>
      </w:r>
      <w:r w:rsidRPr="00C30388">
        <w:rPr>
          <w:rFonts w:ascii="Times New Roman" w:eastAsia="Times New Roman" w:hAnsi="Times New Roman" w:cs="Times New Roman"/>
          <w:bCs/>
          <w:sz w:val="24"/>
          <w:lang w:eastAsia="pl-PL"/>
        </w:rPr>
        <w:t>”</w:t>
      </w:r>
      <w:r w:rsidRPr="00C30388">
        <w:rPr>
          <w:rFonts w:ascii="Times New Roman" w:eastAsia="Times New Roman" w:hAnsi="Times New Roman" w:cs="Times New Roman"/>
          <w:b/>
          <w:sz w:val="24"/>
          <w:lang w:eastAsia="pl-PL"/>
        </w:rPr>
        <w:t xml:space="preserve"> </w:t>
      </w:r>
      <w:r w:rsidRPr="00C30388">
        <w:rPr>
          <w:rFonts w:ascii="Times New Roman" w:eastAsia="Times New Roman" w:hAnsi="Times New Roman" w:cs="Times New Roman"/>
          <w:bCs/>
          <w:sz w:val="24"/>
          <w:lang w:eastAsia="pl-PL"/>
        </w:rPr>
        <w:t>lub „</w:t>
      </w:r>
      <w:r w:rsidRPr="00C30388">
        <w:rPr>
          <w:rFonts w:ascii="Times New Roman" w:eastAsia="Times New Roman" w:hAnsi="Times New Roman" w:cs="Times New Roman"/>
          <w:b/>
          <w:sz w:val="24"/>
          <w:lang w:eastAsia="pl-PL"/>
        </w:rPr>
        <w:t>System GloBE</w:t>
      </w:r>
      <w:r w:rsidRPr="00C30388">
        <w:rPr>
          <w:rFonts w:ascii="Times New Roman" w:eastAsia="Times New Roman" w:hAnsi="Times New Roman" w:cs="Times New Roman"/>
          <w:bCs/>
          <w:sz w:val="24"/>
          <w:lang w:eastAsia="pl-PL"/>
        </w:rPr>
        <w:t>”</w:t>
      </w:r>
      <w:r w:rsidRPr="00C30388">
        <w:rPr>
          <w:rFonts w:ascii="Times New Roman" w:eastAsia="Times New Roman" w:hAnsi="Times New Roman" w:cs="Times New Roman"/>
          <w:sz w:val="24"/>
          <w:lang w:eastAsia="pl-PL"/>
        </w:rPr>
        <w:t xml:space="preserve">). </w:t>
      </w:r>
    </w:p>
    <w:p w14:paraId="61E82C69" w14:textId="77777777"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eastAsia="Times New Roman" w:hAnsi="Times New Roman" w:cs="Times New Roman"/>
          <w:sz w:val="24"/>
          <w:szCs w:val="24"/>
          <w:lang w:eastAsia="pl-PL"/>
        </w:rPr>
        <w:t xml:space="preserve">Równolegle, w sprawozdaniu z dnia 7 grudnia 2021 r., Rada Europejska potwierdziła swoje poparcie dla reformy dotyczącej globalnego podatku minimalnego i zobowiązała się do szybkiego wdrożenia tej reformy na poziomie UE. Efektem realizacji tego zobowiązania było przyjęcie Dyrektywy GloBE. </w:t>
      </w:r>
    </w:p>
    <w:p w14:paraId="22FC99EE" w14:textId="77777777" w:rsidR="002A4C92" w:rsidRPr="00C30388" w:rsidRDefault="002A4C92" w:rsidP="002A4C92">
      <w:pPr>
        <w:spacing w:after="120"/>
        <w:jc w:val="both"/>
        <w:rPr>
          <w:rFonts w:ascii="Times New Roman" w:eastAsia="Times New Roman" w:hAnsi="Times New Roman" w:cs="Times New Roman"/>
          <w:i/>
          <w:sz w:val="24"/>
          <w:szCs w:val="24"/>
          <w:lang w:eastAsia="pl-PL"/>
        </w:rPr>
      </w:pPr>
      <w:r w:rsidRPr="00C30388">
        <w:rPr>
          <w:rFonts w:ascii="Times New Roman" w:eastAsia="Times New Roman" w:hAnsi="Times New Roman" w:cs="Times New Roman"/>
          <w:i/>
          <w:sz w:val="24"/>
          <w:szCs w:val="24"/>
          <w:lang w:eastAsia="pl-PL"/>
        </w:rPr>
        <w:t xml:space="preserve">BEPS 2.0 – rozwiązanie dwufilarowe </w:t>
      </w:r>
    </w:p>
    <w:p w14:paraId="4FA9F482"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Jak zaznaczono, Dyrektywa stanowi wdrożenie na gruncie unijnym elementu kompleksowej reformy w ramach projektu BEPS 2.0. Należy mieć przy tym na względzie, że BEPS 2.0, stanowiący globalną reformę międzynarodowych zasad opodatkowania działalności gospodarczej, ma szerszy zakres i opiera się na dwóch tzw. Filarach: </w:t>
      </w:r>
      <w:r w:rsidRPr="00C30388">
        <w:rPr>
          <w:rFonts w:ascii="Times New Roman" w:hAnsi="Times New Roman" w:cs="Times New Roman"/>
          <w:b/>
          <w:sz w:val="24"/>
          <w:szCs w:val="24"/>
        </w:rPr>
        <w:t>Filarze I</w:t>
      </w:r>
      <w:r w:rsidRPr="00C30388">
        <w:rPr>
          <w:rFonts w:ascii="Times New Roman" w:hAnsi="Times New Roman" w:cs="Times New Roman"/>
          <w:sz w:val="24"/>
          <w:szCs w:val="24"/>
        </w:rPr>
        <w:t xml:space="preserve"> oraz </w:t>
      </w:r>
      <w:r w:rsidRPr="00C30388">
        <w:rPr>
          <w:rFonts w:ascii="Times New Roman" w:hAnsi="Times New Roman" w:cs="Times New Roman"/>
          <w:b/>
          <w:bCs/>
          <w:sz w:val="24"/>
          <w:szCs w:val="24"/>
        </w:rPr>
        <w:t>Filarze II</w:t>
      </w:r>
      <w:r w:rsidRPr="00C30388">
        <w:rPr>
          <w:rFonts w:ascii="Times New Roman" w:hAnsi="Times New Roman" w:cs="Times New Roman"/>
          <w:sz w:val="24"/>
          <w:szCs w:val="24"/>
        </w:rPr>
        <w:t xml:space="preserve">. </w:t>
      </w:r>
    </w:p>
    <w:p w14:paraId="46161025" w14:textId="77777777" w:rsidR="002A4C92" w:rsidRPr="003E7A67" w:rsidRDefault="002A4C92" w:rsidP="002A4C92">
      <w:pPr>
        <w:spacing w:after="120"/>
        <w:jc w:val="both"/>
        <w:rPr>
          <w:rFonts w:cstheme="minorHAnsi"/>
        </w:rPr>
      </w:pPr>
      <w:r w:rsidRPr="003E7A67">
        <w:rPr>
          <w:rFonts w:cstheme="minorHAnsi"/>
          <w:bCs/>
          <w:noProof/>
          <w:lang w:eastAsia="pl-PL"/>
        </w:rPr>
        <w:drawing>
          <wp:inline distT="0" distB="0" distL="0" distR="0" wp14:anchorId="0E8F1999" wp14:editId="22D5C139">
            <wp:extent cx="4813300" cy="2641600"/>
            <wp:effectExtent l="0" t="0" r="25400"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7762B04"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Filar I składa się z Kwoty A oraz Kwoty B. Kwota A zakłada częściowe przeniesienie praw do opodatkowania do państw, w których następuje konsumpcja dóbr i usług. Kwota A dotyczy nie tylko spółek cyfrowych, ale największych i najbardziej dochodowych grup międzynarodowych. Opodatkowanie w ramach Kwoty A obejmie wyłącznie około 100 największych i najbardziej dochodowych światowych korporacji, w tym korporacji cyfrowych. Regulacje wdrażające Kwotę A są zawarte w Międzynarodowej Konwencji implementującej Kwotę A Filaru Pierwszego (dalej jako „</w:t>
      </w:r>
      <w:r w:rsidRPr="00C30388">
        <w:rPr>
          <w:rFonts w:ascii="Times New Roman" w:hAnsi="Times New Roman" w:cs="Times New Roman"/>
          <w:b/>
          <w:bCs/>
          <w:sz w:val="24"/>
          <w:szCs w:val="24"/>
        </w:rPr>
        <w:t>Konwencja MLC</w:t>
      </w:r>
      <w:r w:rsidRPr="00C30388">
        <w:rPr>
          <w:rFonts w:ascii="Times New Roman" w:hAnsi="Times New Roman" w:cs="Times New Roman"/>
          <w:sz w:val="24"/>
          <w:szCs w:val="24"/>
        </w:rPr>
        <w:t>”)</w:t>
      </w:r>
      <w:r w:rsidRPr="00C30388">
        <w:rPr>
          <w:rStyle w:val="Odwoanieprzypisudolnego"/>
          <w:rFonts w:ascii="Times New Roman" w:hAnsi="Times New Roman" w:cs="Times New Roman"/>
          <w:sz w:val="24"/>
          <w:szCs w:val="24"/>
        </w:rPr>
        <w:footnoteReference w:id="6"/>
      </w:r>
      <w:r w:rsidRPr="00C30388">
        <w:rPr>
          <w:rFonts w:ascii="Times New Roman" w:hAnsi="Times New Roman" w:cs="Times New Roman"/>
          <w:sz w:val="24"/>
          <w:szCs w:val="24"/>
        </w:rPr>
        <w:t xml:space="preserve">. Jednym z elementów Konwencji MLC jest zobowiązanie państw do nieprzyjmowania podatków cyfrowych i podobnych środków. Utrata przez strony Konwencji MLC wpływów z ww. podatków zostanie w pewnym stopniu zrekompensowana dzięki wpływom pochodzącym z Kwoty A. </w:t>
      </w:r>
    </w:p>
    <w:p w14:paraId="6B5D0E8B"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Drugi z elementów Filaru I – Kwota B – ma na celu uproszczenie zasad dotyczących cen transferowych dla transakcji w zakresie marketingu i dystrybucji, w ramach których dystrybutor hurtowy nabywa towary od podmiotu powiązanego w celu ich hurtowej dystrybucji na rzecz podmiotów niepowiązanych. Kwota B będzie miała zastosowanie do wybranych kategorii działalności o charakterze rutynowym i ograniczonym ryzyku. Zgodnie z regulacjami wynikającymi z Kwoty B, podatnik zamiast przygotowywania analizy porównawczej (celem </w:t>
      </w:r>
      <w:r w:rsidRPr="00C30388">
        <w:rPr>
          <w:rFonts w:ascii="Times New Roman" w:hAnsi="Times New Roman" w:cs="Times New Roman"/>
          <w:sz w:val="24"/>
          <w:szCs w:val="24"/>
        </w:rPr>
        <w:lastRenderedPageBreak/>
        <w:t xml:space="preserve">wykazania rynkowego charakteru transakcji) dla każdej transakcji osobno, będzie stosował (po spełnieniu określonych warunków) gotowy wskaźnik marży wynikający z tabeli (matrycy wyceny) przygotowanej przez OECD. </w:t>
      </w:r>
    </w:p>
    <w:p w14:paraId="6C03DF62"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Filar II tworzy natomiast system </w:t>
      </w:r>
      <w:r w:rsidRPr="00C30388">
        <w:rPr>
          <w:rFonts w:ascii="Times New Roman" w:hAnsi="Times New Roman" w:cs="Times New Roman"/>
          <w:b/>
          <w:bCs/>
          <w:sz w:val="24"/>
          <w:szCs w:val="24"/>
        </w:rPr>
        <w:t>opodatkowania wyrównawczego</w:t>
      </w:r>
      <w:r w:rsidRPr="00C30388">
        <w:rPr>
          <w:rFonts w:ascii="Times New Roman" w:hAnsi="Times New Roman" w:cs="Times New Roman"/>
          <w:sz w:val="24"/>
          <w:szCs w:val="24"/>
        </w:rPr>
        <w:t xml:space="preserve"> (ang. </w:t>
      </w:r>
      <w:r w:rsidRPr="00C30388">
        <w:rPr>
          <w:rFonts w:ascii="Times New Roman" w:hAnsi="Times New Roman" w:cs="Times New Roman"/>
          <w:i/>
          <w:iCs/>
          <w:sz w:val="24"/>
          <w:szCs w:val="24"/>
        </w:rPr>
        <w:t>top-up tax</w:t>
      </w:r>
      <w:r w:rsidRPr="00C30388">
        <w:rPr>
          <w:rFonts w:ascii="Times New Roman" w:hAnsi="Times New Roman" w:cs="Times New Roman"/>
          <w:sz w:val="24"/>
          <w:szCs w:val="24"/>
        </w:rPr>
        <w:t>), na który składają się następujące fundamentalne zasady i obszary opodatkowania (opisane w dalszej części uzasadnienia):</w:t>
      </w:r>
    </w:p>
    <w:p w14:paraId="6B9D9A3A" w14:textId="77777777" w:rsidR="002A4C92" w:rsidRPr="00C30388" w:rsidRDefault="002A4C92" w:rsidP="00B6504F">
      <w:pPr>
        <w:pStyle w:val="Akapitzlist"/>
        <w:numPr>
          <w:ilvl w:val="0"/>
          <w:numId w:val="41"/>
        </w:numPr>
        <w:spacing w:after="120"/>
        <w:jc w:val="both"/>
        <w:rPr>
          <w:rFonts w:ascii="Times New Roman" w:hAnsi="Times New Roman" w:cs="Times New Roman"/>
          <w:sz w:val="24"/>
          <w:szCs w:val="24"/>
        </w:rPr>
      </w:pPr>
      <w:r w:rsidRPr="00C30388">
        <w:rPr>
          <w:rFonts w:ascii="Times New Roman" w:hAnsi="Times New Roman" w:cs="Times New Roman"/>
          <w:sz w:val="24"/>
          <w:szCs w:val="24"/>
        </w:rPr>
        <w:t>zasada włączenia dochodu do opodatkowania,</w:t>
      </w:r>
    </w:p>
    <w:p w14:paraId="18328501" w14:textId="77777777" w:rsidR="002A4C92" w:rsidRPr="00C30388" w:rsidRDefault="002A4C92" w:rsidP="00B6504F">
      <w:pPr>
        <w:pStyle w:val="Akapitzlist"/>
        <w:numPr>
          <w:ilvl w:val="0"/>
          <w:numId w:val="41"/>
        </w:numPr>
        <w:spacing w:after="120"/>
        <w:jc w:val="both"/>
        <w:rPr>
          <w:rFonts w:ascii="Times New Roman" w:hAnsi="Times New Roman" w:cs="Times New Roman"/>
          <w:sz w:val="24"/>
          <w:szCs w:val="24"/>
        </w:rPr>
      </w:pPr>
      <w:r w:rsidRPr="00C30388">
        <w:rPr>
          <w:rFonts w:ascii="Times New Roman" w:hAnsi="Times New Roman" w:cs="Times New Roman"/>
          <w:sz w:val="24"/>
          <w:szCs w:val="24"/>
        </w:rPr>
        <w:t>zasada niedostatecznie opodatkowanych zysków,</w:t>
      </w:r>
    </w:p>
    <w:p w14:paraId="65253A6C" w14:textId="77777777" w:rsidR="002A4C92" w:rsidRPr="00C30388" w:rsidRDefault="002A4C92" w:rsidP="00B6504F">
      <w:pPr>
        <w:pStyle w:val="Akapitzlist"/>
        <w:numPr>
          <w:ilvl w:val="0"/>
          <w:numId w:val="41"/>
        </w:num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kwalifikowany krajowy podatek wyrównawczy. </w:t>
      </w:r>
    </w:p>
    <w:p w14:paraId="603F30E0"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Ponadto, Filar II składa się z zasady dodatkowego prawa do opodatkowania (dalej jako „</w:t>
      </w:r>
      <w:r w:rsidRPr="00C30388">
        <w:rPr>
          <w:rFonts w:ascii="Times New Roman" w:hAnsi="Times New Roman" w:cs="Times New Roman"/>
          <w:b/>
          <w:bCs/>
          <w:sz w:val="24"/>
          <w:szCs w:val="24"/>
        </w:rPr>
        <w:t>STTR</w:t>
      </w:r>
      <w:r w:rsidRPr="00C30388">
        <w:rPr>
          <w:rFonts w:ascii="Times New Roman" w:hAnsi="Times New Roman" w:cs="Times New Roman"/>
          <w:sz w:val="24"/>
          <w:szCs w:val="24"/>
        </w:rPr>
        <w:t>”)</w:t>
      </w:r>
      <w:r w:rsidRPr="00C30388">
        <w:rPr>
          <w:rStyle w:val="Odwoanieprzypisudolnego"/>
          <w:rFonts w:ascii="Times New Roman" w:hAnsi="Times New Roman" w:cs="Times New Roman"/>
          <w:sz w:val="24"/>
          <w:szCs w:val="24"/>
        </w:rPr>
        <w:footnoteReference w:id="7"/>
      </w:r>
      <w:r w:rsidRPr="00C30388">
        <w:rPr>
          <w:rFonts w:ascii="Times New Roman" w:hAnsi="Times New Roman" w:cs="Times New Roman"/>
          <w:sz w:val="24"/>
          <w:szCs w:val="24"/>
        </w:rPr>
        <w:t xml:space="preserve"> – modelowej zasady, która zostanie włączona do niektórych umów o unikaniu podwójnego opodatkowania (zawartych z państwami zakwalifikowanymi do grupy państw rozwijających się). Celem wprowadzenia zasady STTR jest zapewnienie prawa do opodatkowania danej należności państwu, w którym konsumowane są dane dobra. STTR będzie polegać na nałożeniu na przedsiębiorstwa dodatkowego podatku w państwie źródła (z którego pochodzi płatność), jeśli płatności te są opodatkowane w państwie odbiorcy płatności według stawki podatkowej poniżej 9%. Należny podatek wynikający z STTR zostanie nałożony na różnicę pomiędzy stawką podatkową w państwie odbiorcy a 9% stawką podatkową. Różnicę między 9% a zapłaconą stawką oblicza się według specjalnego wzoru, uwzględniającego niektóre preferencje, zwolnienia i ulgi. STTR dotyczy wyłącznie określonych rodzajów płatności wewnątrzgrupowych, w tym odsetek, należności licencyjnych, wynagrodzenia za niektóre usługi niematerialne takie jak płatności za usługi zarządzania (</w:t>
      </w:r>
      <w:r w:rsidRPr="00C30388">
        <w:rPr>
          <w:rFonts w:ascii="Times New Roman" w:hAnsi="Times New Roman" w:cs="Times New Roman"/>
          <w:i/>
          <w:sz w:val="24"/>
          <w:szCs w:val="24"/>
        </w:rPr>
        <w:t xml:space="preserve">management fees </w:t>
      </w:r>
      <w:r w:rsidRPr="00C30388">
        <w:rPr>
          <w:rFonts w:ascii="Times New Roman" w:hAnsi="Times New Roman" w:cs="Times New Roman"/>
          <w:sz w:val="24"/>
          <w:szCs w:val="24"/>
        </w:rPr>
        <w:t>itp.).</w:t>
      </w:r>
    </w:p>
    <w:p w14:paraId="7342F3F0" w14:textId="4664504C" w:rsidR="002A4C92" w:rsidRPr="00C30388" w:rsidRDefault="002A4C92" w:rsidP="002A4C92">
      <w:pPr>
        <w:spacing w:after="120"/>
        <w:jc w:val="both"/>
        <w:rPr>
          <w:rFonts w:ascii="Times New Roman" w:eastAsia="Times New Roman" w:hAnsi="Times New Roman" w:cs="Times New Roman"/>
          <w:i/>
          <w:sz w:val="24"/>
          <w:szCs w:val="24"/>
          <w:lang w:eastAsia="pl-PL"/>
        </w:rPr>
      </w:pPr>
      <w:r w:rsidRPr="00C30388">
        <w:rPr>
          <w:rFonts w:ascii="Times New Roman" w:eastAsia="Times New Roman" w:hAnsi="Times New Roman" w:cs="Times New Roman"/>
          <w:i/>
          <w:sz w:val="24"/>
          <w:szCs w:val="24"/>
          <w:lang w:eastAsia="pl-PL"/>
        </w:rPr>
        <w:t xml:space="preserve">Relacja między Dyrektywą GloBE a </w:t>
      </w:r>
      <w:r w:rsidR="0007799D" w:rsidRPr="00C30388">
        <w:rPr>
          <w:rFonts w:ascii="Times New Roman" w:eastAsia="Times New Roman" w:hAnsi="Times New Roman" w:cs="Times New Roman"/>
          <w:i/>
          <w:sz w:val="24"/>
          <w:szCs w:val="24"/>
          <w:lang w:eastAsia="pl-PL"/>
        </w:rPr>
        <w:t>Modelowymi zasadami OECD</w:t>
      </w:r>
      <w:r w:rsidRPr="00C30388">
        <w:rPr>
          <w:rFonts w:ascii="Times New Roman" w:eastAsia="Times New Roman" w:hAnsi="Times New Roman" w:cs="Times New Roman"/>
          <w:i/>
          <w:sz w:val="24"/>
          <w:szCs w:val="24"/>
          <w:lang w:eastAsia="pl-PL"/>
        </w:rPr>
        <w:t xml:space="preserve">  </w:t>
      </w:r>
    </w:p>
    <w:p w14:paraId="6A9533F9"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Stosowanie Zasad GloBE opiera się na wspólnym czy też skoordynowanym podejściu („</w:t>
      </w:r>
      <w:r w:rsidRPr="00C30388">
        <w:rPr>
          <w:rFonts w:ascii="Times New Roman" w:hAnsi="Times New Roman" w:cs="Times New Roman"/>
          <w:i/>
          <w:sz w:val="24"/>
          <w:szCs w:val="24"/>
        </w:rPr>
        <w:t>common/</w:t>
      </w:r>
      <w:r w:rsidRPr="00C30388">
        <w:rPr>
          <w:rFonts w:ascii="Times New Roman" w:hAnsi="Times New Roman" w:cs="Times New Roman"/>
          <w:i/>
          <w:sz w:val="24"/>
          <w:szCs w:val="24"/>
        </w:rPr>
        <w:br/>
        <w:t>coordinated approach</w:t>
      </w:r>
      <w:r w:rsidRPr="00C30388">
        <w:rPr>
          <w:rFonts w:ascii="Times New Roman" w:hAnsi="Times New Roman" w:cs="Times New Roman"/>
          <w:sz w:val="24"/>
          <w:szCs w:val="24"/>
        </w:rPr>
        <w:t xml:space="preserve">”) oznaczającym, że poszczególne państwa - gdy podejmą decyzję o przyjęciu Zasad GloBE - muszą wdrożyć przepisy spójnie z tymi zasadami. Rodzi to konieczność wdrożenia, stosowania i administrowania przepisami implementującymi Zasady GloBE w sposób zapewniający zgodność z rezultatami przewidzianymi we wszystkich dokumentach składających się na dorobek OECD w tym obszarze. Warunek ten ma kluczowe znaczenie dla mającej nastąpić w przyszłości oceny OECD w kontekście kwalifikowalności poszczególnych systemów krajowych wdrażających Zasady GloBE. </w:t>
      </w:r>
    </w:p>
    <w:p w14:paraId="78F7C5F9" w14:textId="1128D6CE"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eastAsia="Times New Roman" w:hAnsi="Times New Roman" w:cs="Times New Roman"/>
          <w:sz w:val="24"/>
          <w:szCs w:val="24"/>
          <w:lang w:eastAsia="pl-PL"/>
        </w:rPr>
        <w:t xml:space="preserve">Mając na uwadze powyższy kontekst, przepisy Dyrektywy GloBE nie mogą być rozpatrywane w oderwaniu od wskazanego dorobku prac OECD w zakresie Filaru II i Zasad GloBE wynikających z Modelowych </w:t>
      </w:r>
      <w:r w:rsidR="00595132" w:rsidRPr="00C30388">
        <w:rPr>
          <w:rFonts w:ascii="Times New Roman" w:eastAsia="Times New Roman" w:hAnsi="Times New Roman" w:cs="Times New Roman"/>
          <w:sz w:val="24"/>
          <w:szCs w:val="24"/>
          <w:lang w:eastAsia="pl-PL"/>
        </w:rPr>
        <w:t>z</w:t>
      </w:r>
      <w:r w:rsidRPr="00C30388">
        <w:rPr>
          <w:rFonts w:ascii="Times New Roman" w:eastAsia="Times New Roman" w:hAnsi="Times New Roman" w:cs="Times New Roman"/>
          <w:sz w:val="24"/>
          <w:szCs w:val="24"/>
          <w:lang w:eastAsia="pl-PL"/>
        </w:rPr>
        <w:t xml:space="preserve">asad OECD i dokumentów powiązanych. Dyrektywa GloBE jest bowiem instrumentem służącym przeniesieniu Zasad GloBE na grunt unijny, w celu ułatwienia ich wdrożenia w państwach członkowskich UE. Co kluczowe, </w:t>
      </w:r>
      <w:r w:rsidRPr="00C30388">
        <w:rPr>
          <w:rFonts w:ascii="Times New Roman" w:hAnsi="Times New Roman" w:cs="Times New Roman"/>
          <w:sz w:val="24"/>
          <w:szCs w:val="24"/>
        </w:rPr>
        <w:t xml:space="preserve">Dyrektywa GloBE nawiązuje ściśle do treści i struktury Modelowych </w:t>
      </w:r>
      <w:r w:rsidR="00595132" w:rsidRPr="00C30388">
        <w:rPr>
          <w:rFonts w:ascii="Times New Roman" w:hAnsi="Times New Roman" w:cs="Times New Roman"/>
          <w:sz w:val="24"/>
          <w:szCs w:val="24"/>
        </w:rPr>
        <w:t>z</w:t>
      </w:r>
      <w:r w:rsidRPr="00C30388">
        <w:rPr>
          <w:rFonts w:ascii="Times New Roman" w:hAnsi="Times New Roman" w:cs="Times New Roman"/>
          <w:sz w:val="24"/>
          <w:szCs w:val="24"/>
        </w:rPr>
        <w:t>asad OECD.</w:t>
      </w:r>
    </w:p>
    <w:p w14:paraId="5472DE96" w14:textId="66C54FEF"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hAnsi="Times New Roman" w:cs="Times New Roman"/>
          <w:sz w:val="24"/>
          <w:szCs w:val="24"/>
        </w:rPr>
        <w:t>Konieczność zapewnienia jak największej zbieżności w tym zakresie została podkreślona w preambule do Dyrektywy</w:t>
      </w:r>
      <w:r w:rsidRPr="00C30388">
        <w:rPr>
          <w:rStyle w:val="Odwoanieprzypisudolnego"/>
          <w:rFonts w:ascii="Times New Roman" w:hAnsi="Times New Roman" w:cs="Times New Roman"/>
          <w:sz w:val="24"/>
          <w:szCs w:val="24"/>
        </w:rPr>
        <w:footnoteReference w:id="8"/>
      </w:r>
      <w:r w:rsidRPr="00C30388">
        <w:rPr>
          <w:rFonts w:ascii="Times New Roman" w:hAnsi="Times New Roman" w:cs="Times New Roman"/>
          <w:sz w:val="24"/>
          <w:szCs w:val="24"/>
        </w:rPr>
        <w:t xml:space="preserve">. </w:t>
      </w:r>
      <w:r w:rsidRPr="00C30388">
        <w:rPr>
          <w:rFonts w:ascii="Times New Roman" w:eastAsia="Times New Roman" w:hAnsi="Times New Roman" w:cs="Times New Roman"/>
          <w:sz w:val="24"/>
          <w:szCs w:val="24"/>
          <w:lang w:eastAsia="pl-PL"/>
        </w:rPr>
        <w:t xml:space="preserve">Zgodnie z brzmieniem preambuły, źródłem ilustracji przepisów </w:t>
      </w:r>
      <w:r w:rsidRPr="00C30388">
        <w:rPr>
          <w:rFonts w:ascii="Times New Roman" w:eastAsia="Times New Roman" w:hAnsi="Times New Roman" w:cs="Times New Roman"/>
          <w:sz w:val="24"/>
          <w:szCs w:val="24"/>
          <w:lang w:eastAsia="pl-PL"/>
        </w:rPr>
        <w:lastRenderedPageBreak/>
        <w:t xml:space="preserve">Dyrektywy są Modelowe </w:t>
      </w:r>
      <w:r w:rsidR="00ED3A9E" w:rsidRPr="00C30388">
        <w:rPr>
          <w:rFonts w:ascii="Times New Roman" w:eastAsia="Times New Roman" w:hAnsi="Times New Roman" w:cs="Times New Roman"/>
          <w:sz w:val="24"/>
          <w:szCs w:val="24"/>
          <w:lang w:eastAsia="pl-PL"/>
        </w:rPr>
        <w:t>z</w:t>
      </w:r>
      <w:r w:rsidRPr="00C30388">
        <w:rPr>
          <w:rFonts w:ascii="Times New Roman" w:eastAsia="Times New Roman" w:hAnsi="Times New Roman" w:cs="Times New Roman"/>
          <w:sz w:val="24"/>
          <w:szCs w:val="24"/>
          <w:lang w:eastAsia="pl-PL"/>
        </w:rPr>
        <w:t>asady i komentarz do nich (dalej jako: „</w:t>
      </w:r>
      <w:r w:rsidRPr="00C30388">
        <w:rPr>
          <w:rFonts w:ascii="Times New Roman" w:eastAsia="Times New Roman" w:hAnsi="Times New Roman" w:cs="Times New Roman"/>
          <w:b/>
          <w:sz w:val="24"/>
          <w:szCs w:val="24"/>
          <w:lang w:eastAsia="pl-PL"/>
        </w:rPr>
        <w:t>Komentarz</w:t>
      </w:r>
      <w:r w:rsidRPr="00C30388">
        <w:rPr>
          <w:rFonts w:ascii="Times New Roman" w:eastAsia="Times New Roman" w:hAnsi="Times New Roman" w:cs="Times New Roman"/>
          <w:sz w:val="24"/>
          <w:szCs w:val="24"/>
          <w:lang w:eastAsia="pl-PL"/>
        </w:rPr>
        <w:t>”)</w:t>
      </w:r>
      <w:r w:rsidRPr="00C30388">
        <w:rPr>
          <w:rStyle w:val="Odwoanieprzypisudolnego"/>
          <w:rFonts w:ascii="Times New Roman" w:eastAsia="Times New Roman" w:hAnsi="Times New Roman" w:cs="Times New Roman"/>
          <w:sz w:val="24"/>
          <w:szCs w:val="24"/>
          <w:lang w:eastAsia="pl-PL"/>
        </w:rPr>
        <w:footnoteReference w:id="9"/>
      </w:r>
      <w:r w:rsidRPr="00C30388">
        <w:rPr>
          <w:rFonts w:ascii="Times New Roman" w:eastAsia="Times New Roman" w:hAnsi="Times New Roman" w:cs="Times New Roman"/>
          <w:sz w:val="24"/>
          <w:szCs w:val="24"/>
          <w:lang w:eastAsia="pl-PL"/>
        </w:rPr>
        <w:t xml:space="preserve"> wraz z przykładami ich stosowania</w:t>
      </w:r>
      <w:r w:rsidRPr="00C30388">
        <w:rPr>
          <w:rStyle w:val="Odwoanieprzypisudolnego"/>
          <w:rFonts w:ascii="Times New Roman" w:eastAsia="Times New Roman" w:hAnsi="Times New Roman" w:cs="Times New Roman"/>
          <w:sz w:val="24"/>
          <w:szCs w:val="24"/>
          <w:lang w:eastAsia="pl-PL"/>
        </w:rPr>
        <w:footnoteReference w:id="10"/>
      </w:r>
      <w:r w:rsidRPr="00C30388">
        <w:rPr>
          <w:rFonts w:ascii="Times New Roman" w:eastAsia="Times New Roman" w:hAnsi="Times New Roman" w:cs="Times New Roman"/>
          <w:sz w:val="24"/>
          <w:szCs w:val="24"/>
          <w:lang w:eastAsia="pl-PL"/>
        </w:rPr>
        <w:t>, jak również inne dokumenty dotyczące poszczególnych aspektów stosowania Zasad GloBE</w:t>
      </w:r>
      <w:r w:rsidRPr="00C30388">
        <w:rPr>
          <w:rStyle w:val="Odwoanieprzypisudolnego"/>
          <w:rFonts w:ascii="Times New Roman" w:eastAsia="Times New Roman" w:hAnsi="Times New Roman" w:cs="Times New Roman"/>
          <w:sz w:val="24"/>
          <w:szCs w:val="24"/>
          <w:lang w:eastAsia="pl-PL"/>
        </w:rPr>
        <w:footnoteReference w:id="11"/>
      </w:r>
      <w:r w:rsidRPr="00C30388">
        <w:rPr>
          <w:rFonts w:ascii="Times New Roman" w:eastAsia="Times New Roman" w:hAnsi="Times New Roman" w:cs="Times New Roman"/>
          <w:sz w:val="24"/>
          <w:szCs w:val="24"/>
          <w:lang w:eastAsia="pl-PL"/>
        </w:rPr>
        <w:t xml:space="preserve">. </w:t>
      </w:r>
    </w:p>
    <w:p w14:paraId="55D20785" w14:textId="3544012D"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eastAsia="Times New Roman" w:hAnsi="Times New Roman" w:cs="Times New Roman"/>
          <w:sz w:val="24"/>
          <w:szCs w:val="24"/>
          <w:lang w:eastAsia="pl-PL"/>
        </w:rPr>
        <w:t>Co szczególnie istotne w kontekście prac nad implementacją Dyrektywy, już po jej przyjęciu, w ramach OECD toczyły się prace doprecyzowujące i wyjaśniające stosowanie Zasad GloBE. Efektem prac była publikacja wytycznych administracyjnych z lutego</w:t>
      </w:r>
      <w:r w:rsidRPr="00C30388">
        <w:rPr>
          <w:rStyle w:val="Odwoanieprzypisudolnego"/>
          <w:rFonts w:ascii="Times New Roman" w:eastAsia="Times New Roman" w:hAnsi="Times New Roman" w:cs="Times New Roman"/>
          <w:sz w:val="24"/>
          <w:szCs w:val="24"/>
          <w:lang w:val="en-US" w:eastAsia="pl-PL"/>
        </w:rPr>
        <w:footnoteReference w:id="12"/>
      </w:r>
      <w:r w:rsidRPr="00C30388">
        <w:rPr>
          <w:rFonts w:ascii="Times New Roman" w:eastAsia="Times New Roman" w:hAnsi="Times New Roman" w:cs="Times New Roman"/>
          <w:sz w:val="24"/>
          <w:szCs w:val="24"/>
          <w:lang w:eastAsia="pl-PL"/>
        </w:rPr>
        <w:t>, lipca</w:t>
      </w:r>
      <w:r w:rsidRPr="00C30388">
        <w:rPr>
          <w:rStyle w:val="Odwoanieprzypisudolnego"/>
          <w:rFonts w:ascii="Times New Roman" w:eastAsia="Times New Roman" w:hAnsi="Times New Roman" w:cs="Times New Roman"/>
          <w:sz w:val="24"/>
          <w:szCs w:val="24"/>
          <w:lang w:eastAsia="pl-PL"/>
        </w:rPr>
        <w:footnoteReference w:id="13"/>
      </w:r>
      <w:r w:rsidRPr="00C30388">
        <w:rPr>
          <w:rFonts w:ascii="Times New Roman" w:eastAsia="Times New Roman" w:hAnsi="Times New Roman" w:cs="Times New Roman"/>
          <w:sz w:val="24"/>
          <w:szCs w:val="24"/>
          <w:lang w:eastAsia="pl-PL"/>
        </w:rPr>
        <w:t xml:space="preserve"> oraz grudnia 2023 r.</w:t>
      </w:r>
      <w:r w:rsidRPr="00C30388">
        <w:rPr>
          <w:rStyle w:val="Odwoanieprzypisudolnego"/>
          <w:rFonts w:ascii="Times New Roman" w:eastAsia="Times New Roman" w:hAnsi="Times New Roman" w:cs="Times New Roman"/>
          <w:sz w:val="24"/>
          <w:szCs w:val="24"/>
          <w:lang w:eastAsia="pl-PL"/>
        </w:rPr>
        <w:footnoteReference w:id="14"/>
      </w:r>
      <w:r w:rsidRPr="00C30388">
        <w:rPr>
          <w:rFonts w:ascii="Times New Roman" w:eastAsia="Times New Roman" w:hAnsi="Times New Roman" w:cs="Times New Roman"/>
          <w:sz w:val="24"/>
          <w:szCs w:val="24"/>
          <w:lang w:eastAsia="pl-PL"/>
        </w:rPr>
        <w:t xml:space="preserve"> (dalej odpowiednio jako „</w:t>
      </w:r>
      <w:r w:rsidRPr="00C30388">
        <w:rPr>
          <w:rFonts w:ascii="Times New Roman" w:eastAsia="Times New Roman" w:hAnsi="Times New Roman" w:cs="Times New Roman"/>
          <w:b/>
          <w:sz w:val="24"/>
          <w:szCs w:val="24"/>
          <w:lang w:eastAsia="pl-PL"/>
        </w:rPr>
        <w:t>Wytyczne z lutego 2023 r.</w:t>
      </w:r>
      <w:r w:rsidRPr="00C30388">
        <w:rPr>
          <w:rFonts w:ascii="Times New Roman" w:eastAsia="Times New Roman" w:hAnsi="Times New Roman" w:cs="Times New Roman"/>
          <w:bCs/>
          <w:sz w:val="24"/>
          <w:szCs w:val="24"/>
          <w:lang w:eastAsia="pl-PL"/>
        </w:rPr>
        <w:t>”,</w:t>
      </w:r>
      <w:r w:rsidRPr="00C30388">
        <w:rPr>
          <w:rFonts w:ascii="Times New Roman" w:eastAsia="Times New Roman" w:hAnsi="Times New Roman" w:cs="Times New Roman"/>
          <w:b/>
          <w:sz w:val="24"/>
          <w:szCs w:val="24"/>
          <w:lang w:eastAsia="pl-PL"/>
        </w:rPr>
        <w:t xml:space="preserve"> </w:t>
      </w:r>
      <w:r w:rsidRPr="00C30388">
        <w:rPr>
          <w:rFonts w:ascii="Times New Roman" w:eastAsia="Times New Roman" w:hAnsi="Times New Roman" w:cs="Times New Roman"/>
          <w:sz w:val="24"/>
          <w:szCs w:val="24"/>
          <w:lang w:eastAsia="pl-PL"/>
        </w:rPr>
        <w:t>„</w:t>
      </w:r>
      <w:r w:rsidRPr="00C30388">
        <w:rPr>
          <w:rFonts w:ascii="Times New Roman" w:eastAsia="Times New Roman" w:hAnsi="Times New Roman" w:cs="Times New Roman"/>
          <w:b/>
          <w:sz w:val="24"/>
          <w:szCs w:val="24"/>
          <w:lang w:eastAsia="pl-PL"/>
        </w:rPr>
        <w:t>Wytyczne z lipca 2023 r.</w:t>
      </w:r>
      <w:r w:rsidRPr="00C30388">
        <w:rPr>
          <w:rFonts w:ascii="Times New Roman" w:eastAsia="Times New Roman" w:hAnsi="Times New Roman" w:cs="Times New Roman"/>
          <w:bCs/>
          <w:sz w:val="24"/>
          <w:szCs w:val="24"/>
          <w:lang w:eastAsia="pl-PL"/>
        </w:rPr>
        <w:t>”</w:t>
      </w:r>
      <w:r w:rsidRPr="00C30388">
        <w:rPr>
          <w:rFonts w:ascii="Times New Roman" w:eastAsia="Times New Roman" w:hAnsi="Times New Roman" w:cs="Times New Roman"/>
          <w:b/>
          <w:sz w:val="24"/>
          <w:szCs w:val="24"/>
          <w:lang w:eastAsia="pl-PL"/>
        </w:rPr>
        <w:t xml:space="preserve"> </w:t>
      </w:r>
      <w:r w:rsidRPr="00C30388">
        <w:rPr>
          <w:rFonts w:ascii="Times New Roman" w:eastAsia="Times New Roman" w:hAnsi="Times New Roman" w:cs="Times New Roman"/>
          <w:bCs/>
          <w:sz w:val="24"/>
          <w:szCs w:val="24"/>
          <w:lang w:eastAsia="pl-PL"/>
        </w:rPr>
        <w:t xml:space="preserve">lub </w:t>
      </w:r>
      <w:r w:rsidRPr="00C30388">
        <w:rPr>
          <w:rFonts w:ascii="Times New Roman" w:eastAsia="Times New Roman" w:hAnsi="Times New Roman" w:cs="Times New Roman"/>
          <w:sz w:val="24"/>
          <w:szCs w:val="24"/>
          <w:lang w:eastAsia="pl-PL"/>
        </w:rPr>
        <w:t>„</w:t>
      </w:r>
      <w:r w:rsidRPr="00C30388">
        <w:rPr>
          <w:rFonts w:ascii="Times New Roman" w:eastAsia="Times New Roman" w:hAnsi="Times New Roman" w:cs="Times New Roman"/>
          <w:b/>
          <w:sz w:val="24"/>
          <w:szCs w:val="24"/>
          <w:lang w:eastAsia="pl-PL"/>
        </w:rPr>
        <w:t>Wytyczne z grudnia 2023 r.</w:t>
      </w:r>
      <w:r w:rsidRPr="00C30388">
        <w:rPr>
          <w:rFonts w:ascii="Times New Roman" w:eastAsia="Times New Roman" w:hAnsi="Times New Roman" w:cs="Times New Roman"/>
          <w:bCs/>
          <w:sz w:val="24"/>
          <w:szCs w:val="24"/>
          <w:lang w:eastAsia="pl-PL"/>
        </w:rPr>
        <w:t>”</w:t>
      </w:r>
      <w:r w:rsidRPr="00C30388">
        <w:rPr>
          <w:rFonts w:ascii="Times New Roman" w:eastAsia="Times New Roman" w:hAnsi="Times New Roman" w:cs="Times New Roman"/>
          <w:sz w:val="24"/>
          <w:szCs w:val="24"/>
          <w:lang w:eastAsia="pl-PL"/>
        </w:rPr>
        <w:t xml:space="preserve"> a łącznie jako „</w:t>
      </w:r>
      <w:r w:rsidRPr="00C30388">
        <w:rPr>
          <w:rFonts w:ascii="Times New Roman" w:eastAsia="Times New Roman" w:hAnsi="Times New Roman" w:cs="Times New Roman"/>
          <w:b/>
          <w:sz w:val="24"/>
          <w:szCs w:val="24"/>
          <w:lang w:eastAsia="pl-PL"/>
        </w:rPr>
        <w:t>Wytyczne</w:t>
      </w:r>
      <w:r w:rsidRPr="00C30388">
        <w:rPr>
          <w:rFonts w:ascii="Times New Roman" w:eastAsia="Times New Roman" w:hAnsi="Times New Roman" w:cs="Times New Roman"/>
          <w:sz w:val="24"/>
          <w:szCs w:val="24"/>
          <w:lang w:eastAsia="pl-PL"/>
        </w:rPr>
        <w:t>” lub „</w:t>
      </w:r>
      <w:r w:rsidRPr="00C30388">
        <w:rPr>
          <w:rFonts w:ascii="Times New Roman" w:eastAsia="Times New Roman" w:hAnsi="Times New Roman" w:cs="Times New Roman"/>
          <w:b/>
          <w:sz w:val="24"/>
          <w:szCs w:val="24"/>
          <w:lang w:eastAsia="pl-PL"/>
        </w:rPr>
        <w:t>Wytyczne</w:t>
      </w:r>
      <w:r w:rsidRPr="00C30388">
        <w:rPr>
          <w:rFonts w:ascii="Times New Roman" w:eastAsia="Times New Roman" w:hAnsi="Times New Roman" w:cs="Times New Roman"/>
          <w:sz w:val="24"/>
          <w:szCs w:val="24"/>
          <w:lang w:eastAsia="pl-PL"/>
        </w:rPr>
        <w:t xml:space="preserve"> </w:t>
      </w:r>
      <w:r w:rsidRPr="00C30388">
        <w:rPr>
          <w:rFonts w:ascii="Times New Roman" w:eastAsia="Times New Roman" w:hAnsi="Times New Roman" w:cs="Times New Roman"/>
          <w:b/>
          <w:sz w:val="24"/>
          <w:szCs w:val="24"/>
          <w:lang w:eastAsia="pl-PL"/>
        </w:rPr>
        <w:t>Administracyjne</w:t>
      </w:r>
      <w:r w:rsidRPr="00C30388">
        <w:rPr>
          <w:rFonts w:ascii="Times New Roman" w:eastAsia="Times New Roman" w:hAnsi="Times New Roman" w:cs="Times New Roman"/>
          <w:sz w:val="24"/>
          <w:szCs w:val="24"/>
          <w:lang w:eastAsia="pl-PL"/>
        </w:rPr>
        <w:t xml:space="preserve">”). </w:t>
      </w:r>
    </w:p>
    <w:p w14:paraId="757749C9" w14:textId="0CEDD951"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Dorobek OECD, w tym Wytyczne Administracyjne wydane po przyjęciu Dyrektywy, uznaje się za zgodny z założeniami Dyrektywy, co potwierdzono w oświadczeniu Rady Europejskiej, wydanym w dniu 23 października 2023 r.</w:t>
      </w:r>
      <w:r w:rsidRPr="00C30388">
        <w:rPr>
          <w:rStyle w:val="Odwoanieprzypisudolnego"/>
          <w:rFonts w:ascii="Times New Roman" w:hAnsi="Times New Roman" w:cs="Times New Roman"/>
          <w:sz w:val="24"/>
          <w:szCs w:val="24"/>
        </w:rPr>
        <w:footnoteReference w:id="15"/>
      </w:r>
      <w:r w:rsidRPr="00C30388">
        <w:rPr>
          <w:rFonts w:ascii="Times New Roman" w:hAnsi="Times New Roman" w:cs="Times New Roman"/>
          <w:sz w:val="24"/>
          <w:szCs w:val="24"/>
        </w:rPr>
        <w:t xml:space="preserve"> Oświadczenie to uznaje zgodność z Dyrektywą w szczególności Wytycznych z lutego 2023 r. i Wytycznych z lipca 2023 r., które zostały opublikowane przed datą wydania oświadczenia.</w:t>
      </w:r>
    </w:p>
    <w:p w14:paraId="7C56A75E"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Ogólna charakterystyka Zasad GloBE</w:t>
      </w:r>
    </w:p>
    <w:p w14:paraId="235FAB06" w14:textId="77777777"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hAnsi="Times New Roman" w:cs="Times New Roman"/>
          <w:sz w:val="24"/>
          <w:szCs w:val="24"/>
        </w:rPr>
        <w:t xml:space="preserve">Jednym z głównych celów reformy międzynarodowego prawa podatkowego w ramach Filaru II było </w:t>
      </w:r>
      <w:r w:rsidRPr="00C30388">
        <w:rPr>
          <w:rFonts w:ascii="Times New Roman" w:eastAsia="Times New Roman" w:hAnsi="Times New Roman" w:cs="Times New Roman"/>
          <w:sz w:val="24"/>
          <w:szCs w:val="24"/>
          <w:lang w:eastAsia="pl-PL"/>
        </w:rPr>
        <w:t xml:space="preserve">ograniczenie konkurencji w zakresie stawek CIT przez ustanowienie globalnego minimalnego poziomu opodatkowania. Stoi za tym przekonanie, iż jest to jedyny możliwy i zarazem optymalny sposób na wyrównanie warunków działania przedsiębiorstw na całym świecie, którego skutkiem będzie umożliwienie poszczególnym państwom lepszej ochrony ich podstaw opodatkowania. Środkiem do osiągniecia tego celu jest wyeliminowanie znacznej części korzyści wynikających z przenoszenia zysków do państw, w których nie podlegają one żadnemu opodatkowaniu lub podlegają bardzo niskiemu opodatkowaniu. </w:t>
      </w:r>
    </w:p>
    <w:p w14:paraId="2830D1FC" w14:textId="3A987F62"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eastAsia="Times New Roman" w:hAnsi="Times New Roman" w:cs="Times New Roman"/>
          <w:sz w:val="24"/>
          <w:szCs w:val="24"/>
          <w:lang w:eastAsia="pl-PL"/>
        </w:rPr>
        <w:t xml:space="preserve">Mechanizm przewidziany w Modelowych </w:t>
      </w:r>
      <w:r w:rsidR="00595132" w:rsidRPr="00C30388">
        <w:rPr>
          <w:rFonts w:ascii="Times New Roman" w:eastAsia="Times New Roman" w:hAnsi="Times New Roman" w:cs="Times New Roman"/>
          <w:sz w:val="24"/>
          <w:szCs w:val="24"/>
          <w:lang w:eastAsia="pl-PL"/>
        </w:rPr>
        <w:t>z</w:t>
      </w:r>
      <w:r w:rsidRPr="00C30388">
        <w:rPr>
          <w:rFonts w:ascii="Times New Roman" w:eastAsia="Times New Roman" w:hAnsi="Times New Roman" w:cs="Times New Roman"/>
          <w:sz w:val="24"/>
          <w:szCs w:val="24"/>
          <w:lang w:eastAsia="pl-PL"/>
        </w:rPr>
        <w:t xml:space="preserve">asadach OECD opiera się na dwóch powiązanych ze sobą rozwiązaniach (zasadach), których celem jest pobranie dodatkowej kwoty podatku (opodatkowanie wyrównawcze), jeżeli efektywna stawka podatkowa (zdefiniowana w dalszej części) danej grupy międzynarodowej w danej jurysdykcji </w:t>
      </w:r>
      <w:r w:rsidRPr="00C30388">
        <w:rPr>
          <w:rStyle w:val="Odwoanieprzypisudolnego"/>
          <w:rFonts w:ascii="Times New Roman" w:eastAsia="Times New Roman" w:hAnsi="Times New Roman" w:cs="Times New Roman"/>
          <w:sz w:val="24"/>
          <w:szCs w:val="24"/>
          <w:lang w:eastAsia="pl-PL"/>
        </w:rPr>
        <w:footnoteReference w:id="16"/>
      </w:r>
      <w:r w:rsidRPr="00C30388">
        <w:rPr>
          <w:rFonts w:ascii="Times New Roman" w:eastAsia="Times New Roman" w:hAnsi="Times New Roman" w:cs="Times New Roman"/>
          <w:sz w:val="24"/>
          <w:szCs w:val="24"/>
          <w:lang w:eastAsia="pl-PL"/>
        </w:rPr>
        <w:t xml:space="preserve"> jest niższa niż 15%. W takich </w:t>
      </w:r>
      <w:r w:rsidRPr="00C30388">
        <w:rPr>
          <w:rFonts w:ascii="Times New Roman" w:eastAsia="Times New Roman" w:hAnsi="Times New Roman" w:cs="Times New Roman"/>
          <w:sz w:val="24"/>
          <w:szCs w:val="24"/>
          <w:lang w:eastAsia="pl-PL"/>
        </w:rPr>
        <w:lastRenderedPageBreak/>
        <w:t xml:space="preserve">przypadkach </w:t>
      </w:r>
      <w:r w:rsidR="00305667" w:rsidRPr="00C30388">
        <w:rPr>
          <w:rFonts w:ascii="Times New Roman" w:eastAsia="Times New Roman" w:hAnsi="Times New Roman" w:cs="Times New Roman"/>
          <w:sz w:val="24"/>
          <w:szCs w:val="24"/>
          <w:lang w:eastAsia="pl-PL"/>
        </w:rPr>
        <w:t>taką jurysdykcję</w:t>
      </w:r>
      <w:r w:rsidRPr="00C30388">
        <w:rPr>
          <w:rFonts w:ascii="Times New Roman" w:eastAsia="Times New Roman" w:hAnsi="Times New Roman" w:cs="Times New Roman"/>
          <w:sz w:val="24"/>
          <w:szCs w:val="24"/>
          <w:lang w:eastAsia="pl-PL"/>
        </w:rPr>
        <w:t xml:space="preserve"> uznaje się za </w:t>
      </w:r>
      <w:r w:rsidR="00305667" w:rsidRPr="00C30388">
        <w:rPr>
          <w:rFonts w:ascii="Times New Roman" w:eastAsia="Times New Roman" w:hAnsi="Times New Roman" w:cs="Times New Roman"/>
          <w:sz w:val="24"/>
          <w:szCs w:val="24"/>
          <w:lang w:eastAsia="pl-PL"/>
        </w:rPr>
        <w:t xml:space="preserve">jurysdykcję </w:t>
      </w:r>
      <w:r w:rsidRPr="00C30388">
        <w:rPr>
          <w:rFonts w:ascii="Times New Roman" w:eastAsia="Times New Roman" w:hAnsi="Times New Roman" w:cs="Times New Roman"/>
          <w:sz w:val="24"/>
          <w:szCs w:val="24"/>
          <w:lang w:eastAsia="pl-PL"/>
        </w:rPr>
        <w:t>o niskim poziomie opodatkowania</w:t>
      </w:r>
      <w:r w:rsidR="00305667" w:rsidRPr="00C30388">
        <w:rPr>
          <w:rFonts w:ascii="Times New Roman" w:eastAsia="Times New Roman" w:hAnsi="Times New Roman" w:cs="Times New Roman"/>
          <w:sz w:val="24"/>
          <w:szCs w:val="24"/>
          <w:lang w:eastAsia="pl-PL"/>
        </w:rPr>
        <w:t>,</w:t>
      </w:r>
      <w:r w:rsidRPr="00C30388">
        <w:rPr>
          <w:rFonts w:ascii="Times New Roman" w:eastAsia="Times New Roman" w:hAnsi="Times New Roman" w:cs="Times New Roman"/>
          <w:sz w:val="24"/>
          <w:szCs w:val="24"/>
          <w:lang w:eastAsia="pl-PL"/>
        </w:rPr>
        <w:t xml:space="preserve"> a jednostki zlokalizowane w </w:t>
      </w:r>
      <w:r w:rsidR="00305667" w:rsidRPr="00C30388">
        <w:rPr>
          <w:rFonts w:ascii="Times New Roman" w:eastAsia="Times New Roman" w:hAnsi="Times New Roman" w:cs="Times New Roman"/>
          <w:sz w:val="24"/>
          <w:szCs w:val="24"/>
          <w:lang w:eastAsia="pl-PL"/>
        </w:rPr>
        <w:t>takiej jurysdykcji</w:t>
      </w:r>
      <w:r w:rsidRPr="00C30388">
        <w:rPr>
          <w:rFonts w:ascii="Times New Roman" w:eastAsia="Times New Roman" w:hAnsi="Times New Roman" w:cs="Times New Roman"/>
          <w:sz w:val="24"/>
          <w:szCs w:val="24"/>
          <w:lang w:eastAsia="pl-PL"/>
        </w:rPr>
        <w:t xml:space="preserve"> za nisko opodatkowane jednostki składowe </w:t>
      </w:r>
      <w:r w:rsidRPr="00C30388">
        <w:rPr>
          <w:rFonts w:ascii="Times New Roman" w:hAnsi="Times New Roman" w:cs="Times New Roman"/>
          <w:sz w:val="24"/>
          <w:szCs w:val="24"/>
        </w:rPr>
        <w:t xml:space="preserve">(ang. </w:t>
      </w:r>
      <w:r w:rsidRPr="00C30388">
        <w:rPr>
          <w:rFonts w:ascii="Times New Roman" w:hAnsi="Times New Roman" w:cs="Times New Roman"/>
          <w:i/>
          <w:sz w:val="24"/>
          <w:szCs w:val="24"/>
        </w:rPr>
        <w:t>low-taxed constituent entity</w:t>
      </w:r>
      <w:r w:rsidRPr="00C30388">
        <w:rPr>
          <w:rFonts w:ascii="Times New Roman" w:hAnsi="Times New Roman" w:cs="Times New Roman"/>
          <w:i/>
          <w:iCs/>
          <w:sz w:val="24"/>
          <w:szCs w:val="24"/>
        </w:rPr>
        <w:t>; LTCE</w:t>
      </w:r>
      <w:r w:rsidRPr="00C30388">
        <w:rPr>
          <w:rFonts w:ascii="Times New Roman" w:hAnsi="Times New Roman" w:cs="Times New Roman"/>
          <w:sz w:val="24"/>
          <w:szCs w:val="24"/>
        </w:rPr>
        <w:t>)</w:t>
      </w:r>
      <w:r w:rsidRPr="00C30388">
        <w:rPr>
          <w:rFonts w:ascii="Times New Roman" w:eastAsia="Times New Roman" w:hAnsi="Times New Roman" w:cs="Times New Roman"/>
          <w:sz w:val="24"/>
          <w:szCs w:val="24"/>
          <w:lang w:eastAsia="pl-PL"/>
        </w:rPr>
        <w:t xml:space="preserve">. </w:t>
      </w:r>
    </w:p>
    <w:p w14:paraId="73F46AFD" w14:textId="77777777"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eastAsia="Times New Roman" w:hAnsi="Times New Roman" w:cs="Times New Roman"/>
          <w:sz w:val="24"/>
          <w:szCs w:val="24"/>
          <w:lang w:eastAsia="pl-PL"/>
        </w:rPr>
        <w:t>Te dwie powiązane ze sobą zasady to:</w:t>
      </w:r>
    </w:p>
    <w:p w14:paraId="02B95FD4" w14:textId="77777777" w:rsidR="002A4C92" w:rsidRPr="00C30388" w:rsidRDefault="002A4C92" w:rsidP="002A4C92">
      <w:pPr>
        <w:pStyle w:val="Akapitzlist"/>
        <w:numPr>
          <w:ilvl w:val="0"/>
          <w:numId w:val="2"/>
        </w:numPr>
        <w:spacing w:after="120"/>
        <w:jc w:val="both"/>
        <w:rPr>
          <w:rFonts w:ascii="Times New Roman" w:hAnsi="Times New Roman" w:cs="Times New Roman"/>
          <w:sz w:val="24"/>
          <w:szCs w:val="24"/>
        </w:rPr>
      </w:pPr>
      <w:r w:rsidRPr="00C30388">
        <w:rPr>
          <w:rFonts w:ascii="Times New Roman" w:hAnsi="Times New Roman" w:cs="Times New Roman"/>
          <w:sz w:val="24"/>
          <w:szCs w:val="24"/>
        </w:rPr>
        <w:t>zasada włączenia dochodu do opodatkowania (</w:t>
      </w:r>
      <w:r w:rsidRPr="00C30388">
        <w:rPr>
          <w:rFonts w:ascii="Times New Roman" w:hAnsi="Times New Roman" w:cs="Times New Roman"/>
          <w:i/>
          <w:iCs/>
          <w:sz w:val="24"/>
          <w:szCs w:val="24"/>
        </w:rPr>
        <w:t>ang. income inclusion rule</w:t>
      </w:r>
      <w:r w:rsidRPr="00C30388">
        <w:rPr>
          <w:rFonts w:ascii="Times New Roman" w:hAnsi="Times New Roman" w:cs="Times New Roman"/>
          <w:sz w:val="24"/>
          <w:szCs w:val="24"/>
        </w:rPr>
        <w:t xml:space="preserve">, dalej jako </w:t>
      </w:r>
      <w:r w:rsidRPr="00C30388">
        <w:rPr>
          <w:rFonts w:ascii="Times New Roman" w:hAnsi="Times New Roman" w:cs="Times New Roman"/>
          <w:sz w:val="24"/>
          <w:szCs w:val="24"/>
        </w:rPr>
        <w:br/>
        <w:t>„</w:t>
      </w:r>
      <w:r w:rsidRPr="00C30388">
        <w:rPr>
          <w:rFonts w:ascii="Times New Roman" w:hAnsi="Times New Roman" w:cs="Times New Roman"/>
          <w:b/>
          <w:bCs/>
          <w:sz w:val="24"/>
          <w:szCs w:val="24"/>
        </w:rPr>
        <w:t>Zasada</w:t>
      </w:r>
      <w:r w:rsidRPr="00C30388">
        <w:rPr>
          <w:rFonts w:ascii="Times New Roman" w:hAnsi="Times New Roman" w:cs="Times New Roman"/>
          <w:sz w:val="24"/>
          <w:szCs w:val="24"/>
        </w:rPr>
        <w:t xml:space="preserve"> </w:t>
      </w:r>
      <w:r w:rsidRPr="00C30388">
        <w:rPr>
          <w:rFonts w:ascii="Times New Roman" w:hAnsi="Times New Roman" w:cs="Times New Roman"/>
          <w:b/>
          <w:bCs/>
          <w:sz w:val="24"/>
          <w:szCs w:val="24"/>
        </w:rPr>
        <w:t>IIR”</w:t>
      </w:r>
      <w:r w:rsidRPr="00C30388">
        <w:rPr>
          <w:rFonts w:ascii="Times New Roman" w:hAnsi="Times New Roman" w:cs="Times New Roman"/>
          <w:sz w:val="24"/>
          <w:szCs w:val="24"/>
        </w:rPr>
        <w:t>) oraz</w:t>
      </w:r>
    </w:p>
    <w:p w14:paraId="1C9DFB7E" w14:textId="77777777" w:rsidR="002A4C92" w:rsidRPr="00C30388" w:rsidRDefault="002A4C92" w:rsidP="002A4C92">
      <w:pPr>
        <w:pStyle w:val="Akapitzlist"/>
        <w:numPr>
          <w:ilvl w:val="0"/>
          <w:numId w:val="2"/>
        </w:numPr>
        <w:spacing w:after="120"/>
        <w:ind w:left="714" w:hanging="357"/>
        <w:jc w:val="both"/>
        <w:rPr>
          <w:rFonts w:ascii="Times New Roman" w:hAnsi="Times New Roman" w:cs="Times New Roman"/>
          <w:sz w:val="24"/>
          <w:szCs w:val="24"/>
        </w:rPr>
      </w:pPr>
      <w:r w:rsidRPr="00C30388">
        <w:rPr>
          <w:rFonts w:ascii="Times New Roman" w:hAnsi="Times New Roman" w:cs="Times New Roman"/>
          <w:sz w:val="24"/>
          <w:szCs w:val="24"/>
        </w:rPr>
        <w:t>zasada niedostatecznie opodatkowanych zysków (</w:t>
      </w:r>
      <w:r w:rsidRPr="00C30388">
        <w:rPr>
          <w:rFonts w:ascii="Times New Roman" w:hAnsi="Times New Roman" w:cs="Times New Roman"/>
          <w:i/>
          <w:iCs/>
          <w:sz w:val="24"/>
          <w:szCs w:val="24"/>
        </w:rPr>
        <w:t>ang. under-taxed profit rule</w:t>
      </w:r>
      <w:r w:rsidRPr="00C30388">
        <w:rPr>
          <w:rFonts w:ascii="Times New Roman" w:hAnsi="Times New Roman" w:cs="Times New Roman"/>
          <w:sz w:val="24"/>
          <w:szCs w:val="24"/>
        </w:rPr>
        <w:t>, dalej jako „</w:t>
      </w:r>
      <w:r w:rsidRPr="00C30388">
        <w:rPr>
          <w:rFonts w:ascii="Times New Roman" w:hAnsi="Times New Roman" w:cs="Times New Roman"/>
          <w:b/>
          <w:bCs/>
          <w:sz w:val="24"/>
          <w:szCs w:val="24"/>
        </w:rPr>
        <w:t>Zasada</w:t>
      </w:r>
      <w:r w:rsidRPr="00C30388">
        <w:rPr>
          <w:rFonts w:ascii="Times New Roman" w:hAnsi="Times New Roman" w:cs="Times New Roman"/>
          <w:sz w:val="24"/>
          <w:szCs w:val="24"/>
        </w:rPr>
        <w:t xml:space="preserve"> </w:t>
      </w:r>
      <w:r w:rsidRPr="00C30388">
        <w:rPr>
          <w:rFonts w:ascii="Times New Roman" w:hAnsi="Times New Roman" w:cs="Times New Roman"/>
          <w:b/>
          <w:bCs/>
          <w:sz w:val="24"/>
          <w:szCs w:val="24"/>
        </w:rPr>
        <w:t>UTPR</w:t>
      </w:r>
      <w:r w:rsidRPr="00C30388">
        <w:rPr>
          <w:rFonts w:ascii="Times New Roman" w:hAnsi="Times New Roman" w:cs="Times New Roman"/>
          <w:sz w:val="24"/>
          <w:szCs w:val="24"/>
        </w:rPr>
        <w:t>”).</w:t>
      </w:r>
    </w:p>
    <w:p w14:paraId="73C5E272"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Zasadą podstawową jest zasada </w:t>
      </w:r>
      <w:r w:rsidRPr="00C30388">
        <w:rPr>
          <w:rFonts w:ascii="Times New Roman" w:eastAsia="Times New Roman" w:hAnsi="Times New Roman" w:cs="Times New Roman"/>
          <w:sz w:val="24"/>
          <w:szCs w:val="24"/>
          <w:lang w:eastAsia="pl-PL"/>
        </w:rPr>
        <w:t>włączenia dochodu do opodatkowania (</w:t>
      </w:r>
      <w:r w:rsidRPr="00C30388">
        <w:rPr>
          <w:rFonts w:ascii="Times New Roman" w:hAnsi="Times New Roman" w:cs="Times New Roman"/>
          <w:sz w:val="24"/>
          <w:szCs w:val="24"/>
        </w:rPr>
        <w:t>Zasada IIR) i to ona powinna być stosowana w pierwszej kolejności. Jej sposób działania opiera się na podejściu „z góry w dół” (</w:t>
      </w:r>
      <w:r w:rsidRPr="00C30388">
        <w:rPr>
          <w:rFonts w:ascii="Times New Roman" w:hAnsi="Times New Roman" w:cs="Times New Roman"/>
          <w:i/>
          <w:iCs/>
          <w:sz w:val="24"/>
          <w:szCs w:val="24"/>
        </w:rPr>
        <w:t>ang.</w:t>
      </w:r>
      <w:r w:rsidRPr="00C30388">
        <w:rPr>
          <w:rFonts w:ascii="Times New Roman" w:hAnsi="Times New Roman" w:cs="Times New Roman"/>
          <w:sz w:val="24"/>
          <w:szCs w:val="24"/>
        </w:rPr>
        <w:t xml:space="preserve"> „</w:t>
      </w:r>
      <w:r w:rsidRPr="00C30388">
        <w:rPr>
          <w:rFonts w:ascii="Times New Roman" w:hAnsi="Times New Roman" w:cs="Times New Roman"/>
          <w:i/>
          <w:sz w:val="24"/>
          <w:szCs w:val="24"/>
        </w:rPr>
        <w:t>top-down approach</w:t>
      </w:r>
      <w:r w:rsidRPr="00C30388">
        <w:rPr>
          <w:rFonts w:ascii="Times New Roman" w:hAnsi="Times New Roman" w:cs="Times New Roman"/>
          <w:sz w:val="24"/>
          <w:szCs w:val="24"/>
        </w:rPr>
        <w:t xml:space="preserve">”), co oznacza, że pierwszeństwo w jej stosowaniu posiada jednostka znajdująca się najwyżej w łańcuchu właścicielskim danej grupy, zwana „jednostką dominującą najwyższego szczebla” (ang. </w:t>
      </w:r>
      <w:r w:rsidRPr="00C30388">
        <w:rPr>
          <w:rFonts w:ascii="Times New Roman" w:hAnsi="Times New Roman" w:cs="Times New Roman"/>
          <w:i/>
          <w:iCs/>
          <w:sz w:val="24"/>
          <w:szCs w:val="24"/>
        </w:rPr>
        <w:t xml:space="preserve">ultimate parent entity, </w:t>
      </w:r>
      <w:r w:rsidRPr="00C30388">
        <w:rPr>
          <w:rFonts w:ascii="Times New Roman" w:hAnsi="Times New Roman" w:cs="Times New Roman"/>
          <w:sz w:val="24"/>
          <w:szCs w:val="24"/>
        </w:rPr>
        <w:t>dalej również jako „</w:t>
      </w:r>
      <w:r w:rsidRPr="00C30388">
        <w:rPr>
          <w:rFonts w:ascii="Times New Roman" w:hAnsi="Times New Roman" w:cs="Times New Roman"/>
          <w:b/>
          <w:bCs/>
          <w:sz w:val="24"/>
          <w:szCs w:val="24"/>
        </w:rPr>
        <w:t>UPE</w:t>
      </w:r>
      <w:r w:rsidRPr="00C30388">
        <w:rPr>
          <w:rFonts w:ascii="Times New Roman" w:hAnsi="Times New Roman" w:cs="Times New Roman"/>
          <w:sz w:val="24"/>
          <w:szCs w:val="24"/>
        </w:rPr>
        <w:t xml:space="preserve">”). Co do zasady, jednostki znajdujące się niżej w strukturze danej grupy nabywają prawo do stosowania Zasady IIR dopiero wówczas, gdy prawo to nie przysługuje jednostkom, będącym wyżej niż one w łańcuchu właścicielskim (lub nie może być wykonywane przez te jednostki). </w:t>
      </w:r>
    </w:p>
    <w:p w14:paraId="098D1FCF"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W przypadku, gdy obowiązek stosowania Zasady IIR dotyczy więcej niż jednej jednostki dominującej, stosowany jest mechanizm pozwalający na uniknięcie podwójnego opodatkowania. Następuje to poprzez odliczenie - przez jednostkę znajdującą się na wyższym poziomie struktury - kwoty podatku, do którego poboru zobligowane są jednostki znajdujące się na niższym poziomie w strukturze grupy (</w:t>
      </w:r>
      <w:r w:rsidRPr="00C30388">
        <w:rPr>
          <w:rFonts w:ascii="Times New Roman" w:hAnsi="Times New Roman" w:cs="Times New Roman"/>
          <w:i/>
          <w:iCs/>
          <w:sz w:val="24"/>
          <w:szCs w:val="24"/>
        </w:rPr>
        <w:t>ang.</w:t>
      </w:r>
      <w:r w:rsidRPr="00C30388">
        <w:rPr>
          <w:rFonts w:ascii="Times New Roman" w:hAnsi="Times New Roman" w:cs="Times New Roman"/>
          <w:sz w:val="24"/>
          <w:szCs w:val="24"/>
        </w:rPr>
        <w:t xml:space="preserve"> </w:t>
      </w:r>
      <w:r w:rsidRPr="00C30388">
        <w:rPr>
          <w:rFonts w:ascii="Times New Roman" w:hAnsi="Times New Roman" w:cs="Times New Roman"/>
          <w:i/>
          <w:iCs/>
          <w:sz w:val="24"/>
          <w:szCs w:val="24"/>
        </w:rPr>
        <w:t>IIR offset mechanism</w:t>
      </w:r>
      <w:r w:rsidRPr="00C30388">
        <w:rPr>
          <w:rFonts w:ascii="Times New Roman" w:hAnsi="Times New Roman" w:cs="Times New Roman"/>
          <w:sz w:val="24"/>
          <w:szCs w:val="24"/>
        </w:rPr>
        <w:t xml:space="preserve">). </w:t>
      </w:r>
    </w:p>
    <w:p w14:paraId="060A0D5D" w14:textId="5047F1BC"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Zasada UTPR jest z kolei zasadą uzupełniającą wobec Zasady IIR, służącą jako rodzaj zabezpieczenia w sytuacji, gdy stosowanie Zasady IIR nie doprowadzi w pełni do odpowiedniego opodatkowania wyrównawczego po stronie jednostek dominujących. W takim przypadku ciężar opodatkowania ponoszą również jednostki znajdujące się na dole struktury. Zasada UTPR może być implementowana przez poszczególne </w:t>
      </w:r>
      <w:r w:rsidR="00305667" w:rsidRPr="00C30388">
        <w:rPr>
          <w:rFonts w:ascii="Times New Roman" w:hAnsi="Times New Roman" w:cs="Times New Roman"/>
          <w:sz w:val="24"/>
          <w:szCs w:val="24"/>
        </w:rPr>
        <w:t xml:space="preserve">jurysdykcje </w:t>
      </w:r>
      <w:r w:rsidRPr="00C30388">
        <w:rPr>
          <w:rFonts w:ascii="Times New Roman" w:hAnsi="Times New Roman" w:cs="Times New Roman"/>
          <w:sz w:val="24"/>
          <w:szCs w:val="24"/>
        </w:rPr>
        <w:t>jako wyłączenie z kosztów uzyskania przychodów lub też jako dodatkowy wydatek („</w:t>
      </w:r>
      <w:r w:rsidRPr="00C30388">
        <w:rPr>
          <w:rFonts w:ascii="Times New Roman" w:hAnsi="Times New Roman" w:cs="Times New Roman"/>
          <w:i/>
          <w:sz w:val="24"/>
          <w:szCs w:val="24"/>
        </w:rPr>
        <w:t>cash tax expense</w:t>
      </w:r>
      <w:r w:rsidRPr="00C30388">
        <w:rPr>
          <w:rFonts w:ascii="Times New Roman" w:hAnsi="Times New Roman" w:cs="Times New Roman"/>
          <w:sz w:val="24"/>
          <w:szCs w:val="24"/>
        </w:rPr>
        <w:t xml:space="preserve">”), który w praktyce wiąże się z nałożeniem odrębnego podatku.  </w:t>
      </w:r>
    </w:p>
    <w:p w14:paraId="4AAF4F00" w14:textId="075B9A3D"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 xml:space="preserve">Grupy międzynarodowe i grupy krajowe (zakres Dyrektywy względem Modelowych </w:t>
      </w:r>
      <w:r w:rsidR="00595132" w:rsidRPr="00C30388">
        <w:rPr>
          <w:rFonts w:ascii="Times New Roman" w:hAnsi="Times New Roman" w:cs="Times New Roman"/>
          <w:i/>
          <w:sz w:val="24"/>
          <w:szCs w:val="24"/>
        </w:rPr>
        <w:t>z</w:t>
      </w:r>
      <w:r w:rsidRPr="00C30388">
        <w:rPr>
          <w:rFonts w:ascii="Times New Roman" w:hAnsi="Times New Roman" w:cs="Times New Roman"/>
          <w:i/>
          <w:sz w:val="24"/>
          <w:szCs w:val="24"/>
        </w:rPr>
        <w:t>asad)</w:t>
      </w:r>
    </w:p>
    <w:p w14:paraId="42767EE7" w14:textId="6038BC26"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hAnsi="Times New Roman" w:cs="Times New Roman"/>
          <w:sz w:val="24"/>
          <w:szCs w:val="24"/>
        </w:rPr>
        <w:t xml:space="preserve">W przeciwieństwie do Modelowych </w:t>
      </w:r>
      <w:r w:rsidR="00595132" w:rsidRPr="00C30388">
        <w:rPr>
          <w:rFonts w:ascii="Times New Roman" w:hAnsi="Times New Roman" w:cs="Times New Roman"/>
          <w:sz w:val="24"/>
          <w:szCs w:val="24"/>
        </w:rPr>
        <w:t>z</w:t>
      </w:r>
      <w:r w:rsidRPr="00C30388">
        <w:rPr>
          <w:rFonts w:ascii="Times New Roman" w:hAnsi="Times New Roman" w:cs="Times New Roman"/>
          <w:sz w:val="24"/>
          <w:szCs w:val="24"/>
        </w:rPr>
        <w:t xml:space="preserve">asad OECD, Dyrektywa GloBE obejmuje nie tylko </w:t>
      </w:r>
      <w:r w:rsidRPr="00C30388">
        <w:rPr>
          <w:rFonts w:ascii="Times New Roman" w:hAnsi="Times New Roman" w:cs="Times New Roman"/>
          <w:b/>
          <w:bCs/>
          <w:sz w:val="24"/>
          <w:szCs w:val="24"/>
        </w:rPr>
        <w:t>grupy międzynarodowe</w:t>
      </w:r>
      <w:r w:rsidRPr="00C30388">
        <w:rPr>
          <w:rFonts w:ascii="Times New Roman" w:hAnsi="Times New Roman" w:cs="Times New Roman"/>
          <w:sz w:val="24"/>
          <w:szCs w:val="24"/>
        </w:rPr>
        <w:t xml:space="preserve">, </w:t>
      </w:r>
      <w:r w:rsidRPr="00C30388">
        <w:rPr>
          <w:rFonts w:ascii="Times New Roman" w:eastAsia="Times New Roman" w:hAnsi="Times New Roman" w:cs="Times New Roman"/>
          <w:sz w:val="24"/>
          <w:szCs w:val="24"/>
          <w:lang w:eastAsia="pl-PL"/>
        </w:rPr>
        <w:t>ale także grupy, których wszystkie jednostki składowe są zlokalizowane w tym samym państwie członkowskim (określane jako „</w:t>
      </w:r>
      <w:r w:rsidRPr="00C30388">
        <w:rPr>
          <w:rFonts w:ascii="Times New Roman" w:eastAsia="Times New Roman" w:hAnsi="Times New Roman" w:cs="Times New Roman"/>
          <w:b/>
          <w:sz w:val="24"/>
          <w:szCs w:val="24"/>
          <w:lang w:eastAsia="pl-PL"/>
        </w:rPr>
        <w:t>grupy krajowe</w:t>
      </w:r>
      <w:r w:rsidRPr="00C30388">
        <w:rPr>
          <w:rFonts w:ascii="Times New Roman" w:eastAsia="Times New Roman" w:hAnsi="Times New Roman" w:cs="Times New Roman"/>
          <w:sz w:val="24"/>
          <w:szCs w:val="24"/>
          <w:lang w:eastAsia="pl-PL"/>
        </w:rPr>
        <w:t xml:space="preserve">”). </w:t>
      </w:r>
    </w:p>
    <w:p w14:paraId="56EF3DD5" w14:textId="7B96DB29"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eastAsia="Times New Roman" w:hAnsi="Times New Roman" w:cs="Times New Roman"/>
          <w:sz w:val="24"/>
          <w:szCs w:val="24"/>
          <w:lang w:eastAsia="pl-PL"/>
        </w:rPr>
        <w:t xml:space="preserve">Ponadto Dyrektywa, inaczej niż Modelowe </w:t>
      </w:r>
      <w:r w:rsidR="00ED3A9E" w:rsidRPr="00C30388">
        <w:rPr>
          <w:rFonts w:ascii="Times New Roman" w:eastAsia="Times New Roman" w:hAnsi="Times New Roman" w:cs="Times New Roman"/>
          <w:sz w:val="24"/>
          <w:szCs w:val="24"/>
          <w:lang w:eastAsia="pl-PL"/>
        </w:rPr>
        <w:t>z</w:t>
      </w:r>
      <w:r w:rsidRPr="00C30388">
        <w:rPr>
          <w:rFonts w:ascii="Times New Roman" w:eastAsia="Times New Roman" w:hAnsi="Times New Roman" w:cs="Times New Roman"/>
          <w:sz w:val="24"/>
          <w:szCs w:val="24"/>
          <w:lang w:eastAsia="pl-PL"/>
        </w:rPr>
        <w:t>asady, przewiduje stosowanie Zasady IIR nie tylko do nisko opodatkowanych jednostek składowych z innych państw</w:t>
      </w:r>
      <w:r w:rsidR="00F258FE" w:rsidRPr="00C30388">
        <w:rPr>
          <w:rFonts w:ascii="Times New Roman" w:eastAsia="Times New Roman" w:hAnsi="Times New Roman" w:cs="Times New Roman"/>
          <w:sz w:val="24"/>
          <w:szCs w:val="24"/>
          <w:lang w:eastAsia="pl-PL"/>
        </w:rPr>
        <w:t xml:space="preserve"> </w:t>
      </w:r>
      <w:r w:rsidR="00305667" w:rsidRPr="00C30388">
        <w:rPr>
          <w:rFonts w:ascii="Times New Roman" w:eastAsia="Times New Roman" w:hAnsi="Times New Roman" w:cs="Times New Roman"/>
          <w:sz w:val="24"/>
          <w:szCs w:val="24"/>
          <w:lang w:eastAsia="pl-PL"/>
        </w:rPr>
        <w:t>/</w:t>
      </w:r>
      <w:r w:rsidR="00F258FE" w:rsidRPr="00C30388">
        <w:rPr>
          <w:rFonts w:ascii="Times New Roman" w:eastAsia="Times New Roman" w:hAnsi="Times New Roman" w:cs="Times New Roman"/>
          <w:sz w:val="24"/>
          <w:szCs w:val="24"/>
          <w:lang w:eastAsia="pl-PL"/>
        </w:rPr>
        <w:t xml:space="preserve"> </w:t>
      </w:r>
      <w:r w:rsidR="00305667" w:rsidRPr="00C30388">
        <w:rPr>
          <w:rFonts w:ascii="Times New Roman" w:eastAsia="Times New Roman" w:hAnsi="Times New Roman" w:cs="Times New Roman"/>
          <w:sz w:val="24"/>
          <w:szCs w:val="24"/>
          <w:lang w:eastAsia="pl-PL"/>
        </w:rPr>
        <w:t>jurysdykcji</w:t>
      </w:r>
      <w:r w:rsidRPr="00C30388">
        <w:rPr>
          <w:rFonts w:ascii="Times New Roman" w:eastAsia="Times New Roman" w:hAnsi="Times New Roman" w:cs="Times New Roman"/>
          <w:sz w:val="24"/>
          <w:szCs w:val="24"/>
          <w:lang w:eastAsia="pl-PL"/>
        </w:rPr>
        <w:t xml:space="preserve">, ale również do nisko opodatkowanych jednostek składowych zlokalizowanych w tym samym państwie członkowskim UE,  w którym jest zlokalizowana spółka dominująca najwyższego szczebla (a także opodatkowanie samej jednostki dominującej najwyższego szczebla). </w:t>
      </w:r>
    </w:p>
    <w:p w14:paraId="3323ED05" w14:textId="6562C088" w:rsidR="002A4C92" w:rsidRPr="00C30388" w:rsidRDefault="002A4C92" w:rsidP="002A4C92">
      <w:pPr>
        <w:spacing w:after="120"/>
        <w:jc w:val="both"/>
        <w:rPr>
          <w:rFonts w:ascii="Times New Roman" w:hAnsi="Times New Roman" w:cs="Times New Roman"/>
          <w:sz w:val="24"/>
          <w:szCs w:val="24"/>
        </w:rPr>
      </w:pPr>
      <w:r w:rsidRPr="00C30388">
        <w:rPr>
          <w:rFonts w:ascii="Times New Roman" w:eastAsia="Times New Roman" w:hAnsi="Times New Roman" w:cs="Times New Roman"/>
          <w:sz w:val="24"/>
          <w:szCs w:val="24"/>
          <w:lang w:eastAsia="pl-PL"/>
        </w:rPr>
        <w:t xml:space="preserve">Nie można jednak w tym zakresie mówić o sprzeczności Dyrektywy z </w:t>
      </w:r>
      <w:r w:rsidR="0007799D" w:rsidRPr="00C30388">
        <w:rPr>
          <w:rFonts w:ascii="Times New Roman" w:eastAsia="Times New Roman" w:hAnsi="Times New Roman" w:cs="Times New Roman"/>
          <w:sz w:val="24"/>
          <w:szCs w:val="24"/>
          <w:lang w:eastAsia="pl-PL"/>
        </w:rPr>
        <w:t>Modelowymi zasadami OECD</w:t>
      </w:r>
      <w:r w:rsidRPr="00C30388">
        <w:rPr>
          <w:rFonts w:ascii="Times New Roman" w:eastAsia="Times New Roman" w:hAnsi="Times New Roman" w:cs="Times New Roman"/>
          <w:sz w:val="24"/>
          <w:szCs w:val="24"/>
          <w:lang w:eastAsia="pl-PL"/>
        </w:rPr>
        <w:t xml:space="preserve"> z uwagi na to, że zasady te dopuszczają proponowane rozwiązania</w:t>
      </w:r>
      <w:r w:rsidRPr="00C30388">
        <w:rPr>
          <w:rStyle w:val="Odwoanieprzypisudolnego"/>
          <w:rFonts w:ascii="Times New Roman" w:eastAsia="Times New Roman" w:hAnsi="Times New Roman" w:cs="Times New Roman"/>
          <w:sz w:val="24"/>
          <w:szCs w:val="24"/>
          <w:lang w:eastAsia="pl-PL"/>
        </w:rPr>
        <w:footnoteReference w:id="17"/>
      </w:r>
      <w:r w:rsidRPr="00C30388">
        <w:rPr>
          <w:rFonts w:ascii="Times New Roman" w:eastAsia="Times New Roman" w:hAnsi="Times New Roman" w:cs="Times New Roman"/>
          <w:sz w:val="24"/>
          <w:szCs w:val="24"/>
          <w:lang w:eastAsia="pl-PL"/>
        </w:rPr>
        <w:t xml:space="preserve">. </w:t>
      </w:r>
      <w:r w:rsidRPr="00C30388">
        <w:rPr>
          <w:rFonts w:ascii="Times New Roman" w:hAnsi="Times New Roman" w:cs="Times New Roman"/>
          <w:sz w:val="24"/>
          <w:szCs w:val="24"/>
        </w:rPr>
        <w:t xml:space="preserve">Sposób działania </w:t>
      </w:r>
      <w:r w:rsidRPr="00C30388">
        <w:rPr>
          <w:rFonts w:ascii="Times New Roman" w:hAnsi="Times New Roman" w:cs="Times New Roman"/>
          <w:sz w:val="24"/>
          <w:szCs w:val="24"/>
        </w:rPr>
        <w:lastRenderedPageBreak/>
        <w:t xml:space="preserve">„wspólnego podejścia” do Zasad GloBE ma bowiem na celu wyłącznie zapobiegnięcie sytuacji, gdy rozwiązania przyjęte jednostronnie przez </w:t>
      </w:r>
      <w:r w:rsidR="00305667" w:rsidRPr="00C30388">
        <w:rPr>
          <w:rFonts w:ascii="Times New Roman" w:hAnsi="Times New Roman" w:cs="Times New Roman"/>
          <w:sz w:val="24"/>
          <w:szCs w:val="24"/>
        </w:rPr>
        <w:t>daną jurysdykcję</w:t>
      </w:r>
      <w:r w:rsidRPr="00C30388">
        <w:rPr>
          <w:rFonts w:ascii="Times New Roman" w:hAnsi="Times New Roman" w:cs="Times New Roman"/>
          <w:sz w:val="24"/>
          <w:szCs w:val="24"/>
        </w:rPr>
        <w:t xml:space="preserve"> prowadziłyby do konfliktu z Zasadami GloBE. </w:t>
      </w:r>
      <w:r w:rsidR="00305667" w:rsidRPr="00C30388">
        <w:rPr>
          <w:rFonts w:ascii="Times New Roman" w:hAnsi="Times New Roman" w:cs="Times New Roman"/>
          <w:sz w:val="24"/>
          <w:szCs w:val="24"/>
        </w:rPr>
        <w:t xml:space="preserve">Jurysdykcje </w:t>
      </w:r>
      <w:r w:rsidRPr="00C30388">
        <w:rPr>
          <w:rFonts w:ascii="Times New Roman" w:hAnsi="Times New Roman" w:cs="Times New Roman"/>
          <w:sz w:val="24"/>
          <w:szCs w:val="24"/>
        </w:rPr>
        <w:t xml:space="preserve">mogą jednak przyjąć dalej idące środki, w tym mogą rozszerzyć stosowanie Zasad GloBE na sytuacje krajowe </w:t>
      </w:r>
      <w:r w:rsidRPr="00C30388">
        <w:rPr>
          <w:rFonts w:ascii="Times New Roman" w:eastAsia="Times New Roman" w:hAnsi="Times New Roman" w:cs="Times New Roman"/>
          <w:sz w:val="24"/>
          <w:szCs w:val="24"/>
          <w:lang w:eastAsia="pl-PL"/>
        </w:rPr>
        <w:t>–</w:t>
      </w:r>
      <w:r w:rsidRPr="00C30388">
        <w:rPr>
          <w:rFonts w:ascii="Times New Roman" w:hAnsi="Times New Roman" w:cs="Times New Roman"/>
          <w:sz w:val="24"/>
          <w:szCs w:val="24"/>
        </w:rPr>
        <w:t xml:space="preserve"> tak długo, jak nie zaburza to skuteczności działania tych zasad</w:t>
      </w:r>
      <w:r w:rsidRPr="00C30388">
        <w:rPr>
          <w:rStyle w:val="Odwoanieprzypisudolnego"/>
          <w:rFonts w:ascii="Times New Roman" w:hAnsi="Times New Roman" w:cs="Times New Roman"/>
          <w:sz w:val="24"/>
          <w:szCs w:val="24"/>
        </w:rPr>
        <w:footnoteReference w:id="18"/>
      </w:r>
      <w:r w:rsidRPr="00C30388">
        <w:rPr>
          <w:rFonts w:ascii="Times New Roman" w:hAnsi="Times New Roman" w:cs="Times New Roman"/>
          <w:sz w:val="24"/>
          <w:szCs w:val="24"/>
        </w:rPr>
        <w:t xml:space="preserve">. </w:t>
      </w:r>
    </w:p>
    <w:p w14:paraId="0448AE17"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Rozwiązanie zaproponowane w tym zakresie w Dyrektywie GloBE miało na celu zapewnienie zgodności Zasad GloBE z prawem pierwotnym UE, a w szczególności z zasadą swobody przedsiębiorczości, a tym samym uniknięcie ryzyka dyskryminacji sytuacji transgranicznych i krajowych</w:t>
      </w:r>
      <w:r w:rsidRPr="00C30388">
        <w:rPr>
          <w:rStyle w:val="Odwoanieprzypisudolnego"/>
          <w:rFonts w:ascii="Times New Roman" w:hAnsi="Times New Roman" w:cs="Times New Roman"/>
          <w:sz w:val="24"/>
          <w:szCs w:val="24"/>
        </w:rPr>
        <w:footnoteReference w:id="19"/>
      </w:r>
      <w:r w:rsidRPr="00C30388">
        <w:rPr>
          <w:rFonts w:ascii="Times New Roman" w:hAnsi="Times New Roman" w:cs="Times New Roman"/>
          <w:sz w:val="24"/>
          <w:szCs w:val="24"/>
        </w:rPr>
        <w:t xml:space="preserve">. </w:t>
      </w:r>
    </w:p>
    <w:p w14:paraId="734B5097"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 xml:space="preserve">Próg skonsolidowanych przychodów </w:t>
      </w:r>
    </w:p>
    <w:p w14:paraId="2B5F9F74"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Dyrektywa nie zmienia Zasad GloBE w zakresie wysokości progu skonsolidowanych przychodów, który wyznacza grupy obowiązane do jej stosowania. Również w Dyrektywie próg ten został ustalony w wysokości 750 mln euro. </w:t>
      </w:r>
    </w:p>
    <w:p w14:paraId="0E74DC84"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Rozwiązanie to stanowi kompromis pomiędzy dążeniem do realizacji celów globalnego podatku minimalnego, tj. eliminacji praktyk unikania opodatkowania, a względami praktycznymi związanymi z nałożeniem zbyt daleko idących obowiązków administracyjnych na mniejsze grupy. Ustalenie progu stosowania Zasad GloBE na poziomie 750 mln euro skonsolidowanych przychodów stanowi zatem wyraz zapewnienia proporcjonalności implementowanych regulacji. Ponadto, próg ten jest spójny z progiem stosowanych na potrzeby zasad raportowania według krajów (CbCR), określonych w dyrektywie Rady 2011/16/UE</w:t>
      </w:r>
      <w:r w:rsidRPr="00C30388">
        <w:rPr>
          <w:rStyle w:val="Odwoanieprzypisudolnego"/>
          <w:rFonts w:ascii="Times New Roman" w:hAnsi="Times New Roman" w:cs="Times New Roman"/>
          <w:sz w:val="24"/>
          <w:szCs w:val="24"/>
        </w:rPr>
        <w:footnoteReference w:id="20"/>
      </w:r>
      <w:r w:rsidRPr="00C30388">
        <w:rPr>
          <w:rFonts w:ascii="Times New Roman" w:hAnsi="Times New Roman" w:cs="Times New Roman"/>
          <w:sz w:val="24"/>
          <w:szCs w:val="24"/>
        </w:rPr>
        <w:t xml:space="preserve"> oraz wprowadzone dyrektywą Rady UE 2016/881</w:t>
      </w:r>
      <w:r w:rsidRPr="00C30388">
        <w:rPr>
          <w:rStyle w:val="Odwoanieprzypisudolnego"/>
          <w:rFonts w:ascii="Times New Roman" w:hAnsi="Times New Roman" w:cs="Times New Roman"/>
          <w:sz w:val="24"/>
          <w:szCs w:val="24"/>
        </w:rPr>
        <w:footnoteReference w:id="21"/>
      </w:r>
      <w:r w:rsidRPr="00C30388">
        <w:rPr>
          <w:rFonts w:ascii="Times New Roman" w:hAnsi="Times New Roman" w:cs="Times New Roman"/>
          <w:sz w:val="24"/>
          <w:szCs w:val="24"/>
        </w:rPr>
        <w:t xml:space="preserve">. </w:t>
      </w:r>
    </w:p>
    <w:p w14:paraId="343C7059"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Co do zasady, System GloBE ma zastosowanie do grup międzynarodowych lub grup krajowych, które osiągnęły wskazany minimalny poziom przychodów w co najmniej dwóch z czterech ostatnich lat podatkowych.   </w:t>
      </w:r>
    </w:p>
    <w:p w14:paraId="0DAEC93F"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Jednostki wyłączone</w:t>
      </w:r>
    </w:p>
    <w:p w14:paraId="056B313C" w14:textId="18811F5D"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Jednostki grup międzynarodowych lub grup krajowych określa się mianem „</w:t>
      </w:r>
      <w:r w:rsidRPr="00C30388">
        <w:rPr>
          <w:rFonts w:ascii="Times New Roman" w:hAnsi="Times New Roman" w:cs="Times New Roman"/>
          <w:b/>
          <w:sz w:val="24"/>
          <w:szCs w:val="24"/>
        </w:rPr>
        <w:t>jednostek składowych</w:t>
      </w:r>
      <w:r w:rsidRPr="00C30388">
        <w:rPr>
          <w:rFonts w:ascii="Times New Roman" w:hAnsi="Times New Roman" w:cs="Times New Roman"/>
          <w:sz w:val="24"/>
          <w:szCs w:val="24"/>
        </w:rPr>
        <w:t xml:space="preserve">”. Jednak nie wszystkie jednostki składowe grupy podlegają przepisom Dyrektywy i Modelowych </w:t>
      </w:r>
      <w:r w:rsidR="00595132" w:rsidRPr="00C30388">
        <w:rPr>
          <w:rFonts w:ascii="Times New Roman" w:hAnsi="Times New Roman" w:cs="Times New Roman"/>
          <w:sz w:val="24"/>
          <w:szCs w:val="24"/>
        </w:rPr>
        <w:t>z</w:t>
      </w:r>
      <w:r w:rsidRPr="00C30388">
        <w:rPr>
          <w:rFonts w:ascii="Times New Roman" w:hAnsi="Times New Roman" w:cs="Times New Roman"/>
          <w:sz w:val="24"/>
          <w:szCs w:val="24"/>
        </w:rPr>
        <w:t>asad OECD. Niektóre jednostki zostały wyłączone z zakresu stosowania tych zasad ze względu na szczególny cel i status takich jednostek (dalej jako „</w:t>
      </w:r>
      <w:r w:rsidRPr="00C30388">
        <w:rPr>
          <w:rFonts w:ascii="Times New Roman" w:hAnsi="Times New Roman" w:cs="Times New Roman"/>
          <w:b/>
          <w:bCs/>
          <w:sz w:val="24"/>
          <w:szCs w:val="24"/>
        </w:rPr>
        <w:t>jednostki wyłączone”</w:t>
      </w:r>
      <w:r w:rsidRPr="00C30388">
        <w:rPr>
          <w:rFonts w:ascii="Times New Roman" w:hAnsi="Times New Roman" w:cs="Times New Roman"/>
          <w:sz w:val="24"/>
          <w:szCs w:val="24"/>
        </w:rPr>
        <w:t xml:space="preserve">). Chodzi m.in. o jednostki, które zasadniczo nie prowadzą działalności handlowej lub gospodarczej, a wykonują działalność w interesie ogólnym, taką jak publiczna opieka zdrowotna i edukacja lub budowa infrastruktury publicznej, i które z tych powodów mogą nie podlegać opodatkowaniu w państwie członkowskim, w którym są zlokalizowane. </w:t>
      </w:r>
    </w:p>
    <w:p w14:paraId="7C4C78E0" w14:textId="2C9CF33A"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lastRenderedPageBreak/>
        <w:t xml:space="preserve">I tak, wyłączeniu z zakresu stosowania Dyrektywy (oraz odpowiednio Modelowych </w:t>
      </w:r>
      <w:r w:rsidR="00595132" w:rsidRPr="00C30388">
        <w:rPr>
          <w:rFonts w:ascii="Times New Roman" w:hAnsi="Times New Roman" w:cs="Times New Roman"/>
          <w:sz w:val="24"/>
          <w:szCs w:val="24"/>
        </w:rPr>
        <w:t>z</w:t>
      </w:r>
      <w:r w:rsidRPr="00C30388">
        <w:rPr>
          <w:rFonts w:ascii="Times New Roman" w:hAnsi="Times New Roman" w:cs="Times New Roman"/>
          <w:sz w:val="24"/>
          <w:szCs w:val="24"/>
        </w:rPr>
        <w:t>asad OECD) podlegają jednostki rządowe, organizacje międzynarodowe, fundusze emerytalne oraz organizacje nienastawione na zysk. Ponadto, wyłączeniu podlegają również fundusze inwestycyjne i jednostki inwestujące w nieruchomości (typu REIT</w:t>
      </w:r>
      <w:r w:rsidRPr="00C30388">
        <w:rPr>
          <w:rStyle w:val="Odwoanieprzypisudolnego"/>
          <w:rFonts w:ascii="Times New Roman" w:hAnsi="Times New Roman" w:cs="Times New Roman"/>
          <w:sz w:val="24"/>
          <w:szCs w:val="24"/>
        </w:rPr>
        <w:footnoteReference w:id="22"/>
      </w:r>
      <w:r w:rsidRPr="00C30388">
        <w:rPr>
          <w:rFonts w:ascii="Times New Roman" w:hAnsi="Times New Roman" w:cs="Times New Roman"/>
          <w:sz w:val="24"/>
          <w:szCs w:val="24"/>
        </w:rPr>
        <w:t>), jednakże tylko wówczas, gdy znajdują się one na szczycie łańcucha własności danej grupy, tj. stanowią jednostkę dominującą najwyższego szczebla. Przesłanką wskazanego wyłączenia jest to, że uzyskany przez te jednostki dochód jest opodatkowywany na poziomie ich właścicieli.</w:t>
      </w:r>
    </w:p>
    <w:p w14:paraId="1CC61E6A"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Kalkulacja efektywnej stawki podatkowej (</w:t>
      </w:r>
      <w:r w:rsidRPr="00C30388">
        <w:rPr>
          <w:rFonts w:ascii="Times New Roman" w:hAnsi="Times New Roman" w:cs="Times New Roman"/>
          <w:bCs/>
          <w:i/>
          <w:sz w:val="24"/>
          <w:szCs w:val="24"/>
        </w:rPr>
        <w:t>ETR)</w:t>
      </w:r>
      <w:r w:rsidRPr="00C30388">
        <w:rPr>
          <w:rFonts w:ascii="Times New Roman" w:hAnsi="Times New Roman" w:cs="Times New Roman"/>
          <w:i/>
          <w:sz w:val="24"/>
          <w:szCs w:val="24"/>
        </w:rPr>
        <w:t xml:space="preserve"> dla danego państwa (jurysdykcji)</w:t>
      </w:r>
    </w:p>
    <w:p w14:paraId="778997DB" w14:textId="6D6E3DB7"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hAnsi="Times New Roman" w:cs="Times New Roman"/>
          <w:sz w:val="24"/>
          <w:szCs w:val="24"/>
        </w:rPr>
        <w:t>Obowiązek zapłaty podatku wyrównawczego powstaje tylko wówczas, gdy efektywna stawka podatkowa dla danego państwa</w:t>
      </w:r>
      <w:r w:rsidR="004955FB" w:rsidRPr="00C30388">
        <w:rPr>
          <w:rFonts w:ascii="Times New Roman" w:hAnsi="Times New Roman" w:cs="Times New Roman"/>
          <w:sz w:val="24"/>
          <w:szCs w:val="24"/>
        </w:rPr>
        <w:t xml:space="preserve"> </w:t>
      </w:r>
      <w:r w:rsidRPr="00C30388">
        <w:rPr>
          <w:rFonts w:ascii="Times New Roman" w:hAnsi="Times New Roman" w:cs="Times New Roman"/>
          <w:sz w:val="24"/>
          <w:szCs w:val="24"/>
        </w:rPr>
        <w:t>/</w:t>
      </w:r>
      <w:r w:rsidR="004955FB" w:rsidRPr="00C30388">
        <w:rPr>
          <w:rFonts w:ascii="Times New Roman" w:hAnsi="Times New Roman" w:cs="Times New Roman"/>
          <w:sz w:val="24"/>
          <w:szCs w:val="24"/>
        </w:rPr>
        <w:t xml:space="preserve"> </w:t>
      </w:r>
      <w:r w:rsidRPr="00C30388">
        <w:rPr>
          <w:rFonts w:ascii="Times New Roman" w:hAnsi="Times New Roman" w:cs="Times New Roman"/>
          <w:sz w:val="24"/>
          <w:szCs w:val="24"/>
        </w:rPr>
        <w:t>jurysdykcji (</w:t>
      </w:r>
      <w:r w:rsidRPr="00C30388">
        <w:rPr>
          <w:rFonts w:ascii="Times New Roman" w:hAnsi="Times New Roman" w:cs="Times New Roman"/>
          <w:i/>
          <w:iCs/>
          <w:sz w:val="24"/>
          <w:szCs w:val="24"/>
        </w:rPr>
        <w:t xml:space="preserve">ang. effective tax rate, </w:t>
      </w:r>
      <w:r w:rsidRPr="00C30388">
        <w:rPr>
          <w:rFonts w:ascii="Times New Roman" w:hAnsi="Times New Roman" w:cs="Times New Roman"/>
          <w:sz w:val="24"/>
          <w:szCs w:val="24"/>
        </w:rPr>
        <w:t>dalej też jako: „</w:t>
      </w:r>
      <w:r w:rsidRPr="00C30388">
        <w:rPr>
          <w:rFonts w:ascii="Times New Roman" w:hAnsi="Times New Roman" w:cs="Times New Roman"/>
          <w:b/>
          <w:sz w:val="24"/>
          <w:szCs w:val="24"/>
        </w:rPr>
        <w:t>ETR</w:t>
      </w:r>
      <w:r w:rsidRPr="00C30388">
        <w:rPr>
          <w:rFonts w:ascii="Times New Roman" w:hAnsi="Times New Roman" w:cs="Times New Roman"/>
          <w:bCs/>
          <w:sz w:val="24"/>
          <w:szCs w:val="24"/>
        </w:rPr>
        <w:t>”)</w:t>
      </w:r>
      <w:r w:rsidRPr="00C30388">
        <w:rPr>
          <w:rFonts w:ascii="Times New Roman" w:hAnsi="Times New Roman" w:cs="Times New Roman"/>
          <w:sz w:val="24"/>
          <w:szCs w:val="24"/>
        </w:rPr>
        <w:t xml:space="preserve"> za dany rok podatkowy – ustalony w sposób wskazany poniżej </w:t>
      </w:r>
      <w:r w:rsidRPr="00C30388">
        <w:rPr>
          <w:rFonts w:ascii="Times New Roman" w:eastAsia="Times New Roman" w:hAnsi="Times New Roman" w:cs="Times New Roman"/>
          <w:sz w:val="24"/>
          <w:szCs w:val="24"/>
          <w:lang w:eastAsia="pl-PL"/>
        </w:rPr>
        <w:t>–</w:t>
      </w:r>
      <w:r w:rsidRPr="00C30388">
        <w:rPr>
          <w:rFonts w:ascii="Times New Roman" w:hAnsi="Times New Roman" w:cs="Times New Roman"/>
          <w:sz w:val="24"/>
          <w:szCs w:val="24"/>
        </w:rPr>
        <w:t xml:space="preserve"> wynosi mniej niż 15%. </w:t>
      </w:r>
    </w:p>
    <w:p w14:paraId="7493941B" w14:textId="77777777" w:rsidR="002A4C92" w:rsidRPr="00C30388" w:rsidRDefault="002A4C92" w:rsidP="002A4C92">
      <w:pPr>
        <w:spacing w:after="120"/>
        <w:jc w:val="both"/>
        <w:rPr>
          <w:rFonts w:ascii="Times New Roman" w:eastAsia="Times New Roman" w:hAnsi="Times New Roman" w:cs="Times New Roman"/>
          <w:sz w:val="24"/>
          <w:szCs w:val="24"/>
          <w:lang w:eastAsia="pl-PL"/>
        </w:rPr>
      </w:pPr>
      <w:r w:rsidRPr="00C30388">
        <w:rPr>
          <w:rFonts w:ascii="Times New Roman" w:eastAsia="Times New Roman" w:hAnsi="Times New Roman" w:cs="Times New Roman"/>
          <w:sz w:val="24"/>
          <w:szCs w:val="24"/>
          <w:lang w:eastAsia="pl-PL"/>
        </w:rPr>
        <w:t xml:space="preserve">Co istotne, obliczanie efektywnej stawki podatkowej następować będzie nie na poziomie danej jednostki składowej, lecz </w:t>
      </w:r>
      <w:r w:rsidRPr="00C30388">
        <w:rPr>
          <w:rFonts w:ascii="Times New Roman" w:eastAsia="Times New Roman" w:hAnsi="Times New Roman" w:cs="Times New Roman"/>
          <w:b/>
          <w:bCs/>
          <w:sz w:val="24"/>
          <w:szCs w:val="24"/>
          <w:lang w:eastAsia="pl-PL"/>
        </w:rPr>
        <w:t xml:space="preserve">na poziomie danego państwa </w:t>
      </w:r>
      <w:r w:rsidRPr="00C30388">
        <w:rPr>
          <w:rFonts w:ascii="Times New Roman" w:eastAsia="Times New Roman" w:hAnsi="Times New Roman" w:cs="Times New Roman"/>
          <w:sz w:val="24"/>
          <w:szCs w:val="24"/>
          <w:lang w:eastAsia="pl-PL"/>
        </w:rPr>
        <w:t xml:space="preserve">(jurysdykcji). Przyjęte podejście ma na celu zapewnić realizację założeń reformy dotyczącej globalnego podatku minimalnego. Odmienne rozwiązanie pozwalałoby na zbyt dużą swobodę grup w kształtowaniu efektywnej stawki podatkowej danej jednostki składowej w pożądany przez siebie sposób, a zatem nie spełniłoby swojej funkcji. </w:t>
      </w:r>
    </w:p>
    <w:p w14:paraId="5CA5D135"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Obliczenie efektywnej stawki podatkowej dla danego państwa wymaga ustalenia dwóch elementów, tj. (a) sumy skorygowanych podatków kwalifikowanych jednostek składowych z danego państwa (jurysdykcji) oraz (b) kwalifikowanego dochodu netto tych jednostek składowych i w świetle Dyrektywy wyraża się wzorem:</w:t>
      </w:r>
    </w:p>
    <w:p w14:paraId="6057D2C4" w14:textId="77777777" w:rsidR="002A4C92" w:rsidRPr="003E7A67" w:rsidRDefault="002A4C92" w:rsidP="002A4C92">
      <w:pPr>
        <w:spacing w:after="120"/>
        <w:jc w:val="center"/>
        <w:rPr>
          <w:rFonts w:cstheme="minorHAnsi"/>
        </w:rPr>
      </w:pPr>
      <w:r w:rsidRPr="003E7A67">
        <w:rPr>
          <w:noProof/>
          <w:lang w:eastAsia="pl-PL"/>
        </w:rPr>
        <w:drawing>
          <wp:inline distT="0" distB="0" distL="0" distR="0" wp14:anchorId="7D627BD9" wp14:editId="4636335C">
            <wp:extent cx="5311140" cy="478892"/>
            <wp:effectExtent l="0" t="0" r="381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3312" cy="494416"/>
                    </a:xfrm>
                    <a:prstGeom prst="rect">
                      <a:avLst/>
                    </a:prstGeom>
                  </pic:spPr>
                </pic:pic>
              </a:graphicData>
            </a:graphic>
          </wp:inline>
        </w:drawing>
      </w:r>
    </w:p>
    <w:p w14:paraId="243D945A"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
          <w:sz w:val="24"/>
        </w:rPr>
        <w:t>Kwalifikowany dochód netto</w:t>
      </w:r>
      <w:r w:rsidRPr="00C30388">
        <w:rPr>
          <w:rFonts w:ascii="Times New Roman" w:hAnsi="Times New Roman" w:cs="Times New Roman"/>
          <w:sz w:val="24"/>
        </w:rPr>
        <w:t xml:space="preserve"> jednostek składowych w danym państwie (jurysdykcji) stanowi suma ich kwalifikowanych dochodów pomniejszona o sumę ich strat.  </w:t>
      </w:r>
    </w:p>
    <w:p w14:paraId="697110CB" w14:textId="1C2BB3A4"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Punktem wyjścia do kalkulacji </w:t>
      </w:r>
      <w:r w:rsidRPr="00C30388">
        <w:rPr>
          <w:rFonts w:ascii="Times New Roman" w:hAnsi="Times New Roman" w:cs="Times New Roman"/>
          <w:b/>
          <w:sz w:val="24"/>
        </w:rPr>
        <w:t>kwalifikowanego</w:t>
      </w:r>
      <w:r w:rsidRPr="00C30388">
        <w:rPr>
          <w:rFonts w:ascii="Times New Roman" w:hAnsi="Times New Roman" w:cs="Times New Roman"/>
          <w:sz w:val="24"/>
        </w:rPr>
        <w:t xml:space="preserve"> </w:t>
      </w:r>
      <w:r w:rsidRPr="00C30388">
        <w:rPr>
          <w:rFonts w:ascii="Times New Roman" w:hAnsi="Times New Roman" w:cs="Times New Roman"/>
          <w:b/>
          <w:sz w:val="24"/>
        </w:rPr>
        <w:t>dochodu (straty)</w:t>
      </w:r>
      <w:r w:rsidRPr="00C30388">
        <w:rPr>
          <w:rFonts w:ascii="Times New Roman" w:hAnsi="Times New Roman" w:cs="Times New Roman"/>
          <w:sz w:val="24"/>
        </w:rPr>
        <w:t xml:space="preserve"> za rok podatkowy danej jednostki składowej jest zysk/strata netto takiej jednostki przyjęta na potrzeby sporządzenia skonsolidowanego sprawozdania finansowego grupy objętej Zasadami GloBE, ustalony według standardu rachunkowości z takiego sprawozdania [na gruncie Modelowych </w:t>
      </w:r>
      <w:r w:rsidR="00595132" w:rsidRPr="00C30388">
        <w:rPr>
          <w:rFonts w:ascii="Times New Roman" w:hAnsi="Times New Roman" w:cs="Times New Roman"/>
          <w:sz w:val="24"/>
        </w:rPr>
        <w:t>z</w:t>
      </w:r>
      <w:r w:rsidRPr="00C30388">
        <w:rPr>
          <w:rFonts w:ascii="Times New Roman" w:hAnsi="Times New Roman" w:cs="Times New Roman"/>
          <w:sz w:val="24"/>
        </w:rPr>
        <w:t xml:space="preserve">asad OECD taki zysk/strata jest określany jako FANIL, a na gruncie ustawy jako księgowy dochód (strata) netto]. </w:t>
      </w:r>
    </w:p>
    <w:p w14:paraId="319E1C41" w14:textId="53975D90"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Modelowe </w:t>
      </w:r>
      <w:r w:rsidR="00ED3A9E" w:rsidRPr="00C30388">
        <w:rPr>
          <w:rFonts w:ascii="Times New Roman" w:hAnsi="Times New Roman" w:cs="Times New Roman"/>
          <w:sz w:val="24"/>
        </w:rPr>
        <w:t>z</w:t>
      </w:r>
      <w:r w:rsidRPr="00C30388">
        <w:rPr>
          <w:rFonts w:ascii="Times New Roman" w:hAnsi="Times New Roman" w:cs="Times New Roman"/>
          <w:sz w:val="24"/>
        </w:rPr>
        <w:t>asady GloBE zawierają w tym zakresie:</w:t>
      </w:r>
    </w:p>
    <w:p w14:paraId="19AEC1A8" w14:textId="5EA59404" w:rsidR="002A4C92" w:rsidRPr="00C30388" w:rsidRDefault="002A4C92" w:rsidP="002A4C92">
      <w:pPr>
        <w:pStyle w:val="Akapitzlist"/>
        <w:numPr>
          <w:ilvl w:val="0"/>
          <w:numId w:val="3"/>
        </w:numPr>
        <w:spacing w:after="120"/>
        <w:jc w:val="both"/>
        <w:rPr>
          <w:rFonts w:ascii="Times New Roman" w:hAnsi="Times New Roman" w:cs="Times New Roman"/>
          <w:sz w:val="24"/>
        </w:rPr>
      </w:pPr>
      <w:r w:rsidRPr="00C30388">
        <w:rPr>
          <w:rFonts w:ascii="Times New Roman" w:hAnsi="Times New Roman" w:cs="Times New Roman"/>
          <w:sz w:val="24"/>
        </w:rPr>
        <w:t>reguły korygujące (dostosowujące) ustalony we wskazany sposób zysk</w:t>
      </w:r>
      <w:r w:rsidR="004955FB" w:rsidRPr="00C30388">
        <w:rPr>
          <w:rFonts w:ascii="Times New Roman" w:hAnsi="Times New Roman" w:cs="Times New Roman"/>
          <w:sz w:val="24"/>
        </w:rPr>
        <w:t xml:space="preserve"> </w:t>
      </w:r>
      <w:r w:rsidRPr="00C30388">
        <w:rPr>
          <w:rFonts w:ascii="Times New Roman" w:hAnsi="Times New Roman" w:cs="Times New Roman"/>
          <w:sz w:val="24"/>
        </w:rPr>
        <w:t>/</w:t>
      </w:r>
      <w:r w:rsidR="004955FB" w:rsidRPr="00C30388">
        <w:rPr>
          <w:rFonts w:ascii="Times New Roman" w:hAnsi="Times New Roman" w:cs="Times New Roman"/>
          <w:sz w:val="24"/>
        </w:rPr>
        <w:t xml:space="preserve"> </w:t>
      </w:r>
      <w:r w:rsidRPr="00C30388">
        <w:rPr>
          <w:rFonts w:ascii="Times New Roman" w:hAnsi="Times New Roman" w:cs="Times New Roman"/>
          <w:sz w:val="24"/>
        </w:rPr>
        <w:t xml:space="preserve">stratę netto jednostki w celu obliczenia, na potrzeby Zasad GloBE, kwalifikowanego dochodu (straty), </w:t>
      </w:r>
    </w:p>
    <w:p w14:paraId="60480DEA" w14:textId="6C9C1883" w:rsidR="002A4C92" w:rsidRPr="00C30388" w:rsidRDefault="002A4C92" w:rsidP="002A4C92">
      <w:pPr>
        <w:pStyle w:val="Akapitzlist"/>
        <w:numPr>
          <w:ilvl w:val="0"/>
          <w:numId w:val="3"/>
        </w:numPr>
        <w:spacing w:after="120"/>
        <w:jc w:val="both"/>
        <w:rPr>
          <w:rFonts w:ascii="Times New Roman" w:hAnsi="Times New Roman" w:cs="Times New Roman"/>
          <w:sz w:val="24"/>
        </w:rPr>
      </w:pPr>
      <w:r w:rsidRPr="00C30388">
        <w:rPr>
          <w:rFonts w:ascii="Times New Roman" w:hAnsi="Times New Roman" w:cs="Times New Roman"/>
          <w:sz w:val="24"/>
        </w:rPr>
        <w:t>reguły alokacji tego zysku</w:t>
      </w:r>
      <w:r w:rsidR="004955FB" w:rsidRPr="00C30388">
        <w:rPr>
          <w:rFonts w:ascii="Times New Roman" w:hAnsi="Times New Roman" w:cs="Times New Roman"/>
          <w:sz w:val="24"/>
        </w:rPr>
        <w:t xml:space="preserve"> </w:t>
      </w:r>
      <w:r w:rsidRPr="00C30388">
        <w:rPr>
          <w:rFonts w:ascii="Times New Roman" w:hAnsi="Times New Roman" w:cs="Times New Roman"/>
          <w:sz w:val="24"/>
        </w:rPr>
        <w:t>/</w:t>
      </w:r>
      <w:r w:rsidR="004955FB" w:rsidRPr="00C30388">
        <w:rPr>
          <w:rFonts w:ascii="Times New Roman" w:hAnsi="Times New Roman" w:cs="Times New Roman"/>
          <w:sz w:val="24"/>
        </w:rPr>
        <w:t xml:space="preserve"> </w:t>
      </w:r>
      <w:r w:rsidRPr="00C30388">
        <w:rPr>
          <w:rFonts w:ascii="Times New Roman" w:hAnsi="Times New Roman" w:cs="Times New Roman"/>
          <w:sz w:val="24"/>
        </w:rPr>
        <w:t xml:space="preserve">straty pomiędzy: (i) stały zakład i centralę oraz (ii) jednostkę transparentną podatkowo i jej właścicieli. </w:t>
      </w:r>
    </w:p>
    <w:p w14:paraId="474AB993"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Z kolei punktem wyjścia do obliczenia kwoty </w:t>
      </w:r>
      <w:r w:rsidRPr="00C30388">
        <w:rPr>
          <w:rFonts w:ascii="Times New Roman" w:hAnsi="Times New Roman" w:cs="Times New Roman"/>
          <w:b/>
          <w:sz w:val="24"/>
        </w:rPr>
        <w:t>skorygowanych podatków kwalifikowanych</w:t>
      </w:r>
      <w:r w:rsidRPr="00C30388">
        <w:rPr>
          <w:rFonts w:ascii="Times New Roman" w:hAnsi="Times New Roman" w:cs="Times New Roman"/>
          <w:sz w:val="24"/>
        </w:rPr>
        <w:t xml:space="preserve"> jest suma </w:t>
      </w:r>
      <w:r w:rsidRPr="00C30388">
        <w:rPr>
          <w:rFonts w:ascii="Times New Roman" w:hAnsi="Times New Roman" w:cs="Times New Roman"/>
          <w:b/>
          <w:sz w:val="24"/>
        </w:rPr>
        <w:t>podatków kwalifikowanych</w:t>
      </w:r>
      <w:r w:rsidRPr="00C30388">
        <w:rPr>
          <w:rFonts w:ascii="Times New Roman" w:hAnsi="Times New Roman" w:cs="Times New Roman"/>
          <w:sz w:val="24"/>
        </w:rPr>
        <w:t xml:space="preserve"> obciążających jednostkę składową. Dyrektywa </w:t>
      </w:r>
      <w:r w:rsidRPr="00C30388">
        <w:rPr>
          <w:rFonts w:ascii="Times New Roman" w:hAnsi="Times New Roman" w:cs="Times New Roman"/>
          <w:sz w:val="24"/>
        </w:rPr>
        <w:lastRenderedPageBreak/>
        <w:t xml:space="preserve">wskazuje na kategorie podatków uznawanych za podatki kwalifikowane dla celów Systemu GloBE, jak również obciążeń, które nie stanowią podatków kwalifikowanych.  </w:t>
      </w:r>
    </w:p>
    <w:p w14:paraId="18BE2801"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Efektywną stawkę podatkową grupy międzynarodowej w każdym państwie, w którym prowadzi ona działalność, lub grupy krajowej, należy porównać z uzgodnioną minimalną stawką podatkową wynoszącą 15% w celu ustalenia, czy grupa międzynarodowa lub grupa krajowa powinna być zobowiązana do zapłacenia podatku wyrównawczego. </w:t>
      </w:r>
    </w:p>
    <w:p w14:paraId="52115B8B"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W przypadku, gdy efektywna stawka podatkowa obliczona dla danego państwa jest niższa od minimalnej stawki podatkowej, co do zasady jednostka dominująca najwyższego szczebla powinna zastosować Zasadę IIR w odniesieniu do swoich nisko opodatkowanych jednostek składowych w celu wyrównania poziomu opodatkowania do minimalnej stawki podatkowej.</w:t>
      </w:r>
    </w:p>
    <w:p w14:paraId="7EF1D1A3" w14:textId="77777777" w:rsidR="002A4C92" w:rsidRPr="00C30388" w:rsidRDefault="002A4C92" w:rsidP="002A4C92">
      <w:pPr>
        <w:spacing w:after="120"/>
        <w:jc w:val="both"/>
        <w:rPr>
          <w:rFonts w:ascii="Times New Roman" w:eastAsia="Times New Roman" w:hAnsi="Times New Roman" w:cs="Times New Roman"/>
          <w:i/>
          <w:sz w:val="24"/>
          <w:lang w:eastAsia="pl-PL"/>
        </w:rPr>
      </w:pPr>
      <w:r w:rsidRPr="00C30388">
        <w:rPr>
          <w:rFonts w:ascii="Times New Roman" w:eastAsia="Times New Roman" w:hAnsi="Times New Roman" w:cs="Times New Roman"/>
          <w:i/>
          <w:sz w:val="24"/>
          <w:lang w:eastAsia="pl-PL"/>
        </w:rPr>
        <w:t xml:space="preserve">Zasady nakładania globalnego podatku wyrównawczego </w:t>
      </w:r>
    </w:p>
    <w:p w14:paraId="1E045ADE"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Kluczowym elementem Systemu GloBE, w tym w zakresie nakładania globalnego podatku wyrównawczego, jest jednostka dominująca najwyższego szczebla grupy międzynarodowej, która posiada – bezpośrednio lub pośrednio – udział konsolidujący we wszystkich pozostałych jednostkach składowych grupy. Ponieważ jednostka dominująca najwyższego szczebla jest zazwyczaj zobowiązana do konsolidowania sprawozdań finansowych wszystkich jednostek wchodzących w skład grupy, jest ona w posiadaniu najważniejszych informacji i ma najlepsze możliwości, aby zapewnić zgodność poziomu opodatkowania grupy w poszczególnych państwach z ustaloną minimalną stawką podatkową. </w:t>
      </w:r>
    </w:p>
    <w:p w14:paraId="281ECBD8"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Na mocy implementowanej Dyrektywy to na jednostce dominującej najwyższego szczebla, która jest zlokalizowana w jednym z państw członkowskich UE, ciążyć będzie główny obowiązek stosowania Zasady IIR wobec wszystkich nisko opodatkowanych jednostek składowych grupy, niezależnie od tego, czy jednostki te są zlokalizowane w UE czy też poza UE. </w:t>
      </w:r>
    </w:p>
    <w:p w14:paraId="407EE51A"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W niektórych okolicznościach obowiązek stosowania Zasady IIR przechodził będzie (zgodnie z </w:t>
      </w:r>
      <w:r w:rsidRPr="00C30388">
        <w:rPr>
          <w:rFonts w:ascii="Times New Roman" w:hAnsi="Times New Roman" w:cs="Times New Roman"/>
          <w:sz w:val="24"/>
        </w:rPr>
        <w:t xml:space="preserve">podejściem „z góry w dół”) </w:t>
      </w:r>
      <w:r w:rsidRPr="00C30388">
        <w:rPr>
          <w:rFonts w:ascii="Times New Roman" w:eastAsia="Times New Roman" w:hAnsi="Times New Roman" w:cs="Times New Roman"/>
          <w:sz w:val="24"/>
          <w:lang w:eastAsia="pl-PL"/>
        </w:rPr>
        <w:t xml:space="preserve">na niższy szczebel struktury grupy, tj. na inne jednostki. </w:t>
      </w:r>
    </w:p>
    <w:p w14:paraId="5F27E2CC" w14:textId="70ED45FC" w:rsidR="002A4C92" w:rsidRPr="00C30388" w:rsidRDefault="002A4C92" w:rsidP="002A4C92">
      <w:pPr>
        <w:pStyle w:val="Akapitzlist"/>
        <w:numPr>
          <w:ilvl w:val="0"/>
          <w:numId w:val="4"/>
        </w:numPr>
        <w:spacing w:after="120"/>
        <w:ind w:left="714" w:hanging="357"/>
        <w:contextualSpacing w:val="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Po pierwsze, dotyczy to sytuacji, gdy jednostka dominująca najwyższego szczebla jest jednostką wyłączoną lub jest zlokalizowana w państwie trzecim, które nie wdrożyło Modelowych </w:t>
      </w:r>
      <w:r w:rsidR="00595132" w:rsidRPr="00C30388">
        <w:rPr>
          <w:rFonts w:ascii="Times New Roman" w:eastAsia="Times New Roman" w:hAnsi="Times New Roman" w:cs="Times New Roman"/>
          <w:sz w:val="24"/>
          <w:lang w:eastAsia="pl-PL"/>
        </w:rPr>
        <w:t>z</w:t>
      </w:r>
      <w:r w:rsidRPr="00C30388">
        <w:rPr>
          <w:rFonts w:ascii="Times New Roman" w:eastAsia="Times New Roman" w:hAnsi="Times New Roman" w:cs="Times New Roman"/>
          <w:sz w:val="24"/>
          <w:lang w:eastAsia="pl-PL"/>
        </w:rPr>
        <w:t xml:space="preserve">asad OECD ani zasad do nich równoważnych, i w związku z tym nie stosuje Zasady IIR. Wówczas </w:t>
      </w:r>
      <w:r w:rsidRPr="00C30388">
        <w:rPr>
          <w:rFonts w:ascii="Times New Roman" w:eastAsia="Times New Roman" w:hAnsi="Times New Roman" w:cs="Times New Roman"/>
          <w:b/>
          <w:bCs/>
          <w:sz w:val="24"/>
          <w:lang w:eastAsia="pl-PL"/>
        </w:rPr>
        <w:t>jednostki dominujące niższego szczebla</w:t>
      </w:r>
      <w:r w:rsidRPr="00C30388">
        <w:rPr>
          <w:rFonts w:ascii="Times New Roman" w:eastAsia="Times New Roman" w:hAnsi="Times New Roman" w:cs="Times New Roman"/>
          <w:sz w:val="24"/>
          <w:lang w:eastAsia="pl-PL"/>
        </w:rPr>
        <w:t>, znajdujące się w łańcuchu własności poniżej jednostki dominującej najwyższego szczebla, będą zobowiązane na mocy Dyrektywy do stosowania Zasady IIR. Jeżeli jednostka dominująca niższego szczebla, która jest zobowiązana do stosowania Zasady IIR, posiada udział konsolidujący w innej jednostce dominującej niższego szczebla, Zasadę IIR powinna stosować tylko ta pierwsza jednostka dominująca niższego szczebla.</w:t>
      </w:r>
    </w:p>
    <w:p w14:paraId="18348979" w14:textId="77777777" w:rsidR="002A4C92" w:rsidRPr="00C30388" w:rsidRDefault="002A4C92" w:rsidP="002A4C92">
      <w:pPr>
        <w:pStyle w:val="Akapitzlist"/>
        <w:numPr>
          <w:ilvl w:val="0"/>
          <w:numId w:val="4"/>
        </w:numPr>
        <w:spacing w:after="120"/>
        <w:ind w:left="714" w:hanging="357"/>
        <w:contextualSpacing w:val="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Po drugie, niezależnie od tego, czy jednostka dominująca najwyższego szczebla jest zlokalizowana w państwie, które stosuje Zasadę IIR, </w:t>
      </w:r>
      <w:r w:rsidRPr="00C30388">
        <w:rPr>
          <w:rFonts w:ascii="Times New Roman" w:eastAsia="Times New Roman" w:hAnsi="Times New Roman" w:cs="Times New Roman"/>
          <w:b/>
          <w:sz w:val="24"/>
          <w:lang w:eastAsia="pl-PL"/>
        </w:rPr>
        <w:t xml:space="preserve">jednostki dominujące znajdujące się w częściowym posiadaniu </w:t>
      </w:r>
      <w:r w:rsidRPr="00C30388">
        <w:rPr>
          <w:rFonts w:ascii="Times New Roman" w:eastAsia="Times New Roman" w:hAnsi="Times New Roman" w:cs="Times New Roman"/>
          <w:sz w:val="24"/>
          <w:lang w:eastAsia="pl-PL"/>
        </w:rPr>
        <w:t>i należące w ponad 20% do właścicieli spoza grupy będą zobowiązane do stosowania Zasady IIR. Jednostka dominująca znajdująca się w częściowym posiadaniu nie powinna jednak stosować Zasady IIR, jeżeli należy ona w całości do innej jednostki dominującej znajdującej się w częściowym posiadaniu, która ma obowiązek stosowania Zasady IIR.</w:t>
      </w:r>
    </w:p>
    <w:p w14:paraId="328AA6DF" w14:textId="77777777" w:rsidR="002A4C92" w:rsidRPr="00C30388" w:rsidRDefault="002A4C92" w:rsidP="002A4C92">
      <w:pPr>
        <w:pStyle w:val="Akapitzlist"/>
        <w:numPr>
          <w:ilvl w:val="0"/>
          <w:numId w:val="4"/>
        </w:numPr>
        <w:spacing w:after="120"/>
        <w:ind w:left="714" w:hanging="357"/>
        <w:contextualSpacing w:val="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lastRenderedPageBreak/>
        <w:t xml:space="preserve">Po trzecie, jeżeli jednostka dominująca najwyższego szczebla jest jednostką wyłączoną lub jest zlokalizowana w państwie niestosującym Zasady IIR lub w państwie o niskim poziomie opodatkowania, jednostki składowe grupy międzynarodowej powinny stosować </w:t>
      </w:r>
      <w:r w:rsidRPr="00C30388">
        <w:rPr>
          <w:rFonts w:ascii="Times New Roman" w:eastAsia="Times New Roman" w:hAnsi="Times New Roman" w:cs="Times New Roman"/>
          <w:b/>
          <w:bCs/>
          <w:sz w:val="24"/>
          <w:lang w:eastAsia="pl-PL"/>
        </w:rPr>
        <w:t>Zasadę UTPR</w:t>
      </w:r>
      <w:r w:rsidRPr="00C30388">
        <w:rPr>
          <w:rFonts w:ascii="Times New Roman" w:eastAsia="Times New Roman" w:hAnsi="Times New Roman" w:cs="Times New Roman"/>
          <w:sz w:val="24"/>
          <w:lang w:eastAsia="pl-PL"/>
        </w:rPr>
        <w:t xml:space="preserve"> do wszelkiej pozostałej kwoty podatku wyrównawczego, która nie została objęta Zasadą IIR, proporcjonalnie do liczby pracowników i rzeczowych aktywów trwałych w danym państwie. </w:t>
      </w:r>
    </w:p>
    <w:p w14:paraId="0C309088" w14:textId="77777777" w:rsidR="002A4C92" w:rsidRPr="00C30388" w:rsidRDefault="002A4C92" w:rsidP="002A4C92">
      <w:pPr>
        <w:spacing w:after="120"/>
        <w:jc w:val="both"/>
        <w:rPr>
          <w:rFonts w:ascii="Times New Roman" w:eastAsia="Times New Roman" w:hAnsi="Times New Roman" w:cs="Times New Roman"/>
          <w:i/>
          <w:sz w:val="24"/>
          <w:lang w:eastAsia="pl-PL"/>
        </w:rPr>
      </w:pPr>
      <w:r w:rsidRPr="00C30388">
        <w:rPr>
          <w:rFonts w:ascii="Times New Roman" w:eastAsia="Times New Roman" w:hAnsi="Times New Roman" w:cs="Times New Roman"/>
          <w:i/>
          <w:sz w:val="24"/>
          <w:lang w:eastAsia="pl-PL"/>
        </w:rPr>
        <w:t>Bezpieczne przystanie oraz wyłączenie de minimis</w:t>
      </w:r>
    </w:p>
    <w:p w14:paraId="3E256AE0" w14:textId="5AA5264F"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Aby zapewnić proporcjonalne podejście i uwzględnić szczególne sytuacje, w których ryzyka związane z erozją podstawy opodatkowania i przenoszenia zysku są mniejsze, Dyrektywa, podobnie jak Modelowe </w:t>
      </w:r>
      <w:r w:rsidR="00ED3A9E" w:rsidRPr="00C30388">
        <w:rPr>
          <w:rFonts w:ascii="Times New Roman" w:eastAsia="Times New Roman" w:hAnsi="Times New Roman" w:cs="Times New Roman"/>
          <w:sz w:val="24"/>
          <w:lang w:eastAsia="pl-PL"/>
        </w:rPr>
        <w:t>z</w:t>
      </w:r>
      <w:r w:rsidRPr="00C30388">
        <w:rPr>
          <w:rFonts w:ascii="Times New Roman" w:eastAsia="Times New Roman" w:hAnsi="Times New Roman" w:cs="Times New Roman"/>
          <w:sz w:val="24"/>
          <w:lang w:eastAsia="pl-PL"/>
        </w:rPr>
        <w:t>asady, przewiduje rozwiązania wyłączające lub ograniczające efekt stosowania Zasad GloBE, które można określić mianem „</w:t>
      </w:r>
      <w:r w:rsidRPr="00C30388">
        <w:rPr>
          <w:rFonts w:ascii="Times New Roman" w:eastAsia="Times New Roman" w:hAnsi="Times New Roman" w:cs="Times New Roman"/>
          <w:b/>
          <w:bCs/>
          <w:sz w:val="24"/>
          <w:lang w:eastAsia="pl-PL"/>
        </w:rPr>
        <w:t>bezpiecznych przystani</w:t>
      </w:r>
      <w:r w:rsidRPr="00C30388">
        <w:rPr>
          <w:rFonts w:ascii="Times New Roman" w:eastAsia="Times New Roman" w:hAnsi="Times New Roman" w:cs="Times New Roman"/>
          <w:sz w:val="24"/>
          <w:lang w:eastAsia="pl-PL"/>
        </w:rPr>
        <w:t>” (</w:t>
      </w:r>
      <w:r w:rsidRPr="00C30388">
        <w:rPr>
          <w:rFonts w:ascii="Times New Roman" w:eastAsia="Times New Roman" w:hAnsi="Times New Roman" w:cs="Times New Roman"/>
          <w:i/>
          <w:sz w:val="24"/>
          <w:lang w:eastAsia="pl-PL"/>
        </w:rPr>
        <w:t>safe harbours</w:t>
      </w:r>
      <w:r w:rsidRPr="00C30388">
        <w:rPr>
          <w:rFonts w:ascii="Times New Roman" w:eastAsia="Times New Roman" w:hAnsi="Times New Roman" w:cs="Times New Roman"/>
          <w:sz w:val="24"/>
          <w:lang w:eastAsia="pl-PL"/>
        </w:rPr>
        <w:t xml:space="preserve">). </w:t>
      </w:r>
    </w:p>
    <w:p w14:paraId="3C81F96E" w14:textId="0CBB9BB0"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Pierwsze z tych rozwiązań dotyczy wyłączenia dla jednostek posiadających substrat majątkowo-osobowy na podstawie kosztów związanych z pracownikami i wartości rzeczowych aktywów trwałych w danym państwie. Takie wyłączenie rozwiązuje w pewnym stopniu sytuacje, w których grupa międzynarodowa lub grupa krajowa prowadzi działalność gospodarczą, wymagającą obecności fizycznej w państwie o niskim poziomie opodatkowania, ponieważ w takim przypadku mało prawdopodobne jest, by rozwinęły się praktyki związane z erozją podstawy opodatkowania i przenoszenia zysku. </w:t>
      </w:r>
    </w:p>
    <w:p w14:paraId="614AB392"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Kolejna bezpieczna przystań uwzględnia przypadek grup, które znajdują się w początkowej fazie swojej działalności międzynarodowej. Celem jest, aby nie zniechęcać do rozwijania działalności transgranicznej takich grup, które czerpią korzyści z niskiego opodatkowania w swoim państwie, w którym głównie prowadzą działalność. W związku z tym, nisko opodatkowana działalność krajowa takich grup została wyłączona ze stosowania przedmiotowych zasad na 5-letni okres przejściowy, pod warunkiem, że grupa międzynarodowa nie posiada jednostek składowych w więcej niż sześciu państwach. Aby zapewnić równe traktowanie grup krajowych, opodatkowanie wyrównawcze takich grup również wyłącza się na okres przejściowy wynoszący pięć lat.</w:t>
      </w:r>
    </w:p>
    <w:p w14:paraId="09D7D43D" w14:textId="1B11C39E"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Ponadto, uwzględniono sytuację państw członkowskich, w których główną siedzibę ma bardzo niewiele grup i w których mieści się bardzo niewielka liczba jednostek składowych. Natychmiastowe wymaganie stosowania Zasady IIR i Zasady UTPR przez administracje podatkowe tych państw członkowskich byłoby nieproporcjonalne; stąd umożliwiono takim państwom dokonanie wyboru o niestosowaniu Zasad IIR i UTPR przez ograniczony okres pod warunkiem odpowiedniego zawiadomienia Komisji Europejskiej.  </w:t>
      </w:r>
    </w:p>
    <w:p w14:paraId="37F5E6BA" w14:textId="77777777" w:rsidR="002A4C92"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Aby zachować równowagę między celami Systemu GloBE a obciążeniem administracyjnym dla administracji podatkowych i podatników, Dyrektywa przewiduje </w:t>
      </w:r>
      <w:r w:rsidRPr="00C30388">
        <w:rPr>
          <w:rFonts w:ascii="Times New Roman" w:hAnsi="Times New Roman" w:cs="Times New Roman"/>
          <w:b/>
          <w:sz w:val="24"/>
        </w:rPr>
        <w:t xml:space="preserve">wyłączenie </w:t>
      </w:r>
      <w:r w:rsidRPr="00C30388">
        <w:rPr>
          <w:rFonts w:ascii="Times New Roman" w:hAnsi="Times New Roman" w:cs="Times New Roman"/>
          <w:b/>
          <w:i/>
          <w:iCs/>
          <w:sz w:val="24"/>
        </w:rPr>
        <w:t>de minimis</w:t>
      </w:r>
      <w:r w:rsidRPr="00C30388">
        <w:rPr>
          <w:rFonts w:ascii="Times New Roman" w:hAnsi="Times New Roman" w:cs="Times New Roman"/>
          <w:i/>
          <w:iCs/>
          <w:sz w:val="24"/>
        </w:rPr>
        <w:t xml:space="preserve"> </w:t>
      </w:r>
      <w:r w:rsidRPr="00C30388">
        <w:rPr>
          <w:rFonts w:ascii="Times New Roman" w:hAnsi="Times New Roman" w:cs="Times New Roman"/>
          <w:sz w:val="24"/>
        </w:rPr>
        <w:t>dla grup międzynarodowych lub grup krajowych, których średni przychód wynosi mniej niż 10 mln euro, a średni kwalifikowany dochód (strata) – mniej niż 1  mln euro w danym państwie. Takie grupy międzynarodowe lub grupy krajowe nie będą zatem płacić podatku wyrównawczego, nawet jeśli ich efektywna stawka podatkowa jest niższa od minimalnej stawki podatkowej w danym państwie.</w:t>
      </w:r>
    </w:p>
    <w:p w14:paraId="6D6BB0B1" w14:textId="77777777" w:rsidR="003174C2" w:rsidRDefault="003174C2" w:rsidP="002A4C92">
      <w:pPr>
        <w:spacing w:after="120"/>
        <w:jc w:val="both"/>
        <w:rPr>
          <w:rFonts w:ascii="Times New Roman" w:hAnsi="Times New Roman" w:cs="Times New Roman"/>
          <w:sz w:val="24"/>
        </w:rPr>
      </w:pPr>
    </w:p>
    <w:p w14:paraId="0DF765FB" w14:textId="77777777" w:rsidR="003174C2" w:rsidRPr="00C30388" w:rsidRDefault="003174C2" w:rsidP="002A4C92">
      <w:pPr>
        <w:spacing w:after="120"/>
        <w:jc w:val="both"/>
        <w:rPr>
          <w:rFonts w:ascii="Times New Roman" w:hAnsi="Times New Roman" w:cs="Times New Roman"/>
          <w:sz w:val="24"/>
        </w:rPr>
      </w:pPr>
    </w:p>
    <w:p w14:paraId="6FA13ABE" w14:textId="77777777" w:rsidR="002A4C92" w:rsidRPr="00C30388" w:rsidRDefault="002A4C92" w:rsidP="002A4C92">
      <w:pPr>
        <w:spacing w:after="120"/>
        <w:jc w:val="both"/>
        <w:rPr>
          <w:rFonts w:ascii="Times New Roman" w:eastAsia="Times New Roman" w:hAnsi="Times New Roman" w:cs="Times New Roman"/>
          <w:i/>
          <w:sz w:val="24"/>
          <w:lang w:eastAsia="pl-PL"/>
        </w:rPr>
      </w:pPr>
      <w:r w:rsidRPr="00C30388">
        <w:rPr>
          <w:rFonts w:ascii="Times New Roman" w:eastAsia="Times New Roman" w:hAnsi="Times New Roman" w:cs="Times New Roman"/>
          <w:i/>
          <w:sz w:val="24"/>
          <w:lang w:eastAsia="pl-PL"/>
        </w:rPr>
        <w:lastRenderedPageBreak/>
        <w:t>Kwalifikowany krajowy podatek wyrównawczy (QDMTT)</w:t>
      </w:r>
    </w:p>
    <w:p w14:paraId="17578EAD" w14:textId="555B8BD8"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Dyrektywa, w ślad za </w:t>
      </w:r>
      <w:r w:rsidR="0007799D" w:rsidRPr="00C30388">
        <w:rPr>
          <w:rFonts w:ascii="Times New Roman" w:eastAsia="Times New Roman" w:hAnsi="Times New Roman" w:cs="Times New Roman"/>
          <w:sz w:val="24"/>
          <w:lang w:eastAsia="pl-PL"/>
        </w:rPr>
        <w:t>Modelowymi zasadami OECD</w:t>
      </w:r>
      <w:r w:rsidRPr="00C30388">
        <w:rPr>
          <w:rFonts w:ascii="Times New Roman" w:eastAsia="Times New Roman" w:hAnsi="Times New Roman" w:cs="Times New Roman"/>
          <w:sz w:val="24"/>
          <w:lang w:eastAsia="pl-PL"/>
        </w:rPr>
        <w:t xml:space="preserve">, przyznaje państwom członkowskim UE prawo do ustanowienia kwalifikowanego krajowego podatku wyrównawczego (ang. </w:t>
      </w:r>
      <w:r w:rsidRPr="00C30388">
        <w:rPr>
          <w:rFonts w:ascii="Times New Roman" w:eastAsia="Times New Roman" w:hAnsi="Times New Roman" w:cs="Times New Roman"/>
          <w:i/>
          <w:iCs/>
          <w:sz w:val="24"/>
          <w:lang w:eastAsia="pl-PL"/>
        </w:rPr>
        <w:t>qualified domestic minimum top-up tax - QDMTT</w:t>
      </w:r>
      <w:r w:rsidRPr="00C30388">
        <w:rPr>
          <w:rFonts w:ascii="Times New Roman" w:eastAsia="Times New Roman" w:hAnsi="Times New Roman" w:cs="Times New Roman"/>
          <w:sz w:val="24"/>
          <w:lang w:eastAsia="pl-PL"/>
        </w:rPr>
        <w:t>)</w:t>
      </w:r>
      <w:r w:rsidRPr="00C30388">
        <w:rPr>
          <w:rStyle w:val="Odwoanieprzypisudolnego"/>
          <w:rFonts w:ascii="Times New Roman" w:eastAsia="Times New Roman" w:hAnsi="Times New Roman" w:cs="Times New Roman"/>
          <w:sz w:val="24"/>
          <w:lang w:eastAsia="pl-PL"/>
        </w:rPr>
        <w:footnoteReference w:id="23"/>
      </w:r>
      <w:r w:rsidRPr="00C30388">
        <w:rPr>
          <w:rFonts w:ascii="Times New Roman" w:eastAsia="Times New Roman" w:hAnsi="Times New Roman" w:cs="Times New Roman"/>
          <w:sz w:val="24"/>
          <w:lang w:eastAsia="pl-PL"/>
        </w:rPr>
        <w:t xml:space="preserve">. </w:t>
      </w:r>
    </w:p>
    <w:p w14:paraId="15093BDF"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Ustanowienie takiego podatku może stanowić rodzaj tarczy chroniącej przed opodatkowaniem wyrównawczym dotyczącym jednostek składowych zlokalizowanych w danym państwie, jednakże nakładanym i pobieranym w państwie lokalizacji jednostki dominującej najwyższego szczebla. Ponadto, pozwoli państwom członkowskim UE czerpać korzyści z tytułu podatku wyrównawczego pobieranego od nisko opodatkowanych jednostek składowych zlokalizowanych na ich terytorium. Polska zamierza, podobnie jak wiele innych państw członkowskich UE i państw będących członkami Otwartych Ram, skorzystać z takiego prawa. Z tego względu niniejszy projekt ustawy zawiera również przepisy regulujące opodatkowanie takim podatkiem. </w:t>
      </w:r>
    </w:p>
    <w:p w14:paraId="1E4A9642"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W konsekwencji, jednostki składowe grup międzynarodowych zlokalizowanych w Polsce, jak również jednostki składowe grup krajowych, będą zobowiązane do wykonania tzw. testu efektywnej stawki podatkowej oraz do zapłaty krajowego podatku wyrównawczego w Polsce (o ile efektywna stawka podatkowa dla Rzeczypospolitej Polskiej wyniesie poniżej 15%, a dana jednostka składowa osiągnie kwalifikowany dochód). </w:t>
      </w:r>
    </w:p>
    <w:p w14:paraId="2E7316F4"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W odróżnieniu od Zasady IIR – podatek ten dotyczy wszystkich jednostek składowych zlokalizowanych w danym państwie i niezależnie od tego, czy dana jednostka składowa jest jednostką dominującą, będącą podatnikiem zobowiązanym do stosowania Zasady IIR. Tym niemniej, kwalifikowany dochód (strata) i skorygowane podatki kwalifikowane jednostek składowych, co do zasady, powinny być obliczane w taki sam sposób, jak w przypadku Zasady IIR, a konstrukcja tego podatku powinna w jak największym stopniu odzwierciedlać zasady przyjęte dla globalnego podatku wyrównawczego.</w:t>
      </w:r>
    </w:p>
    <w:p w14:paraId="1044523B" w14:textId="77777777" w:rsidR="002A4C92" w:rsidRPr="00C30388" w:rsidRDefault="002A4C92" w:rsidP="002A4C92">
      <w:pPr>
        <w:jc w:val="both"/>
        <w:rPr>
          <w:rFonts w:ascii="Times New Roman" w:hAnsi="Times New Roman" w:cs="Times New Roman"/>
          <w:sz w:val="24"/>
        </w:rPr>
      </w:pPr>
      <w:r w:rsidRPr="00C30388">
        <w:rPr>
          <w:rFonts w:ascii="Times New Roman" w:hAnsi="Times New Roman" w:cs="Times New Roman"/>
          <w:sz w:val="24"/>
        </w:rPr>
        <w:t>Z perspektywy Polski, krajowy podatek wyrównawczy będzie głównym elementem Systemu GloBE. W praktyce zakłada się, że podatnikami zobowiązanymi do zastosowania testu efektywnej stawki podatkowej na potrzeby tego podatku będzie kilka tysięcy jednostek (przede wszystkim polskich jednostek składowych grup międzynarodowych, z reguły z jednostką dominującą najwyższego szczebla zlokalizowaną w innym państwie), podczas gdy globalny podatek wyrównawczy będzie dotyczył jedynie kilkudziesięciu grup międzynarodowych z polską jednostką dominującą najwyższego szczebla.</w:t>
      </w:r>
    </w:p>
    <w:p w14:paraId="28134EC4"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Z opodatkowaniem QDMTT wiąże się również bezpieczna przystań w tym zakresie. Jeżeli tego typu podatek w danym państwie zyska tzw. status kwalifikowany na potrzeby bezpiecznej przystani dotyczącej QDMTT, jednostka dominująca z innego państwa nie zastosuje Zasady IIR wobec jednostek z danego państwa objętych QDMTT. Wyłączenie obowiązku rozliczenia podatku zgodnie z Zasadą IIR będzie jednak zależne od określonych warunków, w szczególności spełnienia przez lokalne przepisy standardów określonych w Wytycznych Administracyjnych.</w:t>
      </w:r>
      <w:r w:rsidRPr="00C30388">
        <w:rPr>
          <w:rStyle w:val="Odwoanieprzypisudolnego"/>
          <w:rFonts w:ascii="Times New Roman" w:eastAsia="Times New Roman" w:hAnsi="Times New Roman" w:cs="Times New Roman"/>
          <w:sz w:val="24"/>
          <w:lang w:eastAsia="pl-PL"/>
        </w:rPr>
        <w:footnoteReference w:id="24"/>
      </w:r>
    </w:p>
    <w:p w14:paraId="07C18AED"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 xml:space="preserve">Ponadto, działanie bezpiecznych przystani może sprawić, że jednostki dominujące grupy międzynarodowej nie stosowałyby Zasady IIR wobec ich nisko opodatkowanych jednostek </w:t>
      </w:r>
      <w:r w:rsidRPr="00C30388">
        <w:rPr>
          <w:rFonts w:ascii="Times New Roman" w:eastAsia="Times New Roman" w:hAnsi="Times New Roman" w:cs="Times New Roman"/>
          <w:sz w:val="24"/>
          <w:lang w:eastAsia="pl-PL"/>
        </w:rPr>
        <w:lastRenderedPageBreak/>
        <w:t xml:space="preserve">składowych z tego samego państwa, objętych QDMTT. Podobny efekt wystąpi w odniesieniu do grup krajowych (tj. jednostki dominujące takich grup nie zastosują Zasady IIR, jeżeli jednostki składowe tych grup objęte będą QDMTT). Takie rozumienie działania przepisów Dyrektywy, na tle Wytycznych Administracyjnych, zostało potwierdzone przez Komisję Europejską w ramach prac Grupy WPIV. </w:t>
      </w:r>
    </w:p>
    <w:p w14:paraId="26FB51C8" w14:textId="77777777" w:rsidR="002A4C92" w:rsidRPr="00C30388" w:rsidRDefault="002A4C92" w:rsidP="002A4C92">
      <w:pPr>
        <w:spacing w:after="120"/>
        <w:jc w:val="both"/>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Zgodnie z art. 11.4 Dyrektywy państwo członkowskie UE, które zdecyduje się na stosowanie kwalifikowanego krajowego podatku wyrównawczego, jest zobowiązane powiadomić o takim wyborze Komisję Europejską w ciągu czterech miesięcy od przyjęcia krajowych przepisów ustawowych, wykonawczych i administracyjnych, wprowadzających kwalifikowany krajowy podatek wyrównawczy. Wybór taki jest ważny przez okres trzech lat i nie może zostać w tym czasie odwołany. Pod koniec każdego trzyletniego okresu wybór jest automatycznie przedłużany, chyba że państwo członkowskie odwoła swój wybór. O każdym odwołaniu takiego wyboru powiadamia się Komisję Europejską nie później niż cztery miesiące przed końcem trzyletniego okresu.</w:t>
      </w:r>
    </w:p>
    <w:p w14:paraId="127D3B87" w14:textId="77777777" w:rsidR="002A4C92" w:rsidRPr="00C30388" w:rsidRDefault="002A4C92" w:rsidP="002A4C92">
      <w:pPr>
        <w:spacing w:after="120"/>
        <w:jc w:val="both"/>
        <w:rPr>
          <w:rFonts w:ascii="Times New Roman" w:hAnsi="Times New Roman" w:cs="Times New Roman"/>
          <w:bCs/>
          <w:i/>
          <w:sz w:val="24"/>
        </w:rPr>
      </w:pPr>
      <w:r w:rsidRPr="00C30388">
        <w:rPr>
          <w:rFonts w:ascii="Times New Roman" w:hAnsi="Times New Roman" w:cs="Times New Roman"/>
          <w:bCs/>
          <w:i/>
          <w:sz w:val="24"/>
        </w:rPr>
        <w:t xml:space="preserve">Reorganizacje i jednostki o szczególnej strukturze </w:t>
      </w:r>
    </w:p>
    <w:p w14:paraId="696163A9"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System GloBE zawiera także specjalne reguły odnoszące się do restrukturyzacji grup, wskazując konsekwencje przeniesienia części lub całości udziałów konsolidujących w jednostkach składowych wchodzących w skład grupy lub przeniesienia aktywów i zobowiązań jednostki składowej. Przepisy te obejmują również szczegółowe zasady obliczania wysokości progu skonsolidowanych przychodów po połączeniu lub podziale. Przewidują one ponadto zasady alokacji kwalifikowanego dochodu i podatków kwalifikowanych jednostki nabywanej, a także zasady obliczania wartości podatkowej aktywów i zobowiązań tej jednostki. </w:t>
      </w:r>
    </w:p>
    <w:p w14:paraId="58393E62"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Ponadto, w ramach Systemu GloBE funkcjonują szczególne kategorie jednostek, do których Zasady GloBE stosuje się w sposób specyficzny, w tym np. jednostki </w:t>
      </w:r>
      <w:r w:rsidRPr="00C30388">
        <w:rPr>
          <w:rFonts w:ascii="Times New Roman" w:hAnsi="Times New Roman" w:cs="Times New Roman"/>
          <w:bCs/>
          <w:i/>
          <w:iCs/>
          <w:sz w:val="24"/>
        </w:rPr>
        <w:t>joint venture</w:t>
      </w:r>
      <w:r w:rsidRPr="00C30388">
        <w:rPr>
          <w:rFonts w:ascii="Times New Roman" w:hAnsi="Times New Roman" w:cs="Times New Roman"/>
          <w:bCs/>
          <w:sz w:val="24"/>
        </w:rPr>
        <w:t xml:space="preserve"> lub jednostki inwestycyjne.  </w:t>
      </w:r>
    </w:p>
    <w:p w14:paraId="271B1656" w14:textId="77777777" w:rsidR="002A4C92" w:rsidRPr="00C30388" w:rsidRDefault="002A4C92" w:rsidP="002A4C92">
      <w:pPr>
        <w:spacing w:after="120"/>
        <w:jc w:val="both"/>
        <w:rPr>
          <w:rFonts w:ascii="Times New Roman" w:hAnsi="Times New Roman" w:cs="Times New Roman"/>
          <w:bCs/>
          <w:i/>
          <w:sz w:val="24"/>
        </w:rPr>
      </w:pPr>
      <w:r w:rsidRPr="00C30388">
        <w:rPr>
          <w:rFonts w:ascii="Times New Roman" w:hAnsi="Times New Roman" w:cs="Times New Roman"/>
          <w:bCs/>
          <w:i/>
          <w:sz w:val="24"/>
        </w:rPr>
        <w:t xml:space="preserve">Systemy opodatkowania oparte na dystrybucji zysków </w:t>
      </w:r>
    </w:p>
    <w:p w14:paraId="5534A7D3"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System GloBE uwzględnia również niektóre specyficzne reguły opodatkowania funkcjonujące w niektórych państwach. Chodzi w szczególności o rozwiązania przewidujące opodatkowanie dopiero w momencie dystrybucji zysków (w przypadku Polski rozwiązaniem tego typu jest w szczególności ryczałt od dochodów spółek, zwany potocznie „</w:t>
      </w:r>
      <w:r w:rsidRPr="00C30388">
        <w:rPr>
          <w:rFonts w:ascii="Times New Roman" w:hAnsi="Times New Roman" w:cs="Times New Roman"/>
          <w:b/>
          <w:sz w:val="24"/>
        </w:rPr>
        <w:t>estońskim CIT</w:t>
      </w:r>
      <w:r w:rsidRPr="00C30388">
        <w:rPr>
          <w:rFonts w:ascii="Times New Roman" w:hAnsi="Times New Roman" w:cs="Times New Roman"/>
          <w:bCs/>
          <w:sz w:val="24"/>
        </w:rPr>
        <w:t xml:space="preserve">”).  </w:t>
      </w:r>
    </w:p>
    <w:p w14:paraId="60172789" w14:textId="77777777" w:rsidR="002A4C92" w:rsidRPr="00C30388" w:rsidRDefault="002A4C92" w:rsidP="002A4C92">
      <w:pPr>
        <w:spacing w:after="120"/>
        <w:jc w:val="both"/>
        <w:rPr>
          <w:rFonts w:ascii="Times New Roman" w:hAnsi="Times New Roman" w:cs="Times New Roman"/>
          <w:bCs/>
          <w:sz w:val="24"/>
        </w:rPr>
      </w:pPr>
    </w:p>
    <w:p w14:paraId="7354A375"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i/>
          <w:sz w:val="24"/>
        </w:rPr>
        <w:t>Obowiązki administracyjne i sprawozdawcze</w:t>
      </w:r>
    </w:p>
    <w:p w14:paraId="110FC6E7" w14:textId="03F5999A"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Z wprowadzeniem Systemu GloBE będą wiązać się daleko idące obowiązki administracyjne i sprawozdawcze, zarówno po stronie grup międzynarodowych oraz grup krajowych nim objętych, jak również po stronie organów podatkowych poszczególnych państw, w których takie grupy działają. Głównym wyzwaniem, z jakim mierzyć się będą grupy objęte tym systemem, będzie zgromadzenie danych niezbędnych do wyliczenia poszczególnych kategorii podatkowych funkcjonujących w ramach </w:t>
      </w:r>
      <w:r w:rsidR="00595132" w:rsidRPr="00C30388">
        <w:rPr>
          <w:rFonts w:ascii="Times New Roman" w:hAnsi="Times New Roman" w:cs="Times New Roman"/>
          <w:sz w:val="24"/>
        </w:rPr>
        <w:t>Modelowych zasad</w:t>
      </w:r>
      <w:r w:rsidRPr="00C30388">
        <w:rPr>
          <w:rFonts w:ascii="Times New Roman" w:hAnsi="Times New Roman" w:cs="Times New Roman"/>
          <w:sz w:val="24"/>
        </w:rPr>
        <w:t xml:space="preserve"> OECD. Następnie, dane te muszą zostać dostarczone w odpowiednim terminie administracji podatkowej. Służyć będzie temu specjalna deklaracja informacyjna (dalej jako „</w:t>
      </w:r>
      <w:r w:rsidRPr="00C30388">
        <w:rPr>
          <w:rFonts w:ascii="Times New Roman" w:hAnsi="Times New Roman" w:cs="Times New Roman"/>
          <w:b/>
          <w:bCs/>
          <w:sz w:val="24"/>
        </w:rPr>
        <w:t>Informacja GloBE</w:t>
      </w:r>
      <w:r w:rsidRPr="00C30388">
        <w:rPr>
          <w:rFonts w:ascii="Times New Roman" w:hAnsi="Times New Roman" w:cs="Times New Roman"/>
          <w:sz w:val="24"/>
        </w:rPr>
        <w:t>”</w:t>
      </w:r>
      <w:r w:rsidR="00660F13" w:rsidRPr="00C30388">
        <w:rPr>
          <w:rFonts w:ascii="Times New Roman" w:hAnsi="Times New Roman" w:cs="Times New Roman"/>
          <w:sz w:val="24"/>
        </w:rPr>
        <w:t xml:space="preserve"> lub „GIR”</w:t>
      </w:r>
      <w:r w:rsidRPr="00C30388">
        <w:rPr>
          <w:rFonts w:ascii="Times New Roman" w:hAnsi="Times New Roman" w:cs="Times New Roman"/>
          <w:sz w:val="24"/>
        </w:rPr>
        <w:t xml:space="preserve">, ang. </w:t>
      </w:r>
      <w:r w:rsidRPr="00C30388">
        <w:rPr>
          <w:rFonts w:ascii="Times New Roman" w:hAnsi="Times New Roman" w:cs="Times New Roman"/>
          <w:i/>
          <w:iCs/>
          <w:sz w:val="24"/>
        </w:rPr>
        <w:t>GloBE Information Return</w:t>
      </w:r>
      <w:r w:rsidRPr="00C30388">
        <w:rPr>
          <w:rFonts w:ascii="Times New Roman" w:hAnsi="Times New Roman" w:cs="Times New Roman"/>
          <w:sz w:val="24"/>
        </w:rPr>
        <w:t>).</w:t>
      </w:r>
      <w:r w:rsidRPr="00C30388">
        <w:rPr>
          <w:rStyle w:val="Odwoanieprzypisudolnego"/>
          <w:rFonts w:ascii="Times New Roman" w:hAnsi="Times New Roman" w:cs="Times New Roman"/>
          <w:sz w:val="24"/>
        </w:rPr>
        <w:footnoteReference w:id="25"/>
      </w:r>
      <w:r w:rsidRPr="00C30388">
        <w:rPr>
          <w:rFonts w:ascii="Times New Roman" w:hAnsi="Times New Roman" w:cs="Times New Roman"/>
          <w:sz w:val="24"/>
        </w:rPr>
        <w:t xml:space="preserve"> </w:t>
      </w:r>
    </w:p>
    <w:p w14:paraId="254E4816"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lastRenderedPageBreak/>
        <w:t>Regulacje dostosowawcze i przejściowe</w:t>
      </w:r>
    </w:p>
    <w:p w14:paraId="4730485D" w14:textId="0012679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Zarówno Modelowe </w:t>
      </w:r>
      <w:r w:rsidR="00ED3A9E" w:rsidRPr="00C30388">
        <w:rPr>
          <w:rFonts w:ascii="Times New Roman" w:hAnsi="Times New Roman" w:cs="Times New Roman"/>
          <w:sz w:val="24"/>
        </w:rPr>
        <w:t>z</w:t>
      </w:r>
      <w:r w:rsidRPr="00C30388">
        <w:rPr>
          <w:rFonts w:ascii="Times New Roman" w:hAnsi="Times New Roman" w:cs="Times New Roman"/>
          <w:sz w:val="24"/>
        </w:rPr>
        <w:t xml:space="preserve">asady OECD, jak i Dyrektywa, przewidują regulacje szczególne odnoszące się do początkowego okresu obowiązywania Systemu GloBE, w szczególności zasady dotyczące ujmowania podatku odroczonego. </w:t>
      </w:r>
    </w:p>
    <w:p w14:paraId="2254DF7E" w14:textId="5DB9BEBD"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Ponadto, w zakresie niektórych rozwiązań przez najbliższych kilka lat funkcjonować będą przepisy przejściowe. Taka sytuacja dotyczy m.in. wysokości wskaźników branych pod uwagę przy ustalaniu tzw. substratu majątkowo-osobowego.   </w:t>
      </w:r>
    </w:p>
    <w:p w14:paraId="39D7471B" w14:textId="3A980508" w:rsidR="004165B0" w:rsidRPr="00C30388" w:rsidRDefault="004165B0" w:rsidP="002A4C92">
      <w:pPr>
        <w:spacing w:after="120"/>
        <w:jc w:val="both"/>
        <w:rPr>
          <w:rFonts w:ascii="Times New Roman" w:hAnsi="Times New Roman" w:cs="Times New Roman"/>
          <w:i/>
          <w:iCs/>
          <w:sz w:val="24"/>
        </w:rPr>
      </w:pPr>
      <w:r w:rsidRPr="00C30388">
        <w:rPr>
          <w:rFonts w:ascii="Times New Roman" w:hAnsi="Times New Roman" w:cs="Times New Roman"/>
          <w:i/>
          <w:iCs/>
          <w:sz w:val="24"/>
        </w:rPr>
        <w:t>Wdrożenie Zasad GloBE na gruncie projektowanej ustawy – zakres podmiotowy i przedmiotowy, zwolnienia podmiotowe i ulgi</w:t>
      </w:r>
    </w:p>
    <w:p w14:paraId="1801AE13" w14:textId="77777777" w:rsidR="004165B0" w:rsidRPr="00C30388" w:rsidRDefault="004165B0" w:rsidP="004165B0">
      <w:pPr>
        <w:autoSpaceDE w:val="0"/>
        <w:autoSpaceDN w:val="0"/>
        <w:adjustRightInd w:val="0"/>
        <w:spacing w:after="120" w:line="240" w:lineRule="auto"/>
        <w:jc w:val="both"/>
        <w:rPr>
          <w:rFonts w:ascii="Times New Roman" w:hAnsi="Times New Roman" w:cs="Times New Roman"/>
          <w:i/>
          <w:iCs/>
          <w:sz w:val="24"/>
        </w:rPr>
      </w:pPr>
      <w:r w:rsidRPr="00C30388">
        <w:rPr>
          <w:rFonts w:ascii="Times New Roman" w:hAnsi="Times New Roman" w:cs="Times New Roman"/>
          <w:i/>
          <w:iCs/>
          <w:sz w:val="24"/>
        </w:rPr>
        <w:t>(i.) Zakres podmiotowy</w:t>
      </w:r>
    </w:p>
    <w:p w14:paraId="137FC634" w14:textId="7C4A6AA1" w:rsidR="004165B0" w:rsidRPr="00C30388" w:rsidRDefault="004165B0" w:rsidP="004165B0">
      <w:pPr>
        <w:autoSpaceDE w:val="0"/>
        <w:autoSpaceDN w:val="0"/>
        <w:adjustRightInd w:val="0"/>
        <w:spacing w:after="0" w:line="240" w:lineRule="auto"/>
        <w:jc w:val="both"/>
        <w:rPr>
          <w:rFonts w:ascii="Times New Roman" w:hAnsi="Times New Roman" w:cs="Times New Roman"/>
          <w:sz w:val="24"/>
        </w:rPr>
      </w:pPr>
      <w:r w:rsidRPr="00C30388">
        <w:rPr>
          <w:rFonts w:ascii="Times New Roman" w:hAnsi="Times New Roman" w:cs="Times New Roman"/>
          <w:sz w:val="24"/>
        </w:rPr>
        <w:t>Na zakres podmiotowy projektowanej ustawy składają się:</w:t>
      </w:r>
    </w:p>
    <w:p w14:paraId="1492309D" w14:textId="4DC978D8" w:rsidR="00303199" w:rsidRPr="00C30388" w:rsidRDefault="004165B0" w:rsidP="009E73F7">
      <w:pPr>
        <w:pStyle w:val="Akapitzlist"/>
        <w:numPr>
          <w:ilvl w:val="0"/>
          <w:numId w:val="151"/>
        </w:numPr>
        <w:autoSpaceDE w:val="0"/>
        <w:autoSpaceDN w:val="0"/>
        <w:adjustRightInd w:val="0"/>
        <w:spacing w:before="60" w:after="0" w:line="240" w:lineRule="auto"/>
        <w:contextualSpacing w:val="0"/>
        <w:jc w:val="both"/>
        <w:rPr>
          <w:rFonts w:ascii="Times New Roman" w:hAnsi="Times New Roman" w:cs="Times New Roman"/>
          <w:b/>
          <w:bCs/>
          <w:sz w:val="24"/>
        </w:rPr>
      </w:pPr>
      <w:r w:rsidRPr="00C30388">
        <w:rPr>
          <w:rFonts w:ascii="Times New Roman" w:hAnsi="Times New Roman" w:cs="Times New Roman"/>
          <w:b/>
          <w:bCs/>
          <w:sz w:val="24"/>
        </w:rPr>
        <w:t>przepisy o minimalnym przychodzie grupowym (750 mln EUR)</w:t>
      </w:r>
      <w:r w:rsidR="00303199" w:rsidRPr="00C30388">
        <w:rPr>
          <w:rFonts w:ascii="Times New Roman" w:hAnsi="Times New Roman" w:cs="Times New Roman"/>
          <w:b/>
          <w:bCs/>
          <w:sz w:val="24"/>
        </w:rPr>
        <w:t xml:space="preserve"> – art. 4</w:t>
      </w:r>
    </w:p>
    <w:p w14:paraId="4AABEA71" w14:textId="57DA3A86" w:rsidR="00303199" w:rsidRPr="00C30388" w:rsidRDefault="00303199" w:rsidP="003E7A67">
      <w:pPr>
        <w:pStyle w:val="Akapitzlist"/>
        <w:autoSpaceDE w:val="0"/>
        <w:autoSpaceDN w:val="0"/>
        <w:adjustRightInd w:val="0"/>
        <w:spacing w:before="60" w:after="0" w:line="240" w:lineRule="auto"/>
        <w:contextualSpacing w:val="0"/>
        <w:jc w:val="both"/>
        <w:rPr>
          <w:rFonts w:ascii="Times New Roman" w:hAnsi="Times New Roman" w:cs="Times New Roman"/>
          <w:sz w:val="24"/>
        </w:rPr>
      </w:pPr>
      <w:r w:rsidRPr="00C30388">
        <w:rPr>
          <w:rFonts w:ascii="Times New Roman" w:hAnsi="Times New Roman" w:cs="Times New Roman"/>
          <w:sz w:val="24"/>
        </w:rPr>
        <w:t xml:space="preserve">Przepisy te </w:t>
      </w:r>
      <w:r w:rsidR="004165B0" w:rsidRPr="00C30388">
        <w:rPr>
          <w:rFonts w:ascii="Times New Roman" w:hAnsi="Times New Roman" w:cs="Times New Roman"/>
          <w:sz w:val="24"/>
        </w:rPr>
        <w:t>wyznaczają, które grupy międzynarodowe i grupy krajowe będą objęte przepisami ustawy (jest to pierwszy etap ustalania zakresu podmiotowego)</w:t>
      </w:r>
      <w:r w:rsidRPr="00C30388">
        <w:rPr>
          <w:rFonts w:ascii="Times New Roman" w:hAnsi="Times New Roman" w:cs="Times New Roman"/>
          <w:sz w:val="24"/>
        </w:rPr>
        <w:t xml:space="preserve">. </w:t>
      </w:r>
      <w:r w:rsidRPr="00C30388">
        <w:rPr>
          <w:rFonts w:ascii="Times New Roman" w:hAnsi="Times New Roman" w:cs="Times New Roman"/>
          <w:bCs/>
          <w:sz w:val="24"/>
          <w:lang w:eastAsia="pl-PL"/>
        </w:rPr>
        <w:t>Zatem, zakresem ustawy będą objęte grupy międzynarodowe i grupy krajowe, które przekroczą wskazany wyżej minimalny przychód grupowy. Próg ten odnosi się do kwoty osiągniętych przez daną grupę skonsolidowanych przychodów, rozumianych jako roczne przychody wykazane w skonsolidowanym sprawozdaniu finansowym sporządzanym przez jednostkę dominującą najwyższego szczebla takiej grupy, które wyniosły co najmniej 750 mln euro. Aby dana grupa była objęta przepisami ustawy, warunek ten musi być spełniony w 2 z 4 ostatnich lat poprzedzających dany rok podatkowy.</w:t>
      </w:r>
    </w:p>
    <w:p w14:paraId="2D381536" w14:textId="4533BC68" w:rsidR="00303199" w:rsidRPr="00C30388" w:rsidRDefault="004165B0" w:rsidP="009E73F7">
      <w:pPr>
        <w:pStyle w:val="Akapitzlist"/>
        <w:numPr>
          <w:ilvl w:val="0"/>
          <w:numId w:val="151"/>
        </w:numPr>
        <w:autoSpaceDE w:val="0"/>
        <w:autoSpaceDN w:val="0"/>
        <w:adjustRightInd w:val="0"/>
        <w:spacing w:before="60" w:after="60" w:line="240" w:lineRule="auto"/>
        <w:ind w:left="714" w:hanging="357"/>
        <w:contextualSpacing w:val="0"/>
        <w:jc w:val="both"/>
        <w:rPr>
          <w:rFonts w:ascii="Times New Roman" w:hAnsi="Times New Roman" w:cs="Times New Roman"/>
          <w:b/>
          <w:bCs/>
          <w:sz w:val="24"/>
        </w:rPr>
      </w:pPr>
      <w:r w:rsidRPr="00C30388">
        <w:rPr>
          <w:rFonts w:ascii="Times New Roman" w:hAnsi="Times New Roman" w:cs="Times New Roman"/>
          <w:b/>
          <w:bCs/>
          <w:sz w:val="24"/>
        </w:rPr>
        <w:t xml:space="preserve">przepisy regulujące jednostki wyłączone </w:t>
      </w:r>
      <w:r w:rsidR="00303199" w:rsidRPr="00C30388">
        <w:rPr>
          <w:rFonts w:ascii="Times New Roman" w:hAnsi="Times New Roman" w:cs="Times New Roman"/>
          <w:b/>
          <w:bCs/>
          <w:sz w:val="24"/>
        </w:rPr>
        <w:t>– art. 5</w:t>
      </w:r>
    </w:p>
    <w:p w14:paraId="23C9209A" w14:textId="62966639" w:rsidR="00303199" w:rsidRPr="00C30388" w:rsidRDefault="00303199" w:rsidP="003E7A67">
      <w:pPr>
        <w:spacing w:after="120"/>
        <w:ind w:left="708"/>
        <w:jc w:val="both"/>
        <w:rPr>
          <w:rFonts w:ascii="Times New Roman" w:hAnsi="Times New Roman" w:cs="Times New Roman"/>
          <w:bCs/>
          <w:sz w:val="24"/>
        </w:rPr>
      </w:pPr>
      <w:r w:rsidRPr="00C30388">
        <w:rPr>
          <w:rFonts w:ascii="Times New Roman" w:hAnsi="Times New Roman" w:cs="Times New Roman"/>
          <w:sz w:val="24"/>
        </w:rPr>
        <w:t>P</w:t>
      </w:r>
      <w:r w:rsidR="004165B0" w:rsidRPr="00C30388">
        <w:rPr>
          <w:rFonts w:ascii="Times New Roman" w:hAnsi="Times New Roman" w:cs="Times New Roman"/>
          <w:sz w:val="24"/>
        </w:rPr>
        <w:t>o ustaleniu, że dana grupa jest objęta przepisami ustawy, w drugim kroku należy zbadać, czy niektóre jednostki tej grupy mają status jednostek wyłączonych</w:t>
      </w:r>
      <w:r w:rsidRPr="00C30388">
        <w:rPr>
          <w:rFonts w:ascii="Times New Roman" w:hAnsi="Times New Roman" w:cs="Times New Roman"/>
          <w:sz w:val="24"/>
        </w:rPr>
        <w:t xml:space="preserve">. W świetle art. 5 jednostki wyłączone obejmują: </w:t>
      </w:r>
      <w:r w:rsidRPr="00C30388">
        <w:rPr>
          <w:rFonts w:ascii="Times New Roman" w:hAnsi="Times New Roman" w:cs="Times New Roman"/>
          <w:bCs/>
          <w:sz w:val="24"/>
        </w:rPr>
        <w:t>jednostki rządowe, organizacje międzynarodowe, organizacje nienastawione na zysk, fundusze emerytalne, a także fundusze inwestycyjne i jednostki inwestujące w nieruchomości będące  jednostką dominującą najwyższego szczebla danej grupy</w:t>
      </w:r>
      <w:r w:rsidR="00095FE5" w:rsidRPr="00C30388">
        <w:rPr>
          <w:rFonts w:ascii="Times New Roman" w:hAnsi="Times New Roman" w:cs="Times New Roman"/>
          <w:bCs/>
          <w:sz w:val="24"/>
        </w:rPr>
        <w:t xml:space="preserve">, jak również określone </w:t>
      </w:r>
      <w:r w:rsidRPr="00C30388">
        <w:rPr>
          <w:rFonts w:ascii="Times New Roman" w:hAnsi="Times New Roman" w:cs="Times New Roman"/>
          <w:bCs/>
          <w:sz w:val="24"/>
        </w:rPr>
        <w:t>wyłączone jednostki pomocnicze.</w:t>
      </w:r>
      <w:r w:rsidR="00095FE5" w:rsidRPr="00C30388">
        <w:rPr>
          <w:rFonts w:ascii="Times New Roman" w:hAnsi="Times New Roman" w:cs="Times New Roman"/>
          <w:bCs/>
          <w:sz w:val="24"/>
        </w:rPr>
        <w:t xml:space="preserve"> Wobec jednostek wyłączonych nie liczy się ETR i poszczególnych podatków wyrównawczych, jednak ich przychody uwzględnia się przy badaniu minimalnego przychodu grupowego.</w:t>
      </w:r>
    </w:p>
    <w:p w14:paraId="71AEC9D5" w14:textId="0447E7FD" w:rsidR="004165B0" w:rsidRPr="00C30388" w:rsidRDefault="004165B0" w:rsidP="009E73F7">
      <w:pPr>
        <w:pStyle w:val="Akapitzlist"/>
        <w:numPr>
          <w:ilvl w:val="0"/>
          <w:numId w:val="151"/>
        </w:numPr>
        <w:autoSpaceDE w:val="0"/>
        <w:autoSpaceDN w:val="0"/>
        <w:adjustRightInd w:val="0"/>
        <w:spacing w:before="60" w:after="60" w:line="240" w:lineRule="auto"/>
        <w:ind w:left="714" w:hanging="357"/>
        <w:contextualSpacing w:val="0"/>
        <w:jc w:val="both"/>
        <w:rPr>
          <w:rFonts w:ascii="Times New Roman" w:hAnsi="Times New Roman" w:cs="Times New Roman"/>
          <w:b/>
          <w:bCs/>
          <w:sz w:val="24"/>
        </w:rPr>
      </w:pPr>
      <w:r w:rsidRPr="00C30388">
        <w:rPr>
          <w:rFonts w:ascii="Times New Roman" w:hAnsi="Times New Roman" w:cs="Times New Roman"/>
          <w:b/>
          <w:bCs/>
          <w:sz w:val="24"/>
        </w:rPr>
        <w:t>przepisy dotyczące poszczególnych grup podatników</w:t>
      </w:r>
      <w:r w:rsidR="007E2A14" w:rsidRPr="00C30388">
        <w:rPr>
          <w:rFonts w:ascii="Times New Roman" w:hAnsi="Times New Roman" w:cs="Times New Roman"/>
          <w:b/>
          <w:bCs/>
          <w:sz w:val="24"/>
        </w:rPr>
        <w:t xml:space="preserve"> –</w:t>
      </w:r>
      <w:r w:rsidR="00303199" w:rsidRPr="00C30388">
        <w:rPr>
          <w:rFonts w:ascii="Times New Roman" w:hAnsi="Times New Roman" w:cs="Times New Roman"/>
          <w:b/>
          <w:bCs/>
          <w:sz w:val="24"/>
        </w:rPr>
        <w:t xml:space="preserve"> </w:t>
      </w:r>
      <w:r w:rsidRPr="00C30388">
        <w:rPr>
          <w:rFonts w:ascii="Times New Roman" w:hAnsi="Times New Roman" w:cs="Times New Roman"/>
          <w:b/>
          <w:bCs/>
          <w:sz w:val="24"/>
        </w:rPr>
        <w:t>art. 10, 24 i 32</w:t>
      </w:r>
    </w:p>
    <w:p w14:paraId="1252D57D" w14:textId="559B8311" w:rsidR="004165B0" w:rsidRPr="00C30388" w:rsidRDefault="004165B0" w:rsidP="003E7A67">
      <w:pPr>
        <w:spacing w:after="120"/>
        <w:ind w:left="709"/>
        <w:jc w:val="both"/>
        <w:rPr>
          <w:rFonts w:ascii="Times New Roman" w:hAnsi="Times New Roman" w:cs="Times New Roman"/>
          <w:sz w:val="24"/>
        </w:rPr>
      </w:pPr>
      <w:r w:rsidRPr="00C30388">
        <w:rPr>
          <w:rFonts w:ascii="Times New Roman" w:hAnsi="Times New Roman" w:cs="Times New Roman"/>
          <w:sz w:val="24"/>
        </w:rPr>
        <w:t xml:space="preserve">W odniesieniu do podatników, należy podkreślić, że przepisy projektowanej ustawy przewidują szeroki katalog podatników. W przypadku globalnego podatku wyrównawczego będą to określone jednostki dominujące zlokalizowane na terytorium Rzeczypospolitej Polskiej (przede wszystkim jednostki dominujące najwyższego szczebla grup objętych zakresem ustawy). Na bazie dalszych przepisów (art. 11), co do zasady </w:t>
      </w:r>
      <w:r w:rsidRPr="00C30388">
        <w:rPr>
          <w:rFonts w:ascii="Times New Roman" w:hAnsi="Times New Roman" w:cs="Times New Roman"/>
          <w:sz w:val="24"/>
          <w:u w:val="single"/>
        </w:rPr>
        <w:t>wszyscy podatnicy będą zobowiązani do obliczenia efektywnej stawki podatkowej (ETR) dla jednostek składowych, w których posiadają określony udział własnościowy (co do zasady konsolidujący)</w:t>
      </w:r>
      <w:r w:rsidRPr="00C30388">
        <w:rPr>
          <w:rFonts w:ascii="Times New Roman" w:hAnsi="Times New Roman" w:cs="Times New Roman"/>
          <w:sz w:val="24"/>
        </w:rPr>
        <w:t>. Będzie to wymagało złożonych obliczeń w zakresie kwalifikowanego dochodu, skorygowanych podatków kwalifikowanych i innych kategorii określonych w ustawie. Zarazem podatnicy będą zobowiązani do udokumentowania tych obliczeń w Informacji GloBE (</w:t>
      </w:r>
      <w:r w:rsidRPr="00C30388">
        <w:rPr>
          <w:rFonts w:ascii="Times New Roman" w:hAnsi="Times New Roman" w:cs="Times New Roman"/>
          <w:i/>
          <w:iCs/>
          <w:sz w:val="24"/>
        </w:rPr>
        <w:t>GloBE Information Return</w:t>
      </w:r>
      <w:r w:rsidRPr="00C30388">
        <w:rPr>
          <w:rFonts w:ascii="Times New Roman" w:hAnsi="Times New Roman" w:cs="Times New Roman"/>
          <w:sz w:val="24"/>
        </w:rPr>
        <w:t xml:space="preserve">). Tym samym, każdy z podatników wskazanych w art. 10 będzie zobowiązany przepisami </w:t>
      </w:r>
      <w:r w:rsidRPr="00C30388">
        <w:rPr>
          <w:rFonts w:ascii="Times New Roman" w:hAnsi="Times New Roman" w:cs="Times New Roman"/>
          <w:sz w:val="24"/>
        </w:rPr>
        <w:lastRenderedPageBreak/>
        <w:t xml:space="preserve">ustawy do wykonania powyższego kroku (testu efektywnej stawki podatkowej), co jest bardzo istotnym i kluczowym obowiązkiem na gruncie Zasad GloBE (przy czym pod pewnymi warunkami obowiązki te mogą przejąć wyznaczone jednostki). </w:t>
      </w:r>
      <w:r w:rsidRPr="00C30388">
        <w:rPr>
          <w:rFonts w:ascii="Times New Roman" w:hAnsi="Times New Roman" w:cs="Times New Roman"/>
          <w:sz w:val="24"/>
          <w:u w:val="single"/>
        </w:rPr>
        <w:t>Dopiero w drugim kroku, jeżeli ETR wyniesie poniżej 15%</w:t>
      </w:r>
      <w:r w:rsidRPr="00C30388">
        <w:rPr>
          <w:rFonts w:ascii="Times New Roman" w:hAnsi="Times New Roman" w:cs="Times New Roman"/>
          <w:sz w:val="24"/>
        </w:rPr>
        <w:t>,</w:t>
      </w:r>
      <w:r w:rsidRPr="00C30388">
        <w:rPr>
          <w:rFonts w:ascii="Times New Roman" w:hAnsi="Times New Roman" w:cs="Times New Roman"/>
          <w:sz w:val="24"/>
          <w:u w:val="single"/>
        </w:rPr>
        <w:t xml:space="preserve"> jednostki dominujące będące podatnikami obliczą globalny podatek wyrównawczy</w:t>
      </w:r>
      <w:r w:rsidRPr="00C30388">
        <w:rPr>
          <w:rFonts w:ascii="Times New Roman" w:hAnsi="Times New Roman" w:cs="Times New Roman"/>
          <w:sz w:val="24"/>
        </w:rPr>
        <w:t xml:space="preserve"> w odniesieniu do nisko opodatkowanych jednostek składowych, w których posiadają odpowiednie udziały.</w:t>
      </w:r>
    </w:p>
    <w:p w14:paraId="647C4F46" w14:textId="207461A0" w:rsidR="004165B0" w:rsidRPr="00C30388" w:rsidRDefault="004165B0" w:rsidP="003E7A67">
      <w:pPr>
        <w:autoSpaceDE w:val="0"/>
        <w:autoSpaceDN w:val="0"/>
        <w:adjustRightInd w:val="0"/>
        <w:spacing w:line="240" w:lineRule="auto"/>
        <w:ind w:left="708"/>
        <w:jc w:val="both"/>
        <w:rPr>
          <w:rFonts w:ascii="Times New Roman" w:hAnsi="Times New Roman" w:cs="Times New Roman"/>
          <w:sz w:val="24"/>
        </w:rPr>
      </w:pPr>
      <w:r w:rsidRPr="00C30388">
        <w:rPr>
          <w:rFonts w:ascii="Times New Roman" w:hAnsi="Times New Roman" w:cs="Times New Roman"/>
          <w:sz w:val="24"/>
        </w:rPr>
        <w:t xml:space="preserve">Podobny schemat występuje na gruncie krajowego podatku wyrównawczego. Katalog podatników z art. 24 jest szeroki, tj. obejmuje przede wszystkim wszystkie zlokalizowane na terytorium Rzeczypospolitej Polski jednostki składowe grup międzynarodowych i grup krajowych objętych zakresem ustawy, jak również pewne jednostki szczególne. Co do zasady </w:t>
      </w:r>
      <w:r w:rsidRPr="00C30388">
        <w:rPr>
          <w:rFonts w:ascii="Times New Roman" w:hAnsi="Times New Roman" w:cs="Times New Roman"/>
          <w:sz w:val="24"/>
          <w:u w:val="single"/>
        </w:rPr>
        <w:t>wszyscy podatnicy są zobowiązani do wykonania w pierwszej kolejności testu efektywnej stawki podatkowej</w:t>
      </w:r>
      <w:r w:rsidRPr="00C30388">
        <w:rPr>
          <w:rFonts w:ascii="Times New Roman" w:hAnsi="Times New Roman" w:cs="Times New Roman"/>
          <w:sz w:val="24"/>
        </w:rPr>
        <w:t>, z uwzględnieniem zasady jurysdykcyjnego scalenia (</w:t>
      </w:r>
      <w:r w:rsidRPr="00C30388">
        <w:rPr>
          <w:rFonts w:ascii="Times New Roman" w:hAnsi="Times New Roman" w:cs="Times New Roman"/>
          <w:i/>
          <w:iCs/>
          <w:sz w:val="24"/>
        </w:rPr>
        <w:t>jurisdictional blending</w:t>
      </w:r>
      <w:r w:rsidRPr="00C30388">
        <w:rPr>
          <w:rFonts w:ascii="Times New Roman" w:hAnsi="Times New Roman" w:cs="Times New Roman"/>
          <w:sz w:val="24"/>
        </w:rPr>
        <w:t xml:space="preserve">) i złożenia Informacji GloBE. </w:t>
      </w:r>
      <w:r w:rsidRPr="00C30388">
        <w:rPr>
          <w:rFonts w:ascii="Times New Roman" w:hAnsi="Times New Roman" w:cs="Times New Roman"/>
          <w:sz w:val="24"/>
          <w:u w:val="single"/>
        </w:rPr>
        <w:t>W drugim kroku, jeżeli ETR danej grupy wyniesie dla Rzeczypospolitej Polski poniżej 15%</w:t>
      </w:r>
      <w:r w:rsidRPr="00C30388">
        <w:rPr>
          <w:rFonts w:ascii="Times New Roman" w:hAnsi="Times New Roman" w:cs="Times New Roman"/>
          <w:sz w:val="24"/>
        </w:rPr>
        <w:t>, podatnicy tej grupy obliczą krajowy podatek wyrównawczy. W odróżnieniu od globalnego podatku, podatnicy krajowego podatku wyrównawczego obliczą ten podatek nie dla jednostek, w których posiadają udział, tylko „dla samych siebie”, z uwzględnieniem zasady jurysdykcyjnego scalenia i określonych zasad alokacji</w:t>
      </w:r>
      <w:r w:rsidR="005746D3" w:rsidRPr="00C30388">
        <w:rPr>
          <w:rFonts w:ascii="Times New Roman" w:hAnsi="Times New Roman" w:cs="Times New Roman"/>
          <w:sz w:val="24"/>
        </w:rPr>
        <w:t xml:space="preserve"> / przydziału</w:t>
      </w:r>
      <w:r w:rsidRPr="00C30388">
        <w:rPr>
          <w:rFonts w:ascii="Times New Roman" w:hAnsi="Times New Roman" w:cs="Times New Roman"/>
          <w:sz w:val="24"/>
        </w:rPr>
        <w:t xml:space="preserve"> podatku.</w:t>
      </w:r>
    </w:p>
    <w:p w14:paraId="0FFA2CBD" w14:textId="77777777" w:rsidR="004165B0" w:rsidRPr="00C30388" w:rsidRDefault="004165B0" w:rsidP="004165B0">
      <w:pPr>
        <w:autoSpaceDE w:val="0"/>
        <w:autoSpaceDN w:val="0"/>
        <w:adjustRightInd w:val="0"/>
        <w:spacing w:after="120" w:line="240" w:lineRule="auto"/>
        <w:jc w:val="both"/>
        <w:rPr>
          <w:rFonts w:ascii="Times New Roman" w:hAnsi="Times New Roman" w:cs="Times New Roman"/>
          <w:i/>
          <w:iCs/>
          <w:sz w:val="24"/>
        </w:rPr>
      </w:pPr>
      <w:r w:rsidRPr="00C30388">
        <w:rPr>
          <w:rFonts w:ascii="Times New Roman" w:hAnsi="Times New Roman" w:cs="Times New Roman"/>
          <w:i/>
          <w:iCs/>
          <w:sz w:val="24"/>
        </w:rPr>
        <w:t>(ii.) Przedmiot opodatkowania</w:t>
      </w:r>
    </w:p>
    <w:p w14:paraId="0522462C" w14:textId="50167589" w:rsidR="004165B0" w:rsidRPr="00C30388" w:rsidRDefault="004165B0" w:rsidP="004165B0">
      <w:pPr>
        <w:autoSpaceDE w:val="0"/>
        <w:autoSpaceDN w:val="0"/>
        <w:adjustRightInd w:val="0"/>
        <w:spacing w:after="0" w:line="240" w:lineRule="auto"/>
        <w:jc w:val="both"/>
        <w:rPr>
          <w:rFonts w:ascii="Times New Roman" w:hAnsi="Times New Roman" w:cs="Times New Roman"/>
          <w:sz w:val="24"/>
        </w:rPr>
      </w:pPr>
      <w:r w:rsidRPr="00C30388">
        <w:rPr>
          <w:rFonts w:ascii="Times New Roman" w:hAnsi="Times New Roman" w:cs="Times New Roman"/>
          <w:sz w:val="24"/>
        </w:rPr>
        <w:t xml:space="preserve">W odniesieniu do </w:t>
      </w:r>
      <w:r w:rsidRPr="00C30388">
        <w:rPr>
          <w:rFonts w:ascii="Times New Roman" w:hAnsi="Times New Roman" w:cs="Times New Roman"/>
          <w:b/>
          <w:bCs/>
          <w:sz w:val="24"/>
        </w:rPr>
        <w:t>przedmiotu opodatkowania</w:t>
      </w:r>
      <w:r w:rsidRPr="00C30388">
        <w:rPr>
          <w:rFonts w:ascii="Times New Roman" w:hAnsi="Times New Roman" w:cs="Times New Roman"/>
          <w:sz w:val="24"/>
        </w:rPr>
        <w:t xml:space="preserve"> kluczowym jest wystąpienie </w:t>
      </w:r>
      <w:r w:rsidRPr="00C30388">
        <w:rPr>
          <w:rFonts w:ascii="Times New Roman" w:hAnsi="Times New Roman" w:cs="Times New Roman"/>
          <w:b/>
          <w:bCs/>
          <w:sz w:val="24"/>
        </w:rPr>
        <w:t>niskiego poziomu opodatkowania (&lt;15% ETR) i konsekwentnie nisko opodatkowanej jednostki</w:t>
      </w:r>
      <w:r w:rsidRPr="00C30388">
        <w:rPr>
          <w:rFonts w:ascii="Times New Roman" w:hAnsi="Times New Roman" w:cs="Times New Roman"/>
          <w:sz w:val="24"/>
        </w:rPr>
        <w:t>. W przypadku globalnego podatku wyrównawczego chodzi co do zasady o nisko opodatkowane jednostki składowe, w których podatnik (jednostka dominująca) ma określony udział</w:t>
      </w:r>
      <w:r w:rsidR="004E1942" w:rsidRPr="00C30388">
        <w:rPr>
          <w:rFonts w:ascii="Times New Roman" w:hAnsi="Times New Roman" w:cs="Times New Roman"/>
          <w:sz w:val="24"/>
        </w:rPr>
        <w:t xml:space="preserve"> (</w:t>
      </w:r>
      <w:r w:rsidR="004E1942" w:rsidRPr="00C30388">
        <w:rPr>
          <w:rFonts w:ascii="Times New Roman" w:hAnsi="Times New Roman" w:cs="Times New Roman"/>
          <w:b/>
          <w:bCs/>
          <w:sz w:val="24"/>
        </w:rPr>
        <w:t xml:space="preserve">w tym przypadku przedmiot opodatkowania </w:t>
      </w:r>
      <w:r w:rsidR="00F60D19" w:rsidRPr="00C30388">
        <w:rPr>
          <w:rFonts w:ascii="Times New Roman" w:hAnsi="Times New Roman" w:cs="Times New Roman"/>
          <w:b/>
          <w:bCs/>
          <w:sz w:val="24"/>
        </w:rPr>
        <w:t>zdefiniowany został w</w:t>
      </w:r>
      <w:r w:rsidR="004E1942" w:rsidRPr="00C30388">
        <w:rPr>
          <w:rFonts w:ascii="Times New Roman" w:hAnsi="Times New Roman" w:cs="Times New Roman"/>
          <w:b/>
          <w:bCs/>
          <w:sz w:val="24"/>
        </w:rPr>
        <w:t xml:space="preserve"> art. 12 ust. 1</w:t>
      </w:r>
      <w:r w:rsidR="004E1942" w:rsidRPr="00C30388">
        <w:rPr>
          <w:rFonts w:ascii="Times New Roman" w:hAnsi="Times New Roman" w:cs="Times New Roman"/>
          <w:sz w:val="24"/>
        </w:rPr>
        <w:t>)</w:t>
      </w:r>
      <w:r w:rsidRPr="00C30388">
        <w:rPr>
          <w:rFonts w:ascii="Times New Roman" w:hAnsi="Times New Roman" w:cs="Times New Roman"/>
          <w:sz w:val="24"/>
        </w:rPr>
        <w:t>. Natomiast w przypadku krajowego podatku wyrównawczego podatnikami są poszczególne jednostki składowe (w większości „na dole” struktury holdingowej). Tym samym,  to sami podatnicy mogą być nisko opodatkowanymi jednostkami.</w:t>
      </w:r>
      <w:r w:rsidR="004E1942" w:rsidRPr="00C30388">
        <w:rPr>
          <w:rFonts w:ascii="Times New Roman" w:hAnsi="Times New Roman" w:cs="Times New Roman"/>
          <w:sz w:val="24"/>
        </w:rPr>
        <w:t xml:space="preserve"> </w:t>
      </w:r>
      <w:r w:rsidR="004E1942" w:rsidRPr="00C30388">
        <w:rPr>
          <w:rFonts w:ascii="Times New Roman" w:hAnsi="Times New Roman" w:cs="Times New Roman"/>
          <w:b/>
          <w:bCs/>
          <w:sz w:val="24"/>
        </w:rPr>
        <w:t xml:space="preserve">W tym przypadku przedmiot opodatkowania </w:t>
      </w:r>
      <w:r w:rsidR="00F60D19" w:rsidRPr="00C30388">
        <w:rPr>
          <w:rFonts w:ascii="Times New Roman" w:hAnsi="Times New Roman" w:cs="Times New Roman"/>
          <w:b/>
          <w:bCs/>
          <w:sz w:val="24"/>
        </w:rPr>
        <w:t>zdefiniowany został w</w:t>
      </w:r>
      <w:r w:rsidR="004E1942" w:rsidRPr="00C30388">
        <w:rPr>
          <w:rFonts w:ascii="Times New Roman" w:hAnsi="Times New Roman" w:cs="Times New Roman"/>
          <w:b/>
          <w:bCs/>
          <w:sz w:val="24"/>
        </w:rPr>
        <w:t xml:space="preserve"> art. 25 ust. 1</w:t>
      </w:r>
      <w:r w:rsidR="0055716F" w:rsidRPr="00C30388">
        <w:rPr>
          <w:rFonts w:ascii="Times New Roman" w:hAnsi="Times New Roman" w:cs="Times New Roman"/>
          <w:sz w:val="24"/>
        </w:rPr>
        <w:t>.</w:t>
      </w:r>
    </w:p>
    <w:p w14:paraId="5B6FB158" w14:textId="77777777" w:rsidR="004165B0" w:rsidRPr="00C30388" w:rsidRDefault="004165B0" w:rsidP="004165B0">
      <w:pPr>
        <w:autoSpaceDE w:val="0"/>
        <w:autoSpaceDN w:val="0"/>
        <w:adjustRightInd w:val="0"/>
        <w:spacing w:after="0" w:line="240" w:lineRule="auto"/>
        <w:jc w:val="both"/>
        <w:rPr>
          <w:rFonts w:ascii="Times New Roman" w:hAnsi="Times New Roman" w:cs="Times New Roman"/>
          <w:sz w:val="24"/>
        </w:rPr>
      </w:pPr>
    </w:p>
    <w:p w14:paraId="1E147439" w14:textId="0EEAA95B" w:rsidR="004165B0" w:rsidRPr="00C30388" w:rsidRDefault="004165B0" w:rsidP="004165B0">
      <w:pPr>
        <w:autoSpaceDE w:val="0"/>
        <w:autoSpaceDN w:val="0"/>
        <w:adjustRightInd w:val="0"/>
        <w:spacing w:after="0" w:line="240" w:lineRule="auto"/>
        <w:jc w:val="both"/>
        <w:rPr>
          <w:rFonts w:ascii="Times New Roman" w:hAnsi="Times New Roman" w:cs="Times New Roman"/>
          <w:sz w:val="24"/>
        </w:rPr>
      </w:pPr>
      <w:r w:rsidRPr="00C30388">
        <w:rPr>
          <w:rFonts w:ascii="Times New Roman" w:hAnsi="Times New Roman" w:cs="Times New Roman"/>
          <w:sz w:val="24"/>
        </w:rPr>
        <w:t xml:space="preserve">Natomiast w odniesieniu do </w:t>
      </w:r>
      <w:r w:rsidRPr="00C30388">
        <w:rPr>
          <w:rFonts w:ascii="Times New Roman" w:hAnsi="Times New Roman" w:cs="Times New Roman"/>
          <w:b/>
          <w:bCs/>
          <w:sz w:val="24"/>
        </w:rPr>
        <w:t>podstawy opodatkowania</w:t>
      </w:r>
      <w:r w:rsidRPr="00C30388">
        <w:rPr>
          <w:rFonts w:ascii="Times New Roman" w:hAnsi="Times New Roman" w:cs="Times New Roman"/>
          <w:sz w:val="24"/>
        </w:rPr>
        <w:t>, kluczowa jest „</w:t>
      </w:r>
      <w:r w:rsidRPr="00C30388">
        <w:rPr>
          <w:rFonts w:ascii="Times New Roman" w:hAnsi="Times New Roman" w:cs="Times New Roman"/>
          <w:b/>
          <w:bCs/>
          <w:sz w:val="24"/>
        </w:rPr>
        <w:t>nadwyżka zysku”, tj. jurysdykcyjny kwalifikowany dochód netto pomniejszony o wyłączenie z tytułu substratu majątkowo-osobowego</w:t>
      </w:r>
      <w:r w:rsidRPr="00C30388">
        <w:rPr>
          <w:rFonts w:ascii="Times New Roman" w:hAnsi="Times New Roman" w:cs="Times New Roman"/>
          <w:sz w:val="24"/>
        </w:rPr>
        <w:t>. W pewnym sensie można określić, że nadwyżka zysku podlega opodatkowaniu według „indywidualnej stawki podatkowej” i dalszym dostosowaniom zgodnie, z art. 13 i 26 projektu.</w:t>
      </w:r>
    </w:p>
    <w:p w14:paraId="5EB86008" w14:textId="77777777" w:rsidR="004165B0" w:rsidRPr="00C30388" w:rsidRDefault="004165B0" w:rsidP="004165B0">
      <w:pPr>
        <w:autoSpaceDE w:val="0"/>
        <w:autoSpaceDN w:val="0"/>
        <w:adjustRightInd w:val="0"/>
        <w:spacing w:after="0" w:line="240" w:lineRule="auto"/>
        <w:jc w:val="both"/>
        <w:rPr>
          <w:rFonts w:ascii="Times New Roman" w:hAnsi="Times New Roman" w:cs="Times New Roman"/>
          <w:sz w:val="24"/>
        </w:rPr>
      </w:pPr>
    </w:p>
    <w:p w14:paraId="624908B1" w14:textId="77777777" w:rsidR="004165B0" w:rsidRPr="00C30388" w:rsidRDefault="004165B0" w:rsidP="004165B0">
      <w:pPr>
        <w:autoSpaceDE w:val="0"/>
        <w:autoSpaceDN w:val="0"/>
        <w:adjustRightInd w:val="0"/>
        <w:spacing w:after="0" w:line="240" w:lineRule="auto"/>
        <w:jc w:val="both"/>
        <w:rPr>
          <w:rFonts w:ascii="Times New Roman" w:hAnsi="Times New Roman" w:cs="Times New Roman"/>
          <w:sz w:val="24"/>
        </w:rPr>
      </w:pPr>
      <w:r w:rsidRPr="00C30388">
        <w:rPr>
          <w:rFonts w:ascii="Times New Roman" w:hAnsi="Times New Roman" w:cs="Times New Roman"/>
          <w:sz w:val="24"/>
        </w:rPr>
        <w:t xml:space="preserve">Przedmiot opodatkowania, podstawa opodatkowania i stawka podatkowa występują zatem w największym zakresie </w:t>
      </w:r>
      <w:r w:rsidRPr="00C30388">
        <w:rPr>
          <w:rFonts w:ascii="Times New Roman" w:hAnsi="Times New Roman" w:cs="Times New Roman"/>
          <w:sz w:val="24"/>
          <w:u w:val="single"/>
        </w:rPr>
        <w:t>na poziomie jurysdykcyjnego podatku</w:t>
      </w:r>
      <w:r w:rsidRPr="00C30388">
        <w:rPr>
          <w:rFonts w:ascii="Times New Roman" w:hAnsi="Times New Roman" w:cs="Times New Roman"/>
          <w:sz w:val="24"/>
        </w:rPr>
        <w:t>. Dalsze przepisy służą przede wszystkim alokacji tak wyliczonego podatku pomiędzy poszczególne jednostki.</w:t>
      </w:r>
    </w:p>
    <w:p w14:paraId="26DF5CD2" w14:textId="77777777" w:rsidR="004165B0" w:rsidRPr="00C30388" w:rsidRDefault="004165B0" w:rsidP="004165B0">
      <w:pPr>
        <w:autoSpaceDE w:val="0"/>
        <w:autoSpaceDN w:val="0"/>
        <w:adjustRightInd w:val="0"/>
        <w:spacing w:after="0" w:line="240" w:lineRule="auto"/>
        <w:jc w:val="both"/>
        <w:rPr>
          <w:rFonts w:ascii="Times New Roman" w:hAnsi="Times New Roman" w:cs="Times New Roman"/>
          <w:sz w:val="24"/>
        </w:rPr>
      </w:pPr>
    </w:p>
    <w:p w14:paraId="61F8BB0E" w14:textId="77777777" w:rsidR="004165B0" w:rsidRPr="00C30388" w:rsidRDefault="004165B0" w:rsidP="003E7A67">
      <w:pPr>
        <w:autoSpaceDE w:val="0"/>
        <w:autoSpaceDN w:val="0"/>
        <w:adjustRightInd w:val="0"/>
        <w:spacing w:after="120" w:line="240" w:lineRule="auto"/>
        <w:jc w:val="both"/>
        <w:rPr>
          <w:rFonts w:ascii="Times New Roman" w:hAnsi="Times New Roman" w:cs="Times New Roman"/>
          <w:i/>
          <w:iCs/>
          <w:sz w:val="24"/>
        </w:rPr>
      </w:pPr>
      <w:r w:rsidRPr="00C30388">
        <w:rPr>
          <w:rFonts w:ascii="Times New Roman" w:hAnsi="Times New Roman" w:cs="Times New Roman"/>
          <w:i/>
          <w:iCs/>
          <w:sz w:val="24"/>
        </w:rPr>
        <w:t>(iii.) Stawki podatkowe</w:t>
      </w:r>
    </w:p>
    <w:p w14:paraId="3CD83C44" w14:textId="77777777" w:rsidR="004165B0" w:rsidRPr="00C30388" w:rsidRDefault="004165B0" w:rsidP="003E7A67">
      <w:pPr>
        <w:autoSpaceDE w:val="0"/>
        <w:autoSpaceDN w:val="0"/>
        <w:adjustRightInd w:val="0"/>
        <w:spacing w:after="120" w:line="240" w:lineRule="auto"/>
        <w:jc w:val="both"/>
        <w:rPr>
          <w:rFonts w:ascii="Times New Roman" w:hAnsi="Times New Roman" w:cs="Times New Roman"/>
          <w:sz w:val="24"/>
        </w:rPr>
      </w:pPr>
      <w:r w:rsidRPr="00C30388">
        <w:rPr>
          <w:rFonts w:ascii="Times New Roman" w:hAnsi="Times New Roman" w:cs="Times New Roman"/>
          <w:sz w:val="24"/>
        </w:rPr>
        <w:t>Jak zaznaczono powyżej, stawki podatkowe na gruncie globalnego podatku wyrównawczego i krajowego podatku wyrównawczego są określone w art. 13 i 26 projekcie, na poziomie jurysdykcyjnym.</w:t>
      </w:r>
    </w:p>
    <w:p w14:paraId="0DC45084" w14:textId="77777777" w:rsidR="004165B0" w:rsidRPr="00C30388" w:rsidRDefault="004165B0" w:rsidP="004165B0">
      <w:pPr>
        <w:spacing w:after="120" w:line="240" w:lineRule="auto"/>
        <w:jc w:val="both"/>
        <w:rPr>
          <w:rFonts w:ascii="Times New Roman" w:hAnsi="Times New Roman" w:cs="Times New Roman"/>
          <w:iCs/>
          <w:sz w:val="24"/>
        </w:rPr>
      </w:pPr>
      <w:r w:rsidRPr="00C30388">
        <w:rPr>
          <w:rFonts w:ascii="Times New Roman" w:hAnsi="Times New Roman" w:cs="Times New Roman"/>
          <w:sz w:val="24"/>
        </w:rPr>
        <w:t xml:space="preserve">Indywidualna stawka podatkowa to, zgodnie z definicją wskazaną w ww. przepisach, </w:t>
      </w:r>
      <w:r w:rsidRPr="00C30388">
        <w:rPr>
          <w:rFonts w:ascii="Times New Roman" w:hAnsi="Times New Roman" w:cs="Times New Roman"/>
          <w:sz w:val="24"/>
          <w:u w:val="single"/>
        </w:rPr>
        <w:t xml:space="preserve">różnica pomiędzy </w:t>
      </w:r>
      <w:r w:rsidRPr="00C30388">
        <w:rPr>
          <w:rStyle w:val="Kkursywa"/>
          <w:rFonts w:ascii="Times New Roman" w:hAnsi="Times New Roman" w:cs="Times New Roman"/>
          <w:sz w:val="24"/>
          <w:u w:val="single"/>
        </w:rPr>
        <w:t>stawką 15% a efektywną stawką podatkową</w:t>
      </w:r>
      <w:r w:rsidRPr="00C30388">
        <w:rPr>
          <w:rFonts w:ascii="Times New Roman" w:hAnsi="Times New Roman" w:cs="Times New Roman"/>
          <w:iCs/>
          <w:sz w:val="24"/>
          <w:u w:val="single"/>
        </w:rPr>
        <w:t xml:space="preserve"> określoną dla danego państwa za rok podatkowy</w:t>
      </w:r>
      <w:r w:rsidRPr="00C30388">
        <w:rPr>
          <w:rFonts w:ascii="Times New Roman" w:hAnsi="Times New Roman" w:cs="Times New Roman"/>
          <w:iCs/>
          <w:sz w:val="24"/>
        </w:rPr>
        <w:t xml:space="preserve">. Przykładowo, jeżeli efektywna stawka podatkowa (ETR) wynosi 8%, </w:t>
      </w:r>
      <w:r w:rsidRPr="00C30388">
        <w:rPr>
          <w:rFonts w:ascii="Times New Roman" w:hAnsi="Times New Roman" w:cs="Times New Roman"/>
          <w:iCs/>
          <w:sz w:val="24"/>
        </w:rPr>
        <w:lastRenderedPageBreak/>
        <w:t>indywidualna stawka podatkowa równa jest 7% (15%–8%). Stawka ta jest specyficzna dla danej grupy i dla danego roku podatkowego w zależności od poziomu ETR za dany rok; stąd, proponowane określenie „indywidualna”. Tym samym, na gruncie zasad GloBE brak jest sztywnej jednolitej stawki podatkowej, która miałaby zastosowanie do wszystkich podatników lub określonych grup podatników.</w:t>
      </w:r>
    </w:p>
    <w:p w14:paraId="3F517E64" w14:textId="77777777" w:rsidR="004165B0" w:rsidRPr="00C30388" w:rsidRDefault="004165B0" w:rsidP="004165B0">
      <w:pPr>
        <w:spacing w:after="120" w:line="240" w:lineRule="auto"/>
        <w:jc w:val="both"/>
        <w:rPr>
          <w:rFonts w:ascii="Times New Roman" w:hAnsi="Times New Roman" w:cs="Times New Roman"/>
          <w:iCs/>
          <w:sz w:val="24"/>
        </w:rPr>
      </w:pPr>
      <w:r w:rsidRPr="00C30388">
        <w:rPr>
          <w:rFonts w:ascii="Times New Roman" w:hAnsi="Times New Roman" w:cs="Times New Roman"/>
          <w:iCs/>
          <w:sz w:val="24"/>
        </w:rPr>
        <w:t>Tak wyliczana stawka podatkowa ma też w praktyce zastosowanie na potrzeby pierwszego etapu wyliczenia podatku wyrównawczego od niedostatecznie opodatkowanych zysków (UTPR). Najpierw bowiem oblicza się kwalifikowany globalny podatek wyrównawczy lub kwalifikowany krajowy podatek wyrównawczy, a w przypadku stwierdzenia przez polskiego podatnika, iż nie podlegają one zapłacie, taka niepodlegająca zapłacie kwota służy wyliczeniu podatku UTPR. Samo wyliczenie podatku UTPR służy bardziej technicznej alokacji niezapłaconej kwoty do podatników danej grupy zlokalizowanych na terytorium Rzeczypospolitej Polskiej.</w:t>
      </w:r>
    </w:p>
    <w:p w14:paraId="346AA323" w14:textId="77777777" w:rsidR="004165B0" w:rsidRPr="00C30388" w:rsidRDefault="004165B0" w:rsidP="003E7A67">
      <w:pPr>
        <w:autoSpaceDE w:val="0"/>
        <w:autoSpaceDN w:val="0"/>
        <w:adjustRightInd w:val="0"/>
        <w:spacing w:after="120" w:line="240" w:lineRule="auto"/>
        <w:jc w:val="both"/>
        <w:rPr>
          <w:rFonts w:ascii="Times New Roman" w:hAnsi="Times New Roman" w:cs="Times New Roman"/>
          <w:i/>
          <w:iCs/>
          <w:sz w:val="24"/>
        </w:rPr>
      </w:pPr>
      <w:r w:rsidRPr="00C30388">
        <w:rPr>
          <w:rFonts w:ascii="Times New Roman" w:hAnsi="Times New Roman" w:cs="Times New Roman"/>
          <w:i/>
          <w:iCs/>
          <w:sz w:val="24"/>
        </w:rPr>
        <w:t>(iv.) Podmioty zwolnione z opodatkowania</w:t>
      </w:r>
    </w:p>
    <w:p w14:paraId="1D7E6178" w14:textId="49FFF8D2" w:rsidR="004165B0" w:rsidRPr="00C30388" w:rsidRDefault="004165B0" w:rsidP="003E7A67">
      <w:pPr>
        <w:autoSpaceDE w:val="0"/>
        <w:autoSpaceDN w:val="0"/>
        <w:adjustRightInd w:val="0"/>
        <w:spacing w:after="120" w:line="240" w:lineRule="auto"/>
        <w:jc w:val="both"/>
        <w:rPr>
          <w:rFonts w:ascii="Times New Roman" w:hAnsi="Times New Roman" w:cs="Times New Roman"/>
          <w:sz w:val="24"/>
        </w:rPr>
      </w:pPr>
      <w:r w:rsidRPr="00C30388">
        <w:rPr>
          <w:rFonts w:ascii="Times New Roman" w:hAnsi="Times New Roman" w:cs="Times New Roman"/>
          <w:sz w:val="24"/>
        </w:rPr>
        <w:t>Jak zaznaczono wcześniej, podmiotami zwolnionymi z opodatkowania są jednostki wyłączone, o których mowa w art. 5 projektowanej ustawy. Do jednostek tych nie stosuje się w ogóle przepisów ustawy, za wyjątkiem włączenia ich przychodu do minimalnego przychodu grupowego.</w:t>
      </w:r>
    </w:p>
    <w:p w14:paraId="0C98A738" w14:textId="77777777" w:rsidR="004165B0" w:rsidRPr="00C30388" w:rsidRDefault="004165B0" w:rsidP="003E7A67">
      <w:pPr>
        <w:autoSpaceDE w:val="0"/>
        <w:autoSpaceDN w:val="0"/>
        <w:adjustRightInd w:val="0"/>
        <w:spacing w:after="120" w:line="240" w:lineRule="auto"/>
        <w:jc w:val="both"/>
        <w:rPr>
          <w:rFonts w:ascii="Times New Roman" w:hAnsi="Times New Roman" w:cs="Times New Roman"/>
          <w:i/>
          <w:iCs/>
          <w:sz w:val="24"/>
        </w:rPr>
      </w:pPr>
      <w:r w:rsidRPr="00C30388">
        <w:rPr>
          <w:rFonts w:ascii="Times New Roman" w:hAnsi="Times New Roman" w:cs="Times New Roman"/>
          <w:i/>
          <w:iCs/>
          <w:sz w:val="24"/>
        </w:rPr>
        <w:t>(v.) Ulgi podatkowe</w:t>
      </w:r>
    </w:p>
    <w:p w14:paraId="2539C14D" w14:textId="77777777" w:rsidR="004165B0" w:rsidRPr="00C30388" w:rsidRDefault="004165B0" w:rsidP="003E7A67">
      <w:pPr>
        <w:autoSpaceDE w:val="0"/>
        <w:autoSpaceDN w:val="0"/>
        <w:adjustRightInd w:val="0"/>
        <w:spacing w:after="120" w:line="240" w:lineRule="auto"/>
        <w:jc w:val="both"/>
        <w:rPr>
          <w:rFonts w:ascii="Times New Roman" w:hAnsi="Times New Roman" w:cs="Times New Roman"/>
          <w:sz w:val="24"/>
        </w:rPr>
      </w:pPr>
      <w:r w:rsidRPr="00C30388">
        <w:rPr>
          <w:rFonts w:ascii="Times New Roman" w:hAnsi="Times New Roman" w:cs="Times New Roman"/>
          <w:sz w:val="24"/>
        </w:rPr>
        <w:t xml:space="preserve">Projektowana ustawa nie zawiera ulg podatkowych w klasycznym rozumieniu polegających w szczególności na odliczeniu określonych kwot od podstawy opodatkowania (np. wydatków inwestycyjnych) albo od podatku. </w:t>
      </w:r>
    </w:p>
    <w:p w14:paraId="2A3350B7" w14:textId="330728C5" w:rsidR="00F60D19" w:rsidRPr="00C30388" w:rsidRDefault="004165B0" w:rsidP="00F60D19">
      <w:pPr>
        <w:autoSpaceDE w:val="0"/>
        <w:autoSpaceDN w:val="0"/>
        <w:adjustRightInd w:val="0"/>
        <w:spacing w:after="0" w:line="240" w:lineRule="auto"/>
        <w:jc w:val="both"/>
        <w:rPr>
          <w:rFonts w:ascii="Times New Roman" w:hAnsi="Times New Roman" w:cs="Times New Roman"/>
          <w:sz w:val="24"/>
        </w:rPr>
      </w:pPr>
      <w:r w:rsidRPr="00C30388">
        <w:rPr>
          <w:rFonts w:ascii="Times New Roman" w:hAnsi="Times New Roman" w:cs="Times New Roman"/>
          <w:sz w:val="24"/>
        </w:rPr>
        <w:t xml:space="preserve">Należy zauważyć, że zawiera jednak szereg </w:t>
      </w:r>
      <w:r w:rsidR="00F60D19" w:rsidRPr="00C30388">
        <w:rPr>
          <w:rFonts w:ascii="Times New Roman" w:hAnsi="Times New Roman" w:cs="Times New Roman"/>
          <w:sz w:val="24"/>
        </w:rPr>
        <w:t xml:space="preserve">preferencyjnych dla podatników </w:t>
      </w:r>
      <w:r w:rsidRPr="00C30388">
        <w:rPr>
          <w:rFonts w:ascii="Times New Roman" w:hAnsi="Times New Roman" w:cs="Times New Roman"/>
          <w:sz w:val="24"/>
        </w:rPr>
        <w:t>rozwiązań określanych jako bezpieczne przystanie.</w:t>
      </w:r>
      <w:r w:rsidR="00F60D19" w:rsidRPr="00C30388">
        <w:rPr>
          <w:rFonts w:ascii="Times New Roman" w:hAnsi="Times New Roman" w:cs="Times New Roman"/>
          <w:sz w:val="24"/>
        </w:rPr>
        <w:t xml:space="preserve"> Obejmują one przede wszystkim:</w:t>
      </w:r>
    </w:p>
    <w:p w14:paraId="0DAC4CA8" w14:textId="77777777" w:rsidR="00F60D19" w:rsidRPr="00C30388" w:rsidRDefault="00F60D19" w:rsidP="009E73F7">
      <w:pPr>
        <w:pStyle w:val="Akapitzlist"/>
        <w:numPr>
          <w:ilvl w:val="0"/>
          <w:numId w:val="152"/>
        </w:numPr>
        <w:autoSpaceDE w:val="0"/>
        <w:autoSpaceDN w:val="0"/>
        <w:adjustRightInd w:val="0"/>
        <w:spacing w:before="60" w:after="0" w:line="240" w:lineRule="auto"/>
        <w:contextualSpacing w:val="0"/>
        <w:jc w:val="both"/>
        <w:rPr>
          <w:rFonts w:ascii="Times New Roman" w:hAnsi="Times New Roman" w:cs="Times New Roman"/>
          <w:sz w:val="24"/>
        </w:rPr>
      </w:pPr>
      <w:r w:rsidRPr="00C30388">
        <w:rPr>
          <w:rFonts w:ascii="Times New Roman" w:hAnsi="Times New Roman" w:cs="Times New Roman"/>
          <w:sz w:val="24"/>
        </w:rPr>
        <w:t xml:space="preserve">wyłączenie </w:t>
      </w:r>
      <w:r w:rsidRPr="00C30388">
        <w:rPr>
          <w:rFonts w:ascii="Times New Roman" w:hAnsi="Times New Roman" w:cs="Times New Roman"/>
          <w:i/>
          <w:iCs/>
          <w:sz w:val="24"/>
        </w:rPr>
        <w:t>de minimis</w:t>
      </w:r>
      <w:r w:rsidRPr="00C30388">
        <w:rPr>
          <w:rFonts w:ascii="Times New Roman" w:hAnsi="Times New Roman" w:cs="Times New Roman"/>
          <w:sz w:val="24"/>
        </w:rPr>
        <w:t>, wprowadzające zwolnienie z globalnego krajowego podatku wyrównawczego i krajowego podatku wyrównawczego w przypadku nieprzekroczenia, za dany rok, określonych progów w zakresie dochodu i przychodu (art. 124);</w:t>
      </w:r>
    </w:p>
    <w:p w14:paraId="26058A25" w14:textId="7BF95B5D" w:rsidR="00F60D19" w:rsidRPr="00C30388" w:rsidRDefault="00F60D19" w:rsidP="009E73F7">
      <w:pPr>
        <w:pStyle w:val="Akapitzlist"/>
        <w:numPr>
          <w:ilvl w:val="0"/>
          <w:numId w:val="152"/>
        </w:numPr>
        <w:autoSpaceDE w:val="0"/>
        <w:autoSpaceDN w:val="0"/>
        <w:adjustRightInd w:val="0"/>
        <w:spacing w:before="60" w:after="0" w:line="240" w:lineRule="auto"/>
        <w:contextualSpacing w:val="0"/>
        <w:jc w:val="both"/>
        <w:rPr>
          <w:rFonts w:ascii="Times New Roman" w:hAnsi="Times New Roman" w:cs="Times New Roman"/>
          <w:sz w:val="24"/>
        </w:rPr>
      </w:pPr>
      <w:r w:rsidRPr="00C30388">
        <w:rPr>
          <w:rFonts w:ascii="Times New Roman" w:hAnsi="Times New Roman" w:cs="Times New Roman"/>
          <w:sz w:val="24"/>
        </w:rPr>
        <w:t xml:space="preserve">bezpieczną przystań w zakresie kwalifikowanego krajowego podatku wyrównawczego  - </w:t>
      </w:r>
      <w:r w:rsidRPr="00C30388">
        <w:rPr>
          <w:rFonts w:ascii="Times New Roman" w:hAnsi="Times New Roman" w:cs="Times New Roman"/>
          <w:i/>
          <w:iCs/>
          <w:sz w:val="24"/>
        </w:rPr>
        <w:t>ang. QDMTT safe harbour</w:t>
      </w:r>
      <w:r w:rsidRPr="00C30388">
        <w:rPr>
          <w:rFonts w:ascii="Times New Roman" w:hAnsi="Times New Roman" w:cs="Times New Roman"/>
          <w:sz w:val="24"/>
        </w:rPr>
        <w:t xml:space="preserve"> - wprowadzającą zwolnienie z globalnego podatku wyrównawczego w przypadku zapłaty kwalifikowanego krajowego podatku wyrównawczego w państwie, które spełniło wymogi OECD w zakresie bezpiecznych przystani tego rodzaju (art. 125);</w:t>
      </w:r>
    </w:p>
    <w:p w14:paraId="3D91815D" w14:textId="77777777" w:rsidR="00F60D19" w:rsidRPr="00C30388" w:rsidRDefault="00F60D19" w:rsidP="009E73F7">
      <w:pPr>
        <w:pStyle w:val="Akapitzlist"/>
        <w:numPr>
          <w:ilvl w:val="0"/>
          <w:numId w:val="152"/>
        </w:numPr>
        <w:autoSpaceDE w:val="0"/>
        <w:autoSpaceDN w:val="0"/>
        <w:adjustRightInd w:val="0"/>
        <w:spacing w:before="60" w:after="0" w:line="240" w:lineRule="auto"/>
        <w:contextualSpacing w:val="0"/>
        <w:jc w:val="both"/>
        <w:rPr>
          <w:rFonts w:ascii="Times New Roman" w:hAnsi="Times New Roman" w:cs="Times New Roman"/>
          <w:sz w:val="24"/>
        </w:rPr>
      </w:pPr>
      <w:r w:rsidRPr="00C30388">
        <w:rPr>
          <w:rFonts w:ascii="Times New Roman" w:hAnsi="Times New Roman" w:cs="Times New Roman"/>
          <w:sz w:val="24"/>
        </w:rPr>
        <w:t>zwolnienie 5-letnie dla grup międzynarodowych, które nie przekroczyły określonych progów w zakresie liczby państw, w których prowadzą działalność i wartości rzeczowych aktywów trwałych (art. 128);</w:t>
      </w:r>
    </w:p>
    <w:p w14:paraId="121C910C" w14:textId="77777777" w:rsidR="00F60D19" w:rsidRPr="00C30388" w:rsidRDefault="00F60D19" w:rsidP="009E73F7">
      <w:pPr>
        <w:pStyle w:val="Akapitzlist"/>
        <w:numPr>
          <w:ilvl w:val="0"/>
          <w:numId w:val="152"/>
        </w:numPr>
        <w:autoSpaceDE w:val="0"/>
        <w:autoSpaceDN w:val="0"/>
        <w:adjustRightInd w:val="0"/>
        <w:spacing w:before="60" w:after="0" w:line="240" w:lineRule="auto"/>
        <w:contextualSpacing w:val="0"/>
        <w:jc w:val="both"/>
        <w:rPr>
          <w:rFonts w:ascii="Times New Roman" w:hAnsi="Times New Roman" w:cs="Times New Roman"/>
          <w:sz w:val="24"/>
        </w:rPr>
      </w:pPr>
      <w:r w:rsidRPr="00C30388">
        <w:rPr>
          <w:rFonts w:ascii="Times New Roman" w:hAnsi="Times New Roman" w:cs="Times New Roman"/>
          <w:sz w:val="24"/>
        </w:rPr>
        <w:t>zwolnienie 5-letnie z opodatkowania wyrównawczego dla grup krajowych (art. 129 ust. 2);</w:t>
      </w:r>
    </w:p>
    <w:p w14:paraId="6CF53F0A" w14:textId="4772C166" w:rsidR="00F60D19" w:rsidRPr="00C30388" w:rsidRDefault="00F60D19" w:rsidP="009E73F7">
      <w:pPr>
        <w:pStyle w:val="Akapitzlist"/>
        <w:numPr>
          <w:ilvl w:val="0"/>
          <w:numId w:val="152"/>
        </w:numPr>
        <w:autoSpaceDE w:val="0"/>
        <w:autoSpaceDN w:val="0"/>
        <w:adjustRightInd w:val="0"/>
        <w:spacing w:before="60" w:after="0" w:line="240" w:lineRule="auto"/>
        <w:contextualSpacing w:val="0"/>
        <w:jc w:val="both"/>
        <w:rPr>
          <w:rFonts w:ascii="Times New Roman" w:hAnsi="Times New Roman" w:cs="Times New Roman"/>
          <w:sz w:val="24"/>
        </w:rPr>
      </w:pPr>
      <w:r w:rsidRPr="00C30388">
        <w:rPr>
          <w:rFonts w:ascii="Times New Roman" w:hAnsi="Times New Roman" w:cs="Times New Roman"/>
          <w:sz w:val="24"/>
        </w:rPr>
        <w:t>tymczasową bezpieczną przystań w zakresie C</w:t>
      </w:r>
      <w:r w:rsidR="00F35EF9" w:rsidRPr="00C30388">
        <w:rPr>
          <w:rFonts w:ascii="Times New Roman" w:hAnsi="Times New Roman" w:cs="Times New Roman"/>
          <w:sz w:val="24"/>
        </w:rPr>
        <w:t>b</w:t>
      </w:r>
      <w:r w:rsidRPr="00C30388">
        <w:rPr>
          <w:rFonts w:ascii="Times New Roman" w:hAnsi="Times New Roman" w:cs="Times New Roman"/>
          <w:sz w:val="24"/>
        </w:rPr>
        <w:t>CR (</w:t>
      </w:r>
      <w:r w:rsidRPr="00C30388">
        <w:rPr>
          <w:rFonts w:ascii="Times New Roman" w:hAnsi="Times New Roman" w:cs="Times New Roman"/>
          <w:i/>
          <w:iCs/>
          <w:sz w:val="24"/>
        </w:rPr>
        <w:t>ang. C</w:t>
      </w:r>
      <w:r w:rsidR="00F35EF9" w:rsidRPr="00C30388">
        <w:rPr>
          <w:rFonts w:ascii="Times New Roman" w:hAnsi="Times New Roman" w:cs="Times New Roman"/>
          <w:i/>
          <w:iCs/>
          <w:sz w:val="24"/>
        </w:rPr>
        <w:t>b</w:t>
      </w:r>
      <w:r w:rsidRPr="00C30388">
        <w:rPr>
          <w:rFonts w:ascii="Times New Roman" w:hAnsi="Times New Roman" w:cs="Times New Roman"/>
          <w:i/>
          <w:iCs/>
          <w:sz w:val="24"/>
        </w:rPr>
        <w:t>CR safe harbour</w:t>
      </w:r>
      <w:r w:rsidRPr="00C30388">
        <w:rPr>
          <w:rFonts w:ascii="Times New Roman" w:hAnsi="Times New Roman" w:cs="Times New Roman"/>
          <w:sz w:val="24"/>
        </w:rPr>
        <w:t xml:space="preserve">) wprowadzającą zwolnienie z opodatkowania, w przypadku wykazania na podstawie uproszczonych danych, iż </w:t>
      </w:r>
      <w:r w:rsidR="00D46DF7" w:rsidRPr="00C30388">
        <w:rPr>
          <w:rFonts w:ascii="Times New Roman" w:hAnsi="Times New Roman" w:cs="Times New Roman"/>
          <w:sz w:val="24"/>
        </w:rPr>
        <w:t xml:space="preserve">spełniony jest jeden z trzech testów: (i) </w:t>
      </w:r>
      <w:r w:rsidR="00D46DF7" w:rsidRPr="00C30388">
        <w:rPr>
          <w:rFonts w:ascii="Times New Roman" w:hAnsi="Times New Roman" w:cs="Times New Roman"/>
          <w:i/>
          <w:iCs/>
          <w:sz w:val="24"/>
        </w:rPr>
        <w:t>de minimis</w:t>
      </w:r>
      <w:r w:rsidR="00D46DF7" w:rsidRPr="00C30388">
        <w:rPr>
          <w:rFonts w:ascii="Times New Roman" w:hAnsi="Times New Roman" w:cs="Times New Roman"/>
          <w:sz w:val="24"/>
        </w:rPr>
        <w:t xml:space="preserve">, (ii) efektywnej stawki podatkowej lub </w:t>
      </w:r>
      <w:r w:rsidR="00D46DF7" w:rsidRPr="00C30388">
        <w:rPr>
          <w:rFonts w:ascii="Times New Roman" w:hAnsi="Times New Roman" w:cs="Times New Roman"/>
          <w:sz w:val="24"/>
        </w:rPr>
        <w:br/>
        <w:t>(iii) rutynowych zysków na podstawie uproszczonych danych zaczerpniętych z raportu CbCR danej grupy</w:t>
      </w:r>
      <w:r w:rsidRPr="00C30388">
        <w:rPr>
          <w:rFonts w:ascii="Times New Roman" w:hAnsi="Times New Roman" w:cs="Times New Roman"/>
          <w:sz w:val="24"/>
        </w:rPr>
        <w:t>.</w:t>
      </w:r>
    </w:p>
    <w:p w14:paraId="5DAD01D9" w14:textId="77777777" w:rsidR="00F60D19" w:rsidRPr="00C30388" w:rsidRDefault="00F60D19" w:rsidP="002A4C92">
      <w:pPr>
        <w:spacing w:after="120"/>
        <w:jc w:val="both"/>
        <w:rPr>
          <w:rFonts w:ascii="Times New Roman" w:hAnsi="Times New Roman" w:cs="Times New Roman"/>
          <w:sz w:val="24"/>
        </w:rPr>
      </w:pPr>
    </w:p>
    <w:p w14:paraId="2D0EB818" w14:textId="77777777" w:rsidR="002A4C92" w:rsidRPr="00C30388" w:rsidRDefault="002A4C92" w:rsidP="002A4C92">
      <w:pPr>
        <w:pStyle w:val="Nagwek1"/>
        <w:rPr>
          <w:rFonts w:ascii="Times New Roman" w:hAnsi="Times New Roman" w:cs="Times New Roman"/>
          <w:sz w:val="24"/>
          <w:szCs w:val="22"/>
        </w:rPr>
      </w:pPr>
      <w:r w:rsidRPr="00C30388">
        <w:rPr>
          <w:rFonts w:ascii="Times New Roman" w:hAnsi="Times New Roman" w:cs="Times New Roman"/>
          <w:sz w:val="24"/>
          <w:szCs w:val="22"/>
        </w:rPr>
        <w:lastRenderedPageBreak/>
        <w:t xml:space="preserve">II. Część szczegółowa – omówienie poszczególnych przepisów.  </w:t>
      </w:r>
    </w:p>
    <w:p w14:paraId="28B949F6" w14:textId="77777777" w:rsidR="002A4C92" w:rsidRPr="00C30388" w:rsidRDefault="002A4C92" w:rsidP="002A4C92">
      <w:pPr>
        <w:pStyle w:val="Nagwek2"/>
        <w:rPr>
          <w:rFonts w:ascii="Times New Roman" w:eastAsia="Times New Roman" w:hAnsi="Times New Roman" w:cs="Times New Roman"/>
          <w:sz w:val="24"/>
          <w:szCs w:val="22"/>
          <w:lang w:eastAsia="pl-PL"/>
        </w:rPr>
      </w:pPr>
      <w:r w:rsidRPr="00C30388">
        <w:rPr>
          <w:rFonts w:ascii="Times New Roman" w:eastAsia="Times New Roman" w:hAnsi="Times New Roman" w:cs="Times New Roman"/>
          <w:sz w:val="24"/>
          <w:szCs w:val="22"/>
          <w:lang w:eastAsia="pl-PL"/>
        </w:rPr>
        <w:t>DZIAŁ I. Przepisy wstępne</w:t>
      </w:r>
    </w:p>
    <w:p w14:paraId="675722A7" w14:textId="77777777" w:rsidR="002A4C92" w:rsidRPr="00C30388" w:rsidRDefault="002A4C92" w:rsidP="002A4C92">
      <w:pPr>
        <w:pStyle w:val="Nagwek3"/>
        <w:jc w:val="both"/>
        <w:rPr>
          <w:rStyle w:val="Ppogrubienie"/>
          <w:rFonts w:ascii="Times New Roman" w:hAnsi="Times New Roman" w:cs="Times New Roman"/>
          <w:b w:val="0"/>
          <w:sz w:val="24"/>
          <w:szCs w:val="22"/>
        </w:rPr>
      </w:pPr>
      <w:r w:rsidRPr="00C30388">
        <w:rPr>
          <w:rStyle w:val="Ppogrubienie"/>
          <w:rFonts w:ascii="Times New Roman" w:hAnsi="Times New Roman" w:cs="Times New Roman"/>
          <w:b w:val="0"/>
          <w:sz w:val="24"/>
          <w:szCs w:val="22"/>
        </w:rPr>
        <w:t xml:space="preserve">Rozdział 1 </w:t>
      </w:r>
      <w:r w:rsidRPr="00C30388">
        <w:rPr>
          <w:rFonts w:ascii="Times New Roman" w:hAnsi="Times New Roman" w:cs="Times New Roman"/>
          <w:sz w:val="24"/>
          <w:szCs w:val="22"/>
        </w:rPr>
        <w:t>–</w:t>
      </w:r>
      <w:r w:rsidRPr="00C30388">
        <w:rPr>
          <w:rStyle w:val="Ppogrubienie"/>
          <w:rFonts w:ascii="Times New Roman" w:hAnsi="Times New Roman" w:cs="Times New Roman"/>
          <w:b w:val="0"/>
          <w:sz w:val="24"/>
          <w:szCs w:val="22"/>
        </w:rPr>
        <w:t xml:space="preserve"> Przepisy ogólne</w:t>
      </w:r>
    </w:p>
    <w:p w14:paraId="14D95B07" w14:textId="77777777" w:rsidR="002A4C92" w:rsidRPr="00C30388" w:rsidRDefault="002A4C92" w:rsidP="002A4C92">
      <w:pPr>
        <w:pStyle w:val="Nagwek5"/>
        <w:rPr>
          <w:rFonts w:ascii="Times New Roman" w:eastAsia="Times New Roman" w:hAnsi="Times New Roman" w:cs="Times New Roman"/>
          <w:sz w:val="24"/>
          <w:lang w:eastAsia="pl-PL"/>
        </w:rPr>
      </w:pPr>
      <w:r w:rsidRPr="00C30388">
        <w:rPr>
          <w:rFonts w:ascii="Times New Roman" w:eastAsia="Times New Roman" w:hAnsi="Times New Roman" w:cs="Times New Roman"/>
          <w:sz w:val="24"/>
          <w:lang w:eastAsia="pl-PL"/>
        </w:rPr>
        <w:t>Art. 1 [Zakres ustawy]</w:t>
      </w:r>
    </w:p>
    <w:p w14:paraId="7185E6C5" w14:textId="77777777" w:rsidR="002A4C92" w:rsidRPr="00C30388" w:rsidRDefault="002A4C92" w:rsidP="002A4C92">
      <w:pPr>
        <w:spacing w:after="120"/>
        <w:rPr>
          <w:rFonts w:ascii="Times New Roman" w:hAnsi="Times New Roman" w:cs="Times New Roman"/>
          <w:bCs/>
          <w:sz w:val="24"/>
          <w:lang w:eastAsia="pl-PL"/>
        </w:rPr>
      </w:pPr>
      <w:r w:rsidRPr="00C30388">
        <w:rPr>
          <w:rFonts w:ascii="Times New Roman" w:hAnsi="Times New Roman" w:cs="Times New Roman"/>
          <w:bCs/>
          <w:sz w:val="24"/>
          <w:lang w:eastAsia="pl-PL"/>
        </w:rPr>
        <w:t xml:space="preserve">Przepis </w:t>
      </w:r>
      <w:r w:rsidRPr="00C30388">
        <w:rPr>
          <w:rFonts w:ascii="Times New Roman" w:hAnsi="Times New Roman" w:cs="Times New Roman"/>
          <w:b/>
          <w:sz w:val="24"/>
          <w:lang w:eastAsia="pl-PL"/>
        </w:rPr>
        <w:t>art. 1 ust. 1</w:t>
      </w:r>
      <w:r w:rsidRPr="00C30388">
        <w:rPr>
          <w:rFonts w:ascii="Times New Roman" w:hAnsi="Times New Roman" w:cs="Times New Roman"/>
          <w:bCs/>
          <w:sz w:val="24"/>
          <w:lang w:eastAsia="pl-PL"/>
        </w:rPr>
        <w:t xml:space="preserve"> określa zakres ustawy. Ustawa reguluje opodatkowanie wyrównawcze w postaci:  </w:t>
      </w:r>
    </w:p>
    <w:p w14:paraId="38F2FB7E" w14:textId="77777777" w:rsidR="002A4C92" w:rsidRPr="00C30388" w:rsidRDefault="002A4C92" w:rsidP="002C7467">
      <w:pPr>
        <w:pStyle w:val="Akapitzlist"/>
        <w:numPr>
          <w:ilvl w:val="0"/>
          <w:numId w:val="81"/>
        </w:numPr>
        <w:spacing w:after="0"/>
        <w:ind w:hanging="436"/>
        <w:rPr>
          <w:rFonts w:ascii="Times New Roman" w:hAnsi="Times New Roman" w:cs="Times New Roman"/>
          <w:bCs/>
          <w:sz w:val="24"/>
          <w:lang w:eastAsia="pl-PL"/>
        </w:rPr>
      </w:pPr>
      <w:r w:rsidRPr="00C30388">
        <w:rPr>
          <w:rFonts w:ascii="Times New Roman" w:hAnsi="Times New Roman" w:cs="Times New Roman"/>
          <w:bCs/>
          <w:sz w:val="24"/>
          <w:lang w:eastAsia="pl-PL"/>
        </w:rPr>
        <w:t xml:space="preserve">globalnego podatku wyrównawczego, </w:t>
      </w:r>
    </w:p>
    <w:p w14:paraId="5CA6E837" w14:textId="77777777" w:rsidR="002A4C92" w:rsidRPr="00C30388" w:rsidRDefault="002A4C92" w:rsidP="002C7467">
      <w:pPr>
        <w:pStyle w:val="Akapitzlist"/>
        <w:numPr>
          <w:ilvl w:val="0"/>
          <w:numId w:val="81"/>
        </w:numPr>
        <w:spacing w:after="0"/>
        <w:ind w:hanging="436"/>
        <w:rPr>
          <w:rFonts w:ascii="Times New Roman" w:hAnsi="Times New Roman" w:cs="Times New Roman"/>
          <w:bCs/>
          <w:sz w:val="24"/>
          <w:lang w:eastAsia="pl-PL"/>
        </w:rPr>
      </w:pPr>
      <w:r w:rsidRPr="00C30388">
        <w:rPr>
          <w:rFonts w:ascii="Times New Roman" w:hAnsi="Times New Roman" w:cs="Times New Roman"/>
          <w:bCs/>
          <w:sz w:val="24"/>
          <w:lang w:eastAsia="pl-PL"/>
        </w:rPr>
        <w:t xml:space="preserve">krajowego podatku wyrównawczego, </w:t>
      </w:r>
    </w:p>
    <w:p w14:paraId="0A275ED9" w14:textId="77777777" w:rsidR="002A4C92" w:rsidRPr="00C30388" w:rsidRDefault="002A4C92" w:rsidP="002C7467">
      <w:pPr>
        <w:pStyle w:val="Akapitzlist"/>
        <w:numPr>
          <w:ilvl w:val="0"/>
          <w:numId w:val="81"/>
        </w:numPr>
        <w:spacing w:after="120"/>
        <w:ind w:left="721" w:hanging="437"/>
        <w:contextualSpacing w:val="0"/>
        <w:rPr>
          <w:rFonts w:ascii="Times New Roman" w:hAnsi="Times New Roman" w:cs="Times New Roman"/>
          <w:bCs/>
          <w:sz w:val="24"/>
          <w:lang w:eastAsia="pl-PL"/>
        </w:rPr>
      </w:pPr>
      <w:r w:rsidRPr="00C30388">
        <w:rPr>
          <w:rFonts w:ascii="Times New Roman" w:hAnsi="Times New Roman" w:cs="Times New Roman"/>
          <w:bCs/>
          <w:sz w:val="24"/>
          <w:lang w:eastAsia="pl-PL"/>
        </w:rPr>
        <w:t xml:space="preserve">podatku wyrównawczego od niedostatecznie opodatkowanych zysków. </w:t>
      </w:r>
    </w:p>
    <w:p w14:paraId="236E6EA5" w14:textId="77777777" w:rsidR="002A4C92" w:rsidRPr="00C30388" w:rsidRDefault="002A4C92" w:rsidP="002A4C92">
      <w:pPr>
        <w:pStyle w:val="USTustnpkodeksu"/>
        <w:spacing w:line="259" w:lineRule="auto"/>
        <w:ind w:firstLine="0"/>
        <w:rPr>
          <w:rFonts w:ascii="Times New Roman" w:hAnsi="Times New Roman" w:cs="Times New Roman"/>
          <w:szCs w:val="22"/>
        </w:rPr>
      </w:pPr>
      <w:r w:rsidRPr="00C30388">
        <w:rPr>
          <w:rFonts w:ascii="Times New Roman" w:hAnsi="Times New Roman" w:cs="Times New Roman"/>
          <w:szCs w:val="22"/>
        </w:rPr>
        <w:t>Wskazane podatki stanowią, zgodnie z</w:t>
      </w:r>
      <w:r w:rsidRPr="00C30388">
        <w:rPr>
          <w:rFonts w:ascii="Times New Roman" w:hAnsi="Times New Roman" w:cs="Times New Roman"/>
          <w:b/>
          <w:bCs w:val="0"/>
          <w:szCs w:val="22"/>
        </w:rPr>
        <w:t xml:space="preserve"> ust. 2</w:t>
      </w:r>
      <w:r w:rsidRPr="00C30388">
        <w:rPr>
          <w:rFonts w:ascii="Times New Roman" w:hAnsi="Times New Roman" w:cs="Times New Roman"/>
          <w:szCs w:val="22"/>
        </w:rPr>
        <w:t>, dochód budżetu państwa.</w:t>
      </w:r>
    </w:p>
    <w:p w14:paraId="5E97722D" w14:textId="77777777" w:rsidR="002A4C92" w:rsidRPr="00C30388" w:rsidRDefault="002A4C92" w:rsidP="002A4C92">
      <w:pPr>
        <w:pStyle w:val="Nagwek5"/>
        <w:spacing w:before="240"/>
        <w:rPr>
          <w:rFonts w:ascii="Times New Roman" w:hAnsi="Times New Roman" w:cs="Times New Roman"/>
          <w:sz w:val="24"/>
        </w:rPr>
      </w:pPr>
      <w:r w:rsidRPr="00C30388">
        <w:rPr>
          <w:rFonts w:ascii="Times New Roman" w:hAnsi="Times New Roman" w:cs="Times New Roman"/>
          <w:sz w:val="24"/>
        </w:rPr>
        <w:t>Art. 2 [Definicje]</w:t>
      </w:r>
    </w:p>
    <w:p w14:paraId="73041810"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Artykuł 2 projektu zawiera zbiór definicji i pojęć stosowanych na gruncie ustawy, implementując w tym zakresie większość definicji określonych w art. 3 Dyrektywy. Część z nich ma kluczowe znaczenie dla określenia zakresu podmiotowego i przedmiotowego ustawy, jak i dla zrozumienia zawartych w niej rozwiązań i mechanizmów. Niektóre z tych definicji zawierają wzajemne odesłania, dlatego też dla właściwego odczytania norm, wynikających z przedmiotowego projektu, powinny być one analizowane łącznie (co też ułatwia ich zrozumienie). Niemniej, z uwagi na zasady techniki legislacyjnej, definicje te zostały w projekcie ułożone w porządku alfabetycznym.</w:t>
      </w:r>
    </w:p>
    <w:p w14:paraId="7F1C1758" w14:textId="572C258F" w:rsidR="002A4C92" w:rsidRPr="00C30388" w:rsidRDefault="002A4C92" w:rsidP="002A4C92">
      <w:pPr>
        <w:spacing w:after="120"/>
        <w:jc w:val="both"/>
        <w:rPr>
          <w:rFonts w:ascii="Times New Roman" w:eastAsia="ArialMT" w:hAnsi="Times New Roman" w:cs="Times New Roman"/>
          <w:sz w:val="24"/>
        </w:rPr>
      </w:pPr>
      <w:r w:rsidRPr="00C30388">
        <w:rPr>
          <w:rFonts w:ascii="Times New Roman" w:hAnsi="Times New Roman" w:cs="Times New Roman"/>
          <w:sz w:val="24"/>
        </w:rPr>
        <w:t xml:space="preserve">Należy podkreślić, iż wiele z tych definicji odwołuje się do pojęć z zakresu przepisów o rachunkowości i prawa bilansowego (rozumianych znacznie szerzej niż tylko na gruncie polskich przepisów o rachunkowości, tj. zazwyczaj z odwołaniem do odpowiedniego standardu rachunkowości stosowanego przez jednostkę dominującą najwyższego szczebla). Co więcej, zarówno Modelowe </w:t>
      </w:r>
      <w:r w:rsidR="00ED3A9E" w:rsidRPr="00C30388">
        <w:rPr>
          <w:rFonts w:ascii="Times New Roman" w:hAnsi="Times New Roman" w:cs="Times New Roman"/>
          <w:sz w:val="24"/>
        </w:rPr>
        <w:t>z</w:t>
      </w:r>
      <w:r w:rsidRPr="00C30388">
        <w:rPr>
          <w:rFonts w:ascii="Times New Roman" w:hAnsi="Times New Roman" w:cs="Times New Roman"/>
          <w:sz w:val="24"/>
        </w:rPr>
        <w:t xml:space="preserve">asady OECD (włączając Komentarz i Wytyczne Administracyjne), jak i Dyrektywa posługują się wieloma terminami używanymi powszechnie dla celów rachunkowych (np. </w:t>
      </w:r>
      <w:r w:rsidRPr="00C30388">
        <w:rPr>
          <w:rFonts w:ascii="Times New Roman" w:eastAsia="ArialMT" w:hAnsi="Times New Roman" w:cs="Times New Roman"/>
          <w:sz w:val="24"/>
        </w:rPr>
        <w:t xml:space="preserve">„rachunek zysków i strat”, „odwrócenie zobowiązania”, „inne całkowite dochody”) bez ich definiowania. Posługiwanie się w tych dokumentach szeroko nomenklaturą z zakresu rachunkowości i sprawozdawczości finansowej bez dookreślenia tych pojęć wynika z przyjętego założenia, iż chodzi o terminy powszechnie stosowane i znane jednostkom, które są objęte Zasadami GloBE. Z praktycznego punktu widzenia zdefiniowanie tego typu pojęć w ww. dokumentach nie było możliwe ani zasadne, gdyż zaburzyłoby to istotnie czytelność zawartych w nich głównych regulacji.   </w:t>
      </w:r>
    </w:p>
    <w:p w14:paraId="73B87CC8" w14:textId="53A9B950" w:rsidR="002A4C92" w:rsidRPr="00C30388" w:rsidRDefault="002A4C92" w:rsidP="002A4C92">
      <w:pPr>
        <w:autoSpaceDE w:val="0"/>
        <w:autoSpaceDN w:val="0"/>
        <w:adjustRightInd w:val="0"/>
        <w:spacing w:after="120"/>
        <w:jc w:val="both"/>
        <w:rPr>
          <w:rFonts w:ascii="Times New Roman" w:hAnsi="Times New Roman" w:cs="Times New Roman"/>
          <w:sz w:val="24"/>
        </w:rPr>
      </w:pPr>
      <w:r w:rsidRPr="00C30388">
        <w:rPr>
          <w:rFonts w:ascii="Times New Roman" w:hAnsi="Times New Roman" w:cs="Times New Roman"/>
          <w:sz w:val="24"/>
        </w:rPr>
        <w:t xml:space="preserve">Biorąc pod uwagę, iż System GloBE opiera się na podejściu rachunkowym, a nie podatkowym (punktem wyjścia do ustalenia kluczowych dla tego systemu danych i wskaźników są zasady wynikające ze stosowanych standardów rachunkowości), zgodnie z Komentarzem </w:t>
      </w:r>
      <w:r w:rsidRPr="00C30388">
        <w:rPr>
          <w:rFonts w:ascii="Times New Roman" w:eastAsia="ArialMT" w:hAnsi="Times New Roman" w:cs="Times New Roman"/>
          <w:sz w:val="24"/>
        </w:rPr>
        <w:t xml:space="preserve">w przypadku, gdy dany termin lub pojęcie z zakresu rachunkowości finansowej nie zostały wprost zdefiniowane, powinny być interpretowane zgodnie ze znaczeniem nadanym im w </w:t>
      </w:r>
      <w:r w:rsidRPr="00C30388">
        <w:rPr>
          <w:rFonts w:ascii="Times New Roman" w:eastAsia="ArialMT" w:hAnsi="Times New Roman" w:cs="Times New Roman"/>
          <w:sz w:val="24"/>
        </w:rPr>
        <w:lastRenderedPageBreak/>
        <w:t>odpowiednich standardach i wytycznych rachunkowości finansowej</w:t>
      </w:r>
      <w:r w:rsidRPr="00C30388">
        <w:rPr>
          <w:rStyle w:val="Odwoanieprzypisudolnego"/>
          <w:rFonts w:ascii="Times New Roman" w:eastAsia="ArialMT" w:hAnsi="Times New Roman" w:cs="Times New Roman"/>
          <w:sz w:val="24"/>
        </w:rPr>
        <w:footnoteReference w:id="26"/>
      </w:r>
      <w:r w:rsidRPr="00C30388">
        <w:rPr>
          <w:rFonts w:ascii="Times New Roman" w:eastAsia="ArialMT" w:hAnsi="Times New Roman" w:cs="Times New Roman"/>
          <w:sz w:val="24"/>
        </w:rPr>
        <w:t>[Komentarz, 10.1;2</w:t>
      </w:r>
      <w:r w:rsidRPr="00C30388">
        <w:rPr>
          <w:rStyle w:val="Odwoanieprzypisudolnego"/>
          <w:rFonts w:ascii="Times New Roman" w:eastAsia="ArialMT" w:hAnsi="Times New Roman" w:cs="Times New Roman"/>
          <w:sz w:val="24"/>
        </w:rPr>
        <w:footnoteReference w:id="27"/>
      </w:r>
      <w:r w:rsidRPr="00C30388">
        <w:rPr>
          <w:rFonts w:ascii="Times New Roman" w:eastAsia="ArialMT" w:hAnsi="Times New Roman" w:cs="Times New Roman"/>
          <w:sz w:val="24"/>
        </w:rPr>
        <w:t xml:space="preserve">]. </w:t>
      </w:r>
      <w:r w:rsidRPr="00C30388">
        <w:rPr>
          <w:rFonts w:ascii="Times New Roman" w:hAnsi="Times New Roman" w:cs="Times New Roman"/>
          <w:sz w:val="24"/>
        </w:rPr>
        <w:t xml:space="preserve">Ponadto należy zaznaczyć, iż Modelowe </w:t>
      </w:r>
      <w:r w:rsidR="00ED3A9E" w:rsidRPr="00C30388">
        <w:rPr>
          <w:rFonts w:ascii="Times New Roman" w:hAnsi="Times New Roman" w:cs="Times New Roman"/>
          <w:sz w:val="24"/>
        </w:rPr>
        <w:t>z</w:t>
      </w:r>
      <w:r w:rsidRPr="00C30388">
        <w:rPr>
          <w:rFonts w:ascii="Times New Roman" w:hAnsi="Times New Roman" w:cs="Times New Roman"/>
          <w:sz w:val="24"/>
        </w:rPr>
        <w:t>asady, czy też Komentarz do nich, posługując się danym pojęciem z zakresu rachunkowości, w tym rachunkowości finansowej używanym w określonym standardzie rachunkowości, rozumieją przez nie również równoważne pojęcie używane w innym standardzie.</w:t>
      </w:r>
      <w:r w:rsidRPr="00C30388">
        <w:rPr>
          <w:rStyle w:val="Odwoanieprzypisudolnego"/>
          <w:rFonts w:ascii="Times New Roman" w:hAnsi="Times New Roman" w:cs="Times New Roman"/>
          <w:sz w:val="24"/>
        </w:rPr>
        <w:footnoteReference w:id="28"/>
      </w:r>
      <w:r w:rsidRPr="00C30388">
        <w:rPr>
          <w:rFonts w:ascii="Times New Roman" w:hAnsi="Times New Roman" w:cs="Times New Roman"/>
          <w:sz w:val="24"/>
        </w:rPr>
        <w:t xml:space="preserve">.   </w:t>
      </w:r>
    </w:p>
    <w:p w14:paraId="07980191"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 xml:space="preserve">Akceptowalny standard rachunkowości     </w:t>
      </w:r>
    </w:p>
    <w:p w14:paraId="6D80C35B"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
          <w:sz w:val="24"/>
        </w:rPr>
        <w:t>Art. 2 ust. 1 pkt 1</w:t>
      </w:r>
      <w:r w:rsidRPr="00C30388">
        <w:rPr>
          <w:rFonts w:ascii="Times New Roman" w:hAnsi="Times New Roman" w:cs="Times New Roman"/>
          <w:sz w:val="24"/>
        </w:rPr>
        <w:t xml:space="preserve"> wprowadza definicję „</w:t>
      </w:r>
      <w:r w:rsidRPr="00C30388">
        <w:rPr>
          <w:rFonts w:ascii="Times New Roman" w:hAnsi="Times New Roman" w:cs="Times New Roman"/>
          <w:b/>
          <w:sz w:val="24"/>
        </w:rPr>
        <w:t xml:space="preserve">akceptowalnego standardu rachunkowości”, </w:t>
      </w:r>
      <w:r w:rsidRPr="00C30388">
        <w:rPr>
          <w:rFonts w:ascii="Times New Roman" w:hAnsi="Times New Roman" w:cs="Times New Roman"/>
          <w:sz w:val="24"/>
        </w:rPr>
        <w:t>implementując definicję</w:t>
      </w:r>
      <w:r w:rsidRPr="00C30388">
        <w:rPr>
          <w:rFonts w:ascii="Times New Roman" w:hAnsi="Times New Roman" w:cs="Times New Roman"/>
          <w:bCs/>
          <w:sz w:val="24"/>
        </w:rPr>
        <w:t xml:space="preserve"> </w:t>
      </w:r>
      <w:r w:rsidRPr="00C30388">
        <w:rPr>
          <w:rFonts w:ascii="Times New Roman" w:hAnsi="Times New Roman" w:cs="Times New Roman"/>
          <w:sz w:val="24"/>
        </w:rPr>
        <w:t>określoną w art. 3.25 Dyrektywy [ang</w:t>
      </w:r>
      <w:r w:rsidRPr="00C30388">
        <w:rPr>
          <w:rFonts w:ascii="Times New Roman" w:hAnsi="Times New Roman" w:cs="Times New Roman"/>
          <w:i/>
          <w:sz w:val="24"/>
        </w:rPr>
        <w:t>. acceptable financial accounting standard</w:t>
      </w:r>
      <w:r w:rsidRPr="00C30388">
        <w:rPr>
          <w:rFonts w:ascii="Times New Roman" w:hAnsi="Times New Roman" w:cs="Times New Roman"/>
          <w:bCs/>
          <w:sz w:val="24"/>
        </w:rPr>
        <w:t>]</w:t>
      </w:r>
      <w:r w:rsidRPr="00C30388">
        <w:rPr>
          <w:rFonts w:ascii="Times New Roman" w:hAnsi="Times New Roman" w:cs="Times New Roman"/>
          <w:sz w:val="24"/>
        </w:rPr>
        <w:t xml:space="preserve">.  </w:t>
      </w:r>
      <w:r w:rsidRPr="00C30388">
        <w:rPr>
          <w:rFonts w:ascii="Times New Roman" w:hAnsi="Times New Roman" w:cs="Times New Roman"/>
          <w:b/>
          <w:sz w:val="24"/>
        </w:rPr>
        <w:t xml:space="preserve">  </w:t>
      </w:r>
      <w:r w:rsidRPr="00C30388">
        <w:rPr>
          <w:rFonts w:ascii="Times New Roman" w:hAnsi="Times New Roman" w:cs="Times New Roman"/>
          <w:i/>
          <w:sz w:val="24"/>
        </w:rPr>
        <w:t xml:space="preserve">     </w:t>
      </w:r>
    </w:p>
    <w:p w14:paraId="7FD37649" w14:textId="7EACE289"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Akceptowalnym standardem rachunkowości są m.in. przepisy o rachunkowości poszczególnych państw członkowskich UE (w tym polska ustawa o rachunkowości</w:t>
      </w:r>
      <w:r w:rsidRPr="00C30388">
        <w:rPr>
          <w:rStyle w:val="Odwoanieprzypisudolnego"/>
          <w:rFonts w:ascii="Times New Roman" w:hAnsi="Times New Roman" w:cs="Times New Roman"/>
          <w:sz w:val="24"/>
        </w:rPr>
        <w:footnoteReference w:id="29"/>
      </w:r>
      <w:r w:rsidRPr="00C30388">
        <w:rPr>
          <w:rFonts w:ascii="Times New Roman" w:hAnsi="Times New Roman" w:cs="Times New Roman"/>
          <w:sz w:val="24"/>
        </w:rPr>
        <w:t>), jak również Międzynarodowe Standardy Sprawozdawczości Finansowej i Międzynarodowe Standardy Sprawozdawczości Finansowej (</w:t>
      </w:r>
      <w:r w:rsidRPr="00C30388">
        <w:rPr>
          <w:rFonts w:ascii="Times New Roman" w:hAnsi="Times New Roman" w:cs="Times New Roman"/>
          <w:b/>
          <w:bCs/>
          <w:sz w:val="24"/>
        </w:rPr>
        <w:t>MSR/</w:t>
      </w:r>
      <w:r w:rsidRPr="00C30388">
        <w:rPr>
          <w:rFonts w:ascii="Times New Roman" w:hAnsi="Times New Roman" w:cs="Times New Roman"/>
          <w:b/>
          <w:sz w:val="24"/>
        </w:rPr>
        <w:t>MSSF</w:t>
      </w:r>
      <w:r w:rsidRPr="00C30388">
        <w:rPr>
          <w:rFonts w:ascii="Times New Roman" w:hAnsi="Times New Roman" w:cs="Times New Roman"/>
          <w:sz w:val="24"/>
        </w:rPr>
        <w:t>), przyjęte przez UE rozporządzeniem Parlamentu Europejskiego i Rady (WE) nr 1606/2002)</w:t>
      </w:r>
      <w:r w:rsidRPr="00C30388">
        <w:rPr>
          <w:rFonts w:ascii="Times New Roman" w:hAnsi="Times New Roman" w:cs="Times New Roman"/>
          <w:sz w:val="24"/>
          <w:vertAlign w:val="superscript"/>
        </w:rPr>
        <w:footnoteReference w:id="30"/>
      </w:r>
      <w:r w:rsidRPr="00C30388">
        <w:rPr>
          <w:rFonts w:ascii="Times New Roman" w:hAnsi="Times New Roman" w:cs="Times New Roman"/>
          <w:sz w:val="24"/>
        </w:rPr>
        <w:t xml:space="preserve"> oraz wskazane wprost w wykazie </w:t>
      </w:r>
      <w:r w:rsidR="00707E33" w:rsidRPr="00C30388">
        <w:rPr>
          <w:rFonts w:ascii="Times New Roman" w:hAnsi="Times New Roman" w:cs="Times New Roman"/>
          <w:sz w:val="24"/>
        </w:rPr>
        <w:t xml:space="preserve">jurysdykcji </w:t>
      </w:r>
      <w:r w:rsidRPr="00C30388">
        <w:rPr>
          <w:rFonts w:ascii="Times New Roman" w:hAnsi="Times New Roman" w:cs="Times New Roman"/>
          <w:sz w:val="24"/>
        </w:rPr>
        <w:t xml:space="preserve">i terytoriów zawartym w art. 3.25 Dyrektywy.    </w:t>
      </w:r>
    </w:p>
    <w:p w14:paraId="6E6DD503" w14:textId="587E6DEA"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Akceptowalny standard rachunkowości jest rodzajem zatwierdzonego standardu rachunkowości, o którym mowa w art. 3.26 Dyrektywy (ang. a</w:t>
      </w:r>
      <w:r w:rsidRPr="00C30388">
        <w:rPr>
          <w:rFonts w:ascii="Times New Roman" w:hAnsi="Times New Roman" w:cs="Times New Roman"/>
          <w:i/>
          <w:sz w:val="24"/>
        </w:rPr>
        <w:t xml:space="preserve">uthorised financial accounting standard), </w:t>
      </w:r>
      <w:r w:rsidRPr="00C30388">
        <w:rPr>
          <w:rFonts w:ascii="Times New Roman" w:hAnsi="Times New Roman" w:cs="Times New Roman"/>
          <w:sz w:val="24"/>
        </w:rPr>
        <w:t xml:space="preserve">zdefiniowanym odpowiednio w art. 2 ust. 1 pkt 49 ustawy jako przepisy w zakresie rachunkowości, standardy rachunkowości lub inne ogólnie przyjęte zasady rachunkowości zatwierdzone w </w:t>
      </w:r>
      <w:r w:rsidR="00707E33" w:rsidRPr="00C30388">
        <w:rPr>
          <w:rFonts w:ascii="Times New Roman" w:hAnsi="Times New Roman" w:cs="Times New Roman"/>
          <w:sz w:val="24"/>
        </w:rPr>
        <w:t xml:space="preserve">danej jurysdykcji </w:t>
      </w:r>
      <w:r w:rsidRPr="00C30388">
        <w:rPr>
          <w:rFonts w:ascii="Times New Roman" w:hAnsi="Times New Roman" w:cs="Times New Roman"/>
          <w:sz w:val="24"/>
        </w:rPr>
        <w:t>przez upoważniony organ.</w:t>
      </w:r>
      <w:r w:rsidRPr="00C30388">
        <w:rPr>
          <w:rFonts w:ascii="Times New Roman" w:hAnsi="Times New Roman" w:cs="Times New Roman"/>
          <w:i/>
          <w:sz w:val="24"/>
        </w:rPr>
        <w:t xml:space="preserve"> </w:t>
      </w:r>
      <w:r w:rsidRPr="00C30388">
        <w:rPr>
          <w:rFonts w:ascii="Times New Roman" w:hAnsi="Times New Roman" w:cs="Times New Roman"/>
          <w:iCs/>
          <w:sz w:val="24"/>
        </w:rPr>
        <w:t>Zatwierdzony standard rachunkowości stanowi, co do zasady, pojęcie szersze niż akceptowalny standard rachunkowości. Co istotne, w</w:t>
      </w:r>
      <w:r w:rsidRPr="00C30388">
        <w:rPr>
          <w:rFonts w:ascii="Times New Roman" w:hAnsi="Times New Roman" w:cs="Times New Roman"/>
          <w:sz w:val="24"/>
        </w:rPr>
        <w:t xml:space="preserve"> przypadku, gdy dopuszczony w </w:t>
      </w:r>
      <w:r w:rsidR="00707E33" w:rsidRPr="00C30388">
        <w:rPr>
          <w:rFonts w:ascii="Times New Roman" w:hAnsi="Times New Roman" w:cs="Times New Roman"/>
          <w:sz w:val="24"/>
        </w:rPr>
        <w:t xml:space="preserve">danej jurysdykcji </w:t>
      </w:r>
      <w:r w:rsidRPr="00C30388">
        <w:rPr>
          <w:rFonts w:ascii="Times New Roman" w:hAnsi="Times New Roman" w:cs="Times New Roman"/>
          <w:sz w:val="24"/>
        </w:rPr>
        <w:t>(zatwierdzony) standard rachunkowości finansowej nie jest wymieniony jako akceptowalny standard rachunkowości, wówczas pozycje finansowe danej jednostki, ujęte w skonsolidowanym sprawozdaniu finansowym zgodnie z tym standardem rachunkowości, porównuje się względem traktowania tych pozycji na gruncie MSR/MSSR i ustala się, czy wystąpiły tzw. istotne różnice rachunkowe (opisane dalej w odniesieniu do art. 2 pkt 8).</w:t>
      </w:r>
    </w:p>
    <w:p w14:paraId="0691D618"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Bezpaństwowa jednostka składowa</w:t>
      </w:r>
    </w:p>
    <w:p w14:paraId="23CF0FE4" w14:textId="6CE72CB2"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Definicja bezpaństwowej jednostki składowej wprowadzona w </w:t>
      </w:r>
      <w:r w:rsidRPr="00C30388">
        <w:rPr>
          <w:rFonts w:ascii="Times New Roman" w:hAnsi="Times New Roman" w:cs="Times New Roman"/>
          <w:b/>
          <w:bCs/>
          <w:sz w:val="24"/>
        </w:rPr>
        <w:t>art. 2 ust. 1 pkt 2</w:t>
      </w:r>
      <w:r w:rsidRPr="00C30388">
        <w:rPr>
          <w:rFonts w:ascii="Times New Roman" w:hAnsi="Times New Roman" w:cs="Times New Roman"/>
          <w:sz w:val="24"/>
        </w:rPr>
        <w:t xml:space="preserve"> odwołuje się do specjalnych zasad lokalizacji obowiązujących na potrzeby Zasad GloBE (lokalizacja to specyficzne pojęcie przyjęte na potrzeby GloBE, odmienne od „siedziby” czy „rezydencji”). Przepisy zawarte w rozdziale 3 działu I wprowadzają reguły, według których daną jednostkę uznaje się za zlokalizowaną w dan</w:t>
      </w:r>
      <w:r w:rsidR="0041314A" w:rsidRPr="00C30388">
        <w:rPr>
          <w:rFonts w:ascii="Times New Roman" w:hAnsi="Times New Roman" w:cs="Times New Roman"/>
          <w:sz w:val="24"/>
        </w:rPr>
        <w:t>ej jurysdykcji</w:t>
      </w:r>
      <w:r w:rsidRPr="00C30388">
        <w:rPr>
          <w:rFonts w:ascii="Times New Roman" w:hAnsi="Times New Roman" w:cs="Times New Roman"/>
          <w:sz w:val="24"/>
        </w:rPr>
        <w:t xml:space="preserve">. W przypadku </w:t>
      </w:r>
      <w:r w:rsidR="0041314A" w:rsidRPr="00C30388">
        <w:rPr>
          <w:rFonts w:ascii="Times New Roman" w:hAnsi="Times New Roman" w:cs="Times New Roman"/>
          <w:sz w:val="24"/>
        </w:rPr>
        <w:t xml:space="preserve">zlokalizowania </w:t>
      </w:r>
      <w:r w:rsidRPr="00C30388">
        <w:rPr>
          <w:rFonts w:ascii="Times New Roman" w:hAnsi="Times New Roman" w:cs="Times New Roman"/>
          <w:sz w:val="24"/>
        </w:rPr>
        <w:t xml:space="preserve">w </w:t>
      </w:r>
      <w:r w:rsidR="0041314A" w:rsidRPr="00C30388">
        <w:rPr>
          <w:rFonts w:ascii="Times New Roman" w:hAnsi="Times New Roman" w:cs="Times New Roman"/>
          <w:sz w:val="24"/>
        </w:rPr>
        <w:t xml:space="preserve">danej </w:t>
      </w:r>
      <w:r w:rsidR="0041314A" w:rsidRPr="00C30388">
        <w:rPr>
          <w:rFonts w:ascii="Times New Roman" w:hAnsi="Times New Roman" w:cs="Times New Roman"/>
          <w:sz w:val="24"/>
        </w:rPr>
        <w:lastRenderedPageBreak/>
        <w:t>jurysdykcji</w:t>
      </w:r>
      <w:r w:rsidRPr="00C30388">
        <w:rPr>
          <w:rFonts w:ascii="Times New Roman" w:hAnsi="Times New Roman" w:cs="Times New Roman"/>
          <w:sz w:val="24"/>
        </w:rPr>
        <w:t xml:space="preserve">, jednostka ta będzie objęta opodatkowaniem jurysdykcyjnym globalnym podatkiem wyrównawczym, obliczanym dla </w:t>
      </w:r>
      <w:r w:rsidR="0041314A" w:rsidRPr="00C30388">
        <w:rPr>
          <w:rFonts w:ascii="Times New Roman" w:hAnsi="Times New Roman" w:cs="Times New Roman"/>
          <w:sz w:val="24"/>
        </w:rPr>
        <w:t>danej jurysdykcji</w:t>
      </w:r>
      <w:r w:rsidRPr="00C30388">
        <w:rPr>
          <w:rFonts w:ascii="Times New Roman" w:hAnsi="Times New Roman" w:cs="Times New Roman"/>
          <w:sz w:val="24"/>
        </w:rPr>
        <w:t xml:space="preserve">. </w:t>
      </w:r>
    </w:p>
    <w:p w14:paraId="59A16802" w14:textId="2F3EDA11"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W pewnych szczególnych przypadkach, zgodnie z Zasadami GloBE, uznaje się jednak, że wybrane jednostki albo stałe zakłady nie są zlokalizowane w żadn</w:t>
      </w:r>
      <w:r w:rsidR="0041314A" w:rsidRPr="00C30388">
        <w:rPr>
          <w:rFonts w:ascii="Times New Roman" w:hAnsi="Times New Roman" w:cs="Times New Roman"/>
          <w:sz w:val="24"/>
        </w:rPr>
        <w:t>ej</w:t>
      </w:r>
      <w:r w:rsidRPr="00C30388">
        <w:rPr>
          <w:rFonts w:ascii="Times New Roman" w:hAnsi="Times New Roman" w:cs="Times New Roman"/>
          <w:sz w:val="24"/>
        </w:rPr>
        <w:t xml:space="preserve"> </w:t>
      </w:r>
      <w:r w:rsidR="0041314A" w:rsidRPr="00C30388">
        <w:rPr>
          <w:rFonts w:ascii="Times New Roman" w:hAnsi="Times New Roman" w:cs="Times New Roman"/>
          <w:sz w:val="24"/>
        </w:rPr>
        <w:t>jurysdykcji</w:t>
      </w:r>
      <w:r w:rsidRPr="00C30388">
        <w:rPr>
          <w:rFonts w:ascii="Times New Roman" w:hAnsi="Times New Roman" w:cs="Times New Roman"/>
          <w:sz w:val="24"/>
        </w:rPr>
        <w:t xml:space="preserve">. Jeżeli jednostka składowa nie jest zlokalizowana w </w:t>
      </w:r>
      <w:r w:rsidR="0041314A" w:rsidRPr="00C30388">
        <w:rPr>
          <w:rFonts w:ascii="Times New Roman" w:hAnsi="Times New Roman" w:cs="Times New Roman"/>
          <w:sz w:val="24"/>
        </w:rPr>
        <w:t>żadnej jurysdykcji</w:t>
      </w:r>
      <w:r w:rsidRPr="00C30388">
        <w:rPr>
          <w:rFonts w:ascii="Times New Roman" w:hAnsi="Times New Roman" w:cs="Times New Roman"/>
          <w:sz w:val="24"/>
        </w:rPr>
        <w:t xml:space="preserve">, określa się ją jako bezpaństwową jednostką składową. Przykładem takiej jednostki będzie jednostka pośrednicząca (tj. jednostka przejrzysta podatkowo zgodnie z przepisami </w:t>
      </w:r>
      <w:r w:rsidR="00006AC9" w:rsidRPr="00C30388">
        <w:rPr>
          <w:rFonts w:ascii="Times New Roman" w:hAnsi="Times New Roman" w:cs="Times New Roman"/>
          <w:sz w:val="24"/>
        </w:rPr>
        <w:t xml:space="preserve">obowiązującymi w </w:t>
      </w:r>
      <w:r w:rsidR="0041314A" w:rsidRPr="00C30388">
        <w:rPr>
          <w:rFonts w:ascii="Times New Roman" w:hAnsi="Times New Roman" w:cs="Times New Roman"/>
          <w:sz w:val="24"/>
        </w:rPr>
        <w:t>jurysdykcji, w której  została</w:t>
      </w:r>
      <w:r w:rsidRPr="00C30388">
        <w:rPr>
          <w:rFonts w:ascii="Times New Roman" w:hAnsi="Times New Roman" w:cs="Times New Roman"/>
          <w:sz w:val="24"/>
        </w:rPr>
        <w:t xml:space="preserve"> utworz</w:t>
      </w:r>
      <w:r w:rsidR="00006AC9" w:rsidRPr="00C30388">
        <w:rPr>
          <w:rFonts w:ascii="Times New Roman" w:hAnsi="Times New Roman" w:cs="Times New Roman"/>
          <w:sz w:val="24"/>
        </w:rPr>
        <w:t>ona</w:t>
      </w:r>
      <w:r w:rsidRPr="00C30388">
        <w:rPr>
          <w:rFonts w:ascii="Times New Roman" w:hAnsi="Times New Roman" w:cs="Times New Roman"/>
          <w:sz w:val="24"/>
        </w:rPr>
        <w:t>), która nie jest zarazem jednostką dominującą. Dalsze przypadki jednostek bezpaństwowych opisane są w uzasadnieniu do rozdziału 3 działu I.</w:t>
      </w:r>
    </w:p>
    <w:p w14:paraId="201FE7D3"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W efekcie uznania danej jednostki składowej za bezpaństwową, jednostka dominująca będzie zobowiązana obliczyć efektywną stawkę podatkową i globalny podatek wyrównawczy dla takiej jednostki odrębnie od wszystkich pozostałych jednostek składowych (por. uzasadnienie do działu II). Tym samym, na te potrzeby bezpaństwowa jednostka składowa rozpatrywana jest pojedyncza jednostka.</w:t>
      </w:r>
    </w:p>
    <w:p w14:paraId="030D4DFE"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Centrala</w:t>
      </w:r>
    </w:p>
    <w:p w14:paraId="3075AF90" w14:textId="31370E2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Przepis </w:t>
      </w:r>
      <w:r w:rsidRPr="00C30388">
        <w:rPr>
          <w:rFonts w:ascii="Times New Roman" w:hAnsi="Times New Roman" w:cs="Times New Roman"/>
          <w:b/>
          <w:sz w:val="24"/>
        </w:rPr>
        <w:t>art. 2 ust. 1 pkt 3</w:t>
      </w:r>
      <w:r w:rsidRPr="00C30388">
        <w:rPr>
          <w:rFonts w:ascii="Times New Roman" w:hAnsi="Times New Roman" w:cs="Times New Roman"/>
          <w:sz w:val="24"/>
        </w:rPr>
        <w:t xml:space="preserve"> zawiera definicję „</w:t>
      </w:r>
      <w:r w:rsidRPr="00C30388">
        <w:rPr>
          <w:rFonts w:ascii="Times New Roman" w:hAnsi="Times New Roman" w:cs="Times New Roman"/>
          <w:b/>
          <w:sz w:val="24"/>
        </w:rPr>
        <w:t>centrali</w:t>
      </w:r>
      <w:r w:rsidRPr="00C30388">
        <w:rPr>
          <w:rFonts w:ascii="Times New Roman" w:hAnsi="Times New Roman" w:cs="Times New Roman"/>
          <w:sz w:val="24"/>
        </w:rPr>
        <w:t>” (ang. „</w:t>
      </w:r>
      <w:r w:rsidRPr="00C30388">
        <w:rPr>
          <w:rFonts w:ascii="Times New Roman" w:hAnsi="Times New Roman" w:cs="Times New Roman"/>
          <w:i/>
          <w:sz w:val="24"/>
        </w:rPr>
        <w:t>main entity</w:t>
      </w:r>
      <w:r w:rsidRPr="00C30388">
        <w:rPr>
          <w:rFonts w:ascii="Times New Roman" w:hAnsi="Times New Roman" w:cs="Times New Roman"/>
          <w:sz w:val="24"/>
        </w:rPr>
        <w:t>”) zgodną z art. 3.40 Dyrektywy. I tak, przez centralę należy rozumieć jednostkę, która w swoim sprawozdaniu finansowym uwzględnia księgowy dochód (stratę) netto stałego zakładu. Pojęcie centrali wiąże się immanentnie z pojęciem stałego zakładu w tym sensie, że odnosi się ono wyłącznie do jednostki, której część działalności prowadzona jest za pośrednictwem stałego zakładu (w rozumieniu art. 2 ust. 1 pkt 4</w:t>
      </w:r>
      <w:r w:rsidR="002D3517" w:rsidRPr="00C30388">
        <w:rPr>
          <w:rFonts w:ascii="Times New Roman" w:hAnsi="Times New Roman" w:cs="Times New Roman"/>
          <w:sz w:val="24"/>
        </w:rPr>
        <w:t>0</w:t>
      </w:r>
      <w:r w:rsidRPr="00C30388">
        <w:rPr>
          <w:rFonts w:ascii="Times New Roman" w:hAnsi="Times New Roman" w:cs="Times New Roman"/>
          <w:sz w:val="24"/>
        </w:rPr>
        <w:t xml:space="preserve"> ustawy). </w:t>
      </w:r>
    </w:p>
    <w:p w14:paraId="2DDCFA30"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 xml:space="preserve">Dyrektywa </w:t>
      </w:r>
      <w:r w:rsidRPr="00C30388">
        <w:rPr>
          <w:rFonts w:ascii="Times New Roman" w:hAnsi="Times New Roman" w:cs="Times New Roman"/>
          <w:i/>
          <w:iCs/>
          <w:sz w:val="24"/>
        </w:rPr>
        <w:t>2022/2523</w:t>
      </w:r>
    </w:p>
    <w:p w14:paraId="1176C9E0"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Przepis </w:t>
      </w:r>
      <w:r w:rsidRPr="00C30388">
        <w:rPr>
          <w:rFonts w:ascii="Times New Roman" w:hAnsi="Times New Roman" w:cs="Times New Roman"/>
          <w:b/>
          <w:sz w:val="24"/>
        </w:rPr>
        <w:t>art. 2 ust. 1 pkt 4</w:t>
      </w:r>
      <w:r w:rsidRPr="00C30388">
        <w:rPr>
          <w:rFonts w:ascii="Times New Roman" w:hAnsi="Times New Roman" w:cs="Times New Roman"/>
          <w:sz w:val="24"/>
        </w:rPr>
        <w:t xml:space="preserve"> projektu wprowadza skrót odnoszący się do implementowanej Dyrektywy.  </w:t>
      </w:r>
    </w:p>
    <w:p w14:paraId="152B3FF7" w14:textId="77777777" w:rsidR="002A4C92" w:rsidRPr="00C30388" w:rsidRDefault="002A4C92" w:rsidP="002A4C92">
      <w:pPr>
        <w:spacing w:after="120"/>
        <w:jc w:val="both"/>
        <w:rPr>
          <w:rFonts w:ascii="Times New Roman" w:hAnsi="Times New Roman" w:cs="Times New Roman"/>
          <w:bCs/>
          <w:i/>
          <w:sz w:val="24"/>
        </w:rPr>
      </w:pPr>
      <w:r w:rsidRPr="00C30388">
        <w:rPr>
          <w:rFonts w:ascii="Times New Roman" w:hAnsi="Times New Roman" w:cs="Times New Roman"/>
          <w:bCs/>
          <w:i/>
          <w:sz w:val="24"/>
        </w:rPr>
        <w:t xml:space="preserve">Fundusz inwestycyjny </w:t>
      </w:r>
    </w:p>
    <w:p w14:paraId="374192F0"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Cs/>
          <w:sz w:val="24"/>
        </w:rPr>
        <w:t xml:space="preserve">Przepis </w:t>
      </w:r>
      <w:r w:rsidRPr="00C30388">
        <w:rPr>
          <w:rFonts w:ascii="Times New Roman" w:hAnsi="Times New Roman" w:cs="Times New Roman"/>
          <w:b/>
          <w:bCs/>
          <w:sz w:val="24"/>
        </w:rPr>
        <w:t>art. 2 ust. 1 pkt 5</w:t>
      </w:r>
      <w:r w:rsidRPr="00C30388">
        <w:rPr>
          <w:rFonts w:ascii="Times New Roman" w:hAnsi="Times New Roman" w:cs="Times New Roman"/>
          <w:bCs/>
          <w:sz w:val="24"/>
        </w:rPr>
        <w:t xml:space="preserve"> projektu </w:t>
      </w:r>
      <w:r w:rsidRPr="00C30388">
        <w:rPr>
          <w:rFonts w:ascii="Times New Roman" w:hAnsi="Times New Roman" w:cs="Times New Roman"/>
          <w:sz w:val="24"/>
        </w:rPr>
        <w:t xml:space="preserve">definiuje pojęcie </w:t>
      </w:r>
      <w:r w:rsidRPr="00C30388">
        <w:rPr>
          <w:rFonts w:ascii="Times New Roman" w:hAnsi="Times New Roman" w:cs="Times New Roman"/>
          <w:bCs/>
          <w:sz w:val="24"/>
        </w:rPr>
        <w:t>funduszu inwestycyjnego</w:t>
      </w:r>
      <w:r w:rsidRPr="00C30388">
        <w:rPr>
          <w:rFonts w:ascii="Times New Roman" w:hAnsi="Times New Roman" w:cs="Times New Roman"/>
          <w:sz w:val="24"/>
        </w:rPr>
        <w:t xml:space="preserve">, zgodnie z warunkami określonymi w art. 3.31 Dyrektywy. Z uwagi na fakt, iż nie każdy fundusz inwestycyjny jest jednostką wyłączoną (lecz tylko taki, który jest jednostką dominującą najwyższego szczebla grupy), pojęcie to ma na gruncie GloBE charakter bardziej uniwersalny i jest stosowane nie tylko w odniesieniu do jednostek wyłączonych. </w:t>
      </w:r>
    </w:p>
    <w:p w14:paraId="69AEE178"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Definicja funduszu inwestycyjnego opiera się na definicji „</w:t>
      </w:r>
      <w:r w:rsidRPr="00C30388">
        <w:rPr>
          <w:rFonts w:ascii="Times New Roman" w:hAnsi="Times New Roman" w:cs="Times New Roman"/>
          <w:bCs/>
          <w:i/>
          <w:sz w:val="24"/>
        </w:rPr>
        <w:t>podmiotu inwestycyjnego”</w:t>
      </w:r>
      <w:r w:rsidRPr="00C30388">
        <w:rPr>
          <w:rFonts w:ascii="Times New Roman" w:hAnsi="Times New Roman" w:cs="Times New Roman"/>
          <w:bCs/>
          <w:sz w:val="24"/>
        </w:rPr>
        <w:t xml:space="preserve"> zawartej w MSSF 10 (MSSF, 2022)</w:t>
      </w:r>
      <w:r w:rsidRPr="00C30388">
        <w:rPr>
          <w:rStyle w:val="Odwoanieprzypisudolnego"/>
          <w:rFonts w:ascii="Times New Roman" w:hAnsi="Times New Roman" w:cs="Times New Roman"/>
          <w:bCs/>
          <w:sz w:val="24"/>
        </w:rPr>
        <w:footnoteReference w:id="31"/>
      </w:r>
      <w:r w:rsidRPr="00C30388">
        <w:rPr>
          <w:rFonts w:ascii="Times New Roman" w:hAnsi="Times New Roman" w:cs="Times New Roman"/>
          <w:bCs/>
          <w:sz w:val="24"/>
        </w:rPr>
        <w:t xml:space="preserve"> oraz w dyrektywie UE w sprawie zarządzających alternatywnymi funduszami inwestycyjnymi 2011/61/UE</w:t>
      </w:r>
      <w:r w:rsidRPr="00C30388">
        <w:rPr>
          <w:rStyle w:val="Odwoanieprzypisudolnego"/>
          <w:rFonts w:ascii="Times New Roman" w:hAnsi="Times New Roman" w:cs="Times New Roman"/>
          <w:bCs/>
          <w:sz w:val="24"/>
        </w:rPr>
        <w:footnoteReference w:id="32"/>
      </w:r>
      <w:r w:rsidRPr="00C30388">
        <w:rPr>
          <w:rFonts w:ascii="Times New Roman" w:hAnsi="Times New Roman" w:cs="Times New Roman"/>
          <w:bCs/>
          <w:sz w:val="24"/>
        </w:rPr>
        <w:t xml:space="preserve"> (dyrektywa w sprawie ZAFI). </w:t>
      </w:r>
    </w:p>
    <w:p w14:paraId="750CA217"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Zgodnie z </w:t>
      </w:r>
      <w:r w:rsidRPr="00C30388">
        <w:rPr>
          <w:rFonts w:ascii="Times New Roman" w:hAnsi="Times New Roman" w:cs="Times New Roman"/>
          <w:b/>
          <w:bCs/>
          <w:sz w:val="24"/>
        </w:rPr>
        <w:t>art. 2 ust. 1 pkt 5</w:t>
      </w:r>
      <w:r w:rsidRPr="00C30388">
        <w:rPr>
          <w:rFonts w:ascii="Times New Roman" w:hAnsi="Times New Roman" w:cs="Times New Roman"/>
          <w:sz w:val="24"/>
        </w:rPr>
        <w:t xml:space="preserve"> za fundusz inwestycyjny należy uznać każdą osobę (rozumianą jako osobę prawną, porozumienie umowne lub jednostkę organizacyjną niemającą osobowości prawnej),</w:t>
      </w:r>
      <w:r w:rsidRPr="00C30388" w:rsidDel="005B6C7D">
        <w:rPr>
          <w:rFonts w:ascii="Times New Roman" w:hAnsi="Times New Roman" w:cs="Times New Roman"/>
          <w:sz w:val="24"/>
        </w:rPr>
        <w:t xml:space="preserve"> </w:t>
      </w:r>
      <w:r w:rsidRPr="00C30388">
        <w:rPr>
          <w:rFonts w:ascii="Times New Roman" w:hAnsi="Times New Roman" w:cs="Times New Roman"/>
          <w:sz w:val="24"/>
        </w:rPr>
        <w:t xml:space="preserve">która spełnia łącznie 7 warunków określonych w </w:t>
      </w:r>
      <w:r w:rsidRPr="00C30388">
        <w:rPr>
          <w:rFonts w:ascii="Times New Roman" w:hAnsi="Times New Roman" w:cs="Times New Roman"/>
          <w:b/>
          <w:bCs/>
          <w:sz w:val="24"/>
        </w:rPr>
        <w:t>pkt 5 lit. a – g</w:t>
      </w:r>
      <w:r w:rsidRPr="00C30388">
        <w:rPr>
          <w:rFonts w:ascii="Times New Roman" w:hAnsi="Times New Roman" w:cs="Times New Roman"/>
          <w:sz w:val="24"/>
        </w:rPr>
        <w:t xml:space="preserve">. </w:t>
      </w:r>
    </w:p>
    <w:p w14:paraId="00B342F9" w14:textId="2826AAB6"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Zgodnie z warunkiem określonym w </w:t>
      </w:r>
      <w:r w:rsidRPr="00C30388">
        <w:rPr>
          <w:rFonts w:ascii="Times New Roman" w:hAnsi="Times New Roman" w:cs="Times New Roman"/>
          <w:b/>
          <w:bCs/>
          <w:sz w:val="24"/>
        </w:rPr>
        <w:t>lit. a</w:t>
      </w:r>
      <w:r w:rsidRPr="00C30388">
        <w:rPr>
          <w:rFonts w:ascii="Times New Roman" w:hAnsi="Times New Roman" w:cs="Times New Roman"/>
          <w:bCs/>
          <w:sz w:val="24"/>
        </w:rPr>
        <w:t xml:space="preserve">, </w:t>
      </w:r>
      <w:r w:rsidRPr="00C30388">
        <w:rPr>
          <w:rFonts w:ascii="Times New Roman" w:hAnsi="Times New Roman" w:cs="Times New Roman"/>
          <w:sz w:val="24"/>
        </w:rPr>
        <w:t>przedmiotem działalności takich jednostek jest</w:t>
      </w:r>
      <w:r w:rsidRPr="00C30388">
        <w:rPr>
          <w:rFonts w:ascii="Times New Roman" w:eastAsia="Times New Roman" w:hAnsi="Times New Roman" w:cs="Times New Roman"/>
          <w:sz w:val="24"/>
        </w:rPr>
        <w:t xml:space="preserve"> zbieranie aktywów od</w:t>
      </w:r>
      <w:r w:rsidRPr="00C30388">
        <w:rPr>
          <w:rFonts w:ascii="Times New Roman" w:hAnsi="Times New Roman" w:cs="Times New Roman"/>
          <w:sz w:val="24"/>
        </w:rPr>
        <w:t xml:space="preserve"> wielu inwestorów,</w:t>
      </w:r>
      <w:r w:rsidRPr="00C30388">
        <w:rPr>
          <w:rFonts w:ascii="Times New Roman" w:eastAsia="Times New Roman" w:hAnsi="Times New Roman" w:cs="Times New Roman"/>
          <w:sz w:val="24"/>
        </w:rPr>
        <w:t xml:space="preserve"> gdzie </w:t>
      </w:r>
      <w:r w:rsidRPr="00C30388">
        <w:rPr>
          <w:rFonts w:ascii="Times New Roman" w:hAnsi="Times New Roman" w:cs="Times New Roman"/>
          <w:sz w:val="24"/>
        </w:rPr>
        <w:t xml:space="preserve">co najmniej jeden z tych inwestorów nie jest </w:t>
      </w:r>
      <w:r w:rsidRPr="00C30388">
        <w:rPr>
          <w:rFonts w:ascii="Times New Roman" w:hAnsi="Times New Roman" w:cs="Times New Roman"/>
          <w:sz w:val="24"/>
        </w:rPr>
        <w:lastRenderedPageBreak/>
        <w:t>osobą powiązaną z innymi inwestorami</w:t>
      </w:r>
      <w:r w:rsidR="00A80FA1" w:rsidRPr="00C30388">
        <w:rPr>
          <w:rFonts w:ascii="Times New Roman" w:hAnsi="Times New Roman" w:cs="Times New Roman"/>
          <w:sz w:val="24"/>
        </w:rPr>
        <w:t xml:space="preserve"> (przy czym zgodnie z Komentarzem, wystąpienie powiązań należy oceniać w świetle art. 5(8) Modelowej konwencji OECD)</w:t>
      </w:r>
      <w:r w:rsidRPr="00C30388">
        <w:rPr>
          <w:rFonts w:ascii="Times New Roman" w:hAnsi="Times New Roman" w:cs="Times New Roman"/>
          <w:bCs/>
          <w:sz w:val="24"/>
        </w:rPr>
        <w:t xml:space="preserve">. </w:t>
      </w:r>
      <w:r w:rsidR="00A80FA1" w:rsidRPr="00C30388">
        <w:rPr>
          <w:rFonts w:ascii="Times New Roman" w:hAnsi="Times New Roman" w:cs="Times New Roman"/>
          <w:bCs/>
          <w:sz w:val="24"/>
        </w:rPr>
        <w:t>Ponadto, w</w:t>
      </w:r>
      <w:r w:rsidRPr="00C30388">
        <w:rPr>
          <w:rFonts w:ascii="Times New Roman" w:hAnsi="Times New Roman" w:cs="Times New Roman"/>
          <w:bCs/>
          <w:sz w:val="24"/>
        </w:rPr>
        <w:t xml:space="preserve"> celu ustalenia, czy między inwestorami występują wskazane powiązania, należy zweryfikować okoliczności faktyczne. </w:t>
      </w:r>
    </w:p>
    <w:p w14:paraId="781CEC3F"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sz w:val="24"/>
        </w:rPr>
        <w:t>Wymogiem wskazanym</w:t>
      </w:r>
      <w:r w:rsidRPr="00C30388">
        <w:rPr>
          <w:rFonts w:ascii="Times New Roman" w:hAnsi="Times New Roman" w:cs="Times New Roman"/>
          <w:b/>
          <w:bCs/>
          <w:sz w:val="24"/>
        </w:rPr>
        <w:t xml:space="preserve"> w lit. b</w:t>
      </w:r>
      <w:r w:rsidRPr="00C30388">
        <w:rPr>
          <w:rFonts w:ascii="Times New Roman" w:hAnsi="Times New Roman" w:cs="Times New Roman"/>
          <w:sz w:val="24"/>
        </w:rPr>
        <w:t xml:space="preserve"> jest, </w:t>
      </w:r>
      <w:r w:rsidRPr="00C30388">
        <w:rPr>
          <w:rFonts w:ascii="Times New Roman" w:hAnsi="Times New Roman" w:cs="Times New Roman"/>
          <w:bCs/>
          <w:sz w:val="24"/>
        </w:rPr>
        <w:t xml:space="preserve">aby fundusz inwestycyjny posiadał określoną politykę inwestycyjną i lokował swoje aktywa zgodnie z tą polityką. O istnieniu takiej polityki mogą świadczyć następujące okoliczności:   </w:t>
      </w:r>
    </w:p>
    <w:p w14:paraId="08A02A06" w14:textId="77777777" w:rsidR="002A4C92" w:rsidRPr="00C30388" w:rsidRDefault="002A4C92" w:rsidP="002A4C92">
      <w:pPr>
        <w:pStyle w:val="Akapitzlist"/>
        <w:numPr>
          <w:ilvl w:val="0"/>
          <w:numId w:val="6"/>
        </w:numPr>
        <w:spacing w:after="120"/>
        <w:ind w:left="714" w:hanging="357"/>
        <w:contextualSpacing w:val="0"/>
        <w:jc w:val="both"/>
        <w:rPr>
          <w:rFonts w:ascii="Times New Roman" w:hAnsi="Times New Roman" w:cs="Times New Roman"/>
          <w:bCs/>
          <w:sz w:val="24"/>
        </w:rPr>
      </w:pPr>
      <w:r w:rsidRPr="00C30388">
        <w:rPr>
          <w:rFonts w:ascii="Times New Roman" w:hAnsi="Times New Roman" w:cs="Times New Roman"/>
          <w:bCs/>
          <w:sz w:val="24"/>
        </w:rPr>
        <w:t xml:space="preserve">polityka inwestycyjna jest określana i ustalana najpóźniej do czasu, gdy zobowiązania inwestorów wobec funduszu inwestycyjnego stają się dla nich wiążące; </w:t>
      </w:r>
    </w:p>
    <w:p w14:paraId="0378CDDF" w14:textId="77777777" w:rsidR="002A4C92" w:rsidRPr="00C30388" w:rsidRDefault="002A4C92" w:rsidP="002A4C92">
      <w:pPr>
        <w:pStyle w:val="Akapitzlist"/>
        <w:numPr>
          <w:ilvl w:val="0"/>
          <w:numId w:val="6"/>
        </w:numPr>
        <w:spacing w:after="120"/>
        <w:ind w:left="714" w:hanging="357"/>
        <w:contextualSpacing w:val="0"/>
        <w:jc w:val="both"/>
        <w:rPr>
          <w:rFonts w:ascii="Times New Roman" w:hAnsi="Times New Roman" w:cs="Times New Roman"/>
          <w:bCs/>
          <w:sz w:val="24"/>
        </w:rPr>
      </w:pPr>
      <w:r w:rsidRPr="00C30388">
        <w:rPr>
          <w:rFonts w:ascii="Times New Roman" w:hAnsi="Times New Roman" w:cs="Times New Roman"/>
          <w:bCs/>
          <w:sz w:val="24"/>
        </w:rPr>
        <w:t>polityka inwestycyjna jest określona w dokumencie, który staje się częścią regulaminu lub dokumentów założycielskich funduszu inwestycyjnego;</w:t>
      </w:r>
    </w:p>
    <w:p w14:paraId="4C7EA580" w14:textId="77777777" w:rsidR="002A4C92" w:rsidRPr="00C30388" w:rsidRDefault="002A4C92" w:rsidP="002A4C92">
      <w:pPr>
        <w:pStyle w:val="Akapitzlist"/>
        <w:numPr>
          <w:ilvl w:val="0"/>
          <w:numId w:val="6"/>
        </w:numPr>
        <w:spacing w:after="120"/>
        <w:ind w:left="714" w:hanging="357"/>
        <w:contextualSpacing w:val="0"/>
        <w:jc w:val="both"/>
        <w:rPr>
          <w:rFonts w:ascii="Times New Roman" w:hAnsi="Times New Roman" w:cs="Times New Roman"/>
          <w:bCs/>
          <w:sz w:val="24"/>
        </w:rPr>
      </w:pPr>
      <w:r w:rsidRPr="00C30388">
        <w:rPr>
          <w:rFonts w:ascii="Times New Roman" w:hAnsi="Times New Roman" w:cs="Times New Roman"/>
          <w:bCs/>
          <w:sz w:val="24"/>
        </w:rPr>
        <w:t>fundusz inwestycyjny lub osoba prawna zarządzająca takim funduszem ma obowiązek przestrzegania polityki inwestycyjnej i może on być prawnie egzekwowalny przez inwestorów;</w:t>
      </w:r>
    </w:p>
    <w:p w14:paraId="319FEFE6" w14:textId="77777777" w:rsidR="002A4C92" w:rsidRPr="00C30388" w:rsidRDefault="002A4C92" w:rsidP="002A4C92">
      <w:pPr>
        <w:pStyle w:val="Akapitzlist"/>
        <w:numPr>
          <w:ilvl w:val="0"/>
          <w:numId w:val="6"/>
        </w:numPr>
        <w:spacing w:after="120"/>
        <w:ind w:left="714" w:hanging="357"/>
        <w:contextualSpacing w:val="0"/>
        <w:jc w:val="both"/>
        <w:rPr>
          <w:rFonts w:ascii="Times New Roman" w:hAnsi="Times New Roman" w:cs="Times New Roman"/>
          <w:bCs/>
          <w:sz w:val="24"/>
        </w:rPr>
      </w:pPr>
      <w:r w:rsidRPr="00C30388">
        <w:rPr>
          <w:rFonts w:ascii="Times New Roman" w:hAnsi="Times New Roman" w:cs="Times New Roman"/>
          <w:bCs/>
          <w:sz w:val="24"/>
        </w:rPr>
        <w:t>polityka inwestycyjna takiego funduszu określa wytyczne inwestycyjne, obejmujące niektóre lub wszystkie z następujących kryteriów: (i) inwestowanie w określone kategorie aktywów lub stosownie do ograniczeń dotyczących alokacji aktywów; (ii) realizowanie określonych strategii; (iii) inwestowanie w określonych regionach geograficznych; (iv) dostosowanie się do ograniczeń dotyczących dźwigni finansowej; (v) przestrzeganie minimalnych okresów utrzymywania inwestycji; lub (vi) dostosowanie się do innych ograniczeń mających na celu zapewnienie dywersyfikacji ryzyka.</w:t>
      </w:r>
    </w:p>
    <w:p w14:paraId="5FC32092"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Warunek zawarty </w:t>
      </w:r>
      <w:r w:rsidRPr="00C30388">
        <w:rPr>
          <w:rFonts w:ascii="Times New Roman" w:hAnsi="Times New Roman" w:cs="Times New Roman"/>
          <w:b/>
          <w:bCs/>
          <w:sz w:val="24"/>
        </w:rPr>
        <w:t>w lit. c</w:t>
      </w:r>
      <w:r w:rsidRPr="00C30388">
        <w:rPr>
          <w:rFonts w:ascii="Times New Roman" w:hAnsi="Times New Roman" w:cs="Times New Roman"/>
          <w:bCs/>
          <w:sz w:val="24"/>
        </w:rPr>
        <w:t xml:space="preserve"> wskazuje na cechę funduszu inwestycyjnego, jaką jest umożliwienie inwestorom, przy pomocy wspólnego inwestowania przez taki fundusz, zmniejszenia kosztów transakcji, badań i analiz lub zbiorowego rozłożenia ryzyka.</w:t>
      </w:r>
      <w:r w:rsidRPr="00C30388">
        <w:rPr>
          <w:rStyle w:val="Odwoanieprzypisudolnego"/>
          <w:rFonts w:ascii="Times New Roman" w:hAnsi="Times New Roman" w:cs="Times New Roman"/>
          <w:bCs/>
          <w:sz w:val="24"/>
        </w:rPr>
        <w:footnoteReference w:id="33"/>
      </w:r>
      <w:r w:rsidRPr="00C30388">
        <w:rPr>
          <w:rFonts w:ascii="Times New Roman" w:hAnsi="Times New Roman" w:cs="Times New Roman"/>
          <w:bCs/>
          <w:sz w:val="24"/>
        </w:rPr>
        <w:t xml:space="preserve"> </w:t>
      </w:r>
    </w:p>
    <w:p w14:paraId="5BC56EF5"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
          <w:bCs/>
          <w:sz w:val="24"/>
        </w:rPr>
        <w:t>Lit. d</w:t>
      </w:r>
      <w:r w:rsidRPr="00C30388">
        <w:rPr>
          <w:rFonts w:ascii="Times New Roman" w:hAnsi="Times New Roman" w:cs="Times New Roman"/>
          <w:bCs/>
          <w:sz w:val="24"/>
        </w:rPr>
        <w:t xml:space="preserve"> wskazuje na podstawowy cel działalności takiej jednostki, tj. generowanie przede wszystkim zysków z inwestycji. Chodzi przede wszystkim o dywidendy, odsetki, czynsz, zwroty z innych funduszy inwestycyjnych i zyski kapitałowe, a nie dochody operacyjne. Kategoria dopuszczalnych dochodów funduszu inwestycyjnego nie obejmuje należności licencyjnych (</w:t>
      </w:r>
      <w:r w:rsidRPr="00C30388">
        <w:rPr>
          <w:rFonts w:ascii="Times New Roman" w:hAnsi="Times New Roman" w:cs="Times New Roman"/>
          <w:bCs/>
          <w:i/>
          <w:sz w:val="24"/>
        </w:rPr>
        <w:t>royalties</w:t>
      </w:r>
      <w:r w:rsidRPr="00C30388">
        <w:rPr>
          <w:rFonts w:ascii="Times New Roman" w:hAnsi="Times New Roman" w:cs="Times New Roman"/>
          <w:bCs/>
          <w:sz w:val="24"/>
        </w:rPr>
        <w:t xml:space="preserve">) [Komentarz, 10.1;42]. Alternatywnie, zgodnie z </w:t>
      </w:r>
      <w:r w:rsidRPr="00C30388">
        <w:rPr>
          <w:rFonts w:ascii="Times New Roman" w:hAnsi="Times New Roman" w:cs="Times New Roman"/>
          <w:b/>
          <w:sz w:val="24"/>
        </w:rPr>
        <w:t xml:space="preserve">lit. d </w:t>
      </w:r>
      <w:r w:rsidRPr="00C30388">
        <w:rPr>
          <w:rFonts w:ascii="Times New Roman" w:hAnsi="Times New Roman" w:cs="Times New Roman"/>
          <w:bCs/>
          <w:sz w:val="24"/>
        </w:rPr>
        <w:t>fundusz może być przeznaczony do ochrony przed określonym lub ogólnym zdarzeniem. Sformułowanie to ma na celu objęcie sytuacji, w których fundusz inwestycyjny jest wykorzystywany przez branżę ubezpieczeniową do pokrycia zdarzeń lub wyników objętych ubezpieczeniem.</w:t>
      </w:r>
    </w:p>
    <w:p w14:paraId="403E98C0"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sz w:val="24"/>
        </w:rPr>
        <w:t>Zgodnie z</w:t>
      </w:r>
      <w:r w:rsidRPr="00C30388">
        <w:rPr>
          <w:rFonts w:ascii="Times New Roman" w:hAnsi="Times New Roman" w:cs="Times New Roman"/>
          <w:b/>
          <w:bCs/>
          <w:sz w:val="24"/>
        </w:rPr>
        <w:t xml:space="preserve"> lit. e</w:t>
      </w:r>
      <w:r w:rsidRPr="00C30388">
        <w:rPr>
          <w:rFonts w:ascii="Times New Roman" w:hAnsi="Times New Roman" w:cs="Times New Roman"/>
          <w:bCs/>
          <w:sz w:val="24"/>
        </w:rPr>
        <w:t xml:space="preserve"> wymaga się, aby inwestorzy, dokonujący wpłaty na nabycie tytułów uczestnictwa w funduszach inwestycyjnych, mieli prawo do zwrotu z aktywów funduszu lub zysku uzyskanego z tych aktywów w oparciu o wniesione środki. Inwestorzy mogą również osiągać zyski kapitałowe ze zbycia udziałów własnościowych takiego funduszu.</w:t>
      </w:r>
    </w:p>
    <w:p w14:paraId="3C76DF3B" w14:textId="50AD4146"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Zgodnie z wymogiem określonym w </w:t>
      </w:r>
      <w:r w:rsidRPr="00C30388">
        <w:rPr>
          <w:rFonts w:ascii="Times New Roman" w:hAnsi="Times New Roman" w:cs="Times New Roman"/>
          <w:b/>
          <w:bCs/>
          <w:sz w:val="24"/>
        </w:rPr>
        <w:t>lit. f</w:t>
      </w:r>
      <w:r w:rsidRPr="00C30388">
        <w:rPr>
          <w:rFonts w:ascii="Times New Roman" w:hAnsi="Times New Roman" w:cs="Times New Roman"/>
          <w:bCs/>
          <w:sz w:val="24"/>
        </w:rPr>
        <w:t xml:space="preserve"> fundusz lub podmiot zarządzający aktywami funduszu musi podlegać odpowiednim regulacjom w</w:t>
      </w:r>
      <w:r w:rsidRPr="00C30388">
        <w:rPr>
          <w:rFonts w:ascii="Times New Roman" w:hAnsi="Times New Roman" w:cs="Times New Roman"/>
          <w:sz w:val="24"/>
        </w:rPr>
        <w:t xml:space="preserve"> </w:t>
      </w:r>
      <w:r w:rsidR="0041314A" w:rsidRPr="00C30388">
        <w:rPr>
          <w:rFonts w:ascii="Times New Roman" w:hAnsi="Times New Roman" w:cs="Times New Roman"/>
          <w:sz w:val="24"/>
        </w:rPr>
        <w:t>jurysdykcji, w której został utworzon</w:t>
      </w:r>
      <w:r w:rsidR="00BE53E9" w:rsidRPr="00C30388">
        <w:rPr>
          <w:rFonts w:ascii="Times New Roman" w:hAnsi="Times New Roman" w:cs="Times New Roman"/>
          <w:sz w:val="24"/>
        </w:rPr>
        <w:t>y</w:t>
      </w:r>
      <w:r w:rsidR="0041314A" w:rsidRPr="00C30388">
        <w:rPr>
          <w:rFonts w:ascii="Times New Roman" w:hAnsi="Times New Roman" w:cs="Times New Roman"/>
          <w:sz w:val="24"/>
        </w:rPr>
        <w:t xml:space="preserve"> </w:t>
      </w:r>
      <w:r w:rsidRPr="00C30388">
        <w:rPr>
          <w:rFonts w:ascii="Times New Roman" w:hAnsi="Times New Roman" w:cs="Times New Roman"/>
          <w:sz w:val="24"/>
        </w:rPr>
        <w:lastRenderedPageBreak/>
        <w:t xml:space="preserve">lub </w:t>
      </w:r>
      <w:r w:rsidR="001A7582" w:rsidRPr="00C30388">
        <w:rPr>
          <w:rFonts w:ascii="Times New Roman" w:hAnsi="Times New Roman" w:cs="Times New Roman"/>
          <w:sz w:val="24"/>
        </w:rPr>
        <w:t xml:space="preserve">w której posiada siedzibę </w:t>
      </w:r>
      <w:r w:rsidRPr="00C30388">
        <w:rPr>
          <w:rFonts w:ascii="Times New Roman" w:hAnsi="Times New Roman" w:cs="Times New Roman"/>
          <w:sz w:val="24"/>
        </w:rPr>
        <w:t xml:space="preserve">podmiot </w:t>
      </w:r>
      <w:r w:rsidR="001A7582" w:rsidRPr="00C30388">
        <w:rPr>
          <w:rFonts w:ascii="Times New Roman" w:hAnsi="Times New Roman" w:cs="Times New Roman"/>
          <w:sz w:val="24"/>
        </w:rPr>
        <w:t>nim/</w:t>
      </w:r>
      <w:r w:rsidRPr="00C30388">
        <w:rPr>
          <w:rFonts w:ascii="Times New Roman" w:hAnsi="Times New Roman" w:cs="Times New Roman"/>
          <w:sz w:val="24"/>
        </w:rPr>
        <w:t>nim</w:t>
      </w:r>
      <w:r w:rsidR="001A7582" w:rsidRPr="00C30388">
        <w:rPr>
          <w:rFonts w:ascii="Times New Roman" w:hAnsi="Times New Roman" w:cs="Times New Roman"/>
          <w:sz w:val="24"/>
        </w:rPr>
        <w:t>i</w:t>
      </w:r>
      <w:r w:rsidRPr="00C30388">
        <w:rPr>
          <w:rFonts w:ascii="Times New Roman" w:hAnsi="Times New Roman" w:cs="Times New Roman"/>
          <w:sz w:val="24"/>
        </w:rPr>
        <w:t xml:space="preserve"> zarządzając</w:t>
      </w:r>
      <w:r w:rsidR="001A7582" w:rsidRPr="00C30388">
        <w:rPr>
          <w:rFonts w:ascii="Times New Roman" w:hAnsi="Times New Roman" w:cs="Times New Roman"/>
          <w:sz w:val="24"/>
        </w:rPr>
        <w:t>y</w:t>
      </w:r>
      <w:r w:rsidRPr="00C30388">
        <w:rPr>
          <w:rFonts w:ascii="Times New Roman" w:hAnsi="Times New Roman" w:cs="Times New Roman"/>
          <w:sz w:val="24"/>
        </w:rPr>
        <w:t>, które</w:t>
      </w:r>
      <w:r w:rsidR="00BE53E9" w:rsidRPr="00C30388">
        <w:rPr>
          <w:rFonts w:ascii="Times New Roman" w:hAnsi="Times New Roman" w:cs="Times New Roman"/>
          <w:sz w:val="24"/>
        </w:rPr>
        <w:t xml:space="preserve"> to regulacje</w:t>
      </w:r>
      <w:r w:rsidRPr="00C30388">
        <w:rPr>
          <w:rFonts w:ascii="Times New Roman" w:hAnsi="Times New Roman" w:cs="Times New Roman"/>
          <w:sz w:val="24"/>
        </w:rPr>
        <w:t xml:space="preserve"> zapewniają ochronę interesów inwestorów oraz przeciwdziałają praniu pieniędzy oraz finansowaniu terroryzmu</w:t>
      </w:r>
      <w:r w:rsidRPr="00C30388">
        <w:rPr>
          <w:rFonts w:ascii="Times New Roman" w:hAnsi="Times New Roman" w:cs="Times New Roman"/>
          <w:bCs/>
          <w:sz w:val="24"/>
        </w:rPr>
        <w:t xml:space="preserve">. Przepis ten ma na celu objęcie różnych rodzajów praktyk poszczególnych </w:t>
      </w:r>
      <w:r w:rsidR="001A7582" w:rsidRPr="00C30388">
        <w:rPr>
          <w:rFonts w:ascii="Times New Roman" w:hAnsi="Times New Roman" w:cs="Times New Roman"/>
          <w:bCs/>
          <w:sz w:val="24"/>
        </w:rPr>
        <w:t xml:space="preserve">jurysdykcji </w:t>
      </w:r>
      <w:r w:rsidRPr="00C30388">
        <w:rPr>
          <w:rFonts w:ascii="Times New Roman" w:hAnsi="Times New Roman" w:cs="Times New Roman"/>
          <w:bCs/>
          <w:sz w:val="24"/>
        </w:rPr>
        <w:t xml:space="preserve">w zakresie regulacji nadzoru ostrożnościowego nad funduszami inwestycyjnymi. W odniesieniu do funduszu, który został ustanowiony lub utworzony przez rząd, w zakresie, w jakim nie kwalifikuje się jako jednostka rządowa, regulacja może przyjąć dowolną formę zatwierdzoną przez rząd.  </w:t>
      </w:r>
    </w:p>
    <w:p w14:paraId="375EC056"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Zgodnie natomiast z </w:t>
      </w:r>
      <w:r w:rsidRPr="00C30388">
        <w:rPr>
          <w:rFonts w:ascii="Times New Roman" w:hAnsi="Times New Roman" w:cs="Times New Roman"/>
          <w:b/>
          <w:bCs/>
          <w:sz w:val="24"/>
        </w:rPr>
        <w:t>lit. g</w:t>
      </w:r>
      <w:r w:rsidRPr="00C30388">
        <w:rPr>
          <w:rFonts w:ascii="Times New Roman" w:hAnsi="Times New Roman" w:cs="Times New Roman"/>
          <w:bCs/>
          <w:sz w:val="24"/>
        </w:rPr>
        <w:t xml:space="preserve"> fundusz musi być zarządzany przez osoby, które zajmują się tym zawodowo. Spełnienie tego warunku może być rozpatrywane w przypadku, gdy m.in.: </w:t>
      </w:r>
    </w:p>
    <w:p w14:paraId="49057E48" w14:textId="77777777" w:rsidR="002A4C92" w:rsidRPr="00C30388" w:rsidRDefault="002A4C92" w:rsidP="002A4C92">
      <w:pPr>
        <w:pStyle w:val="Akapitzlist"/>
        <w:numPr>
          <w:ilvl w:val="0"/>
          <w:numId w:val="7"/>
        </w:numPr>
        <w:spacing w:after="120"/>
        <w:ind w:left="714" w:hanging="357"/>
        <w:contextualSpacing w:val="0"/>
        <w:jc w:val="both"/>
        <w:rPr>
          <w:rFonts w:ascii="Times New Roman" w:hAnsi="Times New Roman" w:cs="Times New Roman"/>
          <w:bCs/>
          <w:sz w:val="24"/>
        </w:rPr>
      </w:pPr>
      <w:r w:rsidRPr="00C30388">
        <w:rPr>
          <w:rFonts w:ascii="Times New Roman" w:hAnsi="Times New Roman" w:cs="Times New Roman"/>
          <w:bCs/>
          <w:sz w:val="24"/>
        </w:rPr>
        <w:t>zarządzający funduszami działają niezależnie od inwestorów i nie są bezpośrednio zatrudniani przez inwestorów;</w:t>
      </w:r>
    </w:p>
    <w:p w14:paraId="72CA5E3B" w14:textId="77777777" w:rsidR="002A4C92" w:rsidRPr="00C30388" w:rsidRDefault="002A4C92" w:rsidP="002A4C92">
      <w:pPr>
        <w:pStyle w:val="Akapitzlist"/>
        <w:numPr>
          <w:ilvl w:val="0"/>
          <w:numId w:val="7"/>
        </w:numPr>
        <w:spacing w:after="120"/>
        <w:ind w:left="714" w:hanging="357"/>
        <w:contextualSpacing w:val="0"/>
        <w:jc w:val="both"/>
        <w:rPr>
          <w:rFonts w:ascii="Times New Roman" w:hAnsi="Times New Roman" w:cs="Times New Roman"/>
          <w:bCs/>
          <w:sz w:val="24"/>
        </w:rPr>
      </w:pPr>
      <w:r w:rsidRPr="00C30388">
        <w:rPr>
          <w:rFonts w:ascii="Times New Roman" w:hAnsi="Times New Roman" w:cs="Times New Roman"/>
          <w:bCs/>
          <w:sz w:val="24"/>
        </w:rPr>
        <w:t xml:space="preserve">zarządzający funduszami podlegają krajowym przepisom dotyczącym wiedzy i kompetencji, a co za tym idzie posiadają stosowane uprawnienia; </w:t>
      </w:r>
    </w:p>
    <w:p w14:paraId="588DE19D" w14:textId="257E13FC" w:rsidR="002A4C92" w:rsidRPr="00C30388" w:rsidRDefault="002A4C92" w:rsidP="002A4C92">
      <w:pPr>
        <w:pStyle w:val="Akapitzlist"/>
        <w:numPr>
          <w:ilvl w:val="0"/>
          <w:numId w:val="7"/>
        </w:numPr>
        <w:spacing w:after="120"/>
        <w:ind w:left="714" w:hanging="357"/>
        <w:contextualSpacing w:val="0"/>
        <w:jc w:val="both"/>
        <w:rPr>
          <w:rFonts w:ascii="Times New Roman" w:hAnsi="Times New Roman" w:cs="Times New Roman"/>
          <w:bCs/>
          <w:sz w:val="24"/>
        </w:rPr>
      </w:pPr>
      <w:r w:rsidRPr="00C30388">
        <w:rPr>
          <w:rFonts w:ascii="Times New Roman" w:hAnsi="Times New Roman" w:cs="Times New Roman"/>
          <w:bCs/>
          <w:sz w:val="24"/>
        </w:rPr>
        <w:t>wynagrodzenie kadry kierowniczej funduszu lub podmiotu nim zarządzającego jest częściowo uzależnione od wyników funduszu.</w:t>
      </w:r>
    </w:p>
    <w:p w14:paraId="56151854" w14:textId="77777777" w:rsidR="002A4C92" w:rsidRPr="00C30388" w:rsidRDefault="002A4C92" w:rsidP="002A4C92">
      <w:pPr>
        <w:spacing w:before="120" w:after="120"/>
        <w:jc w:val="both"/>
        <w:rPr>
          <w:rFonts w:ascii="Times New Roman" w:hAnsi="Times New Roman" w:cs="Times New Roman"/>
          <w:i/>
          <w:sz w:val="24"/>
        </w:rPr>
      </w:pPr>
      <w:r w:rsidRPr="00C30388">
        <w:rPr>
          <w:rFonts w:ascii="Times New Roman" w:hAnsi="Times New Roman" w:cs="Times New Roman"/>
          <w:i/>
          <w:sz w:val="24"/>
        </w:rPr>
        <w:t xml:space="preserve">Grupa, grupa krajowa, grupa międzynarodowa </w:t>
      </w:r>
    </w:p>
    <w:p w14:paraId="0253359F"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Przepis </w:t>
      </w:r>
      <w:r w:rsidRPr="00C30388">
        <w:rPr>
          <w:rFonts w:ascii="Times New Roman" w:hAnsi="Times New Roman" w:cs="Times New Roman"/>
          <w:b/>
          <w:sz w:val="24"/>
        </w:rPr>
        <w:t>art. 2 ust. 1 pkt 6</w:t>
      </w:r>
      <w:r w:rsidRPr="00C30388">
        <w:rPr>
          <w:rFonts w:ascii="Times New Roman" w:hAnsi="Times New Roman" w:cs="Times New Roman"/>
          <w:sz w:val="24"/>
        </w:rPr>
        <w:t xml:space="preserve"> implementuje pojęcie grupy zawarte w art. 3.3 Dyrektywy. Pojęcie to jest jednym z podstawowych pojęć pozwalających na ustalenie zakresu podmiotowego ustawy. </w:t>
      </w:r>
    </w:p>
    <w:p w14:paraId="4D3CC5D7"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Przez grupę rozumie się, w pierwszej kolejności (</w:t>
      </w:r>
      <w:r w:rsidRPr="00C30388">
        <w:rPr>
          <w:rFonts w:ascii="Times New Roman" w:hAnsi="Times New Roman" w:cs="Times New Roman"/>
          <w:b/>
          <w:bCs/>
          <w:sz w:val="24"/>
        </w:rPr>
        <w:t>pkt 6</w:t>
      </w:r>
      <w:r w:rsidRPr="00C30388">
        <w:rPr>
          <w:rFonts w:ascii="Times New Roman" w:hAnsi="Times New Roman" w:cs="Times New Roman"/>
          <w:sz w:val="24"/>
        </w:rPr>
        <w:t xml:space="preserve"> </w:t>
      </w:r>
      <w:r w:rsidRPr="00C30388">
        <w:rPr>
          <w:rFonts w:ascii="Times New Roman" w:hAnsi="Times New Roman" w:cs="Times New Roman"/>
          <w:b/>
          <w:sz w:val="24"/>
        </w:rPr>
        <w:t>lit. a</w:t>
      </w:r>
      <w:r w:rsidRPr="00C30388">
        <w:rPr>
          <w:rFonts w:ascii="Times New Roman" w:hAnsi="Times New Roman" w:cs="Times New Roman"/>
          <w:sz w:val="24"/>
        </w:rPr>
        <w:t>), dwie lub więcej jednostek, między którymi istnieją powiązania właścicielskie lub powiazania wynikające ze sprawowania kontroli, zgodnie z ich definicją określoną na potrzeby sporządzenia skonsolidowanego sprawozdania finansowego przez jednostkę dominującą najwyższego szczebla, które to jednostki:</w:t>
      </w:r>
    </w:p>
    <w:p w14:paraId="2F7EA1F9" w14:textId="77777777" w:rsidR="002A4C92" w:rsidRPr="00C30388" w:rsidRDefault="002A4C92" w:rsidP="002A4C92">
      <w:pPr>
        <w:numPr>
          <w:ilvl w:val="0"/>
          <w:numId w:val="1"/>
        </w:numPr>
        <w:spacing w:after="120"/>
        <w:jc w:val="both"/>
        <w:rPr>
          <w:rFonts w:ascii="Times New Roman" w:hAnsi="Times New Roman" w:cs="Times New Roman"/>
          <w:sz w:val="24"/>
        </w:rPr>
      </w:pPr>
      <w:r w:rsidRPr="00C30388">
        <w:rPr>
          <w:rFonts w:ascii="Times New Roman" w:hAnsi="Times New Roman" w:cs="Times New Roman"/>
          <w:sz w:val="24"/>
        </w:rPr>
        <w:t>podlegają uwzględnieniu w takim skonsolidowanym sprawozdaniu finansowym lub,</w:t>
      </w:r>
    </w:p>
    <w:p w14:paraId="2818A846" w14:textId="77777777" w:rsidR="002A4C92" w:rsidRPr="00C30388" w:rsidRDefault="002A4C92" w:rsidP="002A4C92">
      <w:pPr>
        <w:numPr>
          <w:ilvl w:val="0"/>
          <w:numId w:val="1"/>
        </w:numPr>
        <w:spacing w:after="120"/>
        <w:jc w:val="both"/>
        <w:rPr>
          <w:rFonts w:ascii="Times New Roman" w:hAnsi="Times New Roman" w:cs="Times New Roman"/>
          <w:sz w:val="24"/>
        </w:rPr>
      </w:pPr>
      <w:r w:rsidRPr="00C30388">
        <w:rPr>
          <w:rFonts w:ascii="Times New Roman" w:hAnsi="Times New Roman" w:cs="Times New Roman"/>
          <w:sz w:val="24"/>
        </w:rPr>
        <w:t>mogą nie być uwzględnione w takim sprawozdaniu, wyłącznie ze względu na ich niewielki rozmiar, nieistotność ich danych finansowych lub przeznaczenie do sprzedaży.</w:t>
      </w:r>
    </w:p>
    <w:p w14:paraId="54FC3E99" w14:textId="5F555388"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Ponadto, projekt w ślad za Dyrektywą i Modelowymi Zasadami, w art. 2 ust. 1 </w:t>
      </w:r>
      <w:r w:rsidRPr="00C30388">
        <w:rPr>
          <w:rFonts w:ascii="Times New Roman" w:hAnsi="Times New Roman" w:cs="Times New Roman"/>
          <w:b/>
          <w:bCs/>
          <w:sz w:val="24"/>
        </w:rPr>
        <w:t>pkt 6 lit. b</w:t>
      </w:r>
      <w:r w:rsidRPr="00C30388">
        <w:rPr>
          <w:rFonts w:ascii="Times New Roman" w:hAnsi="Times New Roman" w:cs="Times New Roman"/>
          <w:sz w:val="24"/>
        </w:rPr>
        <w:t>) przewiduje, iż za grupę będą uznawane samodzielne jednostki (centrale), które posiadają co najmniej jeden stały zakład zlokalizowany w inn</w:t>
      </w:r>
      <w:r w:rsidR="00632C6D" w:rsidRPr="00C30388">
        <w:rPr>
          <w:rFonts w:ascii="Times New Roman" w:hAnsi="Times New Roman" w:cs="Times New Roman"/>
          <w:sz w:val="24"/>
        </w:rPr>
        <w:t xml:space="preserve">ej </w:t>
      </w:r>
      <w:bookmarkStart w:id="0" w:name="_Hlk170916579"/>
      <w:r w:rsidR="00632C6D" w:rsidRPr="00C30388">
        <w:rPr>
          <w:rFonts w:ascii="Times New Roman" w:hAnsi="Times New Roman" w:cs="Times New Roman"/>
          <w:sz w:val="24"/>
        </w:rPr>
        <w:t xml:space="preserve">jurysdykcji </w:t>
      </w:r>
      <w:bookmarkEnd w:id="0"/>
      <w:r w:rsidR="00632C6D" w:rsidRPr="00C30388">
        <w:rPr>
          <w:rFonts w:ascii="Times New Roman" w:hAnsi="Times New Roman" w:cs="Times New Roman"/>
          <w:sz w:val="24"/>
        </w:rPr>
        <w:t>niż jurysdykcja centrali</w:t>
      </w:r>
      <w:r w:rsidRPr="00C30388">
        <w:rPr>
          <w:rFonts w:ascii="Times New Roman" w:hAnsi="Times New Roman" w:cs="Times New Roman"/>
          <w:sz w:val="24"/>
        </w:rPr>
        <w:t xml:space="preserve"> (o ile taka centrala nie wchodzi w skład innej grupy, o której mowa w </w:t>
      </w:r>
      <w:r w:rsidRPr="00C30388">
        <w:rPr>
          <w:rFonts w:ascii="Times New Roman" w:hAnsi="Times New Roman" w:cs="Times New Roman"/>
          <w:b/>
          <w:bCs/>
          <w:sz w:val="24"/>
        </w:rPr>
        <w:t>art. 2 ust. 1 pkt 6 lit. a)</w:t>
      </w:r>
      <w:r w:rsidRPr="00C30388">
        <w:rPr>
          <w:rFonts w:ascii="Times New Roman" w:hAnsi="Times New Roman" w:cs="Times New Roman"/>
          <w:sz w:val="24"/>
        </w:rPr>
        <w:t>.</w:t>
      </w:r>
    </w:p>
    <w:p w14:paraId="6BFA641F"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Jak wynika z powyższego to, czy dany zbiór jednostek tworzy grupę, opiera się na „</w:t>
      </w:r>
      <w:r w:rsidRPr="00C30388">
        <w:rPr>
          <w:rFonts w:ascii="Times New Roman" w:hAnsi="Times New Roman" w:cs="Times New Roman"/>
          <w:b/>
          <w:i/>
          <w:sz w:val="24"/>
        </w:rPr>
        <w:t>teście konsolidacji</w:t>
      </w:r>
      <w:r w:rsidRPr="00C30388">
        <w:rPr>
          <w:rFonts w:ascii="Times New Roman" w:hAnsi="Times New Roman" w:cs="Times New Roman"/>
          <w:i/>
          <w:sz w:val="24"/>
        </w:rPr>
        <w:t xml:space="preserve"> </w:t>
      </w:r>
      <w:r w:rsidRPr="00C30388">
        <w:rPr>
          <w:rFonts w:ascii="Times New Roman" w:hAnsi="Times New Roman" w:cs="Times New Roman"/>
          <w:b/>
          <w:bCs/>
          <w:i/>
          <w:sz w:val="24"/>
        </w:rPr>
        <w:t>(</w:t>
      </w:r>
      <w:r w:rsidRPr="00C30388">
        <w:rPr>
          <w:rFonts w:ascii="Times New Roman" w:hAnsi="Times New Roman" w:cs="Times New Roman"/>
          <w:b/>
          <w:i/>
          <w:sz w:val="24"/>
        </w:rPr>
        <w:t>księgowej)</w:t>
      </w:r>
      <w:r w:rsidRPr="00C30388">
        <w:rPr>
          <w:rFonts w:ascii="Times New Roman" w:hAnsi="Times New Roman" w:cs="Times New Roman"/>
          <w:sz w:val="24"/>
        </w:rPr>
        <w:t>”</w:t>
      </w:r>
      <w:r w:rsidRPr="00C30388">
        <w:rPr>
          <w:rFonts w:ascii="Times New Roman" w:hAnsi="Times New Roman" w:cs="Times New Roman"/>
          <w:i/>
          <w:sz w:val="24"/>
        </w:rPr>
        <w:t>.</w:t>
      </w:r>
      <w:r w:rsidRPr="00C30388">
        <w:rPr>
          <w:rFonts w:ascii="Times New Roman" w:hAnsi="Times New Roman" w:cs="Times New Roman"/>
          <w:sz w:val="24"/>
        </w:rPr>
        <w:t xml:space="preserve"> Grupę stanowią zatem te jednostki, których aktywa, zobowiązania, przychody, koszty i przepływy pieniężne są konsolidowane w sprawozdaniu finansowym grupy sporządzanym przez jej jednostkę dominującą najwyższego szczebla. Chodzi tym samym o jednostki konsolidowane metodą konsolidacji pełnej. </w:t>
      </w:r>
    </w:p>
    <w:p w14:paraId="7FDFF2B8" w14:textId="6E6FD8F6"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Brak sporządzenia skonsolidowanego sprawozdania finansowego nie wyklucza możliwości istnienia grupy w rozumieniu ustawy. Zbiór jednostek będzie mimo tego uznawany za grupę, jeżeli jednostki te byłyby konsolidowane według metody pełnej konsolidacji, gdyby jednostka dominująca najwyższego szczebla była zobowiązana do sporządzenia skonsolidowanego </w:t>
      </w:r>
      <w:r w:rsidRPr="00C30388">
        <w:rPr>
          <w:rFonts w:ascii="Times New Roman" w:hAnsi="Times New Roman" w:cs="Times New Roman"/>
          <w:sz w:val="24"/>
        </w:rPr>
        <w:lastRenderedPageBreak/>
        <w:t xml:space="preserve">sprawozdania finansowego w odniesieniu do jednostek, które kontroluje. Wynika to z tego, że definicja „skonsolidowanego sprawozdania finansowego” zawarta w </w:t>
      </w:r>
      <w:r w:rsidRPr="00C30388">
        <w:rPr>
          <w:rFonts w:ascii="Times New Roman" w:hAnsi="Times New Roman" w:cs="Times New Roman"/>
          <w:b/>
          <w:bCs/>
          <w:sz w:val="24"/>
        </w:rPr>
        <w:t>ust. 1 pkt 3</w:t>
      </w:r>
      <w:r w:rsidR="008C097D" w:rsidRPr="00C30388">
        <w:rPr>
          <w:rFonts w:ascii="Times New Roman" w:hAnsi="Times New Roman" w:cs="Times New Roman"/>
          <w:b/>
          <w:bCs/>
          <w:sz w:val="24"/>
        </w:rPr>
        <w:t>8</w:t>
      </w:r>
      <w:r w:rsidRPr="00C30388">
        <w:rPr>
          <w:rFonts w:ascii="Times New Roman" w:hAnsi="Times New Roman" w:cs="Times New Roman"/>
          <w:sz w:val="24"/>
        </w:rPr>
        <w:t xml:space="preserve"> niniejszego artykułu obejmuje również tzw. hipotetyczną konsolidację („</w:t>
      </w:r>
      <w:r w:rsidRPr="00C30388">
        <w:rPr>
          <w:rFonts w:ascii="Times New Roman" w:hAnsi="Times New Roman" w:cs="Times New Roman"/>
          <w:i/>
          <w:sz w:val="24"/>
        </w:rPr>
        <w:t>deemed consolidation test</w:t>
      </w:r>
      <w:r w:rsidRPr="00C30388">
        <w:rPr>
          <w:rFonts w:ascii="Times New Roman" w:hAnsi="Times New Roman" w:cs="Times New Roman"/>
          <w:sz w:val="24"/>
        </w:rPr>
        <w:t xml:space="preserve">”).  </w:t>
      </w:r>
    </w:p>
    <w:p w14:paraId="4D6F679E"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Na zasadzie wyjątku od wymogu konsolidacji, w skład grupy wchodzą również jednostki, które -podlegając ogólnym wymogom konsolidacyjnym określonym w odpowiednim akceptowalnym standardzie rachunkowości - nie są faktycznie konsolidowane wyłącznie ze względu na ich niewielki rozmiar, nieistotność ich danych finansowych lub to, że są przeznaczone do sprzedaży. </w:t>
      </w:r>
    </w:p>
    <w:p w14:paraId="45E6EC18" w14:textId="2AE25CD5"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Uwzględnienie, na podstawie </w:t>
      </w:r>
      <w:r w:rsidRPr="00C30388">
        <w:rPr>
          <w:rFonts w:ascii="Times New Roman" w:hAnsi="Times New Roman" w:cs="Times New Roman"/>
          <w:b/>
          <w:bCs/>
          <w:sz w:val="24"/>
        </w:rPr>
        <w:t>art. 2 ust. 1 pkt 6 lit. b</w:t>
      </w:r>
      <w:r w:rsidRPr="00C30388">
        <w:rPr>
          <w:rFonts w:ascii="Times New Roman" w:hAnsi="Times New Roman" w:cs="Times New Roman"/>
          <w:sz w:val="24"/>
        </w:rPr>
        <w:t xml:space="preserve">, w pojęciu grupy również jednostek prowadzących działalność za granicą poprzez stały zakład miało na celu zapewnienie jednolitych reguł w odniesieniu do działalności transgranicznej danej grupy międzynarodowej, niezależnie od przyjętego przez nią sposobu prowadzenia tej działalności w innych </w:t>
      </w:r>
      <w:r w:rsidR="001A7582" w:rsidRPr="00C30388">
        <w:rPr>
          <w:rFonts w:ascii="Times New Roman" w:hAnsi="Times New Roman" w:cs="Times New Roman"/>
          <w:sz w:val="24"/>
        </w:rPr>
        <w:t xml:space="preserve">jurysdykcjach </w:t>
      </w:r>
      <w:r w:rsidRPr="00C30388">
        <w:rPr>
          <w:rFonts w:ascii="Times New Roman" w:hAnsi="Times New Roman" w:cs="Times New Roman"/>
          <w:sz w:val="24"/>
        </w:rPr>
        <w:t>(tj. niezależnie do tego, czy działa poprzez stałe zakłady czy np. poprzez spółki zależne). Zapewnia to neutralność podatkową różnych form prowadzenia działalności transgranicznej.</w:t>
      </w:r>
      <w:r w:rsidRPr="00C30388">
        <w:rPr>
          <w:rStyle w:val="Odwoanieprzypisudolnego"/>
          <w:rFonts w:ascii="Times New Roman" w:hAnsi="Times New Roman" w:cs="Times New Roman"/>
          <w:sz w:val="24"/>
        </w:rPr>
        <w:footnoteReference w:id="34"/>
      </w:r>
      <w:r w:rsidRPr="00C30388">
        <w:rPr>
          <w:rFonts w:ascii="Times New Roman" w:hAnsi="Times New Roman" w:cs="Times New Roman"/>
          <w:sz w:val="24"/>
        </w:rPr>
        <w:t xml:space="preserve"> </w:t>
      </w:r>
    </w:p>
    <w:p w14:paraId="5C794065" w14:textId="72947E9D" w:rsidR="00632C6D"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
          <w:bCs/>
          <w:sz w:val="24"/>
        </w:rPr>
        <w:t>A</w:t>
      </w:r>
      <w:r w:rsidRPr="00C30388">
        <w:rPr>
          <w:rFonts w:ascii="Times New Roman" w:hAnsi="Times New Roman" w:cs="Times New Roman"/>
          <w:b/>
          <w:sz w:val="24"/>
        </w:rPr>
        <w:t>rt. 2 ust. 1 pkt 9</w:t>
      </w:r>
      <w:r w:rsidRPr="00C30388">
        <w:rPr>
          <w:rFonts w:ascii="Times New Roman" w:hAnsi="Times New Roman" w:cs="Times New Roman"/>
          <w:sz w:val="24"/>
        </w:rPr>
        <w:t xml:space="preserve"> definiuje </w:t>
      </w:r>
      <w:r w:rsidRPr="00C30388">
        <w:rPr>
          <w:rFonts w:ascii="Times New Roman" w:hAnsi="Times New Roman" w:cs="Times New Roman"/>
          <w:b/>
          <w:sz w:val="24"/>
        </w:rPr>
        <w:t xml:space="preserve">grupę międzynarodową </w:t>
      </w:r>
      <w:r w:rsidRPr="00C30388">
        <w:rPr>
          <w:rFonts w:ascii="Times New Roman" w:hAnsi="Times New Roman" w:cs="Times New Roman"/>
          <w:bCs/>
          <w:sz w:val="24"/>
        </w:rPr>
        <w:t xml:space="preserve">(ang. </w:t>
      </w:r>
      <w:r w:rsidRPr="00C30388">
        <w:rPr>
          <w:rFonts w:ascii="Times New Roman" w:hAnsi="Times New Roman" w:cs="Times New Roman"/>
          <w:bCs/>
          <w:i/>
          <w:iCs/>
          <w:sz w:val="24"/>
        </w:rPr>
        <w:t>MNE</w:t>
      </w:r>
      <w:r w:rsidRPr="00C30388">
        <w:rPr>
          <w:rFonts w:ascii="Times New Roman" w:hAnsi="Times New Roman" w:cs="Times New Roman"/>
          <w:bCs/>
          <w:sz w:val="24"/>
        </w:rPr>
        <w:t xml:space="preserve"> </w:t>
      </w:r>
      <w:r w:rsidRPr="00C30388">
        <w:rPr>
          <w:rFonts w:ascii="Times New Roman" w:hAnsi="Times New Roman" w:cs="Times New Roman"/>
          <w:bCs/>
          <w:i/>
          <w:iCs/>
          <w:sz w:val="24"/>
        </w:rPr>
        <w:t>group</w:t>
      </w:r>
      <w:r w:rsidRPr="00C30388">
        <w:rPr>
          <w:rFonts w:ascii="Times New Roman" w:hAnsi="Times New Roman" w:cs="Times New Roman"/>
          <w:bCs/>
          <w:sz w:val="24"/>
        </w:rPr>
        <w:t>),</w:t>
      </w:r>
      <w:r w:rsidRPr="00C30388">
        <w:rPr>
          <w:rFonts w:ascii="Times New Roman" w:hAnsi="Times New Roman" w:cs="Times New Roman"/>
          <w:sz w:val="24"/>
        </w:rPr>
        <w:t xml:space="preserve"> przez którą rozumie się grupę, w której co najmniej jedna jednostka lub stały zakład nie </w:t>
      </w:r>
      <w:r w:rsidRPr="00C30388">
        <w:rPr>
          <w:rFonts w:ascii="Times New Roman" w:eastAsia="Times New Roman" w:hAnsi="Times New Roman" w:cs="Times New Roman"/>
          <w:sz w:val="24"/>
          <w:lang w:eastAsia="pl-PL"/>
        </w:rPr>
        <w:t xml:space="preserve">jest zlokalizowana </w:t>
      </w:r>
      <w:r w:rsidR="00C2186F" w:rsidRPr="00C30388">
        <w:rPr>
          <w:rFonts w:ascii="Times New Roman" w:hAnsi="Times New Roman" w:cs="Times New Roman"/>
          <w:sz w:val="24"/>
        </w:rPr>
        <w:t>w jurysdykcji, w której jest zlokalizowana jednostka dominująca najwyższego szczebla</w:t>
      </w:r>
      <w:r w:rsidRPr="00C30388">
        <w:rPr>
          <w:rFonts w:ascii="Times New Roman" w:hAnsi="Times New Roman" w:cs="Times New Roman"/>
          <w:sz w:val="24"/>
        </w:rPr>
        <w:t xml:space="preserve">. Definicja ta implementuje art. 3.4 Dyrektywy.  </w:t>
      </w:r>
    </w:p>
    <w:p w14:paraId="01F37935" w14:textId="72FDC426" w:rsidR="00632C6D" w:rsidRPr="00C30388" w:rsidRDefault="00632C6D"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Grupę międzynarodową będą stanowiły zatem w szczególności: </w:t>
      </w:r>
    </w:p>
    <w:p w14:paraId="3E56B015" w14:textId="59F05E80" w:rsidR="00632C6D" w:rsidRPr="00C30388" w:rsidRDefault="00632C6D" w:rsidP="009E73F7">
      <w:pPr>
        <w:pStyle w:val="Akapitzlist"/>
        <w:numPr>
          <w:ilvl w:val="0"/>
          <w:numId w:val="153"/>
        </w:numPr>
        <w:spacing w:after="120"/>
        <w:jc w:val="both"/>
        <w:rPr>
          <w:rFonts w:ascii="Times New Roman" w:hAnsi="Times New Roman" w:cs="Times New Roman"/>
          <w:sz w:val="24"/>
        </w:rPr>
      </w:pPr>
      <w:r w:rsidRPr="00C30388">
        <w:rPr>
          <w:rFonts w:ascii="Times New Roman" w:hAnsi="Times New Roman" w:cs="Times New Roman"/>
          <w:sz w:val="24"/>
        </w:rPr>
        <w:t>grupy z jednostką dominującą zlokalizowaną na terytorium Rzeczypospolitej Polskiej, w której skład wchodzi co najmniej jedna jednostka albo stały zakład zlokalizowane w innej jurysdykcji;</w:t>
      </w:r>
    </w:p>
    <w:p w14:paraId="415B2B46" w14:textId="74DCE1F4" w:rsidR="00632C6D" w:rsidRPr="00C30388" w:rsidRDefault="00632C6D" w:rsidP="009E73F7">
      <w:pPr>
        <w:pStyle w:val="Akapitzlist"/>
        <w:numPr>
          <w:ilvl w:val="0"/>
          <w:numId w:val="153"/>
        </w:numPr>
        <w:spacing w:after="120"/>
        <w:jc w:val="both"/>
        <w:rPr>
          <w:rFonts w:ascii="Times New Roman" w:hAnsi="Times New Roman" w:cs="Times New Roman"/>
          <w:sz w:val="24"/>
        </w:rPr>
      </w:pPr>
      <w:r w:rsidRPr="00C30388">
        <w:rPr>
          <w:rFonts w:ascii="Times New Roman" w:hAnsi="Times New Roman" w:cs="Times New Roman"/>
          <w:sz w:val="24"/>
        </w:rPr>
        <w:t>grupy z jednostką dominującą zlokalizowaną w innej jurysdykcji, w której skład wchodzą jednostki albo stałe zakłady zlokalizowane na terytorium Rzeczypospolitej Polskiej;</w:t>
      </w:r>
    </w:p>
    <w:p w14:paraId="58D54347" w14:textId="2A360DA0" w:rsidR="00632C6D" w:rsidRPr="00C30388" w:rsidRDefault="00632C6D" w:rsidP="009E73F7">
      <w:pPr>
        <w:pStyle w:val="Akapitzlist"/>
        <w:numPr>
          <w:ilvl w:val="0"/>
          <w:numId w:val="153"/>
        </w:numPr>
        <w:spacing w:after="120"/>
        <w:jc w:val="both"/>
        <w:rPr>
          <w:rFonts w:ascii="Times New Roman" w:hAnsi="Times New Roman" w:cs="Times New Roman"/>
          <w:sz w:val="24"/>
        </w:rPr>
      </w:pPr>
      <w:r w:rsidRPr="00C30388">
        <w:rPr>
          <w:rFonts w:ascii="Times New Roman" w:hAnsi="Times New Roman" w:cs="Times New Roman"/>
          <w:sz w:val="24"/>
        </w:rPr>
        <w:t>centrala (odrębna od większej grupy) zlokalizowana na terytorium Rzeczypospolitej Polskiej, która posiada stały zakład w innej jurysdykcji;</w:t>
      </w:r>
    </w:p>
    <w:p w14:paraId="22107348" w14:textId="03C93FF5" w:rsidR="00632C6D" w:rsidRPr="00C30388" w:rsidRDefault="00632C6D" w:rsidP="009E73F7">
      <w:pPr>
        <w:pStyle w:val="Akapitzlist"/>
        <w:numPr>
          <w:ilvl w:val="0"/>
          <w:numId w:val="153"/>
        </w:numPr>
        <w:spacing w:after="120"/>
        <w:jc w:val="both"/>
        <w:rPr>
          <w:rFonts w:ascii="Times New Roman" w:hAnsi="Times New Roman" w:cs="Times New Roman"/>
          <w:sz w:val="24"/>
        </w:rPr>
      </w:pPr>
      <w:r w:rsidRPr="00C30388">
        <w:rPr>
          <w:rFonts w:ascii="Times New Roman" w:hAnsi="Times New Roman" w:cs="Times New Roman"/>
          <w:sz w:val="24"/>
        </w:rPr>
        <w:t>centrala (odrębna od większej grupy) zlokalizowana w innej jurysdykcji, która posiada stały zakład na terytorium Rzeczypospolitej Polskiej.</w:t>
      </w:r>
    </w:p>
    <w:p w14:paraId="46FC2A70" w14:textId="1B5F9EAA"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W świetle definicji grupy międzynarodowej i grupy krajowej, </w:t>
      </w:r>
      <w:r w:rsidRPr="00C30388">
        <w:rPr>
          <w:rFonts w:ascii="Times New Roman" w:hAnsi="Times New Roman" w:cs="Times New Roman"/>
          <w:sz w:val="24"/>
          <w:u w:val="single"/>
        </w:rPr>
        <w:t>bezpaństwowe jednostki składowe będą zaliczane do grupy międzynarodowej</w:t>
      </w:r>
      <w:r w:rsidRPr="00C30388">
        <w:rPr>
          <w:rFonts w:ascii="Times New Roman" w:hAnsi="Times New Roman" w:cs="Times New Roman"/>
          <w:sz w:val="24"/>
        </w:rPr>
        <w:t xml:space="preserve">. </w:t>
      </w:r>
    </w:p>
    <w:p w14:paraId="52F4DCBC" w14:textId="78F71D76"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Do istnienia grupy międzynarodowej nie jest konieczne, aby jednostka zlokalizowana w inn</w:t>
      </w:r>
      <w:r w:rsidR="00632C6D" w:rsidRPr="00C30388">
        <w:rPr>
          <w:rFonts w:ascii="Times New Roman" w:hAnsi="Times New Roman" w:cs="Times New Roman"/>
          <w:sz w:val="24"/>
        </w:rPr>
        <w:t>ej jurysdykcji</w:t>
      </w:r>
      <w:r w:rsidRPr="00C30388">
        <w:rPr>
          <w:rFonts w:ascii="Times New Roman" w:hAnsi="Times New Roman" w:cs="Times New Roman"/>
          <w:sz w:val="24"/>
        </w:rPr>
        <w:t xml:space="preserve"> bądź stały zakład faktycznie osiągały jakikolwiek zysk. Wystarczy, iż jednostka dominująca najwyższego szczebla (w tym centrala) bezpośrednio lub pośrednio, posiada udziały własnościowe w takiej jednostce zlokalizowanej w </w:t>
      </w:r>
      <w:r w:rsidR="00632C6D" w:rsidRPr="00C30388">
        <w:rPr>
          <w:rFonts w:ascii="Times New Roman" w:hAnsi="Times New Roman" w:cs="Times New Roman"/>
          <w:sz w:val="24"/>
        </w:rPr>
        <w:t>innej jurysdykcji</w:t>
      </w:r>
      <w:r w:rsidRPr="00C30388">
        <w:rPr>
          <w:rFonts w:ascii="Times New Roman" w:hAnsi="Times New Roman" w:cs="Times New Roman"/>
          <w:sz w:val="24"/>
        </w:rPr>
        <w:t xml:space="preserve"> lub posiada stały zakład. [Komentarz, 1.2.1;20]   </w:t>
      </w:r>
    </w:p>
    <w:p w14:paraId="16C4EE2B" w14:textId="53E35532"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Z kolei, przepis </w:t>
      </w:r>
      <w:r w:rsidRPr="00C30388">
        <w:rPr>
          <w:rFonts w:ascii="Times New Roman" w:hAnsi="Times New Roman" w:cs="Times New Roman"/>
          <w:b/>
          <w:sz w:val="24"/>
        </w:rPr>
        <w:t xml:space="preserve">art. 2 ust. 1 pkt </w:t>
      </w:r>
      <w:r w:rsidR="008C097D" w:rsidRPr="00C30388">
        <w:rPr>
          <w:rFonts w:ascii="Times New Roman" w:hAnsi="Times New Roman" w:cs="Times New Roman"/>
          <w:b/>
          <w:sz w:val="24"/>
        </w:rPr>
        <w:t>8</w:t>
      </w:r>
      <w:r w:rsidRPr="00C30388">
        <w:rPr>
          <w:rFonts w:ascii="Times New Roman" w:hAnsi="Times New Roman" w:cs="Times New Roman"/>
          <w:sz w:val="24"/>
        </w:rPr>
        <w:t xml:space="preserve"> wprowadza definicję </w:t>
      </w:r>
      <w:r w:rsidRPr="00C30388">
        <w:rPr>
          <w:rFonts w:ascii="Times New Roman" w:hAnsi="Times New Roman" w:cs="Times New Roman"/>
          <w:b/>
          <w:sz w:val="24"/>
        </w:rPr>
        <w:t>grupy krajowej</w:t>
      </w:r>
      <w:r w:rsidRPr="00C30388">
        <w:rPr>
          <w:rFonts w:ascii="Times New Roman" w:hAnsi="Times New Roman" w:cs="Times New Roman"/>
          <w:sz w:val="24"/>
        </w:rPr>
        <w:t xml:space="preserve">, zgodną z art. 3.5 Dyrektywy. </w:t>
      </w:r>
      <w:r w:rsidRPr="00C30388">
        <w:rPr>
          <w:rFonts w:ascii="Times New Roman" w:hAnsi="Times New Roman" w:cs="Times New Roman"/>
          <w:sz w:val="24"/>
        </w:rPr>
        <w:br/>
      </w:r>
      <w:r w:rsidRPr="00C30388">
        <w:rPr>
          <w:rFonts w:ascii="Times New Roman" w:hAnsi="Times New Roman" w:cs="Times New Roman"/>
          <w:sz w:val="24"/>
        </w:rPr>
        <w:lastRenderedPageBreak/>
        <w:t xml:space="preserve">W rozumieniu ustawy za grupę krajową należy uznać grupę, w której wszystkie jednostki składowe </w:t>
      </w:r>
      <w:r w:rsidRPr="00C30388">
        <w:rPr>
          <w:rFonts w:ascii="Times New Roman" w:eastAsia="Times New Roman" w:hAnsi="Times New Roman" w:cs="Times New Roman"/>
          <w:sz w:val="24"/>
          <w:lang w:eastAsia="pl-PL"/>
        </w:rPr>
        <w:t xml:space="preserve">są zlokalizowane </w:t>
      </w:r>
      <w:r w:rsidRPr="00C30388">
        <w:rPr>
          <w:rFonts w:ascii="Times New Roman" w:hAnsi="Times New Roman" w:cs="Times New Roman"/>
          <w:sz w:val="24"/>
        </w:rPr>
        <w:t xml:space="preserve">na terytorium Rzeczypospolitej Polskiej. </w:t>
      </w:r>
    </w:p>
    <w:p w14:paraId="1BF1A13E" w14:textId="77777777" w:rsidR="002A4C92" w:rsidRPr="00C30388" w:rsidRDefault="002A4C92" w:rsidP="002A4C92">
      <w:pPr>
        <w:spacing w:after="120"/>
        <w:jc w:val="both"/>
        <w:rPr>
          <w:rFonts w:ascii="Times New Roman" w:hAnsi="Times New Roman" w:cs="Times New Roman"/>
          <w:i/>
          <w:iCs/>
          <w:sz w:val="24"/>
        </w:rPr>
      </w:pPr>
      <w:r w:rsidRPr="00C30388">
        <w:rPr>
          <w:rFonts w:ascii="Times New Roman" w:hAnsi="Times New Roman" w:cs="Times New Roman"/>
          <w:i/>
          <w:iCs/>
          <w:sz w:val="24"/>
        </w:rPr>
        <w:t>Grupa joint venture</w:t>
      </w:r>
    </w:p>
    <w:p w14:paraId="1FC39527"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Zagadnienia dotyczące grup joint venture zostały omówione w części dotyczącej rozdziału 2 działu II. </w:t>
      </w:r>
    </w:p>
    <w:p w14:paraId="2D3DB38A"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Hipotetyczne sprawozdanie finansowe</w:t>
      </w:r>
    </w:p>
    <w:p w14:paraId="331D7BB7" w14:textId="53483482" w:rsidR="002A4C92" w:rsidRPr="00C30388" w:rsidRDefault="002A4C92" w:rsidP="002A4C92">
      <w:pPr>
        <w:spacing w:after="120"/>
        <w:jc w:val="both"/>
        <w:rPr>
          <w:rFonts w:ascii="Times New Roman" w:hAnsi="Times New Roman" w:cs="Times New Roman"/>
          <w:iCs/>
          <w:sz w:val="24"/>
        </w:rPr>
      </w:pPr>
      <w:r w:rsidRPr="00C30388">
        <w:rPr>
          <w:rFonts w:ascii="Times New Roman" w:hAnsi="Times New Roman" w:cs="Times New Roman"/>
          <w:iCs/>
          <w:sz w:val="24"/>
        </w:rPr>
        <w:t xml:space="preserve">Zagadnienie to zostało omówione wraz z definicją skonsolidowanego sprawozdania finansowego (por. </w:t>
      </w:r>
      <w:r w:rsidRPr="00C30388">
        <w:rPr>
          <w:rFonts w:ascii="Times New Roman" w:hAnsi="Times New Roman" w:cs="Times New Roman"/>
          <w:b/>
          <w:bCs/>
          <w:iCs/>
          <w:sz w:val="24"/>
        </w:rPr>
        <w:t>art. 2 ust. 1 pkt 3</w:t>
      </w:r>
      <w:r w:rsidR="008C097D" w:rsidRPr="00C30388">
        <w:rPr>
          <w:rFonts w:ascii="Times New Roman" w:hAnsi="Times New Roman" w:cs="Times New Roman"/>
          <w:b/>
          <w:bCs/>
          <w:iCs/>
          <w:sz w:val="24"/>
        </w:rPr>
        <w:t>8</w:t>
      </w:r>
      <w:r w:rsidRPr="00C30388">
        <w:rPr>
          <w:rFonts w:ascii="Times New Roman" w:hAnsi="Times New Roman" w:cs="Times New Roman"/>
          <w:iCs/>
          <w:sz w:val="24"/>
        </w:rPr>
        <w:t>).</w:t>
      </w:r>
    </w:p>
    <w:p w14:paraId="0D1FF95E"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 xml:space="preserve">Jednostka </w:t>
      </w:r>
    </w:p>
    <w:p w14:paraId="1EAE557B" w14:textId="5319460E"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Art. </w:t>
      </w:r>
      <w:r w:rsidRPr="00C30388">
        <w:rPr>
          <w:rFonts w:ascii="Times New Roman" w:hAnsi="Times New Roman" w:cs="Times New Roman"/>
          <w:b/>
          <w:sz w:val="24"/>
        </w:rPr>
        <w:t>2 ust. 1 pkt 11</w:t>
      </w:r>
      <w:r w:rsidRPr="00C30388">
        <w:rPr>
          <w:rFonts w:ascii="Times New Roman" w:hAnsi="Times New Roman" w:cs="Times New Roman"/>
          <w:sz w:val="24"/>
        </w:rPr>
        <w:t xml:space="preserve"> stanowi implementację art. 3.1 Dyrektywy. Wskazany przepis ustawy definiuje jednostkę jako osobę prawną albo </w:t>
      </w:r>
      <w:r w:rsidR="00AA1B9F" w:rsidRPr="00C30388">
        <w:rPr>
          <w:rFonts w:ascii="Times New Roman" w:hAnsi="Times New Roman" w:cs="Times New Roman"/>
          <w:sz w:val="24"/>
        </w:rPr>
        <w:t xml:space="preserve">porozumienie umowne, w tym </w:t>
      </w:r>
      <w:r w:rsidRPr="00C30388">
        <w:rPr>
          <w:rFonts w:ascii="Times New Roman" w:hAnsi="Times New Roman" w:cs="Times New Roman"/>
          <w:sz w:val="24"/>
        </w:rPr>
        <w:t xml:space="preserve">jednostkę organizacyjną niemającą osobowości prawnej, </w:t>
      </w:r>
      <w:r w:rsidR="00AA1B9F" w:rsidRPr="00C30388">
        <w:rPr>
          <w:rFonts w:ascii="Times New Roman" w:hAnsi="Times New Roman" w:cs="Times New Roman"/>
          <w:sz w:val="24"/>
        </w:rPr>
        <w:t xml:space="preserve">które sporządza odrębne sprawozdanie finansowe lub jest </w:t>
      </w:r>
      <w:r w:rsidRPr="00C30388">
        <w:rPr>
          <w:rFonts w:ascii="Times New Roman" w:hAnsi="Times New Roman" w:cs="Times New Roman"/>
          <w:sz w:val="24"/>
        </w:rPr>
        <w:t xml:space="preserve">zobowiązane do sporządzenia </w:t>
      </w:r>
      <w:r w:rsidR="00AA1B9F" w:rsidRPr="00C30388">
        <w:rPr>
          <w:rFonts w:ascii="Times New Roman" w:hAnsi="Times New Roman" w:cs="Times New Roman"/>
          <w:sz w:val="24"/>
        </w:rPr>
        <w:t xml:space="preserve">takiego </w:t>
      </w:r>
      <w:r w:rsidRPr="00C30388">
        <w:rPr>
          <w:rFonts w:ascii="Times New Roman" w:hAnsi="Times New Roman" w:cs="Times New Roman"/>
          <w:sz w:val="24"/>
        </w:rPr>
        <w:t>odrębnego sprawozdania.</w:t>
      </w:r>
    </w:p>
    <w:p w14:paraId="21120A5B"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Pojęcie jednostki nie obejmuje instytucji i organów państwowych na szczeblu centralnym, regionalnym lub lokalnym, ani ich administracji lub agencji pełniących funkcje państwowe.</w:t>
      </w:r>
      <w:r w:rsidRPr="00C30388">
        <w:rPr>
          <w:rStyle w:val="Odwoanieprzypisudolnego"/>
          <w:rFonts w:ascii="Times New Roman" w:hAnsi="Times New Roman" w:cs="Times New Roman"/>
          <w:sz w:val="24"/>
        </w:rPr>
        <w:footnoteReference w:id="35"/>
      </w:r>
      <w:r w:rsidRPr="00C30388">
        <w:rPr>
          <w:rFonts w:ascii="Times New Roman" w:hAnsi="Times New Roman" w:cs="Times New Roman"/>
          <w:sz w:val="24"/>
        </w:rPr>
        <w:t xml:space="preserve"> </w:t>
      </w:r>
    </w:p>
    <w:p w14:paraId="4C240127" w14:textId="139CBC27" w:rsidR="002A4C92" w:rsidRPr="00C30388" w:rsidRDefault="00AA1B9F" w:rsidP="002A4C92">
      <w:pPr>
        <w:spacing w:after="120"/>
        <w:jc w:val="both"/>
        <w:rPr>
          <w:rFonts w:ascii="Times New Roman" w:hAnsi="Times New Roman" w:cs="Times New Roman"/>
          <w:sz w:val="24"/>
        </w:rPr>
      </w:pPr>
      <w:r w:rsidRPr="00C30388">
        <w:rPr>
          <w:rFonts w:ascii="Times New Roman" w:hAnsi="Times New Roman" w:cs="Times New Roman"/>
          <w:b/>
          <w:bCs/>
          <w:sz w:val="24"/>
        </w:rPr>
        <w:t>Pojęcie jednostki (</w:t>
      </w:r>
      <w:r w:rsidRPr="00C30388">
        <w:rPr>
          <w:rFonts w:ascii="Times New Roman" w:hAnsi="Times New Roman" w:cs="Times New Roman"/>
          <w:b/>
          <w:bCs/>
          <w:i/>
          <w:iCs/>
          <w:sz w:val="24"/>
        </w:rPr>
        <w:t>entity</w:t>
      </w:r>
      <w:r w:rsidRPr="00C30388">
        <w:rPr>
          <w:rFonts w:ascii="Times New Roman" w:hAnsi="Times New Roman" w:cs="Times New Roman"/>
          <w:b/>
          <w:bCs/>
          <w:sz w:val="24"/>
        </w:rPr>
        <w:t>) nie obejmuje stałego zakładu</w:t>
      </w:r>
      <w:r w:rsidRPr="00C30388">
        <w:rPr>
          <w:rFonts w:ascii="Times New Roman" w:hAnsi="Times New Roman" w:cs="Times New Roman"/>
          <w:sz w:val="24"/>
        </w:rPr>
        <w:t xml:space="preserve"> (na gruncie Zasad GloBE centrala wraz ze stałym zakładem tworzą jedną jednostkę). </w:t>
      </w:r>
      <w:r w:rsidRPr="00C30388">
        <w:rPr>
          <w:rFonts w:ascii="Times New Roman" w:hAnsi="Times New Roman" w:cs="Times New Roman"/>
          <w:b/>
          <w:bCs/>
          <w:sz w:val="24"/>
        </w:rPr>
        <w:t>Stały zakład stanowi natomiast odrębną jednostkę składową</w:t>
      </w:r>
      <w:r w:rsidRPr="00C30388">
        <w:rPr>
          <w:rFonts w:ascii="Times New Roman" w:hAnsi="Times New Roman" w:cs="Times New Roman"/>
          <w:sz w:val="24"/>
        </w:rPr>
        <w:t xml:space="preserve"> (</w:t>
      </w:r>
      <w:r w:rsidRPr="00C30388">
        <w:rPr>
          <w:rFonts w:ascii="Times New Roman" w:hAnsi="Times New Roman" w:cs="Times New Roman"/>
          <w:i/>
          <w:iCs/>
          <w:sz w:val="24"/>
        </w:rPr>
        <w:t>constituent entity</w:t>
      </w:r>
      <w:r w:rsidRPr="00C30388">
        <w:rPr>
          <w:rFonts w:ascii="Times New Roman" w:hAnsi="Times New Roman" w:cs="Times New Roman"/>
          <w:sz w:val="24"/>
        </w:rPr>
        <w:t>), zgodnie z takim wskazaniem wprost w definicji jednostki składowej (art. 2 ust. 1 lit. b).</w:t>
      </w:r>
    </w:p>
    <w:p w14:paraId="73541C67" w14:textId="13A290DD" w:rsidR="00A034B0" w:rsidRPr="00C30388" w:rsidRDefault="00A034B0" w:rsidP="002A4C92">
      <w:pPr>
        <w:spacing w:after="120"/>
        <w:jc w:val="both"/>
        <w:rPr>
          <w:rFonts w:ascii="Times New Roman" w:hAnsi="Times New Roman" w:cs="Times New Roman"/>
          <w:i/>
          <w:iCs/>
          <w:sz w:val="24"/>
        </w:rPr>
      </w:pPr>
      <w:bookmarkStart w:id="1" w:name="_Hlk170918449"/>
      <w:r w:rsidRPr="00C30388">
        <w:rPr>
          <w:rFonts w:ascii="Times New Roman" w:hAnsi="Times New Roman" w:cs="Times New Roman"/>
          <w:b/>
          <w:sz w:val="24"/>
        </w:rPr>
        <w:t>Odrębnej jednostki (</w:t>
      </w:r>
      <w:r w:rsidRPr="00C30388">
        <w:rPr>
          <w:rFonts w:ascii="Times New Roman" w:hAnsi="Times New Roman" w:cs="Times New Roman"/>
          <w:b/>
          <w:i/>
          <w:iCs/>
          <w:sz w:val="24"/>
        </w:rPr>
        <w:t>entity</w:t>
      </w:r>
      <w:r w:rsidRPr="00C30388">
        <w:rPr>
          <w:rFonts w:ascii="Times New Roman" w:hAnsi="Times New Roman" w:cs="Times New Roman"/>
          <w:b/>
          <w:sz w:val="24"/>
        </w:rPr>
        <w:t>) nie stanowi również, co do zasady „krajowy oddział”</w:t>
      </w:r>
      <w:r w:rsidRPr="00C30388">
        <w:rPr>
          <w:rFonts w:ascii="Times New Roman" w:hAnsi="Times New Roman" w:cs="Times New Roman"/>
          <w:bCs/>
          <w:sz w:val="24"/>
        </w:rPr>
        <w:t xml:space="preserve"> (położony na terytorium RP oddział jednostki z siedzibą w Polsce), jeżeli sprawozdanie finansowe</w:t>
      </w:r>
      <w:r w:rsidR="00FB1A32" w:rsidRPr="00C30388">
        <w:rPr>
          <w:rFonts w:ascii="Times New Roman" w:hAnsi="Times New Roman" w:cs="Times New Roman"/>
          <w:bCs/>
          <w:sz w:val="24"/>
        </w:rPr>
        <w:t xml:space="preserve"> oddziału</w:t>
      </w:r>
      <w:r w:rsidRPr="00C30388">
        <w:rPr>
          <w:rFonts w:ascii="Times New Roman" w:hAnsi="Times New Roman" w:cs="Times New Roman"/>
          <w:bCs/>
          <w:sz w:val="24"/>
        </w:rPr>
        <w:t xml:space="preserve"> jest uwzględniane w łącznym sprawozdaniu jednostki macierzystej, </w:t>
      </w:r>
      <w:r w:rsidRPr="00C30388">
        <w:rPr>
          <w:rFonts w:ascii="Times New Roman" w:hAnsi="Times New Roman" w:cs="Times New Roman"/>
          <w:sz w:val="24"/>
          <w:shd w:val="clear" w:color="auto" w:fill="FFFFFF"/>
        </w:rPr>
        <w:t>będącym sumą sprawozdania finansowego jednostki i wszystkich jej oddziałów. W takim przypadku, w naszej ocenie</w:t>
      </w:r>
      <w:r w:rsidRPr="00C30388">
        <w:rPr>
          <w:rFonts w:ascii="Times New Roman" w:hAnsi="Times New Roman" w:cs="Times New Roman"/>
          <w:bCs/>
          <w:sz w:val="24"/>
        </w:rPr>
        <w:t xml:space="preserve"> </w:t>
      </w:r>
      <w:r w:rsidRPr="00C30388">
        <w:rPr>
          <w:rFonts w:ascii="Times New Roman" w:hAnsi="Times New Roman" w:cs="Times New Roman"/>
          <w:bCs/>
          <w:sz w:val="24"/>
          <w:u w:val="single"/>
        </w:rPr>
        <w:t>nie można uznać na gruncie Zasad GloBE, że sporządzane przez niego sprawozdanie jest odrębne od jednostki macierzystej</w:t>
      </w:r>
      <w:r w:rsidRPr="00C30388">
        <w:rPr>
          <w:rFonts w:ascii="Times New Roman" w:hAnsi="Times New Roman" w:cs="Times New Roman"/>
          <w:bCs/>
          <w:sz w:val="24"/>
        </w:rPr>
        <w:t>. Ponadto,</w:t>
      </w:r>
      <w:r w:rsidRPr="00C30388">
        <w:rPr>
          <w:rFonts w:ascii="Times New Roman" w:hAnsi="Times New Roman" w:cs="Times New Roman"/>
          <w:b/>
          <w:sz w:val="24"/>
        </w:rPr>
        <w:t xml:space="preserve"> krajowego oddziału nie można uznać za odrębną jednostkę składową </w:t>
      </w:r>
      <w:r w:rsidRPr="00C30388">
        <w:rPr>
          <w:rFonts w:ascii="Times New Roman" w:hAnsi="Times New Roman" w:cs="Times New Roman"/>
          <w:bCs/>
          <w:sz w:val="24"/>
        </w:rPr>
        <w:t>(</w:t>
      </w:r>
      <w:r w:rsidRPr="00C30388">
        <w:rPr>
          <w:rFonts w:ascii="Times New Roman" w:hAnsi="Times New Roman" w:cs="Times New Roman"/>
          <w:bCs/>
          <w:i/>
          <w:iCs/>
          <w:sz w:val="24"/>
        </w:rPr>
        <w:t>constituent entity</w:t>
      </w:r>
      <w:r w:rsidRPr="00C30388">
        <w:rPr>
          <w:rFonts w:ascii="Times New Roman" w:hAnsi="Times New Roman" w:cs="Times New Roman"/>
          <w:bCs/>
          <w:sz w:val="24"/>
        </w:rPr>
        <w:t>). W szczególności, z perspektywy polskiej jednostki macierzystej krajowy oddział nie spełnia także definicji stałego zakładu, który stanowi odrębną jednostkę składową.</w:t>
      </w:r>
      <w:bookmarkEnd w:id="1"/>
      <w:r w:rsidRPr="00C30388">
        <w:rPr>
          <w:rFonts w:ascii="Times New Roman" w:hAnsi="Times New Roman" w:cs="Times New Roman"/>
          <w:bCs/>
          <w:sz w:val="24"/>
        </w:rPr>
        <w:t xml:space="preserve"> Finalnie, mając na względzie zasadę scalenia jurysdykcyjnego, traktowanie krajowych oddziałów jako odrębnych jednostek lub jednostek składowych należy uznać za niecelowe.  </w:t>
      </w:r>
      <w:r w:rsidRPr="00C30388">
        <w:rPr>
          <w:rFonts w:ascii="Times New Roman" w:hAnsi="Times New Roman" w:cs="Times New Roman"/>
          <w:bCs/>
          <w:sz w:val="24"/>
          <w:u w:val="single"/>
        </w:rPr>
        <w:t>Powyższe konkluzje nie dotyczą oddziałów przedsiębiorców zagranicznych, które co do zasady stanowią odrębną jednostkę składową lub ewentualnych oddziałów, które sporządzają odrębne sprawozdania finansowe na szczególnych zasadach</w:t>
      </w:r>
      <w:r w:rsidR="00FB1A32" w:rsidRPr="00C30388">
        <w:rPr>
          <w:rFonts w:ascii="Times New Roman" w:hAnsi="Times New Roman" w:cs="Times New Roman"/>
          <w:bCs/>
          <w:sz w:val="24"/>
          <w:u w:val="single"/>
        </w:rPr>
        <w:t>.</w:t>
      </w:r>
    </w:p>
    <w:p w14:paraId="1C4D0292" w14:textId="13ED5A01" w:rsidR="002A4C92" w:rsidRPr="00C30388" w:rsidRDefault="00A2773A"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W odniesieniu do </w:t>
      </w:r>
      <w:r w:rsidR="00FB1A32" w:rsidRPr="00C30388">
        <w:rPr>
          <w:rFonts w:ascii="Times New Roman" w:hAnsi="Times New Roman" w:cs="Times New Roman"/>
          <w:sz w:val="24"/>
        </w:rPr>
        <w:t xml:space="preserve">porozumień umownych, w tym </w:t>
      </w:r>
      <w:r w:rsidRPr="00C30388">
        <w:rPr>
          <w:rFonts w:ascii="Times New Roman" w:hAnsi="Times New Roman" w:cs="Times New Roman"/>
          <w:sz w:val="24"/>
        </w:rPr>
        <w:t xml:space="preserve">jednostek organizacyjnych niemających osobowości prawnej, definicja jednostki </w:t>
      </w:r>
      <w:r w:rsidR="00FB1A32" w:rsidRPr="00C30388">
        <w:rPr>
          <w:rFonts w:ascii="Times New Roman" w:hAnsi="Times New Roman" w:cs="Times New Roman"/>
          <w:sz w:val="24"/>
        </w:rPr>
        <w:t>obejmuje</w:t>
      </w:r>
      <w:r w:rsidRPr="00C30388">
        <w:rPr>
          <w:rFonts w:ascii="Times New Roman" w:hAnsi="Times New Roman" w:cs="Times New Roman"/>
          <w:sz w:val="24"/>
        </w:rPr>
        <w:t xml:space="preserve"> spółki osobowe, jeżeli sporządzają odrębne sprawozdanie finansowe</w:t>
      </w:r>
      <w:r w:rsidR="00FB1A32" w:rsidRPr="00C30388">
        <w:rPr>
          <w:rFonts w:ascii="Times New Roman" w:hAnsi="Times New Roman" w:cs="Times New Roman"/>
          <w:sz w:val="24"/>
        </w:rPr>
        <w:t xml:space="preserve"> (w tym umowę spółki cywilnej)</w:t>
      </w:r>
      <w:r w:rsidRPr="00C30388">
        <w:rPr>
          <w:rFonts w:ascii="Times New Roman" w:hAnsi="Times New Roman" w:cs="Times New Roman"/>
          <w:sz w:val="24"/>
        </w:rPr>
        <w:t xml:space="preserve">. </w:t>
      </w:r>
      <w:r w:rsidR="0066166F" w:rsidRPr="00C30388">
        <w:rPr>
          <w:rFonts w:ascii="Times New Roman" w:hAnsi="Times New Roman" w:cs="Times New Roman"/>
          <w:sz w:val="24"/>
        </w:rPr>
        <w:t>Jeżeli</w:t>
      </w:r>
      <w:r w:rsidRPr="00C30388">
        <w:rPr>
          <w:rFonts w:ascii="Times New Roman" w:hAnsi="Times New Roman" w:cs="Times New Roman"/>
          <w:sz w:val="24"/>
        </w:rPr>
        <w:t xml:space="preserve"> określone </w:t>
      </w:r>
      <w:r w:rsidR="0066166F" w:rsidRPr="00C30388">
        <w:rPr>
          <w:rFonts w:ascii="Times New Roman" w:hAnsi="Times New Roman" w:cs="Times New Roman"/>
          <w:sz w:val="24"/>
        </w:rPr>
        <w:t>jednostki organizacyjne</w:t>
      </w:r>
      <w:r w:rsidRPr="00C30388">
        <w:rPr>
          <w:rFonts w:ascii="Times New Roman" w:hAnsi="Times New Roman" w:cs="Times New Roman"/>
          <w:sz w:val="24"/>
        </w:rPr>
        <w:t xml:space="preserve"> (np. spółka cywilna)</w:t>
      </w:r>
      <w:r w:rsidR="0066166F" w:rsidRPr="00C30388">
        <w:rPr>
          <w:rFonts w:ascii="Times New Roman" w:hAnsi="Times New Roman" w:cs="Times New Roman"/>
          <w:sz w:val="24"/>
        </w:rPr>
        <w:t xml:space="preserve"> </w:t>
      </w:r>
      <w:r w:rsidRPr="00C30388">
        <w:rPr>
          <w:rFonts w:ascii="Times New Roman" w:hAnsi="Times New Roman" w:cs="Times New Roman"/>
          <w:sz w:val="24"/>
        </w:rPr>
        <w:t xml:space="preserve">są zobowiązane do sporządzenia odrębnego sprawozdania finansowego </w:t>
      </w:r>
      <w:r w:rsidR="0066166F" w:rsidRPr="00C30388">
        <w:rPr>
          <w:rFonts w:ascii="Times New Roman" w:hAnsi="Times New Roman" w:cs="Times New Roman"/>
          <w:sz w:val="24"/>
        </w:rPr>
        <w:t>w przypadku</w:t>
      </w:r>
      <w:r w:rsidRPr="00C30388">
        <w:rPr>
          <w:rFonts w:ascii="Times New Roman" w:hAnsi="Times New Roman" w:cs="Times New Roman"/>
          <w:sz w:val="24"/>
        </w:rPr>
        <w:t xml:space="preserve"> spełnieni</w:t>
      </w:r>
      <w:r w:rsidR="00FB1A32" w:rsidRPr="00C30388">
        <w:rPr>
          <w:rFonts w:ascii="Times New Roman" w:hAnsi="Times New Roman" w:cs="Times New Roman"/>
          <w:sz w:val="24"/>
        </w:rPr>
        <w:t>a</w:t>
      </w:r>
      <w:r w:rsidRPr="00C30388">
        <w:rPr>
          <w:rFonts w:ascii="Times New Roman" w:hAnsi="Times New Roman" w:cs="Times New Roman"/>
          <w:sz w:val="24"/>
        </w:rPr>
        <w:t xml:space="preserve"> określonych warunków (np. przekroczenia progu wysokości przychodów), a mimo nieprzekroczenia progów faktycznie sporządzają takie </w:t>
      </w:r>
      <w:r w:rsidRPr="00C30388">
        <w:rPr>
          <w:rFonts w:ascii="Times New Roman" w:hAnsi="Times New Roman" w:cs="Times New Roman"/>
          <w:sz w:val="24"/>
        </w:rPr>
        <w:lastRenderedPageBreak/>
        <w:t>sprawozdanie (np. ze względu na wymogi grupy kapitałowej)</w:t>
      </w:r>
      <w:r w:rsidR="0066166F" w:rsidRPr="00C30388">
        <w:rPr>
          <w:rFonts w:ascii="Times New Roman" w:hAnsi="Times New Roman" w:cs="Times New Roman"/>
          <w:sz w:val="24"/>
        </w:rPr>
        <w:t>,  również spełnią definicję jednostki.</w:t>
      </w:r>
    </w:p>
    <w:p w14:paraId="516866DE" w14:textId="77777777" w:rsidR="002A4C92" w:rsidRPr="00C30388" w:rsidRDefault="002A4C92" w:rsidP="002A4C92">
      <w:pPr>
        <w:spacing w:after="120"/>
        <w:jc w:val="both"/>
        <w:rPr>
          <w:rFonts w:ascii="Times New Roman" w:hAnsi="Times New Roman" w:cs="Times New Roman"/>
          <w:i/>
          <w:iCs/>
          <w:sz w:val="24"/>
        </w:rPr>
      </w:pPr>
      <w:r w:rsidRPr="00C30388">
        <w:rPr>
          <w:rFonts w:ascii="Times New Roman" w:hAnsi="Times New Roman" w:cs="Times New Roman"/>
          <w:i/>
          <w:iCs/>
          <w:sz w:val="24"/>
        </w:rPr>
        <w:t>Jednostka będąca właścicielem</w:t>
      </w:r>
    </w:p>
    <w:p w14:paraId="2D3F2598"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Zgodnie z art. 3.41 Dyrektywy, wprowadzono również definicję </w:t>
      </w:r>
      <w:r w:rsidRPr="00C30388">
        <w:rPr>
          <w:rFonts w:ascii="Times New Roman" w:hAnsi="Times New Roman" w:cs="Times New Roman"/>
          <w:b/>
          <w:bCs/>
          <w:sz w:val="24"/>
        </w:rPr>
        <w:t>jednostki będącej właścicielem</w:t>
      </w:r>
      <w:r w:rsidRPr="00C30388">
        <w:rPr>
          <w:rFonts w:ascii="Times New Roman" w:hAnsi="Times New Roman" w:cs="Times New Roman"/>
          <w:sz w:val="24"/>
        </w:rPr>
        <w:t xml:space="preserve">, przez którą, w świetle </w:t>
      </w:r>
      <w:r w:rsidRPr="00C30388">
        <w:rPr>
          <w:rFonts w:ascii="Times New Roman" w:hAnsi="Times New Roman" w:cs="Times New Roman"/>
          <w:b/>
          <w:bCs/>
          <w:sz w:val="24"/>
        </w:rPr>
        <w:t>art. 2 ust. 1 pkt 12</w:t>
      </w:r>
      <w:r w:rsidRPr="00C30388">
        <w:rPr>
          <w:rFonts w:ascii="Times New Roman" w:hAnsi="Times New Roman" w:cs="Times New Roman"/>
          <w:sz w:val="24"/>
        </w:rPr>
        <w:t xml:space="preserve"> ustawy, rozumie się jednostkę składową, która posiada, bezpośrednio lub pośrednio, udział własnościowy w innej jednostce składowej tej samej grupy. </w:t>
      </w:r>
    </w:p>
    <w:p w14:paraId="6A9214FA" w14:textId="141334CC"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Jednostka będąca właścicielem sama wchodzi zatem w skład danej grupy międzynarodowej lub krajowej (jest także jednostką składową, podobnie jak jednostka, w której udziały posiada). Trafnie odzwierciedla to sformułowanie angielskie w Dyrektywie i Zasadach Modelowych (ang. </w:t>
      </w:r>
      <w:r w:rsidRPr="00C30388">
        <w:rPr>
          <w:rFonts w:ascii="Times New Roman" w:hAnsi="Times New Roman" w:cs="Times New Roman"/>
          <w:i/>
          <w:iCs/>
          <w:sz w:val="24"/>
        </w:rPr>
        <w:t>constituent entity-owner</w:t>
      </w:r>
      <w:r w:rsidRPr="00C30388">
        <w:rPr>
          <w:rFonts w:ascii="Times New Roman" w:hAnsi="Times New Roman" w:cs="Times New Roman"/>
          <w:sz w:val="24"/>
        </w:rPr>
        <w:t>). Pojęcia „jednostka będąca właścicielem” używa się w ustawie w węższym znaczeniu względem bardziej ogólnego pojęcia „właściciel” (</w:t>
      </w:r>
      <w:r w:rsidRPr="00C30388">
        <w:rPr>
          <w:rFonts w:ascii="Times New Roman" w:hAnsi="Times New Roman" w:cs="Times New Roman"/>
          <w:b/>
          <w:bCs/>
          <w:sz w:val="24"/>
        </w:rPr>
        <w:t>art. 2 ust. 1 pkt 4</w:t>
      </w:r>
      <w:r w:rsidR="00670895" w:rsidRPr="00C30388">
        <w:rPr>
          <w:rFonts w:ascii="Times New Roman" w:hAnsi="Times New Roman" w:cs="Times New Roman"/>
          <w:b/>
          <w:bCs/>
          <w:sz w:val="24"/>
        </w:rPr>
        <w:t>7</w:t>
      </w:r>
      <w:r w:rsidRPr="00C30388">
        <w:rPr>
          <w:rFonts w:ascii="Times New Roman" w:hAnsi="Times New Roman" w:cs="Times New Roman"/>
          <w:sz w:val="24"/>
        </w:rPr>
        <w:t xml:space="preserve">). Przez właściciela bowiem rozumie się przez każdą osobę, która posiada bezpośrednio lub pośrednio, udział własnościowy w  jednostce składowej. Właściciel nie musi być zatem jednostką składową grupy. </w:t>
      </w:r>
    </w:p>
    <w:p w14:paraId="013BB615"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Niekiedy jednak ze względów redakcyjnych, wyłącznie przy powtórzeniach, w odniesieniu do jednostki będącej właścicielem ustawa posługuje się dla uproszczenia zwrotem „ten właściciel”.</w:t>
      </w:r>
    </w:p>
    <w:p w14:paraId="6AC4EF62"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 xml:space="preserve">Jednostka dominująca, jednostka dominująca najwyższego szczebla, jednostka dominująca niższego szczebla, jednostka dominującej w częściowym posiadaniu  </w:t>
      </w:r>
    </w:p>
    <w:p w14:paraId="202085CE"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
          <w:sz w:val="24"/>
        </w:rPr>
        <w:t>Art. 2 ust. 1 pkt 13–16</w:t>
      </w:r>
      <w:r w:rsidRPr="00C30388">
        <w:rPr>
          <w:rFonts w:ascii="Times New Roman" w:hAnsi="Times New Roman" w:cs="Times New Roman"/>
          <w:sz w:val="24"/>
        </w:rPr>
        <w:t xml:space="preserve"> przenoszą na grunt ustawy definicje zawarte w art. 3.14, 3.20, 3.22 i 3.24 Dyrektywy. Wskazane pojęcia pełnią kluczową rolę w procesie stosowania Zasady IIR, a tym samym ustalenia i poboru globalnego podatku wyrównawczego.     </w:t>
      </w:r>
    </w:p>
    <w:p w14:paraId="1AB9F0F4"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Najszerszym zakresowo z ww. pojęć jest pojęcie „</w:t>
      </w:r>
      <w:r w:rsidRPr="00C30388">
        <w:rPr>
          <w:rFonts w:ascii="Times New Roman" w:hAnsi="Times New Roman" w:cs="Times New Roman"/>
          <w:b/>
          <w:bCs/>
          <w:sz w:val="24"/>
        </w:rPr>
        <w:t>j</w:t>
      </w:r>
      <w:r w:rsidRPr="00C30388">
        <w:rPr>
          <w:rFonts w:ascii="Times New Roman" w:hAnsi="Times New Roman" w:cs="Times New Roman"/>
          <w:b/>
          <w:sz w:val="24"/>
        </w:rPr>
        <w:t>ednostki dominującej</w:t>
      </w:r>
      <w:r w:rsidRPr="00C30388">
        <w:rPr>
          <w:rFonts w:ascii="Times New Roman" w:hAnsi="Times New Roman" w:cs="Times New Roman"/>
          <w:sz w:val="24"/>
        </w:rPr>
        <w:t xml:space="preserve">” (ang. </w:t>
      </w:r>
      <w:r w:rsidRPr="00C30388">
        <w:rPr>
          <w:rFonts w:ascii="Times New Roman" w:hAnsi="Times New Roman" w:cs="Times New Roman"/>
          <w:i/>
          <w:sz w:val="24"/>
        </w:rPr>
        <w:t>parent entity</w:t>
      </w:r>
      <w:r w:rsidRPr="00C30388">
        <w:rPr>
          <w:rFonts w:ascii="Times New Roman" w:hAnsi="Times New Roman" w:cs="Times New Roman"/>
          <w:sz w:val="24"/>
        </w:rPr>
        <w:t>), które obejmuje wszystkie poniższe rodzaje jednostek:</w:t>
      </w:r>
      <w:r w:rsidRPr="00C30388">
        <w:rPr>
          <w:rStyle w:val="Odwoanieprzypisudolnego"/>
          <w:rFonts w:ascii="Times New Roman" w:hAnsi="Times New Roman" w:cs="Times New Roman"/>
          <w:sz w:val="24"/>
        </w:rPr>
        <w:footnoteReference w:id="36"/>
      </w:r>
    </w:p>
    <w:p w14:paraId="6A5D6E32" w14:textId="77777777" w:rsidR="002A4C92" w:rsidRPr="00C30388" w:rsidRDefault="002A4C92" w:rsidP="002A4C92">
      <w:pPr>
        <w:pStyle w:val="Akapitzlist"/>
        <w:numPr>
          <w:ilvl w:val="0"/>
          <w:numId w:val="8"/>
        </w:numPr>
        <w:spacing w:after="120"/>
        <w:ind w:left="714" w:hanging="357"/>
        <w:jc w:val="both"/>
        <w:rPr>
          <w:rFonts w:ascii="Times New Roman" w:hAnsi="Times New Roman" w:cs="Times New Roman"/>
          <w:bCs/>
          <w:sz w:val="24"/>
        </w:rPr>
      </w:pPr>
      <w:r w:rsidRPr="00C30388">
        <w:rPr>
          <w:rFonts w:ascii="Times New Roman" w:hAnsi="Times New Roman" w:cs="Times New Roman"/>
          <w:bCs/>
          <w:sz w:val="24"/>
        </w:rPr>
        <w:t xml:space="preserve">jednostkę dominującą najwyższego szczebla, która nie jest jednostką wyłączoną, </w:t>
      </w:r>
    </w:p>
    <w:p w14:paraId="1D595ECA" w14:textId="77777777" w:rsidR="002A4C92" w:rsidRPr="00C30388" w:rsidRDefault="002A4C92" w:rsidP="002A4C92">
      <w:pPr>
        <w:pStyle w:val="Akapitzlist"/>
        <w:numPr>
          <w:ilvl w:val="0"/>
          <w:numId w:val="8"/>
        </w:numPr>
        <w:spacing w:after="120"/>
        <w:ind w:left="714" w:hanging="357"/>
        <w:jc w:val="both"/>
        <w:rPr>
          <w:rFonts w:ascii="Times New Roman" w:hAnsi="Times New Roman" w:cs="Times New Roman"/>
          <w:bCs/>
          <w:sz w:val="24"/>
        </w:rPr>
      </w:pPr>
      <w:r w:rsidRPr="00C30388">
        <w:rPr>
          <w:rFonts w:ascii="Times New Roman" w:hAnsi="Times New Roman" w:cs="Times New Roman"/>
          <w:bCs/>
          <w:sz w:val="24"/>
        </w:rPr>
        <w:t>jednostkę dominującą niższego szczebla,</w:t>
      </w:r>
    </w:p>
    <w:p w14:paraId="08963112" w14:textId="5E650FF6" w:rsidR="002A4C92" w:rsidRPr="00C30388" w:rsidRDefault="002A4C92" w:rsidP="002A4C92">
      <w:pPr>
        <w:pStyle w:val="Akapitzlist"/>
        <w:numPr>
          <w:ilvl w:val="0"/>
          <w:numId w:val="8"/>
        </w:numPr>
        <w:spacing w:after="120"/>
        <w:ind w:left="714" w:hanging="357"/>
        <w:jc w:val="both"/>
        <w:rPr>
          <w:rFonts w:ascii="Times New Roman" w:hAnsi="Times New Roman" w:cs="Times New Roman"/>
          <w:bCs/>
          <w:sz w:val="24"/>
        </w:rPr>
      </w:pPr>
      <w:r w:rsidRPr="00C30388">
        <w:rPr>
          <w:rFonts w:ascii="Times New Roman" w:hAnsi="Times New Roman" w:cs="Times New Roman"/>
          <w:bCs/>
          <w:sz w:val="24"/>
        </w:rPr>
        <w:t xml:space="preserve">jednostkę dominującą w częściowym posiadaniu. </w:t>
      </w:r>
    </w:p>
    <w:p w14:paraId="66223046" w14:textId="19ABA715" w:rsidR="0051654B" w:rsidRPr="00C30388" w:rsidRDefault="0051654B" w:rsidP="0051654B">
      <w:pPr>
        <w:spacing w:after="120"/>
        <w:jc w:val="both"/>
        <w:rPr>
          <w:rFonts w:ascii="Times New Roman" w:hAnsi="Times New Roman" w:cs="Times New Roman"/>
          <w:bCs/>
          <w:sz w:val="24"/>
        </w:rPr>
      </w:pPr>
      <w:r w:rsidRPr="00C30388">
        <w:rPr>
          <w:rFonts w:ascii="Times New Roman" w:hAnsi="Times New Roman" w:cs="Times New Roman"/>
          <w:sz w:val="24"/>
        </w:rPr>
        <w:t>Stały zakład nie jest traktowany jako jednostka dominująca na gruncie Zasad GloBE [Komentarz; 4.1.2; 14].</w:t>
      </w:r>
    </w:p>
    <w:p w14:paraId="04E5302C" w14:textId="4C716ED8"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Pojęcie </w:t>
      </w:r>
      <w:r w:rsidRPr="00C30388">
        <w:rPr>
          <w:rFonts w:ascii="Times New Roman" w:hAnsi="Times New Roman" w:cs="Times New Roman"/>
          <w:b/>
          <w:sz w:val="24"/>
        </w:rPr>
        <w:t>jednostki dominującej najwyższego szczebla</w:t>
      </w:r>
      <w:r w:rsidRPr="00C30388">
        <w:rPr>
          <w:rFonts w:ascii="Times New Roman" w:hAnsi="Times New Roman" w:cs="Times New Roman"/>
          <w:sz w:val="24"/>
        </w:rPr>
        <w:t xml:space="preserve"> (ang. </w:t>
      </w:r>
      <w:r w:rsidRPr="00C30388">
        <w:rPr>
          <w:rFonts w:ascii="Times New Roman" w:hAnsi="Times New Roman" w:cs="Times New Roman"/>
          <w:i/>
          <w:iCs/>
          <w:sz w:val="24"/>
        </w:rPr>
        <w:t xml:space="preserve">ultimate parent entity </w:t>
      </w:r>
      <w:r w:rsidRPr="00C30388">
        <w:rPr>
          <w:rFonts w:ascii="Times New Roman" w:hAnsi="Times New Roman" w:cs="Times New Roman"/>
          <w:sz w:val="24"/>
        </w:rPr>
        <w:t>-</w:t>
      </w:r>
      <w:r w:rsidRPr="00C30388">
        <w:rPr>
          <w:rFonts w:ascii="Times New Roman" w:hAnsi="Times New Roman" w:cs="Times New Roman"/>
          <w:b/>
          <w:bCs/>
          <w:sz w:val="24"/>
        </w:rPr>
        <w:t xml:space="preserve"> UPE</w:t>
      </w:r>
      <w:r w:rsidRPr="00C30388">
        <w:rPr>
          <w:rFonts w:ascii="Times New Roman" w:hAnsi="Times New Roman" w:cs="Times New Roman"/>
          <w:sz w:val="24"/>
        </w:rPr>
        <w:t>), zdefiniowane w </w:t>
      </w:r>
      <w:r w:rsidRPr="00C30388">
        <w:rPr>
          <w:rFonts w:ascii="Times New Roman" w:hAnsi="Times New Roman" w:cs="Times New Roman"/>
          <w:b/>
          <w:sz w:val="24"/>
        </w:rPr>
        <w:t>art. 2 ust. 1 pkt 14,</w:t>
      </w:r>
      <w:r w:rsidRPr="00C30388">
        <w:rPr>
          <w:rFonts w:ascii="Times New Roman" w:hAnsi="Times New Roman" w:cs="Times New Roman"/>
          <w:sz w:val="24"/>
        </w:rPr>
        <w:t xml:space="preserve"> stanowi punkt wyjścia do ustalenia wszystkich jednostek składowych grupy międzynarodowej lub grupy krajowej. Identyfikacja jednostki dominującej najwyższego szczebla jest również istotna dla stosowania pozostałych rozwiązań Systemu GloBE. Na przykład dają one pierwszeństwo w stosowaniu Zasady IIR </w:t>
      </w:r>
      <w:r w:rsidR="001A7582" w:rsidRPr="00C30388">
        <w:rPr>
          <w:rFonts w:ascii="Times New Roman" w:hAnsi="Times New Roman" w:cs="Times New Roman"/>
          <w:sz w:val="24"/>
        </w:rPr>
        <w:t>jurysdykcji</w:t>
      </w:r>
      <w:r w:rsidRPr="00C30388">
        <w:rPr>
          <w:rFonts w:ascii="Times New Roman" w:hAnsi="Times New Roman" w:cs="Times New Roman"/>
          <w:sz w:val="24"/>
        </w:rPr>
        <w:t>, w któr</w:t>
      </w:r>
      <w:r w:rsidR="001A7582" w:rsidRPr="00C30388">
        <w:rPr>
          <w:rFonts w:ascii="Times New Roman" w:hAnsi="Times New Roman" w:cs="Times New Roman"/>
          <w:sz w:val="24"/>
        </w:rPr>
        <w:t>ej</w:t>
      </w:r>
      <w:r w:rsidRPr="00C30388">
        <w:rPr>
          <w:rFonts w:ascii="Times New Roman" w:hAnsi="Times New Roman" w:cs="Times New Roman"/>
          <w:sz w:val="24"/>
        </w:rPr>
        <w:t xml:space="preserve"> taka jednostka </w:t>
      </w:r>
      <w:r w:rsidRPr="00C30388">
        <w:rPr>
          <w:rFonts w:ascii="Times New Roman" w:eastAsia="Times New Roman" w:hAnsi="Times New Roman" w:cs="Times New Roman"/>
          <w:sz w:val="24"/>
          <w:lang w:eastAsia="pl-PL"/>
        </w:rPr>
        <w:t xml:space="preserve">jest zlokalizowana </w:t>
      </w:r>
      <w:r w:rsidRPr="00C30388">
        <w:rPr>
          <w:rFonts w:ascii="Times New Roman" w:hAnsi="Times New Roman" w:cs="Times New Roman"/>
          <w:sz w:val="24"/>
        </w:rPr>
        <w:t xml:space="preserve">i zasadniczo to standard rachunkowości jednostki </w:t>
      </w:r>
      <w:r w:rsidRPr="00C30388">
        <w:rPr>
          <w:rFonts w:ascii="Times New Roman" w:hAnsi="Times New Roman" w:cs="Times New Roman"/>
          <w:sz w:val="24"/>
        </w:rPr>
        <w:lastRenderedPageBreak/>
        <w:t xml:space="preserve">dominującej najwyższego szczebla jest wykorzystywany jako podstawa do obliczania kwalifikowanego dochodu (straty)  jednostek składowych. </w:t>
      </w:r>
    </w:p>
    <w:p w14:paraId="6775B70A"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Zgodnie z omawianą definicją jednostka dominująca najwyższego szczebla oznacza:</w:t>
      </w:r>
    </w:p>
    <w:p w14:paraId="29FBD72C" w14:textId="77777777" w:rsidR="002A4C92" w:rsidRPr="00C30388" w:rsidRDefault="002A4C92" w:rsidP="002C7467">
      <w:pPr>
        <w:pStyle w:val="Akapitzlist"/>
        <w:numPr>
          <w:ilvl w:val="0"/>
          <w:numId w:val="55"/>
        </w:numPr>
        <w:spacing w:after="120"/>
        <w:contextualSpacing w:val="0"/>
        <w:jc w:val="both"/>
        <w:rPr>
          <w:rFonts w:ascii="Times New Roman" w:hAnsi="Times New Roman" w:cs="Times New Roman"/>
          <w:sz w:val="24"/>
        </w:rPr>
      </w:pPr>
      <w:r w:rsidRPr="00C30388">
        <w:rPr>
          <w:rFonts w:ascii="Times New Roman" w:hAnsi="Times New Roman" w:cs="Times New Roman"/>
          <w:sz w:val="24"/>
        </w:rPr>
        <w:t xml:space="preserve">jednostkę, która (i) posiada – bezpośrednio lub pośrednio – udział konsolidujący w dowolnej innej jednostce i (ii) w której inna jednostka nie posiada – bezpośrednio lub pośrednio – udziału konsolidującego; oraz </w:t>
      </w:r>
    </w:p>
    <w:p w14:paraId="3D7A72F9" w14:textId="77777777" w:rsidR="002A4C92" w:rsidRPr="00C30388" w:rsidRDefault="002A4C92" w:rsidP="002C7467">
      <w:pPr>
        <w:pStyle w:val="Akapitzlist"/>
        <w:numPr>
          <w:ilvl w:val="0"/>
          <w:numId w:val="55"/>
        </w:numPr>
        <w:spacing w:after="120"/>
        <w:jc w:val="both"/>
        <w:rPr>
          <w:rFonts w:ascii="Times New Roman" w:hAnsi="Times New Roman" w:cs="Times New Roman"/>
          <w:sz w:val="24"/>
        </w:rPr>
      </w:pPr>
      <w:r w:rsidRPr="00C30388">
        <w:rPr>
          <w:rFonts w:ascii="Times New Roman" w:hAnsi="Times New Roman" w:cs="Times New Roman"/>
          <w:bCs/>
          <w:sz w:val="24"/>
        </w:rPr>
        <w:t xml:space="preserve">centralę – w przypadku grupy, o której mowa w </w:t>
      </w:r>
      <w:r w:rsidRPr="00C30388">
        <w:rPr>
          <w:rFonts w:ascii="Times New Roman" w:hAnsi="Times New Roman" w:cs="Times New Roman"/>
          <w:b/>
          <w:sz w:val="24"/>
        </w:rPr>
        <w:t xml:space="preserve">art. 2 ust. 1 pkt 6 lit. b </w:t>
      </w:r>
      <w:r w:rsidRPr="00C30388">
        <w:rPr>
          <w:rFonts w:ascii="Times New Roman" w:hAnsi="Times New Roman" w:cs="Times New Roman"/>
          <w:bCs/>
          <w:sz w:val="24"/>
        </w:rPr>
        <w:t xml:space="preserve">(tj. grupy składającej się wyłącznie z samodzielnej jednostki posiadającej co najmniej jeden stały zakład). </w:t>
      </w:r>
    </w:p>
    <w:p w14:paraId="1D9998F2" w14:textId="3FDD3A38"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W praktyce, w przypadku międzynarodowych grup w większości sytuacji zastosowanie znajdzie pierwszy z ww. przypadków, zgodnie z którym dla nabycia statusu UPE konieczne jest łączne spełnienie dwóch warunków. Pierwszy z nich wymaga, aby dana jednostka dominująca najwyższego szczebla posiadała udział konsolidujący (zdefiniowany w </w:t>
      </w:r>
      <w:r w:rsidRPr="00C30388">
        <w:rPr>
          <w:rFonts w:ascii="Times New Roman" w:hAnsi="Times New Roman" w:cs="Times New Roman"/>
          <w:b/>
          <w:sz w:val="24"/>
        </w:rPr>
        <w:t>art. 2 ust. 1 pkt 4</w:t>
      </w:r>
      <w:r w:rsidR="00C2503F" w:rsidRPr="00C30388">
        <w:rPr>
          <w:rFonts w:ascii="Times New Roman" w:hAnsi="Times New Roman" w:cs="Times New Roman"/>
          <w:b/>
          <w:sz w:val="24"/>
        </w:rPr>
        <w:t>2</w:t>
      </w:r>
      <w:r w:rsidRPr="00C30388">
        <w:rPr>
          <w:rFonts w:ascii="Times New Roman" w:hAnsi="Times New Roman" w:cs="Times New Roman"/>
          <w:bCs/>
          <w:sz w:val="24"/>
        </w:rPr>
        <w:t xml:space="preserve">) w co najmniej jednej innej jednostce. </w:t>
      </w:r>
      <w:r w:rsidRPr="00C30388">
        <w:rPr>
          <w:rFonts w:ascii="Times New Roman" w:eastAsia="Times New Roman" w:hAnsi="Times New Roman" w:cs="Times New Roman"/>
          <w:bCs/>
          <w:sz w:val="24"/>
          <w:lang w:eastAsia="pl-PL"/>
        </w:rPr>
        <w:t xml:space="preserve">Przez udział konsolidujący rozumie się udział własnościowy w jednostce, na którego właścicielu ciąży lub mogłoby ciążyć zobowiązanie do przeprowadzenia pełnej konsolidacji z taką inną jednostką. </w:t>
      </w:r>
    </w:p>
    <w:p w14:paraId="288D3144"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Drugim warunkiem uznania danej jednostki za UPE jest to, aby nie istniała inna jednostka znajdująca się wyżej w łańcuchu (strukturze) własności grupy, która jest lub byłaby zobowiązana do konsolidacji tej pierwszej jednostki metodą konsolidacji pełnej. </w:t>
      </w:r>
    </w:p>
    <w:p w14:paraId="4BA7BDC4"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Zgodnie z Komentarzem, przykładowo jednostki dominującej najwyższego szczebla nie powinien stanowić państwowy fundusz majątkowy (</w:t>
      </w:r>
      <w:r w:rsidRPr="00C30388">
        <w:rPr>
          <w:rFonts w:ascii="Times New Roman" w:hAnsi="Times New Roman" w:cs="Times New Roman"/>
          <w:i/>
          <w:iCs/>
          <w:sz w:val="24"/>
        </w:rPr>
        <w:t>sovereign wealth fund)</w:t>
      </w:r>
      <w:r w:rsidRPr="00C30388">
        <w:rPr>
          <w:rFonts w:ascii="Times New Roman" w:hAnsi="Times New Roman" w:cs="Times New Roman"/>
          <w:sz w:val="24"/>
        </w:rPr>
        <w:t xml:space="preserve"> spełniający definicję wyłączonej jednostki rządowej. Taki fundusz państwowy nie powinien być zatem również traktowany jako posiadający udział konsolidujący w żadnej jednostce grupy, w której ma udziały własnościowe [Komentarz, 1.4.1;36.1–4]. Takie podejście pozwala zachować jednakowe zasady między różnymi formami prowadzenia inwestycji przez państwo (jako, że organy państwa </w:t>
      </w:r>
      <w:r w:rsidRPr="00C30388">
        <w:rPr>
          <w:rFonts w:ascii="Times New Roman" w:hAnsi="Times New Roman" w:cs="Times New Roman"/>
          <w:i/>
          <w:iCs/>
          <w:sz w:val="24"/>
        </w:rPr>
        <w:t>per se</w:t>
      </w:r>
      <w:r w:rsidRPr="00C30388">
        <w:rPr>
          <w:rFonts w:ascii="Times New Roman" w:hAnsi="Times New Roman" w:cs="Times New Roman"/>
          <w:sz w:val="24"/>
        </w:rPr>
        <w:t xml:space="preserve"> nie są traktowane jako jednostki). Innymi słowy, na bazie Komentarza należy przyjąć, że zarówno grupy powiązane poprzez organ państwa (np. Skarb Państwa), jak i poprzez państwowy fundusz majątkowy są odrębnymi grupami, nawet wówczas gdyby podlegały konsolidacji na poziomie tego organu albo funduszu.    </w:t>
      </w:r>
    </w:p>
    <w:p w14:paraId="7D27EDA7" w14:textId="250F5475"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
          <w:sz w:val="24"/>
        </w:rPr>
        <w:t xml:space="preserve">Jednostką dominującą niższego szczebla </w:t>
      </w:r>
      <w:r w:rsidRPr="00C30388">
        <w:rPr>
          <w:rFonts w:ascii="Times New Roman" w:hAnsi="Times New Roman" w:cs="Times New Roman"/>
          <w:sz w:val="24"/>
        </w:rPr>
        <w:t>(</w:t>
      </w:r>
      <w:r w:rsidRPr="00C30388">
        <w:rPr>
          <w:rFonts w:ascii="Times New Roman" w:hAnsi="Times New Roman" w:cs="Times New Roman"/>
          <w:i/>
          <w:sz w:val="24"/>
        </w:rPr>
        <w:t xml:space="preserve">intermediate parent entity – </w:t>
      </w:r>
      <w:r w:rsidRPr="00C30388">
        <w:rPr>
          <w:rFonts w:ascii="Times New Roman" w:hAnsi="Times New Roman" w:cs="Times New Roman"/>
          <w:b/>
          <w:sz w:val="24"/>
        </w:rPr>
        <w:t>IPE</w:t>
      </w:r>
      <w:r w:rsidRPr="00C30388">
        <w:rPr>
          <w:rFonts w:ascii="Times New Roman" w:hAnsi="Times New Roman" w:cs="Times New Roman"/>
          <w:iCs/>
          <w:sz w:val="24"/>
        </w:rPr>
        <w:t>)</w:t>
      </w:r>
      <w:r w:rsidRPr="00C30388">
        <w:rPr>
          <w:rFonts w:ascii="Times New Roman" w:hAnsi="Times New Roman" w:cs="Times New Roman"/>
          <w:i/>
          <w:sz w:val="24"/>
        </w:rPr>
        <w:t xml:space="preserve">, </w:t>
      </w:r>
      <w:r w:rsidRPr="00C30388">
        <w:rPr>
          <w:rFonts w:ascii="Times New Roman" w:hAnsi="Times New Roman" w:cs="Times New Roman"/>
          <w:sz w:val="24"/>
        </w:rPr>
        <w:t xml:space="preserve">zgodnie z </w:t>
      </w:r>
      <w:r w:rsidRPr="00C30388">
        <w:rPr>
          <w:rFonts w:ascii="Times New Roman" w:hAnsi="Times New Roman" w:cs="Times New Roman"/>
          <w:b/>
          <w:sz w:val="24"/>
        </w:rPr>
        <w:t>art. 2 ust. 1 pkt 15</w:t>
      </w:r>
      <w:r w:rsidRPr="00C30388">
        <w:rPr>
          <w:rFonts w:ascii="Times New Roman" w:hAnsi="Times New Roman" w:cs="Times New Roman"/>
          <w:sz w:val="24"/>
        </w:rPr>
        <w:t xml:space="preserve">, jest jednostka składowa, która (i) bezpośrednio lub pośrednio posiada udział własnościowy w innej jednostce składowej tej samej grupy i (ii) która nie jest: jednostką dominującą najwyższego szczebla, jednostką dominującą w częściowym posiadaniu, stałym zakładem, jednostką inwestycyjną (zdefiniowaną w </w:t>
      </w:r>
      <w:r w:rsidRPr="00C30388">
        <w:rPr>
          <w:rFonts w:ascii="Times New Roman" w:hAnsi="Times New Roman" w:cs="Times New Roman"/>
          <w:b/>
          <w:bCs/>
          <w:sz w:val="24"/>
        </w:rPr>
        <w:t>art. 2 ust. 1 pkt 18</w:t>
      </w:r>
      <w:r w:rsidRPr="00C30388">
        <w:rPr>
          <w:rFonts w:ascii="Times New Roman" w:hAnsi="Times New Roman" w:cs="Times New Roman"/>
          <w:sz w:val="24"/>
        </w:rPr>
        <w:t xml:space="preserve">), ani </w:t>
      </w:r>
      <w:r w:rsidRPr="00C30388">
        <w:rPr>
          <w:rFonts w:ascii="Times New Roman" w:hAnsi="Times New Roman" w:cs="Times New Roman"/>
          <w:bCs/>
          <w:sz w:val="24"/>
        </w:rPr>
        <w:t xml:space="preserve">ubezpieczeniową jednostkę inwestycyjną </w:t>
      </w:r>
      <w:r w:rsidRPr="00C30388">
        <w:rPr>
          <w:rFonts w:ascii="Times New Roman" w:hAnsi="Times New Roman" w:cs="Times New Roman"/>
          <w:sz w:val="24"/>
        </w:rPr>
        <w:t xml:space="preserve">(zdefiniowaną w </w:t>
      </w:r>
      <w:r w:rsidRPr="00C30388">
        <w:rPr>
          <w:rFonts w:ascii="Times New Roman" w:hAnsi="Times New Roman" w:cs="Times New Roman"/>
          <w:b/>
          <w:bCs/>
          <w:sz w:val="24"/>
        </w:rPr>
        <w:t>art. 2 ust. 1 pkt 4</w:t>
      </w:r>
      <w:r w:rsidR="00C2503F" w:rsidRPr="00C30388">
        <w:rPr>
          <w:rFonts w:ascii="Times New Roman" w:hAnsi="Times New Roman" w:cs="Times New Roman"/>
          <w:b/>
          <w:bCs/>
          <w:sz w:val="24"/>
        </w:rPr>
        <w:t>1</w:t>
      </w:r>
      <w:r w:rsidRPr="00C30388">
        <w:rPr>
          <w:rFonts w:ascii="Times New Roman" w:hAnsi="Times New Roman" w:cs="Times New Roman"/>
          <w:sz w:val="24"/>
        </w:rPr>
        <w:t>)</w:t>
      </w:r>
      <w:r w:rsidRPr="00C30388">
        <w:rPr>
          <w:rFonts w:ascii="Times New Roman" w:hAnsi="Times New Roman" w:cs="Times New Roman"/>
          <w:bCs/>
          <w:sz w:val="24"/>
        </w:rPr>
        <w:t>.</w:t>
      </w:r>
      <w:r w:rsidRPr="00C30388">
        <w:rPr>
          <w:rStyle w:val="Odwoanieprzypisudolnego"/>
          <w:rFonts w:ascii="Times New Roman" w:hAnsi="Times New Roman" w:cs="Times New Roman"/>
          <w:bCs/>
          <w:sz w:val="24"/>
        </w:rPr>
        <w:footnoteReference w:id="37"/>
      </w:r>
      <w:r w:rsidRPr="00C30388">
        <w:rPr>
          <w:rFonts w:ascii="Times New Roman" w:hAnsi="Times New Roman" w:cs="Times New Roman"/>
          <w:bCs/>
          <w:sz w:val="24"/>
        </w:rPr>
        <w:t xml:space="preserve"> </w:t>
      </w:r>
    </w:p>
    <w:p w14:paraId="7FD51D9E" w14:textId="2AF6CF0A"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Pojęcie jednostki dominującej niższego szczebla ma istotne znaczenie w kontekście zasad nakładania globalnego podatku wyrównawczego (zgodnie z podejściem „z góry w dół”, opisanym dalej w odniesieniu do podatnika tego podatku). </w:t>
      </w:r>
    </w:p>
    <w:p w14:paraId="2DDE43A4" w14:textId="5971764B"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
          <w:bCs/>
          <w:sz w:val="24"/>
          <w:lang w:eastAsia="pl-PL"/>
        </w:rPr>
        <w:t>Art. 2 ust. 1 pkt 16</w:t>
      </w:r>
      <w:r w:rsidRPr="00C30388">
        <w:rPr>
          <w:rFonts w:ascii="Times New Roman" w:eastAsia="Times New Roman" w:hAnsi="Times New Roman" w:cs="Times New Roman"/>
          <w:bCs/>
          <w:sz w:val="24"/>
          <w:lang w:eastAsia="pl-PL"/>
        </w:rPr>
        <w:t xml:space="preserve"> wprowadza do ustawy definicję </w:t>
      </w:r>
      <w:r w:rsidRPr="00C30388">
        <w:rPr>
          <w:rFonts w:ascii="Times New Roman" w:eastAsia="Times New Roman" w:hAnsi="Times New Roman" w:cs="Times New Roman"/>
          <w:b/>
          <w:bCs/>
          <w:sz w:val="24"/>
          <w:lang w:eastAsia="pl-PL"/>
        </w:rPr>
        <w:t xml:space="preserve">jednostki dominującej w częściowym posiadaniu </w:t>
      </w:r>
      <w:r w:rsidRPr="00C30388">
        <w:rPr>
          <w:rFonts w:ascii="Times New Roman" w:eastAsia="Times New Roman" w:hAnsi="Times New Roman" w:cs="Times New Roman"/>
          <w:sz w:val="24"/>
          <w:lang w:eastAsia="pl-PL"/>
        </w:rPr>
        <w:t>(</w:t>
      </w:r>
      <w:r w:rsidRPr="00C30388">
        <w:rPr>
          <w:rFonts w:ascii="Times New Roman" w:eastAsia="Times New Roman" w:hAnsi="Times New Roman" w:cs="Times New Roman"/>
          <w:bCs/>
          <w:sz w:val="24"/>
          <w:lang w:eastAsia="pl-PL"/>
        </w:rPr>
        <w:t>ang. „</w:t>
      </w:r>
      <w:r w:rsidRPr="00C30388">
        <w:rPr>
          <w:rFonts w:ascii="Times New Roman" w:eastAsia="Times New Roman" w:hAnsi="Times New Roman" w:cs="Times New Roman"/>
          <w:bCs/>
          <w:i/>
          <w:sz w:val="24"/>
          <w:lang w:eastAsia="pl-PL"/>
        </w:rPr>
        <w:t>partially-owned parent entity</w:t>
      </w:r>
      <w:r w:rsidRPr="00C30388">
        <w:rPr>
          <w:rFonts w:ascii="Times New Roman" w:eastAsia="Times New Roman" w:hAnsi="Times New Roman" w:cs="Times New Roman"/>
          <w:bCs/>
          <w:sz w:val="24"/>
          <w:lang w:eastAsia="pl-PL"/>
        </w:rPr>
        <w:t xml:space="preserve">”- </w:t>
      </w:r>
      <w:r w:rsidRPr="00C30388">
        <w:rPr>
          <w:rFonts w:ascii="Times New Roman" w:eastAsia="Times New Roman" w:hAnsi="Times New Roman" w:cs="Times New Roman"/>
          <w:b/>
          <w:bCs/>
          <w:sz w:val="24"/>
          <w:lang w:eastAsia="pl-PL"/>
        </w:rPr>
        <w:t>POPE</w:t>
      </w:r>
      <w:r w:rsidRPr="00C30388">
        <w:rPr>
          <w:rFonts w:ascii="Times New Roman" w:eastAsia="Times New Roman" w:hAnsi="Times New Roman" w:cs="Times New Roman"/>
          <w:bCs/>
          <w:sz w:val="24"/>
          <w:lang w:eastAsia="pl-PL"/>
        </w:rPr>
        <w:t xml:space="preserve">), o której mowa w art. 3.22 </w:t>
      </w:r>
      <w:r w:rsidRPr="00C30388">
        <w:rPr>
          <w:rFonts w:ascii="Times New Roman" w:eastAsia="Times New Roman" w:hAnsi="Times New Roman" w:cs="Times New Roman"/>
          <w:bCs/>
          <w:sz w:val="24"/>
          <w:lang w:eastAsia="pl-PL"/>
        </w:rPr>
        <w:lastRenderedPageBreak/>
        <w:t>Dyrektywy. Przez taką jednostkę rozumie się jednostkę składową, która spełnia łącznie poniższe warunki:</w:t>
      </w:r>
    </w:p>
    <w:p w14:paraId="42D5AD31" w14:textId="5827C560" w:rsidR="002A4C92" w:rsidRPr="00C30388" w:rsidRDefault="002A4C92" w:rsidP="002C7467">
      <w:pPr>
        <w:pStyle w:val="Akapitzlist"/>
        <w:numPr>
          <w:ilvl w:val="0"/>
          <w:numId w:val="56"/>
        </w:numPr>
        <w:spacing w:after="120"/>
        <w:contextualSpacing w:val="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posiada – bezpośrednio lub pośrednio – udział własnościowy (zdefiniowany w </w:t>
      </w:r>
      <w:r w:rsidRPr="00C30388">
        <w:rPr>
          <w:rFonts w:ascii="Times New Roman" w:eastAsia="Times New Roman" w:hAnsi="Times New Roman" w:cs="Times New Roman"/>
          <w:b/>
          <w:sz w:val="24"/>
          <w:lang w:eastAsia="pl-PL"/>
        </w:rPr>
        <w:t>art. 2 ust. 1  pkt 4</w:t>
      </w:r>
      <w:r w:rsidR="00C2503F" w:rsidRPr="00C30388">
        <w:rPr>
          <w:rFonts w:ascii="Times New Roman" w:eastAsia="Times New Roman" w:hAnsi="Times New Roman" w:cs="Times New Roman"/>
          <w:b/>
          <w:sz w:val="24"/>
          <w:lang w:eastAsia="pl-PL"/>
        </w:rPr>
        <w:t>3</w:t>
      </w:r>
      <w:r w:rsidRPr="00C30388">
        <w:rPr>
          <w:rFonts w:ascii="Times New Roman" w:eastAsia="Times New Roman" w:hAnsi="Times New Roman" w:cs="Times New Roman"/>
          <w:bCs/>
          <w:sz w:val="24"/>
          <w:lang w:eastAsia="pl-PL"/>
        </w:rPr>
        <w:t xml:space="preserve">) w innej jednostce składowej tej samej grupy, i w której udział własnościowy przyznający prawo do więcej niż 20% zysków posiadają – bezpośrednio lub pośrednio – osoby niebędące jednostkami składowymi tej grupy, </w:t>
      </w:r>
    </w:p>
    <w:p w14:paraId="1A61F6A3" w14:textId="77777777" w:rsidR="002A4C92" w:rsidRPr="00C30388" w:rsidRDefault="002A4C92" w:rsidP="002C7467">
      <w:pPr>
        <w:pStyle w:val="Akapitzlist"/>
        <w:numPr>
          <w:ilvl w:val="0"/>
          <w:numId w:val="56"/>
        </w:numPr>
        <w:spacing w:after="120"/>
        <w:contextualSpacing w:val="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nie jest </w:t>
      </w:r>
      <w:r w:rsidRPr="00C30388">
        <w:rPr>
          <w:rFonts w:ascii="Times New Roman" w:hAnsi="Times New Roman" w:cs="Times New Roman"/>
          <w:sz w:val="24"/>
        </w:rPr>
        <w:t>jednostką dominującą najwyższego szczebla</w:t>
      </w:r>
      <w:r w:rsidRPr="00C30388">
        <w:rPr>
          <w:rFonts w:ascii="Times New Roman" w:eastAsia="Times New Roman" w:hAnsi="Times New Roman" w:cs="Times New Roman"/>
          <w:bCs/>
          <w:sz w:val="24"/>
          <w:lang w:eastAsia="pl-PL"/>
        </w:rPr>
        <w:t xml:space="preserve">, stałym zakładem, jednostką inwestycyjną lub ubezpieczeniową jednostką inwestycyjną. </w:t>
      </w:r>
    </w:p>
    <w:p w14:paraId="3B3F89C8" w14:textId="77777777"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Warto zauważyć, iż w definicji tej mowa jest o określonej „kategorii” prawa wynikającej z udziału własnościowego, tj. </w:t>
      </w:r>
      <w:r w:rsidRPr="00C30388">
        <w:rPr>
          <w:rFonts w:ascii="Times New Roman" w:eastAsia="Times New Roman" w:hAnsi="Times New Roman" w:cs="Times New Roman"/>
          <w:b/>
          <w:sz w:val="24"/>
          <w:lang w:eastAsia="pl-PL"/>
        </w:rPr>
        <w:t>prawa do zysku</w:t>
      </w:r>
      <w:r w:rsidRPr="00C30388">
        <w:rPr>
          <w:rFonts w:ascii="Times New Roman" w:eastAsia="Times New Roman" w:hAnsi="Times New Roman" w:cs="Times New Roman"/>
          <w:bCs/>
          <w:sz w:val="24"/>
          <w:lang w:eastAsia="pl-PL"/>
        </w:rPr>
        <w:t xml:space="preserve"> w POPE.    </w:t>
      </w:r>
    </w:p>
    <w:p w14:paraId="0F958AD6" w14:textId="77777777" w:rsidR="002A4C92" w:rsidRPr="00C30388" w:rsidRDefault="002A4C92" w:rsidP="002A4C92">
      <w:pPr>
        <w:spacing w:after="120"/>
        <w:jc w:val="both"/>
        <w:rPr>
          <w:rFonts w:ascii="Times New Roman" w:hAnsi="Times New Roman" w:cs="Times New Roman"/>
          <w:iCs/>
          <w:sz w:val="24"/>
        </w:rPr>
      </w:pPr>
      <w:r w:rsidRPr="00C30388">
        <w:rPr>
          <w:rFonts w:ascii="Times New Roman" w:hAnsi="Times New Roman" w:cs="Times New Roman"/>
          <w:iCs/>
          <w:sz w:val="24"/>
        </w:rPr>
        <w:t>Ponadto warunek ten obejmuje nie tylko bezpośrednie posiadanie takiego udziału w zysku, lecz również posiadanie pośrednie. Oceniając spełnienie warunku posiadania pośredniego nie uwzględnia się jednak udziałów własnościowych posiadanych w POPE przez osoby/podmioty spoza grupy, lecz za pośrednictwem UPE.</w:t>
      </w:r>
    </w:p>
    <w:p w14:paraId="76FBEAA9"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 xml:space="preserve">Jednostka inwestująca w nieruchomości </w:t>
      </w:r>
    </w:p>
    <w:p w14:paraId="39665B11" w14:textId="08CBC88C"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Cs/>
          <w:sz w:val="24"/>
        </w:rPr>
        <w:t xml:space="preserve">Przepis </w:t>
      </w:r>
      <w:r w:rsidRPr="00C30388">
        <w:rPr>
          <w:rFonts w:ascii="Times New Roman" w:hAnsi="Times New Roman" w:cs="Times New Roman"/>
          <w:b/>
          <w:bCs/>
          <w:sz w:val="24"/>
        </w:rPr>
        <w:t xml:space="preserve">art. 2 ust. 1 pkt 17 </w:t>
      </w:r>
      <w:r w:rsidRPr="00C30388">
        <w:rPr>
          <w:rFonts w:ascii="Times New Roman" w:hAnsi="Times New Roman" w:cs="Times New Roman"/>
          <w:bCs/>
          <w:sz w:val="24"/>
        </w:rPr>
        <w:t xml:space="preserve">ustawy </w:t>
      </w:r>
      <w:r w:rsidRPr="00C30388">
        <w:rPr>
          <w:rFonts w:ascii="Times New Roman" w:hAnsi="Times New Roman" w:cs="Times New Roman"/>
          <w:sz w:val="24"/>
        </w:rPr>
        <w:t xml:space="preserve">definiuje pojęcie </w:t>
      </w:r>
      <w:r w:rsidRPr="00C30388">
        <w:rPr>
          <w:rFonts w:ascii="Times New Roman" w:hAnsi="Times New Roman" w:cs="Times New Roman"/>
          <w:b/>
          <w:bCs/>
          <w:sz w:val="24"/>
        </w:rPr>
        <w:t>jednostki</w:t>
      </w:r>
      <w:r w:rsidRPr="00C30388">
        <w:rPr>
          <w:rFonts w:ascii="Times New Roman" w:hAnsi="Times New Roman" w:cs="Times New Roman"/>
          <w:sz w:val="24"/>
        </w:rPr>
        <w:t xml:space="preserve"> </w:t>
      </w:r>
      <w:r w:rsidRPr="00C30388">
        <w:rPr>
          <w:rFonts w:ascii="Times New Roman" w:hAnsi="Times New Roman" w:cs="Times New Roman"/>
          <w:b/>
          <w:sz w:val="24"/>
        </w:rPr>
        <w:t>inwestującej w nieruchomości</w:t>
      </w:r>
      <w:r w:rsidRPr="00C30388">
        <w:rPr>
          <w:rFonts w:ascii="Times New Roman" w:hAnsi="Times New Roman" w:cs="Times New Roman"/>
          <w:sz w:val="24"/>
        </w:rPr>
        <w:t xml:space="preserve"> (</w:t>
      </w:r>
      <w:r w:rsidRPr="00C30388">
        <w:rPr>
          <w:rFonts w:ascii="Times New Roman" w:hAnsi="Times New Roman" w:cs="Times New Roman"/>
          <w:i/>
          <w:iCs/>
          <w:sz w:val="24"/>
        </w:rPr>
        <w:t xml:space="preserve">ang. real estate investment vehicle, </w:t>
      </w:r>
      <w:r w:rsidRPr="00C30388">
        <w:rPr>
          <w:rFonts w:ascii="Times New Roman" w:hAnsi="Times New Roman" w:cs="Times New Roman"/>
          <w:sz w:val="24"/>
        </w:rPr>
        <w:t>określana również jako: „</w:t>
      </w:r>
      <w:r w:rsidRPr="00C30388">
        <w:rPr>
          <w:rFonts w:ascii="Times New Roman" w:hAnsi="Times New Roman" w:cs="Times New Roman"/>
          <w:b/>
          <w:bCs/>
          <w:sz w:val="24"/>
        </w:rPr>
        <w:t>REIT</w:t>
      </w:r>
      <w:r w:rsidRPr="00C30388">
        <w:rPr>
          <w:rFonts w:ascii="Times New Roman" w:hAnsi="Times New Roman" w:cs="Times New Roman"/>
          <w:sz w:val="24"/>
        </w:rPr>
        <w:t>”) w oparciu o definicję zawartą w art. 3.32 Dyrektywy.</w:t>
      </w:r>
      <w:r w:rsidRPr="00C30388">
        <w:rPr>
          <w:rFonts w:ascii="Times New Roman" w:hAnsi="Times New Roman" w:cs="Times New Roman"/>
          <w:bCs/>
          <w:sz w:val="24"/>
          <w:vertAlign w:val="superscript"/>
        </w:rPr>
        <w:t xml:space="preserve"> </w:t>
      </w:r>
      <w:r w:rsidRPr="00C30388">
        <w:rPr>
          <w:rFonts w:ascii="Times New Roman" w:hAnsi="Times New Roman" w:cs="Times New Roman"/>
          <w:bCs/>
          <w:sz w:val="24"/>
        </w:rPr>
        <w:t xml:space="preserve">Definicja zawarta w Dyrektywie (a recypowana z </w:t>
      </w:r>
      <w:r w:rsidR="00595132" w:rsidRPr="00C30388">
        <w:rPr>
          <w:rFonts w:ascii="Times New Roman" w:hAnsi="Times New Roman" w:cs="Times New Roman"/>
          <w:bCs/>
          <w:sz w:val="24"/>
        </w:rPr>
        <w:t>Modelowych zasad</w:t>
      </w:r>
      <w:r w:rsidRPr="00C30388">
        <w:rPr>
          <w:rFonts w:ascii="Times New Roman" w:hAnsi="Times New Roman" w:cs="Times New Roman"/>
          <w:bCs/>
          <w:sz w:val="24"/>
        </w:rPr>
        <w:t xml:space="preserve"> OECD) opiera się na przepisie, dotyczącym „</w:t>
      </w:r>
      <w:r w:rsidRPr="00C30388">
        <w:rPr>
          <w:rFonts w:ascii="Times New Roman" w:hAnsi="Times New Roman" w:cs="Times New Roman"/>
          <w:bCs/>
          <w:i/>
          <w:sz w:val="24"/>
        </w:rPr>
        <w:t>szczególnego systemu podatkowego”</w:t>
      </w:r>
      <w:r w:rsidRPr="00C30388">
        <w:rPr>
          <w:rFonts w:ascii="Times New Roman" w:hAnsi="Times New Roman" w:cs="Times New Roman"/>
          <w:bCs/>
          <w:sz w:val="24"/>
        </w:rPr>
        <w:t xml:space="preserve">, zawartym w pkt 86 komentarza do art. 1 Modelowej </w:t>
      </w:r>
      <w:r w:rsidR="00186DED" w:rsidRPr="00C30388">
        <w:rPr>
          <w:rFonts w:ascii="Times New Roman" w:hAnsi="Times New Roman" w:cs="Times New Roman"/>
          <w:bCs/>
          <w:sz w:val="24"/>
        </w:rPr>
        <w:t>k</w:t>
      </w:r>
      <w:r w:rsidRPr="00C30388">
        <w:rPr>
          <w:rFonts w:ascii="Times New Roman" w:hAnsi="Times New Roman" w:cs="Times New Roman"/>
          <w:bCs/>
          <w:sz w:val="24"/>
        </w:rPr>
        <w:t xml:space="preserve">onwencji OECD. </w:t>
      </w:r>
    </w:p>
    <w:p w14:paraId="26C076D1"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Podobnie jak w przypadku funduszy inwestycyjnych, jednostka inwestująca w nieruchomości jest traktowana jako jednostka wyłączona jedynie wówczas, gdy jest jednostką dominującą najwyższego szczebla grupy. </w:t>
      </w:r>
    </w:p>
    <w:p w14:paraId="409AE905"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Jakkolwiek w wielu przypadkach jednostki te będą spełniały również warunki określone dla funduszy inwestycyjnych; ich wyodrębnienie jako odrębnej jednostki uwzględnia możliwość niepodlegania przez nie niezbędnym przepisom krajowym regulujących funkcjonowanie funduszy inwestycyjnych, czy też brak spełnienia warunku odnoszącego się do charakterystyki osób zarządzających takimi podmiotami. </w:t>
      </w:r>
    </w:p>
    <w:p w14:paraId="11EA4E65"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Projekt określa, iż za jednostkę inwestującą w nieruchomości uważana będzie jednostka spełniająca łącznie trzy warunki. </w:t>
      </w:r>
    </w:p>
    <w:p w14:paraId="64CE298B" w14:textId="0CD96014" w:rsidR="002A4C92" w:rsidRPr="00C30388" w:rsidRDefault="002A4C92" w:rsidP="002A4C92">
      <w:pPr>
        <w:spacing w:after="120"/>
        <w:jc w:val="both"/>
        <w:rPr>
          <w:rFonts w:ascii="Times New Roman" w:hAnsi="Times New Roman" w:cs="Times New Roman"/>
          <w:bCs/>
          <w:sz w:val="24"/>
        </w:rPr>
      </w:pPr>
      <w:bookmarkStart w:id="2" w:name="_Hlk161736680"/>
      <w:r w:rsidRPr="00C30388">
        <w:rPr>
          <w:rFonts w:ascii="Times New Roman" w:hAnsi="Times New Roman" w:cs="Times New Roman"/>
          <w:bCs/>
          <w:sz w:val="24"/>
        </w:rPr>
        <w:t xml:space="preserve">Po pierwsze, własność udziałów w takiej jednostce musi być rozproszona. Chodzi w tym przypadku nie tylko o wielość właścicieli takiej jednostki (bezpośrednich lub pośrednich), ale głównie to, aby nie były to osoby powiązane. Dla potrzeb stosowania omawianej definicji, właściciela należy traktować jako powiązaną z inną osobą, jeżeli spełnia on kryterium określone w art. 5 ust. 8 Modelowej </w:t>
      </w:r>
      <w:r w:rsidR="00186DED" w:rsidRPr="00C30388">
        <w:rPr>
          <w:rFonts w:ascii="Times New Roman" w:hAnsi="Times New Roman" w:cs="Times New Roman"/>
          <w:bCs/>
          <w:sz w:val="24"/>
        </w:rPr>
        <w:t>k</w:t>
      </w:r>
      <w:r w:rsidRPr="00C30388">
        <w:rPr>
          <w:rFonts w:ascii="Times New Roman" w:hAnsi="Times New Roman" w:cs="Times New Roman"/>
          <w:bCs/>
          <w:sz w:val="24"/>
        </w:rPr>
        <w:t>onwencji OECD</w:t>
      </w:r>
      <w:r w:rsidR="00F32517" w:rsidRPr="00C30388">
        <w:rPr>
          <w:rFonts w:ascii="Times New Roman" w:hAnsi="Times New Roman" w:cs="Times New Roman"/>
          <w:bCs/>
          <w:sz w:val="24"/>
        </w:rPr>
        <w:t>.</w:t>
      </w:r>
      <w:r w:rsidRPr="00C30388">
        <w:rPr>
          <w:rFonts w:ascii="Times New Roman" w:hAnsi="Times New Roman" w:cs="Times New Roman"/>
          <w:bCs/>
          <w:sz w:val="24"/>
        </w:rPr>
        <w:t xml:space="preserve"> </w:t>
      </w:r>
    </w:p>
    <w:bookmarkEnd w:id="2"/>
    <w:p w14:paraId="541CA3D2"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Należy przyjąć, że warunek ten spełni jednostka inwestująca w nieruchomości, która co prawda bezpośrednio jest własnością niewielkiej liczby osób/podmiotów, jednak osoby/podmioty te są posiadane przez wielu niepowiązanych właścicieli.</w:t>
      </w:r>
    </w:p>
    <w:p w14:paraId="69C57F76"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Drugim elementem omawianej definicji jest warunek dotyczący tego, aby taka jednostka posiadała w przeważającej mierze nieruchomości. Celem eliminacji potencjalnych wątpliwości w tym zakresie w projekcie przyjęto, że chodzi o sytuację, w której nieruchomości stanowią co najmniej 50% wartości bilansowej aktywów jednostki. </w:t>
      </w:r>
    </w:p>
    <w:p w14:paraId="58B7B958"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lastRenderedPageBreak/>
        <w:t xml:space="preserve">Warunek ten należy uznać za spełniony również wówczas, gdy posiadanie nieruchomości (w całości lub w części) ma charakter pośredni, poprzez posiadanie prawa, którego wartość jest związana z nieruchomością (np. udziałów w spółce nieruchomościowej). </w:t>
      </w:r>
    </w:p>
    <w:p w14:paraId="1B4E38E4" w14:textId="77777777" w:rsidR="002A4C92" w:rsidRPr="00C30388" w:rsidRDefault="002A4C92" w:rsidP="002A4C92">
      <w:pPr>
        <w:spacing w:after="120"/>
        <w:jc w:val="both"/>
        <w:rPr>
          <w:rFonts w:ascii="Times New Roman" w:hAnsi="Times New Roman" w:cs="Times New Roman"/>
          <w:bCs/>
          <w:sz w:val="24"/>
        </w:rPr>
      </w:pPr>
      <w:r w:rsidRPr="00C30388">
        <w:rPr>
          <w:rFonts w:ascii="Times New Roman" w:hAnsi="Times New Roman" w:cs="Times New Roman"/>
          <w:bCs/>
          <w:sz w:val="24"/>
        </w:rPr>
        <w:t xml:space="preserve">Ostatnim warunkiem, określonym w definicji REIT, jest zapewnienie jednego poziomu opodatkowania (z maksymalnie rocznym odroczeniem) w zakresie dokonywanych przez uczestników inwestycji w nieruchomości. Neutralność podatkowa inwestycji poprzez REIT (tj. jeden poziom opodatkowania) może przy tym polegać na opodatkowaniu samego REIT albo na opodatkowaniu inwestorów. Możliwa jest również sytuacja, w której część dochodu jest opodatkowana na poziomie REIT, a pozostała część na poziomie inwestorów [Komentarz, 10.1;46]. </w:t>
      </w:r>
    </w:p>
    <w:p w14:paraId="22E94717" w14:textId="77777777" w:rsidR="002A4C92" w:rsidRPr="00C30388" w:rsidRDefault="002A4C92" w:rsidP="002A4C92">
      <w:pPr>
        <w:spacing w:after="120"/>
        <w:jc w:val="both"/>
        <w:rPr>
          <w:rFonts w:ascii="Times New Roman" w:eastAsia="Times New Roman" w:hAnsi="Times New Roman" w:cs="Times New Roman"/>
          <w:bCs/>
          <w:i/>
          <w:sz w:val="24"/>
          <w:lang w:eastAsia="pl-PL"/>
        </w:rPr>
      </w:pPr>
      <w:r w:rsidRPr="00C30388">
        <w:rPr>
          <w:rFonts w:ascii="Times New Roman" w:eastAsia="Times New Roman" w:hAnsi="Times New Roman" w:cs="Times New Roman"/>
          <w:bCs/>
          <w:i/>
          <w:sz w:val="24"/>
          <w:lang w:eastAsia="pl-PL"/>
        </w:rPr>
        <w:t xml:space="preserve">Jednostka inwestycyjna </w:t>
      </w:r>
    </w:p>
    <w:p w14:paraId="6A590309" w14:textId="77777777"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Przepis </w:t>
      </w:r>
      <w:r w:rsidRPr="00C30388">
        <w:rPr>
          <w:rFonts w:ascii="Times New Roman" w:eastAsia="Times New Roman" w:hAnsi="Times New Roman" w:cs="Times New Roman"/>
          <w:b/>
          <w:bCs/>
          <w:sz w:val="24"/>
          <w:lang w:eastAsia="pl-PL"/>
        </w:rPr>
        <w:t>art. 2 ust. 1 pkt 18</w:t>
      </w:r>
      <w:r w:rsidRPr="00C30388">
        <w:rPr>
          <w:rFonts w:ascii="Times New Roman" w:eastAsia="Times New Roman" w:hAnsi="Times New Roman" w:cs="Times New Roman"/>
          <w:bCs/>
          <w:sz w:val="24"/>
          <w:lang w:eastAsia="pl-PL"/>
        </w:rPr>
        <w:t xml:space="preserve"> stanowi implementację art. 3.30 Dyrektywy. Przepis ten wprowadza definicję pojęcia </w:t>
      </w:r>
      <w:r w:rsidRPr="00C30388">
        <w:rPr>
          <w:rFonts w:ascii="Times New Roman" w:eastAsia="Times New Roman" w:hAnsi="Times New Roman" w:cs="Times New Roman"/>
          <w:b/>
          <w:bCs/>
          <w:sz w:val="24"/>
          <w:lang w:eastAsia="pl-PL"/>
        </w:rPr>
        <w:t xml:space="preserve">jednostki inwestycyjnej </w:t>
      </w:r>
      <w:r w:rsidRPr="00C30388">
        <w:rPr>
          <w:rFonts w:ascii="Times New Roman" w:eastAsia="Times New Roman" w:hAnsi="Times New Roman" w:cs="Times New Roman"/>
          <w:bCs/>
          <w:sz w:val="24"/>
          <w:lang w:eastAsia="pl-PL"/>
        </w:rPr>
        <w:t xml:space="preserve">(ang. </w:t>
      </w:r>
      <w:r w:rsidRPr="00C30388">
        <w:rPr>
          <w:rFonts w:ascii="Times New Roman" w:eastAsia="Times New Roman" w:hAnsi="Times New Roman" w:cs="Times New Roman"/>
          <w:bCs/>
          <w:i/>
          <w:sz w:val="24"/>
          <w:lang w:eastAsia="pl-PL"/>
        </w:rPr>
        <w:t>investment entity</w:t>
      </w:r>
      <w:r w:rsidRPr="00C30388">
        <w:rPr>
          <w:rFonts w:ascii="Times New Roman" w:eastAsia="Times New Roman" w:hAnsi="Times New Roman" w:cs="Times New Roman"/>
          <w:bCs/>
          <w:sz w:val="24"/>
          <w:lang w:eastAsia="pl-PL"/>
        </w:rPr>
        <w:t>), przez którą ustawa rozumie następujące jednostki:</w:t>
      </w:r>
    </w:p>
    <w:p w14:paraId="73D66D9F" w14:textId="77777777" w:rsidR="002A4C92" w:rsidRPr="00C30388" w:rsidRDefault="002A4C92" w:rsidP="002C7467">
      <w:pPr>
        <w:numPr>
          <w:ilvl w:val="0"/>
          <w:numId w:val="57"/>
        </w:num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fundusz inwestycyjny, w rozumieniu </w:t>
      </w:r>
      <w:r w:rsidRPr="00C30388">
        <w:rPr>
          <w:rFonts w:ascii="Times New Roman" w:eastAsia="Times New Roman" w:hAnsi="Times New Roman" w:cs="Times New Roman"/>
          <w:b/>
          <w:sz w:val="24"/>
          <w:lang w:eastAsia="pl-PL"/>
        </w:rPr>
        <w:t>art. 2 ust. 1 pkt 5</w:t>
      </w:r>
      <w:r w:rsidRPr="00C30388">
        <w:rPr>
          <w:rFonts w:ascii="Times New Roman" w:eastAsia="Times New Roman" w:hAnsi="Times New Roman" w:cs="Times New Roman"/>
          <w:bCs/>
          <w:sz w:val="24"/>
          <w:lang w:eastAsia="pl-PL"/>
        </w:rPr>
        <w:t xml:space="preserve">; </w:t>
      </w:r>
    </w:p>
    <w:p w14:paraId="0438688C" w14:textId="77777777" w:rsidR="002A4C92" w:rsidRPr="00C30388" w:rsidRDefault="002A4C92" w:rsidP="002C7467">
      <w:pPr>
        <w:numPr>
          <w:ilvl w:val="0"/>
          <w:numId w:val="57"/>
        </w:num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jednostkę inwestującą w nieruchomości w rozumieniu </w:t>
      </w:r>
      <w:r w:rsidRPr="00C30388">
        <w:rPr>
          <w:rFonts w:ascii="Times New Roman" w:eastAsia="Times New Roman" w:hAnsi="Times New Roman" w:cs="Times New Roman"/>
          <w:b/>
          <w:sz w:val="24"/>
          <w:lang w:eastAsia="pl-PL"/>
        </w:rPr>
        <w:t>art. 2 ust. 1 pkt 17</w:t>
      </w:r>
      <w:r w:rsidRPr="00C30388">
        <w:rPr>
          <w:rFonts w:ascii="Times New Roman" w:eastAsia="Times New Roman" w:hAnsi="Times New Roman" w:cs="Times New Roman"/>
          <w:bCs/>
          <w:sz w:val="24"/>
          <w:lang w:eastAsia="pl-PL"/>
        </w:rPr>
        <w:t>;</w:t>
      </w:r>
    </w:p>
    <w:p w14:paraId="030F7909" w14:textId="5919A91C" w:rsidR="002A4C92" w:rsidRPr="00C30388" w:rsidRDefault="002A4C92" w:rsidP="002C7467">
      <w:pPr>
        <w:numPr>
          <w:ilvl w:val="0"/>
          <w:numId w:val="57"/>
        </w:num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jednostkę (i), której co najmniej 95% udziałów  lub praw o podobnym charakterze należy do funduszu inwestycyjnego lub REIT-u – w sposób bezpośredni lub poprzez łańcuch takich </w:t>
      </w:r>
      <w:r w:rsidR="00C2503F" w:rsidRPr="00C30388">
        <w:rPr>
          <w:rFonts w:ascii="Times New Roman" w:eastAsia="Times New Roman" w:hAnsi="Times New Roman" w:cs="Times New Roman"/>
          <w:bCs/>
          <w:sz w:val="24"/>
          <w:lang w:eastAsia="pl-PL"/>
        </w:rPr>
        <w:t xml:space="preserve">jednostek </w:t>
      </w:r>
      <w:r w:rsidRPr="00C30388">
        <w:rPr>
          <w:rFonts w:ascii="Times New Roman" w:eastAsia="Times New Roman" w:hAnsi="Times New Roman" w:cs="Times New Roman"/>
          <w:bCs/>
          <w:sz w:val="24"/>
          <w:lang w:eastAsia="pl-PL"/>
        </w:rPr>
        <w:t>– (ii) a działalność tej jednostki polega wyłącznie lub niemal wyłącznie na utrzymywaniu aktywów, inwestowaniu środków finansowych</w:t>
      </w:r>
      <w:r w:rsidR="001C555A" w:rsidRPr="00C30388">
        <w:rPr>
          <w:rFonts w:ascii="Times New Roman" w:eastAsia="Times New Roman" w:hAnsi="Times New Roman" w:cs="Times New Roman"/>
          <w:bCs/>
          <w:sz w:val="24"/>
          <w:lang w:eastAsia="pl-PL"/>
        </w:rPr>
        <w:t xml:space="preserve"> (w tym pochodzących z pożyczek/kredytów)</w:t>
      </w:r>
      <w:r w:rsidRPr="00C30388">
        <w:rPr>
          <w:rFonts w:ascii="Times New Roman" w:eastAsia="Times New Roman" w:hAnsi="Times New Roman" w:cs="Times New Roman"/>
          <w:bCs/>
          <w:sz w:val="24"/>
          <w:lang w:eastAsia="pl-PL"/>
        </w:rPr>
        <w:t xml:space="preserve"> na rzecz tego funduszu inwestycyjnego lub REIT-u;</w:t>
      </w:r>
    </w:p>
    <w:p w14:paraId="03A30E43" w14:textId="5F6DDFCE" w:rsidR="002A4C92" w:rsidRPr="00C30388" w:rsidRDefault="002A4C92" w:rsidP="002C7467">
      <w:pPr>
        <w:numPr>
          <w:ilvl w:val="0"/>
          <w:numId w:val="57"/>
        </w:num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jednostkę (i), której co najmniej 85% udziałów  lub praw o podobnym charakterze należy bezpośrednio do funduszu inwestycyjnego lub REIT-u,</w:t>
      </w:r>
      <w:r w:rsidR="00C1533D" w:rsidRPr="00C30388">
        <w:rPr>
          <w:rFonts w:ascii="Times New Roman" w:eastAsia="Times New Roman" w:hAnsi="Times New Roman" w:cs="Times New Roman"/>
          <w:bCs/>
          <w:sz w:val="24"/>
          <w:lang w:eastAsia="pl-PL"/>
        </w:rPr>
        <w:t xml:space="preserve"> oraz</w:t>
      </w:r>
      <w:r w:rsidRPr="00C30388">
        <w:rPr>
          <w:rFonts w:ascii="Times New Roman" w:eastAsia="Times New Roman" w:hAnsi="Times New Roman" w:cs="Times New Roman"/>
          <w:bCs/>
          <w:sz w:val="24"/>
          <w:lang w:eastAsia="pl-PL"/>
        </w:rPr>
        <w:t xml:space="preserve"> (ii) której</w:t>
      </w:r>
      <w:r w:rsidR="00C2503F" w:rsidRPr="00C30388">
        <w:rPr>
          <w:rFonts w:ascii="Times New Roman" w:eastAsia="Times New Roman" w:hAnsi="Times New Roman" w:cs="Times New Roman"/>
          <w:bCs/>
          <w:sz w:val="24"/>
          <w:lang w:eastAsia="pl-PL"/>
        </w:rPr>
        <w:t xml:space="preserve"> prawie cały</w:t>
      </w:r>
      <w:r w:rsidRPr="00C30388">
        <w:rPr>
          <w:rFonts w:ascii="Times New Roman" w:eastAsia="Times New Roman" w:hAnsi="Times New Roman" w:cs="Times New Roman"/>
          <w:bCs/>
          <w:sz w:val="24"/>
          <w:lang w:eastAsia="pl-PL"/>
        </w:rPr>
        <w:t xml:space="preserve"> dochód pochodzi z wyłączonych dywidend lub z wyłączonych zysków lub strat kapitałowych (nieuwzględnianych przy obliczania kwalifikowanego dochodu (straty)).</w:t>
      </w:r>
    </w:p>
    <w:p w14:paraId="2166D877" w14:textId="77777777" w:rsidR="002A4C92" w:rsidRPr="00C30388" w:rsidRDefault="002A4C92" w:rsidP="002A4C92">
      <w:pPr>
        <w:spacing w:after="120"/>
        <w:jc w:val="both"/>
        <w:rPr>
          <w:rFonts w:ascii="Times New Roman" w:eastAsia="Times New Roman" w:hAnsi="Times New Roman" w:cs="Times New Roman"/>
          <w:bCs/>
          <w:i/>
          <w:sz w:val="24"/>
          <w:lang w:eastAsia="pl-PL"/>
        </w:rPr>
      </w:pPr>
      <w:r w:rsidRPr="00C30388">
        <w:rPr>
          <w:rFonts w:ascii="Times New Roman" w:eastAsia="Times New Roman" w:hAnsi="Times New Roman" w:cs="Times New Roman"/>
          <w:bCs/>
          <w:i/>
          <w:sz w:val="24"/>
          <w:lang w:eastAsia="pl-PL"/>
        </w:rPr>
        <w:t>Jednostka joint venture, jednostka zależna joint venture</w:t>
      </w:r>
    </w:p>
    <w:p w14:paraId="018B1994" w14:textId="77777777" w:rsidR="002A4C92" w:rsidRPr="00C30388" w:rsidRDefault="002A4C92" w:rsidP="002A4C92">
      <w:pPr>
        <w:spacing w:after="120"/>
        <w:jc w:val="both"/>
        <w:rPr>
          <w:rFonts w:ascii="Times New Roman" w:hAnsi="Times New Roman" w:cs="Times New Roman"/>
          <w:bCs/>
          <w:iCs/>
          <w:sz w:val="24"/>
        </w:rPr>
      </w:pPr>
      <w:r w:rsidRPr="00C30388">
        <w:rPr>
          <w:rFonts w:ascii="Times New Roman" w:hAnsi="Times New Roman" w:cs="Times New Roman"/>
          <w:bCs/>
          <w:iCs/>
          <w:sz w:val="24"/>
        </w:rPr>
        <w:t xml:space="preserve">Niniejsze zagadnienie zostało omówione w części uzasadnienia dotyczącej </w:t>
      </w:r>
      <w:r w:rsidRPr="00C30388">
        <w:rPr>
          <w:rFonts w:ascii="Times New Roman" w:hAnsi="Times New Roman" w:cs="Times New Roman"/>
          <w:b/>
          <w:iCs/>
          <w:sz w:val="24"/>
        </w:rPr>
        <w:t>rozdziału 2 działu II</w:t>
      </w:r>
      <w:r w:rsidRPr="00C30388">
        <w:rPr>
          <w:rFonts w:ascii="Times New Roman" w:hAnsi="Times New Roman" w:cs="Times New Roman"/>
          <w:bCs/>
          <w:iCs/>
          <w:sz w:val="24"/>
        </w:rPr>
        <w:t xml:space="preserve">). </w:t>
      </w:r>
    </w:p>
    <w:p w14:paraId="5060EA84" w14:textId="77777777" w:rsidR="002A4C92" w:rsidRPr="00C30388" w:rsidRDefault="002A4C92" w:rsidP="002A4C92">
      <w:pPr>
        <w:spacing w:after="120"/>
        <w:jc w:val="both"/>
        <w:rPr>
          <w:rFonts w:ascii="Times New Roman" w:eastAsia="Times New Roman" w:hAnsi="Times New Roman" w:cs="Times New Roman"/>
          <w:bCs/>
          <w:i/>
          <w:sz w:val="24"/>
          <w:lang w:eastAsia="pl-PL"/>
        </w:rPr>
      </w:pPr>
      <w:r w:rsidRPr="00C30388">
        <w:rPr>
          <w:rFonts w:ascii="Times New Roman" w:eastAsia="Times New Roman" w:hAnsi="Times New Roman" w:cs="Times New Roman"/>
          <w:bCs/>
          <w:i/>
          <w:sz w:val="24"/>
          <w:lang w:eastAsia="pl-PL"/>
        </w:rPr>
        <w:t xml:space="preserve">Jednostka składowa </w:t>
      </w:r>
    </w:p>
    <w:p w14:paraId="31119E70" w14:textId="77777777"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
          <w:bCs/>
          <w:sz w:val="24"/>
          <w:lang w:eastAsia="pl-PL"/>
        </w:rPr>
        <w:t>Art. 2 ust. 1 pkt 20</w:t>
      </w:r>
      <w:r w:rsidRPr="00C30388">
        <w:rPr>
          <w:rFonts w:ascii="Times New Roman" w:eastAsia="Times New Roman" w:hAnsi="Times New Roman" w:cs="Times New Roman"/>
          <w:bCs/>
          <w:sz w:val="24"/>
          <w:lang w:eastAsia="pl-PL"/>
        </w:rPr>
        <w:t xml:space="preserve"> stanowi implementację art. 3.2 Dyrektywy. Przepis ten wprowadza definicję j</w:t>
      </w:r>
      <w:r w:rsidRPr="00C30388">
        <w:rPr>
          <w:rFonts w:ascii="Times New Roman" w:eastAsia="Times New Roman" w:hAnsi="Times New Roman" w:cs="Times New Roman"/>
          <w:b/>
          <w:bCs/>
          <w:sz w:val="24"/>
          <w:lang w:eastAsia="pl-PL"/>
        </w:rPr>
        <w:t xml:space="preserve">ednostki składowej </w:t>
      </w:r>
      <w:r w:rsidRPr="00C30388">
        <w:rPr>
          <w:rFonts w:ascii="Times New Roman" w:eastAsia="Times New Roman" w:hAnsi="Times New Roman" w:cs="Times New Roman"/>
          <w:bCs/>
          <w:sz w:val="24"/>
          <w:lang w:eastAsia="pl-PL"/>
        </w:rPr>
        <w:t xml:space="preserve">(ang. </w:t>
      </w:r>
      <w:r w:rsidRPr="00C30388">
        <w:rPr>
          <w:rFonts w:ascii="Times New Roman" w:eastAsia="Times New Roman" w:hAnsi="Times New Roman" w:cs="Times New Roman"/>
          <w:bCs/>
          <w:i/>
          <w:sz w:val="24"/>
          <w:lang w:eastAsia="pl-PL"/>
        </w:rPr>
        <w:t>constituent entity</w:t>
      </w:r>
      <w:r w:rsidRPr="00C30388">
        <w:rPr>
          <w:rFonts w:ascii="Times New Roman" w:eastAsia="Times New Roman" w:hAnsi="Times New Roman" w:cs="Times New Roman"/>
          <w:bCs/>
          <w:sz w:val="24"/>
          <w:lang w:eastAsia="pl-PL"/>
        </w:rPr>
        <w:t xml:space="preserve">), przez którą ustawa rozumie: </w:t>
      </w:r>
    </w:p>
    <w:p w14:paraId="0BF7F92B" w14:textId="77777777" w:rsidR="002A4C92" w:rsidRPr="00C30388" w:rsidRDefault="002A4C92" w:rsidP="002A4C92">
      <w:pPr>
        <w:pStyle w:val="Akapitzlist"/>
        <w:numPr>
          <w:ilvl w:val="0"/>
          <w:numId w:val="9"/>
        </w:numPr>
        <w:spacing w:after="120"/>
        <w:ind w:left="714" w:hanging="357"/>
        <w:contextualSpacing w:val="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jednostkę, która wchodzi w skład grupy międzynarodowej lub grupy krajowej oraz  </w:t>
      </w:r>
    </w:p>
    <w:p w14:paraId="431EAF3A" w14:textId="77777777" w:rsidR="002A4C92" w:rsidRPr="00C30388" w:rsidRDefault="002A4C92" w:rsidP="002A4C92">
      <w:pPr>
        <w:pStyle w:val="Akapitzlist"/>
        <w:numPr>
          <w:ilvl w:val="0"/>
          <w:numId w:val="9"/>
        </w:numPr>
        <w:spacing w:after="120"/>
        <w:ind w:left="714" w:hanging="357"/>
        <w:contextualSpacing w:val="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stały zakład centrali, która wchodzi w skład grupy międzynarodowej.  </w:t>
      </w:r>
    </w:p>
    <w:p w14:paraId="0B351E4A" w14:textId="5BDCFDE1"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Stały zakład, który stanowi jednostkę składową, jest traktowany na gruncie Zasad GloBE jako odrębna jednostka składowa zarówno od samej centrali, jak i od wszelkich innych stałych zakładów tej centrali. Rozciągnięcie pojęcia jednostki składowej na stałe zakłady gwarantuje, że dochód uzyskany za pośrednictwem takich stałych zakładów zlokalizowanych w </w:t>
      </w:r>
      <w:r w:rsidR="001A7582" w:rsidRPr="00C30388">
        <w:rPr>
          <w:rFonts w:ascii="Times New Roman" w:eastAsia="Times New Roman" w:hAnsi="Times New Roman" w:cs="Times New Roman"/>
          <w:bCs/>
          <w:sz w:val="24"/>
          <w:lang w:eastAsia="pl-PL"/>
        </w:rPr>
        <w:t xml:space="preserve">innej jurysdykcji </w:t>
      </w:r>
      <w:r w:rsidRPr="00C30388">
        <w:rPr>
          <w:rFonts w:ascii="Times New Roman" w:eastAsia="Times New Roman" w:hAnsi="Times New Roman" w:cs="Times New Roman"/>
          <w:bCs/>
          <w:sz w:val="24"/>
          <w:lang w:eastAsia="pl-PL"/>
        </w:rPr>
        <w:t>oraz podatek nałożony na ten dochód nie będą łączone z dochodem i podatkiem centrali lub stałego zakładu w inn</w:t>
      </w:r>
      <w:r w:rsidR="001A7582" w:rsidRPr="00C30388">
        <w:rPr>
          <w:rFonts w:ascii="Times New Roman" w:eastAsia="Times New Roman" w:hAnsi="Times New Roman" w:cs="Times New Roman"/>
          <w:bCs/>
          <w:sz w:val="24"/>
          <w:lang w:eastAsia="pl-PL"/>
        </w:rPr>
        <w:t>ej jurysdykcji</w:t>
      </w:r>
      <w:r w:rsidRPr="00C30388">
        <w:rPr>
          <w:rFonts w:ascii="Times New Roman" w:eastAsia="Times New Roman" w:hAnsi="Times New Roman" w:cs="Times New Roman"/>
          <w:bCs/>
          <w:sz w:val="24"/>
          <w:lang w:eastAsia="pl-PL"/>
        </w:rPr>
        <w:t>. Podejście to zapewnia równość w traktowaniu zagranicznych spółek zależnych i zagranicznych stałych zakładów grupy międzynarodowej.</w:t>
      </w:r>
    </w:p>
    <w:p w14:paraId="0FD7A4AC" w14:textId="5BEA5985"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lastRenderedPageBreak/>
        <w:t xml:space="preserve">Omawiane pojęcie nie obejmuje swoim zakresem jednostek wyłączonych, o których mowa w </w:t>
      </w:r>
      <w:r w:rsidRPr="00C30388">
        <w:rPr>
          <w:rFonts w:ascii="Times New Roman" w:eastAsia="Times New Roman" w:hAnsi="Times New Roman" w:cs="Times New Roman"/>
          <w:b/>
          <w:sz w:val="24"/>
          <w:lang w:eastAsia="pl-PL"/>
        </w:rPr>
        <w:t>art. 5</w:t>
      </w:r>
      <w:r w:rsidRPr="00C30388">
        <w:rPr>
          <w:rFonts w:ascii="Times New Roman" w:eastAsia="Times New Roman" w:hAnsi="Times New Roman" w:cs="Times New Roman"/>
          <w:bCs/>
          <w:sz w:val="24"/>
          <w:lang w:eastAsia="pl-PL"/>
        </w:rPr>
        <w:t xml:space="preserve"> projektu.</w:t>
      </w:r>
    </w:p>
    <w:p w14:paraId="5F2998FC" w14:textId="77777777" w:rsidR="00C2186F" w:rsidRPr="00C30388" w:rsidRDefault="00C2186F" w:rsidP="00C2186F">
      <w:pPr>
        <w:spacing w:after="120"/>
        <w:jc w:val="both"/>
        <w:rPr>
          <w:rFonts w:ascii="Times New Roman" w:hAnsi="Times New Roman" w:cs="Times New Roman"/>
          <w:i/>
          <w:sz w:val="24"/>
        </w:rPr>
      </w:pPr>
      <w:r w:rsidRPr="00C30388">
        <w:rPr>
          <w:rFonts w:ascii="Times New Roman" w:hAnsi="Times New Roman" w:cs="Times New Roman"/>
          <w:i/>
          <w:sz w:val="24"/>
        </w:rPr>
        <w:t>Jurysdykcja</w:t>
      </w:r>
    </w:p>
    <w:p w14:paraId="59DEDB4E" w14:textId="6D95B1CF" w:rsidR="00C2186F" w:rsidRPr="00C30388" w:rsidRDefault="00C2186F" w:rsidP="00C2186F">
      <w:pPr>
        <w:spacing w:after="120"/>
        <w:jc w:val="both"/>
        <w:rPr>
          <w:rFonts w:ascii="Times New Roman" w:hAnsi="Times New Roman" w:cs="Times New Roman"/>
          <w:sz w:val="24"/>
        </w:rPr>
      </w:pPr>
      <w:r w:rsidRPr="00C30388">
        <w:rPr>
          <w:rFonts w:ascii="Times New Roman" w:hAnsi="Times New Roman" w:cs="Times New Roman"/>
          <w:b/>
          <w:bCs/>
          <w:sz w:val="24"/>
        </w:rPr>
        <w:t>Art. 2 ust. 1 pkt 22</w:t>
      </w:r>
      <w:r w:rsidRPr="00C30388">
        <w:rPr>
          <w:rFonts w:ascii="Times New Roman" w:hAnsi="Times New Roman" w:cs="Times New Roman"/>
          <w:sz w:val="24"/>
        </w:rPr>
        <w:t xml:space="preserve"> wprowadza pojęcie </w:t>
      </w:r>
      <w:r w:rsidRPr="00C30388">
        <w:rPr>
          <w:rFonts w:ascii="Times New Roman" w:hAnsi="Times New Roman" w:cs="Times New Roman"/>
          <w:b/>
          <w:bCs/>
          <w:sz w:val="24"/>
        </w:rPr>
        <w:t>jurysdykcji</w:t>
      </w:r>
      <w:r w:rsidRPr="00C30388">
        <w:rPr>
          <w:rFonts w:ascii="Times New Roman" w:hAnsi="Times New Roman" w:cs="Times New Roman"/>
          <w:sz w:val="24"/>
        </w:rPr>
        <w:t xml:space="preserve">. Pojęcie to nie zostało zdefiniowane w Dyrektywie ani </w:t>
      </w:r>
      <w:r w:rsidR="00595132" w:rsidRPr="00C30388">
        <w:rPr>
          <w:rFonts w:ascii="Times New Roman" w:hAnsi="Times New Roman" w:cs="Times New Roman"/>
          <w:sz w:val="24"/>
        </w:rPr>
        <w:t>Modelowych zasad</w:t>
      </w:r>
      <w:r w:rsidRPr="00C30388">
        <w:rPr>
          <w:rFonts w:ascii="Times New Roman" w:hAnsi="Times New Roman" w:cs="Times New Roman"/>
          <w:sz w:val="24"/>
        </w:rPr>
        <w:t xml:space="preserve">ach OECD. Zgodnie z wyjaśnieniami zawartymi w Komentarzu pojęcie to odpowiada definicji jurysdykcji podatkowej używanej dla celów CbCR. W tym zakresie, pojęcie „jurysdykcji podatkowej” dla celów CbCR, obejmujące państwa lub terytoria posiadające autonomię fiskalną w zakresie podatku dochodowego od osób prawnych zostało przyjęte w art. 63l ust. 1 pkt 3 ustawy z dnia 29 września 1994 r. o rachunkowości. Proponowana definicja „jurysdykcji” dla celów zasad GloBE oznacza zatem zarówno państwo, jak i terytoria niebędące formalnie państwami, które posiadają autonomię fiskalną w zakresie podatku dochodowego od osób prawnych [Komentarz, 10.3;177]. </w:t>
      </w:r>
    </w:p>
    <w:p w14:paraId="2695E90A" w14:textId="77777777" w:rsidR="00564CD7" w:rsidRPr="00C30388" w:rsidRDefault="00564CD7" w:rsidP="00564CD7">
      <w:pPr>
        <w:spacing w:before="240" w:after="120"/>
        <w:jc w:val="both"/>
        <w:rPr>
          <w:rFonts w:ascii="Times New Roman" w:eastAsia="Times New Roman" w:hAnsi="Times New Roman" w:cs="Times New Roman"/>
          <w:bCs/>
          <w:i/>
          <w:sz w:val="24"/>
          <w:lang w:eastAsia="pl-PL"/>
        </w:rPr>
      </w:pPr>
      <w:r w:rsidRPr="00C30388">
        <w:rPr>
          <w:rFonts w:ascii="Times New Roman" w:eastAsia="Times New Roman" w:hAnsi="Times New Roman" w:cs="Times New Roman"/>
          <w:bCs/>
          <w:i/>
          <w:sz w:val="24"/>
          <w:lang w:eastAsia="pl-PL"/>
        </w:rPr>
        <w:t>Kwalifikowana zasada niedostatecznie opodatkowanych zysków</w:t>
      </w:r>
      <w:r w:rsidRPr="00C30388">
        <w:rPr>
          <w:rFonts w:ascii="Times New Roman" w:eastAsia="Times New Roman" w:hAnsi="Times New Roman" w:cs="Times New Roman"/>
          <w:i/>
          <w:sz w:val="24"/>
          <w:lang w:eastAsia="pl-PL"/>
        </w:rPr>
        <w:t>,</w:t>
      </w:r>
      <w:r w:rsidRPr="00C30388">
        <w:rPr>
          <w:rFonts w:ascii="Times New Roman" w:eastAsia="Times New Roman" w:hAnsi="Times New Roman" w:cs="Times New Roman"/>
          <w:b/>
          <w:bCs/>
          <w:i/>
          <w:sz w:val="24"/>
          <w:lang w:eastAsia="pl-PL"/>
        </w:rPr>
        <w:t xml:space="preserve"> </w:t>
      </w:r>
      <w:r w:rsidRPr="00C30388">
        <w:rPr>
          <w:rFonts w:ascii="Times New Roman" w:eastAsia="Times New Roman" w:hAnsi="Times New Roman" w:cs="Times New Roman"/>
          <w:bCs/>
          <w:i/>
          <w:sz w:val="24"/>
          <w:lang w:eastAsia="pl-PL"/>
        </w:rPr>
        <w:t xml:space="preserve">kwalifikowana zasada </w:t>
      </w:r>
      <w:r w:rsidRPr="00C30388">
        <w:rPr>
          <w:rFonts w:ascii="Times New Roman" w:hAnsi="Times New Roman" w:cs="Times New Roman"/>
          <w:i/>
          <w:sz w:val="24"/>
        </w:rPr>
        <w:t>włączenia dochodu do opodatkowania</w:t>
      </w:r>
    </w:p>
    <w:p w14:paraId="6019DDBA" w14:textId="680276AF" w:rsidR="00564CD7" w:rsidRPr="00C30388" w:rsidRDefault="00564CD7" w:rsidP="00564CD7">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
          <w:bCs/>
          <w:sz w:val="24"/>
          <w:lang w:eastAsia="pl-PL"/>
        </w:rPr>
        <w:t>Art. 2 ust. 1 pkt 2</w:t>
      </w:r>
      <w:r w:rsidR="000320E0" w:rsidRPr="00C30388">
        <w:rPr>
          <w:rFonts w:ascii="Times New Roman" w:eastAsia="Times New Roman" w:hAnsi="Times New Roman" w:cs="Times New Roman"/>
          <w:b/>
          <w:bCs/>
          <w:sz w:val="24"/>
          <w:lang w:eastAsia="pl-PL"/>
        </w:rPr>
        <w:t>3</w:t>
      </w:r>
      <w:r w:rsidRPr="00C30388">
        <w:rPr>
          <w:rFonts w:ascii="Times New Roman" w:eastAsia="Times New Roman" w:hAnsi="Times New Roman" w:cs="Times New Roman"/>
          <w:b/>
          <w:bCs/>
          <w:sz w:val="24"/>
          <w:lang w:eastAsia="pl-PL"/>
        </w:rPr>
        <w:t xml:space="preserve"> i 2</w:t>
      </w:r>
      <w:r w:rsidR="000320E0" w:rsidRPr="00C30388">
        <w:rPr>
          <w:rFonts w:ascii="Times New Roman" w:eastAsia="Times New Roman" w:hAnsi="Times New Roman" w:cs="Times New Roman"/>
          <w:b/>
          <w:bCs/>
          <w:sz w:val="24"/>
          <w:lang w:eastAsia="pl-PL"/>
        </w:rPr>
        <w:t>4</w:t>
      </w:r>
      <w:r w:rsidRPr="00C30388">
        <w:rPr>
          <w:rFonts w:ascii="Times New Roman" w:eastAsia="Times New Roman" w:hAnsi="Times New Roman" w:cs="Times New Roman"/>
          <w:bCs/>
          <w:sz w:val="24"/>
          <w:lang w:eastAsia="pl-PL"/>
        </w:rPr>
        <w:t xml:space="preserve"> stanowią implementację, odpowiednio art. 3.43 i 3.18 Dyrektywy. </w:t>
      </w:r>
    </w:p>
    <w:p w14:paraId="1E001A4F" w14:textId="24A0191B" w:rsidR="00564CD7" w:rsidRPr="00C30388" w:rsidRDefault="000320E0" w:rsidP="00564CD7">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
          <w:sz w:val="24"/>
          <w:lang w:eastAsia="pl-PL"/>
        </w:rPr>
        <w:t>K</w:t>
      </w:r>
      <w:r w:rsidR="00564CD7" w:rsidRPr="00C30388">
        <w:rPr>
          <w:rFonts w:ascii="Times New Roman" w:eastAsia="Times New Roman" w:hAnsi="Times New Roman" w:cs="Times New Roman"/>
          <w:b/>
          <w:bCs/>
          <w:sz w:val="24"/>
          <w:lang w:eastAsia="pl-PL"/>
        </w:rPr>
        <w:t>walifikowana zasada włączenia dochodu do opodatkowania</w:t>
      </w:r>
      <w:r w:rsidRPr="00C30388">
        <w:rPr>
          <w:rFonts w:ascii="Times New Roman" w:eastAsia="Times New Roman" w:hAnsi="Times New Roman" w:cs="Times New Roman"/>
          <w:b/>
          <w:bCs/>
          <w:sz w:val="24"/>
          <w:lang w:eastAsia="pl-PL"/>
        </w:rPr>
        <w:t xml:space="preserve"> </w:t>
      </w:r>
      <w:r w:rsidRPr="00C30388">
        <w:rPr>
          <w:rFonts w:ascii="Times New Roman" w:eastAsia="Times New Roman" w:hAnsi="Times New Roman" w:cs="Times New Roman"/>
          <w:sz w:val="24"/>
          <w:lang w:eastAsia="pl-PL"/>
        </w:rPr>
        <w:t>wskazana w pkt 24</w:t>
      </w:r>
      <w:r w:rsidR="00564CD7" w:rsidRPr="00C30388">
        <w:rPr>
          <w:rFonts w:ascii="Times New Roman" w:eastAsia="Times New Roman" w:hAnsi="Times New Roman" w:cs="Times New Roman"/>
          <w:b/>
          <w:bCs/>
          <w:sz w:val="24"/>
          <w:lang w:eastAsia="pl-PL"/>
        </w:rPr>
        <w:t xml:space="preserve"> </w:t>
      </w:r>
      <w:r w:rsidR="00564CD7" w:rsidRPr="00C30388">
        <w:rPr>
          <w:rFonts w:ascii="Times New Roman" w:eastAsia="Times New Roman" w:hAnsi="Times New Roman" w:cs="Times New Roman"/>
          <w:sz w:val="24"/>
          <w:lang w:eastAsia="pl-PL"/>
        </w:rPr>
        <w:t>(dalej również jako</w:t>
      </w:r>
      <w:r w:rsidR="00564CD7" w:rsidRPr="00C30388">
        <w:rPr>
          <w:rFonts w:ascii="Times New Roman" w:eastAsia="Times New Roman" w:hAnsi="Times New Roman" w:cs="Times New Roman"/>
          <w:b/>
          <w:bCs/>
          <w:sz w:val="24"/>
          <w:lang w:eastAsia="pl-PL"/>
        </w:rPr>
        <w:t xml:space="preserve"> „Kwalifikowana Zasada IIR”</w:t>
      </w:r>
      <w:r w:rsidR="00564CD7" w:rsidRPr="00C30388">
        <w:rPr>
          <w:rFonts w:ascii="Times New Roman" w:eastAsia="Times New Roman" w:hAnsi="Times New Roman" w:cs="Times New Roman"/>
          <w:sz w:val="24"/>
          <w:lang w:eastAsia="pl-PL"/>
        </w:rPr>
        <w:t xml:space="preserve">) </w:t>
      </w:r>
      <w:r w:rsidR="00564CD7" w:rsidRPr="00C30388">
        <w:rPr>
          <w:rFonts w:ascii="Times New Roman" w:eastAsia="Times New Roman" w:hAnsi="Times New Roman" w:cs="Times New Roman"/>
          <w:bCs/>
          <w:sz w:val="24"/>
          <w:lang w:eastAsia="pl-PL"/>
        </w:rPr>
        <w:t>to zbiór przepisów obowiązujących w jurysdykcji innej niż Rzeczpospolita Polska (które nie zapewnia żadnych korzyści związanych z tymi przepisami), które to przepisy:</w:t>
      </w:r>
    </w:p>
    <w:p w14:paraId="04FE10C9" w14:textId="34DAEED3" w:rsidR="00564CD7" w:rsidRPr="00C30388" w:rsidRDefault="00564CD7" w:rsidP="00564CD7">
      <w:pPr>
        <w:pStyle w:val="Akapitzlist"/>
        <w:numPr>
          <w:ilvl w:val="0"/>
          <w:numId w:val="11"/>
        </w:numPr>
        <w:spacing w:after="120"/>
        <w:ind w:left="714" w:hanging="357"/>
        <w:contextualSpacing w:val="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są równoważne z zasadami określonymi w Dyrektywie (w przypadku jurysdykcji innych niż państwa członkowskie Unii Europejskiej) lub </w:t>
      </w:r>
      <w:r w:rsidR="00595132" w:rsidRPr="00C30388">
        <w:rPr>
          <w:rFonts w:ascii="Times New Roman" w:eastAsia="Times New Roman" w:hAnsi="Times New Roman" w:cs="Times New Roman"/>
          <w:bCs/>
          <w:sz w:val="24"/>
          <w:lang w:eastAsia="pl-PL"/>
        </w:rPr>
        <w:t>Modelowych zasad</w:t>
      </w:r>
      <w:r w:rsidRPr="00C30388">
        <w:rPr>
          <w:rFonts w:ascii="Times New Roman" w:eastAsia="Times New Roman" w:hAnsi="Times New Roman" w:cs="Times New Roman"/>
          <w:bCs/>
          <w:sz w:val="24"/>
          <w:lang w:eastAsia="pl-PL"/>
        </w:rPr>
        <w:t>ach OECD (w przypadku jurysdykcji spoza UE), na podstawie których jednostka dominująca najwyższego szczebla grupy międzynarodowej podlega opodatkowaniu wyrównawczemu w odniesieniu do nisko opodatkowanych jednostek składowych tej grupy;</w:t>
      </w:r>
    </w:p>
    <w:p w14:paraId="21D69875" w14:textId="41900259" w:rsidR="00564CD7" w:rsidRPr="00C30388" w:rsidRDefault="00564CD7" w:rsidP="00564CD7">
      <w:pPr>
        <w:pStyle w:val="Akapitzlist"/>
        <w:numPr>
          <w:ilvl w:val="0"/>
          <w:numId w:val="11"/>
        </w:numPr>
        <w:spacing w:after="120"/>
        <w:ind w:left="714" w:hanging="357"/>
        <w:contextualSpacing w:val="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są stosowane w sposób zgodny z zasadami określonymi w Dyrektywie, a w odniesieniu do jurysdykcji innej niż państwo członkowskie Unii Europejskiej zgodnie z </w:t>
      </w:r>
      <w:r w:rsidR="0007799D" w:rsidRPr="00C30388">
        <w:rPr>
          <w:rFonts w:ascii="Times New Roman" w:eastAsia="Times New Roman" w:hAnsi="Times New Roman" w:cs="Times New Roman"/>
          <w:bCs/>
          <w:sz w:val="24"/>
          <w:lang w:eastAsia="pl-PL"/>
        </w:rPr>
        <w:t>Modelowymi zasadami OECD</w:t>
      </w:r>
      <w:r w:rsidRPr="00C30388">
        <w:rPr>
          <w:rFonts w:ascii="Times New Roman" w:eastAsia="Times New Roman" w:hAnsi="Times New Roman" w:cs="Times New Roman"/>
          <w:bCs/>
          <w:sz w:val="24"/>
          <w:lang w:eastAsia="pl-PL"/>
        </w:rPr>
        <w:t>.</w:t>
      </w:r>
    </w:p>
    <w:p w14:paraId="40A38523" w14:textId="77777777" w:rsidR="00564CD7" w:rsidRPr="00C30388" w:rsidRDefault="00564CD7" w:rsidP="00564CD7">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Jak wspomniano w części ogólnej, Zasady GloBE mają być wdrażane w ramach wspólnego podejścia. Wspólne podejście nie wymaga od jurysdykcji przyjęcia Zasad GloBE, ale jeśli dana jurysdykcja zdecyduje się to zrobić, musi je wdrożyć i administrować nimi w sposób zgodny z tymi zasadami. Wspólne podejście w tym zakresie zapewnia spójność stosowania Systemu GloBE. Zgodność i spójność przepisów danej jurysdykcji będzie weryfikowana w ramach prac OECD zgodnie z procedurami ustalonymi przez Otwarte Ramy.</w:t>
      </w:r>
    </w:p>
    <w:p w14:paraId="5C37783D" w14:textId="77777777" w:rsidR="00564CD7" w:rsidRPr="00C30388" w:rsidRDefault="00564CD7" w:rsidP="00564CD7">
      <w:pPr>
        <w:spacing w:after="120"/>
        <w:jc w:val="both"/>
        <w:rPr>
          <w:rFonts w:ascii="Times New Roman" w:eastAsia="Times New Roman" w:hAnsi="Times New Roman" w:cs="Times New Roman"/>
          <w:bCs/>
          <w:sz w:val="24"/>
          <w:lang w:eastAsia="pl-PL"/>
        </w:rPr>
      </w:pPr>
      <w:r w:rsidRPr="00C30388">
        <w:rPr>
          <w:rFonts w:ascii="Times New Roman" w:hAnsi="Times New Roman" w:cs="Times New Roman"/>
          <w:sz w:val="24"/>
        </w:rPr>
        <w:t>Stąd, wskazane zasady będą miały status kwalifikowanych, jeżeli dana jurysdykcja zostanie wskazana we właściwym wykazie, ogłoszonym w drodze obwieszczenia przez Ministra Finansów w związku z odpowiednimi wytycznymi lub dokumentami OECD, potwierdzającymi spójność przepisów danej jurysdykcji w zakresie tych zasad z Zasadami GloBE.</w:t>
      </w:r>
    </w:p>
    <w:p w14:paraId="570CA4E9" w14:textId="77777777" w:rsidR="00564CD7" w:rsidRPr="00C30388" w:rsidRDefault="00564CD7" w:rsidP="00564CD7">
      <w:pPr>
        <w:tabs>
          <w:tab w:val="left" w:pos="426"/>
        </w:tabs>
        <w:autoSpaceDE w:val="0"/>
        <w:autoSpaceDN w:val="0"/>
        <w:adjustRightInd w:val="0"/>
        <w:spacing w:after="120" w:line="240" w:lineRule="auto"/>
        <w:jc w:val="both"/>
        <w:rPr>
          <w:rFonts w:ascii="Times New Roman" w:eastAsia="ArialMT" w:hAnsi="Times New Roman" w:cs="Times New Roman"/>
          <w:sz w:val="24"/>
        </w:rPr>
      </w:pPr>
      <w:r w:rsidRPr="00C30388">
        <w:rPr>
          <w:rFonts w:ascii="Times New Roman" w:eastAsia="ArialMT" w:hAnsi="Times New Roman" w:cs="Times New Roman"/>
          <w:sz w:val="24"/>
        </w:rPr>
        <w:t xml:space="preserve">Definicja Kwalifikowanej Zasady IIR jest istotna zarówno dla celów stosowania Zasady IIR, jak i Zasady UTPR. Stosując Zasady GloBE w danej </w:t>
      </w:r>
      <w:bookmarkStart w:id="3" w:name="_Hlk170911400"/>
      <w:r w:rsidRPr="00C30388">
        <w:rPr>
          <w:rFonts w:ascii="Times New Roman" w:hAnsi="Times New Roman" w:cs="Times New Roman"/>
          <w:bCs/>
          <w:sz w:val="24"/>
        </w:rPr>
        <w:t>jurysdykcji</w:t>
      </w:r>
      <w:bookmarkEnd w:id="3"/>
      <w:r w:rsidRPr="00C30388">
        <w:rPr>
          <w:rFonts w:ascii="Times New Roman" w:eastAsia="ArialMT" w:hAnsi="Times New Roman" w:cs="Times New Roman"/>
          <w:sz w:val="24"/>
        </w:rPr>
        <w:t xml:space="preserve">, zarówno podatnicy, jak i administracje podatkowe muszą zweryfikować, czy inne jednostki składowe w tej samej grupie podlegają Kwalifikowanej Zasadzie IIR w innej </w:t>
      </w:r>
      <w:r w:rsidRPr="00C30388">
        <w:rPr>
          <w:rFonts w:ascii="Times New Roman" w:hAnsi="Times New Roman" w:cs="Times New Roman"/>
          <w:bCs/>
          <w:sz w:val="24"/>
        </w:rPr>
        <w:t>jurysdykcji</w:t>
      </w:r>
      <w:r w:rsidRPr="00C30388">
        <w:rPr>
          <w:rFonts w:ascii="Times New Roman" w:eastAsia="ArialMT" w:hAnsi="Times New Roman" w:cs="Times New Roman"/>
          <w:sz w:val="24"/>
        </w:rPr>
        <w:t xml:space="preserve">, aby prawidłowo stosować obie te </w:t>
      </w:r>
      <w:r w:rsidRPr="00C30388">
        <w:rPr>
          <w:rFonts w:ascii="Times New Roman" w:eastAsia="ArialMT" w:hAnsi="Times New Roman" w:cs="Times New Roman"/>
          <w:sz w:val="24"/>
        </w:rPr>
        <w:lastRenderedPageBreak/>
        <w:t xml:space="preserve">zasady. Na przykład podatnik, który jest jednostką dominującą niższego szczebla, nie będzie zobowiązany do stosowania Zasady IIR w odniesieniu do swojego udziału własnościowego w jakiejkolwiek nisko opodatkowanej jednostce składowej, jeżeli jednostka dominująca najwyższego szczebla tej grupy jest zobowiązana do stosowania Kwalifikowanej Zasady IIR za ten samy rok podatkowy. Z kolei brak wdrożenia w danej </w:t>
      </w:r>
      <w:r w:rsidRPr="00C30388">
        <w:rPr>
          <w:rFonts w:ascii="Times New Roman" w:hAnsi="Times New Roman" w:cs="Times New Roman"/>
          <w:bCs/>
          <w:sz w:val="24"/>
        </w:rPr>
        <w:t>jurysdykcji</w:t>
      </w:r>
      <w:r w:rsidRPr="00C30388" w:rsidDel="00C912C9">
        <w:rPr>
          <w:rFonts w:ascii="Times New Roman" w:eastAsia="ArialMT" w:hAnsi="Times New Roman" w:cs="Times New Roman"/>
          <w:sz w:val="24"/>
        </w:rPr>
        <w:t xml:space="preserve"> </w:t>
      </w:r>
      <w:r w:rsidRPr="00C30388">
        <w:rPr>
          <w:rFonts w:ascii="Times New Roman" w:eastAsia="ArialMT" w:hAnsi="Times New Roman" w:cs="Times New Roman"/>
          <w:sz w:val="24"/>
        </w:rPr>
        <w:t xml:space="preserve">Kwalifikowanej Zasady IIR, zgodnie z Dyrektywą lub Modelowymi Zasadami otwiera drogę do stosowania przez inną </w:t>
      </w:r>
      <w:r w:rsidRPr="00C30388">
        <w:rPr>
          <w:rFonts w:ascii="Times New Roman" w:hAnsi="Times New Roman" w:cs="Times New Roman"/>
          <w:bCs/>
          <w:sz w:val="24"/>
        </w:rPr>
        <w:t>jurysdykcję</w:t>
      </w:r>
      <w:r w:rsidRPr="00C30388" w:rsidDel="00C912C9">
        <w:rPr>
          <w:rFonts w:ascii="Times New Roman" w:eastAsia="ArialMT" w:hAnsi="Times New Roman" w:cs="Times New Roman"/>
          <w:sz w:val="24"/>
        </w:rPr>
        <w:t xml:space="preserve"> </w:t>
      </w:r>
      <w:r w:rsidRPr="00C30388">
        <w:rPr>
          <w:rFonts w:ascii="Times New Roman" w:eastAsia="ArialMT" w:hAnsi="Times New Roman" w:cs="Times New Roman"/>
          <w:sz w:val="24"/>
        </w:rPr>
        <w:t xml:space="preserve">Kwalifikowanej Zasady UTPR.  </w:t>
      </w:r>
    </w:p>
    <w:p w14:paraId="1B1F55F0" w14:textId="77777777" w:rsidR="00564CD7" w:rsidRPr="00C30388" w:rsidRDefault="00564CD7" w:rsidP="00564CD7">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Omawiane definicje nie porównują Zasady IIR i UTPR obowiązujących w danej </w:t>
      </w:r>
      <w:r w:rsidRPr="00C30388">
        <w:rPr>
          <w:rFonts w:ascii="Times New Roman" w:hAnsi="Times New Roman" w:cs="Times New Roman"/>
          <w:bCs/>
          <w:sz w:val="24"/>
        </w:rPr>
        <w:t>jurysdykcji</w:t>
      </w:r>
      <w:r w:rsidRPr="00C30388" w:rsidDel="00C912C9">
        <w:rPr>
          <w:rFonts w:ascii="Times New Roman" w:eastAsia="Times New Roman" w:hAnsi="Times New Roman" w:cs="Times New Roman"/>
          <w:bCs/>
          <w:sz w:val="24"/>
          <w:lang w:eastAsia="pl-PL"/>
        </w:rPr>
        <w:t xml:space="preserve"> </w:t>
      </w:r>
      <w:r w:rsidRPr="00C30388">
        <w:rPr>
          <w:rFonts w:ascii="Times New Roman" w:eastAsia="Times New Roman" w:hAnsi="Times New Roman" w:cs="Times New Roman"/>
          <w:bCs/>
          <w:sz w:val="24"/>
          <w:lang w:eastAsia="pl-PL"/>
        </w:rPr>
        <w:t xml:space="preserve">z równoważnymi regulacjami wdrożonymi w innej </w:t>
      </w:r>
      <w:r w:rsidRPr="00C30388">
        <w:rPr>
          <w:rFonts w:ascii="Times New Roman" w:hAnsi="Times New Roman" w:cs="Times New Roman"/>
          <w:bCs/>
          <w:sz w:val="24"/>
        </w:rPr>
        <w:t>jurysdykcji</w:t>
      </w:r>
      <w:r w:rsidRPr="00C30388">
        <w:rPr>
          <w:rFonts w:ascii="Times New Roman" w:eastAsia="Times New Roman" w:hAnsi="Times New Roman" w:cs="Times New Roman"/>
          <w:bCs/>
          <w:sz w:val="24"/>
          <w:lang w:eastAsia="pl-PL"/>
        </w:rPr>
        <w:t>, lecz z Dyrektywą i dorobkiem OECD dotyczącym Systemu GloBE.</w:t>
      </w:r>
    </w:p>
    <w:p w14:paraId="1C30A31E" w14:textId="77777777" w:rsidR="00564CD7" w:rsidRPr="00C30388" w:rsidRDefault="00564CD7" w:rsidP="00564CD7">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Obie przywołane definicje zawierają wymóg (warunek ich „kwalifikowalności”), aby </w:t>
      </w:r>
      <w:r w:rsidRPr="00C30388">
        <w:rPr>
          <w:rFonts w:ascii="Times New Roman" w:hAnsi="Times New Roman" w:cs="Times New Roman"/>
          <w:bCs/>
          <w:sz w:val="24"/>
        </w:rPr>
        <w:t xml:space="preserve">jurysdykcje </w:t>
      </w:r>
      <w:r w:rsidRPr="00C30388">
        <w:rPr>
          <w:rFonts w:ascii="Times New Roman" w:hAnsi="Times New Roman" w:cs="Times New Roman"/>
          <w:sz w:val="24"/>
        </w:rPr>
        <w:t xml:space="preserve">wdrażające omawiane zasady nie zapewniały żadnych korzyści związanych z ich stosowaniem. Ma to na celu zapewnienie równych warunków działania we wszystkich </w:t>
      </w:r>
      <w:r w:rsidRPr="00C30388">
        <w:rPr>
          <w:rFonts w:ascii="Times New Roman" w:hAnsi="Times New Roman" w:cs="Times New Roman"/>
          <w:bCs/>
          <w:sz w:val="24"/>
        </w:rPr>
        <w:t>jurysdykcjach</w:t>
      </w:r>
      <w:r w:rsidRPr="00C30388">
        <w:rPr>
          <w:rFonts w:ascii="Times New Roman" w:hAnsi="Times New Roman" w:cs="Times New Roman"/>
          <w:sz w:val="24"/>
        </w:rPr>
        <w:t xml:space="preserve">, które przyjęły te przepisy. Słowo „korzyści” jest wystarczająco szerokie, aby objąć każdy rodzaj korzyści zapewnianych przez daną </w:t>
      </w:r>
      <w:r w:rsidRPr="00C30388">
        <w:rPr>
          <w:rFonts w:ascii="Times New Roman" w:hAnsi="Times New Roman" w:cs="Times New Roman"/>
          <w:bCs/>
          <w:sz w:val="24"/>
        </w:rPr>
        <w:t>jurysdykcję</w:t>
      </w:r>
      <w:r w:rsidRPr="00C30388">
        <w:rPr>
          <w:rFonts w:ascii="Times New Roman" w:hAnsi="Times New Roman" w:cs="Times New Roman"/>
          <w:sz w:val="24"/>
        </w:rPr>
        <w:t>, w tym zachęty podatkowe, dotacje i subsydia, a wyrażenie „</w:t>
      </w:r>
      <w:r w:rsidRPr="00C30388">
        <w:rPr>
          <w:rFonts w:ascii="Times New Roman" w:hAnsi="Times New Roman" w:cs="Times New Roman"/>
          <w:iCs/>
          <w:sz w:val="24"/>
        </w:rPr>
        <w:t>związane z takimi zasadami</w:t>
      </w:r>
      <w:r w:rsidRPr="00C30388">
        <w:rPr>
          <w:rFonts w:ascii="Times New Roman" w:hAnsi="Times New Roman" w:cs="Times New Roman"/>
          <w:i/>
          <w:sz w:val="24"/>
        </w:rPr>
        <w:t>”</w:t>
      </w:r>
      <w:r w:rsidRPr="00C30388">
        <w:rPr>
          <w:rFonts w:ascii="Times New Roman" w:hAnsi="Times New Roman" w:cs="Times New Roman"/>
          <w:sz w:val="24"/>
        </w:rPr>
        <w:t xml:space="preserve"> jest celowo sformułowane szerokim językiem, aby uwzględnić różne mechanizmy, za pomocą których świadczenie takie może być zapewniane. Przykładem takiej korzyści może być przyznanie jednostkom objętym Systemem GloBE </w:t>
      </w:r>
      <w:r w:rsidRPr="00C30388">
        <w:rPr>
          <w:rFonts w:ascii="Times New Roman" w:eastAsia="Times New Roman" w:hAnsi="Times New Roman" w:cs="Times New Roman"/>
          <w:bCs/>
          <w:sz w:val="24"/>
          <w:lang w:eastAsia="pl-PL"/>
        </w:rPr>
        <w:t xml:space="preserve">ulgi podatkowej równej części zapłaconego podatku wyrównawczego, która może być wykorzystana na poczet innych podatków. Takiego systemu nie można będzie można uznać za „kwalifikowany” w rozumieniu omawianej definicji. Przegląd w tym zakresie będzie dokonywany w ramach prac OECD, a podatnicy będą mogli odwołać się do odpowiedniego obwieszczenia Ministra Finansów z wykazem </w:t>
      </w:r>
      <w:r w:rsidRPr="00C30388">
        <w:rPr>
          <w:rFonts w:ascii="Times New Roman" w:hAnsi="Times New Roman" w:cs="Times New Roman"/>
          <w:bCs/>
          <w:sz w:val="24"/>
        </w:rPr>
        <w:t>jurysdykcji</w:t>
      </w:r>
      <w:r w:rsidRPr="00C30388">
        <w:rPr>
          <w:rFonts w:ascii="Times New Roman" w:eastAsia="Times New Roman" w:hAnsi="Times New Roman" w:cs="Times New Roman"/>
          <w:bCs/>
          <w:sz w:val="24"/>
          <w:lang w:eastAsia="pl-PL"/>
        </w:rPr>
        <w:t xml:space="preserve">. </w:t>
      </w:r>
    </w:p>
    <w:p w14:paraId="10EE81F4" w14:textId="6F787B28" w:rsidR="00564CD7" w:rsidRPr="00C30388" w:rsidRDefault="00564CD7" w:rsidP="00564CD7">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Zarazem, na gruncie projektu ustawy, określenie „kwalifikowany” odnosić się będzie do przepisów </w:t>
      </w:r>
      <w:r w:rsidRPr="00C30388">
        <w:rPr>
          <w:rFonts w:ascii="Times New Roman" w:hAnsi="Times New Roman" w:cs="Times New Roman"/>
          <w:bCs/>
          <w:sz w:val="24"/>
        </w:rPr>
        <w:t>jurysdykcji</w:t>
      </w:r>
      <w:r w:rsidRPr="00C30388" w:rsidDel="00C912C9">
        <w:rPr>
          <w:rFonts w:ascii="Times New Roman" w:eastAsia="Times New Roman" w:hAnsi="Times New Roman" w:cs="Times New Roman"/>
          <w:bCs/>
          <w:sz w:val="24"/>
          <w:lang w:eastAsia="pl-PL"/>
        </w:rPr>
        <w:t xml:space="preserve"> </w:t>
      </w:r>
      <w:r w:rsidRPr="00C30388">
        <w:rPr>
          <w:rFonts w:ascii="Times New Roman" w:eastAsia="Times New Roman" w:hAnsi="Times New Roman" w:cs="Times New Roman"/>
          <w:bCs/>
          <w:sz w:val="24"/>
          <w:lang w:eastAsia="pl-PL"/>
        </w:rPr>
        <w:t>innych niż Rzeczpospolita Polska.</w:t>
      </w:r>
    </w:p>
    <w:p w14:paraId="7EE8E586" w14:textId="1F53D665" w:rsidR="000320E0" w:rsidRPr="00C30388" w:rsidRDefault="000320E0" w:rsidP="000320E0">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Z kolei, zgodnie z definicją zawartą w pkt 23 </w:t>
      </w:r>
      <w:r w:rsidRPr="00C30388">
        <w:rPr>
          <w:rFonts w:ascii="Times New Roman" w:eastAsia="Times New Roman" w:hAnsi="Times New Roman" w:cs="Times New Roman"/>
          <w:b/>
          <w:sz w:val="24"/>
          <w:lang w:eastAsia="pl-PL"/>
        </w:rPr>
        <w:t>k</w:t>
      </w:r>
      <w:r w:rsidRPr="00C30388">
        <w:rPr>
          <w:rFonts w:ascii="Times New Roman" w:eastAsia="Times New Roman" w:hAnsi="Times New Roman" w:cs="Times New Roman"/>
          <w:b/>
          <w:bCs/>
          <w:sz w:val="24"/>
          <w:lang w:eastAsia="pl-PL"/>
        </w:rPr>
        <w:t xml:space="preserve">walifikowana zasada niedostatecznie opodatkowanych zysków </w:t>
      </w:r>
      <w:r w:rsidRPr="00C30388">
        <w:rPr>
          <w:rFonts w:ascii="Times New Roman" w:eastAsia="Times New Roman" w:hAnsi="Times New Roman" w:cs="Times New Roman"/>
          <w:sz w:val="24"/>
          <w:lang w:eastAsia="pl-PL"/>
        </w:rPr>
        <w:t>(dalej również jako: „</w:t>
      </w:r>
      <w:r w:rsidRPr="00C30388">
        <w:rPr>
          <w:rFonts w:ascii="Times New Roman" w:eastAsia="Times New Roman" w:hAnsi="Times New Roman" w:cs="Times New Roman"/>
          <w:b/>
          <w:bCs/>
          <w:sz w:val="24"/>
          <w:lang w:eastAsia="pl-PL"/>
        </w:rPr>
        <w:t>Kwalifikowana Zasada UTPR</w:t>
      </w:r>
      <w:r w:rsidRPr="00C30388">
        <w:rPr>
          <w:rFonts w:ascii="Times New Roman" w:eastAsia="Times New Roman" w:hAnsi="Times New Roman" w:cs="Times New Roman"/>
          <w:sz w:val="24"/>
          <w:lang w:eastAsia="pl-PL"/>
        </w:rPr>
        <w:t>”</w:t>
      </w:r>
      <w:r w:rsidRPr="00C30388">
        <w:rPr>
          <w:rFonts w:ascii="Times New Roman" w:eastAsia="Times New Roman" w:hAnsi="Times New Roman" w:cs="Times New Roman"/>
          <w:bCs/>
          <w:sz w:val="24"/>
          <w:lang w:eastAsia="pl-PL"/>
        </w:rPr>
        <w:t>) to zbiór przepisów obowiązujących w jurysdykcji innej niż Rzeczpospolita Polska (które nie zapewnia żadnych korzyści związanych z tymi przepisami), które to przepisy:</w:t>
      </w:r>
    </w:p>
    <w:p w14:paraId="47BA4DAD" w14:textId="136E3E61" w:rsidR="000320E0" w:rsidRPr="00C30388" w:rsidRDefault="000320E0" w:rsidP="000320E0">
      <w:pPr>
        <w:numPr>
          <w:ilvl w:val="0"/>
          <w:numId w:val="10"/>
        </w:num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mają status równoważny do zasad określonych w Dyrektywie (w przypadku jurysdykcji innych niż państwo członkowskie Unii Europejskiej) lub </w:t>
      </w:r>
      <w:r w:rsidR="00595132" w:rsidRPr="00C30388">
        <w:rPr>
          <w:rFonts w:ascii="Times New Roman" w:eastAsia="Times New Roman" w:hAnsi="Times New Roman" w:cs="Times New Roman"/>
          <w:bCs/>
          <w:sz w:val="24"/>
          <w:lang w:eastAsia="pl-PL"/>
        </w:rPr>
        <w:t>Modelowych zasad</w:t>
      </w:r>
      <w:r w:rsidRPr="00C30388">
        <w:rPr>
          <w:rFonts w:ascii="Times New Roman" w:eastAsia="Times New Roman" w:hAnsi="Times New Roman" w:cs="Times New Roman"/>
          <w:bCs/>
          <w:sz w:val="24"/>
          <w:lang w:eastAsia="pl-PL"/>
        </w:rPr>
        <w:t xml:space="preserve">ach OECD (w przypadku jurysdykcji spoza UE), na podstawie których dana jurysdykcja </w:t>
      </w:r>
      <w:r w:rsidRPr="00C30388">
        <w:rPr>
          <w:rFonts w:ascii="Times New Roman" w:hAnsi="Times New Roman" w:cs="Times New Roman"/>
          <w:sz w:val="24"/>
        </w:rPr>
        <w:t xml:space="preserve">opodatkowuje wyrównawczo nisko opodatkowane jednostki składowe grupy, które nie zostały opodatkowane na podstawie Kwalifikowanej Zasady </w:t>
      </w:r>
      <w:r w:rsidR="00F707E7" w:rsidRPr="00C30388">
        <w:rPr>
          <w:rFonts w:ascii="Times New Roman" w:hAnsi="Times New Roman" w:cs="Times New Roman"/>
          <w:sz w:val="24"/>
        </w:rPr>
        <w:t>IIR</w:t>
      </w:r>
      <w:r w:rsidRPr="00C30388">
        <w:rPr>
          <w:rFonts w:ascii="Times New Roman" w:hAnsi="Times New Roman" w:cs="Times New Roman"/>
          <w:sz w:val="24"/>
        </w:rPr>
        <w:t xml:space="preserve"> albo na podstawie przepisów o globalnym podatku wyrównawczym</w:t>
      </w:r>
      <w:r w:rsidRPr="00C30388">
        <w:rPr>
          <w:rFonts w:ascii="Times New Roman" w:eastAsia="Times New Roman" w:hAnsi="Times New Roman" w:cs="Times New Roman"/>
          <w:bCs/>
          <w:sz w:val="24"/>
          <w:lang w:eastAsia="pl-PL"/>
        </w:rPr>
        <w:t xml:space="preserve"> oraz;</w:t>
      </w:r>
    </w:p>
    <w:p w14:paraId="5142B366" w14:textId="77777777" w:rsidR="000320E0" w:rsidRPr="00C30388" w:rsidRDefault="000320E0" w:rsidP="000320E0">
      <w:pPr>
        <w:numPr>
          <w:ilvl w:val="0"/>
          <w:numId w:val="10"/>
        </w:num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są stosowane w sposób zgodny z zasadami określonymi w Dyrektywie lub, w odniesieniu do jurysdykcji spoza UE, z Modelowymi Zasadami.</w:t>
      </w:r>
    </w:p>
    <w:p w14:paraId="5ED51F44" w14:textId="10F5739C" w:rsidR="002A4C92" w:rsidRPr="00C30388" w:rsidRDefault="002A4C92" w:rsidP="002A4C92">
      <w:pPr>
        <w:spacing w:after="120"/>
        <w:jc w:val="both"/>
        <w:rPr>
          <w:rFonts w:ascii="Times New Roman" w:eastAsia="Times New Roman" w:hAnsi="Times New Roman" w:cs="Times New Roman"/>
          <w:bCs/>
          <w:i/>
          <w:sz w:val="24"/>
          <w:lang w:eastAsia="pl-PL"/>
        </w:rPr>
      </w:pPr>
      <w:r w:rsidRPr="00C30388">
        <w:rPr>
          <w:rFonts w:ascii="Times New Roman" w:eastAsia="Times New Roman" w:hAnsi="Times New Roman" w:cs="Times New Roman"/>
          <w:bCs/>
          <w:i/>
          <w:sz w:val="24"/>
          <w:lang w:eastAsia="pl-PL"/>
        </w:rPr>
        <w:t>Kwalifikowany globalny podatek wyrównawczy</w:t>
      </w:r>
    </w:p>
    <w:p w14:paraId="311D6A2A" w14:textId="70D3F5E8" w:rsidR="002A4C92" w:rsidRPr="00C30388" w:rsidRDefault="002A4C92" w:rsidP="002A4C92">
      <w:pPr>
        <w:spacing w:after="120"/>
        <w:jc w:val="both"/>
        <w:rPr>
          <w:rFonts w:ascii="Times New Roman" w:eastAsiaTheme="minorEastAsia" w:hAnsi="Times New Roman" w:cs="Times New Roman"/>
          <w:bCs/>
          <w:sz w:val="24"/>
          <w:lang w:eastAsia="pl-PL"/>
        </w:rPr>
      </w:pPr>
      <w:r w:rsidRPr="00C30388">
        <w:rPr>
          <w:rFonts w:ascii="Times New Roman" w:eastAsiaTheme="minorEastAsia" w:hAnsi="Times New Roman" w:cs="Times New Roman"/>
          <w:b/>
          <w:bCs/>
          <w:sz w:val="24"/>
          <w:lang w:eastAsia="pl-PL"/>
        </w:rPr>
        <w:t>Art. 2 ust. 1 pkt 2</w:t>
      </w:r>
      <w:r w:rsidR="00F707E7" w:rsidRPr="00C30388">
        <w:rPr>
          <w:rFonts w:ascii="Times New Roman" w:eastAsiaTheme="minorEastAsia" w:hAnsi="Times New Roman" w:cs="Times New Roman"/>
          <w:b/>
          <w:bCs/>
          <w:sz w:val="24"/>
          <w:lang w:eastAsia="pl-PL"/>
        </w:rPr>
        <w:t>5</w:t>
      </w:r>
      <w:r w:rsidRPr="00C30388">
        <w:rPr>
          <w:rFonts w:ascii="Times New Roman" w:eastAsiaTheme="minorEastAsia" w:hAnsi="Times New Roman" w:cs="Times New Roman"/>
          <w:bCs/>
          <w:sz w:val="24"/>
          <w:lang w:eastAsia="pl-PL"/>
        </w:rPr>
        <w:t xml:space="preserve"> definiuje </w:t>
      </w:r>
      <w:r w:rsidRPr="00C30388">
        <w:rPr>
          <w:rFonts w:ascii="Times New Roman" w:eastAsiaTheme="minorEastAsia" w:hAnsi="Times New Roman" w:cs="Times New Roman"/>
          <w:b/>
          <w:sz w:val="24"/>
          <w:lang w:eastAsia="pl-PL"/>
        </w:rPr>
        <w:t>k</w:t>
      </w:r>
      <w:r w:rsidRPr="00C30388">
        <w:rPr>
          <w:rFonts w:ascii="Times New Roman" w:eastAsiaTheme="minorEastAsia" w:hAnsi="Times New Roman" w:cs="Times New Roman"/>
          <w:b/>
          <w:bCs/>
          <w:sz w:val="24"/>
          <w:lang w:eastAsia="pl-PL"/>
        </w:rPr>
        <w:t>walifikowany globalny podatek wyrównawczy</w:t>
      </w:r>
      <w:r w:rsidRPr="00C30388">
        <w:rPr>
          <w:rFonts w:ascii="Times New Roman" w:eastAsiaTheme="minorEastAsia" w:hAnsi="Times New Roman" w:cs="Times New Roman"/>
          <w:bCs/>
          <w:sz w:val="24"/>
          <w:lang w:eastAsia="pl-PL"/>
        </w:rPr>
        <w:t xml:space="preserve">, przez który rozumie się podatek, który obowiązuje w </w:t>
      </w:r>
      <w:r w:rsidR="001A7582" w:rsidRPr="00C30388">
        <w:rPr>
          <w:rFonts w:ascii="Times New Roman" w:eastAsiaTheme="minorEastAsia" w:hAnsi="Times New Roman" w:cs="Times New Roman"/>
          <w:bCs/>
          <w:sz w:val="24"/>
          <w:lang w:eastAsia="pl-PL"/>
        </w:rPr>
        <w:t xml:space="preserve">jurysdykcji </w:t>
      </w:r>
      <w:r w:rsidRPr="00C30388">
        <w:rPr>
          <w:rFonts w:ascii="Times New Roman" w:eastAsiaTheme="minorEastAsia" w:hAnsi="Times New Roman" w:cs="Times New Roman"/>
          <w:bCs/>
          <w:sz w:val="24"/>
          <w:lang w:eastAsia="pl-PL"/>
        </w:rPr>
        <w:t>inn</w:t>
      </w:r>
      <w:r w:rsidR="001A7582" w:rsidRPr="00C30388">
        <w:rPr>
          <w:rFonts w:ascii="Times New Roman" w:eastAsiaTheme="minorEastAsia" w:hAnsi="Times New Roman" w:cs="Times New Roman"/>
          <w:bCs/>
          <w:sz w:val="24"/>
          <w:lang w:eastAsia="pl-PL"/>
        </w:rPr>
        <w:t>ej</w:t>
      </w:r>
      <w:r w:rsidRPr="00C30388">
        <w:rPr>
          <w:rFonts w:ascii="Times New Roman" w:eastAsiaTheme="minorEastAsia" w:hAnsi="Times New Roman" w:cs="Times New Roman"/>
          <w:bCs/>
          <w:sz w:val="24"/>
          <w:lang w:eastAsia="pl-PL"/>
        </w:rPr>
        <w:t xml:space="preserve"> niż Rzeczpospolita Polska i wynika ze stosowania kwalifikowanej zasady włączenia dochodu do opodatkowania, o której mowa w </w:t>
      </w:r>
      <w:r w:rsidRPr="00C30388">
        <w:rPr>
          <w:rFonts w:ascii="Times New Roman" w:eastAsiaTheme="minorEastAsia" w:hAnsi="Times New Roman" w:cs="Times New Roman"/>
          <w:b/>
          <w:sz w:val="24"/>
          <w:lang w:eastAsia="pl-PL"/>
        </w:rPr>
        <w:t>art. 2 ust. 1 pkt 2</w:t>
      </w:r>
      <w:r w:rsidR="00F707E7" w:rsidRPr="00C30388">
        <w:rPr>
          <w:rFonts w:ascii="Times New Roman" w:eastAsiaTheme="minorEastAsia" w:hAnsi="Times New Roman" w:cs="Times New Roman"/>
          <w:b/>
          <w:sz w:val="24"/>
          <w:lang w:eastAsia="pl-PL"/>
        </w:rPr>
        <w:t>4</w:t>
      </w:r>
      <w:r w:rsidRPr="00C30388">
        <w:rPr>
          <w:rFonts w:ascii="Times New Roman" w:eastAsiaTheme="minorEastAsia" w:hAnsi="Times New Roman" w:cs="Times New Roman"/>
          <w:bCs/>
          <w:sz w:val="24"/>
          <w:lang w:eastAsia="pl-PL"/>
        </w:rPr>
        <w:t xml:space="preserve">. Jest to zatem podatek, któremu podlegają jednostki dominujące zlokalizowane w </w:t>
      </w:r>
      <w:r w:rsidR="001A7582" w:rsidRPr="00C30388">
        <w:rPr>
          <w:rFonts w:ascii="Times New Roman" w:eastAsiaTheme="minorEastAsia" w:hAnsi="Times New Roman" w:cs="Times New Roman"/>
          <w:bCs/>
          <w:sz w:val="24"/>
          <w:lang w:eastAsia="pl-PL"/>
        </w:rPr>
        <w:t>innej jurysdykcji</w:t>
      </w:r>
      <w:r w:rsidR="00F707E7" w:rsidRPr="00C30388">
        <w:rPr>
          <w:rFonts w:ascii="Times New Roman" w:eastAsiaTheme="minorEastAsia" w:hAnsi="Times New Roman" w:cs="Times New Roman"/>
          <w:bCs/>
          <w:sz w:val="24"/>
          <w:lang w:eastAsia="pl-PL"/>
        </w:rPr>
        <w:t>,</w:t>
      </w:r>
      <w:r w:rsidR="001A7582" w:rsidRPr="00C30388">
        <w:rPr>
          <w:rFonts w:ascii="Times New Roman" w:eastAsiaTheme="minorEastAsia" w:hAnsi="Times New Roman" w:cs="Times New Roman"/>
          <w:bCs/>
          <w:sz w:val="24"/>
          <w:lang w:eastAsia="pl-PL"/>
        </w:rPr>
        <w:t xml:space="preserve"> </w:t>
      </w:r>
      <w:r w:rsidRPr="00C30388">
        <w:rPr>
          <w:rFonts w:ascii="Times New Roman" w:eastAsiaTheme="minorEastAsia" w:hAnsi="Times New Roman" w:cs="Times New Roman"/>
          <w:bCs/>
          <w:sz w:val="24"/>
          <w:lang w:eastAsia="pl-PL"/>
        </w:rPr>
        <w:t>zgodnie z przepisami</w:t>
      </w:r>
      <w:r w:rsidR="00F707E7" w:rsidRPr="00C30388">
        <w:rPr>
          <w:rFonts w:ascii="Times New Roman" w:eastAsiaTheme="minorEastAsia" w:hAnsi="Times New Roman" w:cs="Times New Roman"/>
          <w:bCs/>
          <w:sz w:val="24"/>
          <w:lang w:eastAsia="pl-PL"/>
        </w:rPr>
        <w:t xml:space="preserve"> tej innej</w:t>
      </w:r>
      <w:r w:rsidRPr="00C30388">
        <w:rPr>
          <w:rFonts w:ascii="Times New Roman" w:eastAsiaTheme="minorEastAsia" w:hAnsi="Times New Roman" w:cs="Times New Roman"/>
          <w:bCs/>
          <w:sz w:val="24"/>
          <w:lang w:eastAsia="pl-PL"/>
        </w:rPr>
        <w:t xml:space="preserve"> </w:t>
      </w:r>
      <w:r w:rsidR="001A7582" w:rsidRPr="00C30388">
        <w:rPr>
          <w:rFonts w:ascii="Times New Roman" w:eastAsiaTheme="minorEastAsia" w:hAnsi="Times New Roman" w:cs="Times New Roman"/>
          <w:bCs/>
          <w:sz w:val="24"/>
          <w:lang w:eastAsia="pl-PL"/>
        </w:rPr>
        <w:t>jurysdykcji</w:t>
      </w:r>
      <w:r w:rsidRPr="00C30388">
        <w:rPr>
          <w:rFonts w:ascii="Times New Roman" w:eastAsiaTheme="minorEastAsia" w:hAnsi="Times New Roman" w:cs="Times New Roman"/>
          <w:bCs/>
          <w:sz w:val="24"/>
          <w:lang w:eastAsia="pl-PL"/>
        </w:rPr>
        <w:t xml:space="preserve">. Natomiast na gruncie ustawy równoważny podatek należny od jednostek dominujących zlokalizowanych na </w:t>
      </w:r>
      <w:r w:rsidRPr="00C30388">
        <w:rPr>
          <w:rFonts w:ascii="Times New Roman" w:eastAsiaTheme="minorEastAsia" w:hAnsi="Times New Roman" w:cs="Times New Roman"/>
          <w:bCs/>
          <w:sz w:val="24"/>
          <w:lang w:eastAsia="pl-PL"/>
        </w:rPr>
        <w:lastRenderedPageBreak/>
        <w:t xml:space="preserve">terytorium Rzeczypospolitej Polskiej określa się jako globalny podatek wyrównawczy, o którym mowa w przepisach </w:t>
      </w:r>
      <w:r w:rsidRPr="00C30388">
        <w:rPr>
          <w:rFonts w:ascii="Times New Roman" w:eastAsiaTheme="minorEastAsia" w:hAnsi="Times New Roman" w:cs="Times New Roman"/>
          <w:b/>
          <w:sz w:val="24"/>
          <w:lang w:eastAsia="pl-PL"/>
        </w:rPr>
        <w:t>działu II</w:t>
      </w:r>
      <w:r w:rsidRPr="00C30388">
        <w:rPr>
          <w:rFonts w:ascii="Times New Roman" w:eastAsiaTheme="minorEastAsia" w:hAnsi="Times New Roman" w:cs="Times New Roman"/>
          <w:bCs/>
          <w:sz w:val="24"/>
          <w:lang w:eastAsia="pl-PL"/>
        </w:rPr>
        <w:t>.</w:t>
      </w:r>
    </w:p>
    <w:p w14:paraId="507EADC4" w14:textId="1FDC2497" w:rsidR="002A4C92" w:rsidRPr="00C30388" w:rsidRDefault="002A4C92" w:rsidP="002A4C92">
      <w:pPr>
        <w:spacing w:after="120"/>
        <w:jc w:val="both"/>
        <w:rPr>
          <w:rFonts w:ascii="Times New Roman" w:eastAsiaTheme="minorEastAsia" w:hAnsi="Times New Roman" w:cs="Times New Roman"/>
          <w:bCs/>
          <w:sz w:val="24"/>
          <w:lang w:eastAsia="pl-PL"/>
        </w:rPr>
      </w:pPr>
      <w:r w:rsidRPr="00C30388">
        <w:rPr>
          <w:rFonts w:ascii="Times New Roman" w:hAnsi="Times New Roman" w:cs="Times New Roman"/>
          <w:sz w:val="24"/>
        </w:rPr>
        <w:t xml:space="preserve">W świetle </w:t>
      </w:r>
      <w:r w:rsidRPr="00C30388">
        <w:rPr>
          <w:rFonts w:ascii="Times New Roman" w:hAnsi="Times New Roman" w:cs="Times New Roman"/>
          <w:b/>
          <w:bCs/>
          <w:sz w:val="24"/>
        </w:rPr>
        <w:t>art. 2 ust. 7</w:t>
      </w:r>
      <w:r w:rsidRPr="00C30388">
        <w:rPr>
          <w:rFonts w:ascii="Times New Roman" w:hAnsi="Times New Roman" w:cs="Times New Roman"/>
          <w:sz w:val="24"/>
        </w:rPr>
        <w:t xml:space="preserve">, </w:t>
      </w:r>
      <w:r w:rsidRPr="00C30388">
        <w:rPr>
          <w:rFonts w:ascii="Times New Roman" w:eastAsiaTheme="minorEastAsia" w:hAnsi="Times New Roman" w:cs="Times New Roman"/>
          <w:bCs/>
          <w:sz w:val="24"/>
          <w:lang w:eastAsia="pl-PL"/>
        </w:rPr>
        <w:t xml:space="preserve">podatek tego typu, obowiązujący w </w:t>
      </w:r>
      <w:r w:rsidR="001A7582" w:rsidRPr="00C30388">
        <w:rPr>
          <w:rFonts w:ascii="Times New Roman" w:eastAsiaTheme="minorEastAsia" w:hAnsi="Times New Roman" w:cs="Times New Roman"/>
          <w:bCs/>
          <w:sz w:val="24"/>
          <w:lang w:eastAsia="pl-PL"/>
        </w:rPr>
        <w:t xml:space="preserve">danej jurysdykcji </w:t>
      </w:r>
      <w:r w:rsidRPr="00C30388">
        <w:rPr>
          <w:rFonts w:ascii="Times New Roman" w:eastAsiaTheme="minorEastAsia" w:hAnsi="Times New Roman" w:cs="Times New Roman"/>
          <w:bCs/>
          <w:sz w:val="24"/>
          <w:lang w:eastAsia="pl-PL"/>
        </w:rPr>
        <w:t>spełni wskazaną definicję,</w:t>
      </w:r>
      <w:r w:rsidRPr="00C30388">
        <w:rPr>
          <w:rFonts w:ascii="Times New Roman" w:hAnsi="Times New Roman" w:cs="Times New Roman"/>
          <w:sz w:val="24"/>
        </w:rPr>
        <w:t xml:space="preserve"> jeżeli </w:t>
      </w:r>
      <w:r w:rsidR="001A7582" w:rsidRPr="00C30388">
        <w:rPr>
          <w:rFonts w:ascii="Times New Roman" w:hAnsi="Times New Roman" w:cs="Times New Roman"/>
          <w:sz w:val="24"/>
        </w:rPr>
        <w:t xml:space="preserve">jurysdykcja ta </w:t>
      </w:r>
      <w:r w:rsidRPr="00C30388">
        <w:rPr>
          <w:rFonts w:ascii="Times New Roman" w:hAnsi="Times New Roman" w:cs="Times New Roman"/>
          <w:sz w:val="24"/>
        </w:rPr>
        <w:t>zostanie wskazan</w:t>
      </w:r>
      <w:r w:rsidR="00721723" w:rsidRPr="00C30388">
        <w:rPr>
          <w:rFonts w:ascii="Times New Roman" w:hAnsi="Times New Roman" w:cs="Times New Roman"/>
          <w:sz w:val="24"/>
        </w:rPr>
        <w:t>a</w:t>
      </w:r>
      <w:r w:rsidRPr="00C30388">
        <w:rPr>
          <w:rFonts w:ascii="Times New Roman" w:hAnsi="Times New Roman" w:cs="Times New Roman"/>
          <w:sz w:val="24"/>
        </w:rPr>
        <w:t xml:space="preserve"> we właściwym wykazie, ogłoszonym w drodze obwieszczenia przez Ministra Finansów w związku z odpowiednimi wytycznymi lub dokumentami OECD, potwierdzającymi spójność przepisów </w:t>
      </w:r>
      <w:r w:rsidR="001A7582" w:rsidRPr="00C30388">
        <w:rPr>
          <w:rFonts w:ascii="Times New Roman" w:hAnsi="Times New Roman" w:cs="Times New Roman"/>
          <w:sz w:val="24"/>
        </w:rPr>
        <w:t xml:space="preserve">danej jurysdykcji </w:t>
      </w:r>
      <w:r w:rsidRPr="00C30388">
        <w:rPr>
          <w:rFonts w:ascii="Times New Roman" w:hAnsi="Times New Roman" w:cs="Times New Roman"/>
          <w:sz w:val="24"/>
        </w:rPr>
        <w:t>w zakresie tego podatku z Zasadami GloBE.</w:t>
      </w:r>
    </w:p>
    <w:p w14:paraId="6654E922" w14:textId="77777777" w:rsidR="002A4C92" w:rsidRPr="00C30388" w:rsidRDefault="002A4C92" w:rsidP="002A4C92">
      <w:pPr>
        <w:spacing w:after="120"/>
        <w:jc w:val="both"/>
        <w:rPr>
          <w:rFonts w:ascii="Times New Roman" w:eastAsia="Times New Roman" w:hAnsi="Times New Roman" w:cs="Times New Roman"/>
          <w:b/>
          <w:bCs/>
          <w:i/>
          <w:sz w:val="24"/>
          <w:lang w:eastAsia="pl-PL"/>
        </w:rPr>
      </w:pPr>
      <w:r w:rsidRPr="00C30388">
        <w:rPr>
          <w:rFonts w:ascii="Times New Roman" w:eastAsia="Times New Roman" w:hAnsi="Times New Roman" w:cs="Times New Roman"/>
          <w:bCs/>
          <w:i/>
          <w:sz w:val="24"/>
          <w:lang w:eastAsia="pl-PL"/>
        </w:rPr>
        <w:t xml:space="preserve">Kwalifikowany krajowy podatek wyrównawczy </w:t>
      </w:r>
    </w:p>
    <w:p w14:paraId="6280A8F2" w14:textId="38F0365F" w:rsidR="002A4C92" w:rsidRPr="00C30388" w:rsidRDefault="002A4C92" w:rsidP="002A4C92">
      <w:pPr>
        <w:spacing w:after="120"/>
        <w:jc w:val="both"/>
        <w:rPr>
          <w:rFonts w:ascii="Times New Roman" w:eastAsiaTheme="minorEastAsia" w:hAnsi="Times New Roman" w:cs="Times New Roman"/>
          <w:bCs/>
          <w:sz w:val="24"/>
          <w:lang w:eastAsia="pl-PL"/>
        </w:rPr>
      </w:pPr>
      <w:r w:rsidRPr="00C30388">
        <w:rPr>
          <w:rFonts w:ascii="Times New Roman" w:eastAsia="Times New Roman" w:hAnsi="Times New Roman" w:cs="Times New Roman"/>
          <w:b/>
          <w:bCs/>
          <w:sz w:val="24"/>
          <w:lang w:eastAsia="pl-PL"/>
        </w:rPr>
        <w:t>Art. 2 ust. 1 pkt 2</w:t>
      </w:r>
      <w:r w:rsidR="00F707E7" w:rsidRPr="00C30388">
        <w:rPr>
          <w:rFonts w:ascii="Times New Roman" w:eastAsia="Times New Roman" w:hAnsi="Times New Roman" w:cs="Times New Roman"/>
          <w:b/>
          <w:bCs/>
          <w:sz w:val="24"/>
          <w:lang w:eastAsia="pl-PL"/>
        </w:rPr>
        <w:t>6</w:t>
      </w:r>
      <w:r w:rsidRPr="00C30388">
        <w:rPr>
          <w:rFonts w:ascii="Times New Roman" w:eastAsia="Times New Roman" w:hAnsi="Times New Roman" w:cs="Times New Roman"/>
          <w:bCs/>
          <w:sz w:val="24"/>
          <w:lang w:eastAsia="pl-PL"/>
        </w:rPr>
        <w:t xml:space="preserve"> definiuje z kolei, zgodnie z art. 3.28 Dyrektywy pojęcie </w:t>
      </w:r>
      <w:r w:rsidRPr="00C30388">
        <w:rPr>
          <w:rFonts w:ascii="Times New Roman" w:eastAsia="Times New Roman" w:hAnsi="Times New Roman" w:cs="Times New Roman"/>
          <w:b/>
          <w:sz w:val="24"/>
          <w:lang w:eastAsia="pl-PL"/>
        </w:rPr>
        <w:t>k</w:t>
      </w:r>
      <w:r w:rsidRPr="00C30388">
        <w:rPr>
          <w:rFonts w:ascii="Times New Roman" w:eastAsia="Times New Roman" w:hAnsi="Times New Roman" w:cs="Times New Roman"/>
          <w:b/>
          <w:bCs/>
          <w:sz w:val="24"/>
          <w:lang w:eastAsia="pl-PL"/>
        </w:rPr>
        <w:t>walifikowanego krajowego podatku wyrównawczego</w:t>
      </w:r>
      <w:r w:rsidRPr="00C30388">
        <w:rPr>
          <w:rFonts w:ascii="Times New Roman" w:eastAsia="Times New Roman" w:hAnsi="Times New Roman" w:cs="Times New Roman"/>
          <w:bCs/>
          <w:sz w:val="24"/>
          <w:lang w:eastAsia="pl-PL"/>
        </w:rPr>
        <w:t xml:space="preserve">, przez który </w:t>
      </w:r>
      <w:r w:rsidRPr="00C30388">
        <w:rPr>
          <w:rFonts w:ascii="Times New Roman" w:eastAsiaTheme="minorEastAsia" w:hAnsi="Times New Roman" w:cs="Times New Roman"/>
          <w:bCs/>
          <w:sz w:val="24"/>
          <w:lang w:eastAsia="pl-PL"/>
        </w:rPr>
        <w:t xml:space="preserve">rozumie się podatek obowiązujący w </w:t>
      </w:r>
      <w:r w:rsidR="001A7582" w:rsidRPr="00C30388">
        <w:rPr>
          <w:rFonts w:ascii="Times New Roman" w:eastAsiaTheme="minorEastAsia" w:hAnsi="Times New Roman" w:cs="Times New Roman"/>
          <w:bCs/>
          <w:sz w:val="24"/>
          <w:lang w:eastAsia="pl-PL"/>
        </w:rPr>
        <w:t xml:space="preserve">jurysdykcji innej </w:t>
      </w:r>
      <w:r w:rsidRPr="00C30388">
        <w:rPr>
          <w:rFonts w:ascii="Times New Roman" w:eastAsiaTheme="minorEastAsia" w:hAnsi="Times New Roman" w:cs="Times New Roman"/>
          <w:bCs/>
          <w:sz w:val="24"/>
          <w:lang w:eastAsia="pl-PL"/>
        </w:rPr>
        <w:t>niż Rzeczpospolita Polska</w:t>
      </w:r>
      <w:r w:rsidR="00F707E7" w:rsidRPr="00C30388">
        <w:rPr>
          <w:rFonts w:ascii="Times New Roman" w:eastAsiaTheme="minorEastAsia" w:hAnsi="Times New Roman" w:cs="Times New Roman"/>
          <w:bCs/>
          <w:sz w:val="24"/>
          <w:lang w:eastAsia="pl-PL"/>
        </w:rPr>
        <w:t>,</w:t>
      </w:r>
      <w:r w:rsidRPr="00C30388">
        <w:rPr>
          <w:rFonts w:ascii="Times New Roman" w:eastAsiaTheme="minorEastAsia" w:hAnsi="Times New Roman" w:cs="Times New Roman"/>
          <w:bCs/>
          <w:sz w:val="24"/>
          <w:lang w:eastAsia="pl-PL"/>
        </w:rPr>
        <w:t xml:space="preserve"> W świetle definicji podatek ten ma być obliczany w sposób zgodny z zasadami określonymi w Dyrektywie lub  – w przypadku </w:t>
      </w:r>
      <w:r w:rsidR="001A7582" w:rsidRPr="00C30388">
        <w:rPr>
          <w:rFonts w:ascii="Times New Roman" w:eastAsiaTheme="minorEastAsia" w:hAnsi="Times New Roman" w:cs="Times New Roman"/>
          <w:bCs/>
          <w:sz w:val="24"/>
          <w:lang w:eastAsia="pl-PL"/>
        </w:rPr>
        <w:t xml:space="preserve">jurysdykcji </w:t>
      </w:r>
      <w:r w:rsidRPr="00C30388">
        <w:rPr>
          <w:rFonts w:ascii="Times New Roman" w:eastAsiaTheme="minorEastAsia" w:hAnsi="Times New Roman" w:cs="Times New Roman"/>
          <w:bCs/>
          <w:sz w:val="24"/>
          <w:lang w:eastAsia="pl-PL"/>
        </w:rPr>
        <w:t>innych niż państwa członkowskie –</w:t>
      </w:r>
      <w:r w:rsidR="001A7582" w:rsidRPr="00C30388">
        <w:rPr>
          <w:rFonts w:ascii="Times New Roman" w:eastAsiaTheme="minorEastAsia" w:hAnsi="Times New Roman" w:cs="Times New Roman"/>
          <w:bCs/>
          <w:sz w:val="24"/>
          <w:lang w:eastAsia="pl-PL"/>
        </w:rPr>
        <w:t xml:space="preserve"> </w:t>
      </w:r>
      <w:r w:rsidRPr="00C30388">
        <w:rPr>
          <w:rFonts w:ascii="Times New Roman" w:eastAsiaTheme="minorEastAsia" w:hAnsi="Times New Roman" w:cs="Times New Roman"/>
          <w:bCs/>
          <w:sz w:val="24"/>
          <w:lang w:eastAsia="pl-PL"/>
        </w:rPr>
        <w:t xml:space="preserve">w </w:t>
      </w:r>
      <w:r w:rsidR="00595132" w:rsidRPr="00C30388">
        <w:rPr>
          <w:rFonts w:ascii="Times New Roman" w:eastAsiaTheme="minorEastAsia" w:hAnsi="Times New Roman" w:cs="Times New Roman"/>
          <w:bCs/>
          <w:sz w:val="24"/>
          <w:lang w:eastAsia="pl-PL"/>
        </w:rPr>
        <w:t>Modelowych zasad</w:t>
      </w:r>
      <w:r w:rsidRPr="00C30388">
        <w:rPr>
          <w:rFonts w:ascii="Times New Roman" w:eastAsiaTheme="minorEastAsia" w:hAnsi="Times New Roman" w:cs="Times New Roman"/>
          <w:bCs/>
          <w:sz w:val="24"/>
          <w:lang w:eastAsia="pl-PL"/>
        </w:rPr>
        <w:t xml:space="preserve">ach OECD. </w:t>
      </w:r>
      <w:r w:rsidR="00F707E7" w:rsidRPr="00C30388">
        <w:rPr>
          <w:rFonts w:ascii="Times New Roman" w:eastAsiaTheme="minorEastAsia" w:hAnsi="Times New Roman" w:cs="Times New Roman"/>
          <w:bCs/>
          <w:sz w:val="24"/>
          <w:lang w:eastAsia="pl-PL"/>
        </w:rPr>
        <w:t xml:space="preserve">(jest </w:t>
      </w:r>
      <w:r w:rsidRPr="00C30388">
        <w:rPr>
          <w:rFonts w:ascii="Times New Roman" w:eastAsiaTheme="minorEastAsia" w:hAnsi="Times New Roman" w:cs="Times New Roman"/>
          <w:bCs/>
          <w:sz w:val="24"/>
          <w:lang w:eastAsia="pl-PL"/>
        </w:rPr>
        <w:t xml:space="preserve">jednak pobierany lokalnie w </w:t>
      </w:r>
      <w:r w:rsidR="001A7582" w:rsidRPr="00C30388">
        <w:rPr>
          <w:rFonts w:ascii="Times New Roman" w:eastAsiaTheme="minorEastAsia" w:hAnsi="Times New Roman" w:cs="Times New Roman"/>
          <w:bCs/>
          <w:sz w:val="24"/>
          <w:lang w:eastAsia="pl-PL"/>
        </w:rPr>
        <w:t xml:space="preserve">danej jurysdykcji </w:t>
      </w:r>
      <w:r w:rsidRPr="00C30388">
        <w:rPr>
          <w:rFonts w:ascii="Times New Roman" w:eastAsiaTheme="minorEastAsia" w:hAnsi="Times New Roman" w:cs="Times New Roman"/>
          <w:bCs/>
          <w:sz w:val="24"/>
          <w:lang w:eastAsia="pl-PL"/>
        </w:rPr>
        <w:t xml:space="preserve">jako rodzaj „tarczy” przed zastosowaniem przez inne </w:t>
      </w:r>
      <w:r w:rsidR="001A7582" w:rsidRPr="00C30388">
        <w:rPr>
          <w:rFonts w:ascii="Times New Roman" w:eastAsiaTheme="minorEastAsia" w:hAnsi="Times New Roman" w:cs="Times New Roman"/>
          <w:bCs/>
          <w:sz w:val="24"/>
          <w:lang w:eastAsia="pl-PL"/>
        </w:rPr>
        <w:t xml:space="preserve">jurysdykcje </w:t>
      </w:r>
      <w:r w:rsidRPr="00C30388">
        <w:rPr>
          <w:rFonts w:ascii="Times New Roman" w:eastAsiaTheme="minorEastAsia" w:hAnsi="Times New Roman" w:cs="Times New Roman"/>
          <w:bCs/>
          <w:sz w:val="24"/>
          <w:lang w:eastAsia="pl-PL"/>
        </w:rPr>
        <w:t>Zasady IIR</w:t>
      </w:r>
      <w:r w:rsidR="00F707E7" w:rsidRPr="00C30388">
        <w:rPr>
          <w:rFonts w:ascii="Times New Roman" w:eastAsiaTheme="minorEastAsia" w:hAnsi="Times New Roman" w:cs="Times New Roman"/>
          <w:bCs/>
          <w:sz w:val="24"/>
          <w:lang w:eastAsia="pl-PL"/>
        </w:rPr>
        <w:t>)</w:t>
      </w:r>
      <w:r w:rsidRPr="00C30388">
        <w:rPr>
          <w:rFonts w:ascii="Times New Roman" w:eastAsiaTheme="minorEastAsia" w:hAnsi="Times New Roman" w:cs="Times New Roman"/>
          <w:bCs/>
          <w:sz w:val="24"/>
          <w:lang w:eastAsia="pl-PL"/>
        </w:rPr>
        <w:t xml:space="preserve">. </w:t>
      </w:r>
    </w:p>
    <w:p w14:paraId="7629776E" w14:textId="6EF98A95" w:rsidR="002A4C92" w:rsidRPr="00C30388" w:rsidRDefault="00F707E7" w:rsidP="002A4C92">
      <w:pPr>
        <w:spacing w:after="120"/>
        <w:jc w:val="both"/>
        <w:rPr>
          <w:rFonts w:ascii="Times New Roman" w:eastAsia="Times New Roman" w:hAnsi="Times New Roman" w:cs="Times New Roman"/>
          <w:bCs/>
          <w:iCs/>
          <w:sz w:val="24"/>
          <w:lang w:eastAsia="pl-PL"/>
        </w:rPr>
      </w:pPr>
      <w:r w:rsidRPr="00C30388">
        <w:rPr>
          <w:rFonts w:ascii="Times New Roman" w:hAnsi="Times New Roman" w:cs="Times New Roman"/>
          <w:sz w:val="24"/>
        </w:rPr>
        <w:t>O</w:t>
      </w:r>
      <w:r w:rsidR="002A4C92" w:rsidRPr="00C30388">
        <w:rPr>
          <w:rFonts w:ascii="Times New Roman" w:hAnsi="Times New Roman" w:cs="Times New Roman"/>
          <w:sz w:val="24"/>
        </w:rPr>
        <w:t xml:space="preserve">kreślenie „kwalifikowany” odnosi się do tego, że przepisy </w:t>
      </w:r>
      <w:r w:rsidR="001A7582" w:rsidRPr="00C30388">
        <w:rPr>
          <w:rFonts w:ascii="Times New Roman" w:hAnsi="Times New Roman" w:cs="Times New Roman"/>
          <w:sz w:val="24"/>
        </w:rPr>
        <w:t xml:space="preserve">danej jurysdykcji </w:t>
      </w:r>
      <w:r w:rsidR="002A4C92" w:rsidRPr="00C30388">
        <w:rPr>
          <w:rFonts w:ascii="Times New Roman" w:hAnsi="Times New Roman" w:cs="Times New Roman"/>
          <w:sz w:val="24"/>
        </w:rPr>
        <w:t xml:space="preserve">mogą zostać – w odpowiednich ramach czasowych – uznane za kwalifikowane w ramach OECD, tj. za zgodne i spójne z Zasadami GloBE. Podobnie jak w przypadku kwalifikowanego globalnego podatku wyrównawczego, wskazany podatek będzie miał status kwalifikowanego, jeżeli </w:t>
      </w:r>
      <w:r w:rsidR="001A7582" w:rsidRPr="00C30388">
        <w:rPr>
          <w:rFonts w:ascii="Times New Roman" w:hAnsi="Times New Roman" w:cs="Times New Roman"/>
          <w:sz w:val="24"/>
        </w:rPr>
        <w:t xml:space="preserve">dana jurysdykcja </w:t>
      </w:r>
      <w:r w:rsidR="002A4C92" w:rsidRPr="00C30388">
        <w:rPr>
          <w:rFonts w:ascii="Times New Roman" w:hAnsi="Times New Roman" w:cs="Times New Roman"/>
          <w:sz w:val="24"/>
        </w:rPr>
        <w:t>zostanie wskazan</w:t>
      </w:r>
      <w:r w:rsidR="00721723" w:rsidRPr="00C30388">
        <w:rPr>
          <w:rFonts w:ascii="Times New Roman" w:hAnsi="Times New Roman" w:cs="Times New Roman"/>
          <w:sz w:val="24"/>
        </w:rPr>
        <w:t>a</w:t>
      </w:r>
      <w:r w:rsidR="002A4C92" w:rsidRPr="00C30388">
        <w:rPr>
          <w:rFonts w:ascii="Times New Roman" w:hAnsi="Times New Roman" w:cs="Times New Roman"/>
          <w:sz w:val="24"/>
        </w:rPr>
        <w:t xml:space="preserve"> we właściwym wykazie, ogłoszonym w drodze obwieszczenia przez Ministra Finansów w związku z odpowiednimi wytycznymi lub dokumentami OECD</w:t>
      </w:r>
      <w:r w:rsidR="002A4C92" w:rsidRPr="00C30388">
        <w:rPr>
          <w:rFonts w:ascii="Times New Roman" w:eastAsia="Times New Roman" w:hAnsi="Times New Roman" w:cs="Times New Roman"/>
          <w:bCs/>
          <w:iCs/>
          <w:sz w:val="24"/>
          <w:lang w:eastAsia="pl-PL"/>
        </w:rPr>
        <w:t>.</w:t>
      </w:r>
    </w:p>
    <w:p w14:paraId="2FD7B7C4" w14:textId="77777777" w:rsidR="002A4C92" w:rsidRPr="00C30388" w:rsidRDefault="002A4C92" w:rsidP="002A4C92">
      <w:pPr>
        <w:jc w:val="both"/>
        <w:rPr>
          <w:rFonts w:ascii="Times New Roman" w:hAnsi="Times New Roman" w:cs="Times New Roman"/>
          <w:sz w:val="24"/>
        </w:rPr>
      </w:pPr>
      <w:r w:rsidRPr="00C30388">
        <w:rPr>
          <w:rFonts w:ascii="Times New Roman" w:hAnsi="Times New Roman" w:cs="Times New Roman"/>
          <w:sz w:val="24"/>
        </w:rPr>
        <w:t xml:space="preserve">Gdy taki podatek uzyska status kwalifikowanego, pomniejszy on, zgodnie z przepisami </w:t>
      </w:r>
      <w:r w:rsidRPr="00C30388">
        <w:rPr>
          <w:rFonts w:ascii="Times New Roman" w:hAnsi="Times New Roman" w:cs="Times New Roman"/>
          <w:b/>
          <w:bCs/>
          <w:sz w:val="24"/>
        </w:rPr>
        <w:t>działu II</w:t>
      </w:r>
      <w:r w:rsidRPr="00C30388">
        <w:rPr>
          <w:rFonts w:ascii="Times New Roman" w:hAnsi="Times New Roman" w:cs="Times New Roman"/>
          <w:sz w:val="24"/>
        </w:rPr>
        <w:t xml:space="preserve"> ustawy, globalny podatek wyrównawczy należny od polskich jednostek dominujących. </w:t>
      </w:r>
    </w:p>
    <w:p w14:paraId="01B196F9" w14:textId="6E8B0A2C" w:rsidR="002A4C92" w:rsidRPr="00C30388" w:rsidRDefault="002A4C92" w:rsidP="002A4C92">
      <w:pPr>
        <w:jc w:val="both"/>
        <w:rPr>
          <w:rFonts w:ascii="Times New Roman" w:hAnsi="Times New Roman" w:cs="Times New Roman"/>
          <w:sz w:val="24"/>
        </w:rPr>
      </w:pPr>
      <w:r w:rsidRPr="00C30388">
        <w:rPr>
          <w:rFonts w:ascii="Times New Roman" w:hAnsi="Times New Roman" w:cs="Times New Roman"/>
          <w:sz w:val="24"/>
        </w:rPr>
        <w:t xml:space="preserve">W tym zakresie należy podkreślić, że ustawa rozróżnia pojęcie kwalifikowanego krajowego podatku wyrównawczego i krajowego podatku wyrównawczego. O ile Zasady Modelowe OECD i Wytyczne Administracyjne, które mają charakter kierunkowy, posługują się w tym zakresie jednym pojęciem odnoszącym się do wszystkich </w:t>
      </w:r>
      <w:r w:rsidR="001A7582" w:rsidRPr="00C30388">
        <w:rPr>
          <w:rFonts w:ascii="Times New Roman" w:hAnsi="Times New Roman" w:cs="Times New Roman"/>
          <w:sz w:val="24"/>
        </w:rPr>
        <w:t xml:space="preserve">jurysdykcji </w:t>
      </w:r>
      <w:r w:rsidRPr="00C30388">
        <w:rPr>
          <w:rFonts w:ascii="Times New Roman" w:hAnsi="Times New Roman" w:cs="Times New Roman"/>
          <w:sz w:val="24"/>
        </w:rPr>
        <w:t>(QDMTT)</w:t>
      </w:r>
      <w:r w:rsidRPr="00C30388">
        <w:rPr>
          <w:rStyle w:val="Odwoanieprzypisudolnego"/>
          <w:rFonts w:ascii="Times New Roman" w:hAnsi="Times New Roman" w:cs="Times New Roman"/>
          <w:sz w:val="24"/>
        </w:rPr>
        <w:footnoteReference w:id="38"/>
      </w:r>
      <w:r w:rsidRPr="00C30388">
        <w:rPr>
          <w:rFonts w:ascii="Times New Roman" w:hAnsi="Times New Roman" w:cs="Times New Roman"/>
          <w:sz w:val="24"/>
        </w:rPr>
        <w:t xml:space="preserve">, to na gruncie przepisów ustawy konieczne było dokonanie rozróżnienia takiego podatku, pobieranego w Polsce (krajowy podatek wyrównawczy, o którym mowa w przepisach działu III ustawy) i podobnego podatku pobieranego w innych </w:t>
      </w:r>
      <w:r w:rsidR="001A7582" w:rsidRPr="00C30388">
        <w:rPr>
          <w:rFonts w:ascii="Times New Roman" w:hAnsi="Times New Roman" w:cs="Times New Roman"/>
          <w:sz w:val="24"/>
        </w:rPr>
        <w:t xml:space="preserve">jurysdykcjach </w:t>
      </w:r>
      <w:r w:rsidRPr="00C30388">
        <w:rPr>
          <w:rFonts w:ascii="Times New Roman" w:hAnsi="Times New Roman" w:cs="Times New Roman"/>
          <w:sz w:val="24"/>
        </w:rPr>
        <w:t>(kwalifikowany krajowy podatek wyrównawczy).</w:t>
      </w:r>
    </w:p>
    <w:p w14:paraId="1C2AAC46" w14:textId="77777777" w:rsidR="002A4C92" w:rsidRPr="00C30388" w:rsidRDefault="002A4C92" w:rsidP="002A4C92">
      <w:pPr>
        <w:spacing w:after="120"/>
        <w:jc w:val="both"/>
        <w:rPr>
          <w:rFonts w:ascii="Times New Roman" w:eastAsia="Times New Roman" w:hAnsi="Times New Roman" w:cs="Times New Roman"/>
          <w:bCs/>
          <w:i/>
          <w:sz w:val="24"/>
          <w:lang w:eastAsia="pl-PL"/>
        </w:rPr>
      </w:pPr>
      <w:r w:rsidRPr="00C30388">
        <w:rPr>
          <w:rFonts w:ascii="Times New Roman" w:eastAsia="Times New Roman" w:hAnsi="Times New Roman" w:cs="Times New Roman"/>
          <w:bCs/>
          <w:i/>
          <w:sz w:val="24"/>
          <w:lang w:eastAsia="pl-PL"/>
        </w:rPr>
        <w:t>Minimalna stawka podatkowa</w:t>
      </w:r>
    </w:p>
    <w:p w14:paraId="2C1FB094" w14:textId="00FC7D45"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
          <w:bCs/>
          <w:sz w:val="24"/>
          <w:lang w:eastAsia="pl-PL"/>
        </w:rPr>
        <w:t>Art. 2 ust. 1 pkt 2</w:t>
      </w:r>
      <w:r w:rsidR="00C2186F" w:rsidRPr="00C30388">
        <w:rPr>
          <w:rFonts w:ascii="Times New Roman" w:eastAsia="Times New Roman" w:hAnsi="Times New Roman" w:cs="Times New Roman"/>
          <w:b/>
          <w:bCs/>
          <w:sz w:val="24"/>
          <w:lang w:eastAsia="pl-PL"/>
        </w:rPr>
        <w:t>7</w:t>
      </w:r>
      <w:r w:rsidRPr="00C30388">
        <w:rPr>
          <w:rFonts w:ascii="Times New Roman" w:eastAsia="Times New Roman" w:hAnsi="Times New Roman" w:cs="Times New Roman"/>
          <w:bCs/>
          <w:sz w:val="24"/>
          <w:lang w:eastAsia="pl-PL"/>
        </w:rPr>
        <w:t xml:space="preserve"> wskazuje, że na gruncie Systemu GloBE przez </w:t>
      </w:r>
      <w:r w:rsidRPr="00C30388">
        <w:rPr>
          <w:rFonts w:ascii="Times New Roman" w:eastAsia="Times New Roman" w:hAnsi="Times New Roman" w:cs="Times New Roman"/>
          <w:b/>
          <w:sz w:val="24"/>
          <w:lang w:eastAsia="pl-PL"/>
        </w:rPr>
        <w:t>m</w:t>
      </w:r>
      <w:r w:rsidRPr="00C30388">
        <w:rPr>
          <w:rFonts w:ascii="Times New Roman" w:eastAsia="Times New Roman" w:hAnsi="Times New Roman" w:cs="Times New Roman"/>
          <w:b/>
          <w:bCs/>
          <w:sz w:val="24"/>
          <w:lang w:eastAsia="pl-PL"/>
        </w:rPr>
        <w:t>inimalną stawkę podatkową</w:t>
      </w:r>
      <w:r w:rsidRPr="00C30388">
        <w:rPr>
          <w:rFonts w:ascii="Times New Roman" w:eastAsia="Times New Roman" w:hAnsi="Times New Roman" w:cs="Times New Roman"/>
          <w:bCs/>
          <w:sz w:val="24"/>
          <w:lang w:eastAsia="pl-PL"/>
        </w:rPr>
        <w:t xml:space="preserve"> należy rozumieć stawkę podatku w wysokości 15%. Przepis ten stanowi implementację art. 3.15 Dyrektywy. </w:t>
      </w:r>
    </w:p>
    <w:p w14:paraId="56C5EB9D"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Mniejszościowa jednostka dominująca, mniejszościowa jednostka składowa, mniejszościowa jednostka zależna</w:t>
      </w:r>
    </w:p>
    <w:p w14:paraId="01ECDBAD" w14:textId="6EA1C604" w:rsidR="002A4C92"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Niniejsze zagadnienia zostało omówione w części uzasadnienia dotyczącej </w:t>
      </w:r>
      <w:r w:rsidRPr="00C30388">
        <w:rPr>
          <w:rFonts w:ascii="Times New Roman" w:eastAsia="Times New Roman" w:hAnsi="Times New Roman" w:cs="Times New Roman"/>
          <w:b/>
          <w:sz w:val="24"/>
          <w:lang w:eastAsia="pl-PL"/>
        </w:rPr>
        <w:t>rozdziału 2 działu</w:t>
      </w:r>
      <w:r w:rsidR="003174C2">
        <w:rPr>
          <w:rFonts w:ascii="Times New Roman" w:eastAsia="Times New Roman" w:hAnsi="Times New Roman" w:cs="Times New Roman"/>
          <w:b/>
          <w:sz w:val="24"/>
          <w:lang w:eastAsia="pl-PL"/>
        </w:rPr>
        <w:t> </w:t>
      </w:r>
      <w:r w:rsidRPr="00C30388">
        <w:rPr>
          <w:rFonts w:ascii="Times New Roman" w:eastAsia="Times New Roman" w:hAnsi="Times New Roman" w:cs="Times New Roman"/>
          <w:b/>
          <w:sz w:val="24"/>
          <w:lang w:eastAsia="pl-PL"/>
        </w:rPr>
        <w:t>II</w:t>
      </w:r>
      <w:r w:rsidRPr="00C30388">
        <w:rPr>
          <w:rFonts w:ascii="Times New Roman" w:eastAsia="Times New Roman" w:hAnsi="Times New Roman" w:cs="Times New Roman"/>
          <w:bCs/>
          <w:sz w:val="24"/>
          <w:lang w:eastAsia="pl-PL"/>
        </w:rPr>
        <w:t>.</w:t>
      </w:r>
    </w:p>
    <w:p w14:paraId="79EAEA9B" w14:textId="77777777" w:rsidR="003174C2" w:rsidRPr="00C30388" w:rsidRDefault="003174C2" w:rsidP="002A4C92">
      <w:pPr>
        <w:spacing w:after="120"/>
        <w:jc w:val="both"/>
        <w:rPr>
          <w:rFonts w:ascii="Times New Roman" w:eastAsia="Times New Roman" w:hAnsi="Times New Roman" w:cs="Times New Roman"/>
          <w:bCs/>
          <w:sz w:val="24"/>
          <w:lang w:eastAsia="pl-PL"/>
        </w:rPr>
      </w:pPr>
    </w:p>
    <w:p w14:paraId="76B43610" w14:textId="76465FB3"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lastRenderedPageBreak/>
        <w:t xml:space="preserve">Modelowa </w:t>
      </w:r>
      <w:r w:rsidR="00F707E7" w:rsidRPr="00C30388">
        <w:rPr>
          <w:rFonts w:ascii="Times New Roman" w:hAnsi="Times New Roman" w:cs="Times New Roman"/>
          <w:i/>
          <w:sz w:val="24"/>
        </w:rPr>
        <w:t>k</w:t>
      </w:r>
      <w:r w:rsidRPr="00C30388">
        <w:rPr>
          <w:rFonts w:ascii="Times New Roman" w:hAnsi="Times New Roman" w:cs="Times New Roman"/>
          <w:i/>
          <w:sz w:val="24"/>
        </w:rPr>
        <w:t>onwencja OECD</w:t>
      </w:r>
    </w:p>
    <w:p w14:paraId="7A8B092F" w14:textId="13E12B95"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
          <w:sz w:val="24"/>
          <w:lang w:eastAsia="pl-PL"/>
        </w:rPr>
        <w:t>Art. 2 ust. 1 pkt 3</w:t>
      </w:r>
      <w:r w:rsidR="00C2186F" w:rsidRPr="00C30388">
        <w:rPr>
          <w:rFonts w:ascii="Times New Roman" w:eastAsia="Times New Roman" w:hAnsi="Times New Roman" w:cs="Times New Roman"/>
          <w:b/>
          <w:sz w:val="24"/>
          <w:lang w:eastAsia="pl-PL"/>
        </w:rPr>
        <w:t>1</w:t>
      </w:r>
      <w:r w:rsidRPr="00C30388">
        <w:rPr>
          <w:rFonts w:ascii="Times New Roman" w:hAnsi="Times New Roman" w:cs="Times New Roman"/>
          <w:sz w:val="24"/>
        </w:rPr>
        <w:t xml:space="preserve"> </w:t>
      </w:r>
      <w:r w:rsidRPr="00C30388">
        <w:rPr>
          <w:rFonts w:ascii="Times New Roman" w:eastAsia="Times New Roman" w:hAnsi="Times New Roman" w:cs="Times New Roman"/>
          <w:bCs/>
          <w:sz w:val="24"/>
          <w:lang w:eastAsia="pl-PL"/>
        </w:rPr>
        <w:t xml:space="preserve">wprowadza definicję Modelowej </w:t>
      </w:r>
      <w:r w:rsidR="00F707E7" w:rsidRPr="00C30388">
        <w:rPr>
          <w:rFonts w:ascii="Times New Roman" w:eastAsia="Times New Roman" w:hAnsi="Times New Roman" w:cs="Times New Roman"/>
          <w:bCs/>
          <w:sz w:val="24"/>
          <w:lang w:eastAsia="pl-PL"/>
        </w:rPr>
        <w:t>k</w:t>
      </w:r>
      <w:r w:rsidRPr="00C30388">
        <w:rPr>
          <w:rFonts w:ascii="Times New Roman" w:eastAsia="Times New Roman" w:hAnsi="Times New Roman" w:cs="Times New Roman"/>
          <w:bCs/>
          <w:sz w:val="24"/>
          <w:lang w:eastAsia="pl-PL"/>
        </w:rPr>
        <w:t xml:space="preserve">onwencji OECD, z uwagi na odwołania do tej </w:t>
      </w:r>
      <w:r w:rsidR="00ED3A9E" w:rsidRPr="00C30388">
        <w:rPr>
          <w:rFonts w:ascii="Times New Roman" w:eastAsia="Times New Roman" w:hAnsi="Times New Roman" w:cs="Times New Roman"/>
          <w:bCs/>
          <w:sz w:val="24"/>
          <w:lang w:eastAsia="pl-PL"/>
        </w:rPr>
        <w:t>k</w:t>
      </w:r>
      <w:r w:rsidRPr="00C30388">
        <w:rPr>
          <w:rFonts w:ascii="Times New Roman" w:eastAsia="Times New Roman" w:hAnsi="Times New Roman" w:cs="Times New Roman"/>
          <w:bCs/>
          <w:sz w:val="24"/>
          <w:lang w:eastAsia="pl-PL"/>
        </w:rPr>
        <w:t>onwencji zawarte w ustawie (por. definicja stałego zakładu)</w:t>
      </w:r>
    </w:p>
    <w:p w14:paraId="42EC4D48" w14:textId="40519FC9" w:rsidR="002A4C92" w:rsidRPr="00C30388" w:rsidRDefault="002A4C92" w:rsidP="002A4C92">
      <w:pPr>
        <w:spacing w:after="120"/>
        <w:jc w:val="both"/>
        <w:rPr>
          <w:rFonts w:ascii="Times New Roman" w:eastAsia="Times New Roman" w:hAnsi="Times New Roman" w:cs="Times New Roman"/>
          <w:bCs/>
          <w:sz w:val="24"/>
          <w:lang w:eastAsia="pl-PL"/>
        </w:rPr>
      </w:pPr>
      <w:r w:rsidRPr="00C30388">
        <w:rPr>
          <w:rFonts w:ascii="Times New Roman" w:eastAsia="Times New Roman" w:hAnsi="Times New Roman" w:cs="Times New Roman"/>
          <w:bCs/>
          <w:sz w:val="24"/>
          <w:lang w:eastAsia="pl-PL"/>
        </w:rPr>
        <w:t xml:space="preserve">Ze względów redakcyjnych w uzasadnieniu używa się niekiedy zamiennie zwrotu „Modelowa </w:t>
      </w:r>
      <w:r w:rsidR="00ED3A9E" w:rsidRPr="00C30388">
        <w:rPr>
          <w:rFonts w:ascii="Times New Roman" w:eastAsia="Times New Roman" w:hAnsi="Times New Roman" w:cs="Times New Roman"/>
          <w:bCs/>
          <w:sz w:val="24"/>
          <w:lang w:eastAsia="pl-PL"/>
        </w:rPr>
        <w:t>k</w:t>
      </w:r>
      <w:r w:rsidRPr="00C30388">
        <w:rPr>
          <w:rFonts w:ascii="Times New Roman" w:eastAsia="Times New Roman" w:hAnsi="Times New Roman" w:cs="Times New Roman"/>
          <w:bCs/>
          <w:sz w:val="24"/>
          <w:lang w:eastAsia="pl-PL"/>
        </w:rPr>
        <w:t>onwencja OECD” i „Konwencja”.</w:t>
      </w:r>
    </w:p>
    <w:p w14:paraId="7E5D8AB6" w14:textId="166BC5C0"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 xml:space="preserve">Modelowe </w:t>
      </w:r>
      <w:r w:rsidR="00ED3A9E" w:rsidRPr="00C30388">
        <w:rPr>
          <w:rFonts w:ascii="Times New Roman" w:hAnsi="Times New Roman" w:cs="Times New Roman"/>
          <w:i/>
          <w:sz w:val="24"/>
        </w:rPr>
        <w:t>z</w:t>
      </w:r>
      <w:r w:rsidRPr="00C30388">
        <w:rPr>
          <w:rFonts w:ascii="Times New Roman" w:hAnsi="Times New Roman" w:cs="Times New Roman"/>
          <w:i/>
          <w:sz w:val="24"/>
        </w:rPr>
        <w:t>asady OECD</w:t>
      </w:r>
    </w:p>
    <w:p w14:paraId="659F53DD" w14:textId="3F8E2786"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
          <w:sz w:val="24"/>
        </w:rPr>
        <w:t>Art. 2 ust. 1 pkt 3</w:t>
      </w:r>
      <w:r w:rsidR="00C2186F" w:rsidRPr="00C30388">
        <w:rPr>
          <w:rFonts w:ascii="Times New Roman" w:hAnsi="Times New Roman" w:cs="Times New Roman"/>
          <w:b/>
          <w:sz w:val="24"/>
        </w:rPr>
        <w:t>2</w:t>
      </w:r>
      <w:r w:rsidRPr="00C30388">
        <w:rPr>
          <w:rFonts w:ascii="Times New Roman" w:hAnsi="Times New Roman" w:cs="Times New Roman"/>
          <w:sz w:val="24"/>
        </w:rPr>
        <w:t>, dla zwiększenia czytelności przepisów projektu,</w:t>
      </w:r>
      <w:r w:rsidRPr="00C30388">
        <w:rPr>
          <w:rFonts w:ascii="Times New Roman" w:hAnsi="Times New Roman" w:cs="Times New Roman"/>
          <w:b/>
          <w:sz w:val="24"/>
        </w:rPr>
        <w:t xml:space="preserve"> </w:t>
      </w:r>
      <w:r w:rsidRPr="00C30388">
        <w:rPr>
          <w:rFonts w:ascii="Times New Roman" w:hAnsi="Times New Roman" w:cs="Times New Roman"/>
          <w:sz w:val="24"/>
        </w:rPr>
        <w:t xml:space="preserve">wprowadza definicję </w:t>
      </w:r>
      <w:r w:rsidRPr="00C30388">
        <w:rPr>
          <w:rFonts w:ascii="Times New Roman" w:hAnsi="Times New Roman" w:cs="Times New Roman"/>
          <w:b/>
          <w:sz w:val="24"/>
        </w:rPr>
        <w:t xml:space="preserve">Modelowych </w:t>
      </w:r>
      <w:r w:rsidR="00ED3A9E" w:rsidRPr="00C30388">
        <w:rPr>
          <w:rFonts w:ascii="Times New Roman" w:hAnsi="Times New Roman" w:cs="Times New Roman"/>
          <w:b/>
          <w:sz w:val="24"/>
        </w:rPr>
        <w:t>z</w:t>
      </w:r>
      <w:r w:rsidRPr="00C30388">
        <w:rPr>
          <w:rFonts w:ascii="Times New Roman" w:hAnsi="Times New Roman" w:cs="Times New Roman"/>
          <w:b/>
          <w:sz w:val="24"/>
        </w:rPr>
        <w:t>asad OECD</w:t>
      </w:r>
      <w:r w:rsidRPr="00C30388">
        <w:rPr>
          <w:rFonts w:ascii="Times New Roman" w:hAnsi="Times New Roman" w:cs="Times New Roman"/>
          <w:sz w:val="24"/>
        </w:rPr>
        <w:t xml:space="preserve">. </w:t>
      </w:r>
    </w:p>
    <w:p w14:paraId="6477CFA0" w14:textId="1A8E4108" w:rsidR="00630EBC" w:rsidRPr="00C30388" w:rsidRDefault="00630EBC" w:rsidP="00630EBC">
      <w:pPr>
        <w:spacing w:after="120"/>
        <w:jc w:val="both"/>
        <w:rPr>
          <w:rFonts w:ascii="Times New Roman" w:hAnsi="Times New Roman" w:cs="Times New Roman"/>
          <w:i/>
          <w:iCs/>
          <w:sz w:val="24"/>
        </w:rPr>
      </w:pPr>
      <w:r w:rsidRPr="00C30388">
        <w:rPr>
          <w:rFonts w:ascii="Times New Roman" w:hAnsi="Times New Roman" w:cs="Times New Roman"/>
          <w:i/>
          <w:iCs/>
          <w:sz w:val="24"/>
        </w:rPr>
        <w:t>Osoba</w:t>
      </w:r>
    </w:p>
    <w:p w14:paraId="5D45006B" w14:textId="77777777" w:rsidR="002640FC" w:rsidRPr="00C30388" w:rsidRDefault="002640FC" w:rsidP="002640FC">
      <w:pPr>
        <w:spacing w:after="120"/>
        <w:jc w:val="both"/>
        <w:rPr>
          <w:rFonts w:ascii="Times New Roman" w:hAnsi="Times New Roman" w:cs="Times New Roman"/>
          <w:sz w:val="24"/>
        </w:rPr>
      </w:pPr>
      <w:r w:rsidRPr="00C30388">
        <w:rPr>
          <w:rFonts w:ascii="Times New Roman" w:hAnsi="Times New Roman" w:cs="Times New Roman"/>
          <w:sz w:val="24"/>
        </w:rPr>
        <w:t xml:space="preserve">W </w:t>
      </w:r>
      <w:r w:rsidRPr="00C30388">
        <w:rPr>
          <w:rFonts w:ascii="Times New Roman" w:hAnsi="Times New Roman" w:cs="Times New Roman"/>
          <w:b/>
          <w:bCs/>
          <w:sz w:val="24"/>
        </w:rPr>
        <w:t>art. 2 ust. 1 pkt 34</w:t>
      </w:r>
      <w:r w:rsidRPr="00C30388">
        <w:rPr>
          <w:rFonts w:ascii="Times New Roman" w:hAnsi="Times New Roman" w:cs="Times New Roman"/>
          <w:sz w:val="24"/>
        </w:rPr>
        <w:t xml:space="preserve"> projektu wprowadzono pojęcie „osoby”. Jest to zabieg, który służy uproszczeniu redakcji (skróceniu) przepisów ustawy, które odwołują się do  osoby fizycznej, osoby prawnej lub porozumienia umownego, w tym jednostki organizacyjnej nieposiadającej osobowości prawnej.</w:t>
      </w:r>
    </w:p>
    <w:p w14:paraId="6EB79FBD" w14:textId="71B00718" w:rsidR="002640FC" w:rsidRPr="00C30388" w:rsidRDefault="00AA2327" w:rsidP="002640FC">
      <w:pPr>
        <w:jc w:val="both"/>
        <w:rPr>
          <w:rFonts w:ascii="Times New Roman" w:hAnsi="Times New Roman" w:cs="Times New Roman"/>
          <w:sz w:val="24"/>
        </w:rPr>
      </w:pPr>
      <w:r w:rsidRPr="00C30388">
        <w:rPr>
          <w:rFonts w:ascii="Times New Roman" w:hAnsi="Times New Roman" w:cs="Times New Roman"/>
          <w:sz w:val="24"/>
        </w:rPr>
        <w:t>Słowniczek zawarty w art. 2 ust. 1 projektu nie odwołuje się do „osób powiązanych”. Jednakże</w:t>
      </w:r>
      <w:r w:rsidR="002640FC" w:rsidRPr="00C30388">
        <w:rPr>
          <w:rFonts w:ascii="Times New Roman" w:hAnsi="Times New Roman" w:cs="Times New Roman"/>
          <w:sz w:val="24"/>
        </w:rPr>
        <w:t>, w ślad za wyjaśnieniami zawartymi w Komentarzu lub Wytycznych Administracyjnych,</w:t>
      </w:r>
      <w:r w:rsidRPr="00C30388">
        <w:rPr>
          <w:rFonts w:ascii="Times New Roman" w:hAnsi="Times New Roman" w:cs="Times New Roman"/>
          <w:sz w:val="24"/>
        </w:rPr>
        <w:t xml:space="preserve"> należy wyjaśnić, że przepisy ustawy, które odnoszą się do „osób powiązanych” </w:t>
      </w:r>
      <w:r w:rsidR="002640FC" w:rsidRPr="00C30388">
        <w:rPr>
          <w:rFonts w:ascii="Times New Roman" w:hAnsi="Times New Roman" w:cs="Times New Roman"/>
          <w:sz w:val="24"/>
        </w:rPr>
        <w:t xml:space="preserve"> </w:t>
      </w:r>
      <w:r w:rsidRPr="00C30388">
        <w:rPr>
          <w:rFonts w:ascii="Times New Roman" w:hAnsi="Times New Roman" w:cs="Times New Roman"/>
          <w:sz w:val="24"/>
        </w:rPr>
        <w:t>należy interpretować</w:t>
      </w:r>
      <w:r w:rsidR="002640FC" w:rsidRPr="00C30388">
        <w:rPr>
          <w:rFonts w:ascii="Times New Roman" w:hAnsi="Times New Roman" w:cs="Times New Roman"/>
          <w:sz w:val="24"/>
        </w:rPr>
        <w:t xml:space="preserve"> przez pryzmat art. 5 ust. 8 Modelowej </w:t>
      </w:r>
      <w:r w:rsidRPr="00C30388">
        <w:rPr>
          <w:rFonts w:ascii="Times New Roman" w:hAnsi="Times New Roman" w:cs="Times New Roman"/>
          <w:sz w:val="24"/>
        </w:rPr>
        <w:t>k</w:t>
      </w:r>
      <w:r w:rsidR="002640FC" w:rsidRPr="00C30388">
        <w:rPr>
          <w:rFonts w:ascii="Times New Roman" w:hAnsi="Times New Roman" w:cs="Times New Roman"/>
          <w:sz w:val="24"/>
        </w:rPr>
        <w:t xml:space="preserve">onwencji OECD. Przykładem jest definicja funduszu inwestycyjnego, która wymaga, aby co najmniej jeden inwestor nie był powiązany z innymi inwestorami. W tym zakresie nie można przyjąć, iż chodzi o podmioty powiązane w rozumieniu ustawy o podatku dochodowym od osób prawnych. Komentarz wskazuje bowiem na kryteria powiązań, które wynikają ze wspomnianego art. 5 ust. 8 Modelowej </w:t>
      </w:r>
      <w:r w:rsidRPr="00C30388">
        <w:rPr>
          <w:rFonts w:ascii="Times New Roman" w:hAnsi="Times New Roman" w:cs="Times New Roman"/>
          <w:sz w:val="24"/>
        </w:rPr>
        <w:t>k</w:t>
      </w:r>
      <w:r w:rsidR="002640FC" w:rsidRPr="00C30388">
        <w:rPr>
          <w:rFonts w:ascii="Times New Roman" w:hAnsi="Times New Roman" w:cs="Times New Roman"/>
          <w:sz w:val="24"/>
        </w:rPr>
        <w:t>onwencji OECD</w:t>
      </w:r>
      <w:r w:rsidR="002640FC" w:rsidRPr="00C30388">
        <w:rPr>
          <w:rFonts w:ascii="Times New Roman" w:hAnsi="Times New Roman" w:cs="Times New Roman"/>
          <w:color w:val="FF0000"/>
          <w:sz w:val="24"/>
        </w:rPr>
        <w:t xml:space="preserve"> </w:t>
      </w:r>
      <w:r w:rsidR="002640FC" w:rsidRPr="00C30388">
        <w:rPr>
          <w:rFonts w:ascii="Times New Roman" w:hAnsi="Times New Roman" w:cs="Times New Roman"/>
          <w:sz w:val="24"/>
        </w:rPr>
        <w:t xml:space="preserve">i dotyczą m.in. wyższego progu posiadanych udziałów lub innych praw (ponad 50%). </w:t>
      </w:r>
    </w:p>
    <w:p w14:paraId="1577FF76" w14:textId="090D1DDB" w:rsidR="002640FC" w:rsidRPr="00C30388" w:rsidRDefault="002640FC" w:rsidP="002640FC">
      <w:pPr>
        <w:jc w:val="both"/>
        <w:rPr>
          <w:rFonts w:ascii="Times New Roman" w:hAnsi="Times New Roman" w:cs="Times New Roman"/>
          <w:sz w:val="24"/>
        </w:rPr>
      </w:pPr>
      <w:r w:rsidRPr="00C30388">
        <w:rPr>
          <w:rFonts w:ascii="Times New Roman" w:hAnsi="Times New Roman" w:cs="Times New Roman"/>
          <w:sz w:val="24"/>
        </w:rPr>
        <w:t xml:space="preserve">W uproszczeniu, kryteria ze wskazanego art. 5 ust. 8 Modelowej </w:t>
      </w:r>
      <w:r w:rsidR="00AA2327" w:rsidRPr="00C30388">
        <w:rPr>
          <w:rFonts w:ascii="Times New Roman" w:hAnsi="Times New Roman" w:cs="Times New Roman"/>
          <w:sz w:val="24"/>
        </w:rPr>
        <w:t>k</w:t>
      </w:r>
      <w:r w:rsidRPr="00C30388">
        <w:rPr>
          <w:rFonts w:ascii="Times New Roman" w:hAnsi="Times New Roman" w:cs="Times New Roman"/>
          <w:sz w:val="24"/>
        </w:rPr>
        <w:t>onwencji OECD przewidują, że dwie osoby są ze sobą powiązane, jeżeli jedna kontroluje drugą lub obie są kontrolowane przez te same osoby, a także gdy jedna z nich posiada bezpośrednio lub pośrednio więcej niż 50% udziałów w drugiej (lub w przypadku spółki – ponad 50% ogólnej liczby głosów i wartości akcji spółki lub udziału w kapitale zakładowym w spółce) lub jeżeli inna osoba posiada bezpośrednio lub pośrednio więcej niż 50% udziałów w każdym z tych podmiotów (lub w przypadku spółki, więcej niż 50% łącznej liczby głosów i wartości akcji spółki lub udziału w kapitale zakładowym spółki).</w:t>
      </w:r>
    </w:p>
    <w:p w14:paraId="5E617EA9" w14:textId="297D3BC5" w:rsidR="002640FC" w:rsidRPr="00C30388" w:rsidRDefault="002640FC" w:rsidP="002640FC">
      <w:pPr>
        <w:jc w:val="both"/>
        <w:rPr>
          <w:rFonts w:ascii="Times New Roman" w:hAnsi="Times New Roman" w:cs="Times New Roman"/>
          <w:i/>
          <w:iCs/>
          <w:sz w:val="24"/>
        </w:rPr>
      </w:pPr>
      <w:r w:rsidRPr="00C30388">
        <w:rPr>
          <w:rFonts w:ascii="Times New Roman" w:hAnsi="Times New Roman" w:cs="Times New Roman"/>
          <w:sz w:val="24"/>
        </w:rPr>
        <w:t xml:space="preserve">Wskazane kryteria należy analizować z uwzględnieniem dorobku OECD w odniesieniu do art. 5 ust. 8 Modelowej </w:t>
      </w:r>
      <w:r w:rsidR="00186DED" w:rsidRPr="00C30388">
        <w:rPr>
          <w:rFonts w:ascii="Times New Roman" w:hAnsi="Times New Roman" w:cs="Times New Roman"/>
          <w:sz w:val="24"/>
        </w:rPr>
        <w:t>k</w:t>
      </w:r>
      <w:r w:rsidRPr="00C30388">
        <w:rPr>
          <w:rFonts w:ascii="Times New Roman" w:hAnsi="Times New Roman" w:cs="Times New Roman"/>
          <w:sz w:val="24"/>
        </w:rPr>
        <w:t xml:space="preserve">onwencji OECD, przy czym na gruncie niniejszej ustawy kryteria te nie są ograniczone do stałego zakładu tak jak to ma miejsce we wskazanym artykule Modelowej </w:t>
      </w:r>
      <w:r w:rsidR="00AA2327" w:rsidRPr="00C30388">
        <w:rPr>
          <w:rFonts w:ascii="Times New Roman" w:hAnsi="Times New Roman" w:cs="Times New Roman"/>
          <w:sz w:val="24"/>
        </w:rPr>
        <w:t>k</w:t>
      </w:r>
      <w:r w:rsidRPr="00C30388">
        <w:rPr>
          <w:rFonts w:ascii="Times New Roman" w:hAnsi="Times New Roman" w:cs="Times New Roman"/>
          <w:sz w:val="24"/>
        </w:rPr>
        <w:t>onwencji OECD, lecz są stosowane w sposób uniwersalny (tj. przykładowo na potrzeby definicji funduszu inwestycyjnego).</w:t>
      </w:r>
    </w:p>
    <w:p w14:paraId="61429264" w14:textId="5EF97A91"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Podgrupa mniejszościowa</w:t>
      </w:r>
    </w:p>
    <w:p w14:paraId="51F702A2" w14:textId="446AC291" w:rsidR="002A4C92" w:rsidRPr="00C30388" w:rsidRDefault="002A4C92" w:rsidP="002A4C92">
      <w:pPr>
        <w:spacing w:after="120"/>
        <w:jc w:val="both"/>
        <w:rPr>
          <w:rFonts w:ascii="Times New Roman" w:hAnsi="Times New Roman" w:cs="Times New Roman"/>
          <w:bCs/>
          <w:iCs/>
          <w:color w:val="FF0000"/>
          <w:sz w:val="24"/>
        </w:rPr>
      </w:pPr>
      <w:r w:rsidRPr="00C30388">
        <w:rPr>
          <w:rFonts w:ascii="Times New Roman" w:hAnsi="Times New Roman" w:cs="Times New Roman"/>
          <w:bCs/>
          <w:iCs/>
          <w:sz w:val="24"/>
        </w:rPr>
        <w:t xml:space="preserve">Niniejsze zagadnienie zostało omówione w części uzasadnienia dotyczącej rozdziału 2 działu II. </w:t>
      </w:r>
    </w:p>
    <w:p w14:paraId="0C2CE7CE"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Przepisy o zagranicznych jednostkach kontrolowanych (CFC)</w:t>
      </w:r>
    </w:p>
    <w:p w14:paraId="31C59357" w14:textId="0CE54CA6"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
          <w:sz w:val="24"/>
        </w:rPr>
        <w:t>Art. 2 ust. 1 pkt 3</w:t>
      </w:r>
      <w:r w:rsidR="002640FC" w:rsidRPr="00C30388">
        <w:rPr>
          <w:rFonts w:ascii="Times New Roman" w:hAnsi="Times New Roman" w:cs="Times New Roman"/>
          <w:b/>
          <w:sz w:val="24"/>
        </w:rPr>
        <w:t>6</w:t>
      </w:r>
      <w:r w:rsidRPr="00C30388">
        <w:rPr>
          <w:rFonts w:ascii="Times New Roman" w:hAnsi="Times New Roman" w:cs="Times New Roman"/>
          <w:sz w:val="24"/>
        </w:rPr>
        <w:t xml:space="preserve"> wprowadza, w ślad za art. 3.17 Dyrektywy, definicję </w:t>
      </w:r>
      <w:r w:rsidRPr="00C30388">
        <w:rPr>
          <w:rFonts w:ascii="Times New Roman" w:hAnsi="Times New Roman" w:cs="Times New Roman"/>
          <w:b/>
          <w:bCs/>
          <w:sz w:val="24"/>
        </w:rPr>
        <w:t>p</w:t>
      </w:r>
      <w:r w:rsidRPr="00C30388">
        <w:rPr>
          <w:rFonts w:ascii="Times New Roman" w:hAnsi="Times New Roman" w:cs="Times New Roman"/>
          <w:b/>
          <w:sz w:val="24"/>
        </w:rPr>
        <w:t>rzepisów o zagranicznych jednostkach kontrolowanych</w:t>
      </w:r>
      <w:r w:rsidRPr="00C30388">
        <w:rPr>
          <w:rFonts w:ascii="Times New Roman" w:hAnsi="Times New Roman" w:cs="Times New Roman"/>
          <w:sz w:val="24"/>
        </w:rPr>
        <w:t xml:space="preserve">. Pod pojęciem tym należy rozumieć przepisy </w:t>
      </w:r>
      <w:r w:rsidRPr="00C30388">
        <w:rPr>
          <w:rFonts w:ascii="Times New Roman" w:hAnsi="Times New Roman" w:cs="Times New Roman"/>
          <w:sz w:val="24"/>
        </w:rPr>
        <w:lastRenderedPageBreak/>
        <w:t xml:space="preserve">art. 24a ustawy o podatku dochodowym od osób prawnych albo podobne przepisy obowiązujące w </w:t>
      </w:r>
      <w:r w:rsidR="00C912C9" w:rsidRPr="00C30388">
        <w:rPr>
          <w:rFonts w:ascii="Times New Roman" w:hAnsi="Times New Roman" w:cs="Times New Roman"/>
          <w:bCs/>
          <w:sz w:val="24"/>
        </w:rPr>
        <w:t>jurysdykcji</w:t>
      </w:r>
      <w:r w:rsidR="00C912C9" w:rsidRPr="00C30388" w:rsidDel="00C912C9">
        <w:rPr>
          <w:rFonts w:ascii="Times New Roman" w:hAnsi="Times New Roman" w:cs="Times New Roman"/>
          <w:sz w:val="24"/>
        </w:rPr>
        <w:t xml:space="preserve"> </w:t>
      </w:r>
      <w:r w:rsidR="00C912C9" w:rsidRPr="00C30388">
        <w:rPr>
          <w:rFonts w:ascii="Times New Roman" w:hAnsi="Times New Roman" w:cs="Times New Roman"/>
          <w:sz w:val="24"/>
        </w:rPr>
        <w:t xml:space="preserve">innej </w:t>
      </w:r>
      <w:r w:rsidRPr="00C30388">
        <w:rPr>
          <w:rFonts w:ascii="Times New Roman" w:hAnsi="Times New Roman" w:cs="Times New Roman"/>
          <w:sz w:val="24"/>
        </w:rPr>
        <w:t xml:space="preserve">niż Rzeczpospolita Polska, inne niż kwalifikowana zasada włączenia dochodu do opodatkowania, zgodnie z którymi bezpośredni lub pośredni udziałowiec lub uczestnik o podobnym charakterze w zagranicznej jednostce kontrolowanej, która jest jednostką składową, podlega opodatkowaniu od swojego udziału w całości lub w części dochodu osiągniętego przez tę jednostkę, niezależnie od tego, czy dochód ten jest wypłacany temu udziałowcowi lub uczestnikowi. </w:t>
      </w:r>
    </w:p>
    <w:p w14:paraId="03B251B7"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Omawiane pojęcie dla celów ustawy jest istotne w kontekście alokacji podatków kwalifikowanych, wynikających z przepisów o zagranicznych jednostkach. </w:t>
      </w:r>
    </w:p>
    <w:p w14:paraId="6AF59C8A" w14:textId="139C76BA"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Co istotne, </w:t>
      </w:r>
      <w:r w:rsidR="00C912C9" w:rsidRPr="00C30388">
        <w:rPr>
          <w:rFonts w:ascii="Times New Roman" w:hAnsi="Times New Roman" w:cs="Times New Roman"/>
          <w:bCs/>
          <w:sz w:val="24"/>
        </w:rPr>
        <w:t>jurysdykcje</w:t>
      </w:r>
      <w:r w:rsidRPr="00C30388">
        <w:rPr>
          <w:rFonts w:ascii="Times New Roman" w:hAnsi="Times New Roman" w:cs="Times New Roman"/>
          <w:sz w:val="24"/>
        </w:rPr>
        <w:t xml:space="preserve">, w których istnieje taki system (mimo jego podobieństw do konstrukcji Zasady IIR) nie są zobowiązane do zastąpienia istniejącego systemu opodatkowania CFC poprzez wprowadzenie Zasady IIR, a zatem nie stoi on na przeszkodzie, aby takie </w:t>
      </w:r>
      <w:r w:rsidR="00C912C9" w:rsidRPr="00C30388">
        <w:rPr>
          <w:rFonts w:ascii="Times New Roman" w:hAnsi="Times New Roman" w:cs="Times New Roman"/>
          <w:bCs/>
          <w:sz w:val="24"/>
        </w:rPr>
        <w:t xml:space="preserve">jurysdykcje </w:t>
      </w:r>
      <w:r w:rsidRPr="00C30388">
        <w:rPr>
          <w:rFonts w:ascii="Times New Roman" w:hAnsi="Times New Roman" w:cs="Times New Roman"/>
          <w:sz w:val="24"/>
        </w:rPr>
        <w:t xml:space="preserve">(m.in. </w:t>
      </w:r>
      <w:r w:rsidR="00C912C9" w:rsidRPr="00C30388">
        <w:rPr>
          <w:rFonts w:ascii="Times New Roman" w:hAnsi="Times New Roman" w:cs="Times New Roman"/>
          <w:sz w:val="24"/>
        </w:rPr>
        <w:t xml:space="preserve">Rzeczpospolita </w:t>
      </w:r>
      <w:r w:rsidRPr="00C30388">
        <w:rPr>
          <w:rFonts w:ascii="Times New Roman" w:hAnsi="Times New Roman" w:cs="Times New Roman"/>
          <w:sz w:val="24"/>
        </w:rPr>
        <w:t>Polska) stosowały zarówno Zasadę IIR, jak i przepisy o CFC. [Komentarz, 10.1;8]</w:t>
      </w:r>
    </w:p>
    <w:p w14:paraId="6B8349C6" w14:textId="77777777" w:rsidR="002A4C92" w:rsidRPr="00C30388" w:rsidRDefault="002A4C92" w:rsidP="002A4C92">
      <w:pPr>
        <w:spacing w:after="120"/>
        <w:jc w:val="both"/>
        <w:rPr>
          <w:rFonts w:ascii="Times New Roman" w:hAnsi="Times New Roman" w:cs="Times New Roman"/>
          <w:i/>
          <w:sz w:val="24"/>
        </w:rPr>
      </w:pPr>
      <w:r w:rsidRPr="00C30388">
        <w:rPr>
          <w:rFonts w:ascii="Times New Roman" w:hAnsi="Times New Roman" w:cs="Times New Roman"/>
          <w:i/>
          <w:sz w:val="24"/>
        </w:rPr>
        <w:t>Rok podatkowy</w:t>
      </w:r>
    </w:p>
    <w:p w14:paraId="26B223A6" w14:textId="295796DD"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b/>
          <w:sz w:val="24"/>
        </w:rPr>
        <w:t>Art. 2 ust. 1 pkt 3</w:t>
      </w:r>
      <w:r w:rsidR="002640FC" w:rsidRPr="00C30388">
        <w:rPr>
          <w:rFonts w:ascii="Times New Roman" w:hAnsi="Times New Roman" w:cs="Times New Roman"/>
          <w:b/>
          <w:sz w:val="24"/>
        </w:rPr>
        <w:t>7</w:t>
      </w:r>
      <w:r w:rsidRPr="00C30388">
        <w:rPr>
          <w:rFonts w:ascii="Times New Roman" w:hAnsi="Times New Roman" w:cs="Times New Roman"/>
          <w:b/>
          <w:sz w:val="24"/>
        </w:rPr>
        <w:t xml:space="preserve"> </w:t>
      </w:r>
      <w:r w:rsidRPr="00C30388">
        <w:rPr>
          <w:rFonts w:ascii="Times New Roman" w:hAnsi="Times New Roman" w:cs="Times New Roman"/>
          <w:sz w:val="24"/>
        </w:rPr>
        <w:t xml:space="preserve">zawiera definicję </w:t>
      </w:r>
      <w:r w:rsidRPr="00C30388">
        <w:rPr>
          <w:rFonts w:ascii="Times New Roman" w:hAnsi="Times New Roman" w:cs="Times New Roman"/>
          <w:b/>
          <w:bCs/>
          <w:sz w:val="24"/>
        </w:rPr>
        <w:t>roku podatkowego</w:t>
      </w:r>
      <w:r w:rsidRPr="00C30388">
        <w:rPr>
          <w:rFonts w:ascii="Times New Roman" w:hAnsi="Times New Roman" w:cs="Times New Roman"/>
          <w:sz w:val="24"/>
        </w:rPr>
        <w:t xml:space="preserve">, określoną w art. 3.7 Dyrektywy. Pojęcie to oznacza rok ustalany dla celów rachunkowych, za który jednostka dominująca najwyższego szczebla danej grupy sporządza jej skonsolidowane sprawozdanie finansowe. Zazwyczaj jest to okres trwający 12 kolejnych pełnych miesięcy kalendarzowych. </w:t>
      </w:r>
    </w:p>
    <w:p w14:paraId="1B0E4E61" w14:textId="77777777" w:rsidR="002A4C92" w:rsidRPr="00C30388" w:rsidRDefault="002A4C92" w:rsidP="002A4C92">
      <w:pPr>
        <w:spacing w:after="120"/>
        <w:jc w:val="both"/>
        <w:rPr>
          <w:rFonts w:ascii="Times New Roman" w:hAnsi="Times New Roman" w:cs="Times New Roman"/>
          <w:sz w:val="24"/>
        </w:rPr>
      </w:pPr>
      <w:r w:rsidRPr="00C30388">
        <w:rPr>
          <w:rFonts w:ascii="Times New Roman" w:hAnsi="Times New Roman" w:cs="Times New Roman"/>
          <w:sz w:val="24"/>
        </w:rPr>
        <w:t xml:space="preserve">W przypadku, gdy takie sprawozdanie nie jest sporządzane oraz spełniony jest warunek odnoszący się do hipotetycznego sprawozdania finansowego, za rok podatkowy należy uznać rok kalendarzowy. </w:t>
      </w:r>
    </w:p>
    <w:p w14:paraId="0EE1A620" w14:textId="77777777" w:rsidR="002A4C92" w:rsidRPr="00C30388" w:rsidRDefault="002A4C92" w:rsidP="002A4C92">
      <w:pPr>
        <w:jc w:val="both"/>
        <w:rPr>
          <w:rFonts w:ascii="Times New Roman" w:hAnsi="Times New Roman" w:cs="Times New Roman"/>
          <w:sz w:val="24"/>
        </w:rPr>
      </w:pPr>
      <w:r w:rsidRPr="00C30388">
        <w:rPr>
          <w:rFonts w:ascii="Times New Roman" w:hAnsi="Times New Roman" w:cs="Times New Roman"/>
          <w:sz w:val="24"/>
        </w:rPr>
        <w:t xml:space="preserve">Wytyczne z grudnia 2023 r. dookreślają zakres zastosowania niniejszej ustawy w odniesieniu do sytuacji, gdy rok podatkowy, w szczególności przyjęty przez jednostkę dominującą najwyższego szczebla w skonsolidowanym sprawozdaniu grupy, nie obejmuje tego samego okresu, co przyjęty przez poszczególne jednostki składowe tej grupy rok dla celów rachunkowych. </w:t>
      </w:r>
      <w:bookmarkStart w:id="4" w:name="_Hlk158810135"/>
      <w:r w:rsidRPr="00C30388">
        <w:rPr>
          <w:rFonts w:ascii="Times New Roman" w:hAnsi="Times New Roman" w:cs="Times New Roman"/>
          <w:sz w:val="24"/>
        </w:rPr>
        <w:t>W takich sytuacjach grupy mogą stosować różne podejścia co do sposobu uwzględniania w skonsolidowanym sprawozdaniu finansowym informacji pochodzących z jednostkowych sprawozdań finansowych w zależności od standardu rachunkowości wykorzystywanego do sporządzenia skonsolidowanego sprawozdania finansowego.</w:t>
      </w:r>
      <w:bookmarkEnd w:id="4"/>
      <w:r w:rsidRPr="00C30388">
        <w:rPr>
          <w:rFonts w:ascii="Times New Roman" w:hAnsi="Times New Roman" w:cs="Times New Roman"/>
          <w:sz w:val="24"/>
        </w:rPr>
        <w:t xml:space="preserve"> </w:t>
      </w:r>
    </w:p>
    <w:p w14:paraId="01AEC6A9" w14:textId="77777777" w:rsidR="002A4C92" w:rsidRPr="00C30388" w:rsidRDefault="002A4C92" w:rsidP="002A4C92">
      <w:pPr>
        <w:jc w:val="both"/>
        <w:rPr>
          <w:rFonts w:ascii="Times New Roman" w:hAnsi="Times New Roman" w:cs="Times New Roman"/>
          <w:sz w:val="24"/>
        </w:rPr>
      </w:pPr>
      <w:r w:rsidRPr="00C30388">
        <w:rPr>
          <w:rFonts w:ascii="Times New Roman" w:hAnsi="Times New Roman" w:cs="Times New Roman"/>
          <w:sz w:val="24"/>
        </w:rPr>
        <w:t>Jednym z możliwych rozwiązań jest włączenie do skonsolidowanego sprawozdania finansowego wyniku finansowego jednostki składowej. Jeśli jednostka składowa przyjęła dla celów rachunkowych okres rozliczeniowy kończący się przed dniem kończącym rok podatkowy jednostki dominującej najwyższego szczebla, zaprezentowane wyżej podejście powoduje, że skonsolidowane sprawozdanie finansowe będzie obejmować przychód lub koszty wynikające z transakcji mających miejsce przed rozpoczęciem roku podatkowego jednostki dominującej najwyższego szczebla.</w:t>
      </w:r>
    </w:p>
    <w:p w14:paraId="2907FB3E" w14:textId="77777777" w:rsidR="002A4C92" w:rsidRPr="00C30388" w:rsidRDefault="002A4C92" w:rsidP="002A4C92">
      <w:pPr>
        <w:jc w:val="both"/>
        <w:rPr>
          <w:rFonts w:ascii="Times New Roman" w:hAnsi="Times New Roman" w:cs="Times New Roman"/>
          <w:sz w:val="24"/>
        </w:rPr>
      </w:pPr>
      <w:r w:rsidRPr="00C30388">
        <w:rPr>
          <w:rFonts w:ascii="Times New Roman" w:hAnsi="Times New Roman" w:cs="Times New Roman"/>
          <w:sz w:val="24"/>
        </w:rPr>
        <w:t>Grupy stosujące inny standard rachunkowy mogą być z kolei zobowiązane wyodrębnić dochód jednostki składowej na podstawie roku podatkowego jednostki dominującej najwyższego szczebla i połączyć kwoty z dwóch przyjętych dla celów rachunkowości lat jednostki składowej, które pokrywają się - co do okresu - z rokiem podatkowym jednostki dominującej najwyższego szczebla.</w:t>
      </w:r>
    </w:p>
    <w:p w14:paraId="323E35B2" w14:textId="77777777" w:rsidR="002A4C92" w:rsidRPr="00C30388" w:rsidRDefault="002A4C92" w:rsidP="002A4C92">
      <w:pPr>
        <w:pStyle w:val="USTustnpkodeksu"/>
        <w:spacing w:after="120" w:line="252" w:lineRule="auto"/>
        <w:ind w:firstLine="0"/>
        <w:rPr>
          <w:rFonts w:ascii="Times New Roman" w:hAnsi="Times New Roman" w:cs="Times New Roman"/>
          <w:bCs w:val="0"/>
          <w:szCs w:val="22"/>
        </w:rPr>
      </w:pPr>
      <w:r w:rsidRPr="00C30388">
        <w:rPr>
          <w:rFonts w:ascii="Times New Roman" w:hAnsi="Times New Roman" w:cs="Times New Roman"/>
          <w:bCs w:val="0"/>
          <w:szCs w:val="22"/>
        </w:rPr>
        <w:lastRenderedPageBreak/>
        <w:t xml:space="preserve">Aby rozstrzygnąć mogące powstać na tle opisanego zagadnienia rozbieżności, stosownie do kierunku interpretacyjnego zaprezentowanego w pkt. 3.2 Wytycznych z grudnia 2023 r., należy odwołać się do definicji roku podatkowego. Zasadniczo jest to okres rachunkowy wykorzystywany przez jednostkę dominującą najwyższego szczebla dla sporządzenia skonsolidowanego sprawozdania finansowego. Z tego względu w sytuacjach, gdy sprawozdanie finansowe jednostki składowej danej grupy przedsiębiorstw zostało sporządzone na inny dzień bilansowy niż dzień kończący rok podatkowy UPE, dla celów zastosowania niniejszej ustawy należy wziąć pod uwagę zasady eliminacji tych  zidentyfikowanych różnic przyjęte przez grupę w ramach sporządzanego skonsolidowanego sprawozdania finansowego. Zgodnie z powyższym, w przypadku tych grup, które po prostu agregują w swym w skonsolidowanym sprawozdaniu finansowym dane finansowe jednostki składowej stosującej odmienny dla celów rachunkowych okres rozliczeniowy, to kwoty te należy uwzględnić na potrzeby opodatkowania wyrównawczego. </w:t>
      </w:r>
    </w:p>
    <w:p w14:paraId="179EB2AD" w14:textId="77777777"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 – grupa przedsiębiorstw przy sporządzaniu skonsolidowanego sprawozdania finansowego uwzględnia bez dostosowywania dane finansowe wynikające ze sprawozdania finansowego jednostki składowej (tj. bez uwzględnienia różnic w okresie, który obejmują).</w:t>
      </w:r>
    </w:p>
    <w:p w14:paraId="3E39557D" w14:textId="2D4A8F16"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dominująca najwyższego szczebla kończy swój rok podatkowy 31 grudnia. Jedna z konsolidowanych przez nią jednostek składowych prowadzi swoje księgi rachunkowe w oparciu o rachunkowy okres sprawozdawczy kończący się 30 listopada. Zgodnie z standardem rachunkowości wykorzystywanym do sporządzenia skonsolidowanego sprawozdania finansowego na potrzeby konsolidacji agreguje się dane wynikające ze sprawozdania finansowego jednostki zamykającej swoje księgi wcześniej niż na dzień kończący rok podatkowy, bez uwzględnienia różnic w okresie, którego dotyczą. </w:t>
      </w:r>
    </w:p>
    <w:p w14:paraId="73593ED4" w14:textId="0048EF57" w:rsidR="00E163E3"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bookmarkStart w:id="5" w:name="_Hlk159358384"/>
      <w:r w:rsidRPr="003E7A67">
        <w:rPr>
          <w:rFonts w:asciiTheme="minorHAnsi" w:hAnsiTheme="minorHAnsi" w:cstheme="minorHAnsi"/>
          <w:bCs w:val="0"/>
          <w:i/>
          <w:iCs/>
          <w:sz w:val="22"/>
          <w:szCs w:val="22"/>
        </w:rPr>
        <w:t xml:space="preserve">Dla roku podatkowego, którego dotyczy informacja o opodatkowaniu wyrównawczym, rozpoczynającego się 1 stycznia 2025 r. i kończącego się 31 grudnia 2025 r. </w:t>
      </w:r>
      <w:bookmarkEnd w:id="5"/>
      <w:r w:rsidRPr="003E7A67">
        <w:rPr>
          <w:rFonts w:asciiTheme="minorHAnsi" w:hAnsiTheme="minorHAnsi" w:cstheme="minorHAnsi"/>
          <w:bCs w:val="0"/>
          <w:i/>
          <w:iCs/>
          <w:sz w:val="22"/>
          <w:szCs w:val="22"/>
        </w:rPr>
        <w:t>należy przyjąć dane ze sprawozdania finansowego jednostki składowej sporządzonego za okres 1 grudnia 2024 r. – 30 listopada 2025 r.</w:t>
      </w:r>
    </w:p>
    <w:p w14:paraId="3E97D0C0" w14:textId="35790F0E" w:rsidR="002A4C92" w:rsidRPr="00C30388" w:rsidRDefault="002A4C92" w:rsidP="00E163E3">
      <w:pPr>
        <w:pStyle w:val="USTustnpkodeksu"/>
        <w:spacing w:before="240" w:after="120" w:line="252" w:lineRule="auto"/>
        <w:ind w:firstLine="0"/>
        <w:rPr>
          <w:rFonts w:ascii="Times New Roman" w:hAnsi="Times New Roman" w:cs="Times New Roman"/>
          <w:bCs w:val="0"/>
          <w:szCs w:val="24"/>
        </w:rPr>
      </w:pPr>
      <w:r w:rsidRPr="00C30388">
        <w:rPr>
          <w:rFonts w:ascii="Times New Roman" w:hAnsi="Times New Roman" w:cs="Times New Roman"/>
          <w:bCs w:val="0"/>
          <w:szCs w:val="24"/>
        </w:rPr>
        <w:t>W odniesieniu natomiast do grup, które zgodnie z postanowieniami standardu rachunkowości wykorzystywanego do sporządzenia skonsolidowanego sprawozdania finansowego uwzględniają wynik finansowy jednostki składowej osiągnięty w okresie odpowiadającym rokowi podatkowego UPE, to rezultat tego dostosowania powinien być uwzględniany dla celów obliczeń wymaganych w ramach niniejszej ustawy.</w:t>
      </w:r>
    </w:p>
    <w:p w14:paraId="6130356F" w14:textId="28B08C56"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 - grupa przedsiębiorstw łączy kwoty przychodów i kosztów z dwóch lat obrotowych jednostki składowej przypadających na okres odpowiadający rokowi podatkowemu UPE.</w:t>
      </w:r>
    </w:p>
    <w:p w14:paraId="117EBB71" w14:textId="77777777"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dominująca najwyższego szczebla kończy swój rok podatkowy 31 grudnia. Konsolidowana przez nią jednostka składowa prowadzi swoje księgi rachunkowe w oparciu o rachunkowy okres sprawozdawczy kończący się 30 listopada. Wykorzystywany w procesie konsolidacji standard rachunkowy wymaga, aby uwzględniane w skonsolidowanym sprawozdaniu finansowym dane finansowe jednostek składowych dotyczyły tożsamego okresu, co rok przyjęty dla celów rachunkowych przez jednostkę dominująca najwyższego szczebla. W związku z tym na potrzeby konsolidacji wyodrębnia się przychody i koszty ze wszystkich miesięcy roku obrotowego jednostki składowej, które pokrywają się ze stosowanym dla celów rachunkowych rokiem obrotowym UPE (rokiem podatkowym) tj. styczeń – listopad. Dodatkowo w celu sporządzenia skonsolidowanego sprawozdania finansowego zgodnie z znajdującym zastosowanie standardem rachunkowości należy uwzględnić  przychody i koszty z pierwszego miesiąca kolejnego roku </w:t>
      </w:r>
      <w:r w:rsidRPr="003E7A67">
        <w:rPr>
          <w:rFonts w:asciiTheme="minorHAnsi" w:hAnsiTheme="minorHAnsi" w:cstheme="minorHAnsi"/>
          <w:bCs w:val="0"/>
          <w:i/>
          <w:iCs/>
          <w:sz w:val="22"/>
          <w:szCs w:val="22"/>
        </w:rPr>
        <w:lastRenderedPageBreak/>
        <w:t xml:space="preserve">obrotowego jednostki składowej, który odpowiada ostatniemu miesiącowi roku podatkowego UPE, tj. z grudnia.  </w:t>
      </w:r>
    </w:p>
    <w:p w14:paraId="45E9A8E7" w14:textId="77777777"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W rozważanym przykładzie na potrzeby niniejszej ustawy dla roku podatkowego, którego dotyczy informacja o opodatkowaniu wyrównawczym, rozpoczynającego się 1 stycznia 2025 r. i kończącego się 31 grudnia 2025 r., należy przyjąć dane ze sprawozdań finansowych jednostki składowej obejmujących okres odpowiadający rokowi podatkowemu UPE – tj. 1 stycznia 2025 r. – 31 grudnia 2025 r. </w:t>
      </w:r>
    </w:p>
    <w:p w14:paraId="3001915E" w14:textId="138A3E52" w:rsidR="002A4C92" w:rsidRPr="00C30388" w:rsidRDefault="002A4C92" w:rsidP="00E163E3">
      <w:pPr>
        <w:pStyle w:val="USTustnpkodeksu"/>
        <w:spacing w:before="240" w:after="120" w:line="252" w:lineRule="auto"/>
        <w:ind w:firstLine="0"/>
        <w:rPr>
          <w:rFonts w:ascii="Times New Roman" w:hAnsi="Times New Roman" w:cs="Times New Roman"/>
          <w:bCs w:val="0"/>
          <w:szCs w:val="24"/>
        </w:rPr>
      </w:pPr>
      <w:r w:rsidRPr="00C30388">
        <w:rPr>
          <w:rFonts w:ascii="Times New Roman" w:hAnsi="Times New Roman" w:cs="Times New Roman"/>
          <w:bCs w:val="0"/>
          <w:szCs w:val="24"/>
        </w:rPr>
        <w:t>Należy jednak zauważyć, że z sytuacją braku tożsamości roku podatkowego przyjętego na potrzeby skonsolidowanego sprawozdania finansowego oraz okresu rozliczeniowego możemy mieć również do czynienia w przypadku jednostek, które nie są konsolidowane, ponieważ są jednostkami joint venture bądź jednostkami zależnymi joint venture, a więc nie są jednostkami składowymi. Analogicznie możliwość zastosowania przyjętej w skonsolidowanym sprawozdaniu finansowym metody  postępowania z rozbieżnościami mi</w:t>
      </w:r>
      <w:r w:rsidR="00001C57" w:rsidRPr="00C30388">
        <w:rPr>
          <w:rFonts w:ascii="Times New Roman" w:hAnsi="Times New Roman" w:cs="Times New Roman"/>
          <w:bCs w:val="0"/>
          <w:szCs w:val="24"/>
        </w:rPr>
        <w:t>ę</w:t>
      </w:r>
      <w:r w:rsidRPr="00C30388">
        <w:rPr>
          <w:rFonts w:ascii="Times New Roman" w:hAnsi="Times New Roman" w:cs="Times New Roman"/>
          <w:bCs w:val="0"/>
          <w:szCs w:val="24"/>
        </w:rPr>
        <w:t>dzy rokiem podatkowym UPE a rachunkowym okresem rozliczeniowym nie powstaje względem jednostek składowych wyłączonych z konsolidacji ze względu na niewielki rozmiar, nieistotność lub przeznaczenie do sprzedaży.</w:t>
      </w:r>
    </w:p>
    <w:p w14:paraId="78B54A7F" w14:textId="06EE517C" w:rsidR="002A4C92" w:rsidRPr="00C30388" w:rsidRDefault="002A4C92" w:rsidP="002A4C92">
      <w:pPr>
        <w:pStyle w:val="USTustnpkodeksu"/>
        <w:spacing w:after="120" w:line="252" w:lineRule="auto"/>
        <w:ind w:firstLine="0"/>
        <w:rPr>
          <w:rFonts w:ascii="Times New Roman" w:hAnsi="Times New Roman" w:cs="Times New Roman"/>
          <w:bCs w:val="0"/>
          <w:szCs w:val="24"/>
        </w:rPr>
      </w:pPr>
      <w:r w:rsidRPr="00C30388">
        <w:rPr>
          <w:rFonts w:ascii="Times New Roman" w:hAnsi="Times New Roman" w:cs="Times New Roman"/>
          <w:bCs w:val="0"/>
          <w:szCs w:val="24"/>
        </w:rPr>
        <w:t>Opodatkowanie wyrównawcze funkcjonuje w odniesieniu do roku podatkowego będącego przede wszystkim ustalonym dla celów rachunkowych rokiem, za który sporządzane jest skonsolidowane finansowane danej grupy przedsiębiorstw. W przypadku, gdy sprawozdanie finansowe danej jednostki  prowadzone jest za inny okres niż rok podatkowy UPE i jednostka ta nie podlega konsolidacji, na potrzeby wywiązania z obowiązków nakładanych na podstawie niniejszej ustawy należy przyjąć okres rachunkowy kończący się w trakcie roku podatkowego UPE.</w:t>
      </w:r>
    </w:p>
    <w:p w14:paraId="5DF7EA0A" w14:textId="7FB8C40E"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0ADA5DE0" w14:textId="33A2AA6B"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Grupa międzynarodowa A z </w:t>
      </w:r>
      <w:r w:rsidR="00391687">
        <w:rPr>
          <w:rFonts w:asciiTheme="minorHAnsi" w:hAnsiTheme="minorHAnsi" w:cstheme="minorHAnsi"/>
          <w:bCs w:val="0"/>
          <w:i/>
          <w:iCs/>
          <w:sz w:val="22"/>
          <w:szCs w:val="22"/>
        </w:rPr>
        <w:t>UPE zlokalizowaną</w:t>
      </w:r>
      <w:r w:rsidR="00391687" w:rsidRPr="003E7A67">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w </w:t>
      </w:r>
      <w:r w:rsidR="00C912C9"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A posiada jednostkę składową B </w:t>
      </w:r>
      <w:r w:rsidR="00391687">
        <w:rPr>
          <w:rFonts w:asciiTheme="minorHAnsi" w:hAnsiTheme="minorHAnsi" w:cstheme="minorHAnsi"/>
          <w:bCs w:val="0"/>
          <w:i/>
          <w:iCs/>
          <w:sz w:val="22"/>
          <w:szCs w:val="22"/>
        </w:rPr>
        <w:t>zlokalizowaną</w:t>
      </w:r>
      <w:r w:rsidRPr="003E7A67">
        <w:rPr>
          <w:rFonts w:asciiTheme="minorHAnsi" w:hAnsiTheme="minorHAnsi" w:cstheme="minorHAnsi"/>
          <w:bCs w:val="0"/>
          <w:i/>
          <w:iCs/>
          <w:sz w:val="22"/>
          <w:szCs w:val="22"/>
        </w:rPr>
        <w:t xml:space="preserve"> w </w:t>
      </w:r>
      <w:r w:rsidR="00C912C9"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B. Rok podatkowy, którego dotyczy </w:t>
      </w:r>
      <w:r w:rsidR="00391687">
        <w:rPr>
          <w:rFonts w:asciiTheme="minorHAnsi" w:hAnsiTheme="minorHAnsi" w:cstheme="minorHAnsi"/>
          <w:bCs w:val="0"/>
          <w:i/>
          <w:iCs/>
          <w:sz w:val="22"/>
          <w:szCs w:val="22"/>
        </w:rPr>
        <w:t>I</w:t>
      </w:r>
      <w:r w:rsidRPr="003E7A67">
        <w:rPr>
          <w:rFonts w:asciiTheme="minorHAnsi" w:hAnsiTheme="minorHAnsi" w:cstheme="minorHAnsi"/>
          <w:bCs w:val="0"/>
          <w:i/>
          <w:iCs/>
          <w:sz w:val="22"/>
          <w:szCs w:val="22"/>
        </w:rPr>
        <w:t xml:space="preserve">nformacja </w:t>
      </w:r>
      <w:r w:rsidR="00391687">
        <w:rPr>
          <w:rFonts w:asciiTheme="minorHAnsi" w:hAnsiTheme="minorHAnsi" w:cstheme="minorHAnsi"/>
          <w:bCs w:val="0"/>
          <w:i/>
          <w:iCs/>
          <w:sz w:val="22"/>
          <w:szCs w:val="22"/>
        </w:rPr>
        <w:t>GloBE</w:t>
      </w:r>
      <w:r w:rsidRPr="003E7A67">
        <w:rPr>
          <w:rFonts w:asciiTheme="minorHAnsi" w:hAnsiTheme="minorHAnsi" w:cstheme="minorHAnsi"/>
          <w:bCs w:val="0"/>
          <w:i/>
          <w:iCs/>
          <w:sz w:val="22"/>
          <w:szCs w:val="22"/>
        </w:rPr>
        <w:t xml:space="preserve">, tej grupy kończy się 31 grudnia. Jednostka składowa B nie jest uwzględniania przy sporządzaniu skonsolidowanego sprawozdania finansowego grupy międzynarodowej A. Jednostkowe sprawozdanie finansowe jednostki składowej B jest przygotowywane w okresie rachunkowym kończącym się 30 listopada. Dla roku podatkowego, za który składana jest </w:t>
      </w:r>
      <w:r w:rsidR="00391687">
        <w:rPr>
          <w:rFonts w:asciiTheme="minorHAnsi" w:hAnsiTheme="minorHAnsi" w:cstheme="minorHAnsi"/>
          <w:bCs w:val="0"/>
          <w:i/>
          <w:iCs/>
          <w:sz w:val="22"/>
          <w:szCs w:val="22"/>
        </w:rPr>
        <w:t>Informacja GloBE (</w:t>
      </w:r>
      <w:r w:rsidRPr="003E7A67">
        <w:rPr>
          <w:rFonts w:asciiTheme="minorHAnsi" w:hAnsiTheme="minorHAnsi" w:cstheme="minorHAnsi"/>
          <w:bCs w:val="0"/>
          <w:i/>
          <w:iCs/>
          <w:sz w:val="22"/>
          <w:szCs w:val="22"/>
        </w:rPr>
        <w:t>1 stycznia 2025 – 31 grudnia 2025</w:t>
      </w:r>
      <w:r w:rsidR="00391687">
        <w:rPr>
          <w:rFonts w:asciiTheme="minorHAnsi" w:hAnsiTheme="minorHAnsi" w:cstheme="minorHAnsi"/>
          <w:bCs w:val="0"/>
          <w:i/>
          <w:iCs/>
          <w:sz w:val="22"/>
          <w:szCs w:val="22"/>
        </w:rPr>
        <w:t>)</w:t>
      </w:r>
      <w:r w:rsidRPr="003E7A67">
        <w:rPr>
          <w:rFonts w:asciiTheme="minorHAnsi" w:hAnsiTheme="minorHAnsi" w:cstheme="minorHAnsi"/>
          <w:bCs w:val="0"/>
          <w:i/>
          <w:iCs/>
          <w:sz w:val="22"/>
          <w:szCs w:val="22"/>
        </w:rPr>
        <w:t xml:space="preserve"> należy uwzględnić informacje </w:t>
      </w:r>
      <w:r w:rsidR="00391687">
        <w:rPr>
          <w:rFonts w:asciiTheme="minorHAnsi" w:hAnsiTheme="minorHAnsi" w:cstheme="minorHAnsi"/>
          <w:bCs w:val="0"/>
          <w:i/>
          <w:iCs/>
          <w:sz w:val="22"/>
          <w:szCs w:val="22"/>
        </w:rPr>
        <w:t>wynikające</w:t>
      </w:r>
      <w:r w:rsidR="00391687" w:rsidRPr="003E7A67">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z jednostkowego sprawozdania finansowego jednostki składowej B obejmującego okres 31 grudnia 2024 – 30 listopada 2025.</w:t>
      </w:r>
    </w:p>
    <w:p w14:paraId="764FFE7D" w14:textId="352C9A25" w:rsidR="002A4C92" w:rsidRPr="00C30388" w:rsidRDefault="002A4C92" w:rsidP="00E163E3">
      <w:pPr>
        <w:pStyle w:val="USTustnpkodeksu"/>
        <w:spacing w:before="240" w:after="120" w:line="252" w:lineRule="auto"/>
        <w:ind w:firstLine="0"/>
        <w:rPr>
          <w:rFonts w:ascii="Times New Roman" w:hAnsi="Times New Roman" w:cs="Times New Roman"/>
          <w:bCs w:val="0"/>
          <w:szCs w:val="24"/>
        </w:rPr>
      </w:pPr>
      <w:r w:rsidRPr="00C30388">
        <w:rPr>
          <w:rFonts w:ascii="Times New Roman" w:hAnsi="Times New Roman" w:cs="Times New Roman"/>
          <w:bCs w:val="0"/>
          <w:szCs w:val="24"/>
        </w:rPr>
        <w:t xml:space="preserve">Opracowana metodologia zapewni, że informacje niezbędne do ustalenie potencjalnego obowiązku podatkowego w ramach opodatkowania wyrównawczego będą dostępne w terminie składania </w:t>
      </w:r>
      <w:r w:rsidR="00391687" w:rsidRPr="00C30388">
        <w:rPr>
          <w:rFonts w:ascii="Times New Roman" w:hAnsi="Times New Roman" w:cs="Times New Roman"/>
          <w:bCs w:val="0"/>
          <w:szCs w:val="24"/>
        </w:rPr>
        <w:t>Informacji GloBE</w:t>
      </w:r>
      <w:r w:rsidRPr="00C30388">
        <w:rPr>
          <w:rFonts w:ascii="Times New Roman" w:hAnsi="Times New Roman" w:cs="Times New Roman"/>
          <w:bCs w:val="0"/>
          <w:szCs w:val="24"/>
        </w:rPr>
        <w:t xml:space="preserve"> dotyczącej konkretnego roku podatkowego. </w:t>
      </w:r>
    </w:p>
    <w:p w14:paraId="75E2F060"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Analogiczne do wyżej opisanych reguł należy przyjąć w odniesieniu do jednostek joint venture oraz grup  joint venture, jeśli ich sprawozdania finansowe są prowadzone za okres nieodpowiadający rokowi podatkowemu UPE.</w:t>
      </w:r>
    </w:p>
    <w:p w14:paraId="1E2C9387"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 xml:space="preserve">Skonsolidowane sprawozdanie finansowe </w:t>
      </w:r>
    </w:p>
    <w:p w14:paraId="2F24773D" w14:textId="2FC17EBF"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Pojęcie </w:t>
      </w:r>
      <w:r w:rsidRPr="00C30388">
        <w:rPr>
          <w:rFonts w:ascii="Times New Roman" w:hAnsi="Times New Roman" w:cs="Times New Roman"/>
          <w:b/>
          <w:bCs/>
          <w:sz w:val="24"/>
          <w:szCs w:val="24"/>
        </w:rPr>
        <w:t>s</w:t>
      </w:r>
      <w:r w:rsidRPr="00C30388">
        <w:rPr>
          <w:rFonts w:ascii="Times New Roman" w:hAnsi="Times New Roman" w:cs="Times New Roman"/>
          <w:b/>
          <w:sz w:val="24"/>
          <w:szCs w:val="24"/>
        </w:rPr>
        <w:t>konsolidowanego sprawozdania finansowego</w:t>
      </w:r>
      <w:r w:rsidRPr="00C30388">
        <w:rPr>
          <w:rFonts w:ascii="Times New Roman" w:hAnsi="Times New Roman" w:cs="Times New Roman"/>
          <w:sz w:val="24"/>
          <w:szCs w:val="24"/>
        </w:rPr>
        <w:t xml:space="preserve"> (ang. </w:t>
      </w:r>
      <w:r w:rsidRPr="00C30388">
        <w:rPr>
          <w:rFonts w:ascii="Times New Roman" w:hAnsi="Times New Roman" w:cs="Times New Roman"/>
          <w:i/>
          <w:sz w:val="24"/>
          <w:szCs w:val="24"/>
        </w:rPr>
        <w:t>consolidated financial statement</w:t>
      </w:r>
      <w:r w:rsidRPr="00C30388">
        <w:rPr>
          <w:rFonts w:ascii="Times New Roman" w:hAnsi="Times New Roman" w:cs="Times New Roman"/>
          <w:i/>
          <w:iCs/>
          <w:sz w:val="24"/>
          <w:szCs w:val="24"/>
        </w:rPr>
        <w:t>s</w:t>
      </w:r>
      <w:r w:rsidRPr="00C30388">
        <w:rPr>
          <w:rFonts w:ascii="Times New Roman" w:hAnsi="Times New Roman" w:cs="Times New Roman"/>
          <w:sz w:val="24"/>
          <w:szCs w:val="24"/>
        </w:rPr>
        <w:t>), zdefiniowanego w</w:t>
      </w:r>
      <w:r w:rsidRPr="00C30388">
        <w:rPr>
          <w:rFonts w:ascii="Times New Roman" w:hAnsi="Times New Roman" w:cs="Times New Roman"/>
          <w:b/>
          <w:sz w:val="24"/>
          <w:szCs w:val="24"/>
        </w:rPr>
        <w:t xml:space="preserve"> art. 2 ust. 1 pkt 3</w:t>
      </w:r>
      <w:r w:rsidR="002640FC" w:rsidRPr="00C30388">
        <w:rPr>
          <w:rFonts w:ascii="Times New Roman" w:hAnsi="Times New Roman" w:cs="Times New Roman"/>
          <w:b/>
          <w:sz w:val="24"/>
          <w:szCs w:val="24"/>
        </w:rPr>
        <w:t>8</w:t>
      </w:r>
      <w:r w:rsidRPr="00C30388">
        <w:rPr>
          <w:rFonts w:ascii="Times New Roman" w:hAnsi="Times New Roman" w:cs="Times New Roman"/>
          <w:sz w:val="24"/>
          <w:szCs w:val="24"/>
        </w:rPr>
        <w:t xml:space="preserve"> jest jednym z kluczowych pojęć dla całego Systemu GloBE, stanowiącego punkt wyjścia do określenia jego zakresu podmiotowego i </w:t>
      </w:r>
      <w:r w:rsidRPr="00C30388">
        <w:rPr>
          <w:rFonts w:ascii="Times New Roman" w:hAnsi="Times New Roman" w:cs="Times New Roman"/>
          <w:sz w:val="24"/>
          <w:szCs w:val="24"/>
        </w:rPr>
        <w:lastRenderedPageBreak/>
        <w:t>przedmiotowego. Projekt recypuje w tym zakresie art. 3.6 Dyrektywy. Definicja ta obejmuje cztery rodzaje sprawozdań uznawane za skonsolidowane sprawozdanie finansowe dla celów stosowania Systemu GloBE, tj.</w:t>
      </w:r>
      <w:r w:rsidRPr="00C30388">
        <w:rPr>
          <w:rFonts w:ascii="Times New Roman" w:hAnsi="Times New Roman" w:cs="Times New Roman"/>
          <w:bCs/>
          <w:sz w:val="24"/>
          <w:szCs w:val="24"/>
        </w:rPr>
        <w:t xml:space="preserve"> sprawozdanie finansowe</w:t>
      </w:r>
      <w:r w:rsidRPr="00C30388">
        <w:rPr>
          <w:rFonts w:ascii="Times New Roman" w:hAnsi="Times New Roman" w:cs="Times New Roman"/>
          <w:sz w:val="24"/>
          <w:szCs w:val="24"/>
        </w:rPr>
        <w:t>:</w:t>
      </w:r>
    </w:p>
    <w:p w14:paraId="24FF26CB" w14:textId="77777777" w:rsidR="002A4C92" w:rsidRPr="00C30388" w:rsidRDefault="002A4C92" w:rsidP="002A4C92">
      <w:pPr>
        <w:pStyle w:val="Akapitzlist"/>
        <w:numPr>
          <w:ilvl w:val="0"/>
          <w:numId w:val="13"/>
        </w:numPr>
        <w:spacing w:after="120"/>
        <w:ind w:left="862" w:hanging="357"/>
        <w:contextualSpacing w:val="0"/>
        <w:jc w:val="both"/>
        <w:rPr>
          <w:rFonts w:ascii="Times New Roman" w:hAnsi="Times New Roman" w:cs="Times New Roman"/>
          <w:sz w:val="24"/>
          <w:szCs w:val="24"/>
        </w:rPr>
      </w:pPr>
      <w:r w:rsidRPr="00C30388">
        <w:rPr>
          <w:rFonts w:ascii="Times New Roman" w:hAnsi="Times New Roman" w:cs="Times New Roman"/>
          <w:bCs/>
          <w:sz w:val="24"/>
          <w:szCs w:val="24"/>
        </w:rPr>
        <w:t>sporządzane przez jednostkę zgodnie z akceptowalnym standardem rachunkowości, w którym aktywa, zobowiązania, przychody, koszty i przepływy pieniężne danej jednostki oraz jednostek, w których posiada ona udział konsolidujący, są przedstawiane jako aktywa, zobowiązania, przychody, koszty i przepływy pieniężne jednej jednostki,</w:t>
      </w:r>
    </w:p>
    <w:p w14:paraId="6B800618" w14:textId="77777777" w:rsidR="002A4C92" w:rsidRPr="00C30388" w:rsidRDefault="002A4C92" w:rsidP="002A4C92">
      <w:pPr>
        <w:pStyle w:val="Akapitzlist"/>
        <w:numPr>
          <w:ilvl w:val="0"/>
          <w:numId w:val="13"/>
        </w:numPr>
        <w:spacing w:after="120"/>
        <w:ind w:left="862" w:hanging="357"/>
        <w:contextualSpacing w:val="0"/>
        <w:jc w:val="both"/>
        <w:rPr>
          <w:rFonts w:ascii="Times New Roman" w:hAnsi="Times New Roman" w:cs="Times New Roman"/>
          <w:sz w:val="24"/>
          <w:szCs w:val="24"/>
        </w:rPr>
      </w:pPr>
      <w:r w:rsidRPr="00C30388">
        <w:rPr>
          <w:rFonts w:ascii="Times New Roman" w:hAnsi="Times New Roman" w:cs="Times New Roman"/>
          <w:bCs/>
          <w:sz w:val="24"/>
          <w:szCs w:val="24"/>
        </w:rPr>
        <w:t xml:space="preserve">sporządzane przez jednostkę zgodnie z akceptowalnym standardem rachunkowości – </w:t>
      </w:r>
      <w:r w:rsidRPr="00C30388">
        <w:rPr>
          <w:rFonts w:ascii="Times New Roman" w:hAnsi="Times New Roman" w:cs="Times New Roman"/>
          <w:bCs/>
          <w:sz w:val="24"/>
          <w:szCs w:val="24"/>
        </w:rPr>
        <w:br/>
        <w:t>w przypadku grup zdefiniowanych w </w:t>
      </w:r>
      <w:r w:rsidRPr="00C30388">
        <w:rPr>
          <w:rFonts w:ascii="Times New Roman" w:hAnsi="Times New Roman" w:cs="Times New Roman"/>
          <w:b/>
          <w:sz w:val="24"/>
          <w:szCs w:val="24"/>
        </w:rPr>
        <w:t>art. 2 ust. 1 pkt 6 lit. b</w:t>
      </w:r>
      <w:r w:rsidRPr="00C30388">
        <w:rPr>
          <w:rFonts w:ascii="Times New Roman" w:hAnsi="Times New Roman" w:cs="Times New Roman"/>
          <w:bCs/>
          <w:sz w:val="24"/>
          <w:szCs w:val="24"/>
        </w:rPr>
        <w:t xml:space="preserve"> ustawy (chodzi o centralę posiadającej co najmniej jeden stały zakład ale niebędącą częścią większej grupy),</w:t>
      </w:r>
    </w:p>
    <w:p w14:paraId="2976CA72" w14:textId="77777777" w:rsidR="002A4C92" w:rsidRPr="00C30388" w:rsidRDefault="002A4C92" w:rsidP="002A4C92">
      <w:pPr>
        <w:pStyle w:val="Akapitzlist"/>
        <w:numPr>
          <w:ilvl w:val="0"/>
          <w:numId w:val="13"/>
        </w:numPr>
        <w:spacing w:after="120"/>
        <w:ind w:left="862" w:hanging="357"/>
        <w:contextualSpacing w:val="0"/>
        <w:jc w:val="both"/>
        <w:rPr>
          <w:rFonts w:ascii="Times New Roman" w:hAnsi="Times New Roman" w:cs="Times New Roman"/>
          <w:sz w:val="24"/>
          <w:szCs w:val="24"/>
        </w:rPr>
      </w:pPr>
      <w:r w:rsidRPr="00C30388">
        <w:rPr>
          <w:rFonts w:ascii="Times New Roman" w:hAnsi="Times New Roman" w:cs="Times New Roman"/>
          <w:bCs/>
          <w:sz w:val="24"/>
          <w:szCs w:val="24"/>
        </w:rPr>
        <w:t>jednostki dominującej najwyższego szczebla, które nie zostało sporządzone zgodnie z akceptowalnym standardem rachunkowości, skorygowane w celu uniknięcia istotnej różnicy rachunkowej lub</w:t>
      </w:r>
    </w:p>
    <w:p w14:paraId="4D41377A" w14:textId="77777777" w:rsidR="002A4C92" w:rsidRPr="00C30388" w:rsidRDefault="002A4C92" w:rsidP="002A4C92">
      <w:pPr>
        <w:pStyle w:val="Akapitzlist"/>
        <w:numPr>
          <w:ilvl w:val="0"/>
          <w:numId w:val="13"/>
        </w:numPr>
        <w:spacing w:after="120"/>
        <w:ind w:left="862" w:hanging="357"/>
        <w:contextualSpacing w:val="0"/>
        <w:jc w:val="both"/>
        <w:rPr>
          <w:rFonts w:ascii="Times New Roman" w:hAnsi="Times New Roman" w:cs="Times New Roman"/>
          <w:sz w:val="24"/>
          <w:szCs w:val="24"/>
        </w:rPr>
      </w:pPr>
      <w:r w:rsidRPr="00C30388">
        <w:rPr>
          <w:rFonts w:ascii="Times New Roman" w:hAnsi="Times New Roman" w:cs="Times New Roman"/>
          <w:bCs/>
          <w:sz w:val="24"/>
          <w:szCs w:val="24"/>
        </w:rPr>
        <w:t xml:space="preserve">hipotetyczne sprawozdanie finansowe, tj. - w świetle </w:t>
      </w:r>
      <w:r w:rsidRPr="00C30388">
        <w:rPr>
          <w:rFonts w:ascii="Times New Roman" w:hAnsi="Times New Roman" w:cs="Times New Roman"/>
          <w:b/>
          <w:sz w:val="24"/>
          <w:szCs w:val="24"/>
        </w:rPr>
        <w:t>art. 2 ust. 1 pkt 10</w:t>
      </w:r>
      <w:r w:rsidRPr="00C30388">
        <w:rPr>
          <w:rFonts w:ascii="Times New Roman" w:hAnsi="Times New Roman" w:cs="Times New Roman"/>
          <w:bCs/>
          <w:sz w:val="24"/>
          <w:szCs w:val="24"/>
        </w:rPr>
        <w:t xml:space="preserve"> – sprawozdanie, które zostałoby sporządzone przez jednostkę dominującą najwyższego szczebla, gdyby ta jednostka była zobowiązana do sporządzenia takiego sprawozdania zgodnie z akceptowalnym standardem rachunkowości albo innym zatwierdzonym standardem rachunkowości z uwzględnieniem korekty w celu uniknięcia istotnej różnicy rachunkowej. </w:t>
      </w:r>
    </w:p>
    <w:p w14:paraId="59FA28C6" w14:textId="5BDF3869" w:rsidR="002A4C92" w:rsidRPr="00C30388" w:rsidRDefault="002A4C92" w:rsidP="006E73EC">
      <w:pPr>
        <w:spacing w:after="120"/>
        <w:jc w:val="both"/>
        <w:rPr>
          <w:rFonts w:ascii="Times New Roman" w:hAnsi="Times New Roman" w:cs="Times New Roman"/>
          <w:bCs/>
          <w:sz w:val="24"/>
          <w:szCs w:val="24"/>
        </w:rPr>
      </w:pPr>
      <w:r w:rsidRPr="00C30388">
        <w:rPr>
          <w:rFonts w:ascii="Times New Roman" w:hAnsi="Times New Roman" w:cs="Times New Roman"/>
          <w:bCs/>
          <w:sz w:val="24"/>
          <w:szCs w:val="24"/>
        </w:rPr>
        <w:t xml:space="preserve">Ostatni z ww. przypadków odnosi się do tzw. hipotetycznego skonsolidowanego sprawozdania finansowego (ang. </w:t>
      </w:r>
      <w:r w:rsidRPr="00C30388">
        <w:rPr>
          <w:rFonts w:ascii="Times New Roman" w:hAnsi="Times New Roman" w:cs="Times New Roman"/>
          <w:bCs/>
          <w:i/>
          <w:iCs/>
          <w:sz w:val="24"/>
          <w:szCs w:val="24"/>
        </w:rPr>
        <w:t>deemed consolidated financial statements</w:t>
      </w:r>
      <w:r w:rsidRPr="00C30388">
        <w:rPr>
          <w:rFonts w:ascii="Times New Roman" w:hAnsi="Times New Roman" w:cs="Times New Roman"/>
          <w:bCs/>
          <w:sz w:val="24"/>
          <w:szCs w:val="24"/>
        </w:rPr>
        <w:t xml:space="preserve">), opartego na tzw. teście hipotetycznej (domniemanej) konsolidacji (ang. </w:t>
      </w:r>
      <w:r w:rsidRPr="00C30388">
        <w:rPr>
          <w:rFonts w:ascii="Times New Roman" w:hAnsi="Times New Roman" w:cs="Times New Roman"/>
          <w:bCs/>
          <w:i/>
          <w:iCs/>
          <w:sz w:val="24"/>
          <w:szCs w:val="24"/>
        </w:rPr>
        <w:t>deemed consolidation test</w:t>
      </w:r>
      <w:r w:rsidRPr="00C30388">
        <w:rPr>
          <w:rFonts w:ascii="Times New Roman" w:hAnsi="Times New Roman" w:cs="Times New Roman"/>
          <w:bCs/>
          <w:sz w:val="24"/>
          <w:szCs w:val="24"/>
        </w:rPr>
        <w:t>). Test hipotetycznej konsolidacji znajduje zastosowanie, gdy</w:t>
      </w:r>
      <w:r w:rsidR="006E73EC" w:rsidRPr="00C30388">
        <w:rPr>
          <w:rFonts w:ascii="Times New Roman" w:hAnsi="Times New Roman" w:cs="Times New Roman"/>
          <w:bCs/>
          <w:sz w:val="24"/>
          <w:szCs w:val="24"/>
        </w:rPr>
        <w:t xml:space="preserve"> </w:t>
      </w:r>
      <w:r w:rsidRPr="00C30388">
        <w:rPr>
          <w:rFonts w:ascii="Times New Roman" w:hAnsi="Times New Roman" w:cs="Times New Roman"/>
          <w:bCs/>
          <w:sz w:val="24"/>
          <w:szCs w:val="24"/>
        </w:rPr>
        <w:t>zgodnie z przepisami krajowymi, jednostka dominująca najwyższego szczebla nie konsoliduje swoich jednostek zależnych ze względu na brak przepisów nakładających na nią obowiązek sporządzania skonsolidowanych sprawozdań finansowych zgodnie z MSSF lub lokalnymi standardami rachunkowości</w:t>
      </w:r>
      <w:r w:rsidR="006E73EC" w:rsidRPr="00C30388">
        <w:rPr>
          <w:rFonts w:ascii="Times New Roman" w:hAnsi="Times New Roman" w:cs="Times New Roman"/>
          <w:bCs/>
          <w:sz w:val="24"/>
          <w:szCs w:val="24"/>
        </w:rPr>
        <w:t xml:space="preserve">. W takiej sytuacji bada się, czy - gdyby taka jednostka miała obowiązek sporządzenia skonsolidowanego sprawozdania finansowego zgodnie z akceptowalnym/zatwierdzonym standardem rachunkowości – konsolidowałaby wyniki jednostek składowych na zasadzie konsolidacji pełnej lub proporcjonalnej. </w:t>
      </w:r>
      <w:r w:rsidRPr="00C30388">
        <w:rPr>
          <w:rFonts w:ascii="Times New Roman" w:hAnsi="Times New Roman" w:cs="Times New Roman"/>
          <w:bCs/>
          <w:sz w:val="24"/>
          <w:szCs w:val="24"/>
        </w:rPr>
        <w:t xml:space="preserve">W Wytycznych z lutego 2023 r. jako przykład takich jednostek wskazuje się </w:t>
      </w:r>
      <w:r w:rsidR="006E73EC" w:rsidRPr="00C30388">
        <w:rPr>
          <w:rFonts w:ascii="Times New Roman" w:hAnsi="Times New Roman" w:cs="Times New Roman"/>
          <w:bCs/>
          <w:sz w:val="24"/>
          <w:szCs w:val="24"/>
        </w:rPr>
        <w:t xml:space="preserve">międzynarodową spółkę posiadaną prywatnie lub przez </w:t>
      </w:r>
      <w:r w:rsidRPr="00C30388">
        <w:rPr>
          <w:rFonts w:ascii="Times New Roman" w:hAnsi="Times New Roman" w:cs="Times New Roman"/>
          <w:bCs/>
          <w:sz w:val="24"/>
          <w:szCs w:val="24"/>
        </w:rPr>
        <w:t xml:space="preserve">członków rodziny (ang. </w:t>
      </w:r>
      <w:r w:rsidRPr="00C30388">
        <w:rPr>
          <w:rFonts w:ascii="Times New Roman" w:hAnsi="Times New Roman" w:cs="Times New Roman"/>
          <w:bCs/>
          <w:i/>
          <w:iCs/>
          <w:sz w:val="24"/>
          <w:szCs w:val="24"/>
        </w:rPr>
        <w:t>privately and familiy-owned multinational corporation</w:t>
      </w:r>
      <w:r w:rsidRPr="00C30388">
        <w:rPr>
          <w:rFonts w:ascii="Times New Roman" w:hAnsi="Times New Roman" w:cs="Times New Roman"/>
          <w:bCs/>
          <w:sz w:val="24"/>
          <w:szCs w:val="24"/>
        </w:rPr>
        <w:t>).</w:t>
      </w:r>
      <w:r w:rsidR="006E73EC" w:rsidRPr="00C30388">
        <w:rPr>
          <w:rFonts w:ascii="Times New Roman" w:hAnsi="Times New Roman" w:cs="Times New Roman"/>
          <w:bCs/>
          <w:sz w:val="24"/>
          <w:szCs w:val="24"/>
        </w:rPr>
        <w:t xml:space="preserve"> </w:t>
      </w:r>
      <w:r w:rsidR="00A43FAE" w:rsidRPr="00C30388">
        <w:rPr>
          <w:rFonts w:ascii="Times New Roman" w:hAnsi="Times New Roman" w:cs="Times New Roman"/>
          <w:bCs/>
          <w:sz w:val="24"/>
          <w:szCs w:val="24"/>
        </w:rPr>
        <w:t>Test hipotetycznego sprawozdania mogą też potencjalnie spełnić inne jednostki, np. trusty lub fundacje rodzinne, które nie mają formalnie obowiązku sporządzenia skonsolidowanego sprawozdania, lecz gdyby miały taki obowiązek właściwa byłaby dla nich konsolidacja pełna lub proporcjonalna. Jednostki takie mogą się wpisywać w przykład 10.1-1 z pkt 1.2.4 Wytycznych z lutego 2023 r., o ile nie są traktowane w sposób szczególny z punktu widzenia właściwego standardu rachunkowości (np. nie są funduszem inwestycyjnym, który zgodnie z MSR/MSSF 10 nie dokonuje konsolidacji pełnej określonych jednostek, lecz wykazuje je zgodnie z metodą wartości godziwej / fair value method)</w:t>
      </w:r>
      <w:r w:rsidR="00A43FAE" w:rsidRPr="00C30388">
        <w:rPr>
          <w:rStyle w:val="Odwoanieprzypisudolnego"/>
          <w:rFonts w:ascii="Times New Roman" w:hAnsi="Times New Roman" w:cs="Times New Roman"/>
          <w:bCs/>
          <w:sz w:val="24"/>
          <w:szCs w:val="24"/>
        </w:rPr>
        <w:footnoteReference w:id="39"/>
      </w:r>
      <w:r w:rsidR="00A43FAE" w:rsidRPr="00C30388">
        <w:rPr>
          <w:rFonts w:ascii="Times New Roman" w:hAnsi="Times New Roman" w:cs="Times New Roman"/>
          <w:bCs/>
          <w:sz w:val="24"/>
          <w:szCs w:val="24"/>
        </w:rPr>
        <w:t>.</w:t>
      </w:r>
    </w:p>
    <w:p w14:paraId="6CFB0B85" w14:textId="77777777" w:rsidR="002A4C92" w:rsidRPr="00C30388" w:rsidRDefault="002A4C92" w:rsidP="002A4C92">
      <w:pPr>
        <w:spacing w:after="120"/>
        <w:jc w:val="both"/>
        <w:rPr>
          <w:rFonts w:ascii="Times New Roman" w:hAnsi="Times New Roman" w:cs="Times New Roman"/>
          <w:bCs/>
          <w:sz w:val="24"/>
          <w:szCs w:val="24"/>
        </w:rPr>
      </w:pPr>
      <w:r w:rsidRPr="00C30388">
        <w:rPr>
          <w:rFonts w:ascii="Times New Roman" w:hAnsi="Times New Roman" w:cs="Times New Roman"/>
          <w:bCs/>
          <w:sz w:val="24"/>
          <w:szCs w:val="24"/>
        </w:rPr>
        <w:lastRenderedPageBreak/>
        <w:t xml:space="preserve">Test hipotetycznej konsolidacji nie zmienia zasad, które mają być stosowane zgodnie z zatwierdzonym standardem rachunkowości, a zatem nie zmienia wyników stosowania takiego standardu. </w:t>
      </w:r>
      <w:r w:rsidRPr="00C30388">
        <w:rPr>
          <w:rFonts w:ascii="Times New Roman" w:hAnsi="Times New Roman" w:cs="Times New Roman"/>
          <w:bCs/>
          <w:sz w:val="24"/>
          <w:szCs w:val="24"/>
        </w:rPr>
        <w:br/>
        <w:t>W szczególności, nie wymaga on od jednostki dominującej najwyższego szczebla konsolidacji aktywów, zobowiązań, przychodów, kosztów i przepływów pieniężnych innej jednostki, jeśli konsolidacja pełna nie jest wymagana przez mający zastosowanie zatwierdzony standard rachunkowości.</w:t>
      </w:r>
      <w:r w:rsidRPr="00C30388">
        <w:rPr>
          <w:rFonts w:ascii="Times New Roman" w:hAnsi="Times New Roman" w:cs="Times New Roman"/>
          <w:sz w:val="24"/>
          <w:szCs w:val="24"/>
          <w:vertAlign w:val="superscript"/>
        </w:rPr>
        <w:t xml:space="preserve"> </w:t>
      </w:r>
      <w:r w:rsidRPr="00C30388">
        <w:rPr>
          <w:rFonts w:ascii="Times New Roman" w:hAnsi="Times New Roman" w:cs="Times New Roman"/>
          <w:bCs/>
          <w:sz w:val="24"/>
          <w:szCs w:val="24"/>
          <w:vertAlign w:val="superscript"/>
        </w:rPr>
        <w:footnoteReference w:id="40"/>
      </w:r>
      <w:r w:rsidRPr="00C30388">
        <w:rPr>
          <w:rFonts w:ascii="Times New Roman" w:hAnsi="Times New Roman" w:cs="Times New Roman"/>
          <w:sz w:val="24"/>
          <w:szCs w:val="24"/>
          <w:vertAlign w:val="superscript"/>
        </w:rPr>
        <w:t xml:space="preserve"> </w:t>
      </w:r>
      <w:r w:rsidRPr="00C30388">
        <w:rPr>
          <w:rFonts w:ascii="Times New Roman" w:hAnsi="Times New Roman" w:cs="Times New Roman"/>
          <w:bCs/>
          <w:sz w:val="24"/>
          <w:szCs w:val="24"/>
        </w:rPr>
        <w:t xml:space="preserve">Test ten pozwala ustalić, czy w przypadku obowiązkowego stosowania standardu powstanie skonsolidowana grupa. Wskazany test wymaga sporządzenia skonsolidowanego sprawozdania finansowego na podstawie zatwierdzonego standardu rachunkowości, który jest albo akceptowalnym standardem rachunkowości albo innym standardem rachunkowości, podlegającym skorygowaniu w celu zapobieżenia wszelkim istotnym różnicom rachunkowym. Grupa może wybrać spośród zatwierdzonych standardów rachunkowości, obowiązujących w kraju lokalizacji jednostki dominującej najwyższego szczebla. To skonsolidowane sprawozdanie finansowe jest następnie wykorzystywane na przykład przy ustalaniu spełnienia progu przychodowego 750 mln euro lub przy badaniu, czy jednostka powinna być traktowana jako jednostka składowa grupy. </w:t>
      </w:r>
    </w:p>
    <w:p w14:paraId="75F5D41D" w14:textId="4437328C" w:rsidR="002A4C92" w:rsidRPr="00C30388" w:rsidRDefault="002A4C92" w:rsidP="002A4C92">
      <w:pPr>
        <w:spacing w:after="120"/>
        <w:jc w:val="both"/>
        <w:rPr>
          <w:rFonts w:ascii="Times New Roman" w:hAnsi="Times New Roman" w:cs="Times New Roman"/>
          <w:bCs/>
          <w:sz w:val="24"/>
          <w:szCs w:val="24"/>
        </w:rPr>
      </w:pPr>
      <w:r w:rsidRPr="00C30388">
        <w:rPr>
          <w:rFonts w:ascii="Times New Roman" w:hAnsi="Times New Roman" w:cs="Times New Roman"/>
          <w:bCs/>
          <w:sz w:val="24"/>
          <w:szCs w:val="24"/>
        </w:rPr>
        <w:t xml:space="preserve">Definicja skonsolidowanego sprawozdania finansowego (a co za tym idzie, testu hipotetycznej konsolidacji) ma znaczenie dla funkcjonowania szeregu Zasad GloBE – dla przykładu dla określenia składu grupy objętej Zasadami GloBE. Definicja grupy, zawarta w </w:t>
      </w:r>
      <w:r w:rsidRPr="00C30388">
        <w:rPr>
          <w:rFonts w:ascii="Times New Roman" w:hAnsi="Times New Roman" w:cs="Times New Roman"/>
          <w:b/>
          <w:sz w:val="24"/>
          <w:szCs w:val="24"/>
        </w:rPr>
        <w:t>art. 2 ust. 1 pkt 6 lit. a</w:t>
      </w:r>
      <w:r w:rsidRPr="00C30388">
        <w:rPr>
          <w:rFonts w:ascii="Times New Roman" w:hAnsi="Times New Roman" w:cs="Times New Roman"/>
          <w:bCs/>
          <w:sz w:val="24"/>
          <w:szCs w:val="24"/>
        </w:rPr>
        <w:t xml:space="preserve"> projektu, obejmuje również jednostki, które nie są uwzględnione w skonsolidowanym sprawozdaniu finansowym jednostki dominującej najwyższego szczebla wyłącznie ze względu na ich niewielki rozmiar, nieistotność lub przeznaczenie do sprzedaży. Zasada ta ma zastosowanie również w odniesieniu do hipotetycznego skonsolidowanego sprawozdania finansowego. Tym samym, nawet jeśli w skonsolidowanym sprawozdaniu finansowym albo hipotetycznym skonsolidowanym sprawozdaniu finansowym przygotowanym zgodnie z zatwierdzonym standardem rachunkowości jednostka nie zostałaby uwzględniona wyłącznie ze względu na niewielki rozmiar, nieistotność lub przeznaczenie do sprzedaży, jednostka ta stanowi część grupy.  </w:t>
      </w:r>
    </w:p>
    <w:p w14:paraId="72D764D4"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Skonsolidowane sprawozdanie grupy</w:t>
      </w:r>
    </w:p>
    <w:p w14:paraId="4C440270" w14:textId="68F72D16" w:rsidR="002A4C92" w:rsidRPr="00C30388" w:rsidRDefault="002A4C92" w:rsidP="002A4C92">
      <w:pPr>
        <w:spacing w:after="120"/>
        <w:jc w:val="both"/>
        <w:rPr>
          <w:rFonts w:ascii="Times New Roman" w:hAnsi="Times New Roman" w:cs="Times New Roman"/>
          <w:iCs/>
          <w:sz w:val="24"/>
          <w:szCs w:val="24"/>
        </w:rPr>
      </w:pPr>
      <w:r w:rsidRPr="00C30388">
        <w:rPr>
          <w:rFonts w:ascii="Times New Roman" w:hAnsi="Times New Roman" w:cs="Times New Roman"/>
          <w:iCs/>
          <w:sz w:val="24"/>
          <w:szCs w:val="24"/>
        </w:rPr>
        <w:t xml:space="preserve">W art. </w:t>
      </w:r>
      <w:r w:rsidRPr="00C30388">
        <w:rPr>
          <w:rFonts w:ascii="Times New Roman" w:hAnsi="Times New Roman" w:cs="Times New Roman"/>
          <w:b/>
          <w:bCs/>
          <w:iCs/>
          <w:sz w:val="24"/>
          <w:szCs w:val="24"/>
        </w:rPr>
        <w:t xml:space="preserve">2 ust. 1 pkt </w:t>
      </w:r>
      <w:r w:rsidR="002640FC" w:rsidRPr="00C30388">
        <w:rPr>
          <w:rFonts w:ascii="Times New Roman" w:hAnsi="Times New Roman" w:cs="Times New Roman"/>
          <w:b/>
          <w:bCs/>
          <w:iCs/>
          <w:sz w:val="24"/>
          <w:szCs w:val="24"/>
        </w:rPr>
        <w:t>39</w:t>
      </w:r>
      <w:r w:rsidRPr="00C30388">
        <w:rPr>
          <w:rFonts w:ascii="Times New Roman" w:hAnsi="Times New Roman" w:cs="Times New Roman"/>
          <w:iCs/>
          <w:sz w:val="24"/>
          <w:szCs w:val="24"/>
        </w:rPr>
        <w:t xml:space="preserve"> wprowadza się dodatkowo pojęcie „</w:t>
      </w:r>
      <w:r w:rsidRPr="00C30388">
        <w:rPr>
          <w:rFonts w:ascii="Times New Roman" w:hAnsi="Times New Roman" w:cs="Times New Roman"/>
          <w:b/>
          <w:bCs/>
          <w:iCs/>
          <w:sz w:val="24"/>
          <w:szCs w:val="24"/>
        </w:rPr>
        <w:t>skonsolidowanego sprawozdania grupy</w:t>
      </w:r>
      <w:r w:rsidRPr="00C30388">
        <w:rPr>
          <w:rFonts w:ascii="Times New Roman" w:hAnsi="Times New Roman" w:cs="Times New Roman"/>
          <w:iCs/>
          <w:sz w:val="24"/>
          <w:szCs w:val="24"/>
        </w:rPr>
        <w:t xml:space="preserve">”. Jest to skrót stosowany dla uproszczenia redakcji przepisów ustawy i oznaczenia sprawozdania finansowego, o którym mowa w </w:t>
      </w:r>
      <w:r w:rsidRPr="00C30388">
        <w:rPr>
          <w:rFonts w:ascii="Times New Roman" w:hAnsi="Times New Roman" w:cs="Times New Roman"/>
          <w:b/>
          <w:bCs/>
          <w:iCs/>
          <w:sz w:val="24"/>
          <w:szCs w:val="24"/>
        </w:rPr>
        <w:t>pkt 3</w:t>
      </w:r>
      <w:r w:rsidR="002640FC" w:rsidRPr="00C30388">
        <w:rPr>
          <w:rFonts w:ascii="Times New Roman" w:hAnsi="Times New Roman" w:cs="Times New Roman"/>
          <w:b/>
          <w:bCs/>
          <w:iCs/>
          <w:sz w:val="24"/>
          <w:szCs w:val="24"/>
        </w:rPr>
        <w:t>8</w:t>
      </w:r>
      <w:r w:rsidRPr="00C30388">
        <w:rPr>
          <w:rFonts w:ascii="Times New Roman" w:hAnsi="Times New Roman" w:cs="Times New Roman"/>
          <w:iCs/>
          <w:sz w:val="24"/>
          <w:szCs w:val="24"/>
        </w:rPr>
        <w:t xml:space="preserve">, </w:t>
      </w:r>
      <w:r w:rsidRPr="00C30388">
        <w:rPr>
          <w:rFonts w:ascii="Times New Roman" w:hAnsi="Times New Roman" w:cs="Times New Roman"/>
          <w:b/>
          <w:bCs/>
          <w:iCs/>
          <w:sz w:val="24"/>
          <w:szCs w:val="24"/>
        </w:rPr>
        <w:t>sporządzonego przez jednostkę dominującą najwyższego szczebla grupy</w:t>
      </w:r>
      <w:r w:rsidRPr="00C30388">
        <w:rPr>
          <w:rFonts w:ascii="Times New Roman" w:hAnsi="Times New Roman" w:cs="Times New Roman"/>
          <w:iCs/>
          <w:sz w:val="24"/>
          <w:szCs w:val="24"/>
        </w:rPr>
        <w:t xml:space="preserve"> międzynarodowej lub grupy krajowej. Główna definicja skonsolidowanego sprawozdania finansowego nie odwołuje się bowiem spójnie do sprawozdania sporządzonego przez jednostkę dominującą najwyższego szczebla.</w:t>
      </w:r>
    </w:p>
    <w:p w14:paraId="681E7267"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 xml:space="preserve">Stały zakład </w:t>
      </w:r>
    </w:p>
    <w:p w14:paraId="7317D2F3" w14:textId="50E74B20" w:rsidR="002A4C92" w:rsidRPr="00C30388" w:rsidRDefault="002A4C92" w:rsidP="002A4C92">
      <w:pPr>
        <w:spacing w:after="120"/>
        <w:jc w:val="both"/>
        <w:rPr>
          <w:rFonts w:ascii="Times New Roman" w:eastAsia="Times New Roman" w:hAnsi="Times New Roman" w:cs="Times New Roman"/>
          <w:bCs/>
          <w:sz w:val="24"/>
          <w:szCs w:val="24"/>
          <w:lang w:eastAsia="pl-PL"/>
        </w:rPr>
      </w:pPr>
      <w:r w:rsidRPr="00C30388">
        <w:rPr>
          <w:rFonts w:ascii="Times New Roman" w:eastAsia="Times New Roman" w:hAnsi="Times New Roman" w:cs="Times New Roman"/>
          <w:bCs/>
          <w:sz w:val="24"/>
          <w:szCs w:val="24"/>
          <w:lang w:eastAsia="pl-PL"/>
        </w:rPr>
        <w:t xml:space="preserve">Przepis </w:t>
      </w:r>
      <w:r w:rsidRPr="00C30388">
        <w:rPr>
          <w:rFonts w:ascii="Times New Roman" w:eastAsia="Times New Roman" w:hAnsi="Times New Roman" w:cs="Times New Roman"/>
          <w:b/>
          <w:bCs/>
          <w:sz w:val="24"/>
          <w:szCs w:val="24"/>
          <w:lang w:eastAsia="pl-PL"/>
        </w:rPr>
        <w:t>art. 2 ust. 1 pkt 4</w:t>
      </w:r>
      <w:r w:rsidR="002640FC" w:rsidRPr="00C30388">
        <w:rPr>
          <w:rFonts w:ascii="Times New Roman" w:eastAsia="Times New Roman" w:hAnsi="Times New Roman" w:cs="Times New Roman"/>
          <w:b/>
          <w:bCs/>
          <w:sz w:val="24"/>
          <w:szCs w:val="24"/>
          <w:lang w:eastAsia="pl-PL"/>
        </w:rPr>
        <w:t>0</w:t>
      </w:r>
      <w:r w:rsidRPr="00C30388">
        <w:rPr>
          <w:rFonts w:ascii="Times New Roman" w:eastAsia="Times New Roman" w:hAnsi="Times New Roman" w:cs="Times New Roman"/>
          <w:bCs/>
          <w:sz w:val="24"/>
          <w:szCs w:val="24"/>
          <w:lang w:eastAsia="pl-PL"/>
        </w:rPr>
        <w:t xml:space="preserve"> stanowi implementację art. 3.13 Dyrektywy. Przepis ten wprowadza definicję „</w:t>
      </w:r>
      <w:r w:rsidRPr="00C30388">
        <w:rPr>
          <w:rFonts w:ascii="Times New Roman" w:eastAsia="Times New Roman" w:hAnsi="Times New Roman" w:cs="Times New Roman"/>
          <w:b/>
          <w:bCs/>
          <w:sz w:val="24"/>
          <w:szCs w:val="24"/>
          <w:lang w:eastAsia="pl-PL"/>
        </w:rPr>
        <w:t>stałego zakładu</w:t>
      </w:r>
      <w:r w:rsidRPr="00C30388">
        <w:rPr>
          <w:rFonts w:ascii="Times New Roman" w:eastAsia="Times New Roman" w:hAnsi="Times New Roman" w:cs="Times New Roman"/>
          <w:bCs/>
          <w:sz w:val="24"/>
          <w:szCs w:val="24"/>
          <w:lang w:eastAsia="pl-PL"/>
        </w:rPr>
        <w:t xml:space="preserve">” (ang. </w:t>
      </w:r>
      <w:r w:rsidRPr="00C30388">
        <w:rPr>
          <w:rFonts w:ascii="Times New Roman" w:eastAsia="Times New Roman" w:hAnsi="Times New Roman" w:cs="Times New Roman"/>
          <w:bCs/>
          <w:i/>
          <w:sz w:val="24"/>
          <w:szCs w:val="24"/>
          <w:lang w:eastAsia="pl-PL"/>
        </w:rPr>
        <w:t>permanent establishment</w:t>
      </w:r>
      <w:r w:rsidRPr="00C30388">
        <w:rPr>
          <w:rFonts w:ascii="Times New Roman" w:eastAsia="Times New Roman" w:hAnsi="Times New Roman" w:cs="Times New Roman"/>
          <w:bCs/>
          <w:sz w:val="24"/>
          <w:szCs w:val="24"/>
          <w:lang w:eastAsia="pl-PL"/>
        </w:rPr>
        <w:t>).</w:t>
      </w:r>
    </w:p>
    <w:p w14:paraId="7404A5F1" w14:textId="0B2253EA" w:rsidR="002A4C92" w:rsidRPr="00C30388" w:rsidRDefault="002A4C92" w:rsidP="002A4C92">
      <w:pPr>
        <w:spacing w:after="120"/>
        <w:jc w:val="both"/>
        <w:rPr>
          <w:rFonts w:ascii="Times New Roman" w:hAnsi="Times New Roman" w:cs="Times New Roman"/>
          <w:sz w:val="24"/>
          <w:szCs w:val="24"/>
        </w:rPr>
      </w:pPr>
      <w:r w:rsidRPr="00C30388">
        <w:rPr>
          <w:rFonts w:ascii="Times New Roman" w:eastAsia="Times New Roman" w:hAnsi="Times New Roman" w:cs="Times New Roman"/>
          <w:bCs/>
          <w:sz w:val="24"/>
          <w:szCs w:val="24"/>
          <w:lang w:eastAsia="pl-PL"/>
        </w:rPr>
        <w:lastRenderedPageBreak/>
        <w:t xml:space="preserve">Instytucja zakładu jest dobrze znana międzynarodowemu prawu podatkowemu i znajduje swoje umocowanie w Modelowej </w:t>
      </w:r>
      <w:r w:rsidR="00ED3A9E" w:rsidRPr="00C30388">
        <w:rPr>
          <w:rFonts w:ascii="Times New Roman" w:eastAsia="Times New Roman" w:hAnsi="Times New Roman" w:cs="Times New Roman"/>
          <w:bCs/>
          <w:sz w:val="24"/>
          <w:szCs w:val="24"/>
          <w:lang w:eastAsia="pl-PL"/>
        </w:rPr>
        <w:t>k</w:t>
      </w:r>
      <w:r w:rsidRPr="00C30388">
        <w:rPr>
          <w:rFonts w:ascii="Times New Roman" w:eastAsia="Times New Roman" w:hAnsi="Times New Roman" w:cs="Times New Roman"/>
          <w:bCs/>
          <w:sz w:val="24"/>
          <w:szCs w:val="24"/>
          <w:lang w:eastAsia="pl-PL"/>
        </w:rPr>
        <w:t>onwencji OECD (w ustawie o podatku dochodowym od osób prawnych jako zagraniczny zakład w art. 4a pkt 11). Należy jednakże podkreślić, że specyficzna d</w:t>
      </w:r>
      <w:r w:rsidRPr="00C30388">
        <w:rPr>
          <w:rFonts w:ascii="Times New Roman" w:hAnsi="Times New Roman" w:cs="Times New Roman"/>
          <w:sz w:val="24"/>
          <w:szCs w:val="24"/>
        </w:rPr>
        <w:t>efinicja zawarta w niniejszym projekcie ma zastosowanie wyłącznie do celów stosowania Zasad GloBE i nie jest jej celem wpłynięcie na interpretację tego terminu w umowach o unikaniu podwójnego opodatkowania, czy też na zawartą w prawie krajowym definicję zagranicznego zakładu (w tym dla celów CbCR). Odmienność tej definicji odzwierciedla nieco inna nazwa („stały zakład” zamiast „zakład” albo „zagraniczny zakład”).</w:t>
      </w:r>
    </w:p>
    <w:p w14:paraId="715EFD84" w14:textId="3D3824A0"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Omawiana definicja została zbudowana w sposób pozwalający na wyróżnienie 4 przypadków, w których, na gruncie Systemu GloBE, można mówić o powstaniu stałego zakładu (tj. miejsca prowadzenia działalności gospodarczej przez jednostkę w </w:t>
      </w:r>
      <w:r w:rsidR="00C912C9" w:rsidRPr="00C30388">
        <w:rPr>
          <w:rFonts w:ascii="Times New Roman" w:hAnsi="Times New Roman" w:cs="Times New Roman"/>
          <w:sz w:val="24"/>
          <w:szCs w:val="24"/>
        </w:rPr>
        <w:t xml:space="preserve">innej </w:t>
      </w:r>
      <w:r w:rsidR="00C912C9" w:rsidRPr="00C30388">
        <w:rPr>
          <w:rFonts w:ascii="Times New Roman" w:hAnsi="Times New Roman" w:cs="Times New Roman"/>
          <w:bCs/>
          <w:sz w:val="24"/>
          <w:szCs w:val="24"/>
        </w:rPr>
        <w:t>jurysdykcji</w:t>
      </w:r>
      <w:r w:rsidRPr="00C30388">
        <w:rPr>
          <w:rFonts w:ascii="Times New Roman" w:hAnsi="Times New Roman" w:cs="Times New Roman"/>
          <w:sz w:val="24"/>
          <w:szCs w:val="24"/>
        </w:rPr>
        <w:t xml:space="preserve"> lub miejsca uznawanego za miejsce prowadzenia działalności gospodarczej</w:t>
      </w:r>
      <w:r w:rsidRPr="00C30388">
        <w:rPr>
          <w:rStyle w:val="Odwoanieprzypisudolnego"/>
          <w:rFonts w:ascii="Times New Roman" w:hAnsi="Times New Roman" w:cs="Times New Roman"/>
          <w:sz w:val="24"/>
          <w:szCs w:val="24"/>
        </w:rPr>
        <w:footnoteReference w:id="41"/>
      </w:r>
      <w:r w:rsidRPr="00C30388">
        <w:rPr>
          <w:rFonts w:ascii="Times New Roman" w:hAnsi="Times New Roman" w:cs="Times New Roman"/>
          <w:sz w:val="24"/>
          <w:szCs w:val="24"/>
        </w:rPr>
        <w:t xml:space="preserve">). </w:t>
      </w:r>
    </w:p>
    <w:p w14:paraId="6430B19A"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Chodzi mianowicie o następujące sytuacje:</w:t>
      </w:r>
    </w:p>
    <w:p w14:paraId="3B1A5C81" w14:textId="3EF9F3A7" w:rsidR="002A4C92" w:rsidRPr="00C30388" w:rsidRDefault="002A4C92" w:rsidP="002A4C92">
      <w:pPr>
        <w:pStyle w:val="Akapitzlist"/>
        <w:numPr>
          <w:ilvl w:val="0"/>
          <w:numId w:val="14"/>
        </w:numPr>
        <w:spacing w:after="120"/>
        <w:contextualSpacing w:val="0"/>
        <w:jc w:val="both"/>
        <w:rPr>
          <w:rFonts w:ascii="Times New Roman" w:hAnsi="Times New Roman" w:cs="Times New Roman"/>
          <w:sz w:val="24"/>
          <w:szCs w:val="24"/>
        </w:rPr>
      </w:pPr>
      <w:r w:rsidRPr="00C30388">
        <w:rPr>
          <w:rFonts w:ascii="Times New Roman" w:hAnsi="Times New Roman" w:cs="Times New Roman"/>
          <w:sz w:val="24"/>
          <w:szCs w:val="24"/>
        </w:rPr>
        <w:t xml:space="preserve">Po pierwsze, stały zakład na gruncie Systemu GloBE może być identyfikowany wówczas, gdy pomiędzy zainteresowanymi </w:t>
      </w:r>
      <w:r w:rsidR="00C912C9" w:rsidRPr="00C30388">
        <w:rPr>
          <w:rFonts w:ascii="Times New Roman" w:hAnsi="Times New Roman" w:cs="Times New Roman"/>
          <w:bCs/>
          <w:sz w:val="24"/>
          <w:szCs w:val="24"/>
        </w:rPr>
        <w:t>jurysdykcjami</w:t>
      </w:r>
      <w:r w:rsidRPr="00C30388">
        <w:rPr>
          <w:rFonts w:ascii="Times New Roman" w:hAnsi="Times New Roman" w:cs="Times New Roman"/>
          <w:sz w:val="24"/>
          <w:szCs w:val="24"/>
        </w:rPr>
        <w:t xml:space="preserve"> obowiązuje umowa o unikaniu podwójnego opodatkowania (dalej jako „</w:t>
      </w:r>
      <w:r w:rsidRPr="00C30388">
        <w:rPr>
          <w:rFonts w:ascii="Times New Roman" w:hAnsi="Times New Roman" w:cs="Times New Roman"/>
          <w:b/>
          <w:sz w:val="24"/>
          <w:szCs w:val="24"/>
        </w:rPr>
        <w:t>UPO”</w:t>
      </w:r>
      <w:r w:rsidRPr="00C30388">
        <w:rPr>
          <w:rFonts w:ascii="Times New Roman" w:hAnsi="Times New Roman" w:cs="Times New Roman"/>
          <w:sz w:val="24"/>
          <w:szCs w:val="24"/>
        </w:rPr>
        <w:t xml:space="preserve">) i dane miejsce prowadzenia działalności gospodarczej jest traktowane jako zakład zgodnie z tą umową. W takim przypadku Zasady GloBE uznają istnienie stałego zakładu w rozumieniu GloBE, pod warunkiem że </w:t>
      </w:r>
      <w:r w:rsidR="00C912C9" w:rsidRPr="00C30388">
        <w:rPr>
          <w:rFonts w:ascii="Times New Roman" w:hAnsi="Times New Roman" w:cs="Times New Roman"/>
          <w:bCs/>
          <w:sz w:val="24"/>
          <w:szCs w:val="24"/>
        </w:rPr>
        <w:t>jurysdykcja</w:t>
      </w:r>
      <w:r w:rsidRPr="00C30388">
        <w:rPr>
          <w:rFonts w:ascii="Times New Roman" w:hAnsi="Times New Roman" w:cs="Times New Roman"/>
          <w:sz w:val="24"/>
          <w:szCs w:val="24"/>
        </w:rPr>
        <w:t xml:space="preserve">, w </w:t>
      </w:r>
      <w:r w:rsidR="00C912C9" w:rsidRPr="00C30388">
        <w:rPr>
          <w:rFonts w:ascii="Times New Roman" w:hAnsi="Times New Roman" w:cs="Times New Roman"/>
          <w:sz w:val="24"/>
          <w:szCs w:val="24"/>
        </w:rPr>
        <w:t xml:space="preserve">której </w:t>
      </w:r>
      <w:r w:rsidRPr="00C30388">
        <w:rPr>
          <w:rFonts w:ascii="Times New Roman" w:hAnsi="Times New Roman" w:cs="Times New Roman"/>
          <w:sz w:val="24"/>
          <w:szCs w:val="24"/>
        </w:rPr>
        <w:t>zlokalizowany jest ten stały zakład, opodatkowuje</w:t>
      </w:r>
      <w:r w:rsidRPr="00C30388">
        <w:rPr>
          <w:rStyle w:val="Odwoanieprzypisudolnego"/>
          <w:rFonts w:ascii="Times New Roman" w:hAnsi="Times New Roman" w:cs="Times New Roman"/>
          <w:sz w:val="24"/>
          <w:szCs w:val="24"/>
        </w:rPr>
        <w:footnoteReference w:id="42"/>
      </w:r>
      <w:r w:rsidRPr="00C30388">
        <w:rPr>
          <w:rFonts w:ascii="Times New Roman" w:hAnsi="Times New Roman" w:cs="Times New Roman"/>
          <w:sz w:val="24"/>
          <w:szCs w:val="24"/>
        </w:rPr>
        <w:t xml:space="preserve"> przypisany mu dochód w sposób podobny do</w:t>
      </w:r>
      <w:r w:rsidRPr="00C30388">
        <w:rPr>
          <w:rStyle w:val="Odwoanieprzypisudolnego"/>
          <w:rFonts w:ascii="Times New Roman" w:hAnsi="Times New Roman" w:cs="Times New Roman"/>
          <w:sz w:val="24"/>
          <w:szCs w:val="24"/>
        </w:rPr>
        <w:footnoteReference w:id="43"/>
      </w:r>
      <w:r w:rsidRPr="00C30388">
        <w:rPr>
          <w:rFonts w:ascii="Times New Roman" w:hAnsi="Times New Roman" w:cs="Times New Roman"/>
          <w:sz w:val="24"/>
          <w:szCs w:val="24"/>
        </w:rPr>
        <w:t xml:space="preserve"> art. 7 Modelowej </w:t>
      </w:r>
      <w:r w:rsidR="00ED3A9E" w:rsidRPr="00C30388">
        <w:rPr>
          <w:rFonts w:ascii="Times New Roman" w:hAnsi="Times New Roman" w:cs="Times New Roman"/>
          <w:sz w:val="24"/>
          <w:szCs w:val="24"/>
        </w:rPr>
        <w:t>k</w:t>
      </w:r>
      <w:r w:rsidRPr="00C30388">
        <w:rPr>
          <w:rFonts w:ascii="Times New Roman" w:hAnsi="Times New Roman" w:cs="Times New Roman"/>
          <w:sz w:val="24"/>
          <w:szCs w:val="24"/>
        </w:rPr>
        <w:t xml:space="preserve">onwencji OECD. </w:t>
      </w:r>
    </w:p>
    <w:p w14:paraId="7D5B887E" w14:textId="07661D10" w:rsidR="002A4C92" w:rsidRPr="00C30388" w:rsidRDefault="002A4C92" w:rsidP="002A4C92">
      <w:pPr>
        <w:pStyle w:val="Akapitzlist"/>
        <w:spacing w:after="120"/>
        <w:contextualSpacing w:val="0"/>
        <w:jc w:val="both"/>
        <w:rPr>
          <w:rFonts w:ascii="Times New Roman" w:hAnsi="Times New Roman" w:cs="Times New Roman"/>
          <w:sz w:val="24"/>
          <w:szCs w:val="24"/>
        </w:rPr>
      </w:pPr>
      <w:r w:rsidRPr="00C30388">
        <w:rPr>
          <w:rFonts w:ascii="Times New Roman" w:hAnsi="Times New Roman" w:cs="Times New Roman"/>
          <w:sz w:val="24"/>
          <w:szCs w:val="24"/>
        </w:rPr>
        <w:t>Przy ustaleniu spełnienia tego punktu należy uwzględnić sposób rozumienia zakładu na gruncie konkretnej UPO przez jej umawiające się strony (w tym np. w wyniku zastosowania procedury wzajemnego porozumiewania się), jak również sposób interpretacji tego pojęcia przez administrację i sądy dane</w:t>
      </w:r>
      <w:r w:rsidR="00C912C9" w:rsidRPr="00C30388">
        <w:rPr>
          <w:rFonts w:ascii="Times New Roman" w:hAnsi="Times New Roman" w:cs="Times New Roman"/>
          <w:sz w:val="24"/>
          <w:szCs w:val="24"/>
        </w:rPr>
        <w:t>j</w:t>
      </w:r>
      <w:r w:rsidRPr="00C30388">
        <w:rPr>
          <w:rFonts w:ascii="Times New Roman" w:hAnsi="Times New Roman" w:cs="Times New Roman"/>
          <w:sz w:val="24"/>
          <w:szCs w:val="24"/>
        </w:rPr>
        <w:t xml:space="preserve"> </w:t>
      </w:r>
      <w:r w:rsidR="00C912C9" w:rsidRPr="00C30388">
        <w:rPr>
          <w:rFonts w:ascii="Times New Roman" w:hAnsi="Times New Roman" w:cs="Times New Roman"/>
          <w:bCs/>
          <w:sz w:val="24"/>
          <w:szCs w:val="24"/>
        </w:rPr>
        <w:t>jurysdykcji</w:t>
      </w:r>
      <w:r w:rsidRPr="00C30388">
        <w:rPr>
          <w:rFonts w:ascii="Times New Roman" w:hAnsi="Times New Roman" w:cs="Times New Roman"/>
          <w:sz w:val="24"/>
          <w:szCs w:val="24"/>
        </w:rPr>
        <w:t xml:space="preserve">.     </w:t>
      </w:r>
    </w:p>
    <w:p w14:paraId="3B903C7D" w14:textId="029E6BF4" w:rsidR="002A4C92" w:rsidRPr="00C30388" w:rsidRDefault="002A4C92" w:rsidP="002A4C92">
      <w:pPr>
        <w:pStyle w:val="Akapitzlist"/>
        <w:spacing w:after="120"/>
        <w:contextualSpacing w:val="0"/>
        <w:jc w:val="both"/>
        <w:rPr>
          <w:rFonts w:ascii="Times New Roman" w:hAnsi="Times New Roman" w:cs="Times New Roman"/>
          <w:sz w:val="24"/>
          <w:szCs w:val="24"/>
        </w:rPr>
      </w:pPr>
      <w:r w:rsidRPr="00C30388">
        <w:rPr>
          <w:rFonts w:ascii="Times New Roman" w:hAnsi="Times New Roman" w:cs="Times New Roman"/>
          <w:sz w:val="24"/>
          <w:szCs w:val="24"/>
        </w:rPr>
        <w:t xml:space="preserve">Wyrażenie »obowiązująca umowa o unikaniu podwójnego opodatkowania« odnosi się do przypadku, w którym określona UPO weszła w życie i obowiązuje, czyli może być faktycznie stosowana jako element systemu prawa </w:t>
      </w:r>
      <w:r w:rsidR="00C912C9" w:rsidRPr="00C30388">
        <w:rPr>
          <w:rFonts w:ascii="Times New Roman" w:hAnsi="Times New Roman" w:cs="Times New Roman"/>
          <w:sz w:val="24"/>
          <w:szCs w:val="24"/>
        </w:rPr>
        <w:t xml:space="preserve">danej </w:t>
      </w:r>
      <w:r w:rsidR="00C912C9" w:rsidRPr="00C30388">
        <w:rPr>
          <w:rFonts w:ascii="Times New Roman" w:hAnsi="Times New Roman" w:cs="Times New Roman"/>
          <w:bCs/>
          <w:sz w:val="24"/>
          <w:szCs w:val="24"/>
        </w:rPr>
        <w:t>jurysdykcji</w:t>
      </w:r>
      <w:r w:rsidR="00C912C9" w:rsidRPr="00C30388" w:rsidDel="00C912C9">
        <w:rPr>
          <w:rFonts w:ascii="Times New Roman" w:hAnsi="Times New Roman" w:cs="Times New Roman"/>
          <w:sz w:val="24"/>
          <w:szCs w:val="24"/>
        </w:rPr>
        <w:t xml:space="preserve"> </w:t>
      </w:r>
      <w:r w:rsidRPr="00C30388">
        <w:rPr>
          <w:rFonts w:ascii="Times New Roman" w:hAnsi="Times New Roman" w:cs="Times New Roman"/>
          <w:sz w:val="24"/>
          <w:szCs w:val="24"/>
        </w:rPr>
        <w:t xml:space="preserve">(nie chodzi więc o samo jej zawarcie, czy też rok jej ratyfikacji przez </w:t>
      </w:r>
      <w:r w:rsidR="00C912C9" w:rsidRPr="00C30388">
        <w:rPr>
          <w:rFonts w:ascii="Times New Roman" w:hAnsi="Times New Roman" w:cs="Times New Roman"/>
          <w:sz w:val="24"/>
          <w:szCs w:val="24"/>
        </w:rPr>
        <w:t xml:space="preserve">daną </w:t>
      </w:r>
      <w:r w:rsidR="00C912C9" w:rsidRPr="00C30388">
        <w:rPr>
          <w:rFonts w:ascii="Times New Roman" w:hAnsi="Times New Roman" w:cs="Times New Roman"/>
          <w:bCs/>
          <w:sz w:val="24"/>
          <w:szCs w:val="24"/>
        </w:rPr>
        <w:t>jurysdykcję</w:t>
      </w:r>
      <w:r w:rsidRPr="00C30388">
        <w:rPr>
          <w:rFonts w:ascii="Times New Roman" w:hAnsi="Times New Roman" w:cs="Times New Roman"/>
          <w:sz w:val="24"/>
          <w:szCs w:val="24"/>
        </w:rPr>
        <w:t xml:space="preserve">). W tym zakresie należy zatem odwołać się do zawartych w takiej umowie przepisów dotyczących momentu jej wejścia w życie i rozpoczęcia obowiązywania. </w:t>
      </w:r>
    </w:p>
    <w:p w14:paraId="276D64D9" w14:textId="02AF9986" w:rsidR="002A4C92" w:rsidRPr="00C30388" w:rsidRDefault="002A4C92" w:rsidP="002A4C92">
      <w:pPr>
        <w:pStyle w:val="Akapitzlist"/>
        <w:numPr>
          <w:ilvl w:val="0"/>
          <w:numId w:val="14"/>
        </w:numPr>
        <w:spacing w:after="120"/>
        <w:contextualSpacing w:val="0"/>
        <w:jc w:val="both"/>
        <w:rPr>
          <w:rFonts w:ascii="Times New Roman" w:hAnsi="Times New Roman" w:cs="Times New Roman"/>
          <w:sz w:val="24"/>
          <w:szCs w:val="24"/>
        </w:rPr>
      </w:pPr>
      <w:r w:rsidRPr="00C30388">
        <w:rPr>
          <w:rFonts w:ascii="Times New Roman" w:hAnsi="Times New Roman" w:cs="Times New Roman"/>
          <w:sz w:val="24"/>
          <w:szCs w:val="24"/>
        </w:rPr>
        <w:t xml:space="preserve">Drugim przypadkiem istnienia stałego zakładu w rozumieniu Zasad GloBE jest sytuacja, w której </w:t>
      </w:r>
      <w:r w:rsidR="00C912C9" w:rsidRPr="00C30388">
        <w:rPr>
          <w:rFonts w:ascii="Times New Roman" w:hAnsi="Times New Roman" w:cs="Times New Roman"/>
          <w:sz w:val="24"/>
          <w:szCs w:val="24"/>
        </w:rPr>
        <w:t xml:space="preserve">dana </w:t>
      </w:r>
      <w:r w:rsidR="00C912C9" w:rsidRPr="00C30388">
        <w:rPr>
          <w:rFonts w:ascii="Times New Roman" w:hAnsi="Times New Roman" w:cs="Times New Roman"/>
          <w:bCs/>
          <w:sz w:val="24"/>
          <w:szCs w:val="24"/>
        </w:rPr>
        <w:t xml:space="preserve">jurysdykcja </w:t>
      </w:r>
      <w:r w:rsidRPr="00C30388">
        <w:rPr>
          <w:rFonts w:ascii="Times New Roman" w:hAnsi="Times New Roman" w:cs="Times New Roman"/>
          <w:sz w:val="24"/>
          <w:szCs w:val="24"/>
        </w:rPr>
        <w:t xml:space="preserve">– mimo nieobowiązywania między właściwymi </w:t>
      </w:r>
      <w:r w:rsidR="00C912C9" w:rsidRPr="00C30388">
        <w:rPr>
          <w:rFonts w:ascii="Times New Roman" w:hAnsi="Times New Roman" w:cs="Times New Roman"/>
          <w:bCs/>
          <w:sz w:val="24"/>
          <w:szCs w:val="24"/>
        </w:rPr>
        <w:lastRenderedPageBreak/>
        <w:t xml:space="preserve">jurysdykcjami </w:t>
      </w:r>
      <w:r w:rsidRPr="00C30388">
        <w:rPr>
          <w:rFonts w:ascii="Times New Roman" w:hAnsi="Times New Roman" w:cs="Times New Roman"/>
          <w:sz w:val="24"/>
          <w:szCs w:val="24"/>
        </w:rPr>
        <w:t xml:space="preserve">umowy o unikaniu podwójnego opodatkowania – opodatkuje dochód, który można przypisać danemu miejscu prowadzenia działalności gospodarczej lub podobnej instytucji (np. amerykańska koncepcja </w:t>
      </w:r>
      <w:r w:rsidRPr="00C30388">
        <w:rPr>
          <w:rFonts w:ascii="Times New Roman" w:hAnsi="Times New Roman" w:cs="Times New Roman"/>
          <w:i/>
          <w:sz w:val="24"/>
          <w:szCs w:val="24"/>
        </w:rPr>
        <w:t>trade of business</w:t>
      </w:r>
      <w:r w:rsidRPr="00C30388">
        <w:rPr>
          <w:rFonts w:ascii="Times New Roman" w:hAnsi="Times New Roman" w:cs="Times New Roman"/>
          <w:sz w:val="24"/>
          <w:szCs w:val="24"/>
        </w:rPr>
        <w:t xml:space="preserve">) tak jak (w sposób analogiczny do) dochód własnych rezydentów. </w:t>
      </w:r>
    </w:p>
    <w:p w14:paraId="2AC29FB7" w14:textId="77777777" w:rsidR="002A4C92" w:rsidRPr="00C30388" w:rsidRDefault="002A4C92" w:rsidP="002A4C92">
      <w:pPr>
        <w:pStyle w:val="Akapitzlist"/>
        <w:contextualSpacing w:val="0"/>
        <w:jc w:val="both"/>
        <w:rPr>
          <w:rFonts w:ascii="Times New Roman" w:hAnsi="Times New Roman" w:cs="Times New Roman"/>
          <w:sz w:val="24"/>
          <w:szCs w:val="24"/>
        </w:rPr>
      </w:pPr>
      <w:r w:rsidRPr="00C30388">
        <w:rPr>
          <w:rFonts w:ascii="Times New Roman" w:hAnsi="Times New Roman" w:cs="Times New Roman"/>
          <w:sz w:val="24"/>
          <w:szCs w:val="24"/>
        </w:rPr>
        <w:t>Odniesienie się w omawianym przypadku do „opodatkowania dochodu” oznacza, że nie obejmuje on opodatkowania opartego na podstawie brutto (bez kosztów uzyskania przychodów, czyli sytuacji, w których podstawą opodatkowania jest uzyskiwany przychód).</w:t>
      </w:r>
    </w:p>
    <w:p w14:paraId="077602E1" w14:textId="5C681350" w:rsidR="002A4C92" w:rsidRPr="00C30388" w:rsidRDefault="002A4C92" w:rsidP="002A4C92">
      <w:pPr>
        <w:pStyle w:val="Akapitzlist"/>
        <w:numPr>
          <w:ilvl w:val="0"/>
          <w:numId w:val="14"/>
        </w:numPr>
        <w:spacing w:after="120"/>
        <w:contextualSpacing w:val="0"/>
        <w:jc w:val="both"/>
        <w:rPr>
          <w:rFonts w:ascii="Times New Roman" w:hAnsi="Times New Roman" w:cs="Times New Roman"/>
          <w:sz w:val="24"/>
          <w:szCs w:val="24"/>
        </w:rPr>
      </w:pPr>
      <w:r w:rsidRPr="00C30388">
        <w:rPr>
          <w:rFonts w:ascii="Times New Roman" w:hAnsi="Times New Roman" w:cs="Times New Roman"/>
          <w:sz w:val="24"/>
          <w:szCs w:val="24"/>
        </w:rPr>
        <w:t xml:space="preserve">Trzecim przypadkiem jest sytuacja, gdy </w:t>
      </w:r>
      <w:r w:rsidR="002F2BC8" w:rsidRPr="00C30388">
        <w:rPr>
          <w:rFonts w:ascii="Times New Roman" w:hAnsi="Times New Roman" w:cs="Times New Roman"/>
          <w:bCs/>
          <w:sz w:val="24"/>
          <w:szCs w:val="24"/>
        </w:rPr>
        <w:t>jurysdykcja</w:t>
      </w:r>
      <w:r w:rsidRPr="00C30388">
        <w:rPr>
          <w:rFonts w:ascii="Times New Roman" w:hAnsi="Times New Roman" w:cs="Times New Roman"/>
          <w:sz w:val="24"/>
          <w:szCs w:val="24"/>
        </w:rPr>
        <w:t xml:space="preserve">, w </w:t>
      </w:r>
      <w:r w:rsidR="002F2BC8" w:rsidRPr="00C30388">
        <w:rPr>
          <w:rFonts w:ascii="Times New Roman" w:hAnsi="Times New Roman" w:cs="Times New Roman"/>
          <w:sz w:val="24"/>
          <w:szCs w:val="24"/>
        </w:rPr>
        <w:t xml:space="preserve">której </w:t>
      </w:r>
      <w:r w:rsidRPr="00C30388">
        <w:rPr>
          <w:rFonts w:ascii="Times New Roman" w:hAnsi="Times New Roman" w:cs="Times New Roman"/>
          <w:sz w:val="24"/>
          <w:szCs w:val="24"/>
        </w:rPr>
        <w:t xml:space="preserve">prowadzona jest działalność, w ogóle nie posiada systemu opodatkowania dochodów osób prawnych (CIT). W tym przypadku Zasady GloBE identyfikują stały zakład, jeżeli w </w:t>
      </w:r>
      <w:r w:rsidR="002F2BC8" w:rsidRPr="00C30388">
        <w:rPr>
          <w:rFonts w:ascii="Times New Roman" w:hAnsi="Times New Roman" w:cs="Times New Roman"/>
          <w:sz w:val="24"/>
          <w:szCs w:val="24"/>
        </w:rPr>
        <w:t xml:space="preserve">takiej </w:t>
      </w:r>
      <w:r w:rsidR="002F2BC8" w:rsidRPr="00C30388">
        <w:rPr>
          <w:rFonts w:ascii="Times New Roman" w:hAnsi="Times New Roman" w:cs="Times New Roman"/>
          <w:bCs/>
          <w:sz w:val="24"/>
          <w:szCs w:val="24"/>
        </w:rPr>
        <w:t>jurysdykcji</w:t>
      </w:r>
      <w:r w:rsidR="002F2BC8" w:rsidRPr="00C30388" w:rsidDel="002F2BC8">
        <w:rPr>
          <w:rFonts w:ascii="Times New Roman" w:hAnsi="Times New Roman" w:cs="Times New Roman"/>
          <w:sz w:val="24"/>
          <w:szCs w:val="24"/>
        </w:rPr>
        <w:t xml:space="preserve"> </w:t>
      </w:r>
      <w:r w:rsidRPr="00C30388">
        <w:rPr>
          <w:rFonts w:ascii="Times New Roman" w:hAnsi="Times New Roman" w:cs="Times New Roman"/>
          <w:sz w:val="24"/>
          <w:szCs w:val="24"/>
        </w:rPr>
        <w:t xml:space="preserve">istnieje miejsce prowadzenia działalności gospodarczej lub miejsce uznawane za miejsce prowadzenia działalności gospodarczej, które byłoby traktowane jako zakład zgodnie z Modelową </w:t>
      </w:r>
      <w:r w:rsidR="00ED3A9E" w:rsidRPr="00C30388">
        <w:rPr>
          <w:rFonts w:ascii="Times New Roman" w:hAnsi="Times New Roman" w:cs="Times New Roman"/>
          <w:sz w:val="24"/>
          <w:szCs w:val="24"/>
        </w:rPr>
        <w:t>k</w:t>
      </w:r>
      <w:r w:rsidRPr="00C30388">
        <w:rPr>
          <w:rFonts w:ascii="Times New Roman" w:hAnsi="Times New Roman" w:cs="Times New Roman"/>
          <w:sz w:val="24"/>
          <w:szCs w:val="24"/>
        </w:rPr>
        <w:t xml:space="preserve">onwencją OECD pod warunkiem, że </w:t>
      </w:r>
      <w:r w:rsidR="002F2BC8" w:rsidRPr="00C30388">
        <w:rPr>
          <w:rFonts w:ascii="Times New Roman" w:hAnsi="Times New Roman" w:cs="Times New Roman"/>
          <w:sz w:val="24"/>
          <w:szCs w:val="24"/>
        </w:rPr>
        <w:t xml:space="preserve">taka </w:t>
      </w:r>
      <w:r w:rsidR="002F2BC8" w:rsidRPr="00C30388">
        <w:rPr>
          <w:rFonts w:ascii="Times New Roman" w:hAnsi="Times New Roman" w:cs="Times New Roman"/>
          <w:bCs/>
          <w:sz w:val="24"/>
          <w:szCs w:val="24"/>
        </w:rPr>
        <w:t>jurysdykcja</w:t>
      </w:r>
      <w:r w:rsidR="002F2BC8" w:rsidRPr="00C30388" w:rsidDel="002F2BC8">
        <w:rPr>
          <w:rFonts w:ascii="Times New Roman" w:hAnsi="Times New Roman" w:cs="Times New Roman"/>
          <w:sz w:val="24"/>
          <w:szCs w:val="24"/>
        </w:rPr>
        <w:t xml:space="preserve"> </w:t>
      </w:r>
      <w:r w:rsidR="002F2BC8" w:rsidRPr="00C30388">
        <w:rPr>
          <w:rFonts w:ascii="Times New Roman" w:hAnsi="Times New Roman" w:cs="Times New Roman"/>
          <w:sz w:val="24"/>
          <w:szCs w:val="24"/>
        </w:rPr>
        <w:t xml:space="preserve">miałaby </w:t>
      </w:r>
      <w:r w:rsidRPr="00C30388">
        <w:rPr>
          <w:rFonts w:ascii="Times New Roman" w:hAnsi="Times New Roman" w:cs="Times New Roman"/>
          <w:sz w:val="24"/>
          <w:szCs w:val="24"/>
        </w:rPr>
        <w:t xml:space="preserve">prawo do opodatkowania dochodu, który można mu przypisać zgodnie z art. 7 tej </w:t>
      </w:r>
      <w:r w:rsidR="00ED3A9E" w:rsidRPr="00C30388">
        <w:rPr>
          <w:rFonts w:ascii="Times New Roman" w:hAnsi="Times New Roman" w:cs="Times New Roman"/>
          <w:sz w:val="24"/>
          <w:szCs w:val="24"/>
        </w:rPr>
        <w:t>k</w:t>
      </w:r>
      <w:r w:rsidRPr="00C30388">
        <w:rPr>
          <w:rFonts w:ascii="Times New Roman" w:hAnsi="Times New Roman" w:cs="Times New Roman"/>
          <w:sz w:val="24"/>
          <w:szCs w:val="24"/>
        </w:rPr>
        <w:t>onwencji.</w:t>
      </w:r>
    </w:p>
    <w:p w14:paraId="55592B95" w14:textId="383A6C34" w:rsidR="002A4C92" w:rsidRPr="00C30388" w:rsidRDefault="002A4C92" w:rsidP="002A4C92">
      <w:pPr>
        <w:pStyle w:val="Akapitzlist"/>
        <w:numPr>
          <w:ilvl w:val="0"/>
          <w:numId w:val="14"/>
        </w:numPr>
        <w:spacing w:after="120"/>
        <w:contextualSpacing w:val="0"/>
        <w:jc w:val="both"/>
        <w:rPr>
          <w:rFonts w:ascii="Times New Roman" w:hAnsi="Times New Roman" w:cs="Times New Roman"/>
          <w:sz w:val="24"/>
          <w:szCs w:val="24"/>
        </w:rPr>
      </w:pPr>
      <w:r w:rsidRPr="00C30388">
        <w:rPr>
          <w:rFonts w:ascii="Times New Roman" w:hAnsi="Times New Roman" w:cs="Times New Roman"/>
          <w:sz w:val="24"/>
          <w:szCs w:val="24"/>
        </w:rPr>
        <w:t xml:space="preserve">Ostatni przypadek identyfikacji stałego zakładu dla celów Systemu GloBE dotyczy sytuacji nieobjętych postanowieniami żadnego ze wcześniejszych punktów. Taki stały zakład jest identyfikowany, jeżeli </w:t>
      </w:r>
      <w:r w:rsidR="002F2BC8" w:rsidRPr="00C30388">
        <w:rPr>
          <w:rFonts w:ascii="Times New Roman" w:hAnsi="Times New Roman" w:cs="Times New Roman"/>
          <w:sz w:val="24"/>
          <w:szCs w:val="24"/>
        </w:rPr>
        <w:t xml:space="preserve">dana </w:t>
      </w:r>
      <w:r w:rsidR="002F2BC8" w:rsidRPr="00C30388">
        <w:rPr>
          <w:rFonts w:ascii="Times New Roman" w:hAnsi="Times New Roman" w:cs="Times New Roman"/>
          <w:bCs/>
          <w:sz w:val="24"/>
          <w:szCs w:val="24"/>
        </w:rPr>
        <w:t>jurysdykcja</w:t>
      </w:r>
      <w:r w:rsidRPr="00C30388">
        <w:rPr>
          <w:rFonts w:ascii="Times New Roman" w:hAnsi="Times New Roman" w:cs="Times New Roman"/>
          <w:sz w:val="24"/>
          <w:szCs w:val="24"/>
        </w:rPr>
        <w:t xml:space="preserve">, w </w:t>
      </w:r>
      <w:r w:rsidR="002F2BC8" w:rsidRPr="00C30388">
        <w:rPr>
          <w:rFonts w:ascii="Times New Roman" w:hAnsi="Times New Roman" w:cs="Times New Roman"/>
          <w:sz w:val="24"/>
          <w:szCs w:val="24"/>
        </w:rPr>
        <w:t xml:space="preserve">której </w:t>
      </w:r>
      <w:r w:rsidRPr="00C30388">
        <w:rPr>
          <w:rFonts w:ascii="Times New Roman" w:hAnsi="Times New Roman" w:cs="Times New Roman"/>
          <w:sz w:val="24"/>
          <w:szCs w:val="24"/>
        </w:rPr>
        <w:t xml:space="preserve">zlokalizowana jest jednostka składowa (w tym przypadku – centrala), zwalnia z podatku dochód związany z działalnością lub transakcjami prowadzonymi przez taką jednostkę za granicą. </w:t>
      </w:r>
    </w:p>
    <w:p w14:paraId="58E9D5A9" w14:textId="5ADAF74A" w:rsidR="002A4C92" w:rsidRPr="00C30388" w:rsidRDefault="002A4C92" w:rsidP="002A4C92">
      <w:pPr>
        <w:pStyle w:val="Akapitzlist"/>
        <w:spacing w:after="120"/>
        <w:contextualSpacing w:val="0"/>
        <w:jc w:val="both"/>
        <w:rPr>
          <w:rFonts w:ascii="Times New Roman" w:hAnsi="Times New Roman" w:cs="Times New Roman"/>
          <w:sz w:val="24"/>
          <w:szCs w:val="24"/>
        </w:rPr>
      </w:pPr>
      <w:r w:rsidRPr="00C30388">
        <w:rPr>
          <w:rFonts w:ascii="Times New Roman" w:hAnsi="Times New Roman" w:cs="Times New Roman"/>
          <w:sz w:val="24"/>
          <w:szCs w:val="24"/>
        </w:rPr>
        <w:t>Odniesienie się w tym przypadku do „</w:t>
      </w:r>
      <w:r w:rsidRPr="00C30388">
        <w:rPr>
          <w:rFonts w:ascii="Times New Roman" w:hAnsi="Times New Roman" w:cs="Times New Roman"/>
          <w:i/>
          <w:sz w:val="24"/>
          <w:szCs w:val="24"/>
        </w:rPr>
        <w:t>zwolnienia dotyczącego dochodu związanego z działalnością zagraniczną</w:t>
      </w:r>
      <w:r w:rsidRPr="00C30388">
        <w:rPr>
          <w:rFonts w:ascii="Times New Roman" w:hAnsi="Times New Roman" w:cs="Times New Roman"/>
          <w:sz w:val="24"/>
          <w:szCs w:val="24"/>
        </w:rPr>
        <w:t xml:space="preserve">” ma na celu zapewnienie, aby przepis miał zastosowanie jedynie w przypadku, gdy zwolnienie takie wynika z tego, że określone operacje jednostki składowej są traktowane jako prowadzone poza </w:t>
      </w:r>
      <w:r w:rsidR="002F2BC8" w:rsidRPr="00C30388">
        <w:rPr>
          <w:rFonts w:ascii="Times New Roman" w:hAnsi="Times New Roman" w:cs="Times New Roman"/>
          <w:sz w:val="24"/>
          <w:szCs w:val="24"/>
        </w:rPr>
        <w:t xml:space="preserve">daną </w:t>
      </w:r>
      <w:r w:rsidR="002F2BC8" w:rsidRPr="00C30388">
        <w:rPr>
          <w:rFonts w:ascii="Times New Roman" w:hAnsi="Times New Roman" w:cs="Times New Roman"/>
          <w:bCs/>
          <w:sz w:val="24"/>
          <w:szCs w:val="24"/>
        </w:rPr>
        <w:t>jurysdykcją</w:t>
      </w:r>
      <w:r w:rsidRPr="00C30388">
        <w:rPr>
          <w:rFonts w:ascii="Times New Roman" w:hAnsi="Times New Roman" w:cs="Times New Roman"/>
          <w:sz w:val="24"/>
          <w:szCs w:val="24"/>
        </w:rPr>
        <w:t>. Tym samym nie obejmuje on sytuacji, gdy udziałowiec zagranicznej spółki zależnej korzysta ze zwolnienia w zakresie dywidend otrzymanych od takiej spółki zależnej, gdyż takie zwolnienie nie ma związku z działalnością zagraniczną samego udziałowca.</w:t>
      </w:r>
    </w:p>
    <w:p w14:paraId="1DB688C4"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Ubezpieczeniowa jednostka inwestycyjna</w:t>
      </w:r>
    </w:p>
    <w:p w14:paraId="7EA98EE8" w14:textId="4CAAF324" w:rsidR="002A4C92" w:rsidRPr="00C30388" w:rsidRDefault="002A4C92" w:rsidP="00630EBC">
      <w:pPr>
        <w:spacing w:after="120"/>
        <w:jc w:val="both"/>
        <w:rPr>
          <w:rFonts w:ascii="Times New Roman" w:hAnsi="Times New Roman" w:cs="Times New Roman"/>
          <w:bCs/>
          <w:sz w:val="24"/>
          <w:szCs w:val="24"/>
        </w:rPr>
      </w:pPr>
      <w:r w:rsidRPr="00C30388">
        <w:rPr>
          <w:rFonts w:ascii="Times New Roman" w:hAnsi="Times New Roman" w:cs="Times New Roman"/>
          <w:sz w:val="24"/>
          <w:szCs w:val="24"/>
        </w:rPr>
        <w:t xml:space="preserve">Zgodnie z </w:t>
      </w:r>
      <w:r w:rsidRPr="00C30388">
        <w:rPr>
          <w:rFonts w:ascii="Times New Roman" w:hAnsi="Times New Roman" w:cs="Times New Roman"/>
          <w:b/>
          <w:bCs/>
          <w:sz w:val="24"/>
          <w:szCs w:val="24"/>
        </w:rPr>
        <w:t>art. 2 ust. 1 pkt 4</w:t>
      </w:r>
      <w:r w:rsidR="002640FC" w:rsidRPr="00C30388">
        <w:rPr>
          <w:rFonts w:ascii="Times New Roman" w:hAnsi="Times New Roman" w:cs="Times New Roman"/>
          <w:b/>
          <w:bCs/>
          <w:sz w:val="24"/>
          <w:szCs w:val="24"/>
        </w:rPr>
        <w:t>1</w:t>
      </w:r>
      <w:r w:rsidRPr="00C30388">
        <w:rPr>
          <w:rFonts w:ascii="Times New Roman" w:hAnsi="Times New Roman" w:cs="Times New Roman"/>
          <w:sz w:val="24"/>
          <w:szCs w:val="24"/>
        </w:rPr>
        <w:t xml:space="preserve"> ubezpieczeniowa jednostka inwestycyjna rozumiana jest </w:t>
      </w:r>
      <w:r w:rsidRPr="00C30388">
        <w:rPr>
          <w:rFonts w:ascii="Times New Roman" w:hAnsi="Times New Roman" w:cs="Times New Roman"/>
          <w:bCs/>
          <w:sz w:val="24"/>
          <w:szCs w:val="24"/>
        </w:rPr>
        <w:t>jednostka, która byłaby jednostką inwestycyjną lub jednostką inwestującą w nieruchomości, gdyby nie dwie specyficzne okoliczności właściwe dla sektora ubezpieczeń, tj. gdyby:</w:t>
      </w:r>
    </w:p>
    <w:p w14:paraId="49DC53F7" w14:textId="77777777" w:rsidR="002A4C92" w:rsidRPr="00C30388" w:rsidRDefault="002A4C92" w:rsidP="00630EBC">
      <w:pPr>
        <w:pStyle w:val="Akapitzlist"/>
        <w:numPr>
          <w:ilvl w:val="0"/>
          <w:numId w:val="74"/>
        </w:numPr>
        <w:spacing w:after="120"/>
        <w:ind w:left="709" w:hanging="425"/>
        <w:jc w:val="both"/>
        <w:rPr>
          <w:rFonts w:ascii="Times New Roman" w:hAnsi="Times New Roman" w:cs="Times New Roman"/>
          <w:bCs/>
          <w:sz w:val="24"/>
          <w:szCs w:val="24"/>
        </w:rPr>
      </w:pPr>
      <w:r w:rsidRPr="00C30388">
        <w:rPr>
          <w:rFonts w:ascii="Times New Roman" w:hAnsi="Times New Roman" w:cs="Times New Roman"/>
          <w:bCs/>
          <w:sz w:val="24"/>
          <w:szCs w:val="24"/>
        </w:rPr>
        <w:t xml:space="preserve">nie została utworzona w związku ze zobowiązaniami z tytułu umowy ubezpieczenia lub umowy okresowego świadczenia o podobnym charakterze, oraz </w:t>
      </w:r>
    </w:p>
    <w:p w14:paraId="248E03F9" w14:textId="1D4DB77D" w:rsidR="002A4C92" w:rsidRPr="00C30388" w:rsidRDefault="002A4C92" w:rsidP="00630EBC">
      <w:pPr>
        <w:pStyle w:val="Akapitzlist"/>
        <w:numPr>
          <w:ilvl w:val="0"/>
          <w:numId w:val="74"/>
        </w:numPr>
        <w:spacing w:after="120"/>
        <w:ind w:left="709" w:hanging="425"/>
        <w:jc w:val="both"/>
        <w:rPr>
          <w:rFonts w:ascii="Times New Roman" w:hAnsi="Times New Roman" w:cs="Times New Roman"/>
          <w:bCs/>
          <w:sz w:val="24"/>
          <w:szCs w:val="24"/>
        </w:rPr>
      </w:pPr>
      <w:r w:rsidRPr="00C30388">
        <w:rPr>
          <w:rFonts w:ascii="Times New Roman" w:hAnsi="Times New Roman" w:cs="Times New Roman"/>
          <w:bCs/>
          <w:sz w:val="24"/>
          <w:szCs w:val="24"/>
        </w:rPr>
        <w:t>wszystkie udziały własnościowe w tej jednostce nie należałyby do jednostki podlegającej w </w:t>
      </w:r>
      <w:r w:rsidR="002F2BC8" w:rsidRPr="00C30388">
        <w:rPr>
          <w:rFonts w:ascii="Times New Roman" w:hAnsi="Times New Roman" w:cs="Times New Roman"/>
          <w:bCs/>
          <w:sz w:val="24"/>
          <w:szCs w:val="24"/>
        </w:rPr>
        <w:t>jurysdykcji</w:t>
      </w:r>
      <w:r w:rsidR="002F2BC8" w:rsidRPr="00C30388" w:rsidDel="002F2BC8">
        <w:rPr>
          <w:rFonts w:ascii="Times New Roman" w:hAnsi="Times New Roman" w:cs="Times New Roman"/>
          <w:bCs/>
          <w:sz w:val="24"/>
          <w:szCs w:val="24"/>
        </w:rPr>
        <w:t xml:space="preserve"> </w:t>
      </w:r>
      <w:r w:rsidRPr="00C30388">
        <w:rPr>
          <w:rFonts w:ascii="Times New Roman" w:hAnsi="Times New Roman" w:cs="Times New Roman"/>
          <w:bCs/>
          <w:sz w:val="24"/>
          <w:szCs w:val="24"/>
        </w:rPr>
        <w:t>jej lokalizacji przepisom regulującym działalność zakładów ubezpieczeń.</w:t>
      </w:r>
    </w:p>
    <w:p w14:paraId="773B27BE" w14:textId="66C475B3" w:rsidR="002A4C92" w:rsidRPr="00C30388" w:rsidRDefault="002A4C92" w:rsidP="00630EBC">
      <w:pPr>
        <w:spacing w:after="120"/>
        <w:jc w:val="both"/>
        <w:rPr>
          <w:rFonts w:ascii="Times New Roman" w:hAnsi="Times New Roman" w:cs="Times New Roman"/>
          <w:bCs/>
          <w:sz w:val="24"/>
          <w:szCs w:val="24"/>
        </w:rPr>
      </w:pPr>
      <w:r w:rsidRPr="00C30388">
        <w:rPr>
          <w:rFonts w:ascii="Times New Roman" w:hAnsi="Times New Roman" w:cs="Times New Roman"/>
          <w:bCs/>
          <w:sz w:val="24"/>
          <w:szCs w:val="24"/>
        </w:rPr>
        <w:t>Na gruncie Zasad GloBE traktowanie jednostek inwestycyjnych i ubezpieczeniowych jednostek inwestycyjnych jest często podobne.</w:t>
      </w:r>
    </w:p>
    <w:p w14:paraId="33709E62" w14:textId="77777777" w:rsidR="002A4C92" w:rsidRPr="00C30388" w:rsidRDefault="002A4C92" w:rsidP="002A4C92">
      <w:pPr>
        <w:spacing w:after="120"/>
        <w:jc w:val="both"/>
        <w:rPr>
          <w:rFonts w:ascii="Times New Roman" w:hAnsi="Times New Roman" w:cs="Times New Roman"/>
          <w:i/>
          <w:sz w:val="24"/>
          <w:szCs w:val="24"/>
        </w:rPr>
      </w:pPr>
      <w:r w:rsidRPr="00C30388">
        <w:rPr>
          <w:rFonts w:ascii="Times New Roman" w:hAnsi="Times New Roman" w:cs="Times New Roman"/>
          <w:i/>
          <w:sz w:val="24"/>
          <w:szCs w:val="24"/>
        </w:rPr>
        <w:t xml:space="preserve">Udział konsolidujący, udział własnościowy </w:t>
      </w:r>
    </w:p>
    <w:p w14:paraId="0278E0E9" w14:textId="5295898F"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Przepisy </w:t>
      </w:r>
      <w:r w:rsidRPr="00C30388">
        <w:rPr>
          <w:rFonts w:ascii="Times New Roman" w:hAnsi="Times New Roman" w:cs="Times New Roman"/>
          <w:b/>
          <w:sz w:val="24"/>
          <w:szCs w:val="24"/>
        </w:rPr>
        <w:t>art. 2 ust. 1 pkt 4</w:t>
      </w:r>
      <w:r w:rsidR="002640FC" w:rsidRPr="00C30388">
        <w:rPr>
          <w:rFonts w:ascii="Times New Roman" w:hAnsi="Times New Roman" w:cs="Times New Roman"/>
          <w:b/>
          <w:sz w:val="24"/>
          <w:szCs w:val="24"/>
        </w:rPr>
        <w:t>2</w:t>
      </w:r>
      <w:r w:rsidRPr="00C30388">
        <w:rPr>
          <w:rFonts w:ascii="Times New Roman" w:hAnsi="Times New Roman" w:cs="Times New Roman"/>
          <w:b/>
          <w:sz w:val="24"/>
          <w:szCs w:val="24"/>
        </w:rPr>
        <w:t xml:space="preserve"> i 4</w:t>
      </w:r>
      <w:r w:rsidR="002640FC" w:rsidRPr="00C30388">
        <w:rPr>
          <w:rFonts w:ascii="Times New Roman" w:hAnsi="Times New Roman" w:cs="Times New Roman"/>
          <w:b/>
          <w:sz w:val="24"/>
          <w:szCs w:val="24"/>
        </w:rPr>
        <w:t>3</w:t>
      </w:r>
      <w:r w:rsidRPr="00C30388">
        <w:rPr>
          <w:rFonts w:ascii="Times New Roman" w:hAnsi="Times New Roman" w:cs="Times New Roman"/>
          <w:sz w:val="24"/>
          <w:szCs w:val="24"/>
        </w:rPr>
        <w:t xml:space="preserve"> definiują pojęcia </w:t>
      </w:r>
      <w:r w:rsidRPr="00C30388">
        <w:rPr>
          <w:rFonts w:ascii="Times New Roman" w:hAnsi="Times New Roman" w:cs="Times New Roman"/>
          <w:b/>
          <w:bCs/>
          <w:sz w:val="24"/>
          <w:szCs w:val="24"/>
        </w:rPr>
        <w:t>u</w:t>
      </w:r>
      <w:r w:rsidRPr="00C30388">
        <w:rPr>
          <w:rFonts w:ascii="Times New Roman" w:hAnsi="Times New Roman" w:cs="Times New Roman"/>
          <w:b/>
          <w:sz w:val="24"/>
          <w:szCs w:val="24"/>
        </w:rPr>
        <w:t>działu konsolidującego</w:t>
      </w:r>
      <w:r w:rsidRPr="00C30388">
        <w:rPr>
          <w:rFonts w:ascii="Times New Roman" w:hAnsi="Times New Roman" w:cs="Times New Roman"/>
          <w:sz w:val="24"/>
          <w:szCs w:val="24"/>
        </w:rPr>
        <w:t xml:space="preserve"> oraz </w:t>
      </w:r>
      <w:r w:rsidRPr="00C30388">
        <w:rPr>
          <w:rFonts w:ascii="Times New Roman" w:hAnsi="Times New Roman" w:cs="Times New Roman"/>
          <w:b/>
          <w:bCs/>
          <w:sz w:val="24"/>
          <w:szCs w:val="24"/>
        </w:rPr>
        <w:t>u</w:t>
      </w:r>
      <w:r w:rsidRPr="00C30388">
        <w:rPr>
          <w:rFonts w:ascii="Times New Roman" w:hAnsi="Times New Roman" w:cs="Times New Roman"/>
          <w:b/>
          <w:sz w:val="24"/>
          <w:szCs w:val="24"/>
        </w:rPr>
        <w:t>działu własnościowego</w:t>
      </w:r>
      <w:r w:rsidRPr="00C30388">
        <w:rPr>
          <w:rFonts w:ascii="Times New Roman" w:hAnsi="Times New Roman" w:cs="Times New Roman"/>
          <w:sz w:val="24"/>
          <w:szCs w:val="24"/>
        </w:rPr>
        <w:t xml:space="preserve">, zgodnie, odpowiednio z art. 3.21 i 3.23 Dyrektywy.   </w:t>
      </w:r>
    </w:p>
    <w:p w14:paraId="7258ECCF"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lastRenderedPageBreak/>
        <w:t>Omawiane pojęcia mają istotne znaczenie dla określenia przynależności poszczególnych jednostek do grupy międzynarodowej lub grupy krajowej oraz przypadającego na jednostkę dominującą udziału w podatku wyrównawczym nisko opodatkowanej jednostki składowej.</w:t>
      </w:r>
    </w:p>
    <w:p w14:paraId="5881BACF"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Pojęcie </w:t>
      </w:r>
      <w:r w:rsidRPr="00C30388">
        <w:rPr>
          <w:rFonts w:ascii="Times New Roman" w:hAnsi="Times New Roman" w:cs="Times New Roman"/>
          <w:b/>
          <w:sz w:val="24"/>
          <w:szCs w:val="24"/>
        </w:rPr>
        <w:t>udziału konsolidującego</w:t>
      </w:r>
      <w:r w:rsidRPr="00C30388">
        <w:rPr>
          <w:rFonts w:ascii="Times New Roman" w:hAnsi="Times New Roman" w:cs="Times New Roman"/>
          <w:sz w:val="24"/>
          <w:szCs w:val="24"/>
        </w:rPr>
        <w:t xml:space="preserve"> oznacza udział własnościowy w jednostce, którego posiadacz jest zobowiązany, lub byłby zobowiązany, do konsolidacji aktywów, zobowiązań, dochodów, kosztów i przepływów pieniężnych jednostki na zasadzie „pozycja po pozycji” (tj. do konsolidacji pełnej), zgodnie z akceptowalnym lub zatwierdzonym standardem rachunkowości. Dla celów Systemu GloBE uznaje się, że centrala posiada udziały konsolidujące w swoich stałych zakładach. </w:t>
      </w:r>
    </w:p>
    <w:p w14:paraId="03E8807A"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Definicja ta obejmuje również tzw. hipotetyczny udział konsolidujący, tj. sytuację, w której dana jednostka byłaby zobowiązana do stosowania konsolidacji pełnej w przypadku sporządzania skonsolidowanego sprawozdania finansowego.</w:t>
      </w:r>
    </w:p>
    <w:p w14:paraId="099583AB" w14:textId="398592ED"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W tym przypadku za skonsolidowane sprawozdanie finansowe uważa się sprawozdanie, które zostałoby sporządzone przez jednostkę przy zastosowaniu zatwierdzonego standardu rachunkowości, który jest akceptowalnym standardem rachunkowości albo innym standardem rachunkowości (korygowanym w celu zapobieżenia istotnym różnicom rachunkowym). Jak już wcześniej wskazano, test hipotetycznej konsolidacji nie modyfikuje standardów rachunkowości ani nie zmienia wyników przewidzianych przez odpowiedni standard. Podobnie, posiadacz udziału własnościowego nie jest traktowany jako posiadacz udziału konsolidującego w jednostce, w sytuacji, w której konsolidacja pełna nie byłaby wymagana przez odpowiedni standard rachunkowości.  </w:t>
      </w:r>
    </w:p>
    <w:p w14:paraId="47E8E534"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Definicja udziału konsolidującego jest szczególnie istotna dla definicji jednostki dominującej najwyższego szczebla. Definicja ta obejmuje jednostkę, która posiada bezpośrednio lub pośrednio udział konsolidujący w innej jednostce, i w której żadna inna jednostka nie posiada, bezpośrednio lub pośrednio, udziału konsolidującego. Zatem test hipotetycznej konsolidacji oznacza, że jednostką dominująca najwyższego szczebla jest również jednostka, która, w przypadku sporządzania skonsolidowanego sprawozdania finansowego, byłaby zobowiązana do konsolidacji pełnej jednostki, w której posiada udział własnościowy. </w:t>
      </w:r>
    </w:p>
    <w:p w14:paraId="4CADCA91" w14:textId="4549CDF9"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Pojęcie </w:t>
      </w:r>
      <w:r w:rsidRPr="00C30388">
        <w:rPr>
          <w:rFonts w:ascii="Times New Roman" w:hAnsi="Times New Roman" w:cs="Times New Roman"/>
          <w:b/>
          <w:sz w:val="24"/>
          <w:szCs w:val="24"/>
        </w:rPr>
        <w:t>udziału własnościowego</w:t>
      </w:r>
      <w:r w:rsidRPr="00C30388">
        <w:rPr>
          <w:rFonts w:ascii="Times New Roman" w:hAnsi="Times New Roman" w:cs="Times New Roman"/>
          <w:sz w:val="24"/>
          <w:szCs w:val="24"/>
        </w:rPr>
        <w:t xml:space="preserve"> oznacza wszelkie udziały </w:t>
      </w:r>
      <w:r w:rsidR="00DD1B29" w:rsidRPr="00C30388">
        <w:rPr>
          <w:rFonts w:ascii="Times New Roman" w:hAnsi="Times New Roman" w:cs="Times New Roman"/>
          <w:sz w:val="24"/>
          <w:szCs w:val="24"/>
        </w:rPr>
        <w:t>w kapitale</w:t>
      </w:r>
      <w:r w:rsidRPr="00C30388">
        <w:rPr>
          <w:rFonts w:ascii="Times New Roman" w:hAnsi="Times New Roman" w:cs="Times New Roman"/>
          <w:sz w:val="24"/>
          <w:szCs w:val="24"/>
        </w:rPr>
        <w:t xml:space="preserve">, z którymi wiąże się prawo do zysków, kapitału lub rezerw danej jednostki. Odnosi się ono również do praw, jakie centrala posiada w odniesieniu do zysków, kapitału lub rezerw swojego stałego zakładu, jak również do praw jakie wspólnik/uczestnik posiada w spółce osobowej, w tym transparentnej podatkowo, czy też truście albo innym podobnym podmiocie.  </w:t>
      </w:r>
    </w:p>
    <w:p w14:paraId="4240EBE0" w14:textId="27D0128B"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Pojęcie to obejmuje także udziały, z którymi wiąże się prawo tylko do jednej z kategorii wskazanych powyżej</w:t>
      </w:r>
      <w:r w:rsidR="00DD1B29" w:rsidRPr="00C30388">
        <w:rPr>
          <w:rFonts w:ascii="Times New Roman" w:hAnsi="Times New Roman" w:cs="Times New Roman"/>
          <w:sz w:val="24"/>
          <w:szCs w:val="24"/>
        </w:rPr>
        <w:t xml:space="preserve">: </w:t>
      </w:r>
      <w:r w:rsidRPr="00C30388">
        <w:rPr>
          <w:rFonts w:ascii="Times New Roman" w:hAnsi="Times New Roman" w:cs="Times New Roman"/>
          <w:sz w:val="24"/>
          <w:szCs w:val="24"/>
        </w:rPr>
        <w:t>zysk, kapitał, rezerwa</w:t>
      </w:r>
      <w:r w:rsidR="00DD1B29" w:rsidRPr="00C30388">
        <w:rPr>
          <w:rFonts w:ascii="Times New Roman" w:hAnsi="Times New Roman" w:cs="Times New Roman"/>
          <w:sz w:val="24"/>
          <w:szCs w:val="24"/>
        </w:rPr>
        <w:t xml:space="preserve"> / kapitał rezerwowy</w:t>
      </w:r>
      <w:r w:rsidRPr="00C30388">
        <w:rPr>
          <w:rFonts w:ascii="Times New Roman" w:hAnsi="Times New Roman" w:cs="Times New Roman"/>
          <w:sz w:val="24"/>
          <w:szCs w:val="24"/>
        </w:rPr>
        <w:t xml:space="preserve">.  </w:t>
      </w:r>
    </w:p>
    <w:p w14:paraId="4FA5C9FD" w14:textId="77777777"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W praktyce udziały mogą wiązać się z prawami do zysków i kapitału lub rezerw w różnej procentowej wysokości. Na przykład udział własnościowy może wiązać się z prawem do 20% zysków jednostki, ale tylko do 10% jej kapitału. </w:t>
      </w:r>
    </w:p>
    <w:p w14:paraId="2642D20B" w14:textId="5B770450" w:rsidR="002A4C92" w:rsidRPr="00C30388" w:rsidRDefault="002A4C92" w:rsidP="002A4C92">
      <w:pPr>
        <w:spacing w:after="120"/>
        <w:jc w:val="both"/>
        <w:rPr>
          <w:rFonts w:ascii="Times New Roman" w:hAnsi="Times New Roman" w:cs="Times New Roman"/>
          <w:sz w:val="24"/>
          <w:szCs w:val="24"/>
        </w:rPr>
      </w:pPr>
      <w:r w:rsidRPr="00C30388">
        <w:rPr>
          <w:rFonts w:ascii="Times New Roman" w:hAnsi="Times New Roman" w:cs="Times New Roman"/>
          <w:sz w:val="24"/>
          <w:szCs w:val="24"/>
        </w:rPr>
        <w:t xml:space="preserve">W niektórych przypadkach projekt wskazuje na konkretną kategorię udziałów </w:t>
      </w:r>
      <w:r w:rsidR="00DD1B29" w:rsidRPr="00C30388">
        <w:rPr>
          <w:rFonts w:ascii="Times New Roman" w:hAnsi="Times New Roman" w:cs="Times New Roman"/>
          <w:sz w:val="24"/>
          <w:szCs w:val="24"/>
        </w:rPr>
        <w:t>w kapitale</w:t>
      </w:r>
      <w:r w:rsidRPr="00C30388">
        <w:rPr>
          <w:rFonts w:ascii="Times New Roman" w:hAnsi="Times New Roman" w:cs="Times New Roman"/>
          <w:sz w:val="24"/>
          <w:szCs w:val="24"/>
        </w:rPr>
        <w:t xml:space="preserve">, którą należy brać pod uwagę dla możliwości stosowania określonej instytucji. Tak jest m.in. w przypadku POPE, o których statusie decyduje posiadanie (przez podmioty spoza grupy) wyłącznie praw do udziału w zysku (powyżej 20%). Co do zasady jednak, jeśli projekt nie stanowi inaczej, przy ustalaniu wysokości posiadanych udziałów kapitałowych należy w </w:t>
      </w:r>
      <w:r w:rsidRPr="00C30388">
        <w:rPr>
          <w:rFonts w:ascii="Times New Roman" w:hAnsi="Times New Roman" w:cs="Times New Roman"/>
          <w:sz w:val="24"/>
          <w:szCs w:val="24"/>
        </w:rPr>
        <w:lastRenderedPageBreak/>
        <w:t xml:space="preserve">równym stopniu uwzględnić każdą z ww. kategorii praw. Mają one przy tym jednakową wagę, co wpływa na sposobu ich obliczania. </w:t>
      </w:r>
    </w:p>
    <w:p w14:paraId="6C80AF62" w14:textId="3F861F78"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1FD53611" w14:textId="77777777"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Jednostka A emituje udziały własnościowe dwóch rodzajów, z których pierwszy daje wyłącznie prawo do jej zysku, a drugi wyłącznie prawo do jej kapitału w przypadku likwidacji. Prawa te w obrębie danej kategorii są równe. Jednostka ta znajduje się w posiadaniu 3 innych podmiotów, B, C i D. Jednostka B posiada 50% praw do zysku i 80% praw do kapitału, z kolei Jednostka C posiada wyłącznie 50% praw do zysku, a Jednostka D wyłącznie pozostałe 20% praw do kapitału. Udział Własnościowy poszczególnych Jednostek B, C i D w Jednostce A wynosi średnią ich praw do zysku oraz praw do kapitału. Tym samym Udział Własnościowy wskazanych Jednostek w Jednostce A wynosi, w przypadku: Jednostki B – 65% [(1/2 x 50%) + (1/2 x 80%)], Jednostki C – 25% [(1/2 x 50%) + (1/2 x 0)], a Jednostki D – 10% [(1/2 x 0) + (1/2 x 20%)].</w:t>
      </w:r>
    </w:p>
    <w:p w14:paraId="51880091" w14:textId="01ECB3E0" w:rsidR="002A4C92" w:rsidRPr="00E95678" w:rsidRDefault="002A4C92" w:rsidP="00E163E3">
      <w:pPr>
        <w:spacing w:before="240" w:after="120"/>
        <w:jc w:val="both"/>
        <w:rPr>
          <w:rFonts w:ascii="Times New Roman" w:hAnsi="Times New Roman" w:cs="Times New Roman"/>
          <w:sz w:val="24"/>
          <w:szCs w:val="24"/>
        </w:rPr>
      </w:pPr>
      <w:r w:rsidRPr="00E95678">
        <w:rPr>
          <w:rFonts w:ascii="Times New Roman" w:hAnsi="Times New Roman" w:cs="Times New Roman"/>
          <w:sz w:val="24"/>
          <w:szCs w:val="24"/>
        </w:rPr>
        <w:t xml:space="preserve">Jednak w przypadku alokowania dochodu (straty) jednostki transparentnej podatkowo należy </w:t>
      </w:r>
      <w:r w:rsidR="0051654B" w:rsidRPr="00E95678">
        <w:rPr>
          <w:rFonts w:ascii="Times New Roman" w:hAnsi="Times New Roman" w:cs="Times New Roman"/>
          <w:sz w:val="24"/>
          <w:szCs w:val="24"/>
        </w:rPr>
        <w:t>ten dochód (stratę)</w:t>
      </w:r>
      <w:r w:rsidRPr="00E95678">
        <w:rPr>
          <w:rFonts w:ascii="Times New Roman" w:hAnsi="Times New Roman" w:cs="Times New Roman"/>
          <w:sz w:val="24"/>
          <w:szCs w:val="24"/>
        </w:rPr>
        <w:t xml:space="preserve"> przypisywać właścicielom takiej jednostki, zgodnie z ich udziałami własnościowymi wynikającymi wyłącznie z praw do jej zysków. Wynika to z faktu, że alokacja taka dotyczy księgowego dochodu netto, co sprawia, że prawa do zysku są jego naturalną miarą. [Komentarz, 10.1;84] </w:t>
      </w:r>
    </w:p>
    <w:p w14:paraId="6BAF9030" w14:textId="77777777" w:rsidR="00DD1B29"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Użyty, w definicji udziału własnościowego, termin „udział </w:t>
      </w:r>
      <w:r w:rsidR="00DD1B29" w:rsidRPr="00E95678">
        <w:rPr>
          <w:rFonts w:ascii="Times New Roman" w:hAnsi="Times New Roman" w:cs="Times New Roman"/>
          <w:sz w:val="24"/>
          <w:szCs w:val="24"/>
        </w:rPr>
        <w:t>w kapitale</w:t>
      </w:r>
      <w:r w:rsidRPr="00E95678">
        <w:rPr>
          <w:rFonts w:ascii="Times New Roman" w:hAnsi="Times New Roman" w:cs="Times New Roman"/>
          <w:sz w:val="24"/>
          <w:szCs w:val="24"/>
        </w:rPr>
        <w:t>"</w:t>
      </w:r>
      <w:r w:rsidR="00DD1B29" w:rsidRPr="00E95678">
        <w:rPr>
          <w:rFonts w:ascii="Times New Roman" w:hAnsi="Times New Roman" w:cs="Times New Roman"/>
          <w:sz w:val="24"/>
          <w:szCs w:val="24"/>
        </w:rPr>
        <w:t xml:space="preserve"> (</w:t>
      </w:r>
      <w:r w:rsidR="00DD1B29" w:rsidRPr="00E95678">
        <w:rPr>
          <w:rFonts w:ascii="Times New Roman" w:hAnsi="Times New Roman" w:cs="Times New Roman"/>
          <w:i/>
          <w:iCs/>
          <w:sz w:val="24"/>
          <w:szCs w:val="24"/>
        </w:rPr>
        <w:t>ang. equity interest</w:t>
      </w:r>
      <w:r w:rsidR="00DD1B29" w:rsidRPr="00E95678">
        <w:rPr>
          <w:rFonts w:ascii="Times New Roman" w:hAnsi="Times New Roman" w:cs="Times New Roman"/>
          <w:sz w:val="24"/>
          <w:szCs w:val="24"/>
        </w:rPr>
        <w:t>)</w:t>
      </w:r>
      <w:r w:rsidRPr="00E95678">
        <w:rPr>
          <w:rFonts w:ascii="Times New Roman" w:hAnsi="Times New Roman" w:cs="Times New Roman"/>
          <w:sz w:val="24"/>
          <w:szCs w:val="24"/>
        </w:rPr>
        <w:t xml:space="preserve"> został zastosowany w celu jego odróżnienia od innych praw do zysków, kapitału lub rezerw danej jednostki, takich jak umowy o podziale zysków z pracownikami, które nie wiążą się z żadnymi prawami kapitałowymi</w:t>
      </w:r>
      <w:r w:rsidR="00DD1B29" w:rsidRPr="00E95678">
        <w:rPr>
          <w:rFonts w:ascii="Times New Roman" w:hAnsi="Times New Roman" w:cs="Times New Roman"/>
          <w:sz w:val="24"/>
          <w:szCs w:val="24"/>
        </w:rPr>
        <w:t>,</w:t>
      </w:r>
      <w:r w:rsidRPr="00E95678">
        <w:rPr>
          <w:rFonts w:ascii="Times New Roman" w:hAnsi="Times New Roman" w:cs="Times New Roman"/>
          <w:sz w:val="24"/>
          <w:szCs w:val="24"/>
        </w:rPr>
        <w:t xml:space="preserve"> lub </w:t>
      </w:r>
      <w:r w:rsidR="00DD1B29" w:rsidRPr="00E95678">
        <w:rPr>
          <w:rFonts w:ascii="Times New Roman" w:hAnsi="Times New Roman" w:cs="Times New Roman"/>
          <w:sz w:val="24"/>
          <w:szCs w:val="24"/>
        </w:rPr>
        <w:t xml:space="preserve">jak </w:t>
      </w:r>
      <w:r w:rsidRPr="00E95678">
        <w:rPr>
          <w:rFonts w:ascii="Times New Roman" w:hAnsi="Times New Roman" w:cs="Times New Roman"/>
          <w:sz w:val="24"/>
          <w:szCs w:val="24"/>
        </w:rPr>
        <w:t xml:space="preserve">prawa wierzycieli do dokonania sprzedaży niektórych aktywów jednostki w celu wywiązania się z jej niezaspokojonych zobowiązań. </w:t>
      </w:r>
      <w:r w:rsidRPr="00E95678">
        <w:rPr>
          <w:rFonts w:ascii="Times New Roman" w:hAnsi="Times New Roman" w:cs="Times New Roman"/>
          <w:sz w:val="24"/>
          <w:szCs w:val="24"/>
          <w:u w:val="single"/>
        </w:rPr>
        <w:t xml:space="preserve">Udział </w:t>
      </w:r>
      <w:r w:rsidR="00DD1B29" w:rsidRPr="00E95678">
        <w:rPr>
          <w:rFonts w:ascii="Times New Roman" w:hAnsi="Times New Roman" w:cs="Times New Roman"/>
          <w:sz w:val="24"/>
          <w:szCs w:val="24"/>
          <w:u w:val="single"/>
        </w:rPr>
        <w:t>w kapitale</w:t>
      </w:r>
      <w:r w:rsidRPr="00E95678">
        <w:rPr>
          <w:rFonts w:ascii="Times New Roman" w:hAnsi="Times New Roman" w:cs="Times New Roman"/>
          <w:sz w:val="24"/>
          <w:szCs w:val="24"/>
          <w:u w:val="single"/>
        </w:rPr>
        <w:t xml:space="preserve"> to udział, który ujmuje się jako kapitał własny zgodnie z</w:t>
      </w:r>
      <w:r w:rsidR="0051654B" w:rsidRPr="00E95678">
        <w:rPr>
          <w:rFonts w:ascii="Times New Roman" w:hAnsi="Times New Roman" w:cs="Times New Roman"/>
          <w:sz w:val="24"/>
          <w:szCs w:val="24"/>
          <w:u w:val="single"/>
        </w:rPr>
        <w:t xml:space="preserve"> akceptowalnym </w:t>
      </w:r>
      <w:r w:rsidR="00DD1B29" w:rsidRPr="00E95678">
        <w:rPr>
          <w:rFonts w:ascii="Times New Roman" w:hAnsi="Times New Roman" w:cs="Times New Roman"/>
          <w:sz w:val="24"/>
          <w:szCs w:val="24"/>
          <w:u w:val="single"/>
        </w:rPr>
        <w:t>lub</w:t>
      </w:r>
      <w:r w:rsidR="0051654B" w:rsidRPr="00E95678">
        <w:rPr>
          <w:rFonts w:ascii="Times New Roman" w:hAnsi="Times New Roman" w:cs="Times New Roman"/>
          <w:sz w:val="24"/>
          <w:szCs w:val="24"/>
          <w:u w:val="single"/>
        </w:rPr>
        <w:t xml:space="preserve"> zatwierdzonym</w:t>
      </w:r>
      <w:r w:rsidRPr="00E95678">
        <w:rPr>
          <w:rFonts w:ascii="Times New Roman" w:hAnsi="Times New Roman" w:cs="Times New Roman"/>
          <w:sz w:val="24"/>
          <w:szCs w:val="24"/>
          <w:u w:val="single"/>
        </w:rPr>
        <w:t xml:space="preserve"> standardem rachunkowości, stosowanym przy sporządzaniu skonsolidowanego sprawozdania finansowego.</w:t>
      </w:r>
      <w:r w:rsidRPr="00E95678">
        <w:rPr>
          <w:rFonts w:ascii="Times New Roman" w:hAnsi="Times New Roman" w:cs="Times New Roman"/>
          <w:sz w:val="24"/>
          <w:szCs w:val="24"/>
        </w:rPr>
        <w:t xml:space="preserve"> </w:t>
      </w:r>
    </w:p>
    <w:p w14:paraId="47DCC219" w14:textId="7DAF9D56" w:rsidR="00DD1B29" w:rsidRPr="00E95678" w:rsidRDefault="00DD1B29"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związku z powyższym, przykładowo </w:t>
      </w:r>
      <w:r w:rsidRPr="00E95678">
        <w:rPr>
          <w:rFonts w:ascii="Times New Roman" w:hAnsi="Times New Roman" w:cs="Times New Roman"/>
          <w:bCs/>
          <w:sz w:val="24"/>
          <w:szCs w:val="24"/>
        </w:rPr>
        <w:t>certyfikaty inwestycyjne w FIZ, które przedstawiają prawa doz zysków/kapitału oraz są ujęte w sprawozdaniu finansowym jako kapitał własny/kapitał funduszu, spełniają definicję udziałów własnościowych z projektowanej ustawy.</w:t>
      </w:r>
    </w:p>
    <w:p w14:paraId="698AA512" w14:textId="353F2D13" w:rsidR="002A4C92" w:rsidRPr="00E95678" w:rsidRDefault="00DD1B29"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Ponadto, w Komentarzu wskazuje się przykład akcji</w:t>
      </w:r>
      <w:r w:rsidR="002A4C92" w:rsidRPr="00E95678">
        <w:rPr>
          <w:rFonts w:ascii="Times New Roman" w:hAnsi="Times New Roman" w:cs="Times New Roman"/>
          <w:sz w:val="24"/>
          <w:szCs w:val="24"/>
        </w:rPr>
        <w:t>, które zostały pożyczone innej osobie w związku z krótką sprzedażą lub akcj</w:t>
      </w:r>
      <w:r w:rsidRPr="00E95678">
        <w:rPr>
          <w:rFonts w:ascii="Times New Roman" w:hAnsi="Times New Roman" w:cs="Times New Roman"/>
          <w:sz w:val="24"/>
          <w:szCs w:val="24"/>
        </w:rPr>
        <w:t xml:space="preserve">i </w:t>
      </w:r>
      <w:r w:rsidR="002A4C92" w:rsidRPr="00E95678">
        <w:rPr>
          <w:rFonts w:ascii="Times New Roman" w:hAnsi="Times New Roman" w:cs="Times New Roman"/>
          <w:sz w:val="24"/>
          <w:szCs w:val="24"/>
        </w:rPr>
        <w:t>sprzedan</w:t>
      </w:r>
      <w:r w:rsidRPr="00E95678">
        <w:rPr>
          <w:rFonts w:ascii="Times New Roman" w:hAnsi="Times New Roman" w:cs="Times New Roman"/>
          <w:sz w:val="24"/>
          <w:szCs w:val="24"/>
        </w:rPr>
        <w:t>ych</w:t>
      </w:r>
      <w:r w:rsidR="002A4C92" w:rsidRPr="00E95678">
        <w:rPr>
          <w:rFonts w:ascii="Times New Roman" w:hAnsi="Times New Roman" w:cs="Times New Roman"/>
          <w:sz w:val="24"/>
          <w:szCs w:val="24"/>
        </w:rPr>
        <w:t xml:space="preserve"> z obowiązkiem odkupu</w:t>
      </w:r>
      <w:r w:rsidRPr="00E95678">
        <w:rPr>
          <w:rFonts w:ascii="Times New Roman" w:hAnsi="Times New Roman" w:cs="Times New Roman"/>
          <w:sz w:val="24"/>
          <w:szCs w:val="24"/>
        </w:rPr>
        <w:t>. Status takich akcji jako udziałów własnościowych</w:t>
      </w:r>
      <w:r w:rsidR="002A4C92" w:rsidRPr="00E95678">
        <w:rPr>
          <w:rFonts w:ascii="Times New Roman" w:hAnsi="Times New Roman" w:cs="Times New Roman"/>
          <w:sz w:val="24"/>
          <w:szCs w:val="24"/>
        </w:rPr>
        <w:t xml:space="preserve"> ustala się na podstawie ich ujęcia księgowego w skonsolidowanym sprawozdaniu finansowym.</w:t>
      </w:r>
    </w:p>
    <w:p w14:paraId="06EBA10C" w14:textId="101A4139"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Instrument finansowy wyemitowany przez jednostkę składową grupy, będący w posiadaniu innej jednostki składowej tej samej grupy, musi być klasyfikowany w sposób spójny (jednakowy) jako dług lub kapitał własny zarówno dla emitenta, jak i posiadacza takiego instrumentu. W przypadku, gdy dwie jednostki składowe danej grupy zaklasyfikowały taki instrument finansowy w odmienny sposób zgodnie z odpowiednimi standardami rachunkowości, klasyfikacja przyjęta przez emitenta powinna być na gruncie Zasad GloBE stosowana również przez jego posiadacza. Ujednolicenie klasyfikacji instrumentu finansowego gwarantuje, że żadna kwota w odniesieniu do takiego instrumentu nie będzie klasyfikowana jako wyłączona dywidenda w zakresie, w jakim inny podmiot tej samej grupy, który </w:t>
      </w:r>
      <w:r w:rsidRPr="00E95678">
        <w:rPr>
          <w:rFonts w:ascii="Times New Roman" w:hAnsi="Times New Roman" w:cs="Times New Roman"/>
          <w:sz w:val="24"/>
          <w:szCs w:val="24"/>
        </w:rPr>
        <w:lastRenderedPageBreak/>
        <w:t xml:space="preserve">wyemitował dany instrument, traktuje wynikającą z niego płatność jako koszt przy obliczaniu kwalifikowanego dochodu (straty). </w:t>
      </w:r>
    </w:p>
    <w:p w14:paraId="3032E5CD" w14:textId="5CC9DADE" w:rsidR="0051654B" w:rsidRPr="00E95678" w:rsidRDefault="0051654B" w:rsidP="002A4C92">
      <w:pPr>
        <w:spacing w:after="120"/>
        <w:jc w:val="both"/>
        <w:rPr>
          <w:rFonts w:ascii="Times New Roman" w:hAnsi="Times New Roman" w:cs="Times New Roman"/>
          <w:sz w:val="24"/>
        </w:rPr>
      </w:pPr>
      <w:r w:rsidRPr="00E95678">
        <w:rPr>
          <w:rFonts w:ascii="Times New Roman" w:hAnsi="Times New Roman" w:cs="Times New Roman"/>
          <w:sz w:val="24"/>
        </w:rPr>
        <w:t>Ponadto, zgodnie z brzmieniem art. 2 ust. 1 pkt 4</w:t>
      </w:r>
      <w:r w:rsidR="002640FC" w:rsidRPr="00E95678">
        <w:rPr>
          <w:rFonts w:ascii="Times New Roman" w:hAnsi="Times New Roman" w:cs="Times New Roman"/>
          <w:sz w:val="24"/>
        </w:rPr>
        <w:t>3</w:t>
      </w:r>
      <w:r w:rsidRPr="00E95678">
        <w:rPr>
          <w:rFonts w:ascii="Times New Roman" w:hAnsi="Times New Roman" w:cs="Times New Roman"/>
          <w:sz w:val="24"/>
        </w:rPr>
        <w:t xml:space="preserve">, udziały własnościowe w jednostce składowej przypisane do stałego zakładu uznaje się za udziały posiadane przez centralę. Jest to doprecyzowanie służące prawidłowemu stosowaniu Zasad GloBE i prawidłowemu wyznaczeniu podatnika dla celów globalnego podatku wyrównawczego. Zgodnie bowiem z Komentarzem do </w:t>
      </w:r>
      <w:r w:rsidR="00595132" w:rsidRPr="00E95678">
        <w:rPr>
          <w:rFonts w:ascii="Times New Roman" w:hAnsi="Times New Roman" w:cs="Times New Roman"/>
          <w:sz w:val="24"/>
        </w:rPr>
        <w:t>Modelowych zasad</w:t>
      </w:r>
      <w:r w:rsidRPr="00E95678">
        <w:rPr>
          <w:rFonts w:ascii="Times New Roman" w:hAnsi="Times New Roman" w:cs="Times New Roman"/>
          <w:sz w:val="24"/>
        </w:rPr>
        <w:t xml:space="preserve">: </w:t>
      </w:r>
    </w:p>
    <w:p w14:paraId="5A44DCAE" w14:textId="1FB9DB20" w:rsidR="0051654B" w:rsidRPr="00E95678" w:rsidRDefault="0051654B" w:rsidP="002A4C92">
      <w:pPr>
        <w:spacing w:after="120"/>
        <w:jc w:val="both"/>
        <w:rPr>
          <w:rFonts w:ascii="Times New Roman" w:hAnsi="Times New Roman" w:cs="Times New Roman"/>
          <w:sz w:val="24"/>
        </w:rPr>
      </w:pPr>
      <w:r w:rsidRPr="00E95678">
        <w:rPr>
          <w:rFonts w:ascii="Times New Roman" w:hAnsi="Times New Roman" w:cs="Times New Roman"/>
          <w:sz w:val="24"/>
        </w:rPr>
        <w:t xml:space="preserve">W celu uniknięcia trudnych ustaleń faktycznych i sporów dotyczących tego, czy udziały własnościowe w nisko opodatkowanej jednostce składowej należą do stałego zakładu czy do centrali, stałe zakłady nie są traktowane jako jednostki dominujące zgodnie z </w:t>
      </w:r>
      <w:r w:rsidR="0053129C" w:rsidRPr="00E95678">
        <w:rPr>
          <w:rFonts w:ascii="Times New Roman" w:hAnsi="Times New Roman" w:cs="Times New Roman"/>
          <w:sz w:val="24"/>
        </w:rPr>
        <w:t>Z</w:t>
      </w:r>
      <w:r w:rsidRPr="00E95678">
        <w:rPr>
          <w:rFonts w:ascii="Times New Roman" w:hAnsi="Times New Roman" w:cs="Times New Roman"/>
          <w:sz w:val="24"/>
        </w:rPr>
        <w:t>asadami GloBE. W tym kontekście, udziały własnościowe w nisko opodatkowanej jednostce składowej, które są posiadane przez stały zakład, są traktowane jako udziały centrali [Komentarz; 4.1.2; 14].</w:t>
      </w:r>
    </w:p>
    <w:p w14:paraId="188E065B" w14:textId="77777777" w:rsidR="002A4C92" w:rsidRPr="00E95678" w:rsidRDefault="002A4C92" w:rsidP="002A4C92">
      <w:pPr>
        <w:spacing w:after="120"/>
        <w:jc w:val="both"/>
        <w:rPr>
          <w:rFonts w:ascii="Times New Roman" w:hAnsi="Times New Roman" w:cs="Times New Roman"/>
          <w:i/>
          <w:sz w:val="24"/>
        </w:rPr>
      </w:pPr>
      <w:r w:rsidRPr="00E95678">
        <w:rPr>
          <w:rFonts w:ascii="Times New Roman" w:hAnsi="Times New Roman" w:cs="Times New Roman"/>
          <w:i/>
          <w:sz w:val="24"/>
        </w:rPr>
        <w:t xml:space="preserve">Wartość księgowa netto rzeczowych aktywów trwałych </w:t>
      </w:r>
    </w:p>
    <w:p w14:paraId="1B967EFE" w14:textId="3EEA774F" w:rsidR="002A4C92" w:rsidRPr="00E95678" w:rsidRDefault="002A4C92" w:rsidP="002A4C92">
      <w:pPr>
        <w:spacing w:after="120"/>
        <w:jc w:val="both"/>
        <w:rPr>
          <w:rFonts w:ascii="Times New Roman" w:hAnsi="Times New Roman" w:cs="Times New Roman"/>
          <w:sz w:val="24"/>
        </w:rPr>
      </w:pPr>
      <w:r w:rsidRPr="00E95678">
        <w:rPr>
          <w:rFonts w:ascii="Times New Roman" w:hAnsi="Times New Roman" w:cs="Times New Roman"/>
          <w:sz w:val="24"/>
        </w:rPr>
        <w:t xml:space="preserve">Przepis </w:t>
      </w:r>
      <w:r w:rsidRPr="00E95678">
        <w:rPr>
          <w:rFonts w:ascii="Times New Roman" w:hAnsi="Times New Roman" w:cs="Times New Roman"/>
          <w:b/>
          <w:sz w:val="24"/>
        </w:rPr>
        <w:t>art. 2 ust. 1 pkt 4</w:t>
      </w:r>
      <w:r w:rsidR="002640FC" w:rsidRPr="00E95678">
        <w:rPr>
          <w:rFonts w:ascii="Times New Roman" w:hAnsi="Times New Roman" w:cs="Times New Roman"/>
          <w:b/>
          <w:sz w:val="24"/>
        </w:rPr>
        <w:t>6</w:t>
      </w:r>
      <w:r w:rsidRPr="00E95678">
        <w:rPr>
          <w:rFonts w:ascii="Times New Roman" w:hAnsi="Times New Roman" w:cs="Times New Roman"/>
          <w:sz w:val="24"/>
        </w:rPr>
        <w:t xml:space="preserve"> implementuje art. 3.29 Dyrektywy. Przez </w:t>
      </w:r>
      <w:r w:rsidRPr="00E95678">
        <w:rPr>
          <w:rFonts w:ascii="Times New Roman" w:hAnsi="Times New Roman" w:cs="Times New Roman"/>
          <w:b/>
          <w:sz w:val="24"/>
        </w:rPr>
        <w:t>wartość księgową netto rzeczowych aktywów trwałych</w:t>
      </w:r>
      <w:r w:rsidRPr="00E95678">
        <w:rPr>
          <w:rFonts w:ascii="Times New Roman" w:hAnsi="Times New Roman" w:cs="Times New Roman"/>
          <w:sz w:val="24"/>
        </w:rPr>
        <w:t xml:space="preserve"> (ang. </w:t>
      </w:r>
      <w:r w:rsidRPr="00E95678">
        <w:rPr>
          <w:rFonts w:ascii="Times New Roman" w:hAnsi="Times New Roman" w:cs="Times New Roman"/>
          <w:i/>
          <w:sz w:val="24"/>
        </w:rPr>
        <w:t>net book value of tangible assets</w:t>
      </w:r>
      <w:r w:rsidRPr="00E95678">
        <w:rPr>
          <w:rFonts w:ascii="Times New Roman" w:hAnsi="Times New Roman" w:cs="Times New Roman"/>
          <w:sz w:val="24"/>
        </w:rPr>
        <w:t xml:space="preserve">) rozumie się „połowę sumy wartości rzeczowych aktywów trwałych określonych </w:t>
      </w:r>
      <w:r w:rsidRPr="00E95678">
        <w:rPr>
          <w:rFonts w:ascii="Times New Roman" w:hAnsi="Times New Roman" w:cs="Times New Roman"/>
          <w:iCs/>
          <w:sz w:val="24"/>
        </w:rPr>
        <w:t xml:space="preserve">w sprawozdaniu finansowym </w:t>
      </w:r>
      <w:r w:rsidRPr="00E95678">
        <w:rPr>
          <w:rFonts w:ascii="Times New Roman" w:hAnsi="Times New Roman" w:cs="Times New Roman"/>
          <w:sz w:val="24"/>
        </w:rPr>
        <w:t>odpowiednio na pierwszy i ostatni dzień roku podatkowego</w:t>
      </w:r>
      <w:r w:rsidRPr="00E95678">
        <w:rPr>
          <w:rFonts w:ascii="Times New Roman" w:hAnsi="Times New Roman" w:cs="Times New Roman"/>
          <w:iCs/>
          <w:sz w:val="24"/>
        </w:rPr>
        <w:t>, w szczególności z uwzględnieniem</w:t>
      </w:r>
      <w:r w:rsidRPr="00E95678">
        <w:rPr>
          <w:rFonts w:ascii="Times New Roman" w:hAnsi="Times New Roman" w:cs="Times New Roman"/>
          <w:sz w:val="24"/>
        </w:rPr>
        <w:t xml:space="preserve"> dokonanych odpisów amortyzacyjnych</w:t>
      </w:r>
      <w:r w:rsidRPr="00E95678">
        <w:rPr>
          <w:rFonts w:ascii="Times New Roman" w:hAnsi="Times New Roman" w:cs="Times New Roman"/>
          <w:iCs/>
          <w:sz w:val="24"/>
        </w:rPr>
        <w:t xml:space="preserve"> lub</w:t>
      </w:r>
      <w:r w:rsidRPr="00E95678">
        <w:rPr>
          <w:rFonts w:ascii="Times New Roman" w:hAnsi="Times New Roman" w:cs="Times New Roman"/>
          <w:sz w:val="24"/>
        </w:rPr>
        <w:t xml:space="preserve"> zmniejszenia lub utraty ich wartości (…)”.</w:t>
      </w:r>
    </w:p>
    <w:p w14:paraId="77929702" w14:textId="7A1B2732"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4DB82588" w14:textId="52224E0C"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Grupa posiada tylko jednostkę składową w </w:t>
      </w:r>
      <w:r w:rsidR="002F2BC8"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A, która posiada pojedynczy składnik rzeczowych aktywów trwałych, którego wartość księgowa netto na początek roku wynosiła 100. Jednostka składowa sprzedała ten składnik aktywów w trakcie roku, co oznacza że wartość księgowa netto rzeczowych aktywów trwałych tej jednostki na koniec roku obrotowego wyniosła zero. Tym samym obliczona wartości księgowa netto rzeczowych aktywów trwałych dla te</w:t>
      </w:r>
      <w:r w:rsidR="002F2BC8" w:rsidRPr="003E7A67">
        <w:rPr>
          <w:rFonts w:asciiTheme="minorHAnsi" w:hAnsiTheme="minorHAnsi" w:cstheme="minorHAnsi"/>
          <w:bCs w:val="0"/>
          <w:i/>
          <w:iCs/>
          <w:sz w:val="22"/>
          <w:szCs w:val="22"/>
        </w:rPr>
        <w:t>j</w:t>
      </w:r>
      <w:r w:rsidRPr="003E7A67">
        <w:rPr>
          <w:rFonts w:asciiTheme="minorHAnsi" w:hAnsiTheme="minorHAnsi" w:cstheme="minorHAnsi"/>
          <w:bCs w:val="0"/>
          <w:i/>
          <w:iCs/>
          <w:sz w:val="22"/>
          <w:szCs w:val="22"/>
        </w:rPr>
        <w:t xml:space="preserve"> </w:t>
      </w:r>
      <w:r w:rsidR="002F2BC8"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wynosi 50 [(100+0)/2)].</w:t>
      </w:r>
    </w:p>
    <w:p w14:paraId="2C84AB59" w14:textId="77777777" w:rsidR="002A4C92" w:rsidRPr="00E95678" w:rsidRDefault="002A4C92" w:rsidP="00E163E3">
      <w:pPr>
        <w:spacing w:before="240" w:after="120"/>
        <w:jc w:val="both"/>
        <w:rPr>
          <w:rFonts w:ascii="Times New Roman" w:hAnsi="Times New Roman" w:cs="Times New Roman"/>
          <w:sz w:val="24"/>
          <w:szCs w:val="24"/>
        </w:rPr>
      </w:pPr>
      <w:r w:rsidRPr="00E95678">
        <w:rPr>
          <w:rFonts w:ascii="Times New Roman" w:hAnsi="Times New Roman" w:cs="Times New Roman"/>
          <w:sz w:val="24"/>
          <w:szCs w:val="24"/>
        </w:rPr>
        <w:t xml:space="preserve">Omawiane pojęcie jest używane jest na przede wszystkim na potrzeby stosowania Zasady UTPR, jak również zwolnienia grup międzynarodowych z opodatkowania w początkowej fazie działalności opisanych w dalszych częściach uzasadnienia. </w:t>
      </w:r>
    </w:p>
    <w:p w14:paraId="78AE401B" w14:textId="56306DF9"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Elementem składowym omawianej definicji jest pojęcie </w:t>
      </w:r>
      <w:r w:rsidRPr="00E95678">
        <w:rPr>
          <w:rFonts w:ascii="Times New Roman" w:hAnsi="Times New Roman" w:cs="Times New Roman"/>
          <w:b/>
          <w:bCs/>
          <w:sz w:val="24"/>
          <w:szCs w:val="24"/>
        </w:rPr>
        <w:t>r</w:t>
      </w:r>
      <w:r w:rsidRPr="00E95678">
        <w:rPr>
          <w:rFonts w:ascii="Times New Roman" w:hAnsi="Times New Roman" w:cs="Times New Roman"/>
          <w:b/>
          <w:sz w:val="24"/>
          <w:szCs w:val="24"/>
        </w:rPr>
        <w:t>zeczowych aktywów trwałych</w:t>
      </w:r>
      <w:r w:rsidRPr="00E95678">
        <w:rPr>
          <w:rFonts w:ascii="Times New Roman" w:hAnsi="Times New Roman" w:cs="Times New Roman"/>
          <w:sz w:val="24"/>
          <w:szCs w:val="24"/>
        </w:rPr>
        <w:t xml:space="preserve">. Na gruncie Zasady UTPR oznacza ono rzeczowe aktywa trwałe wszystkich jednostek składowych, zlokalizowanych w </w:t>
      </w:r>
      <w:r w:rsidR="002F2BC8" w:rsidRPr="00E95678">
        <w:rPr>
          <w:rFonts w:ascii="Times New Roman" w:hAnsi="Times New Roman" w:cs="Times New Roman"/>
          <w:sz w:val="24"/>
          <w:szCs w:val="24"/>
        </w:rPr>
        <w:t>danej jurysdykcji</w:t>
      </w:r>
      <w:r w:rsidRPr="00E95678">
        <w:rPr>
          <w:rFonts w:ascii="Times New Roman" w:hAnsi="Times New Roman" w:cs="Times New Roman"/>
          <w:sz w:val="24"/>
          <w:szCs w:val="24"/>
        </w:rPr>
        <w:t xml:space="preserve">. Aktywa takie zasadniczo nie obejmują środków pieniężnych ich ekwiwalentów, wartości niematerialnych i prawnych ani aktywów finansowych; niemniej jeżeli dany standard rachunkowości uwzględnia takie składniki w rzeczowych aktywach trwałych, w definicji wartości księgowej netto rzeczowych aktywów trwałych precyzuje się, że wartość ta nie uwzględnia takich składników </w:t>
      </w:r>
      <w:r w:rsidRPr="00E95678">
        <w:rPr>
          <w:rFonts w:ascii="Times New Roman" w:hAnsi="Times New Roman" w:cs="Times New Roman"/>
          <w:b/>
          <w:bCs/>
          <w:sz w:val="24"/>
          <w:szCs w:val="24"/>
        </w:rPr>
        <w:t>art. 2 ust. 1 pkt 4</w:t>
      </w:r>
      <w:r w:rsidR="002640FC" w:rsidRPr="00E95678">
        <w:rPr>
          <w:rFonts w:ascii="Times New Roman" w:hAnsi="Times New Roman" w:cs="Times New Roman"/>
          <w:b/>
          <w:bCs/>
          <w:sz w:val="24"/>
          <w:szCs w:val="24"/>
        </w:rPr>
        <w:t>6</w:t>
      </w:r>
      <w:r w:rsidRPr="00E95678">
        <w:rPr>
          <w:rFonts w:ascii="Times New Roman" w:hAnsi="Times New Roman" w:cs="Times New Roman"/>
          <w:sz w:val="24"/>
          <w:szCs w:val="24"/>
        </w:rPr>
        <w:t xml:space="preserve"> projektu w ślad za art. 14.6 Dyrektywy). Pojęcie rzeczowych aktywów trwałych na gruncie Systemu GloBE obejmują również aktywa, które nie podlegają amortyzacji.  </w:t>
      </w:r>
    </w:p>
    <w:p w14:paraId="4FDE56A6" w14:textId="75806CA5"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Przedstawiony wyżej przykład jest uproszczony (dotyczy jednej jednostki), natomiast należy podkreślić, że wartość księgową netto rzeczowych aktywów trwałych oblicza się - na gruncie Zasady UTPR - na poziomie </w:t>
      </w:r>
      <w:r w:rsidR="002F2BC8" w:rsidRPr="00E95678">
        <w:rPr>
          <w:rFonts w:ascii="Times New Roman" w:hAnsi="Times New Roman" w:cs="Times New Roman"/>
          <w:sz w:val="24"/>
          <w:szCs w:val="24"/>
        </w:rPr>
        <w:t>danej jurysdykcji</w:t>
      </w:r>
      <w:r w:rsidRPr="00E95678">
        <w:rPr>
          <w:rFonts w:ascii="Times New Roman" w:hAnsi="Times New Roman" w:cs="Times New Roman"/>
          <w:sz w:val="24"/>
          <w:szCs w:val="24"/>
        </w:rPr>
        <w:t>. Wartość ta</w:t>
      </w:r>
      <w:r w:rsidRPr="00E95678" w:rsidDel="00617BBE">
        <w:rPr>
          <w:rFonts w:ascii="Times New Roman" w:hAnsi="Times New Roman" w:cs="Times New Roman"/>
          <w:sz w:val="24"/>
          <w:szCs w:val="24"/>
        </w:rPr>
        <w:t xml:space="preserve"> </w:t>
      </w:r>
      <w:r w:rsidRPr="00E95678">
        <w:rPr>
          <w:rFonts w:ascii="Times New Roman" w:hAnsi="Times New Roman" w:cs="Times New Roman"/>
          <w:sz w:val="24"/>
          <w:szCs w:val="24"/>
        </w:rPr>
        <w:t xml:space="preserve">jest sumą wartości księgowej netto </w:t>
      </w:r>
      <w:r w:rsidRPr="00E95678">
        <w:rPr>
          <w:rFonts w:ascii="Times New Roman" w:hAnsi="Times New Roman" w:cs="Times New Roman"/>
          <w:sz w:val="24"/>
          <w:szCs w:val="24"/>
        </w:rPr>
        <w:lastRenderedPageBreak/>
        <w:t xml:space="preserve">wszystkich rzeczowych aktywów trwałych posiadanych przez jednostki składowe grupy zlokalizowane w </w:t>
      </w:r>
      <w:r w:rsidR="002F2BC8" w:rsidRPr="00E95678">
        <w:rPr>
          <w:rFonts w:ascii="Times New Roman" w:hAnsi="Times New Roman" w:cs="Times New Roman"/>
          <w:sz w:val="24"/>
          <w:szCs w:val="24"/>
        </w:rPr>
        <w:t xml:space="preserve">danej jurysdykcji </w:t>
      </w:r>
      <w:r w:rsidRPr="00E95678">
        <w:rPr>
          <w:rFonts w:ascii="Times New Roman" w:hAnsi="Times New Roman" w:cs="Times New Roman"/>
          <w:sz w:val="24"/>
          <w:szCs w:val="24"/>
        </w:rPr>
        <w:t>w roku podatkowym</w:t>
      </w:r>
      <w:r w:rsidRPr="00E95678">
        <w:rPr>
          <w:rStyle w:val="Odwoanieprzypisudolnego"/>
          <w:rFonts w:ascii="Times New Roman" w:hAnsi="Times New Roman" w:cs="Times New Roman"/>
          <w:sz w:val="24"/>
          <w:szCs w:val="24"/>
        </w:rPr>
        <w:footnoteReference w:id="44"/>
      </w:r>
      <w:r w:rsidRPr="00E95678">
        <w:rPr>
          <w:rFonts w:ascii="Times New Roman" w:hAnsi="Times New Roman" w:cs="Times New Roman"/>
          <w:sz w:val="24"/>
          <w:szCs w:val="24"/>
        </w:rPr>
        <w:t xml:space="preserve">). </w:t>
      </w:r>
    </w:p>
    <w:p w14:paraId="1FAF0E7A" w14:textId="77777777" w:rsidR="002A4C92" w:rsidRPr="00E95678" w:rsidRDefault="002A4C92" w:rsidP="002A4C92">
      <w:pPr>
        <w:spacing w:after="120"/>
        <w:jc w:val="both"/>
        <w:rPr>
          <w:rFonts w:ascii="Times New Roman" w:hAnsi="Times New Roman" w:cs="Times New Roman"/>
          <w:bCs/>
          <w:i/>
          <w:iCs/>
          <w:sz w:val="24"/>
          <w:szCs w:val="24"/>
        </w:rPr>
      </w:pPr>
      <w:r w:rsidRPr="00E95678">
        <w:rPr>
          <w:rFonts w:ascii="Times New Roman" w:hAnsi="Times New Roman" w:cs="Times New Roman"/>
          <w:bCs/>
          <w:i/>
          <w:iCs/>
          <w:sz w:val="24"/>
          <w:szCs w:val="24"/>
        </w:rPr>
        <w:t>Właściciel</w:t>
      </w:r>
    </w:p>
    <w:p w14:paraId="19CB0E94" w14:textId="308FEF50" w:rsidR="002A4C92" w:rsidRPr="00E95678" w:rsidRDefault="002A4C92" w:rsidP="002A4C92">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Zgodnie z </w:t>
      </w:r>
      <w:r w:rsidRPr="00E95678">
        <w:rPr>
          <w:rFonts w:ascii="Times New Roman" w:hAnsi="Times New Roman" w:cs="Times New Roman"/>
          <w:b/>
          <w:sz w:val="24"/>
          <w:szCs w:val="24"/>
        </w:rPr>
        <w:t>art. 2 ust. 1 pkt 4</w:t>
      </w:r>
      <w:r w:rsidR="002640FC" w:rsidRPr="00E95678">
        <w:rPr>
          <w:rFonts w:ascii="Times New Roman" w:hAnsi="Times New Roman" w:cs="Times New Roman"/>
          <w:b/>
          <w:sz w:val="24"/>
          <w:szCs w:val="24"/>
        </w:rPr>
        <w:t>7</w:t>
      </w:r>
      <w:r w:rsidRPr="00E95678">
        <w:rPr>
          <w:rFonts w:ascii="Times New Roman" w:hAnsi="Times New Roman" w:cs="Times New Roman"/>
          <w:bCs/>
          <w:sz w:val="24"/>
          <w:szCs w:val="24"/>
        </w:rPr>
        <w:t xml:space="preserve"> przez pojęcie właściciela rozumie się osobę (rozumianą jako </w:t>
      </w:r>
      <w:r w:rsidRPr="00E95678">
        <w:rPr>
          <w:rFonts w:ascii="Times New Roman" w:eastAsia="Times New Roman" w:hAnsi="Times New Roman" w:cs="Times New Roman"/>
          <w:sz w:val="24"/>
          <w:szCs w:val="24"/>
        </w:rPr>
        <w:t>osobę fizyczną, osobę prawną lub jednostkę organizacyjną nieposiadającą osobowości prawnej), która posiada bezpośrednio lub pośrednio udział własnościowy w jednostce składowej. Właściciel to zatem pojęcie uniwersalne, które może obejmować osoby spoza grupy (np. osoby fizyczne lub tzw. udziałowców mniejszościowych nienależących do grupy), jak również może obejmować jednostki składowe, które są właścicielami innych jednostek składowych („jednostki będące właścicielem”). Pojęcie to jest zatem ogólne i szersze niż specyficzne dla Systemu GloBE pojęcie „jednostki będącej właścicielem” (ang. „</w:t>
      </w:r>
      <w:r w:rsidRPr="00E95678">
        <w:rPr>
          <w:rFonts w:ascii="Times New Roman" w:eastAsia="Times New Roman" w:hAnsi="Times New Roman" w:cs="Times New Roman"/>
          <w:i/>
          <w:iCs/>
          <w:sz w:val="24"/>
          <w:szCs w:val="24"/>
        </w:rPr>
        <w:t>constituent entity-owner</w:t>
      </w:r>
      <w:r w:rsidRPr="00E95678">
        <w:rPr>
          <w:rFonts w:ascii="Times New Roman" w:eastAsia="Times New Roman" w:hAnsi="Times New Roman" w:cs="Times New Roman"/>
          <w:sz w:val="24"/>
          <w:szCs w:val="24"/>
        </w:rPr>
        <w:t xml:space="preserve">”). </w:t>
      </w:r>
    </w:p>
    <w:p w14:paraId="1DFAF658" w14:textId="77777777" w:rsidR="002A4C92" w:rsidRPr="00E95678" w:rsidRDefault="002A4C92" w:rsidP="002A4C92">
      <w:pPr>
        <w:spacing w:after="120"/>
        <w:jc w:val="both"/>
        <w:rPr>
          <w:rFonts w:ascii="Times New Roman" w:hAnsi="Times New Roman" w:cs="Times New Roman"/>
          <w:i/>
          <w:sz w:val="24"/>
          <w:szCs w:val="24"/>
        </w:rPr>
      </w:pPr>
      <w:r w:rsidRPr="00E95678">
        <w:rPr>
          <w:rFonts w:ascii="Times New Roman" w:hAnsi="Times New Roman" w:cs="Times New Roman"/>
          <w:i/>
          <w:sz w:val="24"/>
          <w:szCs w:val="24"/>
        </w:rPr>
        <w:t>Zatwierdzony standard rachunkowości</w:t>
      </w:r>
    </w:p>
    <w:p w14:paraId="3FC958BF" w14:textId="38182627"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Jak zaznaczono wcześniej, Zasady GloBE opierają się w dużej mierze na zasadach rachunkowości, mających zastosowanie na potrzeby sporządzenia skonsolidowanego sprawozdania finansowego. W związku z tym definicja skonsolidowanego sprawozdania finansowego ma kluczowe znaczenie dla określenia zakresu i funkcjonowania Zasad GloBE. </w:t>
      </w:r>
      <w:r w:rsidR="00547776" w:rsidRPr="00E95678">
        <w:rPr>
          <w:rFonts w:ascii="Times New Roman" w:hAnsi="Times New Roman" w:cs="Times New Roman"/>
          <w:sz w:val="24"/>
          <w:szCs w:val="24"/>
        </w:rPr>
        <w:t>spraw</w:t>
      </w:r>
      <w:r w:rsidRPr="00E95678">
        <w:rPr>
          <w:rFonts w:ascii="Times New Roman" w:hAnsi="Times New Roman" w:cs="Times New Roman"/>
          <w:sz w:val="24"/>
          <w:szCs w:val="24"/>
        </w:rPr>
        <w:t xml:space="preserve">ozdanie to może być sporządzone według zatwierdzonego standardu rachunkowości, zdefiniowanego w </w:t>
      </w:r>
      <w:r w:rsidRPr="00E95678">
        <w:rPr>
          <w:rFonts w:ascii="Times New Roman" w:hAnsi="Times New Roman" w:cs="Times New Roman"/>
          <w:b/>
          <w:bCs/>
          <w:sz w:val="24"/>
          <w:szCs w:val="24"/>
        </w:rPr>
        <w:t>art. 2 ust. 1 pkt 4</w:t>
      </w:r>
      <w:r w:rsidR="002640FC" w:rsidRPr="00E95678">
        <w:rPr>
          <w:rFonts w:ascii="Times New Roman" w:hAnsi="Times New Roman" w:cs="Times New Roman"/>
          <w:b/>
          <w:bCs/>
          <w:sz w:val="24"/>
          <w:szCs w:val="24"/>
        </w:rPr>
        <w:t>8</w:t>
      </w:r>
      <w:r w:rsidRPr="00E95678">
        <w:rPr>
          <w:rFonts w:ascii="Times New Roman" w:hAnsi="Times New Roman" w:cs="Times New Roman"/>
          <w:sz w:val="24"/>
          <w:szCs w:val="24"/>
        </w:rPr>
        <w:t>, w tym akceptowalnego standardu rachunkowości albo innego zatwierdzonego standardu rachunkowości. W przypadkach, w których UPE nie sporządza skonsolidowanych sprawozdań finansowych zgodnie z akceptowalnym standardem rachunkowości, Zasady GloBE odwołują się do zasad właściwych dla innego zatwierdzonego standardu rachunkowości (które wymagają określonych korekt).</w:t>
      </w:r>
    </w:p>
    <w:p w14:paraId="2A5E7BDE" w14:textId="2B4A1D69"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Przez zatwierdzony standard rachunkowości, o którym mowa w </w:t>
      </w:r>
      <w:r w:rsidRPr="00E95678">
        <w:rPr>
          <w:rFonts w:ascii="Times New Roman" w:hAnsi="Times New Roman" w:cs="Times New Roman"/>
          <w:b/>
          <w:bCs/>
          <w:sz w:val="24"/>
          <w:szCs w:val="24"/>
        </w:rPr>
        <w:t>art.</w:t>
      </w:r>
      <w:r w:rsidRPr="00E95678">
        <w:rPr>
          <w:rFonts w:ascii="Times New Roman" w:hAnsi="Times New Roman" w:cs="Times New Roman"/>
          <w:b/>
          <w:sz w:val="24"/>
          <w:szCs w:val="24"/>
        </w:rPr>
        <w:t xml:space="preserve"> 2 ust. 1 pkt 4</w:t>
      </w:r>
      <w:r w:rsidR="002640FC" w:rsidRPr="00E95678">
        <w:rPr>
          <w:rFonts w:ascii="Times New Roman" w:hAnsi="Times New Roman" w:cs="Times New Roman"/>
          <w:b/>
          <w:sz w:val="24"/>
          <w:szCs w:val="24"/>
        </w:rPr>
        <w:t>8</w:t>
      </w:r>
      <w:r w:rsidRPr="00E95678">
        <w:rPr>
          <w:rFonts w:ascii="Times New Roman" w:hAnsi="Times New Roman" w:cs="Times New Roman"/>
          <w:sz w:val="24"/>
          <w:szCs w:val="24"/>
        </w:rPr>
        <w:t xml:space="preserve"> (implementującym art. 3.26 Dyrektywy) rozumie się właściwe przepisy w zakresie rachunkowości, standardy rachunkowości lub inne ogólnie przyjęte zasady rachunkowości (ang. „</w:t>
      </w:r>
      <w:r w:rsidRPr="00E95678">
        <w:rPr>
          <w:rFonts w:ascii="Times New Roman" w:hAnsi="Times New Roman" w:cs="Times New Roman"/>
          <w:i/>
          <w:iCs/>
          <w:sz w:val="24"/>
          <w:szCs w:val="24"/>
        </w:rPr>
        <w:t>set of generally acceptable accounting principles</w:t>
      </w:r>
      <w:r w:rsidRPr="00E95678">
        <w:rPr>
          <w:rFonts w:ascii="Times New Roman" w:hAnsi="Times New Roman" w:cs="Times New Roman"/>
          <w:sz w:val="24"/>
          <w:szCs w:val="24"/>
        </w:rPr>
        <w:t>”), zatwierdzone przez organ dysponujący upoważnieniem prawnym do wydawania, ustanawiania lub przyjmowania standardów rachunkowości dla celów sprawozdawczości finansowej, obowiązujących w </w:t>
      </w:r>
      <w:r w:rsidR="002F2BC8"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 xml:space="preserve">lokalizacji danej jednostki. Zatwierdzony standard rachunkowości może znajdować się na liście akceptowalnych standardów rachunkowości albo może stanowić inny, lokalny standard rachunkowości (inny zatwierdzony standard rachunkowości). W przypadku, gdy lokalny standard rachunkowości nie jest ujęty na liście akceptowalnych standardów rachunkowości, Zasady GloBE wymagają porównania pozycji księgowych, ujętych zgodnie z lokalnym standardem rachunkowości, z MSR/MSSF celem oceny, czy występują istotne różnice rachunkowe między tymi standardami. W takim przypadku sposób ujęcia pozycji lub transakcji, zgodnie z lokalnymi standardami rachunkowości, musi zostać skorygowany w celu wyeliminowania ewentualnej istotnej różnicy rachunkowej (zagadnienie to zostało omówione w części uzasadnienia dotyczącej kwalifikowanego dochodu (straty)). Zakłada się, że lokalny </w:t>
      </w:r>
      <w:r w:rsidRPr="00E95678">
        <w:rPr>
          <w:rFonts w:ascii="Times New Roman" w:hAnsi="Times New Roman" w:cs="Times New Roman"/>
          <w:sz w:val="24"/>
          <w:szCs w:val="24"/>
        </w:rPr>
        <w:lastRenderedPageBreak/>
        <w:t>standard rachunkowości, który jest zgodny z MSR/MSSF we wszystkich istotnych aspektach, nie spowoduje wystąpienia istotnej różnicy rachunkowej.</w:t>
      </w:r>
    </w:p>
    <w:p w14:paraId="05C2BD62" w14:textId="77777777" w:rsidR="002A4C92" w:rsidRPr="00E95678" w:rsidRDefault="002A4C92" w:rsidP="002A4C92">
      <w:pPr>
        <w:spacing w:after="120"/>
        <w:jc w:val="both"/>
        <w:rPr>
          <w:rFonts w:ascii="Times New Roman" w:hAnsi="Times New Roman" w:cs="Times New Roman"/>
          <w:i/>
          <w:sz w:val="24"/>
          <w:szCs w:val="24"/>
        </w:rPr>
      </w:pPr>
      <w:r w:rsidRPr="00E95678">
        <w:rPr>
          <w:rFonts w:ascii="Times New Roman" w:hAnsi="Times New Roman" w:cs="Times New Roman"/>
          <w:i/>
          <w:sz w:val="24"/>
          <w:szCs w:val="24"/>
        </w:rPr>
        <w:t>Pozostałe definicje i skróty</w:t>
      </w:r>
    </w:p>
    <w:p w14:paraId="1AE801E4" w14:textId="117C839B"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2</w:t>
      </w:r>
      <w:r w:rsidRPr="00E95678">
        <w:rPr>
          <w:rFonts w:ascii="Times New Roman" w:hAnsi="Times New Roman" w:cs="Times New Roman"/>
          <w:sz w:val="24"/>
          <w:szCs w:val="24"/>
        </w:rPr>
        <w:t xml:space="preserve"> poza wskazanymi wyżej definicjami zawiera również definicje pełniące rolę skrótów najczęściej w odniesieniu do obowiązującej w polskim porządku prawnym ustawy lub aktu prawnego. Taką funkcję pełnią definicje zawarte w </w:t>
      </w:r>
      <w:r w:rsidRPr="00E95678">
        <w:rPr>
          <w:rFonts w:ascii="Times New Roman" w:hAnsi="Times New Roman" w:cs="Times New Roman"/>
          <w:b/>
          <w:bCs/>
          <w:sz w:val="24"/>
          <w:szCs w:val="24"/>
        </w:rPr>
        <w:t>art. 2 ust. 1 pkt 3</w:t>
      </w:r>
      <w:r w:rsidR="00630EBC" w:rsidRPr="00E95678">
        <w:rPr>
          <w:rFonts w:ascii="Times New Roman" w:hAnsi="Times New Roman" w:cs="Times New Roman"/>
          <w:b/>
          <w:bCs/>
          <w:sz w:val="24"/>
          <w:szCs w:val="24"/>
        </w:rPr>
        <w:t>3</w:t>
      </w:r>
      <w:r w:rsidRPr="00E95678">
        <w:rPr>
          <w:rFonts w:ascii="Times New Roman" w:hAnsi="Times New Roman" w:cs="Times New Roman"/>
          <w:sz w:val="24"/>
          <w:szCs w:val="24"/>
        </w:rPr>
        <w:t xml:space="preserve"> (Ordynacja podatkowa), </w:t>
      </w:r>
      <w:r w:rsidRPr="00E95678">
        <w:rPr>
          <w:rFonts w:ascii="Times New Roman" w:hAnsi="Times New Roman" w:cs="Times New Roman"/>
          <w:b/>
          <w:bCs/>
          <w:sz w:val="24"/>
          <w:szCs w:val="24"/>
        </w:rPr>
        <w:t>pkt 4</w:t>
      </w:r>
      <w:r w:rsidR="002640FC" w:rsidRPr="00E95678">
        <w:rPr>
          <w:rFonts w:ascii="Times New Roman" w:hAnsi="Times New Roman" w:cs="Times New Roman"/>
          <w:b/>
          <w:bCs/>
          <w:sz w:val="24"/>
          <w:szCs w:val="24"/>
        </w:rPr>
        <w:t>4</w:t>
      </w:r>
      <w:r w:rsidRPr="00E95678">
        <w:rPr>
          <w:rFonts w:ascii="Times New Roman" w:hAnsi="Times New Roman" w:cs="Times New Roman"/>
          <w:sz w:val="24"/>
          <w:szCs w:val="24"/>
        </w:rPr>
        <w:t xml:space="preserve"> (ustawa o podatku dochodowym od osób prawnych, dalej także jako „</w:t>
      </w:r>
      <w:r w:rsidRPr="00E95678">
        <w:rPr>
          <w:rFonts w:ascii="Times New Roman" w:hAnsi="Times New Roman" w:cs="Times New Roman"/>
          <w:b/>
          <w:bCs/>
          <w:sz w:val="24"/>
          <w:szCs w:val="24"/>
        </w:rPr>
        <w:t>ustawa CIT</w:t>
      </w:r>
      <w:r w:rsidRPr="00E95678">
        <w:rPr>
          <w:rFonts w:ascii="Times New Roman" w:hAnsi="Times New Roman" w:cs="Times New Roman"/>
          <w:sz w:val="24"/>
          <w:szCs w:val="24"/>
        </w:rPr>
        <w:t xml:space="preserve">”) oraz </w:t>
      </w:r>
      <w:r w:rsidRPr="00E95678">
        <w:rPr>
          <w:rFonts w:ascii="Times New Roman" w:hAnsi="Times New Roman" w:cs="Times New Roman"/>
          <w:b/>
          <w:bCs/>
          <w:sz w:val="24"/>
          <w:szCs w:val="24"/>
        </w:rPr>
        <w:t>pkt 4</w:t>
      </w:r>
      <w:r w:rsidR="002640FC" w:rsidRPr="00E95678">
        <w:rPr>
          <w:rFonts w:ascii="Times New Roman" w:hAnsi="Times New Roman" w:cs="Times New Roman"/>
          <w:b/>
          <w:bCs/>
          <w:sz w:val="24"/>
          <w:szCs w:val="24"/>
        </w:rPr>
        <w:t>5</w:t>
      </w:r>
      <w:r w:rsidRPr="00E95678">
        <w:rPr>
          <w:rFonts w:ascii="Times New Roman" w:hAnsi="Times New Roman" w:cs="Times New Roman"/>
          <w:sz w:val="24"/>
          <w:szCs w:val="24"/>
        </w:rPr>
        <w:t xml:space="preserve"> (ustawa o rachunkowości).  </w:t>
      </w:r>
    </w:p>
    <w:p w14:paraId="519D3E86" w14:textId="77777777" w:rsidR="002A4C92" w:rsidRPr="00E95678" w:rsidRDefault="002A4C92" w:rsidP="002A4C92">
      <w:pPr>
        <w:spacing w:after="120"/>
        <w:jc w:val="both"/>
        <w:rPr>
          <w:rFonts w:ascii="Times New Roman" w:hAnsi="Times New Roman" w:cs="Times New Roman"/>
          <w:i/>
          <w:iCs/>
          <w:sz w:val="24"/>
          <w:szCs w:val="24"/>
          <w:lang w:eastAsia="pl-PL"/>
        </w:rPr>
      </w:pPr>
      <w:r w:rsidRPr="00E95678">
        <w:rPr>
          <w:rFonts w:ascii="Times New Roman" w:hAnsi="Times New Roman" w:cs="Times New Roman"/>
          <w:i/>
          <w:iCs/>
          <w:sz w:val="24"/>
          <w:szCs w:val="24"/>
          <w:lang w:eastAsia="pl-PL"/>
        </w:rPr>
        <w:t>Wielkość udziałów posiadanych pośrednio</w:t>
      </w:r>
    </w:p>
    <w:p w14:paraId="18748B73" w14:textId="77777777"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Przepis </w:t>
      </w:r>
      <w:r w:rsidRPr="00E95678">
        <w:rPr>
          <w:rFonts w:ascii="Times New Roman" w:hAnsi="Times New Roman" w:cs="Times New Roman"/>
          <w:b/>
          <w:bCs/>
          <w:sz w:val="24"/>
          <w:szCs w:val="24"/>
        </w:rPr>
        <w:t>art. 2 ust. 2</w:t>
      </w:r>
      <w:r w:rsidRPr="00E95678">
        <w:rPr>
          <w:rFonts w:ascii="Times New Roman" w:hAnsi="Times New Roman" w:cs="Times New Roman"/>
          <w:sz w:val="24"/>
          <w:szCs w:val="24"/>
        </w:rPr>
        <w:t xml:space="preserve"> wskazuje sposób liczenia udziałów, w tym udziałów własnościowych, posiadanych w sposób pośredni. Prawidłowe ustalanie wysokości udziałów posiadanych pośrednio jest kluczowe dla właściwego stosowania Zasad GloBE, w tym w szczególności pod kątem alokowania podatku wyrównawczego zgodnie z Zasadą IIR. Jednocześnie Dyrektywa i Zasady GloBE podchodzą do tego wyliczenia w odmienny sposób niż ustawa o podatku dochodowym od osób prawnych (zob. art. 11a ust. 3 tej ustawy).     </w:t>
      </w:r>
    </w:p>
    <w:p w14:paraId="4A167C6A" w14:textId="77777777"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Posiadanie pośrednio udziału oznacza sytuację, w której jedna jednostka posiada w drugiej jednostce udział za pośrednictwem innej jednostki lub większej liczby jednostek. Innymi słowy, jest to posiadanie uprawnień właścicielskich w danej jednostce „nie wprost”, tj. nie w sposób bezpośredni. Jednakże chodzi o pewien skrót myślowy, gdyż z prawnego punktu widzenia udział „posiadany pośrednio” jest udziałem faktycznie posiadanym przez (bezpośredniego) właściciela danej jednostki.     </w:t>
      </w:r>
    </w:p>
    <w:p w14:paraId="5BAFCCD7" w14:textId="77777777" w:rsidR="002A4C92" w:rsidRPr="00E95678" w:rsidRDefault="002A4C92" w:rsidP="002A4C92">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Zgodnie z </w:t>
      </w:r>
      <w:r w:rsidRPr="00E95678">
        <w:rPr>
          <w:rFonts w:ascii="Times New Roman" w:hAnsi="Times New Roman" w:cs="Times New Roman"/>
          <w:b/>
          <w:sz w:val="24"/>
          <w:szCs w:val="24"/>
        </w:rPr>
        <w:t>art. 2 ust. 2</w:t>
      </w:r>
      <w:r w:rsidRPr="00E95678">
        <w:rPr>
          <w:rFonts w:ascii="Times New Roman" w:hAnsi="Times New Roman" w:cs="Times New Roman"/>
          <w:bCs/>
          <w:sz w:val="24"/>
          <w:szCs w:val="24"/>
        </w:rPr>
        <w:t xml:space="preserve"> wielkość udziałów własnościowych lub praw o podobnym charakterze posiadanych pośrednio w danej jednostce oblicza się jako iloczyn wielkości takich udziałów lub praw łączących bezpośrednio jednostki uwzględniane przy ustalaniu pośredniego posiadania udziałów lub praw. </w:t>
      </w:r>
    </w:p>
    <w:p w14:paraId="02524840" w14:textId="42385228"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29AA6132" w14:textId="286BB51B"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A posiada udział własnościowy w jednostce B w wysokości 60%. Z kolei jednostka B posiada udział w wysokości 90% w jednostce C. Tym samym dla celów Zasad GloBE jednostka A posiada w jednostce C udział pośredni w wysokości </w:t>
      </w:r>
      <w:r w:rsidR="008B3CDF">
        <w:rPr>
          <w:rFonts w:asciiTheme="minorHAnsi" w:hAnsiTheme="minorHAnsi" w:cstheme="minorHAnsi"/>
          <w:bCs w:val="0"/>
          <w:i/>
          <w:iCs/>
          <w:sz w:val="22"/>
          <w:szCs w:val="22"/>
        </w:rPr>
        <w:t>54</w:t>
      </w:r>
      <w:r w:rsidRPr="003E7A67">
        <w:rPr>
          <w:rFonts w:asciiTheme="minorHAnsi" w:hAnsiTheme="minorHAnsi" w:cstheme="minorHAnsi"/>
          <w:bCs w:val="0"/>
          <w:i/>
          <w:iCs/>
          <w:sz w:val="22"/>
          <w:szCs w:val="22"/>
        </w:rPr>
        <w:t>% [60%x90%].</w:t>
      </w:r>
    </w:p>
    <w:p w14:paraId="085F7983" w14:textId="77777777" w:rsidR="002A4C92" w:rsidRPr="00E95678" w:rsidRDefault="002A4C92" w:rsidP="00E163E3">
      <w:pPr>
        <w:spacing w:before="240" w:after="120"/>
        <w:jc w:val="both"/>
        <w:rPr>
          <w:rFonts w:ascii="Times New Roman" w:hAnsi="Times New Roman" w:cs="Times New Roman"/>
          <w:bCs/>
          <w:sz w:val="24"/>
          <w:szCs w:val="24"/>
        </w:rPr>
      </w:pPr>
      <w:r w:rsidRPr="00E95678">
        <w:rPr>
          <w:rFonts w:ascii="Times New Roman" w:hAnsi="Times New Roman" w:cs="Times New Roman"/>
          <w:bCs/>
          <w:sz w:val="24"/>
          <w:szCs w:val="24"/>
        </w:rPr>
        <w:t>W wielu przypadkach działanie to uwzględniać będzie więcej niż trzy jednostki (A. jednostka dominująca lub właściciel – B. jednostka posiadana bezpośrednio – C. jednostka posiadana pośrednio przez jednostkę dominującą/właściciela). W przypadku większej liczby jednostek, iloczyn może uwzględniać mnożenie trzech lub więcej wartości procentowych (np. 60%x90%x50%).</w:t>
      </w:r>
    </w:p>
    <w:p w14:paraId="7F3BFE8B" w14:textId="14D2616F" w:rsidR="002A4C92" w:rsidRPr="00E95678" w:rsidRDefault="002A4C92" w:rsidP="002A4C92">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Ponadto, w szczególnych przypadkach udział pośredni w danej jednostce może być posiadany za pośrednictwem odrębnych „gałęzi” w strukturze. Zdanie drugie </w:t>
      </w:r>
      <w:r w:rsidRPr="00E95678">
        <w:rPr>
          <w:rFonts w:ascii="Times New Roman" w:hAnsi="Times New Roman" w:cs="Times New Roman"/>
          <w:b/>
          <w:sz w:val="24"/>
          <w:szCs w:val="24"/>
        </w:rPr>
        <w:t>ust. 2</w:t>
      </w:r>
      <w:r w:rsidRPr="00E95678">
        <w:rPr>
          <w:rFonts w:ascii="Times New Roman" w:hAnsi="Times New Roman" w:cs="Times New Roman"/>
          <w:bCs/>
          <w:sz w:val="24"/>
          <w:szCs w:val="24"/>
        </w:rPr>
        <w:t xml:space="preserve"> opisuje takie przypadki jako sytuację, w której jednostkę uwzględnianą przy ustalaniu pośredniego posiadania udziałów (lub praw) łączą udziały (lub prawa) bezpośrednio z co najmniej dwoma innymi jednostkami posiadanymi bezpośrednio lub pośrednio przez jedną jednostkę dominującą/jednego właściciela. Jeżeli wystąpi taka sytuacji w strukturze holdingowej, iloczyny wielkości udziałów (lub praw) posiadanych przez takiego właściciela pośrednio w tej </w:t>
      </w:r>
      <w:r w:rsidRPr="00E95678">
        <w:rPr>
          <w:rFonts w:ascii="Times New Roman" w:hAnsi="Times New Roman" w:cs="Times New Roman"/>
          <w:bCs/>
          <w:sz w:val="24"/>
          <w:szCs w:val="24"/>
        </w:rPr>
        <w:lastRenderedPageBreak/>
        <w:t xml:space="preserve">jednostce ustala się odrębnie dla każdego takiego bezpośredniego udziału (lub prawa), a następnie sumuje się. </w:t>
      </w:r>
    </w:p>
    <w:p w14:paraId="3BA128EF" w14:textId="21900ACB"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r w:rsidRPr="003E7A67">
        <w:rPr>
          <w:rFonts w:asciiTheme="minorHAnsi" w:hAnsiTheme="minorHAnsi" w:cstheme="minorHAnsi"/>
          <w:b/>
          <w:sz w:val="22"/>
          <w:szCs w:val="22"/>
        </w:rPr>
        <w:tab/>
      </w:r>
    </w:p>
    <w:p w14:paraId="30AC3E34" w14:textId="3BCF27F6"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dominująca A jest jedynym właścicielem jednostki B oraz większościowym (70% udziałów) jednostki C. 10% udziałów jednostki C posiada jednostka B, a pozostałe 20% podmioty spoza Grupy. Jednostki B i C są z kolei bezpośrednim właścicielem jednostki D, w której posiadają odpowiednio 20% i 50% udziałów. Pozostałe 30% udziałów w jednostce D należy do osoby spoza grupy. Strukturę tej grupy ilustruje diagram po prawej stronie. </w:t>
      </w:r>
    </w:p>
    <w:p w14:paraId="5ADB2183" w14:textId="276DFC73"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Jednostkę B łączą udziały bezpośrednio z co najmniej dwoma innymi jednostkami posiadanymi bezpośrednio lub pośrednio przez jedną jednostkę dominującą (tj. z C i D). Podobnie, jednostkę C łączą takie udziały z jednostką B i D.</w:t>
      </w:r>
    </w:p>
    <w:p w14:paraId="23A18984" w14:textId="5BBBA7FA"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Stąd, wielkość udziałów posiadanych pośrednio przez jednostkę dominującą A w jednostce D ustala się jako odrębne iloczyny dla „gałęzi” A-B-D, „gałęzi” A-B-C-D i „gałęzi” A-C-D. Następnie iloczyny te odpowiednio sumuje się:  [(100%*20%)+ (100*10%*50%) + (70%*50%) = 20%+5%+35% = 60%.  </w:t>
      </w:r>
    </w:p>
    <w:p w14:paraId="0A99759F" w14:textId="2161C727" w:rsidR="005C41AB" w:rsidRPr="003E7A67" w:rsidRDefault="005C41AB" w:rsidP="005C41AB">
      <w:pPr>
        <w:spacing w:before="240" w:after="120"/>
        <w:jc w:val="center"/>
        <w:rPr>
          <w:rFonts w:cstheme="minorHAnsi"/>
          <w:bCs/>
        </w:rPr>
      </w:pPr>
      <w:r w:rsidRPr="003E7A67">
        <w:rPr>
          <w:rFonts w:cstheme="minorHAnsi"/>
          <w:b/>
          <w:noProof/>
          <w:lang w:eastAsia="pl-PL"/>
        </w:rPr>
        <w:drawing>
          <wp:anchor distT="0" distB="0" distL="114300" distR="114300" simplePos="0" relativeHeight="251986944" behindDoc="0" locked="0" layoutInCell="1" allowOverlap="1" wp14:anchorId="71A5101C" wp14:editId="10473E2B">
            <wp:simplePos x="0" y="0"/>
            <wp:positionH relativeFrom="margin">
              <wp:posOffset>1811020</wp:posOffset>
            </wp:positionH>
            <wp:positionV relativeFrom="paragraph">
              <wp:posOffset>381635</wp:posOffset>
            </wp:positionV>
            <wp:extent cx="2134870" cy="2233930"/>
            <wp:effectExtent l="0" t="0" r="0" b="0"/>
            <wp:wrapTopAndBottom/>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4870" cy="2233930"/>
                    </a:xfrm>
                    <a:prstGeom prst="rect">
                      <a:avLst/>
                    </a:prstGeom>
                  </pic:spPr>
                </pic:pic>
              </a:graphicData>
            </a:graphic>
            <wp14:sizeRelH relativeFrom="margin">
              <wp14:pctWidth>0</wp14:pctWidth>
            </wp14:sizeRelH>
            <wp14:sizeRelV relativeFrom="margin">
              <wp14:pctHeight>0</wp14:pctHeight>
            </wp14:sizeRelV>
          </wp:anchor>
        </w:drawing>
      </w:r>
      <w:r w:rsidRPr="003E7A67">
        <w:rPr>
          <w:rFonts w:cstheme="minorHAnsi"/>
          <w:bCs/>
        </w:rPr>
        <w:t>Schemat grupy</w:t>
      </w:r>
    </w:p>
    <w:p w14:paraId="07254826" w14:textId="70D19830" w:rsidR="002A4C92" w:rsidRPr="00E95678" w:rsidRDefault="002A4C92" w:rsidP="002A4C92">
      <w:pPr>
        <w:spacing w:before="240" w:after="120"/>
        <w:jc w:val="both"/>
        <w:rPr>
          <w:rFonts w:ascii="Times New Roman" w:hAnsi="Times New Roman" w:cs="Times New Roman"/>
          <w:sz w:val="24"/>
          <w:szCs w:val="24"/>
          <w:lang w:eastAsia="pl-PL"/>
        </w:rPr>
      </w:pPr>
      <w:r w:rsidRPr="00E95678">
        <w:rPr>
          <w:rFonts w:ascii="Times New Roman" w:hAnsi="Times New Roman" w:cs="Times New Roman"/>
          <w:sz w:val="24"/>
          <w:szCs w:val="24"/>
        </w:rPr>
        <w:t xml:space="preserve">Wskazane zasady ustalania wysokości posiadanych pośrednio udziałów (praw) własnościowych stosuje się również przy obliczeniu wartości nominalnej udziałów, o której mowa w przepisach o jednostkach wyłączonych, jednostkach inwestycyjnych i jednostkach joint venture lub ustalaniu wartości praw o podobnym charakterze. </w:t>
      </w:r>
    </w:p>
    <w:p w14:paraId="3C4DA050" w14:textId="77777777" w:rsidR="002A4C92" w:rsidRPr="00E95678" w:rsidRDefault="002A4C92" w:rsidP="002A4C92">
      <w:pPr>
        <w:spacing w:before="240" w:after="120"/>
        <w:jc w:val="both"/>
        <w:rPr>
          <w:rFonts w:ascii="Times New Roman" w:hAnsi="Times New Roman" w:cs="Times New Roman"/>
          <w:bCs/>
          <w:i/>
          <w:iCs/>
          <w:sz w:val="24"/>
          <w:szCs w:val="24"/>
          <w:lang w:eastAsia="pl-PL"/>
        </w:rPr>
      </w:pPr>
      <w:r w:rsidRPr="00E95678">
        <w:rPr>
          <w:rFonts w:ascii="Times New Roman" w:hAnsi="Times New Roman" w:cs="Times New Roman"/>
          <w:bCs/>
          <w:i/>
          <w:iCs/>
          <w:sz w:val="24"/>
          <w:szCs w:val="24"/>
          <w:lang w:eastAsia="pl-PL"/>
        </w:rPr>
        <w:t>Ogólne zasady przeliczania walut</w:t>
      </w:r>
    </w:p>
    <w:p w14:paraId="090BF3FC" w14:textId="77777777" w:rsidR="002A4C92" w:rsidRPr="00E95678" w:rsidRDefault="002A4C92" w:rsidP="002A4C92">
      <w:pPr>
        <w:pStyle w:val="USTustnpkodeksu"/>
        <w:spacing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W </w:t>
      </w:r>
      <w:r w:rsidRPr="00E95678">
        <w:rPr>
          <w:rFonts w:ascii="Times New Roman" w:hAnsi="Times New Roman" w:cs="Times New Roman"/>
          <w:b/>
          <w:bCs w:val="0"/>
          <w:szCs w:val="24"/>
        </w:rPr>
        <w:t>art. 2 ust. 3 i</w:t>
      </w:r>
      <w:r w:rsidRPr="00E95678">
        <w:rPr>
          <w:rFonts w:ascii="Times New Roman" w:hAnsi="Times New Roman" w:cs="Times New Roman"/>
          <w:szCs w:val="24"/>
        </w:rPr>
        <w:t xml:space="preserve"> </w:t>
      </w:r>
      <w:r w:rsidRPr="00E95678">
        <w:rPr>
          <w:rFonts w:ascii="Times New Roman" w:hAnsi="Times New Roman" w:cs="Times New Roman"/>
          <w:b/>
          <w:bCs w:val="0"/>
          <w:szCs w:val="24"/>
        </w:rPr>
        <w:t>4</w:t>
      </w:r>
      <w:r w:rsidRPr="00E95678">
        <w:rPr>
          <w:rFonts w:ascii="Times New Roman" w:hAnsi="Times New Roman" w:cs="Times New Roman"/>
          <w:szCs w:val="24"/>
        </w:rPr>
        <w:t xml:space="preserve"> określono ogólne zasady przeliczania kwot wyrażonych w walutach obcych na potrzeby niniejszej ustawy.</w:t>
      </w:r>
    </w:p>
    <w:p w14:paraId="2A9BB2A3" w14:textId="77777777" w:rsidR="002A4C92" w:rsidRDefault="002A4C92" w:rsidP="002A4C92">
      <w:pPr>
        <w:pStyle w:val="USTustnpkodeksu"/>
        <w:spacing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Dyrektywa nie określa zasad przeliczania takich kwot. Zasady takie wynikają z dorobku OECD (w szczególności z Wytycznych z lipca 2023 r.) i zostały recypowane w treści wskazanego </w:t>
      </w:r>
      <w:r w:rsidRPr="00E95678">
        <w:rPr>
          <w:rFonts w:ascii="Times New Roman" w:hAnsi="Times New Roman" w:cs="Times New Roman"/>
          <w:b/>
          <w:bCs w:val="0"/>
          <w:szCs w:val="24"/>
        </w:rPr>
        <w:t>ust. 3 i 4</w:t>
      </w:r>
      <w:r w:rsidRPr="00E95678">
        <w:rPr>
          <w:rFonts w:ascii="Times New Roman" w:hAnsi="Times New Roman" w:cs="Times New Roman"/>
          <w:szCs w:val="24"/>
        </w:rPr>
        <w:t>.</w:t>
      </w:r>
    </w:p>
    <w:p w14:paraId="4C588449" w14:textId="77777777" w:rsidR="003174C2" w:rsidRDefault="003174C2" w:rsidP="002A4C92">
      <w:pPr>
        <w:pStyle w:val="USTustnpkodeksu"/>
        <w:spacing w:after="120" w:line="252" w:lineRule="auto"/>
        <w:ind w:firstLine="0"/>
        <w:rPr>
          <w:rFonts w:ascii="Times New Roman" w:hAnsi="Times New Roman" w:cs="Times New Roman"/>
          <w:szCs w:val="24"/>
        </w:rPr>
      </w:pPr>
    </w:p>
    <w:p w14:paraId="44FBBB12" w14:textId="77777777" w:rsidR="003174C2" w:rsidRPr="00E95678" w:rsidRDefault="003174C2" w:rsidP="002A4C92">
      <w:pPr>
        <w:pStyle w:val="USTustnpkodeksu"/>
        <w:spacing w:after="120" w:line="252" w:lineRule="auto"/>
        <w:ind w:firstLine="0"/>
        <w:rPr>
          <w:rFonts w:ascii="Times New Roman" w:hAnsi="Times New Roman" w:cs="Times New Roman"/>
          <w:szCs w:val="24"/>
        </w:rPr>
      </w:pPr>
    </w:p>
    <w:p w14:paraId="3220D183" w14:textId="77777777" w:rsidR="002A4C92" w:rsidRPr="00E95678" w:rsidRDefault="002A4C92" w:rsidP="002A4C92">
      <w:pPr>
        <w:pStyle w:val="USTustnpkodeksu"/>
        <w:spacing w:before="240" w:after="120" w:line="252" w:lineRule="auto"/>
        <w:ind w:firstLine="0"/>
        <w:rPr>
          <w:rFonts w:ascii="Times New Roman" w:hAnsi="Times New Roman" w:cs="Times New Roman"/>
          <w:i/>
          <w:iCs/>
          <w:szCs w:val="24"/>
        </w:rPr>
      </w:pPr>
      <w:r w:rsidRPr="00E95678">
        <w:rPr>
          <w:rFonts w:ascii="Times New Roman" w:hAnsi="Times New Roman" w:cs="Times New Roman"/>
          <w:i/>
          <w:iCs/>
          <w:szCs w:val="24"/>
        </w:rPr>
        <w:lastRenderedPageBreak/>
        <w:t>Waluta obliczania podatku</w:t>
      </w:r>
    </w:p>
    <w:p w14:paraId="30124E35" w14:textId="77777777" w:rsidR="002A4C92" w:rsidRPr="00E95678" w:rsidRDefault="002A4C92" w:rsidP="002A4C92">
      <w:pPr>
        <w:pStyle w:val="USTustnpkodeksu"/>
        <w:spacing w:before="120" w:after="120" w:line="252" w:lineRule="auto"/>
        <w:ind w:firstLine="0"/>
        <w:rPr>
          <w:rFonts w:ascii="Times New Roman" w:hAnsi="Times New Roman" w:cs="Times New Roman"/>
          <w:szCs w:val="24"/>
        </w:rPr>
      </w:pPr>
      <w:r w:rsidRPr="00E95678">
        <w:rPr>
          <w:rFonts w:ascii="Times New Roman" w:hAnsi="Times New Roman" w:cs="Times New Roman"/>
          <w:b/>
          <w:bCs w:val="0"/>
          <w:szCs w:val="24"/>
        </w:rPr>
        <w:t>Art. 2 ust. 3</w:t>
      </w:r>
      <w:r w:rsidRPr="00E95678">
        <w:rPr>
          <w:rFonts w:ascii="Times New Roman" w:hAnsi="Times New Roman" w:cs="Times New Roman"/>
          <w:szCs w:val="24"/>
        </w:rPr>
        <w:t xml:space="preserve"> wprowadza istotną generalną zasadę – w ślad za Wytycznymi Administracyjnymi - iż podatki wynikające z ustawy oblicza się w walucie prezentacji skonsolidowanego sprawozdania grupy.</w:t>
      </w:r>
    </w:p>
    <w:p w14:paraId="494F02E6" w14:textId="77777777" w:rsidR="002A4C92" w:rsidRPr="00E95678" w:rsidRDefault="002A4C92" w:rsidP="002A4C92">
      <w:pPr>
        <w:pStyle w:val="USTustnpkodeksu"/>
        <w:spacing w:before="120" w:after="120" w:line="252" w:lineRule="auto"/>
        <w:ind w:firstLine="0"/>
        <w:rPr>
          <w:rFonts w:ascii="Times New Roman" w:hAnsi="Times New Roman" w:cs="Times New Roman"/>
          <w:szCs w:val="24"/>
        </w:rPr>
      </w:pPr>
      <w:r w:rsidRPr="00E95678">
        <w:rPr>
          <w:rFonts w:ascii="Times New Roman" w:hAnsi="Times New Roman" w:cs="Times New Roman"/>
          <w:szCs w:val="24"/>
        </w:rPr>
        <w:t>Zasada ta dotyczy przede wszystkim globalnego podatku wyrównawczego. Z uwagi na to, że podatnikami tego podatku będą jednostki dominujące zlokalizowane w Polsce, najczęściej walutą prezentacji będzie złoty. W wybranych przypadkach, gdy grupa stosująca MSR/MSSF dokona wyboru innej waluty prezentacji, będzie zobowiązana obliczyć globalny podatek wyrównawczy w tej walucie.</w:t>
      </w:r>
    </w:p>
    <w:p w14:paraId="772EFB82" w14:textId="4592216A" w:rsidR="002A4C92" w:rsidRPr="00E95678" w:rsidRDefault="002A4C92" w:rsidP="002A4C92">
      <w:pPr>
        <w:pStyle w:val="USTustnpkodeksu"/>
        <w:spacing w:before="120"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Powyższa zasada dotyczy także podatku wyrównawczego od niedostatecznie opodatkowanych zysków. W tym zakresie będzie chodziło przede wszystkim o polskie jednostki składowe grup międzynarodowych, w których jednostka dominująca najwyższego szczebla zlokalizowana jest w </w:t>
      </w:r>
      <w:r w:rsidR="002F2BC8" w:rsidRPr="00E95678">
        <w:rPr>
          <w:rFonts w:ascii="Times New Roman" w:hAnsi="Times New Roman" w:cs="Times New Roman"/>
          <w:szCs w:val="24"/>
        </w:rPr>
        <w:t>innej jurysdykcji</w:t>
      </w:r>
      <w:r w:rsidRPr="00E95678">
        <w:rPr>
          <w:rFonts w:ascii="Times New Roman" w:hAnsi="Times New Roman" w:cs="Times New Roman"/>
          <w:szCs w:val="24"/>
        </w:rPr>
        <w:t>. Stąd, w takich przypadkach zakłada się obliczenie podatku w walucie prezentacji innej niż złoty.</w:t>
      </w:r>
    </w:p>
    <w:p w14:paraId="60738EC7" w14:textId="77777777" w:rsidR="002A4C92" w:rsidRPr="00E95678" w:rsidRDefault="002A4C92" w:rsidP="002A4C92">
      <w:pPr>
        <w:pStyle w:val="USTustnpkodeksu"/>
        <w:spacing w:before="120"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Sytuacja jest bardziej skomplikowana na gruncie krajowego podatku wyrównawczego. O ile przedstawiona wyżej zasadę stosuje się również dla tego podatku, to z uwagi na dalsze przepisy szczególne i dopuszczenie tzw. lokalnego standardu rachunkowości, zasadniczo krajowy podatek wyrównawczy oblicza się w złotych (co omówiono w odniesieniu do </w:t>
      </w:r>
      <w:r w:rsidRPr="00E95678">
        <w:rPr>
          <w:rFonts w:ascii="Times New Roman" w:hAnsi="Times New Roman" w:cs="Times New Roman"/>
          <w:b/>
          <w:bCs w:val="0"/>
          <w:szCs w:val="24"/>
        </w:rPr>
        <w:t>działu III</w:t>
      </w:r>
      <w:r w:rsidRPr="00E95678">
        <w:rPr>
          <w:rFonts w:ascii="Times New Roman" w:hAnsi="Times New Roman" w:cs="Times New Roman"/>
          <w:szCs w:val="24"/>
        </w:rPr>
        <w:t>). Natomiast, w przypadku wyjątku od zasady lokalnego standardu albo dokonania wyboru na okres 5-lat co do stosowania standardu rachunkowości ze skonsolidowanego sprawozdania grupy (por. przepisy przejściowe), będzie obowiązywała zasada ogólna. Tym samym, w przypadku dokonania takiego wyboru, krajowy podatek wyrównawczy będzie obliczany w walucie prezentacji skonsolidowanego sprawozdania grupy.</w:t>
      </w:r>
    </w:p>
    <w:p w14:paraId="4C395F81" w14:textId="77777777" w:rsidR="002A4C92" w:rsidRPr="00E95678" w:rsidRDefault="002A4C92" w:rsidP="002A4C92">
      <w:pPr>
        <w:pStyle w:val="USTustnpkodeksu"/>
        <w:spacing w:before="120" w:after="120" w:line="252" w:lineRule="auto"/>
        <w:ind w:firstLine="0"/>
        <w:rPr>
          <w:rFonts w:ascii="Times New Roman" w:hAnsi="Times New Roman" w:cs="Times New Roman"/>
          <w:szCs w:val="24"/>
        </w:rPr>
      </w:pPr>
      <w:r w:rsidRPr="00E95678">
        <w:rPr>
          <w:rFonts w:ascii="Times New Roman" w:hAnsi="Times New Roman" w:cs="Times New Roman"/>
          <w:b/>
          <w:bCs w:val="0"/>
          <w:szCs w:val="24"/>
        </w:rPr>
        <w:t>Art. 2 ust. 3</w:t>
      </w:r>
      <w:r w:rsidRPr="00E95678">
        <w:rPr>
          <w:rFonts w:ascii="Times New Roman" w:hAnsi="Times New Roman" w:cs="Times New Roman"/>
          <w:szCs w:val="24"/>
        </w:rPr>
        <w:t xml:space="preserve"> odnosi się ponadto do innego aspektu – w sytuacji, gdy poszczególne kwoty uwzględniane na potrzeby obliczenia wskazanych podatków, wyrażone są w walucie innej niż waluta prezentacji skonsolidowanego sprawozdania grupy, kwoty przelicza się na taką walutę zgodnie z metodą właściwą dla akceptowalnego lub zatwierdzonego standardu rachunkowości zastosowanego przy sporządzeniu tego skonsolidowanego sprawozdania (w ramach ogólnych ram wynikających z danego standardu) oraz niezależnie od przeliczeń dokonywanych dla celów konsolidacji.  Zatem, jeżeli poszczególne transakcje lub pozycje wykorzystywane do obliczenia podatku są określone w księgach rachunkowych w innej walucie niż waluta prezentacji, należy przeliczyć je na walutę prezentacji zgodnie z metodą dopuszczalną i stosowaną na podstawie danego standardu rachunkowości.</w:t>
      </w:r>
    </w:p>
    <w:p w14:paraId="5011B154" w14:textId="77777777" w:rsidR="002A4C92" w:rsidRPr="00E95678" w:rsidRDefault="002A4C92" w:rsidP="002A4C92">
      <w:pPr>
        <w:pStyle w:val="USTustnpkodeksu"/>
        <w:spacing w:before="120" w:line="252" w:lineRule="auto"/>
        <w:ind w:firstLine="0"/>
        <w:rPr>
          <w:rFonts w:ascii="Times New Roman" w:hAnsi="Times New Roman" w:cs="Times New Roman"/>
          <w:i/>
          <w:iCs/>
          <w:szCs w:val="24"/>
        </w:rPr>
      </w:pPr>
      <w:r w:rsidRPr="00E95678">
        <w:rPr>
          <w:rFonts w:ascii="Times New Roman" w:hAnsi="Times New Roman" w:cs="Times New Roman"/>
          <w:i/>
          <w:iCs/>
          <w:szCs w:val="24"/>
        </w:rPr>
        <w:t xml:space="preserve">Progi pieniężne wyrażone w euro  </w:t>
      </w:r>
    </w:p>
    <w:p w14:paraId="51CCB8B5" w14:textId="33C86332" w:rsidR="002A4C92" w:rsidRPr="00E95678" w:rsidRDefault="002A4C92" w:rsidP="002A4C92">
      <w:pPr>
        <w:pStyle w:val="USTustnpkodeksu"/>
        <w:spacing w:before="120" w:after="120" w:line="252" w:lineRule="auto"/>
        <w:ind w:firstLine="0"/>
        <w:rPr>
          <w:rFonts w:ascii="Times New Roman" w:hAnsi="Times New Roman" w:cs="Times New Roman"/>
          <w:szCs w:val="24"/>
        </w:rPr>
      </w:pPr>
      <w:r w:rsidRPr="00E95678">
        <w:rPr>
          <w:rFonts w:ascii="Times New Roman" w:hAnsi="Times New Roman" w:cs="Times New Roman"/>
          <w:b/>
          <w:bCs w:val="0"/>
          <w:szCs w:val="24"/>
        </w:rPr>
        <w:t>Art. 2 ust. 4</w:t>
      </w:r>
      <w:r w:rsidRPr="00E95678">
        <w:rPr>
          <w:rFonts w:ascii="Times New Roman" w:hAnsi="Times New Roman" w:cs="Times New Roman"/>
          <w:szCs w:val="24"/>
        </w:rPr>
        <w:t xml:space="preserve"> z kolei dotyczy progów pieniężnych. Na gruncie ustawy funkcjonuje wiele progów pieniężnych, które w ślad za Dyrektywą i </w:t>
      </w:r>
      <w:r w:rsidR="0007799D" w:rsidRPr="00E95678">
        <w:rPr>
          <w:rFonts w:ascii="Times New Roman" w:hAnsi="Times New Roman" w:cs="Times New Roman"/>
          <w:szCs w:val="24"/>
        </w:rPr>
        <w:t>Modelowymi zasadami OECD</w:t>
      </w:r>
      <w:r w:rsidRPr="00E95678">
        <w:rPr>
          <w:rFonts w:ascii="Times New Roman" w:hAnsi="Times New Roman" w:cs="Times New Roman"/>
          <w:szCs w:val="24"/>
        </w:rPr>
        <w:t xml:space="preserve">, wyrażone są w euro. </w:t>
      </w:r>
    </w:p>
    <w:p w14:paraId="35D6E5C0" w14:textId="08448AF8" w:rsidR="002A4C92" w:rsidRPr="00E95678" w:rsidRDefault="002A4C92" w:rsidP="002A4C92">
      <w:pPr>
        <w:pStyle w:val="USTustnpkodeksu"/>
        <w:spacing w:before="120"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Bardzo istotny jest w tym zakresie minimalny przychód grupowy (próg skonsolidowanych przychodów w wysokości co najmniej 750 milionów euro), który decyduje o objęciu danej grupy Zasadami GloBE i konsekwentnie przepisami ustawy. </w:t>
      </w:r>
    </w:p>
    <w:p w14:paraId="1038C31B" w14:textId="4893EF03" w:rsidR="002A4C92" w:rsidRPr="00E95678" w:rsidRDefault="002A4C92" w:rsidP="002A4C92">
      <w:pPr>
        <w:pStyle w:val="USTustnpkodeksu"/>
        <w:spacing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Jak wspomniano wcześniej, skonsolidowane sprawozdanie finansowe  może być sporządzone w każdej walucie, niekoniecznie w euro, w której określony jest minimalny przychód grupowy wynikający z </w:t>
      </w:r>
      <w:r w:rsidRPr="00E95678">
        <w:rPr>
          <w:rFonts w:ascii="Times New Roman" w:hAnsi="Times New Roman" w:cs="Times New Roman"/>
          <w:b/>
          <w:bCs w:val="0"/>
          <w:szCs w:val="24"/>
        </w:rPr>
        <w:t>art. 4 ust. 2.</w:t>
      </w:r>
      <w:r w:rsidRPr="00E95678">
        <w:rPr>
          <w:rFonts w:ascii="Times New Roman" w:hAnsi="Times New Roman" w:cs="Times New Roman"/>
          <w:szCs w:val="24"/>
        </w:rPr>
        <w:t xml:space="preserve"> Można założyć, iż wielu przypadkach będzie to waluta obowiązująca w </w:t>
      </w:r>
      <w:bookmarkStart w:id="6" w:name="_Hlk170911869"/>
      <w:r w:rsidR="002F2BC8" w:rsidRPr="00E95678">
        <w:rPr>
          <w:rFonts w:ascii="Times New Roman" w:hAnsi="Times New Roman" w:cs="Times New Roman"/>
          <w:szCs w:val="24"/>
        </w:rPr>
        <w:t xml:space="preserve">jurysdykcji </w:t>
      </w:r>
      <w:bookmarkEnd w:id="6"/>
      <w:r w:rsidRPr="00E95678">
        <w:rPr>
          <w:rFonts w:ascii="Times New Roman" w:hAnsi="Times New Roman" w:cs="Times New Roman"/>
          <w:szCs w:val="24"/>
        </w:rPr>
        <w:t xml:space="preserve">lokalizacji jednostki dominującej najwyższego szczebla. W przypadku zatem, gdy walutą prezentacji skonsolidowanego sprawozdania finansowego grupy jest waluta inna </w:t>
      </w:r>
      <w:r w:rsidRPr="00E95678">
        <w:rPr>
          <w:rFonts w:ascii="Times New Roman" w:hAnsi="Times New Roman" w:cs="Times New Roman"/>
          <w:szCs w:val="24"/>
        </w:rPr>
        <w:lastRenderedPageBreak/>
        <w:t>niż euro (</w:t>
      </w:r>
      <w:r w:rsidRPr="00E95678">
        <w:rPr>
          <w:rFonts w:ascii="Times New Roman" w:hAnsi="Times New Roman" w:cs="Times New Roman"/>
          <w:i/>
          <w:szCs w:val="24"/>
        </w:rPr>
        <w:t>waluta prezentacji</w:t>
      </w:r>
      <w:r w:rsidRPr="00E95678">
        <w:rPr>
          <w:rFonts w:ascii="Times New Roman" w:hAnsi="Times New Roman" w:cs="Times New Roman"/>
          <w:szCs w:val="24"/>
        </w:rPr>
        <w:t xml:space="preserve">), w celu ustalenia, czy taka grupa osiągnęła minimalny przychód grupowy, kwotę rocznego skonsolidowanego przychodu tej grupy wykazanego w takim sprawozdaniu </w:t>
      </w:r>
      <w:r w:rsidRPr="00E95678">
        <w:rPr>
          <w:rFonts w:ascii="Times New Roman" w:hAnsi="Times New Roman" w:cs="Times New Roman"/>
          <w:b/>
          <w:bCs w:val="0"/>
          <w:szCs w:val="24"/>
        </w:rPr>
        <w:t>przelicza się na euro według średniego miesięcznego kursu za grudzień roku kalendarzowego bezpośrednio poprzedzającego bieżący (badany) rok podatkowy, ogłaszanego przez Europejski Bank Centralny, a w przypadku gdy Europejski Bank Centralny nie ogłasza średniego miesięcznego kursu takiej waluty – przez Narodowy Bank Polski</w:t>
      </w:r>
      <w:r w:rsidRPr="00E95678">
        <w:rPr>
          <w:rFonts w:ascii="Times New Roman" w:hAnsi="Times New Roman" w:cs="Times New Roman"/>
          <w:szCs w:val="24"/>
        </w:rPr>
        <w:t>.</w:t>
      </w:r>
      <w:r w:rsidRPr="00E95678">
        <w:rPr>
          <w:rStyle w:val="Odwoanieprzypisudolnego"/>
          <w:rFonts w:ascii="Times New Roman" w:hAnsi="Times New Roman" w:cs="Times New Roman"/>
          <w:szCs w:val="24"/>
        </w:rPr>
        <w:footnoteReference w:id="45"/>
      </w:r>
      <w:r w:rsidRPr="00E95678">
        <w:rPr>
          <w:rFonts w:ascii="Times New Roman" w:hAnsi="Times New Roman" w:cs="Times New Roman"/>
          <w:szCs w:val="24"/>
        </w:rPr>
        <w:t xml:space="preserve"> </w:t>
      </w:r>
    </w:p>
    <w:p w14:paraId="6CA199CE" w14:textId="3F21E242" w:rsidR="002A4C92" w:rsidRPr="00E95678" w:rsidRDefault="002A4C92" w:rsidP="00436A1A">
      <w:pPr>
        <w:pStyle w:val="USTustnpkodeksu"/>
        <w:spacing w:after="240" w:line="252" w:lineRule="auto"/>
        <w:ind w:firstLine="0"/>
        <w:rPr>
          <w:rFonts w:ascii="Times New Roman" w:hAnsi="Times New Roman" w:cs="Times New Roman"/>
          <w:szCs w:val="24"/>
        </w:rPr>
      </w:pPr>
      <w:r w:rsidRPr="00E95678">
        <w:rPr>
          <w:rFonts w:ascii="Times New Roman" w:hAnsi="Times New Roman" w:cs="Times New Roman"/>
          <w:szCs w:val="24"/>
        </w:rPr>
        <w:t>Reguła ta ma zastosowanie do wszystkich lat okresu, o którym mowa w </w:t>
      </w:r>
      <w:r w:rsidRPr="00E95678">
        <w:rPr>
          <w:rFonts w:ascii="Times New Roman" w:hAnsi="Times New Roman" w:cs="Times New Roman"/>
          <w:b/>
          <w:bCs w:val="0"/>
          <w:szCs w:val="24"/>
        </w:rPr>
        <w:t xml:space="preserve">art. 4 ust. 1 lub ust. 4 </w:t>
      </w:r>
      <w:r w:rsidRPr="00E95678">
        <w:rPr>
          <w:rFonts w:ascii="Times New Roman" w:hAnsi="Times New Roman" w:cs="Times New Roman"/>
          <w:szCs w:val="24"/>
        </w:rPr>
        <w:t xml:space="preserve">(tj. okresu 4-letniego lub krótszego, jeżeli grupa istnieje krócej), w tym sensie, że do każdego z lat tego okresu miarodajny będzie średni kurs danej waluty względem euro z grudnia </w:t>
      </w:r>
      <w:r w:rsidRPr="00E95678">
        <w:rPr>
          <w:rFonts w:ascii="Times New Roman" w:hAnsi="Times New Roman" w:cs="Times New Roman"/>
          <w:b/>
          <w:bCs w:val="0"/>
          <w:szCs w:val="24"/>
        </w:rPr>
        <w:t>roku bezpośrednio poprzedzającego dany rok podatkowy tego okresu</w:t>
      </w:r>
      <w:r w:rsidRPr="00E95678">
        <w:rPr>
          <w:rFonts w:ascii="Times New Roman" w:hAnsi="Times New Roman" w:cs="Times New Roman"/>
          <w:szCs w:val="24"/>
        </w:rPr>
        <w:t>.</w:t>
      </w:r>
      <w:r w:rsidRPr="00E95678">
        <w:rPr>
          <w:rStyle w:val="Odwoanieprzypisudolnego"/>
          <w:rFonts w:ascii="Times New Roman" w:hAnsi="Times New Roman" w:cs="Times New Roman"/>
          <w:szCs w:val="24"/>
        </w:rPr>
        <w:footnoteReference w:id="46"/>
      </w:r>
      <w:r w:rsidRPr="00E95678">
        <w:rPr>
          <w:rFonts w:ascii="Times New Roman" w:hAnsi="Times New Roman" w:cs="Times New Roman"/>
          <w:szCs w:val="24"/>
        </w:rPr>
        <w:t xml:space="preserve"> </w:t>
      </w:r>
    </w:p>
    <w:p w14:paraId="0E965A1E" w14:textId="7E8BD96B"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390BE221" w14:textId="1C8E1F43"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Grupa międzynarodowa, której rok podatkowy jest równy rokowi kalendarzowemu, na początku 2025 r. dokonuje analizy wysokości skonsolidowanych przychodów osiągniętych w ostatnich 4 latach, tj. w latach 2021 – 2024, przy czym grupa ta sporządza skonsolidowane sprawozdanie finansowe w dolarach amerykańskich (USD). Dla potrzeb dokonania tej analizy grupa musi dokonać przeliczenia wartości skonsolidowanych przychodów za każde z tych 4 przeszłych lat podatkowych w oparciu o średnik kurs wymiany USD/EUR stosowany przez EBC z grudnia poprzedniego roku, tj. w odniesieniu do roku 2021 – w oparciu o średni kurs wymiany tych walut z grudnia 2020 r., za rok 2022 r. – w oparciu o średni kurs wymiany z grudnia 2021 r., za rok 2023 – w oparciu o średni kurs z grudnia 2022 r., a w odniesieniu do roku 2024 r. – w oparciu o średni kurs z grudnia 2023 r.</w:t>
      </w:r>
    </w:p>
    <w:p w14:paraId="17EECC6E" w14:textId="77777777" w:rsidR="002A4C92" w:rsidRPr="00E95678" w:rsidRDefault="002A4C92" w:rsidP="002A4C92">
      <w:pPr>
        <w:pStyle w:val="USTustnpkodeksu"/>
        <w:spacing w:before="240"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Zastosowanie ww. reguły eliminuje konieczność ponownego przeliczania na euro wartości przychodu za poszczególne lata omawianego 4-letniego okresu na potrzeby badania spełnienia warunku minimalnego przychodu grupowego w kolejnych latach.    </w:t>
      </w:r>
    </w:p>
    <w:p w14:paraId="3F255388" w14:textId="77777777" w:rsidR="002A4C92" w:rsidRPr="00E95678" w:rsidRDefault="002A4C92" w:rsidP="002A4C92">
      <w:pPr>
        <w:pStyle w:val="USTustnpkodeksu"/>
        <w:spacing w:after="120" w:line="252" w:lineRule="auto"/>
        <w:ind w:firstLine="0"/>
        <w:rPr>
          <w:rFonts w:ascii="Times New Roman" w:hAnsi="Times New Roman" w:cs="Times New Roman"/>
          <w:szCs w:val="24"/>
        </w:rPr>
      </w:pPr>
      <w:r w:rsidRPr="00E95678">
        <w:rPr>
          <w:rFonts w:ascii="Times New Roman" w:hAnsi="Times New Roman" w:cs="Times New Roman"/>
          <w:szCs w:val="24"/>
        </w:rPr>
        <w:t>Omawiane przeliczenie kursów walut zawsze odnosić należy do średniego kursu z grudnia – a nie innego miesiąca roku kalendarzowego – niezależnie od tego, czy rok podatkowy grupy jest zbieżny z rokiem kalendarzowym, czy też obejmuje on inny okres kolejno następujących po sobie 12 miesięcy.</w:t>
      </w:r>
    </w:p>
    <w:p w14:paraId="16024B65" w14:textId="77777777" w:rsidR="002A4C92" w:rsidRPr="00E95678" w:rsidRDefault="002A4C92" w:rsidP="002A4C92">
      <w:pPr>
        <w:pStyle w:val="USTustnpkodeksu"/>
        <w:spacing w:before="240" w:after="120" w:line="252" w:lineRule="auto"/>
        <w:ind w:firstLine="0"/>
        <w:rPr>
          <w:rFonts w:ascii="Times New Roman" w:hAnsi="Times New Roman" w:cs="Times New Roman"/>
          <w:szCs w:val="24"/>
        </w:rPr>
      </w:pPr>
      <w:r w:rsidRPr="00E95678">
        <w:rPr>
          <w:rFonts w:ascii="Times New Roman" w:hAnsi="Times New Roman" w:cs="Times New Roman"/>
          <w:szCs w:val="24"/>
        </w:rPr>
        <w:t xml:space="preserve">Zasady wskazane w </w:t>
      </w:r>
      <w:r w:rsidRPr="00E95678">
        <w:rPr>
          <w:rFonts w:ascii="Times New Roman" w:hAnsi="Times New Roman" w:cs="Times New Roman"/>
          <w:b/>
          <w:bCs w:val="0"/>
          <w:szCs w:val="24"/>
        </w:rPr>
        <w:t>ust. 4</w:t>
      </w:r>
      <w:r w:rsidRPr="00E95678">
        <w:rPr>
          <w:rFonts w:ascii="Times New Roman" w:hAnsi="Times New Roman" w:cs="Times New Roman"/>
          <w:szCs w:val="24"/>
        </w:rPr>
        <w:t xml:space="preserve"> i opisane powyżej stosuje się również do pozostałych progów pieniężnych określonych w ustawie w euro. Są to w szczególności progi pieniężne przyjęte w następujących obszarach:</w:t>
      </w:r>
    </w:p>
    <w:p w14:paraId="71132400"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eastAsia="Times New Roman" w:hAnsi="Times New Roman" w:cs="Times New Roman"/>
        </w:rPr>
        <w:t xml:space="preserve">dodatkowe kryteria uznawania organizacji nienastawionej na zysk za jednostkę wyłączoną, dot. progu 750 mln euro, </w:t>
      </w:r>
    </w:p>
    <w:p w14:paraId="06590AB1"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eastAsia="Times New Roman" w:hAnsi="Times New Roman" w:cs="Times New Roman"/>
        </w:rPr>
        <w:t>brak zapłaty podatku kwalifikowanego w kwocie przekraczającej 1 mln EUR w okresie 3 lat,</w:t>
      </w:r>
    </w:p>
    <w:p w14:paraId="20FBD0FD"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hAnsi="Times New Roman" w:cs="Times New Roman"/>
        </w:rPr>
        <w:t>próg odstępstw rachunkowych decydujących o powstaniu istotnej różnicy rachunkowej - 75 mln EUR),</w:t>
      </w:r>
    </w:p>
    <w:p w14:paraId="778D4596"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eastAsia="Times New Roman" w:hAnsi="Times New Roman" w:cs="Times New Roman"/>
        </w:rPr>
        <w:t>korekty błędów rachunkowych powodujących zmniejszenie podatku w wysokości przekraczającej 1 mln EUR,</w:t>
      </w:r>
    </w:p>
    <w:p w14:paraId="01B376DE"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eastAsia="Times New Roman" w:hAnsi="Times New Roman" w:cs="Times New Roman"/>
        </w:rPr>
        <w:t>warunki, kiedy można zastosować inny standard niż UPE,</w:t>
      </w:r>
    </w:p>
    <w:p w14:paraId="5CE3E15D"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eastAsia="Times New Roman" w:hAnsi="Times New Roman" w:cs="Times New Roman"/>
        </w:rPr>
        <w:lastRenderedPageBreak/>
        <w:t>wyłączenie grzywien i kar w wysokości co najmniej 50 tys. EUR,</w:t>
      </w:r>
    </w:p>
    <w:p w14:paraId="2D4987E7"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eastAsia="Times New Roman" w:hAnsi="Times New Roman" w:cs="Times New Roman"/>
        </w:rPr>
        <w:t>nieistotne obniżenia podatków to ich zmniejszenie o mniej niż 1 mln EUR,</w:t>
      </w:r>
    </w:p>
    <w:p w14:paraId="78EF6E99" w14:textId="77777777" w:rsidR="002A4C92" w:rsidRPr="00E95678" w:rsidRDefault="002A4C92" w:rsidP="002C7467">
      <w:pPr>
        <w:pStyle w:val="Default"/>
        <w:numPr>
          <w:ilvl w:val="0"/>
          <w:numId w:val="88"/>
        </w:numPr>
        <w:adjustRightInd/>
        <w:rPr>
          <w:rFonts w:ascii="Times New Roman" w:eastAsia="Times New Roman" w:hAnsi="Times New Roman" w:cs="Times New Roman"/>
        </w:rPr>
      </w:pPr>
      <w:r w:rsidRPr="00E95678">
        <w:rPr>
          <w:rFonts w:ascii="Times New Roman" w:hAnsi="Times New Roman" w:cs="Times New Roman"/>
        </w:rPr>
        <w:t xml:space="preserve">progi średniego przychodu i dochodu stosowane dla celów tzw. zwolnienia </w:t>
      </w:r>
      <w:r w:rsidRPr="00E95678">
        <w:rPr>
          <w:rFonts w:ascii="Times New Roman" w:hAnsi="Times New Roman" w:cs="Times New Roman"/>
          <w:i/>
          <w:iCs/>
        </w:rPr>
        <w:t>de minimis</w:t>
      </w:r>
      <w:r w:rsidRPr="00E95678">
        <w:rPr>
          <w:rFonts w:ascii="Times New Roman" w:eastAsia="Times New Roman" w:hAnsi="Times New Roman" w:cs="Times New Roman"/>
        </w:rPr>
        <w:t>,</w:t>
      </w:r>
    </w:p>
    <w:p w14:paraId="1472E0F1" w14:textId="77777777" w:rsidR="002A4C92" w:rsidRPr="00E95678" w:rsidRDefault="002A4C92" w:rsidP="002C7467">
      <w:pPr>
        <w:pStyle w:val="Default"/>
        <w:numPr>
          <w:ilvl w:val="0"/>
          <w:numId w:val="89"/>
        </w:numPr>
        <w:adjustRightInd/>
        <w:rPr>
          <w:rFonts w:ascii="Times New Roman" w:eastAsia="Times New Roman" w:hAnsi="Times New Roman" w:cs="Times New Roman"/>
        </w:rPr>
      </w:pPr>
      <w:r w:rsidRPr="00E95678">
        <w:rPr>
          <w:rFonts w:ascii="Times New Roman" w:eastAsia="Times New Roman" w:hAnsi="Times New Roman" w:cs="Times New Roman"/>
        </w:rPr>
        <w:t>uproszczona kalkulacja dla nisko materialnych jednostek,</w:t>
      </w:r>
    </w:p>
    <w:p w14:paraId="162C2CAF" w14:textId="77777777" w:rsidR="002A4C92" w:rsidRPr="00E95678" w:rsidRDefault="002A4C92" w:rsidP="002C7467">
      <w:pPr>
        <w:pStyle w:val="Default"/>
        <w:numPr>
          <w:ilvl w:val="0"/>
          <w:numId w:val="89"/>
        </w:numPr>
        <w:adjustRightInd/>
        <w:rPr>
          <w:rFonts w:ascii="Times New Roman" w:eastAsia="Times New Roman" w:hAnsi="Times New Roman" w:cs="Times New Roman"/>
        </w:rPr>
      </w:pPr>
      <w:r w:rsidRPr="00E95678">
        <w:rPr>
          <w:rFonts w:ascii="Times New Roman" w:eastAsia="Times New Roman" w:hAnsi="Times New Roman" w:cs="Times New Roman"/>
        </w:rPr>
        <w:t>5-letnia bezpieczna przystań w początkowym okresie działalności grupy,</w:t>
      </w:r>
    </w:p>
    <w:p w14:paraId="37BAF2B7" w14:textId="77777777" w:rsidR="002A4C92" w:rsidRPr="00E95678" w:rsidRDefault="002A4C92" w:rsidP="002C7467">
      <w:pPr>
        <w:pStyle w:val="Default"/>
        <w:numPr>
          <w:ilvl w:val="0"/>
          <w:numId w:val="89"/>
        </w:numPr>
        <w:adjustRightInd/>
        <w:rPr>
          <w:rFonts w:ascii="Times New Roman" w:eastAsia="Times New Roman" w:hAnsi="Times New Roman" w:cs="Times New Roman"/>
        </w:rPr>
      </w:pPr>
      <w:r w:rsidRPr="00E95678">
        <w:rPr>
          <w:rFonts w:ascii="Times New Roman" w:eastAsia="Times New Roman" w:hAnsi="Times New Roman" w:cs="Times New Roman"/>
        </w:rPr>
        <w:t xml:space="preserve">tymczasowa bezpieczna przystań CBCR. </w:t>
      </w:r>
    </w:p>
    <w:p w14:paraId="19FE38B7" w14:textId="77777777" w:rsidR="002A4C92" w:rsidRPr="00E95678" w:rsidRDefault="002A4C92" w:rsidP="002A4C92">
      <w:pPr>
        <w:spacing w:after="0"/>
        <w:jc w:val="both"/>
        <w:rPr>
          <w:rFonts w:ascii="Times New Roman" w:hAnsi="Times New Roman" w:cs="Times New Roman"/>
          <w:bCs/>
          <w:i/>
          <w:iCs/>
          <w:sz w:val="24"/>
          <w:szCs w:val="24"/>
          <w:lang w:eastAsia="pl-PL"/>
        </w:rPr>
      </w:pPr>
    </w:p>
    <w:p w14:paraId="48D27CFA" w14:textId="77777777" w:rsidR="002A4C92" w:rsidRPr="00E95678" w:rsidRDefault="002A4C92" w:rsidP="002A4C92">
      <w:pPr>
        <w:spacing w:after="120"/>
        <w:jc w:val="both"/>
        <w:rPr>
          <w:rFonts w:ascii="Times New Roman" w:hAnsi="Times New Roman" w:cs="Times New Roman"/>
          <w:bCs/>
          <w:i/>
          <w:iCs/>
          <w:sz w:val="24"/>
          <w:szCs w:val="24"/>
          <w:lang w:eastAsia="pl-PL"/>
        </w:rPr>
      </w:pPr>
      <w:r w:rsidRPr="00E95678">
        <w:rPr>
          <w:rFonts w:ascii="Times New Roman" w:hAnsi="Times New Roman" w:cs="Times New Roman"/>
          <w:bCs/>
          <w:i/>
          <w:iCs/>
          <w:sz w:val="24"/>
          <w:szCs w:val="24"/>
          <w:lang w:eastAsia="pl-PL"/>
        </w:rPr>
        <w:t>Odwołanie do pojęć przyjętych na potrzeby rachunkowości i niektórych wyrażeń stosowanych w ustawie</w:t>
      </w:r>
    </w:p>
    <w:p w14:paraId="4E115B03" w14:textId="006EE443"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b/>
          <w:sz w:val="24"/>
          <w:szCs w:val="24"/>
          <w:lang w:eastAsia="pl-PL"/>
        </w:rPr>
        <w:t>Art. 2</w:t>
      </w:r>
      <w:r w:rsidRPr="00E95678">
        <w:rPr>
          <w:rFonts w:ascii="Times New Roman" w:hAnsi="Times New Roman" w:cs="Times New Roman"/>
          <w:bCs/>
          <w:sz w:val="24"/>
          <w:szCs w:val="24"/>
          <w:lang w:eastAsia="pl-PL"/>
        </w:rPr>
        <w:t xml:space="preserve"> </w:t>
      </w:r>
      <w:r w:rsidRPr="00E95678">
        <w:rPr>
          <w:rFonts w:ascii="Times New Roman" w:hAnsi="Times New Roman" w:cs="Times New Roman"/>
          <w:b/>
          <w:sz w:val="24"/>
          <w:szCs w:val="24"/>
          <w:lang w:eastAsia="pl-PL"/>
        </w:rPr>
        <w:t>ust. 5</w:t>
      </w:r>
      <w:r w:rsidRPr="00E95678">
        <w:rPr>
          <w:rFonts w:ascii="Times New Roman" w:hAnsi="Times New Roman" w:cs="Times New Roman"/>
          <w:bCs/>
          <w:sz w:val="24"/>
          <w:szCs w:val="24"/>
          <w:lang w:eastAsia="pl-PL"/>
        </w:rPr>
        <w:t xml:space="preserve"> przenosi na grunt normatywny omawianą już wcześniej dyrektywę interpretacyjną, zgodnie z którą w przypadku pojęć niezdefiniowanych w ustawie </w:t>
      </w:r>
      <w:r w:rsidR="000110AE" w:rsidRPr="00E95678">
        <w:rPr>
          <w:rFonts w:ascii="Times New Roman" w:hAnsi="Times New Roman" w:cs="Times New Roman"/>
          <w:bCs/>
          <w:sz w:val="24"/>
          <w:szCs w:val="24"/>
          <w:lang w:eastAsia="pl-PL"/>
        </w:rPr>
        <w:t>przepisy ustawy stosuje się z uwzględnieniem</w:t>
      </w:r>
      <w:r w:rsidRPr="00E95678">
        <w:rPr>
          <w:rFonts w:ascii="Times New Roman" w:hAnsi="Times New Roman" w:cs="Times New Roman"/>
          <w:bCs/>
          <w:sz w:val="24"/>
          <w:szCs w:val="24"/>
          <w:lang w:eastAsia="pl-PL"/>
        </w:rPr>
        <w:t xml:space="preserve"> znaczeni</w:t>
      </w:r>
      <w:r w:rsidR="000110AE" w:rsidRPr="00E95678">
        <w:rPr>
          <w:rFonts w:ascii="Times New Roman" w:hAnsi="Times New Roman" w:cs="Times New Roman"/>
          <w:bCs/>
          <w:sz w:val="24"/>
          <w:szCs w:val="24"/>
          <w:lang w:eastAsia="pl-PL"/>
        </w:rPr>
        <w:t>a tych pojęć</w:t>
      </w:r>
      <w:r w:rsidRPr="00E95678">
        <w:rPr>
          <w:rFonts w:ascii="Times New Roman" w:hAnsi="Times New Roman" w:cs="Times New Roman"/>
          <w:bCs/>
          <w:sz w:val="24"/>
          <w:szCs w:val="24"/>
          <w:lang w:eastAsia="pl-PL"/>
        </w:rPr>
        <w:t xml:space="preserve"> określone</w:t>
      </w:r>
      <w:r w:rsidR="000110AE" w:rsidRPr="00E95678">
        <w:rPr>
          <w:rFonts w:ascii="Times New Roman" w:hAnsi="Times New Roman" w:cs="Times New Roman"/>
          <w:bCs/>
          <w:sz w:val="24"/>
          <w:szCs w:val="24"/>
          <w:lang w:eastAsia="pl-PL"/>
        </w:rPr>
        <w:t>go</w:t>
      </w:r>
      <w:r w:rsidRPr="00E95678">
        <w:rPr>
          <w:rFonts w:ascii="Times New Roman" w:hAnsi="Times New Roman" w:cs="Times New Roman"/>
          <w:bCs/>
          <w:sz w:val="24"/>
          <w:szCs w:val="24"/>
          <w:lang w:eastAsia="pl-PL"/>
        </w:rPr>
        <w:t xml:space="preserve"> na potrzeby rachunkowości, tj. w </w:t>
      </w:r>
      <w:r w:rsidR="00630EBC" w:rsidRPr="00E95678">
        <w:rPr>
          <w:rFonts w:ascii="Times New Roman" w:hAnsi="Times New Roman" w:cs="Times New Roman"/>
          <w:bCs/>
          <w:sz w:val="24"/>
          <w:szCs w:val="24"/>
          <w:lang w:eastAsia="pl-PL"/>
        </w:rPr>
        <w:t xml:space="preserve">akceptowalnym </w:t>
      </w:r>
      <w:r w:rsidRPr="00E95678">
        <w:rPr>
          <w:rFonts w:ascii="Times New Roman" w:hAnsi="Times New Roman" w:cs="Times New Roman"/>
          <w:sz w:val="24"/>
          <w:szCs w:val="24"/>
        </w:rPr>
        <w:t>standardzie rachunkowości</w:t>
      </w:r>
      <w:r w:rsidR="00630EBC" w:rsidRPr="00E95678">
        <w:rPr>
          <w:rFonts w:ascii="Times New Roman" w:hAnsi="Times New Roman" w:cs="Times New Roman"/>
          <w:sz w:val="24"/>
          <w:szCs w:val="24"/>
        </w:rPr>
        <w:t xml:space="preserve"> lub zatwierdzonym standardzie rachunkowości</w:t>
      </w:r>
      <w:r w:rsidRPr="00E95678">
        <w:rPr>
          <w:rFonts w:ascii="Times New Roman" w:hAnsi="Times New Roman" w:cs="Times New Roman"/>
          <w:sz w:val="24"/>
          <w:szCs w:val="24"/>
        </w:rPr>
        <w:t xml:space="preserve"> stosowanym na potrzeby </w:t>
      </w:r>
      <w:r w:rsidR="00630EBC" w:rsidRPr="00E95678">
        <w:rPr>
          <w:rFonts w:ascii="Times New Roman" w:hAnsi="Times New Roman" w:cs="Times New Roman"/>
          <w:sz w:val="24"/>
          <w:szCs w:val="24"/>
        </w:rPr>
        <w:t xml:space="preserve">obliczenia poszczególnych podatków wyrównawczych. Na gruncie globalnego podatku wyrównawczego będzie to co do zasady standard stosowany na potrzeby </w:t>
      </w:r>
      <w:r w:rsidRPr="00E95678">
        <w:rPr>
          <w:rFonts w:ascii="Times New Roman" w:hAnsi="Times New Roman" w:cs="Times New Roman"/>
          <w:sz w:val="24"/>
          <w:szCs w:val="24"/>
        </w:rPr>
        <w:t>sporządzenia skonsolidowanego sprawozdania grupy</w:t>
      </w:r>
      <w:r w:rsidR="00630EBC" w:rsidRPr="00E95678">
        <w:rPr>
          <w:rFonts w:ascii="Times New Roman" w:hAnsi="Times New Roman" w:cs="Times New Roman"/>
          <w:sz w:val="24"/>
          <w:szCs w:val="24"/>
        </w:rPr>
        <w:t>. Natomiast n</w:t>
      </w:r>
      <w:r w:rsidRPr="00E95678">
        <w:rPr>
          <w:rFonts w:ascii="Times New Roman" w:hAnsi="Times New Roman" w:cs="Times New Roman"/>
          <w:sz w:val="24"/>
          <w:szCs w:val="24"/>
        </w:rPr>
        <w:t>a gruncie krajowego podatku wyrównawczego może to być standard wynikający z jednostkowego sprawozdania finansowego (jeżeli stosowany jest tzw. lokalny standard rachunkowości, obejmujący ustawę o rachunkowości lub MSR/MSSF)</w:t>
      </w:r>
      <w:r w:rsidR="00630EBC" w:rsidRPr="00E95678">
        <w:rPr>
          <w:rFonts w:ascii="Times New Roman" w:hAnsi="Times New Roman" w:cs="Times New Roman"/>
          <w:sz w:val="24"/>
          <w:szCs w:val="24"/>
        </w:rPr>
        <w:t xml:space="preserve"> albo standard rachunkowości stosowany na potrzeby sporządzenia skonsolidowanego sprawozdania grupy (w przypadkach szczególnych)</w:t>
      </w:r>
      <w:r w:rsidRPr="00E95678">
        <w:rPr>
          <w:rFonts w:ascii="Times New Roman" w:hAnsi="Times New Roman" w:cs="Times New Roman"/>
          <w:sz w:val="24"/>
          <w:szCs w:val="24"/>
        </w:rPr>
        <w:t>. W zależności od zastosowanego standardu, niezdefiniowane pojęcia rachunkowe wyjaśnia się na gruncie tego standardu</w:t>
      </w:r>
      <w:r w:rsidR="00630EBC" w:rsidRPr="00E95678">
        <w:rPr>
          <w:rFonts w:ascii="Times New Roman" w:hAnsi="Times New Roman" w:cs="Times New Roman"/>
          <w:sz w:val="24"/>
          <w:szCs w:val="24"/>
        </w:rPr>
        <w:t xml:space="preserve"> (np. na gruncie UoR lub MSR/MSSF)</w:t>
      </w:r>
      <w:r w:rsidRPr="00E95678">
        <w:rPr>
          <w:rFonts w:ascii="Times New Roman" w:hAnsi="Times New Roman" w:cs="Times New Roman"/>
          <w:sz w:val="24"/>
          <w:szCs w:val="24"/>
        </w:rPr>
        <w:t>.</w:t>
      </w:r>
    </w:p>
    <w:p w14:paraId="0ADD53EA" w14:textId="39378022" w:rsidR="002A4C92" w:rsidRPr="00E95678" w:rsidRDefault="002A4C92" w:rsidP="002A4C92">
      <w:pPr>
        <w:spacing w:after="120"/>
        <w:jc w:val="both"/>
        <w:rPr>
          <w:rFonts w:ascii="Times New Roman" w:hAnsi="Times New Roman" w:cs="Times New Roman"/>
          <w:bCs/>
          <w:sz w:val="24"/>
          <w:szCs w:val="24"/>
          <w:lang w:eastAsia="pl-PL"/>
        </w:rPr>
      </w:pPr>
      <w:r w:rsidRPr="00E95678">
        <w:rPr>
          <w:rFonts w:ascii="Times New Roman" w:hAnsi="Times New Roman" w:cs="Times New Roman"/>
          <w:sz w:val="24"/>
          <w:szCs w:val="24"/>
          <w:lang w:eastAsia="pl-PL"/>
        </w:rPr>
        <w:t>Z kolei, przepis</w:t>
      </w:r>
      <w:r w:rsidRPr="00E95678">
        <w:rPr>
          <w:rFonts w:ascii="Times New Roman" w:hAnsi="Times New Roman" w:cs="Times New Roman"/>
          <w:b/>
          <w:bCs/>
          <w:sz w:val="24"/>
          <w:szCs w:val="24"/>
          <w:lang w:eastAsia="pl-PL"/>
        </w:rPr>
        <w:t xml:space="preserve"> 2 ust. 6</w:t>
      </w:r>
      <w:r w:rsidRPr="00E95678">
        <w:rPr>
          <w:rFonts w:ascii="Times New Roman" w:hAnsi="Times New Roman" w:cs="Times New Roman"/>
          <w:sz w:val="24"/>
          <w:szCs w:val="24"/>
          <w:lang w:eastAsia="pl-PL"/>
        </w:rPr>
        <w:t xml:space="preserve"> precyzuje znaczenie pojęć „niemal wyłącznie” oraz „prawie cały dochód”, używanych między innymi na potrzeby określania jednostek wyłączonych. Przez pierwsze wyrażenie rozumie się </w:t>
      </w:r>
      <w:r w:rsidRPr="00E95678">
        <w:rPr>
          <w:rFonts w:ascii="Times New Roman" w:hAnsi="Times New Roman" w:cs="Times New Roman"/>
          <w:bCs/>
          <w:sz w:val="24"/>
          <w:szCs w:val="24"/>
          <w:lang w:eastAsia="pl-PL"/>
        </w:rPr>
        <w:t xml:space="preserve">osiągnięcie przychodów w wysokości nie mniejszej niż 90% ogółu przychodów jednostki za rok podatkowy. Natomiast drugi zwrot należy odczytywać jako dochód w wysokości nie mniejszej niż 90% całkowitego dochodu jednostki. Niniejszy przepis zastrzega jednak, że przypisane znaczenie nie będzie miało zastosowania, jeżeli podatnik wykaże, że brak spełnienia przez jednostkę warunków, o których mowa w </w:t>
      </w:r>
      <w:r w:rsidRPr="00E95678">
        <w:rPr>
          <w:rFonts w:ascii="Times New Roman" w:hAnsi="Times New Roman" w:cs="Times New Roman"/>
          <w:b/>
          <w:sz w:val="24"/>
          <w:szCs w:val="24"/>
          <w:lang w:eastAsia="pl-PL"/>
        </w:rPr>
        <w:t>art. 2 ust. 6 pkt 1</w:t>
      </w:r>
      <w:r w:rsidR="000110AE" w:rsidRPr="00E95678">
        <w:rPr>
          <w:rFonts w:ascii="Times New Roman" w:hAnsi="Times New Roman" w:cs="Times New Roman"/>
          <w:b/>
          <w:sz w:val="24"/>
          <w:szCs w:val="24"/>
          <w:lang w:eastAsia="pl-PL"/>
        </w:rPr>
        <w:t xml:space="preserve"> lub </w:t>
      </w:r>
      <w:r w:rsidRPr="00E95678">
        <w:rPr>
          <w:rFonts w:ascii="Times New Roman" w:hAnsi="Times New Roman" w:cs="Times New Roman"/>
          <w:b/>
          <w:sz w:val="24"/>
          <w:szCs w:val="24"/>
          <w:lang w:eastAsia="pl-PL"/>
        </w:rPr>
        <w:t>2</w:t>
      </w:r>
      <w:r w:rsidRPr="00E95678">
        <w:rPr>
          <w:rFonts w:ascii="Times New Roman" w:hAnsi="Times New Roman" w:cs="Times New Roman"/>
          <w:bCs/>
          <w:sz w:val="24"/>
          <w:szCs w:val="24"/>
          <w:lang w:eastAsia="pl-PL"/>
        </w:rPr>
        <w:t>, wynika ze szczególnych zdarzeń gospodarczych, w tym z osiągnięcia przez jednostkę za dany rok podatkowy przychodów lub dochodów o szczególnym charakterze.</w:t>
      </w:r>
    </w:p>
    <w:p w14:paraId="67E8F8F8" w14:textId="77777777" w:rsidR="002A4C92" w:rsidRPr="00E95678" w:rsidRDefault="002A4C92" w:rsidP="002A4C92">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Omawiane rozwiązanie nie ma swojego bezpośredniego odpowiednika w Dyrektywie oraz Modelowym Zasadach, jednak zgodnie z wytycznymi ze strony OECD rozwiązanie takie jest dopuszczalne. Propozycja ta ma na celu legalne ugruntowanie pewności stosowania prawa, w tym sensie, iż wprowadza próg, powyżej którego każda jednostka będzie traktowana jako spełniająca te warunki. Podatnik może natomiast wykazać, że brak spełnienia przez jednostkę tych warunków wynika ze szczególnych okoliczności. </w:t>
      </w:r>
    </w:p>
    <w:p w14:paraId="6FA42E70" w14:textId="613C087A" w:rsidR="002A4C92" w:rsidRPr="00E95678" w:rsidRDefault="002A4C92" w:rsidP="002A4C92">
      <w:pPr>
        <w:spacing w:after="120"/>
        <w:jc w:val="both"/>
        <w:rPr>
          <w:rFonts w:ascii="Times New Roman" w:hAnsi="Times New Roman" w:cs="Times New Roman"/>
          <w:bCs/>
          <w:i/>
          <w:iCs/>
          <w:sz w:val="24"/>
          <w:szCs w:val="24"/>
          <w:lang w:eastAsia="pl-PL"/>
        </w:rPr>
      </w:pPr>
      <w:r w:rsidRPr="00E95678">
        <w:rPr>
          <w:rFonts w:ascii="Times New Roman" w:hAnsi="Times New Roman" w:cs="Times New Roman"/>
          <w:bCs/>
          <w:i/>
          <w:iCs/>
          <w:sz w:val="24"/>
          <w:szCs w:val="24"/>
          <w:lang w:eastAsia="pl-PL"/>
        </w:rPr>
        <w:t xml:space="preserve">Wykaz </w:t>
      </w:r>
      <w:r w:rsidR="002F2BC8" w:rsidRPr="00E95678">
        <w:rPr>
          <w:rFonts w:ascii="Times New Roman" w:hAnsi="Times New Roman" w:cs="Times New Roman"/>
          <w:bCs/>
          <w:i/>
          <w:iCs/>
          <w:sz w:val="24"/>
          <w:szCs w:val="24"/>
          <w:lang w:eastAsia="pl-PL"/>
        </w:rPr>
        <w:t>jurysdykcji</w:t>
      </w:r>
      <w:r w:rsidRPr="00E95678">
        <w:rPr>
          <w:rFonts w:ascii="Times New Roman" w:hAnsi="Times New Roman" w:cs="Times New Roman"/>
          <w:bCs/>
          <w:i/>
          <w:iCs/>
          <w:sz w:val="24"/>
          <w:szCs w:val="24"/>
          <w:lang w:eastAsia="pl-PL"/>
        </w:rPr>
        <w:t>, których przepisy uznaje się za kwalifikowane</w:t>
      </w:r>
    </w:p>
    <w:p w14:paraId="0896718E" w14:textId="213B6F1F" w:rsidR="002A4C92" w:rsidRPr="00E95678" w:rsidRDefault="002A4C92" w:rsidP="002A4C92">
      <w:pPr>
        <w:spacing w:after="120"/>
        <w:jc w:val="both"/>
        <w:rPr>
          <w:rFonts w:ascii="Times New Roman" w:hAnsi="Times New Roman" w:cs="Times New Roman"/>
          <w:bCs/>
          <w:sz w:val="24"/>
          <w:szCs w:val="24"/>
          <w:lang w:eastAsia="pl-PL"/>
        </w:rPr>
      </w:pPr>
      <w:r w:rsidRPr="00E95678">
        <w:rPr>
          <w:rFonts w:ascii="Times New Roman" w:hAnsi="Times New Roman" w:cs="Times New Roman"/>
          <w:b/>
          <w:sz w:val="24"/>
          <w:szCs w:val="24"/>
          <w:lang w:eastAsia="pl-PL"/>
        </w:rPr>
        <w:t>Ust. 7</w:t>
      </w:r>
      <w:r w:rsidRPr="00E95678">
        <w:rPr>
          <w:rFonts w:ascii="Times New Roman" w:hAnsi="Times New Roman" w:cs="Times New Roman"/>
          <w:bCs/>
          <w:sz w:val="24"/>
          <w:szCs w:val="24"/>
          <w:lang w:eastAsia="pl-PL"/>
        </w:rPr>
        <w:t xml:space="preserve"> wprowadza delegację dla ministra właściwego do spraw finansów publicznych do wydania, w drodze obwieszczenia, wykazu </w:t>
      </w:r>
      <w:r w:rsidR="002F2BC8" w:rsidRPr="00E95678">
        <w:rPr>
          <w:rFonts w:ascii="Times New Roman" w:hAnsi="Times New Roman" w:cs="Times New Roman"/>
          <w:bCs/>
          <w:sz w:val="24"/>
          <w:szCs w:val="24"/>
          <w:lang w:eastAsia="pl-PL"/>
        </w:rPr>
        <w:t xml:space="preserve">jurysdykcji </w:t>
      </w:r>
      <w:r w:rsidRPr="00E95678">
        <w:rPr>
          <w:rFonts w:ascii="Times New Roman" w:hAnsi="Times New Roman" w:cs="Times New Roman"/>
          <w:bCs/>
          <w:sz w:val="24"/>
          <w:szCs w:val="24"/>
          <w:lang w:eastAsia="pl-PL"/>
        </w:rPr>
        <w:t xml:space="preserve">innych niż Rzeczpospolita Polska, które spełniają odpowiednie wymogi w zakresie ich lokalnych przepisów dotyczących opodatkowania wyrównawczego. Jest to związane ze specjalnym procesem weryfikacji, który będzie obowiązywał na szczeblu OECD. W tym zakresie planowane jest wydawanie odpowiednich wytycznych lub dokumentów przez OECD, które będą wskazywały na </w:t>
      </w:r>
      <w:r w:rsidR="002F2BC8" w:rsidRPr="00E95678">
        <w:rPr>
          <w:rFonts w:ascii="Times New Roman" w:hAnsi="Times New Roman" w:cs="Times New Roman"/>
          <w:bCs/>
          <w:sz w:val="24"/>
          <w:szCs w:val="24"/>
          <w:lang w:eastAsia="pl-PL"/>
        </w:rPr>
        <w:lastRenderedPageBreak/>
        <w:t xml:space="preserve">jurysdykcje </w:t>
      </w:r>
      <w:r w:rsidRPr="00E95678">
        <w:rPr>
          <w:rFonts w:ascii="Times New Roman" w:hAnsi="Times New Roman" w:cs="Times New Roman"/>
          <w:bCs/>
          <w:sz w:val="24"/>
          <w:szCs w:val="24"/>
          <w:lang w:eastAsia="pl-PL"/>
        </w:rPr>
        <w:t xml:space="preserve">spełniające wymogi co do zgodności ich legislacji z dorobkiem OECD (w tym </w:t>
      </w:r>
      <w:r w:rsidR="0007799D" w:rsidRPr="00E95678">
        <w:rPr>
          <w:rFonts w:ascii="Times New Roman" w:hAnsi="Times New Roman" w:cs="Times New Roman"/>
          <w:bCs/>
          <w:sz w:val="24"/>
          <w:szCs w:val="24"/>
          <w:lang w:eastAsia="pl-PL"/>
        </w:rPr>
        <w:t>Modelowymi zasadami OECD</w:t>
      </w:r>
      <w:r w:rsidRPr="00E95678">
        <w:rPr>
          <w:rFonts w:ascii="Times New Roman" w:hAnsi="Times New Roman" w:cs="Times New Roman"/>
          <w:bCs/>
          <w:sz w:val="24"/>
          <w:szCs w:val="24"/>
          <w:lang w:eastAsia="pl-PL"/>
        </w:rPr>
        <w:t xml:space="preserve">, Komentarzem i Wytycznymi Administracyjnymi).  Wykaz będzie miał na celu przełożenie dokumentów OECD na grunt polskiej legislacji, w celu zapewnienia pewności stosowania prawa. W przypadku, gdy </w:t>
      </w:r>
      <w:r w:rsidR="002F2BC8" w:rsidRPr="00E95678">
        <w:rPr>
          <w:rFonts w:ascii="Times New Roman" w:hAnsi="Times New Roman" w:cs="Times New Roman"/>
          <w:bCs/>
          <w:sz w:val="24"/>
          <w:szCs w:val="24"/>
          <w:lang w:eastAsia="pl-PL"/>
        </w:rPr>
        <w:t xml:space="preserve">dana </w:t>
      </w:r>
      <w:r w:rsidR="002F2BC8" w:rsidRPr="00E95678">
        <w:rPr>
          <w:rFonts w:ascii="Times New Roman" w:hAnsi="Times New Roman" w:cs="Times New Roman"/>
          <w:sz w:val="24"/>
          <w:szCs w:val="24"/>
        </w:rPr>
        <w:t xml:space="preserve">jurysdykcja </w:t>
      </w:r>
      <w:r w:rsidRPr="00E95678">
        <w:rPr>
          <w:rFonts w:ascii="Times New Roman" w:hAnsi="Times New Roman" w:cs="Times New Roman"/>
          <w:bCs/>
          <w:sz w:val="24"/>
          <w:szCs w:val="24"/>
          <w:lang w:eastAsia="pl-PL"/>
        </w:rPr>
        <w:t>będzie znajdowa</w:t>
      </w:r>
      <w:r w:rsidR="00FD3C5A" w:rsidRPr="00E95678">
        <w:rPr>
          <w:rFonts w:ascii="Times New Roman" w:hAnsi="Times New Roman" w:cs="Times New Roman"/>
          <w:bCs/>
          <w:sz w:val="24"/>
          <w:szCs w:val="24"/>
          <w:lang w:eastAsia="pl-PL"/>
        </w:rPr>
        <w:t>ć</w:t>
      </w:r>
      <w:r w:rsidRPr="00E95678">
        <w:rPr>
          <w:rFonts w:ascii="Times New Roman" w:hAnsi="Times New Roman" w:cs="Times New Roman"/>
          <w:bCs/>
          <w:sz w:val="24"/>
          <w:szCs w:val="24"/>
          <w:lang w:eastAsia="pl-PL"/>
        </w:rPr>
        <w:t xml:space="preserve"> się w wykazie, polski podatnik będzie mógł uznać, że </w:t>
      </w:r>
      <w:r w:rsidR="002F2BC8" w:rsidRPr="00E95678">
        <w:rPr>
          <w:rFonts w:ascii="Times New Roman" w:hAnsi="Times New Roman" w:cs="Times New Roman"/>
          <w:sz w:val="24"/>
          <w:szCs w:val="24"/>
        </w:rPr>
        <w:t xml:space="preserve">jurysdykcja </w:t>
      </w:r>
      <w:r w:rsidRPr="00E95678">
        <w:rPr>
          <w:rFonts w:ascii="Times New Roman" w:hAnsi="Times New Roman" w:cs="Times New Roman"/>
          <w:bCs/>
          <w:sz w:val="24"/>
          <w:szCs w:val="24"/>
          <w:lang w:eastAsia="pl-PL"/>
        </w:rPr>
        <w:t>t</w:t>
      </w:r>
      <w:r w:rsidR="002F2BC8" w:rsidRPr="00E95678">
        <w:rPr>
          <w:rFonts w:ascii="Times New Roman" w:hAnsi="Times New Roman" w:cs="Times New Roman"/>
          <w:bCs/>
          <w:sz w:val="24"/>
          <w:szCs w:val="24"/>
          <w:lang w:eastAsia="pl-PL"/>
        </w:rPr>
        <w:t>a</w:t>
      </w:r>
      <w:r w:rsidRPr="00E95678">
        <w:rPr>
          <w:rFonts w:ascii="Times New Roman" w:hAnsi="Times New Roman" w:cs="Times New Roman"/>
          <w:bCs/>
          <w:sz w:val="24"/>
          <w:szCs w:val="24"/>
          <w:lang w:eastAsia="pl-PL"/>
        </w:rPr>
        <w:t xml:space="preserve"> spełnia odpowiednie wymogi dla potrzeb </w:t>
      </w:r>
      <w:r w:rsidRPr="00E95678">
        <w:rPr>
          <w:rFonts w:ascii="Times New Roman" w:hAnsi="Times New Roman" w:cs="Times New Roman"/>
          <w:sz w:val="24"/>
          <w:szCs w:val="24"/>
        </w:rPr>
        <w:t xml:space="preserve">kwalifikowanej zasady włączenia dochodu do opodatkowania, kwalifikowanej zasady niedostatecznie opodatkowanych zysków, kwalifikowanego krajowego podatku wyrównawczego, lub bezpiecznych przystani dla kwalifikowanego krajowego podatku wyrównawczego. Będzie to miało istotny wpływ na zobowiązania polskiego podatnika na gruncie niniejszej ustawy. Przykładowo, w przypadku uznania danego podatku </w:t>
      </w:r>
      <w:r w:rsidR="002F2BC8" w:rsidRPr="00E95678">
        <w:rPr>
          <w:rFonts w:ascii="Times New Roman" w:hAnsi="Times New Roman" w:cs="Times New Roman"/>
          <w:sz w:val="24"/>
          <w:szCs w:val="24"/>
        </w:rPr>
        <w:t xml:space="preserve">innej jurysdykcji </w:t>
      </w:r>
      <w:r w:rsidRPr="00E95678">
        <w:rPr>
          <w:rFonts w:ascii="Times New Roman" w:hAnsi="Times New Roman" w:cs="Times New Roman"/>
          <w:sz w:val="24"/>
          <w:szCs w:val="24"/>
        </w:rPr>
        <w:t>za kwalifikowany krajowy podatek wyrównawczy, podatek ten będzie mógł pomniejszyć jurysdykcyjny globalny podatek wyrównawczy obliczany przez polską jednostkę dominującą dla te</w:t>
      </w:r>
      <w:r w:rsidR="00FD3C5A" w:rsidRPr="00E95678">
        <w:rPr>
          <w:rFonts w:ascii="Times New Roman" w:hAnsi="Times New Roman" w:cs="Times New Roman"/>
          <w:sz w:val="24"/>
          <w:szCs w:val="24"/>
        </w:rPr>
        <w:t>j</w:t>
      </w:r>
      <w:r w:rsidRPr="00E95678">
        <w:rPr>
          <w:rFonts w:ascii="Times New Roman" w:hAnsi="Times New Roman" w:cs="Times New Roman"/>
          <w:sz w:val="24"/>
          <w:szCs w:val="24"/>
        </w:rPr>
        <w:t xml:space="preserve"> </w:t>
      </w:r>
      <w:r w:rsidR="002F2BC8" w:rsidRPr="00E95678">
        <w:rPr>
          <w:rFonts w:ascii="Times New Roman" w:hAnsi="Times New Roman" w:cs="Times New Roman"/>
          <w:sz w:val="24"/>
          <w:szCs w:val="24"/>
        </w:rPr>
        <w:t>innej jurysdykcji</w:t>
      </w:r>
      <w:r w:rsidRPr="00E95678">
        <w:rPr>
          <w:rFonts w:ascii="Times New Roman" w:hAnsi="Times New Roman" w:cs="Times New Roman"/>
          <w:sz w:val="24"/>
          <w:szCs w:val="24"/>
        </w:rPr>
        <w:t>.</w:t>
      </w:r>
    </w:p>
    <w:p w14:paraId="2D7D1BAE" w14:textId="35D3CB82" w:rsidR="002A4C92" w:rsidRPr="00E95678" w:rsidRDefault="00436A1A" w:rsidP="002A4C92">
      <w:pPr>
        <w:pStyle w:val="Nagwek5"/>
        <w:spacing w:before="240"/>
        <w:jc w:val="both"/>
        <w:rPr>
          <w:rFonts w:ascii="Times New Roman" w:eastAsia="Times New Roman" w:hAnsi="Times New Roman" w:cs="Times New Roman"/>
          <w:sz w:val="24"/>
          <w:szCs w:val="24"/>
          <w:lang w:eastAsia="pl-PL"/>
        </w:rPr>
      </w:pPr>
      <w:r w:rsidRPr="003E7A67">
        <w:rPr>
          <w:rFonts w:eastAsia="Times New Roman"/>
          <w:lang w:eastAsia="pl-PL"/>
        </w:rPr>
        <w:br w:type="column"/>
      </w:r>
      <w:r w:rsidR="002A4C92" w:rsidRPr="00E95678">
        <w:rPr>
          <w:rFonts w:ascii="Times New Roman" w:eastAsia="Times New Roman" w:hAnsi="Times New Roman" w:cs="Times New Roman"/>
          <w:sz w:val="24"/>
          <w:szCs w:val="24"/>
          <w:lang w:eastAsia="pl-PL"/>
        </w:rPr>
        <w:lastRenderedPageBreak/>
        <w:t>Art. 3 [Jednostka pośrednicząca</w:t>
      </w:r>
      <w:r w:rsidR="00A034B0" w:rsidRPr="00E95678">
        <w:rPr>
          <w:rFonts w:ascii="Times New Roman" w:eastAsia="Times New Roman" w:hAnsi="Times New Roman" w:cs="Times New Roman"/>
          <w:sz w:val="24"/>
          <w:szCs w:val="24"/>
          <w:lang w:eastAsia="pl-PL"/>
        </w:rPr>
        <w:t xml:space="preserve"> i jednostka transparentna podatkowo</w:t>
      </w:r>
      <w:r w:rsidR="002A4C92" w:rsidRPr="00E95678">
        <w:rPr>
          <w:rFonts w:ascii="Times New Roman" w:eastAsia="Times New Roman" w:hAnsi="Times New Roman" w:cs="Times New Roman"/>
          <w:sz w:val="24"/>
          <w:szCs w:val="24"/>
          <w:lang w:eastAsia="pl-PL"/>
        </w:rPr>
        <w:t xml:space="preserve">] </w:t>
      </w:r>
    </w:p>
    <w:p w14:paraId="339BB7C8" w14:textId="594CC262" w:rsidR="002A4C92" w:rsidRPr="00E95678" w:rsidRDefault="002A4C92" w:rsidP="002A4C92">
      <w:pPr>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 xml:space="preserve">Niniejszy artykuł implementuje art. 3.12 Dyrektywy (art. 10.2 </w:t>
      </w:r>
      <w:r w:rsidR="00595132" w:rsidRPr="00E95678">
        <w:rPr>
          <w:rFonts w:ascii="Times New Roman" w:hAnsi="Times New Roman" w:cs="Times New Roman"/>
          <w:sz w:val="24"/>
          <w:szCs w:val="24"/>
          <w:lang w:eastAsia="pl-PL"/>
        </w:rPr>
        <w:t>Modelowych zasad</w:t>
      </w:r>
      <w:r w:rsidRPr="00E95678">
        <w:rPr>
          <w:rFonts w:ascii="Times New Roman" w:hAnsi="Times New Roman" w:cs="Times New Roman"/>
          <w:sz w:val="24"/>
          <w:szCs w:val="24"/>
          <w:lang w:eastAsia="pl-PL"/>
        </w:rPr>
        <w:t xml:space="preserve">), definiujący pojęcie „jednostki pośredniczącej” (ang. </w:t>
      </w:r>
      <w:r w:rsidRPr="00E95678">
        <w:rPr>
          <w:rFonts w:ascii="Times New Roman" w:hAnsi="Times New Roman" w:cs="Times New Roman"/>
          <w:i/>
          <w:sz w:val="24"/>
          <w:szCs w:val="24"/>
          <w:lang w:eastAsia="pl-PL"/>
        </w:rPr>
        <w:t>flow-through entity</w:t>
      </w:r>
      <w:r w:rsidRPr="00E95678">
        <w:rPr>
          <w:rFonts w:ascii="Times New Roman" w:hAnsi="Times New Roman" w:cs="Times New Roman"/>
          <w:sz w:val="24"/>
          <w:szCs w:val="24"/>
          <w:lang w:eastAsia="pl-PL"/>
        </w:rPr>
        <w:t xml:space="preserve">).    </w:t>
      </w:r>
    </w:p>
    <w:p w14:paraId="77E637C3" w14:textId="5A46D969" w:rsidR="002A4C92" w:rsidRPr="00E95678" w:rsidRDefault="002A4C92" w:rsidP="002A4C92">
      <w:pPr>
        <w:spacing w:after="120"/>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Żeby zdefiniować tę jednostkę, ustawa (w ślad za Dyrektywą) wprowadza w pierwszej kolejności uniwersalne pojęcie „przejrzystości podatkowej” jako ogólną cechę jednostki (odniesienie do ang. „</w:t>
      </w:r>
      <w:r w:rsidRPr="00E95678">
        <w:rPr>
          <w:rFonts w:ascii="Times New Roman" w:hAnsi="Times New Roman" w:cs="Times New Roman"/>
          <w:i/>
          <w:iCs/>
          <w:sz w:val="24"/>
          <w:szCs w:val="24"/>
          <w:lang w:eastAsia="pl-PL"/>
        </w:rPr>
        <w:t>fiscally transparent</w:t>
      </w:r>
      <w:r w:rsidRPr="00E95678">
        <w:rPr>
          <w:rFonts w:ascii="Times New Roman" w:hAnsi="Times New Roman" w:cs="Times New Roman"/>
          <w:sz w:val="24"/>
          <w:szCs w:val="24"/>
          <w:lang w:eastAsia="pl-PL"/>
        </w:rPr>
        <w:t xml:space="preserve">”). I tak, zgodnie z definicją zawartą w </w:t>
      </w:r>
      <w:r w:rsidRPr="00E95678">
        <w:rPr>
          <w:rFonts w:ascii="Times New Roman" w:hAnsi="Times New Roman" w:cs="Times New Roman"/>
          <w:b/>
          <w:bCs/>
          <w:sz w:val="24"/>
          <w:szCs w:val="24"/>
          <w:lang w:eastAsia="pl-PL"/>
        </w:rPr>
        <w:t>art. 3 ust. 1</w:t>
      </w:r>
      <w:r w:rsidRPr="00E95678">
        <w:rPr>
          <w:rFonts w:ascii="Times New Roman" w:hAnsi="Times New Roman" w:cs="Times New Roman"/>
          <w:sz w:val="24"/>
          <w:szCs w:val="24"/>
          <w:lang w:eastAsia="pl-PL"/>
        </w:rPr>
        <w:t xml:space="preserve"> przez przejrzystość podatkową rozumie się cechę jednostki, której przychody, koszty, dochody oraz straty</w:t>
      </w:r>
      <w:r w:rsidRPr="00E95678">
        <w:rPr>
          <w:rStyle w:val="Odwoanieprzypisudolnego"/>
          <w:rFonts w:ascii="Times New Roman" w:hAnsi="Times New Roman" w:cs="Times New Roman"/>
          <w:sz w:val="24"/>
          <w:szCs w:val="24"/>
          <w:lang w:eastAsia="pl-PL"/>
        </w:rPr>
        <w:footnoteReference w:id="47"/>
      </w:r>
      <w:r w:rsidRPr="00E95678">
        <w:rPr>
          <w:rFonts w:ascii="Times New Roman" w:hAnsi="Times New Roman" w:cs="Times New Roman"/>
          <w:sz w:val="24"/>
          <w:szCs w:val="24"/>
          <w:lang w:eastAsia="pl-PL"/>
        </w:rPr>
        <w:t xml:space="preserve"> są traktowane zgodnie z przepisami </w:t>
      </w:r>
      <w:r w:rsidR="002F2BC8" w:rsidRPr="00E95678">
        <w:rPr>
          <w:rFonts w:ascii="Times New Roman" w:hAnsi="Times New Roman" w:cs="Times New Roman"/>
          <w:sz w:val="24"/>
          <w:szCs w:val="24"/>
          <w:lang w:eastAsia="pl-PL"/>
        </w:rPr>
        <w:t xml:space="preserve">danej </w:t>
      </w:r>
      <w:r w:rsidR="002F2BC8" w:rsidRPr="00E95678">
        <w:rPr>
          <w:rFonts w:ascii="Times New Roman" w:hAnsi="Times New Roman" w:cs="Times New Roman"/>
          <w:sz w:val="24"/>
          <w:szCs w:val="24"/>
        </w:rPr>
        <w:t>jurysdykcji</w:t>
      </w:r>
      <w:r w:rsidRPr="00E95678">
        <w:rPr>
          <w:rFonts w:ascii="Times New Roman" w:hAnsi="Times New Roman" w:cs="Times New Roman"/>
          <w:sz w:val="24"/>
          <w:szCs w:val="24"/>
          <w:lang w:eastAsia="pl-PL"/>
        </w:rPr>
        <w:t>, tak jak gdyby zostały osiągnięte lub poniesione przez jej właścicieli proporcjonalnie do posiadanego przez nich udziału w tej jednostce. Na gruncie polskich przepisów przykładem takiej jednostki jest spółka jawna osób fizycznych, a dawniej przed zmianami w latach 2014 i 2021 były nimi również pozostałe spółki osobowe.</w:t>
      </w:r>
      <w:r w:rsidRPr="00E95678">
        <w:rPr>
          <w:rStyle w:val="Odwoanieprzypisudolnego"/>
          <w:rFonts w:ascii="Times New Roman" w:hAnsi="Times New Roman" w:cs="Times New Roman"/>
          <w:sz w:val="24"/>
          <w:szCs w:val="24"/>
          <w:lang w:eastAsia="pl-PL"/>
        </w:rPr>
        <w:footnoteReference w:id="48"/>
      </w:r>
      <w:r w:rsidRPr="00E95678">
        <w:rPr>
          <w:rFonts w:ascii="Times New Roman" w:hAnsi="Times New Roman" w:cs="Times New Roman"/>
          <w:sz w:val="24"/>
          <w:szCs w:val="24"/>
          <w:lang w:eastAsia="pl-PL"/>
        </w:rPr>
        <w:t xml:space="preserve"> </w:t>
      </w:r>
    </w:p>
    <w:p w14:paraId="55F63850" w14:textId="0A399460" w:rsidR="002A4C92" w:rsidRPr="00E95678" w:rsidRDefault="002A4C92" w:rsidP="002A4C92">
      <w:pPr>
        <w:spacing w:after="120"/>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 xml:space="preserve">Powyższe rozumienie „przejrzystości podatkowej” ma charakter uniwersalny. Nie wskazuje się, </w:t>
      </w:r>
      <w:r w:rsidR="002F2BC8" w:rsidRPr="00E95678">
        <w:rPr>
          <w:rFonts w:ascii="Times New Roman" w:hAnsi="Times New Roman" w:cs="Times New Roman"/>
          <w:sz w:val="24"/>
          <w:szCs w:val="24"/>
          <w:lang w:eastAsia="pl-PL"/>
        </w:rPr>
        <w:t xml:space="preserve">która </w:t>
      </w:r>
      <w:r w:rsidR="002F2BC8" w:rsidRPr="00E95678">
        <w:rPr>
          <w:rFonts w:ascii="Times New Roman" w:hAnsi="Times New Roman" w:cs="Times New Roman"/>
          <w:sz w:val="24"/>
          <w:szCs w:val="24"/>
        </w:rPr>
        <w:t>jurysdykcja</w:t>
      </w:r>
      <w:r w:rsidRPr="00E95678">
        <w:rPr>
          <w:rFonts w:ascii="Times New Roman" w:hAnsi="Times New Roman" w:cs="Times New Roman"/>
          <w:sz w:val="24"/>
          <w:szCs w:val="24"/>
          <w:lang w:eastAsia="pl-PL"/>
        </w:rPr>
        <w:t xml:space="preserve">, tj. (a) </w:t>
      </w:r>
      <w:r w:rsidR="002F2BC8" w:rsidRPr="00E95678">
        <w:rPr>
          <w:rFonts w:ascii="Times New Roman" w:hAnsi="Times New Roman" w:cs="Times New Roman"/>
          <w:sz w:val="24"/>
          <w:szCs w:val="24"/>
        </w:rPr>
        <w:t>jurysdykcja</w:t>
      </w:r>
      <w:r w:rsidRPr="00E95678">
        <w:rPr>
          <w:rFonts w:ascii="Times New Roman" w:hAnsi="Times New Roman" w:cs="Times New Roman"/>
          <w:sz w:val="24"/>
          <w:szCs w:val="24"/>
          <w:lang w:eastAsia="pl-PL"/>
        </w:rPr>
        <w:t>, w któr</w:t>
      </w:r>
      <w:r w:rsidR="002F2BC8" w:rsidRPr="00E95678">
        <w:rPr>
          <w:rFonts w:ascii="Times New Roman" w:hAnsi="Times New Roman" w:cs="Times New Roman"/>
          <w:sz w:val="24"/>
          <w:szCs w:val="24"/>
          <w:lang w:eastAsia="pl-PL"/>
        </w:rPr>
        <w:t>ej</w:t>
      </w:r>
      <w:r w:rsidRPr="00E95678">
        <w:rPr>
          <w:rFonts w:ascii="Times New Roman" w:hAnsi="Times New Roman" w:cs="Times New Roman"/>
          <w:sz w:val="24"/>
          <w:szCs w:val="24"/>
          <w:lang w:eastAsia="pl-PL"/>
        </w:rPr>
        <w:t xml:space="preserve"> taka jednostka została utworzona), czy też (b) </w:t>
      </w:r>
      <w:r w:rsidR="002F2BC8" w:rsidRPr="00E95678">
        <w:rPr>
          <w:rFonts w:ascii="Times New Roman" w:hAnsi="Times New Roman" w:cs="Times New Roman"/>
          <w:sz w:val="24"/>
          <w:szCs w:val="24"/>
        </w:rPr>
        <w:t>jurysdykcja</w:t>
      </w:r>
      <w:r w:rsidRPr="00E95678">
        <w:rPr>
          <w:rFonts w:ascii="Times New Roman" w:hAnsi="Times New Roman" w:cs="Times New Roman"/>
          <w:sz w:val="24"/>
          <w:szCs w:val="24"/>
          <w:lang w:eastAsia="pl-PL"/>
        </w:rPr>
        <w:t>, w któr</w:t>
      </w:r>
      <w:r w:rsidR="002F2BC8" w:rsidRPr="00E95678">
        <w:rPr>
          <w:rFonts w:ascii="Times New Roman" w:hAnsi="Times New Roman" w:cs="Times New Roman"/>
          <w:sz w:val="24"/>
          <w:szCs w:val="24"/>
          <w:lang w:eastAsia="pl-PL"/>
        </w:rPr>
        <w:t>ej</w:t>
      </w:r>
      <w:r w:rsidRPr="00E95678">
        <w:rPr>
          <w:rFonts w:ascii="Times New Roman" w:hAnsi="Times New Roman" w:cs="Times New Roman"/>
          <w:sz w:val="24"/>
          <w:szCs w:val="24"/>
          <w:lang w:eastAsia="pl-PL"/>
        </w:rPr>
        <w:t xml:space="preserve"> są zlokalizowani jej właściciele – ma traktować „przychody, koszty, dochody oraz straty” takiej jednostki jako „przychody, koszty, dochody oraz straty” jej właścicieli. </w:t>
      </w:r>
      <w:r w:rsidRPr="00E95678">
        <w:rPr>
          <w:rFonts w:ascii="Times New Roman" w:hAnsi="Times New Roman" w:cs="Times New Roman"/>
          <w:i/>
          <w:sz w:val="24"/>
          <w:szCs w:val="24"/>
          <w:lang w:eastAsia="pl-PL"/>
        </w:rPr>
        <w:t>Lege non distinguente</w:t>
      </w:r>
      <w:r w:rsidRPr="00E95678">
        <w:rPr>
          <w:rFonts w:ascii="Times New Roman" w:hAnsi="Times New Roman" w:cs="Times New Roman"/>
          <w:sz w:val="24"/>
          <w:szCs w:val="24"/>
          <w:lang w:eastAsia="pl-PL"/>
        </w:rPr>
        <w:t xml:space="preserve"> należy przyjąć, że cecha przejrzystości podatkowej odnosi się do </w:t>
      </w:r>
      <w:r w:rsidR="002F2BC8" w:rsidRPr="00E95678">
        <w:rPr>
          <w:rFonts w:ascii="Times New Roman" w:hAnsi="Times New Roman" w:cs="Times New Roman"/>
          <w:sz w:val="24"/>
          <w:szCs w:val="24"/>
          <w:lang w:eastAsia="pl-PL"/>
        </w:rPr>
        <w:t xml:space="preserve">którejkolwiek </w:t>
      </w:r>
      <w:r w:rsidRPr="00E95678">
        <w:rPr>
          <w:rFonts w:ascii="Times New Roman" w:hAnsi="Times New Roman" w:cs="Times New Roman"/>
          <w:sz w:val="24"/>
          <w:szCs w:val="24"/>
          <w:lang w:eastAsia="pl-PL"/>
        </w:rPr>
        <w:t xml:space="preserve">z tych </w:t>
      </w:r>
      <w:r w:rsidR="002F2BC8" w:rsidRPr="00E95678">
        <w:rPr>
          <w:rFonts w:ascii="Times New Roman" w:hAnsi="Times New Roman" w:cs="Times New Roman"/>
          <w:sz w:val="24"/>
          <w:szCs w:val="24"/>
        </w:rPr>
        <w:t>jurysdykcji</w:t>
      </w:r>
      <w:r w:rsidRPr="00E95678">
        <w:rPr>
          <w:rFonts w:ascii="Times New Roman" w:hAnsi="Times New Roman" w:cs="Times New Roman"/>
          <w:sz w:val="24"/>
          <w:szCs w:val="24"/>
          <w:lang w:eastAsia="pl-PL"/>
        </w:rPr>
        <w:t xml:space="preserve">, w tym sensie, iż wystarczy, że wyłącznie jedno z nich traktuje ją jako jednostkę przejrzystą podatkowo. Rozróżnienie to, jakkolwiek nieistotne w kontekście definicji przejrzystości podatkowej, pozwala na wyróżnienie kilku typów takich jednostek właśnie w oparciu o różnice w traktowaniu jej przez dwa lub więcej </w:t>
      </w:r>
      <w:r w:rsidR="002F2BC8"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lang w:eastAsia="pl-PL"/>
        </w:rPr>
        <w:t>(</w:t>
      </w:r>
      <w:r w:rsidR="002F2BC8" w:rsidRPr="00E95678">
        <w:rPr>
          <w:rFonts w:ascii="Times New Roman" w:hAnsi="Times New Roman" w:cs="Times New Roman"/>
          <w:sz w:val="24"/>
          <w:szCs w:val="24"/>
        </w:rPr>
        <w:t xml:space="preserve">jurysdykcja </w:t>
      </w:r>
      <w:r w:rsidRPr="00E95678">
        <w:rPr>
          <w:rFonts w:ascii="Times New Roman" w:hAnsi="Times New Roman" w:cs="Times New Roman"/>
          <w:sz w:val="24"/>
          <w:szCs w:val="24"/>
          <w:lang w:eastAsia="pl-PL"/>
        </w:rPr>
        <w:t xml:space="preserve">lokalizacji jednostki bądź </w:t>
      </w:r>
      <w:r w:rsidR="002F2BC8" w:rsidRPr="00E95678">
        <w:rPr>
          <w:rFonts w:ascii="Times New Roman" w:hAnsi="Times New Roman" w:cs="Times New Roman"/>
          <w:sz w:val="24"/>
          <w:szCs w:val="24"/>
        </w:rPr>
        <w:t xml:space="preserve">jurysdykcja </w:t>
      </w:r>
      <w:r w:rsidRPr="00E95678">
        <w:rPr>
          <w:rFonts w:ascii="Times New Roman" w:hAnsi="Times New Roman" w:cs="Times New Roman"/>
          <w:sz w:val="24"/>
          <w:szCs w:val="24"/>
          <w:lang w:eastAsia="pl-PL"/>
        </w:rPr>
        <w:t xml:space="preserve">lub </w:t>
      </w:r>
      <w:r w:rsidR="002F2BC8" w:rsidRPr="00E95678">
        <w:rPr>
          <w:rFonts w:ascii="Times New Roman" w:hAnsi="Times New Roman" w:cs="Times New Roman"/>
          <w:sz w:val="24"/>
          <w:szCs w:val="24"/>
        </w:rPr>
        <w:t xml:space="preserve">jurysdykcje </w:t>
      </w:r>
      <w:r w:rsidRPr="00E95678">
        <w:rPr>
          <w:rFonts w:ascii="Times New Roman" w:hAnsi="Times New Roman" w:cs="Times New Roman"/>
          <w:sz w:val="24"/>
          <w:szCs w:val="24"/>
          <w:lang w:eastAsia="pl-PL"/>
        </w:rPr>
        <w:t xml:space="preserve">lokalizacji jej właścicieli). </w:t>
      </w:r>
    </w:p>
    <w:p w14:paraId="61DB344B" w14:textId="1F097654" w:rsidR="002A4C92" w:rsidRPr="00E95678" w:rsidRDefault="002A4C92" w:rsidP="002A4C92">
      <w:pPr>
        <w:spacing w:after="120"/>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 xml:space="preserve">Wskazana okoliczność nabiera znaczenia w kontekście definicji </w:t>
      </w:r>
      <w:r w:rsidRPr="00E95678">
        <w:rPr>
          <w:rFonts w:ascii="Times New Roman" w:hAnsi="Times New Roman" w:cs="Times New Roman"/>
          <w:b/>
          <w:bCs/>
          <w:sz w:val="24"/>
          <w:szCs w:val="24"/>
          <w:lang w:eastAsia="pl-PL"/>
        </w:rPr>
        <w:t>jednostki pośredniczącej</w:t>
      </w:r>
      <w:r w:rsidRPr="00E95678">
        <w:rPr>
          <w:rFonts w:ascii="Times New Roman" w:hAnsi="Times New Roman" w:cs="Times New Roman"/>
          <w:sz w:val="24"/>
          <w:szCs w:val="24"/>
          <w:lang w:eastAsia="pl-PL"/>
        </w:rPr>
        <w:t xml:space="preserve"> (</w:t>
      </w:r>
      <w:r w:rsidRPr="00E95678">
        <w:rPr>
          <w:rFonts w:ascii="Times New Roman" w:hAnsi="Times New Roman" w:cs="Times New Roman"/>
          <w:b/>
          <w:bCs/>
          <w:sz w:val="24"/>
          <w:szCs w:val="24"/>
          <w:lang w:eastAsia="pl-PL"/>
        </w:rPr>
        <w:t>art. 3</w:t>
      </w:r>
      <w:r w:rsidRPr="00E95678">
        <w:rPr>
          <w:rFonts w:ascii="Times New Roman" w:hAnsi="Times New Roman" w:cs="Times New Roman"/>
          <w:sz w:val="24"/>
          <w:szCs w:val="24"/>
          <w:lang w:eastAsia="pl-PL"/>
        </w:rPr>
        <w:t xml:space="preserve"> </w:t>
      </w:r>
      <w:r w:rsidRPr="00E95678">
        <w:rPr>
          <w:rFonts w:ascii="Times New Roman" w:hAnsi="Times New Roman" w:cs="Times New Roman"/>
          <w:b/>
          <w:sz w:val="24"/>
          <w:szCs w:val="24"/>
          <w:lang w:eastAsia="pl-PL"/>
        </w:rPr>
        <w:t>ust. 2</w:t>
      </w:r>
      <w:r w:rsidRPr="00E95678">
        <w:rPr>
          <w:rFonts w:ascii="Times New Roman" w:hAnsi="Times New Roman" w:cs="Times New Roman"/>
          <w:sz w:val="24"/>
          <w:szCs w:val="24"/>
          <w:lang w:eastAsia="pl-PL"/>
        </w:rPr>
        <w:t xml:space="preserve">), przez którą rozumie się </w:t>
      </w:r>
      <w:r w:rsidRPr="00E95678">
        <w:rPr>
          <w:rFonts w:ascii="Times New Roman" w:hAnsi="Times New Roman" w:cs="Times New Roman"/>
          <w:bCs/>
          <w:sz w:val="24"/>
          <w:szCs w:val="24"/>
          <w:lang w:eastAsia="pl-PL"/>
        </w:rPr>
        <w:t xml:space="preserve">jednostkę, która jest </w:t>
      </w:r>
      <w:r w:rsidRPr="00E95678">
        <w:rPr>
          <w:rFonts w:ascii="Times New Roman" w:hAnsi="Times New Roman" w:cs="Times New Roman"/>
          <w:b/>
          <w:bCs/>
          <w:sz w:val="24"/>
          <w:szCs w:val="24"/>
          <w:lang w:eastAsia="pl-PL"/>
        </w:rPr>
        <w:t>przejrzysta podatkowo</w:t>
      </w:r>
      <w:r w:rsidRPr="00E95678">
        <w:rPr>
          <w:rFonts w:ascii="Times New Roman" w:hAnsi="Times New Roman" w:cs="Times New Roman"/>
          <w:sz w:val="24"/>
          <w:szCs w:val="24"/>
          <w:lang w:eastAsia="pl-PL"/>
        </w:rPr>
        <w:t xml:space="preserve"> </w:t>
      </w:r>
      <w:r w:rsidRPr="00E95678">
        <w:rPr>
          <w:rFonts w:ascii="Times New Roman" w:hAnsi="Times New Roman" w:cs="Times New Roman"/>
          <w:b/>
          <w:bCs/>
          <w:sz w:val="24"/>
          <w:szCs w:val="24"/>
          <w:lang w:eastAsia="pl-PL"/>
        </w:rPr>
        <w:t xml:space="preserve">zgodnie z przepisami </w:t>
      </w:r>
      <w:r w:rsidR="002F2BC8" w:rsidRPr="00E95678">
        <w:rPr>
          <w:rFonts w:ascii="Times New Roman" w:hAnsi="Times New Roman" w:cs="Times New Roman"/>
          <w:b/>
          <w:bCs/>
          <w:sz w:val="24"/>
          <w:szCs w:val="24"/>
          <w:lang w:eastAsia="pl-PL"/>
        </w:rPr>
        <w:t xml:space="preserve">jurysdykcji </w:t>
      </w:r>
      <w:r w:rsidRPr="00E95678">
        <w:rPr>
          <w:rFonts w:ascii="Times New Roman" w:hAnsi="Times New Roman" w:cs="Times New Roman"/>
          <w:b/>
          <w:bCs/>
          <w:sz w:val="24"/>
          <w:szCs w:val="24"/>
          <w:lang w:eastAsia="pl-PL"/>
        </w:rPr>
        <w:t>jej utworzenia</w:t>
      </w:r>
      <w:r w:rsidRPr="00E95678">
        <w:rPr>
          <w:rFonts w:ascii="Times New Roman" w:hAnsi="Times New Roman" w:cs="Times New Roman"/>
          <w:sz w:val="24"/>
          <w:szCs w:val="24"/>
          <w:lang w:eastAsia="pl-PL"/>
        </w:rPr>
        <w:t>. Taka jednostka nie będzie jednak uznawana za jednostkę pośredniczącą</w:t>
      </w:r>
      <w:r w:rsidRPr="00E95678">
        <w:rPr>
          <w:rFonts w:ascii="Times New Roman" w:hAnsi="Times New Roman" w:cs="Times New Roman"/>
          <w:bCs/>
          <w:sz w:val="24"/>
          <w:szCs w:val="24"/>
          <w:lang w:eastAsia="pl-PL"/>
        </w:rPr>
        <w:t xml:space="preserve"> </w:t>
      </w:r>
      <w:r w:rsidRPr="00E95678">
        <w:rPr>
          <w:rFonts w:ascii="Times New Roman" w:hAnsi="Times New Roman" w:cs="Times New Roman"/>
          <w:sz w:val="24"/>
          <w:szCs w:val="24"/>
          <w:lang w:eastAsia="pl-PL"/>
        </w:rPr>
        <w:t>jeżeli</w:t>
      </w:r>
      <w:r w:rsidRPr="00E95678">
        <w:rPr>
          <w:rFonts w:ascii="Times New Roman" w:hAnsi="Times New Roman" w:cs="Times New Roman"/>
          <w:bCs/>
          <w:sz w:val="24"/>
          <w:szCs w:val="24"/>
          <w:lang w:eastAsia="pl-PL"/>
        </w:rPr>
        <w:t xml:space="preserve"> </w:t>
      </w:r>
      <w:r w:rsidRPr="00E95678">
        <w:rPr>
          <w:rFonts w:ascii="Times New Roman" w:hAnsi="Times New Roman" w:cs="Times New Roman"/>
          <w:sz w:val="24"/>
          <w:szCs w:val="24"/>
          <w:lang w:eastAsia="pl-PL"/>
        </w:rPr>
        <w:t xml:space="preserve">jest rezydentem podatkowym </w:t>
      </w:r>
      <w:r w:rsidR="002F2BC8" w:rsidRPr="00E95678">
        <w:rPr>
          <w:rFonts w:ascii="Times New Roman" w:hAnsi="Times New Roman" w:cs="Times New Roman"/>
          <w:sz w:val="24"/>
          <w:szCs w:val="24"/>
          <w:lang w:eastAsia="pl-PL"/>
        </w:rPr>
        <w:t xml:space="preserve">innej </w:t>
      </w:r>
      <w:r w:rsidR="002F2BC8" w:rsidRPr="00E95678">
        <w:rPr>
          <w:rFonts w:ascii="Times New Roman" w:hAnsi="Times New Roman" w:cs="Times New Roman"/>
          <w:sz w:val="24"/>
          <w:szCs w:val="24"/>
        </w:rPr>
        <w:t>jurysdykcji</w:t>
      </w:r>
      <w:r w:rsidRPr="00E95678">
        <w:rPr>
          <w:rFonts w:ascii="Times New Roman" w:hAnsi="Times New Roman" w:cs="Times New Roman"/>
          <w:sz w:val="24"/>
          <w:szCs w:val="24"/>
          <w:lang w:eastAsia="pl-PL"/>
        </w:rPr>
        <w:t>, w któr</w:t>
      </w:r>
      <w:r w:rsidR="006064AA" w:rsidRPr="00E95678">
        <w:rPr>
          <w:rFonts w:ascii="Times New Roman" w:hAnsi="Times New Roman" w:cs="Times New Roman"/>
          <w:sz w:val="24"/>
          <w:szCs w:val="24"/>
          <w:lang w:eastAsia="pl-PL"/>
        </w:rPr>
        <w:t>ej</w:t>
      </w:r>
      <w:r w:rsidRPr="00E95678">
        <w:rPr>
          <w:rFonts w:ascii="Times New Roman" w:hAnsi="Times New Roman" w:cs="Times New Roman"/>
          <w:bCs/>
          <w:sz w:val="24"/>
          <w:szCs w:val="24"/>
          <w:lang w:eastAsia="pl-PL"/>
        </w:rPr>
        <w:t xml:space="preserve"> </w:t>
      </w:r>
      <w:r w:rsidRPr="00E95678">
        <w:rPr>
          <w:rFonts w:ascii="Times New Roman" w:hAnsi="Times New Roman" w:cs="Times New Roman"/>
          <w:sz w:val="24"/>
          <w:szCs w:val="24"/>
          <w:lang w:eastAsia="pl-PL"/>
        </w:rPr>
        <w:t>podlega opodatkowaniu podatkiem kwalifikowanym.</w:t>
      </w:r>
      <w:r w:rsidRPr="00E95678">
        <w:rPr>
          <w:rStyle w:val="Odwoanieprzypisudolnego"/>
          <w:rFonts w:ascii="Times New Roman" w:hAnsi="Times New Roman" w:cs="Times New Roman"/>
          <w:sz w:val="24"/>
          <w:szCs w:val="24"/>
          <w:lang w:eastAsia="pl-PL"/>
        </w:rPr>
        <w:footnoteReference w:id="49"/>
      </w:r>
      <w:r w:rsidRPr="00E95678">
        <w:rPr>
          <w:rFonts w:ascii="Times New Roman" w:hAnsi="Times New Roman" w:cs="Times New Roman"/>
          <w:sz w:val="24"/>
          <w:szCs w:val="24"/>
          <w:lang w:eastAsia="pl-PL"/>
        </w:rPr>
        <w:t xml:space="preserve">  </w:t>
      </w:r>
    </w:p>
    <w:p w14:paraId="4AB449FF" w14:textId="0187AA29" w:rsidR="00ED00FA" w:rsidRPr="003E7A67" w:rsidRDefault="00ED00FA" w:rsidP="002A4C92">
      <w:pPr>
        <w:spacing w:after="120"/>
        <w:jc w:val="both"/>
        <w:rPr>
          <w:rFonts w:cstheme="minorHAnsi"/>
          <w:lang w:eastAsia="pl-PL"/>
        </w:rPr>
      </w:pPr>
    </w:p>
    <w:p w14:paraId="4C97974C" w14:textId="77777777" w:rsidR="00ED00FA" w:rsidRPr="003E7A67" w:rsidRDefault="00ED00FA" w:rsidP="002A4C92">
      <w:pPr>
        <w:spacing w:after="120"/>
        <w:jc w:val="both"/>
        <w:rPr>
          <w:rFonts w:cstheme="minorHAnsi"/>
          <w:lang w:eastAsia="pl-PL"/>
        </w:rPr>
      </w:pPr>
    </w:p>
    <w:p w14:paraId="31721C48" w14:textId="7856E73B"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01B3B360" w14:textId="07A576BB"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została utworzona w </w:t>
      </w:r>
      <w:r w:rsidR="00442594"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A i jest w </w:t>
      </w:r>
      <w:r w:rsidR="00442594" w:rsidRPr="003E7A67">
        <w:rPr>
          <w:rFonts w:asciiTheme="minorHAnsi" w:hAnsiTheme="minorHAnsi" w:cstheme="minorHAnsi"/>
          <w:bCs w:val="0"/>
          <w:i/>
          <w:iCs/>
          <w:sz w:val="22"/>
          <w:szCs w:val="22"/>
        </w:rPr>
        <w:t xml:space="preserve">tej jurysdykcji </w:t>
      </w:r>
      <w:r w:rsidRPr="003E7A67">
        <w:rPr>
          <w:rFonts w:asciiTheme="minorHAnsi" w:hAnsiTheme="minorHAnsi" w:cstheme="minorHAnsi"/>
          <w:bCs w:val="0"/>
          <w:i/>
          <w:iCs/>
          <w:sz w:val="22"/>
          <w:szCs w:val="22"/>
        </w:rPr>
        <w:t xml:space="preserve">traktowana jako przejrzysta podatkowo. Jednostka ta ma jednak miejsce faktycznego zarządu w </w:t>
      </w:r>
      <w:r w:rsidR="00442594"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B. Zarazem, testem rezydencji podatkowej w kraju B jest miejsce faktycznego zarządu, a zatem </w:t>
      </w:r>
      <w:r w:rsidR="00442594" w:rsidRPr="003E7A67">
        <w:rPr>
          <w:rFonts w:asciiTheme="minorHAnsi" w:hAnsiTheme="minorHAnsi" w:cstheme="minorHAnsi"/>
          <w:bCs w:val="0"/>
          <w:i/>
          <w:iCs/>
          <w:sz w:val="22"/>
          <w:szCs w:val="22"/>
        </w:rPr>
        <w:t xml:space="preserve">jurysdykcja </w:t>
      </w:r>
      <w:r w:rsidRPr="003E7A67">
        <w:rPr>
          <w:rFonts w:asciiTheme="minorHAnsi" w:hAnsiTheme="minorHAnsi" w:cstheme="minorHAnsi"/>
          <w:bCs w:val="0"/>
          <w:i/>
          <w:iCs/>
          <w:sz w:val="22"/>
          <w:szCs w:val="22"/>
        </w:rPr>
        <w:t xml:space="preserve">B opodatkowuje ten podmiot jako swojego rezydenta podatkowego. W takim przypadku jednostka ta nie będzie jednostką pośredniczącą w rozumieniu Zasad GloBE (z perspektywy </w:t>
      </w:r>
      <w:r w:rsidR="00442594"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jej utworzenia), ponieważ jest rezydentem podatkowym </w:t>
      </w:r>
      <w:r w:rsidR="00442594"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B.</w:t>
      </w:r>
    </w:p>
    <w:p w14:paraId="65F52CB6" w14:textId="71C885CC" w:rsidR="002A4C92" w:rsidRPr="00E95678" w:rsidRDefault="002A4C92" w:rsidP="00E163E3">
      <w:pPr>
        <w:spacing w:before="240" w:after="120"/>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 xml:space="preserve">Co bardzo istotne na gruncie Zasad GloBE, jednostki pośredniczące z kolei można podzielić – w zależności od sposobu traktowania ich na gruncie prawa </w:t>
      </w:r>
      <w:r w:rsidR="00442594" w:rsidRPr="00E95678">
        <w:rPr>
          <w:rFonts w:ascii="Times New Roman" w:hAnsi="Times New Roman" w:cs="Times New Roman"/>
          <w:sz w:val="24"/>
          <w:szCs w:val="24"/>
        </w:rPr>
        <w:t>jurysdykcji</w:t>
      </w:r>
      <w:r w:rsidRPr="00E95678">
        <w:rPr>
          <w:rFonts w:ascii="Times New Roman" w:hAnsi="Times New Roman" w:cs="Times New Roman"/>
          <w:sz w:val="24"/>
          <w:szCs w:val="24"/>
          <w:lang w:eastAsia="pl-PL"/>
        </w:rPr>
        <w:t xml:space="preserve">, w którym lokalizację mają jej właściciele – na dwie kategorie: </w:t>
      </w:r>
    </w:p>
    <w:p w14:paraId="09C11CDC" w14:textId="34C1E735" w:rsidR="002A4C92" w:rsidRPr="00E95678" w:rsidRDefault="002A4C92" w:rsidP="002A4C92">
      <w:pPr>
        <w:pStyle w:val="Akapitzlist"/>
        <w:numPr>
          <w:ilvl w:val="0"/>
          <w:numId w:val="15"/>
        </w:numPr>
        <w:spacing w:after="120"/>
        <w:ind w:left="714" w:hanging="357"/>
        <w:contextualSpacing w:val="0"/>
        <w:jc w:val="both"/>
        <w:rPr>
          <w:rFonts w:ascii="Times New Roman" w:hAnsi="Times New Roman" w:cs="Times New Roman"/>
          <w:sz w:val="24"/>
          <w:szCs w:val="24"/>
          <w:lang w:eastAsia="pl-PL"/>
        </w:rPr>
      </w:pPr>
      <w:r w:rsidRPr="00E95678">
        <w:rPr>
          <w:rFonts w:ascii="Times New Roman" w:hAnsi="Times New Roman" w:cs="Times New Roman"/>
          <w:b/>
          <w:bCs/>
          <w:sz w:val="24"/>
          <w:szCs w:val="24"/>
          <w:lang w:eastAsia="pl-PL"/>
        </w:rPr>
        <w:t>jednostki transparentne podatkowo</w:t>
      </w:r>
      <w:r w:rsidRPr="00E95678">
        <w:rPr>
          <w:rFonts w:ascii="Times New Roman" w:hAnsi="Times New Roman" w:cs="Times New Roman"/>
          <w:sz w:val="24"/>
          <w:szCs w:val="24"/>
          <w:lang w:eastAsia="pl-PL"/>
        </w:rPr>
        <w:t xml:space="preserve">, tj. jednostki, które są traktowane jako przejrzyste podatkowo (również) w </w:t>
      </w:r>
      <w:r w:rsidR="00442594" w:rsidRPr="00E95678">
        <w:rPr>
          <w:rFonts w:ascii="Times New Roman" w:hAnsi="Times New Roman" w:cs="Times New Roman"/>
          <w:sz w:val="24"/>
          <w:szCs w:val="24"/>
          <w:lang w:eastAsia="pl-PL"/>
        </w:rPr>
        <w:t>jurysdykcji</w:t>
      </w:r>
      <w:r w:rsidRPr="00E95678">
        <w:rPr>
          <w:rFonts w:ascii="Times New Roman" w:hAnsi="Times New Roman" w:cs="Times New Roman"/>
          <w:sz w:val="24"/>
          <w:szCs w:val="24"/>
          <w:lang w:eastAsia="pl-PL"/>
        </w:rPr>
        <w:t xml:space="preserve">, </w:t>
      </w:r>
      <w:r w:rsidRPr="00E95678">
        <w:rPr>
          <w:rFonts w:ascii="Times New Roman" w:hAnsi="Times New Roman" w:cs="Times New Roman"/>
          <w:b/>
          <w:bCs/>
          <w:sz w:val="24"/>
          <w:szCs w:val="24"/>
          <w:lang w:eastAsia="pl-PL"/>
        </w:rPr>
        <w:t xml:space="preserve">w której zlokalizowany jest jej właściciel </w:t>
      </w:r>
      <w:r w:rsidRPr="00E95678">
        <w:rPr>
          <w:rFonts w:ascii="Times New Roman" w:hAnsi="Times New Roman" w:cs="Times New Roman"/>
          <w:sz w:val="24"/>
          <w:szCs w:val="24"/>
          <w:lang w:eastAsia="pl-PL"/>
        </w:rPr>
        <w:t>(</w:t>
      </w:r>
      <w:r w:rsidRPr="00E95678">
        <w:rPr>
          <w:rFonts w:ascii="Times New Roman" w:hAnsi="Times New Roman" w:cs="Times New Roman"/>
          <w:b/>
          <w:bCs/>
          <w:sz w:val="24"/>
          <w:szCs w:val="24"/>
          <w:lang w:eastAsia="pl-PL"/>
        </w:rPr>
        <w:t>ust. 3 pkt 1</w:t>
      </w:r>
      <w:r w:rsidRPr="00E95678">
        <w:rPr>
          <w:rFonts w:ascii="Times New Roman" w:hAnsi="Times New Roman" w:cs="Times New Roman"/>
          <w:sz w:val="24"/>
          <w:szCs w:val="24"/>
          <w:lang w:eastAsia="pl-PL"/>
        </w:rPr>
        <w:t xml:space="preserve">), oraz </w:t>
      </w:r>
    </w:p>
    <w:p w14:paraId="507CED20" w14:textId="0DCFBF16" w:rsidR="002A4C92" w:rsidRPr="00E95678" w:rsidRDefault="002A4C92" w:rsidP="002A4C92">
      <w:pPr>
        <w:pStyle w:val="Akapitzlist"/>
        <w:numPr>
          <w:ilvl w:val="0"/>
          <w:numId w:val="15"/>
        </w:numPr>
        <w:spacing w:after="120"/>
        <w:ind w:left="714" w:hanging="357"/>
        <w:contextualSpacing w:val="0"/>
        <w:jc w:val="both"/>
        <w:rPr>
          <w:rFonts w:ascii="Times New Roman" w:hAnsi="Times New Roman" w:cs="Times New Roman"/>
          <w:sz w:val="24"/>
          <w:szCs w:val="24"/>
          <w:lang w:eastAsia="pl-PL"/>
        </w:rPr>
      </w:pPr>
      <w:r w:rsidRPr="00E95678">
        <w:rPr>
          <w:rFonts w:ascii="Times New Roman" w:hAnsi="Times New Roman" w:cs="Times New Roman"/>
          <w:b/>
          <w:bCs/>
          <w:sz w:val="24"/>
          <w:szCs w:val="24"/>
          <w:lang w:eastAsia="pl-PL"/>
        </w:rPr>
        <w:t>odwrócone jednostki hybrydowe</w:t>
      </w:r>
      <w:r w:rsidRPr="00E95678">
        <w:rPr>
          <w:rFonts w:ascii="Times New Roman" w:hAnsi="Times New Roman" w:cs="Times New Roman"/>
          <w:sz w:val="24"/>
          <w:szCs w:val="24"/>
          <w:lang w:eastAsia="pl-PL"/>
        </w:rPr>
        <w:t xml:space="preserve">, tj. jednostki, które nie są traktowane jako przejrzyste podatkowo w </w:t>
      </w:r>
      <w:r w:rsidR="00442594" w:rsidRPr="00E95678">
        <w:rPr>
          <w:rFonts w:ascii="Times New Roman" w:hAnsi="Times New Roman" w:cs="Times New Roman"/>
          <w:sz w:val="24"/>
          <w:szCs w:val="24"/>
          <w:lang w:eastAsia="pl-PL"/>
        </w:rPr>
        <w:t>jurysdykcji</w:t>
      </w:r>
      <w:r w:rsidRPr="00E95678">
        <w:rPr>
          <w:rFonts w:ascii="Times New Roman" w:hAnsi="Times New Roman" w:cs="Times New Roman"/>
          <w:sz w:val="24"/>
          <w:szCs w:val="24"/>
          <w:lang w:eastAsia="pl-PL"/>
        </w:rPr>
        <w:t xml:space="preserve">, w której </w:t>
      </w:r>
      <w:r w:rsidRPr="00E95678">
        <w:rPr>
          <w:rFonts w:ascii="Times New Roman" w:eastAsia="Times New Roman" w:hAnsi="Times New Roman" w:cs="Times New Roman"/>
          <w:sz w:val="24"/>
          <w:szCs w:val="24"/>
          <w:lang w:eastAsia="pl-PL"/>
        </w:rPr>
        <w:t>jest zlokalizowany</w:t>
      </w:r>
      <w:r w:rsidRPr="00E95678">
        <w:rPr>
          <w:rFonts w:ascii="Times New Roman" w:hAnsi="Times New Roman" w:cs="Times New Roman"/>
          <w:sz w:val="24"/>
          <w:szCs w:val="24"/>
          <w:lang w:eastAsia="pl-PL"/>
        </w:rPr>
        <w:t xml:space="preserve"> jej właściciel (</w:t>
      </w:r>
      <w:r w:rsidRPr="00E95678">
        <w:rPr>
          <w:rFonts w:ascii="Times New Roman" w:hAnsi="Times New Roman" w:cs="Times New Roman"/>
          <w:b/>
          <w:bCs/>
          <w:sz w:val="24"/>
          <w:szCs w:val="24"/>
          <w:lang w:eastAsia="pl-PL"/>
        </w:rPr>
        <w:t>ust. 3 pkt 2</w:t>
      </w:r>
      <w:r w:rsidRPr="00E95678">
        <w:rPr>
          <w:rFonts w:ascii="Times New Roman" w:hAnsi="Times New Roman" w:cs="Times New Roman"/>
          <w:sz w:val="24"/>
          <w:szCs w:val="24"/>
          <w:lang w:eastAsia="pl-PL"/>
        </w:rPr>
        <w:t xml:space="preserve">). </w:t>
      </w:r>
    </w:p>
    <w:p w14:paraId="63A1D038" w14:textId="75E278DE" w:rsidR="002A4C92" w:rsidRPr="00E95678" w:rsidRDefault="002A4C92" w:rsidP="002A4C92">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Jednostkę transparentną podatkowo może zatem w dużym uproszczeniu określić jako podwójnie przejrzystą, natomiast odwróconą jednostkę hybrydową jako przejrzystą jedynie w </w:t>
      </w:r>
      <w:r w:rsidR="00442594"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właściciela.</w:t>
      </w:r>
    </w:p>
    <w:p w14:paraId="51BDEE40" w14:textId="230C227A" w:rsidR="002A4C92" w:rsidRPr="00E95678" w:rsidRDefault="002A4C92" w:rsidP="002A4C92">
      <w:pPr>
        <w:spacing w:after="120"/>
        <w:jc w:val="both"/>
        <w:rPr>
          <w:rFonts w:ascii="Times New Roman" w:hAnsi="Times New Roman" w:cs="Times New Roman"/>
          <w:sz w:val="24"/>
          <w:szCs w:val="24"/>
          <w:lang w:eastAsia="pl-PL"/>
        </w:rPr>
      </w:pPr>
      <w:r w:rsidRPr="00E95678">
        <w:rPr>
          <w:rFonts w:ascii="Times New Roman" w:hAnsi="Times New Roman" w:cs="Times New Roman"/>
          <w:sz w:val="24"/>
          <w:szCs w:val="24"/>
        </w:rPr>
        <w:t xml:space="preserve">Jednak należy zwrócić uwagę, że definicje jednostki transparentnej podatkowo i odwróconej jednostki hybrydowej obejmują również przypadek, w którym ta sama jednostka pośrednicząca jest traktowana w różny sposób przez jej właścicieli, będących rezydentami podatkowymi w różnych </w:t>
      </w:r>
      <w:r w:rsidR="00442594" w:rsidRPr="00E95678">
        <w:rPr>
          <w:rFonts w:ascii="Times New Roman" w:hAnsi="Times New Roman" w:cs="Times New Roman"/>
          <w:sz w:val="24"/>
          <w:szCs w:val="24"/>
        </w:rPr>
        <w:t>jurysdykcjach</w:t>
      </w:r>
      <w:r w:rsidRPr="00E95678">
        <w:rPr>
          <w:rFonts w:ascii="Times New Roman" w:hAnsi="Times New Roman" w:cs="Times New Roman"/>
          <w:sz w:val="24"/>
          <w:szCs w:val="24"/>
        </w:rPr>
        <w:t xml:space="preserve">, w związku z tym stosują różne zasady charakterystyki tej jednostki. Może to prowadzić do sytuacji, w których taka jednostka jest traktowana przez jej różnych właścicieli równolegle jako jednostka transparentna podatkowo, jak i odwrócona jednostka hybrydowa. Status takiej jednostki jest zatem względny wobec sposobu jej traktowania przez poszczególnych właścicieli. Oznacza to możliwość stosowania różnych Zasad GloBE (np. w zakresie alokacji dochodu między taką jednostkę a jej właściciela) w zależności od sposobu, w jaki jest ona traktowana w konkretnym przypadku, tj. w </w:t>
      </w:r>
      <w:r w:rsidR="00442594"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 xml:space="preserve">konkretnego właściciela.  </w:t>
      </w:r>
      <w:r w:rsidRPr="00E95678">
        <w:rPr>
          <w:rFonts w:ascii="Times New Roman" w:hAnsi="Times New Roman" w:cs="Times New Roman"/>
          <w:sz w:val="24"/>
          <w:szCs w:val="24"/>
          <w:lang w:eastAsia="pl-PL"/>
        </w:rPr>
        <w:t xml:space="preserve">Zatem, omawiane definicje nie muszą odnosić się do całej jednostki jako takiej, lecz mogą odnosić się do udziału własnościowego danego właściciela. </w:t>
      </w:r>
    </w:p>
    <w:p w14:paraId="7E69FB64" w14:textId="77777777" w:rsidR="002A4C92" w:rsidRPr="00E95678" w:rsidRDefault="002A4C92" w:rsidP="002A4C92">
      <w:pPr>
        <w:spacing w:after="120"/>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 xml:space="preserve">Ponadto, definicje wskazane w </w:t>
      </w:r>
      <w:r w:rsidRPr="00E95678">
        <w:rPr>
          <w:rFonts w:ascii="Times New Roman" w:hAnsi="Times New Roman" w:cs="Times New Roman"/>
          <w:b/>
          <w:bCs/>
          <w:sz w:val="24"/>
          <w:szCs w:val="24"/>
          <w:lang w:eastAsia="pl-PL"/>
        </w:rPr>
        <w:t>art. 3</w:t>
      </w:r>
      <w:r w:rsidRPr="00E95678">
        <w:rPr>
          <w:rFonts w:ascii="Times New Roman" w:hAnsi="Times New Roman" w:cs="Times New Roman"/>
          <w:sz w:val="24"/>
          <w:szCs w:val="24"/>
          <w:lang w:eastAsia="pl-PL"/>
        </w:rPr>
        <w:t xml:space="preserve"> mogą też z innych powodów obejmować węższy zakres osiąganych przez nią przychodów i dochodów albo ponoszonych kosztów i strat, zgodnie z poniższym przykładem. Status danej jednostki jako transparentnej bądź nietransparentnej podatkowo nie musi mieć zatem jednorodnego charakteru, tj. nie musi obejmować danej jednostki w całości. [Komentarz, 10.2.1;157] </w:t>
      </w:r>
    </w:p>
    <w:p w14:paraId="42DE2BFB" w14:textId="49F39641"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604A1160" w14:textId="6AE6EFE2" w:rsidR="002A4C92" w:rsidRPr="003E7A67" w:rsidRDefault="00442594"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Jurysdykcja</w:t>
      </w:r>
      <w:r w:rsidR="002A4C92" w:rsidRPr="003E7A67">
        <w:rPr>
          <w:rFonts w:asciiTheme="minorHAnsi" w:hAnsiTheme="minorHAnsi" w:cstheme="minorHAnsi"/>
          <w:bCs w:val="0"/>
          <w:i/>
          <w:iCs/>
          <w:sz w:val="22"/>
          <w:szCs w:val="22"/>
        </w:rPr>
        <w:t>, w któr</w:t>
      </w:r>
      <w:r w:rsidRPr="003E7A67">
        <w:rPr>
          <w:rFonts w:asciiTheme="minorHAnsi" w:hAnsiTheme="minorHAnsi" w:cstheme="minorHAnsi"/>
          <w:bCs w:val="0"/>
          <w:i/>
          <w:iCs/>
          <w:sz w:val="22"/>
          <w:szCs w:val="22"/>
        </w:rPr>
        <w:t>ej</w:t>
      </w:r>
      <w:r w:rsidR="002A4C92" w:rsidRPr="003E7A67">
        <w:rPr>
          <w:rFonts w:asciiTheme="minorHAnsi" w:hAnsiTheme="minorHAnsi" w:cstheme="minorHAnsi"/>
          <w:bCs w:val="0"/>
          <w:i/>
          <w:iCs/>
          <w:sz w:val="22"/>
          <w:szCs w:val="22"/>
        </w:rPr>
        <w:t xml:space="preserve"> utworzony został trust, traktuje go jako jednostkę przejrzystą podatkowo tylko w odniesieniu do części dochodu, którą uznaje za dochód beneficjenta tego trustu. Dochód, którego nie można przypisać beneficjentowi, jest jednak traktowany jako podlegający opodatkowaniu na poziomie trustu. W takim przypadku taki trust jest </w:t>
      </w:r>
      <w:r w:rsidR="002A4C92" w:rsidRPr="003E7A67">
        <w:rPr>
          <w:rFonts w:asciiTheme="minorHAnsi" w:hAnsiTheme="minorHAnsi" w:cstheme="minorHAnsi"/>
          <w:b/>
          <w:i/>
          <w:iCs/>
          <w:sz w:val="22"/>
          <w:szCs w:val="22"/>
        </w:rPr>
        <w:t xml:space="preserve">jednostką pośredniczącą, </w:t>
      </w:r>
      <w:r w:rsidR="002A4C92" w:rsidRPr="003E7A67">
        <w:rPr>
          <w:rFonts w:asciiTheme="minorHAnsi" w:hAnsiTheme="minorHAnsi" w:cstheme="minorHAnsi"/>
          <w:b/>
          <w:i/>
          <w:iCs/>
          <w:sz w:val="22"/>
          <w:szCs w:val="22"/>
        </w:rPr>
        <w:lastRenderedPageBreak/>
        <w:t>ale tylko w zakresie i w odniesieniu do dochodu tego beneficjenta</w:t>
      </w:r>
      <w:r w:rsidR="002A4C92" w:rsidRPr="003E7A67">
        <w:rPr>
          <w:rFonts w:asciiTheme="minorHAnsi" w:hAnsiTheme="minorHAnsi" w:cstheme="minorHAnsi"/>
          <w:bCs w:val="0"/>
          <w:i/>
          <w:iCs/>
          <w:sz w:val="22"/>
          <w:szCs w:val="22"/>
        </w:rPr>
        <w:t>. Natomiast w zakresie pozostałych dochodów nie jest uznawany za taką jednostkę.</w:t>
      </w:r>
    </w:p>
    <w:p w14:paraId="14897DDF" w14:textId="233B82D9" w:rsidR="002A4C92" w:rsidRPr="00E95678" w:rsidRDefault="002A4C92" w:rsidP="00E163E3">
      <w:pPr>
        <w:spacing w:before="240" w:after="120"/>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 xml:space="preserve">Z kolei przepis </w:t>
      </w:r>
      <w:r w:rsidRPr="00E95678">
        <w:rPr>
          <w:rFonts w:ascii="Times New Roman" w:hAnsi="Times New Roman" w:cs="Times New Roman"/>
          <w:b/>
          <w:bCs/>
          <w:sz w:val="24"/>
          <w:szCs w:val="24"/>
          <w:lang w:eastAsia="pl-PL"/>
        </w:rPr>
        <w:t>art. 3</w:t>
      </w:r>
      <w:r w:rsidRPr="00E95678">
        <w:rPr>
          <w:rFonts w:ascii="Times New Roman" w:hAnsi="Times New Roman" w:cs="Times New Roman"/>
          <w:sz w:val="24"/>
          <w:szCs w:val="24"/>
          <w:lang w:eastAsia="pl-PL"/>
        </w:rPr>
        <w:t xml:space="preserve"> </w:t>
      </w:r>
      <w:r w:rsidRPr="00E95678">
        <w:rPr>
          <w:rFonts w:ascii="Times New Roman" w:hAnsi="Times New Roman" w:cs="Times New Roman"/>
          <w:b/>
          <w:sz w:val="24"/>
          <w:szCs w:val="24"/>
          <w:lang w:eastAsia="pl-PL"/>
        </w:rPr>
        <w:t>ust. 4</w:t>
      </w:r>
      <w:r w:rsidRPr="00E95678">
        <w:rPr>
          <w:rFonts w:ascii="Times New Roman" w:hAnsi="Times New Roman" w:cs="Times New Roman"/>
          <w:sz w:val="24"/>
          <w:szCs w:val="24"/>
          <w:lang w:eastAsia="pl-PL"/>
        </w:rPr>
        <w:t xml:space="preserve"> reguluje status jednostki składowej, która nie jest rezydentem </w:t>
      </w:r>
      <w:r w:rsidR="00442594" w:rsidRPr="00E95678">
        <w:rPr>
          <w:rFonts w:ascii="Times New Roman" w:hAnsi="Times New Roman" w:cs="Times New Roman"/>
          <w:sz w:val="24"/>
          <w:szCs w:val="24"/>
          <w:lang w:eastAsia="pl-PL"/>
        </w:rPr>
        <w:t xml:space="preserve">żadnej </w:t>
      </w:r>
      <w:r w:rsidR="00442594"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lang w:eastAsia="pl-PL"/>
        </w:rPr>
        <w:t xml:space="preserve">i nie podlega w </w:t>
      </w:r>
      <w:r w:rsidR="00442594" w:rsidRPr="00E95678">
        <w:rPr>
          <w:rFonts w:ascii="Times New Roman" w:hAnsi="Times New Roman" w:cs="Times New Roman"/>
          <w:sz w:val="24"/>
          <w:szCs w:val="24"/>
          <w:lang w:eastAsia="pl-PL"/>
        </w:rPr>
        <w:t xml:space="preserve">żadnej </w:t>
      </w:r>
      <w:r w:rsidR="00442594"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lang w:eastAsia="pl-PL"/>
        </w:rPr>
        <w:t>opodatkowaniu ze względu na miejsce jej zarządu, siedziby miejsce utworzenia lub inne podobne kryterium</w:t>
      </w:r>
      <w:r w:rsidRPr="00E95678">
        <w:rPr>
          <w:rStyle w:val="Odwoanieprzypisudolnego"/>
          <w:rFonts w:ascii="Times New Roman" w:hAnsi="Times New Roman" w:cs="Times New Roman"/>
          <w:sz w:val="24"/>
          <w:szCs w:val="24"/>
          <w:lang w:eastAsia="pl-PL"/>
        </w:rPr>
        <w:footnoteReference w:id="50"/>
      </w:r>
      <w:r w:rsidRPr="00E95678">
        <w:rPr>
          <w:rFonts w:ascii="Times New Roman" w:hAnsi="Times New Roman" w:cs="Times New Roman"/>
          <w:sz w:val="24"/>
          <w:szCs w:val="24"/>
          <w:lang w:eastAsia="pl-PL"/>
        </w:rPr>
        <w:t xml:space="preserve">. Nie można zatem uznać, na bazie ogólnej definicji z </w:t>
      </w:r>
      <w:r w:rsidRPr="00E95678">
        <w:rPr>
          <w:rFonts w:ascii="Times New Roman" w:hAnsi="Times New Roman" w:cs="Times New Roman"/>
          <w:b/>
          <w:bCs/>
          <w:sz w:val="24"/>
          <w:szCs w:val="24"/>
          <w:lang w:eastAsia="pl-PL"/>
        </w:rPr>
        <w:t>ust. 2</w:t>
      </w:r>
      <w:r w:rsidRPr="00E95678">
        <w:rPr>
          <w:rFonts w:ascii="Times New Roman" w:hAnsi="Times New Roman" w:cs="Times New Roman"/>
          <w:sz w:val="24"/>
          <w:szCs w:val="24"/>
          <w:lang w:eastAsia="pl-PL"/>
        </w:rPr>
        <w:t xml:space="preserve">, że jest to jednostka pośrednicząca, ponieważ nie można definitywnie stwierdzić, że jest przejrzysta podatkowo z punktu widzenia </w:t>
      </w:r>
      <w:r w:rsidR="00442594" w:rsidRPr="00E95678">
        <w:rPr>
          <w:rFonts w:ascii="Times New Roman" w:hAnsi="Times New Roman" w:cs="Times New Roman"/>
          <w:sz w:val="24"/>
          <w:szCs w:val="24"/>
          <w:lang w:eastAsia="pl-PL"/>
        </w:rPr>
        <w:t xml:space="preserve">jurysdykcji </w:t>
      </w:r>
      <w:r w:rsidRPr="00E95678">
        <w:rPr>
          <w:rFonts w:ascii="Times New Roman" w:hAnsi="Times New Roman" w:cs="Times New Roman"/>
          <w:sz w:val="24"/>
          <w:szCs w:val="24"/>
          <w:lang w:eastAsia="pl-PL"/>
        </w:rPr>
        <w:t xml:space="preserve">utworzenia (tj. taka jednostka w ogóle nie podlega systemowi CIT w </w:t>
      </w:r>
      <w:r w:rsidR="00442594" w:rsidRPr="00E95678">
        <w:rPr>
          <w:rFonts w:ascii="Times New Roman" w:hAnsi="Times New Roman" w:cs="Times New Roman"/>
          <w:sz w:val="24"/>
          <w:szCs w:val="24"/>
          <w:lang w:eastAsia="pl-PL"/>
        </w:rPr>
        <w:t>danej jurysdykcji</w:t>
      </w:r>
      <w:r w:rsidRPr="00E95678">
        <w:rPr>
          <w:rFonts w:ascii="Times New Roman" w:hAnsi="Times New Roman" w:cs="Times New Roman"/>
          <w:sz w:val="24"/>
          <w:szCs w:val="24"/>
          <w:lang w:eastAsia="pl-PL"/>
        </w:rPr>
        <w:t xml:space="preserve">).  Jednakże, na gruncie </w:t>
      </w:r>
      <w:r w:rsidRPr="00E95678">
        <w:rPr>
          <w:rFonts w:ascii="Times New Roman" w:hAnsi="Times New Roman" w:cs="Times New Roman"/>
          <w:b/>
          <w:bCs/>
          <w:sz w:val="24"/>
          <w:szCs w:val="24"/>
          <w:lang w:eastAsia="pl-PL"/>
        </w:rPr>
        <w:t>ust. 4</w:t>
      </w:r>
      <w:r w:rsidRPr="00E95678">
        <w:rPr>
          <w:rFonts w:ascii="Times New Roman" w:hAnsi="Times New Roman" w:cs="Times New Roman"/>
          <w:sz w:val="24"/>
          <w:szCs w:val="24"/>
          <w:lang w:eastAsia="pl-PL"/>
        </w:rPr>
        <w:t xml:space="preserve"> taka jednostka składowa jest także uznawana za jednostkę transparentną podatkowo, jeżeli spełnia trzy poniższe warunki:</w:t>
      </w:r>
    </w:p>
    <w:p w14:paraId="79AEA05C" w14:textId="4ACAACDE" w:rsidR="002A4C92" w:rsidRPr="00E95678" w:rsidRDefault="002A4C92" w:rsidP="002A4C92">
      <w:pPr>
        <w:pStyle w:val="Akapitzlist"/>
        <w:numPr>
          <w:ilvl w:val="0"/>
          <w:numId w:val="16"/>
        </w:numPr>
        <w:spacing w:after="120"/>
        <w:ind w:left="714" w:hanging="357"/>
        <w:contextualSpacing w:val="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jest traktowana jako przejrzysta podatkowo zgodnie z przepisami </w:t>
      </w:r>
      <w:r w:rsidR="00442594" w:rsidRPr="00E95678">
        <w:rPr>
          <w:rFonts w:ascii="Times New Roman" w:hAnsi="Times New Roman" w:cs="Times New Roman"/>
          <w:bCs/>
          <w:sz w:val="24"/>
          <w:szCs w:val="24"/>
          <w:lang w:eastAsia="pl-PL"/>
        </w:rPr>
        <w:t>jurysdykcji</w:t>
      </w:r>
      <w:r w:rsidRPr="00E95678">
        <w:rPr>
          <w:rFonts w:ascii="Times New Roman" w:hAnsi="Times New Roman" w:cs="Times New Roman"/>
          <w:bCs/>
          <w:sz w:val="24"/>
          <w:szCs w:val="24"/>
          <w:lang w:eastAsia="pl-PL"/>
        </w:rPr>
        <w:t xml:space="preserve">, w </w:t>
      </w:r>
      <w:r w:rsidR="00442594" w:rsidRPr="00E95678">
        <w:rPr>
          <w:rFonts w:ascii="Times New Roman" w:hAnsi="Times New Roman" w:cs="Times New Roman"/>
          <w:bCs/>
          <w:sz w:val="24"/>
          <w:szCs w:val="24"/>
          <w:lang w:eastAsia="pl-PL"/>
        </w:rPr>
        <w:t xml:space="preserve">której </w:t>
      </w:r>
      <w:r w:rsidRPr="00E95678">
        <w:rPr>
          <w:rFonts w:ascii="Times New Roman" w:hAnsi="Times New Roman" w:cs="Times New Roman"/>
          <w:bCs/>
          <w:sz w:val="24"/>
          <w:szCs w:val="24"/>
          <w:lang w:eastAsia="pl-PL"/>
        </w:rPr>
        <w:t>właściciele takiej jednostki są zlokalizowani;</w:t>
      </w:r>
    </w:p>
    <w:p w14:paraId="3B4AED25" w14:textId="008009F3" w:rsidR="002A4C92" w:rsidRPr="00E95678" w:rsidRDefault="002A4C92" w:rsidP="002A4C92">
      <w:pPr>
        <w:pStyle w:val="Akapitzlist"/>
        <w:numPr>
          <w:ilvl w:val="0"/>
          <w:numId w:val="16"/>
        </w:numPr>
        <w:spacing w:after="120"/>
        <w:ind w:left="714" w:hanging="357"/>
        <w:contextualSpacing w:val="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nie posiada miejsca prowadzenia działalności gospodarczej w </w:t>
      </w:r>
      <w:r w:rsidR="00442594" w:rsidRPr="00E95678">
        <w:rPr>
          <w:rFonts w:ascii="Times New Roman" w:hAnsi="Times New Roman" w:cs="Times New Roman"/>
          <w:bCs/>
          <w:sz w:val="24"/>
          <w:szCs w:val="24"/>
          <w:lang w:eastAsia="pl-PL"/>
        </w:rPr>
        <w:t>jurysdykcji</w:t>
      </w:r>
      <w:r w:rsidRPr="00E95678">
        <w:rPr>
          <w:rFonts w:ascii="Times New Roman" w:hAnsi="Times New Roman" w:cs="Times New Roman"/>
          <w:bCs/>
          <w:sz w:val="24"/>
          <w:szCs w:val="24"/>
          <w:lang w:eastAsia="pl-PL"/>
        </w:rPr>
        <w:t>, w </w:t>
      </w:r>
      <w:r w:rsidR="00442594" w:rsidRPr="00E95678">
        <w:rPr>
          <w:rFonts w:ascii="Times New Roman" w:hAnsi="Times New Roman" w:cs="Times New Roman"/>
          <w:bCs/>
          <w:sz w:val="24"/>
          <w:szCs w:val="24"/>
          <w:lang w:eastAsia="pl-PL"/>
        </w:rPr>
        <w:t xml:space="preserve">której </w:t>
      </w:r>
      <w:r w:rsidRPr="00E95678">
        <w:rPr>
          <w:rFonts w:ascii="Times New Roman" w:hAnsi="Times New Roman" w:cs="Times New Roman"/>
          <w:bCs/>
          <w:sz w:val="24"/>
          <w:szCs w:val="24"/>
          <w:lang w:eastAsia="pl-PL"/>
        </w:rPr>
        <w:t>została utworzona;</w:t>
      </w:r>
    </w:p>
    <w:p w14:paraId="44788ADE" w14:textId="77777777" w:rsidR="002A4C92" w:rsidRPr="00E95678" w:rsidRDefault="002A4C92" w:rsidP="002A4C92">
      <w:pPr>
        <w:pStyle w:val="Akapitzlist"/>
        <w:numPr>
          <w:ilvl w:val="0"/>
          <w:numId w:val="16"/>
        </w:numPr>
        <w:spacing w:after="120"/>
        <w:ind w:left="714" w:hanging="357"/>
        <w:contextualSpacing w:val="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przychody, koszty, dochody lub straty takiej jednostki nie mogą zostać przypisane stałemu zakładowi.</w:t>
      </w:r>
    </w:p>
    <w:p w14:paraId="5F744C1A" w14:textId="77777777"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0B98590A" w14:textId="78D57A6C" w:rsidR="002A4C92" w:rsidRPr="003E7A67" w:rsidRDefault="002A4C92"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Spółka C jest jednostką składową utworzoną w </w:t>
      </w:r>
      <w:r w:rsidR="00442594"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C, w </w:t>
      </w:r>
      <w:r w:rsidR="00442594" w:rsidRPr="003E7A67">
        <w:rPr>
          <w:rFonts w:asciiTheme="minorHAnsi" w:hAnsiTheme="minorHAnsi" w:cstheme="minorHAnsi"/>
          <w:bCs w:val="0"/>
          <w:i/>
          <w:iCs/>
          <w:sz w:val="22"/>
          <w:szCs w:val="22"/>
        </w:rPr>
        <w:t xml:space="preserve">której </w:t>
      </w:r>
      <w:r w:rsidRPr="003E7A67">
        <w:rPr>
          <w:rFonts w:asciiTheme="minorHAnsi" w:hAnsiTheme="minorHAnsi" w:cstheme="minorHAnsi"/>
          <w:bCs w:val="0"/>
          <w:i/>
          <w:iCs/>
          <w:sz w:val="22"/>
          <w:szCs w:val="22"/>
        </w:rPr>
        <w:t xml:space="preserve">nie obowiązuje podatek CIT. Spółka C nie prowadzi działalności w </w:t>
      </w:r>
      <w:r w:rsidR="00442594"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w </w:t>
      </w:r>
      <w:r w:rsidR="00442594" w:rsidRPr="003E7A67">
        <w:rPr>
          <w:rFonts w:asciiTheme="minorHAnsi" w:hAnsiTheme="minorHAnsi" w:cstheme="minorHAnsi"/>
          <w:bCs w:val="0"/>
          <w:i/>
          <w:iCs/>
          <w:sz w:val="22"/>
          <w:szCs w:val="22"/>
        </w:rPr>
        <w:t xml:space="preserve">której </w:t>
      </w:r>
      <w:r w:rsidRPr="003E7A67">
        <w:rPr>
          <w:rFonts w:asciiTheme="minorHAnsi" w:hAnsiTheme="minorHAnsi" w:cstheme="minorHAnsi"/>
          <w:bCs w:val="0"/>
          <w:i/>
          <w:iCs/>
          <w:sz w:val="22"/>
          <w:szCs w:val="22"/>
        </w:rPr>
        <w:t xml:space="preserve">została utworzona, a jej dochód nie jest przypisywany do stałego zakładu. Udziały własnościowe spółki C są równo rozdzielone pomiędzy spółki A i B, które są jednostkami składowymi tej samej grupy międzynarodowej. Pierwszy z właścicieli, spółka A jest rezydentem </w:t>
      </w:r>
      <w:r w:rsidR="00442594"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A, któr</w:t>
      </w:r>
      <w:r w:rsidR="00FD3C5A" w:rsidRPr="003E7A67">
        <w:rPr>
          <w:rFonts w:asciiTheme="minorHAnsi" w:hAnsiTheme="minorHAnsi" w:cstheme="minorHAnsi"/>
          <w:bCs w:val="0"/>
          <w:i/>
          <w:iCs/>
          <w:sz w:val="22"/>
          <w:szCs w:val="22"/>
        </w:rPr>
        <w:t>a</w:t>
      </w:r>
      <w:r w:rsidRPr="003E7A67">
        <w:rPr>
          <w:rFonts w:asciiTheme="minorHAnsi" w:hAnsiTheme="minorHAnsi" w:cstheme="minorHAnsi"/>
          <w:bCs w:val="0"/>
          <w:i/>
          <w:iCs/>
          <w:sz w:val="22"/>
          <w:szCs w:val="22"/>
        </w:rPr>
        <w:t xml:space="preserve"> traktuje spółkę C jako jednostkę przejrzystą podatkowo. Drugi z właścicieli, spółka B jest rezydentem </w:t>
      </w:r>
      <w:r w:rsidR="00442594"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B, któr</w:t>
      </w:r>
      <w:r w:rsidR="00FD3C5A" w:rsidRPr="003E7A67">
        <w:rPr>
          <w:rFonts w:asciiTheme="minorHAnsi" w:hAnsiTheme="minorHAnsi" w:cstheme="minorHAnsi"/>
          <w:bCs w:val="0"/>
          <w:i/>
          <w:iCs/>
          <w:sz w:val="22"/>
          <w:szCs w:val="22"/>
        </w:rPr>
        <w:t>a</w:t>
      </w:r>
      <w:r w:rsidRPr="003E7A67">
        <w:rPr>
          <w:rFonts w:asciiTheme="minorHAnsi" w:hAnsiTheme="minorHAnsi" w:cstheme="minorHAnsi"/>
          <w:bCs w:val="0"/>
          <w:i/>
          <w:iCs/>
          <w:sz w:val="22"/>
          <w:szCs w:val="22"/>
        </w:rPr>
        <w:t xml:space="preserve"> nie traktuje spółki C jako jednostki przejrzystej podatkowo. W tym przypadku tylko 50% dochodów spółki C jest traktowane jako uzyskane przez jednostkę transparentną podatkowo (które podlegają alokacji do innych jednostek). Pozostałe 50% dochodów C jest traktowane jako uzyskane przez jednostkę, który nie jest jednostką pośredniczącą a w konsekwencji nie jest też jednostką transparentną podatkowo (tym samym jej dochody nie podlegają alokacji na rzecz innych jednostek).</w:t>
      </w:r>
    </w:p>
    <w:p w14:paraId="6E9C9512" w14:textId="009D986A" w:rsidR="002A4C92" w:rsidRPr="00E95678" w:rsidRDefault="002A4C92" w:rsidP="00E163E3">
      <w:pPr>
        <w:spacing w:before="240" w:after="120"/>
        <w:jc w:val="both"/>
        <w:rPr>
          <w:rFonts w:ascii="Times New Roman" w:hAnsi="Times New Roman" w:cs="Times New Roman"/>
          <w:sz w:val="24"/>
          <w:szCs w:val="24"/>
          <w:lang w:eastAsia="pl-PL"/>
        </w:rPr>
      </w:pPr>
      <w:r w:rsidRPr="00E95678">
        <w:rPr>
          <w:rFonts w:ascii="Times New Roman" w:hAnsi="Times New Roman" w:cs="Times New Roman"/>
          <w:sz w:val="24"/>
          <w:szCs w:val="24"/>
          <w:lang w:eastAsia="pl-PL"/>
        </w:rPr>
        <w:t>Osobną kategorią jednostki jest „</w:t>
      </w:r>
      <w:r w:rsidRPr="00E95678">
        <w:rPr>
          <w:rFonts w:ascii="Times New Roman" w:hAnsi="Times New Roman" w:cs="Times New Roman"/>
          <w:b/>
          <w:bCs/>
          <w:sz w:val="24"/>
          <w:szCs w:val="24"/>
          <w:lang w:eastAsia="pl-PL"/>
        </w:rPr>
        <w:t>jednostka hybrydowa</w:t>
      </w:r>
      <w:r w:rsidRPr="00E95678">
        <w:rPr>
          <w:rFonts w:ascii="Times New Roman" w:hAnsi="Times New Roman" w:cs="Times New Roman"/>
          <w:sz w:val="24"/>
          <w:szCs w:val="24"/>
          <w:lang w:eastAsia="pl-PL"/>
        </w:rPr>
        <w:t>”. Nie jest ona związana z wyżej opisywanym pojęciem jednostki pośredniczącej. Pojęcie to występuje w przepisach działu VI w zakresie alokacji podatków kwalifikowanych. Dla kompletności,</w:t>
      </w:r>
      <w:r w:rsidRPr="00E95678">
        <w:rPr>
          <w:rFonts w:ascii="Times New Roman" w:hAnsi="Times New Roman" w:cs="Times New Roman"/>
          <w:b/>
          <w:bCs/>
          <w:sz w:val="24"/>
          <w:szCs w:val="24"/>
          <w:lang w:eastAsia="pl-PL"/>
        </w:rPr>
        <w:t xml:space="preserve"> art. 3 w ust. 5</w:t>
      </w:r>
      <w:r w:rsidRPr="00E95678">
        <w:rPr>
          <w:rFonts w:ascii="Times New Roman" w:hAnsi="Times New Roman" w:cs="Times New Roman"/>
          <w:sz w:val="24"/>
          <w:szCs w:val="24"/>
          <w:lang w:eastAsia="pl-PL"/>
        </w:rPr>
        <w:t xml:space="preserve"> zawiera definicję tej jednostki. Jednostka</w:t>
      </w:r>
      <w:r w:rsidRPr="00E95678">
        <w:rPr>
          <w:rFonts w:ascii="Times New Roman" w:hAnsi="Times New Roman" w:cs="Times New Roman"/>
          <w:sz w:val="24"/>
          <w:szCs w:val="24"/>
        </w:rPr>
        <w:t xml:space="preserve"> hybrydowa oznacza </w:t>
      </w:r>
      <w:r w:rsidRPr="00E95678">
        <w:rPr>
          <w:rFonts w:ascii="Times New Roman" w:hAnsi="Times New Roman" w:cs="Times New Roman"/>
          <w:sz w:val="24"/>
          <w:szCs w:val="24"/>
          <w:lang w:eastAsia="pl-PL"/>
        </w:rPr>
        <w:t xml:space="preserve">jednostkę będącą odrębnym podatnikiem do celów podatku dochodowego w </w:t>
      </w:r>
      <w:r w:rsidR="00442594" w:rsidRPr="00E95678">
        <w:rPr>
          <w:rFonts w:ascii="Times New Roman" w:hAnsi="Times New Roman" w:cs="Times New Roman"/>
          <w:sz w:val="24"/>
          <w:szCs w:val="24"/>
          <w:lang w:eastAsia="pl-PL"/>
        </w:rPr>
        <w:t xml:space="preserve">jurysdykcji </w:t>
      </w:r>
      <w:r w:rsidRPr="00E95678">
        <w:rPr>
          <w:rFonts w:ascii="Times New Roman" w:hAnsi="Times New Roman" w:cs="Times New Roman"/>
          <w:sz w:val="24"/>
          <w:szCs w:val="24"/>
          <w:lang w:eastAsia="pl-PL"/>
        </w:rPr>
        <w:t xml:space="preserve">jej lokalizacji (tj. nie jest przejrzysta podatkowo w </w:t>
      </w:r>
      <w:r w:rsidR="00442594" w:rsidRPr="00E95678">
        <w:rPr>
          <w:rFonts w:ascii="Times New Roman" w:hAnsi="Times New Roman" w:cs="Times New Roman"/>
          <w:sz w:val="24"/>
          <w:szCs w:val="24"/>
          <w:lang w:eastAsia="pl-PL"/>
        </w:rPr>
        <w:t>tej jurysdykcji</w:t>
      </w:r>
      <w:r w:rsidRPr="00E95678">
        <w:rPr>
          <w:rFonts w:ascii="Times New Roman" w:hAnsi="Times New Roman" w:cs="Times New Roman"/>
          <w:sz w:val="24"/>
          <w:szCs w:val="24"/>
          <w:lang w:eastAsia="pl-PL"/>
        </w:rPr>
        <w:t xml:space="preserve">), a przejrzystą podatkowo w </w:t>
      </w:r>
      <w:r w:rsidR="00442594" w:rsidRPr="00E95678">
        <w:rPr>
          <w:rFonts w:ascii="Times New Roman" w:hAnsi="Times New Roman" w:cs="Times New Roman"/>
          <w:sz w:val="24"/>
          <w:szCs w:val="24"/>
          <w:lang w:eastAsia="pl-PL"/>
        </w:rPr>
        <w:t>jurysdykcji</w:t>
      </w:r>
      <w:r w:rsidRPr="00E95678">
        <w:rPr>
          <w:rFonts w:ascii="Times New Roman" w:hAnsi="Times New Roman" w:cs="Times New Roman"/>
          <w:sz w:val="24"/>
          <w:szCs w:val="24"/>
          <w:lang w:eastAsia="pl-PL"/>
        </w:rPr>
        <w:t xml:space="preserve">, w </w:t>
      </w:r>
      <w:r w:rsidR="00442594" w:rsidRPr="00E95678">
        <w:rPr>
          <w:rFonts w:ascii="Times New Roman" w:hAnsi="Times New Roman" w:cs="Times New Roman"/>
          <w:sz w:val="24"/>
          <w:szCs w:val="24"/>
          <w:lang w:eastAsia="pl-PL"/>
        </w:rPr>
        <w:t xml:space="preserve">której </w:t>
      </w:r>
      <w:r w:rsidRPr="00E95678">
        <w:rPr>
          <w:rFonts w:ascii="Times New Roman" w:eastAsia="Times New Roman" w:hAnsi="Times New Roman" w:cs="Times New Roman"/>
          <w:sz w:val="24"/>
          <w:szCs w:val="24"/>
          <w:lang w:eastAsia="pl-PL"/>
        </w:rPr>
        <w:t>jest zlokalizowany</w:t>
      </w:r>
      <w:r w:rsidRPr="00E95678">
        <w:rPr>
          <w:rFonts w:ascii="Times New Roman" w:hAnsi="Times New Roman" w:cs="Times New Roman"/>
          <w:sz w:val="24"/>
          <w:szCs w:val="24"/>
          <w:lang w:eastAsia="pl-PL"/>
        </w:rPr>
        <w:t xml:space="preserve"> jej właściciel.</w:t>
      </w:r>
    </w:p>
    <w:p w14:paraId="0B66BBC7" w14:textId="6ECE023C" w:rsidR="00DB7D51" w:rsidRPr="00E95678" w:rsidRDefault="00ED00FA" w:rsidP="00DB7D51">
      <w:pPr>
        <w:pStyle w:val="Nagwek3"/>
        <w:spacing w:before="240"/>
        <w:rPr>
          <w:rFonts w:ascii="Times New Roman" w:hAnsi="Times New Roman" w:cs="Times New Roman"/>
          <w:sz w:val="24"/>
        </w:rPr>
      </w:pPr>
      <w:r w:rsidRPr="00E95678">
        <w:rPr>
          <w:rFonts w:ascii="Times New Roman" w:hAnsi="Times New Roman" w:cs="Times New Roman"/>
          <w:sz w:val="24"/>
        </w:rPr>
        <w:br w:type="column"/>
      </w:r>
      <w:r w:rsidR="00DB7D51" w:rsidRPr="00E95678">
        <w:rPr>
          <w:rFonts w:ascii="Times New Roman" w:hAnsi="Times New Roman" w:cs="Times New Roman"/>
          <w:sz w:val="24"/>
        </w:rPr>
        <w:lastRenderedPageBreak/>
        <w:t>Rozdział 2 – Zakres podmiotowy</w:t>
      </w:r>
      <w:r w:rsidR="00972665" w:rsidRPr="00E95678">
        <w:rPr>
          <w:rFonts w:ascii="Times New Roman" w:hAnsi="Times New Roman" w:cs="Times New Roman"/>
          <w:sz w:val="24"/>
        </w:rPr>
        <w:t xml:space="preserve"> ustawy</w:t>
      </w:r>
    </w:p>
    <w:p w14:paraId="7F3E7298" w14:textId="77777777" w:rsidR="00DB7D51" w:rsidRPr="00E95678" w:rsidRDefault="00DB7D51" w:rsidP="00DB7D51">
      <w:pPr>
        <w:pStyle w:val="Nagwek5"/>
        <w:spacing w:before="240"/>
        <w:jc w:val="both"/>
        <w:rPr>
          <w:rFonts w:ascii="Times New Roman" w:eastAsia="Times New Roman" w:hAnsi="Times New Roman" w:cs="Times New Roman"/>
          <w:sz w:val="24"/>
          <w:szCs w:val="24"/>
          <w:lang w:eastAsia="pl-PL"/>
        </w:rPr>
      </w:pPr>
      <w:r w:rsidRPr="00E95678">
        <w:rPr>
          <w:rFonts w:ascii="Times New Roman" w:eastAsia="Times New Roman" w:hAnsi="Times New Roman" w:cs="Times New Roman"/>
          <w:sz w:val="24"/>
          <w:szCs w:val="24"/>
          <w:lang w:eastAsia="pl-PL"/>
        </w:rPr>
        <w:t xml:space="preserve">Art. 4 [Grupy międzynarodowe i krajowe objęte zakresem ustawy; minimalny przychód grupowy] </w:t>
      </w:r>
    </w:p>
    <w:p w14:paraId="19BF1EFE" w14:textId="77777777" w:rsidR="00DB7D51" w:rsidRPr="00E95678" w:rsidRDefault="00DB7D51" w:rsidP="00DB7D51">
      <w:pPr>
        <w:spacing w:after="120"/>
        <w:jc w:val="both"/>
        <w:rPr>
          <w:rFonts w:ascii="Times New Roman" w:hAnsi="Times New Roman" w:cs="Times New Roman"/>
          <w:bCs/>
          <w:i/>
          <w:iCs/>
          <w:sz w:val="24"/>
          <w:szCs w:val="24"/>
          <w:lang w:eastAsia="pl-PL"/>
        </w:rPr>
      </w:pPr>
      <w:r w:rsidRPr="00E95678">
        <w:rPr>
          <w:rFonts w:ascii="Times New Roman" w:hAnsi="Times New Roman" w:cs="Times New Roman"/>
          <w:bCs/>
          <w:i/>
          <w:iCs/>
          <w:sz w:val="24"/>
          <w:szCs w:val="24"/>
          <w:lang w:eastAsia="pl-PL"/>
        </w:rPr>
        <w:t>Minimalny przychód grupowy</w:t>
      </w:r>
    </w:p>
    <w:p w14:paraId="5414ADCB"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Przepisy </w:t>
      </w:r>
      <w:r w:rsidRPr="00E95678">
        <w:rPr>
          <w:rFonts w:ascii="Times New Roman" w:hAnsi="Times New Roman" w:cs="Times New Roman"/>
          <w:b/>
          <w:sz w:val="24"/>
          <w:szCs w:val="24"/>
          <w:lang w:eastAsia="pl-PL"/>
        </w:rPr>
        <w:t>art. 4</w:t>
      </w:r>
      <w:r w:rsidRPr="00E95678">
        <w:rPr>
          <w:rFonts w:ascii="Times New Roman" w:hAnsi="Times New Roman" w:cs="Times New Roman"/>
          <w:bCs/>
          <w:sz w:val="24"/>
          <w:szCs w:val="24"/>
          <w:lang w:eastAsia="pl-PL"/>
        </w:rPr>
        <w:t>, stanowiącego implementację art. 2.1 i 2.2 Dyrektywy, określają warunek, którego spełnienie powoduje obowiązek stosowania ustawy przez daną grupę międzynarodową lub grupę krajową, a dokładniej przez jednostki wchodzące w skład takiej grupy (jednostki składowe tej grupy).</w:t>
      </w:r>
      <w:r w:rsidRPr="00E95678">
        <w:rPr>
          <w:rStyle w:val="Odwoanieprzypisudolnego"/>
          <w:rFonts w:ascii="Times New Roman" w:hAnsi="Times New Roman" w:cs="Times New Roman"/>
          <w:bCs/>
          <w:sz w:val="24"/>
          <w:szCs w:val="24"/>
          <w:lang w:eastAsia="pl-PL"/>
        </w:rPr>
        <w:footnoteReference w:id="51"/>
      </w:r>
      <w:r w:rsidRPr="00E95678">
        <w:rPr>
          <w:rFonts w:ascii="Times New Roman" w:hAnsi="Times New Roman" w:cs="Times New Roman"/>
          <w:bCs/>
          <w:sz w:val="24"/>
          <w:szCs w:val="24"/>
          <w:lang w:eastAsia="pl-PL"/>
        </w:rPr>
        <w:t xml:space="preserve">     </w:t>
      </w:r>
    </w:p>
    <w:p w14:paraId="385C3570"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Omawiany warunek to próg skonsolidowanych przychodów, określany w ustawie jako </w:t>
      </w:r>
      <w:r w:rsidRPr="00E95678">
        <w:rPr>
          <w:rFonts w:ascii="Times New Roman" w:hAnsi="Times New Roman" w:cs="Times New Roman"/>
          <w:b/>
          <w:sz w:val="24"/>
          <w:szCs w:val="24"/>
          <w:lang w:eastAsia="pl-PL"/>
        </w:rPr>
        <w:t>minimalny przychód grupowy</w:t>
      </w:r>
      <w:r w:rsidRPr="00E95678">
        <w:rPr>
          <w:rFonts w:ascii="Times New Roman" w:hAnsi="Times New Roman" w:cs="Times New Roman"/>
          <w:bCs/>
          <w:sz w:val="24"/>
          <w:szCs w:val="24"/>
          <w:lang w:eastAsia="pl-PL"/>
        </w:rPr>
        <w:t xml:space="preserve">. Zgodnie z </w:t>
      </w:r>
      <w:r w:rsidRPr="00E95678">
        <w:rPr>
          <w:rFonts w:ascii="Times New Roman" w:hAnsi="Times New Roman" w:cs="Times New Roman"/>
          <w:b/>
          <w:sz w:val="24"/>
          <w:szCs w:val="24"/>
          <w:lang w:eastAsia="pl-PL"/>
        </w:rPr>
        <w:t>ust. 1 i 2</w:t>
      </w:r>
      <w:r w:rsidRPr="00E95678">
        <w:rPr>
          <w:rFonts w:ascii="Times New Roman" w:hAnsi="Times New Roman" w:cs="Times New Roman"/>
          <w:bCs/>
          <w:sz w:val="24"/>
          <w:szCs w:val="24"/>
          <w:lang w:eastAsia="pl-PL"/>
        </w:rPr>
        <w:t xml:space="preserve"> odnosi się do kwoty osiągniętych przez daną grupę skonsolidowanych przychodów, rozumianych jako roczne przychody wykazane w skonsolidowanym sprawozdaniu finansowym sporządzanym przez jednostkę dominującą najwyższego szczebla takiej grupy, które wyniosły co najmniej 750 mln euro. Aby dana grupa była objęta przepisami ustawy, warunek ten musi być spełniony w 2 z 4 ostatnich lat poprzedzających dany rok podatkowy (obejmujących również lata sprzed wejścia ustawy w życie). </w:t>
      </w:r>
    </w:p>
    <w:p w14:paraId="447AEAB8"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Zatem, w świetle omawianych przepisów ustawa znajdzie zastosowanie do jednostek składowych tych grup międzynarodowych lub grup krajowych, których skonsolidowane przychody w </w:t>
      </w:r>
      <w:r w:rsidRPr="00E95678">
        <w:rPr>
          <w:rFonts w:ascii="Times New Roman" w:hAnsi="Times New Roman" w:cs="Times New Roman"/>
          <w:b/>
          <w:sz w:val="24"/>
          <w:szCs w:val="24"/>
          <w:lang w:eastAsia="pl-PL"/>
        </w:rPr>
        <w:t>przynajmniej 2 latach wskazanego 4-letniego okresu</w:t>
      </w:r>
      <w:r w:rsidRPr="00E95678">
        <w:rPr>
          <w:rFonts w:ascii="Times New Roman" w:hAnsi="Times New Roman" w:cs="Times New Roman"/>
          <w:bCs/>
          <w:sz w:val="24"/>
          <w:szCs w:val="24"/>
          <w:lang w:eastAsia="pl-PL"/>
        </w:rPr>
        <w:t xml:space="preserve"> (</w:t>
      </w:r>
      <w:r w:rsidRPr="00E95678">
        <w:rPr>
          <w:rFonts w:ascii="Times New Roman" w:hAnsi="Times New Roman" w:cs="Times New Roman"/>
          <w:bCs/>
          <w:i/>
          <w:sz w:val="24"/>
          <w:szCs w:val="24"/>
          <w:lang w:eastAsia="pl-PL"/>
        </w:rPr>
        <w:t>two-out-of-four-years test</w:t>
      </w:r>
      <w:r w:rsidRPr="00E95678">
        <w:rPr>
          <w:rFonts w:ascii="Times New Roman" w:hAnsi="Times New Roman" w:cs="Times New Roman"/>
          <w:bCs/>
          <w:sz w:val="24"/>
          <w:szCs w:val="24"/>
          <w:lang w:eastAsia="pl-PL"/>
        </w:rPr>
        <w:t xml:space="preserve">) </w:t>
      </w:r>
      <w:r w:rsidRPr="00E95678">
        <w:rPr>
          <w:rFonts w:ascii="Times New Roman" w:hAnsi="Times New Roman" w:cs="Times New Roman"/>
          <w:b/>
          <w:sz w:val="24"/>
          <w:szCs w:val="24"/>
          <w:lang w:eastAsia="pl-PL"/>
        </w:rPr>
        <w:t>wyniosły co najmniej 750 mln euro</w:t>
      </w:r>
      <w:r w:rsidRPr="00E95678">
        <w:rPr>
          <w:rFonts w:ascii="Times New Roman" w:hAnsi="Times New Roman" w:cs="Times New Roman"/>
          <w:bCs/>
          <w:sz w:val="24"/>
          <w:szCs w:val="24"/>
          <w:lang w:eastAsia="pl-PL"/>
        </w:rPr>
        <w:t xml:space="preserve"> (</w:t>
      </w:r>
      <w:r w:rsidRPr="00E95678">
        <w:rPr>
          <w:rFonts w:ascii="Times New Roman" w:hAnsi="Times New Roman" w:cs="Times New Roman"/>
          <w:b/>
          <w:bCs/>
          <w:sz w:val="24"/>
          <w:szCs w:val="24"/>
          <w:lang w:eastAsia="pl-PL"/>
        </w:rPr>
        <w:t>ust. 1 i 2</w:t>
      </w:r>
      <w:r w:rsidRPr="00E95678">
        <w:rPr>
          <w:rFonts w:ascii="Times New Roman" w:hAnsi="Times New Roman" w:cs="Times New Roman"/>
          <w:bCs/>
          <w:sz w:val="24"/>
          <w:szCs w:val="24"/>
          <w:lang w:eastAsia="pl-PL"/>
        </w:rPr>
        <w:t xml:space="preserve">). </w:t>
      </w:r>
    </w:p>
    <w:p w14:paraId="3A8B774D" w14:textId="15AD1798" w:rsidR="00DB7D51" w:rsidRPr="003E7A67" w:rsidRDefault="00DB7D51"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136C9260" w14:textId="224299BE" w:rsidR="00DB7D51" w:rsidRPr="003E7A67" w:rsidRDefault="00DB7D51"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Rok podatkowy grupy międzynarodowej jest zbieżny z rokiem kalendarzowym. Grupa z funkcjonuje na rynku od kilkudziesięciu lat. W latach 2021 –2024 (4 ostatnie lata poprzedzające badany rok, tj. 2025) skonsolidowane przychody tej grupy wyniosły kolejno: </w:t>
      </w:r>
      <w:r w:rsidRPr="003E7A67">
        <w:rPr>
          <w:rFonts w:asciiTheme="minorHAnsi" w:hAnsiTheme="minorHAnsi" w:cstheme="minorHAnsi"/>
          <w:b/>
          <w:i/>
          <w:iCs/>
          <w:sz w:val="22"/>
          <w:szCs w:val="22"/>
        </w:rPr>
        <w:t>800 mln euro</w:t>
      </w:r>
      <w:r w:rsidRPr="003E7A67">
        <w:rPr>
          <w:rFonts w:asciiTheme="minorHAnsi" w:hAnsiTheme="minorHAnsi" w:cstheme="minorHAnsi"/>
          <w:bCs w:val="0"/>
          <w:i/>
          <w:iCs/>
          <w:sz w:val="22"/>
          <w:szCs w:val="22"/>
        </w:rPr>
        <w:t xml:space="preserve"> (2021), 700 mln euro (2022), 720 mln euro (2023) i 750 mln euro (2024). Grupa ta w odniesieniu do roku 2025 spełnia zatem test, o którym mowa w art. 2 ust. 1. Jeśli jednak skonsolidowane przychody tej grupy w 2025 roku wyniosą poniżej 750 mln euro, wówczas nie będzie ona podlegała Zasadom GloBE za rok 2026.</w:t>
      </w:r>
    </w:p>
    <w:p w14:paraId="473838B4" w14:textId="77777777" w:rsidR="00DB7D51" w:rsidRPr="00E95678" w:rsidRDefault="00DB7D51" w:rsidP="00E163E3">
      <w:pPr>
        <w:spacing w:before="240"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Tym samym omawiany warunek nie odnosi się do przychodów bieżącego roku podatkowego, tj. roku badanego pod kątem tego, czy należy do niego stosować przepisy ustawy. </w:t>
      </w:r>
      <w:r w:rsidRPr="00E95678">
        <w:rPr>
          <w:rFonts w:ascii="Times New Roman" w:hAnsi="Times New Roman" w:cs="Times New Roman"/>
          <w:sz w:val="24"/>
          <w:szCs w:val="24"/>
        </w:rPr>
        <w:t xml:space="preserve">Wyłączenie wyników z bieżącego roku z testu minimalnego przychodu grupowego gwarantuje, że grupa już na początku danego roku podatkowego będzie wiedziała, czy podlega w odniesieniu do tego roku Zasadom GloBE. </w:t>
      </w:r>
      <w:r w:rsidRPr="00E95678">
        <w:rPr>
          <w:rFonts w:ascii="Times New Roman" w:hAnsi="Times New Roman" w:cs="Times New Roman"/>
          <w:bCs/>
          <w:sz w:val="24"/>
          <w:szCs w:val="24"/>
          <w:lang w:eastAsia="pl-PL"/>
        </w:rPr>
        <w:t xml:space="preserve"> </w:t>
      </w:r>
    </w:p>
    <w:p w14:paraId="52E42456" w14:textId="77777777" w:rsidR="00DB7D51" w:rsidRPr="00E95678" w:rsidRDefault="00DB7D51" w:rsidP="00DB7D51">
      <w:pPr>
        <w:spacing w:after="120"/>
        <w:jc w:val="both"/>
        <w:rPr>
          <w:rFonts w:ascii="Times New Roman" w:hAnsi="Times New Roman" w:cs="Times New Roman"/>
          <w:bCs/>
          <w:i/>
          <w:iCs/>
          <w:sz w:val="24"/>
          <w:szCs w:val="24"/>
          <w:lang w:eastAsia="pl-PL"/>
        </w:rPr>
      </w:pPr>
      <w:r w:rsidRPr="00E95678">
        <w:rPr>
          <w:rFonts w:ascii="Times New Roman" w:hAnsi="Times New Roman" w:cs="Times New Roman"/>
          <w:bCs/>
          <w:i/>
          <w:iCs/>
          <w:sz w:val="24"/>
          <w:szCs w:val="24"/>
          <w:lang w:eastAsia="pl-PL"/>
        </w:rPr>
        <w:t>Pojęcie przychodu i zasady jego ustalania</w:t>
      </w:r>
    </w:p>
    <w:p w14:paraId="1552D402"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Wytyczne z grudnia 2023 r. dodatkowo precyzują pojęcie rocznego przychodu, który jest uwzględniany na potrzeby progu skonsolidowanych przychodów (tj. oceny warunku osiągnięcia </w:t>
      </w:r>
      <w:r w:rsidRPr="00E95678">
        <w:rPr>
          <w:rFonts w:ascii="Times New Roman" w:hAnsi="Times New Roman" w:cs="Times New Roman"/>
          <w:b/>
          <w:sz w:val="24"/>
          <w:szCs w:val="24"/>
          <w:lang w:eastAsia="pl-PL"/>
        </w:rPr>
        <w:t>minimalnego przychodu grupowego</w:t>
      </w:r>
      <w:r w:rsidRPr="00E95678">
        <w:rPr>
          <w:rFonts w:ascii="Times New Roman" w:hAnsi="Times New Roman" w:cs="Times New Roman"/>
          <w:bCs/>
          <w:sz w:val="24"/>
          <w:szCs w:val="24"/>
          <w:lang w:eastAsia="pl-PL"/>
        </w:rPr>
        <w:t xml:space="preserve">, zgodnie z </w:t>
      </w:r>
      <w:r w:rsidRPr="00E95678">
        <w:rPr>
          <w:rFonts w:ascii="Times New Roman" w:hAnsi="Times New Roman" w:cs="Times New Roman"/>
          <w:b/>
          <w:sz w:val="24"/>
          <w:szCs w:val="24"/>
          <w:lang w:eastAsia="pl-PL"/>
        </w:rPr>
        <w:t>ust. 2</w:t>
      </w:r>
      <w:r w:rsidRPr="00E95678">
        <w:rPr>
          <w:rFonts w:ascii="Times New Roman" w:hAnsi="Times New Roman" w:cs="Times New Roman"/>
          <w:bCs/>
          <w:sz w:val="24"/>
          <w:szCs w:val="24"/>
          <w:lang w:eastAsia="pl-PL"/>
        </w:rPr>
        <w:t>).</w:t>
      </w:r>
    </w:p>
    <w:p w14:paraId="259BFF42" w14:textId="7777777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sz w:val="24"/>
          <w:szCs w:val="24"/>
        </w:rPr>
        <w:lastRenderedPageBreak/>
        <w:t>We wskazanych wytycznych wyjaśniono, że próg skonsolidowanych przychodów opiera się na tym, który jest używany w zakresie raportowania CbCR. Stąd, podkreśla się, że podobnie jak na gruncie CbCR, próg skonsolidowanych przychodów dla potrzeb GloBE dotyczy</w:t>
      </w:r>
      <w:r w:rsidRPr="00E95678">
        <w:rPr>
          <w:rFonts w:ascii="Times New Roman" w:hAnsi="Times New Roman" w:cs="Times New Roman"/>
          <w:b/>
          <w:bCs/>
          <w:sz w:val="24"/>
          <w:szCs w:val="24"/>
        </w:rPr>
        <w:t xml:space="preserve"> rocznych przychodów </w:t>
      </w:r>
      <w:r w:rsidRPr="00E95678">
        <w:rPr>
          <w:rFonts w:ascii="Times New Roman" w:hAnsi="Times New Roman" w:cs="Times New Roman"/>
          <w:b/>
          <w:bCs/>
          <w:sz w:val="24"/>
          <w:szCs w:val="24"/>
        </w:rPr>
        <w:br/>
        <w:t>z rachunku zysku i strat skonsolidowanego sprawozdania finansowego</w:t>
      </w:r>
      <w:r w:rsidRPr="00E95678">
        <w:rPr>
          <w:rFonts w:ascii="Times New Roman" w:hAnsi="Times New Roman" w:cs="Times New Roman"/>
          <w:sz w:val="24"/>
          <w:szCs w:val="24"/>
        </w:rPr>
        <w:t xml:space="preserve"> grupy. </w:t>
      </w:r>
    </w:p>
    <w:p w14:paraId="6C9C5918" w14:textId="7777777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sz w:val="24"/>
          <w:szCs w:val="24"/>
        </w:rPr>
        <w:t>Oznacza to, że definicja przychodów wynika z danego</w:t>
      </w:r>
      <w:r w:rsidRPr="00E95678">
        <w:rPr>
          <w:rFonts w:ascii="Times New Roman" w:hAnsi="Times New Roman" w:cs="Times New Roman"/>
          <w:b/>
          <w:bCs/>
          <w:sz w:val="24"/>
          <w:szCs w:val="24"/>
        </w:rPr>
        <w:t xml:space="preserve"> standardu rachunkowości stosowanego przez jednostkę dominującą najwyższego szczebla w skonsolidowanym sprawozdaniu finansowym tej grupy </w:t>
      </w:r>
      <w:r w:rsidRPr="00E95678">
        <w:rPr>
          <w:rFonts w:ascii="Times New Roman" w:hAnsi="Times New Roman" w:cs="Times New Roman"/>
          <w:sz w:val="24"/>
          <w:szCs w:val="24"/>
        </w:rPr>
        <w:t xml:space="preserve">(np. jeżeli skonsolidowane sprawozdanie sporządzono w oparciu o MSR, pojęcie przychodu należy rozpatrywać na gruncie MSR). Istotną różnicą względem CbCR jest jednak to, iż próg skonsolidowanych przychodów dla potrzeb GloBE opiera się na przychodach grupy międzynarodowej lub grupy krajowej w dwóch z czterech ostatnich lat. </w:t>
      </w:r>
    </w:p>
    <w:p w14:paraId="4512F0EB" w14:textId="7777777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sz w:val="24"/>
          <w:szCs w:val="24"/>
        </w:rPr>
        <w:t>Zatem, kwoty przychodów należy ustalać zgodnie z odpowiednimi standardami rachunkowości, które mogą dopuszczać w szczególności uwzględnianie rabatów, bonifikat, zwrotów i obniżek, ale w każdym przypadku właściwe jest prezentowanie przychodu przed odliczeniem kosztów sprzedaży i innych kosztów operacyjnych. Ponadto, jeśli różne rodzaje przychodów są oddzielnie prezentowane w skonsolidowanym rachunku zysków i strat sprawozdań finansowych, muszą być zsumowane na potrzeby ustalenia progu skonsolidowanych przychodów.</w:t>
      </w:r>
    </w:p>
    <w:p w14:paraId="02B14350" w14:textId="7777777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sz w:val="24"/>
          <w:szCs w:val="24"/>
        </w:rPr>
        <w:t xml:space="preserve">W świetle Wytycznych z grudnia 2023 r. przychód, o którym mowa wyżej, obejmuje również zyski netto z inwestycji (zarówno zrealizowane, jak i niezrealizowane) odzwierciedlone w rachunku zysków i strat skonsolidowanego sprawozdania finansowego oraz dochody lub zyski oddzielnie przedstawione jako pozycje nadzwyczajne lub jednorazowe. Jeżeli skonsolidowany rachunek zysków i strat grupy przedstawia oddzielnie zyski brutto z inwestycji i straty brutto z inwestycji, grupa ta pomniejsza przychody o kwotę takich strat brutto w zakresie zysków brutto z inwestycji przy określaniu przychodów do celów </w:t>
      </w:r>
      <w:r w:rsidRPr="00E95678">
        <w:rPr>
          <w:rFonts w:ascii="Times New Roman" w:hAnsi="Times New Roman" w:cs="Times New Roman"/>
          <w:b/>
          <w:bCs/>
          <w:sz w:val="24"/>
          <w:szCs w:val="24"/>
        </w:rPr>
        <w:t>art. 4 ust. 1 i ust. 2</w:t>
      </w:r>
      <w:r w:rsidRPr="00E95678">
        <w:rPr>
          <w:rFonts w:ascii="Times New Roman" w:hAnsi="Times New Roman" w:cs="Times New Roman"/>
          <w:sz w:val="24"/>
          <w:szCs w:val="24"/>
        </w:rPr>
        <w:t xml:space="preserve">. Gwarantuje to, że grupa nie znajdzie się w niekorzystnej sytuacji przy badaniu progu określonego w </w:t>
      </w:r>
      <w:r w:rsidRPr="00E95678">
        <w:rPr>
          <w:rFonts w:ascii="Times New Roman" w:hAnsi="Times New Roman" w:cs="Times New Roman"/>
          <w:b/>
          <w:bCs/>
          <w:sz w:val="24"/>
          <w:szCs w:val="24"/>
        </w:rPr>
        <w:t>ust. 1</w:t>
      </w:r>
      <w:r w:rsidRPr="00E95678">
        <w:rPr>
          <w:rFonts w:ascii="Times New Roman" w:hAnsi="Times New Roman" w:cs="Times New Roman"/>
          <w:sz w:val="24"/>
          <w:szCs w:val="24"/>
        </w:rPr>
        <w:t xml:space="preserve"> ze względu na standard rachunkowości, który wymaga, aby zyski i straty były prezentowane oddzielnie w rachunku zysków i strat [Wytyczne z grudnia 2023 r., pkt 3.1.3; par. 3, w zakresie dot. par. 10.4 Komentarza]. </w:t>
      </w:r>
    </w:p>
    <w:p w14:paraId="657002AA" w14:textId="7777777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sz w:val="24"/>
          <w:szCs w:val="24"/>
        </w:rPr>
        <w:t>W przypadku transakcji prezentowanych wynikowo przez podmioty finansowe, podmioty te powinny użyć pozycji traktowanych jako podobne do przychodów zgodnie ze standardami rachunkowości jednostki dominującej najwyższego szczebla. Na przykład, jeśli dochody lub zyski z transakcji finansowej, takiej jak swap na stopy procentowe (transakcja IRS), są właściwie raportowane na zasadzie netto zgodnie ze standardami sprawozdawczości jednostki dominującej najwyższego szczebla, termin „przychody” oznacza kwotę netto z transakcji.</w:t>
      </w:r>
    </w:p>
    <w:p w14:paraId="15233337"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Konsekwencją odesłania do rocznych przychodów grupy wykazanych w jej skonsolidowanym sprawozdaniu finansowym jest również to, iż podstawą do ustalenia wysokości tego przychodu nie jest suma przychodów każdej jednostki składowej wykazana w sprawozdaniu finansowym takiej jednostki, lecz przychody wszystkich jednostek składowych grupy ustalane na potrzeby sporządzenia skonsolidowanego sprawozdania finansowego. Tym samym na wysokość wskazanego progu skonsolidowanych przychodów nie będą rzutować m.in. transakcje wewnątrzgrupowe. Przychody danej jednostki składowej wynikające z transakcji z innymi jednostkami z grupy są bowiem eliminowane w procesie konsolidacji. [Komentarz, 1.1.1;11]</w:t>
      </w:r>
    </w:p>
    <w:p w14:paraId="02708E57"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lastRenderedPageBreak/>
        <w:t xml:space="preserve">Ponadto należy zaznaczyć, że w przypadku gdy przychód jednostki składowej jest konsolidowany z przychodem pozostałych jednostek z grupy (w szczególności jednostka podlega konsolidacji pełnej), wówczas na potrzeby ustalenia spełnienia warunku, o którym mowa w </w:t>
      </w:r>
      <w:r w:rsidRPr="00E95678">
        <w:rPr>
          <w:rFonts w:ascii="Times New Roman" w:hAnsi="Times New Roman" w:cs="Times New Roman"/>
          <w:b/>
          <w:sz w:val="24"/>
          <w:szCs w:val="24"/>
          <w:lang w:eastAsia="pl-PL"/>
        </w:rPr>
        <w:t>ust. 1</w:t>
      </w:r>
      <w:r w:rsidRPr="00E95678">
        <w:rPr>
          <w:rFonts w:ascii="Times New Roman" w:hAnsi="Times New Roman" w:cs="Times New Roman"/>
          <w:bCs/>
          <w:sz w:val="24"/>
          <w:szCs w:val="24"/>
          <w:lang w:eastAsia="pl-PL"/>
        </w:rPr>
        <w:t xml:space="preserve">, bierze się pod uwagę całkowitą kwotę przychodów tej jednostki, odzwierciedloną w skonsolidowanym sprawozdaniu finansowym grupy, nawet jeżeli część udziałów w takiej jednostce jest własnością (bezpośrednio lub pośrednio) udziałowców mniejszościowych. Oznacza to, że przychody brane pod uwagę w ramach badania warunku minimalnego przychodu grupowego powinny odpowiadać przychodom odzwierciedlonym w skonsolidowanym sprawozdaniu finansowym grupy i nie powinny być pomniejszane o kwotę przypadającą na udziałowców mniejszościowych. [Komentarz, 1.1.1;11] </w:t>
      </w:r>
    </w:p>
    <w:p w14:paraId="33114C6A"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Co istotne, zgodnie z </w:t>
      </w:r>
      <w:r w:rsidRPr="00E95678">
        <w:rPr>
          <w:rFonts w:ascii="Times New Roman" w:hAnsi="Times New Roman" w:cs="Times New Roman"/>
          <w:b/>
          <w:sz w:val="24"/>
          <w:szCs w:val="24"/>
          <w:lang w:eastAsia="pl-PL"/>
        </w:rPr>
        <w:t>art. 4 ust. 3 pkt 1</w:t>
      </w:r>
      <w:r w:rsidRPr="00E95678">
        <w:rPr>
          <w:rFonts w:ascii="Times New Roman" w:hAnsi="Times New Roman" w:cs="Times New Roman"/>
          <w:bCs/>
          <w:sz w:val="24"/>
          <w:szCs w:val="24"/>
          <w:lang w:eastAsia="pl-PL"/>
        </w:rPr>
        <w:t xml:space="preserve">, przy ustalaniu, czy doszło do przekroczenia minimalnego przychodu grupowego uwzględnia się </w:t>
      </w:r>
      <w:r w:rsidRPr="00E95678">
        <w:rPr>
          <w:rFonts w:ascii="Times New Roman" w:hAnsi="Times New Roman" w:cs="Times New Roman"/>
          <w:b/>
          <w:sz w:val="24"/>
          <w:szCs w:val="24"/>
          <w:lang w:eastAsia="pl-PL"/>
        </w:rPr>
        <w:t>również przychody osiągnięte przez jednostki wyłączone</w:t>
      </w:r>
      <w:r w:rsidRPr="00E95678">
        <w:rPr>
          <w:rFonts w:ascii="Times New Roman" w:hAnsi="Times New Roman" w:cs="Times New Roman"/>
          <w:bCs/>
          <w:sz w:val="24"/>
          <w:szCs w:val="24"/>
          <w:lang w:eastAsia="pl-PL"/>
        </w:rPr>
        <w:t xml:space="preserve"> z zakresu ustawy. Katalog takich jednostek wyłączonych wraz z ich definicją zawarto w art. 5 ustawy.</w:t>
      </w:r>
    </w:p>
    <w:p w14:paraId="39AD49D0" w14:textId="0022C43E" w:rsidR="00DB7D51" w:rsidRPr="00E95678" w:rsidRDefault="004918AC" w:rsidP="00DB7D51">
      <w:pPr>
        <w:pStyle w:val="PKTpunkt"/>
        <w:spacing w:line="240" w:lineRule="auto"/>
        <w:ind w:left="0" w:firstLine="0"/>
        <w:rPr>
          <w:rFonts w:ascii="Times New Roman" w:hAnsi="Times New Roman" w:cs="Times New Roman"/>
          <w:szCs w:val="24"/>
        </w:rPr>
      </w:pPr>
      <w:r w:rsidRPr="00E95678">
        <w:rPr>
          <w:rFonts w:ascii="Times New Roman" w:hAnsi="Times New Roman" w:cs="Times New Roman"/>
          <w:szCs w:val="24"/>
        </w:rPr>
        <w:t xml:space="preserve">Zgodnie z </w:t>
      </w:r>
      <w:r w:rsidRPr="00E95678">
        <w:rPr>
          <w:rFonts w:ascii="Times New Roman" w:hAnsi="Times New Roman" w:cs="Times New Roman"/>
          <w:b/>
          <w:bCs w:val="0"/>
          <w:szCs w:val="24"/>
        </w:rPr>
        <w:t>art. 4 ust. 3 pkt 2</w:t>
      </w:r>
      <w:r w:rsidRPr="00E95678">
        <w:rPr>
          <w:rFonts w:ascii="Times New Roman" w:hAnsi="Times New Roman" w:cs="Times New Roman"/>
          <w:szCs w:val="24"/>
        </w:rPr>
        <w:t xml:space="preserve"> u</w:t>
      </w:r>
      <w:r w:rsidR="00DB7D51" w:rsidRPr="00E95678">
        <w:rPr>
          <w:rFonts w:ascii="Times New Roman" w:hAnsi="Times New Roman" w:cs="Times New Roman"/>
          <w:szCs w:val="24"/>
        </w:rPr>
        <w:t xml:space="preserve">stalając, czy doszło do przekroczenia minimalnego przychodu grupowego należy również uwzględnić </w:t>
      </w:r>
      <w:r w:rsidR="00DB7D51" w:rsidRPr="00E95678">
        <w:rPr>
          <w:rFonts w:ascii="Times New Roman" w:hAnsi="Times New Roman" w:cs="Times New Roman"/>
          <w:b/>
          <w:bCs w:val="0"/>
          <w:szCs w:val="24"/>
        </w:rPr>
        <w:t>korekty dokonane w celu uniknięcia istotnej różnicy rachunkowej</w:t>
      </w:r>
      <w:r w:rsidR="00DB7D51" w:rsidRPr="00E95678">
        <w:rPr>
          <w:rFonts w:ascii="Times New Roman" w:hAnsi="Times New Roman" w:cs="Times New Roman"/>
          <w:szCs w:val="24"/>
        </w:rPr>
        <w:t xml:space="preserve">, jeżeli  skonsolidowane sprawozdanie finansowe nie zostało sporządzone zgodnie z akceptowalnym standardem rachunkowości. Ponadto, </w:t>
      </w:r>
      <w:r w:rsidRPr="00E95678">
        <w:rPr>
          <w:rFonts w:ascii="Times New Roman" w:hAnsi="Times New Roman" w:cs="Times New Roman"/>
          <w:szCs w:val="24"/>
        </w:rPr>
        <w:t xml:space="preserve">zgodnie z </w:t>
      </w:r>
      <w:r w:rsidRPr="00E95678">
        <w:rPr>
          <w:rFonts w:ascii="Times New Roman" w:hAnsi="Times New Roman" w:cs="Times New Roman"/>
          <w:b/>
          <w:bCs w:val="0"/>
          <w:szCs w:val="24"/>
        </w:rPr>
        <w:t>art. 4 ust. 3 pkt 3</w:t>
      </w:r>
      <w:r w:rsidRPr="00E95678">
        <w:rPr>
          <w:rFonts w:ascii="Times New Roman" w:hAnsi="Times New Roman" w:cs="Times New Roman"/>
          <w:szCs w:val="24"/>
        </w:rPr>
        <w:t xml:space="preserve">, </w:t>
      </w:r>
      <w:r w:rsidR="00DB7D51" w:rsidRPr="00E95678">
        <w:rPr>
          <w:rFonts w:ascii="Times New Roman" w:hAnsi="Times New Roman" w:cs="Times New Roman"/>
          <w:szCs w:val="24"/>
        </w:rPr>
        <w:t>jeżeli w ogóle nie zostało sporządzone sprawozdanie finansowe grupy, o którym mowa w art. 2 ust. 1 pkt 3</w:t>
      </w:r>
      <w:r w:rsidR="001E2C9C" w:rsidRPr="00E95678">
        <w:rPr>
          <w:rFonts w:ascii="Times New Roman" w:hAnsi="Times New Roman" w:cs="Times New Roman"/>
          <w:szCs w:val="24"/>
        </w:rPr>
        <w:t>8</w:t>
      </w:r>
      <w:r w:rsidR="00DB7D51" w:rsidRPr="00E95678">
        <w:rPr>
          <w:rFonts w:ascii="Times New Roman" w:hAnsi="Times New Roman" w:cs="Times New Roman"/>
          <w:szCs w:val="24"/>
        </w:rPr>
        <w:t xml:space="preserve"> lit. a-c,  roczny skonsolidowany przychód należy ustalić na podstawie </w:t>
      </w:r>
      <w:r w:rsidR="00DB7D51" w:rsidRPr="00E95678">
        <w:rPr>
          <w:rFonts w:ascii="Times New Roman" w:hAnsi="Times New Roman" w:cs="Times New Roman"/>
          <w:b/>
          <w:bCs w:val="0"/>
          <w:szCs w:val="24"/>
        </w:rPr>
        <w:t>hipotetycznego skonsolidowanego sprawozdania</w:t>
      </w:r>
      <w:r w:rsidR="00DB7D51" w:rsidRPr="00E95678">
        <w:rPr>
          <w:rFonts w:ascii="Times New Roman" w:hAnsi="Times New Roman" w:cs="Times New Roman"/>
          <w:szCs w:val="24"/>
        </w:rPr>
        <w:t xml:space="preserve"> (por. definicja skonsolidowanego sprawozdania finansowego). Tym samym, w przypadku niesporządzenia skonsolidowanego sprawozdania grupy zgodnie z akceptowalnym standardem rachunkowości, skonsolidowany przychód grupowy należy najpierw odpowiednio skorygować zgodnie z przepisami w zakresie istotnej różnicy rachunkowej </w:t>
      </w:r>
      <w:r w:rsidRPr="00E95678">
        <w:rPr>
          <w:rFonts w:ascii="Times New Roman" w:hAnsi="Times New Roman" w:cs="Times New Roman"/>
          <w:szCs w:val="24"/>
        </w:rPr>
        <w:t>albo</w:t>
      </w:r>
      <w:r w:rsidR="00DB7D51" w:rsidRPr="00E95678">
        <w:rPr>
          <w:rFonts w:ascii="Times New Roman" w:hAnsi="Times New Roman" w:cs="Times New Roman"/>
          <w:szCs w:val="24"/>
        </w:rPr>
        <w:t xml:space="preserve"> ustalić na zasadach właściwych dla hipotetycznego sprawozdania finansowego.</w:t>
      </w:r>
      <w:r w:rsidRPr="00E95678">
        <w:rPr>
          <w:rFonts w:ascii="Times New Roman" w:hAnsi="Times New Roman" w:cs="Times New Roman"/>
          <w:szCs w:val="24"/>
        </w:rPr>
        <w:t xml:space="preserve"> Wskazane przepisy  (pkt 2 i 3) doprecyzowują jedynie ogólną zasadę wynikającą z art. 4 ust. 2 i ustawowych definicji. Mianowicie, badanie minimalnego przychodu grupowego dotyczy przychodu wykazanego w skonsolidowanym sprawozdaniu grupy</w:t>
      </w:r>
      <w:r w:rsidR="00D85606" w:rsidRPr="00E95678">
        <w:rPr>
          <w:rFonts w:ascii="Times New Roman" w:hAnsi="Times New Roman" w:cs="Times New Roman"/>
          <w:szCs w:val="24"/>
        </w:rPr>
        <w:t>.</w:t>
      </w:r>
      <w:r w:rsidRPr="00E95678">
        <w:rPr>
          <w:rFonts w:ascii="Times New Roman" w:hAnsi="Times New Roman" w:cs="Times New Roman"/>
          <w:szCs w:val="24"/>
        </w:rPr>
        <w:t xml:space="preserve"> </w:t>
      </w:r>
      <w:r w:rsidR="00D85606" w:rsidRPr="00E95678">
        <w:rPr>
          <w:rFonts w:ascii="Times New Roman" w:hAnsi="Times New Roman" w:cs="Times New Roman"/>
          <w:szCs w:val="24"/>
        </w:rPr>
        <w:t>J</w:t>
      </w:r>
      <w:r w:rsidRPr="00E95678">
        <w:rPr>
          <w:rFonts w:ascii="Times New Roman" w:hAnsi="Times New Roman" w:cs="Times New Roman"/>
          <w:szCs w:val="24"/>
        </w:rPr>
        <w:t>est to pojęcie, które odwołuje się do skonsolidowanego sprawozdania finansowego sporządzonego przez jednostkę dominującą najwyższego szczebla</w:t>
      </w:r>
      <w:r w:rsidR="00D85606" w:rsidRPr="00E95678">
        <w:rPr>
          <w:rFonts w:ascii="Times New Roman" w:hAnsi="Times New Roman" w:cs="Times New Roman"/>
          <w:szCs w:val="24"/>
        </w:rPr>
        <w:t xml:space="preserve"> (w tym zakresie art. 1.1.1 </w:t>
      </w:r>
      <w:r w:rsidR="00595132" w:rsidRPr="00E95678">
        <w:rPr>
          <w:rFonts w:ascii="Times New Roman" w:hAnsi="Times New Roman" w:cs="Times New Roman"/>
          <w:szCs w:val="24"/>
        </w:rPr>
        <w:t>Modelowych zasad</w:t>
      </w:r>
      <w:r w:rsidR="00D85606" w:rsidRPr="00E95678">
        <w:rPr>
          <w:rFonts w:ascii="Times New Roman" w:hAnsi="Times New Roman" w:cs="Times New Roman"/>
          <w:szCs w:val="24"/>
        </w:rPr>
        <w:t xml:space="preserve"> OECD powołuje to określenie jako zdefiniowane – Consolidated Financial Statements, i w tym kontekście należy również odczytywać je w Dyrektywie i projekcie ustawy</w:t>
      </w:r>
      <w:r w:rsidRPr="00E95678">
        <w:rPr>
          <w:rFonts w:ascii="Times New Roman" w:hAnsi="Times New Roman" w:cs="Times New Roman"/>
          <w:szCs w:val="24"/>
        </w:rPr>
        <w:t xml:space="preserve">). </w:t>
      </w:r>
      <w:r w:rsidR="00D85606" w:rsidRPr="00E95678">
        <w:rPr>
          <w:rFonts w:ascii="Times New Roman" w:hAnsi="Times New Roman" w:cs="Times New Roman"/>
          <w:szCs w:val="24"/>
        </w:rPr>
        <w:t xml:space="preserve">Co kluczowe, definicja </w:t>
      </w:r>
      <w:r w:rsidRPr="00E95678">
        <w:rPr>
          <w:rFonts w:ascii="Times New Roman" w:hAnsi="Times New Roman" w:cs="Times New Roman"/>
          <w:szCs w:val="24"/>
        </w:rPr>
        <w:t>skonsolidowane</w:t>
      </w:r>
      <w:r w:rsidR="00D85606" w:rsidRPr="00E95678">
        <w:rPr>
          <w:rFonts w:ascii="Times New Roman" w:hAnsi="Times New Roman" w:cs="Times New Roman"/>
          <w:szCs w:val="24"/>
        </w:rPr>
        <w:t>go</w:t>
      </w:r>
      <w:r w:rsidRPr="00E95678">
        <w:rPr>
          <w:rFonts w:ascii="Times New Roman" w:hAnsi="Times New Roman" w:cs="Times New Roman"/>
          <w:szCs w:val="24"/>
        </w:rPr>
        <w:t xml:space="preserve"> sprawozdani</w:t>
      </w:r>
      <w:r w:rsidR="00D85606" w:rsidRPr="00E95678">
        <w:rPr>
          <w:rFonts w:ascii="Times New Roman" w:hAnsi="Times New Roman" w:cs="Times New Roman"/>
          <w:szCs w:val="24"/>
        </w:rPr>
        <w:t>a</w:t>
      </w:r>
      <w:r w:rsidRPr="00E95678">
        <w:rPr>
          <w:rFonts w:ascii="Times New Roman" w:hAnsi="Times New Roman" w:cs="Times New Roman"/>
          <w:szCs w:val="24"/>
        </w:rPr>
        <w:t xml:space="preserve"> finansowe</w:t>
      </w:r>
      <w:r w:rsidR="00D85606" w:rsidRPr="00E95678">
        <w:rPr>
          <w:rFonts w:ascii="Times New Roman" w:hAnsi="Times New Roman" w:cs="Times New Roman"/>
          <w:szCs w:val="24"/>
        </w:rPr>
        <w:t>go</w:t>
      </w:r>
      <w:r w:rsidRPr="00E95678">
        <w:rPr>
          <w:rFonts w:ascii="Times New Roman" w:hAnsi="Times New Roman" w:cs="Times New Roman"/>
          <w:szCs w:val="24"/>
        </w:rPr>
        <w:t xml:space="preserve"> obejmuje nie tylko </w:t>
      </w:r>
      <w:r w:rsidR="00D85606" w:rsidRPr="00E95678">
        <w:rPr>
          <w:rFonts w:ascii="Times New Roman" w:hAnsi="Times New Roman" w:cs="Times New Roman"/>
          <w:szCs w:val="24"/>
        </w:rPr>
        <w:t>skonsolidowane</w:t>
      </w:r>
      <w:r w:rsidRPr="00E95678">
        <w:rPr>
          <w:rFonts w:ascii="Times New Roman" w:hAnsi="Times New Roman" w:cs="Times New Roman"/>
          <w:szCs w:val="24"/>
        </w:rPr>
        <w:t xml:space="preserve"> sprawozdanie sporządzone zgodnie z akceptowalnym standardem rachunkowości, ale też jako oddzielne podkategorie – skonsolidowane sprawozdanie sporządzone zgodnie z zatwierdzonym standardem rachunkowości (wymaga ono wtedy korekt o istotne różnice rachunkowe) oraz hipotetyczne sprawozdanie finansowe.</w:t>
      </w:r>
      <w:r w:rsidR="00D85606" w:rsidRPr="00E95678">
        <w:rPr>
          <w:rFonts w:ascii="Times New Roman" w:hAnsi="Times New Roman" w:cs="Times New Roman"/>
          <w:szCs w:val="24"/>
        </w:rPr>
        <w:t xml:space="preserve"> Z uwagi na wagę omawianych kwestii dla objęcia danej grupy zakresem Zasad GloBE, zdecydowano się na wyrażenie wprost omawianych reguł w pkt 2 i pkt 3.</w:t>
      </w:r>
    </w:p>
    <w:p w14:paraId="47F59019" w14:textId="77777777" w:rsidR="00DB7D51" w:rsidRPr="00E95678" w:rsidRDefault="00DB7D51" w:rsidP="00DB7D51">
      <w:pPr>
        <w:spacing w:before="120" w:after="120"/>
        <w:jc w:val="both"/>
        <w:rPr>
          <w:rFonts w:ascii="Times New Roman" w:hAnsi="Times New Roman" w:cs="Times New Roman"/>
          <w:bCs/>
          <w:i/>
          <w:iCs/>
          <w:sz w:val="24"/>
          <w:szCs w:val="24"/>
          <w:lang w:eastAsia="pl-PL"/>
        </w:rPr>
      </w:pPr>
      <w:r w:rsidRPr="00E95678">
        <w:rPr>
          <w:rFonts w:ascii="Times New Roman" w:hAnsi="Times New Roman" w:cs="Times New Roman"/>
          <w:bCs/>
          <w:i/>
          <w:iCs/>
          <w:sz w:val="24"/>
          <w:szCs w:val="24"/>
          <w:lang w:eastAsia="pl-PL"/>
        </w:rPr>
        <w:t>Szczególne zasady określania minimalnego przychodu grupowego</w:t>
      </w:r>
    </w:p>
    <w:p w14:paraId="32A5D943" w14:textId="77777777" w:rsidR="00DB7D51" w:rsidRPr="00E95678" w:rsidRDefault="00DB7D51" w:rsidP="00DB7D51">
      <w:pPr>
        <w:spacing w:before="120"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Ust. </w:t>
      </w:r>
      <w:r w:rsidRPr="00E95678">
        <w:rPr>
          <w:rFonts w:ascii="Times New Roman" w:hAnsi="Times New Roman" w:cs="Times New Roman"/>
          <w:b/>
          <w:sz w:val="24"/>
          <w:szCs w:val="24"/>
          <w:lang w:eastAsia="pl-PL"/>
        </w:rPr>
        <w:t>4 i 5</w:t>
      </w:r>
      <w:r w:rsidRPr="00E95678">
        <w:rPr>
          <w:rFonts w:ascii="Times New Roman" w:hAnsi="Times New Roman" w:cs="Times New Roman"/>
          <w:bCs/>
          <w:sz w:val="24"/>
          <w:szCs w:val="24"/>
          <w:lang w:eastAsia="pl-PL"/>
        </w:rPr>
        <w:t xml:space="preserve"> regulują kwestie krótszego istnienia grupy oraz roku podatkowego odmiennego niż 12 miesięcy.</w:t>
      </w:r>
    </w:p>
    <w:p w14:paraId="1F8CB270" w14:textId="77777777" w:rsidR="00DB7D51" w:rsidRPr="00E95678" w:rsidRDefault="00DB7D51" w:rsidP="00DB7D51">
      <w:pPr>
        <w:spacing w:before="120" w:after="120"/>
        <w:jc w:val="both"/>
        <w:rPr>
          <w:rFonts w:ascii="Times New Roman" w:hAnsi="Times New Roman" w:cs="Times New Roman"/>
          <w:bCs/>
          <w:sz w:val="24"/>
          <w:szCs w:val="24"/>
          <w:lang w:eastAsia="pl-PL"/>
        </w:rPr>
      </w:pPr>
      <w:r w:rsidRPr="00E95678">
        <w:rPr>
          <w:rFonts w:ascii="Times New Roman" w:hAnsi="Times New Roman" w:cs="Times New Roman"/>
          <w:bCs/>
          <w:sz w:val="24"/>
          <w:szCs w:val="24"/>
          <w:lang w:eastAsia="pl-PL"/>
        </w:rPr>
        <w:t xml:space="preserve">Fakt, iż dana grupa istnieje krócej niż 4 lata podatkowe nie eliminuje możliwości objęcia jej zakresem ustawy. W takich sytuacjach wystarczające jest przekroczenie przez daną grupę progu skonsolidowanych przychodów w dwóch latach podatkowych dotychczasowego okresu funkcjonowania grupy. Tym samym to trzeci rok podatkowy może być pierwszym rokiem, do </w:t>
      </w:r>
      <w:r w:rsidRPr="00E95678">
        <w:rPr>
          <w:rFonts w:ascii="Times New Roman" w:hAnsi="Times New Roman" w:cs="Times New Roman"/>
          <w:bCs/>
          <w:sz w:val="24"/>
          <w:szCs w:val="24"/>
          <w:lang w:eastAsia="pl-PL"/>
        </w:rPr>
        <w:lastRenderedPageBreak/>
        <w:t xml:space="preserve">którego potencjalnie zastosowanie znajdą Zasady GloBE. Stosowana norma w tym zakresie została przewidziana w </w:t>
      </w:r>
      <w:r w:rsidRPr="00E95678">
        <w:rPr>
          <w:rFonts w:ascii="Times New Roman" w:hAnsi="Times New Roman" w:cs="Times New Roman"/>
          <w:b/>
          <w:sz w:val="24"/>
          <w:szCs w:val="24"/>
          <w:lang w:eastAsia="pl-PL"/>
        </w:rPr>
        <w:t>art. 4</w:t>
      </w:r>
      <w:r w:rsidRPr="00E95678">
        <w:rPr>
          <w:rFonts w:ascii="Times New Roman" w:hAnsi="Times New Roman" w:cs="Times New Roman"/>
          <w:bCs/>
          <w:sz w:val="24"/>
          <w:szCs w:val="24"/>
          <w:lang w:eastAsia="pl-PL"/>
        </w:rPr>
        <w:t xml:space="preserve"> </w:t>
      </w:r>
      <w:r w:rsidRPr="00E95678">
        <w:rPr>
          <w:rFonts w:ascii="Times New Roman" w:hAnsi="Times New Roman" w:cs="Times New Roman"/>
          <w:b/>
          <w:bCs/>
          <w:sz w:val="24"/>
          <w:szCs w:val="24"/>
          <w:lang w:eastAsia="pl-PL"/>
        </w:rPr>
        <w:t>ust. 4</w:t>
      </w:r>
      <w:r w:rsidRPr="00E95678">
        <w:rPr>
          <w:rFonts w:ascii="Times New Roman" w:hAnsi="Times New Roman" w:cs="Times New Roman"/>
          <w:bCs/>
          <w:sz w:val="24"/>
          <w:szCs w:val="24"/>
          <w:lang w:eastAsia="pl-PL"/>
        </w:rPr>
        <w:t xml:space="preserve">. </w:t>
      </w:r>
    </w:p>
    <w:p w14:paraId="73A63705" w14:textId="77777777" w:rsidR="00DB7D51" w:rsidRPr="00E95678" w:rsidRDefault="00DB7D51" w:rsidP="00DB7D51">
      <w:pPr>
        <w:spacing w:after="120"/>
        <w:jc w:val="both"/>
        <w:rPr>
          <w:rFonts w:ascii="Times New Roman" w:hAnsi="Times New Roman" w:cs="Times New Roman"/>
          <w:bCs/>
          <w:sz w:val="24"/>
          <w:szCs w:val="24"/>
          <w:lang w:eastAsia="pl-PL"/>
        </w:rPr>
      </w:pPr>
      <w:r w:rsidRPr="00E95678">
        <w:rPr>
          <w:rFonts w:ascii="Times New Roman" w:hAnsi="Times New Roman" w:cs="Times New Roman"/>
          <w:b/>
          <w:bCs/>
          <w:sz w:val="24"/>
          <w:szCs w:val="24"/>
          <w:lang w:eastAsia="pl-PL"/>
        </w:rPr>
        <w:t>Art. 4 ust. 5</w:t>
      </w:r>
      <w:r w:rsidRPr="00E95678">
        <w:rPr>
          <w:rFonts w:ascii="Times New Roman" w:hAnsi="Times New Roman" w:cs="Times New Roman"/>
          <w:bCs/>
          <w:sz w:val="24"/>
          <w:szCs w:val="24"/>
          <w:lang w:eastAsia="pl-PL"/>
        </w:rPr>
        <w:t xml:space="preserve"> reguluje z kolej sytuację, w której jakikolwiek rok z analizowanych przeszłych lat podatkowych (niezależnie od tego czy chodzi o „podstawowy” 4-letni okres, czy też „minimalny” 2-letni okres) obejmuje okres inny niż 12 miesięcy. Z uwagi na potrzebę zapewnienia porównywalności i </w:t>
      </w:r>
      <w:r w:rsidRPr="00E95678">
        <w:rPr>
          <w:rFonts w:ascii="Times New Roman" w:hAnsi="Times New Roman" w:cs="Times New Roman"/>
          <w:sz w:val="24"/>
          <w:szCs w:val="24"/>
        </w:rPr>
        <w:t>adekwatności</w:t>
      </w:r>
      <w:r w:rsidRPr="00E95678">
        <w:rPr>
          <w:rFonts w:ascii="Times New Roman" w:hAnsi="Times New Roman" w:cs="Times New Roman"/>
          <w:bCs/>
          <w:sz w:val="24"/>
          <w:szCs w:val="24"/>
          <w:lang w:eastAsia="pl-PL"/>
        </w:rPr>
        <w:t xml:space="preserve"> przychodu, osiągniętego w takim specyficznym roku podatkowym, z progiem skonsolidowanych przychodów (minimalnym przychodem grupowym) wynikającym z </w:t>
      </w:r>
      <w:r w:rsidRPr="00E95678">
        <w:rPr>
          <w:rFonts w:ascii="Times New Roman" w:hAnsi="Times New Roman" w:cs="Times New Roman"/>
          <w:b/>
          <w:sz w:val="24"/>
          <w:szCs w:val="24"/>
          <w:lang w:eastAsia="pl-PL"/>
        </w:rPr>
        <w:t>art. 4</w:t>
      </w:r>
      <w:r w:rsidRPr="00E95678">
        <w:rPr>
          <w:rFonts w:ascii="Times New Roman" w:hAnsi="Times New Roman" w:cs="Times New Roman"/>
          <w:bCs/>
          <w:sz w:val="24"/>
          <w:szCs w:val="24"/>
          <w:lang w:eastAsia="pl-PL"/>
        </w:rPr>
        <w:t xml:space="preserve"> </w:t>
      </w:r>
      <w:r w:rsidRPr="00E95678">
        <w:rPr>
          <w:rFonts w:ascii="Times New Roman" w:hAnsi="Times New Roman" w:cs="Times New Roman"/>
          <w:b/>
          <w:sz w:val="24"/>
          <w:szCs w:val="24"/>
          <w:lang w:eastAsia="pl-PL"/>
        </w:rPr>
        <w:t>ust. 1</w:t>
      </w:r>
      <w:r w:rsidRPr="00E95678">
        <w:rPr>
          <w:rFonts w:ascii="Times New Roman" w:hAnsi="Times New Roman" w:cs="Times New Roman"/>
          <w:bCs/>
          <w:sz w:val="24"/>
          <w:szCs w:val="24"/>
          <w:lang w:eastAsia="pl-PL"/>
        </w:rPr>
        <w:t>, wysokość tego progu musi zostać w sposób proporcjonalny dostosowana do długości tego specyficznego roku podatkowego. Zgodnie z ust. 5 dostosowanie takie polegać ma na odpowiednim obniżeniu lub podwyższeniu progu minimalnych skonsolidowanych przychodów przy zastosowaniu następującego wzoru:</w:t>
      </w:r>
    </w:p>
    <w:p w14:paraId="4A99ADD5" w14:textId="120AD793" w:rsidR="00DB7D51" w:rsidRPr="00E95678" w:rsidRDefault="00DB7D51" w:rsidP="00DB7D51">
      <w:pPr>
        <w:spacing w:before="160"/>
        <w:jc w:val="both"/>
        <w:rPr>
          <w:rFonts w:ascii="Times New Roman" w:hAnsi="Times New Roman" w:cs="Times New Roman"/>
          <w:bCs/>
          <w:i/>
          <w:sz w:val="24"/>
          <w:szCs w:val="24"/>
          <w:lang w:eastAsia="pl-PL"/>
        </w:rPr>
      </w:pPr>
      <w:r w:rsidRPr="00E95678">
        <w:rPr>
          <w:rFonts w:ascii="Times New Roman" w:hAnsi="Times New Roman" w:cs="Times New Roman"/>
          <w:bCs/>
          <w:i/>
          <w:sz w:val="24"/>
          <w:szCs w:val="24"/>
          <w:lang w:eastAsia="pl-PL"/>
        </w:rPr>
        <w:t xml:space="preserve">Minimalny przychód grupowy =  liczba (rozpoczętych) miesięcy roku podatkowego x </w:t>
      </w:r>
      <w:r w:rsidR="003461F4">
        <w:rPr>
          <w:rFonts w:ascii="Times New Roman" w:hAnsi="Times New Roman" w:cs="Times New Roman"/>
          <w:bCs/>
          <w:i/>
          <w:sz w:val="24"/>
          <w:szCs w:val="24"/>
          <w:lang w:eastAsia="pl-PL"/>
        </w:rPr>
        <w:br/>
      </w:r>
      <w:r w:rsidRPr="00E95678">
        <w:rPr>
          <w:rFonts w:ascii="Times New Roman" w:hAnsi="Times New Roman" w:cs="Times New Roman"/>
          <w:bCs/>
          <w:i/>
          <w:sz w:val="24"/>
          <w:szCs w:val="24"/>
          <w:lang w:eastAsia="pl-PL"/>
        </w:rPr>
        <w:t xml:space="preserve">(62 500 000 euro) </w:t>
      </w:r>
    </w:p>
    <w:p w14:paraId="2C684FC2" w14:textId="77777777" w:rsidR="00CA6981" w:rsidRPr="00E95678" w:rsidRDefault="00CA6981" w:rsidP="00DB7D51">
      <w:pPr>
        <w:spacing w:before="160"/>
        <w:jc w:val="both"/>
        <w:rPr>
          <w:rFonts w:ascii="Times New Roman" w:hAnsi="Times New Roman" w:cs="Times New Roman"/>
          <w:bCs/>
          <w:i/>
          <w:sz w:val="24"/>
          <w:szCs w:val="24"/>
          <w:lang w:eastAsia="pl-PL"/>
        </w:rPr>
      </w:pPr>
    </w:p>
    <w:p w14:paraId="04AE9754" w14:textId="31DEAEE9" w:rsidR="00DB7D51" w:rsidRPr="003E7A67" w:rsidRDefault="00DB7D51"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38F027EA" w14:textId="698F19D3" w:rsidR="00DB7D51" w:rsidRPr="003E7A67" w:rsidRDefault="00DB7D51"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Jeden rok z lat podatkowych analizowanych w ramach 4-letniego okresu, o którym mowa w art. 2 ust. 1, rozpoczął się w dniu 10 września 2021 r. i trwał do 31 grudnia 2022 r. W takiej sytuacji należy przyjąć, że rok ten obejmuje okres 16 (rozpoczętych) miesięcy, a zatem minimalny przychód grupowy za ten rok wyniesie 1 mld euro. [16 x (62 500 000 euro)] </w:t>
      </w:r>
    </w:p>
    <w:p w14:paraId="703810E6" w14:textId="77777777" w:rsidR="00DB7D51" w:rsidRPr="00E95678" w:rsidRDefault="00DB7D51" w:rsidP="00E163E3">
      <w:pPr>
        <w:pStyle w:val="USTustnpkodeksu"/>
        <w:spacing w:before="240" w:line="259" w:lineRule="auto"/>
        <w:ind w:firstLine="0"/>
        <w:rPr>
          <w:rFonts w:ascii="Times New Roman" w:hAnsi="Times New Roman" w:cs="Times New Roman"/>
          <w:szCs w:val="24"/>
        </w:rPr>
      </w:pPr>
      <w:r w:rsidRPr="00E95678">
        <w:rPr>
          <w:rFonts w:ascii="Times New Roman" w:hAnsi="Times New Roman" w:cs="Times New Roman"/>
          <w:szCs w:val="24"/>
        </w:rPr>
        <w:t xml:space="preserve">Ponadto, </w:t>
      </w:r>
      <w:r w:rsidRPr="00E95678">
        <w:rPr>
          <w:rFonts w:ascii="Times New Roman" w:hAnsi="Times New Roman" w:cs="Times New Roman"/>
          <w:b/>
          <w:bCs w:val="0"/>
          <w:szCs w:val="24"/>
        </w:rPr>
        <w:t>ust.</w:t>
      </w:r>
      <w:r w:rsidRPr="00E95678">
        <w:rPr>
          <w:rFonts w:ascii="Times New Roman" w:hAnsi="Times New Roman" w:cs="Times New Roman"/>
          <w:szCs w:val="24"/>
        </w:rPr>
        <w:t xml:space="preserve"> </w:t>
      </w:r>
      <w:r w:rsidRPr="00E95678">
        <w:rPr>
          <w:rFonts w:ascii="Times New Roman" w:hAnsi="Times New Roman" w:cs="Times New Roman"/>
          <w:b/>
          <w:bCs w:val="0"/>
          <w:szCs w:val="24"/>
        </w:rPr>
        <w:t>6-9</w:t>
      </w:r>
      <w:r w:rsidRPr="00E95678">
        <w:rPr>
          <w:rFonts w:ascii="Times New Roman" w:hAnsi="Times New Roman" w:cs="Times New Roman"/>
          <w:szCs w:val="24"/>
        </w:rPr>
        <w:t xml:space="preserve"> zawierają dodatkowe reguły w zakresie oceny, czy dana grupa osiągnęła minimalny przychód grupowy w przypadkach, w których dana grupa została połączona lub podzielona w rozumieniu Zasad GloBE. Tym samym, przepisy te regulują jak traktować dla potrzeb progu skonsolidowanych przychodów przypadki, w których np. dana jednostka nie była objęta – przed połączeniem - skonsolidowanym sprawozdaniem finansowym, albo przypadki, w których podzielona grupa istnieje pierwszy rok po podziale i nie może zastosować testu 2 z 4 lat. Ze względu na obszerność tego zagadnienia przepisy te zostały bardziej szczegółowo opisane w części uzasadnienia dotyczącej </w:t>
      </w:r>
      <w:r w:rsidRPr="00E95678">
        <w:rPr>
          <w:rFonts w:ascii="Times New Roman" w:hAnsi="Times New Roman" w:cs="Times New Roman"/>
          <w:b/>
          <w:bCs w:val="0"/>
          <w:szCs w:val="24"/>
        </w:rPr>
        <w:t>działu VIII</w:t>
      </w:r>
      <w:r w:rsidRPr="00E95678">
        <w:rPr>
          <w:rFonts w:ascii="Times New Roman" w:hAnsi="Times New Roman" w:cs="Times New Roman"/>
          <w:szCs w:val="24"/>
        </w:rPr>
        <w:t>.</w:t>
      </w:r>
    </w:p>
    <w:p w14:paraId="31ED400A" w14:textId="77777777" w:rsidR="00DB7D51" w:rsidRPr="00E95678" w:rsidRDefault="00DB7D51" w:rsidP="00DB7D51">
      <w:pPr>
        <w:spacing w:before="160"/>
        <w:jc w:val="both"/>
        <w:rPr>
          <w:rFonts w:ascii="Times New Roman" w:hAnsi="Times New Roman" w:cs="Times New Roman"/>
          <w:i/>
          <w:iCs/>
          <w:sz w:val="24"/>
          <w:szCs w:val="24"/>
        </w:rPr>
      </w:pPr>
      <w:r w:rsidRPr="00E95678">
        <w:rPr>
          <w:rFonts w:ascii="Times New Roman" w:hAnsi="Times New Roman" w:cs="Times New Roman"/>
          <w:i/>
          <w:iCs/>
          <w:sz w:val="24"/>
          <w:szCs w:val="24"/>
        </w:rPr>
        <w:t>Jednostka zobowiązania do oceny , czy dana grupa wchodzi w zakres ustawy</w:t>
      </w:r>
    </w:p>
    <w:p w14:paraId="75BE9C77" w14:textId="7777777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sz w:val="24"/>
          <w:szCs w:val="24"/>
        </w:rPr>
        <w:t xml:space="preserve">Na gruncie globalnego podatku wyrównawczego, podatnikiem jest co do zasady jednostka dominująca najwyższego szczebla (UPE), a w szczególnych sytuacjach inne jednostki dominujące. Zasadniczo, UPE będzie dysponować informacjami o skonsolidowanych rocznych przychodach na bazie sporządzonego przez siebie skonsolidowanego sprawozdania finansowego. Ta jednostka będzie zatem, co do zasady, odpowiedzialna za zbadanie, czy dana grupa wchodzi w zakres Zasad GloBE, tj. spełnia warunki wskazane w </w:t>
      </w:r>
      <w:r w:rsidRPr="00E95678">
        <w:rPr>
          <w:rFonts w:ascii="Times New Roman" w:hAnsi="Times New Roman" w:cs="Times New Roman"/>
          <w:b/>
          <w:bCs/>
          <w:sz w:val="24"/>
          <w:szCs w:val="24"/>
        </w:rPr>
        <w:t>art. 4</w:t>
      </w:r>
      <w:r w:rsidRPr="00E95678">
        <w:rPr>
          <w:rFonts w:ascii="Times New Roman" w:hAnsi="Times New Roman" w:cs="Times New Roman"/>
          <w:sz w:val="24"/>
          <w:szCs w:val="24"/>
        </w:rPr>
        <w:t>. W wybranych przypadkach odpowiedzialna może być również inna jednostka dominująca będąca podatnikiem.</w:t>
      </w:r>
    </w:p>
    <w:p w14:paraId="2C858375" w14:textId="77777777" w:rsidR="00DB7D51" w:rsidRPr="00E95678" w:rsidRDefault="00DB7D51" w:rsidP="00DB7D51">
      <w:pPr>
        <w:spacing w:after="120"/>
        <w:jc w:val="both"/>
        <w:rPr>
          <w:rFonts w:ascii="Times New Roman" w:hAnsi="Times New Roman" w:cs="Times New Roman"/>
          <w:bCs/>
          <w:iCs/>
          <w:sz w:val="24"/>
          <w:szCs w:val="24"/>
        </w:rPr>
      </w:pPr>
      <w:r w:rsidRPr="00E95678">
        <w:rPr>
          <w:rFonts w:ascii="Times New Roman" w:hAnsi="Times New Roman" w:cs="Times New Roman"/>
          <w:bCs/>
          <w:iCs/>
          <w:sz w:val="24"/>
          <w:szCs w:val="24"/>
        </w:rPr>
        <w:t xml:space="preserve">Jednakże na gruncie krajowego podatku wyrównawczego podatnikiem nie jest wyłącznie odpowiednia jednostka dominująca lecz, zasadniczo, każda </w:t>
      </w:r>
      <w:r w:rsidRPr="00E95678">
        <w:rPr>
          <w:rFonts w:ascii="Times New Roman" w:hAnsi="Times New Roman" w:cs="Times New Roman"/>
          <w:iCs/>
          <w:sz w:val="24"/>
          <w:szCs w:val="24"/>
        </w:rPr>
        <w:t xml:space="preserve">zlokalizowana </w:t>
      </w:r>
      <w:r w:rsidRPr="00E95678">
        <w:rPr>
          <w:rFonts w:ascii="Times New Roman" w:hAnsi="Times New Roman" w:cs="Times New Roman"/>
          <w:bCs/>
          <w:iCs/>
          <w:sz w:val="24"/>
          <w:szCs w:val="24"/>
        </w:rPr>
        <w:t xml:space="preserve">na terytorium RP jednostka składowa grupy międzynarodowej lub grupy krajowej oraz określone jednostki szczególne. W tym zakresie występuje zatem szczególna konieczność uregulowania, jaka jednostka ustala, czy dana grupa międzynarodowa lub grupa krajowa spełnia warunek </w:t>
      </w:r>
      <w:r w:rsidRPr="00E95678">
        <w:rPr>
          <w:rFonts w:ascii="Times New Roman" w:hAnsi="Times New Roman" w:cs="Times New Roman"/>
          <w:bCs/>
          <w:iCs/>
          <w:sz w:val="24"/>
          <w:szCs w:val="24"/>
        </w:rPr>
        <w:lastRenderedPageBreak/>
        <w:t xml:space="preserve">minimalnego przychodu grupowego, o którym mowa w </w:t>
      </w:r>
      <w:r w:rsidRPr="00E95678">
        <w:rPr>
          <w:rFonts w:ascii="Times New Roman" w:hAnsi="Times New Roman" w:cs="Times New Roman"/>
          <w:b/>
          <w:iCs/>
          <w:sz w:val="24"/>
          <w:szCs w:val="24"/>
        </w:rPr>
        <w:t>art. 4</w:t>
      </w:r>
      <w:r w:rsidRPr="00E95678">
        <w:rPr>
          <w:rFonts w:ascii="Times New Roman" w:hAnsi="Times New Roman" w:cs="Times New Roman"/>
          <w:bCs/>
          <w:iCs/>
          <w:sz w:val="24"/>
          <w:szCs w:val="24"/>
        </w:rPr>
        <w:t xml:space="preserve">, i tym samym czy dana grupa objęta jest zakresem ustawy. </w:t>
      </w:r>
    </w:p>
    <w:p w14:paraId="1910EDA8" w14:textId="77777777" w:rsidR="00DB7D51" w:rsidRPr="00E95678" w:rsidRDefault="00DB7D51" w:rsidP="00DB7D51">
      <w:pPr>
        <w:spacing w:after="120"/>
        <w:jc w:val="both"/>
        <w:rPr>
          <w:rFonts w:ascii="Times New Roman" w:hAnsi="Times New Roman" w:cs="Times New Roman"/>
          <w:bCs/>
          <w:iCs/>
          <w:sz w:val="24"/>
          <w:szCs w:val="24"/>
        </w:rPr>
      </w:pPr>
      <w:r w:rsidRPr="00E95678">
        <w:rPr>
          <w:rFonts w:ascii="Times New Roman" w:hAnsi="Times New Roman" w:cs="Times New Roman"/>
          <w:bCs/>
          <w:iCs/>
          <w:sz w:val="24"/>
          <w:szCs w:val="24"/>
        </w:rPr>
        <w:t xml:space="preserve">W świetle </w:t>
      </w:r>
      <w:r w:rsidRPr="00E95678">
        <w:rPr>
          <w:rFonts w:ascii="Times New Roman" w:hAnsi="Times New Roman" w:cs="Times New Roman"/>
          <w:b/>
          <w:iCs/>
          <w:sz w:val="24"/>
          <w:szCs w:val="24"/>
        </w:rPr>
        <w:t>art. 4 ust. 10</w:t>
      </w:r>
      <w:r w:rsidRPr="00E95678">
        <w:rPr>
          <w:rFonts w:ascii="Times New Roman" w:hAnsi="Times New Roman" w:cs="Times New Roman"/>
          <w:bCs/>
          <w:iCs/>
          <w:sz w:val="24"/>
          <w:szCs w:val="24"/>
        </w:rPr>
        <w:t xml:space="preserve">, dany podatnik krajowego podatku wyrównawczego będzie obowiązany do ustalenia, czy dla tej grupy został spełniony warunek minimalnego przychodu grupowego. Będzie to szczególnie istotne w przypadku, gdy ten podatnik jest jednostką składową grupy międzynarodowej, której jednostka dominująca najwyższego szczebla nie jest </w:t>
      </w:r>
      <w:r w:rsidRPr="00E95678">
        <w:rPr>
          <w:rFonts w:ascii="Times New Roman" w:hAnsi="Times New Roman" w:cs="Times New Roman"/>
          <w:iCs/>
          <w:sz w:val="24"/>
          <w:szCs w:val="24"/>
        </w:rPr>
        <w:t>zlokalizowana</w:t>
      </w:r>
      <w:r w:rsidRPr="00E95678">
        <w:rPr>
          <w:rFonts w:ascii="Times New Roman" w:hAnsi="Times New Roman" w:cs="Times New Roman"/>
          <w:bCs/>
          <w:iCs/>
          <w:sz w:val="24"/>
          <w:szCs w:val="24"/>
        </w:rPr>
        <w:t xml:space="preserve"> na terytorium RP. W praktyce ustalenie spełnienia warunku minimalnego przychodu grupowego dla takich grup może wymagać uzyskania odpowiednich informacji od innych jednostek grupy, w szczególności od jednostki dominującej najwyższego szczebla. </w:t>
      </w:r>
    </w:p>
    <w:p w14:paraId="397A0AD1" w14:textId="77777777" w:rsidR="00DB7D51" w:rsidRPr="00E95678" w:rsidRDefault="00DB7D51" w:rsidP="00DB7D51">
      <w:pPr>
        <w:spacing w:after="120"/>
        <w:jc w:val="both"/>
        <w:rPr>
          <w:rFonts w:ascii="Times New Roman" w:hAnsi="Times New Roman" w:cs="Times New Roman"/>
          <w:bCs/>
          <w:iCs/>
          <w:sz w:val="24"/>
          <w:szCs w:val="24"/>
        </w:rPr>
      </w:pPr>
      <w:r w:rsidRPr="00E95678">
        <w:rPr>
          <w:rFonts w:ascii="Times New Roman" w:hAnsi="Times New Roman" w:cs="Times New Roman"/>
          <w:bCs/>
          <w:iCs/>
          <w:sz w:val="24"/>
          <w:szCs w:val="24"/>
        </w:rPr>
        <w:t>Podobne zasady będą obowiązywać dla podatników podatku wyrównawczego od niedostatecznie opodatkowanych zysków.</w:t>
      </w:r>
    </w:p>
    <w:p w14:paraId="19FDC407" w14:textId="77777777" w:rsidR="00DB7D51" w:rsidRPr="00E95678" w:rsidRDefault="00DB7D51" w:rsidP="00DB7D51">
      <w:pPr>
        <w:spacing w:after="120"/>
        <w:jc w:val="both"/>
        <w:rPr>
          <w:rFonts w:ascii="Times New Roman" w:hAnsi="Times New Roman" w:cs="Times New Roman"/>
          <w:bCs/>
          <w:iCs/>
          <w:sz w:val="24"/>
          <w:szCs w:val="24"/>
        </w:rPr>
      </w:pPr>
      <w:r w:rsidRPr="00E95678">
        <w:rPr>
          <w:rFonts w:ascii="Times New Roman" w:hAnsi="Times New Roman" w:cs="Times New Roman"/>
          <w:bCs/>
          <w:iCs/>
          <w:sz w:val="24"/>
          <w:szCs w:val="24"/>
        </w:rPr>
        <w:t xml:space="preserve">Należy zaznaczyć, że jeżeli podatnikiem jest więcej niż jedna jednostka, za spełnienie obowiązków wynikających z ustawy uznaje się również ich realizację przez wyznaczoną jednostkę raportującą, wyznaczoną jednostkę krajową lub jednostkę upoważnioną do złożenia zeznania w zakresie krajowego podatku wyrównawczego, w zakresie wyznaczonym przepisami administracyjnymi zawartymi w dziale XI. </w:t>
      </w:r>
    </w:p>
    <w:p w14:paraId="3755FAB0" w14:textId="77777777" w:rsidR="00DB7D51" w:rsidRPr="00E95678" w:rsidRDefault="00DB7D51" w:rsidP="00DB7D51">
      <w:pPr>
        <w:pStyle w:val="Nagwek5"/>
        <w:spacing w:before="240"/>
        <w:rPr>
          <w:rFonts w:ascii="Times New Roman" w:eastAsia="Times New Roman" w:hAnsi="Times New Roman" w:cs="Times New Roman"/>
          <w:sz w:val="24"/>
          <w:szCs w:val="24"/>
          <w:lang w:eastAsia="pl-PL"/>
        </w:rPr>
      </w:pPr>
      <w:r w:rsidRPr="00E95678">
        <w:rPr>
          <w:rFonts w:ascii="Times New Roman" w:eastAsia="Times New Roman" w:hAnsi="Times New Roman" w:cs="Times New Roman"/>
          <w:sz w:val="24"/>
          <w:szCs w:val="24"/>
          <w:lang w:eastAsia="pl-PL"/>
        </w:rPr>
        <w:t>Art. 5 [Jednostki wyłączone]</w:t>
      </w:r>
    </w:p>
    <w:p w14:paraId="787F09FA" w14:textId="77777777" w:rsidR="00DB7D51" w:rsidRPr="00E95678" w:rsidRDefault="00DB7D51" w:rsidP="00DB7D51">
      <w:pPr>
        <w:rPr>
          <w:rFonts w:ascii="Times New Roman" w:hAnsi="Times New Roman" w:cs="Times New Roman"/>
          <w:iCs/>
          <w:sz w:val="24"/>
          <w:szCs w:val="24"/>
          <w:lang w:eastAsia="pl-PL"/>
        </w:rPr>
      </w:pPr>
      <w:r w:rsidRPr="00E95678">
        <w:rPr>
          <w:rFonts w:ascii="Times New Roman" w:hAnsi="Times New Roman" w:cs="Times New Roman"/>
          <w:i/>
          <w:iCs/>
          <w:sz w:val="24"/>
          <w:szCs w:val="24"/>
          <w:lang w:eastAsia="pl-PL"/>
        </w:rPr>
        <w:t xml:space="preserve">Katalog jednostek wyłączonych </w:t>
      </w:r>
    </w:p>
    <w:p w14:paraId="2E4A4170" w14:textId="3B5880E0" w:rsidR="007656FC"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5</w:t>
      </w:r>
      <w:r w:rsidRPr="00E95678">
        <w:rPr>
          <w:rFonts w:ascii="Times New Roman" w:hAnsi="Times New Roman" w:cs="Times New Roman"/>
          <w:sz w:val="24"/>
          <w:szCs w:val="24"/>
        </w:rPr>
        <w:t xml:space="preserve"> </w:t>
      </w:r>
      <w:r w:rsidR="007656FC" w:rsidRPr="00E95678">
        <w:rPr>
          <w:rFonts w:ascii="Times New Roman" w:hAnsi="Times New Roman" w:cs="Times New Roman"/>
          <w:sz w:val="24"/>
          <w:szCs w:val="24"/>
        </w:rPr>
        <w:t xml:space="preserve">stanowi on implementację art. 2.3 oraz art. 3.9 – 3.11 i 3.31 – 3.34 Dyrektywy. </w:t>
      </w:r>
    </w:p>
    <w:p w14:paraId="3CAEA612" w14:textId="76AE840F" w:rsidR="00DB7D51" w:rsidRPr="00E95678" w:rsidRDefault="007656FC"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Jest to kluczowa regulacja</w:t>
      </w:r>
      <w:r w:rsidR="000110AE" w:rsidRPr="00E95678">
        <w:rPr>
          <w:rFonts w:ascii="Times New Roman" w:hAnsi="Times New Roman" w:cs="Times New Roman"/>
          <w:sz w:val="24"/>
          <w:szCs w:val="24"/>
        </w:rPr>
        <w:t xml:space="preserve">, </w:t>
      </w:r>
      <w:r w:rsidRPr="00E95678">
        <w:rPr>
          <w:rFonts w:ascii="Times New Roman" w:hAnsi="Times New Roman" w:cs="Times New Roman"/>
          <w:sz w:val="24"/>
          <w:szCs w:val="24"/>
        </w:rPr>
        <w:t>na podstawie której</w:t>
      </w:r>
      <w:r w:rsidR="000110AE" w:rsidRPr="00E95678">
        <w:rPr>
          <w:rFonts w:ascii="Times New Roman" w:hAnsi="Times New Roman" w:cs="Times New Roman"/>
          <w:sz w:val="24"/>
          <w:szCs w:val="24"/>
        </w:rPr>
        <w:t xml:space="preserve"> przepisów ustawy nie stosuje się do </w:t>
      </w:r>
      <w:r w:rsidRPr="00E95678">
        <w:rPr>
          <w:rFonts w:ascii="Times New Roman" w:hAnsi="Times New Roman" w:cs="Times New Roman"/>
          <w:sz w:val="24"/>
          <w:szCs w:val="24"/>
        </w:rPr>
        <w:t xml:space="preserve">jednostek określanych jako jednostki </w:t>
      </w:r>
      <w:r w:rsidR="001B320A" w:rsidRPr="00E95678">
        <w:rPr>
          <w:rFonts w:ascii="Times New Roman" w:hAnsi="Times New Roman" w:cs="Times New Roman"/>
          <w:sz w:val="24"/>
          <w:szCs w:val="24"/>
        </w:rPr>
        <w:t>wyłączone.</w:t>
      </w:r>
      <w:r w:rsidR="00DB7D51" w:rsidRPr="00E95678">
        <w:rPr>
          <w:rFonts w:ascii="Times New Roman" w:hAnsi="Times New Roman" w:cs="Times New Roman"/>
          <w:sz w:val="24"/>
          <w:szCs w:val="24"/>
        </w:rPr>
        <w:t xml:space="preserve"> Dla czytelności tej regulacji przyjęto formułę podobną do tej z Dyrektywy (i </w:t>
      </w:r>
      <w:r w:rsidR="00595132" w:rsidRPr="00E95678">
        <w:rPr>
          <w:rFonts w:ascii="Times New Roman" w:hAnsi="Times New Roman" w:cs="Times New Roman"/>
          <w:sz w:val="24"/>
          <w:szCs w:val="24"/>
        </w:rPr>
        <w:t>Modelowych zasad</w:t>
      </w:r>
      <w:r w:rsidR="00DB7D51" w:rsidRPr="00E95678">
        <w:rPr>
          <w:rFonts w:ascii="Times New Roman" w:hAnsi="Times New Roman" w:cs="Times New Roman"/>
          <w:sz w:val="24"/>
          <w:szCs w:val="24"/>
        </w:rPr>
        <w:t>) polegającą na wstępnym wymienieniu katalogu jednostek wyłączonych, a następnie doprecyzowaniu zakresu każdego z tych pojęć w poszczególnych ustępach (</w:t>
      </w:r>
      <w:r w:rsidRPr="00E95678">
        <w:rPr>
          <w:rFonts w:ascii="Times New Roman" w:hAnsi="Times New Roman" w:cs="Times New Roman"/>
          <w:sz w:val="24"/>
          <w:szCs w:val="24"/>
        </w:rPr>
        <w:t xml:space="preserve">co do zasady w art. 5 </w:t>
      </w:r>
      <w:r w:rsidR="00DB7D51" w:rsidRPr="00E95678">
        <w:rPr>
          <w:rFonts w:ascii="Times New Roman" w:hAnsi="Times New Roman" w:cs="Times New Roman"/>
          <w:sz w:val="24"/>
          <w:szCs w:val="24"/>
        </w:rPr>
        <w:t xml:space="preserve">z wyjątkiem pojęcia „funduszu inwestycyjnego” oraz „jednostki inwestującej w nieruchomości”, które zostały ujęte w słowniczku ustawowym zawartym w art. 2 – z uwagi na specyficzny warunek dotyczący tych dwóch typów jednostek). </w:t>
      </w:r>
    </w:p>
    <w:p w14:paraId="1325C9E6" w14:textId="08EDC297"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sz w:val="24"/>
          <w:szCs w:val="24"/>
        </w:rPr>
        <w:t xml:space="preserve">I tak, </w:t>
      </w:r>
      <w:r w:rsidRPr="00E95678">
        <w:rPr>
          <w:rFonts w:ascii="Times New Roman" w:hAnsi="Times New Roman" w:cs="Times New Roman"/>
          <w:bCs/>
          <w:sz w:val="24"/>
          <w:szCs w:val="24"/>
        </w:rPr>
        <w:t xml:space="preserve"> zgodnie z </w:t>
      </w:r>
      <w:r w:rsidRPr="00E95678">
        <w:rPr>
          <w:rFonts w:ascii="Times New Roman" w:hAnsi="Times New Roman" w:cs="Times New Roman"/>
          <w:b/>
          <w:sz w:val="24"/>
          <w:szCs w:val="24"/>
        </w:rPr>
        <w:t>art. 5</w:t>
      </w:r>
      <w:r w:rsidRPr="00E95678">
        <w:rPr>
          <w:rFonts w:ascii="Times New Roman" w:hAnsi="Times New Roman" w:cs="Times New Roman"/>
          <w:bCs/>
          <w:sz w:val="24"/>
          <w:szCs w:val="24"/>
        </w:rPr>
        <w:t xml:space="preserve"> </w:t>
      </w:r>
      <w:r w:rsidRPr="00E95678">
        <w:rPr>
          <w:rFonts w:ascii="Times New Roman" w:hAnsi="Times New Roman" w:cs="Times New Roman"/>
          <w:b/>
          <w:bCs/>
          <w:sz w:val="24"/>
          <w:szCs w:val="24"/>
        </w:rPr>
        <w:t xml:space="preserve">ust. </w:t>
      </w:r>
      <w:r w:rsidR="00E17D11"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1–6</w:t>
      </w:r>
      <w:r w:rsidRPr="00E95678">
        <w:rPr>
          <w:rFonts w:ascii="Times New Roman" w:hAnsi="Times New Roman" w:cs="Times New Roman"/>
          <w:sz w:val="24"/>
          <w:szCs w:val="24"/>
        </w:rPr>
        <w:t xml:space="preserve"> jednostkami wyłączonymi z zakresu stosowania ustawy, a tym samym Zasad GloBE (poza przypadkami wprost w ustawie wskazanymi – co odnosi się do zagadnienia obliczania skonsolidowanych przychodów – zob. </w:t>
      </w:r>
      <w:r w:rsidRPr="00E95678">
        <w:rPr>
          <w:rFonts w:ascii="Times New Roman" w:hAnsi="Times New Roman" w:cs="Times New Roman"/>
          <w:b/>
          <w:bCs/>
          <w:sz w:val="24"/>
          <w:szCs w:val="24"/>
        </w:rPr>
        <w:t>art. 4 ust. 3</w:t>
      </w:r>
      <w:r w:rsidRPr="00E95678">
        <w:rPr>
          <w:rFonts w:ascii="Times New Roman" w:hAnsi="Times New Roman" w:cs="Times New Roman"/>
          <w:sz w:val="24"/>
          <w:szCs w:val="24"/>
        </w:rPr>
        <w:t xml:space="preserve">) są, po pierwsze, </w:t>
      </w:r>
      <w:r w:rsidRPr="00E95678">
        <w:rPr>
          <w:rFonts w:ascii="Times New Roman" w:hAnsi="Times New Roman" w:cs="Times New Roman"/>
          <w:bCs/>
          <w:sz w:val="24"/>
          <w:szCs w:val="24"/>
        </w:rPr>
        <w:t>jednostki rządowe, organizacje międzynarodowe, organizacje nienastawione na zysk oraz fundusze emerytalne (w tym jednostki świadczące usługi emerytalne)</w:t>
      </w:r>
      <w:r w:rsidRPr="00E95678">
        <w:rPr>
          <w:rFonts w:ascii="Times New Roman" w:hAnsi="Times New Roman" w:cs="Times New Roman"/>
          <w:sz w:val="24"/>
          <w:szCs w:val="24"/>
        </w:rPr>
        <w:t>. Jednostkami wyłączonymi są</w:t>
      </w:r>
      <w:r w:rsidRPr="00E95678">
        <w:rPr>
          <w:rFonts w:ascii="Times New Roman" w:hAnsi="Times New Roman" w:cs="Times New Roman"/>
          <w:bCs/>
          <w:sz w:val="24"/>
          <w:szCs w:val="24"/>
        </w:rPr>
        <w:t xml:space="preserve"> także fundusze inwestycyjne i jednostki inwestujące w nieruchomości, jednakże pod warunkiem, iż są one  jednostką dominującą najwyższego szczebla danej grupy.</w:t>
      </w:r>
      <w:r w:rsidRPr="00E95678">
        <w:rPr>
          <w:rStyle w:val="Odwoanieprzypisudolnego"/>
          <w:rFonts w:ascii="Times New Roman" w:hAnsi="Times New Roman" w:cs="Times New Roman"/>
          <w:bCs/>
          <w:sz w:val="24"/>
          <w:szCs w:val="24"/>
        </w:rPr>
        <w:footnoteReference w:id="52"/>
      </w:r>
      <w:r w:rsidRPr="00E95678">
        <w:rPr>
          <w:rFonts w:ascii="Times New Roman" w:hAnsi="Times New Roman" w:cs="Times New Roman"/>
          <w:bCs/>
          <w:sz w:val="24"/>
          <w:szCs w:val="24"/>
        </w:rPr>
        <w:t xml:space="preserve"> </w:t>
      </w:r>
      <w:r w:rsidRPr="00E95678">
        <w:rPr>
          <w:rFonts w:ascii="Times New Roman" w:hAnsi="Times New Roman" w:cs="Times New Roman"/>
          <w:b/>
          <w:sz w:val="24"/>
          <w:szCs w:val="24"/>
        </w:rPr>
        <w:t xml:space="preserve">Ust. </w:t>
      </w:r>
      <w:r w:rsidR="00E17D11" w:rsidRPr="00E95678">
        <w:rPr>
          <w:rFonts w:ascii="Times New Roman" w:hAnsi="Times New Roman" w:cs="Times New Roman"/>
          <w:b/>
          <w:sz w:val="24"/>
          <w:szCs w:val="24"/>
        </w:rPr>
        <w:t>2</w:t>
      </w:r>
      <w:r w:rsidRPr="00E95678">
        <w:rPr>
          <w:rFonts w:ascii="Times New Roman" w:hAnsi="Times New Roman" w:cs="Times New Roman"/>
          <w:b/>
          <w:sz w:val="24"/>
          <w:szCs w:val="24"/>
        </w:rPr>
        <w:t xml:space="preserve"> pkt 7-8</w:t>
      </w:r>
      <w:r w:rsidRPr="00E95678">
        <w:rPr>
          <w:rFonts w:ascii="Times New Roman" w:hAnsi="Times New Roman" w:cs="Times New Roman"/>
          <w:bCs/>
          <w:sz w:val="24"/>
          <w:szCs w:val="24"/>
        </w:rPr>
        <w:t xml:space="preserve"> wymienia ponadto wyłączone jednostki pomocnicze.</w:t>
      </w:r>
    </w:p>
    <w:p w14:paraId="2BBF295D" w14:textId="2DA36CA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Jeżeli wskazane jednostki wyłączone nie są konsolidowane przy zastosowaniu metody konsolidacji pełnej</w:t>
      </w:r>
      <w:r w:rsidRPr="00E95678">
        <w:rPr>
          <w:rStyle w:val="Odwoanieprzypisudolnego"/>
          <w:rFonts w:ascii="Times New Roman" w:hAnsi="Times New Roman" w:cs="Times New Roman"/>
          <w:sz w:val="24"/>
          <w:szCs w:val="24"/>
        </w:rPr>
        <w:footnoteReference w:id="53"/>
      </w:r>
      <w:r w:rsidRPr="00E95678">
        <w:rPr>
          <w:rFonts w:ascii="Times New Roman" w:hAnsi="Times New Roman" w:cs="Times New Roman"/>
          <w:sz w:val="24"/>
          <w:szCs w:val="24"/>
        </w:rPr>
        <w:t xml:space="preserve"> (co, biorąc pod uwagę ich charakter, powinno być regułą), wówczas – nie </w:t>
      </w:r>
      <w:r w:rsidRPr="00E95678">
        <w:rPr>
          <w:rFonts w:ascii="Times New Roman" w:hAnsi="Times New Roman" w:cs="Times New Roman"/>
          <w:sz w:val="24"/>
          <w:szCs w:val="24"/>
        </w:rPr>
        <w:lastRenderedPageBreak/>
        <w:t xml:space="preserve">spełniając jednego z elementów definicji „grupy” – i tak nie spełniłyby definicji „jednostki składowej”. Definicji jednostki składowej (a w szczególności jednostki) nie będą ponadto spełniać takie podmioty, które nie są ani osobami prawnymi ani nie sporządzają sprawozdania finansowego. Jednak w celu zapewnienia zwiększenia pewności, kompletności i spójności Systemu GloBE zarówno w Dyrektywie, jak i w </w:t>
      </w:r>
      <w:r w:rsidR="00595132" w:rsidRPr="00E95678">
        <w:rPr>
          <w:rFonts w:ascii="Times New Roman" w:hAnsi="Times New Roman" w:cs="Times New Roman"/>
          <w:sz w:val="24"/>
          <w:szCs w:val="24"/>
        </w:rPr>
        <w:t>Modelowych zasad</w:t>
      </w:r>
      <w:r w:rsidRPr="00E95678">
        <w:rPr>
          <w:rFonts w:ascii="Times New Roman" w:hAnsi="Times New Roman" w:cs="Times New Roman"/>
          <w:sz w:val="24"/>
          <w:szCs w:val="24"/>
        </w:rPr>
        <w:t xml:space="preserve">ach OECD, wyraźnie określono wykaz jednostek podlegających wyłączeniu. </w:t>
      </w:r>
    </w:p>
    <w:p w14:paraId="5FA2A016" w14:textId="244ECAD0"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sz w:val="24"/>
          <w:szCs w:val="24"/>
        </w:rPr>
        <w:t xml:space="preserve">Art. 5 ust. </w:t>
      </w:r>
      <w:r w:rsidR="00E17D11" w:rsidRPr="00E95678">
        <w:rPr>
          <w:rFonts w:ascii="Times New Roman" w:hAnsi="Times New Roman" w:cs="Times New Roman"/>
          <w:b/>
          <w:sz w:val="24"/>
          <w:szCs w:val="24"/>
        </w:rPr>
        <w:t>3</w:t>
      </w:r>
      <w:r w:rsidRPr="00E95678">
        <w:rPr>
          <w:rFonts w:ascii="Times New Roman" w:hAnsi="Times New Roman" w:cs="Times New Roman"/>
          <w:sz w:val="24"/>
          <w:szCs w:val="24"/>
        </w:rPr>
        <w:t xml:space="preserve"> projektu definiuje pojęcie </w:t>
      </w:r>
      <w:r w:rsidRPr="00E95678">
        <w:rPr>
          <w:rFonts w:ascii="Times New Roman" w:hAnsi="Times New Roman" w:cs="Times New Roman"/>
          <w:b/>
          <w:sz w:val="24"/>
          <w:szCs w:val="24"/>
        </w:rPr>
        <w:t>jednostki rządowej</w:t>
      </w:r>
      <w:r w:rsidRPr="00E95678">
        <w:rPr>
          <w:rFonts w:ascii="Times New Roman" w:hAnsi="Times New Roman" w:cs="Times New Roman"/>
          <w:sz w:val="24"/>
          <w:szCs w:val="24"/>
        </w:rPr>
        <w:t xml:space="preserve">, zgodnie z warunkami określonymi w art. 3.9 Dyrektywy.  </w:t>
      </w:r>
    </w:p>
    <w:p w14:paraId="7CE45AE2" w14:textId="77777777"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Na gruncie Zasad GloBE pojęcie „jednostek rządowych” obejmuje nie tylko szczebel centralny, ale także lokalny, w tym samorządowy. Takie jednostki są wyłączone z opodatkowania wyrównawczego, ponieważ działają na rzecz dobra ogólnego</w:t>
      </w:r>
      <w:r w:rsidRPr="00E95678">
        <w:rPr>
          <w:rStyle w:val="Odwoanieprzypisudolnego"/>
          <w:rFonts w:ascii="Times New Roman" w:hAnsi="Times New Roman" w:cs="Times New Roman"/>
          <w:bCs/>
          <w:sz w:val="24"/>
          <w:szCs w:val="24"/>
        </w:rPr>
        <w:footnoteReference w:id="54"/>
      </w:r>
      <w:r w:rsidRPr="00E95678">
        <w:rPr>
          <w:rFonts w:ascii="Times New Roman" w:hAnsi="Times New Roman" w:cs="Times New Roman"/>
          <w:bCs/>
          <w:sz w:val="24"/>
          <w:szCs w:val="24"/>
        </w:rPr>
        <w:t>.</w:t>
      </w:r>
    </w:p>
    <w:p w14:paraId="5F7F89B5" w14:textId="7DC74AA0" w:rsidR="00DB7D51" w:rsidRPr="00E95678" w:rsidRDefault="00DB7D51" w:rsidP="00DB7D51">
      <w:pPr>
        <w:pStyle w:val="PKTpunkt"/>
        <w:spacing w:line="259" w:lineRule="auto"/>
        <w:ind w:left="0" w:firstLine="0"/>
        <w:rPr>
          <w:rFonts w:ascii="Times New Roman" w:hAnsi="Times New Roman" w:cs="Times New Roman"/>
          <w:szCs w:val="24"/>
        </w:rPr>
      </w:pPr>
      <w:r w:rsidRPr="00E95678">
        <w:rPr>
          <w:rFonts w:ascii="Times New Roman" w:hAnsi="Times New Roman" w:cs="Times New Roman"/>
          <w:szCs w:val="24"/>
        </w:rPr>
        <w:t xml:space="preserve">Warunek, o którym mowa w </w:t>
      </w:r>
      <w:r w:rsidRPr="00E95678">
        <w:rPr>
          <w:rFonts w:ascii="Times New Roman" w:hAnsi="Times New Roman" w:cs="Times New Roman"/>
          <w:b/>
          <w:szCs w:val="24"/>
        </w:rPr>
        <w:t xml:space="preserve">art. 5 ust. </w:t>
      </w:r>
      <w:r w:rsidR="00E17D11" w:rsidRPr="00E95678">
        <w:rPr>
          <w:rFonts w:ascii="Times New Roman" w:hAnsi="Times New Roman" w:cs="Times New Roman"/>
          <w:b/>
          <w:szCs w:val="24"/>
        </w:rPr>
        <w:t>3</w:t>
      </w:r>
      <w:r w:rsidRPr="00E95678">
        <w:rPr>
          <w:rFonts w:ascii="Times New Roman" w:hAnsi="Times New Roman" w:cs="Times New Roman"/>
          <w:szCs w:val="24"/>
        </w:rPr>
        <w:t xml:space="preserve"> </w:t>
      </w:r>
      <w:r w:rsidRPr="00E95678">
        <w:rPr>
          <w:rFonts w:ascii="Times New Roman" w:hAnsi="Times New Roman" w:cs="Times New Roman"/>
          <w:b/>
          <w:szCs w:val="24"/>
        </w:rPr>
        <w:t>pkt 1,</w:t>
      </w:r>
      <w:r w:rsidRPr="00E95678">
        <w:rPr>
          <w:rFonts w:ascii="Times New Roman" w:hAnsi="Times New Roman" w:cs="Times New Roman"/>
          <w:szCs w:val="24"/>
        </w:rPr>
        <w:t xml:space="preserve"> stanowi, że taka jednostka musi wchodzić w skład administracji państwowej lub samorządowej lub być w całości ich własnością. Chodzi w tym przypadku przede wszystkim o podmioty utworzone na podstawie prawa publicznego, jednak odniesienie do wyrażenia „</w:t>
      </w:r>
      <w:r w:rsidRPr="00E95678">
        <w:rPr>
          <w:rFonts w:ascii="Times New Roman" w:hAnsi="Times New Roman" w:cs="Times New Roman"/>
          <w:i/>
          <w:szCs w:val="24"/>
        </w:rPr>
        <w:t>są w całości własnością</w:t>
      </w:r>
      <w:r w:rsidRPr="00E95678">
        <w:rPr>
          <w:rFonts w:ascii="Times New Roman" w:hAnsi="Times New Roman" w:cs="Times New Roman"/>
          <w:szCs w:val="24"/>
        </w:rPr>
        <w:t xml:space="preserve"> </w:t>
      </w:r>
      <w:r w:rsidRPr="00E95678">
        <w:rPr>
          <w:rFonts w:ascii="Times New Roman" w:hAnsi="Times New Roman" w:cs="Times New Roman"/>
          <w:i/>
          <w:szCs w:val="24"/>
        </w:rPr>
        <w:t>administracji”</w:t>
      </w:r>
      <w:r w:rsidRPr="00E95678">
        <w:rPr>
          <w:rFonts w:ascii="Times New Roman" w:hAnsi="Times New Roman" w:cs="Times New Roman"/>
          <w:szCs w:val="24"/>
        </w:rPr>
        <w:t xml:space="preserve"> rozszerza zastosowanie omawianego przepisu na spółki lub inne podmioty utworzone na mocy prawa prywatnego. </w:t>
      </w:r>
    </w:p>
    <w:p w14:paraId="3AD2DD77" w14:textId="6186DDC0" w:rsidR="00DB7D51" w:rsidRPr="00E95678" w:rsidRDefault="00DB7D51" w:rsidP="00DB7D51">
      <w:pPr>
        <w:spacing w:before="120" w:after="120"/>
        <w:jc w:val="both"/>
        <w:rPr>
          <w:rFonts w:ascii="Times New Roman" w:hAnsi="Times New Roman" w:cs="Times New Roman"/>
          <w:sz w:val="24"/>
          <w:szCs w:val="24"/>
        </w:rPr>
      </w:pPr>
      <w:r w:rsidRPr="00E95678">
        <w:rPr>
          <w:rFonts w:ascii="Times New Roman" w:hAnsi="Times New Roman" w:cs="Times New Roman"/>
          <w:bCs/>
          <w:sz w:val="24"/>
          <w:szCs w:val="24"/>
        </w:rPr>
        <w:t>Z kolei w</w:t>
      </w:r>
      <w:r w:rsidRPr="00E95678">
        <w:rPr>
          <w:rFonts w:ascii="Times New Roman" w:hAnsi="Times New Roman" w:cs="Times New Roman"/>
          <w:b/>
          <w:sz w:val="24"/>
          <w:szCs w:val="24"/>
        </w:rPr>
        <w:t xml:space="preserve"> art. 5 ust. </w:t>
      </w:r>
      <w:r w:rsidR="00E17D11" w:rsidRPr="00E95678">
        <w:rPr>
          <w:rFonts w:ascii="Times New Roman" w:hAnsi="Times New Roman" w:cs="Times New Roman"/>
          <w:b/>
          <w:sz w:val="24"/>
          <w:szCs w:val="24"/>
        </w:rPr>
        <w:t>3</w:t>
      </w:r>
      <w:r w:rsidRPr="00E95678">
        <w:rPr>
          <w:rFonts w:ascii="Times New Roman" w:hAnsi="Times New Roman" w:cs="Times New Roman"/>
          <w:b/>
          <w:sz w:val="24"/>
          <w:szCs w:val="24"/>
        </w:rPr>
        <w:t xml:space="preserve"> </w:t>
      </w:r>
      <w:r w:rsidRPr="00E95678">
        <w:rPr>
          <w:rFonts w:ascii="Times New Roman" w:hAnsi="Times New Roman" w:cs="Times New Roman"/>
          <w:b/>
          <w:bCs/>
          <w:sz w:val="24"/>
          <w:szCs w:val="24"/>
        </w:rPr>
        <w:t>pkt 2</w:t>
      </w:r>
      <w:r w:rsidRPr="00E95678">
        <w:rPr>
          <w:rFonts w:ascii="Times New Roman" w:hAnsi="Times New Roman" w:cs="Times New Roman"/>
          <w:bCs/>
          <w:sz w:val="24"/>
          <w:szCs w:val="24"/>
        </w:rPr>
        <w:t xml:space="preserve"> zawarto wymóg, zgodnie z którym jednostka rządowa nie może prowadzić działalności gospodarczej. Warunek ten został uwzględniony w celu odróżnienia przedsiębiorstw komercyjnych, będących własnością administracji państwowej lub samorządowej, od jednostek, których działalność ogranicza się do sfery działalności określonej w </w:t>
      </w:r>
      <w:r w:rsidRPr="00E95678">
        <w:rPr>
          <w:rFonts w:ascii="Times New Roman" w:hAnsi="Times New Roman" w:cs="Times New Roman"/>
          <w:b/>
          <w:sz w:val="24"/>
          <w:szCs w:val="24"/>
        </w:rPr>
        <w:t xml:space="preserve">lit. a i b </w:t>
      </w:r>
      <w:r w:rsidRPr="00E95678">
        <w:rPr>
          <w:rFonts w:ascii="Times New Roman" w:hAnsi="Times New Roman" w:cs="Times New Roman"/>
          <w:bCs/>
          <w:sz w:val="24"/>
          <w:szCs w:val="24"/>
        </w:rPr>
        <w:t xml:space="preserve">(tj. realizacji zadań publicznych lub gospodarowania mieniem państwowym). </w:t>
      </w:r>
    </w:p>
    <w:p w14:paraId="4686E99C" w14:textId="77777777"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i/>
          <w:iCs/>
          <w:sz w:val="24"/>
          <w:szCs w:val="24"/>
        </w:rPr>
        <w:t xml:space="preserve"> „Realizacja zadań publicznych”,</w:t>
      </w:r>
      <w:r w:rsidRPr="00E95678">
        <w:rPr>
          <w:rFonts w:ascii="Times New Roman" w:hAnsi="Times New Roman" w:cs="Times New Roman"/>
          <w:bCs/>
          <w:sz w:val="24"/>
          <w:szCs w:val="24"/>
        </w:rPr>
        <w:t xml:space="preserve"> o której mowa w </w:t>
      </w:r>
      <w:r w:rsidRPr="00E95678">
        <w:rPr>
          <w:rFonts w:ascii="Times New Roman" w:hAnsi="Times New Roman" w:cs="Times New Roman"/>
          <w:b/>
          <w:sz w:val="24"/>
          <w:szCs w:val="24"/>
        </w:rPr>
        <w:t>pkt</w:t>
      </w:r>
      <w:r w:rsidRPr="00E95678">
        <w:rPr>
          <w:rFonts w:ascii="Times New Roman" w:hAnsi="Times New Roman" w:cs="Times New Roman"/>
          <w:bCs/>
          <w:sz w:val="24"/>
          <w:szCs w:val="24"/>
        </w:rPr>
        <w:t xml:space="preserve"> </w:t>
      </w:r>
      <w:r w:rsidRPr="00E95678">
        <w:rPr>
          <w:rFonts w:ascii="Times New Roman" w:hAnsi="Times New Roman" w:cs="Times New Roman"/>
          <w:b/>
          <w:bCs/>
          <w:sz w:val="24"/>
          <w:szCs w:val="24"/>
        </w:rPr>
        <w:t>2 lit. a</w:t>
      </w:r>
      <w:r w:rsidRPr="00E95678">
        <w:rPr>
          <w:rFonts w:ascii="Times New Roman" w:hAnsi="Times New Roman" w:cs="Times New Roman"/>
          <w:bCs/>
          <w:sz w:val="24"/>
          <w:szCs w:val="24"/>
        </w:rPr>
        <w:t xml:space="preserve"> jest szerokim terminem, który ma obejmować również takie działania jak zapewnianie publicznej opieki zdrowotnej i edukacji, budowanie infrastruktury publicznej lub zapewnianie zdolności obronnych i egzekwowania prawa. [Komentarz, 10.1;30] Warunek ten spełnia również jednostka powołana w celu dostarczania produktów lub świadczenia usług w ramach realizacji funkcji państwowej, a nie celu jakim jest prowadzenie działalności gospodarczej.</w:t>
      </w:r>
    </w:p>
    <w:p w14:paraId="40BCD52C"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Alternatywny warunek określony w </w:t>
      </w:r>
      <w:r w:rsidRPr="00E95678">
        <w:rPr>
          <w:rFonts w:ascii="Times New Roman" w:hAnsi="Times New Roman" w:cs="Times New Roman"/>
          <w:b/>
          <w:bCs/>
          <w:sz w:val="24"/>
          <w:szCs w:val="24"/>
        </w:rPr>
        <w:t>pkt</w:t>
      </w:r>
      <w:r w:rsidRPr="00E95678">
        <w:rPr>
          <w:rFonts w:ascii="Times New Roman" w:hAnsi="Times New Roman" w:cs="Times New Roman"/>
          <w:sz w:val="24"/>
          <w:szCs w:val="24"/>
        </w:rPr>
        <w:t xml:space="preserve"> </w:t>
      </w:r>
      <w:r w:rsidRPr="00E95678">
        <w:rPr>
          <w:rFonts w:ascii="Times New Roman" w:hAnsi="Times New Roman" w:cs="Times New Roman"/>
          <w:b/>
          <w:sz w:val="24"/>
          <w:szCs w:val="24"/>
        </w:rPr>
        <w:t>2 lit. b</w:t>
      </w:r>
      <w:r w:rsidRPr="00E95678">
        <w:rPr>
          <w:rFonts w:ascii="Times New Roman" w:hAnsi="Times New Roman" w:cs="Times New Roman"/>
          <w:sz w:val="24"/>
          <w:szCs w:val="24"/>
        </w:rPr>
        <w:t xml:space="preserve"> obejmuje jednostki utworzone w celu gospodarowania nabytym lub powierzonym mieniem państwowym lub samorządowym, w tym poprzez inwestowanie z wykorzystaniem tego mienia czy zbycie składników takiego mienia. </w:t>
      </w:r>
    </w:p>
    <w:p w14:paraId="274AC81C" w14:textId="2F4D2A7E"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Aby zakwalifikować się jako jednostki rządowe, takie jednostki muszą również odpowiadać przed właściwymi organami administracji państwowej lub samorządowej oraz corocznie przekazywać tym organom sprawozdanie ze swojej działalności (</w:t>
      </w:r>
      <w:r w:rsidRPr="00E95678">
        <w:rPr>
          <w:rFonts w:ascii="Times New Roman" w:hAnsi="Times New Roman" w:cs="Times New Roman"/>
          <w:b/>
          <w:bCs/>
          <w:sz w:val="24"/>
          <w:szCs w:val="24"/>
        </w:rPr>
        <w:t xml:space="preserve">art. 5 ust. </w:t>
      </w:r>
      <w:r w:rsidR="00E17D11" w:rsidRPr="00E95678">
        <w:rPr>
          <w:rFonts w:ascii="Times New Roman" w:hAnsi="Times New Roman" w:cs="Times New Roman"/>
          <w:b/>
          <w:bCs/>
          <w:sz w:val="24"/>
          <w:szCs w:val="24"/>
        </w:rPr>
        <w:t>3</w:t>
      </w:r>
      <w:r w:rsidRPr="00E95678">
        <w:rPr>
          <w:rFonts w:ascii="Times New Roman" w:hAnsi="Times New Roman" w:cs="Times New Roman"/>
          <w:sz w:val="24"/>
          <w:szCs w:val="24"/>
        </w:rPr>
        <w:t xml:space="preserve"> </w:t>
      </w:r>
      <w:r w:rsidRPr="00E95678">
        <w:rPr>
          <w:rFonts w:ascii="Times New Roman" w:hAnsi="Times New Roman" w:cs="Times New Roman"/>
          <w:b/>
          <w:sz w:val="24"/>
          <w:szCs w:val="24"/>
        </w:rPr>
        <w:t>pkt 3</w:t>
      </w:r>
      <w:r w:rsidRPr="00E95678">
        <w:rPr>
          <w:rFonts w:ascii="Times New Roman" w:hAnsi="Times New Roman" w:cs="Times New Roman"/>
          <w:sz w:val="24"/>
          <w:szCs w:val="24"/>
        </w:rPr>
        <w:t>), a ich zyski, a także mienie polikwidacyjne muszą podlegać przekazaniu w całości na rzecz jednostek administracji państwowej lub samorządowej (</w:t>
      </w:r>
      <w:r w:rsidRPr="00E95678">
        <w:rPr>
          <w:rFonts w:ascii="Times New Roman" w:hAnsi="Times New Roman" w:cs="Times New Roman"/>
          <w:b/>
          <w:bCs/>
          <w:sz w:val="24"/>
          <w:szCs w:val="24"/>
        </w:rPr>
        <w:t xml:space="preserve">art. 5 ust. </w:t>
      </w:r>
      <w:r w:rsidR="00E17D11" w:rsidRPr="00E95678">
        <w:rPr>
          <w:rFonts w:ascii="Times New Roman" w:hAnsi="Times New Roman" w:cs="Times New Roman"/>
          <w:b/>
          <w:bCs/>
          <w:sz w:val="24"/>
          <w:szCs w:val="24"/>
        </w:rPr>
        <w:t>3</w:t>
      </w:r>
      <w:r w:rsidRPr="00E95678">
        <w:rPr>
          <w:rFonts w:ascii="Times New Roman" w:hAnsi="Times New Roman" w:cs="Times New Roman"/>
          <w:sz w:val="24"/>
          <w:szCs w:val="24"/>
        </w:rPr>
        <w:t xml:space="preserve"> </w:t>
      </w:r>
      <w:r w:rsidRPr="00E95678">
        <w:rPr>
          <w:rFonts w:ascii="Times New Roman" w:hAnsi="Times New Roman" w:cs="Times New Roman"/>
          <w:b/>
          <w:sz w:val="24"/>
          <w:szCs w:val="24"/>
        </w:rPr>
        <w:t>pkt 4</w:t>
      </w:r>
      <w:r w:rsidRPr="00E95678">
        <w:rPr>
          <w:rFonts w:ascii="Times New Roman" w:hAnsi="Times New Roman" w:cs="Times New Roman"/>
          <w:sz w:val="24"/>
          <w:szCs w:val="24"/>
        </w:rPr>
        <w:t xml:space="preserve">). </w:t>
      </w:r>
    </w:p>
    <w:p w14:paraId="7AEBACD1" w14:textId="3E63F0E0"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Jednostkami, które spełniają wskazane warunki, są w szczególności Skarb Państwa, jednostki budżetowe, samorządowe zakłady budżetowe, agencje wykonawcze lub instytucje gospodarki budżetowej. Należy podkreślić, iż niniejsza lista ma wyłącznie charakter przykładowy, a jej celem nie jest zawężenie stosowania pojęcia jednostki rządowej (ma ona charakter </w:t>
      </w:r>
      <w:r w:rsidRPr="00E95678">
        <w:rPr>
          <w:rFonts w:ascii="Times New Roman" w:hAnsi="Times New Roman" w:cs="Times New Roman"/>
          <w:sz w:val="24"/>
          <w:szCs w:val="24"/>
        </w:rPr>
        <w:lastRenderedPageBreak/>
        <w:t>informacyjny, ułatwiający stosowanie przepisów ustawy). W przypadku jednostek niewymienionych powyżej jako przykłady jednostek rządowych,</w:t>
      </w:r>
      <w:r w:rsidRPr="00E95678">
        <w:rPr>
          <w:rFonts w:ascii="Times New Roman" w:hAnsi="Times New Roman" w:cs="Times New Roman"/>
          <w:b/>
          <w:bCs/>
          <w:sz w:val="24"/>
          <w:szCs w:val="24"/>
        </w:rPr>
        <w:t xml:space="preserve"> </w:t>
      </w:r>
      <w:r w:rsidRPr="00E95678">
        <w:rPr>
          <w:rFonts w:ascii="Times New Roman" w:hAnsi="Times New Roman" w:cs="Times New Roman"/>
          <w:sz w:val="24"/>
          <w:szCs w:val="24"/>
        </w:rPr>
        <w:t xml:space="preserve">każdorazowo o ich statusie, jako jednostki rządowej, będą decydowały kryteria zawarte w </w:t>
      </w:r>
      <w:r w:rsidRPr="00E95678">
        <w:rPr>
          <w:rFonts w:ascii="Times New Roman" w:hAnsi="Times New Roman" w:cs="Times New Roman"/>
          <w:b/>
          <w:bCs/>
          <w:sz w:val="24"/>
          <w:szCs w:val="24"/>
        </w:rPr>
        <w:t xml:space="preserve">art. 5 ust. </w:t>
      </w:r>
      <w:r w:rsidR="00E17D11" w:rsidRPr="00E95678">
        <w:rPr>
          <w:rFonts w:ascii="Times New Roman" w:hAnsi="Times New Roman" w:cs="Times New Roman"/>
          <w:b/>
          <w:bCs/>
          <w:sz w:val="24"/>
          <w:szCs w:val="24"/>
        </w:rPr>
        <w:t>3</w:t>
      </w:r>
      <w:r w:rsidRPr="00E95678">
        <w:rPr>
          <w:rFonts w:ascii="Times New Roman" w:hAnsi="Times New Roman" w:cs="Times New Roman"/>
          <w:sz w:val="24"/>
          <w:szCs w:val="24"/>
        </w:rPr>
        <w:t>.</w:t>
      </w:r>
    </w:p>
    <w:p w14:paraId="3E51B52D"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Jednostkami rządowymi będą też, co do zasady, różnego rodzaju państwowe fundusze majątkowe (</w:t>
      </w:r>
      <w:r w:rsidRPr="00E95678">
        <w:rPr>
          <w:rFonts w:ascii="Times New Roman" w:hAnsi="Times New Roman" w:cs="Times New Roman"/>
          <w:i/>
          <w:sz w:val="24"/>
          <w:szCs w:val="24"/>
        </w:rPr>
        <w:t>sovereign wealth funds</w:t>
      </w:r>
      <w:r w:rsidRPr="00E95678">
        <w:rPr>
          <w:rFonts w:ascii="Times New Roman" w:hAnsi="Times New Roman" w:cs="Times New Roman"/>
          <w:sz w:val="24"/>
          <w:szCs w:val="24"/>
        </w:rPr>
        <w:t xml:space="preserve">) tworzone przez rządy niektórych państw. </w:t>
      </w:r>
    </w:p>
    <w:p w14:paraId="5FA064E0" w14:textId="1B1C97B2"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W świetle Komentarza i Wytycznych Administracyjnych jednostką rządową nie jest natomiast sam rząd, czy też jednostki samorządu terytorialnego. Takie podmioty w ogóle nie są jednostką w rozumieniu ustawy. Ich status nie wymaga zatem badania w oparciu o przesłanki określone w </w:t>
      </w:r>
      <w:r w:rsidRPr="00E95678">
        <w:rPr>
          <w:rFonts w:ascii="Times New Roman" w:hAnsi="Times New Roman" w:cs="Times New Roman"/>
          <w:b/>
          <w:sz w:val="24"/>
          <w:szCs w:val="24"/>
        </w:rPr>
        <w:t xml:space="preserve">art. 5 ust. </w:t>
      </w:r>
      <w:r w:rsidR="00F20A0F" w:rsidRPr="00E95678">
        <w:rPr>
          <w:rFonts w:ascii="Times New Roman" w:hAnsi="Times New Roman" w:cs="Times New Roman"/>
          <w:b/>
          <w:sz w:val="24"/>
          <w:szCs w:val="24"/>
        </w:rPr>
        <w:t>3</w:t>
      </w:r>
      <w:r w:rsidRPr="00E95678">
        <w:rPr>
          <w:rFonts w:ascii="Times New Roman" w:hAnsi="Times New Roman" w:cs="Times New Roman"/>
          <w:bCs/>
          <w:sz w:val="24"/>
          <w:szCs w:val="24"/>
        </w:rPr>
        <w:t xml:space="preserve">.      </w:t>
      </w:r>
    </w:p>
    <w:p w14:paraId="274AC3F0" w14:textId="32F444BB"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4</w:t>
      </w:r>
      <w:r w:rsidRPr="00E95678">
        <w:rPr>
          <w:rFonts w:ascii="Times New Roman" w:hAnsi="Times New Roman" w:cs="Times New Roman"/>
          <w:b/>
          <w:bCs/>
          <w:sz w:val="24"/>
          <w:szCs w:val="24"/>
        </w:rPr>
        <w:t xml:space="preserve"> </w:t>
      </w:r>
      <w:r w:rsidRPr="00E95678">
        <w:rPr>
          <w:rFonts w:ascii="Times New Roman" w:hAnsi="Times New Roman" w:cs="Times New Roman"/>
          <w:sz w:val="24"/>
          <w:szCs w:val="24"/>
        </w:rPr>
        <w:t xml:space="preserve">projektu definiuje pojęcie </w:t>
      </w:r>
      <w:r w:rsidRPr="00E95678">
        <w:rPr>
          <w:rFonts w:ascii="Times New Roman" w:hAnsi="Times New Roman" w:cs="Times New Roman"/>
          <w:b/>
          <w:bCs/>
          <w:sz w:val="24"/>
          <w:szCs w:val="24"/>
        </w:rPr>
        <w:t>o</w:t>
      </w:r>
      <w:r w:rsidRPr="00E95678">
        <w:rPr>
          <w:rFonts w:ascii="Times New Roman" w:hAnsi="Times New Roman" w:cs="Times New Roman"/>
          <w:b/>
          <w:sz w:val="24"/>
          <w:szCs w:val="24"/>
        </w:rPr>
        <w:t>rganizacji międzynarodowej</w:t>
      </w:r>
      <w:r w:rsidRPr="00E95678">
        <w:rPr>
          <w:rFonts w:ascii="Times New Roman" w:hAnsi="Times New Roman" w:cs="Times New Roman"/>
          <w:sz w:val="24"/>
          <w:szCs w:val="24"/>
        </w:rPr>
        <w:t xml:space="preserve">, zgodnie z warunkami określonymi w art. 3.10 Dyrektywy.  </w:t>
      </w:r>
    </w:p>
    <w:p w14:paraId="7A4B8A80" w14:textId="5FFD9532"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Definicja organizacji międzynarodowej jest zgodna z definicją stosowaną w standardzie automatycznej wymiany informacji finansowych w sprawach podatkowych</w:t>
      </w:r>
      <w:r w:rsidRPr="00E95678">
        <w:rPr>
          <w:rStyle w:val="Odwoanieprzypisudolnego"/>
          <w:rFonts w:ascii="Times New Roman" w:hAnsi="Times New Roman" w:cs="Times New Roman"/>
          <w:bCs/>
          <w:sz w:val="24"/>
          <w:szCs w:val="24"/>
        </w:rPr>
        <w:footnoteReference w:id="55"/>
      </w:r>
      <w:r w:rsidRPr="00E95678">
        <w:rPr>
          <w:rFonts w:ascii="Times New Roman" w:hAnsi="Times New Roman" w:cs="Times New Roman"/>
          <w:bCs/>
          <w:sz w:val="24"/>
          <w:szCs w:val="24"/>
        </w:rPr>
        <w:t xml:space="preserve">. Treść </w:t>
      </w:r>
      <w:r w:rsidRPr="00E95678">
        <w:rPr>
          <w:rFonts w:ascii="Times New Roman" w:hAnsi="Times New Roman" w:cs="Times New Roman"/>
          <w:b/>
          <w:sz w:val="24"/>
          <w:szCs w:val="24"/>
        </w:rPr>
        <w:t xml:space="preserve">art. 5 ust. </w:t>
      </w:r>
      <w:r w:rsidR="00F20A0F" w:rsidRPr="00E95678">
        <w:rPr>
          <w:rFonts w:ascii="Times New Roman" w:hAnsi="Times New Roman" w:cs="Times New Roman"/>
          <w:b/>
          <w:sz w:val="24"/>
          <w:szCs w:val="24"/>
        </w:rPr>
        <w:t>4</w:t>
      </w:r>
      <w:r w:rsidRPr="00E95678">
        <w:rPr>
          <w:rFonts w:ascii="Times New Roman" w:hAnsi="Times New Roman" w:cs="Times New Roman"/>
          <w:b/>
          <w:sz w:val="24"/>
          <w:szCs w:val="24"/>
        </w:rPr>
        <w:t xml:space="preserve"> pkt 2</w:t>
      </w:r>
      <w:r w:rsidRPr="00E95678">
        <w:rPr>
          <w:rFonts w:ascii="Times New Roman" w:hAnsi="Times New Roman" w:cs="Times New Roman"/>
          <w:bCs/>
          <w:sz w:val="24"/>
          <w:szCs w:val="24"/>
        </w:rPr>
        <w:t xml:space="preserve"> zawiera doprecyzowanie wyrażenia „</w:t>
      </w:r>
      <w:r w:rsidRPr="00E95678">
        <w:rPr>
          <w:rFonts w:ascii="Times New Roman" w:hAnsi="Times New Roman" w:cs="Times New Roman"/>
          <w:bCs/>
          <w:i/>
          <w:sz w:val="24"/>
          <w:szCs w:val="24"/>
        </w:rPr>
        <w:t>porozumienia o podobnym charakterze”</w:t>
      </w:r>
      <w:r w:rsidRPr="00E95678">
        <w:rPr>
          <w:rFonts w:ascii="Times New Roman" w:hAnsi="Times New Roman" w:cs="Times New Roman"/>
          <w:bCs/>
          <w:sz w:val="24"/>
          <w:szCs w:val="24"/>
        </w:rPr>
        <w:t>, które zostało zaczerpnięte z komentarza do tego standardu</w:t>
      </w:r>
      <w:r w:rsidRPr="00E95678">
        <w:rPr>
          <w:rStyle w:val="Odwoanieprzypisudolnego"/>
          <w:rFonts w:ascii="Times New Roman" w:hAnsi="Times New Roman" w:cs="Times New Roman"/>
          <w:bCs/>
          <w:sz w:val="24"/>
          <w:szCs w:val="24"/>
        </w:rPr>
        <w:footnoteReference w:id="56"/>
      </w:r>
      <w:r w:rsidRPr="00E95678">
        <w:rPr>
          <w:rFonts w:ascii="Times New Roman" w:hAnsi="Times New Roman" w:cs="Times New Roman"/>
          <w:bCs/>
          <w:sz w:val="24"/>
          <w:szCs w:val="24"/>
        </w:rPr>
        <w:t>.</w:t>
      </w:r>
    </w:p>
    <w:p w14:paraId="3F0D592B" w14:textId="1E518226"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5</w:t>
      </w:r>
      <w:r w:rsidRPr="00E95678">
        <w:rPr>
          <w:rFonts w:ascii="Times New Roman" w:hAnsi="Times New Roman" w:cs="Times New Roman"/>
          <w:bCs/>
          <w:sz w:val="24"/>
          <w:szCs w:val="24"/>
        </w:rPr>
        <w:t xml:space="preserve"> projektu </w:t>
      </w:r>
      <w:r w:rsidRPr="00E95678">
        <w:rPr>
          <w:rFonts w:ascii="Times New Roman" w:hAnsi="Times New Roman" w:cs="Times New Roman"/>
          <w:sz w:val="24"/>
          <w:szCs w:val="24"/>
        </w:rPr>
        <w:t xml:space="preserve">definiuje pojęcie </w:t>
      </w:r>
      <w:r w:rsidRPr="00E95678">
        <w:rPr>
          <w:rFonts w:ascii="Times New Roman" w:hAnsi="Times New Roman" w:cs="Times New Roman"/>
          <w:b/>
          <w:bCs/>
          <w:sz w:val="24"/>
          <w:szCs w:val="24"/>
        </w:rPr>
        <w:t>o</w:t>
      </w:r>
      <w:r w:rsidRPr="00E95678">
        <w:rPr>
          <w:rFonts w:ascii="Times New Roman" w:hAnsi="Times New Roman" w:cs="Times New Roman"/>
          <w:b/>
          <w:sz w:val="24"/>
          <w:szCs w:val="24"/>
        </w:rPr>
        <w:t>rganizacji nienastawionej na zysk (NPO)</w:t>
      </w:r>
      <w:r w:rsidRPr="00E95678">
        <w:rPr>
          <w:rFonts w:ascii="Times New Roman" w:hAnsi="Times New Roman" w:cs="Times New Roman"/>
          <w:sz w:val="24"/>
          <w:szCs w:val="24"/>
        </w:rPr>
        <w:t xml:space="preserve">, zgodnie z warunkami określonymi w art. 3.11 Dyrektywy. </w:t>
      </w:r>
      <w:r w:rsidRPr="00E95678">
        <w:rPr>
          <w:rFonts w:ascii="Times New Roman" w:hAnsi="Times New Roman" w:cs="Times New Roman"/>
          <w:bCs/>
          <w:sz w:val="24"/>
          <w:szCs w:val="24"/>
        </w:rPr>
        <w:t>Definicja ta opiera się na definicji „aktywnego podmiotu niefinansowego (NFE)” (lit. h) zawartej w sekcji VIII (Definicje terminów) wskazanego wyżej standardu automatycznej wymiany informacji.</w:t>
      </w:r>
    </w:p>
    <w:p w14:paraId="7E22AC72" w14:textId="37FA9D42"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W </w:t>
      </w:r>
      <w:r w:rsidRPr="00E95678">
        <w:rPr>
          <w:rFonts w:ascii="Times New Roman" w:hAnsi="Times New Roman" w:cs="Times New Roman"/>
          <w:b/>
          <w:sz w:val="24"/>
          <w:szCs w:val="24"/>
        </w:rPr>
        <w:t xml:space="preserve">art. 5 ust. </w:t>
      </w:r>
      <w:r w:rsidR="00F20A0F" w:rsidRPr="00E95678">
        <w:rPr>
          <w:rFonts w:ascii="Times New Roman" w:hAnsi="Times New Roman" w:cs="Times New Roman"/>
          <w:b/>
          <w:sz w:val="24"/>
          <w:szCs w:val="24"/>
        </w:rPr>
        <w:t>5</w:t>
      </w:r>
      <w:r w:rsidRPr="00E95678">
        <w:rPr>
          <w:rFonts w:ascii="Times New Roman" w:hAnsi="Times New Roman" w:cs="Times New Roman"/>
          <w:bCs/>
          <w:sz w:val="24"/>
          <w:szCs w:val="24"/>
        </w:rPr>
        <w:t xml:space="preserve"> </w:t>
      </w:r>
      <w:r w:rsidRPr="00E95678">
        <w:rPr>
          <w:rFonts w:ascii="Times New Roman" w:hAnsi="Times New Roman" w:cs="Times New Roman"/>
          <w:b/>
          <w:bCs/>
          <w:sz w:val="24"/>
          <w:szCs w:val="24"/>
        </w:rPr>
        <w:t>pkt 1</w:t>
      </w:r>
      <w:r w:rsidRPr="00E95678">
        <w:rPr>
          <w:rFonts w:ascii="Times New Roman" w:hAnsi="Times New Roman" w:cs="Times New Roman"/>
          <w:bCs/>
          <w:sz w:val="24"/>
          <w:szCs w:val="24"/>
        </w:rPr>
        <w:t xml:space="preserve"> omawianej definicji określono ogólne kryteria odnoszące się do celu i formy działania jednostki uznawanej za organizację nienastawioną na zysk. Taka organizacja to jednostka utworzona i działająca w </w:t>
      </w:r>
      <w:r w:rsidR="004A058D" w:rsidRPr="00E95678">
        <w:rPr>
          <w:rFonts w:ascii="Times New Roman" w:hAnsi="Times New Roman" w:cs="Times New Roman"/>
          <w:bCs/>
          <w:sz w:val="24"/>
          <w:szCs w:val="24"/>
        </w:rPr>
        <w:t>jurysdykcji</w:t>
      </w:r>
      <w:r w:rsidRPr="00E95678">
        <w:rPr>
          <w:rFonts w:ascii="Times New Roman" w:hAnsi="Times New Roman" w:cs="Times New Roman"/>
          <w:bCs/>
          <w:sz w:val="24"/>
          <w:szCs w:val="24"/>
        </w:rPr>
        <w:t xml:space="preserve">, w której posiada </w:t>
      </w:r>
      <w:r w:rsidR="004950BA" w:rsidRPr="00E95678">
        <w:rPr>
          <w:rFonts w:ascii="Times New Roman" w:hAnsi="Times New Roman" w:cs="Times New Roman"/>
          <w:bCs/>
          <w:sz w:val="24"/>
          <w:szCs w:val="24"/>
        </w:rPr>
        <w:t>rezydencję</w:t>
      </w:r>
      <w:r w:rsidR="004950BA" w:rsidRPr="00E95678">
        <w:rPr>
          <w:rStyle w:val="Odwoanieprzypisudolnego"/>
          <w:rFonts w:ascii="Times New Roman" w:hAnsi="Times New Roman" w:cs="Times New Roman"/>
          <w:bCs/>
          <w:sz w:val="24"/>
          <w:szCs w:val="24"/>
        </w:rPr>
        <w:footnoteReference w:id="57"/>
      </w:r>
      <w:r w:rsidRPr="00E95678">
        <w:rPr>
          <w:rFonts w:ascii="Times New Roman" w:hAnsi="Times New Roman" w:cs="Times New Roman"/>
          <w:bCs/>
          <w:sz w:val="24"/>
          <w:szCs w:val="24"/>
        </w:rPr>
        <w:t xml:space="preserve">, wyłącznie w celach religijnych, charytatywnych, naukowych, artystycznych, kulturalnych, sportowych, edukacyjnych lub innych podobnych celach, takich jak zdrowie publiczne, rozwój i ochrona praw człowieka lub praw zwierząt lub ochrona środowiska. Obejmuje ona szeroki katalog organizacji, takich jak: organizacje zrzeszających zawody, w tym samorządy zawodowe, organizacje przedsiębiorców, w tym ligi przedsiębiorców, izby gospodarcze lub handlowe, organizacje pracy, w tym związki zawodowe, organizacje rolników lub ogrodników, w tym izby rolnicze, organizacje obywatelskie lub organizacje prowadzone wyłączenie w celu promowania dobrobytu społecznego. </w:t>
      </w:r>
    </w:p>
    <w:p w14:paraId="133E8BDA" w14:textId="246FC252"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W </w:t>
      </w:r>
      <w:r w:rsidRPr="00E95678">
        <w:rPr>
          <w:rFonts w:ascii="Times New Roman" w:hAnsi="Times New Roman" w:cs="Times New Roman"/>
          <w:b/>
          <w:sz w:val="24"/>
          <w:szCs w:val="24"/>
        </w:rPr>
        <w:t xml:space="preserve">art. 5 ust. </w:t>
      </w:r>
      <w:r w:rsidR="00F20A0F" w:rsidRPr="00E95678">
        <w:rPr>
          <w:rFonts w:ascii="Times New Roman" w:hAnsi="Times New Roman" w:cs="Times New Roman"/>
          <w:b/>
          <w:sz w:val="24"/>
          <w:szCs w:val="24"/>
        </w:rPr>
        <w:t>5</w:t>
      </w:r>
      <w:r w:rsidRPr="00E95678">
        <w:rPr>
          <w:rFonts w:ascii="Times New Roman" w:hAnsi="Times New Roman" w:cs="Times New Roman"/>
          <w:bCs/>
          <w:sz w:val="24"/>
          <w:szCs w:val="24"/>
        </w:rPr>
        <w:t xml:space="preserve"> </w:t>
      </w:r>
      <w:r w:rsidRPr="00E95678">
        <w:rPr>
          <w:rFonts w:ascii="Times New Roman" w:hAnsi="Times New Roman" w:cs="Times New Roman"/>
          <w:b/>
          <w:bCs/>
          <w:sz w:val="24"/>
          <w:szCs w:val="24"/>
        </w:rPr>
        <w:t>pkt 2 i 3</w:t>
      </w:r>
      <w:r w:rsidRPr="00E95678">
        <w:rPr>
          <w:rFonts w:ascii="Times New Roman" w:hAnsi="Times New Roman" w:cs="Times New Roman"/>
          <w:bCs/>
          <w:sz w:val="24"/>
          <w:szCs w:val="24"/>
        </w:rPr>
        <w:t xml:space="preserve"> zawarto wymóg, aby prawie cały dochód takiej jednostki był zwolniony z podatku w </w:t>
      </w:r>
      <w:r w:rsidR="004A058D" w:rsidRPr="00E95678">
        <w:rPr>
          <w:rFonts w:ascii="Times New Roman" w:hAnsi="Times New Roman" w:cs="Times New Roman"/>
          <w:bCs/>
          <w:sz w:val="24"/>
          <w:szCs w:val="24"/>
        </w:rPr>
        <w:t xml:space="preserve">jurysdykcji </w:t>
      </w:r>
      <w:r w:rsidRPr="00E95678">
        <w:rPr>
          <w:rFonts w:ascii="Times New Roman" w:hAnsi="Times New Roman" w:cs="Times New Roman"/>
          <w:bCs/>
          <w:sz w:val="24"/>
          <w:szCs w:val="24"/>
        </w:rPr>
        <w:t xml:space="preserve">jej siedziby oraz aby taka jednostka nie posiadała udziałowców, członków </w:t>
      </w:r>
      <w:r w:rsidRPr="00E95678">
        <w:rPr>
          <w:rFonts w:ascii="Times New Roman" w:hAnsi="Times New Roman" w:cs="Times New Roman"/>
          <w:sz w:val="24"/>
          <w:szCs w:val="24"/>
        </w:rPr>
        <w:t>lub innych uczestników, którzy są właścicielami lub beneficjentami ich dochodu lub majątku</w:t>
      </w:r>
      <w:r w:rsidRPr="00E95678">
        <w:rPr>
          <w:rFonts w:ascii="Times New Roman" w:hAnsi="Times New Roman" w:cs="Times New Roman"/>
          <w:bCs/>
          <w:sz w:val="24"/>
          <w:szCs w:val="24"/>
        </w:rPr>
        <w:t>.</w:t>
      </w:r>
    </w:p>
    <w:p w14:paraId="6187D62D" w14:textId="6E7E995B"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5</w:t>
      </w:r>
      <w:r w:rsidRPr="00E95678">
        <w:rPr>
          <w:rFonts w:ascii="Times New Roman" w:hAnsi="Times New Roman" w:cs="Times New Roman"/>
          <w:b/>
          <w:bCs/>
          <w:sz w:val="24"/>
          <w:szCs w:val="24"/>
        </w:rPr>
        <w:t xml:space="preserve"> pkt 4</w:t>
      </w:r>
      <w:r w:rsidRPr="00E95678">
        <w:rPr>
          <w:rFonts w:ascii="Times New Roman" w:hAnsi="Times New Roman" w:cs="Times New Roman"/>
          <w:bCs/>
          <w:sz w:val="24"/>
          <w:szCs w:val="24"/>
        </w:rPr>
        <w:t xml:space="preserve"> wprowadza warunek, zgodnie z którym dochód lub aktywa organizacji nienastawionej na zysk nie mogą być </w:t>
      </w:r>
      <w:r w:rsidRPr="00E95678">
        <w:rPr>
          <w:rFonts w:ascii="Times New Roman" w:hAnsi="Times New Roman" w:cs="Times New Roman"/>
          <w:sz w:val="24"/>
          <w:szCs w:val="24"/>
        </w:rPr>
        <w:t>dystrybuowane (przekazane) ani przypisane</w:t>
      </w:r>
      <w:r w:rsidRPr="00E95678">
        <w:rPr>
          <w:rFonts w:ascii="Times New Roman" w:hAnsi="Times New Roman" w:cs="Times New Roman"/>
          <w:bCs/>
          <w:sz w:val="24"/>
          <w:szCs w:val="24"/>
        </w:rPr>
        <w:t xml:space="preserve"> na rzecz osoby innej niż jednostka prowadząca działalność charytatywną (określana też na gruncie wspomnianych wcześniej standardów wymiany informacji jako „osoba prywatna”). Następnie wymienia trzy wyjątki:</w:t>
      </w:r>
    </w:p>
    <w:p w14:paraId="33306E17" w14:textId="77777777" w:rsidR="00DB7D51" w:rsidRPr="00E95678" w:rsidRDefault="00DB7D51" w:rsidP="00B6504F">
      <w:pPr>
        <w:pStyle w:val="Akapitzlist"/>
        <w:numPr>
          <w:ilvl w:val="0"/>
          <w:numId w:val="42"/>
        </w:numPr>
        <w:spacing w:after="120"/>
        <w:ind w:left="709" w:hanging="283"/>
        <w:jc w:val="both"/>
        <w:rPr>
          <w:rFonts w:ascii="Times New Roman" w:hAnsi="Times New Roman" w:cs="Times New Roman"/>
          <w:bCs/>
          <w:sz w:val="24"/>
          <w:szCs w:val="24"/>
        </w:rPr>
      </w:pPr>
      <w:r w:rsidRPr="00E95678">
        <w:rPr>
          <w:rFonts w:ascii="Times New Roman" w:hAnsi="Times New Roman" w:cs="Times New Roman"/>
          <w:bCs/>
          <w:sz w:val="24"/>
          <w:szCs w:val="24"/>
        </w:rPr>
        <w:lastRenderedPageBreak/>
        <w:t xml:space="preserve">Pierwszy z nich dotyczy przypadku korzyści otrzymanej w ramach prowadzonej przez NPO działalności charytatywnej. Przykładem takiego działania może być sfinansowanie przez fundację absolwentów uniwersytetu wydatków studentów, znajdujących się w trudnej sytuacji materialnej lub życiowej. </w:t>
      </w:r>
    </w:p>
    <w:p w14:paraId="63FC37DA" w14:textId="77777777" w:rsidR="00DB7D51" w:rsidRPr="00E95678" w:rsidRDefault="00DB7D51" w:rsidP="00B6504F">
      <w:pPr>
        <w:pStyle w:val="Akapitzlist"/>
        <w:numPr>
          <w:ilvl w:val="0"/>
          <w:numId w:val="42"/>
        </w:numPr>
        <w:spacing w:after="120"/>
        <w:ind w:left="709" w:hanging="283"/>
        <w:jc w:val="both"/>
        <w:rPr>
          <w:rFonts w:ascii="Times New Roman" w:hAnsi="Times New Roman" w:cs="Times New Roman"/>
          <w:bCs/>
          <w:sz w:val="24"/>
          <w:szCs w:val="24"/>
        </w:rPr>
      </w:pPr>
      <w:r w:rsidRPr="00E95678">
        <w:rPr>
          <w:rFonts w:ascii="Times New Roman" w:hAnsi="Times New Roman" w:cs="Times New Roman"/>
          <w:bCs/>
          <w:sz w:val="24"/>
          <w:szCs w:val="24"/>
        </w:rPr>
        <w:t>Drugi wyjątek dotyczy sytuacji, w której NPO płaci godziwe wynagrodzenie za nabyte przez nią usługi lub za korzystanie z mienia lub kapitału innych podmiotów (np. NPO dokonuje płatności czynszu na rzecz wynajmującego za prawo do korzystania z powierzchni biurowej lub innych lokali potrzebnych do jej funkcjonowania).</w:t>
      </w:r>
    </w:p>
    <w:p w14:paraId="5DF79BAE" w14:textId="77777777" w:rsidR="00DB7D51" w:rsidRPr="00E95678" w:rsidRDefault="00DB7D51" w:rsidP="00B6504F">
      <w:pPr>
        <w:pStyle w:val="Akapitzlist"/>
        <w:numPr>
          <w:ilvl w:val="0"/>
          <w:numId w:val="42"/>
        </w:numPr>
        <w:spacing w:after="120"/>
        <w:ind w:left="709" w:hanging="283"/>
        <w:jc w:val="both"/>
        <w:rPr>
          <w:rFonts w:ascii="Times New Roman" w:hAnsi="Times New Roman" w:cs="Times New Roman"/>
          <w:bCs/>
          <w:sz w:val="24"/>
          <w:szCs w:val="24"/>
        </w:rPr>
      </w:pPr>
      <w:r w:rsidRPr="00E95678">
        <w:rPr>
          <w:rFonts w:ascii="Times New Roman" w:hAnsi="Times New Roman" w:cs="Times New Roman"/>
          <w:bCs/>
          <w:sz w:val="24"/>
          <w:szCs w:val="24"/>
        </w:rPr>
        <w:t>Trzeci wyjątek dotyczy sytuacji, w której NPO dokonuje płatności odpowiadającej wartości rynkowej majątku nabytego przez NPO (np. organizacja kupuje nieruchomość po wartości rynkowej w celu prowadzenia tam biura).</w:t>
      </w:r>
    </w:p>
    <w:p w14:paraId="7F1C5B37" w14:textId="09CE2289"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5</w:t>
      </w:r>
      <w:r w:rsidRPr="00E95678">
        <w:rPr>
          <w:rFonts w:ascii="Times New Roman" w:hAnsi="Times New Roman" w:cs="Times New Roman"/>
          <w:b/>
          <w:bCs/>
          <w:sz w:val="24"/>
          <w:szCs w:val="24"/>
        </w:rPr>
        <w:t xml:space="preserve"> pkt 5 </w:t>
      </w:r>
      <w:r w:rsidRPr="00E95678">
        <w:rPr>
          <w:rFonts w:ascii="Times New Roman" w:hAnsi="Times New Roman" w:cs="Times New Roman"/>
          <w:bCs/>
          <w:sz w:val="24"/>
          <w:szCs w:val="24"/>
        </w:rPr>
        <w:t>omawianej definicji zawiera warunek</w:t>
      </w:r>
      <w:r w:rsidRPr="00E95678">
        <w:rPr>
          <w:rFonts w:ascii="Times New Roman" w:hAnsi="Times New Roman" w:cs="Times New Roman"/>
          <w:sz w:val="24"/>
          <w:szCs w:val="24"/>
        </w:rPr>
        <w:t xml:space="preserve">, wyłączający </w:t>
      </w:r>
      <w:r w:rsidRPr="00E95678">
        <w:rPr>
          <w:rFonts w:ascii="Times New Roman" w:hAnsi="Times New Roman" w:cs="Times New Roman"/>
          <w:bCs/>
          <w:sz w:val="24"/>
          <w:szCs w:val="24"/>
        </w:rPr>
        <w:t>z zakresu NPO podmiot prowadzący działalność gospodarczą niezwiązaną bezpośrednio z celami, dla których został on utworzony</w:t>
      </w:r>
      <w:r w:rsidRPr="00E95678">
        <w:rPr>
          <w:rStyle w:val="Odwoanieprzypisudolnego"/>
          <w:rFonts w:ascii="Times New Roman" w:hAnsi="Times New Roman" w:cs="Times New Roman"/>
          <w:bCs/>
          <w:sz w:val="24"/>
          <w:szCs w:val="24"/>
        </w:rPr>
        <w:footnoteReference w:id="58"/>
      </w:r>
      <w:r w:rsidRPr="00E95678">
        <w:rPr>
          <w:rFonts w:ascii="Times New Roman" w:hAnsi="Times New Roman" w:cs="Times New Roman"/>
          <w:bCs/>
          <w:sz w:val="24"/>
          <w:szCs w:val="24"/>
        </w:rPr>
        <w:t xml:space="preserve">. </w:t>
      </w:r>
    </w:p>
    <w:p w14:paraId="7DE45A97" w14:textId="440F9997"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sz w:val="24"/>
          <w:szCs w:val="24"/>
        </w:rPr>
        <w:t>Ostatni punkt</w:t>
      </w:r>
      <w:r w:rsidRPr="00E95678">
        <w:rPr>
          <w:rFonts w:ascii="Times New Roman" w:hAnsi="Times New Roman" w:cs="Times New Roman"/>
          <w:b/>
          <w:bCs/>
          <w:sz w:val="24"/>
          <w:szCs w:val="24"/>
        </w:rPr>
        <w:t xml:space="preserve"> </w:t>
      </w:r>
      <w:r w:rsidRPr="00E95678">
        <w:rPr>
          <w:rFonts w:ascii="Times New Roman" w:hAnsi="Times New Roman" w:cs="Times New Roman"/>
          <w:sz w:val="24"/>
          <w:szCs w:val="24"/>
        </w:rPr>
        <w:t>(</w:t>
      </w: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5</w:t>
      </w:r>
      <w:r w:rsidRPr="00E95678">
        <w:rPr>
          <w:rFonts w:ascii="Times New Roman" w:hAnsi="Times New Roman" w:cs="Times New Roman"/>
          <w:b/>
          <w:bCs/>
          <w:sz w:val="24"/>
          <w:szCs w:val="24"/>
        </w:rPr>
        <w:t xml:space="preserve"> pkt 6</w:t>
      </w:r>
      <w:r w:rsidRPr="00E95678">
        <w:rPr>
          <w:rFonts w:ascii="Times New Roman" w:hAnsi="Times New Roman" w:cs="Times New Roman"/>
          <w:sz w:val="24"/>
          <w:szCs w:val="24"/>
        </w:rPr>
        <w:t>)</w:t>
      </w:r>
      <w:r w:rsidRPr="00E95678">
        <w:rPr>
          <w:rFonts w:ascii="Times New Roman" w:hAnsi="Times New Roman" w:cs="Times New Roman"/>
          <w:bCs/>
          <w:sz w:val="24"/>
          <w:szCs w:val="24"/>
        </w:rPr>
        <w:t xml:space="preserve"> omawianej definicji wprowadza warunek, zgodnie z którym w przypadku likwidacji (rozwiązania) NPO jej aktywa muszą być przekazywane administracji państwowej lub samorządowej </w:t>
      </w:r>
      <w:r w:rsidR="004A058D" w:rsidRPr="00E95678">
        <w:rPr>
          <w:rFonts w:ascii="Times New Roman" w:hAnsi="Times New Roman" w:cs="Times New Roman"/>
          <w:bCs/>
          <w:sz w:val="24"/>
          <w:szCs w:val="24"/>
        </w:rPr>
        <w:t xml:space="preserve">jurysdykcji </w:t>
      </w:r>
      <w:r w:rsidRPr="00E95678">
        <w:rPr>
          <w:rFonts w:ascii="Times New Roman" w:hAnsi="Times New Roman" w:cs="Times New Roman"/>
          <w:bCs/>
          <w:sz w:val="24"/>
          <w:szCs w:val="24"/>
        </w:rPr>
        <w:t xml:space="preserve">rezydencji tej organizacji </w:t>
      </w:r>
      <w:r w:rsidRPr="00E95678">
        <w:rPr>
          <w:rFonts w:ascii="Times New Roman" w:hAnsi="Times New Roman" w:cs="Times New Roman"/>
          <w:sz w:val="24"/>
          <w:szCs w:val="24"/>
        </w:rPr>
        <w:t>lub na rzecz innej NPO</w:t>
      </w:r>
      <w:r w:rsidRPr="00E95678">
        <w:rPr>
          <w:rFonts w:ascii="Times New Roman" w:hAnsi="Times New Roman" w:cs="Times New Roman"/>
          <w:bCs/>
          <w:sz w:val="24"/>
          <w:szCs w:val="24"/>
        </w:rPr>
        <w:t xml:space="preserve">. </w:t>
      </w:r>
    </w:p>
    <w:p w14:paraId="3C745EBF" w14:textId="23EA2DB2"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Nie ma przeszkód, aby NPO była jednostką dominującą najwyższego szczebla danej grupy. Należy jednak podkreślić, że jednostka, która pełni wyłącznie rolę spółki holdingowej danej grupy, prowadzącej działalność komercyjną, nie będzie kwalifikowała się jako organizacja nienastawiona na zysk tylko dlatego, że jest klasyfikowana jako fundacja lub podobny podmiot zgodnie z przepisami podatkowymi </w:t>
      </w:r>
      <w:r w:rsidR="004A058D" w:rsidRPr="00E95678">
        <w:rPr>
          <w:rFonts w:ascii="Times New Roman" w:hAnsi="Times New Roman" w:cs="Times New Roman"/>
          <w:bCs/>
          <w:sz w:val="24"/>
          <w:szCs w:val="24"/>
        </w:rPr>
        <w:t xml:space="preserve">danej </w:t>
      </w:r>
      <w:r w:rsidR="004A058D" w:rsidRPr="00E95678">
        <w:rPr>
          <w:rFonts w:ascii="Times New Roman" w:hAnsi="Times New Roman" w:cs="Times New Roman"/>
          <w:sz w:val="24"/>
          <w:szCs w:val="24"/>
        </w:rPr>
        <w:t>jurysdykcji</w:t>
      </w:r>
      <w:r w:rsidRPr="00E95678">
        <w:rPr>
          <w:rFonts w:ascii="Times New Roman" w:hAnsi="Times New Roman" w:cs="Times New Roman"/>
          <w:bCs/>
          <w:sz w:val="24"/>
          <w:szCs w:val="24"/>
        </w:rPr>
        <w:t xml:space="preserve">. [Komentarz, 10.1;75] </w:t>
      </w:r>
    </w:p>
    <w:p w14:paraId="5763A405" w14:textId="58353BFF"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Cs/>
          <w:sz w:val="24"/>
          <w:szCs w:val="24"/>
        </w:rPr>
        <w:t xml:space="preserve">Przepis </w:t>
      </w: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6</w:t>
      </w:r>
      <w:r w:rsidRPr="00E95678">
        <w:rPr>
          <w:rFonts w:ascii="Times New Roman" w:hAnsi="Times New Roman" w:cs="Times New Roman"/>
          <w:bCs/>
          <w:sz w:val="24"/>
          <w:szCs w:val="24"/>
        </w:rPr>
        <w:t xml:space="preserve"> projektu </w:t>
      </w:r>
      <w:r w:rsidRPr="00E95678">
        <w:rPr>
          <w:rFonts w:ascii="Times New Roman" w:hAnsi="Times New Roman" w:cs="Times New Roman"/>
          <w:sz w:val="24"/>
          <w:szCs w:val="24"/>
        </w:rPr>
        <w:t xml:space="preserve">definiuje pojęcie </w:t>
      </w:r>
      <w:r w:rsidRPr="00E95678">
        <w:rPr>
          <w:rFonts w:ascii="Times New Roman" w:hAnsi="Times New Roman" w:cs="Times New Roman"/>
          <w:b/>
          <w:sz w:val="24"/>
          <w:szCs w:val="24"/>
        </w:rPr>
        <w:t>funduszu emerytalnego</w:t>
      </w:r>
      <w:r w:rsidRPr="00E95678">
        <w:rPr>
          <w:rFonts w:ascii="Times New Roman" w:hAnsi="Times New Roman" w:cs="Times New Roman"/>
          <w:sz w:val="24"/>
          <w:szCs w:val="24"/>
        </w:rPr>
        <w:t xml:space="preserve"> zgodnie z warunkami określonymi w art. 3.33 Dyrektywy. Pojęcie to obejmuje również </w:t>
      </w:r>
      <w:r w:rsidRPr="00E95678">
        <w:rPr>
          <w:rFonts w:ascii="Times New Roman" w:hAnsi="Times New Roman" w:cs="Times New Roman"/>
          <w:b/>
          <w:sz w:val="24"/>
          <w:szCs w:val="24"/>
        </w:rPr>
        <w:t>„</w:t>
      </w:r>
      <w:r w:rsidRPr="00E95678">
        <w:rPr>
          <w:rFonts w:ascii="Times New Roman" w:hAnsi="Times New Roman" w:cs="Times New Roman"/>
          <w:b/>
          <w:bCs/>
          <w:sz w:val="24"/>
          <w:szCs w:val="24"/>
        </w:rPr>
        <w:t>j</w:t>
      </w:r>
      <w:r w:rsidRPr="00E95678">
        <w:rPr>
          <w:rFonts w:ascii="Times New Roman" w:hAnsi="Times New Roman" w:cs="Times New Roman"/>
          <w:b/>
          <w:sz w:val="24"/>
          <w:szCs w:val="24"/>
        </w:rPr>
        <w:t>ednostkę świadczącą usługi emerytalne</w:t>
      </w:r>
      <w:r w:rsidRPr="00E95678">
        <w:rPr>
          <w:rFonts w:ascii="Times New Roman" w:hAnsi="Times New Roman" w:cs="Times New Roman"/>
          <w:sz w:val="24"/>
          <w:szCs w:val="24"/>
        </w:rPr>
        <w:t xml:space="preserve">”, o której mowa w art. 3.34 Dyrektywy i odpowiednio </w:t>
      </w: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6</w:t>
      </w:r>
      <w:r w:rsidRPr="00E95678">
        <w:rPr>
          <w:rFonts w:ascii="Times New Roman" w:hAnsi="Times New Roman" w:cs="Times New Roman"/>
          <w:b/>
          <w:bCs/>
          <w:sz w:val="24"/>
          <w:szCs w:val="24"/>
        </w:rPr>
        <w:t xml:space="preserve"> pkt 2</w:t>
      </w:r>
      <w:r w:rsidRPr="00E95678">
        <w:rPr>
          <w:rFonts w:ascii="Times New Roman" w:hAnsi="Times New Roman" w:cs="Times New Roman"/>
          <w:sz w:val="24"/>
          <w:szCs w:val="24"/>
        </w:rPr>
        <w:t xml:space="preserve"> projektu.  </w:t>
      </w:r>
    </w:p>
    <w:p w14:paraId="24983D78" w14:textId="0D4B8998"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Cs/>
          <w:sz w:val="24"/>
          <w:szCs w:val="24"/>
        </w:rPr>
        <w:t xml:space="preserve">Fundusz emerytalny został zdefiniowany jako jednostka, która została utworzona i działa wyłącznie lub prawie wyłącznie w celu </w:t>
      </w:r>
      <w:r w:rsidRPr="00E95678">
        <w:rPr>
          <w:rFonts w:ascii="Times New Roman" w:hAnsi="Times New Roman" w:cs="Times New Roman"/>
          <w:sz w:val="24"/>
          <w:szCs w:val="24"/>
        </w:rPr>
        <w:t>zarządzania (administrowania) lub dostarczania świadczeń emerytalnych i świadczeń uzupełniających dla osób fizycznych,</w:t>
      </w:r>
      <w:r w:rsidRPr="00E95678">
        <w:rPr>
          <w:rFonts w:ascii="Times New Roman" w:hAnsi="Times New Roman" w:cs="Times New Roman"/>
          <w:bCs/>
          <w:sz w:val="24"/>
          <w:szCs w:val="24"/>
        </w:rPr>
        <w:t xml:space="preserve"> </w:t>
      </w:r>
      <w:r w:rsidRPr="00E95678">
        <w:rPr>
          <w:rFonts w:ascii="Times New Roman" w:hAnsi="Times New Roman" w:cs="Times New Roman"/>
          <w:sz w:val="24"/>
          <w:szCs w:val="24"/>
        </w:rPr>
        <w:t xml:space="preserve">lub związanych ze świadczeniami emerytalnymi na rzecz osób fizycznych, i która spełnia dodatkowo jeden z warunków wskazanych w </w:t>
      </w:r>
      <w:r w:rsidRPr="00E95678">
        <w:rPr>
          <w:rFonts w:ascii="Times New Roman" w:hAnsi="Times New Roman" w:cs="Times New Roman"/>
          <w:b/>
          <w:bCs/>
          <w:sz w:val="24"/>
          <w:szCs w:val="24"/>
        </w:rPr>
        <w:t xml:space="preserve">art. 5 ust. </w:t>
      </w:r>
      <w:r w:rsidR="00F20A0F" w:rsidRPr="00E95678">
        <w:rPr>
          <w:rFonts w:ascii="Times New Roman" w:hAnsi="Times New Roman" w:cs="Times New Roman"/>
          <w:b/>
          <w:bCs/>
          <w:sz w:val="24"/>
          <w:szCs w:val="24"/>
        </w:rPr>
        <w:t>6</w:t>
      </w:r>
      <w:r w:rsidRPr="00E95678">
        <w:rPr>
          <w:rFonts w:ascii="Times New Roman" w:hAnsi="Times New Roman" w:cs="Times New Roman"/>
          <w:b/>
          <w:bCs/>
          <w:sz w:val="24"/>
          <w:szCs w:val="24"/>
        </w:rPr>
        <w:t xml:space="preserve"> pkt 1</w:t>
      </w:r>
      <w:r w:rsidRPr="00E95678">
        <w:rPr>
          <w:rFonts w:ascii="Times New Roman" w:hAnsi="Times New Roman" w:cs="Times New Roman"/>
          <w:sz w:val="24"/>
          <w:szCs w:val="24"/>
        </w:rPr>
        <w:t xml:space="preserve"> </w:t>
      </w:r>
      <w:r w:rsidRPr="00E95678">
        <w:rPr>
          <w:rFonts w:ascii="Times New Roman" w:hAnsi="Times New Roman" w:cs="Times New Roman"/>
          <w:b/>
          <w:bCs/>
          <w:sz w:val="24"/>
          <w:szCs w:val="24"/>
        </w:rPr>
        <w:t>lit a i b</w:t>
      </w:r>
      <w:r w:rsidRPr="00E95678">
        <w:rPr>
          <w:rFonts w:ascii="Times New Roman" w:hAnsi="Times New Roman" w:cs="Times New Roman"/>
          <w:sz w:val="24"/>
          <w:szCs w:val="24"/>
        </w:rPr>
        <w:t xml:space="preserve">. </w:t>
      </w:r>
    </w:p>
    <w:p w14:paraId="7F7ADC69" w14:textId="19BF58E8" w:rsidR="00DB7D51" w:rsidRPr="00E95678" w:rsidRDefault="007E6F1A" w:rsidP="00DB7D51">
      <w:pPr>
        <w:spacing w:after="120"/>
        <w:jc w:val="both"/>
        <w:rPr>
          <w:rFonts w:ascii="Times New Roman" w:hAnsi="Times New Roman" w:cs="Times New Roman"/>
          <w:bCs/>
          <w:sz w:val="24"/>
          <w:szCs w:val="24"/>
        </w:rPr>
      </w:pPr>
      <w:r w:rsidRPr="00E95678">
        <w:rPr>
          <w:rFonts w:ascii="Times New Roman" w:hAnsi="Times New Roman" w:cs="Times New Roman"/>
          <w:b/>
          <w:bCs/>
          <w:sz w:val="24"/>
          <w:szCs w:val="24"/>
        </w:rPr>
        <w:t>Zdanie wstępne ust. 6 i l</w:t>
      </w:r>
      <w:r w:rsidR="00DB7D51" w:rsidRPr="00E95678">
        <w:rPr>
          <w:rFonts w:ascii="Times New Roman" w:hAnsi="Times New Roman" w:cs="Times New Roman"/>
          <w:b/>
          <w:bCs/>
          <w:sz w:val="24"/>
          <w:szCs w:val="24"/>
        </w:rPr>
        <w:t>it. a</w:t>
      </w:r>
      <w:r w:rsidR="00DB7D51" w:rsidRPr="00E95678">
        <w:rPr>
          <w:rFonts w:ascii="Times New Roman" w:hAnsi="Times New Roman" w:cs="Times New Roman"/>
          <w:bCs/>
          <w:sz w:val="24"/>
          <w:szCs w:val="24"/>
        </w:rPr>
        <w:t xml:space="preserve"> definicji funduszu emerytalnego </w:t>
      </w:r>
      <w:r w:rsidRPr="00E95678">
        <w:rPr>
          <w:rFonts w:ascii="Times New Roman" w:hAnsi="Times New Roman" w:cs="Times New Roman"/>
          <w:bCs/>
          <w:sz w:val="24"/>
          <w:szCs w:val="24"/>
        </w:rPr>
        <w:t>są</w:t>
      </w:r>
      <w:r w:rsidR="00DB7D51" w:rsidRPr="00E95678">
        <w:rPr>
          <w:rFonts w:ascii="Times New Roman" w:hAnsi="Times New Roman" w:cs="Times New Roman"/>
          <w:bCs/>
          <w:sz w:val="24"/>
          <w:szCs w:val="24"/>
        </w:rPr>
        <w:t xml:space="preserve"> </w:t>
      </w:r>
      <w:r w:rsidRPr="00E95678">
        <w:rPr>
          <w:rFonts w:ascii="Times New Roman" w:hAnsi="Times New Roman" w:cs="Times New Roman"/>
          <w:bCs/>
          <w:sz w:val="24"/>
          <w:szCs w:val="24"/>
        </w:rPr>
        <w:t xml:space="preserve">w dużym stopniu </w:t>
      </w:r>
      <w:r w:rsidR="00DB7D51" w:rsidRPr="00E95678">
        <w:rPr>
          <w:rFonts w:ascii="Times New Roman" w:hAnsi="Times New Roman" w:cs="Times New Roman"/>
          <w:bCs/>
          <w:sz w:val="24"/>
          <w:szCs w:val="24"/>
        </w:rPr>
        <w:t>zbieżn</w:t>
      </w:r>
      <w:r w:rsidRPr="00E95678">
        <w:rPr>
          <w:rFonts w:ascii="Times New Roman" w:hAnsi="Times New Roman" w:cs="Times New Roman"/>
          <w:bCs/>
          <w:sz w:val="24"/>
          <w:szCs w:val="24"/>
        </w:rPr>
        <w:t>e</w:t>
      </w:r>
      <w:r w:rsidR="00DB7D51" w:rsidRPr="00E95678">
        <w:rPr>
          <w:rFonts w:ascii="Times New Roman" w:hAnsi="Times New Roman" w:cs="Times New Roman"/>
          <w:bCs/>
          <w:sz w:val="24"/>
          <w:szCs w:val="24"/>
        </w:rPr>
        <w:t xml:space="preserve"> z definicją „uznanego funduszu emerytalnego” zawartą w art. 3 ust. 1 lit. i) pkt (i) Modelowej </w:t>
      </w:r>
      <w:r w:rsidR="00ED3A9E" w:rsidRPr="00E95678">
        <w:rPr>
          <w:rFonts w:ascii="Times New Roman" w:hAnsi="Times New Roman" w:cs="Times New Roman"/>
          <w:bCs/>
          <w:sz w:val="24"/>
          <w:szCs w:val="24"/>
        </w:rPr>
        <w:t>k</w:t>
      </w:r>
      <w:r w:rsidR="00DB7D51" w:rsidRPr="00E95678">
        <w:rPr>
          <w:rFonts w:ascii="Times New Roman" w:hAnsi="Times New Roman" w:cs="Times New Roman"/>
          <w:bCs/>
          <w:sz w:val="24"/>
          <w:szCs w:val="24"/>
        </w:rPr>
        <w:t xml:space="preserve">onwencji OECD. Tym samym komentarz do tego artykułu </w:t>
      </w:r>
      <w:r w:rsidR="00ED3A9E" w:rsidRPr="00E95678">
        <w:rPr>
          <w:rFonts w:ascii="Times New Roman" w:hAnsi="Times New Roman" w:cs="Times New Roman"/>
          <w:bCs/>
          <w:sz w:val="24"/>
          <w:szCs w:val="24"/>
        </w:rPr>
        <w:t>k</w:t>
      </w:r>
      <w:r w:rsidR="00DB7D51" w:rsidRPr="00E95678">
        <w:rPr>
          <w:rFonts w:ascii="Times New Roman" w:hAnsi="Times New Roman" w:cs="Times New Roman"/>
          <w:bCs/>
          <w:sz w:val="24"/>
          <w:szCs w:val="24"/>
        </w:rPr>
        <w:t xml:space="preserve">onwencji ma również znaczenie dla tej definicji, z zastrzeżeniem różnic między </w:t>
      </w:r>
      <w:r w:rsidR="0007799D" w:rsidRPr="00E95678">
        <w:rPr>
          <w:rFonts w:ascii="Times New Roman" w:hAnsi="Times New Roman" w:cs="Times New Roman"/>
          <w:bCs/>
          <w:sz w:val="24"/>
          <w:szCs w:val="24"/>
        </w:rPr>
        <w:t>Modelowymi zasadami OECD</w:t>
      </w:r>
      <w:r w:rsidR="00DB7D51" w:rsidRPr="00E95678">
        <w:rPr>
          <w:rFonts w:ascii="Times New Roman" w:hAnsi="Times New Roman" w:cs="Times New Roman"/>
          <w:bCs/>
          <w:sz w:val="24"/>
          <w:szCs w:val="24"/>
        </w:rPr>
        <w:t xml:space="preserve"> a Modelową </w:t>
      </w:r>
      <w:r w:rsidR="00ED3A9E" w:rsidRPr="00E95678">
        <w:rPr>
          <w:rFonts w:ascii="Times New Roman" w:hAnsi="Times New Roman" w:cs="Times New Roman"/>
          <w:bCs/>
          <w:sz w:val="24"/>
          <w:szCs w:val="24"/>
        </w:rPr>
        <w:t>k</w:t>
      </w:r>
      <w:r w:rsidR="00DB7D51" w:rsidRPr="00E95678">
        <w:rPr>
          <w:rFonts w:ascii="Times New Roman" w:hAnsi="Times New Roman" w:cs="Times New Roman"/>
          <w:bCs/>
          <w:sz w:val="24"/>
          <w:szCs w:val="24"/>
        </w:rPr>
        <w:t xml:space="preserve">onwencją OECD. </w:t>
      </w:r>
    </w:p>
    <w:p w14:paraId="2766B4B6" w14:textId="5CC278BF"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 xml:space="preserve">Definicja ta różni się </w:t>
      </w:r>
      <w:r w:rsidR="007E6F1A" w:rsidRPr="00E95678">
        <w:rPr>
          <w:rFonts w:ascii="Times New Roman" w:hAnsi="Times New Roman" w:cs="Times New Roman"/>
          <w:bCs/>
          <w:sz w:val="24"/>
          <w:szCs w:val="24"/>
        </w:rPr>
        <w:t xml:space="preserve">jednak </w:t>
      </w:r>
      <w:r w:rsidRPr="00E95678">
        <w:rPr>
          <w:rFonts w:ascii="Times New Roman" w:hAnsi="Times New Roman" w:cs="Times New Roman"/>
          <w:bCs/>
          <w:sz w:val="24"/>
          <w:szCs w:val="24"/>
        </w:rPr>
        <w:t xml:space="preserve">od definicji stosowanej w Modelowej </w:t>
      </w:r>
      <w:r w:rsidR="00ED3A9E" w:rsidRPr="00E95678">
        <w:rPr>
          <w:rFonts w:ascii="Times New Roman" w:hAnsi="Times New Roman" w:cs="Times New Roman"/>
          <w:bCs/>
          <w:sz w:val="24"/>
          <w:szCs w:val="24"/>
        </w:rPr>
        <w:t>k</w:t>
      </w:r>
      <w:r w:rsidRPr="00E95678">
        <w:rPr>
          <w:rFonts w:ascii="Times New Roman" w:hAnsi="Times New Roman" w:cs="Times New Roman"/>
          <w:bCs/>
          <w:sz w:val="24"/>
          <w:szCs w:val="24"/>
        </w:rPr>
        <w:t xml:space="preserve">onwencji OECD, ponieważ została zmodyfikowana w celu usunięcia odniesienia do tego, że fundusz podlega opodatkowaniu jako odrębny podmiot w </w:t>
      </w:r>
      <w:r w:rsidR="004A058D" w:rsidRPr="00E95678">
        <w:rPr>
          <w:rFonts w:ascii="Times New Roman" w:hAnsi="Times New Roman" w:cs="Times New Roman"/>
          <w:sz w:val="24"/>
          <w:szCs w:val="24"/>
        </w:rPr>
        <w:t xml:space="preserve">jurysdykcji </w:t>
      </w:r>
      <w:r w:rsidRPr="00E95678">
        <w:rPr>
          <w:rFonts w:ascii="Times New Roman" w:hAnsi="Times New Roman" w:cs="Times New Roman"/>
          <w:bCs/>
          <w:sz w:val="24"/>
          <w:szCs w:val="24"/>
        </w:rPr>
        <w:t xml:space="preserve">utworzenia tego funduszu, aby objąć </w:t>
      </w:r>
      <w:r w:rsidRPr="00E95678">
        <w:rPr>
          <w:rFonts w:ascii="Times New Roman" w:hAnsi="Times New Roman" w:cs="Times New Roman"/>
          <w:bCs/>
          <w:sz w:val="24"/>
          <w:szCs w:val="24"/>
        </w:rPr>
        <w:lastRenderedPageBreak/>
        <w:t>fundusze emerytalne utworzone w formie porozumienia prawnego, takiego jak trust. Definicja ta ma zastosowanie zarówno do publicznych, jak i prywatnych funduszy emerytalnych.</w:t>
      </w:r>
    </w:p>
    <w:p w14:paraId="2A2F7AAB" w14:textId="77777777"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
          <w:bCs/>
          <w:sz w:val="24"/>
          <w:szCs w:val="24"/>
        </w:rPr>
        <w:t>Lit. b</w:t>
      </w:r>
      <w:r w:rsidRPr="00E95678">
        <w:rPr>
          <w:rFonts w:ascii="Times New Roman" w:hAnsi="Times New Roman" w:cs="Times New Roman"/>
          <w:bCs/>
          <w:sz w:val="24"/>
          <w:szCs w:val="24"/>
        </w:rPr>
        <w:t xml:space="preserve"> z kolei rozszerza definicję funduszu emerytalnego na fundusz, który nie jest regulowany jako taki, ale jest utrzymywany przez fundusz powierniczy lub inny układ powierniczy w celu wypełnienia zobowiązań emerytalnych, które są zabezpieczone lub w inny sposób chronione przepisami krajowymi. Ta rozszerzona definicja ma na celu objęcie każdej sytuacji, w której określony podmiot nie podlega regulacji jako fundusz emerytalny, ale został utworzony w celu administrowania świadczeniami emerytalnymi lub ich zapewniania, a świadczenia te są zabezpieczone lub w inny sposób chronione przepisami krajowymi i finansowane z puli aktywów utrzymywanych na podstawie umowy powierniczej lub funduszu powierniczego w celu zabezpieczenia wypełnienia zobowiązań emerytalnych. Dotyczy to na przykład samodzielnie zarządzanych funduszy emerytalnych, w przypadku których przedsiębiorstwo wielonarodowe zarządza funduszami na rzecz swoich pracowników, w przypadku gdy świadczenia te są zabezpieczone przepisami krajowymi. [Komentarz, 10.1;90]</w:t>
      </w:r>
    </w:p>
    <w:p w14:paraId="7A81AFB5" w14:textId="169C752D" w:rsidR="00DB7D51" w:rsidRPr="00E95678" w:rsidRDefault="007E6F1A" w:rsidP="00DB7D51">
      <w:pPr>
        <w:spacing w:after="120"/>
        <w:jc w:val="both"/>
        <w:rPr>
          <w:rFonts w:ascii="Times New Roman" w:hAnsi="Times New Roman" w:cs="Times New Roman"/>
          <w:bCs/>
          <w:sz w:val="24"/>
          <w:szCs w:val="24"/>
        </w:rPr>
      </w:pPr>
      <w:r w:rsidRPr="00E95678">
        <w:rPr>
          <w:rFonts w:ascii="Times New Roman" w:hAnsi="Times New Roman" w:cs="Times New Roman"/>
          <w:b/>
          <w:sz w:val="24"/>
          <w:szCs w:val="24"/>
        </w:rPr>
        <w:t>A</w:t>
      </w:r>
      <w:r w:rsidR="00DB7D51" w:rsidRPr="00E95678">
        <w:rPr>
          <w:rFonts w:ascii="Times New Roman" w:hAnsi="Times New Roman" w:cs="Times New Roman"/>
          <w:b/>
          <w:sz w:val="24"/>
          <w:szCs w:val="24"/>
        </w:rPr>
        <w:t xml:space="preserve">rt. 5 ust. </w:t>
      </w:r>
      <w:r w:rsidR="00B33A6C" w:rsidRPr="00E95678">
        <w:rPr>
          <w:rFonts w:ascii="Times New Roman" w:hAnsi="Times New Roman" w:cs="Times New Roman"/>
          <w:b/>
          <w:sz w:val="24"/>
          <w:szCs w:val="24"/>
        </w:rPr>
        <w:t>6</w:t>
      </w:r>
      <w:r w:rsidR="00F20A0F" w:rsidRPr="00E95678">
        <w:rPr>
          <w:rFonts w:ascii="Times New Roman" w:hAnsi="Times New Roman" w:cs="Times New Roman"/>
          <w:bCs/>
          <w:sz w:val="24"/>
          <w:szCs w:val="24"/>
        </w:rPr>
        <w:t xml:space="preserve"> </w:t>
      </w:r>
      <w:r w:rsidR="00DB7D51" w:rsidRPr="00E95678">
        <w:rPr>
          <w:rFonts w:ascii="Times New Roman" w:hAnsi="Times New Roman" w:cs="Times New Roman"/>
          <w:b/>
          <w:bCs/>
          <w:sz w:val="24"/>
          <w:szCs w:val="24"/>
        </w:rPr>
        <w:t>pkt 2</w:t>
      </w:r>
      <w:r w:rsidRPr="00E95678">
        <w:rPr>
          <w:rFonts w:ascii="Times New Roman" w:hAnsi="Times New Roman" w:cs="Times New Roman"/>
          <w:b/>
          <w:bCs/>
          <w:sz w:val="24"/>
          <w:szCs w:val="24"/>
        </w:rPr>
        <w:t xml:space="preserve"> </w:t>
      </w:r>
      <w:r w:rsidRPr="00E95678">
        <w:rPr>
          <w:rFonts w:ascii="Times New Roman" w:hAnsi="Times New Roman" w:cs="Times New Roman"/>
          <w:sz w:val="24"/>
          <w:szCs w:val="24"/>
        </w:rPr>
        <w:t xml:space="preserve">wymienia szczególny typ funduszu emerytalnego, jakim jest </w:t>
      </w:r>
      <w:r w:rsidRPr="00E95678">
        <w:rPr>
          <w:rFonts w:ascii="Times New Roman" w:hAnsi="Times New Roman" w:cs="Times New Roman"/>
          <w:b/>
          <w:bCs/>
          <w:sz w:val="24"/>
          <w:szCs w:val="24"/>
        </w:rPr>
        <w:t>jednostka świadcząca usługi emerytalne</w:t>
      </w:r>
      <w:r w:rsidR="0007799D" w:rsidRPr="00E95678">
        <w:rPr>
          <w:rFonts w:ascii="Times New Roman" w:hAnsi="Times New Roman" w:cs="Times New Roman"/>
          <w:sz w:val="24"/>
          <w:szCs w:val="24"/>
        </w:rPr>
        <w:t xml:space="preserve">. Pojęcie to </w:t>
      </w:r>
      <w:r w:rsidR="00DB7D51" w:rsidRPr="00E95678">
        <w:rPr>
          <w:rFonts w:ascii="Times New Roman" w:hAnsi="Times New Roman" w:cs="Times New Roman"/>
          <w:bCs/>
          <w:sz w:val="24"/>
          <w:szCs w:val="24"/>
        </w:rPr>
        <w:t xml:space="preserve"> określone zostało w </w:t>
      </w:r>
      <w:r w:rsidR="00DB7D51" w:rsidRPr="00E95678">
        <w:rPr>
          <w:rFonts w:ascii="Times New Roman" w:hAnsi="Times New Roman" w:cs="Times New Roman"/>
          <w:b/>
          <w:sz w:val="24"/>
          <w:szCs w:val="24"/>
        </w:rPr>
        <w:t xml:space="preserve">ust. </w:t>
      </w:r>
      <w:r w:rsidR="00B33A6C" w:rsidRPr="00E95678">
        <w:rPr>
          <w:rFonts w:ascii="Times New Roman" w:hAnsi="Times New Roman" w:cs="Times New Roman"/>
          <w:b/>
          <w:sz w:val="24"/>
          <w:szCs w:val="24"/>
        </w:rPr>
        <w:t>7</w:t>
      </w:r>
      <w:r w:rsidR="00DB7D51" w:rsidRPr="00E95678">
        <w:rPr>
          <w:rFonts w:ascii="Times New Roman" w:hAnsi="Times New Roman" w:cs="Times New Roman"/>
          <w:bCs/>
          <w:sz w:val="24"/>
          <w:szCs w:val="24"/>
        </w:rPr>
        <w:t xml:space="preserve"> i obejmuje dwa rodzaje jednostek. Po pierwsze, mogą to być jednostki ustanowione w celu prowadzenia wyłącznie lub prawie wyłącznie działalności polegającej na inwestowania środków na rzecz funduszu emerytalnego, o którym mowa w </w:t>
      </w:r>
      <w:r w:rsidR="00DB7D51" w:rsidRPr="00E95678">
        <w:rPr>
          <w:rFonts w:ascii="Times New Roman" w:hAnsi="Times New Roman" w:cs="Times New Roman"/>
          <w:b/>
          <w:sz w:val="24"/>
          <w:szCs w:val="24"/>
        </w:rPr>
        <w:t xml:space="preserve">art. 5 ust. </w:t>
      </w:r>
      <w:r w:rsidR="00B33A6C" w:rsidRPr="00E95678">
        <w:rPr>
          <w:rFonts w:ascii="Times New Roman" w:hAnsi="Times New Roman" w:cs="Times New Roman"/>
          <w:b/>
          <w:sz w:val="24"/>
          <w:szCs w:val="24"/>
        </w:rPr>
        <w:t>6</w:t>
      </w:r>
      <w:r w:rsidR="00DB7D51" w:rsidRPr="00E95678">
        <w:rPr>
          <w:rFonts w:ascii="Times New Roman" w:hAnsi="Times New Roman" w:cs="Times New Roman"/>
          <w:b/>
          <w:sz w:val="24"/>
          <w:szCs w:val="24"/>
        </w:rPr>
        <w:t xml:space="preserve"> pkt 1</w:t>
      </w:r>
      <w:r w:rsidR="00DB7D51" w:rsidRPr="00E95678">
        <w:rPr>
          <w:rFonts w:ascii="Times New Roman" w:hAnsi="Times New Roman" w:cs="Times New Roman"/>
          <w:bCs/>
          <w:sz w:val="24"/>
          <w:szCs w:val="24"/>
        </w:rPr>
        <w:t>. Po drugie mogą to być jednostki, które zostały utworzone i działają wyłącznie lub prawie wyłącznie w celu prowadzenia działalności pomocniczej w stosunku do działalności regulowanej prowadzonej przez taki fundusz emerytalny.</w:t>
      </w:r>
    </w:p>
    <w:p w14:paraId="5C3EBECB" w14:textId="38C87F19"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bCs/>
          <w:sz w:val="24"/>
          <w:szCs w:val="24"/>
        </w:rPr>
        <w:t>Wyrażenie „</w:t>
      </w:r>
      <w:r w:rsidRPr="00E95678">
        <w:rPr>
          <w:rFonts w:ascii="Times New Roman" w:hAnsi="Times New Roman" w:cs="Times New Roman"/>
          <w:bCs/>
          <w:i/>
          <w:sz w:val="24"/>
          <w:szCs w:val="24"/>
        </w:rPr>
        <w:t>wyłącznie lub prawie wyłącznie</w:t>
      </w:r>
      <w:r w:rsidRPr="00E95678">
        <w:rPr>
          <w:rFonts w:ascii="Times New Roman" w:hAnsi="Times New Roman" w:cs="Times New Roman"/>
          <w:bCs/>
          <w:sz w:val="24"/>
          <w:szCs w:val="24"/>
        </w:rPr>
        <w:t>” zawarte w omawianych przepisach opiera się na sformułowaniu użytym w definicji „</w:t>
      </w:r>
      <w:r w:rsidRPr="00E95678">
        <w:rPr>
          <w:rFonts w:ascii="Times New Roman" w:hAnsi="Times New Roman" w:cs="Times New Roman"/>
          <w:bCs/>
          <w:i/>
          <w:sz w:val="24"/>
          <w:szCs w:val="24"/>
        </w:rPr>
        <w:t>uznanego funduszu emerytalnego”</w:t>
      </w:r>
      <w:r w:rsidRPr="00E95678">
        <w:rPr>
          <w:rFonts w:ascii="Times New Roman" w:hAnsi="Times New Roman" w:cs="Times New Roman"/>
          <w:bCs/>
          <w:sz w:val="24"/>
          <w:szCs w:val="24"/>
        </w:rPr>
        <w:t xml:space="preserve"> w art. 3 </w:t>
      </w:r>
      <w:r w:rsidR="00ED3A9E" w:rsidRPr="00E95678">
        <w:rPr>
          <w:rFonts w:ascii="Times New Roman" w:hAnsi="Times New Roman" w:cs="Times New Roman"/>
          <w:bCs/>
          <w:sz w:val="24"/>
          <w:szCs w:val="24"/>
        </w:rPr>
        <w:t xml:space="preserve">Modelowej </w:t>
      </w:r>
      <w:r w:rsidR="007656FC" w:rsidRPr="00E95678">
        <w:rPr>
          <w:rFonts w:ascii="Times New Roman" w:hAnsi="Times New Roman" w:cs="Times New Roman"/>
          <w:bCs/>
          <w:sz w:val="24"/>
          <w:szCs w:val="24"/>
        </w:rPr>
        <w:t>k</w:t>
      </w:r>
      <w:r w:rsidRPr="00E95678">
        <w:rPr>
          <w:rFonts w:ascii="Times New Roman" w:hAnsi="Times New Roman" w:cs="Times New Roman"/>
          <w:bCs/>
          <w:sz w:val="24"/>
          <w:szCs w:val="24"/>
        </w:rPr>
        <w:t>onwencji</w:t>
      </w:r>
      <w:r w:rsidR="00ED3A9E" w:rsidRPr="00E95678">
        <w:rPr>
          <w:rFonts w:ascii="Times New Roman" w:hAnsi="Times New Roman" w:cs="Times New Roman"/>
          <w:bCs/>
          <w:sz w:val="24"/>
          <w:szCs w:val="24"/>
        </w:rPr>
        <w:t xml:space="preserve"> OECD</w:t>
      </w:r>
      <w:r w:rsidRPr="00E95678">
        <w:rPr>
          <w:rFonts w:ascii="Times New Roman" w:hAnsi="Times New Roman" w:cs="Times New Roman"/>
          <w:bCs/>
          <w:sz w:val="24"/>
          <w:szCs w:val="24"/>
        </w:rPr>
        <w:t xml:space="preserve"> i w komentarzu do </w:t>
      </w:r>
      <w:r w:rsidR="00ED3A9E" w:rsidRPr="00E95678">
        <w:rPr>
          <w:rFonts w:ascii="Times New Roman" w:hAnsi="Times New Roman" w:cs="Times New Roman"/>
          <w:bCs/>
          <w:sz w:val="24"/>
          <w:szCs w:val="24"/>
        </w:rPr>
        <w:t xml:space="preserve">tej </w:t>
      </w:r>
      <w:r w:rsidRPr="00E95678">
        <w:rPr>
          <w:rFonts w:ascii="Times New Roman" w:hAnsi="Times New Roman" w:cs="Times New Roman"/>
          <w:bCs/>
          <w:sz w:val="24"/>
          <w:szCs w:val="24"/>
        </w:rPr>
        <w:t xml:space="preserve"> </w:t>
      </w:r>
      <w:r w:rsidR="00ED3A9E" w:rsidRPr="00E95678">
        <w:rPr>
          <w:rFonts w:ascii="Times New Roman" w:hAnsi="Times New Roman" w:cs="Times New Roman"/>
          <w:bCs/>
          <w:sz w:val="24"/>
          <w:szCs w:val="24"/>
        </w:rPr>
        <w:t>k</w:t>
      </w:r>
      <w:r w:rsidRPr="00E95678">
        <w:rPr>
          <w:rFonts w:ascii="Times New Roman" w:hAnsi="Times New Roman" w:cs="Times New Roman"/>
          <w:bCs/>
          <w:sz w:val="24"/>
          <w:szCs w:val="24"/>
        </w:rPr>
        <w:t xml:space="preserve">onwencji odnoszącym się do tego wyrażenia (zob. pkt 10.11 tego komentarza), z tym, że jego interpretacja musi uwzględniać różnice między Modelowymi </w:t>
      </w:r>
      <w:r w:rsidR="0007799D" w:rsidRPr="00E95678">
        <w:rPr>
          <w:rFonts w:ascii="Times New Roman" w:hAnsi="Times New Roman" w:cs="Times New Roman"/>
          <w:bCs/>
          <w:sz w:val="24"/>
          <w:szCs w:val="24"/>
        </w:rPr>
        <w:t>z</w:t>
      </w:r>
      <w:r w:rsidRPr="00E95678">
        <w:rPr>
          <w:rFonts w:ascii="Times New Roman" w:hAnsi="Times New Roman" w:cs="Times New Roman"/>
          <w:bCs/>
          <w:sz w:val="24"/>
          <w:szCs w:val="24"/>
        </w:rPr>
        <w:t xml:space="preserve">asadami OECD a Modelową </w:t>
      </w:r>
      <w:r w:rsidR="00ED3A9E" w:rsidRPr="00E95678">
        <w:rPr>
          <w:rFonts w:ascii="Times New Roman" w:hAnsi="Times New Roman" w:cs="Times New Roman"/>
          <w:bCs/>
          <w:sz w:val="24"/>
          <w:szCs w:val="24"/>
        </w:rPr>
        <w:t>k</w:t>
      </w:r>
      <w:r w:rsidRPr="00E95678">
        <w:rPr>
          <w:rFonts w:ascii="Times New Roman" w:hAnsi="Times New Roman" w:cs="Times New Roman"/>
          <w:bCs/>
          <w:sz w:val="24"/>
          <w:szCs w:val="24"/>
        </w:rPr>
        <w:t xml:space="preserve">onwencją OECD. </w:t>
      </w:r>
    </w:p>
    <w:p w14:paraId="4023E911" w14:textId="77777777" w:rsidR="00CA6981" w:rsidRPr="00E95678" w:rsidRDefault="00CA6981" w:rsidP="00DB7D51">
      <w:pPr>
        <w:spacing w:after="120"/>
        <w:jc w:val="both"/>
        <w:rPr>
          <w:rFonts w:ascii="Times New Roman" w:hAnsi="Times New Roman" w:cs="Times New Roman"/>
          <w:bCs/>
          <w:sz w:val="24"/>
          <w:szCs w:val="24"/>
        </w:rPr>
      </w:pPr>
    </w:p>
    <w:p w14:paraId="6E2A5E51" w14:textId="77777777" w:rsidR="00DB7D51" w:rsidRPr="00E95678" w:rsidRDefault="00DB7D51" w:rsidP="00DB7D51">
      <w:pPr>
        <w:spacing w:after="120"/>
        <w:jc w:val="both"/>
        <w:rPr>
          <w:rFonts w:ascii="Times New Roman" w:hAnsi="Times New Roman" w:cs="Times New Roman"/>
          <w:i/>
          <w:iCs/>
          <w:sz w:val="24"/>
          <w:szCs w:val="24"/>
        </w:rPr>
      </w:pPr>
      <w:r w:rsidRPr="00E95678">
        <w:rPr>
          <w:rFonts w:ascii="Times New Roman" w:hAnsi="Times New Roman" w:cs="Times New Roman"/>
          <w:i/>
          <w:iCs/>
          <w:sz w:val="24"/>
          <w:szCs w:val="24"/>
        </w:rPr>
        <w:t>Pomocnicze jednostki wyłączone</w:t>
      </w:r>
    </w:p>
    <w:p w14:paraId="6A712AD5" w14:textId="6B331E38"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Szczególną kategorię jednostek wyłączonych, określoną w </w:t>
      </w:r>
      <w:r w:rsidRPr="00E95678">
        <w:rPr>
          <w:rFonts w:ascii="Times New Roman" w:hAnsi="Times New Roman" w:cs="Times New Roman"/>
          <w:b/>
          <w:sz w:val="24"/>
          <w:szCs w:val="24"/>
        </w:rPr>
        <w:t xml:space="preserve">art. 5 ust. </w:t>
      </w:r>
      <w:r w:rsidR="00C1533D" w:rsidRPr="00E95678">
        <w:rPr>
          <w:rFonts w:ascii="Times New Roman" w:hAnsi="Times New Roman" w:cs="Times New Roman"/>
          <w:b/>
          <w:sz w:val="24"/>
          <w:szCs w:val="24"/>
        </w:rPr>
        <w:t>2</w:t>
      </w:r>
      <w:r w:rsidRPr="00E95678">
        <w:rPr>
          <w:rFonts w:ascii="Times New Roman" w:hAnsi="Times New Roman" w:cs="Times New Roman"/>
          <w:b/>
          <w:sz w:val="24"/>
          <w:szCs w:val="24"/>
        </w:rPr>
        <w:t xml:space="preserve"> pkt 7 i 8</w:t>
      </w:r>
      <w:r w:rsidRPr="00E95678">
        <w:rPr>
          <w:rFonts w:ascii="Times New Roman" w:hAnsi="Times New Roman" w:cs="Times New Roman"/>
          <w:sz w:val="24"/>
          <w:szCs w:val="24"/>
        </w:rPr>
        <w:t xml:space="preserve">, stanowią jednostki o charakterze „pomocniczym” względem zasadniczych jednostek wyłączonych, spełniające dwa kryteria, z których pierwsze odnosi się do rodzaju jednostki posiadającej udziały lub prawa w takiej jednostce pomocniczej i wysokości tych udziałów lub, a drugie do rodzaju wykonywanej przez nie działalności albo rodzaju osiąganych przychodów. I tak, zgodnie z </w:t>
      </w:r>
      <w:r w:rsidRPr="00E95678">
        <w:rPr>
          <w:rFonts w:ascii="Times New Roman" w:hAnsi="Times New Roman" w:cs="Times New Roman"/>
          <w:b/>
          <w:bCs/>
          <w:sz w:val="24"/>
          <w:szCs w:val="24"/>
        </w:rPr>
        <w:t>pkt 7</w:t>
      </w:r>
      <w:r w:rsidRPr="00E95678">
        <w:rPr>
          <w:rFonts w:ascii="Times New Roman" w:hAnsi="Times New Roman" w:cs="Times New Roman"/>
          <w:sz w:val="24"/>
          <w:szCs w:val="24"/>
        </w:rPr>
        <w:t xml:space="preserve"> jednostkami wyłączonymi są również takie jednostki, w których: </w:t>
      </w:r>
    </w:p>
    <w:p w14:paraId="12850C51" w14:textId="231B3C76" w:rsidR="00DB7D51" w:rsidRPr="00E95678" w:rsidRDefault="00DB7D51" w:rsidP="002C7467">
      <w:pPr>
        <w:pStyle w:val="Akapitzlist"/>
        <w:numPr>
          <w:ilvl w:val="0"/>
          <w:numId w:val="54"/>
        </w:num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co najmniej </w:t>
      </w:r>
      <w:r w:rsidRPr="00E95678">
        <w:rPr>
          <w:rFonts w:ascii="Times New Roman" w:hAnsi="Times New Roman" w:cs="Times New Roman"/>
          <w:b/>
          <w:bCs/>
          <w:sz w:val="24"/>
          <w:szCs w:val="24"/>
        </w:rPr>
        <w:t>95%</w:t>
      </w:r>
      <w:r w:rsidRPr="00E95678">
        <w:rPr>
          <w:rFonts w:ascii="Times New Roman" w:hAnsi="Times New Roman" w:cs="Times New Roman"/>
          <w:sz w:val="24"/>
          <w:szCs w:val="24"/>
        </w:rPr>
        <w:t xml:space="preserve"> nominalnej wartości ich udziałów lub praw o podobnym charakterze </w:t>
      </w:r>
      <w:r w:rsidRPr="00E95678">
        <w:rPr>
          <w:rFonts w:ascii="Times New Roman" w:hAnsi="Times New Roman" w:cs="Times New Roman"/>
          <w:sz w:val="24"/>
          <w:szCs w:val="24"/>
        </w:rPr>
        <w:br/>
        <w:t>(</w:t>
      </w:r>
      <w:r w:rsidRPr="00E95678">
        <w:rPr>
          <w:rFonts w:ascii="Times New Roman" w:hAnsi="Times New Roman" w:cs="Times New Roman"/>
          <w:iCs/>
          <w:sz w:val="24"/>
          <w:szCs w:val="24"/>
        </w:rPr>
        <w:t>a w przypadku udziałów lub praw nie posiadających nominalnej wartości – emisyjnej wartości takich udziałów lub praw),</w:t>
      </w:r>
      <w:r w:rsidRPr="00E95678">
        <w:rPr>
          <w:rFonts w:ascii="Times New Roman" w:hAnsi="Times New Roman" w:cs="Times New Roman"/>
          <w:sz w:val="24"/>
          <w:szCs w:val="24"/>
        </w:rPr>
        <w:t xml:space="preserve"> posiadają jednostki wyłączone wskazane w </w:t>
      </w:r>
      <w:r w:rsidRPr="00E95678">
        <w:rPr>
          <w:rFonts w:ascii="Times New Roman" w:hAnsi="Times New Roman" w:cs="Times New Roman"/>
          <w:b/>
          <w:bCs/>
          <w:sz w:val="24"/>
          <w:szCs w:val="24"/>
        </w:rPr>
        <w:t>pkt 1-6</w:t>
      </w:r>
      <w:r w:rsidRPr="00E95678">
        <w:rPr>
          <w:rFonts w:ascii="Times New Roman" w:hAnsi="Times New Roman" w:cs="Times New Roman"/>
          <w:sz w:val="24"/>
          <w:szCs w:val="24"/>
        </w:rPr>
        <w:t xml:space="preserve"> (z wyjątkiem jednostek świadczących usługi emerytalne), (stanowi to tzw. „</w:t>
      </w:r>
      <w:r w:rsidRPr="00E95678">
        <w:rPr>
          <w:rFonts w:ascii="Times New Roman" w:hAnsi="Times New Roman" w:cs="Times New Roman"/>
          <w:b/>
          <w:sz w:val="24"/>
          <w:szCs w:val="24"/>
        </w:rPr>
        <w:t>test własności</w:t>
      </w:r>
      <w:r w:rsidRPr="00E95678">
        <w:rPr>
          <w:rFonts w:ascii="Times New Roman" w:hAnsi="Times New Roman" w:cs="Times New Roman"/>
          <w:sz w:val="24"/>
          <w:szCs w:val="24"/>
        </w:rPr>
        <w:t xml:space="preserve">”), lub </w:t>
      </w:r>
    </w:p>
    <w:p w14:paraId="15363839" w14:textId="66EB46EB" w:rsidR="00DB7D51" w:rsidRPr="00E95678" w:rsidRDefault="00DB7D51" w:rsidP="002C7467">
      <w:pPr>
        <w:pStyle w:val="Akapitzlist"/>
        <w:numPr>
          <w:ilvl w:val="0"/>
          <w:numId w:val="54"/>
        </w:numPr>
        <w:spacing w:after="120"/>
        <w:jc w:val="both"/>
        <w:rPr>
          <w:rFonts w:ascii="Times New Roman" w:hAnsi="Times New Roman" w:cs="Times New Roman"/>
          <w:sz w:val="24"/>
          <w:szCs w:val="24"/>
        </w:rPr>
      </w:pPr>
      <w:r w:rsidRPr="00E95678">
        <w:rPr>
          <w:rFonts w:ascii="Times New Roman" w:hAnsi="Times New Roman" w:cs="Times New Roman"/>
          <w:sz w:val="24"/>
          <w:szCs w:val="24"/>
        </w:rPr>
        <w:t>wyłącznym lub niemal wyłącznym przedmiotem działalności takich jednostek jest utrzymywanie aktywów (w tym zarządzanie takimi aktywami) lub inwestowanie środków finansowych</w:t>
      </w:r>
      <w:r w:rsidR="007656FC" w:rsidRPr="00E95678">
        <w:rPr>
          <w:rFonts w:ascii="Times New Roman" w:hAnsi="Times New Roman" w:cs="Times New Roman"/>
          <w:sz w:val="24"/>
          <w:szCs w:val="24"/>
        </w:rPr>
        <w:t xml:space="preserve"> (w tym pochodzących z pożyczek/kredytów) </w:t>
      </w:r>
      <w:r w:rsidRPr="00E95678">
        <w:rPr>
          <w:rFonts w:ascii="Times New Roman" w:hAnsi="Times New Roman" w:cs="Times New Roman"/>
          <w:sz w:val="24"/>
          <w:szCs w:val="24"/>
        </w:rPr>
        <w:t xml:space="preserve"> na rzecz jednostek </w:t>
      </w:r>
      <w:r w:rsidRPr="00E95678">
        <w:rPr>
          <w:rFonts w:ascii="Times New Roman" w:hAnsi="Times New Roman" w:cs="Times New Roman"/>
          <w:sz w:val="24"/>
          <w:szCs w:val="24"/>
        </w:rPr>
        <w:lastRenderedPageBreak/>
        <w:t>wyłączonych będących ich właścicielami lub prowadzenie działalności pomocniczej w stosunku do działalności takich jednostek (stanowi to tzw. „</w:t>
      </w:r>
      <w:r w:rsidRPr="00E95678">
        <w:rPr>
          <w:rFonts w:ascii="Times New Roman" w:hAnsi="Times New Roman" w:cs="Times New Roman"/>
          <w:b/>
          <w:sz w:val="24"/>
          <w:szCs w:val="24"/>
        </w:rPr>
        <w:t>test działalności</w:t>
      </w:r>
      <w:r w:rsidRPr="00E95678">
        <w:rPr>
          <w:rFonts w:ascii="Times New Roman" w:hAnsi="Times New Roman" w:cs="Times New Roman"/>
          <w:sz w:val="24"/>
          <w:szCs w:val="24"/>
        </w:rPr>
        <w:t>”).</w:t>
      </w:r>
    </w:p>
    <w:p w14:paraId="5C17B068" w14:textId="2148A5E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Ponadto, zgodnie z </w:t>
      </w:r>
      <w:r w:rsidRPr="00E95678">
        <w:rPr>
          <w:rFonts w:ascii="Times New Roman" w:hAnsi="Times New Roman" w:cs="Times New Roman"/>
          <w:b/>
          <w:bCs/>
          <w:sz w:val="24"/>
          <w:szCs w:val="24"/>
        </w:rPr>
        <w:t>pkt 8</w:t>
      </w:r>
      <w:r w:rsidRPr="00E95678">
        <w:rPr>
          <w:rFonts w:ascii="Times New Roman" w:hAnsi="Times New Roman" w:cs="Times New Roman"/>
          <w:sz w:val="24"/>
          <w:szCs w:val="24"/>
        </w:rPr>
        <w:t xml:space="preserve"> jednostkami wyłączonymi są jednostki, w których co najmniej </w:t>
      </w:r>
      <w:r w:rsidRPr="00E95678">
        <w:rPr>
          <w:rFonts w:ascii="Times New Roman" w:hAnsi="Times New Roman" w:cs="Times New Roman"/>
          <w:b/>
          <w:bCs/>
          <w:sz w:val="24"/>
          <w:szCs w:val="24"/>
        </w:rPr>
        <w:t>85%</w:t>
      </w:r>
      <w:r w:rsidRPr="00E95678">
        <w:rPr>
          <w:rFonts w:ascii="Times New Roman" w:hAnsi="Times New Roman" w:cs="Times New Roman"/>
          <w:sz w:val="24"/>
          <w:szCs w:val="24"/>
        </w:rPr>
        <w:t xml:space="preserve"> nominalnej wartości udziałów  lub praw o podobnym charakterze (</w:t>
      </w:r>
      <w:r w:rsidRPr="00E95678">
        <w:rPr>
          <w:rFonts w:ascii="Times New Roman" w:hAnsi="Times New Roman" w:cs="Times New Roman"/>
          <w:iCs/>
          <w:sz w:val="24"/>
          <w:szCs w:val="24"/>
        </w:rPr>
        <w:t>a w przypadku udziałów lub praw nieposiadających nominalnej wartości – emisyjnej wartości takich udziałów lub praw)</w:t>
      </w:r>
      <w:r w:rsidRPr="00E95678">
        <w:rPr>
          <w:rFonts w:ascii="Times New Roman" w:hAnsi="Times New Roman" w:cs="Times New Roman"/>
          <w:sz w:val="24"/>
          <w:szCs w:val="24"/>
        </w:rPr>
        <w:t xml:space="preserve"> posiadają jednostki wyłączone wskazane powyżej (z wyjątkiem jednostek świadczących usługi emerytalne), a prawie cały ich dochód pochodzi z wyłączonych dywidend lub zysków (strat) kapitałowych</w:t>
      </w:r>
      <w:r w:rsidRPr="00E95678">
        <w:rPr>
          <w:rStyle w:val="Odwoanieprzypisudolnego"/>
          <w:rFonts w:ascii="Times New Roman" w:hAnsi="Times New Roman" w:cs="Times New Roman"/>
          <w:sz w:val="24"/>
          <w:szCs w:val="24"/>
        </w:rPr>
        <w:footnoteReference w:id="59"/>
      </w:r>
      <w:r w:rsidRPr="00E95678">
        <w:rPr>
          <w:rFonts w:ascii="Times New Roman" w:hAnsi="Times New Roman" w:cs="Times New Roman"/>
          <w:sz w:val="24"/>
          <w:szCs w:val="24"/>
        </w:rPr>
        <w:t xml:space="preserve">. </w:t>
      </w:r>
    </w:p>
    <w:p w14:paraId="13D76D7C" w14:textId="46D8E6D6"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i/>
          <w:sz w:val="24"/>
          <w:szCs w:val="24"/>
        </w:rPr>
        <w:t>Ratio legis</w:t>
      </w:r>
      <w:r w:rsidRPr="00E95678">
        <w:rPr>
          <w:rFonts w:ascii="Times New Roman" w:hAnsi="Times New Roman" w:cs="Times New Roman"/>
          <w:sz w:val="24"/>
          <w:szCs w:val="24"/>
        </w:rPr>
        <w:t xml:space="preserve"> rozszerzenia kategorii jednostek wyłączonych o jednostki wskazane w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7 i 8</w:t>
      </w:r>
      <w:r w:rsidRPr="00E95678">
        <w:rPr>
          <w:rFonts w:ascii="Times New Roman" w:hAnsi="Times New Roman" w:cs="Times New Roman"/>
          <w:sz w:val="24"/>
          <w:szCs w:val="24"/>
        </w:rPr>
        <w:t xml:space="preserve"> projektu jest to, że jednostki wyłączone, określone w </w:t>
      </w:r>
      <w:r w:rsidRPr="00E95678">
        <w:rPr>
          <w:rFonts w:ascii="Times New Roman" w:hAnsi="Times New Roman" w:cs="Times New Roman"/>
          <w:b/>
          <w:bCs/>
          <w:sz w:val="24"/>
          <w:szCs w:val="24"/>
        </w:rPr>
        <w:t>pkt 1–6</w:t>
      </w:r>
      <w:r w:rsidRPr="00E95678">
        <w:rPr>
          <w:rFonts w:ascii="Times New Roman" w:hAnsi="Times New Roman" w:cs="Times New Roman"/>
          <w:sz w:val="24"/>
          <w:szCs w:val="24"/>
        </w:rPr>
        <w:t>, mogą być zobowiązane</w:t>
      </w:r>
      <w:r w:rsidR="00552AE1" w:rsidRPr="00E95678">
        <w:rPr>
          <w:rFonts w:ascii="Times New Roman" w:hAnsi="Times New Roman" w:cs="Times New Roman"/>
          <w:sz w:val="24"/>
          <w:szCs w:val="24"/>
        </w:rPr>
        <w:t>,</w:t>
      </w:r>
      <w:r w:rsidRPr="00E95678">
        <w:rPr>
          <w:rFonts w:ascii="Times New Roman" w:hAnsi="Times New Roman" w:cs="Times New Roman"/>
          <w:sz w:val="24"/>
          <w:szCs w:val="24"/>
        </w:rPr>
        <w:t xml:space="preserve"> np. z przyczyn regulacyjnych, do posiadania aktywów lub pełnienia określonych funkcji za pośrednictwem oddzielnych jednostek (np. </w:t>
      </w:r>
      <w:r w:rsidR="00552AE1" w:rsidRPr="00E95678">
        <w:rPr>
          <w:rFonts w:ascii="Times New Roman" w:hAnsi="Times New Roman" w:cs="Times New Roman"/>
          <w:sz w:val="24"/>
          <w:szCs w:val="24"/>
        </w:rPr>
        <w:t xml:space="preserve">zgodnie z prawem niektórych jurysdykcji </w:t>
      </w:r>
      <w:r w:rsidRPr="00E95678">
        <w:rPr>
          <w:rFonts w:ascii="Times New Roman" w:hAnsi="Times New Roman" w:cs="Times New Roman"/>
          <w:sz w:val="24"/>
          <w:szCs w:val="24"/>
        </w:rPr>
        <w:t>fundusz inwestycyjny</w:t>
      </w:r>
      <w:r w:rsidR="00552AE1" w:rsidRPr="00E95678">
        <w:rPr>
          <w:rFonts w:ascii="Times New Roman" w:hAnsi="Times New Roman" w:cs="Times New Roman"/>
          <w:sz w:val="24"/>
          <w:szCs w:val="24"/>
        </w:rPr>
        <w:t xml:space="preserve"> może mieć zakaz bezpośredniego dokonywania inwestycji</w:t>
      </w:r>
      <w:r w:rsidRPr="00E95678">
        <w:rPr>
          <w:rFonts w:ascii="Times New Roman" w:hAnsi="Times New Roman" w:cs="Times New Roman"/>
          <w:sz w:val="24"/>
          <w:szCs w:val="24"/>
        </w:rPr>
        <w:t xml:space="preserve">, celem ograniczenia jego odpowiedzialności). </w:t>
      </w:r>
    </w:p>
    <w:p w14:paraId="4A8FF082" w14:textId="377ACE4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Aby posiadać status jednostki wyłączonej, o których mowa powyżej w </w:t>
      </w:r>
      <w:r w:rsidRPr="00E95678">
        <w:rPr>
          <w:rFonts w:ascii="Times New Roman" w:hAnsi="Times New Roman" w:cs="Times New Roman"/>
          <w:b/>
          <w:bCs/>
          <w:sz w:val="24"/>
          <w:szCs w:val="24"/>
        </w:rPr>
        <w:t>lit. a i b</w:t>
      </w:r>
      <w:r w:rsidRPr="00E95678">
        <w:rPr>
          <w:rFonts w:ascii="Times New Roman" w:hAnsi="Times New Roman" w:cs="Times New Roman"/>
          <w:sz w:val="24"/>
          <w:szCs w:val="24"/>
        </w:rPr>
        <w:t xml:space="preserve">, udziały mogą być posiadane przez jednostki wskazane w </w:t>
      </w:r>
      <w:r w:rsidRPr="00E95678">
        <w:rPr>
          <w:rFonts w:ascii="Times New Roman" w:hAnsi="Times New Roman" w:cs="Times New Roman"/>
          <w:b/>
          <w:bCs/>
          <w:sz w:val="24"/>
          <w:szCs w:val="24"/>
        </w:rPr>
        <w:t xml:space="preserve">ust. </w:t>
      </w:r>
      <w:r w:rsidR="00B33A6C"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1–6</w:t>
      </w:r>
      <w:r w:rsidRPr="00E95678">
        <w:rPr>
          <w:rFonts w:ascii="Times New Roman" w:hAnsi="Times New Roman" w:cs="Times New Roman"/>
          <w:sz w:val="24"/>
          <w:szCs w:val="24"/>
        </w:rPr>
        <w:t xml:space="preserve"> również za pośrednictwem innych takich jednostek wyłączonych.</w:t>
      </w:r>
      <w:r w:rsidRPr="00E95678">
        <w:rPr>
          <w:rStyle w:val="Odwoanieprzypisudolnego"/>
          <w:rFonts w:ascii="Times New Roman" w:hAnsi="Times New Roman" w:cs="Times New Roman"/>
          <w:sz w:val="24"/>
          <w:szCs w:val="24"/>
        </w:rPr>
        <w:footnoteReference w:id="60"/>
      </w:r>
      <w:r w:rsidRPr="00E95678">
        <w:rPr>
          <w:rFonts w:ascii="Times New Roman" w:hAnsi="Times New Roman" w:cs="Times New Roman"/>
          <w:sz w:val="24"/>
          <w:szCs w:val="24"/>
        </w:rPr>
        <w:t xml:space="preserve">  Przepisy te nie mają natomiast zastosowania, jeżeli jednostka, o której mowa w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7 i 8</w:t>
      </w:r>
      <w:r w:rsidRPr="00E95678">
        <w:rPr>
          <w:rFonts w:ascii="Times New Roman" w:hAnsi="Times New Roman" w:cs="Times New Roman"/>
          <w:sz w:val="24"/>
          <w:szCs w:val="24"/>
        </w:rPr>
        <w:t xml:space="preserve"> znajduje się w posiadaniu jednostki świadczącej usługi emerytalne, określonej w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6</w:t>
      </w:r>
      <w:r w:rsidRPr="00E95678">
        <w:rPr>
          <w:rFonts w:ascii="Times New Roman" w:hAnsi="Times New Roman" w:cs="Times New Roman"/>
          <w:b/>
          <w:bCs/>
          <w:sz w:val="24"/>
          <w:szCs w:val="24"/>
        </w:rPr>
        <w:t xml:space="preserve"> pkt 2</w:t>
      </w:r>
      <w:r w:rsidRPr="00E95678">
        <w:rPr>
          <w:rFonts w:ascii="Times New Roman" w:hAnsi="Times New Roman" w:cs="Times New Roman"/>
          <w:sz w:val="24"/>
          <w:szCs w:val="24"/>
        </w:rPr>
        <w:t xml:space="preserve">.  </w:t>
      </w:r>
    </w:p>
    <w:p w14:paraId="0F0A897D"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przypadku, gdy dana grupa składa się wyłącznie z jednostek wyłączonych, Zasady GloBE nie mają zastosowania. [Komentarz, 1.5;39] </w:t>
      </w:r>
    </w:p>
    <w:p w14:paraId="22494738" w14:textId="48C11821" w:rsidR="00DB7D51" w:rsidRPr="00E95678" w:rsidRDefault="00DB7D51" w:rsidP="00DB7D51">
      <w:pPr>
        <w:spacing w:after="120" w:line="240" w:lineRule="auto"/>
        <w:jc w:val="both"/>
        <w:rPr>
          <w:rFonts w:ascii="Times New Roman" w:hAnsi="Times New Roman" w:cs="Times New Roman"/>
          <w:sz w:val="24"/>
          <w:szCs w:val="24"/>
        </w:rPr>
      </w:pPr>
      <w:r w:rsidRPr="00E95678">
        <w:rPr>
          <w:rFonts w:ascii="Times New Roman" w:hAnsi="Times New Roman" w:cs="Times New Roman"/>
          <w:sz w:val="24"/>
          <w:szCs w:val="24"/>
        </w:rPr>
        <w:t xml:space="preserve">Odnosząc się do wskazanego w definicji pomocniczych jednostek wyłączonych testu własności, Zarówno Dyrektywa, jak i Modelowe </w:t>
      </w:r>
      <w:r w:rsidR="00595132" w:rsidRPr="00E95678">
        <w:rPr>
          <w:rFonts w:ascii="Times New Roman" w:hAnsi="Times New Roman" w:cs="Times New Roman"/>
          <w:sz w:val="24"/>
          <w:szCs w:val="24"/>
        </w:rPr>
        <w:t>z</w:t>
      </w:r>
      <w:r w:rsidRPr="00E95678">
        <w:rPr>
          <w:rFonts w:ascii="Times New Roman" w:hAnsi="Times New Roman" w:cs="Times New Roman"/>
          <w:sz w:val="24"/>
          <w:szCs w:val="24"/>
        </w:rPr>
        <w:t>asady, posługują się w tym kontekście pojęciem „</w:t>
      </w:r>
      <w:r w:rsidRPr="00E95678">
        <w:rPr>
          <w:rFonts w:ascii="Times New Roman" w:hAnsi="Times New Roman" w:cs="Times New Roman"/>
          <w:i/>
          <w:sz w:val="24"/>
          <w:szCs w:val="24"/>
        </w:rPr>
        <w:t>wartości jednostki”</w:t>
      </w:r>
      <w:r w:rsidRPr="00E95678">
        <w:rPr>
          <w:rFonts w:ascii="Times New Roman" w:hAnsi="Times New Roman" w:cs="Times New Roman"/>
          <w:sz w:val="24"/>
          <w:szCs w:val="24"/>
        </w:rPr>
        <w:t xml:space="preserve">. Jak podkreśla się w Komentarzu, wyrażenie to nie jest tożsame z pojęciem udziałów własnościowych zdefiniowanym w </w:t>
      </w:r>
      <w:r w:rsidRPr="00E95678">
        <w:rPr>
          <w:rFonts w:ascii="Times New Roman" w:hAnsi="Times New Roman" w:cs="Times New Roman"/>
          <w:b/>
          <w:bCs/>
          <w:sz w:val="24"/>
          <w:szCs w:val="24"/>
        </w:rPr>
        <w:t>art. 2 ust. 1 pkt 4</w:t>
      </w:r>
      <w:r w:rsidR="0007799D" w:rsidRPr="00E95678">
        <w:rPr>
          <w:rFonts w:ascii="Times New Roman" w:hAnsi="Times New Roman" w:cs="Times New Roman"/>
          <w:b/>
          <w:bCs/>
          <w:sz w:val="24"/>
          <w:szCs w:val="24"/>
        </w:rPr>
        <w:t>3</w:t>
      </w:r>
      <w:r w:rsidRPr="00E95678">
        <w:rPr>
          <w:rFonts w:ascii="Times New Roman" w:hAnsi="Times New Roman" w:cs="Times New Roman"/>
          <w:sz w:val="24"/>
          <w:szCs w:val="24"/>
        </w:rPr>
        <w:t xml:space="preserve"> projektu. Pojęcie wartości jednostki odnosi się do wartości posiadanego udziału kapitałowego danej jednostki. [Komentarz, 1.5.2;50] Z tego względu w projekcie odwołano się w tym zakresie do wartości nominalnej udziałów wyemitowanych przez jednostkę, o której mowa w omawianych przepisach, a w przypadku niewystępowania wartości nominalnej udziałów – do ich wartości emisyjnej. Tym samym dla oceny spełnienia tego testu nie mają znaczenia bieżące zmiany w wartości rynkowej takich udziałów.</w:t>
      </w:r>
      <w:r w:rsidRPr="00E95678">
        <w:rPr>
          <w:rStyle w:val="Odwoanieprzypisudolnego"/>
          <w:rFonts w:ascii="Times New Roman" w:hAnsi="Times New Roman" w:cs="Times New Roman"/>
          <w:sz w:val="24"/>
          <w:szCs w:val="24"/>
        </w:rPr>
        <w:footnoteReference w:id="61"/>
      </w:r>
      <w:r w:rsidRPr="00E95678">
        <w:rPr>
          <w:rFonts w:ascii="Times New Roman" w:hAnsi="Times New Roman" w:cs="Times New Roman"/>
          <w:sz w:val="24"/>
          <w:szCs w:val="24"/>
        </w:rPr>
        <w:t xml:space="preserve">  </w:t>
      </w:r>
    </w:p>
    <w:p w14:paraId="703DFBC5" w14:textId="4DE470D4" w:rsidR="00DB7D51" w:rsidRPr="003E7A67" w:rsidRDefault="00DB7D51"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14F098E6" w14:textId="77777777" w:rsidR="00DB7D51" w:rsidRPr="003E7A67" w:rsidRDefault="00DB7D51" w:rsidP="00E163E3">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Nowo utworzona jednostka emituje 200 akcji zwykłych o wartości 1 PLN każda oraz 100 akcji uprzywilejowanych o wartości 2 PLN każda. Akcjonariusz takiej jednostki otrzymuje wszystkie akcje zwykłe oraz 90 akcji uprzywilejowanych. W takiej sytuacji wartość jednostki wynosi 400, a udziałowiec jednostki wyłączonej posiada 95% (380/400) jej wartości w rozumieniu tych przepisów. </w:t>
      </w:r>
    </w:p>
    <w:p w14:paraId="6D266B6C" w14:textId="32C77BD0" w:rsidR="00DB7D51" w:rsidRPr="00E95678" w:rsidRDefault="00DB7D51" w:rsidP="00E163E3">
      <w:pPr>
        <w:spacing w:before="240" w:after="120" w:line="240" w:lineRule="auto"/>
        <w:jc w:val="both"/>
        <w:rPr>
          <w:rFonts w:ascii="Times New Roman" w:hAnsi="Times New Roman" w:cs="Times New Roman"/>
          <w:sz w:val="24"/>
          <w:szCs w:val="24"/>
        </w:rPr>
      </w:pPr>
      <w:r w:rsidRPr="00E95678">
        <w:rPr>
          <w:rFonts w:ascii="Times New Roman" w:hAnsi="Times New Roman" w:cs="Times New Roman"/>
          <w:sz w:val="24"/>
          <w:szCs w:val="24"/>
        </w:rPr>
        <w:lastRenderedPageBreak/>
        <w:t xml:space="preserve">Obliczenia wartości udziałów, na potrzeby stosowania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7 i 8</w:t>
      </w:r>
      <w:r w:rsidRPr="00E95678">
        <w:rPr>
          <w:rFonts w:ascii="Times New Roman" w:hAnsi="Times New Roman" w:cs="Times New Roman"/>
          <w:sz w:val="24"/>
          <w:szCs w:val="24"/>
        </w:rPr>
        <w:t>, należy dokonać według stanu na dzień ostatniej zmiany wartości udziałów w kapitale takiej jednostki</w:t>
      </w:r>
      <w:r w:rsidRPr="00E95678">
        <w:rPr>
          <w:rFonts w:ascii="Times New Roman" w:hAnsi="Times New Roman" w:cs="Times New Roman"/>
          <w:sz w:val="24"/>
          <w:szCs w:val="24"/>
          <w:vertAlign w:val="superscript"/>
        </w:rPr>
        <w:footnoteReference w:id="62"/>
      </w:r>
      <w:r w:rsidRPr="00E95678">
        <w:rPr>
          <w:rFonts w:ascii="Times New Roman" w:hAnsi="Times New Roman" w:cs="Times New Roman"/>
          <w:sz w:val="24"/>
          <w:szCs w:val="24"/>
        </w:rPr>
        <w:t xml:space="preserve">. </w:t>
      </w:r>
    </w:p>
    <w:p w14:paraId="75F3ED17" w14:textId="29E59B8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Z kolei „test działalności” – w zakresie określonym w art. </w:t>
      </w:r>
      <w:r w:rsidRPr="00E95678">
        <w:rPr>
          <w:rFonts w:ascii="Times New Roman" w:hAnsi="Times New Roman" w:cs="Times New Roman"/>
          <w:b/>
          <w:bCs/>
          <w:sz w:val="24"/>
          <w:szCs w:val="24"/>
        </w:rPr>
        <w:t xml:space="preserve">5 ust. </w:t>
      </w:r>
      <w:r w:rsidR="00B33A6C"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7 lit. a</w:t>
      </w:r>
      <w:r w:rsidRPr="00E95678">
        <w:rPr>
          <w:rFonts w:ascii="Times New Roman" w:hAnsi="Times New Roman" w:cs="Times New Roman"/>
          <w:sz w:val="24"/>
          <w:szCs w:val="24"/>
        </w:rPr>
        <w:t xml:space="preserve"> – wymaga, aby wszystkie lub prawie wszystkie działania danej jednostki były związane z utrzymywaniem aktywów (w tym zarządzaniem takimi aktywami) lub inwestowaniem lub lokowaniem środków finansowych na rzecz jednostek wyłączonych. Przykładem takiej jednostki są, działające w niektórych </w:t>
      </w:r>
      <w:r w:rsidR="004A058D" w:rsidRPr="00E95678">
        <w:rPr>
          <w:rFonts w:ascii="Times New Roman" w:hAnsi="Times New Roman" w:cs="Times New Roman"/>
          <w:sz w:val="24"/>
          <w:szCs w:val="24"/>
        </w:rPr>
        <w:t>jurysdykcjach</w:t>
      </w:r>
      <w:r w:rsidRPr="00E95678">
        <w:rPr>
          <w:rFonts w:ascii="Times New Roman" w:hAnsi="Times New Roman" w:cs="Times New Roman"/>
          <w:sz w:val="24"/>
          <w:szCs w:val="24"/>
        </w:rPr>
        <w:t>, państwowe fundusze majątkowe (</w:t>
      </w:r>
      <w:r w:rsidRPr="00E95678">
        <w:rPr>
          <w:rFonts w:ascii="Times New Roman" w:hAnsi="Times New Roman" w:cs="Times New Roman"/>
          <w:i/>
          <w:sz w:val="24"/>
          <w:szCs w:val="24"/>
        </w:rPr>
        <w:t>sovereign wealth funds</w:t>
      </w:r>
      <w:r w:rsidRPr="00E95678">
        <w:rPr>
          <w:rFonts w:ascii="Times New Roman" w:hAnsi="Times New Roman" w:cs="Times New Roman"/>
          <w:sz w:val="24"/>
          <w:szCs w:val="24"/>
        </w:rPr>
        <w:t xml:space="preserve">), przechowujące i inwestujące aktywa na rzecz rządu. </w:t>
      </w:r>
      <w:r w:rsidRPr="00E95678">
        <w:rPr>
          <w:rFonts w:ascii="Times New Roman" w:eastAsia="ArialMT" w:hAnsi="Times New Roman" w:cs="Times New Roman"/>
          <w:sz w:val="24"/>
          <w:szCs w:val="24"/>
        </w:rPr>
        <w:t xml:space="preserve">Natomiast omawianego testu nie spełni np. przedsiębiorstwo lotnicze będące własnością Skarbu Państwa, </w:t>
      </w:r>
      <w:r w:rsidRPr="00E95678">
        <w:rPr>
          <w:rFonts w:ascii="Times New Roman" w:hAnsi="Times New Roman" w:cs="Times New Roman"/>
          <w:sz w:val="24"/>
          <w:szCs w:val="24"/>
        </w:rPr>
        <w:t>ponieważ działalność linii lotniczych stanowi prowadzenie działalności gospodarczej, a tym samym wykracza poza posiadanie aktywów i inwestowanie funduszy.</w:t>
      </w:r>
    </w:p>
    <w:p w14:paraId="29DB8A10"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Zgodnie z Komentarzem [1.5.2;53] inwestowanie środków finansowych w ramach testu działalności obejmuje również sytuację, w której jednostka zależna takiej jednostki wyłączonej pożycza środki finansowe od podmiotów trzecich w celu bezpośredniego nabycia aktywów (w tym udziałów własnościowych w spółkach operacyjnych), co zostało wprost uwzględnione w ustawie w treści omawianego warunku. </w:t>
      </w:r>
    </w:p>
    <w:p w14:paraId="664C4148"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Kwalifikacja danej jednostki jako jednostki wyłączonej ma, na gruncie Zasad GloBE, trzy praktyczne skutki, tj.:  </w:t>
      </w:r>
    </w:p>
    <w:p w14:paraId="16714D36" w14:textId="77777777" w:rsidR="00DB7D51" w:rsidRPr="00E95678" w:rsidRDefault="00DB7D51" w:rsidP="00DB7D51">
      <w:pPr>
        <w:pStyle w:val="Akapitzlist"/>
        <w:numPr>
          <w:ilvl w:val="0"/>
          <w:numId w:val="5"/>
        </w:numPr>
        <w:spacing w:after="120"/>
        <w:ind w:left="714" w:hanging="357"/>
        <w:contextualSpacing w:val="0"/>
        <w:jc w:val="both"/>
        <w:rPr>
          <w:rFonts w:ascii="Times New Roman" w:hAnsi="Times New Roman" w:cs="Times New Roman"/>
          <w:sz w:val="24"/>
          <w:szCs w:val="24"/>
        </w:rPr>
      </w:pPr>
      <w:r w:rsidRPr="00E95678">
        <w:rPr>
          <w:rFonts w:ascii="Times New Roman" w:hAnsi="Times New Roman" w:cs="Times New Roman"/>
          <w:sz w:val="24"/>
          <w:szCs w:val="24"/>
        </w:rPr>
        <w:t xml:space="preserve">Po pierwsze, nie stosuje się do takich jednostek Zasad IIR i UTPR; w związku z tym jednostka wyłączona, która jest jednostką dominującą najwyższego szczebla nie musi stosować Zasady IIR, a zasada ta musi być stosowana przez następną jednostkę w łańcuchu własności (jeśli ona również nie jest jednostką wyłączoną). </w:t>
      </w:r>
    </w:p>
    <w:p w14:paraId="13ABD33B" w14:textId="77777777" w:rsidR="00DB7D51" w:rsidRPr="00E95678" w:rsidRDefault="00DB7D51" w:rsidP="00DB7D51">
      <w:pPr>
        <w:pStyle w:val="Akapitzlist"/>
        <w:numPr>
          <w:ilvl w:val="0"/>
          <w:numId w:val="5"/>
        </w:numPr>
        <w:spacing w:after="120"/>
        <w:ind w:left="714" w:hanging="357"/>
        <w:contextualSpacing w:val="0"/>
        <w:jc w:val="both"/>
        <w:rPr>
          <w:rFonts w:ascii="Times New Roman" w:hAnsi="Times New Roman" w:cs="Times New Roman"/>
          <w:sz w:val="24"/>
          <w:szCs w:val="24"/>
        </w:rPr>
      </w:pPr>
      <w:r w:rsidRPr="00E95678">
        <w:rPr>
          <w:rFonts w:ascii="Times New Roman" w:hAnsi="Times New Roman" w:cs="Times New Roman"/>
          <w:sz w:val="24"/>
          <w:szCs w:val="24"/>
        </w:rPr>
        <w:t xml:space="preserve">Po drugie, atrybuty GloBE jednostek wyłączonych na potrzeby GloBE, takie jak ich zyski, straty, naliczone podatki, rzeczowe aktywa trwałe i koszty wynagrodzeń, zasadniczo nie są brane pod uwagę dla potrzeb różnych kalkulacji w ramach Systemu GloBE, z wyjątkiem obliczania minimalnego przychodu grupowego na potrzeby ustalenia spełnienia warunku objęcia danej grupy Zasadami GloBE, o którym mowa w </w:t>
      </w:r>
      <w:r w:rsidRPr="00E95678">
        <w:rPr>
          <w:rFonts w:ascii="Times New Roman" w:hAnsi="Times New Roman" w:cs="Times New Roman"/>
          <w:b/>
          <w:bCs/>
          <w:sz w:val="24"/>
          <w:szCs w:val="24"/>
        </w:rPr>
        <w:t>art. 4 ust. 1</w:t>
      </w:r>
      <w:r w:rsidRPr="00E95678">
        <w:rPr>
          <w:rFonts w:ascii="Times New Roman" w:hAnsi="Times New Roman" w:cs="Times New Roman"/>
          <w:sz w:val="24"/>
          <w:szCs w:val="24"/>
        </w:rPr>
        <w:t xml:space="preserve">.   </w:t>
      </w:r>
    </w:p>
    <w:p w14:paraId="41D34444" w14:textId="77777777" w:rsidR="00DB7D51" w:rsidRPr="00E95678" w:rsidRDefault="00DB7D51" w:rsidP="00DB7D51">
      <w:pPr>
        <w:spacing w:after="120"/>
        <w:jc w:val="both"/>
        <w:rPr>
          <w:rFonts w:ascii="Times New Roman" w:hAnsi="Times New Roman" w:cs="Times New Roman"/>
          <w:bCs/>
          <w:sz w:val="24"/>
          <w:szCs w:val="24"/>
        </w:rPr>
      </w:pPr>
      <w:r w:rsidRPr="00E95678">
        <w:rPr>
          <w:rFonts w:ascii="Times New Roman" w:hAnsi="Times New Roman" w:cs="Times New Roman"/>
          <w:sz w:val="24"/>
          <w:szCs w:val="24"/>
        </w:rPr>
        <w:t xml:space="preserve">Po trzecie, jednostki wyłączone nie mają żadnych obowiązków administracyjnych wynikających z Zasad GloBE (np. składania </w:t>
      </w:r>
      <w:r w:rsidRPr="00E95678">
        <w:rPr>
          <w:rFonts w:ascii="Times New Roman" w:hAnsi="Times New Roman" w:cs="Times New Roman"/>
          <w:b/>
          <w:sz w:val="24"/>
          <w:szCs w:val="24"/>
        </w:rPr>
        <w:t>Informacji GloBE</w:t>
      </w:r>
      <w:r w:rsidRPr="00E95678">
        <w:rPr>
          <w:rFonts w:ascii="Times New Roman" w:hAnsi="Times New Roman" w:cs="Times New Roman"/>
          <w:sz w:val="24"/>
          <w:szCs w:val="24"/>
        </w:rPr>
        <w:t>), a dane dotyczące ich zysków, podatków, aktywów itp. nie są, co do zasady, zgłaszane w Informacji GloBE.</w:t>
      </w:r>
    </w:p>
    <w:p w14:paraId="60EEC9A1" w14:textId="1EB99305"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Cs/>
          <w:sz w:val="24"/>
          <w:szCs w:val="24"/>
        </w:rPr>
        <w:t xml:space="preserve">Przepis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8</w:t>
      </w:r>
      <w:r w:rsidRPr="00E95678">
        <w:rPr>
          <w:rFonts w:ascii="Times New Roman" w:hAnsi="Times New Roman" w:cs="Times New Roman"/>
          <w:bCs/>
          <w:sz w:val="24"/>
          <w:szCs w:val="24"/>
        </w:rPr>
        <w:t xml:space="preserve"> precyzuje, iż </w:t>
      </w:r>
      <w:r w:rsidRPr="00E95678">
        <w:rPr>
          <w:rFonts w:ascii="Times New Roman" w:hAnsi="Times New Roman" w:cs="Times New Roman"/>
          <w:sz w:val="24"/>
          <w:szCs w:val="24"/>
        </w:rPr>
        <w:t xml:space="preserve">spełnienie warunków wskazanych w </w:t>
      </w:r>
      <w:r w:rsidRPr="00E95678">
        <w:rPr>
          <w:rFonts w:ascii="Times New Roman" w:hAnsi="Times New Roman" w:cs="Times New Roman"/>
          <w:b/>
          <w:bCs/>
          <w:sz w:val="24"/>
          <w:szCs w:val="24"/>
        </w:rPr>
        <w:t xml:space="preserve">art. 5 ust. </w:t>
      </w:r>
      <w:r w:rsidR="00364BF1" w:rsidRPr="00E95678">
        <w:rPr>
          <w:rFonts w:ascii="Times New Roman" w:hAnsi="Times New Roman" w:cs="Times New Roman"/>
          <w:b/>
          <w:bCs/>
          <w:sz w:val="24"/>
          <w:szCs w:val="24"/>
        </w:rPr>
        <w:t xml:space="preserve">3-6 </w:t>
      </w:r>
      <w:r w:rsidR="00364BF1" w:rsidRPr="00E95678">
        <w:rPr>
          <w:rFonts w:ascii="Times New Roman" w:hAnsi="Times New Roman" w:cs="Times New Roman"/>
          <w:sz w:val="24"/>
          <w:szCs w:val="24"/>
        </w:rPr>
        <w:t>(tj. warunków dla jednostek rządowych, organizacji międzynarodowych, organizacji nienastawionych na zysk itd.)</w:t>
      </w:r>
      <w:r w:rsidRPr="00E95678">
        <w:rPr>
          <w:rFonts w:ascii="Times New Roman" w:hAnsi="Times New Roman" w:cs="Times New Roman"/>
          <w:b/>
          <w:bCs/>
          <w:sz w:val="24"/>
          <w:szCs w:val="24"/>
        </w:rPr>
        <w:t xml:space="preserve"> </w:t>
      </w:r>
      <w:r w:rsidRPr="00E95678">
        <w:rPr>
          <w:rFonts w:ascii="Times New Roman" w:hAnsi="Times New Roman" w:cs="Times New Roman"/>
          <w:sz w:val="24"/>
          <w:szCs w:val="24"/>
        </w:rPr>
        <w:t xml:space="preserve">ocenia się </w:t>
      </w:r>
      <w:r w:rsidR="00364BF1" w:rsidRPr="00E95678">
        <w:rPr>
          <w:rFonts w:ascii="Times New Roman" w:hAnsi="Times New Roman" w:cs="Times New Roman"/>
          <w:sz w:val="24"/>
          <w:szCs w:val="24"/>
        </w:rPr>
        <w:t>uwzględniając centralę i wszystkie jej stałe zakłady</w:t>
      </w:r>
      <w:r w:rsidRPr="00E95678">
        <w:rPr>
          <w:rFonts w:ascii="Times New Roman" w:hAnsi="Times New Roman" w:cs="Times New Roman"/>
          <w:sz w:val="24"/>
          <w:szCs w:val="24"/>
        </w:rPr>
        <w:t>. Tym samym działalności podejmowanej przez stały zakład nie uznaje się za odrębną zarówno przy stosowaniu „testu działalności”, jak i przy ustalaniu, czy „prawie cały dochód” jednostki pochodzi z wyłączonych dywidend lub wyłączonych zysków (strat) kapitałowych. Tym samym, jeżeli spełnione są wskazane warunki</w:t>
      </w:r>
      <w:r w:rsidR="00364BF1" w:rsidRPr="00E95678">
        <w:rPr>
          <w:rFonts w:ascii="Times New Roman" w:hAnsi="Times New Roman" w:cs="Times New Roman"/>
          <w:sz w:val="24"/>
          <w:szCs w:val="24"/>
        </w:rPr>
        <w:t xml:space="preserve"> (zarówno przez centralę jak i wszystkie jej stałe zakłady)</w:t>
      </w:r>
      <w:r w:rsidRPr="00E95678">
        <w:rPr>
          <w:rFonts w:ascii="Times New Roman" w:hAnsi="Times New Roman" w:cs="Times New Roman"/>
          <w:sz w:val="24"/>
          <w:szCs w:val="24"/>
        </w:rPr>
        <w:t xml:space="preserve">, jednostka będąca centralą jak i jej </w:t>
      </w:r>
      <w:r w:rsidR="0007799D" w:rsidRPr="00E95678">
        <w:rPr>
          <w:rFonts w:ascii="Times New Roman" w:hAnsi="Times New Roman" w:cs="Times New Roman"/>
          <w:sz w:val="24"/>
          <w:szCs w:val="24"/>
        </w:rPr>
        <w:t xml:space="preserve">wszystkie </w:t>
      </w:r>
      <w:r w:rsidRPr="00E95678">
        <w:rPr>
          <w:rFonts w:ascii="Times New Roman" w:hAnsi="Times New Roman" w:cs="Times New Roman"/>
          <w:sz w:val="24"/>
          <w:szCs w:val="24"/>
        </w:rPr>
        <w:t xml:space="preserve">stałe zakłady są jednostkami wyłączonymi. Natomiast w przypadku braku spełnienia tych warunków </w:t>
      </w:r>
      <w:r w:rsidR="00364BF1" w:rsidRPr="00E95678">
        <w:rPr>
          <w:rFonts w:ascii="Times New Roman" w:hAnsi="Times New Roman" w:cs="Times New Roman"/>
          <w:sz w:val="24"/>
          <w:szCs w:val="24"/>
        </w:rPr>
        <w:t xml:space="preserve">(czy to przez centralę </w:t>
      </w:r>
      <w:r w:rsidR="00364BF1" w:rsidRPr="00E95678">
        <w:rPr>
          <w:rFonts w:ascii="Times New Roman" w:hAnsi="Times New Roman" w:cs="Times New Roman"/>
          <w:sz w:val="24"/>
          <w:szCs w:val="24"/>
        </w:rPr>
        <w:lastRenderedPageBreak/>
        <w:t xml:space="preserve">czy przez jakikolwiek stały zakład) </w:t>
      </w:r>
      <w:r w:rsidRPr="00E95678">
        <w:rPr>
          <w:rFonts w:ascii="Times New Roman" w:hAnsi="Times New Roman" w:cs="Times New Roman"/>
          <w:sz w:val="24"/>
          <w:szCs w:val="24"/>
        </w:rPr>
        <w:t>ani central</w:t>
      </w:r>
      <w:r w:rsidR="0007799D" w:rsidRPr="00E95678">
        <w:rPr>
          <w:rFonts w:ascii="Times New Roman" w:hAnsi="Times New Roman" w:cs="Times New Roman"/>
          <w:sz w:val="24"/>
          <w:szCs w:val="24"/>
        </w:rPr>
        <w:t>a</w:t>
      </w:r>
      <w:r w:rsidRPr="00E95678">
        <w:rPr>
          <w:rFonts w:ascii="Times New Roman" w:hAnsi="Times New Roman" w:cs="Times New Roman"/>
          <w:sz w:val="24"/>
          <w:szCs w:val="24"/>
        </w:rPr>
        <w:t xml:space="preserve"> ani jej </w:t>
      </w:r>
      <w:r w:rsidR="00364BF1" w:rsidRPr="00E95678">
        <w:rPr>
          <w:rFonts w:ascii="Times New Roman" w:hAnsi="Times New Roman" w:cs="Times New Roman"/>
          <w:sz w:val="24"/>
          <w:szCs w:val="24"/>
        </w:rPr>
        <w:t>żaden</w:t>
      </w:r>
      <w:r w:rsidR="0007799D" w:rsidRPr="00E95678">
        <w:rPr>
          <w:rFonts w:ascii="Times New Roman" w:hAnsi="Times New Roman" w:cs="Times New Roman"/>
          <w:sz w:val="24"/>
          <w:szCs w:val="24"/>
        </w:rPr>
        <w:t xml:space="preserve"> </w:t>
      </w:r>
      <w:r w:rsidRPr="00E95678">
        <w:rPr>
          <w:rFonts w:ascii="Times New Roman" w:hAnsi="Times New Roman" w:cs="Times New Roman"/>
          <w:sz w:val="24"/>
          <w:szCs w:val="24"/>
        </w:rPr>
        <w:t>stały zakład nie będą jednostkami wyłączonymi.</w:t>
      </w:r>
      <w:r w:rsidRPr="00E95678">
        <w:rPr>
          <w:rStyle w:val="Odwoanieprzypisudolnego"/>
          <w:rFonts w:ascii="Times New Roman" w:hAnsi="Times New Roman" w:cs="Times New Roman"/>
          <w:sz w:val="24"/>
          <w:szCs w:val="24"/>
        </w:rPr>
        <w:footnoteReference w:id="63"/>
      </w:r>
    </w:p>
    <w:p w14:paraId="555EFED4" w14:textId="3CB11608" w:rsidR="00DB7D51" w:rsidRPr="00E95678" w:rsidRDefault="00DB7D51" w:rsidP="00CA6981">
      <w:pPr>
        <w:spacing w:after="120"/>
        <w:jc w:val="both"/>
        <w:rPr>
          <w:rFonts w:ascii="Times New Roman" w:hAnsi="Times New Roman" w:cs="Times New Roman"/>
          <w:sz w:val="24"/>
          <w:szCs w:val="24"/>
        </w:rPr>
      </w:pPr>
      <w:r w:rsidRPr="00E95678">
        <w:rPr>
          <w:rFonts w:ascii="Times New Roman" w:hAnsi="Times New Roman" w:cs="Times New Roman"/>
          <w:b/>
          <w:sz w:val="24"/>
          <w:szCs w:val="24"/>
        </w:rPr>
        <w:t xml:space="preserve">Art. 5 ust. </w:t>
      </w:r>
      <w:r w:rsidR="00B33A6C" w:rsidRPr="00E95678">
        <w:rPr>
          <w:rFonts w:ascii="Times New Roman" w:hAnsi="Times New Roman" w:cs="Times New Roman"/>
          <w:b/>
          <w:sz w:val="24"/>
          <w:szCs w:val="24"/>
        </w:rPr>
        <w:t>9</w:t>
      </w:r>
      <w:r w:rsidRPr="00E95678">
        <w:rPr>
          <w:rFonts w:ascii="Times New Roman" w:hAnsi="Times New Roman" w:cs="Times New Roman"/>
          <w:b/>
          <w:sz w:val="24"/>
          <w:szCs w:val="24"/>
        </w:rPr>
        <w:t xml:space="preserve"> </w:t>
      </w:r>
      <w:r w:rsidRPr="00E95678">
        <w:rPr>
          <w:rFonts w:ascii="Times New Roman" w:hAnsi="Times New Roman" w:cs="Times New Roman"/>
          <w:sz w:val="24"/>
          <w:szCs w:val="24"/>
        </w:rPr>
        <w:t>projektu odnosi się do jednostek pomocniczych względem organizacji nienastawionych na zysk. Jak zaznaczono w Wytycznych z lutego 2023 r.</w:t>
      </w:r>
      <w:r w:rsidRPr="00E95678">
        <w:rPr>
          <w:rStyle w:val="Odwoanieprzypisudolnego"/>
          <w:rFonts w:ascii="Times New Roman" w:hAnsi="Times New Roman" w:cs="Times New Roman"/>
          <w:sz w:val="24"/>
          <w:szCs w:val="24"/>
        </w:rPr>
        <w:footnoteReference w:id="64"/>
      </w:r>
      <w:r w:rsidRPr="00E95678">
        <w:rPr>
          <w:rFonts w:ascii="Times New Roman" w:hAnsi="Times New Roman" w:cs="Times New Roman"/>
          <w:sz w:val="24"/>
          <w:szCs w:val="24"/>
        </w:rPr>
        <w:t>, organizacja nienastawiona na zysk może zakładać jednostki (spółki zależne) będące w całości ich własnością, aby podejmować działalność komercyjną w celu pozyskiwania funduszy na działalność charytatywną. Zgodnie z niektórymi standardami rachunkowości organizacje nienastawione na zysk są zobowiązane do sporządzania skonsolidowanych sprawozdań finansowych, a zatem istnieje pewne prawdopodobieństwo (większe niż w przypadku innych jednostek wyłączonych), że będą one stanowiły jednostki dominujące najwyższego szczebla grupy. Ponieważ przychody NPO nie są wyłączone z progu skonsolidowanych przychodów, transakcje handlowe spółek zależnych organizacji nienastawionych na zysk, które mają na celu finansowanie działalności charytatywnej tej organizacji, mogą podlegać Zasadom GloBE i potencjalnie podlegać opodatkowaniu wyrównawczemu.</w:t>
      </w:r>
    </w:p>
    <w:p w14:paraId="3862EA53" w14:textId="3D9E518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sz w:val="24"/>
          <w:szCs w:val="24"/>
        </w:rPr>
        <w:t xml:space="preserve">Stąd, w ślad za Wytycznymi Administracyjnymi,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9</w:t>
      </w:r>
      <w:r w:rsidRPr="00E95678">
        <w:rPr>
          <w:rFonts w:ascii="Times New Roman" w:hAnsi="Times New Roman" w:cs="Times New Roman"/>
          <w:sz w:val="24"/>
          <w:szCs w:val="24"/>
        </w:rPr>
        <w:t xml:space="preserve"> projektu wprowadza dodatkowy </w:t>
      </w:r>
      <w:r w:rsidRPr="00E95678">
        <w:rPr>
          <w:rFonts w:ascii="Times New Roman" w:hAnsi="Times New Roman" w:cs="Times New Roman"/>
          <w:i/>
          <w:iCs/>
          <w:sz w:val="24"/>
          <w:szCs w:val="24"/>
        </w:rPr>
        <w:t xml:space="preserve">test działalności </w:t>
      </w:r>
      <w:r w:rsidRPr="00E95678">
        <w:rPr>
          <w:rFonts w:ascii="Times New Roman" w:hAnsi="Times New Roman" w:cs="Times New Roman"/>
          <w:sz w:val="24"/>
          <w:szCs w:val="24"/>
        </w:rPr>
        <w:t>w odniesieniu do takich jednostek, których udziały własnościowe są w 100% własnością, bezpośrednio lub pośrednio, organizacji nienastawionych na zysk. Spełnienie tego testu pozwala na ich wyłączenie z zakresu Zasad GloBE.</w:t>
      </w:r>
    </w:p>
    <w:p w14:paraId="45C44DCA" w14:textId="7DAA89BF" w:rsidR="00DB7D51" w:rsidRPr="00E95678" w:rsidRDefault="00DB7D51" w:rsidP="00DB7D51">
      <w:pPr>
        <w:spacing w:after="120"/>
        <w:jc w:val="both"/>
        <w:rPr>
          <w:rFonts w:ascii="Times New Roman" w:hAnsi="Times New Roman" w:cs="Times New Roman"/>
          <w:b/>
          <w:sz w:val="24"/>
          <w:szCs w:val="24"/>
        </w:rPr>
      </w:pPr>
      <w:r w:rsidRPr="00E95678">
        <w:rPr>
          <w:rFonts w:ascii="Times New Roman" w:hAnsi="Times New Roman" w:cs="Times New Roman"/>
          <w:sz w:val="24"/>
          <w:szCs w:val="24"/>
        </w:rPr>
        <w:t xml:space="preserve">W szczególności, działalność takiej jednostki uznaje się za „pomocniczą”, na gruncie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7 lit. b</w:t>
      </w:r>
      <w:r w:rsidRPr="00E95678">
        <w:rPr>
          <w:rFonts w:ascii="Times New Roman" w:hAnsi="Times New Roman" w:cs="Times New Roman"/>
          <w:sz w:val="24"/>
          <w:szCs w:val="24"/>
        </w:rPr>
        <w:t>, w stosunku do działalności prowadzonej przez organizację nienastawioną na zysk, jeżeli skonsolidowane przychody wszystkich jednostek danej grupy (z wyłączeniem przychodów uzyskanych przez samą NPO i tę jednostkę) nie przekraczają niższej z kwot:</w:t>
      </w:r>
    </w:p>
    <w:p w14:paraId="16E91DD8" w14:textId="77777777" w:rsidR="00DB7D51" w:rsidRPr="00E95678" w:rsidRDefault="00DB7D51" w:rsidP="00DB7D51">
      <w:pPr>
        <w:spacing w:after="120"/>
        <w:ind w:left="142"/>
        <w:jc w:val="both"/>
        <w:rPr>
          <w:rFonts w:ascii="Times New Roman" w:hAnsi="Times New Roman" w:cs="Times New Roman"/>
          <w:sz w:val="24"/>
          <w:szCs w:val="24"/>
        </w:rPr>
      </w:pPr>
      <w:r w:rsidRPr="00E95678">
        <w:rPr>
          <w:rFonts w:ascii="Times New Roman" w:hAnsi="Times New Roman" w:cs="Times New Roman"/>
          <w:sz w:val="24"/>
          <w:szCs w:val="24"/>
        </w:rPr>
        <w:t>(a) 750 mln EUR (z uwzględnieniem dostosowania do roku podatkowego innego niż 12 miesięcy) albo</w:t>
      </w:r>
    </w:p>
    <w:p w14:paraId="082AAAAF" w14:textId="77777777" w:rsidR="00DB7D51" w:rsidRPr="00E95678" w:rsidRDefault="00DB7D51" w:rsidP="00DB7D51">
      <w:pPr>
        <w:spacing w:after="120"/>
        <w:ind w:left="142"/>
        <w:jc w:val="both"/>
        <w:rPr>
          <w:rFonts w:ascii="Times New Roman" w:hAnsi="Times New Roman" w:cs="Times New Roman"/>
          <w:sz w:val="24"/>
          <w:szCs w:val="24"/>
        </w:rPr>
      </w:pPr>
      <w:r w:rsidRPr="00E95678">
        <w:rPr>
          <w:rFonts w:ascii="Times New Roman" w:hAnsi="Times New Roman" w:cs="Times New Roman"/>
          <w:sz w:val="24"/>
          <w:szCs w:val="24"/>
        </w:rPr>
        <w:t xml:space="preserve">(b) 25% przychodów grupy za rok podatkowy. </w:t>
      </w:r>
    </w:p>
    <w:p w14:paraId="67E2AC6D" w14:textId="12735F33" w:rsidR="00DB7D51" w:rsidRPr="00E95678" w:rsidRDefault="00DB7D51" w:rsidP="00DB7D51">
      <w:pPr>
        <w:spacing w:before="240"/>
        <w:jc w:val="both"/>
        <w:rPr>
          <w:rFonts w:ascii="Times New Roman" w:hAnsi="Times New Roman" w:cs="Times New Roman"/>
          <w:sz w:val="24"/>
          <w:szCs w:val="24"/>
        </w:rPr>
      </w:pPr>
      <w:r w:rsidRPr="00E95678">
        <w:rPr>
          <w:rFonts w:ascii="Times New Roman" w:hAnsi="Times New Roman" w:cs="Times New Roman"/>
          <w:sz w:val="24"/>
          <w:szCs w:val="24"/>
        </w:rPr>
        <w:t xml:space="preserve">Ponadto, niektóre organizacje nienastawione na zysk mogą spełniać jednocześnie definicję jednostki rządowej. Taka jednostka może stosować dodatkowy test działalności, o którym mowa w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9</w:t>
      </w:r>
      <w:r w:rsidRPr="00E95678">
        <w:rPr>
          <w:rFonts w:ascii="Times New Roman" w:hAnsi="Times New Roman" w:cs="Times New Roman"/>
          <w:sz w:val="24"/>
          <w:szCs w:val="24"/>
        </w:rPr>
        <w:t>, w odniesieniu do przychodów swoich jednostek zależnych. Przykłady takich jednostek rządowych mogą obejmować rządowe jednostki edukacyjne, instytucje badawcze i szpitale, a także inne rządowe jednostki świadczące usługi opieki zdrowotnej.</w:t>
      </w:r>
    </w:p>
    <w:p w14:paraId="7DFDBBEB" w14:textId="7F901A2C"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Finalnie, przepis </w:t>
      </w:r>
      <w:r w:rsidRPr="00E95678">
        <w:rPr>
          <w:rFonts w:ascii="Times New Roman" w:hAnsi="Times New Roman" w:cs="Times New Roman"/>
          <w:b/>
          <w:sz w:val="24"/>
          <w:szCs w:val="24"/>
        </w:rPr>
        <w:t xml:space="preserve">art. 5 ust. </w:t>
      </w:r>
      <w:r w:rsidR="00B33A6C" w:rsidRPr="00E95678">
        <w:rPr>
          <w:rFonts w:ascii="Times New Roman" w:hAnsi="Times New Roman" w:cs="Times New Roman"/>
          <w:b/>
          <w:sz w:val="24"/>
          <w:szCs w:val="24"/>
        </w:rPr>
        <w:t>10</w:t>
      </w:r>
      <w:r w:rsidRPr="00E95678">
        <w:rPr>
          <w:rFonts w:ascii="Times New Roman" w:hAnsi="Times New Roman" w:cs="Times New Roman"/>
          <w:b/>
          <w:sz w:val="24"/>
          <w:szCs w:val="24"/>
        </w:rPr>
        <w:t xml:space="preserve"> </w:t>
      </w:r>
      <w:r w:rsidRPr="00E95678">
        <w:rPr>
          <w:rFonts w:ascii="Times New Roman" w:hAnsi="Times New Roman" w:cs="Times New Roman"/>
          <w:sz w:val="24"/>
          <w:szCs w:val="24"/>
        </w:rPr>
        <w:t xml:space="preserve">wprowadza wybór w zakresie odstąpienia od stosowania omawianego wyłączenia z zakresu ustawy w odniesieniu do „jednostki pomocniczej” wskazanej w </w:t>
      </w:r>
      <w:r w:rsidRPr="00E95678">
        <w:rPr>
          <w:rFonts w:ascii="Times New Roman" w:hAnsi="Times New Roman" w:cs="Times New Roman"/>
          <w:b/>
          <w:bCs/>
          <w:sz w:val="24"/>
          <w:szCs w:val="24"/>
        </w:rPr>
        <w:t xml:space="preserve">art. 5 ust. </w:t>
      </w:r>
      <w:r w:rsidR="00B33A6C" w:rsidRPr="00E95678">
        <w:rPr>
          <w:rFonts w:ascii="Times New Roman" w:hAnsi="Times New Roman" w:cs="Times New Roman"/>
          <w:b/>
          <w:bCs/>
          <w:sz w:val="24"/>
          <w:szCs w:val="24"/>
        </w:rPr>
        <w:t>2</w:t>
      </w:r>
      <w:r w:rsidRPr="00E95678">
        <w:rPr>
          <w:rFonts w:ascii="Times New Roman" w:hAnsi="Times New Roman" w:cs="Times New Roman"/>
          <w:b/>
          <w:bCs/>
          <w:sz w:val="24"/>
          <w:szCs w:val="24"/>
        </w:rPr>
        <w:t xml:space="preserve"> pkt 7 lub 8</w:t>
      </w:r>
      <w:r w:rsidRPr="00E95678">
        <w:rPr>
          <w:rFonts w:ascii="Times New Roman" w:hAnsi="Times New Roman" w:cs="Times New Roman"/>
          <w:sz w:val="24"/>
          <w:szCs w:val="24"/>
        </w:rPr>
        <w:t xml:space="preserve">, a tym samym traktowanie jej jako jednostki składowej danej grupy objętej Zasadami GloBE. Wybór taki dotyczy konkretnej jednostki wyłączonej, o której mowa w tych przepisach, co oznacza, że rezygnacja z wyłączenia może dotyczyć jednej lub wielu takich jednostek. </w:t>
      </w:r>
      <w:r w:rsidR="00083502" w:rsidRPr="00E95678">
        <w:rPr>
          <w:rFonts w:ascii="Times New Roman" w:hAnsi="Times New Roman" w:cs="Times New Roman"/>
          <w:sz w:val="24"/>
          <w:szCs w:val="24"/>
        </w:rPr>
        <w:t>Ramy proceduralne dokonywania tego rodzaju wyborów na gruncie projektowanej ustawy określa art. 137 (por. dalsza część uzasadnienia).</w:t>
      </w:r>
    </w:p>
    <w:p w14:paraId="0A1F1CE9" w14:textId="77777777" w:rsidR="00DB7D51" w:rsidRPr="00E95678" w:rsidRDefault="00DB7D51" w:rsidP="00DB7D51">
      <w:pPr>
        <w:pStyle w:val="Nagwek5"/>
        <w:rPr>
          <w:rFonts w:ascii="Times New Roman" w:hAnsi="Times New Roman" w:cs="Times New Roman"/>
          <w:sz w:val="24"/>
          <w:szCs w:val="24"/>
        </w:rPr>
      </w:pPr>
      <w:r w:rsidRPr="00E95678">
        <w:rPr>
          <w:rFonts w:ascii="Times New Roman" w:hAnsi="Times New Roman" w:cs="Times New Roman"/>
          <w:sz w:val="24"/>
          <w:szCs w:val="24"/>
        </w:rPr>
        <w:t>Art. 6 [Zakres opodatkowania grupy krajowej i grupy międzynarodowej]</w:t>
      </w:r>
    </w:p>
    <w:p w14:paraId="5CFBC123" w14:textId="70A6F71D"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świetle powołanych w części ogólnej uzasadnienia wytycznych Komisji Europejskiej, w przypadku wprowadzenia - równolegle do globalnego podatku wyrównawczego - krajowego </w:t>
      </w:r>
      <w:r w:rsidRPr="00E95678">
        <w:rPr>
          <w:rFonts w:ascii="Times New Roman" w:hAnsi="Times New Roman" w:cs="Times New Roman"/>
          <w:sz w:val="24"/>
          <w:szCs w:val="24"/>
        </w:rPr>
        <w:lastRenderedPageBreak/>
        <w:t xml:space="preserve">podatku wyrównawczego, możliwe jest nieobejmowanie globalnym podatkiem wyrównawczym ”sytuacji krajowych”. Stosownie do powyższego, po pierwsze </w:t>
      </w:r>
      <w:r w:rsidRPr="00E95678">
        <w:rPr>
          <w:rFonts w:ascii="Times New Roman" w:hAnsi="Times New Roman" w:cs="Times New Roman"/>
          <w:b/>
          <w:bCs/>
          <w:sz w:val="24"/>
          <w:szCs w:val="24"/>
        </w:rPr>
        <w:t>art. 6</w:t>
      </w:r>
      <w:r w:rsidRPr="00E95678">
        <w:rPr>
          <w:rFonts w:ascii="Times New Roman" w:hAnsi="Times New Roman" w:cs="Times New Roman"/>
          <w:sz w:val="24"/>
          <w:szCs w:val="24"/>
        </w:rPr>
        <w:t xml:space="preserve"> </w:t>
      </w:r>
      <w:r w:rsidRPr="00E95678">
        <w:rPr>
          <w:rFonts w:ascii="Times New Roman" w:hAnsi="Times New Roman" w:cs="Times New Roman"/>
          <w:b/>
          <w:bCs/>
          <w:sz w:val="24"/>
          <w:szCs w:val="24"/>
        </w:rPr>
        <w:t>ust. 1</w:t>
      </w:r>
      <w:r w:rsidRPr="00E95678">
        <w:rPr>
          <w:rFonts w:ascii="Times New Roman" w:hAnsi="Times New Roman" w:cs="Times New Roman"/>
          <w:sz w:val="24"/>
          <w:szCs w:val="24"/>
        </w:rPr>
        <w:t xml:space="preserve"> wprowadza bardzo istotną zasadę, że</w:t>
      </w:r>
      <w:r w:rsidRPr="00E95678" w:rsidDel="00856503">
        <w:rPr>
          <w:rFonts w:ascii="Times New Roman" w:hAnsi="Times New Roman" w:cs="Times New Roman"/>
          <w:sz w:val="24"/>
          <w:szCs w:val="24"/>
        </w:rPr>
        <w:t xml:space="preserve"> </w:t>
      </w:r>
      <w:r w:rsidRPr="00E95678">
        <w:rPr>
          <w:rFonts w:ascii="Times New Roman" w:hAnsi="Times New Roman" w:cs="Times New Roman"/>
          <w:b/>
          <w:bCs/>
          <w:sz w:val="24"/>
          <w:szCs w:val="24"/>
        </w:rPr>
        <w:t>globalnego podatku wyrównawczego nie oblicza się w przypadku grupy krajowej</w:t>
      </w:r>
      <w:r w:rsidRPr="00E95678">
        <w:rPr>
          <w:rFonts w:ascii="Times New Roman" w:hAnsi="Times New Roman" w:cs="Times New Roman"/>
          <w:sz w:val="24"/>
          <w:szCs w:val="24"/>
        </w:rPr>
        <w:t>. Stąd, w dziale II regulującym globalny podatek wyrównawczy brak jest odniesień do grup krajowych.</w:t>
      </w:r>
    </w:p>
    <w:p w14:paraId="412D3E19"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Tym samym, jednostka dominująca najwyższego szczebla grupy krajowej nie oblicza globalnego podatku wyrównawczego w odniesieniu do jednostek tej grupy, bowiem podlegają one opodatkowaniu krajowym podatkiem wyrównawczym. Zasada ta dotyczy również jednostek dominujących grupy krajowej, jako że jednostki te także podlegają opodatkowaniu krajowym podatkiem wyrównawczym.</w:t>
      </w:r>
    </w:p>
    <w:p w14:paraId="7FB40B83"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W przypadku grupy krajowej nie oblicza się również podatku wyrównawczego od niedostatecznie opodatkowanych zysków. Zgodnie z przepisami działu IV podatnikiem tego podatku jest wyłącznie jednostka składowa grupy międzynarodowej, co wynika z logiki działania tego podatku (w świetle przepisów Dyrektywy oblicza się go, w przypadku gdy jednostka dominująca najwyższego szczebla grupy międzynarodowej nie podlega Kwalifikowanej Zasadzie IIR, jest nisko opodatkowana lub jest wyłączona).</w:t>
      </w:r>
    </w:p>
    <w:p w14:paraId="31EBEE91" w14:textId="7EB2D5F6" w:rsidR="00DB7D51" w:rsidRPr="00E95678" w:rsidRDefault="00DB7D51" w:rsidP="00CA6981">
      <w:pPr>
        <w:spacing w:after="0"/>
        <w:jc w:val="both"/>
        <w:rPr>
          <w:rFonts w:ascii="Times New Roman" w:hAnsi="Times New Roman" w:cs="Times New Roman"/>
          <w:bCs/>
          <w:sz w:val="24"/>
          <w:szCs w:val="24"/>
        </w:rPr>
      </w:pPr>
      <w:r w:rsidRPr="00E95678">
        <w:rPr>
          <w:rFonts w:ascii="Times New Roman" w:hAnsi="Times New Roman" w:cs="Times New Roman"/>
          <w:sz w:val="24"/>
          <w:szCs w:val="24"/>
        </w:rPr>
        <w:t xml:space="preserve">Po drugie, </w:t>
      </w:r>
      <w:r w:rsidRPr="00E95678">
        <w:rPr>
          <w:rFonts w:ascii="Times New Roman" w:hAnsi="Times New Roman" w:cs="Times New Roman"/>
          <w:b/>
          <w:sz w:val="24"/>
          <w:szCs w:val="24"/>
        </w:rPr>
        <w:t xml:space="preserve">art. 6 ust. 2 </w:t>
      </w:r>
      <w:r w:rsidRPr="00E95678">
        <w:rPr>
          <w:rFonts w:ascii="Times New Roman" w:hAnsi="Times New Roman" w:cs="Times New Roman"/>
          <w:bCs/>
          <w:sz w:val="24"/>
          <w:szCs w:val="24"/>
        </w:rPr>
        <w:t xml:space="preserve">odnosi się grup międzynarodowych, w których jednostka dominująca  będąca podatnikiem globalnego podatku wyrównawczego (zazwyczaj jednostka dominująca najwyższego szczebla) jest zlokalizowana na terytorium Rzeczypospolitej Polski i wśród swych jednostek posiada w szczególności jednostki składowe zlokalizowane w </w:t>
      </w:r>
      <w:r w:rsidR="004A058D" w:rsidRPr="00E95678">
        <w:rPr>
          <w:rFonts w:ascii="Times New Roman" w:hAnsi="Times New Roman" w:cs="Times New Roman"/>
          <w:bCs/>
          <w:sz w:val="24"/>
          <w:szCs w:val="24"/>
        </w:rPr>
        <w:t xml:space="preserve">tej jurysdykcji </w:t>
      </w:r>
      <w:r w:rsidRPr="00E95678">
        <w:rPr>
          <w:rFonts w:ascii="Times New Roman" w:hAnsi="Times New Roman" w:cs="Times New Roman"/>
          <w:bCs/>
          <w:sz w:val="24"/>
          <w:szCs w:val="24"/>
        </w:rPr>
        <w:t>(co jest sytuacją typową). Tym samym, te jednostki składowe – jako zlokalizowane w Polsce – objęte będą przepisami o krajowym podatku wyrównawczym. Zgodnie</w:t>
      </w:r>
      <w:r w:rsidRPr="00E95678">
        <w:rPr>
          <w:rFonts w:ascii="Times New Roman" w:hAnsi="Times New Roman" w:cs="Times New Roman"/>
          <w:sz w:val="24"/>
          <w:szCs w:val="24"/>
        </w:rPr>
        <w:t xml:space="preserve"> z </w:t>
      </w:r>
      <w:r w:rsidRPr="00E95678">
        <w:rPr>
          <w:rFonts w:ascii="Times New Roman" w:hAnsi="Times New Roman" w:cs="Times New Roman"/>
          <w:b/>
          <w:bCs/>
          <w:sz w:val="24"/>
          <w:szCs w:val="24"/>
        </w:rPr>
        <w:t>art. 6 ust. 2</w:t>
      </w:r>
      <w:r w:rsidRPr="00E95678">
        <w:rPr>
          <w:rFonts w:ascii="Times New Roman" w:hAnsi="Times New Roman" w:cs="Times New Roman"/>
          <w:sz w:val="24"/>
          <w:szCs w:val="24"/>
        </w:rPr>
        <w:t>, jeżeli dla takiej jednostki grupy międzynarodowej oblicza się krajowy podatek wyrównawczy, jednostki tej nie uwzględnia się przy obliczeniu globalnego podatku wyrównawczego.</w:t>
      </w:r>
      <w:r w:rsidR="00FB5F56" w:rsidRPr="00E95678">
        <w:rPr>
          <w:rFonts w:ascii="Times New Roman" w:hAnsi="Times New Roman" w:cs="Times New Roman"/>
          <w:sz w:val="24"/>
          <w:szCs w:val="24"/>
        </w:rPr>
        <w:t xml:space="preserve"> </w:t>
      </w:r>
      <w:r w:rsidRPr="00E95678">
        <w:rPr>
          <w:rFonts w:ascii="Times New Roman" w:hAnsi="Times New Roman" w:cs="Times New Roman"/>
          <w:bCs/>
          <w:sz w:val="24"/>
          <w:szCs w:val="24"/>
        </w:rPr>
        <w:t xml:space="preserve">Przedstawia to poniższy schemat, zgodnie z którym globalny podatek wyrównawczy obliczany jest przez polską jednostkę dominującą najwyższego szczebla jedynie w odniesieniu do jednostek składowych w innych </w:t>
      </w:r>
      <w:r w:rsidR="004A058D" w:rsidRPr="00E95678">
        <w:rPr>
          <w:rFonts w:ascii="Times New Roman" w:hAnsi="Times New Roman" w:cs="Times New Roman"/>
          <w:bCs/>
          <w:sz w:val="24"/>
          <w:szCs w:val="24"/>
        </w:rPr>
        <w:t>jurysdykcjach</w:t>
      </w:r>
      <w:r w:rsidRPr="00E95678">
        <w:rPr>
          <w:rFonts w:ascii="Times New Roman" w:hAnsi="Times New Roman" w:cs="Times New Roman"/>
          <w:bCs/>
          <w:sz w:val="24"/>
          <w:szCs w:val="24"/>
        </w:rPr>
        <w:t>.</w:t>
      </w:r>
      <w:r w:rsidRPr="00E95678">
        <w:rPr>
          <w:rFonts w:ascii="Times New Roman" w:hAnsi="Times New Roman" w:cs="Times New Roman"/>
          <w:bCs/>
          <w:sz w:val="24"/>
          <w:szCs w:val="24"/>
          <w:vertAlign w:val="superscript"/>
        </w:rPr>
        <w:footnoteReference w:id="65"/>
      </w:r>
    </w:p>
    <w:p w14:paraId="432BF190" w14:textId="77777777" w:rsidR="00DB7D51" w:rsidRPr="003E7A67" w:rsidRDefault="00DB7D51" w:rsidP="00DB7D51">
      <w:pPr>
        <w:spacing w:after="120"/>
        <w:jc w:val="center"/>
        <w:rPr>
          <w:rFonts w:cstheme="minorHAnsi"/>
          <w:bCs/>
        </w:rPr>
      </w:pPr>
      <w:r w:rsidRPr="003E7A67">
        <w:rPr>
          <w:rFonts w:cstheme="minorHAnsi"/>
          <w:bCs/>
          <w:noProof/>
        </w:rPr>
        <w:drawing>
          <wp:inline distT="0" distB="0" distL="0" distR="0" wp14:anchorId="6809BB8C" wp14:editId="2D80C93B">
            <wp:extent cx="3971499" cy="2573238"/>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0854" cy="2618175"/>
                    </a:xfrm>
                    <a:prstGeom prst="rect">
                      <a:avLst/>
                    </a:prstGeom>
                    <a:noFill/>
                  </pic:spPr>
                </pic:pic>
              </a:graphicData>
            </a:graphic>
          </wp:inline>
        </w:drawing>
      </w:r>
    </w:p>
    <w:p w14:paraId="121084ED" w14:textId="77777777" w:rsidR="00DB7D51" w:rsidRPr="00E95678" w:rsidRDefault="00DB7D51" w:rsidP="00DB7D51">
      <w:pPr>
        <w:jc w:val="both"/>
        <w:rPr>
          <w:rFonts w:ascii="Times New Roman" w:hAnsi="Times New Roman" w:cs="Times New Roman"/>
          <w:sz w:val="24"/>
          <w:szCs w:val="24"/>
        </w:rPr>
      </w:pPr>
      <w:r w:rsidRPr="00E95678">
        <w:rPr>
          <w:rFonts w:ascii="Times New Roman" w:hAnsi="Times New Roman" w:cs="Times New Roman"/>
          <w:bCs/>
          <w:sz w:val="24"/>
          <w:szCs w:val="24"/>
        </w:rPr>
        <w:lastRenderedPageBreak/>
        <w:t xml:space="preserve">Głównym skutkiem zastosowania </w:t>
      </w:r>
      <w:r w:rsidRPr="00E95678">
        <w:rPr>
          <w:rFonts w:ascii="Times New Roman" w:hAnsi="Times New Roman" w:cs="Times New Roman"/>
          <w:b/>
          <w:sz w:val="24"/>
          <w:szCs w:val="24"/>
        </w:rPr>
        <w:t>art. 6</w:t>
      </w:r>
      <w:r w:rsidRPr="00E95678">
        <w:rPr>
          <w:rFonts w:ascii="Times New Roman" w:hAnsi="Times New Roman" w:cs="Times New Roman"/>
          <w:bCs/>
          <w:sz w:val="24"/>
          <w:szCs w:val="24"/>
        </w:rPr>
        <w:t xml:space="preserve"> jest to, iż na gruncie krajowym nie następuje swojego rodzaju dublujące się obliczanie globalnego podatku wyrównawczego i krajowego podatku wyrównawczego w odniesieniu do (1) grup krajowych, (2) zlokalizowanych na terytorium RP jednostek grup międzynarodowych.</w:t>
      </w:r>
    </w:p>
    <w:p w14:paraId="1EC83CA9" w14:textId="3670BE03" w:rsidR="00DB7D51" w:rsidRPr="00E95678" w:rsidRDefault="00DB7D51" w:rsidP="00DB7D51">
      <w:pPr>
        <w:pStyle w:val="Nagwek3"/>
        <w:spacing w:before="240"/>
        <w:rPr>
          <w:rFonts w:ascii="Times New Roman" w:hAnsi="Times New Roman" w:cs="Times New Roman"/>
          <w:sz w:val="24"/>
        </w:rPr>
      </w:pPr>
      <w:r w:rsidRPr="00E95678">
        <w:rPr>
          <w:rFonts w:ascii="Times New Roman" w:hAnsi="Times New Roman" w:cs="Times New Roman"/>
          <w:sz w:val="24"/>
        </w:rPr>
        <w:t>Rozdział 3 –</w:t>
      </w:r>
      <w:r w:rsidR="00972665" w:rsidRPr="00E95678">
        <w:rPr>
          <w:rFonts w:ascii="Times New Roman" w:hAnsi="Times New Roman" w:cs="Times New Roman"/>
          <w:sz w:val="24"/>
        </w:rPr>
        <w:t xml:space="preserve"> L</w:t>
      </w:r>
      <w:r w:rsidRPr="00E95678">
        <w:rPr>
          <w:rFonts w:ascii="Times New Roman" w:hAnsi="Times New Roman" w:cs="Times New Roman"/>
          <w:sz w:val="24"/>
        </w:rPr>
        <w:t>okalizacj</w:t>
      </w:r>
      <w:r w:rsidR="00972665" w:rsidRPr="00E95678">
        <w:rPr>
          <w:rFonts w:ascii="Times New Roman" w:hAnsi="Times New Roman" w:cs="Times New Roman"/>
          <w:sz w:val="24"/>
        </w:rPr>
        <w:t>a</w:t>
      </w:r>
      <w:r w:rsidRPr="00E95678">
        <w:rPr>
          <w:rFonts w:ascii="Times New Roman" w:hAnsi="Times New Roman" w:cs="Times New Roman"/>
          <w:sz w:val="24"/>
        </w:rPr>
        <w:t xml:space="preserve"> jednostki oraz stałego zakładu</w:t>
      </w:r>
    </w:p>
    <w:p w14:paraId="02CBDA98" w14:textId="6F4E12A2"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Przepisy </w:t>
      </w:r>
      <w:r w:rsidRPr="00E95678">
        <w:rPr>
          <w:rFonts w:ascii="Times New Roman" w:hAnsi="Times New Roman" w:cs="Times New Roman"/>
          <w:b/>
          <w:sz w:val="24"/>
          <w:szCs w:val="24"/>
        </w:rPr>
        <w:t xml:space="preserve">art. 7 – 9 </w:t>
      </w:r>
      <w:r w:rsidRPr="00E95678">
        <w:rPr>
          <w:rFonts w:ascii="Times New Roman" w:hAnsi="Times New Roman" w:cs="Times New Roman"/>
          <w:sz w:val="24"/>
          <w:szCs w:val="24"/>
        </w:rPr>
        <w:t xml:space="preserve">stanowią implementację art. 4 Dyrektywy (art. 10.3 </w:t>
      </w:r>
      <w:r w:rsidR="00595132" w:rsidRPr="00E95678">
        <w:rPr>
          <w:rFonts w:ascii="Times New Roman" w:hAnsi="Times New Roman" w:cs="Times New Roman"/>
          <w:sz w:val="24"/>
          <w:szCs w:val="24"/>
        </w:rPr>
        <w:t>Modelowych zasad</w:t>
      </w:r>
      <w:r w:rsidRPr="00E95678">
        <w:rPr>
          <w:rFonts w:ascii="Times New Roman" w:hAnsi="Times New Roman" w:cs="Times New Roman"/>
          <w:sz w:val="24"/>
          <w:szCs w:val="24"/>
        </w:rPr>
        <w:t xml:space="preserve"> OECD).</w:t>
      </w:r>
    </w:p>
    <w:p w14:paraId="618D995C"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Przepisy te zawierają dwa rodzaje postanowień: </w:t>
      </w:r>
    </w:p>
    <w:p w14:paraId="10415BB5" w14:textId="77777777" w:rsidR="00DB7D51" w:rsidRPr="00E95678" w:rsidRDefault="00DB7D51" w:rsidP="00DB7D51">
      <w:pPr>
        <w:pStyle w:val="Akapitzlist"/>
        <w:numPr>
          <w:ilvl w:val="0"/>
          <w:numId w:val="17"/>
        </w:numPr>
        <w:spacing w:after="120"/>
        <w:ind w:left="714" w:hanging="357"/>
        <w:contextualSpacing w:val="0"/>
        <w:jc w:val="both"/>
        <w:rPr>
          <w:rFonts w:ascii="Times New Roman" w:hAnsi="Times New Roman" w:cs="Times New Roman"/>
          <w:sz w:val="24"/>
          <w:szCs w:val="24"/>
        </w:rPr>
      </w:pPr>
      <w:r w:rsidRPr="00E95678">
        <w:rPr>
          <w:rFonts w:ascii="Times New Roman" w:hAnsi="Times New Roman" w:cs="Times New Roman"/>
          <w:sz w:val="24"/>
          <w:szCs w:val="24"/>
        </w:rPr>
        <w:t xml:space="preserve">Pierwszy z nich ustanawia reguły określające, gdzie dana jednostka </w:t>
      </w:r>
      <w:r w:rsidRPr="00E95678">
        <w:rPr>
          <w:rFonts w:ascii="Times New Roman" w:eastAsia="Times New Roman" w:hAnsi="Times New Roman" w:cs="Times New Roman"/>
          <w:sz w:val="24"/>
          <w:szCs w:val="24"/>
          <w:lang w:eastAsia="pl-PL"/>
        </w:rPr>
        <w:t>jest zlokalizowana</w:t>
      </w:r>
      <w:r w:rsidRPr="00E95678" w:rsidDel="00A15540">
        <w:rPr>
          <w:rFonts w:ascii="Times New Roman" w:hAnsi="Times New Roman" w:cs="Times New Roman"/>
          <w:sz w:val="24"/>
          <w:szCs w:val="24"/>
        </w:rPr>
        <w:t xml:space="preserve"> </w:t>
      </w:r>
      <w:r w:rsidRPr="00E95678">
        <w:rPr>
          <w:rFonts w:ascii="Times New Roman" w:hAnsi="Times New Roman" w:cs="Times New Roman"/>
          <w:sz w:val="24"/>
          <w:szCs w:val="24"/>
        </w:rPr>
        <w:t>(ang. „</w:t>
      </w:r>
      <w:r w:rsidRPr="00E95678">
        <w:rPr>
          <w:rFonts w:ascii="Times New Roman" w:hAnsi="Times New Roman" w:cs="Times New Roman"/>
          <w:i/>
          <w:sz w:val="24"/>
          <w:szCs w:val="24"/>
        </w:rPr>
        <w:t>location</w:t>
      </w:r>
      <w:r w:rsidRPr="00E95678">
        <w:rPr>
          <w:rFonts w:ascii="Times New Roman" w:hAnsi="Times New Roman" w:cs="Times New Roman"/>
          <w:sz w:val="24"/>
          <w:szCs w:val="24"/>
        </w:rPr>
        <w:t>”) do celów Zasad GloBE (</w:t>
      </w:r>
      <w:r w:rsidRPr="00E95678">
        <w:rPr>
          <w:rFonts w:ascii="Times New Roman" w:hAnsi="Times New Roman" w:cs="Times New Roman"/>
          <w:b/>
          <w:bCs/>
          <w:sz w:val="24"/>
          <w:szCs w:val="24"/>
        </w:rPr>
        <w:t>art. 7</w:t>
      </w:r>
      <w:r w:rsidRPr="00E95678">
        <w:rPr>
          <w:rFonts w:ascii="Times New Roman" w:hAnsi="Times New Roman" w:cs="Times New Roman"/>
          <w:sz w:val="24"/>
          <w:szCs w:val="24"/>
        </w:rPr>
        <w:t xml:space="preserve">); </w:t>
      </w:r>
    </w:p>
    <w:p w14:paraId="3667EDD8" w14:textId="2519F661" w:rsidR="00DB7D51" w:rsidRPr="00E95678" w:rsidRDefault="00DB7D51" w:rsidP="00DB7D51">
      <w:pPr>
        <w:pStyle w:val="Akapitzlist"/>
        <w:numPr>
          <w:ilvl w:val="0"/>
          <w:numId w:val="17"/>
        </w:numPr>
        <w:spacing w:after="120"/>
        <w:ind w:left="714" w:hanging="357"/>
        <w:contextualSpacing w:val="0"/>
        <w:jc w:val="both"/>
        <w:rPr>
          <w:rFonts w:ascii="Times New Roman" w:hAnsi="Times New Roman" w:cs="Times New Roman"/>
          <w:sz w:val="24"/>
          <w:szCs w:val="24"/>
        </w:rPr>
      </w:pPr>
      <w:r w:rsidRPr="00E95678">
        <w:rPr>
          <w:rFonts w:ascii="Times New Roman" w:hAnsi="Times New Roman" w:cs="Times New Roman"/>
          <w:sz w:val="24"/>
          <w:szCs w:val="24"/>
        </w:rPr>
        <w:t>Drugi rodzaj przepisów (</w:t>
      </w:r>
      <w:r w:rsidRPr="00E95678">
        <w:rPr>
          <w:rFonts w:ascii="Times New Roman" w:hAnsi="Times New Roman" w:cs="Times New Roman"/>
          <w:b/>
          <w:bCs/>
          <w:sz w:val="24"/>
          <w:szCs w:val="24"/>
        </w:rPr>
        <w:t>art. 8</w:t>
      </w:r>
      <w:r w:rsidRPr="00E95678">
        <w:rPr>
          <w:rFonts w:ascii="Times New Roman" w:hAnsi="Times New Roman" w:cs="Times New Roman"/>
          <w:sz w:val="24"/>
          <w:szCs w:val="24"/>
        </w:rPr>
        <w:t xml:space="preserve">) zawiera reguły kolizyjne rozstrzygające sytuacje, w których – zgodnie z pierwszą grupą przepisów – dana jednostka </w:t>
      </w:r>
      <w:r w:rsidRPr="00E95678">
        <w:rPr>
          <w:rFonts w:ascii="Times New Roman" w:eastAsia="Times New Roman" w:hAnsi="Times New Roman" w:cs="Times New Roman"/>
          <w:sz w:val="24"/>
          <w:szCs w:val="24"/>
          <w:lang w:eastAsia="pl-PL"/>
        </w:rPr>
        <w:t xml:space="preserve">jest zlokalizowana </w:t>
      </w:r>
      <w:r w:rsidRPr="00E95678">
        <w:rPr>
          <w:rFonts w:ascii="Times New Roman" w:hAnsi="Times New Roman" w:cs="Times New Roman"/>
          <w:sz w:val="24"/>
          <w:szCs w:val="24"/>
        </w:rPr>
        <w:t xml:space="preserve">w dwóch lub większej liczbie </w:t>
      </w:r>
      <w:r w:rsidR="004A058D"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t>
      </w:r>
    </w:p>
    <w:p w14:paraId="4C1C4F0F" w14:textId="57B85056"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Ustalenie lokalizacji jednostki i stałego zakładu, w rozumieniu Zasad GloBE, jest ważne dla określenia wysokości efektywnej stawki podatkowej oraz dla określenia, w </w:t>
      </w:r>
      <w:r w:rsidR="004A058D" w:rsidRPr="00E95678">
        <w:rPr>
          <w:rFonts w:ascii="Times New Roman" w:hAnsi="Times New Roman" w:cs="Times New Roman"/>
          <w:sz w:val="24"/>
          <w:szCs w:val="24"/>
        </w:rPr>
        <w:t xml:space="preserve">której jurysdykcji </w:t>
      </w:r>
      <w:r w:rsidRPr="00E95678">
        <w:rPr>
          <w:rFonts w:ascii="Times New Roman" w:hAnsi="Times New Roman" w:cs="Times New Roman"/>
          <w:sz w:val="24"/>
          <w:szCs w:val="24"/>
        </w:rPr>
        <w:t xml:space="preserve">dana jednostka podlega opodatkowaniu wyrównawczemu. </w:t>
      </w:r>
    </w:p>
    <w:p w14:paraId="7511D93F" w14:textId="4A77AC6D"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Należy zaznaczyć, że reguły te nie mają wpływu na postanowienia krajowe i postanowienia umowne odnoszące się do rezydencji jednostki, będącej podatnikiem </w:t>
      </w:r>
      <w:r w:rsidR="004A058D" w:rsidRPr="00E95678">
        <w:rPr>
          <w:rFonts w:ascii="Times New Roman" w:hAnsi="Times New Roman" w:cs="Times New Roman"/>
          <w:sz w:val="24"/>
          <w:szCs w:val="24"/>
        </w:rPr>
        <w:t>danej jurysdykcji</w:t>
      </w:r>
      <w:r w:rsidRPr="00E95678">
        <w:rPr>
          <w:rFonts w:ascii="Times New Roman" w:hAnsi="Times New Roman" w:cs="Times New Roman"/>
          <w:sz w:val="24"/>
          <w:szCs w:val="24"/>
        </w:rPr>
        <w:t xml:space="preserve">. „Lokalizacja” jest także pojęciem odmiennym niż „siedziba” (nawet jeżeli w praktyce, w wielu przypadkach jednostka będzie zlokalizowana na potrzeby Zasad GloBE w </w:t>
      </w:r>
      <w:r w:rsidR="004A058D" w:rsidRPr="00E95678">
        <w:rPr>
          <w:rFonts w:ascii="Times New Roman" w:hAnsi="Times New Roman" w:cs="Times New Roman"/>
          <w:sz w:val="24"/>
          <w:szCs w:val="24"/>
        </w:rPr>
        <w:t>jurysdykcji</w:t>
      </w:r>
      <w:r w:rsidR="00391687" w:rsidRPr="00E95678">
        <w:rPr>
          <w:rFonts w:ascii="Times New Roman" w:hAnsi="Times New Roman" w:cs="Times New Roman"/>
          <w:sz w:val="24"/>
          <w:szCs w:val="24"/>
        </w:rPr>
        <w:t>, w której posiada</w:t>
      </w:r>
      <w:r w:rsidRPr="00E95678">
        <w:rPr>
          <w:rFonts w:ascii="Times New Roman" w:hAnsi="Times New Roman" w:cs="Times New Roman"/>
          <w:sz w:val="24"/>
          <w:szCs w:val="24"/>
        </w:rPr>
        <w:t xml:space="preserve"> siedzib</w:t>
      </w:r>
      <w:r w:rsidR="00391687" w:rsidRPr="00E95678">
        <w:rPr>
          <w:rFonts w:ascii="Times New Roman" w:hAnsi="Times New Roman" w:cs="Times New Roman"/>
          <w:sz w:val="24"/>
          <w:szCs w:val="24"/>
        </w:rPr>
        <w:t>ę</w:t>
      </w:r>
      <w:r w:rsidRPr="00E95678">
        <w:rPr>
          <w:rFonts w:ascii="Times New Roman" w:hAnsi="Times New Roman" w:cs="Times New Roman"/>
          <w:sz w:val="24"/>
          <w:szCs w:val="24"/>
        </w:rPr>
        <w:t>).</w:t>
      </w:r>
    </w:p>
    <w:p w14:paraId="48C84E2E" w14:textId="77777777" w:rsidR="00DB7D51" w:rsidRPr="00E95678" w:rsidRDefault="00DB7D51" w:rsidP="00DB7D51">
      <w:pPr>
        <w:pStyle w:val="Nagwek5"/>
        <w:rPr>
          <w:rFonts w:ascii="Times New Roman" w:hAnsi="Times New Roman" w:cs="Times New Roman"/>
          <w:sz w:val="24"/>
          <w:szCs w:val="24"/>
        </w:rPr>
      </w:pPr>
      <w:r w:rsidRPr="00E95678">
        <w:rPr>
          <w:rFonts w:ascii="Times New Roman" w:hAnsi="Times New Roman" w:cs="Times New Roman"/>
          <w:sz w:val="24"/>
          <w:szCs w:val="24"/>
        </w:rPr>
        <w:t xml:space="preserve">Art. 7 </w:t>
      </w:r>
      <w:r w:rsidRPr="00E95678">
        <w:rPr>
          <w:rFonts w:ascii="Times New Roman" w:hAnsi="Times New Roman" w:cs="Times New Roman"/>
          <w:sz w:val="24"/>
          <w:szCs w:val="24"/>
          <w:lang w:eastAsia="pl-PL"/>
        </w:rPr>
        <w:t>[Lokalizacja jednostki]</w:t>
      </w:r>
    </w:p>
    <w:p w14:paraId="476C2423"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Przepis art. 7 implementuje art. 4.1 Dyrektywy. Wskazuje on na </w:t>
      </w:r>
      <w:r w:rsidRPr="00E95678">
        <w:rPr>
          <w:rFonts w:ascii="Times New Roman" w:hAnsi="Times New Roman" w:cs="Times New Roman"/>
          <w:b/>
          <w:sz w:val="24"/>
          <w:szCs w:val="24"/>
        </w:rPr>
        <w:t>sposób ustalenia lokalizacji</w:t>
      </w:r>
      <w:r w:rsidRPr="00E95678">
        <w:rPr>
          <w:rFonts w:ascii="Times New Roman" w:hAnsi="Times New Roman" w:cs="Times New Roman"/>
          <w:sz w:val="24"/>
          <w:szCs w:val="24"/>
        </w:rPr>
        <w:t xml:space="preserve"> </w:t>
      </w:r>
      <w:r w:rsidRPr="00E95678">
        <w:rPr>
          <w:rFonts w:ascii="Times New Roman" w:hAnsi="Times New Roman" w:cs="Times New Roman"/>
          <w:b/>
          <w:sz w:val="24"/>
          <w:szCs w:val="24"/>
        </w:rPr>
        <w:t>jednostki innej niż jednostka pośrednicząca</w:t>
      </w:r>
      <w:r w:rsidRPr="00E95678">
        <w:rPr>
          <w:rFonts w:ascii="Times New Roman" w:hAnsi="Times New Roman" w:cs="Times New Roman"/>
          <w:sz w:val="24"/>
          <w:szCs w:val="24"/>
        </w:rPr>
        <w:t xml:space="preserve">.  </w:t>
      </w:r>
    </w:p>
    <w:p w14:paraId="1AB31BFF" w14:textId="25E259FC"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Zgodnie z omawianym przepisem (</w:t>
      </w:r>
      <w:r w:rsidRPr="00E95678">
        <w:rPr>
          <w:rFonts w:ascii="Times New Roman" w:hAnsi="Times New Roman" w:cs="Times New Roman"/>
          <w:b/>
          <w:sz w:val="24"/>
          <w:szCs w:val="24"/>
        </w:rPr>
        <w:t>ust. 1</w:t>
      </w:r>
      <w:r w:rsidRPr="00E95678">
        <w:rPr>
          <w:rFonts w:ascii="Times New Roman" w:hAnsi="Times New Roman" w:cs="Times New Roman"/>
          <w:sz w:val="24"/>
          <w:szCs w:val="24"/>
        </w:rPr>
        <w:t xml:space="preserve">) jednostka taka </w:t>
      </w:r>
      <w:r w:rsidRPr="00E95678">
        <w:rPr>
          <w:rFonts w:ascii="Times New Roman" w:eastAsia="Times New Roman" w:hAnsi="Times New Roman" w:cs="Times New Roman"/>
          <w:sz w:val="24"/>
          <w:szCs w:val="24"/>
          <w:lang w:eastAsia="pl-PL"/>
        </w:rPr>
        <w:t xml:space="preserve">jest zlokalizowana </w:t>
      </w:r>
      <w:r w:rsidRPr="00E95678">
        <w:rPr>
          <w:rFonts w:ascii="Times New Roman" w:hAnsi="Times New Roman" w:cs="Times New Roman"/>
          <w:sz w:val="24"/>
          <w:szCs w:val="24"/>
        </w:rPr>
        <w:t xml:space="preserve">w </w:t>
      </w:r>
      <w:r w:rsidR="004A058D"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4A058D"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 xml:space="preserve">jest uznawana za rezydenta podatkowego na podstawie jej miejsca faktycznego zarządu, miejsca utworzenia lub innego kryterium o podobnym charakterze. Mając na uwadze pewność stosowania prawa, przepis ten precyzuje, że rezydentem podatkowym Rzeczypospolitej Polskiej -  w rozumieniu ust. 1 jest jednostka, o której mowa w art. 3 ust. 1 ustawy o podatku dochodowym od osób prawnych, tj. jednostka objęta nieograniczonym obowiązkiem podatkowym na gruncie ww. ustawy.   </w:t>
      </w:r>
    </w:p>
    <w:p w14:paraId="6445D1D6" w14:textId="6C0B8CC8"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Zgodnie z ww. przepisem reguły ustalania lokalizacji jednostki opierają się na kwalifikacji przyjętej w prawie </w:t>
      </w:r>
      <w:r w:rsidR="004A058D" w:rsidRPr="00E95678">
        <w:rPr>
          <w:rFonts w:ascii="Times New Roman" w:hAnsi="Times New Roman" w:cs="Times New Roman"/>
          <w:sz w:val="24"/>
          <w:szCs w:val="24"/>
        </w:rPr>
        <w:t xml:space="preserve">danej jurysdykcji </w:t>
      </w:r>
      <w:r w:rsidRPr="00E95678">
        <w:rPr>
          <w:rFonts w:ascii="Times New Roman" w:hAnsi="Times New Roman" w:cs="Times New Roman"/>
          <w:sz w:val="24"/>
          <w:szCs w:val="24"/>
        </w:rPr>
        <w:t xml:space="preserve">dla celów określenia rezydencji podatkowej. Tym samym w większości przypadków </w:t>
      </w:r>
      <w:r w:rsidR="004A058D" w:rsidRPr="00E95678">
        <w:rPr>
          <w:rFonts w:ascii="Times New Roman" w:hAnsi="Times New Roman" w:cs="Times New Roman"/>
          <w:sz w:val="24"/>
          <w:szCs w:val="24"/>
        </w:rPr>
        <w:t>jurysdykcja</w:t>
      </w:r>
      <w:r w:rsidRPr="00E95678">
        <w:rPr>
          <w:rFonts w:ascii="Times New Roman" w:hAnsi="Times New Roman" w:cs="Times New Roman"/>
          <w:sz w:val="24"/>
          <w:szCs w:val="24"/>
        </w:rPr>
        <w:t>, które</w:t>
      </w:r>
      <w:r w:rsidR="004A058D" w:rsidRPr="00E95678">
        <w:rPr>
          <w:rFonts w:ascii="Times New Roman" w:hAnsi="Times New Roman" w:cs="Times New Roman"/>
          <w:sz w:val="24"/>
          <w:szCs w:val="24"/>
        </w:rPr>
        <w:t>j</w:t>
      </w:r>
      <w:r w:rsidRPr="00E95678">
        <w:rPr>
          <w:rFonts w:ascii="Times New Roman" w:hAnsi="Times New Roman" w:cs="Times New Roman"/>
          <w:sz w:val="24"/>
          <w:szCs w:val="24"/>
        </w:rPr>
        <w:t xml:space="preserve"> dana jednostka jest rezydentem podatkowym, będzie również </w:t>
      </w:r>
      <w:r w:rsidR="004A058D" w:rsidRPr="00E95678">
        <w:rPr>
          <w:rFonts w:ascii="Times New Roman" w:hAnsi="Times New Roman" w:cs="Times New Roman"/>
          <w:sz w:val="24"/>
          <w:szCs w:val="24"/>
        </w:rPr>
        <w:t xml:space="preserve">jurysdykcją </w:t>
      </w:r>
      <w:r w:rsidRPr="00E95678">
        <w:rPr>
          <w:rFonts w:ascii="Times New Roman" w:hAnsi="Times New Roman" w:cs="Times New Roman"/>
          <w:sz w:val="24"/>
          <w:szCs w:val="24"/>
        </w:rPr>
        <w:t xml:space="preserve">lokalizacji tej jednostki dla celów GloBE. </w:t>
      </w:r>
      <w:bookmarkStart w:id="7" w:name="_Hlk170996357"/>
      <w:r w:rsidRPr="00E95678">
        <w:rPr>
          <w:rFonts w:ascii="Times New Roman" w:hAnsi="Times New Roman" w:cs="Times New Roman"/>
          <w:b/>
          <w:bCs/>
          <w:sz w:val="24"/>
          <w:szCs w:val="24"/>
        </w:rPr>
        <w:t>Art. 7 ust. 1</w:t>
      </w:r>
      <w:r w:rsidRPr="00E95678">
        <w:rPr>
          <w:rFonts w:ascii="Times New Roman" w:hAnsi="Times New Roman" w:cs="Times New Roman"/>
          <w:sz w:val="24"/>
          <w:szCs w:val="24"/>
        </w:rPr>
        <w:t xml:space="preserve"> odwołuje się w tym zakresie do kryteriów typowo stosowanych przez </w:t>
      </w:r>
      <w:r w:rsidR="004A058D" w:rsidRPr="00E95678">
        <w:rPr>
          <w:rFonts w:ascii="Times New Roman" w:hAnsi="Times New Roman" w:cs="Times New Roman"/>
          <w:sz w:val="24"/>
          <w:szCs w:val="24"/>
        </w:rPr>
        <w:t>państwa lub jurysdykcje</w:t>
      </w:r>
      <w:r w:rsidRPr="00E95678">
        <w:rPr>
          <w:rFonts w:ascii="Times New Roman" w:hAnsi="Times New Roman" w:cs="Times New Roman"/>
          <w:sz w:val="24"/>
          <w:szCs w:val="24"/>
        </w:rPr>
        <w:t xml:space="preserve"> OECD dla ustalenia rezydencji podatkowej jednostek, tj. miejsca faktycznego zarządu, miejsce utworzenia oraz innych podobnych kryteriów. </w:t>
      </w:r>
    </w:p>
    <w:bookmarkEnd w:id="7"/>
    <w:p w14:paraId="658FF487" w14:textId="7216F318"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7</w:t>
      </w:r>
      <w:r w:rsidRPr="00E95678">
        <w:rPr>
          <w:rFonts w:ascii="Times New Roman" w:hAnsi="Times New Roman" w:cs="Times New Roman"/>
          <w:sz w:val="24"/>
          <w:szCs w:val="24"/>
        </w:rPr>
        <w:t xml:space="preserve"> nie jest ograniczony jedynie do osób prawnych. Stosuje się go do każdej jednostki, która jest traktowana jako rezydent </w:t>
      </w:r>
      <w:r w:rsidR="004A058D" w:rsidRPr="00E95678">
        <w:rPr>
          <w:rFonts w:ascii="Times New Roman" w:hAnsi="Times New Roman" w:cs="Times New Roman"/>
          <w:sz w:val="24"/>
          <w:szCs w:val="24"/>
        </w:rPr>
        <w:t xml:space="preserve">danej jurysdykcji </w:t>
      </w:r>
      <w:r w:rsidRPr="00E95678">
        <w:rPr>
          <w:rFonts w:ascii="Times New Roman" w:hAnsi="Times New Roman" w:cs="Times New Roman"/>
          <w:sz w:val="24"/>
          <w:szCs w:val="24"/>
        </w:rPr>
        <w:t xml:space="preserve">na mocy </w:t>
      </w:r>
      <w:r w:rsidR="004A058D" w:rsidRPr="00E95678">
        <w:rPr>
          <w:rFonts w:ascii="Times New Roman" w:hAnsi="Times New Roman" w:cs="Times New Roman"/>
          <w:sz w:val="24"/>
          <w:szCs w:val="24"/>
        </w:rPr>
        <w:t xml:space="preserve">jej </w:t>
      </w:r>
      <w:r w:rsidRPr="00E95678">
        <w:rPr>
          <w:rFonts w:ascii="Times New Roman" w:hAnsi="Times New Roman" w:cs="Times New Roman"/>
          <w:sz w:val="24"/>
          <w:szCs w:val="24"/>
        </w:rPr>
        <w:t xml:space="preserve">przepisów krajowych. Dotyczy on zatem także np. spółek osobowych, które są traktowane w </w:t>
      </w:r>
      <w:r w:rsidR="004A058D" w:rsidRPr="00E95678">
        <w:rPr>
          <w:rFonts w:ascii="Times New Roman" w:hAnsi="Times New Roman" w:cs="Times New Roman"/>
          <w:sz w:val="24"/>
          <w:szCs w:val="24"/>
        </w:rPr>
        <w:t xml:space="preserve">danej jurysdykcji </w:t>
      </w:r>
      <w:r w:rsidRPr="00E95678">
        <w:rPr>
          <w:rFonts w:ascii="Times New Roman" w:hAnsi="Times New Roman" w:cs="Times New Roman"/>
          <w:sz w:val="24"/>
          <w:szCs w:val="24"/>
        </w:rPr>
        <w:t xml:space="preserve">na gruncie </w:t>
      </w:r>
      <w:r w:rsidRPr="00E95678">
        <w:rPr>
          <w:rFonts w:ascii="Times New Roman" w:hAnsi="Times New Roman" w:cs="Times New Roman"/>
          <w:sz w:val="24"/>
          <w:szCs w:val="24"/>
        </w:rPr>
        <w:lastRenderedPageBreak/>
        <w:t xml:space="preserve">podatkowym tak jak osoby prawne (w Polsce np. spółka komandytowa). I odwrotnie, przepis ten nie znajdzie zastosowania do osób prawnych, które zgodnie z prawem </w:t>
      </w:r>
      <w:r w:rsidR="004A058D" w:rsidRPr="00E95678">
        <w:rPr>
          <w:rFonts w:ascii="Times New Roman" w:hAnsi="Times New Roman" w:cs="Times New Roman"/>
          <w:sz w:val="24"/>
          <w:szCs w:val="24"/>
        </w:rPr>
        <w:t xml:space="preserve">danej jurysdykcji </w:t>
      </w:r>
      <w:r w:rsidRPr="00E95678">
        <w:rPr>
          <w:rFonts w:ascii="Times New Roman" w:hAnsi="Times New Roman" w:cs="Times New Roman"/>
          <w:sz w:val="24"/>
          <w:szCs w:val="24"/>
        </w:rPr>
        <w:t>są traktowan</w:t>
      </w:r>
      <w:r w:rsidR="00170216" w:rsidRPr="00E95678">
        <w:rPr>
          <w:rFonts w:ascii="Times New Roman" w:hAnsi="Times New Roman" w:cs="Times New Roman"/>
          <w:sz w:val="24"/>
          <w:szCs w:val="24"/>
        </w:rPr>
        <w:t>e</w:t>
      </w:r>
      <w:r w:rsidRPr="00E95678">
        <w:rPr>
          <w:rFonts w:ascii="Times New Roman" w:hAnsi="Times New Roman" w:cs="Times New Roman"/>
          <w:sz w:val="24"/>
          <w:szCs w:val="24"/>
        </w:rPr>
        <w:t xml:space="preserve"> jako jednostki transparentne podatkowo. </w:t>
      </w:r>
      <w:r w:rsidRPr="00E95678">
        <w:rPr>
          <w:rStyle w:val="Odwoanieprzypisudolnego"/>
          <w:rFonts w:ascii="Times New Roman" w:hAnsi="Times New Roman" w:cs="Times New Roman"/>
          <w:sz w:val="24"/>
          <w:szCs w:val="24"/>
        </w:rPr>
        <w:footnoteReference w:id="66"/>
      </w:r>
    </w:p>
    <w:p w14:paraId="5EA4CD90"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7 ust. 2</w:t>
      </w:r>
      <w:r w:rsidRPr="00E95678">
        <w:rPr>
          <w:rFonts w:ascii="Times New Roman" w:hAnsi="Times New Roman" w:cs="Times New Roman"/>
          <w:sz w:val="24"/>
          <w:szCs w:val="24"/>
        </w:rPr>
        <w:t xml:space="preserve"> wprowadza regułę uzupełniającą, zgodnie z którą w przypadku:</w:t>
      </w:r>
    </w:p>
    <w:p w14:paraId="736EE414" w14:textId="77777777" w:rsidR="00DB7D51" w:rsidRPr="00E95678" w:rsidRDefault="00DB7D51" w:rsidP="002C7467">
      <w:pPr>
        <w:pStyle w:val="Akapitzlist"/>
        <w:numPr>
          <w:ilvl w:val="0"/>
          <w:numId w:val="90"/>
        </w:numPr>
        <w:spacing w:after="120"/>
        <w:jc w:val="both"/>
        <w:rPr>
          <w:rFonts w:ascii="Times New Roman" w:hAnsi="Times New Roman" w:cs="Times New Roman"/>
          <w:b/>
          <w:bCs/>
          <w:sz w:val="24"/>
          <w:szCs w:val="24"/>
        </w:rPr>
      </w:pPr>
      <w:r w:rsidRPr="00E95678">
        <w:rPr>
          <w:rFonts w:ascii="Times New Roman" w:hAnsi="Times New Roman" w:cs="Times New Roman"/>
          <w:sz w:val="24"/>
          <w:szCs w:val="24"/>
        </w:rPr>
        <w:t xml:space="preserve">jednostki, której lokalizacji nie można ustalić na podstawie kryteriów rezydencji wskazanych w </w:t>
      </w:r>
      <w:r w:rsidRPr="00E95678">
        <w:rPr>
          <w:rFonts w:ascii="Times New Roman" w:hAnsi="Times New Roman" w:cs="Times New Roman"/>
          <w:b/>
          <w:bCs/>
          <w:sz w:val="24"/>
          <w:szCs w:val="24"/>
        </w:rPr>
        <w:t>ust. 1 lub</w:t>
      </w:r>
    </w:p>
    <w:p w14:paraId="0030BA25" w14:textId="77777777" w:rsidR="00DB7D51" w:rsidRPr="00E95678" w:rsidRDefault="00DB7D51" w:rsidP="002C7467">
      <w:pPr>
        <w:pStyle w:val="Akapitzlist"/>
        <w:numPr>
          <w:ilvl w:val="0"/>
          <w:numId w:val="90"/>
        </w:numPr>
        <w:spacing w:after="120"/>
        <w:jc w:val="both"/>
        <w:rPr>
          <w:rFonts w:ascii="Times New Roman" w:hAnsi="Times New Roman" w:cs="Times New Roman"/>
          <w:sz w:val="24"/>
          <w:szCs w:val="24"/>
        </w:rPr>
      </w:pPr>
      <w:r w:rsidRPr="00E95678">
        <w:rPr>
          <w:rFonts w:ascii="Times New Roman" w:hAnsi="Times New Roman" w:cs="Times New Roman"/>
          <w:sz w:val="24"/>
          <w:szCs w:val="24"/>
        </w:rPr>
        <w:t>jednostki pośredniczącej będącej jednostką dominującą najwyższego szczebla lub jednostką dominującą będącą podatnikiem globalnego podatku wyrównawczego albo jednostką obowiązaną do stosowania kwalifikowanej zasady włączenia dochodu do opodatkowania</w:t>
      </w:r>
    </w:p>
    <w:p w14:paraId="6861E00D" w14:textId="0348B846"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 należy przyjąć, że </w:t>
      </w:r>
      <w:r w:rsidRPr="00E95678">
        <w:rPr>
          <w:rFonts w:ascii="Times New Roman" w:eastAsia="Times New Roman" w:hAnsi="Times New Roman" w:cs="Times New Roman"/>
          <w:sz w:val="24"/>
          <w:szCs w:val="24"/>
          <w:lang w:eastAsia="pl-PL"/>
        </w:rPr>
        <w:t xml:space="preserve">jest ona zlokalizowana </w:t>
      </w:r>
      <w:r w:rsidRPr="00E95678">
        <w:rPr>
          <w:rFonts w:ascii="Times New Roman" w:hAnsi="Times New Roman" w:cs="Times New Roman"/>
          <w:b/>
          <w:bCs/>
          <w:sz w:val="24"/>
          <w:szCs w:val="24"/>
        </w:rPr>
        <w:t>w </w:t>
      </w:r>
      <w:r w:rsidR="004A058D" w:rsidRPr="00E95678">
        <w:rPr>
          <w:rFonts w:ascii="Times New Roman" w:hAnsi="Times New Roman" w:cs="Times New Roman"/>
          <w:b/>
          <w:bCs/>
          <w:sz w:val="24"/>
          <w:szCs w:val="24"/>
        </w:rPr>
        <w:t>jurysdykcji</w:t>
      </w:r>
      <w:r w:rsidRPr="00E95678">
        <w:rPr>
          <w:rFonts w:ascii="Times New Roman" w:hAnsi="Times New Roman" w:cs="Times New Roman"/>
          <w:b/>
          <w:bCs/>
          <w:sz w:val="24"/>
          <w:szCs w:val="24"/>
        </w:rPr>
        <w:t xml:space="preserve">, w </w:t>
      </w:r>
      <w:r w:rsidR="004A058D" w:rsidRPr="00E95678">
        <w:rPr>
          <w:rFonts w:ascii="Times New Roman" w:hAnsi="Times New Roman" w:cs="Times New Roman"/>
          <w:b/>
          <w:bCs/>
          <w:sz w:val="24"/>
          <w:szCs w:val="24"/>
        </w:rPr>
        <w:t xml:space="preserve">której </w:t>
      </w:r>
      <w:r w:rsidRPr="00E95678">
        <w:rPr>
          <w:rFonts w:ascii="Times New Roman" w:hAnsi="Times New Roman" w:cs="Times New Roman"/>
          <w:b/>
          <w:bCs/>
          <w:sz w:val="24"/>
          <w:szCs w:val="24"/>
        </w:rPr>
        <w:t>została ona utworzona</w:t>
      </w:r>
      <w:r w:rsidRPr="00E95678">
        <w:rPr>
          <w:rFonts w:ascii="Times New Roman" w:hAnsi="Times New Roman" w:cs="Times New Roman"/>
          <w:sz w:val="24"/>
          <w:szCs w:val="24"/>
        </w:rPr>
        <w:t xml:space="preserve">. Odnosząc się do jednostki, której lokalizacji na bazie ogólnych kryteriów rezydencji wskazanych w </w:t>
      </w:r>
      <w:r w:rsidRPr="00E95678">
        <w:rPr>
          <w:rFonts w:ascii="Times New Roman" w:hAnsi="Times New Roman" w:cs="Times New Roman"/>
          <w:b/>
          <w:bCs/>
          <w:sz w:val="24"/>
          <w:szCs w:val="24"/>
        </w:rPr>
        <w:t>ust. 1</w:t>
      </w:r>
      <w:r w:rsidRPr="00E95678">
        <w:rPr>
          <w:rFonts w:ascii="Times New Roman" w:hAnsi="Times New Roman" w:cs="Times New Roman"/>
          <w:sz w:val="24"/>
          <w:szCs w:val="24"/>
        </w:rPr>
        <w:t xml:space="preserve">, reguła uzupełniająca, dotycząca </w:t>
      </w:r>
      <w:r w:rsidR="004A058D"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 xml:space="preserve">utworzenia, znajdzie zastosowanie w szczególności w przypadku </w:t>
      </w:r>
      <w:r w:rsidR="004A058D" w:rsidRPr="00E95678">
        <w:rPr>
          <w:rFonts w:ascii="Times New Roman" w:hAnsi="Times New Roman" w:cs="Times New Roman"/>
          <w:sz w:val="24"/>
          <w:szCs w:val="24"/>
        </w:rPr>
        <w:t>jurysdykcji</w:t>
      </w:r>
      <w:r w:rsidRPr="00E95678">
        <w:rPr>
          <w:rFonts w:ascii="Times New Roman" w:hAnsi="Times New Roman" w:cs="Times New Roman"/>
          <w:sz w:val="24"/>
          <w:szCs w:val="24"/>
        </w:rPr>
        <w:t>, w których nie obowiązuje opodatkowanie CIT.</w:t>
      </w:r>
    </w:p>
    <w:p w14:paraId="0DDD3EED" w14:textId="2F5AB7FF"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7 ust. 3</w:t>
      </w:r>
      <w:r w:rsidRPr="00E95678">
        <w:rPr>
          <w:rFonts w:ascii="Times New Roman" w:hAnsi="Times New Roman" w:cs="Times New Roman"/>
          <w:sz w:val="24"/>
          <w:szCs w:val="24"/>
        </w:rPr>
        <w:t xml:space="preserve"> wprowadza natomiast regułę, zgodnie z którą jednostk</w:t>
      </w:r>
      <w:r w:rsidR="002D3517" w:rsidRPr="00E95678">
        <w:rPr>
          <w:rFonts w:ascii="Times New Roman" w:hAnsi="Times New Roman" w:cs="Times New Roman"/>
          <w:sz w:val="24"/>
          <w:szCs w:val="24"/>
        </w:rPr>
        <w:t>a</w:t>
      </w:r>
      <w:r w:rsidRPr="00E95678">
        <w:rPr>
          <w:rFonts w:ascii="Times New Roman" w:hAnsi="Times New Roman" w:cs="Times New Roman"/>
          <w:sz w:val="24"/>
          <w:szCs w:val="24"/>
        </w:rPr>
        <w:t xml:space="preserve"> pośrednicząca inna niż jednostka dominująca określona w </w:t>
      </w:r>
      <w:r w:rsidRPr="00E95678">
        <w:rPr>
          <w:rFonts w:ascii="Times New Roman" w:hAnsi="Times New Roman" w:cs="Times New Roman"/>
          <w:b/>
          <w:bCs/>
          <w:sz w:val="24"/>
          <w:szCs w:val="24"/>
        </w:rPr>
        <w:t>ust. 2 pkt 2</w:t>
      </w:r>
      <w:r w:rsidRPr="00E95678">
        <w:rPr>
          <w:rFonts w:ascii="Times New Roman" w:hAnsi="Times New Roman" w:cs="Times New Roman"/>
          <w:sz w:val="24"/>
          <w:szCs w:val="24"/>
        </w:rPr>
        <w:t xml:space="preserve"> </w:t>
      </w:r>
      <w:r w:rsidRPr="00E95678">
        <w:rPr>
          <w:rFonts w:ascii="Times New Roman" w:hAnsi="Times New Roman" w:cs="Times New Roman"/>
          <w:b/>
          <w:bCs/>
          <w:sz w:val="24"/>
          <w:szCs w:val="24"/>
        </w:rPr>
        <w:t xml:space="preserve">nie jest zlokalizowana w </w:t>
      </w:r>
      <w:r w:rsidR="004A058D" w:rsidRPr="00E95678">
        <w:rPr>
          <w:rFonts w:ascii="Times New Roman" w:hAnsi="Times New Roman" w:cs="Times New Roman"/>
          <w:b/>
          <w:bCs/>
          <w:sz w:val="24"/>
          <w:szCs w:val="24"/>
        </w:rPr>
        <w:t>żadnej jurysdykcji</w:t>
      </w:r>
      <w:r w:rsidRPr="00E95678">
        <w:rPr>
          <w:rFonts w:ascii="Times New Roman" w:hAnsi="Times New Roman" w:cs="Times New Roman"/>
          <w:sz w:val="24"/>
          <w:szCs w:val="24"/>
        </w:rPr>
        <w:t xml:space="preserve">. Będzie to zatem każda „zwykła” jednostka pośrednicząca (traktowana jako przejrzysta podatkowo w </w:t>
      </w:r>
      <w:r w:rsidR="004A058D"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jej utworzenia), tj. taka która nie jest ani UPE ani inną jednostką dominującą stosującą Zasadę IIR/Kwalifikowaną Zasadę IIR. Podobna reguła dotyczy stałego zakładu, o którym mowa w art. 2 ust. 1 pkt 4</w:t>
      </w:r>
      <w:r w:rsidR="002D3517" w:rsidRPr="00E95678">
        <w:rPr>
          <w:rFonts w:ascii="Times New Roman" w:hAnsi="Times New Roman" w:cs="Times New Roman"/>
          <w:sz w:val="24"/>
          <w:szCs w:val="24"/>
        </w:rPr>
        <w:t>0</w:t>
      </w:r>
      <w:r w:rsidRPr="00E95678">
        <w:rPr>
          <w:rFonts w:ascii="Times New Roman" w:hAnsi="Times New Roman" w:cs="Times New Roman"/>
          <w:sz w:val="24"/>
          <w:szCs w:val="24"/>
        </w:rPr>
        <w:t xml:space="preserve"> lit. d. Do takich jednostek i stałych zakładów odwołuje się definicja bezpaństwowej jednostki składowej zawarta w art. 2 ust. 1 pkt 2, tzn. jeżeli taka jednostka pośrednicząca lub stały zakład wchodzi w skład danej grupy, określa się ją jako bezpaństwową jednostkę składową. Taki status ma istotne skutki na gruncie Zasad GloBE. W przypadku bezpaństwowej jednostki składowej efektywną stawkę podatkową ustala się odrębnie od wszystkich innych jednostek (efektywna stawka podatkowa jest ustalana na poziomie pojedynczej bezpaństwowej jednostki składowej). </w:t>
      </w:r>
    </w:p>
    <w:p w14:paraId="7BC3B0AF" w14:textId="46518AF4"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7 ust. 4</w:t>
      </w:r>
      <w:r w:rsidRPr="00E95678">
        <w:rPr>
          <w:rFonts w:ascii="Times New Roman" w:hAnsi="Times New Roman" w:cs="Times New Roman"/>
          <w:sz w:val="24"/>
          <w:szCs w:val="24"/>
        </w:rPr>
        <w:t xml:space="preserve"> nawiązuje natomiast do podziału wynikającego z definicji stałego zakładu. I tak, zgodnie </w:t>
      </w:r>
      <w:r w:rsidRPr="00E95678">
        <w:rPr>
          <w:rFonts w:ascii="Times New Roman" w:hAnsi="Times New Roman" w:cs="Times New Roman"/>
          <w:sz w:val="24"/>
          <w:szCs w:val="24"/>
        </w:rPr>
        <w:br/>
        <w:t xml:space="preserve">z </w:t>
      </w:r>
      <w:r w:rsidRPr="00E95678">
        <w:rPr>
          <w:rFonts w:ascii="Times New Roman" w:hAnsi="Times New Roman" w:cs="Times New Roman"/>
          <w:b/>
          <w:bCs/>
          <w:sz w:val="24"/>
          <w:szCs w:val="24"/>
        </w:rPr>
        <w:t>ust. 4</w:t>
      </w:r>
      <w:r w:rsidRPr="00E95678">
        <w:rPr>
          <w:rFonts w:ascii="Times New Roman" w:hAnsi="Times New Roman" w:cs="Times New Roman"/>
          <w:sz w:val="24"/>
          <w:szCs w:val="24"/>
        </w:rPr>
        <w:t>, stałe zakłady, o których mowa w art. 2 ust. 1 pkt 4</w:t>
      </w:r>
      <w:r w:rsidR="002D3517" w:rsidRPr="00E95678">
        <w:rPr>
          <w:rFonts w:ascii="Times New Roman" w:hAnsi="Times New Roman" w:cs="Times New Roman"/>
          <w:sz w:val="24"/>
          <w:szCs w:val="24"/>
        </w:rPr>
        <w:t>0</w:t>
      </w:r>
      <w:r w:rsidRPr="00E95678">
        <w:rPr>
          <w:rFonts w:ascii="Times New Roman" w:hAnsi="Times New Roman" w:cs="Times New Roman"/>
          <w:sz w:val="24"/>
          <w:szCs w:val="24"/>
        </w:rPr>
        <w:t xml:space="preserve"> lit. a-c, są zlokalizowane w </w:t>
      </w:r>
      <w:r w:rsidR="00442594" w:rsidRPr="00E95678">
        <w:rPr>
          <w:rFonts w:ascii="Times New Roman" w:hAnsi="Times New Roman" w:cs="Times New Roman"/>
          <w:sz w:val="24"/>
          <w:szCs w:val="24"/>
        </w:rPr>
        <w:t xml:space="preserve">jurysdykcjach </w:t>
      </w:r>
      <w:r w:rsidRPr="00E95678">
        <w:rPr>
          <w:rFonts w:ascii="Times New Roman" w:hAnsi="Times New Roman" w:cs="Times New Roman"/>
          <w:sz w:val="24"/>
          <w:szCs w:val="24"/>
        </w:rPr>
        <w:t xml:space="preserve">określonych w poszczególnych literach tego przepisu definicyjnego. Tym samym, stały zakład </w:t>
      </w:r>
      <w:r w:rsidRPr="00E95678">
        <w:rPr>
          <w:rFonts w:ascii="Times New Roman" w:eastAsia="Times New Roman" w:hAnsi="Times New Roman" w:cs="Times New Roman"/>
          <w:sz w:val="24"/>
          <w:szCs w:val="24"/>
          <w:lang w:eastAsia="pl-PL"/>
        </w:rPr>
        <w:t>jest zlokalizowany</w:t>
      </w:r>
      <w:r w:rsidRPr="00E95678">
        <w:rPr>
          <w:rFonts w:ascii="Times New Roman" w:hAnsi="Times New Roman" w:cs="Times New Roman"/>
          <w:sz w:val="24"/>
          <w:szCs w:val="24"/>
        </w:rPr>
        <w:t xml:space="preserve"> w </w:t>
      </w:r>
      <w:r w:rsidR="006550BD"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6550BD" w:rsidRPr="00E95678">
        <w:rPr>
          <w:rFonts w:ascii="Times New Roman" w:hAnsi="Times New Roman" w:cs="Times New Roman"/>
          <w:sz w:val="24"/>
          <w:szCs w:val="24"/>
        </w:rPr>
        <w:t>której</w:t>
      </w:r>
      <w:r w:rsidRPr="00E95678">
        <w:rPr>
          <w:rFonts w:ascii="Times New Roman" w:hAnsi="Times New Roman" w:cs="Times New Roman"/>
          <w:sz w:val="24"/>
          <w:szCs w:val="24"/>
        </w:rPr>
        <w:t>:</w:t>
      </w:r>
    </w:p>
    <w:p w14:paraId="1D5E1852" w14:textId="414C79E6" w:rsidR="00DB7D51" w:rsidRPr="00E95678" w:rsidRDefault="00DB7D51" w:rsidP="00B6504F">
      <w:pPr>
        <w:pStyle w:val="Akapitzlist"/>
        <w:numPr>
          <w:ilvl w:val="0"/>
          <w:numId w:val="18"/>
        </w:numPr>
        <w:spacing w:after="120"/>
        <w:contextualSpacing w:val="0"/>
        <w:jc w:val="both"/>
        <w:rPr>
          <w:rFonts w:ascii="Times New Roman" w:hAnsi="Times New Roman" w:cs="Times New Roman"/>
          <w:bCs/>
          <w:sz w:val="24"/>
          <w:szCs w:val="24"/>
        </w:rPr>
      </w:pPr>
      <w:r w:rsidRPr="00E95678">
        <w:rPr>
          <w:rFonts w:ascii="Times New Roman" w:hAnsi="Times New Roman" w:cs="Times New Roman"/>
          <w:bCs/>
          <w:sz w:val="24"/>
          <w:szCs w:val="24"/>
        </w:rPr>
        <w:t xml:space="preserve">jest traktowany dla celów podatkowych jako  zakład i podlega w </w:t>
      </w:r>
      <w:r w:rsidR="006550BD" w:rsidRPr="00E95678">
        <w:rPr>
          <w:rFonts w:ascii="Times New Roman" w:hAnsi="Times New Roman" w:cs="Times New Roman"/>
          <w:bCs/>
          <w:sz w:val="24"/>
          <w:szCs w:val="24"/>
        </w:rPr>
        <w:t xml:space="preserve">tej </w:t>
      </w:r>
      <w:r w:rsidR="006550BD" w:rsidRPr="00E95678">
        <w:rPr>
          <w:rFonts w:ascii="Times New Roman" w:hAnsi="Times New Roman" w:cs="Times New Roman"/>
          <w:sz w:val="24"/>
          <w:szCs w:val="24"/>
        </w:rPr>
        <w:t xml:space="preserve">jurysdykcji </w:t>
      </w:r>
      <w:r w:rsidRPr="00E95678">
        <w:rPr>
          <w:rFonts w:ascii="Times New Roman" w:hAnsi="Times New Roman" w:cs="Times New Roman"/>
          <w:bCs/>
          <w:sz w:val="24"/>
          <w:szCs w:val="24"/>
        </w:rPr>
        <w:t xml:space="preserve">opodatkowaniu podatkiem dochodowym zgodnie z mającą zastosowanie umową o unikaniu podwójnego opodatkowania – w przypadku stałego zakładu, o którym mowa w </w:t>
      </w:r>
      <w:r w:rsidRPr="00E95678">
        <w:rPr>
          <w:rFonts w:ascii="Times New Roman" w:hAnsi="Times New Roman" w:cs="Times New Roman"/>
          <w:b/>
          <w:sz w:val="24"/>
          <w:szCs w:val="24"/>
        </w:rPr>
        <w:t>art. 2 ust. 1 pkt 4</w:t>
      </w:r>
      <w:r w:rsidR="002D3517" w:rsidRPr="00E95678">
        <w:rPr>
          <w:rFonts w:ascii="Times New Roman" w:hAnsi="Times New Roman" w:cs="Times New Roman"/>
          <w:b/>
          <w:sz w:val="24"/>
          <w:szCs w:val="24"/>
        </w:rPr>
        <w:t>0</w:t>
      </w:r>
      <w:r w:rsidRPr="00E95678">
        <w:rPr>
          <w:rFonts w:ascii="Times New Roman" w:hAnsi="Times New Roman" w:cs="Times New Roman"/>
          <w:b/>
          <w:sz w:val="24"/>
          <w:szCs w:val="24"/>
        </w:rPr>
        <w:t xml:space="preserve"> lit. a</w:t>
      </w:r>
      <w:r w:rsidRPr="00E95678">
        <w:rPr>
          <w:rFonts w:ascii="Times New Roman" w:hAnsi="Times New Roman" w:cs="Times New Roman"/>
          <w:bCs/>
          <w:sz w:val="24"/>
          <w:szCs w:val="24"/>
        </w:rPr>
        <w:t xml:space="preserve"> ustawy;</w:t>
      </w:r>
    </w:p>
    <w:p w14:paraId="3DD7C740" w14:textId="2DED3C6E" w:rsidR="00DB7D51" w:rsidRPr="00E95678" w:rsidRDefault="00DB7D51" w:rsidP="00B6504F">
      <w:pPr>
        <w:pStyle w:val="Akapitzlist"/>
        <w:numPr>
          <w:ilvl w:val="0"/>
          <w:numId w:val="18"/>
        </w:numPr>
        <w:spacing w:after="120"/>
        <w:contextualSpacing w:val="0"/>
        <w:jc w:val="both"/>
        <w:rPr>
          <w:rFonts w:ascii="Times New Roman" w:hAnsi="Times New Roman" w:cs="Times New Roman"/>
          <w:bCs/>
          <w:sz w:val="24"/>
          <w:szCs w:val="24"/>
        </w:rPr>
      </w:pPr>
      <w:r w:rsidRPr="00E95678">
        <w:rPr>
          <w:rFonts w:ascii="Times New Roman" w:hAnsi="Times New Roman" w:cs="Times New Roman"/>
          <w:bCs/>
          <w:sz w:val="24"/>
          <w:szCs w:val="24"/>
        </w:rPr>
        <w:lastRenderedPageBreak/>
        <w:t xml:space="preserve">dochód przypisany temu zakładowi podlega opodatkowaniu podatkiem dochodowym na zasadach właściwych dla podatku dochodowego w sposób porównywalny do opodatkowania takim podatkiem rezydentów podatkowych </w:t>
      </w:r>
      <w:r w:rsidR="006550BD" w:rsidRPr="00E95678">
        <w:rPr>
          <w:rFonts w:ascii="Times New Roman" w:hAnsi="Times New Roman" w:cs="Times New Roman"/>
          <w:bCs/>
          <w:sz w:val="24"/>
          <w:szCs w:val="24"/>
        </w:rPr>
        <w:t xml:space="preserve">tej </w:t>
      </w:r>
      <w:r w:rsidR="006550BD" w:rsidRPr="00E95678">
        <w:rPr>
          <w:rFonts w:ascii="Times New Roman" w:hAnsi="Times New Roman" w:cs="Times New Roman"/>
          <w:sz w:val="24"/>
          <w:szCs w:val="24"/>
        </w:rPr>
        <w:t xml:space="preserve">jurysdykcji </w:t>
      </w:r>
      <w:r w:rsidRPr="00E95678">
        <w:rPr>
          <w:rFonts w:ascii="Times New Roman" w:hAnsi="Times New Roman" w:cs="Times New Roman"/>
          <w:bCs/>
          <w:sz w:val="24"/>
          <w:szCs w:val="24"/>
        </w:rPr>
        <w:t xml:space="preserve">(zasada netto) – w przypadku stałego zakładu, o którym mowa w </w:t>
      </w:r>
      <w:r w:rsidRPr="00E95678">
        <w:rPr>
          <w:rFonts w:ascii="Times New Roman" w:hAnsi="Times New Roman" w:cs="Times New Roman"/>
          <w:b/>
          <w:sz w:val="24"/>
          <w:szCs w:val="24"/>
        </w:rPr>
        <w:t>art. 2 ust. 1 pkt 4</w:t>
      </w:r>
      <w:r w:rsidR="002D3517" w:rsidRPr="00E95678">
        <w:rPr>
          <w:rFonts w:ascii="Times New Roman" w:hAnsi="Times New Roman" w:cs="Times New Roman"/>
          <w:b/>
          <w:sz w:val="24"/>
          <w:szCs w:val="24"/>
        </w:rPr>
        <w:t>0</w:t>
      </w:r>
      <w:r w:rsidRPr="00E95678">
        <w:rPr>
          <w:rFonts w:ascii="Times New Roman" w:hAnsi="Times New Roman" w:cs="Times New Roman"/>
          <w:b/>
          <w:sz w:val="24"/>
          <w:szCs w:val="24"/>
        </w:rPr>
        <w:t xml:space="preserve"> lit. b</w:t>
      </w:r>
      <w:r w:rsidRPr="00E95678">
        <w:rPr>
          <w:rFonts w:ascii="Times New Roman" w:hAnsi="Times New Roman" w:cs="Times New Roman"/>
          <w:bCs/>
          <w:sz w:val="24"/>
          <w:szCs w:val="24"/>
        </w:rPr>
        <w:t xml:space="preserve"> ustawy;</w:t>
      </w:r>
    </w:p>
    <w:p w14:paraId="1A03A457" w14:textId="2567D89C" w:rsidR="00DB7D51" w:rsidRPr="00E95678" w:rsidRDefault="00DB7D51" w:rsidP="00B6504F">
      <w:pPr>
        <w:pStyle w:val="Akapitzlist"/>
        <w:numPr>
          <w:ilvl w:val="0"/>
          <w:numId w:val="18"/>
        </w:numPr>
        <w:spacing w:after="120"/>
        <w:contextualSpacing w:val="0"/>
        <w:jc w:val="both"/>
        <w:rPr>
          <w:rFonts w:ascii="Times New Roman" w:hAnsi="Times New Roman" w:cs="Times New Roman"/>
          <w:bCs/>
          <w:sz w:val="24"/>
          <w:szCs w:val="24"/>
        </w:rPr>
      </w:pPr>
      <w:r w:rsidRPr="00E95678">
        <w:rPr>
          <w:rFonts w:ascii="Times New Roman" w:hAnsi="Times New Roman" w:cs="Times New Roman"/>
          <w:bCs/>
          <w:sz w:val="24"/>
          <w:szCs w:val="24"/>
        </w:rPr>
        <w:t xml:space="preserve">znajduje się miejsce prowadzenia działalności – w przypadku zakładu, o którym mowa w </w:t>
      </w:r>
      <w:r w:rsidRPr="00E95678">
        <w:rPr>
          <w:rFonts w:ascii="Times New Roman" w:hAnsi="Times New Roman" w:cs="Times New Roman"/>
          <w:b/>
          <w:sz w:val="24"/>
          <w:szCs w:val="24"/>
        </w:rPr>
        <w:t>art. 2 ust. 1 pkt 4</w:t>
      </w:r>
      <w:r w:rsidR="002D3517" w:rsidRPr="00E95678">
        <w:rPr>
          <w:rFonts w:ascii="Times New Roman" w:hAnsi="Times New Roman" w:cs="Times New Roman"/>
          <w:b/>
          <w:sz w:val="24"/>
          <w:szCs w:val="24"/>
        </w:rPr>
        <w:t>0</w:t>
      </w:r>
      <w:r w:rsidRPr="00E95678">
        <w:rPr>
          <w:rFonts w:ascii="Times New Roman" w:hAnsi="Times New Roman" w:cs="Times New Roman"/>
          <w:b/>
          <w:sz w:val="24"/>
          <w:szCs w:val="24"/>
        </w:rPr>
        <w:t xml:space="preserve"> lit. c</w:t>
      </w:r>
      <w:r w:rsidRPr="00E95678">
        <w:rPr>
          <w:rFonts w:ascii="Times New Roman" w:hAnsi="Times New Roman" w:cs="Times New Roman"/>
          <w:bCs/>
          <w:sz w:val="24"/>
          <w:szCs w:val="24"/>
        </w:rPr>
        <w:t xml:space="preserve"> ustawy (tj. gdy </w:t>
      </w:r>
      <w:r w:rsidRPr="00E95678">
        <w:rPr>
          <w:rFonts w:ascii="Times New Roman" w:hAnsi="Times New Roman" w:cs="Times New Roman"/>
          <w:sz w:val="24"/>
          <w:szCs w:val="24"/>
        </w:rPr>
        <w:t>taki zakład nie podlega opodatkowaniu od dochodu netto w państwie</w:t>
      </w:r>
      <w:r w:rsidR="006550BD" w:rsidRPr="00E95678">
        <w:rPr>
          <w:rFonts w:ascii="Times New Roman" w:hAnsi="Times New Roman" w:cs="Times New Roman"/>
          <w:sz w:val="24"/>
          <w:szCs w:val="24"/>
        </w:rPr>
        <w:t xml:space="preserve"> lub jurysdykcji</w:t>
      </w:r>
      <w:r w:rsidRPr="00E95678">
        <w:rPr>
          <w:rFonts w:ascii="Times New Roman" w:hAnsi="Times New Roman" w:cs="Times New Roman"/>
          <w:sz w:val="24"/>
          <w:szCs w:val="24"/>
        </w:rPr>
        <w:t xml:space="preserve"> źródła, ponieważ państwo</w:t>
      </w:r>
      <w:r w:rsidR="006550BD" w:rsidRPr="00E95678">
        <w:rPr>
          <w:rFonts w:ascii="Times New Roman" w:hAnsi="Times New Roman" w:cs="Times New Roman"/>
          <w:sz w:val="24"/>
          <w:szCs w:val="24"/>
        </w:rPr>
        <w:t xml:space="preserve"> lub </w:t>
      </w:r>
      <w:r w:rsidR="00170216" w:rsidRPr="00E95678">
        <w:rPr>
          <w:rFonts w:ascii="Times New Roman" w:hAnsi="Times New Roman" w:cs="Times New Roman"/>
          <w:sz w:val="24"/>
          <w:szCs w:val="24"/>
        </w:rPr>
        <w:t>jurysdykcja</w:t>
      </w:r>
      <w:r w:rsidRPr="00E95678">
        <w:rPr>
          <w:rFonts w:ascii="Times New Roman" w:hAnsi="Times New Roman" w:cs="Times New Roman"/>
          <w:sz w:val="24"/>
          <w:szCs w:val="24"/>
        </w:rPr>
        <w:t xml:space="preserve"> nie posiada systemu opodatkowania CIT, ale taki zakład spełnia warunki stałego zakładu określone w Modelowej </w:t>
      </w:r>
      <w:r w:rsidR="00ED3A9E" w:rsidRPr="00E95678">
        <w:rPr>
          <w:rFonts w:ascii="Times New Roman" w:hAnsi="Times New Roman" w:cs="Times New Roman"/>
          <w:sz w:val="24"/>
          <w:szCs w:val="24"/>
        </w:rPr>
        <w:t>k</w:t>
      </w:r>
      <w:r w:rsidRPr="00E95678">
        <w:rPr>
          <w:rFonts w:ascii="Times New Roman" w:hAnsi="Times New Roman" w:cs="Times New Roman"/>
          <w:sz w:val="24"/>
          <w:szCs w:val="24"/>
        </w:rPr>
        <w:t xml:space="preserve">onwencji OECD i państwo </w:t>
      </w:r>
      <w:r w:rsidR="006550BD" w:rsidRPr="00E95678">
        <w:rPr>
          <w:rFonts w:ascii="Times New Roman" w:hAnsi="Times New Roman" w:cs="Times New Roman"/>
          <w:sz w:val="24"/>
          <w:szCs w:val="24"/>
        </w:rPr>
        <w:t xml:space="preserve">lub jurysdykcja </w:t>
      </w:r>
      <w:r w:rsidRPr="00E95678">
        <w:rPr>
          <w:rFonts w:ascii="Times New Roman" w:hAnsi="Times New Roman" w:cs="Times New Roman"/>
          <w:sz w:val="24"/>
          <w:szCs w:val="24"/>
        </w:rPr>
        <w:t>miał</w:t>
      </w:r>
      <w:r w:rsidR="00170216" w:rsidRPr="00E95678">
        <w:rPr>
          <w:rFonts w:ascii="Times New Roman" w:hAnsi="Times New Roman" w:cs="Times New Roman"/>
          <w:sz w:val="24"/>
          <w:szCs w:val="24"/>
        </w:rPr>
        <w:t>y</w:t>
      </w:r>
      <w:r w:rsidRPr="00E95678">
        <w:rPr>
          <w:rFonts w:ascii="Times New Roman" w:hAnsi="Times New Roman" w:cs="Times New Roman"/>
          <w:sz w:val="24"/>
          <w:szCs w:val="24"/>
        </w:rPr>
        <w:t xml:space="preserve">by prawo na podstawie art. 7 tej </w:t>
      </w:r>
      <w:r w:rsidR="00ED3A9E" w:rsidRPr="00E95678">
        <w:rPr>
          <w:rFonts w:ascii="Times New Roman" w:hAnsi="Times New Roman" w:cs="Times New Roman"/>
          <w:sz w:val="24"/>
          <w:szCs w:val="24"/>
        </w:rPr>
        <w:t>k</w:t>
      </w:r>
      <w:r w:rsidRPr="00E95678">
        <w:rPr>
          <w:rFonts w:ascii="Times New Roman" w:hAnsi="Times New Roman" w:cs="Times New Roman"/>
          <w:sz w:val="24"/>
          <w:szCs w:val="24"/>
        </w:rPr>
        <w:t xml:space="preserve">onwencji do opodatkowania dochodu, który zostałby przypisany do takiego zakładu). </w:t>
      </w:r>
    </w:p>
    <w:p w14:paraId="18C45907" w14:textId="603E3E3C"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Jak wynika z powyższego, w przypadku stałego zakładu w większości przypadków będzie on zlokalizowany dla celów GloBE w miejscu prowadzenia działalności gospodarczej (tj. w </w:t>
      </w:r>
      <w:r w:rsidR="006550BD"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6550BD"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 xml:space="preserve">powstaje zakład zgodnie z mającą zastosowanie UPO, krajowymi przepisami podatkowymi lub w oparciu o fizyczną lokalizację). </w:t>
      </w:r>
    </w:p>
    <w:p w14:paraId="3F981698" w14:textId="75F76CD6"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niektórych przypadkach natomiast, jak wskazano wcześniej w zakresie </w:t>
      </w:r>
      <w:r w:rsidRPr="00E95678">
        <w:rPr>
          <w:rFonts w:ascii="Times New Roman" w:hAnsi="Times New Roman" w:cs="Times New Roman"/>
          <w:b/>
          <w:bCs/>
          <w:sz w:val="24"/>
          <w:szCs w:val="24"/>
        </w:rPr>
        <w:t>ust. 3</w:t>
      </w:r>
      <w:r w:rsidRPr="00E95678">
        <w:rPr>
          <w:rFonts w:ascii="Times New Roman" w:hAnsi="Times New Roman" w:cs="Times New Roman"/>
          <w:sz w:val="24"/>
          <w:szCs w:val="24"/>
        </w:rPr>
        <w:t xml:space="preserve">, stały zakład nie będzie zlokalizowany w </w:t>
      </w:r>
      <w:r w:rsidR="006550BD" w:rsidRPr="00E95678">
        <w:rPr>
          <w:rFonts w:ascii="Times New Roman" w:hAnsi="Times New Roman" w:cs="Times New Roman"/>
          <w:sz w:val="24"/>
          <w:szCs w:val="24"/>
        </w:rPr>
        <w:t>żadnej jurysdykcji</w:t>
      </w:r>
      <w:r w:rsidRPr="00E95678">
        <w:rPr>
          <w:rFonts w:ascii="Times New Roman" w:hAnsi="Times New Roman" w:cs="Times New Roman"/>
          <w:sz w:val="24"/>
          <w:szCs w:val="24"/>
        </w:rPr>
        <w:t xml:space="preserve">. W przypadku takich stałych zakładów obowiązują zasady dla bezpaństwowych jednostek składowych,  tj. dochody i podatki przydzielone temu stałemu zakładowi będą traktowane jako dochody nieprzyporządkowane do </w:t>
      </w:r>
      <w:r w:rsidR="006550BD" w:rsidRPr="00E95678">
        <w:rPr>
          <w:rFonts w:ascii="Times New Roman" w:hAnsi="Times New Roman" w:cs="Times New Roman"/>
          <w:sz w:val="24"/>
          <w:szCs w:val="24"/>
        </w:rPr>
        <w:t xml:space="preserve">danej jurysdykcji </w:t>
      </w:r>
      <w:r w:rsidRPr="00E95678">
        <w:rPr>
          <w:rFonts w:ascii="Times New Roman" w:hAnsi="Times New Roman" w:cs="Times New Roman"/>
          <w:sz w:val="24"/>
          <w:szCs w:val="24"/>
        </w:rPr>
        <w:t xml:space="preserve">i, jako takie, będą podlegać uwzględnieniu w ramach wyliczenia odrębnej efektywnej stawki podatkowej (na poziomie pojedynczego stałego zakładu). W praktyce sytuacja taka wystąpi, gdy </w:t>
      </w:r>
      <w:r w:rsidR="006550BD" w:rsidRPr="00E95678">
        <w:rPr>
          <w:rFonts w:ascii="Times New Roman" w:hAnsi="Times New Roman" w:cs="Times New Roman"/>
          <w:sz w:val="24"/>
          <w:szCs w:val="24"/>
        </w:rPr>
        <w:t xml:space="preserve">jurysdykcja </w:t>
      </w:r>
      <w:r w:rsidRPr="00E95678">
        <w:rPr>
          <w:rFonts w:ascii="Times New Roman" w:hAnsi="Times New Roman" w:cs="Times New Roman"/>
          <w:sz w:val="24"/>
          <w:szCs w:val="24"/>
        </w:rPr>
        <w:t xml:space="preserve">rezydencji centrali zwalnia dochód osiągany przez jej stały zakład ze względu na to, że dochód ten można przypisać temu zagranicznemu stałemu zakładowi, który nie jest uznawany (identyfikowany) zgodnie z prawem </w:t>
      </w:r>
      <w:r w:rsidR="006550BD"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6550BD"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 xml:space="preserve">prowadzi on działalność. </w:t>
      </w:r>
    </w:p>
    <w:p w14:paraId="48A78FC6" w14:textId="3B1B3608" w:rsidR="00DB7D51" w:rsidRPr="00E95678" w:rsidRDefault="00DB7D51" w:rsidP="00DB7D51">
      <w:pPr>
        <w:spacing w:after="120"/>
        <w:jc w:val="both"/>
        <w:rPr>
          <w:rFonts w:ascii="Times New Roman" w:hAnsi="Times New Roman" w:cs="Times New Roman"/>
          <w:bCs/>
          <w:sz w:val="24"/>
          <w:szCs w:val="24"/>
        </w:rPr>
      </w:pPr>
      <w:bookmarkStart w:id="8" w:name="_Hlk162002383"/>
      <w:r w:rsidRPr="00E95678">
        <w:rPr>
          <w:rFonts w:ascii="Times New Roman" w:hAnsi="Times New Roman" w:cs="Times New Roman"/>
          <w:sz w:val="24"/>
          <w:szCs w:val="24"/>
        </w:rPr>
        <w:t>W świetle wskazanych przepisów można uznać,</w:t>
      </w:r>
      <w:r w:rsidRPr="00E95678">
        <w:rPr>
          <w:rFonts w:ascii="Times New Roman" w:hAnsi="Times New Roman" w:cs="Times New Roman"/>
          <w:bCs/>
          <w:sz w:val="24"/>
          <w:szCs w:val="24"/>
        </w:rPr>
        <w:t xml:space="preserve"> że stały zakład </w:t>
      </w:r>
      <w:r w:rsidRPr="00E95678">
        <w:rPr>
          <w:rFonts w:ascii="Times New Roman" w:eastAsia="Times New Roman" w:hAnsi="Times New Roman" w:cs="Times New Roman"/>
          <w:sz w:val="24"/>
          <w:szCs w:val="24"/>
          <w:lang w:eastAsia="pl-PL"/>
        </w:rPr>
        <w:t xml:space="preserve">jest zlokalizowany </w:t>
      </w:r>
      <w:r w:rsidRPr="00E95678">
        <w:rPr>
          <w:rFonts w:ascii="Times New Roman" w:hAnsi="Times New Roman" w:cs="Times New Roman"/>
          <w:bCs/>
          <w:sz w:val="24"/>
          <w:szCs w:val="24"/>
        </w:rPr>
        <w:t xml:space="preserve">na terytorium Rzeczypospolitej Polskiej w rozumieniu </w:t>
      </w:r>
      <w:r w:rsidRPr="00E95678">
        <w:rPr>
          <w:rFonts w:ascii="Times New Roman" w:hAnsi="Times New Roman" w:cs="Times New Roman"/>
          <w:b/>
          <w:sz w:val="24"/>
          <w:szCs w:val="24"/>
        </w:rPr>
        <w:t>art. 7</w:t>
      </w:r>
      <w:r w:rsidRPr="00E95678">
        <w:rPr>
          <w:rFonts w:ascii="Times New Roman" w:hAnsi="Times New Roman" w:cs="Times New Roman"/>
          <w:bCs/>
          <w:sz w:val="24"/>
          <w:szCs w:val="24"/>
        </w:rPr>
        <w:t xml:space="preserve"> </w:t>
      </w:r>
      <w:r w:rsidRPr="00E95678">
        <w:rPr>
          <w:rFonts w:ascii="Times New Roman" w:hAnsi="Times New Roman" w:cs="Times New Roman"/>
          <w:b/>
          <w:sz w:val="24"/>
          <w:szCs w:val="24"/>
        </w:rPr>
        <w:t>ust. 4</w:t>
      </w:r>
      <w:r w:rsidRPr="00E95678">
        <w:rPr>
          <w:rFonts w:ascii="Times New Roman" w:hAnsi="Times New Roman" w:cs="Times New Roman"/>
          <w:bCs/>
          <w:sz w:val="24"/>
          <w:szCs w:val="24"/>
        </w:rPr>
        <w:t xml:space="preserve">, jeżeli zagraniczny zakład istnieje zgodnie z mającą zastosowanie UPO albo jeżeli jednostka prowadząca działalność za pośrednictwem zakładu podlega obowiązkowi podatkowemu na podstawie art. 3 ust. 2 ustawy o podatku dochodowym od dochodów, które osiąga na terytorium Rzeczypospolitej Polskiej za pośrednictwem tego zakładu, a między Rzecząpospolitą Polską a </w:t>
      </w:r>
      <w:r w:rsidR="006550BD" w:rsidRPr="00E95678">
        <w:rPr>
          <w:rFonts w:ascii="Times New Roman" w:hAnsi="Times New Roman" w:cs="Times New Roman"/>
          <w:sz w:val="24"/>
          <w:szCs w:val="24"/>
        </w:rPr>
        <w:t xml:space="preserve">jurysdykcją </w:t>
      </w:r>
      <w:r w:rsidRPr="00E95678">
        <w:rPr>
          <w:rFonts w:ascii="Times New Roman" w:hAnsi="Times New Roman" w:cs="Times New Roman"/>
          <w:bCs/>
          <w:sz w:val="24"/>
          <w:szCs w:val="24"/>
        </w:rPr>
        <w:t>lokalizacji tej jednostki nie ma zastosowania UPO. Chodzi zatem o podleganie w Rzeczypospolitej Polskiej ograniczonemu obowiązkowi podatkowemu w odniesieniu do działalności prowadzonej poprzez taki zakład.</w:t>
      </w:r>
      <w:r w:rsidRPr="00E95678">
        <w:rPr>
          <w:rFonts w:ascii="Times New Roman" w:hAnsi="Times New Roman" w:cs="Times New Roman"/>
          <w:color w:val="333333"/>
          <w:sz w:val="24"/>
          <w:szCs w:val="24"/>
          <w:shd w:val="clear" w:color="auto" w:fill="FFFFFF"/>
        </w:rPr>
        <w:t xml:space="preserve"> </w:t>
      </w:r>
    </w:p>
    <w:bookmarkEnd w:id="8"/>
    <w:p w14:paraId="5F436E80" w14:textId="77777777" w:rsidR="00DB7D51" w:rsidRPr="00E95678" w:rsidRDefault="00DB7D51" w:rsidP="00DB7D51">
      <w:pPr>
        <w:pStyle w:val="Nagwek5"/>
        <w:rPr>
          <w:rFonts w:ascii="Times New Roman" w:hAnsi="Times New Roman" w:cs="Times New Roman"/>
          <w:sz w:val="24"/>
          <w:szCs w:val="24"/>
        </w:rPr>
      </w:pPr>
      <w:r w:rsidRPr="00E95678">
        <w:rPr>
          <w:rFonts w:ascii="Times New Roman" w:hAnsi="Times New Roman" w:cs="Times New Roman"/>
          <w:sz w:val="24"/>
          <w:szCs w:val="24"/>
        </w:rPr>
        <w:t xml:space="preserve">Art. 8 [Reguły kolizyjne] </w:t>
      </w:r>
    </w:p>
    <w:p w14:paraId="38F320F5" w14:textId="434E286E"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Przepis </w:t>
      </w:r>
      <w:r w:rsidRPr="00E95678">
        <w:rPr>
          <w:rFonts w:ascii="Times New Roman" w:hAnsi="Times New Roman" w:cs="Times New Roman"/>
          <w:b/>
          <w:bCs/>
          <w:sz w:val="24"/>
          <w:szCs w:val="24"/>
        </w:rPr>
        <w:t>art. 8</w:t>
      </w:r>
      <w:r w:rsidRPr="00E95678">
        <w:rPr>
          <w:rFonts w:ascii="Times New Roman" w:hAnsi="Times New Roman" w:cs="Times New Roman"/>
          <w:sz w:val="24"/>
          <w:szCs w:val="24"/>
        </w:rPr>
        <w:t xml:space="preserve"> projektu zawiera reguły kolizyjne znajdujące zastosowanie w sytuacji, gdy na podstawie </w:t>
      </w:r>
      <w:r w:rsidRPr="00E95678">
        <w:rPr>
          <w:rFonts w:ascii="Times New Roman" w:hAnsi="Times New Roman" w:cs="Times New Roman"/>
          <w:b/>
          <w:bCs/>
          <w:sz w:val="24"/>
          <w:szCs w:val="24"/>
        </w:rPr>
        <w:t>art. 7</w:t>
      </w:r>
      <w:r w:rsidRPr="00E95678">
        <w:rPr>
          <w:rFonts w:ascii="Times New Roman" w:hAnsi="Times New Roman" w:cs="Times New Roman"/>
          <w:sz w:val="24"/>
          <w:szCs w:val="24"/>
        </w:rPr>
        <w:t xml:space="preserve"> okaże się, że jednostka składowa, inna niż stały zakład, </w:t>
      </w:r>
      <w:r w:rsidRPr="00E95678">
        <w:rPr>
          <w:rFonts w:ascii="Times New Roman" w:eastAsia="Times New Roman" w:hAnsi="Times New Roman" w:cs="Times New Roman"/>
          <w:sz w:val="24"/>
          <w:szCs w:val="24"/>
          <w:lang w:eastAsia="pl-PL"/>
        </w:rPr>
        <w:t xml:space="preserve">jest zlokalizowana </w:t>
      </w:r>
      <w:r w:rsidRPr="00E95678">
        <w:rPr>
          <w:rFonts w:ascii="Times New Roman" w:hAnsi="Times New Roman" w:cs="Times New Roman"/>
          <w:sz w:val="24"/>
          <w:szCs w:val="24"/>
        </w:rPr>
        <w:t xml:space="preserve">w dwóch </w:t>
      </w:r>
      <w:r w:rsidR="006550BD" w:rsidRPr="00E95678">
        <w:rPr>
          <w:rFonts w:ascii="Times New Roman" w:hAnsi="Times New Roman" w:cs="Times New Roman"/>
          <w:sz w:val="24"/>
          <w:szCs w:val="24"/>
        </w:rPr>
        <w:t xml:space="preserve">jurysdykcjach </w:t>
      </w:r>
      <w:r w:rsidRPr="00E95678">
        <w:rPr>
          <w:rFonts w:ascii="Times New Roman" w:hAnsi="Times New Roman" w:cs="Times New Roman"/>
          <w:sz w:val="24"/>
          <w:szCs w:val="24"/>
        </w:rPr>
        <w:t>(</w:t>
      </w:r>
      <w:r w:rsidRPr="00E95678">
        <w:rPr>
          <w:rFonts w:ascii="Times New Roman" w:hAnsi="Times New Roman" w:cs="Times New Roman"/>
          <w:i/>
          <w:sz w:val="24"/>
          <w:szCs w:val="24"/>
        </w:rPr>
        <w:t>jednostka o podwójnej rezydencji</w:t>
      </w:r>
      <w:r w:rsidRPr="00E95678">
        <w:rPr>
          <w:rFonts w:ascii="Times New Roman" w:hAnsi="Times New Roman" w:cs="Times New Roman"/>
          <w:sz w:val="24"/>
          <w:szCs w:val="24"/>
        </w:rPr>
        <w:t xml:space="preserve">). </w:t>
      </w:r>
    </w:p>
    <w:p w14:paraId="62442587" w14:textId="2871E54B"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Przepis ten odnosi się do dwóch odmiennych sytuacji, których wyróżnikiem jest (i) obowiązywanie bądź (ii) nieobowiązywanie (w tym brak) między właściwymi </w:t>
      </w:r>
      <w:r w:rsidR="006550BD" w:rsidRPr="00E95678">
        <w:rPr>
          <w:rFonts w:ascii="Times New Roman" w:hAnsi="Times New Roman" w:cs="Times New Roman"/>
          <w:sz w:val="24"/>
          <w:szCs w:val="24"/>
        </w:rPr>
        <w:t xml:space="preserve">jurysdykcjami </w:t>
      </w:r>
      <w:r w:rsidRPr="00E95678">
        <w:rPr>
          <w:rFonts w:ascii="Times New Roman" w:hAnsi="Times New Roman" w:cs="Times New Roman"/>
          <w:sz w:val="24"/>
          <w:szCs w:val="24"/>
        </w:rPr>
        <w:t>umowy o unikaniu podwójnego opodatkowania (</w:t>
      </w:r>
      <w:r w:rsidRPr="00E95678">
        <w:rPr>
          <w:rFonts w:ascii="Times New Roman" w:hAnsi="Times New Roman" w:cs="Times New Roman"/>
          <w:b/>
          <w:bCs/>
          <w:sz w:val="24"/>
          <w:szCs w:val="24"/>
        </w:rPr>
        <w:t>art. 8 ust. 1 pkt 1-2</w:t>
      </w:r>
      <w:r w:rsidRPr="00E95678">
        <w:rPr>
          <w:rFonts w:ascii="Times New Roman" w:hAnsi="Times New Roman" w:cs="Times New Roman"/>
          <w:sz w:val="24"/>
          <w:szCs w:val="24"/>
        </w:rPr>
        <w:t xml:space="preserve">).  </w:t>
      </w:r>
    </w:p>
    <w:p w14:paraId="6B6093AB" w14:textId="387068E6"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lastRenderedPageBreak/>
        <w:t xml:space="preserve">Omawiany przepis ma zastosowanie odrębnie do każdego roku podatkowego. Oznacza to, że jednostka składowa może być zlokalizowana w różnych </w:t>
      </w:r>
      <w:r w:rsidR="006550BD" w:rsidRPr="00E95678">
        <w:rPr>
          <w:rFonts w:ascii="Times New Roman" w:hAnsi="Times New Roman" w:cs="Times New Roman"/>
          <w:sz w:val="24"/>
          <w:szCs w:val="24"/>
        </w:rPr>
        <w:t xml:space="preserve">jurysdykcjach </w:t>
      </w:r>
      <w:r w:rsidRPr="00E95678">
        <w:rPr>
          <w:rFonts w:ascii="Times New Roman" w:hAnsi="Times New Roman" w:cs="Times New Roman"/>
          <w:sz w:val="24"/>
          <w:szCs w:val="24"/>
        </w:rPr>
        <w:t xml:space="preserve">w różnych latach podatkowych, w zależności od wyniku zastosowania reguł kolizyjnych w danym roku podatkowym. </w:t>
      </w:r>
    </w:p>
    <w:p w14:paraId="730DE8FA" w14:textId="647BFEF5" w:rsidR="00DB7D51" w:rsidRPr="00E95678" w:rsidRDefault="00DB7D51" w:rsidP="00DB7D51">
      <w:pPr>
        <w:pStyle w:val="Akapitzlist"/>
        <w:spacing w:after="120"/>
        <w:ind w:left="0"/>
        <w:jc w:val="both"/>
        <w:rPr>
          <w:rFonts w:ascii="Times New Roman" w:hAnsi="Times New Roman" w:cs="Times New Roman"/>
          <w:sz w:val="24"/>
          <w:szCs w:val="24"/>
        </w:rPr>
      </w:pPr>
      <w:r w:rsidRPr="00E95678">
        <w:rPr>
          <w:rFonts w:ascii="Times New Roman" w:hAnsi="Times New Roman" w:cs="Times New Roman"/>
          <w:sz w:val="24"/>
          <w:szCs w:val="24"/>
        </w:rPr>
        <w:t xml:space="preserve">Zasady określone </w:t>
      </w:r>
      <w:r w:rsidRPr="00E95678">
        <w:rPr>
          <w:rFonts w:ascii="Times New Roman" w:hAnsi="Times New Roman" w:cs="Times New Roman"/>
          <w:b/>
          <w:bCs/>
          <w:sz w:val="24"/>
          <w:szCs w:val="24"/>
        </w:rPr>
        <w:t>w art.</w:t>
      </w:r>
      <w:r w:rsidRPr="00E95678">
        <w:rPr>
          <w:rFonts w:ascii="Times New Roman" w:hAnsi="Times New Roman" w:cs="Times New Roman"/>
          <w:sz w:val="24"/>
          <w:szCs w:val="24"/>
        </w:rPr>
        <w:t xml:space="preserve"> </w:t>
      </w:r>
      <w:r w:rsidRPr="00E95678">
        <w:rPr>
          <w:rFonts w:ascii="Times New Roman" w:hAnsi="Times New Roman" w:cs="Times New Roman"/>
          <w:b/>
          <w:bCs/>
          <w:sz w:val="24"/>
          <w:szCs w:val="24"/>
        </w:rPr>
        <w:t>8</w:t>
      </w:r>
      <w:r w:rsidRPr="00E95678">
        <w:rPr>
          <w:rFonts w:ascii="Times New Roman" w:hAnsi="Times New Roman" w:cs="Times New Roman"/>
          <w:sz w:val="24"/>
          <w:szCs w:val="24"/>
        </w:rPr>
        <w:t xml:space="preserve"> stosuje się w sytuacjach, gdy jednostka składowa </w:t>
      </w:r>
      <w:r w:rsidRPr="00E95678">
        <w:rPr>
          <w:rFonts w:ascii="Times New Roman" w:eastAsia="Times New Roman" w:hAnsi="Times New Roman" w:cs="Times New Roman"/>
          <w:sz w:val="24"/>
          <w:szCs w:val="24"/>
          <w:lang w:eastAsia="pl-PL"/>
        </w:rPr>
        <w:t>jest zlokalizowana</w:t>
      </w:r>
      <w:r w:rsidRPr="00E95678" w:rsidDel="00A15540">
        <w:rPr>
          <w:rFonts w:ascii="Times New Roman" w:hAnsi="Times New Roman" w:cs="Times New Roman"/>
          <w:sz w:val="24"/>
          <w:szCs w:val="24"/>
        </w:rPr>
        <w:t xml:space="preserve"> </w:t>
      </w:r>
      <w:r w:rsidRPr="00E95678">
        <w:rPr>
          <w:rFonts w:ascii="Times New Roman" w:hAnsi="Times New Roman" w:cs="Times New Roman"/>
          <w:sz w:val="24"/>
          <w:szCs w:val="24"/>
        </w:rPr>
        <w:t xml:space="preserve">(zgodnie z </w:t>
      </w:r>
      <w:r w:rsidRPr="00E95678">
        <w:rPr>
          <w:rFonts w:ascii="Times New Roman" w:hAnsi="Times New Roman" w:cs="Times New Roman"/>
          <w:b/>
          <w:bCs/>
          <w:sz w:val="24"/>
          <w:szCs w:val="24"/>
        </w:rPr>
        <w:t>art. 7</w:t>
      </w:r>
      <w:r w:rsidRPr="00E95678">
        <w:rPr>
          <w:rFonts w:ascii="Times New Roman" w:hAnsi="Times New Roman" w:cs="Times New Roman"/>
          <w:sz w:val="24"/>
          <w:szCs w:val="24"/>
        </w:rPr>
        <w:t xml:space="preserve">) również w więcej niż dwóch </w:t>
      </w:r>
      <w:r w:rsidR="006550BD" w:rsidRPr="00E95678">
        <w:rPr>
          <w:rFonts w:ascii="Times New Roman" w:hAnsi="Times New Roman" w:cs="Times New Roman"/>
          <w:sz w:val="24"/>
          <w:szCs w:val="24"/>
        </w:rPr>
        <w:t xml:space="preserve">jurysdykcjach </w:t>
      </w:r>
      <w:r w:rsidRPr="00E95678">
        <w:rPr>
          <w:rFonts w:ascii="Times New Roman" w:hAnsi="Times New Roman" w:cs="Times New Roman"/>
          <w:sz w:val="24"/>
          <w:szCs w:val="24"/>
        </w:rPr>
        <w:t xml:space="preserve">[Komentarz, 10.3.4;207]. </w:t>
      </w:r>
    </w:p>
    <w:p w14:paraId="77AFA159" w14:textId="77777777" w:rsidR="00DB7D51" w:rsidRPr="00E95678" w:rsidRDefault="00DB7D51" w:rsidP="00DB7D51">
      <w:pPr>
        <w:spacing w:after="120"/>
        <w:jc w:val="both"/>
        <w:rPr>
          <w:rFonts w:ascii="Times New Roman" w:hAnsi="Times New Roman" w:cs="Times New Roman"/>
          <w:i/>
          <w:sz w:val="24"/>
          <w:szCs w:val="24"/>
        </w:rPr>
      </w:pPr>
      <w:r w:rsidRPr="00E95678">
        <w:rPr>
          <w:rFonts w:ascii="Times New Roman" w:hAnsi="Times New Roman" w:cs="Times New Roman"/>
          <w:i/>
          <w:sz w:val="24"/>
          <w:szCs w:val="24"/>
        </w:rPr>
        <w:t>Reguły stosowane w sytuacji, w której istnieje obowiązująca UPO</w:t>
      </w:r>
    </w:p>
    <w:p w14:paraId="27CDCE24" w14:textId="03F0FA70"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8 ust. 1 pkt 1</w:t>
      </w:r>
      <w:r w:rsidRPr="00E95678">
        <w:rPr>
          <w:rFonts w:ascii="Times New Roman" w:hAnsi="Times New Roman" w:cs="Times New Roman"/>
          <w:sz w:val="24"/>
          <w:szCs w:val="24"/>
        </w:rPr>
        <w:t xml:space="preserve"> ma zastosowanie w przypadku, gdy </w:t>
      </w:r>
      <w:r w:rsidR="006550BD" w:rsidRPr="00E95678">
        <w:rPr>
          <w:rFonts w:ascii="Times New Roman" w:hAnsi="Times New Roman" w:cs="Times New Roman"/>
          <w:sz w:val="24"/>
          <w:szCs w:val="24"/>
        </w:rPr>
        <w:t>jurysdykcje</w:t>
      </w:r>
      <w:r w:rsidRPr="00E95678">
        <w:rPr>
          <w:rFonts w:ascii="Times New Roman" w:hAnsi="Times New Roman" w:cs="Times New Roman"/>
          <w:sz w:val="24"/>
          <w:szCs w:val="24"/>
        </w:rPr>
        <w:t>, w których jednostka składowa miałaby (</w:t>
      </w:r>
      <w:r w:rsidRPr="00E95678">
        <w:rPr>
          <w:rFonts w:ascii="Times New Roman" w:hAnsi="Times New Roman" w:cs="Times New Roman"/>
          <w:i/>
          <w:iCs/>
          <w:sz w:val="24"/>
          <w:szCs w:val="24"/>
        </w:rPr>
        <w:t>ex iure</w:t>
      </w:r>
      <w:r w:rsidRPr="00E95678">
        <w:rPr>
          <w:rFonts w:ascii="Times New Roman" w:hAnsi="Times New Roman" w:cs="Times New Roman"/>
          <w:sz w:val="24"/>
          <w:szCs w:val="24"/>
        </w:rPr>
        <w:t xml:space="preserve">) ustaloną lokalizację, posiadają obowiązującą umowę o unikaniu podwójnego opodatkowania, której odpowiednie postanowienia weszły w życie. </w:t>
      </w:r>
    </w:p>
    <w:p w14:paraId="1D6A09D5" w14:textId="301736F1"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tym przypadku możliwe są dwie sytuacje. Po pierwsze (czego dotyczy </w:t>
      </w:r>
      <w:r w:rsidRPr="00E95678">
        <w:rPr>
          <w:rFonts w:ascii="Times New Roman" w:hAnsi="Times New Roman" w:cs="Times New Roman"/>
          <w:b/>
          <w:bCs/>
          <w:sz w:val="24"/>
          <w:szCs w:val="24"/>
        </w:rPr>
        <w:t>art. 8 ust. 1 pkt 1</w:t>
      </w:r>
      <w:r w:rsidRPr="00E95678">
        <w:rPr>
          <w:rFonts w:ascii="Times New Roman" w:hAnsi="Times New Roman" w:cs="Times New Roman"/>
          <w:sz w:val="24"/>
          <w:szCs w:val="24"/>
        </w:rPr>
        <w:t xml:space="preserve">), odpowiednia UPO rozwiązuje kwestię podwójnej rezydencji, na przykład na mocy regulacji analogicznej do art. 4 ust. 3 Modelowej </w:t>
      </w:r>
      <w:r w:rsidR="00ED3A9E" w:rsidRPr="00E95678">
        <w:rPr>
          <w:rFonts w:ascii="Times New Roman" w:hAnsi="Times New Roman" w:cs="Times New Roman"/>
          <w:sz w:val="24"/>
          <w:szCs w:val="24"/>
        </w:rPr>
        <w:t>k</w:t>
      </w:r>
      <w:r w:rsidRPr="00E95678">
        <w:rPr>
          <w:rFonts w:ascii="Times New Roman" w:hAnsi="Times New Roman" w:cs="Times New Roman"/>
          <w:sz w:val="24"/>
          <w:szCs w:val="24"/>
        </w:rPr>
        <w:t>onwencji OECD. W takim przypadku Zasady GloBE są zgodne z postanowieniami umowy. Dzieje się tak niezależnie od rodzaju reguły rozstrzygającej (ang. „</w:t>
      </w:r>
      <w:r w:rsidRPr="00E95678">
        <w:rPr>
          <w:rFonts w:ascii="Times New Roman" w:hAnsi="Times New Roman" w:cs="Times New Roman"/>
          <w:i/>
          <w:iCs/>
          <w:sz w:val="24"/>
          <w:szCs w:val="24"/>
        </w:rPr>
        <w:t>tiebreaker rule”</w:t>
      </w:r>
      <w:r w:rsidRPr="00E95678">
        <w:rPr>
          <w:rFonts w:ascii="Times New Roman" w:hAnsi="Times New Roman" w:cs="Times New Roman"/>
          <w:sz w:val="24"/>
          <w:szCs w:val="24"/>
        </w:rPr>
        <w:t xml:space="preserve">), zawartej w odpowiedniej umowie o unikaniu podwójnego opodatkowania (na przykład postanowienie rozstrzygające kwestię podwójnej rezydencji na korzyść miejsca faktycznego zarządu lub na mocy porozumienia osiągniętego między dwoma właściwymi organami). </w:t>
      </w:r>
    </w:p>
    <w:p w14:paraId="0807E030" w14:textId="15A79F89"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Po drugie, może zajść sytuacja, że odpowiednia UPO nie rozwiązuje przypadku podwójnej rezydencji. Na przykład zasada rozstrzygania sporów stanowi, że jednostka składowa nie będzie traktowana jako rezydent </w:t>
      </w:r>
      <w:r w:rsidR="006550BD" w:rsidRPr="00E95678">
        <w:rPr>
          <w:rFonts w:ascii="Times New Roman" w:hAnsi="Times New Roman" w:cs="Times New Roman"/>
          <w:sz w:val="24"/>
          <w:szCs w:val="24"/>
        </w:rPr>
        <w:t xml:space="preserve">żadnej </w:t>
      </w:r>
      <w:r w:rsidRPr="00E95678">
        <w:rPr>
          <w:rFonts w:ascii="Times New Roman" w:hAnsi="Times New Roman" w:cs="Times New Roman"/>
          <w:sz w:val="24"/>
          <w:szCs w:val="24"/>
        </w:rPr>
        <w:t xml:space="preserve">z </w:t>
      </w:r>
      <w:r w:rsidR="006550BD"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do celów umowy (</w:t>
      </w:r>
      <w:r w:rsidRPr="00E95678">
        <w:rPr>
          <w:rFonts w:ascii="Times New Roman" w:hAnsi="Times New Roman" w:cs="Times New Roman"/>
          <w:b/>
          <w:bCs/>
          <w:sz w:val="24"/>
          <w:szCs w:val="24"/>
        </w:rPr>
        <w:t>art. 8 ust. 3 pkt 1</w:t>
      </w:r>
      <w:r w:rsidRPr="00E95678">
        <w:rPr>
          <w:rFonts w:ascii="Times New Roman" w:hAnsi="Times New Roman" w:cs="Times New Roman"/>
          <w:sz w:val="24"/>
          <w:szCs w:val="24"/>
        </w:rPr>
        <w:t>), czy też UPO wymaga zawarcia porozumienia między właściwymi organami, a porozumienie to nie zostało zawarte w terminie 15 miesięcy od końca roku podatkowego, którego dotyczy</w:t>
      </w:r>
      <w:r w:rsidRPr="00E95678">
        <w:rPr>
          <w:rStyle w:val="Odwoanieprzypisudolnego"/>
          <w:rFonts w:ascii="Times New Roman" w:hAnsi="Times New Roman" w:cs="Times New Roman"/>
          <w:sz w:val="24"/>
          <w:szCs w:val="24"/>
        </w:rPr>
        <w:footnoteReference w:id="67"/>
      </w:r>
      <w:r w:rsidRPr="00E95678">
        <w:rPr>
          <w:rFonts w:ascii="Times New Roman" w:hAnsi="Times New Roman" w:cs="Times New Roman"/>
          <w:sz w:val="24"/>
          <w:szCs w:val="24"/>
        </w:rPr>
        <w:t>(</w:t>
      </w:r>
      <w:r w:rsidRPr="00E95678">
        <w:rPr>
          <w:rFonts w:ascii="Times New Roman" w:hAnsi="Times New Roman" w:cs="Times New Roman"/>
          <w:b/>
          <w:bCs/>
          <w:sz w:val="24"/>
          <w:szCs w:val="24"/>
        </w:rPr>
        <w:t>art. 8 ust. 1 pkt 2</w:t>
      </w:r>
      <w:r w:rsidRPr="00E95678">
        <w:rPr>
          <w:rFonts w:ascii="Times New Roman" w:hAnsi="Times New Roman" w:cs="Times New Roman"/>
          <w:sz w:val="24"/>
          <w:szCs w:val="24"/>
        </w:rPr>
        <w:t>). W takich przypadkach znajdą zastosowanie reguły właściwe w sytuacji braku UPO (</w:t>
      </w:r>
      <w:r w:rsidRPr="00E95678">
        <w:rPr>
          <w:rFonts w:ascii="Times New Roman" w:hAnsi="Times New Roman" w:cs="Times New Roman"/>
          <w:b/>
          <w:bCs/>
          <w:sz w:val="24"/>
          <w:szCs w:val="24"/>
        </w:rPr>
        <w:t>ust. 1 pkt 2</w:t>
      </w:r>
      <w:r w:rsidRPr="00E95678">
        <w:rPr>
          <w:rFonts w:ascii="Times New Roman" w:hAnsi="Times New Roman" w:cs="Times New Roman"/>
          <w:sz w:val="24"/>
          <w:szCs w:val="24"/>
        </w:rPr>
        <w:t>) albo dalsze reguły kolizyjne (</w:t>
      </w:r>
      <w:r w:rsidRPr="00E95678">
        <w:rPr>
          <w:rFonts w:ascii="Times New Roman" w:hAnsi="Times New Roman" w:cs="Times New Roman"/>
          <w:b/>
          <w:bCs/>
          <w:sz w:val="24"/>
          <w:szCs w:val="24"/>
        </w:rPr>
        <w:t>ust. 2</w:t>
      </w:r>
      <w:r w:rsidRPr="00E95678">
        <w:rPr>
          <w:rFonts w:ascii="Times New Roman" w:hAnsi="Times New Roman" w:cs="Times New Roman"/>
          <w:sz w:val="24"/>
          <w:szCs w:val="24"/>
        </w:rPr>
        <w:t>).</w:t>
      </w:r>
    </w:p>
    <w:p w14:paraId="31304092" w14:textId="77777777" w:rsidR="00DB7D51" w:rsidRPr="00E95678" w:rsidRDefault="00DB7D51" w:rsidP="00DB7D51">
      <w:pPr>
        <w:spacing w:after="120"/>
        <w:jc w:val="both"/>
        <w:rPr>
          <w:rFonts w:ascii="Times New Roman" w:hAnsi="Times New Roman" w:cs="Times New Roman"/>
          <w:i/>
          <w:sz w:val="24"/>
          <w:szCs w:val="24"/>
        </w:rPr>
      </w:pPr>
      <w:r w:rsidRPr="00E95678">
        <w:rPr>
          <w:rFonts w:ascii="Times New Roman" w:hAnsi="Times New Roman" w:cs="Times New Roman"/>
          <w:i/>
          <w:sz w:val="24"/>
          <w:szCs w:val="24"/>
        </w:rPr>
        <w:t>Reguły stosowane w sytuacji, w której nie obowiązuje UPO</w:t>
      </w:r>
    </w:p>
    <w:p w14:paraId="2329DE2F" w14:textId="2B3E843D"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przypadku, gdy między właściwymi </w:t>
      </w:r>
      <w:r w:rsidR="00965408" w:rsidRPr="00E95678">
        <w:rPr>
          <w:rFonts w:ascii="Times New Roman" w:hAnsi="Times New Roman" w:cs="Times New Roman"/>
          <w:sz w:val="24"/>
          <w:szCs w:val="24"/>
        </w:rPr>
        <w:t xml:space="preserve">jurysdykcjami </w:t>
      </w:r>
      <w:r w:rsidRPr="00E95678">
        <w:rPr>
          <w:rFonts w:ascii="Times New Roman" w:hAnsi="Times New Roman" w:cs="Times New Roman"/>
          <w:sz w:val="24"/>
          <w:szCs w:val="24"/>
        </w:rPr>
        <w:t>nie obowiązuje umowa o unikaniu podwójnego opodatkowania (</w:t>
      </w:r>
      <w:r w:rsidRPr="00E95678">
        <w:rPr>
          <w:rFonts w:ascii="Times New Roman" w:hAnsi="Times New Roman" w:cs="Times New Roman"/>
          <w:b/>
          <w:bCs/>
          <w:sz w:val="24"/>
          <w:szCs w:val="24"/>
        </w:rPr>
        <w:t>art. 8 ust. 1 pkt 2</w:t>
      </w:r>
      <w:r w:rsidRPr="00E95678">
        <w:rPr>
          <w:rFonts w:ascii="Times New Roman" w:hAnsi="Times New Roman" w:cs="Times New Roman"/>
          <w:sz w:val="24"/>
          <w:szCs w:val="24"/>
        </w:rPr>
        <w:t xml:space="preserve">) ustalenie lokalizacji jednostki na gruncie Systemu GloBE następuje w oparciu o sztywne reguły stosowane w poniższej kolejności. I tak, zgodnie z nimi uznaje się, że jednostka taka </w:t>
      </w:r>
      <w:r w:rsidRPr="00E95678">
        <w:rPr>
          <w:rFonts w:ascii="Times New Roman" w:eastAsia="Times New Roman" w:hAnsi="Times New Roman" w:cs="Times New Roman"/>
          <w:sz w:val="24"/>
          <w:szCs w:val="24"/>
          <w:lang w:eastAsia="pl-PL"/>
        </w:rPr>
        <w:t xml:space="preserve">jest zlokalizowana </w:t>
      </w:r>
      <w:r w:rsidRPr="00E95678">
        <w:rPr>
          <w:rFonts w:ascii="Times New Roman" w:hAnsi="Times New Roman" w:cs="Times New Roman"/>
          <w:sz w:val="24"/>
          <w:szCs w:val="24"/>
        </w:rPr>
        <w:t xml:space="preserve">w </w:t>
      </w:r>
      <w:r w:rsidR="00965408"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965408" w:rsidRPr="00E95678">
        <w:rPr>
          <w:rFonts w:ascii="Times New Roman" w:hAnsi="Times New Roman" w:cs="Times New Roman"/>
          <w:sz w:val="24"/>
          <w:szCs w:val="24"/>
        </w:rPr>
        <w:t>której</w:t>
      </w:r>
      <w:r w:rsidRPr="00E95678">
        <w:rPr>
          <w:rFonts w:ascii="Times New Roman" w:hAnsi="Times New Roman" w:cs="Times New Roman"/>
          <w:sz w:val="24"/>
          <w:szCs w:val="24"/>
        </w:rPr>
        <w:t>:</w:t>
      </w:r>
    </w:p>
    <w:p w14:paraId="183D6CF2" w14:textId="77777777" w:rsidR="00DB7D51" w:rsidRPr="00E95678" w:rsidRDefault="00DB7D51" w:rsidP="00B6504F">
      <w:pPr>
        <w:pStyle w:val="Akapitzlist"/>
        <w:numPr>
          <w:ilvl w:val="0"/>
          <w:numId w:val="19"/>
        </w:numPr>
        <w:spacing w:after="120"/>
        <w:jc w:val="both"/>
        <w:rPr>
          <w:rFonts w:ascii="Times New Roman" w:hAnsi="Times New Roman" w:cs="Times New Roman"/>
          <w:sz w:val="24"/>
          <w:szCs w:val="24"/>
        </w:rPr>
      </w:pPr>
      <w:r w:rsidRPr="00E95678">
        <w:rPr>
          <w:rFonts w:ascii="Times New Roman" w:hAnsi="Times New Roman" w:cs="Times New Roman"/>
          <w:sz w:val="24"/>
          <w:szCs w:val="24"/>
        </w:rPr>
        <w:t>naliczono wyższą kwotę podatków kwalifikowanych (bez podatków wynikających ze stosowania przepisów o CFC</w:t>
      </w:r>
      <w:r w:rsidRPr="00E95678">
        <w:rPr>
          <w:rStyle w:val="Odwoanieprzypisudolnego"/>
          <w:rFonts w:ascii="Times New Roman" w:hAnsi="Times New Roman" w:cs="Times New Roman"/>
          <w:sz w:val="24"/>
          <w:szCs w:val="24"/>
        </w:rPr>
        <w:footnoteReference w:id="68"/>
      </w:r>
      <w:r w:rsidRPr="00E95678">
        <w:rPr>
          <w:rFonts w:ascii="Times New Roman" w:hAnsi="Times New Roman" w:cs="Times New Roman"/>
          <w:sz w:val="24"/>
          <w:szCs w:val="24"/>
        </w:rPr>
        <w:t xml:space="preserve">); </w:t>
      </w:r>
    </w:p>
    <w:p w14:paraId="0789386A" w14:textId="4AE09759" w:rsidR="00DB7D51" w:rsidRPr="00E95678" w:rsidRDefault="00DB7D51" w:rsidP="00B6504F">
      <w:pPr>
        <w:pStyle w:val="Akapitzlist"/>
        <w:numPr>
          <w:ilvl w:val="0"/>
          <w:numId w:val="19"/>
        </w:num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kwota wyłączenia z tytułu posiadania substratu majątkowo-osobowego jest wyższa – </w:t>
      </w:r>
      <w:r w:rsidRPr="00E95678">
        <w:rPr>
          <w:rFonts w:ascii="Times New Roman" w:hAnsi="Times New Roman" w:cs="Times New Roman"/>
          <w:sz w:val="24"/>
          <w:szCs w:val="24"/>
        </w:rPr>
        <w:br/>
        <w:t xml:space="preserve">w sytuacji, gdy kwoty naliczonych podatków kwalifikowanych w tych </w:t>
      </w:r>
      <w:r w:rsidR="00965408" w:rsidRPr="00E95678">
        <w:rPr>
          <w:rFonts w:ascii="Times New Roman" w:hAnsi="Times New Roman" w:cs="Times New Roman"/>
          <w:sz w:val="24"/>
          <w:szCs w:val="24"/>
        </w:rPr>
        <w:t xml:space="preserve">jurysdykcjach </w:t>
      </w:r>
      <w:r w:rsidRPr="00E95678">
        <w:rPr>
          <w:rFonts w:ascii="Times New Roman" w:hAnsi="Times New Roman" w:cs="Times New Roman"/>
          <w:sz w:val="24"/>
          <w:szCs w:val="24"/>
        </w:rPr>
        <w:t xml:space="preserve">wynoszą zero lub są równe; </w:t>
      </w:r>
    </w:p>
    <w:p w14:paraId="3645EC56" w14:textId="1965EA36"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powyższym kontekście </w:t>
      </w:r>
      <w:r w:rsidRPr="00E95678">
        <w:rPr>
          <w:rFonts w:ascii="Times New Roman" w:hAnsi="Times New Roman" w:cs="Times New Roman"/>
          <w:b/>
          <w:bCs/>
          <w:sz w:val="24"/>
          <w:szCs w:val="24"/>
        </w:rPr>
        <w:t>ust. 5</w:t>
      </w:r>
      <w:r w:rsidRPr="00E95678">
        <w:rPr>
          <w:rFonts w:ascii="Times New Roman" w:hAnsi="Times New Roman" w:cs="Times New Roman"/>
          <w:sz w:val="24"/>
          <w:szCs w:val="24"/>
        </w:rPr>
        <w:t xml:space="preserve"> wskazuje na zasadę przeliczania walut w przypadku, gdy porównuje się np. kwoty podatków kwalifikowanych jednostek składowych danej grupy zlokalizowanych w dwóch różnych </w:t>
      </w:r>
      <w:r w:rsidR="00965408" w:rsidRPr="00E95678">
        <w:rPr>
          <w:rFonts w:ascii="Times New Roman" w:hAnsi="Times New Roman" w:cs="Times New Roman"/>
          <w:sz w:val="24"/>
          <w:szCs w:val="24"/>
        </w:rPr>
        <w:t>jurysdykcjach</w:t>
      </w:r>
      <w:r w:rsidRPr="00E95678">
        <w:rPr>
          <w:rFonts w:ascii="Times New Roman" w:hAnsi="Times New Roman" w:cs="Times New Roman"/>
          <w:sz w:val="24"/>
          <w:szCs w:val="24"/>
        </w:rPr>
        <w:t xml:space="preserve">. Jeżeli kwoty te wyrażone są w różnych </w:t>
      </w:r>
      <w:r w:rsidRPr="00E95678">
        <w:rPr>
          <w:rFonts w:ascii="Times New Roman" w:hAnsi="Times New Roman" w:cs="Times New Roman"/>
          <w:sz w:val="24"/>
          <w:szCs w:val="24"/>
        </w:rPr>
        <w:lastRenderedPageBreak/>
        <w:t>walutach, kwoty te przelicza się na walutę prezentacji skonsolidowanego sprawozdania finansowego zgodnie z metodą dopuszczalną przez dany standard rachunkowości.</w:t>
      </w:r>
    </w:p>
    <w:p w14:paraId="33887111"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Ponadto, w przypadku, gdy lokalny rok podatkowy (przede wszystkim na gruncie CIT) różni się od roku podatkowego w rozumieniu GloBE, kwotę podatków, które porównuje się w ramach reguł kolizyjnych zgodnie z </w:t>
      </w:r>
      <w:r w:rsidRPr="00E95678">
        <w:rPr>
          <w:rFonts w:ascii="Times New Roman" w:hAnsi="Times New Roman" w:cs="Times New Roman"/>
          <w:b/>
          <w:bCs/>
          <w:sz w:val="24"/>
          <w:szCs w:val="24"/>
        </w:rPr>
        <w:t>art. 8 ust. 1 pkt 2 lit a</w:t>
      </w:r>
      <w:r w:rsidRPr="00E95678">
        <w:rPr>
          <w:rFonts w:ascii="Times New Roman" w:hAnsi="Times New Roman" w:cs="Times New Roman"/>
          <w:sz w:val="24"/>
          <w:szCs w:val="24"/>
        </w:rPr>
        <w:t xml:space="preserve">, dostosowuje się proporcjonalnie do liczby miesięcy odpowiadających rokowi podatkowemu. </w:t>
      </w:r>
    </w:p>
    <w:p w14:paraId="14665A24" w14:textId="77777777"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359CDD10" w14:textId="37B94E98"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składowa zapłaciła 120 podatku kwalifikowanego (CIT) za pierwszy lokalny rok podatkowy i 60 za drugi lokalny rok podatkowy. Lokalny rok podatkowy (dla celów CIT) tej jednostki trwa od 1 lipca do 30 czerwca, z kolei rok podatkowy dla celów GloBE jest równy rokowi kalendarzowemu i rok ten nakłada się na dwa lokalne lata podatkowe dla celów CIT. </w:t>
      </w:r>
      <w:r w:rsidRPr="003E7A67">
        <w:rPr>
          <w:rFonts w:asciiTheme="minorHAnsi" w:hAnsiTheme="minorHAnsi" w:cstheme="minorHAnsi"/>
          <w:bCs w:val="0"/>
          <w:i/>
          <w:iCs/>
          <w:sz w:val="22"/>
          <w:szCs w:val="22"/>
        </w:rPr>
        <w:br/>
        <w:t>W tym przypadku kwotę podatku dla potrzeb reguł kolizyjnych ustala się – za rok podatkowy przyjęty dla GloBE – jako 90 [(120/12)*6 + (60/12)*6].</w:t>
      </w:r>
    </w:p>
    <w:p w14:paraId="5DD97B50" w14:textId="77777777" w:rsidR="00DB7D51" w:rsidRPr="00E95678" w:rsidRDefault="00DB7D51" w:rsidP="005C41AB">
      <w:pPr>
        <w:spacing w:before="240" w:after="120"/>
        <w:jc w:val="both"/>
        <w:rPr>
          <w:rFonts w:ascii="Times New Roman" w:hAnsi="Times New Roman" w:cs="Times New Roman"/>
          <w:sz w:val="24"/>
          <w:szCs w:val="24"/>
        </w:rPr>
      </w:pPr>
      <w:r w:rsidRPr="00E95678">
        <w:rPr>
          <w:rFonts w:ascii="Times New Roman" w:hAnsi="Times New Roman" w:cs="Times New Roman"/>
          <w:sz w:val="24"/>
          <w:szCs w:val="24"/>
        </w:rPr>
        <w:t xml:space="preserve">Jak wskazuje </w:t>
      </w:r>
      <w:r w:rsidRPr="00E95678">
        <w:rPr>
          <w:rFonts w:ascii="Times New Roman" w:hAnsi="Times New Roman" w:cs="Times New Roman"/>
          <w:b/>
          <w:bCs/>
          <w:sz w:val="24"/>
          <w:szCs w:val="24"/>
        </w:rPr>
        <w:t>art. 8 ust. 2,</w:t>
      </w:r>
      <w:r w:rsidRPr="00E95678">
        <w:rPr>
          <w:rFonts w:ascii="Times New Roman" w:hAnsi="Times New Roman" w:cs="Times New Roman"/>
          <w:sz w:val="24"/>
          <w:szCs w:val="24"/>
        </w:rPr>
        <w:t xml:space="preserve"> w przypadku gdy ustalenie lokalizacji jednostek składowych nie jest możliwe w oparciu o przysługujące im kwoty obniżenia z tytułu substratu majątkowo-osobowego uznaje się, że taka jednostka:</w:t>
      </w:r>
    </w:p>
    <w:p w14:paraId="7B5C975B" w14:textId="4E1F1107" w:rsidR="00DB7D51" w:rsidRPr="00E95678" w:rsidRDefault="00DB7D51" w:rsidP="002C7467">
      <w:pPr>
        <w:pStyle w:val="Akapitzlist"/>
        <w:numPr>
          <w:ilvl w:val="0"/>
          <w:numId w:val="83"/>
        </w:num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jest zlokalizowana w </w:t>
      </w:r>
      <w:r w:rsidR="00965408"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965408"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została utworzona – w przypadku jednostek dominujących najwyższego szczebla;</w:t>
      </w:r>
    </w:p>
    <w:p w14:paraId="2A278275" w14:textId="5D6DDDB0" w:rsidR="00DB7D51" w:rsidRPr="00E95678" w:rsidRDefault="00DB7D51" w:rsidP="002C7467">
      <w:pPr>
        <w:pStyle w:val="Akapitzlist"/>
        <w:numPr>
          <w:ilvl w:val="0"/>
          <w:numId w:val="83"/>
        </w:num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nie jest zlokalizowana w </w:t>
      </w:r>
      <w:r w:rsidR="00965408" w:rsidRPr="00E95678">
        <w:rPr>
          <w:rFonts w:ascii="Times New Roman" w:hAnsi="Times New Roman" w:cs="Times New Roman"/>
          <w:sz w:val="24"/>
          <w:szCs w:val="24"/>
        </w:rPr>
        <w:t xml:space="preserve">żadnej jurysdykcji </w:t>
      </w:r>
      <w:r w:rsidRPr="00E95678">
        <w:rPr>
          <w:rFonts w:ascii="Times New Roman" w:hAnsi="Times New Roman" w:cs="Times New Roman"/>
          <w:sz w:val="24"/>
          <w:szCs w:val="24"/>
        </w:rPr>
        <w:t>– w przypadku pozostałych jednostek.</w:t>
      </w:r>
    </w:p>
    <w:p w14:paraId="48C49AD8" w14:textId="0359C804"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Zastosowanie reguł kolizyjnych określonych w </w:t>
      </w:r>
      <w:r w:rsidRPr="00E95678">
        <w:rPr>
          <w:rFonts w:ascii="Times New Roman" w:hAnsi="Times New Roman" w:cs="Times New Roman"/>
          <w:b/>
          <w:bCs/>
          <w:sz w:val="24"/>
          <w:szCs w:val="24"/>
        </w:rPr>
        <w:t>art. 8</w:t>
      </w:r>
      <w:r w:rsidRPr="00E95678">
        <w:rPr>
          <w:rFonts w:ascii="Times New Roman" w:hAnsi="Times New Roman" w:cs="Times New Roman"/>
          <w:sz w:val="24"/>
          <w:szCs w:val="24"/>
        </w:rPr>
        <w:t xml:space="preserve"> </w:t>
      </w:r>
      <w:r w:rsidRPr="00E95678">
        <w:rPr>
          <w:rFonts w:ascii="Times New Roman" w:hAnsi="Times New Roman" w:cs="Times New Roman"/>
          <w:b/>
          <w:bCs/>
          <w:sz w:val="24"/>
          <w:szCs w:val="24"/>
        </w:rPr>
        <w:t>ust. 1-3</w:t>
      </w:r>
      <w:r w:rsidRPr="00E95678">
        <w:rPr>
          <w:rFonts w:ascii="Times New Roman" w:hAnsi="Times New Roman" w:cs="Times New Roman"/>
          <w:sz w:val="24"/>
          <w:szCs w:val="24"/>
        </w:rPr>
        <w:t xml:space="preserve"> projektu może prowadzić do ustalenia lokalizacji jednostki będącej jednostką dominującą w </w:t>
      </w:r>
      <w:r w:rsidR="00965408"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965408"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 xml:space="preserve">nie byłaby ona zobowiązana do stosowania kwalifikowanej zasady włączenia dochodu do opodatkowania. W takiej sytuacji, przepis </w:t>
      </w:r>
      <w:r w:rsidRPr="00E95678">
        <w:rPr>
          <w:rFonts w:ascii="Times New Roman" w:hAnsi="Times New Roman" w:cs="Times New Roman"/>
          <w:b/>
          <w:bCs/>
          <w:sz w:val="24"/>
          <w:szCs w:val="24"/>
        </w:rPr>
        <w:t>art. 8 ust. 4</w:t>
      </w:r>
      <w:r w:rsidRPr="00E95678">
        <w:rPr>
          <w:rFonts w:ascii="Times New Roman" w:hAnsi="Times New Roman" w:cs="Times New Roman"/>
          <w:sz w:val="24"/>
          <w:szCs w:val="24"/>
        </w:rPr>
        <w:t xml:space="preserve"> przewiduje odstępstwo od wyników określonych w </w:t>
      </w:r>
      <w:r w:rsidRPr="00E95678">
        <w:rPr>
          <w:rFonts w:ascii="Times New Roman" w:hAnsi="Times New Roman" w:cs="Times New Roman"/>
          <w:b/>
          <w:bCs/>
          <w:sz w:val="24"/>
          <w:szCs w:val="24"/>
        </w:rPr>
        <w:t>art. 8 ust. 1-3</w:t>
      </w:r>
      <w:r w:rsidRPr="00E95678">
        <w:rPr>
          <w:rFonts w:ascii="Times New Roman" w:hAnsi="Times New Roman" w:cs="Times New Roman"/>
          <w:sz w:val="24"/>
          <w:szCs w:val="24"/>
        </w:rPr>
        <w:t xml:space="preserve"> zezwalając </w:t>
      </w:r>
      <w:r w:rsidR="00965408" w:rsidRPr="00E95678">
        <w:rPr>
          <w:rFonts w:ascii="Times New Roman" w:hAnsi="Times New Roman" w:cs="Times New Roman"/>
          <w:sz w:val="24"/>
          <w:szCs w:val="24"/>
        </w:rPr>
        <w:t xml:space="preserve">innej jurysdykcji </w:t>
      </w:r>
      <w:r w:rsidRPr="00E95678">
        <w:rPr>
          <w:rFonts w:ascii="Times New Roman" w:hAnsi="Times New Roman" w:cs="Times New Roman"/>
          <w:sz w:val="24"/>
          <w:szCs w:val="24"/>
        </w:rPr>
        <w:t xml:space="preserve">na nałożenie na taką jednostkę dominującą obowiązku stosowania tej zasady. Należy pamiętać, że przepisy </w:t>
      </w:r>
      <w:r w:rsidRPr="00E95678">
        <w:rPr>
          <w:rFonts w:ascii="Times New Roman" w:hAnsi="Times New Roman" w:cs="Times New Roman"/>
          <w:b/>
          <w:bCs/>
          <w:sz w:val="24"/>
          <w:szCs w:val="24"/>
        </w:rPr>
        <w:t>ust. 1-3</w:t>
      </w:r>
      <w:r w:rsidRPr="00E95678">
        <w:rPr>
          <w:rFonts w:ascii="Times New Roman" w:hAnsi="Times New Roman" w:cs="Times New Roman"/>
          <w:sz w:val="24"/>
          <w:szCs w:val="24"/>
        </w:rPr>
        <w:t xml:space="preserve"> muszą być stosowane z uwzględnieniem zasady wynikającej z </w:t>
      </w:r>
      <w:r w:rsidRPr="00E95678">
        <w:rPr>
          <w:rFonts w:ascii="Times New Roman" w:hAnsi="Times New Roman" w:cs="Times New Roman"/>
          <w:b/>
          <w:bCs/>
          <w:sz w:val="24"/>
          <w:szCs w:val="24"/>
        </w:rPr>
        <w:t>ust. 4</w:t>
      </w:r>
      <w:r w:rsidRPr="00E95678">
        <w:rPr>
          <w:rFonts w:ascii="Times New Roman" w:hAnsi="Times New Roman" w:cs="Times New Roman"/>
          <w:sz w:val="24"/>
          <w:szCs w:val="24"/>
        </w:rPr>
        <w:t xml:space="preserve">.   </w:t>
      </w:r>
    </w:p>
    <w:p w14:paraId="3975303A" w14:textId="4A591A3F"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Należy przyjąć, że na gruncie niniejszej regulacji nie zmienia się </w:t>
      </w:r>
      <w:r w:rsidR="00965408"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965408"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 xml:space="preserve">zlokalizowana jest taka jednostka. Jego rolą jest wyłącznie umożliwienie </w:t>
      </w:r>
      <w:r w:rsidR="00965408" w:rsidRPr="00E95678">
        <w:rPr>
          <w:rFonts w:ascii="Times New Roman" w:hAnsi="Times New Roman" w:cs="Times New Roman"/>
          <w:sz w:val="24"/>
          <w:szCs w:val="24"/>
        </w:rPr>
        <w:t xml:space="preserve">jurysdykcji innej </w:t>
      </w:r>
      <w:r w:rsidRPr="00E95678">
        <w:rPr>
          <w:rFonts w:ascii="Times New Roman" w:hAnsi="Times New Roman" w:cs="Times New Roman"/>
          <w:sz w:val="24"/>
          <w:szCs w:val="24"/>
        </w:rPr>
        <w:t xml:space="preserve">niż </w:t>
      </w:r>
      <w:r w:rsidR="00965408" w:rsidRPr="00E95678">
        <w:rPr>
          <w:rFonts w:ascii="Times New Roman" w:hAnsi="Times New Roman" w:cs="Times New Roman"/>
          <w:sz w:val="24"/>
          <w:szCs w:val="24"/>
        </w:rPr>
        <w:t xml:space="preserve">jurysdykcja </w:t>
      </w:r>
      <w:r w:rsidRPr="00E95678">
        <w:rPr>
          <w:rFonts w:ascii="Times New Roman" w:hAnsi="Times New Roman" w:cs="Times New Roman"/>
          <w:sz w:val="24"/>
          <w:szCs w:val="24"/>
        </w:rPr>
        <w:t xml:space="preserve">(wyłącznej) lokalizacji, ustalonej zgodnie z </w:t>
      </w:r>
      <w:r w:rsidRPr="00E95678">
        <w:rPr>
          <w:rFonts w:ascii="Times New Roman" w:hAnsi="Times New Roman" w:cs="Times New Roman"/>
          <w:b/>
          <w:bCs/>
          <w:sz w:val="24"/>
          <w:szCs w:val="24"/>
        </w:rPr>
        <w:t>art. 8 ust. 1-3</w:t>
      </w:r>
      <w:r w:rsidRPr="00E95678">
        <w:rPr>
          <w:rFonts w:ascii="Times New Roman" w:hAnsi="Times New Roman" w:cs="Times New Roman"/>
          <w:sz w:val="24"/>
          <w:szCs w:val="24"/>
        </w:rPr>
        <w:t>, na stosowanie kwalifikowanej zasady włączenia dochodu do opodatkowania. Celem omawianego przepisu jest jak najpełniejsze odzwierciedlenie założeń Systemu GloBE, tj. stosowania w pierwszej kolejności (jeśli to możliwe) Zasady IIR (przed Zasadą UTPR).</w:t>
      </w:r>
      <w:r w:rsidRPr="00E95678">
        <w:rPr>
          <w:rStyle w:val="Odwoanieprzypisudolnego"/>
          <w:rFonts w:ascii="Times New Roman" w:hAnsi="Times New Roman" w:cs="Times New Roman"/>
          <w:sz w:val="24"/>
          <w:szCs w:val="24"/>
        </w:rPr>
        <w:footnoteReference w:id="69"/>
      </w:r>
      <w:r w:rsidRPr="00E95678">
        <w:rPr>
          <w:rFonts w:ascii="Times New Roman" w:hAnsi="Times New Roman" w:cs="Times New Roman"/>
          <w:sz w:val="24"/>
          <w:szCs w:val="24"/>
        </w:rPr>
        <w:t xml:space="preserve"> </w:t>
      </w:r>
    </w:p>
    <w:p w14:paraId="5FC80027" w14:textId="77777777" w:rsidR="00DB7D51" w:rsidRPr="00E95678" w:rsidRDefault="00DB7D51" w:rsidP="00DB7D51">
      <w:pPr>
        <w:pStyle w:val="Nagwek5"/>
        <w:rPr>
          <w:rFonts w:ascii="Times New Roman" w:hAnsi="Times New Roman" w:cs="Times New Roman"/>
          <w:sz w:val="24"/>
          <w:szCs w:val="24"/>
        </w:rPr>
      </w:pPr>
      <w:r w:rsidRPr="00E95678">
        <w:rPr>
          <w:rFonts w:ascii="Times New Roman" w:hAnsi="Times New Roman" w:cs="Times New Roman"/>
          <w:sz w:val="24"/>
          <w:szCs w:val="24"/>
        </w:rPr>
        <w:lastRenderedPageBreak/>
        <w:t xml:space="preserve">Art. 9 [Zmiana lokalizacji w trakcie roku] </w:t>
      </w:r>
    </w:p>
    <w:p w14:paraId="16BAC544" w14:textId="64C0AB0C"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W przypadku, gdy jednostka składowa zmieniła miejsce lokalizacji w trakcie roku podatkowego, uznaje się, że </w:t>
      </w:r>
      <w:r w:rsidRPr="00E95678">
        <w:rPr>
          <w:rFonts w:ascii="Times New Roman" w:eastAsia="Times New Roman" w:hAnsi="Times New Roman" w:cs="Times New Roman"/>
          <w:sz w:val="24"/>
          <w:szCs w:val="24"/>
          <w:lang w:eastAsia="pl-PL"/>
        </w:rPr>
        <w:t xml:space="preserve">jest ona zlokalizowana </w:t>
      </w:r>
      <w:r w:rsidRPr="00E95678">
        <w:rPr>
          <w:rFonts w:ascii="Times New Roman" w:hAnsi="Times New Roman" w:cs="Times New Roman"/>
          <w:sz w:val="24"/>
          <w:szCs w:val="24"/>
        </w:rPr>
        <w:t xml:space="preserve">w </w:t>
      </w:r>
      <w:r w:rsidR="00965408"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w </w:t>
      </w:r>
      <w:r w:rsidR="00965408"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 xml:space="preserve">była zlokalizowana w pierwszym dniu tego roku podatkowego. W kolejnym roku podatkowym jednostka taka będzie zlokalizowana w </w:t>
      </w:r>
      <w:r w:rsidR="00965408" w:rsidRPr="00E95678">
        <w:rPr>
          <w:rFonts w:ascii="Times New Roman" w:hAnsi="Times New Roman" w:cs="Times New Roman"/>
          <w:sz w:val="24"/>
          <w:szCs w:val="24"/>
        </w:rPr>
        <w:t>nowej jurysdykcji</w:t>
      </w:r>
      <w:r w:rsidRPr="00E95678">
        <w:rPr>
          <w:rFonts w:ascii="Times New Roman" w:hAnsi="Times New Roman" w:cs="Times New Roman"/>
          <w:sz w:val="24"/>
          <w:szCs w:val="24"/>
        </w:rPr>
        <w:t xml:space="preserve">. </w:t>
      </w:r>
    </w:p>
    <w:p w14:paraId="162E872A" w14:textId="77777777" w:rsidR="00DB7D51" w:rsidRPr="00E95678" w:rsidRDefault="00DB7D51" w:rsidP="00FB5F56">
      <w:pPr>
        <w:pStyle w:val="Nagwek2"/>
        <w:spacing w:before="360"/>
        <w:rPr>
          <w:rFonts w:ascii="Times New Roman" w:hAnsi="Times New Roman" w:cs="Times New Roman"/>
          <w:sz w:val="24"/>
          <w:szCs w:val="24"/>
        </w:rPr>
      </w:pPr>
      <w:r w:rsidRPr="00E95678">
        <w:rPr>
          <w:rFonts w:ascii="Times New Roman" w:hAnsi="Times New Roman" w:cs="Times New Roman"/>
          <w:sz w:val="24"/>
          <w:szCs w:val="24"/>
        </w:rPr>
        <w:t>DZIAŁ II. Globalny podatek wyrównawczy</w:t>
      </w:r>
    </w:p>
    <w:p w14:paraId="12041859" w14:textId="77777777" w:rsidR="00DB7D51" w:rsidRPr="00E95678" w:rsidRDefault="00DB7D51" w:rsidP="00DB7D51">
      <w:pPr>
        <w:pStyle w:val="Nagwek3"/>
        <w:rPr>
          <w:rFonts w:ascii="Times New Roman" w:hAnsi="Times New Roman" w:cs="Times New Roman"/>
          <w:sz w:val="24"/>
        </w:rPr>
      </w:pPr>
      <w:r w:rsidRPr="00E95678">
        <w:rPr>
          <w:rFonts w:ascii="Times New Roman" w:hAnsi="Times New Roman" w:cs="Times New Roman"/>
          <w:sz w:val="24"/>
        </w:rPr>
        <w:t>Rozdział 1 – Przepisy ogólne</w:t>
      </w:r>
    </w:p>
    <w:p w14:paraId="4226C9C0" w14:textId="77777777" w:rsidR="00DB7D51" w:rsidRPr="00E95678" w:rsidRDefault="00DB7D51" w:rsidP="00DB7D51">
      <w:pPr>
        <w:pStyle w:val="Nagwek4"/>
        <w:rPr>
          <w:rFonts w:ascii="Times New Roman" w:hAnsi="Times New Roman" w:cs="Times New Roman"/>
          <w:sz w:val="24"/>
          <w:szCs w:val="24"/>
        </w:rPr>
      </w:pPr>
      <w:r w:rsidRPr="00E95678">
        <w:rPr>
          <w:rFonts w:ascii="Times New Roman" w:hAnsi="Times New Roman" w:cs="Times New Roman"/>
          <w:sz w:val="24"/>
          <w:szCs w:val="24"/>
        </w:rPr>
        <w:t>Art. 10 [Podatnik globalnego podatku wyrównawczego]</w:t>
      </w:r>
    </w:p>
    <w:p w14:paraId="6516A629" w14:textId="4E6ED755"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Jak wskazano w części ogólnej uzasadnienia, Dyrektywa (art. 5.1), w myśl Zasad GloBE, zobowiązuje państwa członkowskie UE do nałożenia na ich jednostki dominujące najwyższego szczebla podatku wyrównawczego w ramach Zasady IIR, za dany rok podatkowy, w odniesieniu do ich nisko opodatkowanych jednostek składowych zlokalizowanych w innych </w:t>
      </w:r>
      <w:r w:rsidR="00965408" w:rsidRPr="00E95678">
        <w:rPr>
          <w:rFonts w:ascii="Times New Roman" w:hAnsi="Times New Roman" w:cs="Times New Roman"/>
          <w:sz w:val="24"/>
          <w:szCs w:val="24"/>
        </w:rPr>
        <w:t xml:space="preserve">jurysdykcjach </w:t>
      </w:r>
      <w:r w:rsidRPr="00E95678">
        <w:rPr>
          <w:rFonts w:ascii="Times New Roman" w:hAnsi="Times New Roman" w:cs="Times New Roman"/>
          <w:sz w:val="24"/>
          <w:szCs w:val="24"/>
        </w:rPr>
        <w:t>oraz w odniesieniu do nisko opodatkowanych jednostek składowych, będących jednostkami bezpaństwowymi.</w:t>
      </w:r>
    </w:p>
    <w:p w14:paraId="30F163D0" w14:textId="060669A3"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Ponadto Dyrektywa przewiduje obowiązek (art. 5.2 Dyrektywy) nałożenia opodatkowania wyrównawczego na samą UPE oraz jednostki składowe zlokalizowane w </w:t>
      </w:r>
      <w:r w:rsidR="00965408" w:rsidRPr="00E95678">
        <w:rPr>
          <w:rFonts w:ascii="Times New Roman" w:hAnsi="Times New Roman" w:cs="Times New Roman"/>
          <w:sz w:val="24"/>
          <w:szCs w:val="24"/>
        </w:rPr>
        <w:t>tej samej jurysdykcji</w:t>
      </w:r>
      <w:r w:rsidRPr="00E95678">
        <w:rPr>
          <w:rFonts w:ascii="Times New Roman" w:hAnsi="Times New Roman" w:cs="Times New Roman"/>
          <w:sz w:val="24"/>
          <w:szCs w:val="24"/>
        </w:rPr>
        <w:t xml:space="preserve">, w </w:t>
      </w:r>
      <w:r w:rsidR="00965408" w:rsidRPr="00E95678">
        <w:rPr>
          <w:rFonts w:ascii="Times New Roman" w:hAnsi="Times New Roman" w:cs="Times New Roman"/>
          <w:sz w:val="24"/>
          <w:szCs w:val="24"/>
        </w:rPr>
        <w:t xml:space="preserve">której </w:t>
      </w:r>
      <w:r w:rsidRPr="00E95678">
        <w:rPr>
          <w:rFonts w:ascii="Times New Roman" w:eastAsia="Times New Roman" w:hAnsi="Times New Roman" w:cs="Times New Roman"/>
          <w:sz w:val="24"/>
          <w:szCs w:val="24"/>
          <w:lang w:eastAsia="pl-PL"/>
        </w:rPr>
        <w:t xml:space="preserve">jest zlokalizowana </w:t>
      </w:r>
      <w:r w:rsidRPr="00E95678">
        <w:rPr>
          <w:rFonts w:ascii="Times New Roman" w:hAnsi="Times New Roman" w:cs="Times New Roman"/>
          <w:sz w:val="24"/>
          <w:szCs w:val="24"/>
        </w:rPr>
        <w:t xml:space="preserve"> UPE, jeżeli stanowią one jednostki o niskim poziomie opodatkowania. Analogiczna regulacja zawarta w art. 6.2, art. 7.2 oraz art. 8.2 Dyrektywy dotyczy jednostek dominujących innych niż UPE.   </w:t>
      </w:r>
    </w:p>
    <w:p w14:paraId="378EF223" w14:textId="77777777" w:rsidR="00DB7D51" w:rsidRPr="00E95678" w:rsidRDefault="00DB7D51" w:rsidP="00DB7D51">
      <w:pPr>
        <w:spacing w:after="120"/>
        <w:jc w:val="both"/>
        <w:rPr>
          <w:rFonts w:ascii="Times New Roman" w:eastAsia="Times New Roman" w:hAnsi="Times New Roman" w:cs="Times New Roman"/>
          <w:sz w:val="24"/>
          <w:szCs w:val="24"/>
          <w:lang w:eastAsia="pl-PL"/>
        </w:rPr>
      </w:pPr>
      <w:r w:rsidRPr="00E95678">
        <w:rPr>
          <w:rFonts w:ascii="Times New Roman" w:eastAsia="Times New Roman" w:hAnsi="Times New Roman" w:cs="Times New Roman"/>
          <w:sz w:val="24"/>
          <w:szCs w:val="24"/>
          <w:lang w:eastAsia="pl-PL"/>
        </w:rPr>
        <w:t xml:space="preserve">Art. 6 – 8 Dyrektywy wprowadzają odstępstwa od wyżej omówionej zasady z art. 5 Dyrektywy, wskazując okoliczności, w których obowiązek zastosowania Zasady IIR przechodzi na inne jednostki dominujące danej grupy. Wyjątki te rozciągają się na jednostki dominujące niższego szczebla – co stanowi wyraz realizacji podejścia </w:t>
      </w:r>
      <w:r w:rsidRPr="00E95678">
        <w:rPr>
          <w:rFonts w:ascii="Times New Roman" w:hAnsi="Times New Roman" w:cs="Times New Roman"/>
          <w:sz w:val="24"/>
          <w:szCs w:val="24"/>
        </w:rPr>
        <w:t xml:space="preserve">„z góry w dół” – a także </w:t>
      </w:r>
      <w:r w:rsidRPr="00E95678">
        <w:rPr>
          <w:rFonts w:ascii="Times New Roman" w:eastAsia="Times New Roman" w:hAnsi="Times New Roman" w:cs="Times New Roman"/>
          <w:sz w:val="24"/>
          <w:szCs w:val="24"/>
          <w:lang w:eastAsia="pl-PL"/>
        </w:rPr>
        <w:t xml:space="preserve">na jednostki dominujące w częściowym posiadaniu. </w:t>
      </w:r>
    </w:p>
    <w:p w14:paraId="01EBFED0" w14:textId="56845934" w:rsidR="00DB7D51" w:rsidRPr="00E95678" w:rsidRDefault="00DB7D51" w:rsidP="00DB7D51">
      <w:pPr>
        <w:jc w:val="both"/>
        <w:rPr>
          <w:rFonts w:ascii="Times New Roman" w:hAnsi="Times New Roman" w:cs="Times New Roman"/>
          <w:i/>
          <w:iCs/>
          <w:color w:val="2E74B5" w:themeColor="accent1" w:themeShade="BF"/>
          <w:sz w:val="24"/>
          <w:szCs w:val="24"/>
        </w:rPr>
      </w:pPr>
      <w:r w:rsidRPr="00E95678">
        <w:rPr>
          <w:rFonts w:ascii="Times New Roman" w:hAnsi="Times New Roman" w:cs="Times New Roman"/>
          <w:sz w:val="24"/>
          <w:szCs w:val="24"/>
          <w:lang w:eastAsia="pl-PL"/>
        </w:rPr>
        <w:t xml:space="preserve">Wskazane powyżej przepisy Dyrektywy zostały implementowane w </w:t>
      </w:r>
      <w:r w:rsidRPr="00E95678">
        <w:rPr>
          <w:rFonts w:ascii="Times New Roman" w:hAnsi="Times New Roman" w:cs="Times New Roman"/>
          <w:b/>
          <w:bCs/>
          <w:sz w:val="24"/>
          <w:szCs w:val="24"/>
          <w:lang w:eastAsia="pl-PL"/>
        </w:rPr>
        <w:t>dzia</w:t>
      </w:r>
      <w:r w:rsidR="000D3156" w:rsidRPr="00E95678">
        <w:rPr>
          <w:rFonts w:ascii="Times New Roman" w:hAnsi="Times New Roman" w:cs="Times New Roman"/>
          <w:b/>
          <w:bCs/>
          <w:sz w:val="24"/>
          <w:szCs w:val="24"/>
          <w:lang w:eastAsia="pl-PL"/>
        </w:rPr>
        <w:t>le</w:t>
      </w:r>
      <w:r w:rsidRPr="00E95678">
        <w:rPr>
          <w:rFonts w:ascii="Times New Roman" w:hAnsi="Times New Roman" w:cs="Times New Roman"/>
          <w:b/>
          <w:bCs/>
          <w:sz w:val="24"/>
          <w:szCs w:val="24"/>
          <w:lang w:eastAsia="pl-PL"/>
        </w:rPr>
        <w:t xml:space="preserve"> II</w:t>
      </w:r>
      <w:r w:rsidRPr="00E95678">
        <w:rPr>
          <w:rFonts w:ascii="Times New Roman" w:hAnsi="Times New Roman" w:cs="Times New Roman"/>
          <w:sz w:val="24"/>
          <w:szCs w:val="24"/>
          <w:lang w:eastAsia="pl-PL"/>
        </w:rPr>
        <w:t xml:space="preserve"> ustawy w zakresie reguł określenia podatnika zobowiązanego do stosowania Zasady IIR. Podatek nakładany na tej podstawie na jednostki dominujące określa się na gruncie ustawy „</w:t>
      </w:r>
      <w:r w:rsidRPr="00E95678">
        <w:rPr>
          <w:rFonts w:ascii="Times New Roman" w:hAnsi="Times New Roman" w:cs="Times New Roman"/>
          <w:b/>
          <w:sz w:val="24"/>
          <w:szCs w:val="24"/>
          <w:lang w:eastAsia="pl-PL"/>
        </w:rPr>
        <w:t>globalnym podatkiem wyrównawczym</w:t>
      </w:r>
      <w:r w:rsidRPr="00E95678">
        <w:rPr>
          <w:rFonts w:ascii="Times New Roman" w:hAnsi="Times New Roman" w:cs="Times New Roman"/>
          <w:sz w:val="24"/>
          <w:szCs w:val="24"/>
          <w:lang w:eastAsia="pl-PL"/>
        </w:rPr>
        <w:t xml:space="preserve">”. Katalog jednostek dominujących, do których odnosi się ten podatek określony jest w </w:t>
      </w:r>
      <w:r w:rsidRPr="00E95678">
        <w:rPr>
          <w:rFonts w:ascii="Times New Roman" w:hAnsi="Times New Roman" w:cs="Times New Roman"/>
          <w:b/>
          <w:bCs/>
          <w:sz w:val="24"/>
          <w:szCs w:val="24"/>
          <w:lang w:eastAsia="pl-PL"/>
        </w:rPr>
        <w:t>art. 10</w:t>
      </w:r>
      <w:r w:rsidRPr="00E95678">
        <w:rPr>
          <w:rFonts w:ascii="Times New Roman" w:hAnsi="Times New Roman" w:cs="Times New Roman"/>
          <w:sz w:val="24"/>
          <w:szCs w:val="24"/>
          <w:lang w:eastAsia="pl-PL"/>
        </w:rPr>
        <w:t xml:space="preserve"> projektu. </w:t>
      </w:r>
    </w:p>
    <w:p w14:paraId="559B19B9" w14:textId="77777777" w:rsidR="00DB7D51" w:rsidRPr="00E95678" w:rsidRDefault="00DB7D51" w:rsidP="00DB7D51">
      <w:pPr>
        <w:rPr>
          <w:rFonts w:ascii="Times New Roman" w:hAnsi="Times New Roman" w:cs="Times New Roman"/>
          <w:iCs/>
          <w:sz w:val="24"/>
          <w:szCs w:val="24"/>
        </w:rPr>
      </w:pPr>
      <w:r w:rsidRPr="00E95678">
        <w:rPr>
          <w:rFonts w:ascii="Times New Roman" w:hAnsi="Times New Roman" w:cs="Times New Roman"/>
          <w:i/>
          <w:iCs/>
          <w:sz w:val="24"/>
          <w:szCs w:val="24"/>
        </w:rPr>
        <w:t xml:space="preserve">Katalog jednostek dominujących będących podatnikami </w:t>
      </w:r>
    </w:p>
    <w:p w14:paraId="3A36B5D6"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10</w:t>
      </w:r>
      <w:r w:rsidRPr="00E95678">
        <w:rPr>
          <w:rFonts w:ascii="Times New Roman" w:hAnsi="Times New Roman" w:cs="Times New Roman"/>
          <w:sz w:val="24"/>
          <w:szCs w:val="24"/>
        </w:rPr>
        <w:t xml:space="preserve"> projektu statuuje ogólną zasadę (art. 5.1 Dyrektywy), odnoszącą się do zakresu podmiotowego globalnego podatku wyrównawczego, zgodnie z którą podatnikiem tego podatku jest, w pierwszej kolejności </w:t>
      </w:r>
      <w:r w:rsidRPr="00E95678">
        <w:rPr>
          <w:rFonts w:ascii="Times New Roman" w:hAnsi="Times New Roman" w:cs="Times New Roman"/>
          <w:b/>
          <w:bCs/>
          <w:sz w:val="24"/>
          <w:szCs w:val="24"/>
        </w:rPr>
        <w:t>jednostka dominująca najwyższego szczebla grupy międzynarodowej</w:t>
      </w:r>
      <w:r w:rsidRPr="00E95678">
        <w:rPr>
          <w:rFonts w:ascii="Times New Roman" w:hAnsi="Times New Roman" w:cs="Times New Roman"/>
          <w:sz w:val="24"/>
          <w:szCs w:val="24"/>
        </w:rPr>
        <w:t>, zlokalizowana na terytorium Rzeczypospolitej Polskiej i</w:t>
      </w:r>
      <w:r w:rsidRPr="00E95678">
        <w:rPr>
          <w:rFonts w:ascii="Times New Roman" w:hAnsi="Times New Roman" w:cs="Times New Roman"/>
          <w:b/>
          <w:bCs/>
          <w:sz w:val="24"/>
          <w:szCs w:val="24"/>
        </w:rPr>
        <w:t xml:space="preserve"> </w:t>
      </w:r>
      <w:r w:rsidRPr="00E95678">
        <w:rPr>
          <w:rFonts w:ascii="Times New Roman" w:hAnsi="Times New Roman" w:cs="Times New Roman"/>
          <w:sz w:val="24"/>
          <w:szCs w:val="24"/>
        </w:rPr>
        <w:t xml:space="preserve">wskazana </w:t>
      </w:r>
      <w:r w:rsidRPr="00E95678">
        <w:rPr>
          <w:rFonts w:ascii="Times New Roman" w:hAnsi="Times New Roman" w:cs="Times New Roman"/>
          <w:b/>
          <w:bCs/>
          <w:sz w:val="24"/>
          <w:szCs w:val="24"/>
        </w:rPr>
        <w:t>ust. 1 pkt 1</w:t>
      </w:r>
      <w:r w:rsidRPr="00E95678">
        <w:rPr>
          <w:rFonts w:ascii="Times New Roman" w:hAnsi="Times New Roman" w:cs="Times New Roman"/>
          <w:sz w:val="24"/>
          <w:szCs w:val="24"/>
        </w:rPr>
        <w:t xml:space="preserve"> tego przepisu. </w:t>
      </w:r>
    </w:p>
    <w:p w14:paraId="5FEAA53D"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Ponadto, zgodnie z </w:t>
      </w:r>
      <w:r w:rsidRPr="00E95678">
        <w:rPr>
          <w:rFonts w:ascii="Times New Roman" w:hAnsi="Times New Roman" w:cs="Times New Roman"/>
          <w:b/>
          <w:bCs/>
          <w:sz w:val="24"/>
          <w:szCs w:val="24"/>
        </w:rPr>
        <w:t>art. 10 ust. 1 pkt 2-3</w:t>
      </w:r>
      <w:r w:rsidRPr="00E95678">
        <w:rPr>
          <w:rFonts w:ascii="Times New Roman" w:hAnsi="Times New Roman" w:cs="Times New Roman"/>
          <w:sz w:val="24"/>
          <w:szCs w:val="24"/>
        </w:rPr>
        <w:t>, mogą to być zlokalizowane na terytorium Rzeczypospolitej Polskiej:</w:t>
      </w:r>
    </w:p>
    <w:p w14:paraId="47D1EE79" w14:textId="3F0F38A7" w:rsidR="00DB7D51" w:rsidRPr="00E95678" w:rsidRDefault="00DB7D51" w:rsidP="002C7467">
      <w:pPr>
        <w:pStyle w:val="Akapitzlist"/>
        <w:numPr>
          <w:ilvl w:val="0"/>
          <w:numId w:val="85"/>
        </w:numPr>
        <w:spacing w:after="120"/>
        <w:jc w:val="both"/>
        <w:rPr>
          <w:rFonts w:ascii="Times New Roman" w:hAnsi="Times New Roman" w:cs="Times New Roman"/>
          <w:sz w:val="24"/>
          <w:szCs w:val="24"/>
        </w:rPr>
      </w:pPr>
      <w:r w:rsidRPr="00E95678">
        <w:rPr>
          <w:rFonts w:ascii="Times New Roman" w:hAnsi="Times New Roman" w:cs="Times New Roman"/>
          <w:b/>
          <w:bCs/>
          <w:sz w:val="24"/>
          <w:szCs w:val="24"/>
        </w:rPr>
        <w:lastRenderedPageBreak/>
        <w:t>jednostka dominująca niższego szczebla</w:t>
      </w:r>
      <w:r w:rsidRPr="00E95678">
        <w:rPr>
          <w:rFonts w:ascii="Times New Roman" w:hAnsi="Times New Roman" w:cs="Times New Roman"/>
          <w:sz w:val="24"/>
          <w:szCs w:val="24"/>
        </w:rPr>
        <w:t xml:space="preserve">, w której udział konsolidujący posiada, bezpośrednio lub pośrednio, jednostka dominująca najwyższego szczebla będącą jednostką wyłączoną lub jednostką składową niepodlegającą w </w:t>
      </w:r>
      <w:r w:rsidR="00965408"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swojej lokalizacji kwalifikowanej zasadzie włączenia dochodu do opodatkowania;</w:t>
      </w:r>
    </w:p>
    <w:p w14:paraId="5BB68593" w14:textId="77777777" w:rsidR="00DB7D51" w:rsidRPr="00E95678" w:rsidRDefault="00DB7D51" w:rsidP="002C7467">
      <w:pPr>
        <w:pStyle w:val="Akapitzlist"/>
        <w:numPr>
          <w:ilvl w:val="0"/>
          <w:numId w:val="85"/>
        </w:num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jednostka dominująca w częściowym posiadaniu</w:t>
      </w:r>
      <w:r w:rsidRPr="00E95678">
        <w:rPr>
          <w:rFonts w:ascii="Times New Roman" w:hAnsi="Times New Roman" w:cs="Times New Roman"/>
          <w:sz w:val="24"/>
          <w:szCs w:val="24"/>
        </w:rPr>
        <w:t xml:space="preserve">, w której jednostka dominująca najwyższego szczebla posiada, bezpośrednio lub pośrednio, udział konsolidujący. </w:t>
      </w:r>
    </w:p>
    <w:p w14:paraId="042F4EA5"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Jednostki dominujące, o których mowa w </w:t>
      </w:r>
      <w:r w:rsidRPr="00E95678">
        <w:rPr>
          <w:rFonts w:ascii="Times New Roman" w:hAnsi="Times New Roman" w:cs="Times New Roman"/>
          <w:b/>
          <w:bCs/>
          <w:sz w:val="24"/>
          <w:szCs w:val="24"/>
        </w:rPr>
        <w:t xml:space="preserve">art. 10 ust. 1 pkt 1-3 </w:t>
      </w:r>
      <w:r w:rsidRPr="00E95678">
        <w:rPr>
          <w:rFonts w:ascii="Times New Roman" w:hAnsi="Times New Roman" w:cs="Times New Roman"/>
          <w:sz w:val="24"/>
          <w:szCs w:val="24"/>
        </w:rPr>
        <w:t>będą zobowiązane, na podstawie dalszych przepisów działu II, do ustalenia, czy jednostki składowe, w których posiada udziały własnościowe stanowią nisko opodatkowane jednostki składowe, i czy w związku z tym jednostka ta zobowiązana jest rozliczyć globalny podatek wyrównawczy.</w:t>
      </w:r>
    </w:p>
    <w:p w14:paraId="25E8B52F" w14:textId="77777777" w:rsidR="00DB7D51" w:rsidRPr="00E95678" w:rsidRDefault="00DB7D51" w:rsidP="00DB7D51">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Przy ustalaniu statusu jednostki dominującej jako podatnika nie ma znaczenia wysokość udziałów własnościowych, posiadanych przez jednostkę dominującą w nisko opodatkowanych jednostkach składowych a. Okres posiadania udziałów własnościowych w ciągu roku podatkowego również nie ma znaczenia dla celów stosowania </w:t>
      </w:r>
      <w:r w:rsidRPr="00E95678">
        <w:rPr>
          <w:rFonts w:ascii="Times New Roman" w:hAnsi="Times New Roman" w:cs="Times New Roman"/>
          <w:b/>
          <w:bCs/>
          <w:sz w:val="24"/>
          <w:szCs w:val="24"/>
        </w:rPr>
        <w:t>art. 10</w:t>
      </w:r>
      <w:r w:rsidRPr="00E95678">
        <w:rPr>
          <w:rFonts w:ascii="Times New Roman" w:hAnsi="Times New Roman" w:cs="Times New Roman"/>
          <w:sz w:val="24"/>
          <w:szCs w:val="24"/>
        </w:rPr>
        <w:t xml:space="preserve">, ponieważ jest on uwzględniany na etapie obliczenia globalnego podatku wyrównawczego. Mianowicie, przy obliczaniu tego podatku uwzględnia się kwotę dochodu wykazanego w skonsolidowanym sprawozdaniu finansowym grupy, która uwzględnia już okres posiadania nisko opodatkowanej jednostki składowej przez jednostkę dominującą w danym roku podatkowym. </w:t>
      </w:r>
    </w:p>
    <w:p w14:paraId="4A2D2C82" w14:textId="77777777" w:rsidR="00FB5F56" w:rsidRPr="00E95678" w:rsidRDefault="00FB5F56" w:rsidP="00DB7D51">
      <w:pPr>
        <w:rPr>
          <w:rFonts w:ascii="Times New Roman" w:hAnsi="Times New Roman" w:cs="Times New Roman"/>
          <w:i/>
          <w:iCs/>
          <w:sz w:val="24"/>
          <w:szCs w:val="24"/>
        </w:rPr>
      </w:pPr>
    </w:p>
    <w:p w14:paraId="6B7B8A1D" w14:textId="1A69068E" w:rsidR="00DB7D51" w:rsidRPr="00E95678" w:rsidRDefault="00DB7D51" w:rsidP="00DB7D51">
      <w:pPr>
        <w:rPr>
          <w:rFonts w:ascii="Times New Roman" w:hAnsi="Times New Roman" w:cs="Times New Roman"/>
          <w:iCs/>
          <w:sz w:val="24"/>
          <w:szCs w:val="24"/>
        </w:rPr>
      </w:pPr>
      <w:r w:rsidRPr="00E95678">
        <w:rPr>
          <w:rFonts w:ascii="Times New Roman" w:hAnsi="Times New Roman" w:cs="Times New Roman"/>
          <w:i/>
          <w:iCs/>
          <w:sz w:val="24"/>
          <w:szCs w:val="24"/>
        </w:rPr>
        <w:t xml:space="preserve">Stosowanie zasady „z góry w dół” w odniesieniu do IPE </w:t>
      </w:r>
    </w:p>
    <w:p w14:paraId="7D6E63A8" w14:textId="77777777"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b/>
          <w:bCs/>
          <w:iCs/>
          <w:sz w:val="24"/>
          <w:szCs w:val="24"/>
        </w:rPr>
        <w:t xml:space="preserve">Art. 10 ust. 2 </w:t>
      </w:r>
      <w:r w:rsidRPr="00E95678">
        <w:rPr>
          <w:rFonts w:ascii="Times New Roman" w:hAnsi="Times New Roman" w:cs="Times New Roman"/>
          <w:iCs/>
          <w:sz w:val="24"/>
          <w:szCs w:val="24"/>
        </w:rPr>
        <w:t xml:space="preserve">projektu wprowadza (określone w art. 6 i 7 Dyrektywy) wyjątki od głównej zasady wyrażonej w </w:t>
      </w:r>
      <w:r w:rsidRPr="00E95678">
        <w:rPr>
          <w:rFonts w:ascii="Times New Roman" w:hAnsi="Times New Roman" w:cs="Times New Roman"/>
          <w:b/>
          <w:bCs/>
          <w:iCs/>
          <w:sz w:val="24"/>
          <w:szCs w:val="24"/>
        </w:rPr>
        <w:t>art. 10 ust. 1 pkt 1,</w:t>
      </w:r>
      <w:r w:rsidRPr="00E95678">
        <w:rPr>
          <w:rFonts w:ascii="Times New Roman" w:hAnsi="Times New Roman" w:cs="Times New Roman"/>
          <w:iCs/>
          <w:sz w:val="24"/>
          <w:szCs w:val="24"/>
        </w:rPr>
        <w:t xml:space="preserve"> wskazując okoliczności, w których status podatnika przechodzi - z jednostki dominującej najwyższego szczebla grupy międzynarodowej  - na jednostkę (lub jednostki) dominującą niższego szczebla, zlokalizowaną na terytorium RP. Ma to miejsce, w sytuacji gdy</w:t>
      </w:r>
      <w:r w:rsidRPr="00E95678">
        <w:rPr>
          <w:rFonts w:ascii="Times New Roman" w:hAnsi="Times New Roman" w:cs="Times New Roman"/>
          <w:sz w:val="24"/>
          <w:szCs w:val="24"/>
        </w:rPr>
        <w:t xml:space="preserve"> taka UPE</w:t>
      </w:r>
      <w:r w:rsidRPr="00E95678">
        <w:rPr>
          <w:rFonts w:ascii="Times New Roman" w:hAnsi="Times New Roman" w:cs="Times New Roman"/>
          <w:iCs/>
          <w:sz w:val="24"/>
          <w:szCs w:val="24"/>
        </w:rPr>
        <w:t>:</w:t>
      </w:r>
    </w:p>
    <w:p w14:paraId="0EF21E3E" w14:textId="77777777" w:rsidR="00DB7D51" w:rsidRPr="00E95678" w:rsidRDefault="00DB7D51" w:rsidP="00B6504F">
      <w:pPr>
        <w:pStyle w:val="Akapitzlist"/>
        <w:numPr>
          <w:ilvl w:val="0"/>
          <w:numId w:val="27"/>
        </w:numPr>
        <w:spacing w:after="120"/>
        <w:ind w:left="714" w:hanging="357"/>
        <w:contextualSpacing w:val="0"/>
        <w:jc w:val="both"/>
        <w:rPr>
          <w:rFonts w:ascii="Times New Roman" w:hAnsi="Times New Roman" w:cs="Times New Roman"/>
          <w:iCs/>
          <w:sz w:val="24"/>
          <w:szCs w:val="24"/>
        </w:rPr>
      </w:pPr>
      <w:r w:rsidRPr="00E95678">
        <w:rPr>
          <w:rFonts w:ascii="Times New Roman" w:hAnsi="Times New Roman" w:cs="Times New Roman"/>
          <w:sz w:val="24"/>
          <w:szCs w:val="24"/>
        </w:rPr>
        <w:t xml:space="preserve">jest jednostką wyłączoną </w:t>
      </w:r>
      <w:r w:rsidRPr="00E95678">
        <w:rPr>
          <w:rFonts w:ascii="Times New Roman" w:hAnsi="Times New Roman" w:cs="Times New Roman"/>
          <w:iCs/>
          <w:sz w:val="24"/>
          <w:szCs w:val="24"/>
        </w:rPr>
        <w:t>(w tym przypadku może chodzić o polską lub zagraniczną UPE)</w:t>
      </w:r>
      <w:r w:rsidRPr="00E95678">
        <w:rPr>
          <w:rFonts w:ascii="Times New Roman" w:hAnsi="Times New Roman" w:cs="Times New Roman"/>
          <w:sz w:val="24"/>
          <w:szCs w:val="24"/>
        </w:rPr>
        <w:t xml:space="preserve"> lub </w:t>
      </w:r>
    </w:p>
    <w:p w14:paraId="797EEDE3" w14:textId="7EF05CC6" w:rsidR="00DB7D51" w:rsidRPr="00E95678" w:rsidRDefault="00DB7D51" w:rsidP="00B6504F">
      <w:pPr>
        <w:pStyle w:val="Akapitzlist"/>
        <w:numPr>
          <w:ilvl w:val="0"/>
          <w:numId w:val="27"/>
        </w:numPr>
        <w:spacing w:after="120"/>
        <w:ind w:left="714" w:hanging="357"/>
        <w:contextualSpacing w:val="0"/>
        <w:jc w:val="both"/>
        <w:rPr>
          <w:rFonts w:ascii="Times New Roman" w:hAnsi="Times New Roman" w:cs="Times New Roman"/>
          <w:iCs/>
          <w:sz w:val="24"/>
          <w:szCs w:val="24"/>
        </w:rPr>
      </w:pPr>
      <w:r w:rsidRPr="00E95678">
        <w:rPr>
          <w:rFonts w:ascii="Times New Roman" w:hAnsi="Times New Roman" w:cs="Times New Roman"/>
          <w:sz w:val="24"/>
          <w:szCs w:val="24"/>
        </w:rPr>
        <w:t xml:space="preserve">nie podlega w </w:t>
      </w:r>
      <w:r w:rsidR="00965408"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 xml:space="preserve">swojej lokalizacji kwalifikowanej zasadzie włączenia dochodu do opodatkowania (ten przypadek dotyczy UPE zlokalizowane w </w:t>
      </w:r>
      <w:r w:rsidR="00965408" w:rsidRPr="00E95678">
        <w:rPr>
          <w:rFonts w:ascii="Times New Roman" w:hAnsi="Times New Roman" w:cs="Times New Roman"/>
          <w:sz w:val="24"/>
          <w:szCs w:val="24"/>
        </w:rPr>
        <w:t>innej jurysdykcji</w:t>
      </w:r>
      <w:r w:rsidRPr="00E95678">
        <w:rPr>
          <w:rFonts w:ascii="Times New Roman" w:hAnsi="Times New Roman" w:cs="Times New Roman"/>
          <w:sz w:val="24"/>
          <w:szCs w:val="24"/>
        </w:rPr>
        <w:t xml:space="preserve">). </w:t>
      </w:r>
    </w:p>
    <w:p w14:paraId="1579149B" w14:textId="77777777" w:rsidR="00DB7D51" w:rsidRPr="00E95678" w:rsidRDefault="00DB7D51" w:rsidP="00DB7D51">
      <w:pPr>
        <w:spacing w:after="120"/>
        <w:jc w:val="both"/>
        <w:rPr>
          <w:rFonts w:ascii="Times New Roman" w:eastAsia="Calibri" w:hAnsi="Times New Roman" w:cs="Times New Roman"/>
          <w:sz w:val="24"/>
          <w:szCs w:val="24"/>
        </w:rPr>
      </w:pPr>
      <w:r w:rsidRPr="00E95678">
        <w:rPr>
          <w:rFonts w:ascii="Times New Roman" w:eastAsia="Calibri" w:hAnsi="Times New Roman" w:cs="Times New Roman"/>
          <w:sz w:val="24"/>
          <w:szCs w:val="24"/>
        </w:rPr>
        <w:t>W tych przypadkach podatnikiem globalnego podatku wyrównawczego będzie, zlokalizowana na terytorium Rzeczypospolitej Polskiej, jednostka dominująca niższego szczebla, w której udział konsolidujący posiada – bezpośrednio lub pośrednio – taka jednostka dominująca najwyższego szczebla (</w:t>
      </w:r>
      <w:r w:rsidRPr="00E95678">
        <w:rPr>
          <w:rFonts w:ascii="Times New Roman" w:eastAsia="Calibri" w:hAnsi="Times New Roman" w:cs="Times New Roman"/>
          <w:b/>
          <w:sz w:val="24"/>
          <w:szCs w:val="24"/>
        </w:rPr>
        <w:t>ust. 1 pkt 2</w:t>
      </w:r>
      <w:r w:rsidRPr="00E95678">
        <w:rPr>
          <w:rFonts w:ascii="Times New Roman" w:eastAsia="Calibri" w:hAnsi="Times New Roman" w:cs="Times New Roman"/>
          <w:sz w:val="24"/>
          <w:szCs w:val="24"/>
        </w:rPr>
        <w:t xml:space="preserve">). </w:t>
      </w:r>
    </w:p>
    <w:p w14:paraId="61182A97" w14:textId="71A0A71C" w:rsidR="00DB7D51" w:rsidRPr="00E95678" w:rsidRDefault="00DB7D51" w:rsidP="00DB7D51">
      <w:pPr>
        <w:spacing w:after="120"/>
        <w:jc w:val="both"/>
        <w:rPr>
          <w:rFonts w:ascii="Times New Roman" w:hAnsi="Times New Roman" w:cs="Times New Roman"/>
          <w:sz w:val="24"/>
          <w:szCs w:val="24"/>
        </w:rPr>
      </w:pPr>
      <w:r w:rsidRPr="00E95678">
        <w:rPr>
          <w:rFonts w:ascii="Times New Roman" w:eastAsia="Calibri" w:hAnsi="Times New Roman" w:cs="Times New Roman"/>
          <w:sz w:val="24"/>
          <w:szCs w:val="24"/>
        </w:rPr>
        <w:t xml:space="preserve">Należy zaznaczyć, iż dla pełnego zrozumienia norm wynikających z </w:t>
      </w:r>
      <w:r w:rsidRPr="00E95678">
        <w:rPr>
          <w:rFonts w:ascii="Times New Roman" w:eastAsia="Calibri" w:hAnsi="Times New Roman" w:cs="Times New Roman"/>
          <w:b/>
          <w:bCs/>
          <w:sz w:val="24"/>
          <w:szCs w:val="24"/>
        </w:rPr>
        <w:t>art. 10 ust. 1 pkt 2</w:t>
      </w:r>
      <w:r w:rsidRPr="00E95678">
        <w:rPr>
          <w:rFonts w:ascii="Times New Roman" w:eastAsia="Calibri" w:hAnsi="Times New Roman" w:cs="Times New Roman"/>
          <w:sz w:val="24"/>
          <w:szCs w:val="24"/>
        </w:rPr>
        <w:t xml:space="preserve"> należy je odczytywać łącznie z normą, która wynika z </w:t>
      </w:r>
      <w:r w:rsidRPr="00E95678">
        <w:rPr>
          <w:rFonts w:ascii="Times New Roman" w:eastAsia="Calibri" w:hAnsi="Times New Roman" w:cs="Times New Roman"/>
          <w:b/>
          <w:bCs/>
          <w:sz w:val="24"/>
          <w:szCs w:val="24"/>
        </w:rPr>
        <w:t>ust. 2</w:t>
      </w:r>
      <w:r w:rsidRPr="00E95678">
        <w:rPr>
          <w:rFonts w:ascii="Times New Roman" w:eastAsia="Calibri" w:hAnsi="Times New Roman" w:cs="Times New Roman"/>
          <w:sz w:val="24"/>
          <w:szCs w:val="24"/>
        </w:rPr>
        <w:t xml:space="preserve"> omawianego przepisu. Dopiero powiązanie obu tych regulacji pozwala na prawidłową identyfikację konkretnej IPE będącej podatnikiem w danych okolicznościach faktycznych. Wynika to z przyjętej konstrukcji przepisu </w:t>
      </w:r>
      <w:r w:rsidRPr="00E95678">
        <w:rPr>
          <w:rFonts w:ascii="Times New Roman" w:eastAsia="Calibri" w:hAnsi="Times New Roman" w:cs="Times New Roman"/>
          <w:b/>
          <w:bCs/>
          <w:sz w:val="24"/>
          <w:szCs w:val="24"/>
        </w:rPr>
        <w:t>art. 10 ust. 1 pkt 2</w:t>
      </w:r>
      <w:r w:rsidRPr="00E95678">
        <w:rPr>
          <w:rFonts w:ascii="Times New Roman" w:eastAsia="Calibri" w:hAnsi="Times New Roman" w:cs="Times New Roman"/>
          <w:sz w:val="24"/>
          <w:szCs w:val="24"/>
        </w:rPr>
        <w:t xml:space="preserve"> (analogicznej do konstrukcji z Dyrektywy i </w:t>
      </w:r>
      <w:r w:rsidR="00595132" w:rsidRPr="00E95678">
        <w:rPr>
          <w:rFonts w:ascii="Times New Roman" w:eastAsia="Calibri" w:hAnsi="Times New Roman" w:cs="Times New Roman"/>
          <w:sz w:val="24"/>
          <w:szCs w:val="24"/>
        </w:rPr>
        <w:t>Modelowych zasad</w:t>
      </w:r>
      <w:r w:rsidRPr="00E95678">
        <w:rPr>
          <w:rFonts w:ascii="Times New Roman" w:eastAsia="Calibri" w:hAnsi="Times New Roman" w:cs="Times New Roman"/>
          <w:sz w:val="24"/>
          <w:szCs w:val="24"/>
        </w:rPr>
        <w:t xml:space="preserve">), który </w:t>
      </w:r>
      <w:r w:rsidRPr="00E95678">
        <w:rPr>
          <w:rFonts w:ascii="Times New Roman" w:eastAsia="Calibri" w:hAnsi="Times New Roman" w:cs="Times New Roman"/>
          <w:i/>
          <w:sz w:val="24"/>
          <w:szCs w:val="24"/>
        </w:rPr>
        <w:t>prima facie</w:t>
      </w:r>
      <w:r w:rsidRPr="00E95678">
        <w:rPr>
          <w:rFonts w:ascii="Times New Roman" w:eastAsia="Calibri" w:hAnsi="Times New Roman" w:cs="Times New Roman"/>
          <w:sz w:val="24"/>
          <w:szCs w:val="24"/>
        </w:rPr>
        <w:t xml:space="preserve"> uznaje za podatnika każdą jednostkę dominującą niższego szczebla grupy (poprzez odwołanie się do bezpośredniego, jak i pośredniego posiadania w niej udziałów konsolidujących przez UPE). Nie oznacza to jednak, że w ramach Systemu GloBE podatnikami </w:t>
      </w:r>
      <w:r w:rsidRPr="00E95678">
        <w:rPr>
          <w:rFonts w:ascii="Times New Roman" w:eastAsia="Calibri" w:hAnsi="Times New Roman" w:cs="Times New Roman"/>
          <w:sz w:val="24"/>
          <w:szCs w:val="24"/>
        </w:rPr>
        <w:lastRenderedPageBreak/>
        <w:t xml:space="preserve">ma być jednocześnie szereg IPE, funkcjonujących w strukturze własności danej grupy międzynarodowej. Ograniczenie w tym zakresie wynika właśnie z </w:t>
      </w:r>
      <w:r w:rsidRPr="00E95678">
        <w:rPr>
          <w:rFonts w:ascii="Times New Roman" w:eastAsia="Calibri" w:hAnsi="Times New Roman" w:cs="Times New Roman"/>
          <w:b/>
          <w:bCs/>
          <w:sz w:val="24"/>
          <w:szCs w:val="24"/>
        </w:rPr>
        <w:t>ust. 2</w:t>
      </w:r>
      <w:r w:rsidRPr="00E95678">
        <w:rPr>
          <w:rFonts w:ascii="Times New Roman" w:eastAsia="Calibri" w:hAnsi="Times New Roman" w:cs="Times New Roman"/>
          <w:sz w:val="24"/>
          <w:szCs w:val="24"/>
        </w:rPr>
        <w:t xml:space="preserve">, a jego celem jest pozbawienie statusu podatnika (przyznanego na podstawie </w:t>
      </w:r>
      <w:r w:rsidRPr="00E95678">
        <w:rPr>
          <w:rFonts w:ascii="Times New Roman" w:eastAsia="Calibri" w:hAnsi="Times New Roman" w:cs="Times New Roman"/>
          <w:b/>
          <w:bCs/>
          <w:sz w:val="24"/>
          <w:szCs w:val="24"/>
        </w:rPr>
        <w:t>art. 10 ust. 1 pkt 2</w:t>
      </w:r>
      <w:r w:rsidRPr="00E95678">
        <w:rPr>
          <w:rFonts w:ascii="Times New Roman" w:eastAsia="Calibri" w:hAnsi="Times New Roman" w:cs="Times New Roman"/>
          <w:sz w:val="24"/>
          <w:szCs w:val="24"/>
        </w:rPr>
        <w:t xml:space="preserve">) tych IPE, które są „niżej” w strukturze własności grupy (niż inna IPE). I tak, na podstawie </w:t>
      </w:r>
      <w:r w:rsidRPr="00E95678">
        <w:rPr>
          <w:rFonts w:ascii="Times New Roman" w:eastAsia="Calibri" w:hAnsi="Times New Roman" w:cs="Times New Roman"/>
          <w:b/>
          <w:bCs/>
          <w:sz w:val="24"/>
          <w:szCs w:val="24"/>
        </w:rPr>
        <w:t>ust. 2</w:t>
      </w:r>
      <w:r w:rsidRPr="00E95678">
        <w:rPr>
          <w:rFonts w:ascii="Times New Roman" w:eastAsia="Calibri" w:hAnsi="Times New Roman" w:cs="Times New Roman"/>
          <w:sz w:val="24"/>
          <w:szCs w:val="24"/>
        </w:rPr>
        <w:t xml:space="preserve">, statusu podatnika nie będą finalnie posiadały te IPE, w których udział konsolidujący posiada, niebędąca jednostką wyłączoną, inna IPE (a zatem IPE znajdująca się wyżej w strukturze grupy), która </w:t>
      </w:r>
      <w:r w:rsidRPr="00E95678">
        <w:rPr>
          <w:rFonts w:ascii="Times New Roman" w:hAnsi="Times New Roman" w:cs="Times New Roman"/>
          <w:sz w:val="24"/>
          <w:szCs w:val="24"/>
        </w:rPr>
        <w:t xml:space="preserve">w </w:t>
      </w:r>
      <w:r w:rsidR="00965408" w:rsidRPr="00E95678">
        <w:rPr>
          <w:rFonts w:ascii="Times New Roman" w:hAnsi="Times New Roman" w:cs="Times New Roman"/>
          <w:sz w:val="24"/>
          <w:szCs w:val="24"/>
        </w:rPr>
        <w:t xml:space="preserve">jurysdykcji </w:t>
      </w:r>
      <w:r w:rsidRPr="00E95678">
        <w:rPr>
          <w:rFonts w:ascii="Times New Roman" w:hAnsi="Times New Roman" w:cs="Times New Roman"/>
          <w:sz w:val="24"/>
          <w:szCs w:val="24"/>
        </w:rPr>
        <w:t>swojej lokalizacji podlega kwalifikowanej zasadzie włączenia dochodu do opodatkowania. Tak</w:t>
      </w:r>
      <w:r w:rsidR="00965408" w:rsidRPr="00E95678">
        <w:rPr>
          <w:rFonts w:ascii="Times New Roman" w:hAnsi="Times New Roman" w:cs="Times New Roman"/>
          <w:sz w:val="24"/>
          <w:szCs w:val="24"/>
        </w:rPr>
        <w:t>ą</w:t>
      </w:r>
      <w:r w:rsidRPr="00E95678">
        <w:rPr>
          <w:rFonts w:ascii="Times New Roman" w:hAnsi="Times New Roman" w:cs="Times New Roman"/>
          <w:sz w:val="24"/>
          <w:szCs w:val="24"/>
        </w:rPr>
        <w:t xml:space="preserve"> </w:t>
      </w:r>
      <w:r w:rsidR="00965408" w:rsidRPr="00E95678">
        <w:rPr>
          <w:rFonts w:ascii="Times New Roman" w:hAnsi="Times New Roman" w:cs="Times New Roman"/>
          <w:sz w:val="24"/>
          <w:szCs w:val="24"/>
        </w:rPr>
        <w:t xml:space="preserve">jurysdykcją </w:t>
      </w:r>
      <w:r w:rsidRPr="00E95678">
        <w:rPr>
          <w:rFonts w:ascii="Times New Roman" w:hAnsi="Times New Roman" w:cs="Times New Roman"/>
          <w:sz w:val="24"/>
          <w:szCs w:val="24"/>
        </w:rPr>
        <w:t>(</w:t>
      </w:r>
      <w:r w:rsidR="00965408" w:rsidRPr="00E95678">
        <w:rPr>
          <w:rFonts w:ascii="Times New Roman" w:hAnsi="Times New Roman" w:cs="Times New Roman"/>
          <w:sz w:val="24"/>
          <w:szCs w:val="24"/>
        </w:rPr>
        <w:t xml:space="preserve">stosującą </w:t>
      </w:r>
      <w:r w:rsidRPr="00E95678">
        <w:rPr>
          <w:rFonts w:ascii="Times New Roman" w:hAnsi="Times New Roman" w:cs="Times New Roman"/>
          <w:sz w:val="24"/>
          <w:szCs w:val="24"/>
        </w:rPr>
        <w:t xml:space="preserve">tę zasadę), po wejściu w życie projektowanych regulacji, będzie również </w:t>
      </w:r>
      <w:r w:rsidR="00965408" w:rsidRPr="00E95678">
        <w:rPr>
          <w:rFonts w:ascii="Times New Roman" w:hAnsi="Times New Roman" w:cs="Times New Roman"/>
          <w:sz w:val="24"/>
          <w:szCs w:val="24"/>
        </w:rPr>
        <w:t xml:space="preserve">Rzeczpospolita </w:t>
      </w:r>
      <w:r w:rsidRPr="00E95678">
        <w:rPr>
          <w:rFonts w:ascii="Times New Roman" w:hAnsi="Times New Roman" w:cs="Times New Roman"/>
          <w:sz w:val="24"/>
          <w:szCs w:val="24"/>
        </w:rPr>
        <w:t xml:space="preserve">Polska. Tym samym warunek ten będzie zawsze spełniony w przypadku, gdy taka „nadrzędna” IPE będzie zlokalizowana na terytorium RP. </w:t>
      </w:r>
    </w:p>
    <w:p w14:paraId="78C15E27" w14:textId="77777777" w:rsidR="003E7A67" w:rsidRPr="003E7A67" w:rsidRDefault="003E7A67" w:rsidP="00DB7D51">
      <w:pPr>
        <w:spacing w:after="120"/>
        <w:jc w:val="both"/>
      </w:pPr>
    </w:p>
    <w:p w14:paraId="7726CA1B" w14:textId="2D1643DC"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r w:rsidRPr="003E7A67">
        <w:rPr>
          <w:rFonts w:asciiTheme="minorHAnsi" w:hAnsiTheme="minorHAnsi" w:cstheme="minorHAnsi"/>
          <w:b/>
          <w:sz w:val="22"/>
          <w:szCs w:val="22"/>
        </w:rPr>
        <w:tab/>
        <w:t xml:space="preserve"> </w:t>
      </w:r>
    </w:p>
    <w:p w14:paraId="26245330" w14:textId="220EF3E2"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A (niebędąca jednostką wyłączoną) jest UPE grupy międzynarodowej i jest zlokalizowana w </w:t>
      </w:r>
      <w:r w:rsidR="00965408"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w:t>
      </w:r>
      <w:r w:rsidR="00965408" w:rsidRPr="003E7A67">
        <w:rPr>
          <w:rFonts w:asciiTheme="minorHAnsi" w:hAnsiTheme="minorHAnsi" w:cstheme="minorHAnsi"/>
          <w:bCs w:val="0"/>
          <w:i/>
          <w:iCs/>
          <w:sz w:val="22"/>
          <w:szCs w:val="22"/>
        </w:rPr>
        <w:t xml:space="preserve">która </w:t>
      </w:r>
      <w:r w:rsidRPr="003E7A67">
        <w:rPr>
          <w:rFonts w:asciiTheme="minorHAnsi" w:hAnsiTheme="minorHAnsi" w:cstheme="minorHAnsi"/>
          <w:bCs w:val="0"/>
          <w:i/>
          <w:iCs/>
          <w:sz w:val="22"/>
          <w:szCs w:val="22"/>
        </w:rPr>
        <w:t xml:space="preserve">nie </w:t>
      </w:r>
      <w:r w:rsidR="00965408" w:rsidRPr="003E7A67">
        <w:rPr>
          <w:rFonts w:asciiTheme="minorHAnsi" w:hAnsiTheme="minorHAnsi" w:cstheme="minorHAnsi"/>
          <w:bCs w:val="0"/>
          <w:i/>
          <w:iCs/>
          <w:sz w:val="22"/>
          <w:szCs w:val="22"/>
        </w:rPr>
        <w:t xml:space="preserve">wprowadziła </w:t>
      </w:r>
      <w:r w:rsidRPr="003E7A67">
        <w:rPr>
          <w:rFonts w:asciiTheme="minorHAnsi" w:hAnsiTheme="minorHAnsi" w:cstheme="minorHAnsi"/>
          <w:bCs w:val="0"/>
          <w:i/>
          <w:iCs/>
          <w:sz w:val="22"/>
          <w:szCs w:val="22"/>
        </w:rPr>
        <w:t xml:space="preserve">Zasad GloBE. UPE posiada udział konsolidujący o charakterze bezpośrednim w jednostce B, a także pośredni udział konsolidujący w jednostce C i D (tj. wszystkie wymienione jednostki posiadają 100% udziałów własnościowych kolejnej jednostki). Jednostki B i C są zlokalizowane na terytorium Rzeczypospolitej Polskiej. Natomiast jednostka D jest zlokalizowana w </w:t>
      </w:r>
      <w:r w:rsidR="00965408"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o niskim poziomie opodatkowania. Jest to zatem nisko opodatkowana jednostka składowa (LTCE). Strukturę tę obrazuje diagram poniżej. </w:t>
      </w:r>
    </w:p>
    <w:p w14:paraId="5A982922" w14:textId="32AEFB92"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W tym przykładzie podatnikiem globalnego podatku wyrównawczego będzie wyłącznie jednostka B. Taki sam rezultat wystąpiłby w przypadku, gdyby </w:t>
      </w:r>
      <w:r w:rsidR="00965408" w:rsidRPr="003E7A67">
        <w:rPr>
          <w:rFonts w:asciiTheme="minorHAnsi" w:hAnsiTheme="minorHAnsi" w:cstheme="minorHAnsi"/>
          <w:bCs w:val="0"/>
          <w:i/>
          <w:iCs/>
          <w:sz w:val="22"/>
          <w:szCs w:val="22"/>
        </w:rPr>
        <w:t xml:space="preserve">jurysdykcja </w:t>
      </w:r>
      <w:r w:rsidRPr="003E7A67">
        <w:rPr>
          <w:rFonts w:asciiTheme="minorHAnsi" w:hAnsiTheme="minorHAnsi" w:cstheme="minorHAnsi"/>
          <w:bCs w:val="0"/>
          <w:i/>
          <w:iCs/>
          <w:sz w:val="22"/>
          <w:szCs w:val="22"/>
        </w:rPr>
        <w:t>UPE stosowało Zasadę IIR, lecz jednocześnie UPE stanowiłoby jednostkę wyłączoną.</w:t>
      </w:r>
    </w:p>
    <w:p w14:paraId="2E31A169" w14:textId="77777777" w:rsidR="00FB5F56" w:rsidRDefault="00FB5F56" w:rsidP="005C41AB">
      <w:pPr>
        <w:spacing w:before="240" w:after="120"/>
        <w:ind w:left="2126" w:firstLine="1276"/>
        <w:rPr>
          <w:rFonts w:cstheme="minorHAnsi"/>
          <w:i/>
        </w:rPr>
      </w:pPr>
    </w:p>
    <w:p w14:paraId="14025405" w14:textId="77777777" w:rsidR="003461F4" w:rsidRDefault="003461F4" w:rsidP="005C41AB">
      <w:pPr>
        <w:spacing w:before="240" w:after="120"/>
        <w:ind w:left="2126" w:firstLine="1276"/>
        <w:rPr>
          <w:rFonts w:cstheme="minorHAnsi"/>
          <w:i/>
        </w:rPr>
      </w:pPr>
    </w:p>
    <w:p w14:paraId="1A6EEF3F" w14:textId="42115689" w:rsidR="00DB7D51" w:rsidRPr="003E7A67" w:rsidRDefault="00DB7D51" w:rsidP="005C41AB">
      <w:pPr>
        <w:spacing w:before="240" w:after="120"/>
        <w:ind w:left="2126" w:firstLine="1276"/>
        <w:rPr>
          <w:rFonts w:cstheme="minorHAnsi"/>
          <w:b/>
        </w:rPr>
      </w:pPr>
      <w:r w:rsidRPr="003E7A67">
        <w:rPr>
          <w:rFonts w:cstheme="minorHAnsi"/>
          <w:i/>
        </w:rPr>
        <w:t>Schemat grupy</w:t>
      </w:r>
      <w:r w:rsidRPr="003E7A67">
        <w:rPr>
          <w:rFonts w:cstheme="minorHAnsi"/>
          <w:b/>
        </w:rPr>
        <w:t xml:space="preserve"> </w:t>
      </w:r>
    </w:p>
    <w:p w14:paraId="2CDCFAF6" w14:textId="77777777" w:rsidR="00DB7D51" w:rsidRPr="003E7A67" w:rsidRDefault="00DB7D51" w:rsidP="00DB7D51">
      <w:pPr>
        <w:jc w:val="center"/>
      </w:pPr>
      <w:bookmarkStart w:id="9" w:name="_Hlk162029911"/>
      <w:r w:rsidRPr="003E7A67">
        <w:rPr>
          <w:noProof/>
          <w:lang w:eastAsia="pl-PL"/>
        </w:rPr>
        <w:drawing>
          <wp:inline distT="0" distB="0" distL="0" distR="0" wp14:anchorId="66CD388E" wp14:editId="03ECBAF9">
            <wp:extent cx="3316809" cy="1844771"/>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99" t="17112" r="13223"/>
                    <a:stretch/>
                  </pic:blipFill>
                  <pic:spPr bwMode="auto">
                    <a:xfrm>
                      <a:off x="0" y="0"/>
                      <a:ext cx="3326344" cy="1850074"/>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34947640" w14:textId="446EFA69" w:rsidR="00DB7D51" w:rsidRDefault="00DB7D51" w:rsidP="005C41AB">
      <w:pPr>
        <w:tabs>
          <w:tab w:val="left" w:pos="426"/>
        </w:tabs>
        <w:spacing w:before="240" w:after="120"/>
        <w:jc w:val="both"/>
        <w:rPr>
          <w:rFonts w:ascii="Times New Roman" w:hAnsi="Times New Roman" w:cs="Times New Roman"/>
          <w:sz w:val="24"/>
          <w:szCs w:val="24"/>
        </w:rPr>
      </w:pPr>
      <w:r w:rsidRPr="00E95678">
        <w:rPr>
          <w:rFonts w:ascii="Times New Roman" w:hAnsi="Times New Roman" w:cs="Times New Roman"/>
          <w:sz w:val="24"/>
          <w:szCs w:val="24"/>
        </w:rPr>
        <w:t xml:space="preserve">Gdyby powyższy przykład zmodyfikować w ten sposób, iż UPE byłoby również bezpośrednio wyłącznym właścicielem jednostki C, wówczas zarówno jednostka B, jak i C – jako IPE – posiadałyby status podatnika zgodnie z </w:t>
      </w:r>
      <w:r w:rsidRPr="00E95678">
        <w:rPr>
          <w:rFonts w:ascii="Times New Roman" w:hAnsi="Times New Roman" w:cs="Times New Roman"/>
          <w:b/>
          <w:bCs/>
          <w:sz w:val="24"/>
          <w:szCs w:val="24"/>
        </w:rPr>
        <w:t>art. 10 ust. 1 pkt 2</w:t>
      </w:r>
      <w:r w:rsidRPr="00E95678">
        <w:rPr>
          <w:rFonts w:ascii="Times New Roman" w:hAnsi="Times New Roman" w:cs="Times New Roman"/>
          <w:sz w:val="24"/>
          <w:szCs w:val="24"/>
        </w:rPr>
        <w:t xml:space="preserve">. Sytuację taką ilustruje poniższy schemat.  </w:t>
      </w:r>
    </w:p>
    <w:p w14:paraId="185F6E31" w14:textId="77777777" w:rsidR="003461F4" w:rsidRPr="00E95678" w:rsidRDefault="003461F4" w:rsidP="005C41AB">
      <w:pPr>
        <w:tabs>
          <w:tab w:val="left" w:pos="426"/>
        </w:tabs>
        <w:spacing w:before="240" w:after="120"/>
        <w:jc w:val="both"/>
        <w:rPr>
          <w:rFonts w:ascii="Times New Roman" w:hAnsi="Times New Roman" w:cs="Times New Roman"/>
          <w:sz w:val="24"/>
          <w:szCs w:val="24"/>
        </w:rPr>
      </w:pPr>
    </w:p>
    <w:p w14:paraId="3E8948A5" w14:textId="6C413ECD" w:rsidR="00DB7D51" w:rsidRPr="003E7A67" w:rsidRDefault="00DB7D51" w:rsidP="00426A7F">
      <w:pPr>
        <w:tabs>
          <w:tab w:val="left" w:pos="426"/>
        </w:tabs>
        <w:spacing w:before="240" w:after="240"/>
        <w:jc w:val="center"/>
        <w:rPr>
          <w:rFonts w:cstheme="minorHAnsi"/>
        </w:rPr>
      </w:pPr>
      <w:r w:rsidRPr="003E7A67">
        <w:rPr>
          <w:rFonts w:cstheme="minorHAnsi"/>
          <w:i/>
        </w:rPr>
        <w:lastRenderedPageBreak/>
        <w:t>Schemat grupy</w:t>
      </w:r>
    </w:p>
    <w:p w14:paraId="33B4C227" w14:textId="68293C11" w:rsidR="00DB7D51" w:rsidRPr="003E7A67" w:rsidRDefault="00ED00FA" w:rsidP="00DB7D51">
      <w:pPr>
        <w:spacing w:after="120"/>
        <w:jc w:val="center"/>
        <w:rPr>
          <w:rFonts w:cstheme="minorHAnsi"/>
          <w:iCs/>
        </w:rPr>
      </w:pPr>
      <w:r w:rsidRPr="003E7A67">
        <w:rPr>
          <w:noProof/>
        </w:rPr>
        <w:drawing>
          <wp:inline distT="0" distB="0" distL="0" distR="0" wp14:anchorId="7183B8C6" wp14:editId="23755ACD">
            <wp:extent cx="5759450" cy="18796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879600"/>
                    </a:xfrm>
                    <a:prstGeom prst="rect">
                      <a:avLst/>
                    </a:prstGeom>
                    <a:noFill/>
                    <a:ln>
                      <a:noFill/>
                    </a:ln>
                  </pic:spPr>
                </pic:pic>
              </a:graphicData>
            </a:graphic>
          </wp:inline>
        </w:drawing>
      </w:r>
    </w:p>
    <w:p w14:paraId="7CF7CD9C" w14:textId="6EC6AF28" w:rsidR="00DB7D51" w:rsidRPr="00E95678" w:rsidRDefault="00DB7D51" w:rsidP="00426A7F">
      <w:pPr>
        <w:spacing w:before="240"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Warto podkreślić, iż </w:t>
      </w:r>
      <w:r w:rsidRPr="00E95678">
        <w:rPr>
          <w:rFonts w:ascii="Times New Roman" w:hAnsi="Times New Roman" w:cs="Times New Roman"/>
          <w:b/>
          <w:bCs/>
          <w:iCs/>
          <w:sz w:val="24"/>
          <w:szCs w:val="24"/>
        </w:rPr>
        <w:t>ust. 2</w:t>
      </w:r>
      <w:r w:rsidRPr="00E95678">
        <w:rPr>
          <w:rFonts w:ascii="Times New Roman" w:hAnsi="Times New Roman" w:cs="Times New Roman"/>
          <w:iCs/>
          <w:sz w:val="24"/>
          <w:szCs w:val="24"/>
        </w:rPr>
        <w:t xml:space="preserve"> omawianego artykułu nie znajdzie zastosowania, a tym samym IPE znajdująca się niżej w strukturze własności grupy nie utraci przymiotu podatnika, jeżeli nadrzędna wobec niej IPE co prawda będzie posiadać w niej udział, ale nie będzie to udział konsolidujący. W związku z tym również w takim przypadku więcej niż jedna IPE w tej samej grupie międzynarodowej będzie finalnie posiadała status podatnika. Taką sytuację ilustruje poniższy schemat. Zgodnie z nim status podatnika posiadać będą obie IPE, tj. spółka B i C. Spółka C nie utraci tego statusu w związku z tym, że (nadrzędna wobec niej) spółka B nie posiada w spółce C udziału konsolidującego.    </w:t>
      </w:r>
    </w:p>
    <w:p w14:paraId="618DB908" w14:textId="77777777" w:rsidR="00FB5F56" w:rsidRDefault="00FB5F56" w:rsidP="00426A7F">
      <w:pPr>
        <w:tabs>
          <w:tab w:val="left" w:pos="426"/>
        </w:tabs>
        <w:spacing w:before="240" w:after="240"/>
        <w:jc w:val="center"/>
        <w:rPr>
          <w:rFonts w:cstheme="minorHAnsi"/>
          <w:i/>
        </w:rPr>
      </w:pPr>
    </w:p>
    <w:p w14:paraId="573A88E4" w14:textId="1F642FE2" w:rsidR="00426A7F" w:rsidRPr="00426A7F" w:rsidRDefault="00426A7F" w:rsidP="00426A7F">
      <w:pPr>
        <w:tabs>
          <w:tab w:val="left" w:pos="426"/>
        </w:tabs>
        <w:spacing w:before="240" w:after="240"/>
        <w:jc w:val="center"/>
        <w:rPr>
          <w:rFonts w:cstheme="minorHAnsi"/>
        </w:rPr>
      </w:pPr>
      <w:r w:rsidRPr="003E7A67">
        <w:rPr>
          <w:rFonts w:cstheme="minorHAnsi"/>
          <w:i/>
        </w:rPr>
        <w:t>Schemat grupy</w:t>
      </w:r>
    </w:p>
    <w:p w14:paraId="3BB82C8A" w14:textId="0E2D6912" w:rsidR="00426A7F" w:rsidRDefault="00426A7F" w:rsidP="00DB7D51">
      <w:pPr>
        <w:spacing w:after="120"/>
        <w:jc w:val="both"/>
        <w:rPr>
          <w:rFonts w:cstheme="minorHAnsi"/>
          <w:iCs/>
        </w:rPr>
      </w:pPr>
      <w:r w:rsidRPr="00426A7F">
        <w:rPr>
          <w:noProof/>
        </w:rPr>
        <w:drawing>
          <wp:inline distT="0" distB="0" distL="0" distR="0" wp14:anchorId="0E10CC69" wp14:editId="33E6ADA7">
            <wp:extent cx="5696893" cy="196397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95"/>
                    <a:stretch/>
                  </pic:blipFill>
                  <pic:spPr bwMode="auto">
                    <a:xfrm>
                      <a:off x="0" y="0"/>
                      <a:ext cx="5704434" cy="1966572"/>
                    </a:xfrm>
                    <a:prstGeom prst="rect">
                      <a:avLst/>
                    </a:prstGeom>
                    <a:noFill/>
                    <a:ln>
                      <a:noFill/>
                    </a:ln>
                    <a:extLst>
                      <a:ext uri="{53640926-AAD7-44D8-BBD7-CCE9431645EC}">
                        <a14:shadowObscured xmlns:a14="http://schemas.microsoft.com/office/drawing/2010/main"/>
                      </a:ext>
                    </a:extLst>
                  </pic:spPr>
                </pic:pic>
              </a:graphicData>
            </a:graphic>
          </wp:inline>
        </w:drawing>
      </w:r>
    </w:p>
    <w:p w14:paraId="4997C7BE" w14:textId="05A3964B"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Użyte w przepisie </w:t>
      </w:r>
      <w:r w:rsidRPr="00E95678">
        <w:rPr>
          <w:rFonts w:ascii="Times New Roman" w:hAnsi="Times New Roman" w:cs="Times New Roman"/>
          <w:b/>
          <w:bCs/>
          <w:iCs/>
          <w:sz w:val="24"/>
          <w:szCs w:val="24"/>
        </w:rPr>
        <w:t>art. 10 ust. 2</w:t>
      </w:r>
      <w:r w:rsidRPr="00E95678">
        <w:rPr>
          <w:rFonts w:ascii="Times New Roman" w:hAnsi="Times New Roman" w:cs="Times New Roman"/>
          <w:iCs/>
          <w:sz w:val="24"/>
          <w:szCs w:val="24"/>
        </w:rPr>
        <w:t xml:space="preserve"> pojęcie udziału konsolidującego, jaki w jednej IPE ma posiadać druga IPE, znajdująca się wyżej w strukturze grupy, należy czytać zgodnie z jego definicją określoną w </w:t>
      </w:r>
      <w:r w:rsidRPr="00E95678">
        <w:rPr>
          <w:rFonts w:ascii="Times New Roman" w:hAnsi="Times New Roman" w:cs="Times New Roman"/>
          <w:b/>
          <w:bCs/>
          <w:iCs/>
          <w:sz w:val="24"/>
          <w:szCs w:val="24"/>
        </w:rPr>
        <w:t>art. 2 ust. 1 pkt 4</w:t>
      </w:r>
      <w:r w:rsidR="00936BA2" w:rsidRPr="00E95678">
        <w:rPr>
          <w:rFonts w:ascii="Times New Roman" w:hAnsi="Times New Roman" w:cs="Times New Roman"/>
          <w:b/>
          <w:bCs/>
          <w:iCs/>
          <w:sz w:val="24"/>
          <w:szCs w:val="24"/>
        </w:rPr>
        <w:t>2</w:t>
      </w:r>
      <w:r w:rsidRPr="00E95678">
        <w:rPr>
          <w:rFonts w:ascii="Times New Roman" w:hAnsi="Times New Roman" w:cs="Times New Roman"/>
          <w:iCs/>
          <w:sz w:val="24"/>
          <w:szCs w:val="24"/>
        </w:rPr>
        <w:t xml:space="preserve"> ustawy, a właściwie z jej częścią mówiącą o jednostce, która byłaby </w:t>
      </w:r>
      <w:r w:rsidRPr="00E95678">
        <w:rPr>
          <w:rFonts w:ascii="Times New Roman" w:hAnsi="Times New Roman" w:cs="Times New Roman"/>
          <w:sz w:val="24"/>
          <w:szCs w:val="24"/>
        </w:rPr>
        <w:t>zobowiązana do konsolidacji pełnej, gdyby sporządzała skonsolidowane sprawozdanie finansowe. Chodzi w tym przypadku o hipotetyczne skonsolidowane sprawozdanie</w:t>
      </w:r>
      <w:r w:rsidRPr="00E95678">
        <w:rPr>
          <w:rFonts w:ascii="Times New Roman" w:hAnsi="Times New Roman" w:cs="Times New Roman"/>
          <w:iCs/>
          <w:sz w:val="24"/>
          <w:szCs w:val="24"/>
        </w:rPr>
        <w:t xml:space="preserve"> finansowe, tj. sprawozdanie, które byłoby sporządzane dla danej grupy międzynarodowej, gdyby dana IPE była jednostką dominującą najwyższego szczebla tej grupy. </w:t>
      </w:r>
    </w:p>
    <w:p w14:paraId="5ED6976B" w14:textId="28D800FA"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Ponadto, jak wynika z ostatniego przykładu, wysokość udziałów własnościowych posiadanych przez IPE w danej jednostce składowej nie ma znaczenia dla określenia statusu tejże IPE na gruncie </w:t>
      </w:r>
      <w:r w:rsidRPr="00E95678">
        <w:rPr>
          <w:rFonts w:ascii="Times New Roman" w:hAnsi="Times New Roman" w:cs="Times New Roman"/>
          <w:b/>
          <w:bCs/>
          <w:iCs/>
          <w:sz w:val="24"/>
          <w:szCs w:val="24"/>
        </w:rPr>
        <w:t xml:space="preserve">art. 10 </w:t>
      </w:r>
      <w:r w:rsidRPr="00E95678">
        <w:rPr>
          <w:rFonts w:ascii="Times New Roman" w:hAnsi="Times New Roman" w:cs="Times New Roman"/>
          <w:iCs/>
          <w:sz w:val="24"/>
          <w:szCs w:val="24"/>
        </w:rPr>
        <w:t xml:space="preserve">(co najwyżej może wpłynąć na status innej IPE, w której taka IPE posiada </w:t>
      </w:r>
      <w:r w:rsidRPr="00E95678">
        <w:rPr>
          <w:rFonts w:ascii="Times New Roman" w:hAnsi="Times New Roman" w:cs="Times New Roman"/>
          <w:iCs/>
          <w:sz w:val="24"/>
          <w:szCs w:val="24"/>
        </w:rPr>
        <w:lastRenderedPageBreak/>
        <w:t>udziały własnościowe)</w:t>
      </w:r>
      <w:r w:rsidRPr="00E95678">
        <w:rPr>
          <w:rFonts w:ascii="Times New Roman" w:hAnsi="Times New Roman" w:cs="Times New Roman"/>
          <w:b/>
          <w:bCs/>
          <w:iCs/>
          <w:sz w:val="24"/>
          <w:szCs w:val="24"/>
        </w:rPr>
        <w:t xml:space="preserve">. </w:t>
      </w:r>
      <w:r w:rsidRPr="00E95678">
        <w:rPr>
          <w:rFonts w:ascii="Times New Roman" w:eastAsia="ArialMT" w:hAnsi="Times New Roman" w:cs="Times New Roman"/>
          <w:sz w:val="24"/>
          <w:szCs w:val="24"/>
        </w:rPr>
        <w:t xml:space="preserve">IPE może zatem posiadać 10% udziałów własnościowych w danej jednostce składowej i nadal być zobowiązana do stosowania Zasady IIR. Jednak kwota globalnego podatku wyrównawczego , którą taka IPE jest zobowiązana zapłacić, jest ograniczona do jej udziału w danej nisko opodatkowanej jednostce składowej. </w:t>
      </w:r>
      <w:r w:rsidRPr="00E95678">
        <w:rPr>
          <w:rFonts w:ascii="Times New Roman" w:hAnsi="Times New Roman" w:cs="Times New Roman"/>
          <w:iCs/>
          <w:sz w:val="24"/>
          <w:szCs w:val="24"/>
        </w:rPr>
        <w:t xml:space="preserve"> </w:t>
      </w:r>
    </w:p>
    <w:p w14:paraId="697BC414" w14:textId="77777777"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Do IPE stosuje się takie same zasady jak w przypadku UPE, z tym wyjątkiem, że mają one zastosowanie wyłącznie w odniesieniu do odpowiedniego podzbioru jednostek składowych, których udziały własnościowe są bezpośrednio lub pośrednio własnością IPE. </w:t>
      </w:r>
    </w:p>
    <w:p w14:paraId="4C1E15CC" w14:textId="77777777" w:rsidR="00DB7D51" w:rsidRPr="00E95678" w:rsidRDefault="00DB7D51" w:rsidP="00DB7D51">
      <w:pPr>
        <w:rPr>
          <w:rFonts w:ascii="Times New Roman" w:hAnsi="Times New Roman" w:cs="Times New Roman"/>
          <w:iCs/>
          <w:sz w:val="24"/>
          <w:szCs w:val="24"/>
        </w:rPr>
      </w:pPr>
      <w:r w:rsidRPr="00E95678">
        <w:rPr>
          <w:rFonts w:ascii="Times New Roman" w:hAnsi="Times New Roman" w:cs="Times New Roman"/>
          <w:i/>
          <w:iCs/>
          <w:sz w:val="24"/>
          <w:szCs w:val="24"/>
        </w:rPr>
        <w:t xml:space="preserve">Jednostka dominująca znajdująca się w częściowym posiadaniu </w:t>
      </w:r>
    </w:p>
    <w:p w14:paraId="3937077B" w14:textId="77777777"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b/>
          <w:bCs/>
          <w:iCs/>
          <w:sz w:val="24"/>
          <w:szCs w:val="24"/>
        </w:rPr>
        <w:t>Art. 10 ust. 1 pkt 3</w:t>
      </w:r>
      <w:r w:rsidRPr="00E95678">
        <w:rPr>
          <w:rFonts w:ascii="Times New Roman" w:hAnsi="Times New Roman" w:cs="Times New Roman"/>
          <w:iCs/>
          <w:sz w:val="24"/>
          <w:szCs w:val="24"/>
        </w:rPr>
        <w:t xml:space="preserve"> projektu implementuje art. 8.1 Dyrektywy. Reguluje on status jednostki dominującej w częściowym posiadaniu (zdefiniowanej w </w:t>
      </w:r>
      <w:r w:rsidRPr="00E95678">
        <w:rPr>
          <w:rFonts w:ascii="Times New Roman" w:hAnsi="Times New Roman" w:cs="Times New Roman"/>
          <w:b/>
          <w:bCs/>
          <w:iCs/>
          <w:sz w:val="24"/>
          <w:szCs w:val="24"/>
        </w:rPr>
        <w:t>art. 2 ust. 1 pkt 16</w:t>
      </w:r>
      <w:r w:rsidRPr="00E95678">
        <w:rPr>
          <w:rFonts w:ascii="Times New Roman" w:hAnsi="Times New Roman" w:cs="Times New Roman"/>
          <w:iCs/>
          <w:sz w:val="24"/>
          <w:szCs w:val="24"/>
        </w:rPr>
        <w:t xml:space="preserve"> ustawy) jako podatnika globalnego podatku wyrównawczego. </w:t>
      </w:r>
    </w:p>
    <w:p w14:paraId="0F26C165" w14:textId="77777777"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Na gruncie Systemu GloBE POPE jest, co do zasady, uznawana za podatnika odrębnego od UPE bądź IPE. Tym samym POPE jest podatnikiem (i jako taka jednostka dominująca stosuje Zasadę IIR) niezależnie od tego, czy podatnikiem jest również UPE albo IPE. Oznacza to, że Zasada IIR może być stosowana więcej niż raz w odniesieniu  do tej samej jednostki składowej. W przypadku, gdy jednostka ta jest nisko opodatkowana i oblicza się globalny podatek wyrównawczy, podwójnego opodatkowania unika się w takiej sytuacji w ten sposób, że UPE bądź IPE zmniejsza następnie swoje zobowiązanie z tytułu globalnego podatku wyrównawczego (tj. udziałowy globalny podatek wyrównawczy, zależny od udziału procentowego danej UPE/IPE) o odpowiednią część podatku, która powinna zostać pobrana przez POPE na podstawie Zasady IIR (por. dalsze wyjaśnienia w zakresie obliczenia podatku). </w:t>
      </w:r>
    </w:p>
    <w:p w14:paraId="5CD5ECA6" w14:textId="77777777"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W powyższym zakresie Zasady GloBE odbiegają od podejścia „z góry w dół” i zamiast tego wymagają od POPE stosowania Zasady IIR, niezależnie od tego, że znajduje się ona na dalszym miejscu w łańcuchu własności grupy. Rozwiązanie to ma na celu przeciwdziałanie potencjalnemu obejściu Zasad GloBE, które miałoby miejsce, gdyby POPE nie było odrębnym podatnikiem od UPE bądź IPE. Prowadziłoby to do nieopodatkowania tej części dochodu nisko opodatkowanej jednostki składowej, która przypadałaby na udziałowców mniejszościowych niebędących członkami danej grupy</w:t>
      </w:r>
      <w:r w:rsidRPr="00E95678">
        <w:rPr>
          <w:rStyle w:val="Odwoanieprzypisudolnego"/>
          <w:rFonts w:ascii="Times New Roman" w:hAnsi="Times New Roman" w:cs="Times New Roman"/>
          <w:iCs/>
          <w:sz w:val="24"/>
          <w:szCs w:val="24"/>
        </w:rPr>
        <w:footnoteReference w:id="70"/>
      </w:r>
      <w:r w:rsidRPr="00E95678">
        <w:rPr>
          <w:rFonts w:ascii="Times New Roman" w:hAnsi="Times New Roman" w:cs="Times New Roman"/>
          <w:iCs/>
          <w:sz w:val="24"/>
          <w:szCs w:val="24"/>
        </w:rPr>
        <w:t>. Zamiast tego System GloBE nakłada na POPE obowiązek stosowania Zasady IIR również w odniesieniu do jej udziału w globalnym podatku wyrównawczym, zapewniając w ten sposób, że obciążenie podatkowe wynikające z Zasad GloBE jest ponoszone przez udziałowców mniejszościowych w odpowiedniej proporcji.</w:t>
      </w:r>
    </w:p>
    <w:p w14:paraId="15E4758C" w14:textId="5BE10804"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Przepis </w:t>
      </w:r>
      <w:r w:rsidRPr="00E95678">
        <w:rPr>
          <w:rFonts w:ascii="Times New Roman" w:hAnsi="Times New Roman" w:cs="Times New Roman"/>
          <w:b/>
          <w:bCs/>
          <w:iCs/>
          <w:sz w:val="24"/>
          <w:szCs w:val="24"/>
        </w:rPr>
        <w:t>art. 10 ust. 1 pkt 3 oraz ust. 3</w:t>
      </w:r>
      <w:r w:rsidRPr="00E95678">
        <w:rPr>
          <w:rFonts w:ascii="Times New Roman" w:hAnsi="Times New Roman" w:cs="Times New Roman"/>
          <w:iCs/>
          <w:sz w:val="24"/>
          <w:szCs w:val="24"/>
        </w:rPr>
        <w:t xml:space="preserve"> został skonstruowany analogicznie jak </w:t>
      </w:r>
      <w:r w:rsidRPr="00E95678">
        <w:rPr>
          <w:rFonts w:ascii="Times New Roman" w:hAnsi="Times New Roman" w:cs="Times New Roman"/>
          <w:b/>
          <w:bCs/>
          <w:iCs/>
          <w:sz w:val="24"/>
          <w:szCs w:val="24"/>
        </w:rPr>
        <w:t xml:space="preserve"> art. 10 ust. 1 pkt 2 oraz stosowny ust. 2</w:t>
      </w:r>
      <w:r w:rsidRPr="00E95678">
        <w:rPr>
          <w:rFonts w:ascii="Times New Roman" w:hAnsi="Times New Roman" w:cs="Times New Roman"/>
          <w:iCs/>
          <w:sz w:val="24"/>
          <w:szCs w:val="24"/>
        </w:rPr>
        <w:t xml:space="preserve"> i podobnie jak w przypadku  tych ostatnich przepisów celem właściwego odczytania wynikającej z niego normy należy łącznie analizować oba ustępy. I tak, </w:t>
      </w:r>
      <w:r w:rsidRPr="00E95678">
        <w:rPr>
          <w:rFonts w:ascii="Times New Roman" w:hAnsi="Times New Roman" w:cs="Times New Roman"/>
          <w:i/>
          <w:iCs/>
          <w:sz w:val="24"/>
          <w:szCs w:val="24"/>
        </w:rPr>
        <w:t>prima facie</w:t>
      </w:r>
      <w:r w:rsidRPr="00E95678">
        <w:rPr>
          <w:rFonts w:ascii="Times New Roman" w:hAnsi="Times New Roman" w:cs="Times New Roman"/>
          <w:iCs/>
          <w:sz w:val="24"/>
          <w:szCs w:val="24"/>
        </w:rPr>
        <w:t xml:space="preserve"> odrębnym podatnikiem globalnego podatku wyrównawczego będą wszystkie POPE zlokalizowane na terytorium Rzeczypospolitej Polskiej, w których UPE posiada bezpośrednio lub pośrednio udział konsolidujący (</w:t>
      </w:r>
      <w:r w:rsidRPr="00E95678">
        <w:rPr>
          <w:rFonts w:ascii="Times New Roman" w:hAnsi="Times New Roman" w:cs="Times New Roman"/>
          <w:b/>
          <w:iCs/>
          <w:sz w:val="24"/>
          <w:szCs w:val="24"/>
        </w:rPr>
        <w:t>art. 10 ust. 1 pkt 3</w:t>
      </w:r>
      <w:r w:rsidRPr="00E95678">
        <w:rPr>
          <w:rFonts w:ascii="Times New Roman" w:hAnsi="Times New Roman" w:cs="Times New Roman"/>
          <w:iCs/>
          <w:sz w:val="24"/>
          <w:szCs w:val="24"/>
        </w:rPr>
        <w:t xml:space="preserve">). Jednakże </w:t>
      </w:r>
      <w:r w:rsidRPr="00E95678">
        <w:rPr>
          <w:rFonts w:ascii="Times New Roman" w:hAnsi="Times New Roman" w:cs="Times New Roman"/>
          <w:b/>
          <w:iCs/>
          <w:sz w:val="24"/>
          <w:szCs w:val="24"/>
        </w:rPr>
        <w:t xml:space="preserve">ust. 3 </w:t>
      </w:r>
      <w:r w:rsidRPr="00E95678">
        <w:rPr>
          <w:rFonts w:ascii="Times New Roman" w:hAnsi="Times New Roman" w:cs="Times New Roman"/>
          <w:iCs/>
          <w:sz w:val="24"/>
          <w:szCs w:val="24"/>
        </w:rPr>
        <w:t xml:space="preserve">wyłącza ze statusu podatnika taką POPE, która jest w całości w posiadaniu innej POPE. Chodzi zarówno o inną POPE zlokalizowaną na terytorium Rzeczypospolitej Polskiej, jak i POPE zlokalizowaną w </w:t>
      </w:r>
      <w:r w:rsidR="00965408" w:rsidRPr="00E95678">
        <w:rPr>
          <w:rFonts w:ascii="Times New Roman" w:hAnsi="Times New Roman" w:cs="Times New Roman"/>
          <w:iCs/>
          <w:sz w:val="24"/>
          <w:szCs w:val="24"/>
        </w:rPr>
        <w:t xml:space="preserve">innej </w:t>
      </w:r>
      <w:r w:rsidR="00965408" w:rsidRPr="00E95678">
        <w:rPr>
          <w:rFonts w:ascii="Times New Roman" w:hAnsi="Times New Roman" w:cs="Times New Roman"/>
          <w:sz w:val="24"/>
          <w:szCs w:val="24"/>
        </w:rPr>
        <w:t xml:space="preserve">jurysdykcji </w:t>
      </w:r>
      <w:r w:rsidR="00965408" w:rsidRPr="00E95678">
        <w:rPr>
          <w:rFonts w:ascii="Times New Roman" w:hAnsi="Times New Roman" w:cs="Times New Roman"/>
          <w:iCs/>
          <w:sz w:val="24"/>
          <w:szCs w:val="24"/>
        </w:rPr>
        <w:t xml:space="preserve">stosującej </w:t>
      </w:r>
      <w:r w:rsidRPr="00E95678">
        <w:rPr>
          <w:rFonts w:ascii="Times New Roman" w:hAnsi="Times New Roman" w:cs="Times New Roman"/>
          <w:iCs/>
          <w:sz w:val="24"/>
          <w:szCs w:val="24"/>
        </w:rPr>
        <w:t xml:space="preserve">Kwalifikowaną Zasadę IIR.    </w:t>
      </w:r>
    </w:p>
    <w:p w14:paraId="787E3C25" w14:textId="77777777"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lastRenderedPageBreak/>
        <w:t>Jak można zauważyć, inaczej niż w przypadku IPE (</w:t>
      </w:r>
      <w:r w:rsidRPr="00E95678">
        <w:rPr>
          <w:rFonts w:ascii="Times New Roman" w:hAnsi="Times New Roman" w:cs="Times New Roman"/>
          <w:b/>
          <w:bCs/>
          <w:iCs/>
          <w:sz w:val="24"/>
          <w:szCs w:val="24"/>
        </w:rPr>
        <w:t>art. 10 ust. 2</w:t>
      </w:r>
      <w:r w:rsidRPr="00E95678">
        <w:rPr>
          <w:rFonts w:ascii="Times New Roman" w:hAnsi="Times New Roman" w:cs="Times New Roman"/>
          <w:iCs/>
          <w:sz w:val="24"/>
          <w:szCs w:val="24"/>
        </w:rPr>
        <w:t xml:space="preserve">) ograniczenie odnoszące się do POPE zawarte w ust. 3 tego przepisu ma zastosowanie wyłącznie wówczas, gdy POPE będące najwyżej w strukturze holdingowej posiada w co najmniej jednym POPE poniżej  100% udziałów własnościowych (w przypadku IPE wystarczającym jest natomiast posiadanie takiego udziału, który zobowiązywałby do konsolidacji). Zatem, w każdym innym przypadku (gdy np. dane POPE posiada 80% udziałów w innym POPE) wyłączenie zawarte w </w:t>
      </w:r>
      <w:r w:rsidRPr="00E95678">
        <w:rPr>
          <w:rFonts w:ascii="Times New Roman" w:hAnsi="Times New Roman" w:cs="Times New Roman"/>
          <w:b/>
          <w:bCs/>
          <w:iCs/>
          <w:sz w:val="24"/>
          <w:szCs w:val="24"/>
        </w:rPr>
        <w:t>ust. 3</w:t>
      </w:r>
      <w:r w:rsidRPr="00E95678">
        <w:rPr>
          <w:rFonts w:ascii="Times New Roman" w:hAnsi="Times New Roman" w:cs="Times New Roman"/>
          <w:iCs/>
          <w:sz w:val="24"/>
          <w:szCs w:val="24"/>
        </w:rPr>
        <w:t xml:space="preserve"> nie znajdzie zastosowania, a tym samym podatnikami globalnego podatku wyrównawczego będą, oprócz UPE bądź IPE, dwa lub większa liczba POPE.  </w:t>
      </w:r>
    </w:p>
    <w:p w14:paraId="1DD651CD" w14:textId="43ED59BB"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420CF0C7" w14:textId="2A9CF6D5"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Grupa międzynarodowa składa się z 4 jednostek A, B, C i D. Jednostka A, będąca UPE tej grupy, jest zlokalizowana w </w:t>
      </w:r>
      <w:r w:rsidR="00965408"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w:t>
      </w:r>
      <w:r w:rsidR="00965408" w:rsidRPr="003E7A67">
        <w:rPr>
          <w:rFonts w:asciiTheme="minorHAnsi" w:hAnsiTheme="minorHAnsi" w:cstheme="minorHAnsi"/>
          <w:bCs w:val="0"/>
          <w:i/>
          <w:iCs/>
          <w:sz w:val="22"/>
          <w:szCs w:val="22"/>
        </w:rPr>
        <w:t xml:space="preserve">która </w:t>
      </w:r>
      <w:r w:rsidRPr="003E7A67">
        <w:rPr>
          <w:rFonts w:asciiTheme="minorHAnsi" w:hAnsiTheme="minorHAnsi" w:cstheme="minorHAnsi"/>
          <w:bCs w:val="0"/>
          <w:i/>
          <w:iCs/>
          <w:sz w:val="22"/>
          <w:szCs w:val="22"/>
        </w:rPr>
        <w:t xml:space="preserve">nie </w:t>
      </w:r>
      <w:r w:rsidR="00965408" w:rsidRPr="003E7A67">
        <w:rPr>
          <w:rFonts w:asciiTheme="minorHAnsi" w:hAnsiTheme="minorHAnsi" w:cstheme="minorHAnsi"/>
          <w:bCs w:val="0"/>
          <w:i/>
          <w:iCs/>
          <w:sz w:val="22"/>
          <w:szCs w:val="22"/>
        </w:rPr>
        <w:t xml:space="preserve">wdrożyła </w:t>
      </w:r>
      <w:r w:rsidRPr="003E7A67">
        <w:rPr>
          <w:rFonts w:asciiTheme="minorHAnsi" w:hAnsiTheme="minorHAnsi" w:cstheme="minorHAnsi"/>
          <w:bCs w:val="0"/>
          <w:i/>
          <w:iCs/>
          <w:sz w:val="22"/>
          <w:szCs w:val="22"/>
        </w:rPr>
        <w:t xml:space="preserve">Zasad GloBE. Jednostka A posiada bezpośrednio udziały własnościowe w jednostce B dające prawo do 60% jej zysków. Pozostałe 40% praw do zysków B posiadają osoby spoza grupy. Ponadto B jest wyłącznym właścicielem C, która z kolei jest jedynym właścicielem jednostki D znajdującej się w </w:t>
      </w:r>
      <w:r w:rsidR="00965408"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o niskim poziomie opodatkowania (które nie wdrożyło Zasad GloBE). Jednostki B i C są zlokalizowane na terytorium Rzeczypospolitej Polskiej. Przykład ten ilustruje poniższy schemat.</w:t>
      </w:r>
    </w:p>
    <w:p w14:paraId="057DCAD4" w14:textId="7C4B25C7" w:rsidR="00DB7D51" w:rsidRDefault="00DB7D51" w:rsidP="005C41AB">
      <w:pPr>
        <w:spacing w:before="240" w:after="120"/>
        <w:jc w:val="center"/>
        <w:rPr>
          <w:rFonts w:cstheme="minorHAnsi"/>
          <w:iCs/>
        </w:rPr>
      </w:pPr>
    </w:p>
    <w:p w14:paraId="013E2867" w14:textId="77777777" w:rsidR="003461F4" w:rsidRDefault="003461F4" w:rsidP="00426A7F">
      <w:pPr>
        <w:tabs>
          <w:tab w:val="left" w:pos="426"/>
        </w:tabs>
        <w:spacing w:before="240" w:after="240"/>
        <w:jc w:val="center"/>
        <w:rPr>
          <w:rFonts w:cstheme="minorHAnsi"/>
          <w:i/>
        </w:rPr>
      </w:pPr>
    </w:p>
    <w:p w14:paraId="31E7F824" w14:textId="004564F1" w:rsidR="00426A7F" w:rsidRPr="00426A7F" w:rsidRDefault="00426A7F" w:rsidP="00426A7F">
      <w:pPr>
        <w:tabs>
          <w:tab w:val="left" w:pos="426"/>
        </w:tabs>
        <w:spacing w:before="240" w:after="240"/>
        <w:jc w:val="center"/>
        <w:rPr>
          <w:rFonts w:cstheme="minorHAnsi"/>
        </w:rPr>
      </w:pPr>
      <w:r w:rsidRPr="003E7A67">
        <w:rPr>
          <w:rFonts w:cstheme="minorHAnsi"/>
          <w:i/>
        </w:rPr>
        <w:t>Schemat grupy</w:t>
      </w:r>
    </w:p>
    <w:p w14:paraId="29C765C0" w14:textId="0EEBB570" w:rsidR="00426A7F" w:rsidRDefault="00426A7F" w:rsidP="005C41AB">
      <w:pPr>
        <w:spacing w:after="120"/>
        <w:jc w:val="both"/>
        <w:rPr>
          <w:rFonts w:cstheme="minorHAnsi"/>
          <w:iCs/>
        </w:rPr>
      </w:pPr>
      <w:r w:rsidRPr="00426A7F">
        <w:rPr>
          <w:noProof/>
        </w:rPr>
        <w:drawing>
          <wp:inline distT="0" distB="0" distL="0" distR="0" wp14:anchorId="51040642" wp14:editId="5F76EF99">
            <wp:extent cx="5623875" cy="194772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616"/>
                    <a:stretch/>
                  </pic:blipFill>
                  <pic:spPr bwMode="auto">
                    <a:xfrm>
                      <a:off x="0" y="0"/>
                      <a:ext cx="5634542" cy="1951414"/>
                    </a:xfrm>
                    <a:prstGeom prst="rect">
                      <a:avLst/>
                    </a:prstGeom>
                    <a:noFill/>
                    <a:ln>
                      <a:noFill/>
                    </a:ln>
                    <a:extLst>
                      <a:ext uri="{53640926-AAD7-44D8-BBD7-CCE9431645EC}">
                        <a14:shadowObscured xmlns:a14="http://schemas.microsoft.com/office/drawing/2010/main"/>
                      </a:ext>
                    </a:extLst>
                  </pic:spPr>
                </pic:pic>
              </a:graphicData>
            </a:graphic>
          </wp:inline>
        </w:drawing>
      </w:r>
    </w:p>
    <w:p w14:paraId="76FFF0D3" w14:textId="548FC00C" w:rsidR="00DB7D51" w:rsidRPr="00E95678" w:rsidRDefault="00DB7D51" w:rsidP="005C41AB">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W powyższym przykładzie obie jednostki zlokalizowane na terytorium Rzeczypospolitej Polskiej klasyfikują się jako POPE. Jednak z uwagi na to, że pierwsza z nich (B) posiada 100% udziałów własnościowych drugiej (C), zastosowanie znajdzie ograniczenie wynikające z </w:t>
      </w:r>
      <w:r w:rsidRPr="00E95678">
        <w:rPr>
          <w:rFonts w:ascii="Times New Roman" w:hAnsi="Times New Roman" w:cs="Times New Roman"/>
          <w:b/>
          <w:bCs/>
          <w:iCs/>
          <w:sz w:val="24"/>
          <w:szCs w:val="24"/>
        </w:rPr>
        <w:t>art. 10 ust. 2</w:t>
      </w:r>
      <w:r w:rsidRPr="00E95678">
        <w:rPr>
          <w:rFonts w:ascii="Times New Roman" w:hAnsi="Times New Roman" w:cs="Times New Roman"/>
          <w:iCs/>
          <w:sz w:val="24"/>
          <w:szCs w:val="24"/>
        </w:rPr>
        <w:t xml:space="preserve">. Tym samym, finalnie jednostka C nie będzie posiadać statusu podatnika globalnego podatku wyrównawczego. Podatnikiem takim będzie natomiast tylko jedno POPE będące wyżej w strukturze, tj. jednostka B.  </w:t>
      </w:r>
    </w:p>
    <w:p w14:paraId="53C6B96D" w14:textId="2EA95024" w:rsidR="00DB7D51" w:rsidRPr="003E7A67" w:rsidRDefault="00DB7D51" w:rsidP="005C41AB">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69108577" w14:textId="5C12B503" w:rsidR="00811074" w:rsidRPr="00426A7F" w:rsidRDefault="00DB7D51" w:rsidP="00426A7F">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Stan faktyczny jest taki jak w przykładzie powyżej, przy czym B posiada 90% udziałów własnościowych w C, natomiast pozostałe 10% takich praw przysługuje osobom spoza grupy międzynarodowej. Przykład ten ilustruje poniższy schemat. W takim przypadku obie POPE (B i C) będą podatnikami globalnego podatku wyrównawczego, w związku z niespełnieniem ograniczenia </w:t>
      </w:r>
      <w:r w:rsidRPr="003E7A67">
        <w:rPr>
          <w:rFonts w:asciiTheme="minorHAnsi" w:hAnsiTheme="minorHAnsi" w:cstheme="minorHAnsi"/>
          <w:bCs w:val="0"/>
          <w:i/>
          <w:iCs/>
          <w:sz w:val="22"/>
          <w:szCs w:val="22"/>
        </w:rPr>
        <w:lastRenderedPageBreak/>
        <w:t xml:space="preserve">wynikającego z </w:t>
      </w:r>
      <w:r w:rsidRPr="003E7A67">
        <w:rPr>
          <w:rFonts w:asciiTheme="minorHAnsi" w:hAnsiTheme="minorHAnsi" w:cstheme="minorHAnsi"/>
          <w:b/>
          <w:i/>
          <w:iCs/>
          <w:sz w:val="22"/>
          <w:szCs w:val="22"/>
        </w:rPr>
        <w:t>art. 10 ust. 2</w:t>
      </w:r>
      <w:r w:rsidRPr="003E7A67">
        <w:rPr>
          <w:rFonts w:asciiTheme="minorHAnsi" w:hAnsiTheme="minorHAnsi" w:cstheme="minorHAnsi"/>
          <w:bCs w:val="0"/>
          <w:i/>
          <w:iCs/>
          <w:sz w:val="22"/>
          <w:szCs w:val="22"/>
        </w:rPr>
        <w:t xml:space="preserve"> (żadna inna POPE nie posiada, bezpośrednio lub pośrednio, wszystkich udziałów własnościowych w C).</w:t>
      </w:r>
    </w:p>
    <w:p w14:paraId="32B5F3F5" w14:textId="77777777" w:rsidR="00426A7F" w:rsidRPr="00426A7F" w:rsidRDefault="00426A7F" w:rsidP="00426A7F">
      <w:pPr>
        <w:tabs>
          <w:tab w:val="left" w:pos="426"/>
        </w:tabs>
        <w:spacing w:before="240" w:after="240"/>
        <w:jc w:val="center"/>
        <w:rPr>
          <w:rFonts w:cstheme="minorHAnsi"/>
        </w:rPr>
      </w:pPr>
      <w:r w:rsidRPr="003E7A67">
        <w:rPr>
          <w:rFonts w:cstheme="minorHAnsi"/>
          <w:i/>
        </w:rPr>
        <w:t>Schemat grupy</w:t>
      </w:r>
    </w:p>
    <w:p w14:paraId="483473A0" w14:textId="5673F329" w:rsidR="00426A7F" w:rsidRDefault="00426A7F" w:rsidP="00DB7D51">
      <w:pPr>
        <w:rPr>
          <w:i/>
          <w:iCs/>
        </w:rPr>
      </w:pPr>
      <w:r w:rsidRPr="00426A7F">
        <w:rPr>
          <w:noProof/>
        </w:rPr>
        <w:drawing>
          <wp:inline distT="0" distB="0" distL="0" distR="0" wp14:anchorId="39444F8D" wp14:editId="4270EBEA">
            <wp:extent cx="5760720" cy="198691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948"/>
                    <a:stretch/>
                  </pic:blipFill>
                  <pic:spPr bwMode="auto">
                    <a:xfrm>
                      <a:off x="0" y="0"/>
                      <a:ext cx="5760720" cy="1986915"/>
                    </a:xfrm>
                    <a:prstGeom prst="rect">
                      <a:avLst/>
                    </a:prstGeom>
                    <a:noFill/>
                    <a:ln>
                      <a:noFill/>
                    </a:ln>
                    <a:extLst>
                      <a:ext uri="{53640926-AAD7-44D8-BBD7-CCE9431645EC}">
                        <a14:shadowObscured xmlns:a14="http://schemas.microsoft.com/office/drawing/2010/main"/>
                      </a:ext>
                    </a:extLst>
                  </pic:spPr>
                </pic:pic>
              </a:graphicData>
            </a:graphic>
          </wp:inline>
        </w:drawing>
      </w:r>
    </w:p>
    <w:p w14:paraId="4C302DC7" w14:textId="2469D764" w:rsidR="00DB7D51" w:rsidRPr="003E7A67" w:rsidRDefault="00DB7D51" w:rsidP="00DB7D51">
      <w:pPr>
        <w:rPr>
          <w:i/>
          <w:iCs/>
        </w:rPr>
      </w:pPr>
      <w:r w:rsidRPr="003E7A67">
        <w:rPr>
          <w:i/>
          <w:iCs/>
        </w:rPr>
        <w:t xml:space="preserve">Wielość podatników </w:t>
      </w:r>
    </w:p>
    <w:p w14:paraId="6F590129" w14:textId="6FC96D72"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b/>
          <w:bCs/>
          <w:iCs/>
          <w:sz w:val="24"/>
          <w:szCs w:val="24"/>
        </w:rPr>
        <w:t>Art. 10 ust. 4</w:t>
      </w:r>
      <w:r w:rsidRPr="00E95678">
        <w:rPr>
          <w:rFonts w:ascii="Times New Roman" w:hAnsi="Times New Roman" w:cs="Times New Roman"/>
          <w:iCs/>
          <w:sz w:val="24"/>
          <w:szCs w:val="24"/>
        </w:rPr>
        <w:t xml:space="preserve"> potwierdza zasadę, która została omówiona w komentarzu do art. </w:t>
      </w:r>
      <w:r w:rsidRPr="00E95678">
        <w:rPr>
          <w:rFonts w:ascii="Times New Roman" w:hAnsi="Times New Roman" w:cs="Times New Roman"/>
          <w:b/>
          <w:bCs/>
          <w:iCs/>
          <w:sz w:val="24"/>
          <w:szCs w:val="24"/>
        </w:rPr>
        <w:t>10 ust. 1 pkt 2-3</w:t>
      </w:r>
      <w:r w:rsidRPr="00E95678">
        <w:rPr>
          <w:rFonts w:ascii="Times New Roman" w:hAnsi="Times New Roman" w:cs="Times New Roman"/>
          <w:iCs/>
          <w:sz w:val="24"/>
          <w:szCs w:val="24"/>
        </w:rPr>
        <w:t xml:space="preserve">, a mianowicie to, że na gruncie tych przepisów (analizowanych łącznie ich </w:t>
      </w:r>
      <w:r w:rsidRPr="00E95678">
        <w:rPr>
          <w:rFonts w:ascii="Times New Roman" w:hAnsi="Times New Roman" w:cs="Times New Roman"/>
          <w:b/>
          <w:bCs/>
          <w:iCs/>
          <w:sz w:val="24"/>
          <w:szCs w:val="24"/>
        </w:rPr>
        <w:t>ust. 2 i 3</w:t>
      </w:r>
      <w:r w:rsidRPr="00E95678">
        <w:rPr>
          <w:rFonts w:ascii="Times New Roman" w:hAnsi="Times New Roman" w:cs="Times New Roman"/>
          <w:iCs/>
          <w:sz w:val="24"/>
          <w:szCs w:val="24"/>
        </w:rPr>
        <w:t>) status podatnika globalnego podatku wyrównawczego posiadać mo</w:t>
      </w:r>
      <w:r w:rsidR="00CF2FFB" w:rsidRPr="00E95678">
        <w:rPr>
          <w:rFonts w:ascii="Times New Roman" w:hAnsi="Times New Roman" w:cs="Times New Roman"/>
          <w:iCs/>
          <w:sz w:val="24"/>
          <w:szCs w:val="24"/>
        </w:rPr>
        <w:t>gą posiadać co najmniej dwie jednostki tej samej grupy (np.</w:t>
      </w:r>
      <w:r w:rsidRPr="00E95678">
        <w:rPr>
          <w:rFonts w:ascii="Times New Roman" w:hAnsi="Times New Roman" w:cs="Times New Roman"/>
          <w:iCs/>
          <w:sz w:val="24"/>
          <w:szCs w:val="24"/>
        </w:rPr>
        <w:t xml:space="preserve"> kilka IPE lub POPE, lub UPE łącznie z takimi jednostkami – w różnej konfiguracji</w:t>
      </w:r>
      <w:r w:rsidR="00CF2FFB" w:rsidRPr="00E95678">
        <w:rPr>
          <w:rFonts w:ascii="Times New Roman" w:hAnsi="Times New Roman" w:cs="Times New Roman"/>
          <w:iCs/>
          <w:sz w:val="24"/>
          <w:szCs w:val="24"/>
        </w:rPr>
        <w:t>)</w:t>
      </w:r>
      <w:r w:rsidRPr="00E95678">
        <w:rPr>
          <w:rFonts w:ascii="Times New Roman" w:hAnsi="Times New Roman" w:cs="Times New Roman"/>
          <w:iCs/>
          <w:sz w:val="24"/>
          <w:szCs w:val="24"/>
        </w:rPr>
        <w:t xml:space="preserve">.   </w:t>
      </w:r>
    </w:p>
    <w:p w14:paraId="448E61E1" w14:textId="77777777" w:rsidR="00DB7D51" w:rsidRPr="00E95678" w:rsidRDefault="00DB7D51" w:rsidP="00DB7D51">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W takich przypadkach kluczowe znaczenie dla stosowania Reguł GloBE mają zasady przypisywania globalnego podatku wyrównawczego poszczególnym jednostkom dominującym, zgodnie z przypisanym im udziałem procentowym w danej jednostce o niskim poziomie opodatkowania, jak również możliwość pomniejszania podatku jednostki dominującej znajdującej się wyżej w strukturze o podatek jednostki znajdującej się niżej w strukturze (por. dalsza część uzasadnienia). </w:t>
      </w:r>
    </w:p>
    <w:p w14:paraId="24149D5A" w14:textId="77777777" w:rsidR="006C6FE0" w:rsidRPr="00E95678" w:rsidRDefault="006C6FE0" w:rsidP="006C6FE0">
      <w:pPr>
        <w:pStyle w:val="Nagwek4"/>
        <w:rPr>
          <w:rFonts w:ascii="Times New Roman" w:hAnsi="Times New Roman" w:cs="Times New Roman"/>
          <w:sz w:val="24"/>
          <w:szCs w:val="24"/>
        </w:rPr>
      </w:pPr>
      <w:r w:rsidRPr="00E95678">
        <w:rPr>
          <w:rStyle w:val="Nagwek4Znak"/>
          <w:rFonts w:ascii="Times New Roman" w:hAnsi="Times New Roman" w:cs="Times New Roman"/>
          <w:sz w:val="24"/>
          <w:szCs w:val="24"/>
        </w:rPr>
        <w:t>Art. 11-18 [Obliczenie globalnego podatku wyrównawczego – zasady ogólne]</w:t>
      </w:r>
    </w:p>
    <w:p w14:paraId="45E54190" w14:textId="5664D3C6" w:rsidR="006C6FE0" w:rsidRPr="00E95678" w:rsidRDefault="006C6FE0" w:rsidP="006C6FE0">
      <w:pPr>
        <w:spacing w:after="120"/>
        <w:jc w:val="both"/>
        <w:rPr>
          <w:rFonts w:ascii="Times New Roman" w:hAnsi="Times New Roman" w:cs="Times New Roman"/>
          <w:color w:val="2E74B5" w:themeColor="accent1" w:themeShade="BF"/>
          <w:sz w:val="24"/>
          <w:szCs w:val="24"/>
        </w:rPr>
      </w:pPr>
      <w:r w:rsidRPr="00E95678">
        <w:rPr>
          <w:rFonts w:ascii="Times New Roman" w:hAnsi="Times New Roman" w:cs="Times New Roman"/>
          <w:iCs/>
          <w:sz w:val="24"/>
          <w:szCs w:val="24"/>
        </w:rPr>
        <w:t xml:space="preserve">Regulacje </w:t>
      </w:r>
      <w:r w:rsidRPr="00E95678">
        <w:rPr>
          <w:rFonts w:ascii="Times New Roman" w:hAnsi="Times New Roman" w:cs="Times New Roman"/>
          <w:b/>
          <w:bCs/>
          <w:iCs/>
          <w:sz w:val="24"/>
          <w:szCs w:val="24"/>
        </w:rPr>
        <w:t>art. 11-18</w:t>
      </w:r>
      <w:r w:rsidRPr="00E95678">
        <w:rPr>
          <w:rFonts w:ascii="Times New Roman" w:hAnsi="Times New Roman" w:cs="Times New Roman"/>
          <w:iCs/>
          <w:sz w:val="24"/>
          <w:szCs w:val="24"/>
        </w:rPr>
        <w:t xml:space="preserve"> określają zasady obliczania efektywnej stawki podatkowej dla </w:t>
      </w:r>
      <w:r w:rsidR="00965408" w:rsidRPr="00E95678">
        <w:rPr>
          <w:rFonts w:ascii="Times New Roman" w:hAnsi="Times New Roman" w:cs="Times New Roman"/>
          <w:iCs/>
          <w:sz w:val="24"/>
          <w:szCs w:val="24"/>
        </w:rPr>
        <w:t xml:space="preserve">każdej </w:t>
      </w:r>
      <w:r w:rsidR="00965408" w:rsidRPr="00E95678">
        <w:rPr>
          <w:rFonts w:ascii="Times New Roman" w:hAnsi="Times New Roman" w:cs="Times New Roman"/>
          <w:sz w:val="24"/>
          <w:szCs w:val="24"/>
        </w:rPr>
        <w:t>jurysdykcji</w:t>
      </w:r>
      <w:r w:rsidRPr="00E95678">
        <w:rPr>
          <w:rFonts w:ascii="Times New Roman" w:hAnsi="Times New Roman" w:cs="Times New Roman"/>
          <w:iCs/>
          <w:sz w:val="24"/>
          <w:szCs w:val="24"/>
        </w:rPr>
        <w:t>, w </w:t>
      </w:r>
      <w:r w:rsidR="00965408" w:rsidRPr="00E95678">
        <w:rPr>
          <w:rFonts w:ascii="Times New Roman" w:hAnsi="Times New Roman" w:cs="Times New Roman"/>
          <w:iCs/>
          <w:sz w:val="24"/>
          <w:szCs w:val="24"/>
        </w:rPr>
        <w:t xml:space="preserve">której </w:t>
      </w:r>
      <w:r w:rsidRPr="00E95678">
        <w:rPr>
          <w:rFonts w:ascii="Times New Roman" w:hAnsi="Times New Roman" w:cs="Times New Roman"/>
          <w:iCs/>
          <w:sz w:val="24"/>
          <w:szCs w:val="24"/>
        </w:rPr>
        <w:t xml:space="preserve">działają grupy międzynarodowe i w </w:t>
      </w:r>
      <w:r w:rsidR="00965408" w:rsidRPr="00E95678">
        <w:rPr>
          <w:rFonts w:ascii="Times New Roman" w:hAnsi="Times New Roman" w:cs="Times New Roman"/>
          <w:iCs/>
          <w:sz w:val="24"/>
          <w:szCs w:val="24"/>
        </w:rPr>
        <w:t xml:space="preserve">której </w:t>
      </w:r>
      <w:r w:rsidRPr="00E95678">
        <w:rPr>
          <w:rFonts w:ascii="Times New Roman" w:hAnsi="Times New Roman" w:cs="Times New Roman"/>
          <w:iCs/>
          <w:sz w:val="24"/>
          <w:szCs w:val="24"/>
        </w:rPr>
        <w:t>są zlokalizowane ich jednostki składowe, oraz zasady obliczenia globalnego podatku wyrównawczego dla nisko opodatkowanych jednostek składowych.</w:t>
      </w:r>
    </w:p>
    <w:p w14:paraId="0711102D" w14:textId="77777777" w:rsidR="006C6FE0" w:rsidRPr="00E95678" w:rsidRDefault="006C6FE0" w:rsidP="006C6FE0">
      <w:pPr>
        <w:pStyle w:val="Nagwek5"/>
        <w:rPr>
          <w:rFonts w:ascii="Times New Roman" w:hAnsi="Times New Roman" w:cs="Times New Roman"/>
          <w:sz w:val="24"/>
          <w:szCs w:val="24"/>
        </w:rPr>
      </w:pPr>
      <w:r w:rsidRPr="00E95678">
        <w:rPr>
          <w:rFonts w:ascii="Times New Roman" w:hAnsi="Times New Roman" w:cs="Times New Roman"/>
          <w:sz w:val="24"/>
          <w:szCs w:val="24"/>
        </w:rPr>
        <w:t>Art. 11 [Jurysdykcyjny kwalifikowany dochód (strata) netto i efektywna stawka podatkowa]</w:t>
      </w:r>
    </w:p>
    <w:p w14:paraId="34A6402D" w14:textId="3BD99097" w:rsidR="006C6FE0" w:rsidRPr="00E95678" w:rsidRDefault="004165B0" w:rsidP="006C6FE0">
      <w:pPr>
        <w:spacing w:after="120"/>
        <w:jc w:val="both"/>
        <w:rPr>
          <w:rFonts w:ascii="Times New Roman" w:hAnsi="Times New Roman" w:cs="Times New Roman"/>
          <w:b/>
          <w:sz w:val="24"/>
          <w:szCs w:val="24"/>
        </w:rPr>
      </w:pPr>
      <w:r w:rsidRPr="00E95678">
        <w:rPr>
          <w:rFonts w:ascii="Times New Roman" w:hAnsi="Times New Roman" w:cs="Times New Roman"/>
          <w:b/>
          <w:sz w:val="24"/>
          <w:szCs w:val="24"/>
        </w:rPr>
        <w:t>Zgodnie z a a</w:t>
      </w:r>
      <w:r w:rsidR="006C6FE0" w:rsidRPr="00E95678">
        <w:rPr>
          <w:rFonts w:ascii="Times New Roman" w:hAnsi="Times New Roman" w:cs="Times New Roman"/>
          <w:b/>
          <w:sz w:val="24"/>
          <w:szCs w:val="24"/>
        </w:rPr>
        <w:t xml:space="preserve">rt. 11 ust. 1 </w:t>
      </w:r>
      <w:r w:rsidRPr="00E95678">
        <w:rPr>
          <w:rFonts w:ascii="Times New Roman" w:hAnsi="Times New Roman" w:cs="Times New Roman"/>
          <w:bCs/>
          <w:sz w:val="24"/>
          <w:szCs w:val="24"/>
        </w:rPr>
        <w:t>w pierwszym kroku podatnik globalnego podatku wyrównawczego jest zobowiązany do ustalenia</w:t>
      </w:r>
      <w:r w:rsidRPr="00E95678">
        <w:rPr>
          <w:rStyle w:val="Odwoaniedokomentarza"/>
          <w:rFonts w:ascii="Times New Roman" w:hAnsi="Times New Roman" w:cs="Times New Roman"/>
          <w:sz w:val="24"/>
          <w:szCs w:val="24"/>
        </w:rPr>
        <w:t>, czy jednostki składowe, w których posiada bezpośrednio lub pośrednio udział</w:t>
      </w:r>
      <w:r w:rsidR="004950BA" w:rsidRPr="00E95678">
        <w:rPr>
          <w:rStyle w:val="Odwoaniedokomentarza"/>
          <w:rFonts w:ascii="Times New Roman" w:hAnsi="Times New Roman" w:cs="Times New Roman"/>
          <w:sz w:val="24"/>
          <w:szCs w:val="24"/>
        </w:rPr>
        <w:t>y własnościowe</w:t>
      </w:r>
      <w:r w:rsidRPr="00E95678">
        <w:rPr>
          <w:rStyle w:val="Odwoaniedokomentarza"/>
          <w:rFonts w:ascii="Times New Roman" w:hAnsi="Times New Roman" w:cs="Times New Roman"/>
          <w:sz w:val="24"/>
          <w:szCs w:val="24"/>
        </w:rPr>
        <w:t>, stanowią nisko opodatkowane jednostki składowe.</w:t>
      </w:r>
    </w:p>
    <w:p w14:paraId="68F8D02B" w14:textId="0B30AB98" w:rsidR="006C6FE0" w:rsidRPr="00E95678" w:rsidRDefault="006C6FE0" w:rsidP="006C6FE0">
      <w:pPr>
        <w:spacing w:after="120"/>
        <w:jc w:val="both"/>
        <w:rPr>
          <w:rFonts w:ascii="Times New Roman" w:hAnsi="Times New Roman" w:cs="Times New Roman"/>
          <w:sz w:val="24"/>
          <w:szCs w:val="24"/>
        </w:rPr>
      </w:pPr>
      <w:r w:rsidRPr="00E95678">
        <w:rPr>
          <w:rFonts w:ascii="Times New Roman" w:hAnsi="Times New Roman" w:cs="Times New Roman"/>
          <w:b/>
          <w:bCs/>
          <w:sz w:val="24"/>
          <w:szCs w:val="24"/>
        </w:rPr>
        <w:t>Art. 11 ust. 2</w:t>
      </w:r>
      <w:r w:rsidRPr="00E95678">
        <w:rPr>
          <w:rFonts w:ascii="Times New Roman" w:hAnsi="Times New Roman" w:cs="Times New Roman"/>
          <w:sz w:val="24"/>
          <w:szCs w:val="24"/>
        </w:rPr>
        <w:t xml:space="preserve"> odpowiednio zawiera definicję „</w:t>
      </w:r>
      <w:r w:rsidRPr="00E95678">
        <w:rPr>
          <w:rFonts w:ascii="Times New Roman" w:hAnsi="Times New Roman" w:cs="Times New Roman"/>
          <w:b/>
          <w:bCs/>
          <w:sz w:val="24"/>
          <w:szCs w:val="24"/>
        </w:rPr>
        <w:t>n</w:t>
      </w:r>
      <w:r w:rsidRPr="00E95678">
        <w:rPr>
          <w:rFonts w:ascii="Times New Roman" w:hAnsi="Times New Roman" w:cs="Times New Roman"/>
          <w:b/>
          <w:sz w:val="24"/>
          <w:szCs w:val="24"/>
        </w:rPr>
        <w:t>isko opodatkowanej jednostki składowej</w:t>
      </w:r>
      <w:r w:rsidRPr="00E95678">
        <w:rPr>
          <w:rFonts w:ascii="Times New Roman" w:hAnsi="Times New Roman" w:cs="Times New Roman"/>
          <w:sz w:val="24"/>
          <w:szCs w:val="24"/>
        </w:rPr>
        <w:t xml:space="preserve">” (ang. </w:t>
      </w:r>
      <w:r w:rsidRPr="00E95678">
        <w:rPr>
          <w:rFonts w:ascii="Times New Roman" w:hAnsi="Times New Roman" w:cs="Times New Roman"/>
          <w:i/>
          <w:sz w:val="24"/>
          <w:szCs w:val="24"/>
        </w:rPr>
        <w:t>low-taxed constituent entity</w:t>
      </w:r>
      <w:r w:rsidRPr="00E95678">
        <w:rPr>
          <w:rFonts w:ascii="Times New Roman" w:hAnsi="Times New Roman" w:cs="Times New Roman"/>
          <w:i/>
          <w:iCs/>
          <w:sz w:val="24"/>
          <w:szCs w:val="24"/>
        </w:rPr>
        <w:t>; LTCE</w:t>
      </w:r>
      <w:r w:rsidRPr="00E95678">
        <w:rPr>
          <w:rFonts w:ascii="Times New Roman" w:hAnsi="Times New Roman" w:cs="Times New Roman"/>
          <w:sz w:val="24"/>
          <w:szCs w:val="24"/>
        </w:rPr>
        <w:t xml:space="preserve">). Po pierwsze, jako nisko opodatkowaną jednostkę składową  należy rozumieć </w:t>
      </w:r>
      <w:r w:rsidRPr="00E95678">
        <w:rPr>
          <w:rFonts w:ascii="Times New Roman" w:hAnsi="Times New Roman" w:cs="Times New Roman"/>
          <w:b/>
          <w:bCs/>
          <w:sz w:val="24"/>
          <w:szCs w:val="24"/>
        </w:rPr>
        <w:t xml:space="preserve">jednostkę składową grupy, zlokalizowaną w </w:t>
      </w:r>
      <w:r w:rsidR="00965408" w:rsidRPr="00E95678">
        <w:rPr>
          <w:rFonts w:ascii="Times New Roman" w:hAnsi="Times New Roman" w:cs="Times New Roman"/>
          <w:b/>
          <w:bCs/>
          <w:sz w:val="24"/>
          <w:szCs w:val="24"/>
        </w:rPr>
        <w:t xml:space="preserve">jurysdykcji </w:t>
      </w:r>
      <w:r w:rsidRPr="00E95678">
        <w:rPr>
          <w:rFonts w:ascii="Times New Roman" w:hAnsi="Times New Roman" w:cs="Times New Roman"/>
          <w:b/>
          <w:bCs/>
          <w:sz w:val="24"/>
          <w:szCs w:val="24"/>
        </w:rPr>
        <w:t>o niskim poziomie opodatkowania</w:t>
      </w:r>
      <w:r w:rsidRPr="00E95678">
        <w:rPr>
          <w:rFonts w:ascii="Times New Roman" w:hAnsi="Times New Roman" w:cs="Times New Roman"/>
          <w:sz w:val="24"/>
          <w:szCs w:val="24"/>
        </w:rPr>
        <w:t xml:space="preserve">, o którym mowa w </w:t>
      </w:r>
      <w:r w:rsidRPr="00E95678">
        <w:rPr>
          <w:rFonts w:ascii="Times New Roman" w:hAnsi="Times New Roman" w:cs="Times New Roman"/>
          <w:b/>
          <w:bCs/>
          <w:sz w:val="24"/>
          <w:szCs w:val="24"/>
        </w:rPr>
        <w:t xml:space="preserve">ust. 3 </w:t>
      </w:r>
      <w:r w:rsidRPr="00E95678">
        <w:rPr>
          <w:rFonts w:ascii="Times New Roman" w:hAnsi="Times New Roman" w:cs="Times New Roman"/>
          <w:sz w:val="24"/>
          <w:szCs w:val="24"/>
        </w:rPr>
        <w:t>tego przepisu.</w:t>
      </w:r>
    </w:p>
    <w:p w14:paraId="2C56E8F3" w14:textId="77777777" w:rsidR="006C6FE0" w:rsidRPr="00E95678" w:rsidRDefault="006C6FE0" w:rsidP="006C6FE0">
      <w:pPr>
        <w:spacing w:after="120"/>
        <w:jc w:val="both"/>
        <w:rPr>
          <w:rFonts w:ascii="Times New Roman" w:hAnsi="Times New Roman" w:cs="Times New Roman"/>
          <w:sz w:val="24"/>
          <w:szCs w:val="24"/>
        </w:rPr>
      </w:pPr>
      <w:r w:rsidRPr="00E95678">
        <w:rPr>
          <w:rFonts w:ascii="Times New Roman" w:hAnsi="Times New Roman" w:cs="Times New Roman"/>
          <w:sz w:val="24"/>
          <w:szCs w:val="24"/>
        </w:rPr>
        <w:t>Ponadto, taką jednostką jest:</w:t>
      </w:r>
    </w:p>
    <w:p w14:paraId="1D337843" w14:textId="77777777" w:rsidR="006C6FE0" w:rsidRPr="00E95678" w:rsidRDefault="006C6FE0" w:rsidP="006C6FE0">
      <w:pPr>
        <w:pStyle w:val="Akapitzlist"/>
        <w:numPr>
          <w:ilvl w:val="0"/>
          <w:numId w:val="12"/>
        </w:numPr>
        <w:spacing w:after="120"/>
        <w:ind w:left="765" w:hanging="357"/>
        <w:contextualSpacing w:val="0"/>
        <w:jc w:val="both"/>
        <w:rPr>
          <w:rFonts w:ascii="Times New Roman" w:hAnsi="Times New Roman" w:cs="Times New Roman"/>
          <w:sz w:val="24"/>
          <w:szCs w:val="24"/>
        </w:rPr>
      </w:pPr>
      <w:r w:rsidRPr="00E95678">
        <w:rPr>
          <w:rFonts w:ascii="Times New Roman" w:hAnsi="Times New Roman" w:cs="Times New Roman"/>
          <w:sz w:val="24"/>
          <w:szCs w:val="24"/>
        </w:rPr>
        <w:lastRenderedPageBreak/>
        <w:t>bezpaństwowa jednostka składowa, która za dany rok podatkowy osiągnęła dochód kwalifikowany, a jej efektywna stawka podatkowa jest niższa niż 15% lub</w:t>
      </w:r>
    </w:p>
    <w:p w14:paraId="5A996ED7" w14:textId="77777777" w:rsidR="006C6FE0" w:rsidRPr="00E95678" w:rsidRDefault="006C6FE0" w:rsidP="006C6FE0">
      <w:pPr>
        <w:pStyle w:val="Akapitzlist"/>
        <w:numPr>
          <w:ilvl w:val="0"/>
          <w:numId w:val="12"/>
        </w:numPr>
        <w:spacing w:after="120"/>
        <w:ind w:left="765" w:hanging="357"/>
        <w:contextualSpacing w:val="0"/>
        <w:jc w:val="both"/>
        <w:rPr>
          <w:rFonts w:ascii="Times New Roman" w:hAnsi="Times New Roman" w:cs="Times New Roman"/>
          <w:sz w:val="24"/>
          <w:szCs w:val="24"/>
        </w:rPr>
      </w:pPr>
      <w:r w:rsidRPr="00E95678">
        <w:rPr>
          <w:rFonts w:ascii="Times New Roman" w:hAnsi="Times New Roman" w:cs="Times New Roman"/>
          <w:sz w:val="24"/>
          <w:szCs w:val="24"/>
        </w:rPr>
        <w:t>jednostka składowa, w danym roku podatkowym, jeżeli jednostce tej przydzielono za ten rok dodatkowy podatek wyrównawczy, w związku z koniecznością dokonania korekt za lata poprzednie.</w:t>
      </w:r>
    </w:p>
    <w:p w14:paraId="4B3E1967" w14:textId="4931959F" w:rsidR="006C6FE0" w:rsidRPr="00E95678" w:rsidRDefault="006C6FE0" w:rsidP="006C6FE0">
      <w:pPr>
        <w:spacing w:after="120"/>
        <w:jc w:val="both"/>
        <w:rPr>
          <w:rFonts w:ascii="Times New Roman" w:hAnsi="Times New Roman" w:cs="Times New Roman"/>
          <w:sz w:val="24"/>
          <w:szCs w:val="24"/>
        </w:rPr>
      </w:pPr>
      <w:r w:rsidRPr="00E95678">
        <w:rPr>
          <w:rFonts w:ascii="Times New Roman" w:hAnsi="Times New Roman" w:cs="Times New Roman"/>
          <w:sz w:val="24"/>
          <w:szCs w:val="24"/>
        </w:rPr>
        <w:t>Kluczowym pojęciem w zakresie obliczenia globalnego podatku wyrównawczego jest „</w:t>
      </w:r>
      <w:r w:rsidR="00965408" w:rsidRPr="00E95678">
        <w:rPr>
          <w:rFonts w:ascii="Times New Roman" w:hAnsi="Times New Roman" w:cs="Times New Roman"/>
          <w:b/>
          <w:bCs/>
          <w:sz w:val="24"/>
          <w:szCs w:val="24"/>
        </w:rPr>
        <w:t>jurysdykcja</w:t>
      </w:r>
      <w:r w:rsidRPr="00E95678">
        <w:rPr>
          <w:rFonts w:ascii="Times New Roman" w:hAnsi="Times New Roman" w:cs="Times New Roman"/>
          <w:b/>
          <w:bCs/>
          <w:sz w:val="24"/>
          <w:szCs w:val="24"/>
        </w:rPr>
        <w:t xml:space="preserve"> o niskim poziomie opodatkowania</w:t>
      </w:r>
      <w:r w:rsidRPr="00E95678">
        <w:rPr>
          <w:rFonts w:ascii="Times New Roman" w:hAnsi="Times New Roman" w:cs="Times New Roman"/>
          <w:sz w:val="24"/>
          <w:szCs w:val="24"/>
        </w:rPr>
        <w:t xml:space="preserve">”, zdefiniowane w </w:t>
      </w:r>
      <w:r w:rsidRPr="00E95678">
        <w:rPr>
          <w:rFonts w:ascii="Times New Roman" w:hAnsi="Times New Roman" w:cs="Times New Roman"/>
          <w:b/>
          <w:bCs/>
          <w:sz w:val="24"/>
          <w:szCs w:val="24"/>
        </w:rPr>
        <w:t>ust. 3</w:t>
      </w:r>
      <w:r w:rsidRPr="00E95678">
        <w:rPr>
          <w:rFonts w:ascii="Times New Roman" w:hAnsi="Times New Roman" w:cs="Times New Roman"/>
          <w:sz w:val="24"/>
          <w:szCs w:val="24"/>
        </w:rPr>
        <w:t xml:space="preserve">, który implementuje w tym zakresie art. 3.35 Dyrektywy. Zgodnie z tą definicją pojęcie to oznacza </w:t>
      </w:r>
      <w:r w:rsidR="00965408" w:rsidRPr="00E95678">
        <w:rPr>
          <w:rFonts w:ascii="Times New Roman" w:hAnsi="Times New Roman" w:cs="Times New Roman"/>
          <w:sz w:val="24"/>
          <w:szCs w:val="24"/>
        </w:rPr>
        <w:t>jurysdykcję</w:t>
      </w:r>
      <w:r w:rsidRPr="00E95678">
        <w:rPr>
          <w:rFonts w:ascii="Times New Roman" w:hAnsi="Times New Roman" w:cs="Times New Roman"/>
          <w:sz w:val="24"/>
          <w:szCs w:val="24"/>
        </w:rPr>
        <w:t xml:space="preserve">, w </w:t>
      </w:r>
      <w:r w:rsidR="00965408" w:rsidRPr="00E95678">
        <w:rPr>
          <w:rFonts w:ascii="Times New Roman" w:hAnsi="Times New Roman" w:cs="Times New Roman"/>
          <w:sz w:val="24"/>
          <w:szCs w:val="24"/>
        </w:rPr>
        <w:t xml:space="preserve">której </w:t>
      </w:r>
      <w:r w:rsidRPr="00E95678">
        <w:rPr>
          <w:rFonts w:ascii="Times New Roman" w:hAnsi="Times New Roman" w:cs="Times New Roman"/>
          <w:sz w:val="24"/>
          <w:szCs w:val="24"/>
        </w:rPr>
        <w:t>grupa osiągnęła jurysdykcyjny kwalifikowany dochód oraz efektywna stawka podatkowa jest niższa od minimalnej stawki podatkowej (15%).</w:t>
      </w:r>
      <w:r w:rsidR="00CB312C" w:rsidRPr="00E95678">
        <w:rPr>
          <w:rFonts w:ascii="Times New Roman" w:hAnsi="Times New Roman" w:cs="Times New Roman"/>
          <w:sz w:val="24"/>
          <w:szCs w:val="24"/>
        </w:rPr>
        <w:t xml:space="preserve"> Tym samym, z art. 11 ust. 3 wynika wprost, że </w:t>
      </w:r>
      <w:r w:rsidR="00CB312C" w:rsidRPr="00E95678">
        <w:rPr>
          <w:rFonts w:ascii="Times New Roman" w:hAnsi="Times New Roman" w:cs="Times New Roman"/>
          <w:sz w:val="24"/>
          <w:szCs w:val="24"/>
          <w:u w:val="single"/>
        </w:rPr>
        <w:t>osiągnięcie jurysdykcyjnej kwalifikowanej straty netto oznacza brak uznania dane</w:t>
      </w:r>
      <w:r w:rsidR="00965408" w:rsidRPr="00E95678">
        <w:rPr>
          <w:rFonts w:ascii="Times New Roman" w:hAnsi="Times New Roman" w:cs="Times New Roman"/>
          <w:sz w:val="24"/>
          <w:szCs w:val="24"/>
          <w:u w:val="single"/>
        </w:rPr>
        <w:t>j</w:t>
      </w:r>
      <w:r w:rsidR="00CB312C" w:rsidRPr="00E95678">
        <w:rPr>
          <w:rFonts w:ascii="Times New Roman" w:hAnsi="Times New Roman" w:cs="Times New Roman"/>
          <w:sz w:val="24"/>
          <w:szCs w:val="24"/>
          <w:u w:val="single"/>
        </w:rPr>
        <w:t xml:space="preserve"> </w:t>
      </w:r>
      <w:r w:rsidR="00965408" w:rsidRPr="00E95678">
        <w:rPr>
          <w:rFonts w:ascii="Times New Roman" w:hAnsi="Times New Roman" w:cs="Times New Roman"/>
          <w:sz w:val="24"/>
          <w:szCs w:val="24"/>
          <w:u w:val="single"/>
        </w:rPr>
        <w:t xml:space="preserve">jurysdykcji </w:t>
      </w:r>
      <w:r w:rsidR="00CB312C" w:rsidRPr="00E95678">
        <w:rPr>
          <w:rFonts w:ascii="Times New Roman" w:hAnsi="Times New Roman" w:cs="Times New Roman"/>
          <w:sz w:val="24"/>
          <w:szCs w:val="24"/>
          <w:u w:val="single"/>
        </w:rPr>
        <w:t xml:space="preserve">za </w:t>
      </w:r>
      <w:r w:rsidR="00965408" w:rsidRPr="00E95678">
        <w:rPr>
          <w:rFonts w:ascii="Times New Roman" w:hAnsi="Times New Roman" w:cs="Times New Roman"/>
          <w:sz w:val="24"/>
          <w:szCs w:val="24"/>
          <w:u w:val="single"/>
        </w:rPr>
        <w:t xml:space="preserve">jurysdykcję </w:t>
      </w:r>
      <w:r w:rsidR="00CB312C" w:rsidRPr="00E95678">
        <w:rPr>
          <w:rFonts w:ascii="Times New Roman" w:hAnsi="Times New Roman" w:cs="Times New Roman"/>
          <w:sz w:val="24"/>
          <w:szCs w:val="24"/>
          <w:u w:val="single"/>
        </w:rPr>
        <w:t>o niskim poziomie opodatkowania.</w:t>
      </w:r>
    </w:p>
    <w:p w14:paraId="28616274" w14:textId="30F36FEF" w:rsidR="006C6FE0" w:rsidRPr="00E95678" w:rsidRDefault="006C6FE0" w:rsidP="006C6FE0">
      <w:pPr>
        <w:spacing w:after="120"/>
        <w:jc w:val="both"/>
        <w:rPr>
          <w:rFonts w:ascii="Times New Roman" w:hAnsi="Times New Roman" w:cs="Times New Roman"/>
          <w:sz w:val="24"/>
          <w:szCs w:val="24"/>
        </w:rPr>
      </w:pPr>
      <w:r w:rsidRPr="00E95678">
        <w:rPr>
          <w:rFonts w:ascii="Times New Roman" w:hAnsi="Times New Roman" w:cs="Times New Roman"/>
          <w:sz w:val="24"/>
          <w:szCs w:val="24"/>
        </w:rPr>
        <w:t xml:space="preserve">Aby ustalić, czy </w:t>
      </w:r>
      <w:r w:rsidR="00965408" w:rsidRPr="00E95678">
        <w:rPr>
          <w:rFonts w:ascii="Times New Roman" w:hAnsi="Times New Roman" w:cs="Times New Roman"/>
          <w:sz w:val="24"/>
          <w:szCs w:val="24"/>
        </w:rPr>
        <w:t xml:space="preserve">dana jurysdykcja </w:t>
      </w:r>
      <w:r w:rsidRPr="00E95678">
        <w:rPr>
          <w:rFonts w:ascii="Times New Roman" w:hAnsi="Times New Roman" w:cs="Times New Roman"/>
          <w:sz w:val="24"/>
          <w:szCs w:val="24"/>
        </w:rPr>
        <w:t xml:space="preserve">jest </w:t>
      </w:r>
      <w:r w:rsidR="00965408" w:rsidRPr="00E95678">
        <w:rPr>
          <w:rFonts w:ascii="Times New Roman" w:hAnsi="Times New Roman" w:cs="Times New Roman"/>
          <w:sz w:val="24"/>
          <w:szCs w:val="24"/>
        </w:rPr>
        <w:t xml:space="preserve">jurysdykcją </w:t>
      </w:r>
      <w:r w:rsidRPr="00E95678">
        <w:rPr>
          <w:rFonts w:ascii="Times New Roman" w:hAnsi="Times New Roman" w:cs="Times New Roman"/>
          <w:sz w:val="24"/>
          <w:szCs w:val="24"/>
        </w:rPr>
        <w:t xml:space="preserve">o niskim poziomie opodatkowania, jednostka dominująca będąca podatnikiem globalnego podatku wyrównawczego zobowiązana jest wykonać tzw. </w:t>
      </w:r>
      <w:r w:rsidRPr="00E95678">
        <w:rPr>
          <w:rFonts w:ascii="Times New Roman" w:hAnsi="Times New Roman" w:cs="Times New Roman"/>
          <w:b/>
          <w:bCs/>
          <w:sz w:val="24"/>
          <w:szCs w:val="24"/>
        </w:rPr>
        <w:t>test efektywnej stawki podatkowej</w:t>
      </w:r>
      <w:r w:rsidRPr="00E95678">
        <w:rPr>
          <w:rFonts w:ascii="Times New Roman" w:hAnsi="Times New Roman" w:cs="Times New Roman"/>
          <w:sz w:val="24"/>
          <w:szCs w:val="24"/>
        </w:rPr>
        <w:t>.</w:t>
      </w:r>
    </w:p>
    <w:p w14:paraId="3B0AD468" w14:textId="77777777"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W celu obliczenia efektywnej stawki podatkowej, zgodnie z </w:t>
      </w:r>
      <w:r w:rsidRPr="00E95678">
        <w:rPr>
          <w:rFonts w:ascii="Times New Roman" w:hAnsi="Times New Roman" w:cs="Times New Roman"/>
          <w:b/>
          <w:bCs/>
          <w:iCs/>
          <w:sz w:val="24"/>
          <w:szCs w:val="24"/>
        </w:rPr>
        <w:t>art. 11 ust. 6 pkt 1</w:t>
      </w:r>
      <w:r w:rsidRPr="00E95678">
        <w:rPr>
          <w:rFonts w:ascii="Times New Roman" w:hAnsi="Times New Roman" w:cs="Times New Roman"/>
          <w:iCs/>
          <w:sz w:val="24"/>
          <w:szCs w:val="24"/>
        </w:rPr>
        <w:t xml:space="preserve"> podatnik musi w pierwszej kolejności ustalić wysokość kwalifikowanego dochodu (straty) oraz skorygowanych podatków kwalifikowanych za rok podatkowy, określonych zgodnie z przepisami ustawy, w szczególności zgodnie z zasadami zawartymi w </w:t>
      </w:r>
      <w:r w:rsidRPr="00E95678">
        <w:rPr>
          <w:rFonts w:ascii="Times New Roman" w:hAnsi="Times New Roman" w:cs="Times New Roman"/>
          <w:b/>
          <w:bCs/>
          <w:iCs/>
          <w:sz w:val="24"/>
          <w:szCs w:val="24"/>
        </w:rPr>
        <w:t>dziale V</w:t>
      </w:r>
      <w:r w:rsidRPr="00E95678">
        <w:rPr>
          <w:rFonts w:ascii="Times New Roman" w:hAnsi="Times New Roman" w:cs="Times New Roman"/>
          <w:iCs/>
          <w:sz w:val="24"/>
          <w:szCs w:val="24"/>
        </w:rPr>
        <w:t xml:space="preserve">. Wartości te oblicza się </w:t>
      </w:r>
      <w:r w:rsidRPr="00E95678">
        <w:rPr>
          <w:rFonts w:ascii="Times New Roman" w:hAnsi="Times New Roman" w:cs="Times New Roman"/>
          <w:b/>
          <w:bCs/>
          <w:iCs/>
          <w:sz w:val="24"/>
          <w:szCs w:val="24"/>
        </w:rPr>
        <w:t>dla każdej jednostki składowej</w:t>
      </w:r>
      <w:r w:rsidRPr="00E95678">
        <w:rPr>
          <w:rFonts w:ascii="Times New Roman" w:hAnsi="Times New Roman" w:cs="Times New Roman"/>
          <w:iCs/>
          <w:sz w:val="24"/>
          <w:szCs w:val="24"/>
          <w:vertAlign w:val="superscript"/>
        </w:rPr>
        <w:footnoteReference w:id="71"/>
      </w:r>
      <w:r w:rsidRPr="00E95678">
        <w:rPr>
          <w:rFonts w:ascii="Times New Roman" w:hAnsi="Times New Roman" w:cs="Times New Roman"/>
          <w:b/>
          <w:bCs/>
          <w:iCs/>
          <w:sz w:val="24"/>
          <w:szCs w:val="24"/>
        </w:rPr>
        <w:t>, w której podatnik posiada bezpośrednio lub pośrednio udział własnościowy</w:t>
      </w:r>
      <w:r w:rsidRPr="00E95678">
        <w:rPr>
          <w:rFonts w:ascii="Times New Roman" w:hAnsi="Times New Roman" w:cs="Times New Roman"/>
          <w:iCs/>
          <w:sz w:val="24"/>
          <w:szCs w:val="24"/>
        </w:rPr>
        <w:t xml:space="preserve">. </w:t>
      </w:r>
    </w:p>
    <w:p w14:paraId="29837293" w14:textId="604D3702" w:rsidR="006C6FE0" w:rsidRPr="00E95678" w:rsidRDefault="006C6FE0" w:rsidP="006C6FE0">
      <w:pPr>
        <w:spacing w:after="120"/>
        <w:jc w:val="both"/>
        <w:rPr>
          <w:rFonts w:ascii="Times New Roman" w:hAnsi="Times New Roman" w:cs="Times New Roman"/>
          <w:b/>
          <w:bCs/>
          <w:iCs/>
          <w:sz w:val="24"/>
          <w:szCs w:val="24"/>
        </w:rPr>
      </w:pPr>
      <w:r w:rsidRPr="00E95678">
        <w:rPr>
          <w:rFonts w:ascii="Times New Roman" w:hAnsi="Times New Roman" w:cs="Times New Roman"/>
          <w:iCs/>
          <w:sz w:val="24"/>
          <w:szCs w:val="24"/>
        </w:rPr>
        <w:t xml:space="preserve">Kolejnym krokiem, zgodnie z </w:t>
      </w:r>
      <w:r w:rsidRPr="00E95678">
        <w:rPr>
          <w:rFonts w:ascii="Times New Roman" w:hAnsi="Times New Roman" w:cs="Times New Roman"/>
          <w:b/>
          <w:bCs/>
          <w:iCs/>
          <w:sz w:val="24"/>
          <w:szCs w:val="24"/>
        </w:rPr>
        <w:t>art. 11 ust.</w:t>
      </w:r>
      <w:r w:rsidRPr="00E95678">
        <w:rPr>
          <w:rFonts w:ascii="Times New Roman" w:hAnsi="Times New Roman" w:cs="Times New Roman"/>
          <w:b/>
          <w:iCs/>
          <w:sz w:val="24"/>
          <w:szCs w:val="24"/>
        </w:rPr>
        <w:t xml:space="preserve"> 6 pkt 2</w:t>
      </w:r>
      <w:r w:rsidRPr="00E95678">
        <w:rPr>
          <w:rFonts w:ascii="Times New Roman" w:hAnsi="Times New Roman" w:cs="Times New Roman"/>
          <w:iCs/>
          <w:sz w:val="24"/>
          <w:szCs w:val="24"/>
        </w:rPr>
        <w:t xml:space="preserve">, jest obliczenie - </w:t>
      </w:r>
      <w:r w:rsidRPr="00E95678">
        <w:rPr>
          <w:rFonts w:ascii="Times New Roman" w:hAnsi="Times New Roman" w:cs="Times New Roman"/>
          <w:b/>
          <w:bCs/>
          <w:iCs/>
          <w:sz w:val="24"/>
          <w:szCs w:val="24"/>
        </w:rPr>
        <w:t xml:space="preserve">dla </w:t>
      </w:r>
      <w:r w:rsidR="00965408" w:rsidRPr="00E95678">
        <w:rPr>
          <w:rFonts w:ascii="Times New Roman" w:hAnsi="Times New Roman" w:cs="Times New Roman"/>
          <w:b/>
          <w:bCs/>
          <w:iCs/>
          <w:sz w:val="24"/>
          <w:szCs w:val="24"/>
        </w:rPr>
        <w:t>każdej jurysdykcji</w:t>
      </w:r>
      <w:r w:rsidRPr="00E95678">
        <w:rPr>
          <w:rFonts w:ascii="Times New Roman" w:hAnsi="Times New Roman" w:cs="Times New Roman"/>
          <w:b/>
          <w:bCs/>
          <w:iCs/>
          <w:sz w:val="24"/>
          <w:szCs w:val="24"/>
        </w:rPr>
        <w:t xml:space="preserve">, w </w:t>
      </w:r>
      <w:r w:rsidR="00965408" w:rsidRPr="00E95678">
        <w:rPr>
          <w:rFonts w:ascii="Times New Roman" w:hAnsi="Times New Roman" w:cs="Times New Roman"/>
          <w:b/>
          <w:bCs/>
          <w:iCs/>
          <w:sz w:val="24"/>
          <w:szCs w:val="24"/>
        </w:rPr>
        <w:t xml:space="preserve">której </w:t>
      </w:r>
      <w:r w:rsidRPr="00E95678">
        <w:rPr>
          <w:rFonts w:ascii="Times New Roman" w:eastAsia="Times New Roman" w:hAnsi="Times New Roman" w:cs="Times New Roman"/>
          <w:b/>
          <w:bCs/>
          <w:sz w:val="24"/>
          <w:szCs w:val="24"/>
          <w:lang w:eastAsia="pl-PL"/>
        </w:rPr>
        <w:t xml:space="preserve">jest zlokalizowana </w:t>
      </w:r>
      <w:r w:rsidRPr="00E95678">
        <w:rPr>
          <w:rFonts w:ascii="Times New Roman" w:hAnsi="Times New Roman" w:cs="Times New Roman"/>
          <w:b/>
          <w:bCs/>
          <w:iCs/>
          <w:sz w:val="24"/>
          <w:szCs w:val="24"/>
        </w:rPr>
        <w:t>co najmniej jedna jednostka składowa, o której mowa w pkt 1</w:t>
      </w:r>
      <w:r w:rsidRPr="00E95678">
        <w:rPr>
          <w:rFonts w:ascii="Times New Roman" w:hAnsi="Times New Roman" w:cs="Times New Roman"/>
          <w:iCs/>
          <w:sz w:val="24"/>
          <w:szCs w:val="24"/>
        </w:rPr>
        <w:t xml:space="preserve"> - jurysdykcyjnego kwalifikowanego dochodu (straty) netto oraz efektywnej stawki podatkowej</w:t>
      </w:r>
      <w:r w:rsidRPr="00E95678">
        <w:rPr>
          <w:rFonts w:ascii="Times New Roman" w:hAnsi="Times New Roman" w:cs="Times New Roman"/>
          <w:b/>
          <w:bCs/>
          <w:iCs/>
          <w:sz w:val="24"/>
          <w:szCs w:val="24"/>
        </w:rPr>
        <w:t>.</w:t>
      </w:r>
    </w:p>
    <w:p w14:paraId="32CF2E3F" w14:textId="0B4C97E4"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b/>
          <w:iCs/>
          <w:sz w:val="24"/>
          <w:szCs w:val="24"/>
        </w:rPr>
        <w:t xml:space="preserve">Jurysdykcyjny kwalifikowany dochód (strata) netto </w:t>
      </w:r>
      <w:r w:rsidRPr="00E95678">
        <w:rPr>
          <w:rFonts w:ascii="Times New Roman" w:hAnsi="Times New Roman" w:cs="Times New Roman"/>
          <w:bCs/>
          <w:iCs/>
          <w:sz w:val="24"/>
          <w:szCs w:val="24"/>
        </w:rPr>
        <w:t xml:space="preserve">zdefiniowany jest w </w:t>
      </w:r>
      <w:r w:rsidRPr="00E95678">
        <w:rPr>
          <w:rFonts w:ascii="Times New Roman" w:hAnsi="Times New Roman" w:cs="Times New Roman"/>
          <w:b/>
          <w:iCs/>
          <w:sz w:val="24"/>
          <w:szCs w:val="24"/>
        </w:rPr>
        <w:t>ust. 5</w:t>
      </w:r>
      <w:r w:rsidRPr="00E95678">
        <w:rPr>
          <w:rFonts w:ascii="Times New Roman" w:hAnsi="Times New Roman" w:cs="Times New Roman"/>
          <w:bCs/>
          <w:iCs/>
          <w:sz w:val="24"/>
          <w:szCs w:val="24"/>
        </w:rPr>
        <w:t>.</w:t>
      </w:r>
      <w:r w:rsidRPr="00E95678">
        <w:rPr>
          <w:rFonts w:ascii="Times New Roman" w:hAnsi="Times New Roman" w:cs="Times New Roman"/>
          <w:iCs/>
          <w:sz w:val="24"/>
          <w:szCs w:val="24"/>
        </w:rPr>
        <w:t xml:space="preserve"> Pojęcie to odnosi się, co do zasady, do wszystkich jednostek składowych zlokalizowanych w </w:t>
      </w:r>
      <w:r w:rsidR="00965408" w:rsidRPr="00E95678">
        <w:rPr>
          <w:rFonts w:ascii="Times New Roman" w:hAnsi="Times New Roman" w:cs="Times New Roman"/>
          <w:iCs/>
          <w:sz w:val="24"/>
          <w:szCs w:val="24"/>
        </w:rPr>
        <w:t>danej jurysdykcji</w:t>
      </w:r>
      <w:r w:rsidRPr="00E95678">
        <w:rPr>
          <w:rFonts w:ascii="Times New Roman" w:hAnsi="Times New Roman" w:cs="Times New Roman"/>
          <w:iCs/>
          <w:sz w:val="24"/>
          <w:szCs w:val="24"/>
        </w:rPr>
        <w:t>. Jest to kwota otrzymana przez zsumowanie kwalifikowanego dochodu i odjęcie kwalifikowanych strat wszystkich takich jednostek za rok podatkowy</w:t>
      </w:r>
      <w:r w:rsidRPr="00E95678">
        <w:rPr>
          <w:rStyle w:val="Odwoanieprzypisudolnego"/>
          <w:rFonts w:ascii="Times New Roman" w:hAnsi="Times New Roman" w:cs="Times New Roman"/>
          <w:iCs/>
          <w:sz w:val="24"/>
          <w:szCs w:val="24"/>
        </w:rPr>
        <w:footnoteReference w:id="72"/>
      </w:r>
      <w:r w:rsidRPr="00E95678">
        <w:rPr>
          <w:rFonts w:ascii="Times New Roman" w:hAnsi="Times New Roman" w:cs="Times New Roman"/>
          <w:iCs/>
          <w:sz w:val="24"/>
          <w:szCs w:val="24"/>
        </w:rPr>
        <w:t xml:space="preserve">. </w:t>
      </w:r>
    </w:p>
    <w:p w14:paraId="512DED3E" w14:textId="0DA9BDDE"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Jeżeli suma kwalifikowanych strat tych jednostek przekroczy kwalifikowany dochód jednostek składowych zlokalizowanych w </w:t>
      </w:r>
      <w:r w:rsidR="00965408" w:rsidRPr="00E95678">
        <w:rPr>
          <w:rFonts w:ascii="Times New Roman" w:hAnsi="Times New Roman" w:cs="Times New Roman"/>
          <w:iCs/>
          <w:sz w:val="24"/>
          <w:szCs w:val="24"/>
        </w:rPr>
        <w:t>danej jurysdykcji</w:t>
      </w:r>
      <w:r w:rsidRPr="00E95678">
        <w:rPr>
          <w:rFonts w:ascii="Times New Roman" w:hAnsi="Times New Roman" w:cs="Times New Roman"/>
          <w:iCs/>
          <w:sz w:val="24"/>
          <w:szCs w:val="24"/>
        </w:rPr>
        <w:t xml:space="preserve">, nie wystąpi jurysdykcyjny kwalifikowany dochód netto dla </w:t>
      </w:r>
      <w:r w:rsidR="00965408" w:rsidRPr="00E95678">
        <w:rPr>
          <w:rFonts w:ascii="Times New Roman" w:hAnsi="Times New Roman" w:cs="Times New Roman"/>
          <w:iCs/>
          <w:sz w:val="24"/>
          <w:szCs w:val="24"/>
        </w:rPr>
        <w:t>tej jurysdykcji</w:t>
      </w:r>
      <w:r w:rsidRPr="00E95678">
        <w:rPr>
          <w:rFonts w:ascii="Times New Roman" w:hAnsi="Times New Roman" w:cs="Times New Roman"/>
          <w:iCs/>
          <w:sz w:val="24"/>
          <w:szCs w:val="24"/>
        </w:rPr>
        <w:t xml:space="preserve">, lecz jurysdykcyjna kwalifikowana strata netto. W konsekwencji nie będzie konieczne obliczanie efektywnej stawki podatkowej i nie powstanie dla </w:t>
      </w:r>
      <w:r w:rsidR="00965408" w:rsidRPr="00E95678">
        <w:rPr>
          <w:rFonts w:ascii="Times New Roman" w:hAnsi="Times New Roman" w:cs="Times New Roman"/>
          <w:iCs/>
          <w:sz w:val="24"/>
          <w:szCs w:val="24"/>
        </w:rPr>
        <w:t xml:space="preserve">takiej jurysdykcji </w:t>
      </w:r>
      <w:r w:rsidRPr="00E95678">
        <w:rPr>
          <w:rFonts w:ascii="Times New Roman" w:hAnsi="Times New Roman" w:cs="Times New Roman"/>
          <w:iCs/>
          <w:sz w:val="24"/>
          <w:szCs w:val="24"/>
        </w:rPr>
        <w:t>tzw. jurysdykcyjny globalny podatek wyrównawczy, opisany w dalszej części uzasadnienia.</w:t>
      </w:r>
    </w:p>
    <w:p w14:paraId="69F352DD" w14:textId="5DC75EC0"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lastRenderedPageBreak/>
        <w:t xml:space="preserve">Sposób kalkulacji </w:t>
      </w:r>
      <w:r w:rsidRPr="00E95678">
        <w:rPr>
          <w:rFonts w:ascii="Times New Roman" w:hAnsi="Times New Roman" w:cs="Times New Roman"/>
          <w:b/>
          <w:bCs/>
          <w:iCs/>
          <w:sz w:val="24"/>
          <w:szCs w:val="24"/>
        </w:rPr>
        <w:t>efektywnej stawki podatkowej (ETR)</w:t>
      </w:r>
      <w:r w:rsidRPr="00E95678">
        <w:rPr>
          <w:rFonts w:ascii="Times New Roman" w:hAnsi="Times New Roman" w:cs="Times New Roman"/>
          <w:iCs/>
          <w:sz w:val="24"/>
          <w:szCs w:val="24"/>
        </w:rPr>
        <w:t xml:space="preserve"> na poziomie </w:t>
      </w:r>
      <w:r w:rsidR="00965408" w:rsidRPr="00E95678">
        <w:rPr>
          <w:rFonts w:ascii="Times New Roman" w:hAnsi="Times New Roman" w:cs="Times New Roman"/>
          <w:iCs/>
          <w:sz w:val="24"/>
          <w:szCs w:val="24"/>
        </w:rPr>
        <w:t xml:space="preserve">danej </w:t>
      </w:r>
      <w:r w:rsidR="00965408" w:rsidRPr="00E95678">
        <w:rPr>
          <w:rFonts w:ascii="Times New Roman" w:hAnsi="Times New Roman" w:cs="Times New Roman"/>
          <w:sz w:val="24"/>
          <w:szCs w:val="24"/>
        </w:rPr>
        <w:t xml:space="preserve">jurysdykcji </w:t>
      </w:r>
      <w:r w:rsidRPr="00E95678">
        <w:rPr>
          <w:rFonts w:ascii="Times New Roman" w:hAnsi="Times New Roman" w:cs="Times New Roman"/>
          <w:iCs/>
          <w:sz w:val="24"/>
          <w:szCs w:val="24"/>
        </w:rPr>
        <w:t xml:space="preserve">określa </w:t>
      </w:r>
      <w:r w:rsidRPr="00E95678">
        <w:rPr>
          <w:rFonts w:ascii="Times New Roman" w:hAnsi="Times New Roman" w:cs="Times New Roman"/>
          <w:b/>
          <w:bCs/>
          <w:iCs/>
          <w:sz w:val="24"/>
          <w:szCs w:val="24"/>
        </w:rPr>
        <w:t>us</w:t>
      </w:r>
      <w:r w:rsidRPr="00E95678">
        <w:rPr>
          <w:rFonts w:ascii="Times New Roman" w:hAnsi="Times New Roman" w:cs="Times New Roman"/>
          <w:b/>
          <w:iCs/>
          <w:sz w:val="24"/>
          <w:szCs w:val="24"/>
        </w:rPr>
        <w:t>t. 4</w:t>
      </w:r>
      <w:r w:rsidRPr="00E95678">
        <w:rPr>
          <w:rFonts w:ascii="Times New Roman" w:hAnsi="Times New Roman" w:cs="Times New Roman"/>
          <w:bCs/>
          <w:iCs/>
          <w:sz w:val="24"/>
          <w:szCs w:val="24"/>
        </w:rPr>
        <w:t>, który</w:t>
      </w:r>
      <w:r w:rsidRPr="00E95678">
        <w:rPr>
          <w:rFonts w:ascii="Times New Roman" w:hAnsi="Times New Roman" w:cs="Times New Roman"/>
          <w:b/>
          <w:bCs/>
          <w:iCs/>
          <w:sz w:val="24"/>
          <w:szCs w:val="24"/>
        </w:rPr>
        <w:t xml:space="preserve"> </w:t>
      </w:r>
      <w:r w:rsidRPr="00E95678">
        <w:rPr>
          <w:rFonts w:ascii="Times New Roman" w:hAnsi="Times New Roman" w:cs="Times New Roman"/>
          <w:iCs/>
          <w:sz w:val="24"/>
          <w:szCs w:val="24"/>
        </w:rPr>
        <w:t>stanowi implementację art. 26 oraz art. 27 Dyrektywy. Jest to stawka procentowa</w:t>
      </w:r>
      <w:r w:rsidRPr="00E95678">
        <w:rPr>
          <w:rStyle w:val="Odwoanieprzypisudolnego"/>
          <w:rFonts w:ascii="Times New Roman" w:hAnsi="Times New Roman" w:cs="Times New Roman"/>
          <w:iCs/>
          <w:sz w:val="24"/>
          <w:szCs w:val="24"/>
        </w:rPr>
        <w:footnoteReference w:id="73"/>
      </w:r>
      <w:r w:rsidRPr="00E95678">
        <w:rPr>
          <w:rFonts w:ascii="Times New Roman" w:hAnsi="Times New Roman" w:cs="Times New Roman"/>
          <w:iCs/>
          <w:sz w:val="24"/>
          <w:szCs w:val="24"/>
        </w:rPr>
        <w:t xml:space="preserve"> wyrażona według wzoru, który można przedstawić następująco:</w:t>
      </w:r>
    </w:p>
    <w:p w14:paraId="4E3DC3A4" w14:textId="77777777" w:rsidR="003461F4" w:rsidRPr="003E7A67" w:rsidRDefault="003461F4" w:rsidP="003461F4">
      <w:pPr>
        <w:spacing w:after="120"/>
        <w:jc w:val="both"/>
        <w:rPr>
          <w:rFonts w:eastAsiaTheme="minorEastAsia" w:cstheme="minorHAnsi"/>
          <w:b/>
          <w:bCs/>
          <w:iCs/>
          <w:lang w:val="en-GB"/>
        </w:rPr>
      </w:pPr>
      <m:oMathPara>
        <m:oMathParaPr>
          <m:jc m:val="center"/>
        </m:oMathParaPr>
        <m:oMath>
          <m:r>
            <m:rPr>
              <m:sty m:val="b"/>
            </m:rPr>
            <w:rPr>
              <w:rFonts w:ascii="Cambria Math" w:hAnsi="Cambria Math" w:cstheme="minorHAnsi"/>
              <w:lang w:val="en-GB"/>
            </w:rPr>
            <m:t>Efektywna stawka podatkowa</m:t>
          </m:r>
        </m:oMath>
      </m:oMathPara>
    </w:p>
    <w:p w14:paraId="328740BF" w14:textId="77777777" w:rsidR="003461F4" w:rsidRPr="003E7A67" w:rsidRDefault="003461F4" w:rsidP="003461F4">
      <w:pPr>
        <w:spacing w:after="120"/>
        <w:jc w:val="both"/>
        <w:rPr>
          <w:rFonts w:cstheme="minorHAnsi"/>
          <w:bCs/>
          <w:iCs/>
          <w:lang w:val="en-GB"/>
        </w:rPr>
      </w:pPr>
      <m:oMathPara>
        <m:oMath>
          <m:r>
            <m:rPr>
              <m:sty m:val="p"/>
            </m:rPr>
            <w:rPr>
              <w:rFonts w:ascii="Cambria Math" w:hAnsi="Cambria Math" w:cstheme="minorHAnsi"/>
              <w:lang w:val="en-GB"/>
            </w:rPr>
            <m:t>=</m:t>
          </m:r>
          <m:f>
            <m:fPr>
              <m:ctrlPr>
                <w:rPr>
                  <w:rFonts w:ascii="Cambria Math" w:hAnsi="Cambria Math" w:cstheme="minorHAnsi"/>
                  <w:bCs/>
                  <w:iCs/>
                  <w:lang w:val="en-GB"/>
                </w:rPr>
              </m:ctrlPr>
            </m:fPr>
            <m:num>
              <m:eqArr>
                <m:eqArrPr>
                  <m:ctrlPr>
                    <w:rPr>
                      <w:rFonts w:ascii="Cambria Math" w:hAnsi="Cambria Math" w:cstheme="minorHAnsi"/>
                      <w:bCs/>
                      <w:iCs/>
                      <w:lang w:val="en-GB"/>
                    </w:rPr>
                  </m:ctrlPr>
                </m:eqArrPr>
                <m:e>
                  <m:r>
                    <m:rPr>
                      <m:sty m:val="b"/>
                    </m:rPr>
                    <w:rPr>
                      <w:rFonts w:ascii="Cambria Math" w:hAnsi="Cambria Math" w:cstheme="minorHAnsi"/>
                      <w:lang w:val="en-GB"/>
                    </w:rPr>
                    <m:t xml:space="preserve">suma skorygowanych podatków kwalifikowanych </m:t>
                  </m:r>
                </m:e>
                <m:e>
                  <m:r>
                    <m:rPr>
                      <m:sty m:val="p"/>
                    </m:rPr>
                    <w:rPr>
                      <w:rFonts w:ascii="Cambria Math" w:hAnsi="Cambria Math" w:cstheme="minorHAnsi"/>
                      <w:lang w:val="en-GB"/>
                    </w:rPr>
                    <m:t xml:space="preserve">wszystkich jednostek składowych zlokalizowanych w danej jurysdykcji </m:t>
                  </m:r>
                </m:e>
              </m:eqArr>
            </m:num>
            <m:den>
              <m:eqArr>
                <m:eqArrPr>
                  <m:ctrlPr>
                    <w:rPr>
                      <w:rFonts w:ascii="Cambria Math" w:hAnsi="Cambria Math" w:cstheme="minorHAnsi"/>
                      <w:bCs/>
                      <w:iCs/>
                      <w:lang w:val="en-GB"/>
                    </w:rPr>
                  </m:ctrlPr>
                </m:eqArrPr>
                <m:e>
                  <m:r>
                    <m:rPr>
                      <m:sty m:val="b"/>
                    </m:rPr>
                    <w:rPr>
                      <w:rFonts w:ascii="Cambria Math" w:hAnsi="Cambria Math" w:cstheme="minorHAnsi"/>
                      <w:lang w:val="en-GB"/>
                    </w:rPr>
                    <m:t xml:space="preserve">jurysdykcyjny kwalifikowany dochód netto </m:t>
                  </m:r>
                </m:e>
                <m:e/>
              </m:eqArr>
            </m:den>
          </m:f>
          <m:r>
            <w:rPr>
              <w:rFonts w:ascii="Cambria Math" w:hAnsi="Cambria Math" w:cstheme="minorHAnsi"/>
              <w:lang w:val="en-GB"/>
            </w:rPr>
            <m:t xml:space="preserve">  </m:t>
          </m:r>
          <m:r>
            <m:rPr>
              <m:sty m:val="p"/>
            </m:rPr>
            <w:rPr>
              <w:rFonts w:ascii="Cambria Math" w:hAnsi="Cambria Math" w:cstheme="minorHAnsi"/>
              <w:lang w:val="en-GB"/>
            </w:rPr>
            <m:t>x</m:t>
          </m:r>
          <m:r>
            <w:rPr>
              <w:rFonts w:ascii="Cambria Math" w:hAnsi="Cambria Math" w:cstheme="minorHAnsi"/>
              <w:lang w:val="en-GB"/>
            </w:rPr>
            <m:t xml:space="preserve">  100%</m:t>
          </m:r>
        </m:oMath>
      </m:oMathPara>
    </w:p>
    <w:p w14:paraId="1213009D" w14:textId="3C1B4AB4"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Efektywna stawka podatkowa nie jest obliczana dla </w:t>
      </w:r>
      <w:r w:rsidR="009B54C0" w:rsidRPr="00E95678">
        <w:rPr>
          <w:rFonts w:ascii="Times New Roman" w:hAnsi="Times New Roman" w:cs="Times New Roman"/>
          <w:iCs/>
          <w:sz w:val="24"/>
          <w:szCs w:val="24"/>
        </w:rPr>
        <w:t>jurysdykcji</w:t>
      </w:r>
      <w:r w:rsidRPr="00E95678">
        <w:rPr>
          <w:rFonts w:ascii="Times New Roman" w:hAnsi="Times New Roman" w:cs="Times New Roman"/>
          <w:iCs/>
          <w:sz w:val="24"/>
          <w:szCs w:val="24"/>
        </w:rPr>
        <w:t xml:space="preserve">, w </w:t>
      </w:r>
      <w:r w:rsidR="009B54C0" w:rsidRPr="00E95678">
        <w:rPr>
          <w:rFonts w:ascii="Times New Roman" w:hAnsi="Times New Roman" w:cs="Times New Roman"/>
          <w:iCs/>
          <w:sz w:val="24"/>
          <w:szCs w:val="24"/>
        </w:rPr>
        <w:t xml:space="preserve">której </w:t>
      </w:r>
      <w:r w:rsidRPr="00E95678">
        <w:rPr>
          <w:rFonts w:ascii="Times New Roman" w:hAnsi="Times New Roman" w:cs="Times New Roman"/>
          <w:iCs/>
          <w:sz w:val="24"/>
          <w:szCs w:val="24"/>
        </w:rPr>
        <w:t>wykazano jurysdykcyjną kwalifikowaną stratę netto za rok podatkowy.</w:t>
      </w:r>
    </w:p>
    <w:p w14:paraId="7E0B4586" w14:textId="0AD34C91"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Jak wspomniano powyżej, efektywna stawka podatkowa jest kluczowym wskaźnikiem dla celów opodatkowania globalnym podatkiem wyrównawczym i oblicza się ją </w:t>
      </w:r>
      <w:r w:rsidRPr="00E95678">
        <w:rPr>
          <w:rFonts w:ascii="Times New Roman" w:hAnsi="Times New Roman" w:cs="Times New Roman"/>
          <w:b/>
          <w:bCs/>
          <w:iCs/>
          <w:sz w:val="24"/>
          <w:szCs w:val="24"/>
        </w:rPr>
        <w:t xml:space="preserve">w celu ustalenia, czy </w:t>
      </w:r>
      <w:r w:rsidR="009B54C0" w:rsidRPr="00E95678">
        <w:rPr>
          <w:rFonts w:ascii="Times New Roman" w:hAnsi="Times New Roman" w:cs="Times New Roman"/>
          <w:b/>
          <w:bCs/>
          <w:iCs/>
          <w:sz w:val="24"/>
          <w:szCs w:val="24"/>
        </w:rPr>
        <w:t xml:space="preserve">dana jurysdykcja </w:t>
      </w:r>
      <w:r w:rsidRPr="00E95678">
        <w:rPr>
          <w:rFonts w:ascii="Times New Roman" w:hAnsi="Times New Roman" w:cs="Times New Roman"/>
          <w:b/>
          <w:bCs/>
          <w:iCs/>
          <w:sz w:val="24"/>
          <w:szCs w:val="24"/>
        </w:rPr>
        <w:t xml:space="preserve">jest </w:t>
      </w:r>
      <w:r w:rsidR="009B54C0" w:rsidRPr="00E95678">
        <w:rPr>
          <w:rFonts w:ascii="Times New Roman" w:hAnsi="Times New Roman" w:cs="Times New Roman"/>
          <w:b/>
          <w:bCs/>
          <w:iCs/>
          <w:sz w:val="24"/>
          <w:szCs w:val="24"/>
        </w:rPr>
        <w:t>jurysdykcją</w:t>
      </w:r>
      <w:r w:rsidRPr="00E95678">
        <w:rPr>
          <w:rFonts w:ascii="Times New Roman" w:hAnsi="Times New Roman" w:cs="Times New Roman"/>
          <w:b/>
          <w:bCs/>
          <w:iCs/>
          <w:sz w:val="24"/>
          <w:szCs w:val="24"/>
        </w:rPr>
        <w:t xml:space="preserve"> o niskim poziomie opodatkowania</w:t>
      </w:r>
      <w:r w:rsidRPr="00E95678">
        <w:rPr>
          <w:rFonts w:ascii="Times New Roman" w:hAnsi="Times New Roman" w:cs="Times New Roman"/>
          <w:iCs/>
          <w:sz w:val="24"/>
          <w:szCs w:val="24"/>
        </w:rPr>
        <w:t xml:space="preserve">. </w:t>
      </w:r>
    </w:p>
    <w:p w14:paraId="11771241" w14:textId="6A4C1678"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Co do zasady efektywna stawka podatkowa jest </w:t>
      </w:r>
      <w:r w:rsidRPr="00E95678">
        <w:rPr>
          <w:rFonts w:ascii="Times New Roman" w:hAnsi="Times New Roman" w:cs="Times New Roman"/>
          <w:b/>
          <w:bCs/>
          <w:iCs/>
          <w:sz w:val="24"/>
          <w:szCs w:val="24"/>
        </w:rPr>
        <w:t xml:space="preserve">obliczana dla </w:t>
      </w:r>
      <w:r w:rsidR="009B54C0" w:rsidRPr="00E95678">
        <w:rPr>
          <w:rFonts w:ascii="Times New Roman" w:hAnsi="Times New Roman" w:cs="Times New Roman"/>
          <w:b/>
          <w:bCs/>
          <w:iCs/>
          <w:sz w:val="24"/>
          <w:szCs w:val="24"/>
        </w:rPr>
        <w:t>danej jurysdykcji</w:t>
      </w:r>
      <w:r w:rsidRPr="00E95678">
        <w:rPr>
          <w:rFonts w:ascii="Times New Roman" w:hAnsi="Times New Roman" w:cs="Times New Roman"/>
          <w:iCs/>
          <w:sz w:val="24"/>
          <w:szCs w:val="24"/>
        </w:rPr>
        <w:t xml:space="preserve">, a więc z uwzględnieniem wszystkich jednostek składowych grupy zlokalizowanych w </w:t>
      </w:r>
      <w:r w:rsidR="009B54C0" w:rsidRPr="00E95678">
        <w:rPr>
          <w:rFonts w:ascii="Times New Roman" w:hAnsi="Times New Roman" w:cs="Times New Roman"/>
          <w:iCs/>
          <w:sz w:val="24"/>
          <w:szCs w:val="24"/>
        </w:rPr>
        <w:t>tej jurysdykcji</w:t>
      </w:r>
      <w:r w:rsidRPr="00E95678">
        <w:rPr>
          <w:rFonts w:ascii="Times New Roman" w:hAnsi="Times New Roman" w:cs="Times New Roman"/>
          <w:iCs/>
          <w:sz w:val="24"/>
          <w:szCs w:val="24"/>
        </w:rPr>
        <w:t xml:space="preserve">. Jest to zatem „kalkulacja scalona” w odniesieniu do </w:t>
      </w:r>
      <w:r w:rsidR="009B54C0" w:rsidRPr="00E95678">
        <w:rPr>
          <w:rFonts w:ascii="Times New Roman" w:hAnsi="Times New Roman" w:cs="Times New Roman"/>
          <w:iCs/>
          <w:sz w:val="24"/>
          <w:szCs w:val="24"/>
        </w:rPr>
        <w:t xml:space="preserve">danej jurysdykcji </w:t>
      </w:r>
      <w:r w:rsidRPr="00E95678">
        <w:rPr>
          <w:rFonts w:ascii="Times New Roman" w:hAnsi="Times New Roman" w:cs="Times New Roman"/>
          <w:iCs/>
          <w:sz w:val="24"/>
          <w:szCs w:val="24"/>
        </w:rPr>
        <w:t xml:space="preserve">(ang. </w:t>
      </w:r>
      <w:r w:rsidRPr="00E95678">
        <w:rPr>
          <w:rFonts w:ascii="Times New Roman" w:hAnsi="Times New Roman" w:cs="Times New Roman"/>
          <w:i/>
          <w:sz w:val="24"/>
          <w:szCs w:val="24"/>
        </w:rPr>
        <w:t>jurisdictional blending</w:t>
      </w:r>
      <w:r w:rsidRPr="00E95678">
        <w:rPr>
          <w:rFonts w:ascii="Times New Roman" w:hAnsi="Times New Roman" w:cs="Times New Roman"/>
          <w:iCs/>
          <w:sz w:val="24"/>
          <w:szCs w:val="24"/>
        </w:rPr>
        <w:t xml:space="preserve">), oparta na sumarycznym kwalifikowanym dochodzie i skorygowanych podatkach kwalifikowanych wszystkich jednostek składowych tej samej grupy, z wyjątkiem jednostek wyłączonych i jednostek o szczególnym charakterze (por. </w:t>
      </w:r>
      <w:r w:rsidRPr="00E95678">
        <w:rPr>
          <w:rFonts w:ascii="Times New Roman" w:hAnsi="Times New Roman" w:cs="Times New Roman"/>
          <w:b/>
          <w:bCs/>
          <w:iCs/>
          <w:sz w:val="24"/>
          <w:szCs w:val="24"/>
        </w:rPr>
        <w:t>rozdział 2</w:t>
      </w:r>
      <w:r w:rsidRPr="00E95678">
        <w:rPr>
          <w:rFonts w:ascii="Times New Roman" w:hAnsi="Times New Roman" w:cs="Times New Roman"/>
          <w:iCs/>
          <w:sz w:val="24"/>
          <w:szCs w:val="24"/>
        </w:rPr>
        <w:t>).</w:t>
      </w:r>
    </w:p>
    <w:p w14:paraId="200402BC" w14:textId="4DE49AC4"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Konsekwencją ustalania efektywnej stawki podatkowej na podstawie „scalonej” efektywnej stawki podatkowej odnoszącej się do wszystkich jednostek grupy w </w:t>
      </w:r>
      <w:r w:rsidR="009B54C0" w:rsidRPr="00E95678">
        <w:rPr>
          <w:rFonts w:ascii="Times New Roman" w:hAnsi="Times New Roman" w:cs="Times New Roman"/>
          <w:iCs/>
          <w:sz w:val="24"/>
          <w:szCs w:val="24"/>
        </w:rPr>
        <w:t xml:space="preserve">danej jurysdykcji </w:t>
      </w:r>
      <w:r w:rsidRPr="00E95678">
        <w:rPr>
          <w:rFonts w:ascii="Times New Roman" w:hAnsi="Times New Roman" w:cs="Times New Roman"/>
          <w:iCs/>
          <w:sz w:val="24"/>
          <w:szCs w:val="24"/>
        </w:rPr>
        <w:t xml:space="preserve">jest to, że mogą wystąpić przypadki, w których globalny podatek wyrównawczy zostaje naliczony w odniesieniu do jednostki, która nie byłaby nisko opodatkowaną jednostką składową, w przypadku odrębnej kalkulacji dla tej konkretnej jednostki. Z drugiej strony, jednostka, która byłaby nisko opodatkowaną jednostką składową w ujęciu autonomicznym, w związku z zasadą „jurisdictional blending” może nie być uznana za taką jednostkę ze względu na podatki naliczone lub straty osiągnięte przez inne jednostki składowe zlokalizowane w </w:t>
      </w:r>
      <w:r w:rsidR="009B54C0" w:rsidRPr="00E95678">
        <w:rPr>
          <w:rFonts w:ascii="Times New Roman" w:hAnsi="Times New Roman" w:cs="Times New Roman"/>
          <w:iCs/>
          <w:sz w:val="24"/>
          <w:szCs w:val="24"/>
        </w:rPr>
        <w:t>danej jurysdykcji</w:t>
      </w:r>
      <w:r w:rsidRPr="00E95678">
        <w:rPr>
          <w:rFonts w:ascii="Times New Roman" w:hAnsi="Times New Roman" w:cs="Times New Roman"/>
          <w:iCs/>
          <w:sz w:val="24"/>
          <w:szCs w:val="24"/>
        </w:rPr>
        <w:t xml:space="preserve">. Takie podejście pozwala uniknąć ryzyka potencjalnej optymalizacji wynikającej z odpowiedniej alokacji dochodu, i w efekcie podatków, pomiędzy jednostkami składowymi zlokalizowanymi w </w:t>
      </w:r>
      <w:r w:rsidR="009B54C0" w:rsidRPr="00E95678">
        <w:rPr>
          <w:rFonts w:ascii="Times New Roman" w:hAnsi="Times New Roman" w:cs="Times New Roman"/>
          <w:iCs/>
          <w:sz w:val="24"/>
          <w:szCs w:val="24"/>
        </w:rPr>
        <w:t xml:space="preserve">tej samej </w:t>
      </w:r>
      <w:r w:rsidR="009B54C0" w:rsidRPr="00E95678">
        <w:rPr>
          <w:rFonts w:ascii="Times New Roman" w:hAnsi="Times New Roman" w:cs="Times New Roman"/>
          <w:sz w:val="24"/>
          <w:szCs w:val="24"/>
        </w:rPr>
        <w:t>jurysdykcji</w:t>
      </w:r>
      <w:r w:rsidRPr="00E95678">
        <w:rPr>
          <w:rFonts w:ascii="Times New Roman" w:hAnsi="Times New Roman" w:cs="Times New Roman"/>
          <w:iCs/>
          <w:sz w:val="24"/>
          <w:szCs w:val="24"/>
        </w:rPr>
        <w:t xml:space="preserve">. Pozwala to także uniknąć potencjalnych nieprawidłowości spowodowanych szczególnymi cechami lokalnych systemów podatkowych (takimi jak np. mechanizmy zrzekania się strat i konsolidacji podatkowej). </w:t>
      </w:r>
    </w:p>
    <w:p w14:paraId="54E9A5D6" w14:textId="77777777"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Jednocześnie, dla niektórych jednostek składowych przepisy niniejszego rozdziału stosuje się z uwzględnieniem przepisów szczególnych, co przewiduje </w:t>
      </w:r>
      <w:r w:rsidRPr="00E95678">
        <w:rPr>
          <w:rFonts w:ascii="Times New Roman" w:hAnsi="Times New Roman" w:cs="Times New Roman"/>
          <w:b/>
          <w:iCs/>
          <w:sz w:val="24"/>
          <w:szCs w:val="24"/>
        </w:rPr>
        <w:t>ust. 7</w:t>
      </w:r>
      <w:r w:rsidRPr="00E95678">
        <w:rPr>
          <w:rFonts w:ascii="Times New Roman" w:hAnsi="Times New Roman" w:cs="Times New Roman"/>
          <w:iCs/>
          <w:sz w:val="24"/>
          <w:szCs w:val="24"/>
        </w:rPr>
        <w:t xml:space="preserve"> omawianego artykułu. Przepis ten wskazuje zarówno na odrębny sposób obliczenia jurysdykcyjnego kwalifikowanego dochodu (straty) netto oraz efektywnej stawki podatkowej dla bezpaństwowych jednostek składowych lub innych jednostek o szczególnym charakterze (jednostek inwestycyjnych i ubezpieczeniowych jednostek inwestycyjnych, jednostek joint venture i jednostek zależnych joint venture oraz jednostek podgrupy mniejszościowej, w przypadku których specjalne zasady zostały zawarte w </w:t>
      </w:r>
      <w:r w:rsidRPr="00E95678">
        <w:rPr>
          <w:rFonts w:ascii="Times New Roman" w:hAnsi="Times New Roman" w:cs="Times New Roman"/>
          <w:b/>
          <w:bCs/>
          <w:iCs/>
          <w:sz w:val="24"/>
          <w:szCs w:val="24"/>
        </w:rPr>
        <w:t>rozdziale 2</w:t>
      </w:r>
      <w:r w:rsidRPr="00E95678">
        <w:rPr>
          <w:rFonts w:ascii="Times New Roman" w:hAnsi="Times New Roman" w:cs="Times New Roman"/>
          <w:iCs/>
          <w:sz w:val="24"/>
          <w:szCs w:val="24"/>
        </w:rPr>
        <w:t xml:space="preserve">). </w:t>
      </w:r>
    </w:p>
    <w:p w14:paraId="228BDDC8" w14:textId="561228CB" w:rsidR="006C6FE0" w:rsidRPr="00E95678" w:rsidRDefault="006C6FE0" w:rsidP="006C6FE0">
      <w:pPr>
        <w:pStyle w:val="Nagwek5"/>
        <w:spacing w:before="240"/>
        <w:rPr>
          <w:rFonts w:ascii="Times New Roman" w:hAnsi="Times New Roman" w:cs="Times New Roman"/>
          <w:i w:val="0"/>
          <w:iCs/>
          <w:sz w:val="24"/>
          <w:szCs w:val="24"/>
        </w:rPr>
      </w:pPr>
      <w:r w:rsidRPr="00E95678">
        <w:rPr>
          <w:rFonts w:ascii="Times New Roman" w:hAnsi="Times New Roman" w:cs="Times New Roman"/>
          <w:sz w:val="24"/>
          <w:szCs w:val="24"/>
        </w:rPr>
        <w:lastRenderedPageBreak/>
        <w:t xml:space="preserve">Art. 12 [Obowiązki podatnika w przypadku </w:t>
      </w:r>
      <w:r w:rsidR="009B54C0" w:rsidRPr="00E95678">
        <w:rPr>
          <w:rFonts w:ascii="Times New Roman" w:hAnsi="Times New Roman" w:cs="Times New Roman"/>
          <w:sz w:val="24"/>
          <w:szCs w:val="24"/>
        </w:rPr>
        <w:t>jurysdykcji</w:t>
      </w:r>
      <w:r w:rsidRPr="00E95678">
        <w:rPr>
          <w:rFonts w:ascii="Times New Roman" w:hAnsi="Times New Roman" w:cs="Times New Roman"/>
          <w:sz w:val="24"/>
          <w:szCs w:val="24"/>
        </w:rPr>
        <w:t xml:space="preserve"> o niskim poziomie opodatkowania]</w:t>
      </w:r>
    </w:p>
    <w:p w14:paraId="6AC80FBB" w14:textId="47C2749E" w:rsidR="006C6FE0" w:rsidRPr="00E95678" w:rsidRDefault="006C6FE0" w:rsidP="006C6FE0">
      <w:pPr>
        <w:spacing w:after="120"/>
        <w:jc w:val="both"/>
        <w:rPr>
          <w:rFonts w:ascii="Times New Roman" w:hAnsi="Times New Roman" w:cs="Times New Roman"/>
          <w:sz w:val="24"/>
          <w:szCs w:val="24"/>
        </w:rPr>
      </w:pPr>
      <w:r w:rsidRPr="00E95678">
        <w:rPr>
          <w:rFonts w:ascii="Times New Roman" w:hAnsi="Times New Roman" w:cs="Times New Roman"/>
          <w:iCs/>
          <w:sz w:val="24"/>
          <w:szCs w:val="24"/>
        </w:rPr>
        <w:t xml:space="preserve">Jak wspomniano powyżej, na podstawie </w:t>
      </w:r>
      <w:r w:rsidRPr="00E95678">
        <w:rPr>
          <w:rFonts w:ascii="Times New Roman" w:hAnsi="Times New Roman" w:cs="Times New Roman"/>
          <w:b/>
          <w:bCs/>
          <w:iCs/>
          <w:sz w:val="24"/>
          <w:szCs w:val="24"/>
        </w:rPr>
        <w:t>art. 11</w:t>
      </w:r>
      <w:r w:rsidRPr="00E95678">
        <w:rPr>
          <w:rFonts w:ascii="Times New Roman" w:hAnsi="Times New Roman" w:cs="Times New Roman"/>
          <w:iCs/>
          <w:sz w:val="24"/>
          <w:szCs w:val="24"/>
        </w:rPr>
        <w:t xml:space="preserve"> jednostka dominująca będąca podatnikiem dokonuje testu efektywnej stawki podatkowej, co do zasady dla poszczególnych </w:t>
      </w:r>
      <w:r w:rsidR="009B54C0" w:rsidRPr="00E95678">
        <w:rPr>
          <w:rFonts w:ascii="Times New Roman" w:hAnsi="Times New Roman" w:cs="Times New Roman"/>
          <w:iCs/>
          <w:sz w:val="24"/>
          <w:szCs w:val="24"/>
        </w:rPr>
        <w:t>jurysdykcji</w:t>
      </w:r>
      <w:r w:rsidRPr="00E95678">
        <w:rPr>
          <w:rFonts w:ascii="Times New Roman" w:hAnsi="Times New Roman" w:cs="Times New Roman"/>
          <w:iCs/>
          <w:sz w:val="24"/>
          <w:szCs w:val="24"/>
        </w:rPr>
        <w:t xml:space="preserve">, w których działa grupa międzynarodowa. Jeżeli efektywna stawka podatkowa wyniesie za dany rok mniej niż 15%, </w:t>
      </w:r>
      <w:r w:rsidR="009B54C0" w:rsidRPr="00E95678">
        <w:rPr>
          <w:rFonts w:ascii="Times New Roman" w:hAnsi="Times New Roman" w:cs="Times New Roman"/>
          <w:iCs/>
          <w:sz w:val="24"/>
          <w:szCs w:val="24"/>
        </w:rPr>
        <w:t>dan</w:t>
      </w:r>
      <w:r w:rsidR="00E05E39" w:rsidRPr="00E95678">
        <w:rPr>
          <w:rFonts w:ascii="Times New Roman" w:hAnsi="Times New Roman" w:cs="Times New Roman"/>
          <w:iCs/>
          <w:sz w:val="24"/>
          <w:szCs w:val="24"/>
        </w:rPr>
        <w:t>ą</w:t>
      </w:r>
      <w:r w:rsidR="009B54C0" w:rsidRPr="00E95678">
        <w:rPr>
          <w:rFonts w:ascii="Times New Roman" w:hAnsi="Times New Roman" w:cs="Times New Roman"/>
          <w:iCs/>
          <w:sz w:val="24"/>
          <w:szCs w:val="24"/>
        </w:rPr>
        <w:t xml:space="preserve"> </w:t>
      </w:r>
      <w:r w:rsidR="009B54C0" w:rsidRPr="00E95678">
        <w:rPr>
          <w:rFonts w:ascii="Times New Roman" w:hAnsi="Times New Roman" w:cs="Times New Roman"/>
          <w:sz w:val="24"/>
          <w:szCs w:val="24"/>
        </w:rPr>
        <w:t>jurysdykcj</w:t>
      </w:r>
      <w:r w:rsidR="00E05E39" w:rsidRPr="00E95678">
        <w:rPr>
          <w:rFonts w:ascii="Times New Roman" w:hAnsi="Times New Roman" w:cs="Times New Roman"/>
          <w:sz w:val="24"/>
          <w:szCs w:val="24"/>
        </w:rPr>
        <w:t>ę</w:t>
      </w:r>
      <w:r w:rsidR="009B54C0" w:rsidRPr="00E95678">
        <w:rPr>
          <w:rFonts w:ascii="Times New Roman" w:hAnsi="Times New Roman" w:cs="Times New Roman"/>
          <w:sz w:val="24"/>
          <w:szCs w:val="24"/>
        </w:rPr>
        <w:t xml:space="preserve"> </w:t>
      </w:r>
      <w:r w:rsidRPr="00E95678">
        <w:rPr>
          <w:rFonts w:ascii="Times New Roman" w:hAnsi="Times New Roman" w:cs="Times New Roman"/>
          <w:iCs/>
          <w:sz w:val="24"/>
          <w:szCs w:val="24"/>
        </w:rPr>
        <w:t>uznaje się za</w:t>
      </w:r>
      <w:r w:rsidRPr="00E95678">
        <w:rPr>
          <w:rFonts w:ascii="Times New Roman" w:hAnsi="Times New Roman" w:cs="Times New Roman"/>
          <w:b/>
          <w:bCs/>
          <w:iCs/>
          <w:sz w:val="24"/>
          <w:szCs w:val="24"/>
        </w:rPr>
        <w:t xml:space="preserve"> </w:t>
      </w:r>
      <w:r w:rsidR="009B54C0" w:rsidRPr="00E95678">
        <w:rPr>
          <w:rFonts w:ascii="Times New Roman" w:hAnsi="Times New Roman" w:cs="Times New Roman"/>
          <w:sz w:val="24"/>
          <w:szCs w:val="24"/>
        </w:rPr>
        <w:t xml:space="preserve">jurysdykcję </w:t>
      </w:r>
      <w:r w:rsidRPr="00E95678">
        <w:rPr>
          <w:rFonts w:ascii="Times New Roman" w:hAnsi="Times New Roman" w:cs="Times New Roman"/>
          <w:sz w:val="24"/>
          <w:szCs w:val="24"/>
        </w:rPr>
        <w:t xml:space="preserve">o niskim poziomie opodatkowania, a </w:t>
      </w:r>
      <w:r w:rsidRPr="00E95678">
        <w:rPr>
          <w:rFonts w:ascii="Times New Roman" w:hAnsi="Times New Roman" w:cs="Times New Roman"/>
          <w:iCs/>
          <w:sz w:val="24"/>
          <w:szCs w:val="24"/>
        </w:rPr>
        <w:t xml:space="preserve">jednostki składowe grupy zlokalizowane w </w:t>
      </w:r>
      <w:r w:rsidR="009B54C0" w:rsidRPr="00E95678">
        <w:rPr>
          <w:rFonts w:ascii="Times New Roman" w:hAnsi="Times New Roman" w:cs="Times New Roman"/>
          <w:iCs/>
          <w:sz w:val="24"/>
          <w:szCs w:val="24"/>
        </w:rPr>
        <w:t xml:space="preserve">tej jurysdykcji </w:t>
      </w:r>
      <w:r w:rsidRPr="00E95678">
        <w:rPr>
          <w:rFonts w:ascii="Times New Roman" w:hAnsi="Times New Roman" w:cs="Times New Roman"/>
          <w:iCs/>
          <w:sz w:val="24"/>
          <w:szCs w:val="24"/>
        </w:rPr>
        <w:t>są uznawane za nisko opodatkowane jednostki składowe.</w:t>
      </w:r>
      <w:r w:rsidRPr="00E95678">
        <w:rPr>
          <w:rFonts w:ascii="Times New Roman" w:hAnsi="Times New Roman" w:cs="Times New Roman"/>
          <w:sz w:val="24"/>
          <w:szCs w:val="24"/>
        </w:rPr>
        <w:t xml:space="preserve"> </w:t>
      </w:r>
    </w:p>
    <w:p w14:paraId="18105D1E" w14:textId="66BD2A6D" w:rsidR="006C6FE0" w:rsidRPr="00E95678" w:rsidRDefault="006C6FE0" w:rsidP="006C6FE0">
      <w:pPr>
        <w:spacing w:after="120"/>
        <w:jc w:val="both"/>
        <w:rPr>
          <w:rFonts w:ascii="Times New Roman" w:hAnsi="Times New Roman" w:cs="Times New Roman"/>
          <w:iCs/>
          <w:sz w:val="24"/>
          <w:szCs w:val="24"/>
        </w:rPr>
      </w:pPr>
      <w:bookmarkStart w:id="10" w:name="_Hlk172026181"/>
      <w:r w:rsidRPr="00E95678">
        <w:rPr>
          <w:rFonts w:ascii="Times New Roman" w:hAnsi="Times New Roman" w:cs="Times New Roman"/>
          <w:iCs/>
          <w:sz w:val="24"/>
          <w:szCs w:val="24"/>
        </w:rPr>
        <w:t xml:space="preserve">W przypadku ustalenia, że </w:t>
      </w:r>
      <w:r w:rsidR="009B54C0" w:rsidRPr="00E95678">
        <w:rPr>
          <w:rFonts w:ascii="Times New Roman" w:hAnsi="Times New Roman" w:cs="Times New Roman"/>
          <w:iCs/>
          <w:sz w:val="24"/>
          <w:szCs w:val="24"/>
        </w:rPr>
        <w:t>dana jurysdykcja</w:t>
      </w:r>
      <w:r w:rsidRPr="00E95678">
        <w:rPr>
          <w:rFonts w:ascii="Times New Roman" w:hAnsi="Times New Roman" w:cs="Times New Roman"/>
          <w:iCs/>
          <w:sz w:val="24"/>
          <w:szCs w:val="24"/>
        </w:rPr>
        <w:t xml:space="preserve">, w </w:t>
      </w:r>
      <w:r w:rsidR="009B54C0" w:rsidRPr="00E95678">
        <w:rPr>
          <w:rFonts w:ascii="Times New Roman" w:hAnsi="Times New Roman" w:cs="Times New Roman"/>
          <w:iCs/>
          <w:sz w:val="24"/>
          <w:szCs w:val="24"/>
        </w:rPr>
        <w:t xml:space="preserve">której </w:t>
      </w:r>
      <w:r w:rsidRPr="00E95678">
        <w:rPr>
          <w:rFonts w:ascii="Times New Roman" w:hAnsi="Times New Roman" w:cs="Times New Roman"/>
          <w:iCs/>
          <w:sz w:val="24"/>
          <w:szCs w:val="24"/>
        </w:rPr>
        <w:t xml:space="preserve">są zlokalizowane jednostki składowe grupy, jest </w:t>
      </w:r>
      <w:r w:rsidR="009B54C0" w:rsidRPr="00E95678">
        <w:rPr>
          <w:rFonts w:ascii="Times New Roman" w:hAnsi="Times New Roman" w:cs="Times New Roman"/>
          <w:iCs/>
          <w:sz w:val="24"/>
          <w:szCs w:val="24"/>
        </w:rPr>
        <w:t xml:space="preserve">jurysdykcją </w:t>
      </w:r>
      <w:r w:rsidRPr="00E95678">
        <w:rPr>
          <w:rFonts w:ascii="Times New Roman" w:hAnsi="Times New Roman" w:cs="Times New Roman"/>
          <w:sz w:val="24"/>
          <w:szCs w:val="24"/>
        </w:rPr>
        <w:t>o niskim poziomie opodatkowania</w:t>
      </w:r>
      <w:r w:rsidR="004165B0" w:rsidRPr="00E95678">
        <w:rPr>
          <w:rFonts w:ascii="Times New Roman" w:hAnsi="Times New Roman" w:cs="Times New Roman"/>
          <w:sz w:val="24"/>
          <w:szCs w:val="24"/>
        </w:rPr>
        <w:t xml:space="preserve"> (a zatem jednostki zlokalizowane w t</w:t>
      </w:r>
      <w:r w:rsidR="009B54C0" w:rsidRPr="00E95678">
        <w:rPr>
          <w:rFonts w:ascii="Times New Roman" w:hAnsi="Times New Roman" w:cs="Times New Roman"/>
          <w:sz w:val="24"/>
          <w:szCs w:val="24"/>
        </w:rPr>
        <w:t>ej</w:t>
      </w:r>
      <w:r w:rsidR="004165B0" w:rsidRPr="00E95678">
        <w:rPr>
          <w:rFonts w:ascii="Times New Roman" w:hAnsi="Times New Roman" w:cs="Times New Roman"/>
          <w:sz w:val="24"/>
          <w:szCs w:val="24"/>
        </w:rPr>
        <w:t xml:space="preserve"> </w:t>
      </w:r>
      <w:r w:rsidR="009B54C0" w:rsidRPr="00E95678">
        <w:rPr>
          <w:rFonts w:ascii="Times New Roman" w:hAnsi="Times New Roman" w:cs="Times New Roman"/>
          <w:sz w:val="24"/>
          <w:szCs w:val="24"/>
        </w:rPr>
        <w:t xml:space="preserve">jurysdykcji </w:t>
      </w:r>
      <w:r w:rsidR="004165B0" w:rsidRPr="00E95678">
        <w:rPr>
          <w:rFonts w:ascii="Times New Roman" w:hAnsi="Times New Roman" w:cs="Times New Roman"/>
          <w:sz w:val="24"/>
          <w:szCs w:val="24"/>
        </w:rPr>
        <w:t>stanowią nisko opodatkowane jednostki składowe)</w:t>
      </w:r>
      <w:r w:rsidRPr="00E95678">
        <w:rPr>
          <w:rFonts w:ascii="Times New Roman" w:hAnsi="Times New Roman" w:cs="Times New Roman"/>
          <w:iCs/>
          <w:sz w:val="24"/>
          <w:szCs w:val="24"/>
        </w:rPr>
        <w:t xml:space="preserve">, </w:t>
      </w:r>
      <w:r w:rsidR="004165B0" w:rsidRPr="00E95678">
        <w:rPr>
          <w:rFonts w:ascii="Times New Roman" w:hAnsi="Times New Roman" w:cs="Times New Roman"/>
          <w:iCs/>
          <w:sz w:val="24"/>
          <w:szCs w:val="24"/>
        </w:rPr>
        <w:t xml:space="preserve">na </w:t>
      </w:r>
      <w:r w:rsidRPr="00E95678">
        <w:rPr>
          <w:rFonts w:ascii="Times New Roman" w:hAnsi="Times New Roman" w:cs="Times New Roman"/>
          <w:iCs/>
          <w:sz w:val="24"/>
          <w:szCs w:val="24"/>
        </w:rPr>
        <w:t xml:space="preserve">podatniku ciąży, zgodnie z </w:t>
      </w:r>
      <w:r w:rsidRPr="00E95678">
        <w:rPr>
          <w:rFonts w:ascii="Times New Roman" w:hAnsi="Times New Roman" w:cs="Times New Roman"/>
          <w:b/>
          <w:bCs/>
          <w:iCs/>
          <w:sz w:val="24"/>
          <w:szCs w:val="24"/>
        </w:rPr>
        <w:t>art. 12</w:t>
      </w:r>
      <w:r w:rsidRPr="00E95678">
        <w:rPr>
          <w:rFonts w:ascii="Times New Roman" w:hAnsi="Times New Roman" w:cs="Times New Roman"/>
          <w:iCs/>
          <w:sz w:val="24"/>
          <w:szCs w:val="24"/>
        </w:rPr>
        <w:t>, obowiązek</w:t>
      </w:r>
      <w:r w:rsidRPr="00E95678">
        <w:rPr>
          <w:rFonts w:ascii="Times New Roman" w:hAnsi="Times New Roman" w:cs="Times New Roman"/>
          <w:sz w:val="24"/>
          <w:szCs w:val="24"/>
        </w:rPr>
        <w:t xml:space="preserve"> </w:t>
      </w:r>
      <w:r w:rsidRPr="00E95678">
        <w:rPr>
          <w:rFonts w:ascii="Times New Roman" w:hAnsi="Times New Roman" w:cs="Times New Roman"/>
          <w:iCs/>
          <w:sz w:val="24"/>
          <w:szCs w:val="24"/>
        </w:rPr>
        <w:t xml:space="preserve">obliczenia globalnego podatku wyrównawczego. </w:t>
      </w:r>
      <w:r w:rsidR="00F32576" w:rsidRPr="00E95678">
        <w:rPr>
          <w:rFonts w:ascii="Times New Roman" w:hAnsi="Times New Roman" w:cs="Times New Roman"/>
          <w:iCs/>
          <w:sz w:val="24"/>
          <w:szCs w:val="24"/>
        </w:rPr>
        <w:t>Obowiązek obliczenia globalnego podatku wyrównawczego wystąpi też w innych szczególnych przypadk</w:t>
      </w:r>
      <w:r w:rsidR="00E05E39" w:rsidRPr="00E95678">
        <w:rPr>
          <w:rFonts w:ascii="Times New Roman" w:hAnsi="Times New Roman" w:cs="Times New Roman"/>
          <w:iCs/>
          <w:sz w:val="24"/>
          <w:szCs w:val="24"/>
        </w:rPr>
        <w:t>ach</w:t>
      </w:r>
      <w:r w:rsidR="00F32576" w:rsidRPr="00E95678">
        <w:rPr>
          <w:rFonts w:ascii="Times New Roman" w:hAnsi="Times New Roman" w:cs="Times New Roman"/>
          <w:iCs/>
          <w:sz w:val="24"/>
          <w:szCs w:val="24"/>
        </w:rPr>
        <w:t xml:space="preserve"> wystąpienia nisko opodatkowanych jednostek składowych, takich jak jednostki składowe, którym przydzielono dodatkowy podatek wyrównawczy</w:t>
      </w:r>
      <w:r w:rsidR="00E05E39" w:rsidRPr="00E95678">
        <w:rPr>
          <w:rFonts w:ascii="Times New Roman" w:hAnsi="Times New Roman" w:cs="Times New Roman"/>
          <w:iCs/>
          <w:sz w:val="24"/>
          <w:szCs w:val="24"/>
        </w:rPr>
        <w:t xml:space="preserve"> lub bezpaństwowe jednostki składowe rozpatrywane odrębnie od wszelkich innych jednostek składowych</w:t>
      </w:r>
      <w:r w:rsidR="00F32576" w:rsidRPr="00E95678">
        <w:rPr>
          <w:rFonts w:ascii="Times New Roman" w:hAnsi="Times New Roman" w:cs="Times New Roman"/>
          <w:iCs/>
          <w:sz w:val="24"/>
          <w:szCs w:val="24"/>
        </w:rPr>
        <w:t>. Tym samym, w świetle art. 12 ust. 1 p</w:t>
      </w:r>
      <w:r w:rsidR="00F32576" w:rsidRPr="00E95678">
        <w:rPr>
          <w:rFonts w:ascii="Times New Roman" w:hAnsi="Times New Roman" w:cs="Times New Roman"/>
          <w:sz w:val="24"/>
          <w:szCs w:val="24"/>
        </w:rPr>
        <w:t>odatnik oblicza globalny podatek wyrównawczy, jeżeli posiada, bezpośrednio lub pośrednio, udziały własnościowe w nisko opodatkowanych jednostkach składowych.</w:t>
      </w:r>
      <w:r w:rsidR="00E05E39" w:rsidRPr="00E95678">
        <w:rPr>
          <w:rFonts w:ascii="Times New Roman" w:hAnsi="Times New Roman" w:cs="Times New Roman"/>
          <w:sz w:val="24"/>
          <w:szCs w:val="24"/>
        </w:rPr>
        <w:t xml:space="preserve"> </w:t>
      </w:r>
      <w:r w:rsidR="00467DA3" w:rsidRPr="00E95678">
        <w:rPr>
          <w:rFonts w:ascii="Times New Roman" w:hAnsi="Times New Roman" w:cs="Times New Roman"/>
          <w:sz w:val="24"/>
          <w:szCs w:val="24"/>
        </w:rPr>
        <w:t>Natomiast</w:t>
      </w:r>
      <w:r w:rsidR="00E05E39" w:rsidRPr="00E95678">
        <w:rPr>
          <w:rFonts w:ascii="Times New Roman" w:hAnsi="Times New Roman" w:cs="Times New Roman"/>
          <w:sz w:val="24"/>
          <w:szCs w:val="24"/>
        </w:rPr>
        <w:t xml:space="preserve"> globalnego podatku wyrównawczego nie oblicza się, jeżeli dana jurysdykcja ani nie jest jurysdykcją o niskim poziomie opodatkowania (ETR wyniósł co najmniej 15%</w:t>
      </w:r>
      <w:r w:rsidR="00467DA3" w:rsidRPr="00E95678">
        <w:rPr>
          <w:rFonts w:ascii="Times New Roman" w:hAnsi="Times New Roman" w:cs="Times New Roman"/>
          <w:sz w:val="24"/>
          <w:szCs w:val="24"/>
        </w:rPr>
        <w:t xml:space="preserve"> lub osiągnięto jurysdykcyjną stratę netto</w:t>
      </w:r>
      <w:r w:rsidR="00E05E39" w:rsidRPr="00E95678">
        <w:rPr>
          <w:rFonts w:ascii="Times New Roman" w:hAnsi="Times New Roman" w:cs="Times New Roman"/>
          <w:sz w:val="24"/>
          <w:szCs w:val="24"/>
        </w:rPr>
        <w:t>), ani nie wystąpiły szczególne przypadki (dodatkowy podatek wyrównawczy lub nisko opodatkowana bezpaństwowa jednostka składowa).</w:t>
      </w:r>
    </w:p>
    <w:bookmarkEnd w:id="10"/>
    <w:p w14:paraId="46D0F5D4" w14:textId="77777777" w:rsidR="006C6FE0" w:rsidRPr="00E95678" w:rsidRDefault="006C6FE0" w:rsidP="006C6FE0">
      <w:pPr>
        <w:spacing w:after="40"/>
        <w:jc w:val="both"/>
        <w:rPr>
          <w:rFonts w:ascii="Times New Roman" w:hAnsi="Times New Roman" w:cs="Times New Roman"/>
          <w:sz w:val="24"/>
          <w:szCs w:val="24"/>
        </w:rPr>
      </w:pPr>
      <w:r w:rsidRPr="00E95678">
        <w:rPr>
          <w:rFonts w:ascii="Times New Roman" w:hAnsi="Times New Roman" w:cs="Times New Roman"/>
          <w:b/>
          <w:bCs/>
          <w:sz w:val="24"/>
          <w:szCs w:val="24"/>
        </w:rPr>
        <w:t>Art. 12</w:t>
      </w:r>
      <w:r w:rsidRPr="00E95678">
        <w:rPr>
          <w:rFonts w:ascii="Times New Roman" w:hAnsi="Times New Roman" w:cs="Times New Roman"/>
          <w:sz w:val="24"/>
          <w:szCs w:val="24"/>
        </w:rPr>
        <w:t xml:space="preserve"> stanowi pewnego rodzaju „spis treści” poszczególnych etapów obliczenia globalnego podatku wyrównawczego, które zostały uszczegółowione w kolejnych przepisach. Podsumowuje on proces obliczenia tego podatku oraz </w:t>
      </w:r>
      <w:r w:rsidRPr="00E95678">
        <w:rPr>
          <w:rFonts w:ascii="Times New Roman" w:hAnsi="Times New Roman" w:cs="Times New Roman"/>
          <w:b/>
          <w:bCs/>
          <w:sz w:val="24"/>
          <w:szCs w:val="24"/>
        </w:rPr>
        <w:t xml:space="preserve">końcowy rezultat </w:t>
      </w:r>
      <w:r w:rsidRPr="00E95678">
        <w:rPr>
          <w:rFonts w:ascii="Times New Roman" w:hAnsi="Times New Roman" w:cs="Times New Roman"/>
          <w:sz w:val="24"/>
          <w:szCs w:val="24"/>
        </w:rPr>
        <w:t>tego procesu. Zgodnie z przyjętą metodologią podatnik jest obowiązany obliczyć, za rok podatkowy:</w:t>
      </w:r>
    </w:p>
    <w:p w14:paraId="5973AD1E" w14:textId="3775C845" w:rsidR="006C6FE0" w:rsidRPr="00E95678" w:rsidRDefault="006C6FE0" w:rsidP="002C7467">
      <w:pPr>
        <w:pStyle w:val="Akapitzlist"/>
        <w:numPr>
          <w:ilvl w:val="0"/>
          <w:numId w:val="91"/>
        </w:numPr>
        <w:spacing w:after="40"/>
        <w:jc w:val="both"/>
        <w:rPr>
          <w:rFonts w:ascii="Times New Roman" w:hAnsi="Times New Roman" w:cs="Times New Roman"/>
          <w:sz w:val="24"/>
          <w:szCs w:val="24"/>
        </w:rPr>
      </w:pPr>
      <w:r w:rsidRPr="00E95678">
        <w:rPr>
          <w:rStyle w:val="Ppogrubienie"/>
          <w:rFonts w:ascii="Times New Roman" w:hAnsi="Times New Roman" w:cs="Times New Roman"/>
          <w:sz w:val="24"/>
          <w:szCs w:val="24"/>
        </w:rPr>
        <w:t xml:space="preserve">jurysdykcyjny globalny podatek wyrównawczy </w:t>
      </w:r>
      <w:r w:rsidRPr="00E95678">
        <w:rPr>
          <w:rStyle w:val="Ppogrubienie"/>
          <w:rFonts w:ascii="Times New Roman" w:hAnsi="Times New Roman" w:cs="Times New Roman"/>
          <w:b w:val="0"/>
          <w:bCs/>
          <w:sz w:val="24"/>
          <w:szCs w:val="24"/>
        </w:rPr>
        <w:t xml:space="preserve">w odniesieniu do </w:t>
      </w:r>
      <w:r w:rsidR="009B54C0" w:rsidRPr="00E95678">
        <w:rPr>
          <w:rStyle w:val="Ppogrubienie"/>
          <w:rFonts w:ascii="Times New Roman" w:hAnsi="Times New Roman" w:cs="Times New Roman"/>
          <w:b w:val="0"/>
          <w:bCs/>
          <w:sz w:val="24"/>
          <w:szCs w:val="24"/>
        </w:rPr>
        <w:t xml:space="preserve">danej </w:t>
      </w:r>
      <w:r w:rsidR="009B54C0" w:rsidRPr="00E95678">
        <w:rPr>
          <w:rFonts w:ascii="Times New Roman" w:hAnsi="Times New Roman" w:cs="Times New Roman"/>
          <w:sz w:val="24"/>
          <w:szCs w:val="24"/>
        </w:rPr>
        <w:t>jurysdykcji</w:t>
      </w:r>
      <w:r w:rsidRPr="00E95678">
        <w:rPr>
          <w:rFonts w:ascii="Times New Roman" w:hAnsi="Times New Roman" w:cs="Times New Roman"/>
          <w:bCs/>
          <w:sz w:val="24"/>
          <w:szCs w:val="24"/>
        </w:rPr>
        <w:t>;</w:t>
      </w:r>
    </w:p>
    <w:p w14:paraId="45C52F57" w14:textId="77777777" w:rsidR="006C6FE0" w:rsidRPr="00E95678" w:rsidRDefault="006C6FE0" w:rsidP="002C7467">
      <w:pPr>
        <w:pStyle w:val="Akapitzlist"/>
        <w:numPr>
          <w:ilvl w:val="0"/>
          <w:numId w:val="91"/>
        </w:numPr>
        <w:spacing w:after="40"/>
        <w:jc w:val="both"/>
        <w:rPr>
          <w:rFonts w:ascii="Times New Roman" w:hAnsi="Times New Roman" w:cs="Times New Roman"/>
          <w:sz w:val="24"/>
          <w:szCs w:val="24"/>
        </w:rPr>
      </w:pPr>
      <w:r w:rsidRPr="00E95678">
        <w:rPr>
          <w:rFonts w:ascii="Times New Roman" w:hAnsi="Times New Roman" w:cs="Times New Roman"/>
          <w:sz w:val="24"/>
          <w:szCs w:val="24"/>
        </w:rPr>
        <w:t>jurysdykcyjny globalny podatek wyrównawczy przypadający na nisko opodatkowaną jednostkę składową (</w:t>
      </w:r>
      <w:r w:rsidRPr="00E95678">
        <w:rPr>
          <w:rStyle w:val="Ppogrubienie"/>
          <w:rFonts w:ascii="Times New Roman" w:hAnsi="Times New Roman" w:cs="Times New Roman"/>
          <w:sz w:val="24"/>
          <w:szCs w:val="24"/>
        </w:rPr>
        <w:t>jednostkowy globalny podatek wyrównawczy</w:t>
      </w:r>
      <w:r w:rsidRPr="00E95678">
        <w:rPr>
          <w:rFonts w:ascii="Times New Roman" w:hAnsi="Times New Roman" w:cs="Times New Roman"/>
          <w:sz w:val="24"/>
          <w:szCs w:val="24"/>
        </w:rPr>
        <w:t>);</w:t>
      </w:r>
    </w:p>
    <w:p w14:paraId="38B5F579" w14:textId="77777777" w:rsidR="006C6FE0" w:rsidRPr="00E95678" w:rsidRDefault="006C6FE0" w:rsidP="002C7467">
      <w:pPr>
        <w:pStyle w:val="Akapitzlist"/>
        <w:numPr>
          <w:ilvl w:val="0"/>
          <w:numId w:val="91"/>
        </w:numPr>
        <w:jc w:val="both"/>
        <w:rPr>
          <w:rFonts w:ascii="Times New Roman" w:hAnsi="Times New Roman" w:cs="Times New Roman"/>
          <w:sz w:val="24"/>
          <w:szCs w:val="24"/>
        </w:rPr>
      </w:pPr>
      <w:r w:rsidRPr="00E95678">
        <w:rPr>
          <w:rFonts w:ascii="Times New Roman" w:hAnsi="Times New Roman" w:cs="Times New Roman"/>
          <w:sz w:val="24"/>
          <w:szCs w:val="24"/>
        </w:rPr>
        <w:t>jednostkowy globalny podatek wyrównawczy przypadający na podatnika (</w:t>
      </w:r>
      <w:r w:rsidRPr="00E95678">
        <w:rPr>
          <w:rStyle w:val="Ppogrubienie"/>
          <w:rFonts w:ascii="Times New Roman" w:hAnsi="Times New Roman" w:cs="Times New Roman"/>
          <w:sz w:val="24"/>
          <w:szCs w:val="24"/>
        </w:rPr>
        <w:t>udziałowy globalny podatek wyrównawczy</w:t>
      </w:r>
      <w:r w:rsidRPr="00E95678">
        <w:rPr>
          <w:rFonts w:ascii="Times New Roman" w:hAnsi="Times New Roman" w:cs="Times New Roman"/>
          <w:sz w:val="24"/>
          <w:szCs w:val="24"/>
        </w:rPr>
        <w:t>).</w:t>
      </w:r>
    </w:p>
    <w:p w14:paraId="3796E6C5" w14:textId="77777777" w:rsidR="006C6FE0" w:rsidRPr="00E95678" w:rsidRDefault="006C6FE0" w:rsidP="006C6FE0">
      <w:pPr>
        <w:jc w:val="both"/>
        <w:rPr>
          <w:rFonts w:ascii="Times New Roman" w:hAnsi="Times New Roman" w:cs="Times New Roman"/>
          <w:iCs/>
          <w:sz w:val="24"/>
          <w:szCs w:val="24"/>
        </w:rPr>
      </w:pPr>
      <w:r w:rsidRPr="00E95678">
        <w:rPr>
          <w:rFonts w:ascii="Times New Roman" w:hAnsi="Times New Roman" w:cs="Times New Roman"/>
          <w:sz w:val="24"/>
          <w:szCs w:val="24"/>
        </w:rPr>
        <w:t>Natomiast kwotę</w:t>
      </w:r>
      <w:r w:rsidRPr="00E95678">
        <w:rPr>
          <w:rFonts w:ascii="Times New Roman" w:hAnsi="Times New Roman" w:cs="Times New Roman"/>
          <w:b/>
          <w:bCs/>
          <w:sz w:val="24"/>
          <w:szCs w:val="24"/>
        </w:rPr>
        <w:t xml:space="preserve"> </w:t>
      </w:r>
      <w:r w:rsidRPr="00E95678">
        <w:rPr>
          <w:rFonts w:ascii="Times New Roman" w:hAnsi="Times New Roman" w:cs="Times New Roman"/>
          <w:b/>
          <w:bCs/>
          <w:iCs/>
          <w:sz w:val="24"/>
          <w:szCs w:val="24"/>
        </w:rPr>
        <w:t>g</w:t>
      </w:r>
      <w:r w:rsidRPr="00E95678">
        <w:rPr>
          <w:rFonts w:ascii="Times New Roman" w:hAnsi="Times New Roman" w:cs="Times New Roman"/>
          <w:b/>
          <w:bCs/>
          <w:sz w:val="24"/>
          <w:szCs w:val="24"/>
        </w:rPr>
        <w:t>lobalnego podatku wyrównawczego należnego od danej jednostki dominującej, będącej podatnikiem</w:t>
      </w:r>
      <w:r w:rsidRPr="00E95678">
        <w:rPr>
          <w:rFonts w:ascii="Times New Roman" w:hAnsi="Times New Roman" w:cs="Times New Roman"/>
          <w:sz w:val="24"/>
          <w:szCs w:val="24"/>
        </w:rPr>
        <w:t xml:space="preserve">, stanowić będą </w:t>
      </w:r>
      <w:r w:rsidRPr="00E95678">
        <w:rPr>
          <w:rFonts w:ascii="Times New Roman" w:hAnsi="Times New Roman" w:cs="Times New Roman"/>
          <w:b/>
          <w:bCs/>
          <w:sz w:val="24"/>
          <w:szCs w:val="24"/>
        </w:rPr>
        <w:t xml:space="preserve">zsumowane kwoty udziałowych globalnych </w:t>
      </w:r>
      <w:r w:rsidRPr="00E95678">
        <w:rPr>
          <w:rFonts w:ascii="Times New Roman" w:hAnsi="Times New Roman" w:cs="Times New Roman"/>
          <w:b/>
          <w:bCs/>
          <w:iCs/>
          <w:sz w:val="24"/>
          <w:szCs w:val="24"/>
        </w:rPr>
        <w:t>podatków wyrównawczych</w:t>
      </w:r>
      <w:r w:rsidRPr="00E95678">
        <w:rPr>
          <w:rFonts w:ascii="Times New Roman" w:hAnsi="Times New Roman" w:cs="Times New Roman"/>
          <w:iCs/>
          <w:sz w:val="24"/>
          <w:szCs w:val="24"/>
        </w:rPr>
        <w:t xml:space="preserve">. </w:t>
      </w:r>
    </w:p>
    <w:p w14:paraId="331FD5CE" w14:textId="124CCB9A" w:rsidR="006C6FE0" w:rsidRPr="00E95678" w:rsidRDefault="006C6FE0" w:rsidP="006C6FE0">
      <w:pPr>
        <w:pStyle w:val="USTustnpkodeksu"/>
        <w:spacing w:after="120" w:line="259" w:lineRule="auto"/>
        <w:ind w:firstLine="0"/>
        <w:rPr>
          <w:rFonts w:ascii="Times New Roman" w:hAnsi="Times New Roman" w:cs="Times New Roman"/>
          <w:iCs/>
          <w:szCs w:val="24"/>
        </w:rPr>
      </w:pPr>
      <w:r w:rsidRPr="00E95678">
        <w:rPr>
          <w:rFonts w:ascii="Times New Roman" w:hAnsi="Times New Roman" w:cs="Times New Roman"/>
          <w:b/>
          <w:bCs w:val="0"/>
          <w:iCs/>
          <w:szCs w:val="24"/>
        </w:rPr>
        <w:t>Art. 12</w:t>
      </w:r>
      <w:r w:rsidRPr="00E95678">
        <w:rPr>
          <w:rFonts w:ascii="Times New Roman" w:hAnsi="Times New Roman" w:cs="Times New Roman"/>
          <w:iCs/>
          <w:szCs w:val="24"/>
        </w:rPr>
        <w:t xml:space="preserve"> stanowi zatem rodzaj wprowadzenia do poszczególnych etapów obliczenia podatku zawartych w kolejnych przepisach niniejszego rozdziału. Aby zrozumieć mechanizm przejścia od jurysdykcyjnego globalnego podatku wyrównawczego  do kwoty globalnego podatku wyrównawczego należnego od danej jednostki dominującej, fundamentalne są kroki wskazane w </w:t>
      </w:r>
      <w:r w:rsidRPr="00E95678">
        <w:rPr>
          <w:rFonts w:ascii="Times New Roman" w:hAnsi="Times New Roman" w:cs="Times New Roman"/>
          <w:b/>
          <w:iCs/>
          <w:szCs w:val="24"/>
        </w:rPr>
        <w:t>art. 13 - 15</w:t>
      </w:r>
      <w:r w:rsidRPr="00E95678">
        <w:rPr>
          <w:rFonts w:ascii="Times New Roman" w:hAnsi="Times New Roman" w:cs="Times New Roman"/>
          <w:iCs/>
          <w:szCs w:val="24"/>
        </w:rPr>
        <w:t xml:space="preserve">. W uproszczeniu, po pierwsze oblicza się jurysdykcyjny globalny podatek wyrównawczy dla </w:t>
      </w:r>
      <w:r w:rsidR="009B54C0" w:rsidRPr="00E95678">
        <w:rPr>
          <w:rFonts w:ascii="Times New Roman" w:hAnsi="Times New Roman" w:cs="Times New Roman"/>
          <w:iCs/>
          <w:szCs w:val="24"/>
        </w:rPr>
        <w:t xml:space="preserve">danej </w:t>
      </w:r>
      <w:r w:rsidR="009B54C0" w:rsidRPr="00E95678">
        <w:rPr>
          <w:rFonts w:ascii="Times New Roman" w:hAnsi="Times New Roman" w:cs="Times New Roman"/>
          <w:szCs w:val="24"/>
        </w:rPr>
        <w:t>jurysdykcji</w:t>
      </w:r>
      <w:r w:rsidRPr="00E95678">
        <w:rPr>
          <w:rFonts w:ascii="Times New Roman" w:hAnsi="Times New Roman" w:cs="Times New Roman"/>
          <w:iCs/>
          <w:szCs w:val="24"/>
        </w:rPr>
        <w:t xml:space="preserve">. Następnie, podatek alokuje się pomiędzy nisko opodatkowane jednostki składowe zlokalizowane w </w:t>
      </w:r>
      <w:r w:rsidR="009B54C0" w:rsidRPr="00E95678">
        <w:rPr>
          <w:rFonts w:ascii="Times New Roman" w:hAnsi="Times New Roman" w:cs="Times New Roman"/>
          <w:iCs/>
          <w:szCs w:val="24"/>
        </w:rPr>
        <w:t xml:space="preserve">tej </w:t>
      </w:r>
      <w:r w:rsidR="009B54C0" w:rsidRPr="00E95678">
        <w:rPr>
          <w:rFonts w:ascii="Times New Roman" w:hAnsi="Times New Roman" w:cs="Times New Roman"/>
          <w:szCs w:val="24"/>
        </w:rPr>
        <w:t>jurysdykcji</w:t>
      </w:r>
      <w:r w:rsidRPr="00E95678">
        <w:rPr>
          <w:rFonts w:ascii="Times New Roman" w:hAnsi="Times New Roman" w:cs="Times New Roman"/>
          <w:iCs/>
          <w:szCs w:val="24"/>
        </w:rPr>
        <w:t xml:space="preserve">, na podstawie ich kwalifikowanego dochodu (w ten sposób ustala się „jednostkowy globalny podatek wyrównawczy”). W kolejnym kroku, kwotę jednostkowego podatku przypadającą na daną nisko opodatkowaną jednostkę przypisuje się poszczególnym jednostkom dominującym, które posiadają udział w takiej jednostce (na podstawie tzw. udziału procentowego danej jednostki </w:t>
      </w:r>
      <w:r w:rsidRPr="00E95678">
        <w:rPr>
          <w:rFonts w:ascii="Times New Roman" w:hAnsi="Times New Roman" w:cs="Times New Roman"/>
          <w:iCs/>
          <w:szCs w:val="24"/>
        </w:rPr>
        <w:lastRenderedPageBreak/>
        <w:t xml:space="preserve">dominującej). W ten sposób wylicza się „udziałowy globalny podatek wyrównawczy” danej jednostki dominującej. </w:t>
      </w:r>
    </w:p>
    <w:p w14:paraId="675A0930" w14:textId="77777777" w:rsidR="006C6FE0" w:rsidRPr="00E95678" w:rsidRDefault="006C6FE0" w:rsidP="006C6FE0">
      <w:pPr>
        <w:pStyle w:val="USTustnpkodeksu"/>
        <w:spacing w:line="259" w:lineRule="auto"/>
        <w:ind w:firstLine="0"/>
        <w:rPr>
          <w:rFonts w:ascii="Times New Roman" w:hAnsi="Times New Roman" w:cs="Times New Roman"/>
          <w:iCs/>
          <w:szCs w:val="24"/>
        </w:rPr>
      </w:pPr>
      <w:r w:rsidRPr="00E95678">
        <w:rPr>
          <w:rFonts w:ascii="Times New Roman" w:hAnsi="Times New Roman" w:cs="Times New Roman"/>
          <w:iCs/>
          <w:szCs w:val="24"/>
        </w:rPr>
        <w:t xml:space="preserve">Końcowo – w odniesieniu do danej jednostki dominującej będącej podatnikiem – sumuje się kwoty udziałowych globalnych podatków wyrównawczych wynikających z posiadanych udziałów w różnych nisko opodatkowanych jednostkach. Będzie to suma takich kwot w odniesieniu do: </w:t>
      </w:r>
    </w:p>
    <w:p w14:paraId="041F6FFA" w14:textId="272B7F88" w:rsidR="006C6FE0" w:rsidRPr="00E95678" w:rsidRDefault="006C6FE0" w:rsidP="009E73F7">
      <w:pPr>
        <w:pStyle w:val="Akapitzlist"/>
        <w:numPr>
          <w:ilvl w:val="0"/>
          <w:numId w:val="134"/>
        </w:numPr>
        <w:jc w:val="both"/>
        <w:rPr>
          <w:rFonts w:ascii="Times New Roman" w:hAnsi="Times New Roman" w:cs="Times New Roman"/>
          <w:iCs/>
          <w:sz w:val="24"/>
          <w:szCs w:val="24"/>
        </w:rPr>
      </w:pPr>
      <w:r w:rsidRPr="00E95678">
        <w:rPr>
          <w:rFonts w:ascii="Times New Roman" w:hAnsi="Times New Roman" w:cs="Times New Roman"/>
          <w:iCs/>
          <w:sz w:val="24"/>
          <w:szCs w:val="24"/>
        </w:rPr>
        <w:t xml:space="preserve">wszystkich nisko opodatkowanych jednostek składowych, dla których dokonuje się łącznej kalkulacji ETR dla poszczególnych </w:t>
      </w:r>
      <w:r w:rsidR="009B54C0" w:rsidRPr="00E95678">
        <w:rPr>
          <w:rFonts w:ascii="Times New Roman" w:hAnsi="Times New Roman" w:cs="Times New Roman"/>
          <w:sz w:val="24"/>
          <w:szCs w:val="24"/>
        </w:rPr>
        <w:t xml:space="preserve">jurysdykcji </w:t>
      </w:r>
      <w:r w:rsidRPr="00E95678">
        <w:rPr>
          <w:rFonts w:ascii="Times New Roman" w:hAnsi="Times New Roman" w:cs="Times New Roman"/>
          <w:iCs/>
          <w:sz w:val="24"/>
          <w:szCs w:val="24"/>
        </w:rPr>
        <w:t xml:space="preserve">oraz </w:t>
      </w:r>
    </w:p>
    <w:p w14:paraId="45176EC3" w14:textId="77777777" w:rsidR="006C6FE0" w:rsidRPr="00E95678" w:rsidRDefault="006C6FE0" w:rsidP="009E73F7">
      <w:pPr>
        <w:pStyle w:val="Akapitzlist"/>
        <w:numPr>
          <w:ilvl w:val="0"/>
          <w:numId w:val="134"/>
        </w:numPr>
        <w:jc w:val="both"/>
        <w:rPr>
          <w:rFonts w:ascii="Times New Roman" w:hAnsi="Times New Roman" w:cs="Times New Roman"/>
          <w:iCs/>
          <w:sz w:val="24"/>
          <w:szCs w:val="24"/>
        </w:rPr>
      </w:pPr>
      <w:r w:rsidRPr="00E95678">
        <w:rPr>
          <w:rFonts w:ascii="Times New Roman" w:hAnsi="Times New Roman" w:cs="Times New Roman"/>
          <w:iCs/>
          <w:sz w:val="24"/>
          <w:szCs w:val="24"/>
        </w:rPr>
        <w:t>szczególnych jednostek, np. jednostek inwestycyjnych i jednostek joint venture, dla których dokonuje się odrębnej kalkulacji ETR.</w:t>
      </w:r>
    </w:p>
    <w:p w14:paraId="2F00F75F" w14:textId="77777777" w:rsidR="006C6FE0" w:rsidRPr="00E95678" w:rsidRDefault="006C6FE0" w:rsidP="006C6FE0">
      <w:pPr>
        <w:pStyle w:val="Nagwek5"/>
        <w:spacing w:before="240"/>
        <w:rPr>
          <w:rFonts w:ascii="Times New Roman" w:hAnsi="Times New Roman" w:cs="Times New Roman"/>
          <w:sz w:val="24"/>
          <w:szCs w:val="24"/>
        </w:rPr>
      </w:pPr>
      <w:r w:rsidRPr="00E95678">
        <w:rPr>
          <w:rFonts w:ascii="Times New Roman" w:hAnsi="Times New Roman" w:cs="Times New Roman"/>
          <w:sz w:val="24"/>
          <w:szCs w:val="24"/>
        </w:rPr>
        <w:t>Art. 13 [Jurysdykcyjny globalny podatek wyrównawczy]</w:t>
      </w:r>
    </w:p>
    <w:p w14:paraId="531ECAC2" w14:textId="4AC83ACE" w:rsidR="006C6FE0" w:rsidRPr="00E95678" w:rsidRDefault="006C6FE0" w:rsidP="006C6FE0">
      <w:pPr>
        <w:spacing w:after="240"/>
        <w:jc w:val="both"/>
        <w:rPr>
          <w:rFonts w:ascii="Times New Roman" w:hAnsi="Times New Roman" w:cs="Times New Roman"/>
          <w:iCs/>
          <w:sz w:val="24"/>
          <w:szCs w:val="24"/>
        </w:rPr>
      </w:pPr>
      <w:r w:rsidRPr="00E95678">
        <w:rPr>
          <w:rFonts w:ascii="Times New Roman" w:hAnsi="Times New Roman" w:cs="Times New Roman"/>
          <w:b/>
          <w:bCs/>
          <w:iCs/>
          <w:sz w:val="24"/>
          <w:szCs w:val="24"/>
        </w:rPr>
        <w:t xml:space="preserve">Art. 13 ust. 1 </w:t>
      </w:r>
      <w:r w:rsidRPr="00E95678">
        <w:rPr>
          <w:rFonts w:ascii="Times New Roman" w:hAnsi="Times New Roman" w:cs="Times New Roman"/>
          <w:iCs/>
          <w:sz w:val="24"/>
          <w:szCs w:val="24"/>
        </w:rPr>
        <w:t xml:space="preserve">określa sposób kalkulacji </w:t>
      </w:r>
      <w:r w:rsidRPr="00E95678">
        <w:rPr>
          <w:rFonts w:ascii="Times New Roman" w:hAnsi="Times New Roman" w:cs="Times New Roman"/>
          <w:b/>
          <w:bCs/>
          <w:iCs/>
          <w:sz w:val="24"/>
          <w:szCs w:val="24"/>
        </w:rPr>
        <w:t>jurysdykcyjnego globalnego podatku wyrównawczego</w:t>
      </w:r>
      <w:r w:rsidRPr="00E95678">
        <w:rPr>
          <w:rFonts w:ascii="Times New Roman" w:hAnsi="Times New Roman" w:cs="Times New Roman"/>
          <w:iCs/>
          <w:sz w:val="24"/>
          <w:szCs w:val="24"/>
        </w:rPr>
        <w:t xml:space="preserve"> dla </w:t>
      </w:r>
      <w:r w:rsidR="009B54C0" w:rsidRPr="00E95678">
        <w:rPr>
          <w:rFonts w:ascii="Times New Roman" w:hAnsi="Times New Roman" w:cs="Times New Roman"/>
          <w:sz w:val="24"/>
          <w:szCs w:val="24"/>
        </w:rPr>
        <w:t xml:space="preserve">jurysdykcji </w:t>
      </w:r>
      <w:r w:rsidRPr="00E95678">
        <w:rPr>
          <w:rFonts w:ascii="Times New Roman" w:hAnsi="Times New Roman" w:cs="Times New Roman"/>
          <w:iCs/>
          <w:sz w:val="24"/>
          <w:szCs w:val="24"/>
        </w:rPr>
        <w:t xml:space="preserve">o niskim poziomie opodatkowania, który można przedstawić według wzoru: </w:t>
      </w:r>
    </w:p>
    <w:p w14:paraId="58C359CC" w14:textId="77777777" w:rsidR="003461F4" w:rsidRPr="003E7A67" w:rsidRDefault="003461F4" w:rsidP="003461F4">
      <w:pPr>
        <w:spacing w:after="120"/>
        <w:jc w:val="both"/>
        <w:rPr>
          <w:rFonts w:eastAsiaTheme="minorEastAsia" w:cstheme="minorHAnsi"/>
          <w:b/>
          <w:bCs/>
          <w:iCs/>
        </w:rPr>
      </w:pPr>
      <m:oMathPara>
        <m:oMathParaPr>
          <m:jc m:val="center"/>
        </m:oMathParaPr>
        <m:oMath>
          <m:r>
            <m:rPr>
              <m:sty m:val="b"/>
            </m:rPr>
            <w:rPr>
              <w:rFonts w:ascii="Cambria Math" w:hAnsi="Cambria Math" w:cstheme="minorHAnsi"/>
            </w:rPr>
            <m:t>jurysdykcyjny globalny podatek wyrównaczy</m:t>
          </m:r>
        </m:oMath>
      </m:oMathPara>
    </w:p>
    <w:p w14:paraId="5958CF2F" w14:textId="77777777" w:rsidR="003461F4" w:rsidRPr="003E7A67" w:rsidRDefault="003461F4" w:rsidP="003461F4">
      <w:pPr>
        <w:spacing w:after="120"/>
        <w:jc w:val="both"/>
        <w:rPr>
          <w:rFonts w:cstheme="minorHAnsi"/>
          <w:b/>
          <w:bCs/>
          <w:iCs/>
        </w:rPr>
      </w:pPr>
      <m:oMathPara>
        <m:oMathParaPr>
          <m:jc m:val="center"/>
        </m:oMathParaPr>
        <m:oMath>
          <m:r>
            <m:rPr>
              <m:sty m:val="b"/>
            </m:rPr>
            <w:rPr>
              <w:rFonts w:ascii="Cambria Math" w:hAnsi="Cambria Math" w:cstheme="minorHAnsi"/>
            </w:rPr>
            <m:t>=</m:t>
          </m:r>
          <m:d>
            <m:dPr>
              <m:ctrlPr>
                <w:rPr>
                  <w:rFonts w:ascii="Cambria Math" w:hAnsi="Cambria Math" w:cstheme="minorHAnsi"/>
                  <w:bCs/>
                  <w:iCs/>
                </w:rPr>
              </m:ctrlPr>
            </m:dPr>
            <m:e>
              <m:r>
                <m:rPr>
                  <m:sty m:val="p"/>
                </m:rPr>
                <w:rPr>
                  <w:rFonts w:ascii="Cambria Math" w:hAnsi="Cambria Math" w:cstheme="minorHAnsi"/>
                </w:rPr>
                <m:t>indywidualna stawka globalnego podatku wyrównawczego x nadwyżka zysku</m:t>
              </m:r>
            </m:e>
          </m:d>
          <m:r>
            <m:rPr>
              <m:sty m:val="p"/>
            </m:rPr>
            <w:rPr>
              <w:rFonts w:ascii="Cambria Math" w:hAnsi="Cambria Math" w:cstheme="minorHAnsi"/>
            </w:rPr>
            <m:t>+dodatkowy podatek wyrównawczy-kwalifikowany krajowy podatek wyrównawczy</m:t>
          </m:r>
          <m:r>
            <m:rPr>
              <m:sty m:val="b"/>
            </m:rPr>
            <w:rPr>
              <w:rFonts w:ascii="Cambria Math" w:hAnsi="Cambria Math" w:cstheme="minorHAnsi"/>
            </w:rPr>
            <m:t xml:space="preserve"> </m:t>
          </m:r>
          <m:r>
            <m:rPr>
              <m:sty m:val="p"/>
            </m:rPr>
            <w:rPr>
              <w:rFonts w:ascii="Cambria Math" w:hAnsi="Cambria Math" w:cstheme="minorHAnsi"/>
            </w:rPr>
            <m:t>w części wymagalnej do zapłaty</m:t>
          </m:r>
        </m:oMath>
      </m:oMathPara>
    </w:p>
    <w:p w14:paraId="2C481084" w14:textId="77777777" w:rsidR="006C6FE0" w:rsidRPr="00E95678" w:rsidRDefault="006C6FE0" w:rsidP="006C6FE0">
      <w:pPr>
        <w:spacing w:before="240"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Wzór ten opiera się przede wszystkim na pojęciach „indywidualnej stawki podatkowej” (ang. </w:t>
      </w:r>
      <w:r w:rsidRPr="00E95678">
        <w:rPr>
          <w:rFonts w:ascii="Times New Roman" w:hAnsi="Times New Roman" w:cs="Times New Roman"/>
          <w:i/>
          <w:sz w:val="24"/>
          <w:szCs w:val="24"/>
        </w:rPr>
        <w:t>top-up tax percentage</w:t>
      </w:r>
      <w:r w:rsidRPr="00E95678">
        <w:rPr>
          <w:rFonts w:ascii="Times New Roman" w:hAnsi="Times New Roman" w:cs="Times New Roman"/>
          <w:iCs/>
          <w:sz w:val="24"/>
          <w:szCs w:val="24"/>
        </w:rPr>
        <w:t xml:space="preserve">) oraz „nadwyżki zysku” (ang. </w:t>
      </w:r>
      <w:r w:rsidRPr="00E95678">
        <w:rPr>
          <w:rFonts w:ascii="Times New Roman" w:hAnsi="Times New Roman" w:cs="Times New Roman"/>
          <w:i/>
          <w:sz w:val="24"/>
          <w:szCs w:val="24"/>
        </w:rPr>
        <w:t>excess profit</w:t>
      </w:r>
      <w:r w:rsidRPr="00E95678">
        <w:rPr>
          <w:rFonts w:ascii="Times New Roman" w:hAnsi="Times New Roman" w:cs="Times New Roman"/>
          <w:iCs/>
          <w:sz w:val="24"/>
          <w:szCs w:val="24"/>
        </w:rPr>
        <w:t xml:space="preserve">). </w:t>
      </w:r>
    </w:p>
    <w:p w14:paraId="63AE66B3" w14:textId="1D78A314"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b/>
          <w:bCs/>
          <w:iCs/>
          <w:sz w:val="24"/>
          <w:szCs w:val="24"/>
        </w:rPr>
        <w:t>Indywidualna stawka podatkowa</w:t>
      </w:r>
      <w:r w:rsidRPr="00E95678">
        <w:rPr>
          <w:rFonts w:ascii="Times New Roman" w:hAnsi="Times New Roman" w:cs="Times New Roman"/>
          <w:iCs/>
          <w:sz w:val="24"/>
          <w:szCs w:val="24"/>
        </w:rPr>
        <w:t xml:space="preserve"> dla </w:t>
      </w:r>
      <w:r w:rsidR="009B54C0" w:rsidRPr="00E95678">
        <w:rPr>
          <w:rFonts w:ascii="Times New Roman" w:hAnsi="Times New Roman" w:cs="Times New Roman"/>
          <w:iCs/>
          <w:sz w:val="24"/>
          <w:szCs w:val="24"/>
        </w:rPr>
        <w:t xml:space="preserve">danej </w:t>
      </w:r>
      <w:r w:rsidR="009B54C0" w:rsidRPr="00E95678">
        <w:rPr>
          <w:rFonts w:ascii="Times New Roman" w:hAnsi="Times New Roman" w:cs="Times New Roman"/>
          <w:sz w:val="24"/>
          <w:szCs w:val="24"/>
        </w:rPr>
        <w:t>jurysdykcji</w:t>
      </w:r>
      <w:r w:rsidRPr="00E95678">
        <w:rPr>
          <w:rFonts w:ascii="Times New Roman" w:hAnsi="Times New Roman" w:cs="Times New Roman"/>
          <w:iCs/>
          <w:sz w:val="24"/>
          <w:szCs w:val="24"/>
        </w:rPr>
        <w:t xml:space="preserve">, określona w </w:t>
      </w:r>
      <w:r w:rsidRPr="00E95678">
        <w:rPr>
          <w:rFonts w:ascii="Times New Roman" w:hAnsi="Times New Roman" w:cs="Times New Roman"/>
          <w:b/>
          <w:bCs/>
          <w:iCs/>
          <w:sz w:val="24"/>
          <w:szCs w:val="24"/>
        </w:rPr>
        <w:t>pkt 1</w:t>
      </w:r>
      <w:r w:rsidRPr="00E95678">
        <w:rPr>
          <w:rFonts w:ascii="Times New Roman" w:hAnsi="Times New Roman" w:cs="Times New Roman"/>
          <w:iCs/>
          <w:sz w:val="24"/>
          <w:szCs w:val="24"/>
        </w:rPr>
        <w:t xml:space="preserve">, oznacza </w:t>
      </w:r>
      <w:r w:rsidRPr="00E95678">
        <w:rPr>
          <w:rFonts w:ascii="Times New Roman" w:hAnsi="Times New Roman" w:cs="Times New Roman"/>
          <w:sz w:val="24"/>
          <w:szCs w:val="24"/>
        </w:rPr>
        <w:t xml:space="preserve">liczbę punktów procentowych obliczoną jako różnicę między </w:t>
      </w:r>
      <w:r w:rsidRPr="00E95678">
        <w:rPr>
          <w:rStyle w:val="Kkursywa"/>
          <w:rFonts w:ascii="Times New Roman" w:hAnsi="Times New Roman" w:cs="Times New Roman"/>
          <w:i w:val="0"/>
          <w:iCs/>
          <w:sz w:val="24"/>
          <w:szCs w:val="24"/>
        </w:rPr>
        <w:t>stawką 15% a efektywną stawką podatkową</w:t>
      </w:r>
      <w:r w:rsidRPr="00E95678">
        <w:rPr>
          <w:rFonts w:ascii="Times New Roman" w:hAnsi="Times New Roman" w:cs="Times New Roman"/>
          <w:iCs/>
          <w:sz w:val="24"/>
          <w:szCs w:val="24"/>
        </w:rPr>
        <w:t xml:space="preserve"> określoną dla </w:t>
      </w:r>
      <w:r w:rsidR="009B54C0" w:rsidRPr="00E95678">
        <w:rPr>
          <w:rFonts w:ascii="Times New Roman" w:hAnsi="Times New Roman" w:cs="Times New Roman"/>
          <w:iCs/>
          <w:sz w:val="24"/>
          <w:szCs w:val="24"/>
        </w:rPr>
        <w:t xml:space="preserve">danej </w:t>
      </w:r>
      <w:r w:rsidR="009B54C0" w:rsidRPr="00E95678">
        <w:rPr>
          <w:rFonts w:ascii="Times New Roman" w:hAnsi="Times New Roman" w:cs="Times New Roman"/>
          <w:sz w:val="24"/>
          <w:szCs w:val="24"/>
        </w:rPr>
        <w:t xml:space="preserve">jurysdykcji </w:t>
      </w:r>
      <w:r w:rsidRPr="00E95678">
        <w:rPr>
          <w:rFonts w:ascii="Times New Roman" w:hAnsi="Times New Roman" w:cs="Times New Roman"/>
          <w:iCs/>
          <w:sz w:val="24"/>
          <w:szCs w:val="24"/>
        </w:rPr>
        <w:t xml:space="preserve">za rok podatkowy. Przykładowo, jeżeli efektywna stawka podatkowa (ETR) wynosi 8%, </w:t>
      </w:r>
      <w:r w:rsidR="00BF3F7E" w:rsidRPr="00E95678">
        <w:rPr>
          <w:rFonts w:ascii="Times New Roman" w:hAnsi="Times New Roman" w:cs="Times New Roman"/>
          <w:iCs/>
          <w:sz w:val="24"/>
          <w:szCs w:val="24"/>
        </w:rPr>
        <w:t>indywidualna stawka podatkowa</w:t>
      </w:r>
      <w:r w:rsidRPr="00E95678">
        <w:rPr>
          <w:rFonts w:ascii="Times New Roman" w:hAnsi="Times New Roman" w:cs="Times New Roman"/>
          <w:iCs/>
          <w:sz w:val="24"/>
          <w:szCs w:val="24"/>
        </w:rPr>
        <w:t xml:space="preserve"> równ</w:t>
      </w:r>
      <w:r w:rsidR="00BF3F7E" w:rsidRPr="00E95678">
        <w:rPr>
          <w:rFonts w:ascii="Times New Roman" w:hAnsi="Times New Roman" w:cs="Times New Roman"/>
          <w:iCs/>
          <w:sz w:val="24"/>
          <w:szCs w:val="24"/>
        </w:rPr>
        <w:t>a</w:t>
      </w:r>
      <w:r w:rsidRPr="00E95678">
        <w:rPr>
          <w:rFonts w:ascii="Times New Roman" w:hAnsi="Times New Roman" w:cs="Times New Roman"/>
          <w:iCs/>
          <w:sz w:val="24"/>
          <w:szCs w:val="24"/>
        </w:rPr>
        <w:t xml:space="preserve"> jest 7% (15%–8%). </w:t>
      </w:r>
      <w:r w:rsidR="00BF3F7E" w:rsidRPr="00E95678">
        <w:rPr>
          <w:rFonts w:ascii="Times New Roman" w:hAnsi="Times New Roman" w:cs="Times New Roman"/>
          <w:iCs/>
          <w:sz w:val="24"/>
          <w:szCs w:val="24"/>
        </w:rPr>
        <w:t>W Dyrektywie stawka ta określana jest jako „procent podatku wyrównawczego” (</w:t>
      </w:r>
      <w:r w:rsidR="00BF3F7E" w:rsidRPr="00E95678">
        <w:rPr>
          <w:rFonts w:ascii="Times New Roman" w:hAnsi="Times New Roman" w:cs="Times New Roman"/>
          <w:i/>
          <w:sz w:val="24"/>
          <w:szCs w:val="24"/>
        </w:rPr>
        <w:t>top-up tax percentage</w:t>
      </w:r>
      <w:r w:rsidR="00BF3F7E" w:rsidRPr="00E95678">
        <w:rPr>
          <w:rFonts w:ascii="Times New Roman" w:hAnsi="Times New Roman" w:cs="Times New Roman"/>
          <w:iCs/>
          <w:sz w:val="24"/>
          <w:szCs w:val="24"/>
        </w:rPr>
        <w:t>).</w:t>
      </w:r>
    </w:p>
    <w:p w14:paraId="34A6DD8F" w14:textId="5507C44B"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Jeżeli efektywna stawka podatkowa jest równa lub wyższa od minimalnej stawki podatkowej (15%), dla </w:t>
      </w:r>
      <w:r w:rsidR="009B54C0" w:rsidRPr="00E95678">
        <w:rPr>
          <w:rFonts w:ascii="Times New Roman" w:hAnsi="Times New Roman" w:cs="Times New Roman"/>
          <w:iCs/>
          <w:sz w:val="24"/>
          <w:szCs w:val="24"/>
        </w:rPr>
        <w:t xml:space="preserve">danej </w:t>
      </w:r>
      <w:r w:rsidR="009B54C0" w:rsidRPr="00E95678">
        <w:rPr>
          <w:rFonts w:ascii="Times New Roman" w:hAnsi="Times New Roman" w:cs="Times New Roman"/>
          <w:sz w:val="24"/>
          <w:szCs w:val="24"/>
        </w:rPr>
        <w:t xml:space="preserve">jurysdykcji </w:t>
      </w:r>
      <w:r w:rsidRPr="00E95678">
        <w:rPr>
          <w:rFonts w:ascii="Times New Roman" w:hAnsi="Times New Roman" w:cs="Times New Roman"/>
          <w:iCs/>
          <w:sz w:val="24"/>
          <w:szCs w:val="24"/>
        </w:rPr>
        <w:t xml:space="preserve">nie oblicza się jurysdykcyjnego globalnego podatku wyrównawczego; </w:t>
      </w:r>
      <w:r w:rsidR="009B54C0" w:rsidRPr="00E95678">
        <w:rPr>
          <w:rFonts w:ascii="Times New Roman" w:hAnsi="Times New Roman" w:cs="Times New Roman"/>
          <w:sz w:val="24"/>
          <w:szCs w:val="24"/>
        </w:rPr>
        <w:t xml:space="preserve">jurysdykcja </w:t>
      </w:r>
      <w:r w:rsidR="009B54C0" w:rsidRPr="00E95678">
        <w:rPr>
          <w:rFonts w:ascii="Times New Roman" w:hAnsi="Times New Roman" w:cs="Times New Roman"/>
          <w:iCs/>
          <w:sz w:val="24"/>
          <w:szCs w:val="24"/>
        </w:rPr>
        <w:t xml:space="preserve">ta </w:t>
      </w:r>
      <w:r w:rsidRPr="00E95678">
        <w:rPr>
          <w:rFonts w:ascii="Times New Roman" w:hAnsi="Times New Roman" w:cs="Times New Roman"/>
          <w:iCs/>
          <w:sz w:val="24"/>
          <w:szCs w:val="24"/>
        </w:rPr>
        <w:t xml:space="preserve">nie jest bowiem </w:t>
      </w:r>
      <w:r w:rsidR="009B54C0" w:rsidRPr="00E95678">
        <w:rPr>
          <w:rFonts w:ascii="Times New Roman" w:hAnsi="Times New Roman" w:cs="Times New Roman"/>
          <w:sz w:val="24"/>
          <w:szCs w:val="24"/>
        </w:rPr>
        <w:t xml:space="preserve">jurysdykcją </w:t>
      </w:r>
      <w:r w:rsidRPr="00E95678">
        <w:rPr>
          <w:rFonts w:ascii="Times New Roman" w:hAnsi="Times New Roman" w:cs="Times New Roman"/>
          <w:iCs/>
          <w:sz w:val="24"/>
          <w:szCs w:val="24"/>
        </w:rPr>
        <w:t xml:space="preserve">o niskim poziomie opodatkowania. </w:t>
      </w:r>
    </w:p>
    <w:p w14:paraId="008E8C72" w14:textId="38150910" w:rsidR="006C6FE0" w:rsidRPr="00E95678"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Z kolei </w:t>
      </w:r>
      <w:r w:rsidRPr="00E95678">
        <w:rPr>
          <w:rFonts w:ascii="Times New Roman" w:hAnsi="Times New Roman" w:cs="Times New Roman"/>
          <w:b/>
          <w:bCs/>
          <w:iCs/>
          <w:sz w:val="24"/>
          <w:szCs w:val="24"/>
        </w:rPr>
        <w:t>nadwyżka zysku</w:t>
      </w:r>
      <w:r w:rsidRPr="00E95678">
        <w:rPr>
          <w:rFonts w:ascii="Times New Roman" w:hAnsi="Times New Roman" w:cs="Times New Roman"/>
          <w:iCs/>
          <w:sz w:val="24"/>
          <w:szCs w:val="24"/>
        </w:rPr>
        <w:t xml:space="preserve"> dla </w:t>
      </w:r>
      <w:r w:rsidR="009B54C0" w:rsidRPr="00E95678">
        <w:rPr>
          <w:rFonts w:ascii="Times New Roman" w:hAnsi="Times New Roman" w:cs="Times New Roman"/>
          <w:iCs/>
          <w:sz w:val="24"/>
          <w:szCs w:val="24"/>
        </w:rPr>
        <w:t xml:space="preserve">danej </w:t>
      </w:r>
      <w:r w:rsidR="009B54C0" w:rsidRPr="00E95678">
        <w:rPr>
          <w:rFonts w:ascii="Times New Roman" w:hAnsi="Times New Roman" w:cs="Times New Roman"/>
          <w:sz w:val="24"/>
          <w:szCs w:val="24"/>
        </w:rPr>
        <w:t xml:space="preserve">jurysdykcji </w:t>
      </w:r>
      <w:r w:rsidRPr="00E95678">
        <w:rPr>
          <w:rFonts w:ascii="Times New Roman" w:hAnsi="Times New Roman" w:cs="Times New Roman"/>
          <w:iCs/>
          <w:sz w:val="24"/>
          <w:szCs w:val="24"/>
        </w:rPr>
        <w:t>(</w:t>
      </w:r>
      <w:r w:rsidRPr="00E95678">
        <w:rPr>
          <w:rFonts w:ascii="Times New Roman" w:hAnsi="Times New Roman" w:cs="Times New Roman"/>
          <w:b/>
          <w:bCs/>
          <w:iCs/>
          <w:sz w:val="24"/>
          <w:szCs w:val="24"/>
        </w:rPr>
        <w:t>pkt 2</w:t>
      </w:r>
      <w:r w:rsidRPr="00E95678">
        <w:rPr>
          <w:rFonts w:ascii="Times New Roman" w:hAnsi="Times New Roman" w:cs="Times New Roman"/>
          <w:iCs/>
          <w:sz w:val="24"/>
          <w:szCs w:val="24"/>
        </w:rPr>
        <w:t xml:space="preserve">) jest kwotą jurysdykcyjnego kwalifikowanego dochodu netto pozostałą po zastosowaniu wyłączenia z tytułu substratu majątkowo-osobowego. Tym samym, jest to różnica między jurysdykcyjnym kwalifikowanym dochodem netto  a wartością substratu majątkowo–osobowego, ustalonych dla </w:t>
      </w:r>
      <w:r w:rsidR="009B54C0" w:rsidRPr="00E95678">
        <w:rPr>
          <w:rFonts w:ascii="Times New Roman" w:hAnsi="Times New Roman" w:cs="Times New Roman"/>
          <w:iCs/>
          <w:sz w:val="24"/>
          <w:szCs w:val="24"/>
        </w:rPr>
        <w:t xml:space="preserve">danej </w:t>
      </w:r>
      <w:r w:rsidR="009B54C0" w:rsidRPr="00E95678">
        <w:rPr>
          <w:rFonts w:ascii="Times New Roman" w:hAnsi="Times New Roman" w:cs="Times New Roman"/>
          <w:sz w:val="24"/>
          <w:szCs w:val="24"/>
        </w:rPr>
        <w:t>jurysdykcji</w:t>
      </w:r>
      <w:r w:rsidRPr="00E95678">
        <w:rPr>
          <w:rFonts w:ascii="Times New Roman" w:hAnsi="Times New Roman" w:cs="Times New Roman"/>
          <w:iCs/>
          <w:sz w:val="24"/>
          <w:szCs w:val="24"/>
        </w:rPr>
        <w:t xml:space="preserve">. Zasady obliczenia tego substratu określone zostały w </w:t>
      </w:r>
      <w:r w:rsidRPr="00E95678">
        <w:rPr>
          <w:rFonts w:ascii="Times New Roman" w:hAnsi="Times New Roman" w:cs="Times New Roman"/>
          <w:b/>
          <w:bCs/>
          <w:iCs/>
          <w:sz w:val="24"/>
          <w:szCs w:val="24"/>
        </w:rPr>
        <w:t>art. 101</w:t>
      </w:r>
      <w:r w:rsidRPr="00E95678">
        <w:rPr>
          <w:rFonts w:ascii="Times New Roman" w:hAnsi="Times New Roman" w:cs="Times New Roman"/>
          <w:iCs/>
          <w:sz w:val="24"/>
          <w:szCs w:val="24"/>
        </w:rPr>
        <w:t xml:space="preserve"> ustawy. </w:t>
      </w:r>
    </w:p>
    <w:p w14:paraId="77AEAE8D" w14:textId="769C1F8D" w:rsidR="006C6FE0" w:rsidRDefault="006C6FE0" w:rsidP="006C6FE0">
      <w:pPr>
        <w:spacing w:after="120"/>
        <w:jc w:val="both"/>
        <w:rPr>
          <w:rFonts w:ascii="Times New Roman" w:hAnsi="Times New Roman" w:cs="Times New Roman"/>
          <w:iCs/>
          <w:sz w:val="24"/>
          <w:szCs w:val="24"/>
        </w:rPr>
      </w:pPr>
      <w:r w:rsidRPr="00E95678">
        <w:rPr>
          <w:rFonts w:ascii="Times New Roman" w:hAnsi="Times New Roman" w:cs="Times New Roman"/>
          <w:iCs/>
          <w:sz w:val="24"/>
          <w:szCs w:val="24"/>
        </w:rPr>
        <w:t xml:space="preserve">Aby ustalić jurysdykcyjny globalny podatek wyrównawczy, w pierwszej kolejności indywidualna stawka podatkowa jest mnożona przez nadwyżkę zysku ustaloną dla </w:t>
      </w:r>
      <w:r w:rsidR="009B54C0" w:rsidRPr="00E95678">
        <w:rPr>
          <w:rFonts w:ascii="Times New Roman" w:hAnsi="Times New Roman" w:cs="Times New Roman"/>
          <w:iCs/>
          <w:sz w:val="24"/>
          <w:szCs w:val="24"/>
        </w:rPr>
        <w:t xml:space="preserve">danej </w:t>
      </w:r>
      <w:r w:rsidR="009B54C0" w:rsidRPr="00E95678">
        <w:rPr>
          <w:rFonts w:ascii="Times New Roman" w:hAnsi="Times New Roman" w:cs="Times New Roman"/>
          <w:sz w:val="24"/>
          <w:szCs w:val="24"/>
        </w:rPr>
        <w:t xml:space="preserve">jurysdykcji </w:t>
      </w:r>
      <w:r w:rsidRPr="00E95678">
        <w:rPr>
          <w:rFonts w:ascii="Times New Roman" w:hAnsi="Times New Roman" w:cs="Times New Roman"/>
          <w:iCs/>
          <w:sz w:val="24"/>
          <w:szCs w:val="24"/>
        </w:rPr>
        <w:t xml:space="preserve">za rok podatkowy. </w:t>
      </w:r>
    </w:p>
    <w:p w14:paraId="2BDC5FB1" w14:textId="77777777" w:rsidR="003461F4" w:rsidRDefault="003461F4" w:rsidP="006C6FE0">
      <w:pPr>
        <w:spacing w:after="120"/>
        <w:jc w:val="both"/>
        <w:rPr>
          <w:rFonts w:ascii="Times New Roman" w:hAnsi="Times New Roman" w:cs="Times New Roman"/>
          <w:iCs/>
          <w:sz w:val="24"/>
          <w:szCs w:val="24"/>
        </w:rPr>
      </w:pPr>
    </w:p>
    <w:p w14:paraId="5381D0FB" w14:textId="77777777" w:rsidR="003461F4" w:rsidRPr="00E95678" w:rsidRDefault="003461F4" w:rsidP="006C6FE0">
      <w:pPr>
        <w:spacing w:after="120"/>
        <w:jc w:val="both"/>
        <w:rPr>
          <w:rFonts w:ascii="Times New Roman" w:hAnsi="Times New Roman" w:cs="Times New Roman"/>
          <w:iCs/>
          <w:sz w:val="24"/>
          <w:szCs w:val="24"/>
        </w:rPr>
      </w:pPr>
    </w:p>
    <w:p w14:paraId="036B5FD2" w14:textId="0B97AB80" w:rsidR="006C6FE0" w:rsidRPr="003E7A67" w:rsidRDefault="006C6FE0" w:rsidP="00FE681A">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lastRenderedPageBreak/>
        <w:t>Przykład:</w:t>
      </w:r>
    </w:p>
    <w:p w14:paraId="4947BF66" w14:textId="1CFC7ABD" w:rsidR="006C6FE0" w:rsidRPr="003E7A67" w:rsidRDefault="006C6FE0" w:rsidP="00FE681A">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W </w:t>
      </w:r>
      <w:r w:rsidR="009B54C0"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z 8% ETR za 2025 r., indywidualną stawkę podatkową za ten rok oblicza się jako 15% - 8%, tj. stawka ta wynosi 7%. Jurysdykcyjny kwalifikowany dochód netto dla </w:t>
      </w:r>
      <w:r w:rsidR="009B54C0" w:rsidRPr="003E7A67">
        <w:rPr>
          <w:rFonts w:asciiTheme="minorHAnsi" w:hAnsiTheme="minorHAnsi" w:cstheme="minorHAnsi"/>
          <w:bCs w:val="0"/>
          <w:i/>
          <w:iCs/>
          <w:sz w:val="22"/>
          <w:szCs w:val="22"/>
        </w:rPr>
        <w:t xml:space="preserve">tej jurysdykcji </w:t>
      </w:r>
      <w:r w:rsidRPr="003E7A67">
        <w:rPr>
          <w:rFonts w:asciiTheme="minorHAnsi" w:hAnsiTheme="minorHAnsi" w:cstheme="minorHAnsi"/>
          <w:bCs w:val="0"/>
          <w:i/>
          <w:iCs/>
          <w:sz w:val="22"/>
          <w:szCs w:val="22"/>
        </w:rPr>
        <w:t xml:space="preserve">wyniósł 100, lecz w </w:t>
      </w:r>
      <w:r w:rsidR="009B54C0" w:rsidRPr="003E7A67">
        <w:rPr>
          <w:rFonts w:asciiTheme="minorHAnsi" w:hAnsiTheme="minorHAnsi" w:cstheme="minorHAnsi"/>
          <w:bCs w:val="0"/>
          <w:i/>
          <w:iCs/>
          <w:sz w:val="22"/>
          <w:szCs w:val="22"/>
        </w:rPr>
        <w:t xml:space="preserve">jurysdykcji tej </w:t>
      </w:r>
      <w:r w:rsidRPr="003E7A67">
        <w:rPr>
          <w:rFonts w:asciiTheme="minorHAnsi" w:hAnsiTheme="minorHAnsi" w:cstheme="minorHAnsi"/>
          <w:bCs w:val="0"/>
          <w:i/>
          <w:iCs/>
          <w:sz w:val="22"/>
          <w:szCs w:val="22"/>
        </w:rPr>
        <w:t>przysługuje wyłączenie z tytułu substratu majątkowo-osobowego w kwocie 40. Nadwyżka zysku to 100-40 = 60.</w:t>
      </w:r>
    </w:p>
    <w:p w14:paraId="60868A2A" w14:textId="77777777" w:rsidR="006C6FE0" w:rsidRPr="003E7A67" w:rsidRDefault="006C6FE0" w:rsidP="00FE681A">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Aby ustalić jurysdykcyjny globalny podatek wyrównawczy, w pierwszej kolejności indywidualna stawka podatkowa jest mnożona przez nadwyżkę zysku, tj. 7% x 60 = 4,2. </w:t>
      </w:r>
    </w:p>
    <w:p w14:paraId="246F4C7E" w14:textId="77777777"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iCs/>
          <w:sz w:val="24"/>
          <w:szCs w:val="24"/>
        </w:rPr>
        <w:t>Ponieważ nadwyżka zysku (a uprzednio także ETR) jest obliczana poprzez odniesienie do jurysdykcyjnego kwalifikowanego dochodu netto, w przypadku wystąpienia jurysdykcyjnej kwalifikowanej straty (netto) nie wystąpi nadwyżka zysku. Jednak nawet w takiej sytuacji może wystąpić jurysdykcyjnych globalny podatek wyrównawczy, jeżeli naliczony będzie dodatkowy podatek wyrównawczy.</w:t>
      </w:r>
    </w:p>
    <w:p w14:paraId="5CD65271" w14:textId="77777777"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iCs/>
          <w:sz w:val="24"/>
          <w:szCs w:val="24"/>
        </w:rPr>
        <w:t>Dodatkowy podatek wyrównawczy to kwota dodatkowo uwzględniona w jurysdykcyjnym globalnym podatku wyrównawczym</w:t>
      </w:r>
      <w:r w:rsidRPr="00C96268">
        <w:rPr>
          <w:rStyle w:val="Odwoanieprzypisudolnego"/>
          <w:rFonts w:ascii="Times New Roman" w:hAnsi="Times New Roman" w:cs="Times New Roman"/>
          <w:iCs/>
          <w:sz w:val="24"/>
          <w:szCs w:val="24"/>
        </w:rPr>
        <w:footnoteReference w:id="74"/>
      </w:r>
      <w:r w:rsidRPr="00C96268">
        <w:rPr>
          <w:rFonts w:ascii="Times New Roman" w:hAnsi="Times New Roman" w:cs="Times New Roman"/>
          <w:iCs/>
          <w:sz w:val="24"/>
          <w:szCs w:val="24"/>
        </w:rPr>
        <w:t xml:space="preserve"> za bieżący rok, która to kwota wynika z korekt za lata poprzednie, wymagających - zgodnie z </w:t>
      </w:r>
      <w:r w:rsidRPr="00C96268">
        <w:rPr>
          <w:rFonts w:ascii="Times New Roman" w:hAnsi="Times New Roman" w:cs="Times New Roman"/>
          <w:b/>
          <w:bCs/>
          <w:iCs/>
          <w:sz w:val="24"/>
          <w:szCs w:val="24"/>
        </w:rPr>
        <w:t xml:space="preserve">art. 16 </w:t>
      </w:r>
      <w:r w:rsidRPr="00C96268">
        <w:rPr>
          <w:rFonts w:ascii="Times New Roman" w:hAnsi="Times New Roman" w:cs="Times New Roman"/>
          <w:iCs/>
          <w:sz w:val="24"/>
          <w:szCs w:val="24"/>
        </w:rPr>
        <w:t xml:space="preserve">ustawy - ponownych obliczeń globalnego podatku wyrównawczego za te poprzednie lata. </w:t>
      </w:r>
    </w:p>
    <w:p w14:paraId="25259CA2" w14:textId="3F309C9E" w:rsidR="006C6FE0" w:rsidRPr="00C96268" w:rsidRDefault="006C6FE0" w:rsidP="006C6FE0">
      <w:pPr>
        <w:pStyle w:val="USTustnpkodeksu"/>
        <w:spacing w:line="259" w:lineRule="auto"/>
        <w:ind w:firstLine="0"/>
        <w:rPr>
          <w:rFonts w:ascii="Times New Roman" w:hAnsi="Times New Roman" w:cs="Times New Roman"/>
          <w:iCs/>
          <w:szCs w:val="24"/>
        </w:rPr>
      </w:pPr>
      <w:r w:rsidRPr="00C96268">
        <w:rPr>
          <w:rFonts w:ascii="Times New Roman" w:hAnsi="Times New Roman" w:cs="Times New Roman"/>
          <w:iCs/>
          <w:szCs w:val="24"/>
        </w:rPr>
        <w:t>Co istotne, wynik obliczenia jest ponadto zmniejszany (ale nie poniżej zera) o ewentualny kwalifikowany krajowy podatek wyrównawczy</w:t>
      </w:r>
      <w:r w:rsidRPr="00C96268">
        <w:rPr>
          <w:rStyle w:val="Odwoanieprzypisudolnego"/>
          <w:rFonts w:ascii="Times New Roman" w:hAnsi="Times New Roman" w:cs="Times New Roman"/>
          <w:iCs/>
          <w:szCs w:val="24"/>
        </w:rPr>
        <w:footnoteReference w:id="75"/>
      </w:r>
      <w:r w:rsidRPr="00C96268">
        <w:rPr>
          <w:rFonts w:ascii="Times New Roman" w:hAnsi="Times New Roman" w:cs="Times New Roman"/>
          <w:iCs/>
          <w:szCs w:val="24"/>
        </w:rPr>
        <w:t xml:space="preserve"> (QDMTT). Jest to kluczowy w ramach Zasad GloBE mechanizm tzw. QDMTT credit, tj. od jurysdykcyjnego globalnego podatku wyrównawczego odlicza się podatek QDMTT należny w </w:t>
      </w:r>
      <w:r w:rsidR="009B54C0" w:rsidRPr="00C96268">
        <w:rPr>
          <w:rFonts w:ascii="Times New Roman" w:hAnsi="Times New Roman" w:cs="Times New Roman"/>
          <w:iCs/>
          <w:szCs w:val="24"/>
        </w:rPr>
        <w:t>innej jurysdykcji</w:t>
      </w:r>
      <w:r w:rsidRPr="00C96268">
        <w:rPr>
          <w:rFonts w:ascii="Times New Roman" w:hAnsi="Times New Roman" w:cs="Times New Roman"/>
          <w:iCs/>
          <w:szCs w:val="24"/>
        </w:rPr>
        <w:t xml:space="preserve">, jeżeli podatek ten został uznany za „kwalifikowany”. </w:t>
      </w:r>
    </w:p>
    <w:p w14:paraId="2EF6B5B0" w14:textId="788C3F59" w:rsidR="006C6FE0" w:rsidRPr="00C96268" w:rsidRDefault="006C6FE0" w:rsidP="006C6FE0">
      <w:pPr>
        <w:pStyle w:val="USTustnpkodeksu"/>
        <w:spacing w:before="120" w:after="120" w:line="259" w:lineRule="auto"/>
        <w:ind w:firstLine="0"/>
        <w:rPr>
          <w:rFonts w:ascii="Times New Roman" w:hAnsi="Times New Roman" w:cs="Times New Roman"/>
          <w:szCs w:val="24"/>
        </w:rPr>
      </w:pPr>
      <w:r w:rsidRPr="00C96268">
        <w:rPr>
          <w:rFonts w:ascii="Times New Roman" w:hAnsi="Times New Roman" w:cs="Times New Roman"/>
          <w:iCs/>
          <w:szCs w:val="24"/>
        </w:rPr>
        <w:t xml:space="preserve">Pomniejszenia można dokonać jednakże tylko o taką część tego podatku, która jest „wymagalna do zapłaty”. Dotyczy to koncepcji tzw. </w:t>
      </w:r>
      <w:r w:rsidRPr="00C96268">
        <w:rPr>
          <w:rFonts w:ascii="Times New Roman" w:hAnsi="Times New Roman" w:cs="Times New Roman"/>
          <w:i/>
          <w:szCs w:val="24"/>
        </w:rPr>
        <w:t>QDMTT payable</w:t>
      </w:r>
      <w:r w:rsidRPr="00C96268">
        <w:rPr>
          <w:rFonts w:ascii="Times New Roman" w:hAnsi="Times New Roman" w:cs="Times New Roman"/>
          <w:iCs/>
          <w:szCs w:val="24"/>
        </w:rPr>
        <w:t xml:space="preserve"> wynikającej z Wytycznych z lipca 2023 r. </w:t>
      </w:r>
      <w:r w:rsidRPr="00C96268">
        <w:rPr>
          <w:rFonts w:ascii="Times New Roman" w:hAnsi="Times New Roman" w:cs="Times New Roman"/>
          <w:szCs w:val="24"/>
        </w:rPr>
        <w:t xml:space="preserve">W świetle tych wytycznych, chodzi o kwoty kwalifikowanego krajowego podatku wyrównawczego, które nie są przedmiotem sporu sądowego bądź administracyjnego opartego </w:t>
      </w:r>
      <w:r w:rsidR="00936BA2" w:rsidRPr="00C96268">
        <w:rPr>
          <w:rFonts w:ascii="Times New Roman" w:hAnsi="Times New Roman" w:cs="Times New Roman"/>
          <w:szCs w:val="24"/>
        </w:rPr>
        <w:t>na</w:t>
      </w:r>
      <w:r w:rsidRPr="00C96268">
        <w:rPr>
          <w:rFonts w:ascii="Times New Roman" w:hAnsi="Times New Roman" w:cs="Times New Roman"/>
          <w:szCs w:val="24"/>
        </w:rPr>
        <w:t xml:space="preserve"> zarzut</w:t>
      </w:r>
      <w:r w:rsidR="00936BA2" w:rsidRPr="00C96268">
        <w:rPr>
          <w:rFonts w:ascii="Times New Roman" w:hAnsi="Times New Roman" w:cs="Times New Roman"/>
          <w:szCs w:val="24"/>
        </w:rPr>
        <w:t>ach</w:t>
      </w:r>
      <w:r w:rsidRPr="00C96268">
        <w:rPr>
          <w:rFonts w:ascii="Times New Roman" w:hAnsi="Times New Roman" w:cs="Times New Roman"/>
          <w:szCs w:val="24"/>
        </w:rPr>
        <w:t xml:space="preserve"> niezgodności:</w:t>
      </w:r>
    </w:p>
    <w:p w14:paraId="49A4FBAD" w14:textId="48F4CEBC" w:rsidR="006C6FE0" w:rsidRPr="00C96268" w:rsidRDefault="006C6FE0" w:rsidP="006C6FE0">
      <w:pPr>
        <w:pStyle w:val="PKTpunkt"/>
        <w:spacing w:line="276" w:lineRule="auto"/>
        <w:rPr>
          <w:rFonts w:ascii="Times New Roman" w:hAnsi="Times New Roman" w:cs="Times New Roman"/>
          <w:szCs w:val="24"/>
        </w:rPr>
      </w:pPr>
      <w:r w:rsidRPr="00C96268">
        <w:rPr>
          <w:rFonts w:ascii="Times New Roman" w:hAnsi="Times New Roman" w:cs="Times New Roman"/>
          <w:szCs w:val="24"/>
        </w:rPr>
        <w:t>1)</w:t>
      </w:r>
      <w:r w:rsidRPr="00C96268">
        <w:rPr>
          <w:rFonts w:ascii="Times New Roman" w:hAnsi="Times New Roman" w:cs="Times New Roman"/>
          <w:szCs w:val="24"/>
        </w:rPr>
        <w:tab/>
        <w:t xml:space="preserve">z porządkiem konstytucyjnym lub ustawowym </w:t>
      </w:r>
      <w:r w:rsidR="009B54C0" w:rsidRPr="00C96268">
        <w:rPr>
          <w:rFonts w:ascii="Times New Roman" w:hAnsi="Times New Roman" w:cs="Times New Roman"/>
          <w:szCs w:val="24"/>
        </w:rPr>
        <w:t>jurysdykcji</w:t>
      </w:r>
      <w:r w:rsidRPr="00C96268">
        <w:rPr>
          <w:rFonts w:ascii="Times New Roman" w:hAnsi="Times New Roman" w:cs="Times New Roman"/>
          <w:szCs w:val="24"/>
        </w:rPr>
        <w:t>, w któr</w:t>
      </w:r>
      <w:r w:rsidR="009B54C0" w:rsidRPr="00C96268">
        <w:rPr>
          <w:rFonts w:ascii="Times New Roman" w:hAnsi="Times New Roman" w:cs="Times New Roman"/>
          <w:szCs w:val="24"/>
        </w:rPr>
        <w:t>ej</w:t>
      </w:r>
      <w:r w:rsidRPr="00C96268">
        <w:rPr>
          <w:rFonts w:ascii="Times New Roman" w:hAnsi="Times New Roman" w:cs="Times New Roman"/>
          <w:szCs w:val="24"/>
        </w:rPr>
        <w:t xml:space="preserve"> obowiązuje ten podatek;</w:t>
      </w:r>
    </w:p>
    <w:p w14:paraId="5957F469" w14:textId="77777777" w:rsidR="006C6FE0" w:rsidRPr="00C96268" w:rsidRDefault="006C6FE0" w:rsidP="006C6FE0">
      <w:pPr>
        <w:pStyle w:val="PKTpunkt"/>
        <w:spacing w:line="276" w:lineRule="auto"/>
        <w:rPr>
          <w:rFonts w:ascii="Times New Roman" w:hAnsi="Times New Roman" w:cs="Times New Roman"/>
          <w:szCs w:val="24"/>
        </w:rPr>
      </w:pPr>
      <w:r w:rsidRPr="00C96268">
        <w:rPr>
          <w:rFonts w:ascii="Times New Roman" w:hAnsi="Times New Roman" w:cs="Times New Roman"/>
          <w:szCs w:val="24"/>
        </w:rPr>
        <w:t>2)</w:t>
      </w:r>
      <w:r w:rsidRPr="00C96268">
        <w:rPr>
          <w:rFonts w:ascii="Times New Roman" w:hAnsi="Times New Roman" w:cs="Times New Roman"/>
          <w:szCs w:val="24"/>
        </w:rPr>
        <w:tab/>
        <w:t>z międzynarodowymi porozumieniami inwestycyjnymi, w szczególności z umowami w sprawie wzajemnego popierania i ochrony inwestycji;</w:t>
      </w:r>
    </w:p>
    <w:p w14:paraId="1E4854CF" w14:textId="77777777" w:rsidR="006C6FE0" w:rsidRPr="00C96268" w:rsidRDefault="006C6FE0" w:rsidP="006C6FE0">
      <w:pPr>
        <w:pStyle w:val="PKTpunkt"/>
        <w:spacing w:line="276" w:lineRule="auto"/>
        <w:rPr>
          <w:rFonts w:ascii="Times New Roman" w:hAnsi="Times New Roman" w:cs="Times New Roman"/>
          <w:szCs w:val="24"/>
        </w:rPr>
      </w:pPr>
      <w:r w:rsidRPr="00C96268">
        <w:rPr>
          <w:rFonts w:ascii="Times New Roman" w:hAnsi="Times New Roman" w:cs="Times New Roman"/>
          <w:szCs w:val="24"/>
        </w:rPr>
        <w:t>3)</w:t>
      </w:r>
      <w:r w:rsidRPr="00C96268">
        <w:rPr>
          <w:rFonts w:ascii="Times New Roman" w:hAnsi="Times New Roman" w:cs="Times New Roman"/>
          <w:szCs w:val="24"/>
        </w:rPr>
        <w:tab/>
        <w:t>z indywidualnymi decyzjami administracyjnymi przyznającymi zwolnienie dochodu z opodatkowania lub z innymi porozumieniami bądź decyzjami o podobnym charakterze.</w:t>
      </w:r>
    </w:p>
    <w:p w14:paraId="57EA5BEB" w14:textId="51373BD0" w:rsidR="006C6FE0" w:rsidRPr="00C96268" w:rsidRDefault="006C6FE0" w:rsidP="006C6FE0">
      <w:pPr>
        <w:spacing w:before="120" w:after="120"/>
        <w:jc w:val="both"/>
        <w:rPr>
          <w:rFonts w:ascii="Times New Roman" w:hAnsi="Times New Roman" w:cs="Times New Roman"/>
          <w:iCs/>
          <w:sz w:val="24"/>
          <w:szCs w:val="24"/>
        </w:rPr>
      </w:pPr>
      <w:r w:rsidRPr="00C96268">
        <w:rPr>
          <w:rFonts w:ascii="Times New Roman" w:hAnsi="Times New Roman" w:cs="Times New Roman"/>
          <w:iCs/>
          <w:sz w:val="24"/>
          <w:szCs w:val="24"/>
        </w:rPr>
        <w:t xml:space="preserve">Wszelkie kwoty, które nie zostały uwzględnione jako „wymagalne do zapłaty” dla potrzeb </w:t>
      </w:r>
      <w:r w:rsidRPr="00C96268">
        <w:rPr>
          <w:rFonts w:ascii="Times New Roman" w:hAnsi="Times New Roman" w:cs="Times New Roman"/>
          <w:b/>
          <w:bCs/>
          <w:iCs/>
          <w:sz w:val="24"/>
          <w:szCs w:val="24"/>
        </w:rPr>
        <w:t>art.</w:t>
      </w:r>
      <w:r w:rsidR="000F3DE5">
        <w:rPr>
          <w:rFonts w:ascii="Times New Roman" w:hAnsi="Times New Roman" w:cs="Times New Roman"/>
          <w:b/>
          <w:bCs/>
          <w:iCs/>
          <w:sz w:val="24"/>
          <w:szCs w:val="24"/>
        </w:rPr>
        <w:t> </w:t>
      </w:r>
      <w:r w:rsidRPr="00C96268">
        <w:rPr>
          <w:rFonts w:ascii="Times New Roman" w:hAnsi="Times New Roman" w:cs="Times New Roman"/>
          <w:b/>
          <w:bCs/>
          <w:iCs/>
          <w:sz w:val="24"/>
          <w:szCs w:val="24"/>
        </w:rPr>
        <w:t>13 ust. 1 oraz ust. 2</w:t>
      </w:r>
      <w:r w:rsidRPr="00C96268">
        <w:rPr>
          <w:rFonts w:ascii="Times New Roman" w:hAnsi="Times New Roman" w:cs="Times New Roman"/>
          <w:iCs/>
          <w:sz w:val="24"/>
          <w:szCs w:val="24"/>
        </w:rPr>
        <w:t>, zostaną uwzględnione za rok podatkowy, którego dotyczą, gdy taka kwota kwalifikowanego krajowego podatku wyrównawczego zostanie zapłacona i nie będzie już kwestionowana przez grupę międzynarodową.</w:t>
      </w:r>
    </w:p>
    <w:p w14:paraId="54D53497" w14:textId="47C409E5"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bCs/>
          <w:iCs/>
          <w:sz w:val="24"/>
          <w:szCs w:val="24"/>
        </w:rPr>
        <w:t>Niezależnie od opisanego wyżej warunku „wymagalności do zapłaty”,</w:t>
      </w:r>
      <w:r w:rsidRPr="00C96268">
        <w:rPr>
          <w:rFonts w:ascii="Times New Roman" w:hAnsi="Times New Roman" w:cs="Times New Roman"/>
          <w:b/>
          <w:iCs/>
          <w:sz w:val="24"/>
          <w:szCs w:val="24"/>
        </w:rPr>
        <w:t xml:space="preserve"> ust. 3</w:t>
      </w:r>
      <w:r w:rsidRPr="00C96268">
        <w:rPr>
          <w:rFonts w:ascii="Times New Roman" w:hAnsi="Times New Roman" w:cs="Times New Roman"/>
          <w:iCs/>
          <w:sz w:val="24"/>
          <w:szCs w:val="24"/>
        </w:rPr>
        <w:t xml:space="preserve"> – który stanowi implementację art. 11.3 Dyrektywy -  przewiduje dodatkowo, że jeżeli kwota kwalifikowanego krajowego podatku wyrównawczego za rok podatkowy </w:t>
      </w:r>
      <w:r w:rsidRPr="00C96268">
        <w:rPr>
          <w:rFonts w:ascii="Times New Roman" w:hAnsi="Times New Roman" w:cs="Times New Roman"/>
          <w:b/>
          <w:bCs/>
          <w:iCs/>
          <w:sz w:val="24"/>
          <w:szCs w:val="24"/>
        </w:rPr>
        <w:t xml:space="preserve">nie została zapłacona w ciągu </w:t>
      </w:r>
      <w:r w:rsidRPr="00C96268">
        <w:rPr>
          <w:rFonts w:ascii="Times New Roman" w:hAnsi="Times New Roman" w:cs="Times New Roman"/>
          <w:b/>
          <w:bCs/>
          <w:iCs/>
          <w:sz w:val="24"/>
          <w:szCs w:val="24"/>
        </w:rPr>
        <w:lastRenderedPageBreak/>
        <w:t>czterech lat</w:t>
      </w:r>
      <w:r w:rsidRPr="00C96268">
        <w:rPr>
          <w:rFonts w:ascii="Times New Roman" w:hAnsi="Times New Roman" w:cs="Times New Roman"/>
          <w:iCs/>
          <w:sz w:val="24"/>
          <w:szCs w:val="24"/>
        </w:rPr>
        <w:t xml:space="preserve"> od zakończenia roku podatkowego, za który obliczono jurysdykcyjny globalny podatek wyrównawczy w odniesieniu do </w:t>
      </w:r>
      <w:r w:rsidR="009B54C0" w:rsidRPr="00C96268">
        <w:rPr>
          <w:rFonts w:ascii="Times New Roman" w:hAnsi="Times New Roman" w:cs="Times New Roman"/>
          <w:iCs/>
          <w:sz w:val="24"/>
          <w:szCs w:val="24"/>
        </w:rPr>
        <w:t xml:space="preserve">danej </w:t>
      </w:r>
      <w:r w:rsidR="009B54C0" w:rsidRPr="00C96268">
        <w:rPr>
          <w:rFonts w:ascii="Times New Roman" w:hAnsi="Times New Roman" w:cs="Times New Roman"/>
          <w:sz w:val="24"/>
          <w:szCs w:val="24"/>
        </w:rPr>
        <w:t>jurysdykcji</w:t>
      </w:r>
      <w:r w:rsidRPr="00C96268">
        <w:rPr>
          <w:rFonts w:ascii="Times New Roman" w:hAnsi="Times New Roman" w:cs="Times New Roman"/>
          <w:iCs/>
          <w:sz w:val="24"/>
          <w:szCs w:val="24"/>
        </w:rPr>
        <w:t>, ponownie oblicza się jurysdykcyjny globalny podatek wyrównawczy za ten rok, nie pomniejszając go jednak o kwalifikowany krajowy podatek wyrównawczy. Ponownie oblicza się też efektywną stawkę podatkową za ten rok i ustala się dodatkowy podatek wyrównawczy. Dotyczy to przypadków, w których kwota QDMTT została uznana za „wymagalną do zapłaty” i odjęta w ramach obliczenia jurysdykcyjnego globalnego podatku wyrównawczego, jednak podatku tego nie zapłacono we wskazanym okresie czterech lat.</w:t>
      </w:r>
    </w:p>
    <w:p w14:paraId="124F661E" w14:textId="0ADF2520"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b/>
          <w:iCs/>
          <w:sz w:val="24"/>
          <w:szCs w:val="24"/>
        </w:rPr>
        <w:t>Ust. 4</w:t>
      </w:r>
      <w:r w:rsidRPr="00C96268">
        <w:rPr>
          <w:rFonts w:ascii="Times New Roman" w:hAnsi="Times New Roman" w:cs="Times New Roman"/>
          <w:iCs/>
          <w:sz w:val="24"/>
          <w:szCs w:val="24"/>
        </w:rPr>
        <w:t xml:space="preserve"> przewiduje ponadto, że </w:t>
      </w:r>
      <w:r w:rsidRPr="00C96268">
        <w:rPr>
          <w:rFonts w:ascii="Times New Roman" w:hAnsi="Times New Roman" w:cs="Times New Roman"/>
          <w:sz w:val="24"/>
          <w:szCs w:val="24"/>
        </w:rPr>
        <w:t xml:space="preserve">kwalifikowany krajowy podatek wyrównawczy podlega odliczeniu tylko do wysokości obliczonego dla </w:t>
      </w:r>
      <w:r w:rsidR="009B54C0" w:rsidRPr="00C96268">
        <w:rPr>
          <w:rFonts w:ascii="Times New Roman" w:hAnsi="Times New Roman" w:cs="Times New Roman"/>
          <w:sz w:val="24"/>
          <w:szCs w:val="24"/>
        </w:rPr>
        <w:t xml:space="preserve">danej jurysdykcji </w:t>
      </w:r>
      <w:r w:rsidRPr="00C96268">
        <w:rPr>
          <w:rFonts w:ascii="Times New Roman" w:hAnsi="Times New Roman" w:cs="Times New Roman"/>
          <w:sz w:val="24"/>
          <w:szCs w:val="24"/>
        </w:rPr>
        <w:t>jurysdykcyjnego globalnego podatku wyrównawczego. Tym samym,</w:t>
      </w:r>
      <w:r w:rsidRPr="00C96268">
        <w:rPr>
          <w:rFonts w:ascii="Times New Roman" w:hAnsi="Times New Roman" w:cs="Times New Roman"/>
          <w:iCs/>
          <w:sz w:val="24"/>
          <w:szCs w:val="24"/>
        </w:rPr>
        <w:t xml:space="preserve"> jeżeli kwota kwalifikowanego krajowego podatku wyrównawczego będzie przewyższać kwotę jurysdykcyjnego globalnego podatku wyrównawczego, nadwyżka nie będzie podlegać odliczeniu w kolejnych latach podatkowych. W tym przypadku jurysdykcyjny globalny podatek wyrównawczy dla </w:t>
      </w:r>
      <w:r w:rsidR="009B54C0" w:rsidRPr="00C96268">
        <w:rPr>
          <w:rFonts w:ascii="Times New Roman" w:hAnsi="Times New Roman" w:cs="Times New Roman"/>
          <w:iCs/>
          <w:sz w:val="24"/>
          <w:szCs w:val="24"/>
        </w:rPr>
        <w:t xml:space="preserve">tej </w:t>
      </w:r>
      <w:r w:rsidR="009B54C0" w:rsidRPr="00C96268">
        <w:rPr>
          <w:rFonts w:ascii="Times New Roman" w:hAnsi="Times New Roman" w:cs="Times New Roman"/>
          <w:sz w:val="24"/>
          <w:szCs w:val="24"/>
        </w:rPr>
        <w:t xml:space="preserve">jurysdykcji </w:t>
      </w:r>
      <w:r w:rsidRPr="00C96268">
        <w:rPr>
          <w:rFonts w:ascii="Times New Roman" w:hAnsi="Times New Roman" w:cs="Times New Roman"/>
          <w:iCs/>
          <w:sz w:val="24"/>
          <w:szCs w:val="24"/>
        </w:rPr>
        <w:t xml:space="preserve">wyniesie zero.  </w:t>
      </w:r>
    </w:p>
    <w:p w14:paraId="0B0D3789" w14:textId="62E8C6F3"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iCs/>
          <w:sz w:val="24"/>
          <w:szCs w:val="24"/>
        </w:rPr>
        <w:t xml:space="preserve">Z uwagi na zakładany podobny mechanizm obliczania globalnego podatku wyrównawczego i QDMTT, w praktyce może zdarzać się, że QDMTT </w:t>
      </w:r>
      <w:r w:rsidR="009B54C0" w:rsidRPr="00C96268">
        <w:rPr>
          <w:rFonts w:ascii="Times New Roman" w:hAnsi="Times New Roman" w:cs="Times New Roman"/>
          <w:iCs/>
          <w:sz w:val="24"/>
          <w:szCs w:val="24"/>
        </w:rPr>
        <w:t xml:space="preserve">innej </w:t>
      </w:r>
      <w:r w:rsidR="009B54C0" w:rsidRPr="00C96268">
        <w:rPr>
          <w:rFonts w:ascii="Times New Roman" w:hAnsi="Times New Roman" w:cs="Times New Roman"/>
          <w:sz w:val="24"/>
          <w:szCs w:val="24"/>
        </w:rPr>
        <w:t xml:space="preserve">jurysdykcji </w:t>
      </w:r>
      <w:r w:rsidRPr="00C96268">
        <w:rPr>
          <w:rFonts w:ascii="Times New Roman" w:hAnsi="Times New Roman" w:cs="Times New Roman"/>
          <w:iCs/>
          <w:sz w:val="24"/>
          <w:szCs w:val="24"/>
        </w:rPr>
        <w:t xml:space="preserve">będzie „zerował” jurysdykcyjny globalny podatek wyrównawczy obliczany przez polską jednostkę dominującą, bądź też dodatnia różnica może być niewielka. Jeżeli jurysdykcyjny globalny podatek wyrównawczy dla </w:t>
      </w:r>
      <w:r w:rsidR="009B54C0" w:rsidRPr="00C96268">
        <w:rPr>
          <w:rFonts w:ascii="Times New Roman" w:hAnsi="Times New Roman" w:cs="Times New Roman"/>
          <w:iCs/>
          <w:sz w:val="24"/>
          <w:szCs w:val="24"/>
        </w:rPr>
        <w:t xml:space="preserve">danej </w:t>
      </w:r>
      <w:r w:rsidR="009B54C0" w:rsidRPr="00C96268">
        <w:rPr>
          <w:rFonts w:ascii="Times New Roman" w:hAnsi="Times New Roman" w:cs="Times New Roman"/>
          <w:sz w:val="24"/>
          <w:szCs w:val="24"/>
        </w:rPr>
        <w:t xml:space="preserve">jurysdykcji </w:t>
      </w:r>
      <w:r w:rsidRPr="00C96268">
        <w:rPr>
          <w:rFonts w:ascii="Times New Roman" w:hAnsi="Times New Roman" w:cs="Times New Roman"/>
          <w:iCs/>
          <w:sz w:val="24"/>
          <w:szCs w:val="24"/>
        </w:rPr>
        <w:t xml:space="preserve">wyniesie zero, nie wystąpi kwota podatku do alokacji pomiędzy nisko opodatkowane jednostki składowe w </w:t>
      </w:r>
      <w:r w:rsidR="009B54C0" w:rsidRPr="00C96268">
        <w:rPr>
          <w:rFonts w:ascii="Times New Roman" w:hAnsi="Times New Roman" w:cs="Times New Roman"/>
          <w:iCs/>
          <w:sz w:val="24"/>
          <w:szCs w:val="24"/>
        </w:rPr>
        <w:t xml:space="preserve">tej </w:t>
      </w:r>
      <w:r w:rsidR="009B54C0" w:rsidRPr="00C96268">
        <w:rPr>
          <w:rFonts w:ascii="Times New Roman" w:hAnsi="Times New Roman" w:cs="Times New Roman"/>
          <w:sz w:val="24"/>
          <w:szCs w:val="24"/>
        </w:rPr>
        <w:t xml:space="preserve">jurysdykcji </w:t>
      </w:r>
      <w:r w:rsidRPr="00C96268">
        <w:rPr>
          <w:rFonts w:ascii="Times New Roman" w:hAnsi="Times New Roman" w:cs="Times New Roman"/>
          <w:iCs/>
          <w:sz w:val="24"/>
          <w:szCs w:val="24"/>
        </w:rPr>
        <w:t xml:space="preserve">i konsekwentnie, brak będzie globalnego podatku wyrównawczego należnego od poszczególnych jednostek dominujących będących podatnikami. </w:t>
      </w:r>
    </w:p>
    <w:p w14:paraId="151843CF"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14 [Jednostkowy globalny podatek wyrównawczy]</w:t>
      </w:r>
    </w:p>
    <w:p w14:paraId="5EEE2926" w14:textId="77777777" w:rsidR="006C6FE0" w:rsidRPr="00C96268" w:rsidRDefault="006C6FE0" w:rsidP="006C6FE0">
      <w:pPr>
        <w:spacing w:before="240"/>
        <w:jc w:val="both"/>
        <w:rPr>
          <w:rFonts w:ascii="Times New Roman" w:hAnsi="Times New Roman" w:cs="Times New Roman"/>
          <w:sz w:val="24"/>
          <w:szCs w:val="24"/>
        </w:rPr>
      </w:pPr>
      <w:r w:rsidRPr="00C96268">
        <w:rPr>
          <w:rFonts w:ascii="Times New Roman" w:hAnsi="Times New Roman" w:cs="Times New Roman"/>
          <w:b/>
          <w:bCs/>
          <w:iCs/>
          <w:sz w:val="24"/>
          <w:szCs w:val="24"/>
        </w:rPr>
        <w:t>Art. 14</w:t>
      </w:r>
      <w:r w:rsidRPr="00C96268">
        <w:rPr>
          <w:rFonts w:ascii="Times New Roman" w:hAnsi="Times New Roman" w:cs="Times New Roman"/>
          <w:iCs/>
          <w:sz w:val="24"/>
          <w:szCs w:val="24"/>
        </w:rPr>
        <w:t xml:space="preserve"> </w:t>
      </w:r>
      <w:r w:rsidRPr="00C96268">
        <w:rPr>
          <w:rFonts w:ascii="Times New Roman" w:hAnsi="Times New Roman" w:cs="Times New Roman"/>
          <w:sz w:val="24"/>
          <w:szCs w:val="24"/>
        </w:rPr>
        <w:t xml:space="preserve">wskazuje wzór na obliczenie </w:t>
      </w:r>
      <w:r w:rsidRPr="00C96268">
        <w:rPr>
          <w:rFonts w:ascii="Times New Roman" w:hAnsi="Times New Roman" w:cs="Times New Roman"/>
          <w:b/>
          <w:bCs/>
          <w:sz w:val="24"/>
          <w:szCs w:val="24"/>
        </w:rPr>
        <w:t>jednostkowego globalnego podatku wyrównawczego</w:t>
      </w:r>
      <w:r w:rsidRPr="00C96268">
        <w:rPr>
          <w:rFonts w:ascii="Times New Roman" w:hAnsi="Times New Roman" w:cs="Times New Roman"/>
          <w:sz w:val="24"/>
          <w:szCs w:val="24"/>
        </w:rPr>
        <w:t>, który stanowi</w:t>
      </w:r>
      <w:r w:rsidRPr="00C96268">
        <w:rPr>
          <w:rFonts w:ascii="Times New Roman" w:hAnsi="Times New Roman" w:cs="Times New Roman"/>
          <w:b/>
          <w:bCs/>
          <w:sz w:val="24"/>
          <w:szCs w:val="24"/>
        </w:rPr>
        <w:t xml:space="preserve"> jurysdykcyjny globalny podatek wyrównawczy przypadający na nisko opodatkowaną jednostkę składową</w:t>
      </w:r>
      <w:r w:rsidRPr="00C96268">
        <w:rPr>
          <w:rFonts w:ascii="Times New Roman" w:hAnsi="Times New Roman" w:cs="Times New Roman"/>
          <w:sz w:val="24"/>
          <w:szCs w:val="24"/>
        </w:rPr>
        <w:t>. Wzór ten</w:t>
      </w:r>
      <w:r w:rsidRPr="00C96268">
        <w:rPr>
          <w:rFonts w:ascii="Times New Roman" w:hAnsi="Times New Roman" w:cs="Times New Roman"/>
          <w:b/>
          <w:bCs/>
          <w:sz w:val="24"/>
          <w:szCs w:val="24"/>
        </w:rPr>
        <w:t xml:space="preserve"> </w:t>
      </w:r>
      <w:r w:rsidRPr="00C96268">
        <w:rPr>
          <w:rFonts w:ascii="Times New Roman" w:hAnsi="Times New Roman" w:cs="Times New Roman"/>
          <w:sz w:val="24"/>
          <w:szCs w:val="24"/>
        </w:rPr>
        <w:t xml:space="preserve">prezentuje się następująco: </w:t>
      </w:r>
    </w:p>
    <w:p w14:paraId="600079C1" w14:textId="77777777" w:rsidR="000F3DE5" w:rsidRPr="003E7A67" w:rsidRDefault="00814306" w:rsidP="000F3DE5">
      <w:pPr>
        <w:pStyle w:val="USTustnpkodeksu"/>
        <w:rPr>
          <w:rStyle w:val="Kkursywa"/>
          <w:sz w:val="22"/>
          <w:szCs w:val="22"/>
        </w:rPr>
      </w:pPr>
      <m:oMathPara>
        <m:oMathParaPr>
          <m:jc m:val="center"/>
        </m:oMathParaPr>
        <m:oMath>
          <m:f>
            <m:fPr>
              <m:ctrlPr>
                <w:rPr>
                  <w:rStyle w:val="Kkursywa"/>
                  <w:rFonts w:ascii="Cambria Math" w:hAnsi="Cambria Math"/>
                  <w:i w:val="0"/>
                  <w:sz w:val="22"/>
                  <w:szCs w:val="22"/>
                </w:rPr>
              </m:ctrlPr>
            </m:fPr>
            <m:num>
              <m:eqArr>
                <m:eqArrPr>
                  <m:ctrlPr>
                    <w:rPr>
                      <w:rStyle w:val="Kkursywa"/>
                      <w:rFonts w:ascii="Cambria Math" w:hAnsi="Cambria Math"/>
                      <w:i w:val="0"/>
                      <w:sz w:val="22"/>
                      <w:szCs w:val="22"/>
                    </w:rPr>
                  </m:ctrlPr>
                </m:eqArrPr>
                <m:e>
                  <m:r>
                    <m:rPr>
                      <m:sty m:val="p"/>
                    </m:rPr>
                    <w:rPr>
                      <w:rStyle w:val="Kkursywa"/>
                      <w:rFonts w:ascii="Cambria Math" w:hAnsi="Cambria Math"/>
                      <w:sz w:val="22"/>
                      <w:szCs w:val="22"/>
                    </w:rPr>
                    <m:t xml:space="preserve">jurysdykcyjny globalny podatek wyrównawczy× </m:t>
                  </m:r>
                </m:e>
                <m:e>
                  <m:r>
                    <m:rPr>
                      <m:sty m:val="p"/>
                    </m:rPr>
                    <w:rPr>
                      <w:rStyle w:val="Kkursywa"/>
                      <w:rFonts w:ascii="Cambria Math" w:hAnsi="Cambria Math"/>
                      <w:sz w:val="22"/>
                      <w:szCs w:val="22"/>
                    </w:rPr>
                    <m:t xml:space="preserve">kwalifikowany dochód nisko </m:t>
                  </m:r>
                  <m:ctrlPr>
                    <w:rPr>
                      <w:rStyle w:val="Kkursywa"/>
                      <w:rFonts w:ascii="Cambria Math" w:eastAsia="Cambria Math" w:hAnsi="Cambria Math" w:cs="Cambria Math"/>
                      <w:bCs w:val="0"/>
                      <w:i w:val="0"/>
                    </w:rPr>
                  </m:ctrlPr>
                </m:e>
                <m:e>
                  <m:r>
                    <m:rPr>
                      <m:sty m:val="p"/>
                    </m:rPr>
                    <w:rPr>
                      <w:rStyle w:val="Kkursywa"/>
                      <w:rFonts w:ascii="Cambria Math" w:hAnsi="Cambria Math"/>
                      <w:sz w:val="22"/>
                      <w:szCs w:val="22"/>
                    </w:rPr>
                    <m:t xml:space="preserve">opodatkowanej jednostki składowej zlokalizowanej w danej </m:t>
                  </m:r>
                  <m:r>
                    <m:rPr>
                      <m:sty m:val="p"/>
                    </m:rPr>
                    <w:rPr>
                      <w:rFonts w:ascii="Cambria Math" w:hAnsi="Cambria Math" w:cstheme="minorHAnsi"/>
                      <w:sz w:val="22"/>
                      <w:szCs w:val="22"/>
                    </w:rPr>
                    <m:t xml:space="preserve">jurysdykcji </m:t>
                  </m:r>
                </m:e>
              </m:eqArr>
            </m:num>
            <m:den>
              <m:eqArr>
                <m:eqArrPr>
                  <m:ctrlPr>
                    <w:rPr>
                      <w:rStyle w:val="Kkursywa"/>
                      <w:rFonts w:ascii="Cambria Math" w:hAnsi="Cambria Math"/>
                      <w:i w:val="0"/>
                      <w:iCs/>
                      <w:sz w:val="22"/>
                      <w:szCs w:val="22"/>
                    </w:rPr>
                  </m:ctrlPr>
                </m:eqArrPr>
                <m:e>
                  <m:r>
                    <m:rPr>
                      <m:sty m:val="p"/>
                    </m:rPr>
                    <w:rPr>
                      <w:rStyle w:val="Kkursywa"/>
                      <w:rFonts w:ascii="Cambria Math" w:hAnsi="Cambria Math"/>
                      <w:sz w:val="22"/>
                      <w:szCs w:val="22"/>
                    </w:rPr>
                    <m:t xml:space="preserve">suma kwalifikowanego dochodu </m:t>
                  </m:r>
                </m:e>
                <m:e>
                  <m:r>
                    <m:rPr>
                      <m:sty m:val="p"/>
                    </m:rPr>
                    <w:rPr>
                      <w:rStyle w:val="Kkursywa"/>
                      <w:rFonts w:ascii="Cambria Math" w:hAnsi="Cambria Math"/>
                      <w:sz w:val="22"/>
                      <w:szCs w:val="22"/>
                    </w:rPr>
                    <m:t xml:space="preserve">wszystkich nisko opodatkowanych jednostek </m:t>
                  </m:r>
                  <m:ctrlPr>
                    <w:rPr>
                      <w:rStyle w:val="Kkursywa"/>
                      <w:rFonts w:ascii="Cambria Math" w:eastAsia="Cambria Math" w:hAnsi="Cambria Math" w:cs="Cambria Math"/>
                      <w:bCs w:val="0"/>
                      <w:i w:val="0"/>
                    </w:rPr>
                  </m:ctrlPr>
                </m:e>
                <m:e>
                  <m:r>
                    <m:rPr>
                      <m:sty m:val="p"/>
                    </m:rPr>
                    <w:rPr>
                      <w:rStyle w:val="Kkursywa"/>
                      <w:rFonts w:ascii="Cambria Math" w:hAnsi="Cambria Math"/>
                      <w:sz w:val="22"/>
                      <w:szCs w:val="22"/>
                    </w:rPr>
                    <m:t>składowych</m:t>
                  </m:r>
                  <m:r>
                    <w:rPr>
                      <w:rStyle w:val="Kkursywa"/>
                      <w:rFonts w:ascii="Cambria Math" w:hAnsi="Cambria Math"/>
                      <w:sz w:val="22"/>
                      <w:szCs w:val="22"/>
                    </w:rPr>
                    <m:t xml:space="preserve"> </m:t>
                  </m:r>
                  <m:r>
                    <m:rPr>
                      <m:sty m:val="p"/>
                    </m:rPr>
                    <w:rPr>
                      <w:rStyle w:val="Kkursywa"/>
                      <w:rFonts w:ascii="Cambria Math" w:hAnsi="Cambria Math"/>
                      <w:sz w:val="22"/>
                      <w:szCs w:val="22"/>
                    </w:rPr>
                    <m:t xml:space="preserve">zlokalizowanej w danej jurysdykcji </m:t>
                  </m:r>
                  <m:ctrlPr>
                    <w:rPr>
                      <w:rStyle w:val="Kkursywa"/>
                      <w:rFonts w:ascii="Cambria Math" w:hAnsi="Cambria Math"/>
                      <w:i w:val="0"/>
                      <w:sz w:val="22"/>
                      <w:szCs w:val="22"/>
                    </w:rPr>
                  </m:ctrlPr>
                </m:e>
              </m:eqArr>
            </m:den>
          </m:f>
        </m:oMath>
      </m:oMathPara>
    </w:p>
    <w:p w14:paraId="28E93788" w14:textId="1A6F3769"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iCs/>
          <w:sz w:val="24"/>
          <w:szCs w:val="24"/>
        </w:rPr>
        <w:t xml:space="preserve">Jest to zatem sposób alokacji jurysdykcyjnego globalnego podatku wyrównawczego (dotyczącego </w:t>
      </w:r>
      <w:r w:rsidR="00A30960" w:rsidRPr="00C96268">
        <w:rPr>
          <w:rFonts w:ascii="Times New Roman" w:hAnsi="Times New Roman" w:cs="Times New Roman"/>
          <w:iCs/>
          <w:sz w:val="24"/>
          <w:szCs w:val="24"/>
        </w:rPr>
        <w:t xml:space="preserve">całej </w:t>
      </w:r>
      <w:r w:rsidR="00A30960" w:rsidRPr="00C96268">
        <w:rPr>
          <w:rFonts w:ascii="Times New Roman" w:hAnsi="Times New Roman" w:cs="Times New Roman"/>
          <w:sz w:val="24"/>
          <w:szCs w:val="24"/>
        </w:rPr>
        <w:t>jurysdykcji</w:t>
      </w:r>
      <w:r w:rsidRPr="00C96268">
        <w:rPr>
          <w:rFonts w:ascii="Times New Roman" w:hAnsi="Times New Roman" w:cs="Times New Roman"/>
          <w:iCs/>
          <w:sz w:val="24"/>
          <w:szCs w:val="24"/>
        </w:rPr>
        <w:t xml:space="preserve">) pomiędzy nisko opodatkowane jednostki składowe zlokalizowane w </w:t>
      </w:r>
      <w:r w:rsidR="00A30960" w:rsidRPr="00C96268">
        <w:rPr>
          <w:rFonts w:ascii="Times New Roman" w:hAnsi="Times New Roman" w:cs="Times New Roman"/>
          <w:iCs/>
          <w:sz w:val="24"/>
          <w:szCs w:val="24"/>
        </w:rPr>
        <w:t xml:space="preserve">tej </w:t>
      </w:r>
      <w:r w:rsidR="00A30960" w:rsidRPr="00C96268">
        <w:rPr>
          <w:rFonts w:ascii="Times New Roman" w:hAnsi="Times New Roman" w:cs="Times New Roman"/>
          <w:sz w:val="24"/>
          <w:szCs w:val="24"/>
        </w:rPr>
        <w:t>jurysdykcji</w:t>
      </w:r>
      <w:r w:rsidRPr="00C96268">
        <w:rPr>
          <w:rFonts w:ascii="Times New Roman" w:hAnsi="Times New Roman" w:cs="Times New Roman"/>
          <w:iCs/>
          <w:sz w:val="24"/>
          <w:szCs w:val="24"/>
        </w:rPr>
        <w:t>. Alokacja dokonywana jest za pomocą klucza alokacji opartego na stosunku kwalifikowanego dochodu każdej jednostki składowej do sumy kwalifikowanego dochodu wszystkich jednostek</w:t>
      </w:r>
      <w:r w:rsidR="00A30960" w:rsidRPr="00C96268">
        <w:rPr>
          <w:rFonts w:ascii="Times New Roman" w:hAnsi="Times New Roman" w:cs="Times New Roman"/>
          <w:iCs/>
          <w:sz w:val="24"/>
          <w:szCs w:val="24"/>
        </w:rPr>
        <w:t xml:space="preserve"> </w:t>
      </w:r>
      <w:r w:rsidRPr="00C96268">
        <w:rPr>
          <w:rFonts w:ascii="Times New Roman" w:hAnsi="Times New Roman" w:cs="Times New Roman"/>
          <w:iCs/>
          <w:sz w:val="24"/>
          <w:szCs w:val="24"/>
        </w:rPr>
        <w:t xml:space="preserve">składowych zlokalizowanych w </w:t>
      </w:r>
      <w:r w:rsidR="00A30960" w:rsidRPr="00C96268">
        <w:rPr>
          <w:rFonts w:ascii="Times New Roman" w:hAnsi="Times New Roman" w:cs="Times New Roman"/>
          <w:iCs/>
          <w:sz w:val="24"/>
          <w:szCs w:val="24"/>
        </w:rPr>
        <w:t xml:space="preserve">danej </w:t>
      </w:r>
      <w:r w:rsidR="00A30960" w:rsidRPr="00C96268">
        <w:rPr>
          <w:rFonts w:ascii="Times New Roman" w:hAnsi="Times New Roman" w:cs="Times New Roman"/>
          <w:sz w:val="24"/>
          <w:szCs w:val="24"/>
        </w:rPr>
        <w:t>jurysdykcji</w:t>
      </w:r>
      <w:r w:rsidRPr="00C96268">
        <w:rPr>
          <w:rFonts w:ascii="Times New Roman" w:hAnsi="Times New Roman" w:cs="Times New Roman"/>
          <w:iCs/>
          <w:sz w:val="24"/>
          <w:szCs w:val="24"/>
        </w:rPr>
        <w:t xml:space="preserve">, które posiadają kwalifikowany dochód. Ponieważ jednostkowy globalny podatek wyrównawczy jest obliczany – zgodnie z </w:t>
      </w:r>
      <w:r w:rsidRPr="00C96268">
        <w:rPr>
          <w:rFonts w:ascii="Times New Roman" w:hAnsi="Times New Roman" w:cs="Times New Roman"/>
          <w:b/>
          <w:bCs/>
          <w:iCs/>
          <w:sz w:val="24"/>
          <w:szCs w:val="24"/>
        </w:rPr>
        <w:t>art. 14</w:t>
      </w:r>
      <w:r w:rsidRPr="00C96268">
        <w:rPr>
          <w:rFonts w:ascii="Times New Roman" w:hAnsi="Times New Roman" w:cs="Times New Roman"/>
          <w:iCs/>
          <w:sz w:val="24"/>
          <w:szCs w:val="24"/>
        </w:rPr>
        <w:t xml:space="preserve"> ustawy – poprzez odniesienie do kwalifikowanego dochodu, jest on alokowany wyłącznie do tych jednostek składowych, które osiągnęły kwalifikowany dochód (nie jest on alokowany do tych jednostek składowych z kwalifikowaną stratą).</w:t>
      </w:r>
    </w:p>
    <w:p w14:paraId="160436FF"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lastRenderedPageBreak/>
        <w:t>Art. 15 [Udziałowy globalny podatek wyrównawczy]</w:t>
      </w:r>
    </w:p>
    <w:p w14:paraId="3ABE9F44" w14:textId="77777777" w:rsidR="006C6FE0" w:rsidRPr="00C96268" w:rsidRDefault="006C6FE0" w:rsidP="006C6FE0">
      <w:pPr>
        <w:jc w:val="both"/>
        <w:rPr>
          <w:rFonts w:ascii="Times New Roman" w:hAnsi="Times New Roman" w:cs="Times New Roman"/>
          <w:i/>
          <w:iCs/>
          <w:sz w:val="24"/>
          <w:szCs w:val="24"/>
        </w:rPr>
      </w:pPr>
      <w:r w:rsidRPr="00C96268">
        <w:rPr>
          <w:rFonts w:ascii="Times New Roman" w:hAnsi="Times New Roman" w:cs="Times New Roman"/>
          <w:i/>
          <w:iCs/>
          <w:sz w:val="24"/>
          <w:szCs w:val="24"/>
        </w:rPr>
        <w:t>Obliczenie udziałowego globalnego podatku wyrównawczego</w:t>
      </w:r>
    </w:p>
    <w:p w14:paraId="3DF0CA3F" w14:textId="66ADBACB"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
          <w:bCs/>
          <w:sz w:val="24"/>
          <w:szCs w:val="24"/>
        </w:rPr>
        <w:t>Art. 15 ust. 1</w:t>
      </w:r>
      <w:r w:rsidRPr="00C96268">
        <w:rPr>
          <w:rFonts w:ascii="Times New Roman" w:hAnsi="Times New Roman" w:cs="Times New Roman"/>
          <w:sz w:val="24"/>
          <w:szCs w:val="24"/>
        </w:rPr>
        <w:t xml:space="preserve"> wprowadza wzór na obliczenie globalnego podatku wyrównawczego przypadającego na jednostkę dominującą (będącą podatnikiem) w odniesieniu do danej nisko opodatkowanej jednostki składowej (określa się go jako </w:t>
      </w:r>
      <w:r w:rsidRPr="00C96268">
        <w:rPr>
          <w:rFonts w:ascii="Times New Roman" w:hAnsi="Times New Roman" w:cs="Times New Roman"/>
          <w:b/>
          <w:bCs/>
          <w:sz w:val="24"/>
          <w:szCs w:val="24"/>
        </w:rPr>
        <w:t>udziałowy globalny podatek wyrównawczy</w:t>
      </w:r>
      <w:r w:rsidRPr="00C96268">
        <w:rPr>
          <w:rFonts w:ascii="Times New Roman" w:hAnsi="Times New Roman" w:cs="Times New Roman"/>
          <w:sz w:val="24"/>
          <w:szCs w:val="24"/>
        </w:rPr>
        <w:t xml:space="preserve">). Na gruncie </w:t>
      </w:r>
      <w:r w:rsidR="00595132" w:rsidRPr="00C96268">
        <w:rPr>
          <w:rFonts w:ascii="Times New Roman" w:hAnsi="Times New Roman" w:cs="Times New Roman"/>
          <w:sz w:val="24"/>
          <w:szCs w:val="24"/>
        </w:rPr>
        <w:t>Modelowych zasad</w:t>
      </w:r>
      <w:r w:rsidRPr="00C96268">
        <w:rPr>
          <w:rFonts w:ascii="Times New Roman" w:hAnsi="Times New Roman" w:cs="Times New Roman"/>
          <w:sz w:val="24"/>
          <w:szCs w:val="24"/>
        </w:rPr>
        <w:t xml:space="preserve"> OECD jest to tzw. „allocable share”.</w:t>
      </w:r>
      <w:r w:rsidRPr="00C96268">
        <w:rPr>
          <w:rStyle w:val="Odwoanieprzypisudolnego"/>
          <w:rFonts w:ascii="Times New Roman" w:hAnsi="Times New Roman" w:cs="Times New Roman"/>
          <w:sz w:val="24"/>
          <w:szCs w:val="24"/>
        </w:rPr>
        <w:footnoteReference w:id="76"/>
      </w:r>
      <w:r w:rsidRPr="00C96268">
        <w:rPr>
          <w:rFonts w:ascii="Times New Roman" w:hAnsi="Times New Roman" w:cs="Times New Roman"/>
          <w:sz w:val="24"/>
          <w:szCs w:val="24"/>
        </w:rPr>
        <w:t xml:space="preserve"> Dla wyliczenia takiej kwoty podatku kluczowy jest „udział procentowy” jednostki dominującej (opisany w ust. 2) w tej nisko opodatkowanej jednostce składowej oraz „jednostkowy globalny podatek wyrównawczy” danej nisko opodatkowanej jednostki składowej (opisany w </w:t>
      </w:r>
      <w:r w:rsidRPr="00C96268">
        <w:rPr>
          <w:rFonts w:ascii="Times New Roman" w:hAnsi="Times New Roman" w:cs="Times New Roman"/>
          <w:b/>
          <w:bCs/>
          <w:sz w:val="24"/>
          <w:szCs w:val="24"/>
        </w:rPr>
        <w:t>art. 14</w:t>
      </w:r>
      <w:r w:rsidRPr="00C96268">
        <w:rPr>
          <w:rFonts w:ascii="Times New Roman" w:hAnsi="Times New Roman" w:cs="Times New Roman"/>
          <w:sz w:val="24"/>
          <w:szCs w:val="24"/>
        </w:rPr>
        <w:t>). Taki podatek stanowi iloczyn tych dwóch wartości, jak przedstawiono poniżej:</w:t>
      </w:r>
    </w:p>
    <w:p w14:paraId="598BA4DB"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i/>
          <w:iCs/>
          <w:sz w:val="24"/>
          <w:szCs w:val="24"/>
        </w:rPr>
        <w:t>jednostkowy globalny podatek wyrównawczy x udział procentowy jednostki dominującej</w:t>
      </w:r>
    </w:p>
    <w:p w14:paraId="5D405AD2" w14:textId="3705407A" w:rsidR="006C6FE0" w:rsidRPr="00C96268" w:rsidRDefault="006C6FE0" w:rsidP="006C6FE0">
      <w:pPr>
        <w:spacing w:before="240" w:after="0"/>
        <w:jc w:val="both"/>
        <w:rPr>
          <w:rFonts w:ascii="Times New Roman" w:hAnsi="Times New Roman" w:cs="Times New Roman"/>
          <w:i/>
          <w:iCs/>
          <w:sz w:val="24"/>
          <w:szCs w:val="24"/>
        </w:rPr>
      </w:pPr>
      <w:r w:rsidRPr="00C96268">
        <w:rPr>
          <w:rFonts w:ascii="Times New Roman" w:hAnsi="Times New Roman" w:cs="Times New Roman"/>
          <w:i/>
          <w:iCs/>
          <w:sz w:val="24"/>
          <w:szCs w:val="24"/>
        </w:rPr>
        <w:t>Udział procentowy</w:t>
      </w:r>
    </w:p>
    <w:p w14:paraId="08E90E66" w14:textId="0FD1E4A3" w:rsidR="006C6FE0" w:rsidRPr="00C96268" w:rsidRDefault="006C6FE0" w:rsidP="006C6FE0">
      <w:pPr>
        <w:spacing w:before="120"/>
        <w:jc w:val="both"/>
        <w:rPr>
          <w:rFonts w:ascii="Times New Roman" w:hAnsi="Times New Roman" w:cs="Times New Roman"/>
          <w:sz w:val="24"/>
          <w:szCs w:val="24"/>
        </w:rPr>
      </w:pPr>
      <w:r w:rsidRPr="00C96268">
        <w:rPr>
          <w:rFonts w:ascii="Times New Roman" w:hAnsi="Times New Roman" w:cs="Times New Roman"/>
          <w:b/>
          <w:bCs/>
          <w:sz w:val="24"/>
          <w:szCs w:val="24"/>
        </w:rPr>
        <w:t>Art. 15 ust. 2</w:t>
      </w:r>
      <w:r w:rsidRPr="00C96268">
        <w:rPr>
          <w:rFonts w:ascii="Times New Roman" w:hAnsi="Times New Roman" w:cs="Times New Roman"/>
          <w:sz w:val="24"/>
          <w:szCs w:val="24"/>
        </w:rPr>
        <w:t xml:space="preserve"> definiuje </w:t>
      </w:r>
      <w:r w:rsidRPr="00C96268">
        <w:rPr>
          <w:rFonts w:ascii="Times New Roman" w:hAnsi="Times New Roman" w:cs="Times New Roman"/>
          <w:b/>
          <w:bCs/>
          <w:sz w:val="24"/>
          <w:szCs w:val="24"/>
        </w:rPr>
        <w:t>udział procentowy</w:t>
      </w:r>
      <w:r w:rsidRPr="00C96268">
        <w:rPr>
          <w:rFonts w:ascii="Times New Roman" w:hAnsi="Times New Roman" w:cs="Times New Roman"/>
          <w:sz w:val="24"/>
          <w:szCs w:val="24"/>
        </w:rPr>
        <w:t xml:space="preserve"> jednostki dominującej będącej podatnikiem, dla celów stosowania Zasady IIR. Angielskie określenie tego pojęcia na gruncie </w:t>
      </w:r>
      <w:r w:rsidR="00595132" w:rsidRPr="00C96268">
        <w:rPr>
          <w:rFonts w:ascii="Times New Roman" w:hAnsi="Times New Roman" w:cs="Times New Roman"/>
          <w:sz w:val="24"/>
          <w:szCs w:val="24"/>
        </w:rPr>
        <w:t>Modelowych zasad</w:t>
      </w:r>
      <w:r w:rsidRPr="00C96268">
        <w:rPr>
          <w:rFonts w:ascii="Times New Roman" w:hAnsi="Times New Roman" w:cs="Times New Roman"/>
          <w:sz w:val="24"/>
          <w:szCs w:val="24"/>
        </w:rPr>
        <w:t xml:space="preserve"> OECD to „</w:t>
      </w:r>
      <w:r w:rsidRPr="00C96268">
        <w:rPr>
          <w:rFonts w:ascii="Times New Roman" w:hAnsi="Times New Roman" w:cs="Times New Roman"/>
          <w:i/>
          <w:iCs/>
          <w:sz w:val="24"/>
          <w:szCs w:val="24"/>
        </w:rPr>
        <w:t>inclusion ratio</w:t>
      </w:r>
      <w:r w:rsidRPr="00C96268">
        <w:rPr>
          <w:rFonts w:ascii="Times New Roman" w:hAnsi="Times New Roman" w:cs="Times New Roman"/>
          <w:sz w:val="24"/>
          <w:szCs w:val="24"/>
        </w:rPr>
        <w:t>”</w:t>
      </w:r>
      <w:r w:rsidRPr="00C96268">
        <w:rPr>
          <w:rStyle w:val="Odwoanieprzypisudolnego"/>
          <w:rFonts w:ascii="Times New Roman" w:hAnsi="Times New Roman" w:cs="Times New Roman"/>
          <w:sz w:val="24"/>
          <w:szCs w:val="24"/>
        </w:rPr>
        <w:footnoteReference w:id="77"/>
      </w:r>
      <w:r w:rsidRPr="00C96268">
        <w:rPr>
          <w:rFonts w:ascii="Times New Roman" w:hAnsi="Times New Roman" w:cs="Times New Roman"/>
          <w:sz w:val="24"/>
          <w:szCs w:val="24"/>
        </w:rPr>
        <w:t xml:space="preserve">. Udział procentowy jest zasadniczo stosunkiem  kwoty kwalifikowanego dochodu nisko opodatkowanej jednostki składowej, którą przypisuje się danej jednostce dominującej, do całkowitego kwalifikowanego dochodu nisko opodatkowanej jednostki składowej za dany rok podatkowy. W przypadku, gdy jednostka składowa jest w całości własnością jednostki dominującej, udział procentowy zawsze wynosi 100%. W innym przypadku udział procentowy odzwierciedla odpowiednią część kwalifikowanego dochodu, która przypada danej jednostce dominującej w związku z posiadanymi przez nią prawami. W dużym uproszczeniu, jeżeli np. dana jednostka dominująca posiada 60% udziałów własnościowych i w związku z tym przypisane byłoby jej 60% kwalifikowanego dochodu jednostki, udział procentowy wyniósłby 60%. W części przypadków może udział procentowy może być zatem równy lub zbliżony do wysokości posiadanych udziałów własnościowych. Należy jednak mieć na uwadze, że na gruncie Zasad GloBE udział procentowy określa się poprzez  referencje do kwalifikowanego dochodu przypadającego na innych właścicieli, odzwierciedlając w pewnym zakresie zasady ustalania zysku (straty) udziałowców mniejszościowych obowiązujące na potrzeby skonsolidowanego sprawozdania, zgodnie z wyjaśnieniami poniżej. </w:t>
      </w:r>
    </w:p>
    <w:p w14:paraId="6FDA05F1" w14:textId="77777777" w:rsidR="006C6FE0" w:rsidRPr="00C96268" w:rsidRDefault="006C6FE0" w:rsidP="006C6FE0">
      <w:pPr>
        <w:spacing w:before="240"/>
        <w:jc w:val="both"/>
        <w:rPr>
          <w:rFonts w:ascii="Times New Roman" w:hAnsi="Times New Roman" w:cs="Times New Roman"/>
          <w:sz w:val="24"/>
          <w:szCs w:val="24"/>
        </w:rPr>
      </w:pPr>
      <w:r w:rsidRPr="00C96268">
        <w:rPr>
          <w:rFonts w:ascii="Times New Roman" w:hAnsi="Times New Roman" w:cs="Times New Roman"/>
          <w:sz w:val="24"/>
          <w:szCs w:val="24"/>
        </w:rPr>
        <w:t xml:space="preserve">Sposób obliczenia udziału procentowego obrazuje wzór zawarty w </w:t>
      </w:r>
      <w:r w:rsidRPr="00C96268">
        <w:rPr>
          <w:rFonts w:ascii="Times New Roman" w:hAnsi="Times New Roman" w:cs="Times New Roman"/>
          <w:b/>
          <w:bCs/>
          <w:sz w:val="24"/>
          <w:szCs w:val="24"/>
        </w:rPr>
        <w:t>art. 15 ust. 2</w:t>
      </w:r>
      <w:r w:rsidRPr="00C96268">
        <w:rPr>
          <w:rFonts w:ascii="Times New Roman" w:hAnsi="Times New Roman" w:cs="Times New Roman"/>
          <w:sz w:val="24"/>
          <w:szCs w:val="24"/>
        </w:rPr>
        <w:t>. Udział procentowy ustala się, jako wartość wyrażoną w procentach, poprzez:</w:t>
      </w:r>
    </w:p>
    <w:p w14:paraId="1A22D2CF" w14:textId="77777777" w:rsidR="006C6FE0" w:rsidRPr="00C96268" w:rsidRDefault="006C6FE0" w:rsidP="009E73F7">
      <w:pPr>
        <w:pStyle w:val="Akapitzlist"/>
        <w:numPr>
          <w:ilvl w:val="0"/>
          <w:numId w:val="112"/>
        </w:numPr>
        <w:spacing w:before="240"/>
        <w:jc w:val="both"/>
        <w:rPr>
          <w:rFonts w:ascii="Times New Roman" w:hAnsi="Times New Roman" w:cs="Times New Roman"/>
          <w:sz w:val="24"/>
          <w:szCs w:val="24"/>
        </w:rPr>
      </w:pPr>
      <w:r w:rsidRPr="00C96268">
        <w:rPr>
          <w:rFonts w:ascii="Times New Roman" w:hAnsi="Times New Roman" w:cs="Times New Roman"/>
          <w:sz w:val="24"/>
          <w:szCs w:val="24"/>
        </w:rPr>
        <w:t xml:space="preserve">pomniejszenie kwalifikowanego dochodu jednostki o kwoty takiego dochodu przypisanego do udziałów własnościowych posiadanych przez właścicieli innych niż dana jednostka dominująca oraz </w:t>
      </w:r>
    </w:p>
    <w:p w14:paraId="44FE042C" w14:textId="77777777" w:rsidR="006C6FE0" w:rsidRPr="00C96268" w:rsidRDefault="006C6FE0" w:rsidP="009E73F7">
      <w:pPr>
        <w:pStyle w:val="Akapitzlist"/>
        <w:numPr>
          <w:ilvl w:val="0"/>
          <w:numId w:val="112"/>
        </w:numPr>
        <w:spacing w:before="240"/>
        <w:jc w:val="both"/>
        <w:rPr>
          <w:rFonts w:ascii="Times New Roman" w:hAnsi="Times New Roman" w:cs="Times New Roman"/>
          <w:sz w:val="24"/>
          <w:szCs w:val="24"/>
        </w:rPr>
      </w:pPr>
      <w:r w:rsidRPr="00C96268">
        <w:rPr>
          <w:rFonts w:ascii="Times New Roman" w:hAnsi="Times New Roman" w:cs="Times New Roman"/>
          <w:sz w:val="24"/>
          <w:szCs w:val="24"/>
        </w:rPr>
        <w:t xml:space="preserve">podzielenie tak pomniejszonego dochodu przez całkowity kwalifikowany dochód tej jednostki. </w:t>
      </w:r>
    </w:p>
    <w:p w14:paraId="5FF2F5EE" w14:textId="4AF9F654" w:rsidR="006C6FE0" w:rsidRPr="00C96268" w:rsidRDefault="00E336F3" w:rsidP="006C6FE0">
      <w:pPr>
        <w:spacing w:before="240"/>
        <w:jc w:val="both"/>
        <w:rPr>
          <w:rFonts w:ascii="Times New Roman" w:hAnsi="Times New Roman" w:cs="Times New Roman"/>
          <w:sz w:val="24"/>
          <w:szCs w:val="24"/>
        </w:rPr>
      </w:pPr>
      <w:r w:rsidRPr="00C96268">
        <w:rPr>
          <w:rFonts w:ascii="Times New Roman" w:hAnsi="Times New Roman" w:cs="Times New Roman"/>
          <w:sz w:val="24"/>
          <w:szCs w:val="24"/>
        </w:rPr>
        <w:t>K</w:t>
      </w:r>
      <w:r w:rsidR="006C6FE0" w:rsidRPr="00C96268">
        <w:rPr>
          <w:rFonts w:ascii="Times New Roman" w:hAnsi="Times New Roman" w:cs="Times New Roman"/>
          <w:sz w:val="24"/>
          <w:szCs w:val="24"/>
        </w:rPr>
        <w:t>walifikowan</w:t>
      </w:r>
      <w:r w:rsidRPr="00C96268">
        <w:rPr>
          <w:rFonts w:ascii="Times New Roman" w:hAnsi="Times New Roman" w:cs="Times New Roman"/>
          <w:sz w:val="24"/>
          <w:szCs w:val="24"/>
        </w:rPr>
        <w:t>y</w:t>
      </w:r>
      <w:r w:rsidR="006C6FE0" w:rsidRPr="00C96268">
        <w:rPr>
          <w:rFonts w:ascii="Times New Roman" w:hAnsi="Times New Roman" w:cs="Times New Roman"/>
          <w:sz w:val="24"/>
          <w:szCs w:val="24"/>
        </w:rPr>
        <w:t xml:space="preserve"> doch</w:t>
      </w:r>
      <w:r w:rsidRPr="00C96268">
        <w:rPr>
          <w:rFonts w:ascii="Times New Roman" w:hAnsi="Times New Roman" w:cs="Times New Roman"/>
          <w:sz w:val="24"/>
          <w:szCs w:val="24"/>
        </w:rPr>
        <w:t>ód</w:t>
      </w:r>
      <w:r w:rsidR="006C6FE0" w:rsidRPr="00C96268">
        <w:rPr>
          <w:rFonts w:ascii="Times New Roman" w:hAnsi="Times New Roman" w:cs="Times New Roman"/>
          <w:sz w:val="24"/>
          <w:szCs w:val="24"/>
        </w:rPr>
        <w:t xml:space="preserve"> przypadając</w:t>
      </w:r>
      <w:r w:rsidRPr="00C96268">
        <w:rPr>
          <w:rFonts w:ascii="Times New Roman" w:hAnsi="Times New Roman" w:cs="Times New Roman"/>
          <w:sz w:val="24"/>
          <w:szCs w:val="24"/>
        </w:rPr>
        <w:t>y</w:t>
      </w:r>
      <w:r w:rsidR="006C6FE0" w:rsidRPr="00C96268">
        <w:rPr>
          <w:rFonts w:ascii="Times New Roman" w:hAnsi="Times New Roman" w:cs="Times New Roman"/>
          <w:sz w:val="24"/>
          <w:szCs w:val="24"/>
        </w:rPr>
        <w:t xml:space="preserve"> na udziały własnościowe innych właścicieli ustala się zgodnie z mechanizmem wskazanym w </w:t>
      </w:r>
      <w:r w:rsidR="006C6FE0" w:rsidRPr="00C96268">
        <w:rPr>
          <w:rFonts w:ascii="Times New Roman" w:hAnsi="Times New Roman" w:cs="Times New Roman"/>
          <w:b/>
          <w:bCs/>
          <w:sz w:val="24"/>
          <w:szCs w:val="24"/>
        </w:rPr>
        <w:t>ust. 3</w:t>
      </w:r>
      <w:r w:rsidR="006C6FE0" w:rsidRPr="00C96268">
        <w:rPr>
          <w:rFonts w:ascii="Times New Roman" w:hAnsi="Times New Roman" w:cs="Times New Roman"/>
          <w:sz w:val="24"/>
          <w:szCs w:val="24"/>
        </w:rPr>
        <w:t xml:space="preserve">. W tym zakresie należy wskazać - w ślad za </w:t>
      </w:r>
      <w:r w:rsidR="006C6FE0" w:rsidRPr="00C96268">
        <w:rPr>
          <w:rFonts w:ascii="Times New Roman" w:hAnsi="Times New Roman" w:cs="Times New Roman"/>
          <w:sz w:val="24"/>
          <w:szCs w:val="24"/>
        </w:rPr>
        <w:lastRenderedPageBreak/>
        <w:t>Komentarzem - że jeżeli dana jednostka składowa jest częściowo własnością osób</w:t>
      </w:r>
      <w:r w:rsidR="006C6FE0" w:rsidRPr="00C96268">
        <w:rPr>
          <w:rStyle w:val="Odwoanieprzypisudolnego"/>
          <w:rFonts w:ascii="Times New Roman" w:hAnsi="Times New Roman" w:cs="Times New Roman"/>
          <w:sz w:val="24"/>
          <w:szCs w:val="24"/>
        </w:rPr>
        <w:footnoteReference w:id="78"/>
      </w:r>
      <w:r w:rsidR="006C6FE0" w:rsidRPr="00C96268">
        <w:rPr>
          <w:rFonts w:ascii="Times New Roman" w:hAnsi="Times New Roman" w:cs="Times New Roman"/>
          <w:sz w:val="24"/>
          <w:szCs w:val="24"/>
        </w:rPr>
        <w:t xml:space="preserve"> spoza grupy (udziałowców mniejszościowych), jednostka dominująca najwyższego szczebla musi ocenić zakres, w jakim aktywa, zobowiązania, przychody, koszty i przepływy pieniężne jej jednostek składowych należą do posiadaczy udziałów mniejszościowych, aby prawidłowo wykazać część należącą do jej właścicieli w skonsolidowanym sprawozdaniu finansowym. Skonsolidowany rachunek zysków i strat będzie zatem obejmował zmniejszenie całkowitego zysku (straty) netto o część należącą do właścicieli mniejszościowych [zysk (strata) mniejszości] w celu uzyskania skonsolidowanego zysku (straty) netto jednostki dominującej najwyższego szczebla. Bez tych korekt skonsolidowane sprawozdanie finansowe zawyżałoby część zysku skonsolidowanej grupy, która należy do właścicieli UPE lub przynosi im korzyści [Komentarz, 2.2.3;31].</w:t>
      </w:r>
    </w:p>
    <w:p w14:paraId="06D1A586"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W przypadku, gdy Zasada IIR jest stosowana przez IPE lub POPE, na gruncie Zasad GloBE celowe jest, aby również ta jednostka dominująca stosowała zasady, które UPE stosuje wobec właścicieli mniejszościowych w odniesieniu do ich odrębnych udziałów własnościowych w nisko opodatkowanej jednostce składowej. W tym celu </w:t>
      </w:r>
      <w:r w:rsidRPr="00C96268">
        <w:rPr>
          <w:rFonts w:ascii="Times New Roman" w:hAnsi="Times New Roman" w:cs="Times New Roman"/>
          <w:b/>
          <w:bCs/>
          <w:sz w:val="24"/>
          <w:szCs w:val="24"/>
        </w:rPr>
        <w:t>ust. 3</w:t>
      </w:r>
      <w:r w:rsidRPr="00C96268">
        <w:rPr>
          <w:rFonts w:ascii="Times New Roman" w:hAnsi="Times New Roman" w:cs="Times New Roman"/>
          <w:sz w:val="24"/>
          <w:szCs w:val="24"/>
        </w:rPr>
        <w:t xml:space="preserve"> wymaga hipotetycznego przypisania (zgodnie z tymi zasadami) odpowiedniej kwoty kwalifikowanego dochodu do innych właścicieli, w przypadku spełnienia (hipotetycznych) warunków lub założeń, określonych w </w:t>
      </w:r>
      <w:r w:rsidRPr="00C96268">
        <w:rPr>
          <w:rFonts w:ascii="Times New Roman" w:hAnsi="Times New Roman" w:cs="Times New Roman"/>
          <w:b/>
          <w:bCs/>
          <w:sz w:val="24"/>
          <w:szCs w:val="24"/>
        </w:rPr>
        <w:t>ust. 3 pkt 1 - 5</w:t>
      </w:r>
      <w:r w:rsidRPr="00C96268">
        <w:rPr>
          <w:rFonts w:ascii="Times New Roman" w:hAnsi="Times New Roman" w:cs="Times New Roman"/>
          <w:sz w:val="24"/>
          <w:szCs w:val="24"/>
        </w:rPr>
        <w:t>.</w:t>
      </w:r>
    </w:p>
    <w:p w14:paraId="33C7B509"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
          <w:bCs/>
          <w:sz w:val="24"/>
          <w:szCs w:val="24"/>
        </w:rPr>
        <w:t>Zgodnie z art. 15 ust. 3 pkt 1</w:t>
      </w:r>
      <w:r w:rsidRPr="00C96268">
        <w:rPr>
          <w:rFonts w:ascii="Times New Roman" w:hAnsi="Times New Roman" w:cs="Times New Roman"/>
          <w:sz w:val="24"/>
          <w:szCs w:val="24"/>
        </w:rPr>
        <w:t xml:space="preserve"> należy przyjąć uproszczone założenie, że zysk netto nisko opodatkowanej jednostki składowej jest równy kwalifikowanemu dochodowi takiej jednostki. Służy to przełożeniu zasad obowiązujących na potrzeby skonsolidowanego sprawozdania finansowego (gdzie mowa o zysku netto) na grunt Zasad GloBE, gdzie mowa o kwalifikowanym dochodzie. Jest to uproszczenie, tj. określając udział procentowy nie jest konieczne dokonywanie korekt, o których mowa w szczególności w dziale V ustawy. </w:t>
      </w:r>
    </w:p>
    <w:p w14:paraId="0F78EC52"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Drugim założeniem, wskazanym w </w:t>
      </w:r>
      <w:r w:rsidRPr="00C96268">
        <w:rPr>
          <w:rFonts w:ascii="Times New Roman" w:hAnsi="Times New Roman" w:cs="Times New Roman"/>
          <w:b/>
          <w:bCs/>
          <w:sz w:val="24"/>
          <w:szCs w:val="24"/>
        </w:rPr>
        <w:t>pkt 2</w:t>
      </w:r>
      <w:r w:rsidRPr="00C96268">
        <w:rPr>
          <w:rFonts w:ascii="Times New Roman" w:hAnsi="Times New Roman" w:cs="Times New Roman"/>
          <w:sz w:val="24"/>
          <w:szCs w:val="24"/>
        </w:rPr>
        <w:t xml:space="preserve"> jest przyjęcie, że jednostka dominująca, dokonująca hipotetycznej alokacji, sporządziłaby skonsolidowane sprawozdanie finansowe przy zastosowaniu akceptowalnego standardu rachunkowości, który został zastosowany w skonsolidowanym sprawozdaniu finansowym jednostki dominującej (hipotetyczne skonsolidowane sprawozdanie finansowe). Założenie to jest konieczne w przypadku, gdy jednostka dominująca nie jest jednostką dominującą najwyższego szczebla. Mimo, że UPE faktycznie sporządziła skonsolidowane sprawozdanie finansowe, sprawozdanie innej jednostki dominującej byłoby hipotetycznym skonsolidowanym sprawozdaniem finansowym dla celów art. 15 ust. 3. Założenie to określa jednolity (akceptowalny) standard rachunkowości w celu prawidłowego przypisania kwalifikowanego dochodu nisko opodatkowanej jednostki składowej, a tym samym globalnego podatku wyrównawczego pomiędzy jednostki dominujące, stosujące Zasadę IIR. Ponieważ wszystkie jednostki dominujące będą stosowały ten sam standard rachunkowości w celu określenia swojego udziału procentowego, nie dojdzie do uszczuplenia (lub podwójnego naliczania) zobowiązania z tytułu globalnego podatku wyrównawczego.</w:t>
      </w:r>
    </w:p>
    <w:p w14:paraId="2D0EB54C"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Zgodnie z trzecim kryterium wskazanym w </w:t>
      </w:r>
      <w:r w:rsidRPr="00C96268">
        <w:rPr>
          <w:rFonts w:ascii="Times New Roman" w:hAnsi="Times New Roman" w:cs="Times New Roman"/>
          <w:b/>
          <w:bCs/>
          <w:sz w:val="24"/>
          <w:szCs w:val="24"/>
        </w:rPr>
        <w:t>pkt 3</w:t>
      </w:r>
      <w:r w:rsidRPr="00C96268">
        <w:rPr>
          <w:rFonts w:ascii="Times New Roman" w:hAnsi="Times New Roman" w:cs="Times New Roman"/>
          <w:sz w:val="24"/>
          <w:szCs w:val="24"/>
        </w:rPr>
        <w:t xml:space="preserve">  należy założyć (hipotetycznie), że jednostka dominująca posiadałaby udział konsolidujący w nisko opodatkowanej jednostce składowej w </w:t>
      </w:r>
      <w:r w:rsidRPr="00C96268">
        <w:rPr>
          <w:rFonts w:ascii="Times New Roman" w:hAnsi="Times New Roman" w:cs="Times New Roman"/>
          <w:sz w:val="24"/>
          <w:szCs w:val="24"/>
        </w:rPr>
        <w:lastRenderedPageBreak/>
        <w:t>taki sposób, że wszystkie przychody i koszty</w:t>
      </w:r>
      <w:r w:rsidRPr="00C96268">
        <w:rPr>
          <w:rStyle w:val="Odwoanieprzypisudolnego"/>
          <w:rFonts w:ascii="Times New Roman" w:hAnsi="Times New Roman" w:cs="Times New Roman"/>
          <w:sz w:val="24"/>
          <w:szCs w:val="24"/>
        </w:rPr>
        <w:footnoteReference w:id="79"/>
      </w:r>
      <w:r w:rsidRPr="00C96268">
        <w:rPr>
          <w:rFonts w:ascii="Times New Roman" w:hAnsi="Times New Roman" w:cs="Times New Roman"/>
          <w:sz w:val="24"/>
          <w:szCs w:val="24"/>
        </w:rPr>
        <w:t xml:space="preserve"> tej jednostki podlegałyby konsolidacji pełnej. Założenie, zawarte w </w:t>
      </w:r>
      <w:r w:rsidRPr="00C96268">
        <w:rPr>
          <w:rFonts w:ascii="Times New Roman" w:hAnsi="Times New Roman" w:cs="Times New Roman"/>
          <w:b/>
          <w:bCs/>
          <w:sz w:val="24"/>
          <w:szCs w:val="24"/>
        </w:rPr>
        <w:t>pkt 3</w:t>
      </w:r>
      <w:r w:rsidRPr="00C96268">
        <w:rPr>
          <w:rFonts w:ascii="Times New Roman" w:hAnsi="Times New Roman" w:cs="Times New Roman"/>
          <w:sz w:val="24"/>
          <w:szCs w:val="24"/>
        </w:rPr>
        <w:t xml:space="preserve">, ma na celu wyjaśnienie, że </w:t>
      </w:r>
      <w:r w:rsidRPr="00C96268">
        <w:rPr>
          <w:rFonts w:ascii="Times New Roman" w:hAnsi="Times New Roman" w:cs="Times New Roman"/>
          <w:b/>
          <w:bCs/>
          <w:sz w:val="24"/>
          <w:szCs w:val="24"/>
        </w:rPr>
        <w:t>nisko opodatkowana jednostka jest traktowana tak, jakby była kontrolowana przez jednostkę dominującą, sporządzającą hipotetyczne skonsolidowane sprawozdanie finansowe, nawet jeżeli dana jednostka dominująca nie posiada faktycznie udziałów konsolidujących w danej jednostce składowej</w:t>
      </w:r>
      <w:r w:rsidRPr="00C96268">
        <w:rPr>
          <w:rFonts w:ascii="Times New Roman" w:hAnsi="Times New Roman" w:cs="Times New Roman"/>
          <w:sz w:val="24"/>
          <w:szCs w:val="24"/>
        </w:rPr>
        <w:t xml:space="preserve">. Powoduje to włączenie wszystkich przychodów i kosztów nisko opodatkowanej jednostki składowej do hipotetycznego skonsolidowanego sprawozdania finansowego jednostki dominującej na zasadach właściwych dla konsolidacji pełnej, tak aby konieczne było określenie udziału w jej przychodach, przypadającego na innych właścicieli, zgodnie z odpowiednim standardem rachunkowości. </w:t>
      </w:r>
    </w:p>
    <w:p w14:paraId="284DDE3B"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Czwartym założeniem (</w:t>
      </w:r>
      <w:r w:rsidRPr="00C96268">
        <w:rPr>
          <w:rFonts w:ascii="Times New Roman" w:hAnsi="Times New Roman" w:cs="Times New Roman"/>
          <w:b/>
          <w:bCs/>
          <w:sz w:val="24"/>
          <w:szCs w:val="24"/>
        </w:rPr>
        <w:t>pkt 4</w:t>
      </w:r>
      <w:r w:rsidRPr="00C96268">
        <w:rPr>
          <w:rFonts w:ascii="Times New Roman" w:hAnsi="Times New Roman" w:cs="Times New Roman"/>
          <w:sz w:val="24"/>
          <w:szCs w:val="24"/>
        </w:rPr>
        <w:t xml:space="preserve">) jest to, że cały kwalifikowany dochód nisko opodatkowanej jednostki składowej można przypisać transakcjom z osobami, które nie są jednostkami składowymi danej grupy. Należy zauważyć, że standardowy proces sporządzania skonsolidowanych sprawozdań finansowych eliminuje przychody i koszty przypisywane transakcjom pomiędzy członkami grupy. Wskazane założenie precyzuje jednak, że kwota, którą należy przypisać w hipotetycznej alokacji, to całkowity kwalifikowany dochód nisko opodatkowanej jednostki, niezależnie od tego, czy część lub całość tego dochodu została uzyskana w ramach transakcji z jednostkami z grupy i zostałaby wyeliminowana przy sporządzaniu rzeczywistych skonsolidowanych sprawozdań finansowych. Tym samym, </w:t>
      </w:r>
      <w:r w:rsidRPr="00C96268">
        <w:rPr>
          <w:rFonts w:ascii="Times New Roman" w:hAnsi="Times New Roman" w:cs="Times New Roman"/>
          <w:b/>
          <w:bCs/>
          <w:sz w:val="24"/>
          <w:szCs w:val="24"/>
        </w:rPr>
        <w:t>w hipotetycznej alokacji należy przypisać całą kwotę kwalifikowanego dochodu, nawet jeżeli część lub całość tego dochodu faktycznie uzyskano w wyniku transakcji z innymi jednostkami z grupy</w:t>
      </w:r>
      <w:r w:rsidRPr="00C96268">
        <w:rPr>
          <w:rFonts w:ascii="Times New Roman" w:hAnsi="Times New Roman" w:cs="Times New Roman"/>
          <w:sz w:val="24"/>
          <w:szCs w:val="24"/>
        </w:rPr>
        <w:t>.</w:t>
      </w:r>
    </w:p>
    <w:p w14:paraId="4E534B0F"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Ostatnim założeniem, określonym w </w:t>
      </w:r>
      <w:r w:rsidRPr="00C96268">
        <w:rPr>
          <w:rFonts w:ascii="Times New Roman" w:hAnsi="Times New Roman" w:cs="Times New Roman"/>
          <w:b/>
          <w:bCs/>
          <w:sz w:val="24"/>
          <w:szCs w:val="24"/>
        </w:rPr>
        <w:t>pkt 5</w:t>
      </w:r>
      <w:r w:rsidRPr="00C96268">
        <w:rPr>
          <w:rFonts w:ascii="Times New Roman" w:hAnsi="Times New Roman" w:cs="Times New Roman"/>
          <w:sz w:val="24"/>
          <w:szCs w:val="24"/>
        </w:rPr>
        <w:t xml:space="preserve">, jest to, żeby wszyscy pozostali właściciele (w tym inne jednostki składowe grupy) byli traktowani jako nieposiadający żadnych udziałów konsolidujących w nisko opodatkowanej jednostce składowej. Tym samym zysk przypadający na inne jednostki składowe grupy jest traktowany jako zysk przypadający na osoby spoza tej grupy. W tym kontekście inne jednostki dominujące traktowane są podobnie do właścicieli mniejszościowych. Takie podejście gwarantuje, że </w:t>
      </w:r>
      <w:r w:rsidRPr="00C96268">
        <w:rPr>
          <w:rFonts w:ascii="Times New Roman" w:hAnsi="Times New Roman" w:cs="Times New Roman"/>
          <w:b/>
          <w:bCs/>
          <w:sz w:val="24"/>
          <w:szCs w:val="24"/>
        </w:rPr>
        <w:t xml:space="preserve">tylko zysk przypadający na bezpośrednie i pośrednie udziały własnościowe posiadane przez daną jednostkę dominującą </w:t>
      </w:r>
      <w:r w:rsidRPr="00C96268">
        <w:rPr>
          <w:rFonts w:ascii="Times New Roman" w:hAnsi="Times New Roman" w:cs="Times New Roman"/>
          <w:sz w:val="24"/>
          <w:szCs w:val="24"/>
        </w:rPr>
        <w:t xml:space="preserve">(zrównany zgodnie z </w:t>
      </w:r>
      <w:r w:rsidRPr="00C96268">
        <w:rPr>
          <w:rFonts w:ascii="Times New Roman" w:hAnsi="Times New Roman" w:cs="Times New Roman"/>
          <w:b/>
          <w:bCs/>
          <w:sz w:val="24"/>
          <w:szCs w:val="24"/>
        </w:rPr>
        <w:t>pkt 1</w:t>
      </w:r>
      <w:r w:rsidRPr="00C96268">
        <w:rPr>
          <w:rFonts w:ascii="Times New Roman" w:hAnsi="Times New Roman" w:cs="Times New Roman"/>
          <w:sz w:val="24"/>
          <w:szCs w:val="24"/>
        </w:rPr>
        <w:t xml:space="preserve"> z kwalifikowanym dochodem) </w:t>
      </w:r>
      <w:r w:rsidRPr="00C96268">
        <w:rPr>
          <w:rFonts w:ascii="Times New Roman" w:hAnsi="Times New Roman" w:cs="Times New Roman"/>
          <w:b/>
          <w:bCs/>
          <w:sz w:val="24"/>
          <w:szCs w:val="24"/>
        </w:rPr>
        <w:t>jest uwzględniany w udziale procentowym tej jednostki</w:t>
      </w:r>
      <w:r w:rsidRPr="00C96268">
        <w:rPr>
          <w:rFonts w:ascii="Times New Roman" w:hAnsi="Times New Roman" w:cs="Times New Roman"/>
          <w:sz w:val="24"/>
          <w:szCs w:val="24"/>
        </w:rPr>
        <w:t>.</w:t>
      </w:r>
    </w:p>
    <w:p w14:paraId="6C735F2E" w14:textId="77777777" w:rsidR="006C6FE0" w:rsidRPr="00C96268" w:rsidRDefault="006C6FE0" w:rsidP="006C6FE0">
      <w:pPr>
        <w:jc w:val="both"/>
        <w:rPr>
          <w:rFonts w:ascii="Times New Roman" w:hAnsi="Times New Roman" w:cs="Times New Roman"/>
          <w:i/>
          <w:iCs/>
          <w:sz w:val="24"/>
          <w:szCs w:val="24"/>
        </w:rPr>
      </w:pPr>
      <w:r w:rsidRPr="00C96268">
        <w:rPr>
          <w:rFonts w:ascii="Times New Roman" w:hAnsi="Times New Roman" w:cs="Times New Roman"/>
          <w:i/>
          <w:iCs/>
          <w:sz w:val="24"/>
          <w:szCs w:val="24"/>
        </w:rPr>
        <w:t>Pomniejszenie podatku o podatek jednostki dominującej znajdującej się niżej w strukturze (IIR offset mechanism)</w:t>
      </w:r>
    </w:p>
    <w:p w14:paraId="211754A9"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
          <w:bCs/>
          <w:sz w:val="24"/>
          <w:szCs w:val="24"/>
        </w:rPr>
        <w:t xml:space="preserve">Art. 15 ust. 4 </w:t>
      </w:r>
      <w:r w:rsidRPr="00C96268">
        <w:rPr>
          <w:rFonts w:ascii="Times New Roman" w:hAnsi="Times New Roman" w:cs="Times New Roman"/>
          <w:sz w:val="24"/>
          <w:szCs w:val="24"/>
        </w:rPr>
        <w:t xml:space="preserve">umożliwia pomniejszenie udziałowego globalnego podatku wyrównawczego jednostki dominującej najwyższego szczebla, w przypadku gdy UPE posiada udział własnościowy w jednostce dominującej niższego szczebla lub jednostce dominującej w częściowym posiadaniu, w wyniku czego co najmniej dwie jednostki są zobowiązane do zastosowania Zasady IIR w odniesieniu do tej samej nisko opodatkowanej jednostki składowej. </w:t>
      </w:r>
    </w:p>
    <w:p w14:paraId="17178F12"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lastRenderedPageBreak/>
        <w:t>Pomniejszenia można dokonać tylko do zera oraz w odniesieniu do kwoty należnej od UPE w odniesieniu do danej nisko opodatkowanej jednostki. Tym samym, nie można kompensować w ten sposób podatku UPE należnego od innej nisko opodatkowanej jednostki, np. od jednostki znajdującej się w innej niż IPE/POPE „gałęzi” struktury holdingowej.</w:t>
      </w:r>
    </w:p>
    <w:p w14:paraId="7DD85770"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Przepis </w:t>
      </w:r>
      <w:r w:rsidRPr="00C96268">
        <w:rPr>
          <w:rFonts w:ascii="Times New Roman" w:hAnsi="Times New Roman" w:cs="Times New Roman"/>
          <w:b/>
          <w:bCs/>
          <w:sz w:val="24"/>
          <w:szCs w:val="24"/>
        </w:rPr>
        <w:t>ust. 5</w:t>
      </w:r>
      <w:r w:rsidRPr="00C96268">
        <w:rPr>
          <w:rFonts w:ascii="Times New Roman" w:hAnsi="Times New Roman" w:cs="Times New Roman"/>
          <w:sz w:val="24"/>
          <w:szCs w:val="24"/>
        </w:rPr>
        <w:t xml:space="preserve"> uzupełnia ponadto, że opisane pomniejszenie znajdzie zastosowanie odpowiednio do jednostki dominującej (innej niż UPE), która posiada udział własnościowy w innej jednostce dominującej (na niższym szczeblu struktury). Przykładowo, IPE znajdująca się na wyższym poziomie struktury (</w:t>
      </w:r>
      <w:r w:rsidRPr="00C96268">
        <w:rPr>
          <w:rFonts w:ascii="Times New Roman" w:hAnsi="Times New Roman" w:cs="Times New Roman"/>
          <w:i/>
          <w:iCs/>
          <w:sz w:val="24"/>
          <w:szCs w:val="24"/>
        </w:rPr>
        <w:t>upper-tier</w:t>
      </w:r>
      <w:r w:rsidRPr="00C96268">
        <w:rPr>
          <w:rFonts w:ascii="Times New Roman" w:hAnsi="Times New Roman" w:cs="Times New Roman"/>
          <w:sz w:val="24"/>
          <w:szCs w:val="24"/>
        </w:rPr>
        <w:t>) może posiadać udziały niekonsolidujące w IPE znajdującym się na niższym poziomie struktury (</w:t>
      </w:r>
      <w:r w:rsidRPr="00C96268">
        <w:rPr>
          <w:rFonts w:ascii="Times New Roman" w:hAnsi="Times New Roman" w:cs="Times New Roman"/>
          <w:i/>
          <w:iCs/>
          <w:sz w:val="24"/>
          <w:szCs w:val="24"/>
        </w:rPr>
        <w:t>lower-tier</w:t>
      </w:r>
      <w:r w:rsidRPr="00C96268">
        <w:rPr>
          <w:rFonts w:ascii="Times New Roman" w:hAnsi="Times New Roman" w:cs="Times New Roman"/>
          <w:sz w:val="24"/>
          <w:szCs w:val="24"/>
        </w:rPr>
        <w:t xml:space="preserve">), która to z kolei posiada wszystkie udziały własnościowe w nisko opodatkowanej jednostce. W takim przypadku, zgodnie z </w:t>
      </w:r>
      <w:r w:rsidRPr="00C96268">
        <w:rPr>
          <w:rFonts w:ascii="Times New Roman" w:hAnsi="Times New Roman" w:cs="Times New Roman"/>
          <w:b/>
          <w:bCs/>
          <w:sz w:val="24"/>
          <w:szCs w:val="24"/>
        </w:rPr>
        <w:t>art. 10 ust. 1 pkt 2</w:t>
      </w:r>
      <w:r w:rsidRPr="00C96268">
        <w:rPr>
          <w:rFonts w:ascii="Times New Roman" w:hAnsi="Times New Roman" w:cs="Times New Roman"/>
          <w:sz w:val="24"/>
          <w:szCs w:val="24"/>
        </w:rPr>
        <w:t xml:space="preserve">, obie jednostki dominujące (IPE) będą zobowiązane do stosowania Zasady IIR w odniesieniu do tej jednostki. Podobna sytuacja może mieć miejsce zgodnie z </w:t>
      </w:r>
      <w:r w:rsidRPr="00C96268">
        <w:rPr>
          <w:rFonts w:ascii="Times New Roman" w:hAnsi="Times New Roman" w:cs="Times New Roman"/>
          <w:b/>
          <w:bCs/>
          <w:sz w:val="24"/>
          <w:szCs w:val="24"/>
        </w:rPr>
        <w:t>art. 10 ust. 1 pkt 3</w:t>
      </w:r>
      <w:r w:rsidRPr="00C96268">
        <w:rPr>
          <w:rFonts w:ascii="Times New Roman" w:hAnsi="Times New Roman" w:cs="Times New Roman"/>
          <w:sz w:val="24"/>
          <w:szCs w:val="24"/>
        </w:rPr>
        <w:t>, gdy POPE nie posiada wszystkich udziałów własnościowych w POPE znajdującym się na niższym poziomie struktury. W takim przypadku obie POPE w tym samym łańcuchu własnościowym będą zobowiązane do stosowania Zasady IIR. Mechanizm pomniejszenia (</w:t>
      </w:r>
      <w:r w:rsidRPr="00C96268">
        <w:rPr>
          <w:rFonts w:ascii="Times New Roman" w:hAnsi="Times New Roman" w:cs="Times New Roman"/>
          <w:i/>
          <w:iCs/>
          <w:sz w:val="24"/>
          <w:szCs w:val="24"/>
        </w:rPr>
        <w:t>ang. IIR offset mechanism</w:t>
      </w:r>
      <w:r w:rsidRPr="00C96268">
        <w:rPr>
          <w:rFonts w:ascii="Times New Roman" w:hAnsi="Times New Roman" w:cs="Times New Roman"/>
          <w:sz w:val="24"/>
          <w:szCs w:val="24"/>
        </w:rPr>
        <w:t xml:space="preserve">) stosuje się zatem, gdy nakładanie się zastosowania Zasady IIR nie jest rozwiązane przez </w:t>
      </w:r>
      <w:r w:rsidRPr="00C96268">
        <w:rPr>
          <w:rFonts w:ascii="Times New Roman" w:hAnsi="Times New Roman" w:cs="Times New Roman"/>
          <w:b/>
          <w:bCs/>
          <w:sz w:val="24"/>
          <w:szCs w:val="24"/>
        </w:rPr>
        <w:t>art. 10 ust. 2</w:t>
      </w:r>
      <w:r w:rsidRPr="00C96268">
        <w:rPr>
          <w:rFonts w:ascii="Times New Roman" w:hAnsi="Times New Roman" w:cs="Times New Roman"/>
          <w:sz w:val="24"/>
          <w:szCs w:val="24"/>
        </w:rPr>
        <w:t xml:space="preserve"> lub </w:t>
      </w:r>
      <w:r w:rsidRPr="00C96268">
        <w:rPr>
          <w:rFonts w:ascii="Times New Roman" w:hAnsi="Times New Roman" w:cs="Times New Roman"/>
          <w:b/>
          <w:bCs/>
          <w:sz w:val="24"/>
          <w:szCs w:val="24"/>
        </w:rPr>
        <w:t>3</w:t>
      </w:r>
      <w:r w:rsidRPr="00C96268">
        <w:rPr>
          <w:rFonts w:ascii="Times New Roman" w:hAnsi="Times New Roman" w:cs="Times New Roman"/>
          <w:sz w:val="24"/>
          <w:szCs w:val="24"/>
        </w:rPr>
        <w:t xml:space="preserve">. </w:t>
      </w:r>
      <w:r w:rsidRPr="00C96268">
        <w:rPr>
          <w:rFonts w:ascii="Times New Roman" w:hAnsi="Times New Roman" w:cs="Times New Roman"/>
          <w:b/>
          <w:bCs/>
          <w:sz w:val="24"/>
          <w:szCs w:val="24"/>
        </w:rPr>
        <w:t xml:space="preserve">Art. 15 ust. 5 </w:t>
      </w:r>
      <w:r w:rsidRPr="00C96268">
        <w:rPr>
          <w:rFonts w:ascii="Times New Roman" w:hAnsi="Times New Roman" w:cs="Times New Roman"/>
          <w:sz w:val="24"/>
          <w:szCs w:val="24"/>
        </w:rPr>
        <w:t xml:space="preserve">zapobiega podwójnemu opodatkowaniu w takich sytuacjach, poprzez pomniejszenie udziałowego globalnego podatku wyrównawczego jednostki dominującej na wyższym poziomie struktury o taki podatek jednostki dominującej na niższym poziomie struktury, w odniesieniu do tej samej nisko opodatkowanej jednostki składowej. </w:t>
      </w:r>
    </w:p>
    <w:p w14:paraId="6F9F62D7" w14:textId="756FDB65"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Ponadto, stosownie do </w:t>
      </w:r>
      <w:r w:rsidRPr="00C96268">
        <w:rPr>
          <w:rFonts w:ascii="Times New Roman" w:hAnsi="Times New Roman" w:cs="Times New Roman"/>
          <w:b/>
          <w:bCs/>
          <w:sz w:val="24"/>
          <w:szCs w:val="24"/>
        </w:rPr>
        <w:t>ust. 6,</w:t>
      </w:r>
      <w:r w:rsidRPr="00C96268">
        <w:rPr>
          <w:rFonts w:ascii="Times New Roman" w:hAnsi="Times New Roman" w:cs="Times New Roman"/>
          <w:sz w:val="24"/>
          <w:szCs w:val="24"/>
        </w:rPr>
        <w:t xml:space="preserve"> w przypadku gdy jednostka dominująca niższego szczebla lub jednostka dominująca w częściowym posiadaniu znajdująca się „na niższym szczeblu struktury”, jest </w:t>
      </w:r>
      <w:r w:rsidRPr="00C96268">
        <w:rPr>
          <w:rFonts w:ascii="Times New Roman" w:hAnsi="Times New Roman" w:cs="Times New Roman"/>
          <w:iCs/>
          <w:sz w:val="24"/>
          <w:szCs w:val="24"/>
        </w:rPr>
        <w:t>zlokalizowana</w:t>
      </w:r>
      <w:r w:rsidRPr="00C96268">
        <w:rPr>
          <w:rFonts w:ascii="Times New Roman" w:hAnsi="Times New Roman" w:cs="Times New Roman"/>
          <w:sz w:val="24"/>
          <w:szCs w:val="24"/>
        </w:rPr>
        <w:t xml:space="preserve"> w </w:t>
      </w:r>
      <w:r w:rsidR="00A30960" w:rsidRPr="00C96268">
        <w:rPr>
          <w:rFonts w:ascii="Times New Roman" w:hAnsi="Times New Roman" w:cs="Times New Roman"/>
          <w:sz w:val="24"/>
          <w:szCs w:val="24"/>
        </w:rPr>
        <w:t xml:space="preserve">jurysdykcji innej </w:t>
      </w:r>
      <w:r w:rsidRPr="00C96268">
        <w:rPr>
          <w:rFonts w:ascii="Times New Roman" w:hAnsi="Times New Roman" w:cs="Times New Roman"/>
          <w:sz w:val="24"/>
          <w:szCs w:val="24"/>
        </w:rPr>
        <w:t xml:space="preserve">niż RP, pomniejszenia, o którym mowa w </w:t>
      </w:r>
      <w:r w:rsidRPr="00C96268">
        <w:rPr>
          <w:rFonts w:ascii="Times New Roman" w:hAnsi="Times New Roman" w:cs="Times New Roman"/>
          <w:b/>
          <w:bCs/>
          <w:sz w:val="24"/>
          <w:szCs w:val="24"/>
        </w:rPr>
        <w:t>ust. 4</w:t>
      </w:r>
      <w:r w:rsidRPr="00C96268">
        <w:rPr>
          <w:rFonts w:ascii="Times New Roman" w:hAnsi="Times New Roman" w:cs="Times New Roman"/>
          <w:sz w:val="24"/>
          <w:szCs w:val="24"/>
        </w:rPr>
        <w:t>, dokonuje się odpowiednio o kwotę kwalifikowanego zagranicznego podatku wyrównawczego</w:t>
      </w:r>
      <w:r w:rsidR="00A30960" w:rsidRPr="00C96268">
        <w:rPr>
          <w:rFonts w:ascii="Times New Roman" w:hAnsi="Times New Roman" w:cs="Times New Roman"/>
          <w:sz w:val="24"/>
          <w:szCs w:val="24"/>
        </w:rPr>
        <w:t>,</w:t>
      </w:r>
      <w:r w:rsidRPr="00C96268">
        <w:rPr>
          <w:rFonts w:ascii="Times New Roman" w:hAnsi="Times New Roman" w:cs="Times New Roman"/>
          <w:sz w:val="24"/>
          <w:szCs w:val="24"/>
        </w:rPr>
        <w:t xml:space="preserve"> należnego od takiej jednostki zgodnie z przepisami </w:t>
      </w:r>
      <w:r w:rsidR="00A30960"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 xml:space="preserve">jej </w:t>
      </w:r>
      <w:r w:rsidRPr="00C96268">
        <w:rPr>
          <w:rFonts w:ascii="Times New Roman" w:hAnsi="Times New Roman" w:cs="Times New Roman"/>
          <w:iCs/>
          <w:sz w:val="24"/>
          <w:szCs w:val="24"/>
        </w:rPr>
        <w:t>lokalizacji</w:t>
      </w:r>
      <w:r w:rsidR="00A30960" w:rsidRPr="00C96268">
        <w:rPr>
          <w:rFonts w:ascii="Times New Roman" w:hAnsi="Times New Roman" w:cs="Times New Roman"/>
          <w:iCs/>
          <w:sz w:val="24"/>
          <w:szCs w:val="24"/>
        </w:rPr>
        <w:t>,</w:t>
      </w:r>
      <w:r w:rsidRPr="00C96268">
        <w:rPr>
          <w:rFonts w:ascii="Times New Roman" w:hAnsi="Times New Roman" w:cs="Times New Roman"/>
          <w:iCs/>
          <w:sz w:val="24"/>
          <w:szCs w:val="24"/>
        </w:rPr>
        <w:t xml:space="preserve"> </w:t>
      </w:r>
      <w:r w:rsidRPr="00C96268">
        <w:rPr>
          <w:rFonts w:ascii="Times New Roman" w:hAnsi="Times New Roman" w:cs="Times New Roman"/>
          <w:sz w:val="24"/>
          <w:szCs w:val="24"/>
        </w:rPr>
        <w:t xml:space="preserve">w odniesieniu do danej nisko opodatkowanej jednostki składowej. Przykładowo, udziałowy globalny podatek wyrównawczy polskiej UPE pomniejsza się o podobny podatek zagranicznej IPE pobierany zgodnie z Zasadą IIR w </w:t>
      </w:r>
      <w:r w:rsidR="00A30960"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lokalizacji tej IPE, w odniesieniu do tej samej nisko opodatkowanej jednostki. Również w takim przypadku tego typu pomniejszenie o podatek zagranicznego IPE nie może przekroczyć udziałowego globalnego podatku wyrównawczego UPE należnego w odniesieniu do tej samej jednostki (czy też w szerszym kontekście, pomniejszenie nie może przekroczyć udziałowego podatku jednostki dominującej znajdującej się wyżej w strukturze względem tej samej jednostki).</w:t>
      </w:r>
      <w:r w:rsidRPr="00C96268">
        <w:rPr>
          <w:rStyle w:val="Odwoanieprzypisudolnego"/>
          <w:rFonts w:ascii="Times New Roman" w:hAnsi="Times New Roman" w:cs="Times New Roman"/>
          <w:sz w:val="24"/>
          <w:szCs w:val="24"/>
        </w:rPr>
        <w:footnoteReference w:id="80"/>
      </w:r>
    </w:p>
    <w:p w14:paraId="509FB563"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16 [Pojęcie dodatkowego podatku wyrównawczego]</w:t>
      </w:r>
    </w:p>
    <w:p w14:paraId="19FE645E"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Dodatkowy podatek wyrównawczy to mechanizm, który pozwala na uwzględnienie wstecznych korekt jurysdykcyjnego globalnego podatku wyrównawczego. Przykładowo może dotyczyć to przypadku, gdy podatnik jest zobowiązany dokonać korekty polegającej na istotnym obniżeniu podatków kwalifikowanych (tj. przede wszystkim CIT) za dany poprzedni rok. W takiej sytuacji podatnik zobowiązany jest do przeliczenia efektywnej stawki podatkowej za ten poprzedni rok. Wskutek uwzględnienia niższych podatków kwalifikowanych stawka ta </w:t>
      </w:r>
      <w:r w:rsidRPr="00C96268">
        <w:rPr>
          <w:rFonts w:ascii="Times New Roman" w:hAnsi="Times New Roman" w:cs="Times New Roman"/>
          <w:bCs/>
          <w:iCs/>
          <w:sz w:val="24"/>
          <w:szCs w:val="24"/>
        </w:rPr>
        <w:lastRenderedPageBreak/>
        <w:t xml:space="preserve">ulegnie obniżeniu, a przeliczony według nowej stawki jurysdykcyjny globalny podatek wyrównawczy za dany poprzedni rok będzie wyższy. Obowiązek ponownego przeliczenia jurysdykcyjnego globalnego podatku wyrównawczego, w przypadku korekt wpływających na wysokość efektywnej stawki podatkowej za poprzedni rok lub lata, wynika z </w:t>
      </w:r>
      <w:r w:rsidRPr="00C96268">
        <w:rPr>
          <w:rFonts w:ascii="Times New Roman" w:hAnsi="Times New Roman" w:cs="Times New Roman"/>
          <w:b/>
          <w:iCs/>
          <w:sz w:val="24"/>
          <w:szCs w:val="24"/>
        </w:rPr>
        <w:t>art. 16 ust. 1</w:t>
      </w:r>
      <w:r w:rsidRPr="00C96268">
        <w:rPr>
          <w:rFonts w:ascii="Times New Roman" w:hAnsi="Times New Roman" w:cs="Times New Roman"/>
          <w:bCs/>
          <w:iCs/>
          <w:sz w:val="24"/>
          <w:szCs w:val="24"/>
        </w:rPr>
        <w:t>.</w:t>
      </w:r>
    </w:p>
    <w:p w14:paraId="4F5D35FA"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Różnicę pomiędzy niedoszacowanym za poprzedni rok (lub poprzednie lata) jurysdykcyjnym globalnym podatkiem wyrównawczym a prawidłowym (przeliczonym) jurysdykcyjnym globalnym podatkiem wyrównawczym uznaje się, zgodnie z </w:t>
      </w:r>
      <w:r w:rsidRPr="00C96268">
        <w:rPr>
          <w:rFonts w:ascii="Times New Roman" w:hAnsi="Times New Roman" w:cs="Times New Roman"/>
          <w:b/>
          <w:iCs/>
          <w:sz w:val="24"/>
          <w:szCs w:val="24"/>
        </w:rPr>
        <w:t>art. 16 ust. 2</w:t>
      </w:r>
      <w:r w:rsidRPr="00C96268">
        <w:rPr>
          <w:rFonts w:ascii="Times New Roman" w:hAnsi="Times New Roman" w:cs="Times New Roman"/>
          <w:bCs/>
          <w:iCs/>
          <w:sz w:val="24"/>
          <w:szCs w:val="24"/>
        </w:rPr>
        <w:t xml:space="preserve">, za dodatkowy podatek wyrównawczy. Tym samym, dodatkowy podatek wyrównawczy powstaje tylko, gdy prawidłowo przeliczony jurysdykcyjny globalny podatek wyrównawczy przewyższa poprzednio wyliczony podatek. Dla zminimalizowania obciążeń administracyjnych, dodatkowy podatek wyrównawczy jest należny za bieżący rok podatkowy, w którym dokonano korekty za dany rok poprzedni. Kwota dodatkowego podatku wyrównawczego jest bowiem pozycją, którą dodaje się w ramach wzoru pozwalającego na obliczenie jurysdykcyjnego globalnego podatku wyrównawczego za dany bieżący rok podatkowy. Wzór ten zawarty jest w art. </w:t>
      </w:r>
      <w:r w:rsidRPr="00C96268">
        <w:rPr>
          <w:rFonts w:ascii="Times New Roman" w:hAnsi="Times New Roman" w:cs="Times New Roman"/>
          <w:b/>
          <w:iCs/>
          <w:sz w:val="24"/>
          <w:szCs w:val="24"/>
        </w:rPr>
        <w:t>13 ust. 1</w:t>
      </w:r>
      <w:r w:rsidRPr="00C96268">
        <w:rPr>
          <w:rFonts w:ascii="Times New Roman" w:hAnsi="Times New Roman" w:cs="Times New Roman"/>
          <w:bCs/>
          <w:iCs/>
          <w:sz w:val="24"/>
          <w:szCs w:val="24"/>
        </w:rPr>
        <w:t xml:space="preserve">, czyli: </w:t>
      </w:r>
    </w:p>
    <w:p w14:paraId="45EC8AC4" w14:textId="77777777" w:rsidR="006C6FE0" w:rsidRPr="000F3DE5" w:rsidRDefault="006C6FE0" w:rsidP="006C6FE0">
      <w:pPr>
        <w:spacing w:after="120"/>
        <w:jc w:val="both"/>
        <w:rPr>
          <w:rFonts w:cstheme="minorHAnsi"/>
          <w:bCs/>
          <w:iCs/>
        </w:rPr>
      </w:pPr>
      <w:r w:rsidRPr="000F3DE5">
        <w:rPr>
          <w:rFonts w:cstheme="minorHAnsi"/>
          <w:bCs/>
          <w:i/>
          <w:iCs/>
        </w:rPr>
        <w:t xml:space="preserve">(indywidualna stawka globalnego podatku wyrównawczego x nadwyżka zysku) </w:t>
      </w:r>
      <w:r w:rsidRPr="000F3DE5">
        <w:rPr>
          <w:rFonts w:cstheme="minorHAnsi"/>
          <w:b/>
          <w:bCs/>
          <w:i/>
          <w:iCs/>
        </w:rPr>
        <w:t>+ dodatkowy podatek wyrównawczy</w:t>
      </w:r>
      <w:r w:rsidRPr="000F3DE5">
        <w:rPr>
          <w:rFonts w:cstheme="minorHAnsi"/>
          <w:bCs/>
          <w:i/>
          <w:iCs/>
        </w:rPr>
        <w:t xml:space="preserve"> – kwalifikowany krajowy podatek wyrównawczy</w:t>
      </w:r>
      <w:r w:rsidRPr="000F3DE5">
        <w:rPr>
          <w:rFonts w:cstheme="minorHAnsi"/>
          <w:bCs/>
          <w:iCs/>
        </w:rPr>
        <w:t xml:space="preserve"> w części wymagalnej do zapłaty</w:t>
      </w:r>
    </w:p>
    <w:p w14:paraId="1E945DF7"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 przypadku natomiast, gdy jurysdykcyjny globalny podatek wyrównawczy za dany poprzedni rok został zawyżony, taka kwota zawyżenia nie podlega odliczeniu w kolejnych latach podatkowych ani nie przysługuje zwrot różnicy podatku. Dodatkowy podatek wyrównawczy stanowi zatem wyłącznie mechanizm służący dopłacie zaniżonego jurysdykcyjnego globalnego podatku wyrównawczego.</w:t>
      </w:r>
    </w:p>
    <w:p w14:paraId="3CE5A1A0"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Należy zwrócić uwagę,  że w </w:t>
      </w:r>
      <w:r w:rsidRPr="00C96268">
        <w:rPr>
          <w:rFonts w:ascii="Times New Roman" w:hAnsi="Times New Roman" w:cs="Times New Roman"/>
          <w:b/>
          <w:iCs/>
          <w:sz w:val="24"/>
          <w:szCs w:val="24"/>
        </w:rPr>
        <w:t>ust. 2</w:t>
      </w:r>
      <w:r w:rsidRPr="00C96268">
        <w:rPr>
          <w:rFonts w:ascii="Times New Roman" w:hAnsi="Times New Roman" w:cs="Times New Roman"/>
          <w:bCs/>
          <w:iCs/>
          <w:sz w:val="24"/>
          <w:szCs w:val="24"/>
        </w:rPr>
        <w:t>, który określa, czym jest dodatkowy podatek wyrównawczy, mowa jest o „sumie nadwyżek jurysdykcyjnego globalnego podatku wyrównawczego”. Odwołanie się do sumy nadwyżek wynika z tego, że niekiedy podobne korekty dokonywane są w jednym momencie za kilka poprzednich lat, a nie tylko za jeden wybrany poprzedni rok. Rozpatrując zatem rok bieżący za który uwzględnia się dodatkowy podatek wyrównawczy, z tej perspektywy ten dodatkowy podatek będzie wynikał z sumy korekt za poszczególne poprzednie lata (efektywnie, z sumy nadwyżek prawidłowo wyliczonego jurysdykcyjnego podatku ponad poprzednio wyliczony jurysdykcyjny podatek).</w:t>
      </w:r>
    </w:p>
    <w:p w14:paraId="5076493F" w14:textId="16E817DB"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
          <w:iCs/>
          <w:sz w:val="24"/>
          <w:szCs w:val="24"/>
        </w:rPr>
        <w:t>Art. 16 ust. 3</w:t>
      </w:r>
      <w:r w:rsidRPr="00C96268">
        <w:rPr>
          <w:rFonts w:ascii="Times New Roman" w:hAnsi="Times New Roman" w:cs="Times New Roman"/>
          <w:bCs/>
          <w:iCs/>
          <w:sz w:val="24"/>
          <w:szCs w:val="24"/>
        </w:rPr>
        <w:t xml:space="preserve"> wymienia poszczególne przypadki, w których powstaje – na gruncie innych przepisów ustawy – obowiązek wstecznego przeliczenia efektywnej stawki podatkowej i naliczenia dodatkowego podatku wyrównawczego. Obowiązek taki występuje przede wszystkim w przypadku różnego rodzaju korekt dotyczących podatków kwalifikowanych lub kwalifikowanego dochodu (straty). Są one wymienione w </w:t>
      </w:r>
      <w:r w:rsidRPr="00C96268">
        <w:rPr>
          <w:rFonts w:ascii="Times New Roman" w:hAnsi="Times New Roman" w:cs="Times New Roman"/>
          <w:b/>
          <w:iCs/>
          <w:sz w:val="24"/>
          <w:szCs w:val="24"/>
        </w:rPr>
        <w:t>pkt 2-5</w:t>
      </w:r>
      <w:r w:rsidRPr="00C96268">
        <w:rPr>
          <w:rFonts w:ascii="Times New Roman" w:hAnsi="Times New Roman" w:cs="Times New Roman"/>
          <w:bCs/>
          <w:iCs/>
          <w:sz w:val="24"/>
          <w:szCs w:val="24"/>
        </w:rPr>
        <w:t>. Najbardziej typowym przykładem jest istotne obniżenie podatków kwalifikowanych za dany poprzedni rok (</w:t>
      </w:r>
      <w:r w:rsidRPr="00C96268">
        <w:rPr>
          <w:rFonts w:ascii="Times New Roman" w:hAnsi="Times New Roman" w:cs="Times New Roman"/>
          <w:b/>
          <w:iCs/>
          <w:sz w:val="24"/>
          <w:szCs w:val="24"/>
        </w:rPr>
        <w:t>pkt 5</w:t>
      </w:r>
      <w:r w:rsidRPr="00C96268">
        <w:rPr>
          <w:rFonts w:ascii="Times New Roman" w:hAnsi="Times New Roman" w:cs="Times New Roman"/>
          <w:bCs/>
          <w:iCs/>
          <w:sz w:val="24"/>
          <w:szCs w:val="24"/>
        </w:rPr>
        <w:t xml:space="preserve">). Obowiązek korekty i naliczenia dodatkowego podatku wyrównawczego powstanie także w przypadku braku zapłaty podatku w określonym terminie (por. </w:t>
      </w:r>
      <w:r w:rsidRPr="00C96268">
        <w:rPr>
          <w:rFonts w:ascii="Times New Roman" w:hAnsi="Times New Roman" w:cs="Times New Roman"/>
          <w:b/>
          <w:iCs/>
          <w:sz w:val="24"/>
          <w:szCs w:val="24"/>
        </w:rPr>
        <w:t>pkt 1</w:t>
      </w:r>
      <w:r w:rsidRPr="00C96268">
        <w:rPr>
          <w:rFonts w:ascii="Times New Roman" w:hAnsi="Times New Roman" w:cs="Times New Roman"/>
          <w:bCs/>
          <w:iCs/>
          <w:sz w:val="24"/>
          <w:szCs w:val="24"/>
        </w:rPr>
        <w:t xml:space="preserve"> dotyczący kwalifikowanego krajowego podatku wyrównawczego i </w:t>
      </w:r>
      <w:r w:rsidRPr="00C96268">
        <w:rPr>
          <w:rFonts w:ascii="Times New Roman" w:hAnsi="Times New Roman" w:cs="Times New Roman"/>
          <w:b/>
          <w:iCs/>
          <w:sz w:val="24"/>
          <w:szCs w:val="24"/>
        </w:rPr>
        <w:t>pkt 6</w:t>
      </w:r>
      <w:r w:rsidRPr="00C96268">
        <w:rPr>
          <w:rFonts w:ascii="Times New Roman" w:hAnsi="Times New Roman" w:cs="Times New Roman"/>
          <w:bCs/>
          <w:iCs/>
          <w:sz w:val="24"/>
          <w:szCs w:val="24"/>
        </w:rPr>
        <w:t xml:space="preserve"> dotyczący podatku dochodowego). Ponadto korekty mogą dotyczyć sytuacji związanej z obniżeniem krajowej stawki podatkowej (</w:t>
      </w:r>
      <w:r w:rsidRPr="00C96268">
        <w:rPr>
          <w:rFonts w:ascii="Times New Roman" w:hAnsi="Times New Roman" w:cs="Times New Roman"/>
          <w:b/>
          <w:iCs/>
          <w:sz w:val="24"/>
          <w:szCs w:val="24"/>
        </w:rPr>
        <w:t>pkt 7</w:t>
      </w:r>
      <w:r w:rsidRPr="00C96268">
        <w:rPr>
          <w:rFonts w:ascii="Times New Roman" w:hAnsi="Times New Roman" w:cs="Times New Roman"/>
          <w:bCs/>
          <w:iCs/>
          <w:sz w:val="24"/>
          <w:szCs w:val="24"/>
        </w:rPr>
        <w:t>) oraz wybranych aspektów szczególnych metod opodatkowania (</w:t>
      </w:r>
      <w:r w:rsidRPr="00C96268">
        <w:rPr>
          <w:rFonts w:ascii="Times New Roman" w:hAnsi="Times New Roman" w:cs="Times New Roman"/>
          <w:b/>
          <w:iCs/>
          <w:sz w:val="24"/>
          <w:szCs w:val="24"/>
        </w:rPr>
        <w:t>pkt</w:t>
      </w:r>
      <w:r w:rsidR="000F3DE5">
        <w:rPr>
          <w:rFonts w:ascii="Times New Roman" w:hAnsi="Times New Roman" w:cs="Times New Roman"/>
          <w:b/>
          <w:iCs/>
          <w:sz w:val="24"/>
          <w:szCs w:val="24"/>
        </w:rPr>
        <w:t> </w:t>
      </w:r>
      <w:r w:rsidRPr="00C96268">
        <w:rPr>
          <w:rFonts w:ascii="Times New Roman" w:hAnsi="Times New Roman" w:cs="Times New Roman"/>
          <w:b/>
          <w:iCs/>
          <w:sz w:val="24"/>
          <w:szCs w:val="24"/>
        </w:rPr>
        <w:t>8</w:t>
      </w:r>
      <w:r w:rsidRPr="00C96268">
        <w:rPr>
          <w:rFonts w:ascii="Times New Roman" w:hAnsi="Times New Roman" w:cs="Times New Roman"/>
          <w:bCs/>
          <w:iCs/>
          <w:sz w:val="24"/>
          <w:szCs w:val="24"/>
        </w:rPr>
        <w:t>).</w:t>
      </w:r>
    </w:p>
    <w:p w14:paraId="64E4D2B9"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lastRenderedPageBreak/>
        <w:t xml:space="preserve">Użycie słowa „w szczególności” w katalogu zawartym w </w:t>
      </w:r>
      <w:r w:rsidRPr="00C96268">
        <w:rPr>
          <w:rFonts w:ascii="Times New Roman" w:hAnsi="Times New Roman" w:cs="Times New Roman"/>
          <w:b/>
          <w:iCs/>
          <w:sz w:val="24"/>
          <w:szCs w:val="24"/>
        </w:rPr>
        <w:t>art. 16 ust. 3</w:t>
      </w:r>
      <w:r w:rsidRPr="00C96268">
        <w:rPr>
          <w:rFonts w:ascii="Times New Roman" w:hAnsi="Times New Roman" w:cs="Times New Roman"/>
          <w:bCs/>
          <w:iCs/>
          <w:sz w:val="24"/>
          <w:szCs w:val="24"/>
        </w:rPr>
        <w:t xml:space="preserve"> wynika z tego, że na gruncie Komentarza lub Wytycznych Administracyjnych mogą wystąpić też inne specyficzne sytuacje korekt, inne niż wymienione w ustawie.</w:t>
      </w:r>
      <w:r w:rsidRPr="00C96268">
        <w:rPr>
          <w:rFonts w:ascii="Times New Roman" w:hAnsi="Times New Roman" w:cs="Times New Roman"/>
          <w:bCs/>
          <w:iCs/>
          <w:sz w:val="24"/>
          <w:szCs w:val="24"/>
          <w:vertAlign w:val="superscript"/>
        </w:rPr>
        <w:footnoteReference w:id="81"/>
      </w:r>
      <w:r w:rsidRPr="00C96268">
        <w:rPr>
          <w:rFonts w:ascii="Times New Roman" w:hAnsi="Times New Roman" w:cs="Times New Roman"/>
          <w:bCs/>
          <w:iCs/>
          <w:sz w:val="24"/>
          <w:szCs w:val="24"/>
        </w:rPr>
        <w:t xml:space="preserve"> </w:t>
      </w:r>
    </w:p>
    <w:p w14:paraId="3974DF12" w14:textId="3210C65C"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Ponadto, zgodnie z </w:t>
      </w:r>
      <w:r w:rsidRPr="00C96268">
        <w:rPr>
          <w:rFonts w:ascii="Times New Roman" w:hAnsi="Times New Roman" w:cs="Times New Roman"/>
          <w:b/>
          <w:iCs/>
          <w:sz w:val="24"/>
          <w:szCs w:val="24"/>
        </w:rPr>
        <w:t>art. 16 ust. 5</w:t>
      </w:r>
      <w:r w:rsidRPr="00C96268">
        <w:rPr>
          <w:rFonts w:ascii="Times New Roman" w:hAnsi="Times New Roman" w:cs="Times New Roman"/>
          <w:bCs/>
          <w:iCs/>
          <w:sz w:val="24"/>
          <w:szCs w:val="24"/>
        </w:rPr>
        <w:t xml:space="preserve"> do kwoty dodatkowego podatku wyrównawczego za rok podatkowy dolicza się także dodatkowy podatek dochodowy </w:t>
      </w:r>
      <w:r w:rsidRPr="00C96268">
        <w:rPr>
          <w:rFonts w:ascii="Times New Roman" w:hAnsi="Times New Roman" w:cs="Times New Roman"/>
          <w:sz w:val="24"/>
          <w:szCs w:val="24"/>
        </w:rPr>
        <w:t xml:space="preserve">powstały na podstawie </w:t>
      </w:r>
      <w:r w:rsidRPr="00C96268">
        <w:rPr>
          <w:rFonts w:ascii="Times New Roman" w:hAnsi="Times New Roman" w:cs="Times New Roman"/>
          <w:b/>
          <w:bCs/>
          <w:sz w:val="24"/>
          <w:szCs w:val="24"/>
        </w:rPr>
        <w:t>art. 98</w:t>
      </w:r>
      <w:r w:rsidRPr="00C96268">
        <w:rPr>
          <w:rFonts w:ascii="Times New Roman" w:hAnsi="Times New Roman" w:cs="Times New Roman"/>
          <w:sz w:val="24"/>
          <w:szCs w:val="24"/>
        </w:rPr>
        <w:t xml:space="preserve"> w związku z wystąpieniem tzw. ujemnych skorygowanych podatków kwalifikowanych</w:t>
      </w:r>
      <w:r w:rsidRPr="00C96268">
        <w:rPr>
          <w:rStyle w:val="Odwoanieprzypisudolnego"/>
          <w:rFonts w:ascii="Times New Roman" w:hAnsi="Times New Roman" w:cs="Times New Roman"/>
          <w:sz w:val="24"/>
          <w:szCs w:val="24"/>
        </w:rPr>
        <w:footnoteReference w:id="82"/>
      </w:r>
      <w:r w:rsidRPr="00C96268">
        <w:rPr>
          <w:rFonts w:ascii="Times New Roman" w:hAnsi="Times New Roman" w:cs="Times New Roman"/>
          <w:sz w:val="24"/>
          <w:szCs w:val="24"/>
        </w:rPr>
        <w:t xml:space="preserve">. </w:t>
      </w:r>
    </w:p>
    <w:p w14:paraId="539E838A"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17 [Alokacja dodatkowego podatku wyrównawczego pomiędzy jednostki]</w:t>
      </w:r>
    </w:p>
    <w:p w14:paraId="03292259" w14:textId="4D15A1E0"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Jeżeli dla </w:t>
      </w:r>
      <w:r w:rsidR="00A30960" w:rsidRPr="00C96268">
        <w:rPr>
          <w:rFonts w:ascii="Times New Roman" w:hAnsi="Times New Roman" w:cs="Times New Roman"/>
          <w:bCs/>
          <w:iCs/>
          <w:sz w:val="24"/>
          <w:szCs w:val="24"/>
        </w:rPr>
        <w:t xml:space="preserve">danej </w:t>
      </w:r>
      <w:r w:rsidR="00A3096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powstał za dany rok podatkowy dodatkowy podatek wyrównawczy, kolejnym krokiem jest jego alokacja do poszczególnych jednostek składowych </w:t>
      </w:r>
      <w:r w:rsidRPr="00C96268">
        <w:rPr>
          <w:rFonts w:ascii="Times New Roman" w:hAnsi="Times New Roman" w:cs="Times New Roman"/>
          <w:iCs/>
          <w:sz w:val="24"/>
          <w:szCs w:val="24"/>
        </w:rPr>
        <w:t xml:space="preserve">zlokalizowanych </w:t>
      </w:r>
      <w:r w:rsidRPr="00C96268">
        <w:rPr>
          <w:rFonts w:ascii="Times New Roman" w:hAnsi="Times New Roman" w:cs="Times New Roman"/>
          <w:bCs/>
          <w:iCs/>
          <w:sz w:val="24"/>
          <w:szCs w:val="24"/>
        </w:rPr>
        <w:t xml:space="preserve">w </w:t>
      </w:r>
      <w:r w:rsidR="00A30960" w:rsidRPr="00C96268">
        <w:rPr>
          <w:rFonts w:ascii="Times New Roman" w:hAnsi="Times New Roman" w:cs="Times New Roman"/>
          <w:bCs/>
          <w:iCs/>
          <w:sz w:val="24"/>
          <w:szCs w:val="24"/>
        </w:rPr>
        <w:t xml:space="preserve">tej </w:t>
      </w:r>
      <w:r w:rsidR="00A30960"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Metody tej alokacji uregulowano w </w:t>
      </w:r>
      <w:r w:rsidRPr="00C96268">
        <w:rPr>
          <w:rFonts w:ascii="Times New Roman" w:hAnsi="Times New Roman" w:cs="Times New Roman"/>
          <w:b/>
          <w:iCs/>
          <w:sz w:val="24"/>
          <w:szCs w:val="24"/>
        </w:rPr>
        <w:t>art. 17</w:t>
      </w:r>
      <w:r w:rsidRPr="00C96268">
        <w:rPr>
          <w:rFonts w:ascii="Times New Roman" w:hAnsi="Times New Roman" w:cs="Times New Roman"/>
          <w:bCs/>
          <w:iCs/>
          <w:sz w:val="24"/>
          <w:szCs w:val="24"/>
        </w:rPr>
        <w:t xml:space="preserve">. Przepis ten wymienia dwa szczególne przypadki, w których w </w:t>
      </w:r>
      <w:r w:rsidR="00A30960" w:rsidRPr="00C96268">
        <w:rPr>
          <w:rFonts w:ascii="Times New Roman" w:hAnsi="Times New Roman" w:cs="Times New Roman"/>
          <w:bCs/>
          <w:iCs/>
          <w:sz w:val="24"/>
          <w:szCs w:val="24"/>
        </w:rPr>
        <w:t xml:space="preserve">danej </w:t>
      </w:r>
      <w:r w:rsidR="00A3096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nie powstał jurysdykcyjny kwalifikowany dochód netto. </w:t>
      </w:r>
    </w:p>
    <w:p w14:paraId="5C17624F" w14:textId="5A430199" w:rsidR="006C6FE0" w:rsidRPr="00C96268" w:rsidRDefault="006C6FE0" w:rsidP="006C6FE0">
      <w:pPr>
        <w:spacing w:after="240"/>
        <w:jc w:val="both"/>
        <w:rPr>
          <w:rFonts w:ascii="Times New Roman" w:hAnsi="Times New Roman" w:cs="Times New Roman"/>
          <w:bCs/>
          <w:sz w:val="24"/>
          <w:szCs w:val="24"/>
        </w:rPr>
      </w:pPr>
      <w:r w:rsidRPr="00C96268">
        <w:rPr>
          <w:rFonts w:ascii="Times New Roman" w:hAnsi="Times New Roman" w:cs="Times New Roman"/>
          <w:bCs/>
          <w:iCs/>
          <w:sz w:val="24"/>
          <w:szCs w:val="24"/>
        </w:rPr>
        <w:t xml:space="preserve">Na wstępie warto opisać jednak ogólne reguły dotyczące najbardziej podstawowego przypadku, w którym w </w:t>
      </w:r>
      <w:r w:rsidR="00A30960" w:rsidRPr="00C96268">
        <w:rPr>
          <w:rFonts w:ascii="Times New Roman" w:hAnsi="Times New Roman" w:cs="Times New Roman"/>
          <w:bCs/>
          <w:iCs/>
          <w:sz w:val="24"/>
          <w:szCs w:val="24"/>
        </w:rPr>
        <w:t xml:space="preserve">danej </w:t>
      </w:r>
      <w:r w:rsidR="00A3096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został osiągnięty za rok podatkowy jurysdykcyjny kwalifikowany dochód netto. Zastosowanie znajduje wtedy zasada ogólna wynikająca z wcześniejszych przepisów ustawy. Mianowicie, każdej jednostce składowej  </w:t>
      </w:r>
      <w:r w:rsidRPr="00C96268">
        <w:rPr>
          <w:rFonts w:ascii="Times New Roman" w:hAnsi="Times New Roman" w:cs="Times New Roman"/>
          <w:iCs/>
          <w:sz w:val="24"/>
          <w:szCs w:val="24"/>
        </w:rPr>
        <w:t>zlokalizowanej</w:t>
      </w:r>
      <w:r w:rsidRPr="00C96268">
        <w:rPr>
          <w:rFonts w:ascii="Times New Roman" w:hAnsi="Times New Roman" w:cs="Times New Roman"/>
          <w:bCs/>
          <w:iCs/>
          <w:sz w:val="24"/>
          <w:szCs w:val="24"/>
        </w:rPr>
        <w:t xml:space="preserve"> w </w:t>
      </w:r>
      <w:r w:rsidR="00A30960" w:rsidRPr="00C96268">
        <w:rPr>
          <w:rFonts w:ascii="Times New Roman" w:hAnsi="Times New Roman" w:cs="Times New Roman"/>
          <w:bCs/>
          <w:iCs/>
          <w:sz w:val="24"/>
          <w:szCs w:val="24"/>
        </w:rPr>
        <w:t xml:space="preserve">danej </w:t>
      </w:r>
      <w:r w:rsidR="00A3096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przydziela się dodatkowy podatek wyrównawczy zgodnie ze wzorem dla jednostkowego globalnego podatku wyrównawczego. Tym samym, dodatkowy podatek wyrównawczy zawarty jest w kwocie jurysdykcyjnego globalnego podatku wyrównawczego. Z kolei alokacja jurysdykcyjnego podatku (łącznie z dodatkowym podatkiem) pomiędzy jednostki składowe – w celu ustalenia ich jednostkowych podatków - odbywa się na ogólnych zasadach w oparciu o proporcję kwalifikowanego dochodu danej jednostki do sumy kwalifikowanego dochodu wszystkich jednostek zgodnie z </w:t>
      </w:r>
      <w:r w:rsidRPr="00C96268">
        <w:rPr>
          <w:rFonts w:ascii="Times New Roman" w:hAnsi="Times New Roman" w:cs="Times New Roman"/>
          <w:b/>
          <w:iCs/>
          <w:sz w:val="24"/>
          <w:szCs w:val="24"/>
        </w:rPr>
        <w:t>art. 14</w:t>
      </w:r>
      <w:r w:rsidRPr="00C96268">
        <w:rPr>
          <w:rFonts w:ascii="Times New Roman" w:hAnsi="Times New Roman" w:cs="Times New Roman"/>
          <w:bCs/>
          <w:iCs/>
          <w:sz w:val="24"/>
          <w:szCs w:val="24"/>
        </w:rPr>
        <w:t xml:space="preserve">. Jednocześnie, na potrzeby wskazanego w </w:t>
      </w:r>
      <w:r w:rsidRPr="00C96268">
        <w:rPr>
          <w:rFonts w:ascii="Times New Roman" w:hAnsi="Times New Roman" w:cs="Times New Roman"/>
          <w:b/>
          <w:iCs/>
          <w:sz w:val="24"/>
          <w:szCs w:val="24"/>
        </w:rPr>
        <w:t>art. 14</w:t>
      </w:r>
      <w:r w:rsidRPr="00C96268">
        <w:rPr>
          <w:rFonts w:ascii="Times New Roman" w:hAnsi="Times New Roman" w:cs="Times New Roman"/>
          <w:bCs/>
          <w:iCs/>
          <w:sz w:val="24"/>
          <w:szCs w:val="24"/>
        </w:rPr>
        <w:t xml:space="preserve"> wzoru uwzględnia się kwalifikowany dochód jednostek składowych za rok podatkowy, w którym powstał dodatkowy podatek wyrównawczy, tj. </w:t>
      </w:r>
      <w:r w:rsidRPr="00C96268">
        <w:rPr>
          <w:rFonts w:ascii="Times New Roman" w:hAnsi="Times New Roman" w:cs="Times New Roman"/>
          <w:bCs/>
          <w:i/>
          <w:iCs/>
          <w:sz w:val="24"/>
          <w:szCs w:val="24"/>
          <w:u w:val="single"/>
        </w:rPr>
        <w:t>bieżący rok</w:t>
      </w:r>
      <w:r w:rsidRPr="00C96268">
        <w:rPr>
          <w:rFonts w:ascii="Times New Roman" w:hAnsi="Times New Roman" w:cs="Times New Roman"/>
          <w:bCs/>
          <w:sz w:val="24"/>
          <w:szCs w:val="24"/>
        </w:rPr>
        <w:t xml:space="preserve"> (nie zaś kwalifikowany dochód za poprzedni rok, którego dotyczy korekta).</w:t>
      </w:r>
    </w:p>
    <w:p w14:paraId="08235077" w14:textId="15005022" w:rsidR="006C6FE0" w:rsidRPr="00C96268" w:rsidRDefault="00FB5F56" w:rsidP="006C6FE0">
      <w:pPr>
        <w:ind w:firstLine="426"/>
        <w:jc w:val="both"/>
        <w:rPr>
          <w:rFonts w:ascii="Times New Roman" w:hAnsi="Times New Roman" w:cs="Times New Roman"/>
          <w:b/>
          <w:bCs/>
          <w:sz w:val="24"/>
          <w:szCs w:val="24"/>
        </w:rPr>
      </w:pPr>
      <w:r w:rsidRPr="00C96268">
        <w:rPr>
          <w:rFonts w:ascii="Times New Roman" w:hAnsi="Times New Roman" w:cs="Times New Roman"/>
          <w:b/>
          <w:bCs/>
          <w:sz w:val="24"/>
          <w:szCs w:val="24"/>
        </w:rPr>
        <w:br w:type="column"/>
      </w:r>
      <w:r w:rsidR="006C6FE0" w:rsidRPr="00C96268">
        <w:rPr>
          <w:rFonts w:ascii="Times New Roman" w:hAnsi="Times New Roman" w:cs="Times New Roman"/>
          <w:b/>
          <w:bCs/>
          <w:sz w:val="24"/>
          <w:szCs w:val="24"/>
        </w:rPr>
        <w:lastRenderedPageBreak/>
        <w:t>Przykład</w:t>
      </w:r>
    </w:p>
    <w:p w14:paraId="4DD28E97" w14:textId="5C77CF79" w:rsidR="006C6FE0" w:rsidRPr="00C96268" w:rsidRDefault="006C6FE0" w:rsidP="006C6FE0">
      <w:pPr>
        <w:jc w:val="both"/>
        <w:rPr>
          <w:rFonts w:ascii="Times New Roman" w:hAnsi="Times New Roman" w:cs="Times New Roman"/>
          <w:b/>
          <w:bCs/>
          <w:sz w:val="24"/>
          <w:szCs w:val="24"/>
        </w:rPr>
      </w:pPr>
      <w:r w:rsidRPr="00C96268">
        <w:rPr>
          <w:rFonts w:ascii="Times New Roman" w:hAnsi="Times New Roman" w:cs="Times New Roman"/>
          <w:b/>
          <w:bCs/>
          <w:sz w:val="24"/>
          <w:szCs w:val="24"/>
        </w:rPr>
        <w:t xml:space="preserve">Zasady ogólne - przypadek, gdy w </w:t>
      </w:r>
      <w:r w:rsidR="00A30960" w:rsidRPr="00C96268">
        <w:rPr>
          <w:rFonts w:ascii="Times New Roman" w:hAnsi="Times New Roman" w:cs="Times New Roman"/>
          <w:b/>
          <w:bCs/>
          <w:sz w:val="24"/>
          <w:szCs w:val="24"/>
        </w:rPr>
        <w:t xml:space="preserve">danej jurysdykcji </w:t>
      </w:r>
      <w:r w:rsidRPr="00C96268">
        <w:rPr>
          <w:rFonts w:ascii="Times New Roman" w:hAnsi="Times New Roman" w:cs="Times New Roman"/>
          <w:b/>
          <w:bCs/>
          <w:sz w:val="24"/>
          <w:szCs w:val="24"/>
          <w:u w:val="single"/>
        </w:rPr>
        <w:t>wystąpił</w:t>
      </w:r>
      <w:r w:rsidRPr="00C96268">
        <w:rPr>
          <w:rFonts w:ascii="Times New Roman" w:hAnsi="Times New Roman" w:cs="Times New Roman"/>
          <w:b/>
          <w:bCs/>
          <w:sz w:val="24"/>
          <w:szCs w:val="24"/>
        </w:rPr>
        <w:t xml:space="preserve"> jurysdykcyjny kwalifikowany dochód netto</w:t>
      </w:r>
    </w:p>
    <w:p w14:paraId="21B51AE3" w14:textId="10507A3B"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
          <w:bCs/>
          <w:i/>
          <w:iCs/>
          <w:sz w:val="24"/>
          <w:szCs w:val="24"/>
        </w:rPr>
        <w:t>Krok 1.</w:t>
      </w:r>
      <w:r w:rsidRPr="00C96268">
        <w:rPr>
          <w:rFonts w:ascii="Times New Roman" w:hAnsi="Times New Roman" w:cs="Times New Roman"/>
          <w:sz w:val="24"/>
          <w:szCs w:val="24"/>
        </w:rPr>
        <w:t xml:space="preserve"> </w:t>
      </w:r>
      <w:r w:rsidRPr="00C96268">
        <w:rPr>
          <w:rFonts w:ascii="Times New Roman" w:hAnsi="Times New Roman" w:cs="Times New Roman"/>
          <w:b/>
          <w:bCs/>
          <w:i/>
          <w:iCs/>
          <w:sz w:val="24"/>
          <w:szCs w:val="24"/>
        </w:rPr>
        <w:t xml:space="preserve">Jednostka dominująca najwyższego szczebla (UPE), będąca podatnikiem globalnego podatku wyrównawczego, oblicza dla </w:t>
      </w:r>
      <w:r w:rsidR="00A30960" w:rsidRPr="00C96268">
        <w:rPr>
          <w:rFonts w:ascii="Times New Roman" w:hAnsi="Times New Roman" w:cs="Times New Roman"/>
          <w:b/>
          <w:bCs/>
          <w:i/>
          <w:iCs/>
          <w:sz w:val="24"/>
          <w:szCs w:val="24"/>
        </w:rPr>
        <w:t xml:space="preserve">danej jurysdykcji </w:t>
      </w:r>
      <w:r w:rsidRPr="00C96268">
        <w:rPr>
          <w:rFonts w:ascii="Times New Roman" w:hAnsi="Times New Roman" w:cs="Times New Roman"/>
          <w:b/>
          <w:bCs/>
          <w:i/>
          <w:iCs/>
          <w:sz w:val="24"/>
          <w:szCs w:val="24"/>
        </w:rPr>
        <w:t>jurysdykcyjny globalny podatek wyrównawczy.</w:t>
      </w:r>
    </w:p>
    <w:tbl>
      <w:tblPr>
        <w:tblStyle w:val="Tabela-Siatka"/>
        <w:tblW w:w="0" w:type="auto"/>
        <w:tblLook w:val="04A0" w:firstRow="1" w:lastRow="0" w:firstColumn="1" w:lastColumn="0" w:noHBand="0" w:noVBand="1"/>
      </w:tblPr>
      <w:tblGrid>
        <w:gridCol w:w="6091"/>
        <w:gridCol w:w="2693"/>
      </w:tblGrid>
      <w:tr w:rsidR="006C6FE0" w:rsidRPr="003E7A67" w14:paraId="4F023AA7" w14:textId="77777777" w:rsidTr="00B47940">
        <w:tc>
          <w:tcPr>
            <w:tcW w:w="6091" w:type="dxa"/>
          </w:tcPr>
          <w:p w14:paraId="3BD53CC0" w14:textId="77777777" w:rsidR="006C6FE0" w:rsidRPr="003E7A67" w:rsidRDefault="006C6FE0" w:rsidP="00B47940">
            <w:pPr>
              <w:jc w:val="both"/>
            </w:pPr>
            <w:r w:rsidRPr="003E7A67">
              <w:t>(A) Nadwyżka zysku * stawka wyrównawcza</w:t>
            </w:r>
          </w:p>
        </w:tc>
        <w:tc>
          <w:tcPr>
            <w:tcW w:w="2693" w:type="dxa"/>
          </w:tcPr>
          <w:p w14:paraId="7E8853C2" w14:textId="77777777" w:rsidR="006C6FE0" w:rsidRPr="003E7A67" w:rsidRDefault="006C6FE0" w:rsidP="00B47940">
            <w:pPr>
              <w:jc w:val="right"/>
            </w:pPr>
            <w:r w:rsidRPr="003E7A67">
              <w:t>1 000</w:t>
            </w:r>
          </w:p>
        </w:tc>
      </w:tr>
      <w:tr w:rsidR="006C6FE0" w:rsidRPr="003E7A67" w14:paraId="7B925EA2" w14:textId="77777777" w:rsidTr="00B47940">
        <w:tc>
          <w:tcPr>
            <w:tcW w:w="6091" w:type="dxa"/>
          </w:tcPr>
          <w:p w14:paraId="2390F834" w14:textId="77777777" w:rsidR="006C6FE0" w:rsidRPr="003E7A67" w:rsidRDefault="006C6FE0" w:rsidP="00B47940">
            <w:pPr>
              <w:jc w:val="both"/>
            </w:pPr>
            <w:r w:rsidRPr="003E7A67">
              <w:t>(B) Dodatkowy podatek wyrównawczy</w:t>
            </w:r>
          </w:p>
        </w:tc>
        <w:tc>
          <w:tcPr>
            <w:tcW w:w="2693" w:type="dxa"/>
          </w:tcPr>
          <w:p w14:paraId="0B8EAD13" w14:textId="77777777" w:rsidR="006C6FE0" w:rsidRPr="003E7A67" w:rsidRDefault="006C6FE0" w:rsidP="00B47940">
            <w:pPr>
              <w:jc w:val="right"/>
            </w:pPr>
            <w:r w:rsidRPr="003E7A67">
              <w:t>100</w:t>
            </w:r>
          </w:p>
        </w:tc>
      </w:tr>
      <w:tr w:rsidR="006C6FE0" w:rsidRPr="003E7A67" w14:paraId="115BCC40" w14:textId="77777777" w:rsidTr="00B47940">
        <w:tc>
          <w:tcPr>
            <w:tcW w:w="6091" w:type="dxa"/>
          </w:tcPr>
          <w:p w14:paraId="3945578D" w14:textId="77777777" w:rsidR="006C6FE0" w:rsidRPr="003E7A67" w:rsidRDefault="006C6FE0" w:rsidP="00B47940">
            <w:pPr>
              <w:jc w:val="both"/>
            </w:pPr>
            <w:r w:rsidRPr="003E7A67">
              <w:t>(C) Kwalifikowany krajowy podatek wyrównawczy (QDMTT)</w:t>
            </w:r>
          </w:p>
        </w:tc>
        <w:tc>
          <w:tcPr>
            <w:tcW w:w="2693" w:type="dxa"/>
          </w:tcPr>
          <w:p w14:paraId="343C88E0" w14:textId="77777777" w:rsidR="006C6FE0" w:rsidRPr="003E7A67" w:rsidRDefault="006C6FE0" w:rsidP="00B47940">
            <w:pPr>
              <w:jc w:val="right"/>
            </w:pPr>
            <w:r w:rsidRPr="003E7A67">
              <w:t>0</w:t>
            </w:r>
          </w:p>
        </w:tc>
      </w:tr>
      <w:tr w:rsidR="006C6FE0" w:rsidRPr="003E7A67" w14:paraId="0038A24A" w14:textId="77777777" w:rsidTr="00B47940">
        <w:tc>
          <w:tcPr>
            <w:tcW w:w="6091" w:type="dxa"/>
            <w:shd w:val="clear" w:color="auto" w:fill="D9D9D9" w:themeFill="background1" w:themeFillShade="D9"/>
          </w:tcPr>
          <w:p w14:paraId="09B762AF" w14:textId="77777777" w:rsidR="006C6FE0" w:rsidRPr="003E7A67" w:rsidRDefault="006C6FE0" w:rsidP="00B47940">
            <w:pPr>
              <w:jc w:val="both"/>
              <w:rPr>
                <w:b/>
                <w:bCs/>
              </w:rPr>
            </w:pPr>
            <w:r w:rsidRPr="003E7A67">
              <w:rPr>
                <w:b/>
                <w:bCs/>
              </w:rPr>
              <w:t>Jurysdykcyjny globalny podatek wyrównawczy [A+B-C]</w:t>
            </w:r>
          </w:p>
          <w:p w14:paraId="5B518639" w14:textId="77777777" w:rsidR="006C6FE0" w:rsidRPr="003E7A67" w:rsidRDefault="006C6FE0" w:rsidP="00B47940">
            <w:pPr>
              <w:jc w:val="both"/>
              <w:rPr>
                <w:b/>
                <w:bCs/>
              </w:rPr>
            </w:pPr>
          </w:p>
        </w:tc>
        <w:tc>
          <w:tcPr>
            <w:tcW w:w="2693" w:type="dxa"/>
            <w:shd w:val="clear" w:color="auto" w:fill="D9D9D9" w:themeFill="background1" w:themeFillShade="D9"/>
          </w:tcPr>
          <w:p w14:paraId="619730D1" w14:textId="77777777" w:rsidR="006C6FE0" w:rsidRPr="003E7A67" w:rsidRDefault="006C6FE0" w:rsidP="00B47940">
            <w:pPr>
              <w:jc w:val="right"/>
              <w:rPr>
                <w:b/>
                <w:bCs/>
              </w:rPr>
            </w:pPr>
            <w:r w:rsidRPr="003E7A67">
              <w:rPr>
                <w:b/>
                <w:bCs/>
              </w:rPr>
              <w:t>1 100</w:t>
            </w:r>
          </w:p>
        </w:tc>
      </w:tr>
    </w:tbl>
    <w:p w14:paraId="72AF237F" w14:textId="77777777" w:rsidR="003E7A67" w:rsidRPr="000F3DE5" w:rsidRDefault="003E7A67" w:rsidP="006C6FE0">
      <w:pPr>
        <w:spacing w:before="160"/>
        <w:rPr>
          <w:b/>
          <w:bCs/>
          <w:i/>
          <w:iCs/>
          <w:sz w:val="16"/>
          <w:szCs w:val="16"/>
        </w:rPr>
      </w:pPr>
    </w:p>
    <w:p w14:paraId="17B694A0" w14:textId="2D46080A" w:rsidR="006C6FE0" w:rsidRPr="00C96268" w:rsidRDefault="006C6FE0" w:rsidP="006C6FE0">
      <w:pPr>
        <w:spacing w:before="160"/>
        <w:rPr>
          <w:rFonts w:ascii="Times New Roman" w:hAnsi="Times New Roman" w:cs="Times New Roman"/>
          <w:i/>
          <w:iCs/>
          <w:sz w:val="24"/>
          <w:szCs w:val="24"/>
        </w:rPr>
      </w:pPr>
      <w:r w:rsidRPr="00C96268">
        <w:rPr>
          <w:rFonts w:ascii="Times New Roman" w:hAnsi="Times New Roman" w:cs="Times New Roman"/>
          <w:b/>
          <w:bCs/>
          <w:i/>
          <w:iCs/>
          <w:sz w:val="24"/>
          <w:szCs w:val="24"/>
        </w:rPr>
        <w:t xml:space="preserve">Krok 2. UPE oblicza jednostkowy globalny podatek wyrównawczy dla danej nisko opodatkowanej jednostki składowej. </w:t>
      </w:r>
    </w:p>
    <w:tbl>
      <w:tblPr>
        <w:tblStyle w:val="Tabela-Siatka"/>
        <w:tblW w:w="0" w:type="auto"/>
        <w:tblLook w:val="04A0" w:firstRow="1" w:lastRow="0" w:firstColumn="1" w:lastColumn="0" w:noHBand="0" w:noVBand="1"/>
      </w:tblPr>
      <w:tblGrid>
        <w:gridCol w:w="6374"/>
        <w:gridCol w:w="2410"/>
      </w:tblGrid>
      <w:tr w:rsidR="006C6FE0" w:rsidRPr="003E7A67" w14:paraId="1287B60A" w14:textId="77777777" w:rsidTr="00B47940">
        <w:tc>
          <w:tcPr>
            <w:tcW w:w="6374" w:type="dxa"/>
          </w:tcPr>
          <w:p w14:paraId="52708A41" w14:textId="77777777" w:rsidR="006C6FE0" w:rsidRPr="003E7A67" w:rsidRDefault="006C6FE0" w:rsidP="00B47940">
            <w:pPr>
              <w:jc w:val="both"/>
            </w:pPr>
            <w:r w:rsidRPr="003E7A67">
              <w:t>(A) Kwalifikowany dochód danej jednostki składowej za rok podatkowy</w:t>
            </w:r>
          </w:p>
        </w:tc>
        <w:tc>
          <w:tcPr>
            <w:tcW w:w="2410" w:type="dxa"/>
          </w:tcPr>
          <w:p w14:paraId="4274B670" w14:textId="77777777" w:rsidR="006C6FE0" w:rsidRPr="003E7A67" w:rsidRDefault="006C6FE0" w:rsidP="00B47940">
            <w:pPr>
              <w:jc w:val="right"/>
            </w:pPr>
            <w:r w:rsidRPr="003E7A67">
              <w:t>200</w:t>
            </w:r>
          </w:p>
        </w:tc>
      </w:tr>
      <w:tr w:rsidR="006C6FE0" w:rsidRPr="003E7A67" w14:paraId="76C699EC" w14:textId="77777777" w:rsidTr="00B47940">
        <w:tc>
          <w:tcPr>
            <w:tcW w:w="6374" w:type="dxa"/>
          </w:tcPr>
          <w:p w14:paraId="7B5F5ED1" w14:textId="77777777" w:rsidR="006C6FE0" w:rsidRPr="003E7A67" w:rsidRDefault="006C6FE0" w:rsidP="00B47940">
            <w:pPr>
              <w:jc w:val="both"/>
            </w:pPr>
            <w:r w:rsidRPr="003E7A67">
              <w:t>(B) Suma kwalifikowanego dochodu wszystkich jednostek składowych za rok podatkowy</w:t>
            </w:r>
          </w:p>
        </w:tc>
        <w:tc>
          <w:tcPr>
            <w:tcW w:w="2410" w:type="dxa"/>
          </w:tcPr>
          <w:p w14:paraId="14C5792E" w14:textId="77777777" w:rsidR="006C6FE0" w:rsidRPr="003E7A67" w:rsidRDefault="006C6FE0" w:rsidP="00B47940">
            <w:pPr>
              <w:jc w:val="right"/>
            </w:pPr>
            <w:r w:rsidRPr="003E7A67">
              <w:t>2 000</w:t>
            </w:r>
          </w:p>
        </w:tc>
      </w:tr>
      <w:tr w:rsidR="006C6FE0" w:rsidRPr="003E7A67" w14:paraId="6DA56C30" w14:textId="77777777" w:rsidTr="00B47940">
        <w:tc>
          <w:tcPr>
            <w:tcW w:w="6374" w:type="dxa"/>
            <w:shd w:val="clear" w:color="auto" w:fill="D9D9D9" w:themeFill="background1" w:themeFillShade="D9"/>
          </w:tcPr>
          <w:p w14:paraId="3C0BE620" w14:textId="77777777" w:rsidR="006C6FE0" w:rsidRPr="003E7A67" w:rsidRDefault="006C6FE0" w:rsidP="00B47940">
            <w:pPr>
              <w:jc w:val="both"/>
              <w:rPr>
                <w:b/>
                <w:bCs/>
              </w:rPr>
            </w:pPr>
            <w:r w:rsidRPr="003E7A67">
              <w:rPr>
                <w:b/>
                <w:bCs/>
              </w:rPr>
              <w:t xml:space="preserve">Jednostkowy globalny podatek wyrównawczy </w:t>
            </w:r>
          </w:p>
          <w:p w14:paraId="2F8828FA" w14:textId="77777777" w:rsidR="006C6FE0" w:rsidRPr="003E7A67" w:rsidRDefault="006C6FE0" w:rsidP="00B47940">
            <w:pPr>
              <w:jc w:val="both"/>
            </w:pPr>
            <w:r w:rsidRPr="003E7A67">
              <w:t>[jurysdykcyjny podatek x proporcja kwalifikowanego dochodu (A/B)]</w:t>
            </w:r>
          </w:p>
          <w:p w14:paraId="1598C003" w14:textId="77777777" w:rsidR="006C6FE0" w:rsidRPr="003E7A67" w:rsidRDefault="006C6FE0" w:rsidP="00B47940">
            <w:pPr>
              <w:jc w:val="both"/>
              <w:rPr>
                <w:b/>
                <w:bCs/>
              </w:rPr>
            </w:pPr>
          </w:p>
        </w:tc>
        <w:tc>
          <w:tcPr>
            <w:tcW w:w="2410" w:type="dxa"/>
            <w:shd w:val="clear" w:color="auto" w:fill="D9D9D9" w:themeFill="background1" w:themeFillShade="D9"/>
          </w:tcPr>
          <w:p w14:paraId="200AE79E" w14:textId="77777777" w:rsidR="006C6FE0" w:rsidRPr="003E7A67" w:rsidRDefault="006C6FE0" w:rsidP="00B47940">
            <w:pPr>
              <w:jc w:val="right"/>
              <w:rPr>
                <w:b/>
                <w:bCs/>
              </w:rPr>
            </w:pPr>
          </w:p>
          <w:p w14:paraId="5D645889" w14:textId="77777777" w:rsidR="006C6FE0" w:rsidRPr="003E7A67" w:rsidRDefault="006C6FE0" w:rsidP="00B47940">
            <w:pPr>
              <w:jc w:val="right"/>
              <w:rPr>
                <w:b/>
                <w:bCs/>
              </w:rPr>
            </w:pPr>
            <w:r w:rsidRPr="003E7A67">
              <w:rPr>
                <w:b/>
                <w:bCs/>
              </w:rPr>
              <w:t>1 100 * 200/2 000 = 110</w:t>
            </w:r>
          </w:p>
        </w:tc>
      </w:tr>
    </w:tbl>
    <w:p w14:paraId="7E346744" w14:textId="77777777" w:rsidR="006C6FE0" w:rsidRPr="00C96268" w:rsidRDefault="006C6FE0" w:rsidP="006C6FE0">
      <w:pPr>
        <w:spacing w:before="160"/>
        <w:rPr>
          <w:rFonts w:ascii="Times New Roman" w:hAnsi="Times New Roman" w:cs="Times New Roman"/>
          <w:sz w:val="24"/>
          <w:szCs w:val="24"/>
        </w:rPr>
      </w:pPr>
      <w:r w:rsidRPr="00C96268">
        <w:rPr>
          <w:rFonts w:ascii="Times New Roman" w:hAnsi="Times New Roman" w:cs="Times New Roman"/>
          <w:sz w:val="24"/>
          <w:szCs w:val="24"/>
        </w:rPr>
        <w:t>Obliczenia te bazują na kwalifikowanym dochodzie za dany rok podatkowy (tj. za bieżący rok, za który oblicza się podatek).</w:t>
      </w:r>
    </w:p>
    <w:p w14:paraId="3B6AA965" w14:textId="77777777" w:rsidR="006C6FE0" w:rsidRPr="00C96268" w:rsidRDefault="006C6FE0" w:rsidP="006C6FE0">
      <w:pPr>
        <w:rPr>
          <w:rFonts w:ascii="Times New Roman" w:hAnsi="Times New Roman" w:cs="Times New Roman"/>
          <w:b/>
          <w:bCs/>
          <w:i/>
          <w:iCs/>
          <w:sz w:val="24"/>
          <w:szCs w:val="24"/>
        </w:rPr>
      </w:pPr>
      <w:r w:rsidRPr="00C96268">
        <w:rPr>
          <w:rFonts w:ascii="Times New Roman" w:hAnsi="Times New Roman" w:cs="Times New Roman"/>
          <w:b/>
          <w:bCs/>
          <w:i/>
          <w:iCs/>
          <w:sz w:val="24"/>
          <w:szCs w:val="24"/>
        </w:rPr>
        <w:t>Krok 3. UPE oblicza swój udziałowy globalny podatek wyrównawczy w odniesieniu do powyższej nisko opodatkowanej jednostki składowej.</w:t>
      </w:r>
    </w:p>
    <w:tbl>
      <w:tblPr>
        <w:tblStyle w:val="Tabela-Siatka"/>
        <w:tblW w:w="0" w:type="auto"/>
        <w:tblLook w:val="04A0" w:firstRow="1" w:lastRow="0" w:firstColumn="1" w:lastColumn="0" w:noHBand="0" w:noVBand="1"/>
      </w:tblPr>
      <w:tblGrid>
        <w:gridCol w:w="6091"/>
        <w:gridCol w:w="2693"/>
      </w:tblGrid>
      <w:tr w:rsidR="006C6FE0" w:rsidRPr="003E7A67" w14:paraId="69365585" w14:textId="77777777" w:rsidTr="00B47940">
        <w:tc>
          <w:tcPr>
            <w:tcW w:w="6091" w:type="dxa"/>
          </w:tcPr>
          <w:p w14:paraId="05F14DC1" w14:textId="77777777" w:rsidR="006C6FE0" w:rsidRPr="003E7A67" w:rsidRDefault="006C6FE0" w:rsidP="00B47940">
            <w:pPr>
              <w:jc w:val="both"/>
            </w:pPr>
            <w:r w:rsidRPr="003E7A67">
              <w:t>(A) Kwalifikowany dochód jednostki składowej</w:t>
            </w:r>
          </w:p>
        </w:tc>
        <w:tc>
          <w:tcPr>
            <w:tcW w:w="2693" w:type="dxa"/>
          </w:tcPr>
          <w:p w14:paraId="15409239" w14:textId="77777777" w:rsidR="006C6FE0" w:rsidRPr="003E7A67" w:rsidRDefault="006C6FE0" w:rsidP="00B47940">
            <w:pPr>
              <w:jc w:val="right"/>
            </w:pPr>
            <w:r w:rsidRPr="003E7A67">
              <w:t>200</w:t>
            </w:r>
          </w:p>
        </w:tc>
      </w:tr>
      <w:tr w:rsidR="006C6FE0" w:rsidRPr="003E7A67" w14:paraId="4A6E209C" w14:textId="77777777" w:rsidTr="00B47940">
        <w:tc>
          <w:tcPr>
            <w:tcW w:w="6091" w:type="dxa"/>
          </w:tcPr>
          <w:p w14:paraId="647BADB9" w14:textId="77777777" w:rsidR="006C6FE0" w:rsidRPr="003E7A67" w:rsidRDefault="006C6FE0" w:rsidP="00B47940">
            <w:pPr>
              <w:jc w:val="both"/>
            </w:pPr>
            <w:r w:rsidRPr="003E7A67">
              <w:t>(B) Kwalifikowany dochód tej jednostki składowej przypadający na podmioty spoza grupy</w:t>
            </w:r>
          </w:p>
        </w:tc>
        <w:tc>
          <w:tcPr>
            <w:tcW w:w="2693" w:type="dxa"/>
          </w:tcPr>
          <w:p w14:paraId="77C48D50" w14:textId="77777777" w:rsidR="006C6FE0" w:rsidRPr="003E7A67" w:rsidRDefault="006C6FE0" w:rsidP="00B47940">
            <w:pPr>
              <w:jc w:val="right"/>
            </w:pPr>
            <w:r w:rsidRPr="003E7A67">
              <w:t>50</w:t>
            </w:r>
          </w:p>
        </w:tc>
      </w:tr>
      <w:tr w:rsidR="006C6FE0" w:rsidRPr="003E7A67" w14:paraId="09D5FC77" w14:textId="77777777" w:rsidTr="00B47940">
        <w:tc>
          <w:tcPr>
            <w:tcW w:w="6091" w:type="dxa"/>
          </w:tcPr>
          <w:p w14:paraId="7DE5E5E6" w14:textId="77777777" w:rsidR="006C6FE0" w:rsidRPr="003E7A67" w:rsidRDefault="006C6FE0" w:rsidP="00B47940">
            <w:pPr>
              <w:jc w:val="both"/>
            </w:pPr>
            <w:r w:rsidRPr="003E7A67">
              <w:t>(C) Udział procentowy UPE</w:t>
            </w:r>
          </w:p>
          <w:p w14:paraId="77B1919A" w14:textId="77777777" w:rsidR="006C6FE0" w:rsidRPr="003E7A67" w:rsidRDefault="006C6FE0" w:rsidP="00B47940">
            <w:pPr>
              <w:jc w:val="both"/>
            </w:pPr>
            <w:r w:rsidRPr="003E7A67">
              <w:t xml:space="preserve">      [(A-B) / B]</w:t>
            </w:r>
          </w:p>
        </w:tc>
        <w:tc>
          <w:tcPr>
            <w:tcW w:w="2693" w:type="dxa"/>
          </w:tcPr>
          <w:p w14:paraId="722BB442" w14:textId="77777777" w:rsidR="006C6FE0" w:rsidRPr="003E7A67" w:rsidRDefault="006C6FE0" w:rsidP="00B47940">
            <w:pPr>
              <w:jc w:val="right"/>
            </w:pPr>
          </w:p>
          <w:p w14:paraId="11AF36CC" w14:textId="77777777" w:rsidR="006C6FE0" w:rsidRPr="003E7A67" w:rsidRDefault="006C6FE0" w:rsidP="00B47940">
            <w:pPr>
              <w:jc w:val="right"/>
            </w:pPr>
            <w:r w:rsidRPr="003E7A67">
              <w:t>(200-50) / 200 = 75%</w:t>
            </w:r>
          </w:p>
        </w:tc>
      </w:tr>
      <w:tr w:rsidR="006C6FE0" w:rsidRPr="003E7A67" w14:paraId="51C3A560" w14:textId="77777777" w:rsidTr="00B47940">
        <w:tc>
          <w:tcPr>
            <w:tcW w:w="6091" w:type="dxa"/>
            <w:shd w:val="clear" w:color="auto" w:fill="D9D9D9" w:themeFill="background1" w:themeFillShade="D9"/>
          </w:tcPr>
          <w:p w14:paraId="7143183A" w14:textId="77777777" w:rsidR="006C6FE0" w:rsidRPr="003E7A67" w:rsidRDefault="006C6FE0" w:rsidP="00B47940">
            <w:pPr>
              <w:jc w:val="both"/>
              <w:rPr>
                <w:b/>
                <w:bCs/>
              </w:rPr>
            </w:pPr>
            <w:r w:rsidRPr="003E7A67">
              <w:rPr>
                <w:b/>
                <w:bCs/>
              </w:rPr>
              <w:t xml:space="preserve">Udziałowy globalny podatek wyrównawczy </w:t>
            </w:r>
          </w:p>
          <w:p w14:paraId="36054F59" w14:textId="77777777" w:rsidR="006C6FE0" w:rsidRPr="003E7A67" w:rsidRDefault="006C6FE0" w:rsidP="00B47940">
            <w:pPr>
              <w:jc w:val="both"/>
            </w:pPr>
            <w:r w:rsidRPr="003E7A67">
              <w:t>[udział procentowy * jednostkowy podatek]</w:t>
            </w:r>
          </w:p>
          <w:p w14:paraId="04C1E0ED" w14:textId="77777777" w:rsidR="006C6FE0" w:rsidRPr="003E7A67" w:rsidRDefault="006C6FE0" w:rsidP="00B47940">
            <w:pPr>
              <w:jc w:val="both"/>
              <w:rPr>
                <w:b/>
                <w:bCs/>
              </w:rPr>
            </w:pPr>
          </w:p>
        </w:tc>
        <w:tc>
          <w:tcPr>
            <w:tcW w:w="2693" w:type="dxa"/>
            <w:shd w:val="clear" w:color="auto" w:fill="D9D9D9" w:themeFill="background1" w:themeFillShade="D9"/>
          </w:tcPr>
          <w:p w14:paraId="1CDEA48A" w14:textId="77777777" w:rsidR="006C6FE0" w:rsidRPr="003E7A67" w:rsidRDefault="006C6FE0" w:rsidP="00B47940">
            <w:pPr>
              <w:jc w:val="right"/>
              <w:rPr>
                <w:b/>
                <w:bCs/>
              </w:rPr>
            </w:pPr>
          </w:p>
          <w:p w14:paraId="245AFDB4" w14:textId="77777777" w:rsidR="006C6FE0" w:rsidRPr="003E7A67" w:rsidRDefault="006C6FE0" w:rsidP="00B47940">
            <w:pPr>
              <w:jc w:val="right"/>
              <w:rPr>
                <w:b/>
                <w:bCs/>
              </w:rPr>
            </w:pPr>
            <w:r w:rsidRPr="003E7A67">
              <w:rPr>
                <w:b/>
                <w:bCs/>
              </w:rPr>
              <w:t>75% * 110 = 82.5</w:t>
            </w:r>
          </w:p>
        </w:tc>
      </w:tr>
    </w:tbl>
    <w:p w14:paraId="59AC3C8C" w14:textId="77777777" w:rsidR="006C6FE0" w:rsidRPr="000F3DE5" w:rsidRDefault="006C6FE0" w:rsidP="000F3DE5">
      <w:pPr>
        <w:spacing w:after="0" w:line="240" w:lineRule="auto"/>
        <w:jc w:val="both"/>
        <w:rPr>
          <w:b/>
          <w:bCs/>
          <w:sz w:val="16"/>
          <w:szCs w:val="16"/>
        </w:rPr>
      </w:pPr>
    </w:p>
    <w:p w14:paraId="3F9BBD8C" w14:textId="77777777" w:rsidR="006C6FE0" w:rsidRPr="00C96268" w:rsidRDefault="006C6FE0" w:rsidP="000F3DE5">
      <w:p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Ponieważ powyższe wynika z przepisów ogólnych, nie była konieczna regulacja takiego przypadku w </w:t>
      </w:r>
      <w:r w:rsidRPr="00C96268">
        <w:rPr>
          <w:rFonts w:ascii="Times New Roman" w:hAnsi="Times New Roman" w:cs="Times New Roman"/>
          <w:b/>
          <w:sz w:val="24"/>
          <w:szCs w:val="24"/>
        </w:rPr>
        <w:t>art. 17</w:t>
      </w:r>
      <w:r w:rsidRPr="00C96268">
        <w:rPr>
          <w:rFonts w:ascii="Times New Roman" w:hAnsi="Times New Roman" w:cs="Times New Roman"/>
          <w:bCs/>
          <w:sz w:val="24"/>
          <w:szCs w:val="24"/>
        </w:rPr>
        <w:t xml:space="preserve">. Artykuł ten jednak obejmuje </w:t>
      </w:r>
      <w:r w:rsidRPr="00C96268">
        <w:rPr>
          <w:rFonts w:ascii="Times New Roman" w:hAnsi="Times New Roman" w:cs="Times New Roman"/>
          <w:b/>
          <w:sz w:val="24"/>
          <w:szCs w:val="24"/>
        </w:rPr>
        <w:t>dwa szczególne przypadki</w:t>
      </w:r>
      <w:r w:rsidRPr="00C96268">
        <w:rPr>
          <w:rFonts w:ascii="Times New Roman" w:hAnsi="Times New Roman" w:cs="Times New Roman"/>
          <w:bCs/>
          <w:sz w:val="24"/>
          <w:szCs w:val="24"/>
        </w:rPr>
        <w:t xml:space="preserve">, wskazane w </w:t>
      </w:r>
      <w:r w:rsidRPr="00C96268">
        <w:rPr>
          <w:rFonts w:ascii="Times New Roman" w:hAnsi="Times New Roman" w:cs="Times New Roman"/>
          <w:b/>
          <w:sz w:val="24"/>
          <w:szCs w:val="24"/>
        </w:rPr>
        <w:t>ust. 1 i 2</w:t>
      </w:r>
      <w:r w:rsidRPr="00C96268">
        <w:rPr>
          <w:rFonts w:ascii="Times New Roman" w:hAnsi="Times New Roman" w:cs="Times New Roman"/>
          <w:bCs/>
          <w:sz w:val="24"/>
          <w:szCs w:val="24"/>
        </w:rPr>
        <w:t>.</w:t>
      </w:r>
    </w:p>
    <w:p w14:paraId="54C372E8" w14:textId="627EB6CD"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
          <w:bCs/>
          <w:iCs/>
          <w:sz w:val="24"/>
          <w:szCs w:val="24"/>
        </w:rPr>
        <w:t>Ust. 1</w:t>
      </w:r>
      <w:r w:rsidRPr="00C96268">
        <w:rPr>
          <w:rFonts w:ascii="Times New Roman" w:hAnsi="Times New Roman" w:cs="Times New Roman"/>
          <w:bCs/>
          <w:iCs/>
          <w:sz w:val="24"/>
          <w:szCs w:val="24"/>
        </w:rPr>
        <w:t xml:space="preserve"> dotyczy przypadku, gdy w </w:t>
      </w:r>
      <w:r w:rsidR="00A30960" w:rsidRPr="00C96268">
        <w:rPr>
          <w:rFonts w:ascii="Times New Roman" w:hAnsi="Times New Roman" w:cs="Times New Roman"/>
          <w:bCs/>
          <w:iCs/>
          <w:sz w:val="24"/>
          <w:szCs w:val="24"/>
        </w:rPr>
        <w:t xml:space="preserve">danej jurysdykcji </w:t>
      </w:r>
      <w:r w:rsidRPr="00C96268">
        <w:rPr>
          <w:rFonts w:ascii="Times New Roman" w:hAnsi="Times New Roman" w:cs="Times New Roman"/>
          <w:bCs/>
          <w:iCs/>
          <w:sz w:val="24"/>
          <w:szCs w:val="24"/>
        </w:rPr>
        <w:t xml:space="preserve">nie został osiągnięty za rok podatkowy jurysdykcyjny kwalifikowany dochód netto (tj. wynosi on zero albo występuje jurysdykcyjna kwalifikowana strata netto). W takiej sytuacji również stosuje się wcześniej powołany wzór na jednostkowy globalny podatek wyrównawczy z </w:t>
      </w:r>
      <w:r w:rsidRPr="00C96268">
        <w:rPr>
          <w:rFonts w:ascii="Times New Roman" w:hAnsi="Times New Roman" w:cs="Times New Roman"/>
          <w:b/>
          <w:iCs/>
          <w:sz w:val="24"/>
          <w:szCs w:val="24"/>
        </w:rPr>
        <w:t>art. 14</w:t>
      </w:r>
      <w:r w:rsidRPr="00C96268">
        <w:rPr>
          <w:rFonts w:ascii="Times New Roman" w:hAnsi="Times New Roman" w:cs="Times New Roman"/>
          <w:bCs/>
          <w:iCs/>
          <w:sz w:val="24"/>
          <w:szCs w:val="24"/>
        </w:rPr>
        <w:t xml:space="preserve"> oparty na jurysdykcyjnym podatku i proporcji kwalifikowanego dochodu. Niemniej, jurysdykcyjna strata łączy się z tym, że brak jest za dany rok jurysdykcyjnego globalnego podatku wyrównawczego, a poszczególne </w:t>
      </w:r>
      <w:r w:rsidRPr="00C96268">
        <w:rPr>
          <w:rFonts w:ascii="Times New Roman" w:hAnsi="Times New Roman" w:cs="Times New Roman"/>
          <w:bCs/>
          <w:iCs/>
          <w:sz w:val="24"/>
          <w:szCs w:val="24"/>
        </w:rPr>
        <w:lastRenderedPageBreak/>
        <w:t xml:space="preserve">jednostki mogły nie osiągnąć kwalifikowanego dochodu. Stąd, w celu dokonania alokacji, konieczna jest modyfikacja tego wzoru. Zatem, w myśl </w:t>
      </w:r>
      <w:r w:rsidRPr="00C96268">
        <w:rPr>
          <w:rFonts w:ascii="Times New Roman" w:hAnsi="Times New Roman" w:cs="Times New Roman"/>
          <w:b/>
          <w:iCs/>
          <w:sz w:val="24"/>
          <w:szCs w:val="24"/>
        </w:rPr>
        <w:t>art. 17 ust. 1 pkt 1</w:t>
      </w:r>
      <w:r w:rsidRPr="00C96268">
        <w:rPr>
          <w:rFonts w:ascii="Times New Roman" w:hAnsi="Times New Roman" w:cs="Times New Roman"/>
          <w:bCs/>
          <w:iCs/>
          <w:sz w:val="24"/>
          <w:szCs w:val="24"/>
        </w:rPr>
        <w:t xml:space="preserve">, stosując wzór z </w:t>
      </w:r>
      <w:r w:rsidRPr="00C96268">
        <w:rPr>
          <w:rFonts w:ascii="Times New Roman" w:hAnsi="Times New Roman" w:cs="Times New Roman"/>
          <w:b/>
          <w:iCs/>
          <w:sz w:val="24"/>
          <w:szCs w:val="24"/>
        </w:rPr>
        <w:t>art. 14</w:t>
      </w:r>
      <w:r w:rsidRPr="00C96268">
        <w:rPr>
          <w:rFonts w:ascii="Times New Roman" w:hAnsi="Times New Roman" w:cs="Times New Roman"/>
          <w:bCs/>
          <w:iCs/>
          <w:sz w:val="24"/>
          <w:szCs w:val="24"/>
        </w:rPr>
        <w:t xml:space="preserve"> należy przyjąć, że:</w:t>
      </w:r>
    </w:p>
    <w:p w14:paraId="691C2052" w14:textId="77777777" w:rsidR="006C6FE0" w:rsidRPr="00C96268" w:rsidRDefault="006C6FE0" w:rsidP="00B6504F">
      <w:pPr>
        <w:numPr>
          <w:ilvl w:val="0"/>
          <w:numId w:val="36"/>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jurysdykcyjny globalny podatek wyrównawczy odpowiada dodatkowemu podatkowi wyrównawczemu (</w:t>
      </w:r>
      <w:r w:rsidRPr="00C96268">
        <w:rPr>
          <w:rFonts w:ascii="Times New Roman" w:hAnsi="Times New Roman" w:cs="Times New Roman"/>
          <w:bCs/>
          <w:iCs/>
          <w:sz w:val="24"/>
          <w:szCs w:val="24"/>
          <w:u w:val="single"/>
        </w:rPr>
        <w:t>pod tę pozycję wzoru podstawia się dodatkowy podatek wyrównawczy</w:t>
      </w:r>
      <w:r w:rsidRPr="00C96268">
        <w:rPr>
          <w:rFonts w:ascii="Times New Roman" w:hAnsi="Times New Roman" w:cs="Times New Roman"/>
          <w:bCs/>
          <w:iCs/>
          <w:sz w:val="24"/>
          <w:szCs w:val="24"/>
        </w:rPr>
        <w:t>);</w:t>
      </w:r>
    </w:p>
    <w:p w14:paraId="7710D529" w14:textId="77777777" w:rsidR="006C6FE0" w:rsidRPr="00C96268" w:rsidRDefault="006C6FE0" w:rsidP="00B6504F">
      <w:pPr>
        <w:numPr>
          <w:ilvl w:val="0"/>
          <w:numId w:val="36"/>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kwalifikowany dochód jednostki ustala się za rok podatkowy, za który dokonano korekty efektywnej stawki podatkowej i obliczeń dodatkowego podatku wyrównawczego </w:t>
      </w:r>
      <w:r w:rsidRPr="00C96268">
        <w:rPr>
          <w:rFonts w:ascii="Times New Roman" w:hAnsi="Times New Roman" w:cs="Times New Roman"/>
          <w:bCs/>
          <w:iCs/>
          <w:sz w:val="24"/>
          <w:szCs w:val="24"/>
        </w:rPr>
        <w:br/>
        <w:t xml:space="preserve">(tj. </w:t>
      </w:r>
      <w:r w:rsidRPr="00C96268">
        <w:rPr>
          <w:rFonts w:ascii="Times New Roman" w:hAnsi="Times New Roman" w:cs="Times New Roman"/>
          <w:bCs/>
          <w:iCs/>
          <w:sz w:val="24"/>
          <w:szCs w:val="24"/>
          <w:u w:val="single"/>
        </w:rPr>
        <w:t>za poprzedni rok</w:t>
      </w:r>
      <w:r w:rsidRPr="00C96268">
        <w:rPr>
          <w:rFonts w:ascii="Times New Roman" w:hAnsi="Times New Roman" w:cs="Times New Roman"/>
          <w:bCs/>
          <w:iCs/>
          <w:sz w:val="24"/>
          <w:szCs w:val="24"/>
        </w:rPr>
        <w:t>), przy czym jeżeli korekta jest dokonywana za kilka poprzednich lat, uwzględnia się w tym zakresie sumę kwalifikowanych dochodów tej jednostki za wszystkie lata korygowane.</w:t>
      </w:r>
    </w:p>
    <w:p w14:paraId="5BCE6AE6"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 Tym samym, w powyższy sposób ustala się, w opisanym przypadku, jednostkowy globalny podatek wyrównawczy.</w:t>
      </w:r>
    </w:p>
    <w:p w14:paraId="18E7CDB4" w14:textId="77777777"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iCs/>
          <w:sz w:val="24"/>
          <w:szCs w:val="24"/>
        </w:rPr>
        <w:t xml:space="preserve">Ponadto, w celu obliczenia udziału procentowego jednostki dominującej przyjmuje się, , na potrzeby wzoru określonego w </w:t>
      </w:r>
      <w:r w:rsidRPr="00C96268">
        <w:rPr>
          <w:rFonts w:ascii="Times New Roman" w:hAnsi="Times New Roman" w:cs="Times New Roman"/>
          <w:b/>
          <w:bCs/>
          <w:iCs/>
          <w:sz w:val="24"/>
          <w:szCs w:val="24"/>
        </w:rPr>
        <w:t>art. 15 ust. 2</w:t>
      </w:r>
      <w:r w:rsidRPr="00C96268">
        <w:rPr>
          <w:rFonts w:ascii="Times New Roman" w:hAnsi="Times New Roman" w:cs="Times New Roman"/>
          <w:iCs/>
          <w:sz w:val="24"/>
          <w:szCs w:val="24"/>
        </w:rPr>
        <w:t xml:space="preserve">, że kwalifikowanych dochód każdej jednostki składowej jest równy </w:t>
      </w:r>
      <w:r w:rsidRPr="00C96268">
        <w:rPr>
          <w:rFonts w:ascii="Times New Roman" w:hAnsi="Times New Roman" w:cs="Times New Roman"/>
          <w:b/>
          <w:bCs/>
          <w:iCs/>
          <w:sz w:val="24"/>
          <w:szCs w:val="24"/>
        </w:rPr>
        <w:t>kwocie jednostkowego globalnego podatku wyrównawczego dla tej jednostki składowej, obliczonego zgodnie z ust. 1 pkt 1, podzielonej przez minimalną stawkę podatkową</w:t>
      </w:r>
      <w:r w:rsidRPr="00C96268">
        <w:rPr>
          <w:rFonts w:ascii="Times New Roman" w:hAnsi="Times New Roman" w:cs="Times New Roman"/>
          <w:iCs/>
          <w:sz w:val="24"/>
          <w:szCs w:val="24"/>
        </w:rPr>
        <w:t>.</w:t>
      </w:r>
    </w:p>
    <w:p w14:paraId="0FCB2532" w14:textId="77777777" w:rsidR="006C6FE0" w:rsidRPr="00C96268" w:rsidRDefault="006C6FE0" w:rsidP="006C6FE0">
      <w:pPr>
        <w:ind w:firstLine="426"/>
        <w:jc w:val="both"/>
        <w:rPr>
          <w:rFonts w:ascii="Times New Roman" w:hAnsi="Times New Roman" w:cs="Times New Roman"/>
          <w:b/>
          <w:bCs/>
          <w:sz w:val="24"/>
          <w:szCs w:val="24"/>
        </w:rPr>
      </w:pPr>
      <w:r w:rsidRPr="00C96268">
        <w:rPr>
          <w:rFonts w:ascii="Times New Roman" w:hAnsi="Times New Roman" w:cs="Times New Roman"/>
          <w:b/>
          <w:bCs/>
          <w:sz w:val="24"/>
          <w:szCs w:val="24"/>
        </w:rPr>
        <w:t xml:space="preserve">Przykład </w:t>
      </w:r>
    </w:p>
    <w:p w14:paraId="7F5EA87B" w14:textId="1D963D2F" w:rsidR="006C6FE0" w:rsidRPr="00C96268" w:rsidRDefault="006C6FE0" w:rsidP="006C6FE0">
      <w:pPr>
        <w:jc w:val="both"/>
        <w:rPr>
          <w:rFonts w:ascii="Times New Roman" w:hAnsi="Times New Roman" w:cs="Times New Roman"/>
          <w:b/>
          <w:bCs/>
          <w:sz w:val="24"/>
          <w:szCs w:val="24"/>
        </w:rPr>
      </w:pPr>
      <w:r w:rsidRPr="00C96268">
        <w:rPr>
          <w:rFonts w:ascii="Times New Roman" w:hAnsi="Times New Roman" w:cs="Times New Roman"/>
          <w:b/>
          <w:bCs/>
          <w:sz w:val="24"/>
          <w:szCs w:val="24"/>
        </w:rPr>
        <w:t xml:space="preserve">Zasady szczególne (art. 17 ust. 1) - przypadek, gdy w </w:t>
      </w:r>
      <w:r w:rsidR="00A30960" w:rsidRPr="00C96268">
        <w:rPr>
          <w:rFonts w:ascii="Times New Roman" w:hAnsi="Times New Roman" w:cs="Times New Roman"/>
          <w:b/>
          <w:bCs/>
          <w:sz w:val="24"/>
          <w:szCs w:val="24"/>
        </w:rPr>
        <w:t xml:space="preserve">danej jurysdykcji </w:t>
      </w:r>
      <w:r w:rsidRPr="00C96268">
        <w:rPr>
          <w:rFonts w:ascii="Times New Roman" w:hAnsi="Times New Roman" w:cs="Times New Roman"/>
          <w:b/>
          <w:bCs/>
          <w:sz w:val="24"/>
          <w:szCs w:val="24"/>
          <w:u w:val="single"/>
        </w:rPr>
        <w:t>nie</w:t>
      </w:r>
      <w:r w:rsidRPr="00C96268">
        <w:rPr>
          <w:rFonts w:ascii="Times New Roman" w:hAnsi="Times New Roman" w:cs="Times New Roman"/>
          <w:b/>
          <w:bCs/>
          <w:sz w:val="24"/>
          <w:szCs w:val="24"/>
        </w:rPr>
        <w:t xml:space="preserve"> wystąpił jurysdykcyjny kwalifikowany dochód netto</w:t>
      </w:r>
    </w:p>
    <w:p w14:paraId="6D727529"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
          <w:bCs/>
          <w:i/>
          <w:iCs/>
          <w:sz w:val="24"/>
          <w:szCs w:val="24"/>
        </w:rPr>
        <w:t>Krok 1. UPE oblicza jurysdykcyjny globalny podatek wyrównawczy</w:t>
      </w:r>
      <w:r w:rsidRPr="00C96268">
        <w:rPr>
          <w:rFonts w:ascii="Times New Roman" w:hAnsi="Times New Roman" w:cs="Times New Roman"/>
          <w:sz w:val="24"/>
          <w:szCs w:val="24"/>
        </w:rPr>
        <w:t xml:space="preserve"> </w:t>
      </w:r>
    </w:p>
    <w:p w14:paraId="5B05971C" w14:textId="0C85EF99"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Jednostka dominująca najwyższego szczebla (UPE), będąca podatnikiem globalnego podatku wyrównawczego, oblicza dla </w:t>
      </w:r>
      <w:r w:rsidR="00A30960" w:rsidRPr="00C96268">
        <w:rPr>
          <w:rFonts w:ascii="Times New Roman" w:hAnsi="Times New Roman" w:cs="Times New Roman"/>
          <w:sz w:val="24"/>
          <w:szCs w:val="24"/>
        </w:rPr>
        <w:t xml:space="preserve">danej jurysdykcji </w:t>
      </w:r>
      <w:r w:rsidRPr="00C96268">
        <w:rPr>
          <w:rFonts w:ascii="Times New Roman" w:hAnsi="Times New Roman" w:cs="Times New Roman"/>
          <w:sz w:val="24"/>
          <w:szCs w:val="24"/>
        </w:rPr>
        <w:t xml:space="preserve">jurysdykcyjny globalny podatek wyrównawczy jak niżej. </w:t>
      </w:r>
      <w:r w:rsidRPr="00C96268">
        <w:rPr>
          <w:rFonts w:ascii="Times New Roman" w:hAnsi="Times New Roman" w:cs="Times New Roman"/>
          <w:sz w:val="24"/>
          <w:szCs w:val="24"/>
          <w:u w:val="single"/>
        </w:rPr>
        <w:t>Z uwagi na brak jurysdykcyjnego kwalifikowanego dochodu netto, również nadwyżka zysku wynosi zero. Zatem, jurysdykcyjny globalny podatek wyrównawczy wynika wyłącznie z kwoty dodatkowego podatku wyrównawczego.</w:t>
      </w:r>
    </w:p>
    <w:tbl>
      <w:tblPr>
        <w:tblStyle w:val="Tabela-Siatka"/>
        <w:tblW w:w="0" w:type="auto"/>
        <w:tblLook w:val="04A0" w:firstRow="1" w:lastRow="0" w:firstColumn="1" w:lastColumn="0" w:noHBand="0" w:noVBand="1"/>
      </w:tblPr>
      <w:tblGrid>
        <w:gridCol w:w="6091"/>
        <w:gridCol w:w="2409"/>
      </w:tblGrid>
      <w:tr w:rsidR="006C6FE0" w:rsidRPr="003E7A67" w14:paraId="744FC36D" w14:textId="77777777" w:rsidTr="00B47940">
        <w:tc>
          <w:tcPr>
            <w:tcW w:w="6091" w:type="dxa"/>
          </w:tcPr>
          <w:p w14:paraId="0082F8B3" w14:textId="77777777" w:rsidR="006C6FE0" w:rsidRPr="003E7A67" w:rsidRDefault="006C6FE0" w:rsidP="00B47940">
            <w:pPr>
              <w:jc w:val="both"/>
            </w:pPr>
            <w:r w:rsidRPr="003E7A67">
              <w:t>(A) Nadwyżka zysku * stawka wyrównawcza</w:t>
            </w:r>
          </w:p>
        </w:tc>
        <w:tc>
          <w:tcPr>
            <w:tcW w:w="2409" w:type="dxa"/>
          </w:tcPr>
          <w:p w14:paraId="3B8B913E" w14:textId="77777777" w:rsidR="006C6FE0" w:rsidRPr="003E7A67" w:rsidRDefault="006C6FE0" w:rsidP="00B47940">
            <w:pPr>
              <w:jc w:val="right"/>
            </w:pPr>
            <w:r w:rsidRPr="003E7A67">
              <w:t>0</w:t>
            </w:r>
          </w:p>
        </w:tc>
      </w:tr>
      <w:tr w:rsidR="006C6FE0" w:rsidRPr="003E7A67" w14:paraId="6599DDD8" w14:textId="77777777" w:rsidTr="00B47940">
        <w:tc>
          <w:tcPr>
            <w:tcW w:w="6091" w:type="dxa"/>
          </w:tcPr>
          <w:p w14:paraId="330911FA" w14:textId="77777777" w:rsidR="006C6FE0" w:rsidRPr="003E7A67" w:rsidRDefault="006C6FE0" w:rsidP="00B47940">
            <w:pPr>
              <w:jc w:val="both"/>
            </w:pPr>
            <w:r w:rsidRPr="003E7A67">
              <w:t>(B) Dodatkowy podatek wyrównawczy</w:t>
            </w:r>
          </w:p>
        </w:tc>
        <w:tc>
          <w:tcPr>
            <w:tcW w:w="2409" w:type="dxa"/>
          </w:tcPr>
          <w:p w14:paraId="7E037484" w14:textId="77777777" w:rsidR="006C6FE0" w:rsidRPr="003E7A67" w:rsidRDefault="006C6FE0" w:rsidP="00B47940">
            <w:pPr>
              <w:jc w:val="right"/>
            </w:pPr>
            <w:r w:rsidRPr="003E7A67">
              <w:t>100</w:t>
            </w:r>
          </w:p>
        </w:tc>
      </w:tr>
      <w:tr w:rsidR="006C6FE0" w:rsidRPr="003E7A67" w14:paraId="21B641A8" w14:textId="77777777" w:rsidTr="00B47940">
        <w:tc>
          <w:tcPr>
            <w:tcW w:w="6091" w:type="dxa"/>
          </w:tcPr>
          <w:p w14:paraId="5AE084E7" w14:textId="77777777" w:rsidR="006C6FE0" w:rsidRPr="003E7A67" w:rsidRDefault="006C6FE0" w:rsidP="00B47940">
            <w:pPr>
              <w:jc w:val="both"/>
            </w:pPr>
            <w:r w:rsidRPr="003E7A67">
              <w:t>(C) Kwalifikowany krajowy podatek wyrównawczy (QDMTT)</w:t>
            </w:r>
          </w:p>
        </w:tc>
        <w:tc>
          <w:tcPr>
            <w:tcW w:w="2409" w:type="dxa"/>
          </w:tcPr>
          <w:p w14:paraId="72577F29" w14:textId="77777777" w:rsidR="006C6FE0" w:rsidRPr="003E7A67" w:rsidRDefault="006C6FE0" w:rsidP="00B47940">
            <w:pPr>
              <w:jc w:val="right"/>
            </w:pPr>
            <w:r w:rsidRPr="003E7A67">
              <w:t>0</w:t>
            </w:r>
          </w:p>
        </w:tc>
      </w:tr>
      <w:tr w:rsidR="006C6FE0" w:rsidRPr="003E7A67" w14:paraId="2E0B3094" w14:textId="77777777" w:rsidTr="00B47940">
        <w:tc>
          <w:tcPr>
            <w:tcW w:w="6091" w:type="dxa"/>
            <w:shd w:val="clear" w:color="auto" w:fill="D9D9D9" w:themeFill="background1" w:themeFillShade="D9"/>
          </w:tcPr>
          <w:p w14:paraId="680183F3" w14:textId="77777777" w:rsidR="006C6FE0" w:rsidRPr="003E7A67" w:rsidRDefault="006C6FE0" w:rsidP="00B47940">
            <w:pPr>
              <w:jc w:val="both"/>
              <w:rPr>
                <w:b/>
                <w:bCs/>
              </w:rPr>
            </w:pPr>
            <w:r w:rsidRPr="003E7A67">
              <w:rPr>
                <w:b/>
                <w:bCs/>
              </w:rPr>
              <w:t>Jurysdykcyjny globalny podatek wyrównawczy [A+B-C]</w:t>
            </w:r>
          </w:p>
          <w:p w14:paraId="1D2FEAC7" w14:textId="77777777" w:rsidR="006C6FE0" w:rsidRPr="003E7A67" w:rsidRDefault="006C6FE0" w:rsidP="00B47940">
            <w:pPr>
              <w:jc w:val="both"/>
              <w:rPr>
                <w:b/>
                <w:bCs/>
              </w:rPr>
            </w:pPr>
          </w:p>
        </w:tc>
        <w:tc>
          <w:tcPr>
            <w:tcW w:w="2409" w:type="dxa"/>
            <w:shd w:val="clear" w:color="auto" w:fill="D9D9D9" w:themeFill="background1" w:themeFillShade="D9"/>
          </w:tcPr>
          <w:p w14:paraId="524EA48A" w14:textId="77777777" w:rsidR="006C6FE0" w:rsidRPr="003E7A67" w:rsidRDefault="006C6FE0" w:rsidP="00B47940">
            <w:pPr>
              <w:jc w:val="right"/>
              <w:rPr>
                <w:b/>
                <w:bCs/>
              </w:rPr>
            </w:pPr>
            <w:r w:rsidRPr="003E7A67">
              <w:rPr>
                <w:b/>
                <w:bCs/>
              </w:rPr>
              <w:t>100</w:t>
            </w:r>
          </w:p>
        </w:tc>
      </w:tr>
    </w:tbl>
    <w:p w14:paraId="7E536D90" w14:textId="77777777" w:rsidR="006C6FE0" w:rsidRPr="000F3DE5" w:rsidRDefault="006C6FE0" w:rsidP="006C6FE0">
      <w:pPr>
        <w:rPr>
          <w:sz w:val="16"/>
          <w:szCs w:val="16"/>
        </w:rPr>
      </w:pPr>
    </w:p>
    <w:p w14:paraId="619F184F" w14:textId="77777777" w:rsidR="006C6FE0" w:rsidRPr="00C96268" w:rsidRDefault="006C6FE0" w:rsidP="000F3DE5">
      <w:pPr>
        <w:spacing w:line="240" w:lineRule="auto"/>
        <w:rPr>
          <w:rFonts w:ascii="Times New Roman" w:hAnsi="Times New Roman" w:cs="Times New Roman"/>
          <w:i/>
          <w:iCs/>
          <w:sz w:val="24"/>
          <w:szCs w:val="24"/>
        </w:rPr>
      </w:pPr>
      <w:r w:rsidRPr="00C96268">
        <w:rPr>
          <w:rFonts w:ascii="Times New Roman" w:hAnsi="Times New Roman" w:cs="Times New Roman"/>
          <w:b/>
          <w:bCs/>
          <w:i/>
          <w:iCs/>
          <w:sz w:val="24"/>
          <w:szCs w:val="24"/>
        </w:rPr>
        <w:t xml:space="preserve">Krok 2. UPE oblicza jednostkowy globalny podatek wyrównawczy dla danej nisko opodatkowanej jednostki składowej. </w:t>
      </w:r>
    </w:p>
    <w:tbl>
      <w:tblPr>
        <w:tblStyle w:val="Tabela-Siatka"/>
        <w:tblW w:w="0" w:type="auto"/>
        <w:tblLook w:val="04A0" w:firstRow="1" w:lastRow="0" w:firstColumn="1" w:lastColumn="0" w:noHBand="0" w:noVBand="1"/>
      </w:tblPr>
      <w:tblGrid>
        <w:gridCol w:w="6374"/>
        <w:gridCol w:w="2126"/>
      </w:tblGrid>
      <w:tr w:rsidR="006C6FE0" w:rsidRPr="003E7A67" w14:paraId="284795CC" w14:textId="77777777" w:rsidTr="00B47940">
        <w:tc>
          <w:tcPr>
            <w:tcW w:w="6374" w:type="dxa"/>
          </w:tcPr>
          <w:p w14:paraId="2F74773A" w14:textId="77777777" w:rsidR="006C6FE0" w:rsidRPr="003E7A67" w:rsidRDefault="006C6FE0" w:rsidP="00B47940">
            <w:pPr>
              <w:jc w:val="both"/>
            </w:pPr>
            <w:r w:rsidRPr="003E7A67">
              <w:t xml:space="preserve">(A) Kwalifikowany dochód danej jednostki składowej za rok podatkowy </w:t>
            </w:r>
            <w:r w:rsidRPr="003E7A67">
              <w:rPr>
                <w:u w:val="single"/>
              </w:rPr>
              <w:t>za dany poprzedni rok podatkowy</w:t>
            </w:r>
          </w:p>
        </w:tc>
        <w:tc>
          <w:tcPr>
            <w:tcW w:w="2126" w:type="dxa"/>
          </w:tcPr>
          <w:p w14:paraId="220EAE75" w14:textId="77777777" w:rsidR="006C6FE0" w:rsidRPr="003E7A67" w:rsidRDefault="006C6FE0" w:rsidP="00B47940">
            <w:pPr>
              <w:jc w:val="right"/>
            </w:pPr>
            <w:r w:rsidRPr="003E7A67">
              <w:t>200</w:t>
            </w:r>
          </w:p>
        </w:tc>
      </w:tr>
      <w:tr w:rsidR="006C6FE0" w:rsidRPr="003E7A67" w14:paraId="4EFD4E6D" w14:textId="77777777" w:rsidTr="00B47940">
        <w:tc>
          <w:tcPr>
            <w:tcW w:w="6374" w:type="dxa"/>
          </w:tcPr>
          <w:p w14:paraId="5D4A7E09" w14:textId="77777777" w:rsidR="006C6FE0" w:rsidRPr="003E7A67" w:rsidRDefault="006C6FE0" w:rsidP="00B47940">
            <w:pPr>
              <w:jc w:val="both"/>
            </w:pPr>
            <w:r w:rsidRPr="003E7A67">
              <w:t xml:space="preserve">(B) Suma kwalifikowanego dochodu wszystkich jednostek składowych za rok podatkowy </w:t>
            </w:r>
            <w:r w:rsidRPr="003E7A67">
              <w:rPr>
                <w:u w:val="single"/>
              </w:rPr>
              <w:t>za dany poprzedni rok podatkowy</w:t>
            </w:r>
          </w:p>
        </w:tc>
        <w:tc>
          <w:tcPr>
            <w:tcW w:w="2126" w:type="dxa"/>
          </w:tcPr>
          <w:p w14:paraId="0DD211B0" w14:textId="77777777" w:rsidR="006C6FE0" w:rsidRPr="003E7A67" w:rsidRDefault="006C6FE0" w:rsidP="00B47940">
            <w:pPr>
              <w:jc w:val="right"/>
            </w:pPr>
            <w:r w:rsidRPr="003E7A67">
              <w:t>2 000</w:t>
            </w:r>
          </w:p>
        </w:tc>
      </w:tr>
      <w:tr w:rsidR="006C6FE0" w:rsidRPr="003E7A67" w14:paraId="0DDD65A6" w14:textId="77777777" w:rsidTr="00B47940">
        <w:tc>
          <w:tcPr>
            <w:tcW w:w="6374" w:type="dxa"/>
            <w:shd w:val="clear" w:color="auto" w:fill="D9D9D9" w:themeFill="background1" w:themeFillShade="D9"/>
          </w:tcPr>
          <w:p w14:paraId="66B67BFE" w14:textId="77777777" w:rsidR="006C6FE0" w:rsidRPr="003E7A67" w:rsidRDefault="006C6FE0" w:rsidP="00B47940">
            <w:pPr>
              <w:jc w:val="both"/>
              <w:rPr>
                <w:b/>
                <w:bCs/>
              </w:rPr>
            </w:pPr>
            <w:r w:rsidRPr="003E7A67">
              <w:rPr>
                <w:b/>
                <w:bCs/>
              </w:rPr>
              <w:t xml:space="preserve">Jednostkowy globalny podatek wyrównawczy </w:t>
            </w:r>
          </w:p>
          <w:p w14:paraId="01BFBBA9" w14:textId="77777777" w:rsidR="006C6FE0" w:rsidRPr="003E7A67" w:rsidRDefault="006C6FE0" w:rsidP="00B47940">
            <w:pPr>
              <w:jc w:val="both"/>
            </w:pPr>
            <w:r w:rsidRPr="003E7A67">
              <w:t>[jurysdykcyjny podatek x proporcja kwalifikowanego dochodu (A/B)]</w:t>
            </w:r>
          </w:p>
          <w:p w14:paraId="338EE397" w14:textId="77777777" w:rsidR="006C6FE0" w:rsidRPr="003E7A67" w:rsidRDefault="006C6FE0" w:rsidP="00B47940">
            <w:pPr>
              <w:jc w:val="both"/>
              <w:rPr>
                <w:b/>
                <w:bCs/>
              </w:rPr>
            </w:pPr>
          </w:p>
        </w:tc>
        <w:tc>
          <w:tcPr>
            <w:tcW w:w="2126" w:type="dxa"/>
            <w:shd w:val="clear" w:color="auto" w:fill="D9D9D9" w:themeFill="background1" w:themeFillShade="D9"/>
          </w:tcPr>
          <w:p w14:paraId="0BBDDD3F" w14:textId="77777777" w:rsidR="006C6FE0" w:rsidRPr="003E7A67" w:rsidRDefault="006C6FE0" w:rsidP="00B47940">
            <w:pPr>
              <w:jc w:val="right"/>
              <w:rPr>
                <w:b/>
                <w:bCs/>
              </w:rPr>
            </w:pPr>
            <w:r w:rsidRPr="003E7A67">
              <w:rPr>
                <w:b/>
                <w:bCs/>
              </w:rPr>
              <w:t>100 * 200/2 000 = 10</w:t>
            </w:r>
          </w:p>
        </w:tc>
      </w:tr>
    </w:tbl>
    <w:p w14:paraId="019147C8" w14:textId="77777777" w:rsidR="006C6FE0" w:rsidRPr="00C96268" w:rsidRDefault="006C6FE0" w:rsidP="006C6FE0">
      <w:pPr>
        <w:spacing w:before="160"/>
        <w:rPr>
          <w:rFonts w:ascii="Times New Roman" w:hAnsi="Times New Roman" w:cs="Times New Roman"/>
          <w:sz w:val="24"/>
          <w:szCs w:val="24"/>
        </w:rPr>
      </w:pPr>
      <w:r w:rsidRPr="00C96268">
        <w:rPr>
          <w:rFonts w:ascii="Times New Roman" w:hAnsi="Times New Roman" w:cs="Times New Roman"/>
          <w:sz w:val="24"/>
          <w:szCs w:val="24"/>
        </w:rPr>
        <w:lastRenderedPageBreak/>
        <w:t xml:space="preserve">Obliczenia te bazują na kwalifikowanym dochodzie jednostek składowych </w:t>
      </w:r>
      <w:r w:rsidRPr="00C96268">
        <w:rPr>
          <w:rFonts w:ascii="Times New Roman" w:hAnsi="Times New Roman" w:cs="Times New Roman"/>
          <w:sz w:val="24"/>
          <w:szCs w:val="24"/>
          <w:u w:val="single"/>
        </w:rPr>
        <w:t>za dany poprzedni rok podatkowy</w:t>
      </w:r>
      <w:r w:rsidRPr="00C96268">
        <w:rPr>
          <w:rFonts w:ascii="Times New Roman" w:hAnsi="Times New Roman" w:cs="Times New Roman"/>
          <w:sz w:val="24"/>
          <w:szCs w:val="24"/>
        </w:rPr>
        <w:t xml:space="preserve"> (tj. za korygowany rok, za który ponownie oblicza się efektywną stawkę podatkową, wskutek czego powstaje dodatkowy podatek wyrównawczy).</w:t>
      </w:r>
    </w:p>
    <w:p w14:paraId="3D7B7928" w14:textId="77777777" w:rsidR="006C6FE0" w:rsidRPr="00C96268" w:rsidRDefault="006C6FE0" w:rsidP="006C6FE0">
      <w:pPr>
        <w:spacing w:before="120"/>
        <w:jc w:val="both"/>
        <w:rPr>
          <w:rFonts w:ascii="Times New Roman" w:hAnsi="Times New Roman" w:cs="Times New Roman"/>
          <w:b/>
          <w:bCs/>
          <w:i/>
          <w:iCs/>
          <w:sz w:val="24"/>
          <w:szCs w:val="24"/>
        </w:rPr>
      </w:pPr>
      <w:r w:rsidRPr="00C96268">
        <w:rPr>
          <w:rFonts w:ascii="Times New Roman" w:hAnsi="Times New Roman" w:cs="Times New Roman"/>
          <w:b/>
          <w:bCs/>
          <w:i/>
          <w:iCs/>
          <w:sz w:val="24"/>
          <w:szCs w:val="24"/>
        </w:rPr>
        <w:t>Krok 3. UPE oblicza swój udziałowy globalny podatek wyrównawczy w odniesieniu do powyższej nisko opodatkowanej jednostki składowej.</w:t>
      </w:r>
    </w:p>
    <w:p w14:paraId="44E3C188"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W celu obliczenia podatku udziałowego, w pierwszej kolejności UPE musi ustalić swój udział procentowy; jednak z uwagi na brak - za dany bieżący rok - kwalifikowanego dochodu, który może użyć do obliczeń, stosuje regułę szczególną. Za kwalifikowany dochód jednostki składowej przyjmuje kwotę alokowanego jej dodatkowego podatku wyrównawczego (tj. jednostkowego podatku), podzielonego przez stawkę minimalną. Jest to zatem oszacowana hipotetyczna kwota kwalifikowanego dochodu, która pozwala ustalić udział procentowy jednostki dominującej.</w:t>
      </w:r>
      <w:r w:rsidRPr="00C96268">
        <w:rPr>
          <w:rStyle w:val="Odwoanieprzypisudolnego"/>
          <w:rFonts w:ascii="Times New Roman" w:hAnsi="Times New Roman" w:cs="Times New Roman"/>
          <w:sz w:val="24"/>
          <w:szCs w:val="24"/>
        </w:rPr>
        <w:footnoteReference w:id="83"/>
      </w:r>
      <w:r w:rsidRPr="00C96268">
        <w:rPr>
          <w:rFonts w:ascii="Times New Roman" w:hAnsi="Times New Roman" w:cs="Times New Roman"/>
          <w:sz w:val="24"/>
          <w:szCs w:val="24"/>
        </w:rPr>
        <w:t xml:space="preserve"> </w:t>
      </w:r>
    </w:p>
    <w:tbl>
      <w:tblPr>
        <w:tblStyle w:val="Tabela-Siatka"/>
        <w:tblW w:w="0" w:type="auto"/>
        <w:tblLook w:val="04A0" w:firstRow="1" w:lastRow="0" w:firstColumn="1" w:lastColumn="0" w:noHBand="0" w:noVBand="1"/>
      </w:tblPr>
      <w:tblGrid>
        <w:gridCol w:w="6091"/>
        <w:gridCol w:w="2409"/>
      </w:tblGrid>
      <w:tr w:rsidR="006C6FE0" w:rsidRPr="003E7A67" w14:paraId="3F5B3FB1" w14:textId="77777777" w:rsidTr="00B47940">
        <w:tc>
          <w:tcPr>
            <w:tcW w:w="6091" w:type="dxa"/>
          </w:tcPr>
          <w:p w14:paraId="70846714" w14:textId="77777777" w:rsidR="006C6FE0" w:rsidRPr="003E7A67" w:rsidRDefault="006C6FE0" w:rsidP="00B47940">
            <w:pPr>
              <w:jc w:val="both"/>
            </w:pPr>
            <w:r w:rsidRPr="003E7A67">
              <w:t>(A) Kwalifikowany dochód jednostki składowej</w:t>
            </w:r>
          </w:p>
        </w:tc>
        <w:tc>
          <w:tcPr>
            <w:tcW w:w="2409" w:type="dxa"/>
          </w:tcPr>
          <w:p w14:paraId="227360F4" w14:textId="77777777" w:rsidR="006C6FE0" w:rsidRPr="003E7A67" w:rsidRDefault="006C6FE0" w:rsidP="00B47940">
            <w:pPr>
              <w:jc w:val="right"/>
            </w:pPr>
            <w:r w:rsidRPr="003E7A67">
              <w:t>10 / 15% = 67</w:t>
            </w:r>
          </w:p>
        </w:tc>
      </w:tr>
      <w:tr w:rsidR="006C6FE0" w:rsidRPr="003E7A67" w14:paraId="6F3A74FA" w14:textId="77777777" w:rsidTr="00B47940">
        <w:tc>
          <w:tcPr>
            <w:tcW w:w="6091" w:type="dxa"/>
          </w:tcPr>
          <w:p w14:paraId="2AA734FB" w14:textId="77777777" w:rsidR="006C6FE0" w:rsidRPr="003E7A67" w:rsidRDefault="006C6FE0" w:rsidP="00B47940">
            <w:pPr>
              <w:jc w:val="both"/>
            </w:pPr>
            <w:r w:rsidRPr="003E7A67">
              <w:t xml:space="preserve">(B) Kwalifikowany dochód tej jednostki składowej przypadający na podmioty spoza grupy </w:t>
            </w:r>
            <w:r w:rsidRPr="003E7A67">
              <w:rPr>
                <w:i/>
                <w:iCs/>
              </w:rPr>
              <w:t>(przykładowe dane)</w:t>
            </w:r>
          </w:p>
        </w:tc>
        <w:tc>
          <w:tcPr>
            <w:tcW w:w="2409" w:type="dxa"/>
          </w:tcPr>
          <w:p w14:paraId="6BA84631" w14:textId="77777777" w:rsidR="006C6FE0" w:rsidRPr="003E7A67" w:rsidRDefault="006C6FE0" w:rsidP="00B47940">
            <w:pPr>
              <w:jc w:val="right"/>
            </w:pPr>
          </w:p>
          <w:p w14:paraId="3199AACE" w14:textId="77777777" w:rsidR="006C6FE0" w:rsidRPr="003E7A67" w:rsidRDefault="006C6FE0" w:rsidP="00B47940">
            <w:pPr>
              <w:jc w:val="right"/>
            </w:pPr>
            <w:r w:rsidRPr="003E7A67">
              <w:t>17</w:t>
            </w:r>
          </w:p>
        </w:tc>
      </w:tr>
      <w:tr w:rsidR="006C6FE0" w:rsidRPr="003E7A67" w14:paraId="1F696DB0" w14:textId="77777777" w:rsidTr="00B47940">
        <w:tc>
          <w:tcPr>
            <w:tcW w:w="6091" w:type="dxa"/>
          </w:tcPr>
          <w:p w14:paraId="30A69A59" w14:textId="77777777" w:rsidR="006C6FE0" w:rsidRPr="003E7A67" w:rsidRDefault="006C6FE0" w:rsidP="00B47940">
            <w:pPr>
              <w:jc w:val="both"/>
            </w:pPr>
            <w:r w:rsidRPr="003E7A67">
              <w:t>(C) Udział procentowy UPE</w:t>
            </w:r>
          </w:p>
          <w:p w14:paraId="027C282B" w14:textId="77777777" w:rsidR="006C6FE0" w:rsidRPr="003E7A67" w:rsidRDefault="006C6FE0" w:rsidP="00B47940">
            <w:pPr>
              <w:jc w:val="both"/>
            </w:pPr>
            <w:r w:rsidRPr="003E7A67">
              <w:t xml:space="preserve">      [(A-B) / B]</w:t>
            </w:r>
          </w:p>
        </w:tc>
        <w:tc>
          <w:tcPr>
            <w:tcW w:w="2409" w:type="dxa"/>
          </w:tcPr>
          <w:p w14:paraId="701DB94F" w14:textId="77777777" w:rsidR="006C6FE0" w:rsidRPr="003E7A67" w:rsidRDefault="006C6FE0" w:rsidP="00B47940">
            <w:pPr>
              <w:jc w:val="right"/>
            </w:pPr>
            <w:r w:rsidRPr="003E7A67">
              <w:t>(67-17) / 67 = 75%</w:t>
            </w:r>
          </w:p>
          <w:p w14:paraId="3F5AF4AD" w14:textId="77777777" w:rsidR="006C6FE0" w:rsidRPr="003E7A67" w:rsidRDefault="006C6FE0" w:rsidP="00B47940">
            <w:pPr>
              <w:jc w:val="right"/>
            </w:pPr>
          </w:p>
        </w:tc>
      </w:tr>
      <w:tr w:rsidR="006C6FE0" w:rsidRPr="003E7A67" w14:paraId="5FE76E33" w14:textId="77777777" w:rsidTr="00B47940">
        <w:tc>
          <w:tcPr>
            <w:tcW w:w="6091" w:type="dxa"/>
            <w:shd w:val="clear" w:color="auto" w:fill="D9D9D9" w:themeFill="background1" w:themeFillShade="D9"/>
          </w:tcPr>
          <w:p w14:paraId="2AA1AE70" w14:textId="77777777" w:rsidR="006C6FE0" w:rsidRPr="003E7A67" w:rsidRDefault="006C6FE0" w:rsidP="00B47940">
            <w:pPr>
              <w:jc w:val="both"/>
              <w:rPr>
                <w:b/>
                <w:bCs/>
              </w:rPr>
            </w:pPr>
            <w:r w:rsidRPr="003E7A67">
              <w:rPr>
                <w:b/>
                <w:bCs/>
              </w:rPr>
              <w:t xml:space="preserve">Udziałowy globalny podatek wyrównawczy </w:t>
            </w:r>
          </w:p>
          <w:p w14:paraId="17ADCCB1" w14:textId="77777777" w:rsidR="006C6FE0" w:rsidRPr="003E7A67" w:rsidRDefault="006C6FE0" w:rsidP="00B47940">
            <w:pPr>
              <w:jc w:val="both"/>
            </w:pPr>
            <w:r w:rsidRPr="003E7A67">
              <w:t>[udział procentowy * jednostkowy podatek]</w:t>
            </w:r>
          </w:p>
          <w:p w14:paraId="01925927" w14:textId="77777777" w:rsidR="006C6FE0" w:rsidRPr="003E7A67" w:rsidRDefault="006C6FE0" w:rsidP="00B47940">
            <w:pPr>
              <w:jc w:val="both"/>
              <w:rPr>
                <w:b/>
                <w:bCs/>
              </w:rPr>
            </w:pPr>
          </w:p>
        </w:tc>
        <w:tc>
          <w:tcPr>
            <w:tcW w:w="2409" w:type="dxa"/>
            <w:shd w:val="clear" w:color="auto" w:fill="D9D9D9" w:themeFill="background1" w:themeFillShade="D9"/>
          </w:tcPr>
          <w:p w14:paraId="6672DF25" w14:textId="77777777" w:rsidR="006C6FE0" w:rsidRPr="003E7A67" w:rsidRDefault="006C6FE0" w:rsidP="00B47940">
            <w:pPr>
              <w:jc w:val="right"/>
              <w:rPr>
                <w:b/>
                <w:bCs/>
              </w:rPr>
            </w:pPr>
            <w:r w:rsidRPr="003E7A67">
              <w:rPr>
                <w:b/>
                <w:bCs/>
              </w:rPr>
              <w:t>75% * 10 = 7.5</w:t>
            </w:r>
          </w:p>
        </w:tc>
      </w:tr>
    </w:tbl>
    <w:p w14:paraId="4C7B8513" w14:textId="24A66F0C" w:rsidR="006C6FE0" w:rsidRPr="00C96268" w:rsidRDefault="006C6FE0" w:rsidP="006C6FE0">
      <w:pPr>
        <w:spacing w:before="160"/>
        <w:jc w:val="both"/>
        <w:rPr>
          <w:rFonts w:ascii="Times New Roman" w:hAnsi="Times New Roman" w:cs="Times New Roman"/>
          <w:bCs/>
          <w:iCs/>
          <w:sz w:val="24"/>
          <w:szCs w:val="24"/>
        </w:rPr>
      </w:pPr>
      <w:r w:rsidRPr="00C96268">
        <w:rPr>
          <w:rFonts w:ascii="Times New Roman" w:hAnsi="Times New Roman" w:cs="Times New Roman"/>
          <w:b/>
          <w:bCs/>
          <w:iCs/>
          <w:sz w:val="24"/>
          <w:szCs w:val="24"/>
        </w:rPr>
        <w:t>Art. 17 ust. 2</w:t>
      </w:r>
      <w:r w:rsidRPr="00C96268">
        <w:rPr>
          <w:rFonts w:ascii="Times New Roman" w:hAnsi="Times New Roman" w:cs="Times New Roman"/>
          <w:bCs/>
          <w:iCs/>
          <w:sz w:val="24"/>
          <w:szCs w:val="24"/>
        </w:rPr>
        <w:t xml:space="preserve"> referuje z kolei do szczególnej sytuacji, która dotyczy wystąpienia w </w:t>
      </w:r>
      <w:r w:rsidR="00A30960" w:rsidRPr="00C96268">
        <w:rPr>
          <w:rFonts w:ascii="Times New Roman" w:hAnsi="Times New Roman" w:cs="Times New Roman"/>
          <w:bCs/>
          <w:iCs/>
          <w:sz w:val="24"/>
          <w:szCs w:val="24"/>
        </w:rPr>
        <w:t xml:space="preserve">danej jurysdykcji </w:t>
      </w:r>
      <w:r w:rsidRPr="00C96268">
        <w:rPr>
          <w:rFonts w:ascii="Times New Roman" w:hAnsi="Times New Roman" w:cs="Times New Roman"/>
          <w:bCs/>
          <w:iCs/>
          <w:sz w:val="24"/>
          <w:szCs w:val="24"/>
        </w:rPr>
        <w:t xml:space="preserve">tzw. ujemnych skorygowanych podatków kwalifikowanych. Taka sytuacja może wystąpić przykładowo z uwagi na stratę podatkową, dla której księguje się aktywo z tytułu podatku odroczonego. Zgodnie z Zasadami GloBE, takie aktywo obniża skorygowane podatki kwalifikowane, sprawiając że mogą stać się ujemne. Ujemne skorygowane podatki kwalifikowane prowadzą, zgodnie z </w:t>
      </w:r>
      <w:r w:rsidRPr="00C96268">
        <w:rPr>
          <w:rFonts w:ascii="Times New Roman" w:hAnsi="Times New Roman" w:cs="Times New Roman"/>
          <w:b/>
          <w:iCs/>
          <w:sz w:val="24"/>
          <w:szCs w:val="24"/>
        </w:rPr>
        <w:t>art. 98</w:t>
      </w:r>
      <w:r w:rsidRPr="00C96268">
        <w:rPr>
          <w:rFonts w:ascii="Times New Roman" w:hAnsi="Times New Roman" w:cs="Times New Roman"/>
          <w:bCs/>
          <w:iCs/>
          <w:sz w:val="24"/>
          <w:szCs w:val="24"/>
        </w:rPr>
        <w:t xml:space="preserve"> i przy spełnieniu innych warunków</w:t>
      </w:r>
      <w:r w:rsidRPr="00C96268">
        <w:rPr>
          <w:rFonts w:ascii="Times New Roman" w:hAnsi="Times New Roman" w:cs="Times New Roman"/>
          <w:b/>
          <w:iCs/>
          <w:sz w:val="24"/>
          <w:szCs w:val="24"/>
        </w:rPr>
        <w:t>,</w:t>
      </w:r>
      <w:r w:rsidRPr="00C96268">
        <w:rPr>
          <w:rFonts w:ascii="Times New Roman" w:hAnsi="Times New Roman" w:cs="Times New Roman"/>
          <w:bCs/>
          <w:iCs/>
          <w:sz w:val="24"/>
          <w:szCs w:val="24"/>
        </w:rPr>
        <w:t xml:space="preserve"> do dodatkowego podatku wyrównawczego, o ile nie dokonano wyboru, o którym mowa w </w:t>
      </w:r>
      <w:r w:rsidRPr="00C96268">
        <w:rPr>
          <w:rFonts w:ascii="Times New Roman" w:hAnsi="Times New Roman" w:cs="Times New Roman"/>
          <w:b/>
          <w:iCs/>
          <w:sz w:val="24"/>
          <w:szCs w:val="24"/>
        </w:rPr>
        <w:t>art. 99 ust. 1</w:t>
      </w:r>
      <w:r w:rsidRPr="00C96268">
        <w:rPr>
          <w:rFonts w:ascii="Times New Roman" w:hAnsi="Times New Roman" w:cs="Times New Roman"/>
          <w:bCs/>
          <w:iCs/>
          <w:sz w:val="24"/>
          <w:szCs w:val="24"/>
        </w:rPr>
        <w:t xml:space="preserve"> (utworzenie salda ujemnych skorygowanych podatków kwalifikowanych, które pozwala na nienaliczanie dodatkowego podatku wyrównawczego za dany rok). W tym przypadku w celu alokacji nie stosuje się, jak poprzednio, wzoru na jednostkowy globalny podatek wyrównawczy z </w:t>
      </w:r>
      <w:r w:rsidRPr="00C96268">
        <w:rPr>
          <w:rFonts w:ascii="Times New Roman" w:hAnsi="Times New Roman" w:cs="Times New Roman"/>
          <w:b/>
          <w:iCs/>
          <w:sz w:val="24"/>
          <w:szCs w:val="24"/>
        </w:rPr>
        <w:t>art. 14</w:t>
      </w:r>
      <w:r w:rsidRPr="00C96268">
        <w:rPr>
          <w:rFonts w:ascii="Times New Roman" w:hAnsi="Times New Roman" w:cs="Times New Roman"/>
          <w:bCs/>
          <w:iCs/>
          <w:sz w:val="24"/>
          <w:szCs w:val="24"/>
        </w:rPr>
        <w:t xml:space="preserve">. Zamiast tego, jednostkom składowym </w:t>
      </w:r>
      <w:r w:rsidRPr="00C96268">
        <w:rPr>
          <w:rFonts w:ascii="Times New Roman" w:hAnsi="Times New Roman" w:cs="Times New Roman"/>
          <w:iCs/>
          <w:sz w:val="24"/>
          <w:szCs w:val="24"/>
        </w:rPr>
        <w:t xml:space="preserve">zlokalizowanym </w:t>
      </w:r>
      <w:r w:rsidRPr="00C96268">
        <w:rPr>
          <w:rFonts w:ascii="Times New Roman" w:hAnsi="Times New Roman" w:cs="Times New Roman"/>
          <w:bCs/>
          <w:iCs/>
          <w:sz w:val="24"/>
          <w:szCs w:val="24"/>
        </w:rPr>
        <w:t xml:space="preserve">w </w:t>
      </w:r>
      <w:r w:rsidR="00A30960" w:rsidRPr="00C96268">
        <w:rPr>
          <w:rFonts w:ascii="Times New Roman" w:hAnsi="Times New Roman" w:cs="Times New Roman"/>
          <w:bCs/>
          <w:iCs/>
          <w:sz w:val="24"/>
          <w:szCs w:val="24"/>
        </w:rPr>
        <w:t>tej jurysdykcji</w:t>
      </w:r>
      <w:r w:rsidRPr="00C96268">
        <w:rPr>
          <w:rFonts w:ascii="Times New Roman" w:hAnsi="Times New Roman" w:cs="Times New Roman"/>
          <w:bCs/>
          <w:iCs/>
          <w:sz w:val="24"/>
          <w:szCs w:val="24"/>
        </w:rPr>
        <w:t xml:space="preserve">, które wykazują kwotę ujemnych skorygowanych podatków kwalifikowanych, przydziela się dodatkowy podatek wyrównawczy zgodnie ze specyficznym wzorem wskazanym w </w:t>
      </w:r>
      <w:r w:rsidRPr="00C96268">
        <w:rPr>
          <w:rFonts w:ascii="Times New Roman" w:hAnsi="Times New Roman" w:cs="Times New Roman"/>
          <w:b/>
          <w:iCs/>
          <w:sz w:val="24"/>
          <w:szCs w:val="24"/>
        </w:rPr>
        <w:t>art. 17 ust. 2 pkt 1</w:t>
      </w:r>
      <w:r w:rsidRPr="00C96268">
        <w:rPr>
          <w:rFonts w:ascii="Times New Roman" w:hAnsi="Times New Roman" w:cs="Times New Roman"/>
          <w:bCs/>
          <w:iCs/>
          <w:sz w:val="24"/>
          <w:szCs w:val="24"/>
        </w:rPr>
        <w:t>:</w:t>
      </w:r>
    </w:p>
    <w:p w14:paraId="39AD0EFB"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
          <w:iCs/>
          <w:sz w:val="24"/>
          <w:szCs w:val="24"/>
        </w:rPr>
        <w:t>kwalifikowany dochód (strata) x minimalna stawka podatkowa – skorygowane podatki kwalifikowane</w:t>
      </w:r>
      <w:r w:rsidRPr="00C96268">
        <w:rPr>
          <w:rFonts w:ascii="Times New Roman" w:hAnsi="Times New Roman" w:cs="Times New Roman"/>
          <w:bCs/>
          <w:iCs/>
          <w:sz w:val="24"/>
          <w:szCs w:val="24"/>
        </w:rPr>
        <w:t>.</w:t>
      </w:r>
    </w:p>
    <w:p w14:paraId="3F248E4C"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Dotyczy to tylko jednostek, których skorygowane podatki kwalifikowane są mniejsze od iloczynu kwalifikowanego dochodu (straty) tych jednostek oraz minimalnej stawki podatkowej.</w:t>
      </w:r>
    </w:p>
    <w:p w14:paraId="7873CEA6" w14:textId="5CCA4469"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Ponadto, </w:t>
      </w:r>
      <w:r w:rsidRPr="00C96268">
        <w:rPr>
          <w:rFonts w:ascii="Times New Roman" w:hAnsi="Times New Roman" w:cs="Times New Roman"/>
          <w:b/>
          <w:iCs/>
          <w:sz w:val="24"/>
          <w:szCs w:val="24"/>
        </w:rPr>
        <w:t>art. 17 ust. 2 pkt 2</w:t>
      </w:r>
      <w:r w:rsidRPr="00C96268">
        <w:rPr>
          <w:rFonts w:ascii="Times New Roman" w:hAnsi="Times New Roman" w:cs="Times New Roman"/>
          <w:bCs/>
          <w:iCs/>
          <w:sz w:val="24"/>
          <w:szCs w:val="24"/>
        </w:rPr>
        <w:t xml:space="preserve"> reguluje metody ustalania udziału procentowego jednostki dominującej dla opisanego w </w:t>
      </w:r>
      <w:r w:rsidRPr="00C96268">
        <w:rPr>
          <w:rFonts w:ascii="Times New Roman" w:hAnsi="Times New Roman" w:cs="Times New Roman"/>
          <w:b/>
          <w:iCs/>
          <w:sz w:val="24"/>
          <w:szCs w:val="24"/>
        </w:rPr>
        <w:t>ust. 2</w:t>
      </w:r>
      <w:r w:rsidRPr="00C96268">
        <w:rPr>
          <w:rFonts w:ascii="Times New Roman" w:hAnsi="Times New Roman" w:cs="Times New Roman"/>
          <w:bCs/>
          <w:iCs/>
          <w:sz w:val="24"/>
          <w:szCs w:val="24"/>
        </w:rPr>
        <w:t xml:space="preserve"> scenariusza. W tym zakresie stosuje się tę samą zasadę co w </w:t>
      </w:r>
      <w:r w:rsidRPr="00C96268">
        <w:rPr>
          <w:rFonts w:ascii="Times New Roman" w:hAnsi="Times New Roman" w:cs="Times New Roman"/>
          <w:b/>
          <w:iCs/>
          <w:sz w:val="24"/>
          <w:szCs w:val="24"/>
        </w:rPr>
        <w:t>ust. 1 pkt 2</w:t>
      </w:r>
      <w:r w:rsidRPr="00C96268">
        <w:rPr>
          <w:rFonts w:ascii="Times New Roman" w:hAnsi="Times New Roman" w:cs="Times New Roman"/>
          <w:bCs/>
          <w:iCs/>
          <w:sz w:val="24"/>
          <w:szCs w:val="24"/>
        </w:rPr>
        <w:t xml:space="preserve">, tj. w celu obliczenia udziału procentowego jednostki dominującej przyjmuje </w:t>
      </w:r>
      <w:r w:rsidRPr="00C96268">
        <w:rPr>
          <w:rFonts w:ascii="Times New Roman" w:hAnsi="Times New Roman" w:cs="Times New Roman"/>
          <w:bCs/>
          <w:iCs/>
          <w:sz w:val="24"/>
          <w:szCs w:val="24"/>
        </w:rPr>
        <w:lastRenderedPageBreak/>
        <w:t xml:space="preserve">się, że kwalifikowany dochód każdej jednostki składowej jest równy kwocie </w:t>
      </w:r>
      <w:r w:rsidRPr="00C96268">
        <w:rPr>
          <w:rFonts w:ascii="Times New Roman" w:hAnsi="Times New Roman" w:cs="Times New Roman"/>
          <w:b/>
          <w:iCs/>
          <w:sz w:val="24"/>
          <w:szCs w:val="24"/>
        </w:rPr>
        <w:t>jednostkowego globalnego podatku wyrównawczego, obliczonego zgodnie z ust. 2 pkt 1, podzielonej przez minimalną stawkę podatkową</w:t>
      </w:r>
      <w:r w:rsidRPr="00C96268">
        <w:rPr>
          <w:rFonts w:ascii="Times New Roman" w:hAnsi="Times New Roman" w:cs="Times New Roman"/>
          <w:bCs/>
          <w:iCs/>
          <w:sz w:val="24"/>
          <w:szCs w:val="24"/>
        </w:rPr>
        <w:t xml:space="preserve">. </w:t>
      </w:r>
    </w:p>
    <w:p w14:paraId="0DCBBCBB" w14:textId="07BEB7BA"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Finalnie, należy pamiętać, że zgodnie z </w:t>
      </w:r>
      <w:r w:rsidRPr="00C96268">
        <w:rPr>
          <w:rFonts w:ascii="Times New Roman" w:hAnsi="Times New Roman" w:cs="Times New Roman"/>
          <w:b/>
          <w:bCs/>
          <w:iCs/>
          <w:sz w:val="24"/>
          <w:szCs w:val="24"/>
        </w:rPr>
        <w:t>a</w:t>
      </w:r>
      <w:r w:rsidRPr="00C96268" w:rsidDel="00837D3E">
        <w:rPr>
          <w:rFonts w:ascii="Times New Roman" w:hAnsi="Times New Roman" w:cs="Times New Roman"/>
          <w:b/>
          <w:bCs/>
          <w:iCs/>
          <w:sz w:val="24"/>
          <w:szCs w:val="24"/>
        </w:rPr>
        <w:t xml:space="preserve">rt. </w:t>
      </w:r>
      <w:r w:rsidRPr="00C96268">
        <w:rPr>
          <w:rFonts w:ascii="Times New Roman" w:hAnsi="Times New Roman" w:cs="Times New Roman"/>
          <w:b/>
          <w:bCs/>
          <w:iCs/>
          <w:sz w:val="24"/>
          <w:szCs w:val="24"/>
        </w:rPr>
        <w:t>11 ust. 2 pkt 3</w:t>
      </w:r>
      <w:r w:rsidRPr="00C96268">
        <w:rPr>
          <w:rFonts w:ascii="Times New Roman" w:hAnsi="Times New Roman" w:cs="Times New Roman"/>
          <w:bCs/>
          <w:iCs/>
          <w:sz w:val="24"/>
          <w:szCs w:val="24"/>
        </w:rPr>
        <w:t>, j</w:t>
      </w:r>
      <w:r w:rsidRPr="00C96268" w:rsidDel="00837D3E">
        <w:rPr>
          <w:rFonts w:ascii="Times New Roman" w:hAnsi="Times New Roman" w:cs="Times New Roman"/>
          <w:bCs/>
          <w:iCs/>
          <w:sz w:val="24"/>
          <w:szCs w:val="24"/>
        </w:rPr>
        <w:t>eżeli jednostce składowej przy</w:t>
      </w:r>
      <w:r w:rsidRPr="00C96268">
        <w:rPr>
          <w:rFonts w:ascii="Times New Roman" w:hAnsi="Times New Roman" w:cs="Times New Roman"/>
          <w:bCs/>
          <w:iCs/>
          <w:sz w:val="24"/>
          <w:szCs w:val="24"/>
        </w:rPr>
        <w:t>dziela</w:t>
      </w:r>
      <w:r w:rsidRPr="00C96268" w:rsidDel="00837D3E">
        <w:rPr>
          <w:rFonts w:ascii="Times New Roman" w:hAnsi="Times New Roman" w:cs="Times New Roman"/>
          <w:bCs/>
          <w:iCs/>
          <w:sz w:val="24"/>
          <w:szCs w:val="24"/>
        </w:rPr>
        <w:t xml:space="preserve"> się dodatkowy podatek wyrównawczy na podstawie przepisów </w:t>
      </w:r>
      <w:r w:rsidRPr="00C96268">
        <w:rPr>
          <w:rFonts w:ascii="Times New Roman" w:hAnsi="Times New Roman" w:cs="Times New Roman"/>
          <w:bCs/>
          <w:iCs/>
          <w:sz w:val="24"/>
          <w:szCs w:val="24"/>
        </w:rPr>
        <w:t>ustawy</w:t>
      </w:r>
      <w:r w:rsidRPr="00C96268" w:rsidDel="00837D3E">
        <w:rPr>
          <w:rFonts w:ascii="Times New Roman" w:hAnsi="Times New Roman" w:cs="Times New Roman"/>
          <w:bCs/>
          <w:iCs/>
          <w:sz w:val="24"/>
          <w:szCs w:val="24"/>
        </w:rPr>
        <w:t>, taką jednostkę składową uznaje się za nisko opodatkowaną jednostkę składową.</w:t>
      </w:r>
      <w:r w:rsidRPr="00C96268">
        <w:rPr>
          <w:rFonts w:ascii="Times New Roman" w:hAnsi="Times New Roman" w:cs="Times New Roman"/>
          <w:bCs/>
          <w:iCs/>
          <w:sz w:val="24"/>
          <w:szCs w:val="24"/>
        </w:rPr>
        <w:t xml:space="preserve"> Jest to istotne, bowiem za dany bieżący rok </w:t>
      </w:r>
      <w:r w:rsidR="00A30960" w:rsidRPr="00C96268">
        <w:rPr>
          <w:rFonts w:ascii="Times New Roman" w:hAnsi="Times New Roman" w:cs="Times New Roman"/>
          <w:bCs/>
          <w:iCs/>
          <w:sz w:val="24"/>
          <w:szCs w:val="24"/>
        </w:rPr>
        <w:t xml:space="preserve">dana </w:t>
      </w:r>
      <w:r w:rsidR="00A30960" w:rsidRPr="00C96268">
        <w:rPr>
          <w:rFonts w:ascii="Times New Roman" w:hAnsi="Times New Roman" w:cs="Times New Roman"/>
          <w:sz w:val="24"/>
          <w:szCs w:val="24"/>
        </w:rPr>
        <w:t xml:space="preserve">jurysdykcja </w:t>
      </w:r>
      <w:r w:rsidRPr="00C96268">
        <w:rPr>
          <w:rFonts w:ascii="Times New Roman" w:hAnsi="Times New Roman" w:cs="Times New Roman"/>
          <w:bCs/>
          <w:iCs/>
          <w:sz w:val="24"/>
          <w:szCs w:val="24"/>
        </w:rPr>
        <w:t xml:space="preserve">może nie być </w:t>
      </w:r>
      <w:r w:rsidR="00A30960" w:rsidRPr="00C96268">
        <w:rPr>
          <w:rFonts w:ascii="Times New Roman" w:hAnsi="Times New Roman" w:cs="Times New Roman"/>
          <w:bCs/>
          <w:iCs/>
          <w:sz w:val="24"/>
          <w:szCs w:val="24"/>
        </w:rPr>
        <w:t xml:space="preserve">jurysdykcją </w:t>
      </w:r>
      <w:r w:rsidRPr="00C96268">
        <w:rPr>
          <w:rFonts w:ascii="Times New Roman" w:hAnsi="Times New Roman" w:cs="Times New Roman"/>
          <w:bCs/>
          <w:iCs/>
          <w:sz w:val="24"/>
          <w:szCs w:val="24"/>
        </w:rPr>
        <w:t xml:space="preserve">o niskim poziomie opodatkowania (tj. za bieżący rok efektywna stawka podatkowa może wynieść 15% lub więcej), jednak wskutek powstania dodatkowego podatku wyrównawczego, powstanie obowiązek rozliczenia jurysdykcyjnego globalnego podatku wyrównawczego. </w:t>
      </w:r>
      <w:r w:rsidRPr="00C96268">
        <w:rPr>
          <w:rFonts w:ascii="Times New Roman" w:hAnsi="Times New Roman" w:cs="Times New Roman"/>
          <w:b/>
          <w:iCs/>
          <w:sz w:val="24"/>
          <w:szCs w:val="24"/>
        </w:rPr>
        <w:t>Art. 11 ust. 2 pkt 3</w:t>
      </w:r>
      <w:r w:rsidRPr="00C96268">
        <w:rPr>
          <w:rFonts w:ascii="Times New Roman" w:hAnsi="Times New Roman" w:cs="Times New Roman"/>
          <w:bCs/>
          <w:iCs/>
          <w:sz w:val="24"/>
          <w:szCs w:val="24"/>
        </w:rPr>
        <w:t xml:space="preserve"> potwierdza zatem, że dana jednostka której przydzielono dodatkowy podatek wyrównawczy (zgodnie z </w:t>
      </w:r>
      <w:r w:rsidRPr="00C96268">
        <w:rPr>
          <w:rFonts w:ascii="Times New Roman" w:hAnsi="Times New Roman" w:cs="Times New Roman"/>
          <w:b/>
          <w:iCs/>
          <w:sz w:val="24"/>
          <w:szCs w:val="24"/>
        </w:rPr>
        <w:t>art. 17</w:t>
      </w:r>
      <w:r w:rsidRPr="00C96268">
        <w:rPr>
          <w:rFonts w:ascii="Times New Roman" w:hAnsi="Times New Roman" w:cs="Times New Roman"/>
          <w:bCs/>
          <w:iCs/>
          <w:sz w:val="24"/>
          <w:szCs w:val="24"/>
        </w:rPr>
        <w:t>) będzie uznawana za dany rok bieżący za nisko opodatkowaną jednostkę, nawet w sytuacji, gdy za ten rok efektywna stawka podatkowa była wyższa niż minimalna stawka podatkowa lub jej równa.</w:t>
      </w:r>
    </w:p>
    <w:p w14:paraId="2A961753" w14:textId="77777777" w:rsidR="006C6FE0" w:rsidRPr="00C96268" w:rsidRDefault="006C6FE0" w:rsidP="00FB5F56">
      <w:pPr>
        <w:pStyle w:val="Nagwek3"/>
        <w:spacing w:before="240" w:after="120"/>
        <w:rPr>
          <w:rFonts w:ascii="Times New Roman" w:hAnsi="Times New Roman" w:cs="Times New Roman"/>
          <w:b/>
          <w:bCs/>
          <w:sz w:val="24"/>
        </w:rPr>
      </w:pPr>
      <w:r w:rsidRPr="00C96268">
        <w:rPr>
          <w:rFonts w:ascii="Times New Roman" w:hAnsi="Times New Roman" w:cs="Times New Roman"/>
          <w:b/>
          <w:bCs/>
          <w:sz w:val="24"/>
        </w:rPr>
        <w:t>Rozdział 2 – Jednostki o szczególnym charakterze</w:t>
      </w:r>
    </w:p>
    <w:p w14:paraId="7A430DF1" w14:textId="77777777" w:rsidR="00386B1C" w:rsidRPr="00C96268" w:rsidRDefault="00386B1C" w:rsidP="00386B1C">
      <w:pPr>
        <w:pStyle w:val="Nagwek5"/>
        <w:rPr>
          <w:rFonts w:ascii="Times New Roman" w:hAnsi="Times New Roman" w:cs="Times New Roman"/>
          <w:sz w:val="24"/>
          <w:szCs w:val="24"/>
        </w:rPr>
      </w:pPr>
      <w:r w:rsidRPr="00C96268">
        <w:rPr>
          <w:rFonts w:ascii="Times New Roman" w:hAnsi="Times New Roman" w:cs="Times New Roman"/>
          <w:sz w:val="24"/>
          <w:szCs w:val="24"/>
        </w:rPr>
        <w:t>Art. 18 [Uwzględnienie zasad dotyczących jednostek o szczególnym charakterze]</w:t>
      </w:r>
    </w:p>
    <w:p w14:paraId="797ADDF1" w14:textId="213EF246" w:rsidR="00386B1C" w:rsidRPr="00C96268" w:rsidRDefault="00386B1C" w:rsidP="00386B1C">
      <w:pPr>
        <w:jc w:val="both"/>
        <w:rPr>
          <w:rFonts w:ascii="Times New Roman" w:hAnsi="Times New Roman" w:cs="Times New Roman"/>
          <w:sz w:val="24"/>
          <w:szCs w:val="24"/>
        </w:rPr>
      </w:pPr>
      <w:r w:rsidRPr="00C96268">
        <w:rPr>
          <w:rFonts w:ascii="Times New Roman" w:hAnsi="Times New Roman" w:cs="Times New Roman"/>
          <w:b/>
          <w:bCs/>
          <w:sz w:val="24"/>
          <w:szCs w:val="24"/>
        </w:rPr>
        <w:t xml:space="preserve">Art. 18 </w:t>
      </w:r>
      <w:r w:rsidRPr="00C96268">
        <w:rPr>
          <w:rFonts w:ascii="Times New Roman" w:hAnsi="Times New Roman" w:cs="Times New Roman"/>
          <w:sz w:val="24"/>
          <w:szCs w:val="24"/>
        </w:rPr>
        <w:t xml:space="preserve">stanowi potwierdzenie, iż przepisy rozdziału 1 stosuje się z uwzględnieniem przepisów szczególnych dotyczących jednostek, o których mowa w </w:t>
      </w:r>
      <w:r w:rsidRPr="00C96268">
        <w:rPr>
          <w:rFonts w:ascii="Times New Roman" w:hAnsi="Times New Roman" w:cs="Times New Roman"/>
          <w:b/>
          <w:bCs/>
          <w:sz w:val="24"/>
          <w:szCs w:val="24"/>
        </w:rPr>
        <w:t>art. 19-23</w:t>
      </w:r>
      <w:r w:rsidRPr="00C96268">
        <w:rPr>
          <w:rFonts w:ascii="Times New Roman" w:hAnsi="Times New Roman" w:cs="Times New Roman"/>
          <w:sz w:val="24"/>
          <w:szCs w:val="24"/>
        </w:rPr>
        <w:t xml:space="preserve">, w tym przepisów rozdziału 2. Chodzi o opisane dalej jednostki o szczególnym charakterze: </w:t>
      </w:r>
    </w:p>
    <w:p w14:paraId="79A16F71" w14:textId="77777777" w:rsidR="00386B1C" w:rsidRPr="00C96268" w:rsidRDefault="00386B1C" w:rsidP="00386B1C">
      <w:pPr>
        <w:pStyle w:val="Akapitzlist"/>
        <w:numPr>
          <w:ilvl w:val="0"/>
          <w:numId w:val="94"/>
        </w:numPr>
        <w:jc w:val="both"/>
        <w:rPr>
          <w:rFonts w:ascii="Times New Roman" w:hAnsi="Times New Roman" w:cs="Times New Roman"/>
          <w:sz w:val="24"/>
          <w:szCs w:val="24"/>
        </w:rPr>
      </w:pPr>
      <w:r w:rsidRPr="00C96268">
        <w:rPr>
          <w:rFonts w:ascii="Times New Roman" w:hAnsi="Times New Roman" w:cs="Times New Roman"/>
          <w:sz w:val="24"/>
          <w:szCs w:val="24"/>
        </w:rPr>
        <w:t xml:space="preserve">jednostki inwestycyjne i ubezpieczeniowe jednostki inwestycyjne, </w:t>
      </w:r>
    </w:p>
    <w:p w14:paraId="413D3CDC" w14:textId="06E119B6" w:rsidR="00386B1C" w:rsidRPr="00C96268" w:rsidRDefault="00386B1C" w:rsidP="00386B1C">
      <w:pPr>
        <w:pStyle w:val="Akapitzlist"/>
        <w:numPr>
          <w:ilvl w:val="0"/>
          <w:numId w:val="94"/>
        </w:numPr>
        <w:jc w:val="both"/>
        <w:rPr>
          <w:rFonts w:ascii="Times New Roman" w:hAnsi="Times New Roman" w:cs="Times New Roman"/>
          <w:iCs/>
          <w:sz w:val="24"/>
          <w:szCs w:val="24"/>
        </w:rPr>
      </w:pPr>
      <w:r w:rsidRPr="00C96268">
        <w:rPr>
          <w:rFonts w:ascii="Times New Roman" w:hAnsi="Times New Roman" w:cs="Times New Roman"/>
          <w:iCs/>
          <w:sz w:val="24"/>
          <w:szCs w:val="24"/>
        </w:rPr>
        <w:t xml:space="preserve">jednostek joint venture i jednostek zależnych joint venture, </w:t>
      </w:r>
    </w:p>
    <w:p w14:paraId="655492AB" w14:textId="77777777" w:rsidR="00386B1C" w:rsidRPr="00C96268" w:rsidRDefault="00386B1C" w:rsidP="00386B1C">
      <w:pPr>
        <w:pStyle w:val="Akapitzlist"/>
        <w:numPr>
          <w:ilvl w:val="0"/>
          <w:numId w:val="94"/>
        </w:numPr>
        <w:jc w:val="both"/>
        <w:rPr>
          <w:rFonts w:ascii="Times New Roman" w:hAnsi="Times New Roman" w:cs="Times New Roman"/>
          <w:iCs/>
          <w:sz w:val="24"/>
          <w:szCs w:val="24"/>
        </w:rPr>
      </w:pPr>
      <w:r w:rsidRPr="00C96268">
        <w:rPr>
          <w:rFonts w:ascii="Times New Roman" w:hAnsi="Times New Roman" w:cs="Times New Roman"/>
          <w:iCs/>
          <w:sz w:val="24"/>
          <w:szCs w:val="24"/>
        </w:rPr>
        <w:t>jednostek podgrupy mniejszościowej,</w:t>
      </w:r>
    </w:p>
    <w:p w14:paraId="788BA6A6" w14:textId="77777777" w:rsidR="00386B1C" w:rsidRPr="00C96268" w:rsidRDefault="00386B1C" w:rsidP="00386B1C">
      <w:pPr>
        <w:pStyle w:val="Akapitzlist"/>
        <w:numPr>
          <w:ilvl w:val="0"/>
          <w:numId w:val="94"/>
        </w:numPr>
        <w:jc w:val="both"/>
        <w:rPr>
          <w:rFonts w:ascii="Times New Roman" w:hAnsi="Times New Roman" w:cs="Times New Roman"/>
          <w:sz w:val="24"/>
          <w:szCs w:val="24"/>
        </w:rPr>
      </w:pPr>
      <w:r w:rsidRPr="00C96268">
        <w:rPr>
          <w:rFonts w:ascii="Times New Roman" w:hAnsi="Times New Roman" w:cs="Times New Roman"/>
          <w:iCs/>
          <w:sz w:val="24"/>
          <w:szCs w:val="24"/>
        </w:rPr>
        <w:t>bezpaństwowe jednostki składowe.</w:t>
      </w:r>
    </w:p>
    <w:p w14:paraId="20852A2A" w14:textId="77777777" w:rsidR="00386B1C" w:rsidRPr="00C96268" w:rsidRDefault="00386B1C" w:rsidP="00386B1C">
      <w:pPr>
        <w:jc w:val="both"/>
        <w:rPr>
          <w:rFonts w:ascii="Times New Roman" w:hAnsi="Times New Roman" w:cs="Times New Roman"/>
          <w:sz w:val="24"/>
          <w:szCs w:val="24"/>
        </w:rPr>
      </w:pPr>
      <w:r w:rsidRPr="00C96268">
        <w:rPr>
          <w:rFonts w:ascii="Times New Roman" w:hAnsi="Times New Roman" w:cs="Times New Roman"/>
          <w:sz w:val="24"/>
          <w:szCs w:val="24"/>
        </w:rPr>
        <w:t xml:space="preserve">W przypadku takich jednostek, nie tylko liczy się odrębnie jurysdykcyjny kwalifikowany dochód netto i efektywną stawkę podatkową, zgodnie z zastrzeżeniem zawartym w art. 11 ust. 7, lecz również obliczenie globalnego podatku wyrównawczego zgodnie art. 12-17 wymaga uwzględnienia przepisów szczególnych zawartych w rozdziale 2, jak również innych przepisów ustawy zawartych np. w dziale IX „Szczególne systemy opodatkowania” (rozdział 3 tego działu zawiera wybory dotyczące jednostek inwestycyjnych). </w:t>
      </w:r>
    </w:p>
    <w:p w14:paraId="5B099914" w14:textId="1AA74C70"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19 [Efektywna stawka podatkowa jednostek inwestycyjnych]</w:t>
      </w:r>
    </w:p>
    <w:p w14:paraId="1A426A83"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Przepisy </w:t>
      </w:r>
      <w:r w:rsidRPr="00C96268">
        <w:rPr>
          <w:rFonts w:ascii="Times New Roman" w:hAnsi="Times New Roman" w:cs="Times New Roman"/>
          <w:b/>
          <w:bCs/>
          <w:iCs/>
          <w:sz w:val="24"/>
          <w:szCs w:val="24"/>
        </w:rPr>
        <w:t>art. 19</w:t>
      </w:r>
      <w:r w:rsidRPr="00C96268">
        <w:rPr>
          <w:rFonts w:ascii="Times New Roman" w:hAnsi="Times New Roman" w:cs="Times New Roman"/>
          <w:bCs/>
          <w:iCs/>
          <w:sz w:val="24"/>
          <w:szCs w:val="24"/>
        </w:rPr>
        <w:t xml:space="preserve"> przewidują specjalne zasady ustalania efektywnej stawki podatkowej dla jednostek inwestycyjnych i ubezpieczeniowych jednostek inwestycyjnych. Na potrzeby stosowania przepisów tego artykułu jednostki danej kategorii powinny być traktowane odrębnie, tj. odrębnej kalkulacji dokonuje się dla jednostek inwestycyjnych oraz odrębnej kalkulacji dla ubezpieczeniowych jednostek inwestycyjnych.</w:t>
      </w:r>
    </w:p>
    <w:p w14:paraId="7F381451" w14:textId="56AF664E"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art. 19 </w:t>
      </w:r>
      <w:r w:rsidRPr="00C96268">
        <w:rPr>
          <w:rFonts w:ascii="Times New Roman" w:hAnsi="Times New Roman" w:cs="Times New Roman"/>
          <w:b/>
          <w:bCs/>
          <w:iCs/>
          <w:sz w:val="24"/>
          <w:szCs w:val="24"/>
        </w:rPr>
        <w:t>ust. 2</w:t>
      </w:r>
      <w:r w:rsidRPr="00C96268">
        <w:rPr>
          <w:rFonts w:ascii="Times New Roman" w:hAnsi="Times New Roman" w:cs="Times New Roman"/>
          <w:bCs/>
          <w:iCs/>
          <w:sz w:val="24"/>
          <w:szCs w:val="24"/>
        </w:rPr>
        <w:t xml:space="preserve"> zasady te </w:t>
      </w:r>
      <w:r w:rsidRPr="00C96268">
        <w:rPr>
          <w:rFonts w:ascii="Times New Roman" w:hAnsi="Times New Roman" w:cs="Times New Roman"/>
          <w:bCs/>
          <w:iCs/>
          <w:sz w:val="24"/>
          <w:szCs w:val="24"/>
          <w:u w:val="single"/>
        </w:rPr>
        <w:t>nie</w:t>
      </w:r>
      <w:r w:rsidRPr="00C96268">
        <w:rPr>
          <w:rFonts w:ascii="Times New Roman" w:hAnsi="Times New Roman" w:cs="Times New Roman"/>
          <w:bCs/>
          <w:iCs/>
          <w:sz w:val="24"/>
          <w:szCs w:val="24"/>
        </w:rPr>
        <w:t xml:space="preserve"> dotyczą:</w:t>
      </w:r>
    </w:p>
    <w:p w14:paraId="25707066" w14:textId="77777777" w:rsidR="006C6FE0" w:rsidRPr="00C96268" w:rsidRDefault="006C6FE0" w:rsidP="002C7467">
      <w:pPr>
        <w:pStyle w:val="Akapitzlist"/>
        <w:numPr>
          <w:ilvl w:val="0"/>
          <w:numId w:val="87"/>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jednostki inwestycyjnej i ubezpieczeniowej jednostki inwestycyjnej będących jednostkami transparentnymi podatkowo,</w:t>
      </w:r>
    </w:p>
    <w:p w14:paraId="6594B991" w14:textId="7129E3C2" w:rsidR="006C6FE0" w:rsidRPr="00C96268" w:rsidRDefault="006C6FE0" w:rsidP="002C7467">
      <w:pPr>
        <w:pStyle w:val="Akapitzlist"/>
        <w:numPr>
          <w:ilvl w:val="0"/>
          <w:numId w:val="86"/>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jednostek, wobec których nie dokonano wyboru na podstawie przepisów rozdziału </w:t>
      </w:r>
      <w:r w:rsidR="000D3156" w:rsidRPr="00C96268">
        <w:rPr>
          <w:rFonts w:ascii="Times New Roman" w:hAnsi="Times New Roman" w:cs="Times New Roman"/>
          <w:bCs/>
          <w:iCs/>
          <w:sz w:val="24"/>
          <w:szCs w:val="24"/>
        </w:rPr>
        <w:t>3</w:t>
      </w:r>
      <w:r w:rsidRPr="00C96268">
        <w:rPr>
          <w:rFonts w:ascii="Times New Roman" w:hAnsi="Times New Roman" w:cs="Times New Roman"/>
          <w:bCs/>
          <w:iCs/>
          <w:sz w:val="24"/>
          <w:szCs w:val="24"/>
        </w:rPr>
        <w:t xml:space="preserve"> działu IX, aby traktować je jako jednostki pośredniczące transparentne podatkowo. </w:t>
      </w:r>
    </w:p>
    <w:p w14:paraId="159FD894" w14:textId="7EB92CD0"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lastRenderedPageBreak/>
        <w:t xml:space="preserve">Specjalne zasady wynikają z okoliczności, że w części </w:t>
      </w:r>
      <w:r w:rsidR="00A30960" w:rsidRPr="00C96268">
        <w:rPr>
          <w:rFonts w:ascii="Times New Roman" w:hAnsi="Times New Roman" w:cs="Times New Roman"/>
          <w:bCs/>
          <w:iCs/>
          <w:sz w:val="24"/>
          <w:szCs w:val="24"/>
        </w:rPr>
        <w:t>jurysdykcji</w:t>
      </w:r>
      <w:r w:rsidRPr="00C96268">
        <w:rPr>
          <w:rFonts w:ascii="Times New Roman" w:hAnsi="Times New Roman" w:cs="Times New Roman"/>
          <w:bCs/>
          <w:iCs/>
          <w:sz w:val="24"/>
          <w:szCs w:val="24"/>
        </w:rPr>
        <w:t xml:space="preserve"> dochód jednostek inwestycyjnych i ubezpieczeniowych jednostek inwestycyjnych, z uwagi na ich szczególny charakter, nie podlega opodatkowaniu na poziomie danej jednostki. Stąd, </w:t>
      </w:r>
      <w:r w:rsidRPr="00C96268">
        <w:rPr>
          <w:rFonts w:ascii="Times New Roman" w:hAnsi="Times New Roman" w:cs="Times New Roman"/>
          <w:b/>
          <w:iCs/>
          <w:sz w:val="24"/>
          <w:szCs w:val="24"/>
        </w:rPr>
        <w:t>art. 19 ust. 1</w:t>
      </w:r>
      <w:r w:rsidRPr="00C96268">
        <w:rPr>
          <w:rFonts w:ascii="Times New Roman" w:hAnsi="Times New Roman" w:cs="Times New Roman"/>
          <w:bCs/>
          <w:iCs/>
          <w:sz w:val="24"/>
          <w:szCs w:val="24"/>
        </w:rPr>
        <w:t xml:space="preserve"> przewiduje odrębne obliczenie efektywnej stawki podatkowej oraz jurysdykcyjnego kwalifikowanego dochodu (straty) netto dla takich jednostek z </w:t>
      </w:r>
      <w:r w:rsidR="00A30960" w:rsidRPr="00C96268">
        <w:rPr>
          <w:rFonts w:ascii="Times New Roman" w:hAnsi="Times New Roman" w:cs="Times New Roman"/>
          <w:bCs/>
          <w:iCs/>
          <w:sz w:val="24"/>
          <w:szCs w:val="24"/>
        </w:rPr>
        <w:t>danej jurysdykcji</w:t>
      </w:r>
      <w:r w:rsidRPr="00C96268">
        <w:rPr>
          <w:rFonts w:ascii="Times New Roman" w:hAnsi="Times New Roman" w:cs="Times New Roman"/>
          <w:bCs/>
          <w:iCs/>
          <w:sz w:val="24"/>
          <w:szCs w:val="24"/>
        </w:rPr>
        <w:t xml:space="preserve">. Innymi słowy, z uwagi na szczególne reżimy podatkowe, którym mogą podlegać te jednostki, ich kwalifikowany dochód (strata) oraz skorygowane podatki kwalifikowane nie są łączone z kwalifikowanym dochodem (stratą) i skorygowanymi kwalifikowanymi podatkami innych jednostek wchodzących w skład grupy w </w:t>
      </w:r>
      <w:r w:rsidR="00A30960" w:rsidRPr="00C96268">
        <w:rPr>
          <w:rFonts w:ascii="Times New Roman" w:hAnsi="Times New Roman" w:cs="Times New Roman"/>
          <w:bCs/>
          <w:iCs/>
          <w:sz w:val="24"/>
          <w:szCs w:val="24"/>
        </w:rPr>
        <w:t xml:space="preserve">danej </w:t>
      </w:r>
      <w:r w:rsidR="00A30960"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w:t>
      </w:r>
    </w:p>
    <w:p w14:paraId="304464A2" w14:textId="67206A2E"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
          <w:iCs/>
          <w:sz w:val="24"/>
          <w:szCs w:val="24"/>
        </w:rPr>
        <w:t>Art. 19</w:t>
      </w:r>
      <w:r w:rsidRPr="00C96268">
        <w:rPr>
          <w:rFonts w:ascii="Times New Roman" w:hAnsi="Times New Roman" w:cs="Times New Roman"/>
          <w:bCs/>
          <w:iCs/>
          <w:sz w:val="24"/>
          <w:szCs w:val="24"/>
        </w:rPr>
        <w:t xml:space="preserve"> </w:t>
      </w:r>
      <w:r w:rsidRPr="00C96268">
        <w:rPr>
          <w:rFonts w:ascii="Times New Roman" w:hAnsi="Times New Roman" w:cs="Times New Roman"/>
          <w:b/>
          <w:bCs/>
          <w:iCs/>
          <w:sz w:val="24"/>
          <w:szCs w:val="24"/>
        </w:rPr>
        <w:t>ust. 3</w:t>
      </w:r>
      <w:r w:rsidRPr="00C96268">
        <w:rPr>
          <w:rFonts w:ascii="Times New Roman" w:hAnsi="Times New Roman" w:cs="Times New Roman"/>
          <w:bCs/>
          <w:iCs/>
          <w:sz w:val="24"/>
          <w:szCs w:val="24"/>
        </w:rPr>
        <w:t xml:space="preserve"> opisuje zasady obliczania efektywnej stawki opodatkowania dla wskazanych jednostek. Efektywna stawka podatkowa takiej jednostki jest równa skorygowanym podatkom kwalifikowanym tej jednostki podzielonym przez przypadający na grupę udział w kwalifikowanym dochodzie (stracie) tej jednostki. Innymi słowy, są to skorygowane podatki kwalifikowane takiej jednostki podzielone przez kwotę jej kwalifikowanego dochodu (straty), którą można przypisać danej grupie międzynarodowej. </w:t>
      </w:r>
      <w:r w:rsidRPr="00C96268">
        <w:rPr>
          <w:rFonts w:ascii="Times New Roman" w:hAnsi="Times New Roman" w:cs="Times New Roman"/>
          <w:b/>
          <w:bCs/>
          <w:iCs/>
          <w:sz w:val="24"/>
          <w:szCs w:val="24"/>
        </w:rPr>
        <w:t>Ust. 3</w:t>
      </w:r>
      <w:r w:rsidRPr="00C96268">
        <w:rPr>
          <w:rFonts w:ascii="Times New Roman" w:hAnsi="Times New Roman" w:cs="Times New Roman"/>
          <w:bCs/>
          <w:iCs/>
          <w:sz w:val="24"/>
          <w:szCs w:val="24"/>
        </w:rPr>
        <w:t xml:space="preserve"> odnosi się również do sytuacji, w której w </w:t>
      </w:r>
      <w:r w:rsidR="000118EC" w:rsidRPr="00C96268">
        <w:rPr>
          <w:rFonts w:ascii="Times New Roman" w:hAnsi="Times New Roman" w:cs="Times New Roman"/>
          <w:bCs/>
          <w:iCs/>
          <w:sz w:val="24"/>
          <w:szCs w:val="24"/>
        </w:rPr>
        <w:t xml:space="preserve">danej jurysdykcji </w:t>
      </w:r>
      <w:r w:rsidRPr="00C96268">
        <w:rPr>
          <w:rFonts w:ascii="Times New Roman" w:hAnsi="Times New Roman" w:cs="Times New Roman"/>
          <w:bCs/>
          <w:iCs/>
          <w:sz w:val="24"/>
          <w:szCs w:val="24"/>
        </w:rPr>
        <w:t xml:space="preserve">lokalizacji posiada więcej niż jedna jednostka inwestycyjna lub ubezpieczeniowa jednostka inwestycyjna. W takim przypadku efektywną stawkę podatkową oblicza się odrębnie od pozostałych jednostek składowych w </w:t>
      </w:r>
      <w:r w:rsidR="000118EC" w:rsidRPr="00C96268">
        <w:rPr>
          <w:rFonts w:ascii="Times New Roman" w:hAnsi="Times New Roman" w:cs="Times New Roman"/>
          <w:bCs/>
          <w:iCs/>
          <w:sz w:val="24"/>
          <w:szCs w:val="24"/>
        </w:rPr>
        <w:t>danej jurysdykcji</w:t>
      </w:r>
      <w:r w:rsidRPr="00C96268">
        <w:rPr>
          <w:rFonts w:ascii="Times New Roman" w:hAnsi="Times New Roman" w:cs="Times New Roman"/>
          <w:bCs/>
          <w:iCs/>
          <w:sz w:val="24"/>
          <w:szCs w:val="24"/>
        </w:rPr>
        <w:t xml:space="preserve">, lecz łącznie dla wszystkich jednostek danej kategorii. Przykładowo, jeżeli w </w:t>
      </w:r>
      <w:r w:rsidR="000118EC" w:rsidRPr="00C96268">
        <w:rPr>
          <w:rFonts w:ascii="Times New Roman" w:hAnsi="Times New Roman" w:cs="Times New Roman"/>
          <w:bCs/>
          <w:iCs/>
          <w:sz w:val="24"/>
          <w:szCs w:val="24"/>
        </w:rPr>
        <w:t xml:space="preserve">danej jurysdykcji </w:t>
      </w:r>
      <w:r w:rsidRPr="00C96268">
        <w:rPr>
          <w:rFonts w:ascii="Times New Roman" w:hAnsi="Times New Roman" w:cs="Times New Roman"/>
          <w:bCs/>
          <w:iCs/>
          <w:sz w:val="24"/>
          <w:szCs w:val="24"/>
        </w:rPr>
        <w:t>występują trzy jednostki inwestycyjne oraz dwie ubezpieczeniowe jednostki inwestycyjne, obliczenia jurysdykcyjnego kwalifikowanego dochodu netto i efektywnej stawki podatkowej dokonuje się odrębnie dla tych trzech jednostek inwestycyjnych i odrębnie dla tych dwóch ubezpieczeniowych jednostek inwestycyjnych.</w:t>
      </w:r>
    </w:p>
    <w:p w14:paraId="4AD55D8A" w14:textId="609E0032"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Efektywną stawkę podatkową oblicza się łącznie w odniesieniu do  jednostek poprzez uwzględnienie łącznych skorygowanych podatków kwalifikowanych tych jednostek oraz kwoty ich kwalifikowanego dochodu (straty) przypadającego łącznie na grupę międzynarodową. Odrębnego obliczenia dokonuje się dla jednostek danej kategorii zlokalizowanych w tym </w:t>
      </w:r>
      <w:r w:rsidR="000118EC" w:rsidRPr="00C96268">
        <w:rPr>
          <w:rFonts w:ascii="Times New Roman" w:hAnsi="Times New Roman" w:cs="Times New Roman"/>
          <w:bCs/>
          <w:iCs/>
          <w:sz w:val="24"/>
          <w:szCs w:val="24"/>
        </w:rPr>
        <w:t>samej jurysdykcji</w:t>
      </w:r>
      <w:r w:rsidRPr="00C96268">
        <w:rPr>
          <w:rFonts w:ascii="Times New Roman" w:hAnsi="Times New Roman" w:cs="Times New Roman"/>
          <w:bCs/>
          <w:iCs/>
          <w:sz w:val="24"/>
          <w:szCs w:val="24"/>
        </w:rPr>
        <w:t xml:space="preserve">, </w:t>
      </w:r>
    </w:p>
    <w:p w14:paraId="767243EE"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powyższym zakresie kluczowe jest pojęcie udziału w kwalifikowanym dochodzie (stracie) przypadającego na grupę. Zgodnie z </w:t>
      </w:r>
      <w:r w:rsidRPr="00C96268">
        <w:rPr>
          <w:rFonts w:ascii="Times New Roman" w:hAnsi="Times New Roman" w:cs="Times New Roman"/>
          <w:b/>
          <w:iCs/>
          <w:sz w:val="24"/>
          <w:szCs w:val="24"/>
        </w:rPr>
        <w:t>ust. 5</w:t>
      </w:r>
      <w:r w:rsidRPr="00C96268">
        <w:rPr>
          <w:rFonts w:ascii="Times New Roman" w:hAnsi="Times New Roman" w:cs="Times New Roman"/>
          <w:bCs/>
          <w:iCs/>
          <w:sz w:val="24"/>
          <w:szCs w:val="24"/>
        </w:rPr>
        <w:t xml:space="preserve"> udział ten ustala się na podstawie udziału procentowego jednostki dominującej, o którym mowa w </w:t>
      </w:r>
      <w:r w:rsidRPr="00C96268">
        <w:rPr>
          <w:rFonts w:ascii="Times New Roman" w:hAnsi="Times New Roman" w:cs="Times New Roman"/>
          <w:b/>
          <w:iCs/>
          <w:sz w:val="24"/>
          <w:szCs w:val="24"/>
        </w:rPr>
        <w:t>art. 15 ust. 2</w:t>
      </w:r>
      <w:r w:rsidRPr="00C96268">
        <w:rPr>
          <w:rFonts w:ascii="Times New Roman" w:hAnsi="Times New Roman" w:cs="Times New Roman"/>
          <w:bCs/>
          <w:iCs/>
          <w:sz w:val="24"/>
          <w:szCs w:val="24"/>
        </w:rPr>
        <w:t>, z uwzględnieniem wyłącznie udziałów własnościowych przypadających na jednostki składowe tej grupy.</w:t>
      </w:r>
      <w:r w:rsidRPr="00C96268">
        <w:rPr>
          <w:rFonts w:ascii="Times New Roman" w:hAnsi="Times New Roman" w:cs="Times New Roman"/>
          <w:bCs/>
          <w:iCs/>
          <w:sz w:val="24"/>
          <w:szCs w:val="24"/>
          <w:vertAlign w:val="superscript"/>
        </w:rPr>
        <w:footnoteReference w:id="84"/>
      </w:r>
      <w:r w:rsidRPr="00C96268">
        <w:rPr>
          <w:rFonts w:ascii="Times New Roman" w:hAnsi="Times New Roman" w:cs="Times New Roman"/>
          <w:bCs/>
          <w:iCs/>
          <w:sz w:val="24"/>
          <w:szCs w:val="24"/>
        </w:rPr>
        <w:t xml:space="preserve"> Udział ten opiera się zatem na dochodzie, który przypisuje się jednostkom dominującym danej grupy w związku z posiadanymi przez nich udziałami własnościowymi. Zasada ta ma na celu zapewnienie, że inwestorzy mniejszościowi nie podlegają globalnemu podatkowi wyrównawczemu od swoich udziałów w nisko opodatkowanych jednostkach inwestycyjnych konsolidowanych przez daną grupę. Zatem jednostki inwestycyjne i ubezpieczeniowe jednostki inwestycyjne podlegają globalnemu podatkowi wyrównawczemu jedynie w takim zakresie, w jakim ich dochód można przypisać danej grupie.</w:t>
      </w:r>
    </w:p>
    <w:p w14:paraId="18A508A2"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świetle natomiast </w:t>
      </w:r>
      <w:r w:rsidRPr="00C96268">
        <w:rPr>
          <w:rFonts w:ascii="Times New Roman" w:hAnsi="Times New Roman" w:cs="Times New Roman"/>
          <w:b/>
          <w:bCs/>
          <w:iCs/>
          <w:sz w:val="24"/>
          <w:szCs w:val="24"/>
        </w:rPr>
        <w:t>ust. 4</w:t>
      </w:r>
      <w:r w:rsidRPr="00C96268">
        <w:rPr>
          <w:rFonts w:ascii="Times New Roman" w:hAnsi="Times New Roman" w:cs="Times New Roman"/>
          <w:bCs/>
          <w:iCs/>
          <w:sz w:val="24"/>
          <w:szCs w:val="24"/>
        </w:rPr>
        <w:t xml:space="preserve">, skorygowane podatki kwalifikowane jednostki inwestycyjnej lub ubezpieczeniowej jednostki inwestycyjnej stanowią skorygowane podatki kwalifikowane, które można przypisać udziałowi grupy w kwalifikowanym dochodzie (stracie) tej jednostki. </w:t>
      </w:r>
      <w:r w:rsidRPr="00C96268">
        <w:rPr>
          <w:rFonts w:ascii="Times New Roman" w:hAnsi="Times New Roman" w:cs="Times New Roman"/>
          <w:bCs/>
          <w:iCs/>
          <w:sz w:val="24"/>
          <w:szCs w:val="24"/>
        </w:rPr>
        <w:lastRenderedPageBreak/>
        <w:t xml:space="preserve">Na skorygowane podatki kwalifikowane składają się również podatki kwalifikowane naliczone przez właścicieli tej jednostki, jeżeli są one przydzielone tej jednostce zgodnie z </w:t>
      </w:r>
      <w:r w:rsidRPr="00C96268">
        <w:rPr>
          <w:rFonts w:ascii="Times New Roman" w:hAnsi="Times New Roman" w:cs="Times New Roman"/>
          <w:b/>
          <w:iCs/>
          <w:sz w:val="24"/>
          <w:szCs w:val="24"/>
        </w:rPr>
        <w:t>art. 93</w:t>
      </w:r>
      <w:r w:rsidRPr="00C96268">
        <w:rPr>
          <w:rFonts w:ascii="Times New Roman" w:hAnsi="Times New Roman" w:cs="Times New Roman"/>
          <w:bCs/>
          <w:iCs/>
          <w:sz w:val="24"/>
          <w:szCs w:val="24"/>
        </w:rPr>
        <w:t xml:space="preserve"> (np. jeżeli zachodzi jeden z przypadków wskazanych w </w:t>
      </w:r>
      <w:r w:rsidRPr="00C96268">
        <w:rPr>
          <w:rFonts w:ascii="Times New Roman" w:hAnsi="Times New Roman" w:cs="Times New Roman"/>
          <w:b/>
          <w:iCs/>
          <w:sz w:val="24"/>
          <w:szCs w:val="24"/>
        </w:rPr>
        <w:t>art. 93 ust. 1 pkt 3–5</w:t>
      </w:r>
      <w:r w:rsidRPr="00C96268">
        <w:rPr>
          <w:rFonts w:ascii="Times New Roman" w:hAnsi="Times New Roman" w:cs="Times New Roman"/>
          <w:bCs/>
          <w:iCs/>
          <w:sz w:val="24"/>
          <w:szCs w:val="24"/>
        </w:rPr>
        <w:t>).</w:t>
      </w:r>
    </w:p>
    <w:p w14:paraId="0E48FC68"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20 [Jurysdykcyjny globalny podatek wyrównawczy jednostek inwestycyjnych]</w:t>
      </w:r>
    </w:p>
    <w:p w14:paraId="2107D52F" w14:textId="7D9C75D6"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 obliczeniu, efektywnej stawki podatkowej dla jednostek inwestycyjnych lub ubezpieczeniowych jednostek inwestycyjnych w </w:t>
      </w:r>
      <w:r w:rsidR="000118EC" w:rsidRPr="00C96268">
        <w:rPr>
          <w:rFonts w:ascii="Times New Roman" w:hAnsi="Times New Roman" w:cs="Times New Roman"/>
          <w:bCs/>
          <w:iCs/>
          <w:sz w:val="24"/>
          <w:szCs w:val="24"/>
        </w:rPr>
        <w:t xml:space="preserve">danej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kolejnym krokiem jest obliczenie jurysdykcyjnego globalnego podatku wyrównawczego dla takich jednostek. </w:t>
      </w:r>
    </w:p>
    <w:p w14:paraId="448A36C7" w14:textId="225D4EA5"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art. </w:t>
      </w:r>
      <w:r w:rsidRPr="00C96268">
        <w:rPr>
          <w:rFonts w:ascii="Times New Roman" w:hAnsi="Times New Roman" w:cs="Times New Roman"/>
          <w:b/>
          <w:bCs/>
          <w:iCs/>
          <w:sz w:val="24"/>
          <w:szCs w:val="24"/>
        </w:rPr>
        <w:t xml:space="preserve">20 ust. 1 </w:t>
      </w:r>
      <w:r w:rsidRPr="00C96268">
        <w:rPr>
          <w:rFonts w:ascii="Times New Roman" w:hAnsi="Times New Roman" w:cs="Times New Roman"/>
          <w:bCs/>
          <w:iCs/>
          <w:sz w:val="24"/>
          <w:szCs w:val="24"/>
        </w:rPr>
        <w:t xml:space="preserve">jest to kwota równa indywidualnej stawce podatkowej obliczonej dla tej jednostki, pomnożonej przez kwotę równą różnicy między przypadającym na grupę udziałem w kwalifikowanym dochodzie tej jednostki, obliczonym zgodnie z </w:t>
      </w:r>
      <w:r w:rsidRPr="00C96268">
        <w:rPr>
          <w:rFonts w:ascii="Times New Roman" w:hAnsi="Times New Roman" w:cs="Times New Roman"/>
          <w:b/>
          <w:iCs/>
          <w:sz w:val="24"/>
          <w:szCs w:val="24"/>
        </w:rPr>
        <w:t>art. 19 ust. 5</w:t>
      </w:r>
      <w:r w:rsidRPr="00C96268">
        <w:rPr>
          <w:rFonts w:ascii="Times New Roman" w:hAnsi="Times New Roman" w:cs="Times New Roman"/>
          <w:bCs/>
          <w:iCs/>
          <w:sz w:val="24"/>
          <w:szCs w:val="24"/>
        </w:rPr>
        <w:t xml:space="preserve">, a substratem majątkowo-osobowym tej jednostki, obliczonym na podstawie proporcji wynikającej z </w:t>
      </w:r>
      <w:r w:rsidRPr="00C96268">
        <w:rPr>
          <w:rFonts w:ascii="Times New Roman" w:hAnsi="Times New Roman" w:cs="Times New Roman"/>
          <w:b/>
          <w:iCs/>
          <w:sz w:val="24"/>
          <w:szCs w:val="24"/>
        </w:rPr>
        <w:t>ust. 2</w:t>
      </w:r>
      <w:r w:rsidRPr="00C96268">
        <w:rPr>
          <w:rFonts w:ascii="Times New Roman" w:hAnsi="Times New Roman" w:cs="Times New Roman"/>
          <w:bCs/>
          <w:iCs/>
          <w:sz w:val="24"/>
          <w:szCs w:val="24"/>
        </w:rPr>
        <w:t xml:space="preserve">. Ponadto w przypadku, gdy w </w:t>
      </w:r>
      <w:r w:rsidR="000118EC" w:rsidRPr="00C96268">
        <w:rPr>
          <w:rFonts w:ascii="Times New Roman" w:hAnsi="Times New Roman" w:cs="Times New Roman"/>
          <w:bCs/>
          <w:iCs/>
          <w:sz w:val="24"/>
          <w:szCs w:val="24"/>
        </w:rPr>
        <w:t xml:space="preserve">danej jurysdykcji </w:t>
      </w:r>
      <w:r w:rsidRPr="00C96268">
        <w:rPr>
          <w:rFonts w:ascii="Times New Roman" w:hAnsi="Times New Roman" w:cs="Times New Roman"/>
          <w:bCs/>
          <w:iCs/>
          <w:sz w:val="24"/>
          <w:szCs w:val="24"/>
        </w:rPr>
        <w:t>lokalizację ma więcej niż jedna jednostka inwestycyjna lub ubezpieczeniowa jednostka inwestycyjna, sumuje się odpowiednio substrat majątkowo-osobow</w:t>
      </w:r>
      <w:r w:rsidR="009A2EDD" w:rsidRPr="00C96268">
        <w:rPr>
          <w:rFonts w:ascii="Times New Roman" w:hAnsi="Times New Roman" w:cs="Times New Roman"/>
          <w:bCs/>
          <w:iCs/>
          <w:sz w:val="24"/>
          <w:szCs w:val="24"/>
        </w:rPr>
        <w:t>y</w:t>
      </w:r>
      <w:r w:rsidRPr="00C96268">
        <w:rPr>
          <w:rFonts w:ascii="Times New Roman" w:hAnsi="Times New Roman" w:cs="Times New Roman"/>
          <w:bCs/>
          <w:iCs/>
          <w:sz w:val="24"/>
          <w:szCs w:val="24"/>
        </w:rPr>
        <w:t xml:space="preserve"> </w:t>
      </w:r>
      <w:r w:rsidR="00957420" w:rsidRPr="00C96268">
        <w:rPr>
          <w:rFonts w:ascii="Times New Roman" w:hAnsi="Times New Roman" w:cs="Times New Roman"/>
          <w:bCs/>
          <w:iCs/>
          <w:sz w:val="24"/>
          <w:szCs w:val="24"/>
        </w:rPr>
        <w:t xml:space="preserve">przypadający na </w:t>
      </w:r>
      <w:r w:rsidRPr="00C96268">
        <w:rPr>
          <w:rFonts w:ascii="Times New Roman" w:hAnsi="Times New Roman" w:cs="Times New Roman"/>
          <w:bCs/>
          <w:iCs/>
          <w:sz w:val="24"/>
          <w:szCs w:val="24"/>
        </w:rPr>
        <w:t>dan</w:t>
      </w:r>
      <w:r w:rsidR="00957420" w:rsidRPr="00C96268">
        <w:rPr>
          <w:rFonts w:ascii="Times New Roman" w:hAnsi="Times New Roman" w:cs="Times New Roman"/>
          <w:bCs/>
          <w:iCs/>
          <w:sz w:val="24"/>
          <w:szCs w:val="24"/>
        </w:rPr>
        <w:t>ą</w:t>
      </w:r>
      <w:r w:rsidRPr="00C96268">
        <w:rPr>
          <w:rFonts w:ascii="Times New Roman" w:hAnsi="Times New Roman" w:cs="Times New Roman"/>
          <w:bCs/>
          <w:iCs/>
          <w:sz w:val="24"/>
          <w:szCs w:val="24"/>
        </w:rPr>
        <w:t xml:space="preserve"> kategori</w:t>
      </w:r>
      <w:r w:rsidR="00957420" w:rsidRPr="00C96268">
        <w:rPr>
          <w:rFonts w:ascii="Times New Roman" w:hAnsi="Times New Roman" w:cs="Times New Roman"/>
          <w:bCs/>
          <w:iCs/>
          <w:sz w:val="24"/>
          <w:szCs w:val="24"/>
        </w:rPr>
        <w:t>ę</w:t>
      </w:r>
      <w:r w:rsidRPr="00C96268">
        <w:rPr>
          <w:rFonts w:ascii="Times New Roman" w:hAnsi="Times New Roman" w:cs="Times New Roman"/>
          <w:bCs/>
          <w:iCs/>
          <w:sz w:val="24"/>
          <w:szCs w:val="24"/>
        </w:rPr>
        <w:t xml:space="preserve"> jednostek oraz uwzględnia się przypadający na grupę łączny udział w kwalifikowanym dochodzie (stracie) tych jednostek. W takim przypadku, zgodnie z zasadami ogólnymi w celu alokacji jurysdykcyjnego globalnego podatku wyrównawczego do poszczególnych jednostek i ich jednostek dominujących, tj. w celu ustalenia jednostkowego globalnego podatku wyrównawczego i udziałowego globalnego podatku wyrównawczego stosuje się odpowiednio przepisy </w:t>
      </w:r>
      <w:r w:rsidRPr="00C96268">
        <w:rPr>
          <w:rFonts w:ascii="Times New Roman" w:hAnsi="Times New Roman" w:cs="Times New Roman"/>
          <w:b/>
          <w:iCs/>
          <w:sz w:val="24"/>
          <w:szCs w:val="24"/>
        </w:rPr>
        <w:t>rozdziału 1</w:t>
      </w:r>
      <w:r w:rsidRPr="00C96268">
        <w:rPr>
          <w:rFonts w:ascii="Times New Roman" w:hAnsi="Times New Roman" w:cs="Times New Roman"/>
          <w:bCs/>
          <w:iCs/>
          <w:sz w:val="24"/>
          <w:szCs w:val="24"/>
        </w:rPr>
        <w:t>.</w:t>
      </w:r>
    </w:p>
    <w:p w14:paraId="05644DCF" w14:textId="2CFFC7CB"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świetle </w:t>
      </w:r>
      <w:r w:rsidRPr="00C96268">
        <w:rPr>
          <w:rFonts w:ascii="Times New Roman" w:hAnsi="Times New Roman" w:cs="Times New Roman"/>
          <w:b/>
          <w:bCs/>
          <w:iCs/>
          <w:sz w:val="24"/>
          <w:szCs w:val="24"/>
        </w:rPr>
        <w:t>ust. 2,</w:t>
      </w:r>
      <w:r w:rsidRPr="00C96268">
        <w:rPr>
          <w:rFonts w:ascii="Times New Roman" w:hAnsi="Times New Roman" w:cs="Times New Roman"/>
          <w:bCs/>
          <w:iCs/>
          <w:sz w:val="24"/>
          <w:szCs w:val="24"/>
        </w:rPr>
        <w:t xml:space="preserve"> w substra</w:t>
      </w:r>
      <w:r w:rsidR="009A2EDD" w:rsidRPr="00C96268">
        <w:rPr>
          <w:rFonts w:ascii="Times New Roman" w:hAnsi="Times New Roman" w:cs="Times New Roman"/>
          <w:bCs/>
          <w:iCs/>
          <w:sz w:val="24"/>
          <w:szCs w:val="24"/>
        </w:rPr>
        <w:t>cie</w:t>
      </w:r>
      <w:r w:rsidRPr="00C96268">
        <w:rPr>
          <w:rFonts w:ascii="Times New Roman" w:hAnsi="Times New Roman" w:cs="Times New Roman"/>
          <w:bCs/>
          <w:iCs/>
          <w:sz w:val="24"/>
          <w:szCs w:val="24"/>
        </w:rPr>
        <w:t xml:space="preserve"> majątkowo-osobow</w:t>
      </w:r>
      <w:r w:rsidR="009A2EDD" w:rsidRPr="00C96268">
        <w:rPr>
          <w:rFonts w:ascii="Times New Roman" w:hAnsi="Times New Roman" w:cs="Times New Roman"/>
          <w:bCs/>
          <w:iCs/>
          <w:sz w:val="24"/>
          <w:szCs w:val="24"/>
        </w:rPr>
        <w:t>ym</w:t>
      </w:r>
      <w:r w:rsidRPr="00C96268">
        <w:rPr>
          <w:rFonts w:ascii="Times New Roman" w:hAnsi="Times New Roman" w:cs="Times New Roman"/>
          <w:bCs/>
          <w:iCs/>
          <w:sz w:val="24"/>
          <w:szCs w:val="24"/>
        </w:rPr>
        <w:t xml:space="preserve"> jednostek inwestycyjnych i ubezpieczeniowych jednostek inwestycyjnych uwzględnia się kwotę kwalifikowanych kosztów wynagrodzeń kwalifikowanych pracowników i kwotę kwalifikowanych rzeczowych aktywów trwałych dotyczącą tej jednostki.</w:t>
      </w:r>
      <w:r w:rsidRPr="00C96268">
        <w:rPr>
          <w:rStyle w:val="Odwoanieprzypisudolnego"/>
          <w:rFonts w:ascii="Times New Roman" w:hAnsi="Times New Roman" w:cs="Times New Roman"/>
          <w:bCs/>
          <w:iCs/>
          <w:sz w:val="24"/>
          <w:szCs w:val="24"/>
        </w:rPr>
        <w:footnoteReference w:id="85"/>
      </w:r>
    </w:p>
    <w:p w14:paraId="7409A5AF" w14:textId="41A5885E"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Co istotne, zgodnie z </w:t>
      </w:r>
      <w:r w:rsidRPr="00C96268">
        <w:rPr>
          <w:rFonts w:ascii="Times New Roman" w:hAnsi="Times New Roman" w:cs="Times New Roman"/>
          <w:b/>
          <w:iCs/>
          <w:sz w:val="24"/>
          <w:szCs w:val="24"/>
        </w:rPr>
        <w:t>ust. 3</w:t>
      </w:r>
      <w:r w:rsidRPr="00C96268">
        <w:rPr>
          <w:rFonts w:ascii="Times New Roman" w:hAnsi="Times New Roman" w:cs="Times New Roman"/>
          <w:bCs/>
          <w:iCs/>
          <w:sz w:val="24"/>
          <w:szCs w:val="24"/>
        </w:rPr>
        <w:t xml:space="preserve"> globalny podatek wyrównawczy obliczony dla jednostek inwestycyjnych </w:t>
      </w:r>
      <w:r w:rsidRPr="00C96268">
        <w:rPr>
          <w:rFonts w:ascii="Times New Roman" w:hAnsi="Times New Roman" w:cs="Times New Roman"/>
          <w:bCs/>
          <w:iCs/>
          <w:sz w:val="24"/>
          <w:szCs w:val="24"/>
        </w:rPr>
        <w:br/>
        <w:t xml:space="preserve">i ubezpieczeniowych jednostek inwestycyjnych pomniejsza się o kwalifikowany krajowy podatek wyrównawczy, obliczony odrębnie dla tych jednostek zgodnie z przepisami </w:t>
      </w:r>
      <w:r w:rsidR="000118EC" w:rsidRPr="00C96268">
        <w:rPr>
          <w:rFonts w:ascii="Times New Roman" w:hAnsi="Times New Roman" w:cs="Times New Roman"/>
          <w:bCs/>
          <w:iCs/>
          <w:sz w:val="24"/>
          <w:szCs w:val="24"/>
        </w:rPr>
        <w:t xml:space="preserve">jurysdykcji </w:t>
      </w:r>
      <w:r w:rsidRPr="00C96268">
        <w:rPr>
          <w:rFonts w:ascii="Times New Roman" w:hAnsi="Times New Roman" w:cs="Times New Roman"/>
          <w:bCs/>
          <w:iCs/>
          <w:sz w:val="24"/>
          <w:szCs w:val="24"/>
        </w:rPr>
        <w:t xml:space="preserve">ich lokalizacji, w części wymagalnej do zapłaty w rozumieniu </w:t>
      </w:r>
      <w:r w:rsidRPr="00C96268">
        <w:rPr>
          <w:rFonts w:ascii="Times New Roman" w:hAnsi="Times New Roman" w:cs="Times New Roman"/>
          <w:b/>
          <w:iCs/>
          <w:sz w:val="24"/>
          <w:szCs w:val="24"/>
        </w:rPr>
        <w:t>art. 13 ust. 2</w:t>
      </w:r>
      <w:r w:rsidRPr="00C96268">
        <w:rPr>
          <w:rFonts w:ascii="Times New Roman" w:hAnsi="Times New Roman" w:cs="Times New Roman"/>
          <w:bCs/>
          <w:iCs/>
          <w:sz w:val="24"/>
          <w:szCs w:val="24"/>
        </w:rPr>
        <w:t xml:space="preserve">. Tym samym, jeżeli jednostka dominująca najwyższego szczebla </w:t>
      </w:r>
      <w:r w:rsidRPr="00C96268">
        <w:rPr>
          <w:rFonts w:ascii="Times New Roman" w:hAnsi="Times New Roman" w:cs="Times New Roman"/>
          <w:iCs/>
          <w:sz w:val="24"/>
          <w:szCs w:val="24"/>
        </w:rPr>
        <w:t xml:space="preserve">zlokalizowana </w:t>
      </w:r>
      <w:r w:rsidRPr="00C96268">
        <w:rPr>
          <w:rFonts w:ascii="Times New Roman" w:hAnsi="Times New Roman" w:cs="Times New Roman"/>
          <w:bCs/>
          <w:iCs/>
          <w:sz w:val="24"/>
          <w:szCs w:val="24"/>
        </w:rPr>
        <w:t xml:space="preserve">na terytorium RP oblicza jurysdykcyjny globalny podatek wyrównawczy dla </w:t>
      </w:r>
      <w:r w:rsidR="000118EC" w:rsidRPr="00C96268">
        <w:rPr>
          <w:rFonts w:ascii="Times New Roman" w:hAnsi="Times New Roman" w:cs="Times New Roman"/>
          <w:bCs/>
          <w:iCs/>
          <w:sz w:val="24"/>
          <w:szCs w:val="24"/>
        </w:rPr>
        <w:t xml:space="preserve">innej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po pierwsze oblicza ten podatek odrębnie dla takich jednostek, ponadto, zgodnie z </w:t>
      </w:r>
      <w:r w:rsidRPr="00C96268">
        <w:rPr>
          <w:rFonts w:ascii="Times New Roman" w:hAnsi="Times New Roman" w:cs="Times New Roman"/>
          <w:b/>
          <w:iCs/>
          <w:sz w:val="24"/>
          <w:szCs w:val="24"/>
        </w:rPr>
        <w:t>ust. 3</w:t>
      </w:r>
      <w:r w:rsidRPr="00C96268">
        <w:rPr>
          <w:rFonts w:ascii="Times New Roman" w:hAnsi="Times New Roman" w:cs="Times New Roman"/>
          <w:bCs/>
          <w:iCs/>
          <w:sz w:val="24"/>
          <w:szCs w:val="24"/>
        </w:rPr>
        <w:t xml:space="preserve"> pomniejsza taki odrębny jurysdykcyjny podatek o kwalifikowany krajowy podatek wyrównawczy (</w:t>
      </w:r>
      <w:r w:rsidRPr="00C96268">
        <w:rPr>
          <w:rFonts w:ascii="Times New Roman" w:hAnsi="Times New Roman" w:cs="Times New Roman"/>
          <w:b/>
          <w:iCs/>
          <w:sz w:val="24"/>
          <w:szCs w:val="24"/>
        </w:rPr>
        <w:t>zagraniczny QDMTT</w:t>
      </w:r>
      <w:r w:rsidRPr="00C96268">
        <w:rPr>
          <w:rFonts w:ascii="Times New Roman" w:hAnsi="Times New Roman" w:cs="Times New Roman"/>
          <w:bCs/>
          <w:iCs/>
          <w:sz w:val="24"/>
          <w:szCs w:val="24"/>
        </w:rPr>
        <w:t xml:space="preserve">) również liczony odrębnie dla takich jednostek zgodnie z przepisami </w:t>
      </w:r>
      <w:r w:rsidR="000118EC" w:rsidRPr="00C96268">
        <w:rPr>
          <w:rFonts w:ascii="Times New Roman" w:hAnsi="Times New Roman" w:cs="Times New Roman"/>
          <w:bCs/>
          <w:iCs/>
          <w:sz w:val="24"/>
          <w:szCs w:val="24"/>
        </w:rPr>
        <w:t>danej jurysdykcji</w:t>
      </w:r>
      <w:r w:rsidRPr="00C96268">
        <w:rPr>
          <w:rFonts w:ascii="Times New Roman" w:hAnsi="Times New Roman" w:cs="Times New Roman"/>
          <w:bCs/>
          <w:iCs/>
          <w:sz w:val="24"/>
          <w:szCs w:val="24"/>
        </w:rPr>
        <w:t xml:space="preserve">, w </w:t>
      </w:r>
      <w:r w:rsidR="000118EC" w:rsidRPr="00C96268">
        <w:rPr>
          <w:rFonts w:ascii="Times New Roman" w:hAnsi="Times New Roman" w:cs="Times New Roman"/>
          <w:bCs/>
          <w:iCs/>
          <w:sz w:val="24"/>
          <w:szCs w:val="24"/>
        </w:rPr>
        <w:t xml:space="preserve">której </w:t>
      </w:r>
      <w:r w:rsidRPr="00C96268">
        <w:rPr>
          <w:rFonts w:ascii="Times New Roman" w:hAnsi="Times New Roman" w:cs="Times New Roman"/>
          <w:bCs/>
          <w:iCs/>
          <w:sz w:val="24"/>
          <w:szCs w:val="24"/>
        </w:rPr>
        <w:t xml:space="preserve">jednostki te są </w:t>
      </w:r>
      <w:r w:rsidRPr="00C96268">
        <w:rPr>
          <w:rFonts w:ascii="Times New Roman" w:hAnsi="Times New Roman" w:cs="Times New Roman"/>
          <w:iCs/>
          <w:sz w:val="24"/>
          <w:szCs w:val="24"/>
        </w:rPr>
        <w:t>zlokalizowane</w:t>
      </w:r>
      <w:r w:rsidRPr="00C96268">
        <w:rPr>
          <w:rFonts w:ascii="Times New Roman" w:hAnsi="Times New Roman" w:cs="Times New Roman"/>
          <w:bCs/>
          <w:iCs/>
          <w:sz w:val="24"/>
          <w:szCs w:val="24"/>
        </w:rPr>
        <w:t xml:space="preserve">. </w:t>
      </w:r>
    </w:p>
    <w:p w14:paraId="31262036"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21 [Odrębna efektywna stawka podatkowa bezpaństwowej jednostki składowej]</w:t>
      </w:r>
    </w:p>
    <w:p w14:paraId="1EAE985A" w14:textId="299F1010"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świetle </w:t>
      </w:r>
      <w:r w:rsidRPr="00C96268">
        <w:rPr>
          <w:rFonts w:ascii="Times New Roman" w:hAnsi="Times New Roman" w:cs="Times New Roman"/>
          <w:b/>
          <w:bCs/>
          <w:sz w:val="24"/>
          <w:szCs w:val="24"/>
        </w:rPr>
        <w:t>art. 2 ust. 1 pkt 2</w:t>
      </w:r>
      <w:r w:rsidRPr="00C96268">
        <w:rPr>
          <w:rFonts w:ascii="Times New Roman" w:hAnsi="Times New Roman" w:cs="Times New Roman"/>
          <w:sz w:val="24"/>
          <w:szCs w:val="24"/>
        </w:rPr>
        <w:t xml:space="preserve"> bezpaństwową jednostką składową jest jednostka składowa, która zgodnie z przepisami ustawy (w szczególności rozdziału 3 działu I) nie jest zlokalizowana w </w:t>
      </w:r>
      <w:r w:rsidR="000118EC" w:rsidRPr="00C96268">
        <w:rPr>
          <w:rFonts w:ascii="Times New Roman" w:hAnsi="Times New Roman" w:cs="Times New Roman"/>
          <w:sz w:val="24"/>
          <w:szCs w:val="24"/>
        </w:rPr>
        <w:t>żadnej jurysdykcji</w:t>
      </w:r>
      <w:r w:rsidRPr="00C96268">
        <w:rPr>
          <w:rFonts w:ascii="Times New Roman" w:hAnsi="Times New Roman" w:cs="Times New Roman"/>
          <w:sz w:val="24"/>
          <w:szCs w:val="24"/>
        </w:rPr>
        <w:t>.</w:t>
      </w:r>
    </w:p>
    <w:p w14:paraId="2B177B48"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lastRenderedPageBreak/>
        <w:t xml:space="preserve">Mogą to być np. jednostka pośrednicząca niebędąca jednostką dominującą i bezpaństwowy stały zakład, wskazane w </w:t>
      </w:r>
      <w:r w:rsidRPr="00C96268">
        <w:rPr>
          <w:rFonts w:ascii="Times New Roman" w:hAnsi="Times New Roman" w:cs="Times New Roman"/>
          <w:b/>
          <w:bCs/>
          <w:sz w:val="24"/>
          <w:szCs w:val="24"/>
        </w:rPr>
        <w:t>art. 7 ust. 3</w:t>
      </w:r>
      <w:r w:rsidRPr="00C96268">
        <w:rPr>
          <w:rFonts w:ascii="Times New Roman" w:hAnsi="Times New Roman" w:cs="Times New Roman"/>
          <w:sz w:val="24"/>
          <w:szCs w:val="24"/>
        </w:rPr>
        <w:t xml:space="preserve">. Wyjaśnienia w tym obszarze znajdują w komentarzu do </w:t>
      </w:r>
      <w:r w:rsidRPr="00C96268">
        <w:rPr>
          <w:rFonts w:ascii="Times New Roman" w:hAnsi="Times New Roman" w:cs="Times New Roman"/>
          <w:b/>
          <w:bCs/>
          <w:sz w:val="24"/>
          <w:szCs w:val="24"/>
        </w:rPr>
        <w:t>art. 7 i 8</w:t>
      </w:r>
      <w:r w:rsidRPr="00C96268">
        <w:rPr>
          <w:rFonts w:ascii="Times New Roman" w:hAnsi="Times New Roman" w:cs="Times New Roman"/>
          <w:sz w:val="24"/>
          <w:szCs w:val="24"/>
        </w:rPr>
        <w:t xml:space="preserve"> (przepisy dotyczące lokalizacji). </w:t>
      </w:r>
    </w:p>
    <w:p w14:paraId="3EE130AE"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w:t>
      </w:r>
      <w:r w:rsidRPr="00C96268">
        <w:rPr>
          <w:rFonts w:ascii="Times New Roman" w:hAnsi="Times New Roman" w:cs="Times New Roman"/>
          <w:b/>
          <w:iCs/>
          <w:sz w:val="24"/>
          <w:szCs w:val="24"/>
        </w:rPr>
        <w:t>art. 21</w:t>
      </w:r>
      <w:r w:rsidRPr="00C96268">
        <w:rPr>
          <w:rFonts w:ascii="Times New Roman" w:hAnsi="Times New Roman" w:cs="Times New Roman"/>
          <w:bCs/>
          <w:iCs/>
          <w:sz w:val="24"/>
          <w:szCs w:val="24"/>
        </w:rPr>
        <w:t xml:space="preserve"> do każdej bezpaństwowej jednostki składowej stosuje się odrębną kalkulację efektywnej stawki podatkowej. Dla każdej takiej jednostki składowej dokonuje się zupełnie odrębnych obliczeń. Tym samym, nawet jeżeli dana jednostka dominująca najwyższego szczebla posiada udział własnościowy w kilku takich jednostkach, dla każdej z nich odrębnie wylicza efektywną stawkę podatkową, substrat majątkowo-osobowy i globalny podatek wyrównawczy.</w:t>
      </w:r>
    </w:p>
    <w:p w14:paraId="60154D8A"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 tym przypadku dla celów efektywnej stawki podatkowej należy przyjąć, że jurysdykcyjny kwalifikowany dochód (netto) stanowi kwalifikowany dochód takiej jednostki.</w:t>
      </w:r>
    </w:p>
    <w:p w14:paraId="2C4C882B" w14:textId="77777777" w:rsidR="006C6FE0" w:rsidRPr="00C96268" w:rsidRDefault="006C6FE0" w:rsidP="006C6FE0">
      <w:pPr>
        <w:pStyle w:val="PKTpunkt"/>
        <w:spacing w:line="259" w:lineRule="auto"/>
        <w:ind w:left="0" w:firstLine="0"/>
        <w:rPr>
          <w:rFonts w:ascii="Times New Roman" w:hAnsi="Times New Roman" w:cs="Times New Roman"/>
          <w:iCs/>
          <w:szCs w:val="24"/>
        </w:rPr>
      </w:pPr>
      <w:r w:rsidRPr="00C96268">
        <w:rPr>
          <w:rFonts w:ascii="Times New Roman" w:hAnsi="Times New Roman" w:cs="Times New Roman"/>
          <w:bCs w:val="0"/>
          <w:iCs/>
          <w:szCs w:val="24"/>
        </w:rPr>
        <w:t xml:space="preserve">Jeżeli bezpaństwowa jednostka składowa stanowi nisko opodatkowaną jednostkę składową (tj. </w:t>
      </w:r>
      <w:r w:rsidRPr="00C96268">
        <w:rPr>
          <w:rFonts w:ascii="Times New Roman" w:hAnsi="Times New Roman" w:cs="Times New Roman"/>
          <w:szCs w:val="24"/>
        </w:rPr>
        <w:t xml:space="preserve">taka jednostka składowa osiągnęła kwalifikowany dochód za rok podatkowy i jej efektywna stawka podatkowa jest niższa od </w:t>
      </w:r>
      <w:r w:rsidRPr="00C96268">
        <w:rPr>
          <w:rFonts w:ascii="Times New Roman" w:hAnsi="Times New Roman" w:cs="Times New Roman"/>
          <w:bCs w:val="0"/>
          <w:iCs/>
          <w:szCs w:val="24"/>
        </w:rPr>
        <w:t>15%), oblicza się jurysdykcyjny globalny podatek wyrównawczy odrębnie dla tej jednostki uwzględniając odrębnie ustalone elementy wzoru takie jak substrat majątkowo-osobowy. W praktyce taki jurysdykcyjny podatek będzie równy jednostkowego globalnego podatkowi wyrównawczemu dla tej jednostki. zarazem W kolejnych kroku, jednostka dominująca wyliczy zgodnie z zasadami ogólnymi swój udziałowy globalny podatek wyrównawczy w odniesieniu do tej jednostki, w oparciu o udział procentowy jednostki dominującej.</w:t>
      </w:r>
    </w:p>
    <w:p w14:paraId="0A4C5AE3" w14:textId="15064F8C" w:rsidR="006C6FE0" w:rsidRPr="00C96268" w:rsidRDefault="00FB5F56" w:rsidP="001B58BC">
      <w:pPr>
        <w:pStyle w:val="Nagwek5"/>
        <w:spacing w:before="240"/>
        <w:rPr>
          <w:rFonts w:ascii="Times New Roman" w:hAnsi="Times New Roman" w:cs="Times New Roman"/>
          <w:sz w:val="24"/>
          <w:szCs w:val="24"/>
        </w:rPr>
      </w:pPr>
      <w:r>
        <w:br w:type="column"/>
      </w:r>
      <w:r w:rsidR="006C6FE0" w:rsidRPr="00C96268">
        <w:rPr>
          <w:rFonts w:ascii="Times New Roman" w:hAnsi="Times New Roman" w:cs="Times New Roman"/>
          <w:sz w:val="24"/>
          <w:szCs w:val="24"/>
        </w:rPr>
        <w:lastRenderedPageBreak/>
        <w:t>Art. 22 [Obliczenie globalnego podatku wyrównawczego dla jednostek joint venture]</w:t>
      </w:r>
    </w:p>
    <w:p w14:paraId="2E475BEE" w14:textId="77777777" w:rsidR="006C6FE0" w:rsidRPr="00C96268" w:rsidRDefault="006C6FE0" w:rsidP="006C6FE0">
      <w:pPr>
        <w:rPr>
          <w:rFonts w:ascii="Times New Roman" w:hAnsi="Times New Roman" w:cs="Times New Roman"/>
          <w:iCs/>
          <w:sz w:val="24"/>
          <w:szCs w:val="24"/>
        </w:rPr>
      </w:pPr>
      <w:r w:rsidRPr="00C96268">
        <w:rPr>
          <w:rFonts w:ascii="Times New Roman" w:hAnsi="Times New Roman" w:cs="Times New Roman"/>
          <w:i/>
          <w:iCs/>
          <w:sz w:val="24"/>
          <w:szCs w:val="24"/>
        </w:rPr>
        <w:t>Definicja jednostki joint venture i jednostki zależnej joint venture</w:t>
      </w:r>
    </w:p>
    <w:p w14:paraId="029E8C69"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Na wstępie należy odnieść się do ogólnych motywów, które stoją za szczególnym uregulowaniem jednostek joint venture i ich jednostek zależnych w ramach Systemu GloBE. </w:t>
      </w:r>
    </w:p>
    <w:p w14:paraId="177D4E8C"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Z perspektywy rachunkowości, joint venture to przedsięwzięcie biznesowe, które jest wspólnie kontrolowane przez co najmniej dwie jednostki lub osoby. Ponieważ takie przedsięwzięcie nie jest kontrolowane wyłącznie przez jedną jednostkę lub osobę, jego wyniki księgowe nie są konsolidowane przez żadnego z właścicieli metodą konsolidacji pełnej. Zamiast tego wyniki finansowe jednostek joint venture są powszechnie wykazywane przez grupy międzynarodowe na podstawie metody praw własności (</w:t>
      </w:r>
      <w:r w:rsidRPr="00C96268">
        <w:rPr>
          <w:rFonts w:ascii="Times New Roman" w:hAnsi="Times New Roman" w:cs="Times New Roman"/>
          <w:bCs/>
          <w:i/>
          <w:iCs/>
          <w:sz w:val="24"/>
          <w:szCs w:val="24"/>
        </w:rPr>
        <w:t>equity method</w:t>
      </w:r>
      <w:r w:rsidRPr="00C96268">
        <w:rPr>
          <w:rFonts w:ascii="Times New Roman" w:hAnsi="Times New Roman" w:cs="Times New Roman"/>
          <w:bCs/>
          <w:iCs/>
          <w:sz w:val="24"/>
          <w:szCs w:val="24"/>
        </w:rPr>
        <w:t>) w ich skonsolidowanych sprawozdaniach finansowych. Stąd, gdyby nie istniały specjalne regulacje, taki sposób księgowania wyłączyłby te jednostki z zakresu Zasad GloBE, ponieważ nie spełniają one definicji jednostki składowej, która wymaga, aby dana jednostka należała do grupy, tj. jej wyniki finansowe muszą być co do zasady objęte konsolidacją pełną. W sytuacji zatem, gdy dwie grupy posiadałyby po 50% udziałów w jednostce joint venture, żadna z tych grup nie podlegałaby Zasadom GloBE w odniesieniu do swojego udziału w dochodach spółki joint venture, co zakłócałoby integralność Systemu GloBE.</w:t>
      </w:r>
    </w:p>
    <w:p w14:paraId="3D3AFF65"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Celem </w:t>
      </w:r>
      <w:r w:rsidRPr="00C96268">
        <w:rPr>
          <w:rFonts w:ascii="Times New Roman" w:hAnsi="Times New Roman" w:cs="Times New Roman"/>
          <w:b/>
          <w:iCs/>
          <w:sz w:val="24"/>
          <w:szCs w:val="24"/>
        </w:rPr>
        <w:t xml:space="preserve">art. 22 </w:t>
      </w:r>
      <w:r w:rsidRPr="00C96268">
        <w:rPr>
          <w:rFonts w:ascii="Times New Roman" w:hAnsi="Times New Roman" w:cs="Times New Roman"/>
          <w:bCs/>
          <w:iCs/>
          <w:sz w:val="24"/>
          <w:szCs w:val="24"/>
        </w:rPr>
        <w:t>jest zatem objęcie jednostek joint venture i ich jednostek zależnych zakresem Zasad GloBE. Jak wspomniano, bez tych szczególnych regulacji jednostki te pozostawałyby poza zakresem opodatkowania globalnym podatkiem wyrównawczym.</w:t>
      </w:r>
    </w:p>
    <w:p w14:paraId="1B648874"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Należy jednak mieć na uwadze, że jednostka joint venture została zdefiniowana na potrzeby stosowania Zasad GloBE w szczególny sposób, odmienny od zasad rachunkowości, co do wysokości udziałów w takiej jednostce. Zgodnie z </w:t>
      </w:r>
      <w:r w:rsidRPr="00C96268">
        <w:rPr>
          <w:rFonts w:ascii="Times New Roman" w:hAnsi="Times New Roman" w:cs="Times New Roman"/>
          <w:b/>
          <w:iCs/>
          <w:sz w:val="24"/>
          <w:szCs w:val="24"/>
        </w:rPr>
        <w:t>art. 2 ust. 1 pkt 19</w:t>
      </w:r>
      <w:r w:rsidRPr="00C96268">
        <w:rPr>
          <w:rFonts w:ascii="Times New Roman" w:hAnsi="Times New Roman" w:cs="Times New Roman"/>
          <w:bCs/>
          <w:iCs/>
          <w:sz w:val="24"/>
          <w:szCs w:val="24"/>
        </w:rPr>
        <w:t xml:space="preserve"> jednostka joint venture oznacza jednostkę, której wyniki finansowe są uwzględniane w skonsolidowanym sprawozdaniu grupy zgodnie z </w:t>
      </w:r>
      <w:r w:rsidRPr="00C96268">
        <w:rPr>
          <w:rFonts w:ascii="Times New Roman" w:hAnsi="Times New Roman" w:cs="Times New Roman"/>
          <w:b/>
          <w:iCs/>
          <w:sz w:val="24"/>
          <w:szCs w:val="24"/>
        </w:rPr>
        <w:t>metodą praw własności</w:t>
      </w:r>
      <w:r w:rsidRPr="00C96268">
        <w:rPr>
          <w:rFonts w:ascii="Times New Roman" w:hAnsi="Times New Roman" w:cs="Times New Roman"/>
          <w:bCs/>
          <w:iCs/>
          <w:sz w:val="24"/>
          <w:szCs w:val="24"/>
        </w:rPr>
        <w:t xml:space="preserve">, pod warunkiem że jednostka dominująca najwyższego szczebla tej grupy posiada w tej jednostce, bezpośrednio lub pośrednio, </w:t>
      </w:r>
      <w:r w:rsidRPr="00C96268">
        <w:rPr>
          <w:rFonts w:ascii="Times New Roman" w:hAnsi="Times New Roman" w:cs="Times New Roman"/>
          <w:b/>
          <w:iCs/>
          <w:sz w:val="24"/>
          <w:szCs w:val="24"/>
        </w:rPr>
        <w:t>co najmniej 50 % udziałów własnościowych</w:t>
      </w:r>
      <w:r w:rsidRPr="00C96268">
        <w:rPr>
          <w:rFonts w:ascii="Times New Roman" w:hAnsi="Times New Roman" w:cs="Times New Roman"/>
          <w:bCs/>
          <w:iCs/>
          <w:sz w:val="24"/>
          <w:szCs w:val="24"/>
        </w:rPr>
        <w:t>.</w:t>
      </w:r>
    </w:p>
    <w:p w14:paraId="7AD39DE8"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Zatem, zgodnie z Zasadami GloBE, nie jest jednostką joint venture jednostka, w której jednostka dominująca najwyższego szczebla posiada mniej niż 50% udziałów, mimo że zgodnie z zasadami rachunkowości taka jednostka może nadal być uznawana za jednostkę joint venture, jeżeli jest kontrolowana wspólnie przez co najmniej dwie grupy. Jednostką joint venture będzie natomiast w szczególności jednostka, w której dwie grupy / UPE tych grup posiadają, bezpośrednio lub pośrednio, po 50% udziałów. Ze względu na sformułowanie „co najmniej 50 % udziałów własnościowych” możliwe są też inne struktury holdingowe.</w:t>
      </w:r>
    </w:p>
    <w:p w14:paraId="235DD055"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Za „joint venture” </w:t>
      </w:r>
      <w:r w:rsidRPr="00C96268">
        <w:rPr>
          <w:rFonts w:ascii="Times New Roman" w:hAnsi="Times New Roman" w:cs="Times New Roman"/>
          <w:b/>
          <w:iCs/>
          <w:sz w:val="24"/>
          <w:szCs w:val="24"/>
        </w:rPr>
        <w:t>nie uznaje się</w:t>
      </w:r>
      <w:r w:rsidRPr="00C96268">
        <w:rPr>
          <w:rFonts w:ascii="Times New Roman" w:hAnsi="Times New Roman" w:cs="Times New Roman"/>
          <w:bCs/>
          <w:iCs/>
          <w:sz w:val="24"/>
          <w:szCs w:val="24"/>
        </w:rPr>
        <w:t xml:space="preserve"> jednak określonych jednostek szczególnych, tj.: </w:t>
      </w:r>
    </w:p>
    <w:p w14:paraId="610E1AE1" w14:textId="7A5A338E" w:rsidR="006C6FE0" w:rsidRPr="00C96268" w:rsidRDefault="006C6FE0" w:rsidP="00B6504F">
      <w:pPr>
        <w:numPr>
          <w:ilvl w:val="0"/>
          <w:numId w:val="37"/>
        </w:numPr>
        <w:spacing w:after="120"/>
        <w:jc w:val="both"/>
        <w:rPr>
          <w:rFonts w:ascii="Times New Roman" w:hAnsi="Times New Roman" w:cs="Times New Roman"/>
          <w:bCs/>
          <w:iCs/>
          <w:sz w:val="24"/>
          <w:szCs w:val="24"/>
        </w:rPr>
      </w:pPr>
      <w:r w:rsidRPr="00C96268">
        <w:rPr>
          <w:rFonts w:ascii="Times New Roman" w:hAnsi="Times New Roman" w:cs="Times New Roman"/>
          <w:b/>
          <w:iCs/>
          <w:sz w:val="24"/>
          <w:szCs w:val="24"/>
        </w:rPr>
        <w:t>jednostki dominującej najwyższego szczebla</w:t>
      </w:r>
      <w:r w:rsidRPr="00C96268">
        <w:rPr>
          <w:rFonts w:ascii="Times New Roman" w:hAnsi="Times New Roman" w:cs="Times New Roman"/>
          <w:bCs/>
          <w:iCs/>
          <w:sz w:val="24"/>
          <w:szCs w:val="24"/>
        </w:rPr>
        <w:t xml:space="preserve">, </w:t>
      </w:r>
      <w:r w:rsidRPr="00C96268">
        <w:rPr>
          <w:rFonts w:ascii="Times New Roman" w:hAnsi="Times New Roman" w:cs="Times New Roman"/>
          <w:iCs/>
          <w:sz w:val="24"/>
          <w:szCs w:val="24"/>
        </w:rPr>
        <w:t xml:space="preserve">zlokalizowanej </w:t>
      </w:r>
      <w:r w:rsidRPr="00C96268">
        <w:rPr>
          <w:rFonts w:ascii="Times New Roman" w:hAnsi="Times New Roman" w:cs="Times New Roman"/>
          <w:bCs/>
          <w:iCs/>
          <w:sz w:val="24"/>
          <w:szCs w:val="24"/>
        </w:rPr>
        <w:t xml:space="preserve">na terytorium RP albo w </w:t>
      </w:r>
      <w:r w:rsidR="000118EC" w:rsidRPr="00C96268">
        <w:rPr>
          <w:rFonts w:ascii="Times New Roman" w:hAnsi="Times New Roman" w:cs="Times New Roman"/>
          <w:bCs/>
          <w:iCs/>
          <w:sz w:val="24"/>
          <w:szCs w:val="24"/>
        </w:rPr>
        <w:t>innej jurysdykcji</w:t>
      </w:r>
      <w:r w:rsidRPr="00C96268">
        <w:rPr>
          <w:rFonts w:ascii="Times New Roman" w:hAnsi="Times New Roman" w:cs="Times New Roman"/>
          <w:bCs/>
          <w:iCs/>
          <w:sz w:val="24"/>
          <w:szCs w:val="24"/>
        </w:rPr>
        <w:t xml:space="preserve">, która to jednostka jest zobowiązana do rozliczenia odpowiednio globalnego podatku wyrównawczego albo równoważnego podatku w </w:t>
      </w:r>
      <w:r w:rsidR="000118EC" w:rsidRPr="00C96268">
        <w:rPr>
          <w:rFonts w:ascii="Times New Roman" w:hAnsi="Times New Roman" w:cs="Times New Roman"/>
          <w:bCs/>
          <w:iCs/>
          <w:sz w:val="24"/>
          <w:szCs w:val="24"/>
        </w:rPr>
        <w:t xml:space="preserve">jurysdykcji </w:t>
      </w:r>
      <w:r w:rsidRPr="00C96268">
        <w:rPr>
          <w:rFonts w:ascii="Times New Roman" w:hAnsi="Times New Roman" w:cs="Times New Roman"/>
          <w:bCs/>
          <w:iCs/>
          <w:sz w:val="24"/>
          <w:szCs w:val="24"/>
        </w:rPr>
        <w:t>ich lokalizacji w oparciu o kwalifikowaną zasadę włączenia dochodu do opodatkowania,</w:t>
      </w:r>
    </w:p>
    <w:p w14:paraId="752A06F2" w14:textId="77777777" w:rsidR="006C6FE0" w:rsidRPr="00C96268" w:rsidRDefault="006C6FE0" w:rsidP="00B6504F">
      <w:pPr>
        <w:numPr>
          <w:ilvl w:val="0"/>
          <w:numId w:val="37"/>
        </w:numPr>
        <w:spacing w:after="120"/>
        <w:jc w:val="both"/>
        <w:rPr>
          <w:rFonts w:ascii="Times New Roman" w:hAnsi="Times New Roman" w:cs="Times New Roman"/>
          <w:bCs/>
          <w:iCs/>
          <w:sz w:val="24"/>
          <w:szCs w:val="24"/>
        </w:rPr>
      </w:pPr>
      <w:r w:rsidRPr="00C96268">
        <w:rPr>
          <w:rFonts w:ascii="Times New Roman" w:hAnsi="Times New Roman" w:cs="Times New Roman"/>
          <w:b/>
          <w:iCs/>
          <w:sz w:val="24"/>
          <w:szCs w:val="24"/>
        </w:rPr>
        <w:t>jednostek wyłączonych</w:t>
      </w:r>
      <w:r w:rsidRPr="00C96268">
        <w:rPr>
          <w:rFonts w:ascii="Times New Roman" w:hAnsi="Times New Roman" w:cs="Times New Roman"/>
          <w:bCs/>
          <w:iCs/>
          <w:sz w:val="24"/>
          <w:szCs w:val="24"/>
        </w:rPr>
        <w:t>,</w:t>
      </w:r>
    </w:p>
    <w:p w14:paraId="6859709E" w14:textId="6BA0881E" w:rsidR="006C6FE0" w:rsidRPr="00C96268" w:rsidRDefault="006C6FE0" w:rsidP="00B6504F">
      <w:pPr>
        <w:numPr>
          <w:ilvl w:val="0"/>
          <w:numId w:val="37"/>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lastRenderedPageBreak/>
        <w:t xml:space="preserve">jednostki o charakterze pomocniczej jednostki wyłączonej, tj. takiej której udziały własnościowe posiada bezpośrednio jednostka składowa będąca jednostką wyłączona, jeżeli ta jednostka pomocnicza spełnia odpowiednie warunki co do typu działalności i źródeł dochodu  (tj. prowadzi określony typ działalności lub osiąga prawie cały dochód z dywidend wyłączonych lub z wyłączonych zysków (strat) kapitałowych; należy jednak zauważyć, iż zakres tych warunków jest bardziej liberalny niż dla podobnych jednostek uregulowanych w </w:t>
      </w:r>
      <w:r w:rsidRPr="00C96268">
        <w:rPr>
          <w:rFonts w:ascii="Times New Roman" w:hAnsi="Times New Roman" w:cs="Times New Roman"/>
          <w:b/>
          <w:iCs/>
          <w:sz w:val="24"/>
          <w:szCs w:val="24"/>
        </w:rPr>
        <w:t xml:space="preserve">art. 5 ust. </w:t>
      </w:r>
      <w:r w:rsidR="00364BF1" w:rsidRPr="00C96268">
        <w:rPr>
          <w:rFonts w:ascii="Times New Roman" w:hAnsi="Times New Roman" w:cs="Times New Roman"/>
          <w:b/>
          <w:iCs/>
          <w:sz w:val="24"/>
          <w:szCs w:val="24"/>
        </w:rPr>
        <w:t>2</w:t>
      </w:r>
      <w:r w:rsidRPr="00C96268">
        <w:rPr>
          <w:rFonts w:ascii="Times New Roman" w:hAnsi="Times New Roman" w:cs="Times New Roman"/>
          <w:b/>
          <w:iCs/>
          <w:sz w:val="24"/>
          <w:szCs w:val="24"/>
        </w:rPr>
        <w:t xml:space="preserve"> pkt 7 lub 8</w:t>
      </w:r>
      <w:r w:rsidRPr="00C96268">
        <w:rPr>
          <w:rFonts w:ascii="Times New Roman" w:hAnsi="Times New Roman" w:cs="Times New Roman"/>
          <w:bCs/>
          <w:iCs/>
          <w:sz w:val="24"/>
          <w:szCs w:val="24"/>
        </w:rPr>
        <w:t>; brak bowiem wymogu co do wysokości udziałów lub wartości praw),</w:t>
      </w:r>
    </w:p>
    <w:p w14:paraId="4A423D3B" w14:textId="77777777" w:rsidR="006C6FE0" w:rsidRPr="00C96268" w:rsidRDefault="006C6FE0" w:rsidP="00B6504F">
      <w:pPr>
        <w:numPr>
          <w:ilvl w:val="0"/>
          <w:numId w:val="37"/>
        </w:numPr>
        <w:spacing w:after="120"/>
        <w:jc w:val="both"/>
        <w:rPr>
          <w:rFonts w:ascii="Times New Roman" w:hAnsi="Times New Roman" w:cs="Times New Roman"/>
          <w:bCs/>
          <w:iCs/>
          <w:sz w:val="24"/>
          <w:szCs w:val="24"/>
        </w:rPr>
      </w:pPr>
      <w:r w:rsidRPr="00C96268">
        <w:rPr>
          <w:rFonts w:ascii="Times New Roman" w:hAnsi="Times New Roman" w:cs="Times New Roman"/>
          <w:sz w:val="24"/>
          <w:szCs w:val="24"/>
        </w:rPr>
        <w:t>jednostki, której udziały własnościowe są posiadane wyłącznie przez jednostki składowe będące jednostkami wyłączonymi, należącymi do grupy, w której skład wchodzą tylko takie wyłączone jednostki lub,</w:t>
      </w:r>
    </w:p>
    <w:p w14:paraId="6A33E67C" w14:textId="77777777" w:rsidR="006C6FE0" w:rsidRPr="00C96268" w:rsidRDefault="006C6FE0" w:rsidP="00B6504F">
      <w:pPr>
        <w:numPr>
          <w:ilvl w:val="0"/>
          <w:numId w:val="37"/>
        </w:numPr>
        <w:spacing w:after="120"/>
        <w:jc w:val="both"/>
        <w:rPr>
          <w:rFonts w:ascii="Times New Roman" w:hAnsi="Times New Roman" w:cs="Times New Roman"/>
          <w:bCs/>
          <w:iCs/>
          <w:sz w:val="24"/>
          <w:szCs w:val="24"/>
        </w:rPr>
      </w:pPr>
      <w:r w:rsidRPr="00C96268">
        <w:rPr>
          <w:rFonts w:ascii="Times New Roman" w:hAnsi="Times New Roman" w:cs="Times New Roman"/>
          <w:sz w:val="24"/>
          <w:szCs w:val="24"/>
        </w:rPr>
        <w:t>jednostki zależnej joint venture.</w:t>
      </w:r>
    </w:p>
    <w:p w14:paraId="641E0C05"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 kolei, zgodnie z </w:t>
      </w:r>
      <w:r w:rsidRPr="00C96268">
        <w:rPr>
          <w:rFonts w:ascii="Times New Roman" w:hAnsi="Times New Roman" w:cs="Times New Roman"/>
          <w:b/>
          <w:iCs/>
          <w:sz w:val="24"/>
          <w:szCs w:val="24"/>
        </w:rPr>
        <w:t>art. 2 ust. 1 pkt 21</w:t>
      </w:r>
      <w:r w:rsidRPr="00C96268">
        <w:rPr>
          <w:rFonts w:ascii="Times New Roman" w:hAnsi="Times New Roman" w:cs="Times New Roman"/>
          <w:bCs/>
          <w:iCs/>
          <w:sz w:val="24"/>
          <w:szCs w:val="24"/>
        </w:rPr>
        <w:t>, jednostka zależna joint venture oznacza jednostkę, której aktywa, zobowiązania, przychody, koszty i przepływy pieniężne są konsolidowane przez jednostkę joint venture zgodnie z akceptowalnym standardem rachunkowości lub byłyby konsolidowane, gdyby jednostka joint venture była zobowiązana do konsolidacji takich aktywów, zobowiązań, przychodów, kosztów i przepływów pieniężnych zgodnie z takim standardem. Definicja jednostki zależnej joint venture obejmuje stały zakład, którego centralą jest jednostka joint venture albo inna jednostka zależna joint venture. Stały zakład traktowany jest jako odrębna jednostka zależna joint venture.</w:t>
      </w:r>
    </w:p>
    <w:p w14:paraId="6FC00803"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Na potrzeby Systemu GloBE uznaje się, że jednostki joint venture i jednostki zależne joint venture mogą tworzyć grupę joint venture. Zgodnie z </w:t>
      </w:r>
      <w:r w:rsidRPr="00C96268">
        <w:rPr>
          <w:rFonts w:ascii="Times New Roman" w:hAnsi="Times New Roman" w:cs="Times New Roman"/>
          <w:b/>
          <w:iCs/>
          <w:sz w:val="24"/>
          <w:szCs w:val="24"/>
        </w:rPr>
        <w:t>art. 2 ust. 1 pkt 8</w:t>
      </w:r>
      <w:r w:rsidRPr="00C96268">
        <w:rPr>
          <w:rFonts w:ascii="Times New Roman" w:hAnsi="Times New Roman" w:cs="Times New Roman"/>
          <w:bCs/>
          <w:iCs/>
          <w:sz w:val="24"/>
          <w:szCs w:val="24"/>
        </w:rPr>
        <w:t xml:space="preserve"> grupa joint venture oznacza grupę co najmniej dwóch jednostek, z których jedna jest jednostką joint venture, a pozostałe są jednostkami zależnymi joint venture.</w:t>
      </w:r>
    </w:p>
    <w:p w14:paraId="35004005" w14:textId="77777777" w:rsidR="006C6FE0" w:rsidRPr="00C96268" w:rsidRDefault="006C6FE0" w:rsidP="006C6FE0">
      <w:pPr>
        <w:rPr>
          <w:rFonts w:ascii="Times New Roman" w:hAnsi="Times New Roman" w:cs="Times New Roman"/>
          <w:iCs/>
          <w:sz w:val="24"/>
          <w:szCs w:val="24"/>
        </w:rPr>
      </w:pPr>
      <w:r w:rsidRPr="00C96268">
        <w:rPr>
          <w:rFonts w:ascii="Times New Roman" w:hAnsi="Times New Roman" w:cs="Times New Roman"/>
          <w:i/>
          <w:iCs/>
          <w:sz w:val="24"/>
          <w:szCs w:val="24"/>
        </w:rPr>
        <w:t>Obliczenie globalnego podatku wyrównawczego dla jednostek joint venture</w:t>
      </w:r>
    </w:p>
    <w:p w14:paraId="65A4CD11"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Jednostki należące do grupy joint venture nie są formalnie jednostkami składowymi;   jednakże są one traktowane jak jednostki składowe dla celów obliczenia ich efektywnej stawki podatkowej i globalnego podatku wyrównawczego przez ich jednostki dominujące, zgodnie z </w:t>
      </w:r>
      <w:r w:rsidRPr="00C96268">
        <w:rPr>
          <w:rFonts w:ascii="Times New Roman" w:hAnsi="Times New Roman" w:cs="Times New Roman"/>
          <w:b/>
          <w:iCs/>
          <w:sz w:val="24"/>
          <w:szCs w:val="24"/>
        </w:rPr>
        <w:t>art. 22 ust. 1</w:t>
      </w:r>
      <w:r w:rsidRPr="00C96268">
        <w:rPr>
          <w:rFonts w:ascii="Times New Roman" w:hAnsi="Times New Roman" w:cs="Times New Roman"/>
          <w:bCs/>
          <w:iCs/>
          <w:sz w:val="24"/>
          <w:szCs w:val="24"/>
        </w:rPr>
        <w:t>.</w:t>
      </w:r>
    </w:p>
    <w:p w14:paraId="7E5BE96D"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w:t>
      </w:r>
      <w:r w:rsidRPr="00C96268">
        <w:rPr>
          <w:rFonts w:ascii="Times New Roman" w:hAnsi="Times New Roman" w:cs="Times New Roman"/>
          <w:b/>
          <w:iCs/>
          <w:sz w:val="24"/>
          <w:szCs w:val="24"/>
        </w:rPr>
        <w:t>art. 22 ust. 2</w:t>
      </w:r>
      <w:r w:rsidRPr="00C96268">
        <w:rPr>
          <w:rFonts w:ascii="Times New Roman" w:hAnsi="Times New Roman" w:cs="Times New Roman"/>
          <w:bCs/>
          <w:iCs/>
          <w:sz w:val="24"/>
          <w:szCs w:val="24"/>
        </w:rPr>
        <w:t xml:space="preserve"> </w:t>
      </w:r>
      <w:r w:rsidRPr="00C96268">
        <w:rPr>
          <w:rFonts w:ascii="Times New Roman" w:hAnsi="Times New Roman" w:cs="Times New Roman"/>
          <w:b/>
          <w:iCs/>
          <w:sz w:val="24"/>
          <w:szCs w:val="24"/>
        </w:rPr>
        <w:t>pkt 1</w:t>
      </w:r>
      <w:r w:rsidRPr="00C96268">
        <w:rPr>
          <w:rFonts w:ascii="Times New Roman" w:hAnsi="Times New Roman" w:cs="Times New Roman"/>
          <w:bCs/>
          <w:iCs/>
          <w:sz w:val="24"/>
          <w:szCs w:val="24"/>
        </w:rPr>
        <w:t xml:space="preserve"> globalny podatek wyrównawczy w odniesieniu do jednostek joint venture </w:t>
      </w:r>
      <w:r w:rsidRPr="00C96268">
        <w:rPr>
          <w:rFonts w:ascii="Times New Roman" w:hAnsi="Times New Roman" w:cs="Times New Roman"/>
          <w:bCs/>
          <w:iCs/>
          <w:sz w:val="24"/>
          <w:szCs w:val="24"/>
        </w:rPr>
        <w:br/>
        <w:t>i jednostek zależnych joint venture oblicza się tak, jakby jednostki te były jednostkami składowymi odrębnej grupy, a jednostka joint venture była jednostką dominującą najwyższego szczebla tej grupy. Jednostki te tworzą zatem rodzaj podgrupy, która determinuje zbiór jednostek rozpatrywanych przy obliczeniu ETR i na poszczególnych etapach obliczania globalnego podatku wyrównawczego. Takie podejście pozwala także na przyjęcie - na potrzeby ustalenia kwalifikowanego dochodu (straty) - standardu rachunkowości stosowanego przez jednostkę joint venture (zrównaną w tym przypadku z UPE), zamiast standardu rachunkowości stosowanego przez „zwykłą” UPE na potrzeby skonsolidowanego sprawozdania finansowego.</w:t>
      </w:r>
    </w:p>
    <w:p w14:paraId="2716FC27" w14:textId="77777777" w:rsidR="006C6FE0" w:rsidRPr="00C96268" w:rsidRDefault="006C6FE0" w:rsidP="006C6FE0">
      <w:pPr>
        <w:spacing w:before="120"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Ponadto, </w:t>
      </w:r>
      <w:r w:rsidRPr="00C96268">
        <w:rPr>
          <w:rFonts w:ascii="Times New Roman" w:hAnsi="Times New Roman" w:cs="Times New Roman"/>
          <w:b/>
          <w:iCs/>
          <w:sz w:val="24"/>
          <w:szCs w:val="24"/>
        </w:rPr>
        <w:t xml:space="preserve">art. 22 ust. 2 pkt 2 </w:t>
      </w:r>
      <w:r w:rsidRPr="00C96268">
        <w:rPr>
          <w:rFonts w:ascii="Times New Roman" w:hAnsi="Times New Roman" w:cs="Times New Roman"/>
          <w:bCs/>
          <w:iCs/>
          <w:sz w:val="24"/>
          <w:szCs w:val="24"/>
        </w:rPr>
        <w:t xml:space="preserve">potwierdza, że jeżeli jednostka dominująca (w szerokim sensie, tj. UPE, IPE lub POPE) posiada bezpośrednio lub pośrednio udziały własnościowe w jednostce joint venture lub w jednostce zależnej joint venture, oblicza swój udziałowy globalny podatek wyrównawczy zgodnie z przepisami rozdziału 1. W ramach tego obliczenia uwzględnia swój </w:t>
      </w:r>
      <w:r w:rsidRPr="00C96268">
        <w:rPr>
          <w:rFonts w:ascii="Times New Roman" w:hAnsi="Times New Roman" w:cs="Times New Roman"/>
          <w:bCs/>
          <w:iCs/>
          <w:sz w:val="24"/>
          <w:szCs w:val="24"/>
        </w:rPr>
        <w:lastRenderedPageBreak/>
        <w:t>udział procentowy w danej jednostce joint venture lub jednostce zależnej joint venture. W tym zakresie stosuje się odpowiednio przepis art. 15 ust. 2, który reguluje udział procentowy jednostki dominującej w oparciu o kwotę kwalifikowanego dochodu, który jest jej należny.</w:t>
      </w:r>
    </w:p>
    <w:p w14:paraId="37D419E4" w14:textId="43F1C45C" w:rsidR="006C6FE0" w:rsidRPr="00C96268" w:rsidRDefault="006C6FE0" w:rsidP="006C6FE0">
      <w:pPr>
        <w:spacing w:before="120" w:after="120"/>
        <w:jc w:val="both"/>
        <w:rPr>
          <w:rFonts w:ascii="Times New Roman" w:hAnsi="Times New Roman" w:cs="Times New Roman"/>
          <w:bCs/>
          <w:iCs/>
          <w:sz w:val="24"/>
          <w:szCs w:val="24"/>
        </w:rPr>
      </w:pPr>
      <w:r w:rsidRPr="00C96268">
        <w:rPr>
          <w:rFonts w:ascii="Times New Roman" w:hAnsi="Times New Roman" w:cs="Times New Roman"/>
          <w:b/>
          <w:iCs/>
          <w:sz w:val="24"/>
          <w:szCs w:val="24"/>
        </w:rPr>
        <w:t xml:space="preserve">Art. 22 ust. 3 </w:t>
      </w:r>
      <w:r w:rsidRPr="00C96268">
        <w:rPr>
          <w:rFonts w:ascii="Times New Roman" w:hAnsi="Times New Roman" w:cs="Times New Roman"/>
          <w:bCs/>
          <w:iCs/>
          <w:sz w:val="24"/>
          <w:szCs w:val="24"/>
        </w:rPr>
        <w:t xml:space="preserve">obejmuje szczególną regulację, która służy jako zabezpieczenie na wypadek, gdyby dana jednostka dominująca nie była zobowiązana do rozliczenia globalnego podatku wyrównawczego albo odpowiedniego podatku w </w:t>
      </w:r>
      <w:r w:rsidR="000118EC" w:rsidRPr="00C96268">
        <w:rPr>
          <w:rFonts w:ascii="Times New Roman" w:hAnsi="Times New Roman" w:cs="Times New Roman"/>
          <w:bCs/>
          <w:iCs/>
          <w:sz w:val="24"/>
          <w:szCs w:val="24"/>
        </w:rPr>
        <w:t xml:space="preserve">jurysdykcji </w:t>
      </w:r>
      <w:r w:rsidRPr="00C96268">
        <w:rPr>
          <w:rFonts w:ascii="Times New Roman" w:hAnsi="Times New Roman" w:cs="Times New Roman"/>
          <w:bCs/>
          <w:iCs/>
          <w:sz w:val="24"/>
          <w:szCs w:val="24"/>
        </w:rPr>
        <w:t xml:space="preserve">swojej lokalizacji, np. byłaby jednostką wyłączoną lub byłaby zlokalizowana w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w:t>
      </w:r>
      <w:r w:rsidR="000118EC" w:rsidRPr="00C96268">
        <w:rPr>
          <w:rFonts w:ascii="Times New Roman" w:hAnsi="Times New Roman" w:cs="Times New Roman"/>
          <w:bCs/>
          <w:iCs/>
          <w:sz w:val="24"/>
          <w:szCs w:val="24"/>
        </w:rPr>
        <w:t xml:space="preserve">która </w:t>
      </w:r>
      <w:r w:rsidRPr="00C96268">
        <w:rPr>
          <w:rFonts w:ascii="Times New Roman" w:hAnsi="Times New Roman" w:cs="Times New Roman"/>
          <w:bCs/>
          <w:iCs/>
          <w:sz w:val="24"/>
          <w:szCs w:val="24"/>
        </w:rPr>
        <w:t xml:space="preserve">nie </w:t>
      </w:r>
      <w:r w:rsidR="000118EC" w:rsidRPr="00C96268">
        <w:rPr>
          <w:rFonts w:ascii="Times New Roman" w:hAnsi="Times New Roman" w:cs="Times New Roman"/>
          <w:bCs/>
          <w:iCs/>
          <w:sz w:val="24"/>
          <w:szCs w:val="24"/>
        </w:rPr>
        <w:t xml:space="preserve">wprowadziła </w:t>
      </w:r>
      <w:r w:rsidRPr="00C96268">
        <w:rPr>
          <w:rFonts w:ascii="Times New Roman" w:hAnsi="Times New Roman" w:cs="Times New Roman"/>
          <w:bCs/>
          <w:iCs/>
          <w:sz w:val="24"/>
          <w:szCs w:val="24"/>
        </w:rPr>
        <w:t xml:space="preserve">Zasad GloBE. W takiej sytuacji kwota podatku, która pozostawałaby nierozliczona przez tego typu jednostki dominujące, składa się na całkowitą kwotę podatku od niedostatecznie opodatkowanych zysków, o której mowa w art. 35 ust. 1. Taka potencjalna nierozliczona kwota podlega zatem rozliczeniu na zasadach właściwych dla podatku od niedostatecznie opodatkowanych zysków, zgodnie z przepisami działu IV. Aby wyliczyć taką nierozliczoną kwotę, od „podatku wyrównawczego grupy joint venture” (który ma wyrażać maksymalną możliwą kwotę podatku) odejmuje się sumę udziałowych globalnych podatków wyrównawczych polskich jednostek dominujących lub odpowiednich podatków jednostek dominujących zlokalizowanych w innych </w:t>
      </w:r>
      <w:r w:rsidR="000118EC" w:rsidRPr="00C96268">
        <w:rPr>
          <w:rFonts w:ascii="Times New Roman" w:hAnsi="Times New Roman" w:cs="Times New Roman"/>
          <w:sz w:val="24"/>
          <w:szCs w:val="24"/>
        </w:rPr>
        <w:t xml:space="preserve">jurysdykcjach </w:t>
      </w:r>
      <w:r w:rsidRPr="00C96268">
        <w:rPr>
          <w:rFonts w:ascii="Times New Roman" w:hAnsi="Times New Roman" w:cs="Times New Roman"/>
          <w:bCs/>
          <w:iCs/>
          <w:sz w:val="24"/>
          <w:szCs w:val="24"/>
        </w:rPr>
        <w:t xml:space="preserve">stosujących Zasadę IIR. Innymi słowy odejmuje się wszelkie kwoty „udziałowego podatku”, które są pobierane zgodnie z Zasadą IIR albo Kwalifikowaną Zasadą IIR, bowiem przepisy </w:t>
      </w:r>
      <w:r w:rsidR="000118EC" w:rsidRPr="00C96268">
        <w:rPr>
          <w:rFonts w:ascii="Times New Roman" w:hAnsi="Times New Roman" w:cs="Times New Roman"/>
          <w:bCs/>
          <w:iCs/>
          <w:sz w:val="24"/>
          <w:szCs w:val="24"/>
        </w:rPr>
        <w:t xml:space="preserve">danej jurysdykcji </w:t>
      </w:r>
      <w:r w:rsidRPr="00C96268">
        <w:rPr>
          <w:rFonts w:ascii="Times New Roman" w:hAnsi="Times New Roman" w:cs="Times New Roman"/>
          <w:bCs/>
          <w:iCs/>
          <w:sz w:val="24"/>
          <w:szCs w:val="24"/>
        </w:rPr>
        <w:t>regulują taką zasadę. „Podatek wyrównawczy grupy joint venture” jest natomiast maksymalną (hipotetyczną) sumą podatku w odniesieniu do grupy joint venture. Sumę tę wylicza się jako sumę kwot udziałowego globalnego podatku wyrównawczego „zwykłej” UPE w odniesieniu do poszczególnych jednostek grupy joint venture, bez pomniejszania o „udziałowe podatki” innych jednostek dominujących niżej w strukturze (taki mechanizm ma wyrażać maksymalną możliwą kwotę podatku).</w:t>
      </w:r>
      <w:r w:rsidRPr="00C96268">
        <w:rPr>
          <w:rStyle w:val="Odwoanieprzypisudolnego"/>
          <w:rFonts w:ascii="Times New Roman" w:hAnsi="Times New Roman" w:cs="Times New Roman"/>
          <w:bCs/>
          <w:iCs/>
          <w:sz w:val="24"/>
          <w:szCs w:val="24"/>
        </w:rPr>
        <w:footnoteReference w:id="86"/>
      </w:r>
    </w:p>
    <w:p w14:paraId="5EF222BB" w14:textId="1624942E" w:rsidR="006C6FE0" w:rsidRPr="003E7A67" w:rsidRDefault="006C6FE0" w:rsidP="00FE681A">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0A2B5726" w14:textId="77777777" w:rsidR="006C6FE0" w:rsidRPr="003E7A67" w:rsidRDefault="006C6FE0" w:rsidP="00FE681A">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UPE posiada 50% udziałów własnościowych w jednostce joint venture B. Jednostka B jest właścicielem 80% udziałów własnościowych w jednostce zależnej joint venture C. Obie jednostki B i C są nisko opodatkowanymi jednostkami składowymi, a jednostkowy globalny podatek wyrównawczy przypadający na każdą z nich został ustalony w wysokości 100. Udziałowy globalny podatek wyrównawczy UPE w odniesieniu do jednostki joint venture (B) wynosi 50 (100 x 50%). Udziałowy globalny podatek wyrównawczy UPE w odniesieniu do jednostki zależnej joint venture (C) wynosi 40 (100 x 50% x 80%). „Podatek wyrównawczy grupy joint venture” (JV Group Top-up Tax) wyniesie 90 (50+40). Kalkulując taką sumę, kwot udziałowego podatku UPE nie pomniejsza się o ewentualne udziałowe podatki przypadające na IPE lub POPE.</w:t>
      </w:r>
    </w:p>
    <w:p w14:paraId="3BBAFFE8" w14:textId="77777777" w:rsidR="006C6FE0" w:rsidRPr="00C96268" w:rsidRDefault="006C6FE0" w:rsidP="00FE681A">
      <w:pPr>
        <w:spacing w:before="240"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Finalnie, zgodnie z </w:t>
      </w:r>
      <w:r w:rsidRPr="00C96268">
        <w:rPr>
          <w:rFonts w:ascii="Times New Roman" w:hAnsi="Times New Roman" w:cs="Times New Roman"/>
          <w:b/>
          <w:iCs/>
          <w:sz w:val="24"/>
          <w:szCs w:val="24"/>
        </w:rPr>
        <w:t>ust. 5</w:t>
      </w:r>
      <w:r w:rsidRPr="00C96268">
        <w:rPr>
          <w:rFonts w:ascii="Times New Roman" w:hAnsi="Times New Roman" w:cs="Times New Roman"/>
          <w:bCs/>
          <w:iCs/>
          <w:sz w:val="24"/>
          <w:szCs w:val="24"/>
        </w:rPr>
        <w:t xml:space="preserve">, wskazane przepisy stosuje się odpowiednio w przypadku, gdy jednostka joint venture nie posiada jednostki zależnej joint venture, tj. jednostka dominująca rozlicza podatek </w:t>
      </w:r>
      <w:r w:rsidRPr="00C96268">
        <w:rPr>
          <w:rFonts w:ascii="Times New Roman" w:hAnsi="Times New Roman" w:cs="Times New Roman"/>
          <w:bCs/>
          <w:iCs/>
          <w:sz w:val="24"/>
          <w:szCs w:val="24"/>
        </w:rPr>
        <w:br/>
        <w:t>w odniesieniu do takiej pojedynczej jednostki joint venture na opisanych wyżej zasadach.</w:t>
      </w:r>
    </w:p>
    <w:p w14:paraId="23E6EBFF"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23 Mniejszościowe jednostki składowe</w:t>
      </w:r>
    </w:p>
    <w:p w14:paraId="6CF84CA2" w14:textId="77777777" w:rsidR="006C6FE0" w:rsidRPr="00C96268" w:rsidRDefault="006C6FE0" w:rsidP="006C6FE0">
      <w:pPr>
        <w:rPr>
          <w:rFonts w:ascii="Times New Roman" w:hAnsi="Times New Roman" w:cs="Times New Roman"/>
          <w:iCs/>
          <w:sz w:val="24"/>
          <w:szCs w:val="24"/>
        </w:rPr>
      </w:pPr>
      <w:r w:rsidRPr="00C96268">
        <w:rPr>
          <w:rFonts w:ascii="Times New Roman" w:hAnsi="Times New Roman" w:cs="Times New Roman"/>
          <w:i/>
          <w:iCs/>
          <w:sz w:val="24"/>
          <w:szCs w:val="24"/>
        </w:rPr>
        <w:t>Definicja mniejszościowej jednostki składowej</w:t>
      </w:r>
    </w:p>
    <w:p w14:paraId="0CA0C922"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lastRenderedPageBreak/>
        <w:t>Niniejsze przepisy obejmują specjalne zasady dotyczące obliczania efektywnej stawki opodatkowania i globalnego podatku wyrównawczego dla mniejszościowych jednostek składowych.</w:t>
      </w:r>
    </w:p>
    <w:p w14:paraId="0F50CE95" w14:textId="0892CAC8"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w:t>
      </w:r>
      <w:r w:rsidRPr="00C96268">
        <w:rPr>
          <w:rFonts w:ascii="Times New Roman" w:hAnsi="Times New Roman" w:cs="Times New Roman"/>
          <w:b/>
          <w:iCs/>
          <w:sz w:val="24"/>
          <w:szCs w:val="24"/>
        </w:rPr>
        <w:t>art. 2 ust. 1 pkt 2</w:t>
      </w:r>
      <w:r w:rsidR="004847DF" w:rsidRPr="00C96268">
        <w:rPr>
          <w:rFonts w:ascii="Times New Roman" w:hAnsi="Times New Roman" w:cs="Times New Roman"/>
          <w:b/>
          <w:iCs/>
          <w:sz w:val="24"/>
          <w:szCs w:val="24"/>
        </w:rPr>
        <w:t>9</w:t>
      </w:r>
      <w:r w:rsidRPr="00C96268">
        <w:rPr>
          <w:rFonts w:ascii="Times New Roman" w:hAnsi="Times New Roman" w:cs="Times New Roman"/>
          <w:bCs/>
          <w:iCs/>
          <w:sz w:val="24"/>
          <w:szCs w:val="24"/>
        </w:rPr>
        <w:t xml:space="preserve"> </w:t>
      </w:r>
      <w:r w:rsidRPr="00C96268">
        <w:rPr>
          <w:rFonts w:ascii="Times New Roman" w:hAnsi="Times New Roman" w:cs="Times New Roman"/>
          <w:b/>
          <w:iCs/>
          <w:sz w:val="24"/>
          <w:szCs w:val="24"/>
        </w:rPr>
        <w:t>mniejszościowa jednostka składowa</w:t>
      </w:r>
      <w:r w:rsidRPr="00C96268">
        <w:rPr>
          <w:rFonts w:ascii="Times New Roman" w:hAnsi="Times New Roman" w:cs="Times New Roman"/>
          <w:bCs/>
          <w:iCs/>
          <w:sz w:val="24"/>
          <w:szCs w:val="24"/>
        </w:rPr>
        <w:t xml:space="preserve"> oznacza jednostkę składową, w której jednostka dominująca najwyższego szczebla posiada bezpośrednio lub pośrednio </w:t>
      </w:r>
      <w:r w:rsidRPr="00C96268">
        <w:rPr>
          <w:rFonts w:ascii="Times New Roman" w:hAnsi="Times New Roman" w:cs="Times New Roman"/>
          <w:b/>
          <w:iCs/>
          <w:sz w:val="24"/>
          <w:szCs w:val="24"/>
        </w:rPr>
        <w:t>nie więcej niż 30%</w:t>
      </w:r>
      <w:r w:rsidRPr="00C96268">
        <w:rPr>
          <w:rFonts w:ascii="Times New Roman" w:hAnsi="Times New Roman" w:cs="Times New Roman"/>
          <w:bCs/>
          <w:iCs/>
          <w:sz w:val="24"/>
          <w:szCs w:val="24"/>
        </w:rPr>
        <w:t xml:space="preserve"> udziałów własnościowych.</w:t>
      </w:r>
    </w:p>
    <w:p w14:paraId="2A11EA92" w14:textId="7FD3851A"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Mniejszościowa jednostka składowa może występować jako jednostka dominująca względem innej mniejszościowej jednostki składowej. Zgodnie z </w:t>
      </w:r>
      <w:r w:rsidRPr="00C96268">
        <w:rPr>
          <w:rFonts w:ascii="Times New Roman" w:hAnsi="Times New Roman" w:cs="Times New Roman"/>
          <w:b/>
          <w:iCs/>
          <w:sz w:val="24"/>
          <w:szCs w:val="24"/>
        </w:rPr>
        <w:t>art. 2 ust. 1 pkt 2</w:t>
      </w:r>
      <w:r w:rsidR="004847DF" w:rsidRPr="00C96268">
        <w:rPr>
          <w:rFonts w:ascii="Times New Roman" w:hAnsi="Times New Roman" w:cs="Times New Roman"/>
          <w:b/>
          <w:iCs/>
          <w:sz w:val="24"/>
          <w:szCs w:val="24"/>
        </w:rPr>
        <w:t>8</w:t>
      </w:r>
      <w:r w:rsidRPr="00C96268">
        <w:rPr>
          <w:rFonts w:ascii="Times New Roman" w:hAnsi="Times New Roman" w:cs="Times New Roman"/>
          <w:bCs/>
          <w:iCs/>
          <w:sz w:val="24"/>
          <w:szCs w:val="24"/>
        </w:rPr>
        <w:t xml:space="preserve"> </w:t>
      </w:r>
      <w:r w:rsidRPr="00C96268">
        <w:rPr>
          <w:rFonts w:ascii="Times New Roman" w:hAnsi="Times New Roman" w:cs="Times New Roman"/>
          <w:b/>
          <w:iCs/>
          <w:sz w:val="24"/>
          <w:szCs w:val="24"/>
        </w:rPr>
        <w:t>mniejszościowa jednostka dominująca</w:t>
      </w:r>
      <w:r w:rsidRPr="00C96268">
        <w:rPr>
          <w:rFonts w:ascii="Times New Roman" w:hAnsi="Times New Roman" w:cs="Times New Roman"/>
          <w:bCs/>
          <w:iCs/>
          <w:sz w:val="24"/>
          <w:szCs w:val="24"/>
        </w:rPr>
        <w:t xml:space="preserve"> oznacza mniejszościową jednostkę składową, która posiada, bezpośrednio lub pośrednio, udziały konsolidujące w innej mniejszościowej jednostce składowej, z wyjątkiem sytuacji, gdy udziały konsolidujące w tej pierwszej jednostce są w posiadaniu, bezpośrednio lub pośrednio, innej mniejszościowej jednostki składowej. Odpowiednio do tego </w:t>
      </w:r>
      <w:r w:rsidRPr="00C96268">
        <w:rPr>
          <w:rFonts w:ascii="Times New Roman" w:hAnsi="Times New Roman" w:cs="Times New Roman"/>
          <w:b/>
          <w:iCs/>
          <w:sz w:val="24"/>
          <w:szCs w:val="24"/>
        </w:rPr>
        <w:t>mniejszościowa jednostka zależna</w:t>
      </w:r>
      <w:r w:rsidR="004847DF" w:rsidRPr="00C96268">
        <w:rPr>
          <w:rFonts w:ascii="Times New Roman" w:hAnsi="Times New Roman" w:cs="Times New Roman"/>
          <w:bCs/>
          <w:iCs/>
          <w:sz w:val="24"/>
          <w:szCs w:val="24"/>
        </w:rPr>
        <w:t xml:space="preserve"> </w:t>
      </w:r>
      <w:r w:rsidR="004847DF" w:rsidRPr="00C96268">
        <w:rPr>
          <w:rFonts w:ascii="Times New Roman" w:hAnsi="Times New Roman" w:cs="Times New Roman"/>
          <w:b/>
          <w:iCs/>
          <w:sz w:val="24"/>
          <w:szCs w:val="24"/>
        </w:rPr>
        <w:t>(art. 2 ust. 1 pkt 30)</w:t>
      </w:r>
      <w:r w:rsidRPr="00C96268">
        <w:rPr>
          <w:rFonts w:ascii="Times New Roman" w:hAnsi="Times New Roman" w:cs="Times New Roman"/>
          <w:bCs/>
          <w:iCs/>
          <w:sz w:val="24"/>
          <w:szCs w:val="24"/>
        </w:rPr>
        <w:t xml:space="preserve"> oznacza mniejszościową jednostkę składową, której udziały konsolidujące znajdują się w posiadaniu, bezpośrednio lub pośrednio, mniejszościowej jednostki dominującej. W przypadku, gdy wystąpi taka sytuacja, jednostki te tworzą podgrupę mniejszościową. Zgodnie z art. </w:t>
      </w:r>
      <w:r w:rsidRPr="00C96268">
        <w:rPr>
          <w:rFonts w:ascii="Times New Roman" w:hAnsi="Times New Roman" w:cs="Times New Roman"/>
          <w:b/>
          <w:iCs/>
          <w:sz w:val="24"/>
          <w:szCs w:val="24"/>
        </w:rPr>
        <w:t>2 ust. 1 pkt 3</w:t>
      </w:r>
      <w:r w:rsidR="004847DF" w:rsidRPr="00C96268">
        <w:rPr>
          <w:rFonts w:ascii="Times New Roman" w:hAnsi="Times New Roman" w:cs="Times New Roman"/>
          <w:b/>
          <w:iCs/>
          <w:sz w:val="24"/>
          <w:szCs w:val="24"/>
        </w:rPr>
        <w:t>5</w:t>
      </w:r>
      <w:r w:rsidRPr="00C96268">
        <w:rPr>
          <w:rFonts w:ascii="Times New Roman" w:hAnsi="Times New Roman" w:cs="Times New Roman"/>
          <w:bCs/>
          <w:iCs/>
          <w:sz w:val="24"/>
          <w:szCs w:val="24"/>
        </w:rPr>
        <w:t xml:space="preserve"> oznacza to grupę co najmniej dwóch jednostek składowych, w której jedną z tych jednostek jest mniejszościowa jednostka dominująca, a pozostałe jednostki są jej mniejszościowymi jednostkami zależnymi. </w:t>
      </w:r>
    </w:p>
    <w:p w14:paraId="0C609E9C" w14:textId="77777777" w:rsidR="006C6FE0" w:rsidRPr="00C96268" w:rsidRDefault="006C6FE0" w:rsidP="006C6FE0">
      <w:pPr>
        <w:jc w:val="both"/>
        <w:rPr>
          <w:rFonts w:ascii="Times New Roman" w:hAnsi="Times New Roman" w:cs="Times New Roman"/>
          <w:iCs/>
          <w:sz w:val="24"/>
          <w:szCs w:val="24"/>
        </w:rPr>
      </w:pPr>
      <w:r w:rsidRPr="00C96268">
        <w:rPr>
          <w:rFonts w:ascii="Times New Roman" w:hAnsi="Times New Roman" w:cs="Times New Roman"/>
          <w:i/>
          <w:iCs/>
          <w:sz w:val="24"/>
          <w:szCs w:val="24"/>
        </w:rPr>
        <w:t>Obliczenie globalnego podatku wyrównawczego dla mniejszościowych jednostek składowych</w:t>
      </w:r>
    </w:p>
    <w:p w14:paraId="71B189A8" w14:textId="03888B8F"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Mniejszościowe jednostki składowe i ich jednostki zależne </w:t>
      </w:r>
      <w:r w:rsidRPr="00C96268">
        <w:rPr>
          <w:rFonts w:ascii="Times New Roman" w:hAnsi="Times New Roman" w:cs="Times New Roman"/>
          <w:b/>
          <w:iCs/>
          <w:sz w:val="24"/>
          <w:szCs w:val="24"/>
        </w:rPr>
        <w:t>stanowią jednostki składowe</w:t>
      </w:r>
      <w:r w:rsidRPr="00C96268">
        <w:rPr>
          <w:rFonts w:ascii="Times New Roman" w:hAnsi="Times New Roman" w:cs="Times New Roman"/>
          <w:bCs/>
          <w:iCs/>
          <w:sz w:val="24"/>
          <w:szCs w:val="24"/>
        </w:rPr>
        <w:t xml:space="preserve">, ponieważ jednostka dominująca najwyższego szczebla posiada w nich udział konsolidujący, pomimo niewielkiego udziału procentowego. W tym zakresie potrzebne są specjalne zasady, ponieważ jednostka dominująca najwyższego szczebla może mieć kilka mniejszościowych jednostek składowych w </w:t>
      </w:r>
      <w:r w:rsidR="000118EC" w:rsidRPr="00C96268">
        <w:rPr>
          <w:rFonts w:ascii="Times New Roman" w:hAnsi="Times New Roman" w:cs="Times New Roman"/>
          <w:bCs/>
          <w:iCs/>
          <w:sz w:val="24"/>
          <w:szCs w:val="24"/>
        </w:rPr>
        <w:t>danej jurysdykcji</w:t>
      </w:r>
      <w:r w:rsidRPr="00C96268">
        <w:rPr>
          <w:rFonts w:ascii="Times New Roman" w:hAnsi="Times New Roman" w:cs="Times New Roman"/>
          <w:bCs/>
          <w:iCs/>
          <w:sz w:val="24"/>
          <w:szCs w:val="24"/>
        </w:rPr>
        <w:t xml:space="preserve">, ale posiadających różne grupy właścicieli spoza danej grupy międzynarodowej. Gdyby kwalifikowany dochód i skorygowane podatki kwalifikowane tych różnych mniejszościowych jednostek składowych były łączone w ramach obliczenia efektywnej stawki podatkowej, niskie podatki jednej jednostki mogłyby skutkować jurysdykcyjnym globalnym podatkiem wyrównawczym, którego koszt ponosiliby jednak częściowo właściciele innej mniejszościowej jednostki składowej (tj. właściciele spoza grupy). Chociaż taka sytuacja może też wystąpić w ramach zasad ogólnych ze względu na zasadę </w:t>
      </w:r>
      <w:r w:rsidRPr="00C96268">
        <w:rPr>
          <w:rFonts w:ascii="Times New Roman" w:hAnsi="Times New Roman" w:cs="Times New Roman"/>
          <w:bCs/>
          <w:i/>
          <w:iCs/>
          <w:sz w:val="24"/>
          <w:szCs w:val="24"/>
        </w:rPr>
        <w:t>jurisdictional blending</w:t>
      </w:r>
      <w:r w:rsidRPr="00C96268">
        <w:rPr>
          <w:rFonts w:ascii="Times New Roman" w:hAnsi="Times New Roman" w:cs="Times New Roman"/>
          <w:bCs/>
          <w:iCs/>
          <w:sz w:val="24"/>
          <w:szCs w:val="24"/>
        </w:rPr>
        <w:t xml:space="preserve">)=, to skala tego efektu w kontekście mniejszościowych jednostek składowych oraz potencjalny negatywny wpływ na te struktury inwestycyjne uzasadnia – w  zasady szczególne, o których mowa w </w:t>
      </w:r>
      <w:r w:rsidRPr="00C96268">
        <w:rPr>
          <w:rFonts w:ascii="Times New Roman" w:hAnsi="Times New Roman" w:cs="Times New Roman"/>
          <w:b/>
          <w:iCs/>
          <w:sz w:val="24"/>
          <w:szCs w:val="24"/>
        </w:rPr>
        <w:t>art. 23</w:t>
      </w:r>
      <w:r w:rsidRPr="00C96268">
        <w:rPr>
          <w:rFonts w:ascii="Times New Roman" w:hAnsi="Times New Roman" w:cs="Times New Roman"/>
          <w:bCs/>
          <w:iCs/>
          <w:sz w:val="24"/>
          <w:szCs w:val="24"/>
        </w:rPr>
        <w:t>.</w:t>
      </w:r>
      <w:r w:rsidRPr="00C96268">
        <w:rPr>
          <w:rStyle w:val="Odwoanieprzypisudolnego"/>
          <w:rFonts w:ascii="Times New Roman" w:hAnsi="Times New Roman" w:cs="Times New Roman"/>
          <w:bCs/>
          <w:iCs/>
          <w:sz w:val="24"/>
          <w:szCs w:val="24"/>
        </w:rPr>
        <w:footnoteReference w:id="87"/>
      </w:r>
    </w:p>
    <w:p w14:paraId="42FADAB5" w14:textId="5CC414F8"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zatem z </w:t>
      </w:r>
      <w:r w:rsidRPr="00C96268">
        <w:rPr>
          <w:rFonts w:ascii="Times New Roman" w:hAnsi="Times New Roman" w:cs="Times New Roman"/>
          <w:b/>
          <w:iCs/>
          <w:sz w:val="24"/>
          <w:szCs w:val="24"/>
        </w:rPr>
        <w:t>art. 23 ust. 1 efektywną stawkę podatkową dla podgrupy mniejszościowej ustala się odrębnie</w:t>
      </w:r>
      <w:r w:rsidRPr="00C96268">
        <w:rPr>
          <w:rFonts w:ascii="Times New Roman" w:hAnsi="Times New Roman" w:cs="Times New Roman"/>
          <w:bCs/>
          <w:iCs/>
          <w:sz w:val="24"/>
          <w:szCs w:val="24"/>
        </w:rPr>
        <w:t xml:space="preserve">. W szczególności, zgodnie z </w:t>
      </w:r>
      <w:r w:rsidRPr="00C96268">
        <w:rPr>
          <w:rFonts w:ascii="Times New Roman" w:hAnsi="Times New Roman" w:cs="Times New Roman"/>
          <w:b/>
          <w:iCs/>
          <w:sz w:val="24"/>
          <w:szCs w:val="24"/>
        </w:rPr>
        <w:t>ust. 1</w:t>
      </w:r>
      <w:r w:rsidRPr="00C96268">
        <w:rPr>
          <w:rFonts w:ascii="Times New Roman" w:hAnsi="Times New Roman" w:cs="Times New Roman"/>
          <w:bCs/>
          <w:iCs/>
          <w:sz w:val="24"/>
          <w:szCs w:val="24"/>
        </w:rPr>
        <w:t xml:space="preserve"> jeżeli jednostkami składowymi grupy są co najmniej dwie jednostki </w:t>
      </w:r>
      <w:r w:rsidRPr="00C96268">
        <w:rPr>
          <w:rFonts w:ascii="Times New Roman" w:hAnsi="Times New Roman" w:cs="Times New Roman"/>
          <w:iCs/>
          <w:sz w:val="24"/>
          <w:szCs w:val="24"/>
        </w:rPr>
        <w:t>zlokalizowane</w:t>
      </w:r>
      <w:r w:rsidRPr="00C96268">
        <w:rPr>
          <w:rFonts w:ascii="Times New Roman" w:hAnsi="Times New Roman" w:cs="Times New Roman"/>
          <w:bCs/>
          <w:iCs/>
          <w:sz w:val="24"/>
          <w:szCs w:val="24"/>
        </w:rPr>
        <w:t xml:space="preserve"> w </w:t>
      </w:r>
      <w:r w:rsidR="000118EC" w:rsidRPr="00C96268">
        <w:rPr>
          <w:rFonts w:ascii="Times New Roman" w:hAnsi="Times New Roman" w:cs="Times New Roman"/>
          <w:bCs/>
          <w:iCs/>
          <w:sz w:val="24"/>
          <w:szCs w:val="24"/>
        </w:rPr>
        <w:t xml:space="preserve">tej samej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które tworzą podgrupę mniejszościową, efektywną stawkę podatkową oraz globalny podatek wyrównawczy w odniesieniu do tej podgrupy ustala się odrębnie od pozostałych jednostek tej grupy </w:t>
      </w:r>
      <w:r w:rsidRPr="00C96268">
        <w:rPr>
          <w:rFonts w:ascii="Times New Roman" w:hAnsi="Times New Roman" w:cs="Times New Roman"/>
          <w:iCs/>
          <w:sz w:val="24"/>
          <w:szCs w:val="24"/>
        </w:rPr>
        <w:t xml:space="preserve">zlokalizowanych </w:t>
      </w:r>
      <w:r w:rsidRPr="00C96268">
        <w:rPr>
          <w:rFonts w:ascii="Times New Roman" w:hAnsi="Times New Roman" w:cs="Times New Roman"/>
          <w:bCs/>
          <w:iCs/>
          <w:sz w:val="24"/>
          <w:szCs w:val="24"/>
        </w:rPr>
        <w:t xml:space="preserve">w </w:t>
      </w:r>
      <w:r w:rsidR="000118EC" w:rsidRPr="00C96268">
        <w:rPr>
          <w:rFonts w:ascii="Times New Roman" w:hAnsi="Times New Roman" w:cs="Times New Roman"/>
          <w:bCs/>
          <w:iCs/>
          <w:sz w:val="24"/>
          <w:szCs w:val="24"/>
        </w:rPr>
        <w:t xml:space="preserve">tej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W takim przypadku skorygowane podatki kwalifikowane oraz kwalifikowany dochód (strata) obliczone dla jednostek podgrupy mniejszościowej są </w:t>
      </w:r>
      <w:r w:rsidRPr="00C96268">
        <w:rPr>
          <w:rFonts w:ascii="Times New Roman" w:hAnsi="Times New Roman" w:cs="Times New Roman"/>
          <w:bCs/>
          <w:iCs/>
          <w:sz w:val="24"/>
          <w:szCs w:val="24"/>
        </w:rPr>
        <w:lastRenderedPageBreak/>
        <w:t>wyłączone z ustalania efektywnej stawki podatkowej oraz z kwalifikowanego jurysdykcyjnego dochodu netto pozostałych jednostek składowych grupy (</w:t>
      </w:r>
      <w:r w:rsidRPr="00C96268">
        <w:rPr>
          <w:rFonts w:ascii="Times New Roman" w:hAnsi="Times New Roman" w:cs="Times New Roman"/>
          <w:b/>
          <w:iCs/>
          <w:sz w:val="24"/>
          <w:szCs w:val="24"/>
        </w:rPr>
        <w:t>ust. 2</w:t>
      </w:r>
      <w:r w:rsidRPr="00C96268">
        <w:rPr>
          <w:rFonts w:ascii="Times New Roman" w:hAnsi="Times New Roman" w:cs="Times New Roman"/>
          <w:bCs/>
          <w:iCs/>
          <w:sz w:val="24"/>
          <w:szCs w:val="24"/>
        </w:rPr>
        <w:t>).</w:t>
      </w:r>
    </w:p>
    <w:p w14:paraId="2CA52227" w14:textId="71E39B30"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
          <w:iCs/>
          <w:sz w:val="24"/>
          <w:szCs w:val="24"/>
        </w:rPr>
        <w:t>Art. 23 ust. 3</w:t>
      </w:r>
      <w:r w:rsidRPr="00C96268">
        <w:rPr>
          <w:rFonts w:ascii="Times New Roman" w:hAnsi="Times New Roman" w:cs="Times New Roman"/>
          <w:bCs/>
          <w:iCs/>
          <w:sz w:val="24"/>
          <w:szCs w:val="24"/>
        </w:rPr>
        <w:t xml:space="preserve"> reguluje natomiast przypadek mniejszościowej jednostki składowej, która nie jest jednostką podgrupy mniejszościowej (tj. nie posiada udziału konsolidującego w innej jednostce, która byłaby uznawana za mniejszościową jednostkę zależną, ani udział konsolidujący w niej nie jest posiadany przez dominującą jednostkę mniejszościową). W takim przypadku efektywną stawkę podatkową i jurysdykcyjny globalny podatek wyrównawczy oblicza się oddzielnie dla każdej takiej jednostki. Tym samym, skorygowane podatki kwalifikowane oraz kwalifikowany dochód (strata) takiej jednostki są wyłączone z ustalania efektywnej stawki podatkowej grupy , jak również odpowiednio z kwalifikowanego dochodu netto, obliczanych w odniesieniu do </w:t>
      </w:r>
      <w:r w:rsidR="000118EC" w:rsidRPr="00C96268">
        <w:rPr>
          <w:rFonts w:ascii="Times New Roman" w:hAnsi="Times New Roman" w:cs="Times New Roman"/>
          <w:bCs/>
          <w:iCs/>
          <w:sz w:val="24"/>
          <w:szCs w:val="24"/>
        </w:rPr>
        <w:t xml:space="preserve">danej </w:t>
      </w:r>
      <w:r w:rsidR="000118EC"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i danej grupy. </w:t>
      </w:r>
    </w:p>
    <w:p w14:paraId="561C082F"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Jeżeli jednak taka mniejszościowa jednostka składowa jest jednostką inwestycyjną lub ubezpieczeniową jednostką inwestycyjną, efektywną stawkę takich jednostek oblicza się zgodnie z zasadami właściwymi dla tego typu jednostek. Tym samym, w tym przypadku przepis </w:t>
      </w:r>
      <w:r w:rsidRPr="00C96268">
        <w:rPr>
          <w:rFonts w:ascii="Times New Roman" w:hAnsi="Times New Roman" w:cs="Times New Roman"/>
          <w:b/>
          <w:iCs/>
          <w:sz w:val="24"/>
          <w:szCs w:val="24"/>
        </w:rPr>
        <w:t>ust. 3</w:t>
      </w:r>
      <w:r w:rsidRPr="00C96268">
        <w:rPr>
          <w:rFonts w:ascii="Times New Roman" w:hAnsi="Times New Roman" w:cs="Times New Roman"/>
          <w:bCs/>
          <w:iCs/>
          <w:sz w:val="24"/>
          <w:szCs w:val="24"/>
        </w:rPr>
        <w:t xml:space="preserve"> dotyczący „pojedynczych” mniejszościowych jednostek składowych nie ma zastosowania. </w:t>
      </w:r>
    </w:p>
    <w:p w14:paraId="0C72E0FF" w14:textId="77777777" w:rsidR="006C6FE0" w:rsidRPr="00C96268" w:rsidRDefault="006C6FE0" w:rsidP="006C6FE0">
      <w:pPr>
        <w:pStyle w:val="Nagwek2"/>
        <w:rPr>
          <w:rFonts w:ascii="Times New Roman" w:hAnsi="Times New Roman" w:cs="Times New Roman"/>
          <w:sz w:val="24"/>
          <w:szCs w:val="24"/>
        </w:rPr>
      </w:pPr>
      <w:r w:rsidRPr="00C96268">
        <w:rPr>
          <w:rFonts w:ascii="Times New Roman" w:hAnsi="Times New Roman" w:cs="Times New Roman"/>
          <w:sz w:val="24"/>
          <w:szCs w:val="24"/>
        </w:rPr>
        <w:t>DZIAŁ III. Krajowy podatek wyrównawczy</w:t>
      </w:r>
    </w:p>
    <w:p w14:paraId="2E2E5C06"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
          <w:bCs/>
          <w:sz w:val="24"/>
          <w:szCs w:val="24"/>
        </w:rPr>
        <w:t>Dział III</w:t>
      </w:r>
      <w:r w:rsidRPr="00C96268">
        <w:rPr>
          <w:rFonts w:ascii="Times New Roman" w:hAnsi="Times New Roman" w:cs="Times New Roman"/>
          <w:sz w:val="24"/>
          <w:szCs w:val="24"/>
        </w:rPr>
        <w:t xml:space="preserve"> ustawy reguluje kluczowe kwestie w zakresie krajowego podatku wyrównawczego.</w:t>
      </w:r>
    </w:p>
    <w:p w14:paraId="438D0D4C" w14:textId="064D3A4C"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Na wstępie należy przypomnieć, że ustawa rozróżnia pojęcie kwalifikowanego krajowego podatku wyrównawczego i krajowego podatku wyrównawczego. O ile Zasady Modelowe GloBE i Wytyczne Administracyjne, które mają charakter kierunkowy, posługują się w tym zakresie jednym pojęciem odnoszącym się do wszystkich </w:t>
      </w:r>
      <w:r w:rsidR="000118EC"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 xml:space="preserve">(QDMTT), to na gruncie przepisów ustawy konieczne było dokonanie rozróżnienia takiego podatku pobieranego w Polsce (krajowy podatek wyrównawczy) i podobnego podatku pobieranego w innych </w:t>
      </w:r>
      <w:r w:rsidR="000118EC" w:rsidRPr="00C96268">
        <w:rPr>
          <w:rFonts w:ascii="Times New Roman" w:hAnsi="Times New Roman" w:cs="Times New Roman"/>
          <w:sz w:val="24"/>
          <w:szCs w:val="24"/>
        </w:rPr>
        <w:t xml:space="preserve">jurysdykcjach </w:t>
      </w:r>
      <w:r w:rsidRPr="00C96268">
        <w:rPr>
          <w:rFonts w:ascii="Times New Roman" w:hAnsi="Times New Roman" w:cs="Times New Roman"/>
          <w:sz w:val="24"/>
          <w:szCs w:val="24"/>
        </w:rPr>
        <w:t xml:space="preserve">(kwalifikowany krajowy podatek wyrównawczy). </w:t>
      </w:r>
    </w:p>
    <w:p w14:paraId="15440284" w14:textId="7BF4919E"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Krajowy podatek wyrównawczy jest przewidziany zatem jako podatek pobierany przez polską administrację podatkową od jednostek składowych zlokalizowanych na terytorium Rzeczypospolitej Polskiej. Jak zaznaczono w części ogólnej uzasadnienia, podatek ten będzie stanowił rodzaj tarczy chroniącej przed opodatkowaniem zgodnie z Kwalifikowaną Zasadą IIR, tj. opodatkowaniem ustalanym w odniesieniu do nisko opodatkowanych jednostek zlokalizowanych w Polsce, jednak należnym od jednostek dominujących zlokalizowanych w innych </w:t>
      </w:r>
      <w:r w:rsidR="000118EC" w:rsidRPr="00C96268">
        <w:rPr>
          <w:rFonts w:ascii="Times New Roman" w:hAnsi="Times New Roman" w:cs="Times New Roman"/>
          <w:sz w:val="24"/>
          <w:szCs w:val="24"/>
        </w:rPr>
        <w:t xml:space="preserve">jurysdykcjach </w:t>
      </w:r>
      <w:r w:rsidRPr="00C96268">
        <w:rPr>
          <w:rFonts w:ascii="Times New Roman" w:hAnsi="Times New Roman" w:cs="Times New Roman"/>
          <w:sz w:val="24"/>
          <w:szCs w:val="24"/>
        </w:rPr>
        <w:t xml:space="preserve">wobec ich administracji podatkowej. Krajowy podatek wyrównawczy może być odejmowany od kwalifikowanego zagranicznego, tj. podatku wyrównawczego należnego w </w:t>
      </w:r>
      <w:r w:rsidR="000118EC" w:rsidRPr="00C96268">
        <w:rPr>
          <w:rFonts w:ascii="Times New Roman" w:hAnsi="Times New Roman" w:cs="Times New Roman"/>
          <w:sz w:val="24"/>
          <w:szCs w:val="24"/>
        </w:rPr>
        <w:t xml:space="preserve">innej jurysdykcji uczestniczącej </w:t>
      </w:r>
      <w:r w:rsidRPr="00C96268">
        <w:rPr>
          <w:rFonts w:ascii="Times New Roman" w:hAnsi="Times New Roman" w:cs="Times New Roman"/>
          <w:sz w:val="24"/>
          <w:szCs w:val="24"/>
        </w:rPr>
        <w:t>w Systemie GloBE (por. schemat poniżej). Jest to tzw. mechanizm „</w:t>
      </w:r>
      <w:r w:rsidRPr="00C96268">
        <w:rPr>
          <w:rFonts w:ascii="Times New Roman" w:hAnsi="Times New Roman" w:cs="Times New Roman"/>
          <w:i/>
          <w:iCs/>
          <w:sz w:val="24"/>
          <w:szCs w:val="24"/>
        </w:rPr>
        <w:t>QDMTT credit</w:t>
      </w:r>
      <w:r w:rsidRPr="00C96268">
        <w:rPr>
          <w:rFonts w:ascii="Times New Roman" w:hAnsi="Times New Roman" w:cs="Times New Roman"/>
          <w:sz w:val="24"/>
          <w:szCs w:val="24"/>
        </w:rPr>
        <w:t xml:space="preserve">”. Pomniejszenie to będzie możliwe pod warunkiem, że polskie przepisy zostaną - z perspektywy </w:t>
      </w:r>
      <w:r w:rsidR="000118EC" w:rsidRPr="00C96268">
        <w:rPr>
          <w:rFonts w:ascii="Times New Roman" w:hAnsi="Times New Roman" w:cs="Times New Roman"/>
          <w:sz w:val="24"/>
          <w:szCs w:val="24"/>
        </w:rPr>
        <w:t xml:space="preserve">innej jurysdykcji </w:t>
      </w:r>
      <w:r w:rsidRPr="00C96268">
        <w:rPr>
          <w:rFonts w:ascii="Times New Roman" w:hAnsi="Times New Roman" w:cs="Times New Roman"/>
          <w:sz w:val="24"/>
          <w:szCs w:val="24"/>
        </w:rPr>
        <w:t xml:space="preserve">- uznane za kwalifikowane w ramach OECD, tj. zgodne i spójne z </w:t>
      </w:r>
      <w:r w:rsidR="000118EC" w:rsidRPr="00C96268">
        <w:rPr>
          <w:rFonts w:ascii="Times New Roman" w:hAnsi="Times New Roman" w:cs="Times New Roman"/>
          <w:sz w:val="24"/>
          <w:szCs w:val="24"/>
        </w:rPr>
        <w:t xml:space="preserve">Zasadami </w:t>
      </w:r>
      <w:r w:rsidRPr="00C96268">
        <w:rPr>
          <w:rFonts w:ascii="Times New Roman" w:hAnsi="Times New Roman" w:cs="Times New Roman"/>
          <w:sz w:val="24"/>
          <w:szCs w:val="24"/>
        </w:rPr>
        <w:t>GloBE.</w:t>
      </w:r>
    </w:p>
    <w:p w14:paraId="6D2136A0" w14:textId="77777777" w:rsidR="006C6FE0" w:rsidRPr="003E7A67" w:rsidRDefault="006C6FE0" w:rsidP="006C6FE0">
      <w:pPr>
        <w:jc w:val="both"/>
        <w:rPr>
          <w:rFonts w:cstheme="minorHAnsi"/>
        </w:rPr>
      </w:pPr>
      <w:r w:rsidRPr="003E7A67">
        <w:rPr>
          <w:noProof/>
          <w:lang w:eastAsia="pl-PL"/>
        </w:rPr>
        <w:lastRenderedPageBreak/>
        <w:drawing>
          <wp:inline distT="0" distB="0" distL="0" distR="0" wp14:anchorId="4AD39041" wp14:editId="3151D7B8">
            <wp:extent cx="5760720" cy="21640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164080"/>
                    </a:xfrm>
                    <a:prstGeom prst="rect">
                      <a:avLst/>
                    </a:prstGeom>
                    <a:noFill/>
                    <a:ln>
                      <a:noFill/>
                    </a:ln>
                  </pic:spPr>
                </pic:pic>
              </a:graphicData>
            </a:graphic>
          </wp:inline>
        </w:drawing>
      </w:r>
    </w:p>
    <w:p w14:paraId="2E398C91" w14:textId="11C1EDA5"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Jednakże, co bardzo istotne,  pod pewnymi warunkami może zadziałać tzw. bezpieczna przystań („</w:t>
      </w:r>
      <w:r w:rsidRPr="00C96268">
        <w:rPr>
          <w:rFonts w:ascii="Times New Roman" w:hAnsi="Times New Roman" w:cs="Times New Roman"/>
          <w:i/>
          <w:sz w:val="24"/>
          <w:szCs w:val="24"/>
        </w:rPr>
        <w:t xml:space="preserve">QDMTT safe harbour” </w:t>
      </w:r>
      <w:r w:rsidRPr="00C96268">
        <w:rPr>
          <w:rFonts w:ascii="Times New Roman" w:hAnsi="Times New Roman" w:cs="Times New Roman"/>
          <w:iCs/>
          <w:sz w:val="24"/>
          <w:szCs w:val="24"/>
        </w:rPr>
        <w:t>lub</w:t>
      </w:r>
      <w:r w:rsidRPr="00C96268">
        <w:rPr>
          <w:rFonts w:ascii="Times New Roman" w:hAnsi="Times New Roman" w:cs="Times New Roman"/>
          <w:i/>
          <w:sz w:val="24"/>
          <w:szCs w:val="24"/>
        </w:rPr>
        <w:t xml:space="preserve"> „QDMTT SH”</w:t>
      </w:r>
      <w:r w:rsidRPr="00C96268">
        <w:rPr>
          <w:rFonts w:ascii="Times New Roman" w:hAnsi="Times New Roman" w:cs="Times New Roman"/>
          <w:sz w:val="24"/>
          <w:szCs w:val="24"/>
        </w:rPr>
        <w:t xml:space="preserve">). Oznacza to, że jeżeli jednostki z danej grupy międzynarodowej podlegają w Polsce opodatkowaniu krajowym podatkiem wyrównawczym, dana grupa międzynarodowa może dokonać wyboru, aby nie stosować w odniesieniu swoich polskich jednostek składowych Zasady IIR w </w:t>
      </w:r>
      <w:r w:rsidR="000118EC"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lokalizacji jednostki dominującej – por. dalsze wyjaśnienia dot. bezpiecznych przystani (</w:t>
      </w:r>
      <w:r w:rsidRPr="00C96268">
        <w:rPr>
          <w:rFonts w:ascii="Times New Roman" w:hAnsi="Times New Roman" w:cs="Times New Roman"/>
          <w:b/>
          <w:bCs/>
          <w:sz w:val="24"/>
          <w:szCs w:val="24"/>
        </w:rPr>
        <w:t>dział X rozdział</w:t>
      </w:r>
      <w:r w:rsidR="006D0FA4">
        <w:rPr>
          <w:rFonts w:ascii="Times New Roman" w:hAnsi="Times New Roman" w:cs="Times New Roman"/>
          <w:b/>
          <w:bCs/>
          <w:sz w:val="24"/>
          <w:szCs w:val="24"/>
        </w:rPr>
        <w:t> </w:t>
      </w:r>
      <w:r w:rsidRPr="00C96268">
        <w:rPr>
          <w:rFonts w:ascii="Times New Roman" w:hAnsi="Times New Roman" w:cs="Times New Roman"/>
          <w:b/>
          <w:bCs/>
          <w:sz w:val="24"/>
          <w:szCs w:val="24"/>
        </w:rPr>
        <w:t>1</w:t>
      </w:r>
      <w:r w:rsidRPr="00C96268">
        <w:rPr>
          <w:rFonts w:ascii="Times New Roman" w:hAnsi="Times New Roman" w:cs="Times New Roman"/>
          <w:sz w:val="24"/>
          <w:szCs w:val="24"/>
        </w:rPr>
        <w:t>).</w:t>
      </w:r>
    </w:p>
    <w:p w14:paraId="70D254A4" w14:textId="77777777" w:rsidR="006C6FE0" w:rsidRPr="00C96268" w:rsidRDefault="006C6FE0" w:rsidP="006C6FE0">
      <w:pPr>
        <w:pStyle w:val="Nagwek5"/>
        <w:jc w:val="both"/>
        <w:rPr>
          <w:rFonts w:ascii="Times New Roman" w:hAnsi="Times New Roman" w:cs="Times New Roman"/>
          <w:sz w:val="24"/>
          <w:szCs w:val="24"/>
        </w:rPr>
      </w:pPr>
      <w:r w:rsidRPr="00C96268">
        <w:rPr>
          <w:rFonts w:ascii="Times New Roman" w:hAnsi="Times New Roman" w:cs="Times New Roman"/>
          <w:sz w:val="24"/>
          <w:szCs w:val="24"/>
        </w:rPr>
        <w:t>Art. 24 [Podatnik krajowego podatku wyrównawczego]</w:t>
      </w:r>
    </w:p>
    <w:p w14:paraId="5005F9BC" w14:textId="77777777" w:rsidR="006C6FE0" w:rsidRPr="00C96268" w:rsidRDefault="006C6FE0" w:rsidP="006C6FE0">
      <w:pPr>
        <w:rPr>
          <w:rFonts w:ascii="Times New Roman" w:hAnsi="Times New Roman" w:cs="Times New Roman"/>
          <w:i/>
          <w:iCs/>
          <w:sz w:val="24"/>
          <w:szCs w:val="24"/>
        </w:rPr>
      </w:pPr>
      <w:r w:rsidRPr="00C96268">
        <w:rPr>
          <w:rFonts w:ascii="Times New Roman" w:hAnsi="Times New Roman" w:cs="Times New Roman"/>
          <w:i/>
          <w:iCs/>
          <w:sz w:val="24"/>
          <w:szCs w:val="24"/>
        </w:rPr>
        <w:t xml:space="preserve">Zasada ogólna - jednostka składowa zlokalizowana na terytorium RP jako podatnik krajowego podatku wyrównawczego </w:t>
      </w:r>
    </w:p>
    <w:p w14:paraId="104A7957" w14:textId="768BA1E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Kwestie dotyczące podatnika krajowego podatku wyrównawczego uregulowane są odmiennie niż w przypadku podatnika globalnego podatku wyrównawczego. W przypadku globalnego podatku wyrównawczego, zgodnie z Zasadami GloBE podatnikiem jest jednostka dominująca najwyższego szczebla grupy międzynarodowej w odniesieniu do jej jednostek składowych </w:t>
      </w:r>
      <w:r w:rsidRPr="00C96268">
        <w:rPr>
          <w:rFonts w:ascii="Times New Roman" w:hAnsi="Times New Roman" w:cs="Times New Roman"/>
          <w:iCs/>
          <w:sz w:val="24"/>
          <w:szCs w:val="24"/>
        </w:rPr>
        <w:t xml:space="preserve">zlokalizowanych </w:t>
      </w:r>
      <w:r w:rsidRPr="00C96268">
        <w:rPr>
          <w:rFonts w:ascii="Times New Roman" w:hAnsi="Times New Roman" w:cs="Times New Roman"/>
          <w:bCs/>
          <w:iCs/>
          <w:sz w:val="24"/>
          <w:szCs w:val="24"/>
        </w:rPr>
        <w:t xml:space="preserve">w różnych </w:t>
      </w:r>
      <w:r w:rsidR="000118EC" w:rsidRPr="00C96268">
        <w:rPr>
          <w:rFonts w:ascii="Times New Roman" w:hAnsi="Times New Roman" w:cs="Times New Roman"/>
          <w:sz w:val="24"/>
          <w:szCs w:val="24"/>
        </w:rPr>
        <w:t>jurysdykcjach</w:t>
      </w:r>
      <w:r w:rsidRPr="00C96268">
        <w:rPr>
          <w:rFonts w:ascii="Times New Roman" w:hAnsi="Times New Roman" w:cs="Times New Roman"/>
          <w:bCs/>
          <w:iCs/>
          <w:sz w:val="24"/>
          <w:szCs w:val="24"/>
        </w:rPr>
        <w:t xml:space="preserve">. W szczególnych sytuacjach podatnikami mogą być też inne jednostki dominujące. Natomiast założeniem krajowego podatku wyrównawczego jest objęcie opodatkowaniem zasadniczo wszystkich jednostek składowych grup międzynarodowych lub grup krajowych, </w:t>
      </w:r>
      <w:r w:rsidRPr="00C96268">
        <w:rPr>
          <w:rFonts w:ascii="Times New Roman" w:hAnsi="Times New Roman" w:cs="Times New Roman"/>
          <w:iCs/>
          <w:sz w:val="24"/>
          <w:szCs w:val="24"/>
        </w:rPr>
        <w:t>zlokalizowanych</w:t>
      </w:r>
      <w:r w:rsidRPr="00C96268">
        <w:rPr>
          <w:rFonts w:ascii="Times New Roman" w:hAnsi="Times New Roman" w:cs="Times New Roman"/>
          <w:bCs/>
          <w:iCs/>
          <w:sz w:val="24"/>
          <w:szCs w:val="24"/>
        </w:rPr>
        <w:t xml:space="preserve"> na terytorium Rzeczypospolitej Polskiej.</w:t>
      </w:r>
    </w:p>
    <w:p w14:paraId="141DC27E" w14:textId="55FCBE3F"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Uczynienie podatnikiem jednostki dominującej najwyższego szczebla nie wpisuje się w założenia krajowego podatku wyrównawczego. Jednostki dominujące grup międzynarodowych </w:t>
      </w:r>
      <w:r w:rsidRPr="00C96268">
        <w:rPr>
          <w:rFonts w:ascii="Times New Roman" w:hAnsi="Times New Roman" w:cs="Times New Roman"/>
          <w:iCs/>
          <w:sz w:val="24"/>
          <w:szCs w:val="24"/>
        </w:rPr>
        <w:t xml:space="preserve">zlokalizowane są </w:t>
      </w:r>
      <w:r w:rsidRPr="00C96268">
        <w:rPr>
          <w:rFonts w:ascii="Times New Roman" w:hAnsi="Times New Roman" w:cs="Times New Roman"/>
          <w:bCs/>
          <w:iCs/>
          <w:sz w:val="24"/>
          <w:szCs w:val="24"/>
        </w:rPr>
        <w:t xml:space="preserve">przeważnie w </w:t>
      </w:r>
      <w:r w:rsidR="000118EC" w:rsidRPr="00C96268">
        <w:rPr>
          <w:rFonts w:ascii="Times New Roman" w:hAnsi="Times New Roman" w:cs="Times New Roman"/>
          <w:bCs/>
          <w:iCs/>
          <w:sz w:val="24"/>
          <w:szCs w:val="24"/>
        </w:rPr>
        <w:t xml:space="preserve">innej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a opodatkowane krajowym podatkiem wyrównawczym będą </w:t>
      </w:r>
      <w:r w:rsidRPr="00C96268">
        <w:rPr>
          <w:rFonts w:ascii="Times New Roman" w:hAnsi="Times New Roman" w:cs="Times New Roman"/>
          <w:iCs/>
          <w:sz w:val="24"/>
          <w:szCs w:val="24"/>
        </w:rPr>
        <w:t>zlokalizowane</w:t>
      </w:r>
      <w:r w:rsidRPr="00C96268">
        <w:rPr>
          <w:rFonts w:ascii="Times New Roman" w:hAnsi="Times New Roman" w:cs="Times New Roman"/>
          <w:bCs/>
          <w:iCs/>
          <w:sz w:val="24"/>
          <w:szCs w:val="24"/>
        </w:rPr>
        <w:t xml:space="preserve"> na terytorium RP jednostki składowe takiej grupy międzynarodowej. To poszczególne jednostki składowe grupy międzynarodowej, </w:t>
      </w:r>
      <w:r w:rsidRPr="00C96268">
        <w:rPr>
          <w:rFonts w:ascii="Times New Roman" w:hAnsi="Times New Roman" w:cs="Times New Roman"/>
          <w:iCs/>
          <w:sz w:val="24"/>
          <w:szCs w:val="24"/>
        </w:rPr>
        <w:t>zlokalizowane</w:t>
      </w:r>
      <w:r w:rsidRPr="00C96268">
        <w:rPr>
          <w:rFonts w:ascii="Times New Roman" w:hAnsi="Times New Roman" w:cs="Times New Roman"/>
          <w:bCs/>
          <w:iCs/>
          <w:sz w:val="24"/>
          <w:szCs w:val="24"/>
        </w:rPr>
        <w:t xml:space="preserve"> na terytorium RP, będą zatem podatnikiem krajowego podatku wyrównawczego. Podobnie, w przypadku jednostek składowych grup krajowych przyjęto spójnie, iż podatnikiem krajowego podatku wyrównawczego będą poszczególne jednostki składowe takich grup (tj. bez szczególnej roli przypisanej jednostce dominującej).</w:t>
      </w:r>
    </w:p>
    <w:p w14:paraId="54BB24FA"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Tę ogólną zasadę wyraża z </w:t>
      </w:r>
      <w:r w:rsidRPr="00C96268">
        <w:rPr>
          <w:rFonts w:ascii="Times New Roman" w:hAnsi="Times New Roman" w:cs="Times New Roman"/>
          <w:b/>
          <w:iCs/>
          <w:sz w:val="24"/>
          <w:szCs w:val="24"/>
        </w:rPr>
        <w:t>art. 24 pkt 1 lit. a</w:t>
      </w:r>
      <w:r w:rsidRPr="00C96268">
        <w:rPr>
          <w:rFonts w:ascii="Times New Roman" w:hAnsi="Times New Roman" w:cs="Times New Roman"/>
          <w:bCs/>
          <w:iCs/>
          <w:sz w:val="24"/>
          <w:szCs w:val="24"/>
        </w:rPr>
        <w:t xml:space="preserve">, zgodnie z którym </w:t>
      </w:r>
      <w:r w:rsidRPr="00C96268">
        <w:rPr>
          <w:rFonts w:ascii="Times New Roman" w:hAnsi="Times New Roman" w:cs="Times New Roman"/>
          <w:b/>
          <w:bCs/>
          <w:iCs/>
          <w:sz w:val="24"/>
          <w:szCs w:val="24"/>
        </w:rPr>
        <w:t xml:space="preserve">podatnikiem krajowego podatku wyrównawczego jest zlokalizowana na terytorium Rzeczypospolitej Polskiej jednostka składowa grupy międzynarodowej lub grupy krajowej. </w:t>
      </w:r>
    </w:p>
    <w:p w14:paraId="2A86766B"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lastRenderedPageBreak/>
        <w:t xml:space="preserve">Zgodnie z ogólną zasadą podatnikiem tego podatku będzie zatem </w:t>
      </w:r>
      <w:r w:rsidRPr="00C96268">
        <w:rPr>
          <w:rFonts w:ascii="Times New Roman" w:hAnsi="Times New Roman" w:cs="Times New Roman"/>
          <w:iCs/>
          <w:sz w:val="24"/>
          <w:szCs w:val="24"/>
        </w:rPr>
        <w:t>zlokalizowana</w:t>
      </w:r>
      <w:r w:rsidRPr="00C96268">
        <w:rPr>
          <w:rFonts w:ascii="Times New Roman" w:hAnsi="Times New Roman" w:cs="Times New Roman"/>
          <w:bCs/>
          <w:iCs/>
          <w:sz w:val="24"/>
          <w:szCs w:val="24"/>
        </w:rPr>
        <w:t xml:space="preserve"> na terytorium RP:</w:t>
      </w:r>
    </w:p>
    <w:p w14:paraId="0379BA6C" w14:textId="231F3144" w:rsidR="006C6FE0" w:rsidRPr="00C96268" w:rsidRDefault="006C6FE0" w:rsidP="00B6504F">
      <w:pPr>
        <w:numPr>
          <w:ilvl w:val="0"/>
          <w:numId w:val="21"/>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jednostka składowa grupy międzynarodowej, której jednostka dominująca najwyższego szczebla jest </w:t>
      </w:r>
      <w:r w:rsidRPr="00C96268">
        <w:rPr>
          <w:rFonts w:ascii="Times New Roman" w:hAnsi="Times New Roman" w:cs="Times New Roman"/>
          <w:iCs/>
          <w:sz w:val="24"/>
          <w:szCs w:val="24"/>
        </w:rPr>
        <w:t>zlokalizowana</w:t>
      </w:r>
      <w:r w:rsidRPr="00C96268">
        <w:rPr>
          <w:rFonts w:ascii="Times New Roman" w:hAnsi="Times New Roman" w:cs="Times New Roman"/>
          <w:bCs/>
          <w:iCs/>
          <w:sz w:val="24"/>
          <w:szCs w:val="24"/>
        </w:rPr>
        <w:t xml:space="preserve"> w </w:t>
      </w:r>
      <w:r w:rsidR="000118EC" w:rsidRPr="00C96268">
        <w:rPr>
          <w:rFonts w:ascii="Times New Roman" w:hAnsi="Times New Roman" w:cs="Times New Roman"/>
          <w:bCs/>
          <w:iCs/>
          <w:sz w:val="24"/>
          <w:szCs w:val="24"/>
        </w:rPr>
        <w:t xml:space="preserve">innej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w:t>
      </w:r>
    </w:p>
    <w:p w14:paraId="6FF162A6" w14:textId="77777777" w:rsidR="006C6FE0" w:rsidRPr="00C96268" w:rsidRDefault="006C6FE0" w:rsidP="00B6504F">
      <w:pPr>
        <w:numPr>
          <w:ilvl w:val="0"/>
          <w:numId w:val="21"/>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jednostka składowa grupy międzynarodowej, której jednostka dominująca najwyższego szczebla jest </w:t>
      </w:r>
      <w:r w:rsidRPr="00C96268">
        <w:rPr>
          <w:rFonts w:ascii="Times New Roman" w:hAnsi="Times New Roman" w:cs="Times New Roman"/>
          <w:iCs/>
          <w:sz w:val="24"/>
          <w:szCs w:val="24"/>
        </w:rPr>
        <w:t>zlokalizowana</w:t>
      </w:r>
      <w:r w:rsidRPr="00C96268">
        <w:rPr>
          <w:rFonts w:ascii="Times New Roman" w:hAnsi="Times New Roman" w:cs="Times New Roman"/>
          <w:bCs/>
          <w:iCs/>
          <w:sz w:val="24"/>
          <w:szCs w:val="24"/>
        </w:rPr>
        <w:t xml:space="preserve"> na terytorium RP;</w:t>
      </w:r>
    </w:p>
    <w:p w14:paraId="1A627AF6" w14:textId="77777777" w:rsidR="006C6FE0" w:rsidRPr="00C96268" w:rsidRDefault="006C6FE0" w:rsidP="00B6504F">
      <w:pPr>
        <w:numPr>
          <w:ilvl w:val="0"/>
          <w:numId w:val="21"/>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jednostka składowa grupy krajowej.</w:t>
      </w:r>
    </w:p>
    <w:p w14:paraId="4F13DE32" w14:textId="77777777" w:rsidR="006C6FE0" w:rsidRPr="00C96268" w:rsidRDefault="006C6FE0" w:rsidP="006C6FE0">
      <w:pPr>
        <w:spacing w:before="120"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Dla jasności zasadę ogólną zobrazowano na poniższych schematach.</w:t>
      </w:r>
    </w:p>
    <w:p w14:paraId="48401229"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 przypadku, gdy jednostka dominująca jest zlokalizowana za granicą, podatnikami krajowego podatku wyrównawczego będą jednostki składowe zlokalizowane na terytorium RP:</w:t>
      </w:r>
    </w:p>
    <w:p w14:paraId="5D057B3F" w14:textId="77777777" w:rsidR="006C6FE0" w:rsidRPr="003E7A67" w:rsidRDefault="006C6FE0" w:rsidP="006C6FE0">
      <w:pPr>
        <w:spacing w:after="120"/>
        <w:jc w:val="center"/>
        <w:rPr>
          <w:rFonts w:cstheme="minorHAnsi"/>
          <w:bCs/>
          <w:iCs/>
        </w:rPr>
      </w:pPr>
      <w:r w:rsidRPr="003E7A67">
        <w:rPr>
          <w:rFonts w:cstheme="minorHAnsi"/>
          <w:bCs/>
          <w:iCs/>
          <w:noProof/>
          <w:lang w:eastAsia="pl-PL"/>
        </w:rPr>
        <w:drawing>
          <wp:inline distT="0" distB="0" distL="0" distR="0" wp14:anchorId="2BCD79F9" wp14:editId="04CD0DEB">
            <wp:extent cx="4152900" cy="2123327"/>
            <wp:effectExtent l="0" t="0" r="0" b="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7981" cy="2156602"/>
                    </a:xfrm>
                    <a:prstGeom prst="rect">
                      <a:avLst/>
                    </a:prstGeom>
                  </pic:spPr>
                </pic:pic>
              </a:graphicData>
            </a:graphic>
          </wp:inline>
        </w:drawing>
      </w:r>
    </w:p>
    <w:p w14:paraId="3655FD40" w14:textId="02AD5A77" w:rsidR="006C6FE0" w:rsidRPr="00C96268" w:rsidRDefault="006C6FE0" w:rsidP="006C6FE0">
      <w:pPr>
        <w:spacing w:after="120"/>
        <w:jc w:val="both"/>
        <w:rPr>
          <w:rFonts w:ascii="Times New Roman" w:hAnsi="Times New Roman" w:cs="Times New Roman"/>
          <w:bCs/>
          <w:i/>
          <w:iCs/>
          <w:sz w:val="24"/>
          <w:szCs w:val="24"/>
        </w:rPr>
      </w:pPr>
      <w:r w:rsidRPr="00C96268">
        <w:rPr>
          <w:rFonts w:ascii="Times New Roman" w:hAnsi="Times New Roman" w:cs="Times New Roman"/>
          <w:sz w:val="24"/>
          <w:szCs w:val="24"/>
        </w:rPr>
        <w:t xml:space="preserve">Jeżeli natomiast jednostka dominująca najwyższego szczebla jest zlokalizowana na terytorium Rzeczypospolitej Polskiej, może być jednocześnie podatnikiem krajowego podatku wyrównawczego w odniesieniu do samej siebie i polskich jednostek składowych, jak i równocześnie podatnikiem globalnego podatku wyrównawczego w odniesieniu do jej jednostek składowych </w:t>
      </w:r>
      <w:r w:rsidRPr="00C96268">
        <w:rPr>
          <w:rFonts w:ascii="Times New Roman" w:hAnsi="Times New Roman" w:cs="Times New Roman"/>
          <w:iCs/>
          <w:sz w:val="24"/>
          <w:szCs w:val="24"/>
        </w:rPr>
        <w:t xml:space="preserve">zlokalizowanych </w:t>
      </w:r>
      <w:r w:rsidRPr="00C96268">
        <w:rPr>
          <w:rFonts w:ascii="Times New Roman" w:hAnsi="Times New Roman" w:cs="Times New Roman"/>
          <w:sz w:val="24"/>
          <w:szCs w:val="24"/>
        </w:rPr>
        <w:t xml:space="preserve">w innych </w:t>
      </w:r>
      <w:r w:rsidR="000118EC" w:rsidRPr="00C96268">
        <w:rPr>
          <w:rFonts w:ascii="Times New Roman" w:hAnsi="Times New Roman" w:cs="Times New Roman"/>
          <w:sz w:val="24"/>
          <w:szCs w:val="24"/>
        </w:rPr>
        <w:t xml:space="preserve">jurysdykcjach </w:t>
      </w:r>
      <w:r w:rsidRPr="00C96268">
        <w:rPr>
          <w:rFonts w:ascii="Times New Roman" w:hAnsi="Times New Roman" w:cs="Times New Roman"/>
          <w:sz w:val="24"/>
          <w:szCs w:val="24"/>
        </w:rPr>
        <w:t>(zgodnie ze schematem przedstawionym poniżej).</w:t>
      </w:r>
    </w:p>
    <w:p w14:paraId="1BE1402B" w14:textId="77777777" w:rsidR="006C6FE0" w:rsidRPr="003E7A67" w:rsidRDefault="006C6FE0" w:rsidP="006C6FE0">
      <w:pPr>
        <w:spacing w:after="120"/>
        <w:jc w:val="center"/>
        <w:rPr>
          <w:rFonts w:cstheme="minorHAnsi"/>
          <w:bCs/>
          <w:iCs/>
        </w:rPr>
      </w:pPr>
      <w:r w:rsidRPr="003E7A67">
        <w:rPr>
          <w:rFonts w:cstheme="minorHAnsi"/>
          <w:bCs/>
          <w:iCs/>
          <w:noProof/>
        </w:rPr>
        <w:drawing>
          <wp:inline distT="0" distB="0" distL="0" distR="0" wp14:anchorId="499B9649" wp14:editId="70E144E9">
            <wp:extent cx="4192213" cy="2564921"/>
            <wp:effectExtent l="0" t="0" r="0" b="698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5135" cy="2591182"/>
                    </a:xfrm>
                    <a:prstGeom prst="rect">
                      <a:avLst/>
                    </a:prstGeom>
                    <a:noFill/>
                  </pic:spPr>
                </pic:pic>
              </a:graphicData>
            </a:graphic>
          </wp:inline>
        </w:drawing>
      </w:r>
    </w:p>
    <w:p w14:paraId="2B6762C7"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 przypadku grupy krajowej wszystkie jednostki składowe (jednostka dominująca i jej jednostki składowe) będą podatnikami krajowego podatku wyrównawczego.</w:t>
      </w:r>
    </w:p>
    <w:p w14:paraId="384525C4" w14:textId="77777777" w:rsidR="006C6FE0" w:rsidRPr="003E7A67" w:rsidRDefault="006C6FE0" w:rsidP="006C6FE0">
      <w:pPr>
        <w:spacing w:after="120"/>
        <w:jc w:val="center"/>
        <w:rPr>
          <w:rFonts w:cstheme="minorHAnsi"/>
          <w:bCs/>
          <w:iCs/>
        </w:rPr>
      </w:pPr>
      <w:r w:rsidRPr="003E7A67">
        <w:rPr>
          <w:rFonts w:cstheme="minorHAnsi"/>
          <w:bCs/>
          <w:iCs/>
          <w:noProof/>
          <w:lang w:eastAsia="pl-PL"/>
        </w:rPr>
        <w:lastRenderedPageBreak/>
        <w:drawing>
          <wp:inline distT="0" distB="0" distL="0" distR="0" wp14:anchorId="0D1D890C" wp14:editId="411F4223">
            <wp:extent cx="3802380" cy="2069263"/>
            <wp:effectExtent l="0" t="0" r="7620" b="762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8416" cy="2088874"/>
                    </a:xfrm>
                    <a:prstGeom prst="rect">
                      <a:avLst/>
                    </a:prstGeom>
                  </pic:spPr>
                </pic:pic>
              </a:graphicData>
            </a:graphic>
          </wp:inline>
        </w:drawing>
      </w:r>
    </w:p>
    <w:p w14:paraId="4FC68FE4"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Zgodnie z zasadami ogólnymi, podatnikami krajowego podatku wyrównawczego (jak też żadnego innego podatku na gruncie ustawy) nie będą jednostki wyłączone. Jednostki te są brane pod uwagę jedynie na potrzeby kalkulacji skonsolidowanego progu przychodów, lub też przepisy ustawy mogą też odwoływać się do nich w różny sposób, nie nakładając jednak obowiązków na takie jednostki.</w:t>
      </w:r>
    </w:p>
    <w:p w14:paraId="0F8B06CE" w14:textId="77777777" w:rsidR="006C6FE0" w:rsidRPr="00C96268" w:rsidRDefault="006C6FE0" w:rsidP="006C6FE0">
      <w:pPr>
        <w:spacing w:after="120"/>
        <w:jc w:val="both"/>
        <w:rPr>
          <w:rFonts w:ascii="Times New Roman" w:hAnsi="Times New Roman" w:cs="Times New Roman"/>
          <w:bCs/>
          <w:i/>
          <w:iCs/>
          <w:sz w:val="24"/>
          <w:szCs w:val="24"/>
        </w:rPr>
      </w:pPr>
      <w:r w:rsidRPr="00C96268">
        <w:rPr>
          <w:rFonts w:ascii="Times New Roman" w:hAnsi="Times New Roman" w:cs="Times New Roman"/>
          <w:bCs/>
          <w:i/>
          <w:iCs/>
          <w:sz w:val="24"/>
          <w:szCs w:val="24"/>
        </w:rPr>
        <w:t>Jednostki o szczególnym charakterze będące podatnikami – jednostki pośredniczące, bezpaństwowe i joint venture</w:t>
      </w:r>
    </w:p>
    <w:p w14:paraId="6390D2AB"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
          <w:iCs/>
          <w:sz w:val="24"/>
          <w:szCs w:val="24"/>
        </w:rPr>
        <w:t>Art. 24</w:t>
      </w:r>
      <w:r w:rsidRPr="00C96268">
        <w:rPr>
          <w:rFonts w:ascii="Times New Roman" w:hAnsi="Times New Roman" w:cs="Times New Roman"/>
          <w:bCs/>
          <w:iCs/>
          <w:sz w:val="24"/>
          <w:szCs w:val="24"/>
        </w:rPr>
        <w:t xml:space="preserve"> wymienia ponadto inne szczególne jednostki, które są podatnikiem krajowego podatku wyrównawczego. Są to, przy spełnieniu określonych warunków:</w:t>
      </w:r>
    </w:p>
    <w:p w14:paraId="45EECF0D" w14:textId="77777777" w:rsidR="006C6FE0" w:rsidRPr="00C96268" w:rsidRDefault="006C6FE0" w:rsidP="002C7467">
      <w:pPr>
        <w:pStyle w:val="Akapitzlist"/>
        <w:numPr>
          <w:ilvl w:val="0"/>
          <w:numId w:val="100"/>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zlokalizowana na terytorium Rzeczypospolitej Polskiej:</w:t>
      </w:r>
    </w:p>
    <w:p w14:paraId="7589F2E5" w14:textId="77777777" w:rsidR="006C6FE0" w:rsidRPr="00C96268" w:rsidRDefault="006C6FE0" w:rsidP="002C7467">
      <w:pPr>
        <w:pStyle w:val="Akapitzlist"/>
        <w:numPr>
          <w:ilvl w:val="1"/>
          <w:numId w:val="100"/>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jednostka joint venture lub jednostka zależna joint venture, wskazane w </w:t>
      </w:r>
      <w:r w:rsidRPr="00C96268">
        <w:rPr>
          <w:rFonts w:ascii="Times New Roman" w:hAnsi="Times New Roman" w:cs="Times New Roman"/>
          <w:b/>
          <w:iCs/>
          <w:sz w:val="24"/>
          <w:szCs w:val="24"/>
        </w:rPr>
        <w:t>art. 24 pkt 1 lit. b</w:t>
      </w:r>
      <w:r w:rsidRPr="00C96268">
        <w:rPr>
          <w:rFonts w:ascii="Times New Roman" w:hAnsi="Times New Roman" w:cs="Times New Roman"/>
          <w:bCs/>
          <w:iCs/>
          <w:sz w:val="24"/>
          <w:szCs w:val="24"/>
        </w:rPr>
        <w:t>;</w:t>
      </w:r>
    </w:p>
    <w:p w14:paraId="48383ED7" w14:textId="36901F5D" w:rsidR="006C6FE0" w:rsidRPr="00C96268" w:rsidRDefault="006C6FE0" w:rsidP="002C7467">
      <w:pPr>
        <w:pStyle w:val="Akapitzlist"/>
        <w:numPr>
          <w:ilvl w:val="1"/>
          <w:numId w:val="100"/>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jednostka pośrednicząca będąca jednostką dominującą, której przypisuje się </w:t>
      </w:r>
      <w:r w:rsidRPr="00C96268">
        <w:rPr>
          <w:rFonts w:ascii="Times New Roman" w:hAnsi="Times New Roman" w:cs="Times New Roman"/>
          <w:bCs/>
          <w:iCs/>
          <w:sz w:val="24"/>
          <w:szCs w:val="24"/>
        </w:rPr>
        <w:br/>
        <w:t xml:space="preserve">w świetle </w:t>
      </w:r>
      <w:r w:rsidRPr="00C96268">
        <w:rPr>
          <w:rFonts w:ascii="Times New Roman" w:hAnsi="Times New Roman" w:cs="Times New Roman"/>
          <w:b/>
          <w:iCs/>
          <w:sz w:val="24"/>
          <w:szCs w:val="24"/>
        </w:rPr>
        <w:t>art. 7 ust. 2 pkt 2</w:t>
      </w:r>
      <w:r w:rsidRPr="00C96268">
        <w:rPr>
          <w:rFonts w:ascii="Times New Roman" w:hAnsi="Times New Roman" w:cs="Times New Roman"/>
          <w:bCs/>
          <w:iCs/>
          <w:sz w:val="24"/>
          <w:szCs w:val="24"/>
        </w:rPr>
        <w:t xml:space="preserve"> lokalizację na terytorium RP, jeżeli została utworzona w </w:t>
      </w:r>
      <w:r w:rsidR="000118EC" w:rsidRPr="00C96268">
        <w:rPr>
          <w:rFonts w:ascii="Times New Roman" w:hAnsi="Times New Roman" w:cs="Times New Roman"/>
          <w:bCs/>
          <w:iCs/>
          <w:sz w:val="24"/>
          <w:szCs w:val="24"/>
        </w:rPr>
        <w:t xml:space="preserve">tej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wskazana w </w:t>
      </w:r>
      <w:r w:rsidRPr="00C96268">
        <w:rPr>
          <w:rFonts w:ascii="Times New Roman" w:hAnsi="Times New Roman" w:cs="Times New Roman"/>
          <w:b/>
          <w:iCs/>
          <w:sz w:val="24"/>
          <w:szCs w:val="24"/>
        </w:rPr>
        <w:t>art. 24 pkt 1 lit. a</w:t>
      </w:r>
    </w:p>
    <w:p w14:paraId="30CF9D7E" w14:textId="77777777" w:rsidR="006C6FE0" w:rsidRPr="00C96268" w:rsidRDefault="006C6FE0" w:rsidP="00B6504F">
      <w:pPr>
        <w:numPr>
          <w:ilvl w:val="0"/>
          <w:numId w:val="20"/>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bezpaństwowa jednostka składowa, która jest:</w:t>
      </w:r>
    </w:p>
    <w:p w14:paraId="27D9A705" w14:textId="77777777" w:rsidR="006C6FE0" w:rsidRPr="00C96268" w:rsidRDefault="006C6FE0" w:rsidP="00B6504F">
      <w:pPr>
        <w:numPr>
          <w:ilvl w:val="1"/>
          <w:numId w:val="20"/>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jednostką pośrednicząca niebędąca jednostką dominującą, wskazana w </w:t>
      </w:r>
      <w:r w:rsidRPr="00C96268">
        <w:rPr>
          <w:rFonts w:ascii="Times New Roman" w:hAnsi="Times New Roman" w:cs="Times New Roman"/>
          <w:b/>
          <w:iCs/>
          <w:sz w:val="24"/>
          <w:szCs w:val="24"/>
        </w:rPr>
        <w:t>art. 24 pkt 2 lit. a</w:t>
      </w:r>
      <w:r w:rsidRPr="00C96268">
        <w:rPr>
          <w:rFonts w:ascii="Times New Roman" w:hAnsi="Times New Roman" w:cs="Times New Roman"/>
          <w:bCs/>
          <w:iCs/>
          <w:sz w:val="24"/>
          <w:szCs w:val="24"/>
        </w:rPr>
        <w:t>;</w:t>
      </w:r>
    </w:p>
    <w:p w14:paraId="63E91FCA" w14:textId="77777777" w:rsidR="006C6FE0" w:rsidRPr="00C96268" w:rsidRDefault="006C6FE0" w:rsidP="00B6504F">
      <w:pPr>
        <w:numPr>
          <w:ilvl w:val="1"/>
          <w:numId w:val="20"/>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stałym zakładem wskazanym w </w:t>
      </w:r>
      <w:r w:rsidRPr="00C96268">
        <w:rPr>
          <w:rFonts w:ascii="Times New Roman" w:hAnsi="Times New Roman" w:cs="Times New Roman"/>
          <w:b/>
          <w:iCs/>
          <w:sz w:val="24"/>
          <w:szCs w:val="24"/>
        </w:rPr>
        <w:t>art. 24 pkt 2 lit. b</w:t>
      </w:r>
      <w:r w:rsidRPr="00C96268">
        <w:rPr>
          <w:rFonts w:ascii="Times New Roman" w:hAnsi="Times New Roman" w:cs="Times New Roman"/>
          <w:bCs/>
          <w:iCs/>
          <w:sz w:val="24"/>
          <w:szCs w:val="24"/>
        </w:rPr>
        <w:t>.</w:t>
      </w:r>
    </w:p>
    <w:p w14:paraId="01757256" w14:textId="2F7F6871"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 pierwsze, przepis </w:t>
      </w:r>
      <w:r w:rsidRPr="00C96268">
        <w:rPr>
          <w:rFonts w:ascii="Times New Roman" w:hAnsi="Times New Roman" w:cs="Times New Roman"/>
          <w:b/>
          <w:iCs/>
          <w:sz w:val="24"/>
          <w:szCs w:val="24"/>
        </w:rPr>
        <w:t>art. 24 pkt</w:t>
      </w:r>
      <w:r w:rsidRPr="00C96268">
        <w:rPr>
          <w:rFonts w:ascii="Times New Roman" w:hAnsi="Times New Roman" w:cs="Times New Roman"/>
          <w:bCs/>
          <w:iCs/>
          <w:sz w:val="24"/>
          <w:szCs w:val="24"/>
        </w:rPr>
        <w:t xml:space="preserve"> </w:t>
      </w:r>
      <w:r w:rsidRPr="00C96268">
        <w:rPr>
          <w:rFonts w:ascii="Times New Roman" w:hAnsi="Times New Roman" w:cs="Times New Roman"/>
          <w:b/>
          <w:iCs/>
          <w:sz w:val="24"/>
          <w:szCs w:val="24"/>
        </w:rPr>
        <w:t>1 lit. a</w:t>
      </w:r>
      <w:r w:rsidRPr="00C96268">
        <w:rPr>
          <w:rFonts w:ascii="Times New Roman" w:hAnsi="Times New Roman" w:cs="Times New Roman"/>
          <w:bCs/>
          <w:iCs/>
          <w:sz w:val="24"/>
          <w:szCs w:val="24"/>
        </w:rPr>
        <w:t xml:space="preserve"> przewiduje, że podatnikiem krajowego podatku wyrównawczego jest m.in. </w:t>
      </w:r>
      <w:r w:rsidRPr="00C96268">
        <w:rPr>
          <w:rFonts w:ascii="Times New Roman" w:hAnsi="Times New Roman" w:cs="Times New Roman"/>
          <w:iCs/>
          <w:sz w:val="24"/>
          <w:szCs w:val="24"/>
        </w:rPr>
        <w:t>zlokalizowana</w:t>
      </w:r>
      <w:r w:rsidRPr="00C96268">
        <w:rPr>
          <w:rFonts w:ascii="Times New Roman" w:hAnsi="Times New Roman" w:cs="Times New Roman"/>
          <w:bCs/>
          <w:iCs/>
          <w:sz w:val="24"/>
          <w:szCs w:val="24"/>
        </w:rPr>
        <w:t xml:space="preserve"> na terytorium RP </w:t>
      </w:r>
      <w:r w:rsidRPr="00C96268">
        <w:rPr>
          <w:rFonts w:ascii="Times New Roman" w:hAnsi="Times New Roman" w:cs="Times New Roman"/>
          <w:b/>
          <w:iCs/>
          <w:sz w:val="24"/>
          <w:szCs w:val="24"/>
        </w:rPr>
        <w:t>jednostka pośrednicząca</w:t>
      </w:r>
      <w:r w:rsidRPr="00C96268">
        <w:rPr>
          <w:rFonts w:ascii="Times New Roman" w:hAnsi="Times New Roman" w:cs="Times New Roman"/>
          <w:bCs/>
          <w:iCs/>
          <w:sz w:val="24"/>
          <w:szCs w:val="24"/>
        </w:rPr>
        <w:t xml:space="preserve">. W tym zakresie należy przypomnieć, że jednostką pośredniczącą jest jednostka przejrzysta podatkowo w </w:t>
      </w:r>
      <w:bookmarkStart w:id="11" w:name="_Hlk170981815"/>
      <w:r w:rsidR="000118EC" w:rsidRPr="00C96268">
        <w:rPr>
          <w:rFonts w:ascii="Times New Roman" w:hAnsi="Times New Roman" w:cs="Times New Roman"/>
          <w:sz w:val="24"/>
          <w:szCs w:val="24"/>
        </w:rPr>
        <w:t xml:space="preserve">jurysdykcji </w:t>
      </w:r>
      <w:bookmarkEnd w:id="11"/>
      <w:r w:rsidRPr="00C96268">
        <w:rPr>
          <w:rFonts w:ascii="Times New Roman" w:hAnsi="Times New Roman" w:cs="Times New Roman"/>
          <w:bCs/>
          <w:iCs/>
          <w:sz w:val="24"/>
          <w:szCs w:val="24"/>
        </w:rPr>
        <w:t xml:space="preserve">utworzenia. Na gruncie podatku dochodowego od osób prawnych będzie to zatem w szczególności spółka jawna, o ile nie złożyła odpowiedniej informacji zgodnie z art. 1 ust. 3 pkt 1a ustawy o podatku dochodowym od osób prawnych. </w:t>
      </w:r>
    </w:p>
    <w:p w14:paraId="11AFFA94" w14:textId="73C88041"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
          <w:iCs/>
          <w:sz w:val="24"/>
          <w:szCs w:val="24"/>
        </w:rPr>
        <w:t>Art. 24 pkt 1 lit. a</w:t>
      </w:r>
      <w:r w:rsidRPr="00C96268">
        <w:rPr>
          <w:rFonts w:ascii="Times New Roman" w:hAnsi="Times New Roman" w:cs="Times New Roman"/>
          <w:bCs/>
          <w:iCs/>
          <w:sz w:val="24"/>
          <w:szCs w:val="24"/>
        </w:rPr>
        <w:t xml:space="preserve"> wymienia wyłącznie jednostkę pośredniczącą, o której mowa w </w:t>
      </w:r>
      <w:r w:rsidRPr="00C96268">
        <w:rPr>
          <w:rFonts w:ascii="Times New Roman" w:hAnsi="Times New Roman" w:cs="Times New Roman"/>
          <w:b/>
          <w:iCs/>
          <w:sz w:val="24"/>
          <w:szCs w:val="24"/>
        </w:rPr>
        <w:t>art. 7 ust. 2 pkt 2</w:t>
      </w:r>
      <w:r w:rsidRPr="00C96268">
        <w:rPr>
          <w:rFonts w:ascii="Times New Roman" w:hAnsi="Times New Roman" w:cs="Times New Roman"/>
          <w:bCs/>
          <w:iCs/>
          <w:sz w:val="24"/>
          <w:szCs w:val="24"/>
        </w:rPr>
        <w:t xml:space="preserve">. Jest to jednostka pośrednicząca, która jest jednostką dominującą najwyższego szczebla albo inną jednostką dominującą, jeżeli ta inna jednostka jest podatnikiem globalnego podatku wyrównawczego (może to być jednostka dominująca niższego szczebla, jeżeli jednostka dominująca najwyższego szczebla jest jednostką wyłączoną). Tylko taka jednostka pośrednicząca może, zgodnie z Zasadami GloBE, być </w:t>
      </w:r>
      <w:r w:rsidRPr="00C96268">
        <w:rPr>
          <w:rFonts w:ascii="Times New Roman" w:hAnsi="Times New Roman" w:cs="Times New Roman"/>
          <w:iCs/>
          <w:sz w:val="24"/>
          <w:szCs w:val="24"/>
        </w:rPr>
        <w:t xml:space="preserve">zlokalizowana </w:t>
      </w:r>
      <w:r w:rsidRPr="00C96268">
        <w:rPr>
          <w:rFonts w:ascii="Times New Roman" w:hAnsi="Times New Roman" w:cs="Times New Roman"/>
          <w:bCs/>
          <w:iCs/>
          <w:sz w:val="24"/>
          <w:szCs w:val="24"/>
        </w:rPr>
        <w:t xml:space="preserve">w </w:t>
      </w:r>
      <w:r w:rsidR="000118EC" w:rsidRPr="00C96268">
        <w:rPr>
          <w:rFonts w:ascii="Times New Roman" w:hAnsi="Times New Roman" w:cs="Times New Roman"/>
          <w:bCs/>
          <w:iCs/>
          <w:sz w:val="24"/>
          <w:szCs w:val="24"/>
        </w:rPr>
        <w:t xml:space="preserve">danej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jeżeli została w </w:t>
      </w:r>
      <w:r w:rsidR="000118EC" w:rsidRPr="00C96268">
        <w:rPr>
          <w:rFonts w:ascii="Times New Roman" w:hAnsi="Times New Roman" w:cs="Times New Roman"/>
          <w:bCs/>
          <w:iCs/>
          <w:sz w:val="24"/>
          <w:szCs w:val="24"/>
        </w:rPr>
        <w:t xml:space="preserve">tej </w:t>
      </w:r>
      <w:r w:rsidR="000118EC"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utworzona; inne typy jednostek pośredniczących są natomiast uznawane za bezpaństwowe. </w:t>
      </w:r>
    </w:p>
    <w:p w14:paraId="272CAF20" w14:textId="45092EBE"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Bezpaństwowa jednostka pośrednicząca została wskazana natomiast w </w:t>
      </w:r>
      <w:r w:rsidRPr="00C96268">
        <w:rPr>
          <w:rFonts w:ascii="Times New Roman" w:hAnsi="Times New Roman" w:cs="Times New Roman"/>
          <w:b/>
          <w:iCs/>
          <w:sz w:val="24"/>
          <w:szCs w:val="24"/>
        </w:rPr>
        <w:t>art. 24</w:t>
      </w:r>
      <w:r w:rsidRPr="00C96268">
        <w:rPr>
          <w:rFonts w:ascii="Times New Roman" w:hAnsi="Times New Roman" w:cs="Times New Roman"/>
          <w:bCs/>
          <w:iCs/>
          <w:sz w:val="24"/>
          <w:szCs w:val="24"/>
        </w:rPr>
        <w:t xml:space="preserve"> </w:t>
      </w:r>
      <w:r w:rsidRPr="00C96268">
        <w:rPr>
          <w:rFonts w:ascii="Times New Roman" w:hAnsi="Times New Roman" w:cs="Times New Roman"/>
          <w:b/>
          <w:iCs/>
          <w:sz w:val="24"/>
          <w:szCs w:val="24"/>
        </w:rPr>
        <w:t>pkt 2 lit. a</w:t>
      </w:r>
      <w:r w:rsidRPr="00C96268">
        <w:rPr>
          <w:rFonts w:ascii="Times New Roman" w:hAnsi="Times New Roman" w:cs="Times New Roman"/>
          <w:bCs/>
          <w:iCs/>
          <w:sz w:val="24"/>
          <w:szCs w:val="24"/>
        </w:rPr>
        <w:t xml:space="preserve">. Jest to każda jednostka pośrednicząca (przejrzysta podatkowo w </w:t>
      </w:r>
      <w:r w:rsidR="000118EC"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utworzenia), która nie jest jednostką dominującą, o której mowa w art. </w:t>
      </w:r>
      <w:r w:rsidRPr="00C96268">
        <w:rPr>
          <w:rFonts w:ascii="Times New Roman" w:hAnsi="Times New Roman" w:cs="Times New Roman"/>
          <w:b/>
          <w:iCs/>
          <w:sz w:val="24"/>
          <w:szCs w:val="24"/>
        </w:rPr>
        <w:t>7 ust. 2 pkt 2</w:t>
      </w:r>
      <w:r w:rsidRPr="00C96268">
        <w:rPr>
          <w:rFonts w:ascii="Times New Roman" w:hAnsi="Times New Roman" w:cs="Times New Roman"/>
          <w:bCs/>
          <w:iCs/>
          <w:sz w:val="24"/>
          <w:szCs w:val="24"/>
        </w:rPr>
        <w:t xml:space="preserve">. Taka jednostka nie jest </w:t>
      </w:r>
      <w:r w:rsidRPr="00C96268">
        <w:rPr>
          <w:rFonts w:ascii="Times New Roman" w:hAnsi="Times New Roman" w:cs="Times New Roman"/>
          <w:iCs/>
          <w:sz w:val="24"/>
          <w:szCs w:val="24"/>
        </w:rPr>
        <w:t xml:space="preserve">zlokalizowana w </w:t>
      </w:r>
      <w:r w:rsidR="000118EC" w:rsidRPr="00C96268">
        <w:rPr>
          <w:rFonts w:ascii="Times New Roman" w:hAnsi="Times New Roman" w:cs="Times New Roman"/>
          <w:iCs/>
          <w:sz w:val="24"/>
          <w:szCs w:val="24"/>
        </w:rPr>
        <w:t xml:space="preserve">żadnej </w:t>
      </w:r>
      <w:r w:rsidR="000118EC"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w świetle Zasad GloBE, jednak będzie podatnikiem krajowego podatku wyrównawczego, jeżeli została utworzona na terytorium Rzeczypospolitej Polskiej.</w:t>
      </w:r>
    </w:p>
    <w:p w14:paraId="784715CE"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praktyce, biorąc pod uwagę brzmienie </w:t>
      </w:r>
      <w:r w:rsidRPr="00C96268">
        <w:rPr>
          <w:rFonts w:ascii="Times New Roman" w:hAnsi="Times New Roman" w:cs="Times New Roman"/>
          <w:b/>
          <w:iCs/>
          <w:sz w:val="24"/>
          <w:szCs w:val="24"/>
        </w:rPr>
        <w:t>art. 24 pkt 1 lit. a i 2</w:t>
      </w:r>
      <w:r w:rsidRPr="00C96268">
        <w:rPr>
          <w:rFonts w:ascii="Times New Roman" w:hAnsi="Times New Roman" w:cs="Times New Roman"/>
          <w:bCs/>
          <w:iCs/>
          <w:sz w:val="24"/>
          <w:szCs w:val="24"/>
        </w:rPr>
        <w:t xml:space="preserve">, </w:t>
      </w:r>
      <w:r w:rsidRPr="00C96268">
        <w:rPr>
          <w:rFonts w:ascii="Times New Roman" w:hAnsi="Times New Roman" w:cs="Times New Roman"/>
          <w:b/>
          <w:bCs/>
          <w:iCs/>
          <w:sz w:val="24"/>
          <w:szCs w:val="24"/>
        </w:rPr>
        <w:t>podatnikami krajowego podatku wyrównawczego będą wszystkie jednostki pośredniczące utworzone na terytorium RP</w:t>
      </w:r>
      <w:r w:rsidRPr="00C96268">
        <w:rPr>
          <w:rFonts w:ascii="Times New Roman" w:hAnsi="Times New Roman" w:cs="Times New Roman"/>
          <w:bCs/>
          <w:iCs/>
          <w:sz w:val="24"/>
          <w:szCs w:val="24"/>
        </w:rPr>
        <w:t>,</w:t>
      </w:r>
      <w:r w:rsidRPr="00C96268">
        <w:rPr>
          <w:rFonts w:ascii="Times New Roman" w:hAnsi="Times New Roman" w:cs="Times New Roman"/>
          <w:b/>
          <w:bCs/>
          <w:iCs/>
          <w:sz w:val="24"/>
          <w:szCs w:val="24"/>
        </w:rPr>
        <w:t xml:space="preserve"> </w:t>
      </w:r>
      <w:r w:rsidRPr="00C96268">
        <w:rPr>
          <w:rFonts w:ascii="Times New Roman" w:hAnsi="Times New Roman" w:cs="Times New Roman"/>
          <w:bCs/>
          <w:iCs/>
          <w:sz w:val="24"/>
          <w:szCs w:val="24"/>
        </w:rPr>
        <w:t>niezależnie od ich statusu jako jednostki dominującej. Będą to zatem jednostki utworzone na terytorium RP oraz  niebędące podatnikami na gruncie ustawy o CIT (np. spółka jawna, o ile nie złożyła odpowiedniej informacji zgodnie z art. 1 ust. 3 pkt 1a tej ustawy, zarówno jeżeli byłaby jednostką dominującą, jak i „zwykłą” jednostką pośredniczącą).</w:t>
      </w:r>
    </w:p>
    <w:p w14:paraId="5A1C8AB7"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Ponadto, zgodnie z </w:t>
      </w:r>
      <w:r w:rsidRPr="00C96268">
        <w:rPr>
          <w:rFonts w:ascii="Times New Roman" w:hAnsi="Times New Roman" w:cs="Times New Roman"/>
          <w:b/>
          <w:iCs/>
          <w:sz w:val="24"/>
          <w:szCs w:val="24"/>
        </w:rPr>
        <w:t>art. 24 pkt 1b</w:t>
      </w:r>
      <w:r w:rsidRPr="00C96268">
        <w:rPr>
          <w:rFonts w:ascii="Times New Roman" w:hAnsi="Times New Roman" w:cs="Times New Roman"/>
          <w:bCs/>
          <w:iCs/>
          <w:sz w:val="24"/>
          <w:szCs w:val="24"/>
        </w:rPr>
        <w:t xml:space="preserve"> podatnikiem krajowego podatku wyrównawczego będzie także </w:t>
      </w:r>
      <w:r w:rsidRPr="00C96268">
        <w:rPr>
          <w:rFonts w:ascii="Times New Roman" w:hAnsi="Times New Roman" w:cs="Times New Roman"/>
          <w:b/>
          <w:bCs/>
          <w:iCs/>
          <w:sz w:val="24"/>
          <w:szCs w:val="24"/>
        </w:rPr>
        <w:t>jednostka joint venture lub jednostka zależna joint venture, jeżeli jest zlokalizowana na terytorium RP</w:t>
      </w:r>
      <w:r w:rsidRPr="00C96268">
        <w:rPr>
          <w:rFonts w:ascii="Times New Roman" w:hAnsi="Times New Roman" w:cs="Times New Roman"/>
          <w:bCs/>
          <w:iCs/>
          <w:sz w:val="24"/>
          <w:szCs w:val="24"/>
        </w:rPr>
        <w:t>. Takie jednostki wskazane są w odrębnej literze punktu 1, jako że nie stanowią jednostek składowych w świetle Zasad GloBE. Niemniej, na potrzeby obliczenia krajowego podatku wyrównawczego powinny być traktowane jako takie jednostki, przy czym efektywną stawką podatkową i krajowy podatek wyrównawczy liczy się odrębnie dla takich jednostek.</w:t>
      </w:r>
    </w:p>
    <w:p w14:paraId="14026EEB"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Finalnie, zgodnie z </w:t>
      </w:r>
      <w:r w:rsidRPr="00C96268">
        <w:rPr>
          <w:rFonts w:ascii="Times New Roman" w:hAnsi="Times New Roman" w:cs="Times New Roman"/>
          <w:b/>
          <w:iCs/>
          <w:sz w:val="24"/>
          <w:szCs w:val="24"/>
        </w:rPr>
        <w:t>art. 24 pkt 2 lit. b</w:t>
      </w:r>
      <w:r w:rsidRPr="00C96268">
        <w:rPr>
          <w:rFonts w:ascii="Times New Roman" w:hAnsi="Times New Roman" w:cs="Times New Roman"/>
          <w:bCs/>
          <w:iCs/>
          <w:sz w:val="24"/>
          <w:szCs w:val="24"/>
        </w:rPr>
        <w:t xml:space="preserve"> i mając na względzie szczelność systemu opodatkowania krajowym podatkiem wyrównawczym, podatnikiem tego podatniku jest również </w:t>
      </w:r>
      <w:r w:rsidRPr="00C96268">
        <w:rPr>
          <w:rFonts w:ascii="Times New Roman" w:hAnsi="Times New Roman" w:cs="Times New Roman"/>
          <w:b/>
          <w:bCs/>
          <w:iCs/>
          <w:sz w:val="24"/>
          <w:szCs w:val="24"/>
        </w:rPr>
        <w:t>stały zakład będący bezpaństwową jednostką składową, jeżeli działalność takiego zakładu prowadzona jest na terytorium Rzeczypospolitej Polskiej i podlega on opodatkowaniu CIT, zgodnie z przepisami  ustawy o CIT lub właściwej umowy o unikaniu podwójnego opodatkowania</w:t>
      </w:r>
      <w:r w:rsidRPr="00C96268">
        <w:rPr>
          <w:rFonts w:ascii="Times New Roman" w:hAnsi="Times New Roman" w:cs="Times New Roman"/>
          <w:bCs/>
          <w:iCs/>
          <w:sz w:val="24"/>
          <w:szCs w:val="24"/>
        </w:rPr>
        <w:t xml:space="preserve">. </w:t>
      </w:r>
      <w:r w:rsidRPr="00C96268">
        <w:rPr>
          <w:rStyle w:val="Odwoanieprzypisudolnego"/>
          <w:rFonts w:ascii="Times New Roman" w:hAnsi="Times New Roman" w:cs="Times New Roman"/>
          <w:bCs/>
          <w:iCs/>
          <w:sz w:val="24"/>
          <w:szCs w:val="24"/>
        </w:rPr>
        <w:footnoteReference w:id="88"/>
      </w:r>
      <w:r w:rsidRPr="00C96268">
        <w:rPr>
          <w:rFonts w:ascii="Times New Roman" w:hAnsi="Times New Roman" w:cs="Times New Roman"/>
          <w:bCs/>
          <w:iCs/>
          <w:sz w:val="24"/>
          <w:szCs w:val="24"/>
        </w:rPr>
        <w:t xml:space="preserve"> </w:t>
      </w:r>
    </w:p>
    <w:p w14:paraId="3C65D815"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Wskazane wyżej szczególne jednostki mogą być podatnikiem krajowego podatku wyrównawczego zgodnie z Wytycznymi Administracyjnymi</w:t>
      </w:r>
      <w:r w:rsidRPr="00C96268">
        <w:rPr>
          <w:rFonts w:ascii="Times New Roman" w:hAnsi="Times New Roman" w:cs="Times New Roman"/>
          <w:bCs/>
          <w:iCs/>
          <w:sz w:val="24"/>
          <w:szCs w:val="24"/>
          <w:vertAlign w:val="superscript"/>
        </w:rPr>
        <w:footnoteReference w:id="89"/>
      </w:r>
      <w:r w:rsidRPr="00C96268">
        <w:rPr>
          <w:rFonts w:ascii="Times New Roman" w:hAnsi="Times New Roman" w:cs="Times New Roman"/>
          <w:bCs/>
          <w:iCs/>
          <w:sz w:val="24"/>
          <w:szCs w:val="24"/>
        </w:rPr>
        <w:t>.</w:t>
      </w:r>
    </w:p>
    <w:p w14:paraId="2A1F65A3"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ramach danej grupy międzynarodowej albo grupy krajowej, częstokroć na terytorium RP będzie </w:t>
      </w:r>
      <w:r w:rsidRPr="00C96268">
        <w:rPr>
          <w:rFonts w:ascii="Times New Roman" w:hAnsi="Times New Roman" w:cs="Times New Roman"/>
          <w:iCs/>
          <w:sz w:val="24"/>
          <w:szCs w:val="24"/>
        </w:rPr>
        <w:t>zlokalizowanych</w:t>
      </w:r>
      <w:r w:rsidRPr="00C96268">
        <w:rPr>
          <w:rFonts w:ascii="Times New Roman" w:hAnsi="Times New Roman" w:cs="Times New Roman"/>
          <w:bCs/>
          <w:iCs/>
          <w:sz w:val="24"/>
          <w:szCs w:val="24"/>
        </w:rPr>
        <w:t xml:space="preserve"> kilku lub wielu podatników krajowego podatku wyrównawczego. W takim przypadku, obliczenie efektywnej stawki podatkowej będzie wymagać uwzględnienia, generalnie, wszystkich jednostek będących podatnikami (zgodnie ze wskazaną zasadą </w:t>
      </w:r>
      <w:r w:rsidRPr="00C96268">
        <w:rPr>
          <w:rFonts w:ascii="Times New Roman" w:hAnsi="Times New Roman" w:cs="Times New Roman"/>
          <w:bCs/>
          <w:i/>
          <w:iCs/>
          <w:sz w:val="24"/>
          <w:szCs w:val="24"/>
        </w:rPr>
        <w:t>jurisdictional blending</w:t>
      </w:r>
      <w:r w:rsidRPr="00C96268">
        <w:rPr>
          <w:rFonts w:ascii="Times New Roman" w:hAnsi="Times New Roman" w:cs="Times New Roman"/>
          <w:bCs/>
          <w:iCs/>
          <w:sz w:val="24"/>
          <w:szCs w:val="24"/>
        </w:rPr>
        <w:t>). Co prawda efektywna stawka podatkowa dla jednostek szczególnych kalkulowana jest odrębnie, jednak jednostki jednego typu (joint venture, inwestycyjne, mniejszościowe) traktuje się w ramach takiej odrębnej kalkulacji łącznie</w:t>
      </w:r>
      <w:r w:rsidRPr="00C96268">
        <w:rPr>
          <w:rFonts w:ascii="Times New Roman" w:hAnsi="Times New Roman" w:cs="Times New Roman"/>
          <w:bCs/>
          <w:iCs/>
          <w:sz w:val="24"/>
          <w:szCs w:val="24"/>
          <w:vertAlign w:val="superscript"/>
        </w:rPr>
        <w:footnoteReference w:id="90"/>
      </w:r>
      <w:r w:rsidRPr="00C96268">
        <w:rPr>
          <w:rFonts w:ascii="Times New Roman" w:hAnsi="Times New Roman" w:cs="Times New Roman"/>
          <w:bCs/>
          <w:iCs/>
          <w:sz w:val="24"/>
          <w:szCs w:val="24"/>
        </w:rPr>
        <w:t>. Zarówno zasada ogólna (</w:t>
      </w:r>
      <w:r w:rsidRPr="00C96268">
        <w:rPr>
          <w:rFonts w:ascii="Times New Roman" w:hAnsi="Times New Roman" w:cs="Times New Roman"/>
          <w:bCs/>
          <w:i/>
          <w:iCs/>
          <w:sz w:val="24"/>
          <w:szCs w:val="24"/>
        </w:rPr>
        <w:t>jurisdictional blending</w:t>
      </w:r>
      <w:r w:rsidRPr="00C96268">
        <w:rPr>
          <w:rFonts w:ascii="Times New Roman" w:hAnsi="Times New Roman" w:cs="Times New Roman"/>
          <w:bCs/>
          <w:iCs/>
          <w:sz w:val="24"/>
          <w:szCs w:val="24"/>
        </w:rPr>
        <w:t xml:space="preserve">) jak i łączenie jednostek szczególnych podobnego typu sprawia, że obliczenia efektywnej stawki podatkowej, muszą być dokonywane wspólnie, lub częściowo wspólnie, dla podatników z danej grupy międzynarodowej albo grupy krajowej, jeżeli na terytorium RP występuje więcej niż jeden podatnik. W takim przypadku proces obliczenia efektywnej stawki podatkowej wymaga zatem koordynacji. </w:t>
      </w:r>
    </w:p>
    <w:p w14:paraId="118AE70C"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25 [Ustalenie, czy podatnik jest nisko opodatkowaną jednostką składową] </w:t>
      </w:r>
    </w:p>
    <w:p w14:paraId="18CE801E"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Jak podkreśla się szeroko w Wytycznych Administracyjnych</w:t>
      </w:r>
      <w:r w:rsidRPr="00C96268">
        <w:rPr>
          <w:rFonts w:ascii="Times New Roman" w:hAnsi="Times New Roman" w:cs="Times New Roman"/>
          <w:bCs/>
          <w:iCs/>
          <w:sz w:val="24"/>
          <w:szCs w:val="24"/>
          <w:vertAlign w:val="superscript"/>
        </w:rPr>
        <w:footnoteReference w:id="91"/>
      </w:r>
      <w:r w:rsidRPr="00C96268">
        <w:rPr>
          <w:rFonts w:ascii="Times New Roman" w:hAnsi="Times New Roman" w:cs="Times New Roman"/>
          <w:bCs/>
          <w:iCs/>
          <w:sz w:val="24"/>
          <w:szCs w:val="24"/>
        </w:rPr>
        <w:t>, dla celów integralności i spójności Systemu GloBE zasady obliczenia krajowego podatku wyrównawczego muszą w największym możliwym zakresie odzwierciedlać zasady obliczenia globalnego podatku wyrównawczego.</w:t>
      </w:r>
      <w:r w:rsidRPr="00C96268">
        <w:rPr>
          <w:rStyle w:val="Odwoanieprzypisudolnego"/>
          <w:rFonts w:ascii="Times New Roman" w:hAnsi="Times New Roman" w:cs="Times New Roman"/>
          <w:bCs/>
          <w:iCs/>
          <w:sz w:val="24"/>
          <w:szCs w:val="24"/>
        </w:rPr>
        <w:footnoteReference w:id="92"/>
      </w:r>
      <w:r w:rsidRPr="00C96268">
        <w:rPr>
          <w:rFonts w:ascii="Times New Roman" w:hAnsi="Times New Roman" w:cs="Times New Roman"/>
          <w:bCs/>
          <w:iCs/>
          <w:sz w:val="24"/>
          <w:szCs w:val="24"/>
        </w:rPr>
        <w:t xml:space="preserve"> Mając na względzie powyższe, przepisy działu III regulujące sposób obliczenia krajowego podatku wyrównawczego odzwierciedlają w dużym stopniu przepisy działu II w zakresie obliczenia globalnego podatku wyrównawczego oraz zawierają liczne odesłania do tych przepisów, jak również do odpowiednich przepisów innych działów ustawy.</w:t>
      </w:r>
    </w:p>
    <w:p w14:paraId="4515C0AF" w14:textId="06AF2DC2" w:rsidR="006C6FE0" w:rsidRPr="00C96268" w:rsidRDefault="006C6FE0" w:rsidP="006C6FE0">
      <w:pPr>
        <w:pStyle w:val="ARTartustawynprozporzdzenia"/>
        <w:spacing w:line="259" w:lineRule="auto"/>
        <w:ind w:firstLine="0"/>
        <w:rPr>
          <w:rFonts w:ascii="Times New Roman" w:hAnsi="Times New Roman" w:cs="Times New Roman"/>
          <w:szCs w:val="24"/>
        </w:rPr>
      </w:pPr>
      <w:r w:rsidRPr="00C96268">
        <w:rPr>
          <w:rStyle w:val="Ppogrubienie"/>
          <w:rFonts w:ascii="Times New Roman" w:hAnsi="Times New Roman" w:cs="Times New Roman"/>
          <w:b w:val="0"/>
          <w:bCs/>
          <w:szCs w:val="24"/>
        </w:rPr>
        <w:t>Stąd, podobnie jak w przypadku globalnego podatku wyrównawczego,</w:t>
      </w:r>
      <w:r w:rsidRPr="00C96268">
        <w:rPr>
          <w:rFonts w:ascii="Times New Roman" w:hAnsi="Times New Roman" w:cs="Times New Roman"/>
          <w:szCs w:val="24"/>
        </w:rPr>
        <w:t xml:space="preserve"> krajowy podatek wyrównawczy oblicza się w odniesieniu do nisko opodatkowanych jednostek składowych grupy. Na gruncie krajowego podatku wyrównawczego to poszczególne jednostki składowe będą podatnikami. </w:t>
      </w:r>
      <w:r w:rsidRPr="00C96268">
        <w:rPr>
          <w:rFonts w:ascii="Times New Roman" w:hAnsi="Times New Roman" w:cs="Times New Roman"/>
          <w:szCs w:val="24"/>
          <w:u w:val="single"/>
        </w:rPr>
        <w:t>Podatnicy  muszą w pierwszym kroku ustalić, czy są nisko opodatkowanymi jednostkami składowymi, tj. przede wszystkim wykonać test efektywnej stawki podatkowej. Jeżeli ustalą, iż są takimi jednostkami, w kolejnym kroku obliczają krajowy podatek wyrównawczy.</w:t>
      </w:r>
      <w:r w:rsidR="001B58BC" w:rsidRPr="00C96268">
        <w:rPr>
          <w:rFonts w:ascii="Times New Roman" w:hAnsi="Times New Roman" w:cs="Times New Roman"/>
          <w:szCs w:val="24"/>
        </w:rPr>
        <w:t xml:space="preserve"> Tym samym, zgodnie z art. 25 ust. 1, podatnik oblicza krajowy podatek wyrównawczy, jeżeli podatnik jest nisko opodatkowaną jednostką składową.</w:t>
      </w:r>
    </w:p>
    <w:p w14:paraId="6E8DE5D8" w14:textId="0C52F8E8" w:rsidR="006C6FE0" w:rsidRPr="00C96268" w:rsidRDefault="006C6FE0" w:rsidP="006C6FE0">
      <w:pPr>
        <w:pStyle w:val="ARTartustawynprozporzdzenia"/>
        <w:spacing w:line="259" w:lineRule="auto"/>
        <w:ind w:firstLine="0"/>
        <w:rPr>
          <w:rFonts w:ascii="Times New Roman" w:hAnsi="Times New Roman" w:cs="Times New Roman"/>
          <w:szCs w:val="24"/>
        </w:rPr>
      </w:pPr>
      <w:r w:rsidRPr="00C96268">
        <w:rPr>
          <w:rFonts w:ascii="Times New Roman" w:hAnsi="Times New Roman" w:cs="Times New Roman"/>
          <w:szCs w:val="24"/>
        </w:rPr>
        <w:t xml:space="preserve">W przypadku „typowej” jednostki składowej, o której mowa w </w:t>
      </w:r>
      <w:r w:rsidRPr="00C96268">
        <w:rPr>
          <w:rFonts w:ascii="Times New Roman" w:hAnsi="Times New Roman" w:cs="Times New Roman"/>
          <w:b/>
          <w:bCs/>
          <w:szCs w:val="24"/>
        </w:rPr>
        <w:t>art. 25 ust. 2 pkt 1</w:t>
      </w:r>
      <w:r w:rsidRPr="00C96268">
        <w:rPr>
          <w:rFonts w:ascii="Times New Roman" w:hAnsi="Times New Roman" w:cs="Times New Roman"/>
          <w:szCs w:val="24"/>
        </w:rPr>
        <w:t xml:space="preserve">, testu efektywnej stawki podatkowej dokonuje się dla wszystkich jednostek składowych zlokalizowanych na terytorium Rzeczypospolitej Polskiej, tj. ustala się, czy dla danej grupy Rzeczypospolita Polska jest </w:t>
      </w:r>
      <w:r w:rsidR="000118EC" w:rsidRPr="00C96268">
        <w:rPr>
          <w:rFonts w:ascii="Times New Roman" w:hAnsi="Times New Roman" w:cs="Times New Roman"/>
          <w:szCs w:val="24"/>
        </w:rPr>
        <w:t>jurysdykcją</w:t>
      </w:r>
      <w:r w:rsidRPr="00C96268">
        <w:rPr>
          <w:rFonts w:ascii="Times New Roman" w:hAnsi="Times New Roman" w:cs="Times New Roman"/>
          <w:szCs w:val="24"/>
        </w:rPr>
        <w:t xml:space="preserve"> o niskim poziomie opodatkowania</w:t>
      </w:r>
      <w:r w:rsidRPr="00C96268">
        <w:rPr>
          <w:rStyle w:val="Odwoanieprzypisudolnego"/>
          <w:rFonts w:ascii="Times New Roman" w:hAnsi="Times New Roman" w:cs="Times New Roman"/>
          <w:szCs w:val="24"/>
        </w:rPr>
        <w:footnoteReference w:id="93"/>
      </w:r>
      <w:r w:rsidRPr="00C96268">
        <w:rPr>
          <w:rFonts w:ascii="Times New Roman" w:hAnsi="Times New Roman" w:cs="Times New Roman"/>
          <w:szCs w:val="24"/>
        </w:rPr>
        <w:t xml:space="preserve">. Zgodnie z </w:t>
      </w:r>
      <w:r w:rsidRPr="00C96268">
        <w:rPr>
          <w:rFonts w:ascii="Times New Roman" w:hAnsi="Times New Roman" w:cs="Times New Roman"/>
          <w:b/>
          <w:bCs/>
          <w:szCs w:val="24"/>
        </w:rPr>
        <w:t>ust. 3</w:t>
      </w:r>
      <w:r w:rsidRPr="00C96268">
        <w:rPr>
          <w:rFonts w:ascii="Times New Roman" w:hAnsi="Times New Roman" w:cs="Times New Roman"/>
          <w:szCs w:val="24"/>
        </w:rPr>
        <w:t xml:space="preserve">, będzie tak,  jeżeli grupa osiągnęła w roku podatkowym jurysdykcyjny kwalifikowany dochód netto oraz efektywna stawka podatkowa jest niższa od minimalnej stawki podatkowej. </w:t>
      </w:r>
    </w:p>
    <w:p w14:paraId="54B77B5D" w14:textId="7DDE90AE" w:rsidR="006C6FE0" w:rsidRPr="00C96268" w:rsidRDefault="006C6FE0" w:rsidP="006C6FE0">
      <w:pPr>
        <w:spacing w:before="120"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tym zakresie stosuje się zatem, podobnie jak na gruncie przepisów działu II, podejście jurysdykcyjne (tzw. </w:t>
      </w:r>
      <w:r w:rsidRPr="00C96268">
        <w:rPr>
          <w:rFonts w:ascii="Times New Roman" w:hAnsi="Times New Roman" w:cs="Times New Roman"/>
          <w:bCs/>
          <w:i/>
          <w:iCs/>
          <w:sz w:val="24"/>
          <w:szCs w:val="24"/>
        </w:rPr>
        <w:t>jurisdictional blending</w:t>
      </w:r>
      <w:r w:rsidRPr="00C96268">
        <w:rPr>
          <w:rFonts w:ascii="Times New Roman" w:hAnsi="Times New Roman" w:cs="Times New Roman"/>
          <w:bCs/>
          <w:iCs/>
          <w:sz w:val="24"/>
          <w:szCs w:val="24"/>
        </w:rPr>
        <w:t xml:space="preserve">), zgodnie z którym efektywną stawkę podatkową dla Rzeczypospolitej Polskiej oblicza się z uwzględnieniem wszystkich jednostek składowych </w:t>
      </w:r>
      <w:r w:rsidRPr="00C96268">
        <w:rPr>
          <w:rFonts w:ascii="Times New Roman" w:hAnsi="Times New Roman" w:cs="Times New Roman"/>
          <w:iCs/>
          <w:sz w:val="24"/>
          <w:szCs w:val="24"/>
        </w:rPr>
        <w:t xml:space="preserve">zlokalizowanych </w:t>
      </w:r>
      <w:r w:rsidRPr="00C96268">
        <w:rPr>
          <w:rFonts w:ascii="Times New Roman" w:hAnsi="Times New Roman" w:cs="Times New Roman"/>
          <w:bCs/>
          <w:iCs/>
          <w:sz w:val="24"/>
          <w:szCs w:val="24"/>
        </w:rPr>
        <w:t xml:space="preserve">w </w:t>
      </w:r>
      <w:r w:rsidR="000118EC" w:rsidRPr="00C96268">
        <w:rPr>
          <w:rFonts w:ascii="Times New Roman" w:hAnsi="Times New Roman" w:cs="Times New Roman"/>
          <w:bCs/>
          <w:iCs/>
          <w:sz w:val="24"/>
          <w:szCs w:val="24"/>
        </w:rPr>
        <w:t>tej jurysdykcji</w:t>
      </w:r>
      <w:r w:rsidRPr="00C96268">
        <w:rPr>
          <w:rFonts w:ascii="Times New Roman" w:hAnsi="Times New Roman" w:cs="Times New Roman"/>
          <w:bCs/>
          <w:iCs/>
          <w:sz w:val="24"/>
          <w:szCs w:val="24"/>
        </w:rPr>
        <w:t>. W przypadku efektywnej stawki podatkowej niższej od 15%, oblicza się w drugiej kolejności jurysdykcyjny krajowy podatek wyrównawczy (który odpowiada założeniom jurysdykcyjnego globalnego podatku wyrównawczego), a następnie przypisuje się kwoty podatku poszczególnym podatnikom. Kwoty jurysdykcyjnego krajowego podatku wyrównawczego, przypisane poszczególnym podatnikom stanowią krajowy podatek wyrównawczy, należny od tych jednostek.</w:t>
      </w:r>
    </w:p>
    <w:p w14:paraId="1E048E35" w14:textId="5E6154BA"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Aby ustalić, czy Rzeczpospolita Polska jest </w:t>
      </w:r>
      <w:r w:rsidR="000118EC" w:rsidRPr="00C96268">
        <w:rPr>
          <w:rFonts w:ascii="Times New Roman" w:hAnsi="Times New Roman" w:cs="Times New Roman"/>
          <w:sz w:val="24"/>
          <w:szCs w:val="24"/>
        </w:rPr>
        <w:t xml:space="preserve">jurysdykcją </w:t>
      </w:r>
      <w:r w:rsidRPr="00C96268">
        <w:rPr>
          <w:rFonts w:ascii="Times New Roman" w:hAnsi="Times New Roman" w:cs="Times New Roman"/>
          <w:bCs/>
          <w:iCs/>
          <w:sz w:val="24"/>
          <w:szCs w:val="24"/>
        </w:rPr>
        <w:t>o niskim poziomie opodatkowania, należy dokonać obliczeń w następujących krokach:</w:t>
      </w:r>
    </w:p>
    <w:p w14:paraId="2FD03E8D" w14:textId="77777777" w:rsidR="006C6FE0" w:rsidRPr="00C96268" w:rsidRDefault="006C6FE0" w:rsidP="002C7467">
      <w:pPr>
        <w:pStyle w:val="Akapitzlist"/>
        <w:numPr>
          <w:ilvl w:val="0"/>
          <w:numId w:val="102"/>
        </w:numPr>
        <w:spacing w:after="120"/>
        <w:ind w:left="721" w:hanging="437"/>
        <w:contextualSpacing w:val="0"/>
        <w:jc w:val="both"/>
        <w:rPr>
          <w:rFonts w:ascii="Times New Roman" w:hAnsi="Times New Roman" w:cs="Times New Roman"/>
          <w:sz w:val="24"/>
          <w:szCs w:val="24"/>
        </w:rPr>
      </w:pPr>
      <w:bookmarkStart w:id="12" w:name="_Hlk162630275"/>
      <w:r w:rsidRPr="00C96268">
        <w:rPr>
          <w:rFonts w:ascii="Times New Roman" w:hAnsi="Times New Roman" w:cs="Times New Roman"/>
          <w:sz w:val="24"/>
          <w:szCs w:val="24"/>
        </w:rPr>
        <w:t xml:space="preserve">Po pierwsze, przed zastosowaniem podejścia jurysdykcyjnego, dla każdego podatnika ustala się odrębnie kwalifikowany dochód (stratę) i skorygowane podatki kwalifikowane, </w:t>
      </w:r>
      <w:r w:rsidRPr="00C96268">
        <w:rPr>
          <w:rFonts w:ascii="Times New Roman" w:hAnsi="Times New Roman" w:cs="Times New Roman"/>
          <w:bCs/>
          <w:iCs/>
          <w:sz w:val="24"/>
          <w:szCs w:val="24"/>
        </w:rPr>
        <w:t xml:space="preserve">zgodnie z </w:t>
      </w:r>
      <w:r w:rsidRPr="00C96268">
        <w:rPr>
          <w:rFonts w:ascii="Times New Roman" w:hAnsi="Times New Roman" w:cs="Times New Roman"/>
          <w:b/>
          <w:iCs/>
          <w:sz w:val="24"/>
          <w:szCs w:val="24"/>
        </w:rPr>
        <w:t>ust. 4 pkt 1</w:t>
      </w:r>
      <w:r w:rsidRPr="00C96268">
        <w:rPr>
          <w:rFonts w:ascii="Times New Roman" w:hAnsi="Times New Roman" w:cs="Times New Roman"/>
          <w:bCs/>
          <w:iCs/>
          <w:sz w:val="24"/>
          <w:szCs w:val="24"/>
        </w:rPr>
        <w:t xml:space="preserve">. </w:t>
      </w:r>
      <w:r w:rsidRPr="00C96268">
        <w:rPr>
          <w:rFonts w:ascii="Times New Roman" w:hAnsi="Times New Roman" w:cs="Times New Roman"/>
          <w:sz w:val="24"/>
          <w:szCs w:val="24"/>
        </w:rPr>
        <w:t xml:space="preserve"> </w:t>
      </w:r>
      <w:r w:rsidRPr="00C96268">
        <w:rPr>
          <w:rFonts w:ascii="Times New Roman" w:hAnsi="Times New Roman" w:cs="Times New Roman"/>
          <w:iCs/>
          <w:sz w:val="24"/>
          <w:szCs w:val="24"/>
        </w:rPr>
        <w:t>W tym zakresie uwzględnienia się określone odstępstwa przyjęte na potrzeby krajowego podatku wyrównawczego</w:t>
      </w:r>
      <w:r w:rsidRPr="00C96268">
        <w:rPr>
          <w:rFonts w:ascii="Times New Roman" w:hAnsi="Times New Roman" w:cs="Times New Roman"/>
          <w:sz w:val="24"/>
          <w:szCs w:val="24"/>
        </w:rPr>
        <w:t xml:space="preserve">, o których mowa w </w:t>
      </w:r>
      <w:r w:rsidRPr="00C96268">
        <w:rPr>
          <w:rFonts w:ascii="Times New Roman" w:hAnsi="Times New Roman" w:cs="Times New Roman"/>
          <w:b/>
          <w:bCs/>
          <w:sz w:val="24"/>
          <w:szCs w:val="24"/>
        </w:rPr>
        <w:t>art. 29 i 30</w:t>
      </w:r>
      <w:r w:rsidRPr="00C96268">
        <w:rPr>
          <w:rFonts w:ascii="Times New Roman" w:hAnsi="Times New Roman" w:cs="Times New Roman"/>
          <w:sz w:val="24"/>
          <w:szCs w:val="24"/>
        </w:rPr>
        <w:t>.</w:t>
      </w:r>
      <w:bookmarkEnd w:id="12"/>
    </w:p>
    <w:p w14:paraId="62FC8302" w14:textId="6AE47F82" w:rsidR="006C6FE0" w:rsidRPr="00C96268" w:rsidRDefault="006C6FE0" w:rsidP="002C7467">
      <w:pPr>
        <w:pStyle w:val="Akapitzlist"/>
        <w:numPr>
          <w:ilvl w:val="0"/>
          <w:numId w:val="102"/>
        </w:numPr>
        <w:spacing w:after="120"/>
        <w:ind w:left="721" w:hanging="437"/>
        <w:contextualSpacing w:val="0"/>
        <w:jc w:val="both"/>
        <w:rPr>
          <w:rFonts w:ascii="Times New Roman" w:hAnsi="Times New Roman" w:cs="Times New Roman"/>
          <w:sz w:val="24"/>
          <w:szCs w:val="24"/>
        </w:rPr>
      </w:pPr>
      <w:r w:rsidRPr="00C96268">
        <w:rPr>
          <w:rFonts w:ascii="Times New Roman" w:hAnsi="Times New Roman" w:cs="Times New Roman"/>
          <w:sz w:val="24"/>
          <w:szCs w:val="24"/>
        </w:rPr>
        <w:t xml:space="preserve">Zgodnie z </w:t>
      </w:r>
      <w:r w:rsidRPr="00C96268">
        <w:rPr>
          <w:rFonts w:ascii="Times New Roman" w:hAnsi="Times New Roman" w:cs="Times New Roman"/>
          <w:b/>
          <w:sz w:val="24"/>
          <w:szCs w:val="24"/>
        </w:rPr>
        <w:t>art. 25 ust. 4  pkt 2</w:t>
      </w:r>
      <w:r w:rsidRPr="00C96268">
        <w:rPr>
          <w:rFonts w:ascii="Times New Roman" w:hAnsi="Times New Roman" w:cs="Times New Roman"/>
          <w:sz w:val="24"/>
          <w:szCs w:val="24"/>
        </w:rPr>
        <w:t xml:space="preserve">, dla wszystkich jednostek </w:t>
      </w:r>
      <w:r w:rsidRPr="00C96268">
        <w:rPr>
          <w:rFonts w:ascii="Times New Roman" w:hAnsi="Times New Roman" w:cs="Times New Roman"/>
          <w:iCs/>
          <w:sz w:val="24"/>
          <w:szCs w:val="24"/>
        </w:rPr>
        <w:t xml:space="preserve">zlokalizowanych </w:t>
      </w:r>
      <w:r w:rsidRPr="00C96268">
        <w:rPr>
          <w:rFonts w:ascii="Times New Roman" w:hAnsi="Times New Roman" w:cs="Times New Roman"/>
          <w:sz w:val="24"/>
          <w:szCs w:val="24"/>
        </w:rPr>
        <w:t>na terytorium RP ustala się</w:t>
      </w:r>
      <w:r w:rsidRPr="00C96268">
        <w:rPr>
          <w:rFonts w:ascii="Times New Roman" w:hAnsi="Times New Roman" w:cs="Times New Roman"/>
          <w:b/>
          <w:sz w:val="24"/>
          <w:szCs w:val="24"/>
        </w:rPr>
        <w:t xml:space="preserve"> jurysdykcyjny kwalifikowany dochód (stratę</w:t>
      </w:r>
      <w:r w:rsidRPr="00C96268">
        <w:rPr>
          <w:rFonts w:ascii="Times New Roman" w:hAnsi="Times New Roman" w:cs="Times New Roman"/>
          <w:sz w:val="24"/>
          <w:szCs w:val="24"/>
        </w:rPr>
        <w:t xml:space="preserve">) </w:t>
      </w:r>
      <w:r w:rsidRPr="00C96268">
        <w:rPr>
          <w:rFonts w:ascii="Times New Roman" w:hAnsi="Times New Roman" w:cs="Times New Roman"/>
          <w:b/>
          <w:sz w:val="24"/>
          <w:szCs w:val="24"/>
        </w:rPr>
        <w:t>netto</w:t>
      </w:r>
      <w:r w:rsidRPr="00C96268">
        <w:rPr>
          <w:rFonts w:ascii="Times New Roman" w:hAnsi="Times New Roman" w:cs="Times New Roman"/>
          <w:sz w:val="24"/>
          <w:szCs w:val="24"/>
        </w:rPr>
        <w:t xml:space="preserve">. Stanowi on saldo kwalifikowanego dochodu i kwalifikowanych strat wszystkich jednostek składowych </w:t>
      </w:r>
      <w:r w:rsidRPr="00C96268">
        <w:rPr>
          <w:rFonts w:ascii="Times New Roman" w:hAnsi="Times New Roman" w:cs="Times New Roman"/>
          <w:iCs/>
          <w:sz w:val="24"/>
          <w:szCs w:val="24"/>
        </w:rPr>
        <w:t>zlokalizowanych</w:t>
      </w:r>
      <w:r w:rsidRPr="00C96268">
        <w:rPr>
          <w:rFonts w:ascii="Times New Roman" w:hAnsi="Times New Roman" w:cs="Times New Roman"/>
          <w:sz w:val="24"/>
          <w:szCs w:val="24"/>
        </w:rPr>
        <w:t xml:space="preserve"> na terytorium RP, zgodnie ze wzorem wskazanym w przepisach działu II </w:t>
      </w:r>
      <w:r w:rsidR="00A94122" w:rsidRPr="00C96268">
        <w:rPr>
          <w:rFonts w:ascii="Times New Roman" w:hAnsi="Times New Roman" w:cs="Times New Roman"/>
          <w:sz w:val="24"/>
          <w:szCs w:val="24"/>
        </w:rPr>
        <w:br/>
      </w:r>
      <w:r w:rsidRPr="00C96268">
        <w:rPr>
          <w:rFonts w:ascii="Times New Roman" w:hAnsi="Times New Roman" w:cs="Times New Roman"/>
          <w:sz w:val="24"/>
          <w:szCs w:val="24"/>
        </w:rPr>
        <w:t>(</w:t>
      </w:r>
      <w:r w:rsidRPr="00C96268">
        <w:rPr>
          <w:rFonts w:ascii="Times New Roman" w:hAnsi="Times New Roman" w:cs="Times New Roman"/>
          <w:b/>
          <w:sz w:val="24"/>
          <w:szCs w:val="24"/>
        </w:rPr>
        <w:t>art. 11 ust. 5</w:t>
      </w:r>
      <w:r w:rsidRPr="00C96268">
        <w:rPr>
          <w:rFonts w:ascii="Times New Roman" w:hAnsi="Times New Roman" w:cs="Times New Roman"/>
          <w:sz w:val="24"/>
          <w:szCs w:val="24"/>
        </w:rPr>
        <w:t xml:space="preserve">). </w:t>
      </w:r>
    </w:p>
    <w:p w14:paraId="0C3AD120" w14:textId="77777777" w:rsidR="006C6FE0" w:rsidRPr="00C96268" w:rsidRDefault="006C6FE0" w:rsidP="002C7467">
      <w:pPr>
        <w:pStyle w:val="Akapitzlist"/>
        <w:numPr>
          <w:ilvl w:val="0"/>
          <w:numId w:val="102"/>
        </w:numPr>
        <w:spacing w:after="240"/>
        <w:ind w:left="721" w:hanging="437"/>
        <w:jc w:val="both"/>
        <w:rPr>
          <w:rFonts w:ascii="Times New Roman" w:hAnsi="Times New Roman" w:cs="Times New Roman"/>
          <w:sz w:val="24"/>
          <w:szCs w:val="24"/>
        </w:rPr>
      </w:pPr>
      <w:r w:rsidRPr="00C96268">
        <w:rPr>
          <w:rFonts w:ascii="Times New Roman" w:hAnsi="Times New Roman" w:cs="Times New Roman"/>
          <w:iCs/>
          <w:sz w:val="24"/>
          <w:szCs w:val="24"/>
        </w:rPr>
        <w:t>Kolejnym krokiem, zgodnie z powołanym</w:t>
      </w:r>
      <w:r w:rsidRPr="00C96268">
        <w:rPr>
          <w:rFonts w:ascii="Times New Roman" w:hAnsi="Times New Roman" w:cs="Times New Roman"/>
          <w:i/>
          <w:iCs/>
          <w:sz w:val="24"/>
          <w:szCs w:val="24"/>
        </w:rPr>
        <w:t xml:space="preserve"> </w:t>
      </w:r>
      <w:r w:rsidRPr="00C96268">
        <w:rPr>
          <w:rFonts w:ascii="Times New Roman" w:hAnsi="Times New Roman" w:cs="Times New Roman"/>
          <w:b/>
          <w:iCs/>
          <w:sz w:val="24"/>
          <w:szCs w:val="24"/>
        </w:rPr>
        <w:t>art. 25 ust. 4 pkt 2</w:t>
      </w:r>
      <w:r w:rsidRPr="00C96268">
        <w:rPr>
          <w:rFonts w:ascii="Times New Roman" w:hAnsi="Times New Roman" w:cs="Times New Roman"/>
          <w:iCs/>
          <w:sz w:val="24"/>
          <w:szCs w:val="24"/>
        </w:rPr>
        <w:t>, jest obliczenie</w:t>
      </w:r>
      <w:r w:rsidRPr="00C96268">
        <w:rPr>
          <w:rFonts w:ascii="Times New Roman" w:hAnsi="Times New Roman" w:cs="Times New Roman"/>
          <w:b/>
          <w:iCs/>
          <w:sz w:val="24"/>
          <w:szCs w:val="24"/>
        </w:rPr>
        <w:t xml:space="preserve"> efektywnej stawki podatkowej</w:t>
      </w:r>
      <w:r w:rsidRPr="00C96268">
        <w:rPr>
          <w:rFonts w:ascii="Times New Roman" w:hAnsi="Times New Roman" w:cs="Times New Roman"/>
          <w:iCs/>
          <w:sz w:val="24"/>
          <w:szCs w:val="24"/>
        </w:rPr>
        <w:t xml:space="preserve">. Na potrzeby kalkulacji tej stawki wykorzystuje się wzór wskazany w przepisach działu II (w </w:t>
      </w:r>
      <w:r w:rsidRPr="00C96268">
        <w:rPr>
          <w:rFonts w:ascii="Times New Roman" w:hAnsi="Times New Roman" w:cs="Times New Roman"/>
          <w:b/>
          <w:iCs/>
          <w:sz w:val="24"/>
          <w:szCs w:val="24"/>
        </w:rPr>
        <w:t>art. 11 ust. 4</w:t>
      </w:r>
      <w:r w:rsidRPr="00C96268">
        <w:rPr>
          <w:rFonts w:ascii="Times New Roman" w:hAnsi="Times New Roman" w:cs="Times New Roman"/>
          <w:iCs/>
          <w:sz w:val="24"/>
          <w:szCs w:val="24"/>
        </w:rPr>
        <w:t>), stosując go odpowiednio do wszystkich jednostek składowych zlokalizowanych na terytorium RP:</w:t>
      </w:r>
    </w:p>
    <w:p w14:paraId="644F90D7" w14:textId="77777777" w:rsidR="006D0FA4" w:rsidRPr="003E7A67" w:rsidRDefault="006D0FA4" w:rsidP="006D0FA4">
      <w:pPr>
        <w:spacing w:after="120"/>
        <w:jc w:val="both"/>
        <w:rPr>
          <w:rFonts w:eastAsiaTheme="minorEastAsia" w:cstheme="minorHAnsi"/>
          <w:b/>
          <w:bCs/>
          <w:iCs/>
          <w:lang w:val="en-GB"/>
        </w:rPr>
      </w:pPr>
      <m:oMathPara>
        <m:oMathParaPr>
          <m:jc m:val="center"/>
        </m:oMathParaPr>
        <m:oMath>
          <m:r>
            <m:rPr>
              <m:sty m:val="b"/>
            </m:rPr>
            <w:rPr>
              <w:rFonts w:ascii="Cambria Math" w:hAnsi="Cambria Math" w:cstheme="minorHAnsi"/>
              <w:lang w:val="en-GB"/>
            </w:rPr>
            <m:t>Efektywna stawka podatkowa</m:t>
          </m:r>
        </m:oMath>
      </m:oMathPara>
    </w:p>
    <w:p w14:paraId="5B7469BC" w14:textId="77777777" w:rsidR="006D0FA4" w:rsidRPr="003E7A67" w:rsidRDefault="006D0FA4" w:rsidP="006D0FA4">
      <w:pPr>
        <w:spacing w:after="120"/>
        <w:jc w:val="both"/>
        <w:rPr>
          <w:rFonts w:cstheme="minorHAnsi"/>
          <w:bCs/>
          <w:iCs/>
          <w:lang w:val="en-GB"/>
        </w:rPr>
      </w:pPr>
      <m:oMathPara>
        <m:oMathParaPr>
          <m:jc m:val="center"/>
        </m:oMathParaPr>
        <m:oMath>
          <m:r>
            <m:rPr>
              <m:sty m:val="p"/>
            </m:rPr>
            <w:rPr>
              <w:rFonts w:ascii="Cambria Math" w:hAnsi="Cambria Math" w:cstheme="minorHAnsi"/>
              <w:lang w:val="en-GB"/>
            </w:rPr>
            <m:t>=</m:t>
          </m:r>
          <m:f>
            <m:fPr>
              <m:ctrlPr>
                <w:rPr>
                  <w:rFonts w:ascii="Cambria Math" w:hAnsi="Cambria Math" w:cstheme="minorHAnsi"/>
                  <w:bCs/>
                  <w:iCs/>
                  <w:lang w:val="en-GB"/>
                </w:rPr>
              </m:ctrlPr>
            </m:fPr>
            <m:num>
              <m:eqArr>
                <m:eqArrPr>
                  <m:ctrlPr>
                    <w:rPr>
                      <w:rFonts w:ascii="Cambria Math" w:hAnsi="Cambria Math" w:cstheme="minorHAnsi"/>
                      <w:bCs/>
                      <w:iCs/>
                      <w:lang w:val="en-GB"/>
                    </w:rPr>
                  </m:ctrlPr>
                </m:eqArrPr>
                <m:e>
                  <m:r>
                    <m:rPr>
                      <m:sty m:val="b"/>
                    </m:rPr>
                    <w:rPr>
                      <w:rFonts w:ascii="Cambria Math" w:hAnsi="Cambria Math" w:cstheme="minorHAnsi"/>
                      <w:lang w:val="en-GB"/>
                    </w:rPr>
                    <m:t xml:space="preserve">skorygowane podatki kwalifikowane </m:t>
                  </m:r>
                </m:e>
                <m:e>
                  <m:r>
                    <m:rPr>
                      <m:sty m:val="p"/>
                    </m:rPr>
                    <w:rPr>
                      <w:rFonts w:ascii="Cambria Math" w:hAnsi="Cambria Math" w:cstheme="minorHAnsi"/>
                      <w:lang w:val="en-GB"/>
                    </w:rPr>
                    <m:t>wszystkich jednostek składowych zlokalizowanych na terytorium RP</m:t>
                  </m:r>
                </m:e>
              </m:eqArr>
            </m:num>
            <m:den>
              <m:eqArr>
                <m:eqArrPr>
                  <m:ctrlPr>
                    <w:rPr>
                      <w:rFonts w:ascii="Cambria Math" w:hAnsi="Cambria Math" w:cstheme="minorHAnsi"/>
                      <w:bCs/>
                      <w:iCs/>
                      <w:lang w:val="en-GB"/>
                    </w:rPr>
                  </m:ctrlPr>
                </m:eqArrPr>
                <m:e>
                  <m:r>
                    <m:rPr>
                      <m:sty m:val="b"/>
                    </m:rPr>
                    <w:rPr>
                      <w:rFonts w:ascii="Cambria Math" w:hAnsi="Cambria Math" w:cstheme="minorHAnsi"/>
                      <w:lang w:val="en-GB"/>
                    </w:rPr>
                    <m:t xml:space="preserve">jurysdykcyjny kwalifikowany dochód netto </m:t>
                  </m:r>
                </m:e>
                <m:e>
                  <m:r>
                    <m:rPr>
                      <m:sty m:val="p"/>
                    </m:rPr>
                    <w:rPr>
                      <w:rFonts w:ascii="Cambria Math" w:hAnsi="Cambria Math" w:cstheme="minorHAnsi"/>
                      <w:lang w:val="en-GB"/>
                    </w:rPr>
                    <m:t>wszystkich jednostek składowych zlokalizowanych na terytorium RP</m:t>
                  </m:r>
                </m:e>
              </m:eqArr>
            </m:den>
          </m:f>
          <m:r>
            <w:rPr>
              <w:rFonts w:ascii="Cambria Math" w:hAnsi="Cambria Math" w:cstheme="minorHAnsi"/>
              <w:lang w:val="en-GB"/>
            </w:rPr>
            <m:t xml:space="preserve">  </m:t>
          </m:r>
          <m:r>
            <m:rPr>
              <m:sty m:val="p"/>
            </m:rPr>
            <w:rPr>
              <w:rFonts w:ascii="Cambria Math" w:hAnsi="Cambria Math" w:cstheme="minorHAnsi"/>
              <w:lang w:val="en-GB"/>
            </w:rPr>
            <m:t>x</m:t>
          </m:r>
          <m:r>
            <w:rPr>
              <w:rFonts w:ascii="Cambria Math" w:hAnsi="Cambria Math" w:cstheme="minorHAnsi"/>
              <w:lang w:val="en-GB"/>
            </w:rPr>
            <m:t xml:space="preserve">  100%</m:t>
          </m:r>
        </m:oMath>
      </m:oMathPara>
    </w:p>
    <w:p w14:paraId="0A58AD9D" w14:textId="56FC449A"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przypadku, gdy efektywna stawka podatkowa ustalona w powyższy sposób jest niższa niż minimalna stawka podatkowa (15%), Rzeczpospolitą Polską uznaje się, z perspektywy danej grupy międzynarodowej lub grupy krajowej, za </w:t>
      </w:r>
      <w:r w:rsidR="000118EC" w:rsidRPr="00C96268">
        <w:rPr>
          <w:rFonts w:ascii="Times New Roman" w:hAnsi="Times New Roman" w:cs="Times New Roman"/>
          <w:b/>
          <w:bCs/>
          <w:iCs/>
          <w:sz w:val="24"/>
          <w:szCs w:val="24"/>
        </w:rPr>
        <w:t xml:space="preserve">jurysdykcję </w:t>
      </w:r>
      <w:r w:rsidRPr="00C96268">
        <w:rPr>
          <w:rFonts w:ascii="Times New Roman" w:hAnsi="Times New Roman" w:cs="Times New Roman"/>
          <w:b/>
          <w:bCs/>
          <w:iCs/>
          <w:sz w:val="24"/>
          <w:szCs w:val="24"/>
        </w:rPr>
        <w:t xml:space="preserve">o niskim poziomie opodatkowania </w:t>
      </w:r>
      <w:r w:rsidRPr="00C96268">
        <w:rPr>
          <w:rFonts w:ascii="Times New Roman" w:hAnsi="Times New Roman" w:cs="Times New Roman"/>
          <w:bCs/>
          <w:iCs/>
          <w:sz w:val="24"/>
          <w:szCs w:val="24"/>
        </w:rPr>
        <w:t xml:space="preserve">(por. </w:t>
      </w:r>
      <w:r w:rsidRPr="00C96268">
        <w:rPr>
          <w:rFonts w:ascii="Times New Roman" w:hAnsi="Times New Roman" w:cs="Times New Roman"/>
          <w:b/>
          <w:iCs/>
          <w:sz w:val="24"/>
          <w:szCs w:val="24"/>
        </w:rPr>
        <w:t>art. 25 ust. 3</w:t>
      </w:r>
      <w:r w:rsidRPr="00C96268">
        <w:rPr>
          <w:rFonts w:ascii="Times New Roman" w:hAnsi="Times New Roman" w:cs="Times New Roman"/>
          <w:bCs/>
          <w:iCs/>
          <w:sz w:val="24"/>
          <w:szCs w:val="24"/>
        </w:rPr>
        <w:t xml:space="preserve">), a każdą jednostkę </w:t>
      </w:r>
      <w:r w:rsidRPr="00C96268">
        <w:rPr>
          <w:rFonts w:ascii="Times New Roman" w:hAnsi="Times New Roman" w:cs="Times New Roman"/>
          <w:iCs/>
          <w:sz w:val="24"/>
          <w:szCs w:val="24"/>
        </w:rPr>
        <w:t xml:space="preserve">zlokalizowaną </w:t>
      </w:r>
      <w:r w:rsidRPr="00C96268">
        <w:rPr>
          <w:rFonts w:ascii="Times New Roman" w:hAnsi="Times New Roman" w:cs="Times New Roman"/>
          <w:bCs/>
          <w:iCs/>
          <w:sz w:val="24"/>
          <w:szCs w:val="24"/>
        </w:rPr>
        <w:t xml:space="preserve">w Rzeczypospolitej Polskiej za nisko opodatkowaną jednostkę (por. </w:t>
      </w:r>
      <w:r w:rsidRPr="00C96268">
        <w:rPr>
          <w:rFonts w:ascii="Times New Roman" w:hAnsi="Times New Roman" w:cs="Times New Roman"/>
          <w:b/>
          <w:iCs/>
          <w:sz w:val="24"/>
          <w:szCs w:val="24"/>
        </w:rPr>
        <w:t>art. 25 ust. 2 pkt 1</w:t>
      </w:r>
      <w:r w:rsidRPr="00C96268">
        <w:rPr>
          <w:rFonts w:ascii="Times New Roman" w:hAnsi="Times New Roman" w:cs="Times New Roman"/>
          <w:bCs/>
          <w:iCs/>
          <w:sz w:val="24"/>
          <w:szCs w:val="24"/>
        </w:rPr>
        <w:t>).</w:t>
      </w:r>
    </w:p>
    <w:p w14:paraId="07091670" w14:textId="26E0AA6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Jeżeli w wyniku obliczenia efektywnej stawki podatkowej Rzeczpospolita Polska jest </w:t>
      </w:r>
      <w:r w:rsidR="000118EC" w:rsidRPr="00C96268">
        <w:rPr>
          <w:rFonts w:ascii="Times New Roman" w:hAnsi="Times New Roman" w:cs="Times New Roman"/>
          <w:bCs/>
          <w:iCs/>
          <w:sz w:val="24"/>
          <w:szCs w:val="24"/>
        </w:rPr>
        <w:t xml:space="preserve">jurysdykcją </w:t>
      </w:r>
      <w:r w:rsidRPr="00C96268">
        <w:rPr>
          <w:rFonts w:ascii="Times New Roman" w:hAnsi="Times New Roman" w:cs="Times New Roman"/>
          <w:bCs/>
          <w:iCs/>
          <w:sz w:val="24"/>
          <w:szCs w:val="24"/>
        </w:rPr>
        <w:t xml:space="preserve">o niskim opodatkowaniu, zgodnie z </w:t>
      </w:r>
      <w:r w:rsidRPr="00C96268">
        <w:rPr>
          <w:rFonts w:ascii="Times New Roman" w:hAnsi="Times New Roman" w:cs="Times New Roman"/>
          <w:b/>
          <w:iCs/>
          <w:sz w:val="24"/>
          <w:szCs w:val="24"/>
        </w:rPr>
        <w:t>art. 26</w:t>
      </w:r>
      <w:r w:rsidRPr="00C96268">
        <w:rPr>
          <w:rFonts w:ascii="Times New Roman" w:hAnsi="Times New Roman" w:cs="Times New Roman"/>
          <w:bCs/>
          <w:iCs/>
          <w:sz w:val="24"/>
          <w:szCs w:val="24"/>
        </w:rPr>
        <w:t xml:space="preserve"> oblicza się </w:t>
      </w:r>
      <w:r w:rsidRPr="00C96268">
        <w:rPr>
          <w:rFonts w:ascii="Times New Roman" w:hAnsi="Times New Roman" w:cs="Times New Roman"/>
          <w:b/>
          <w:bCs/>
          <w:iCs/>
          <w:sz w:val="24"/>
          <w:szCs w:val="24"/>
        </w:rPr>
        <w:t xml:space="preserve">jurysdykcyjny krajowy podatek wyrównawczy. </w:t>
      </w:r>
    </w:p>
    <w:p w14:paraId="02AE7539"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26 [Obliczenie jurysdykcyjnego krajowego podatku wyrównawczego] </w:t>
      </w:r>
    </w:p>
    <w:p w14:paraId="79D3B776"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sz w:val="24"/>
          <w:szCs w:val="24"/>
        </w:rPr>
        <w:t>Podobnie jak na gruncie przepisów działu II, n</w:t>
      </w:r>
      <w:r w:rsidRPr="00C96268">
        <w:rPr>
          <w:rFonts w:ascii="Times New Roman" w:hAnsi="Times New Roman" w:cs="Times New Roman"/>
          <w:bCs/>
          <w:iCs/>
          <w:sz w:val="24"/>
          <w:szCs w:val="24"/>
        </w:rPr>
        <w:t>a potrzeby obliczenia jurysdykcyjnego krajowego podatku wyrównawczego</w:t>
      </w:r>
      <w:r w:rsidRPr="00C96268">
        <w:rPr>
          <w:rFonts w:ascii="Times New Roman" w:hAnsi="Times New Roman" w:cs="Times New Roman"/>
          <w:b/>
          <w:bCs/>
          <w:iCs/>
          <w:sz w:val="24"/>
          <w:szCs w:val="24"/>
        </w:rPr>
        <w:t xml:space="preserve"> </w:t>
      </w:r>
      <w:r w:rsidRPr="00C96268">
        <w:rPr>
          <w:rFonts w:ascii="Times New Roman" w:hAnsi="Times New Roman" w:cs="Times New Roman"/>
          <w:bCs/>
          <w:iCs/>
          <w:sz w:val="24"/>
          <w:szCs w:val="24"/>
        </w:rPr>
        <w:t xml:space="preserve">w pierwszej kolejności ustala się:  </w:t>
      </w:r>
    </w:p>
    <w:p w14:paraId="4A322D12" w14:textId="70A63EBD" w:rsidR="006C6FE0" w:rsidRPr="00C96268" w:rsidRDefault="006C6FE0" w:rsidP="00B6504F">
      <w:pPr>
        <w:numPr>
          <w:ilvl w:val="1"/>
          <w:numId w:val="23"/>
        </w:numPr>
        <w:spacing w:after="120"/>
        <w:ind w:left="709" w:hanging="425"/>
        <w:jc w:val="both"/>
        <w:rPr>
          <w:rFonts w:ascii="Times New Roman" w:hAnsi="Times New Roman" w:cs="Times New Roman"/>
          <w:bCs/>
          <w:sz w:val="24"/>
          <w:szCs w:val="24"/>
        </w:rPr>
      </w:pPr>
      <w:r w:rsidRPr="00C96268">
        <w:rPr>
          <w:rFonts w:ascii="Times New Roman" w:hAnsi="Times New Roman" w:cs="Times New Roman"/>
          <w:b/>
          <w:bCs/>
          <w:iCs/>
          <w:sz w:val="24"/>
          <w:szCs w:val="24"/>
        </w:rPr>
        <w:t>indywidualną stawkę podatkową</w:t>
      </w:r>
      <w:r w:rsidRPr="00C96268">
        <w:rPr>
          <w:rFonts w:ascii="Times New Roman" w:hAnsi="Times New Roman" w:cs="Times New Roman"/>
          <w:bCs/>
          <w:iCs/>
          <w:sz w:val="24"/>
          <w:szCs w:val="24"/>
        </w:rPr>
        <w:t xml:space="preserve">, jako różnicę między </w:t>
      </w:r>
      <w:r w:rsidRPr="00C96268">
        <w:rPr>
          <w:rFonts w:ascii="Times New Roman" w:hAnsi="Times New Roman" w:cs="Times New Roman"/>
          <w:bCs/>
          <w:sz w:val="24"/>
          <w:szCs w:val="24"/>
        </w:rPr>
        <w:t>minimalną stawką podatkową a efektywną stawką podatkową; przykładowo, jeżeli efektywna stawka podatkowa wyniosła 10%, indywidualna stawka podatkowa wyniesie 5% (15% – 10%);</w:t>
      </w:r>
    </w:p>
    <w:p w14:paraId="01F7D80C" w14:textId="77777777" w:rsidR="006C6FE0" w:rsidRPr="00C96268" w:rsidRDefault="006C6FE0" w:rsidP="00B6504F">
      <w:pPr>
        <w:numPr>
          <w:ilvl w:val="1"/>
          <w:numId w:val="23"/>
        </w:numPr>
        <w:spacing w:after="120"/>
        <w:ind w:left="709" w:hanging="425"/>
        <w:jc w:val="both"/>
        <w:rPr>
          <w:rFonts w:ascii="Times New Roman" w:hAnsi="Times New Roman" w:cs="Times New Roman"/>
          <w:bCs/>
          <w:sz w:val="24"/>
          <w:szCs w:val="24"/>
        </w:rPr>
      </w:pPr>
      <w:r w:rsidRPr="00C96268">
        <w:rPr>
          <w:rFonts w:ascii="Times New Roman" w:hAnsi="Times New Roman" w:cs="Times New Roman"/>
          <w:b/>
          <w:bCs/>
          <w:sz w:val="24"/>
          <w:szCs w:val="24"/>
        </w:rPr>
        <w:t>nadwyżkę zysku</w:t>
      </w:r>
      <w:r w:rsidRPr="00C96268">
        <w:rPr>
          <w:rFonts w:ascii="Times New Roman" w:hAnsi="Times New Roman" w:cs="Times New Roman"/>
          <w:bCs/>
          <w:sz w:val="24"/>
          <w:szCs w:val="24"/>
        </w:rPr>
        <w:t>, która oznacza jurysdykcyjny kwalifikowany dochód (stratę) netto pomniejszony o wyłączenie z tytułu substratu majątkowo–osobowego, o którym mowa w art. 101.</w:t>
      </w:r>
    </w:p>
    <w:p w14:paraId="1C27E2EF" w14:textId="77777777" w:rsidR="006C6FE0" w:rsidRPr="00C96268" w:rsidRDefault="006C6FE0" w:rsidP="006C6FE0">
      <w:pPr>
        <w:spacing w:after="120"/>
        <w:jc w:val="both"/>
        <w:rPr>
          <w:rFonts w:ascii="Times New Roman" w:hAnsi="Times New Roman" w:cs="Times New Roman"/>
          <w:b/>
          <w:bCs/>
          <w:iCs/>
          <w:sz w:val="24"/>
          <w:szCs w:val="24"/>
        </w:rPr>
      </w:pPr>
      <w:r w:rsidRPr="00C96268">
        <w:rPr>
          <w:rFonts w:ascii="Times New Roman" w:hAnsi="Times New Roman" w:cs="Times New Roman"/>
          <w:bCs/>
          <w:iCs/>
          <w:sz w:val="24"/>
          <w:szCs w:val="24"/>
        </w:rPr>
        <w:t>Następnie jurysdykcyjny krajowy podatek wyrównawczy</w:t>
      </w:r>
      <w:r w:rsidRPr="00C96268">
        <w:rPr>
          <w:rFonts w:ascii="Times New Roman" w:hAnsi="Times New Roman" w:cs="Times New Roman"/>
          <w:b/>
          <w:bCs/>
          <w:iCs/>
          <w:sz w:val="24"/>
          <w:szCs w:val="24"/>
        </w:rPr>
        <w:t xml:space="preserve"> </w:t>
      </w:r>
      <w:r w:rsidRPr="00C96268">
        <w:rPr>
          <w:rFonts w:ascii="Times New Roman" w:hAnsi="Times New Roman" w:cs="Times New Roman"/>
          <w:bCs/>
          <w:iCs/>
          <w:sz w:val="24"/>
          <w:szCs w:val="24"/>
        </w:rPr>
        <w:t>ustala się</w:t>
      </w:r>
      <w:r w:rsidRPr="00C96268">
        <w:rPr>
          <w:rFonts w:ascii="Times New Roman" w:hAnsi="Times New Roman" w:cs="Times New Roman"/>
          <w:b/>
          <w:bCs/>
          <w:iCs/>
          <w:sz w:val="24"/>
          <w:szCs w:val="24"/>
        </w:rPr>
        <w:t xml:space="preserve"> </w:t>
      </w:r>
      <w:r w:rsidRPr="00C96268">
        <w:rPr>
          <w:rFonts w:ascii="Times New Roman" w:hAnsi="Times New Roman" w:cs="Times New Roman"/>
          <w:bCs/>
          <w:iCs/>
          <w:sz w:val="24"/>
          <w:szCs w:val="24"/>
        </w:rPr>
        <w:t>według wzoru:</w:t>
      </w:r>
      <w:r w:rsidRPr="00C96268">
        <w:rPr>
          <w:rFonts w:ascii="Times New Roman" w:hAnsi="Times New Roman" w:cs="Times New Roman"/>
          <w:b/>
          <w:bCs/>
          <w:iCs/>
          <w:sz w:val="24"/>
          <w:szCs w:val="24"/>
        </w:rPr>
        <w:t xml:space="preserve"> </w:t>
      </w:r>
    </w:p>
    <w:p w14:paraId="07D3DC8F" w14:textId="77777777" w:rsidR="006D0FA4" w:rsidRPr="003E7A67" w:rsidRDefault="006D0FA4" w:rsidP="006D0FA4">
      <w:pPr>
        <w:spacing w:after="120"/>
        <w:jc w:val="both"/>
        <w:rPr>
          <w:rFonts w:eastAsiaTheme="minorEastAsia" w:cstheme="minorHAnsi"/>
          <w:b/>
          <w:bCs/>
          <w:iCs/>
        </w:rPr>
      </w:pPr>
      <m:oMathPara>
        <m:oMathParaPr>
          <m:jc m:val="center"/>
        </m:oMathParaPr>
        <m:oMath>
          <m:r>
            <m:rPr>
              <m:sty m:val="b"/>
            </m:rPr>
            <w:rPr>
              <w:rFonts w:ascii="Cambria Math" w:hAnsi="Cambria Math" w:cstheme="minorHAnsi"/>
            </w:rPr>
            <m:t>Jurysdykcyjny krajowy podatek wyrównaczy</m:t>
          </m:r>
        </m:oMath>
      </m:oMathPara>
    </w:p>
    <w:p w14:paraId="65C0FBBD" w14:textId="77777777" w:rsidR="006D0FA4" w:rsidRPr="003E7A67" w:rsidRDefault="006D0FA4" w:rsidP="006D0FA4">
      <w:pPr>
        <w:spacing w:after="120"/>
        <w:jc w:val="both"/>
        <w:rPr>
          <w:rFonts w:cstheme="minorHAnsi"/>
          <w:b/>
          <w:bCs/>
          <w:iCs/>
        </w:rPr>
      </w:pPr>
      <m:oMathPara>
        <m:oMathParaPr>
          <m:jc m:val="center"/>
        </m:oMathParaPr>
        <m:oMath>
          <m:r>
            <m:rPr>
              <m:sty m:val="b"/>
            </m:rPr>
            <w:rPr>
              <w:rFonts w:ascii="Cambria Math" w:hAnsi="Cambria Math" w:cstheme="minorHAnsi"/>
            </w:rPr>
            <m:t>=</m:t>
          </m:r>
          <m:d>
            <m:dPr>
              <m:ctrlPr>
                <w:rPr>
                  <w:rFonts w:ascii="Cambria Math" w:hAnsi="Cambria Math" w:cstheme="minorHAnsi"/>
                  <w:bCs/>
                  <w:iCs/>
                </w:rPr>
              </m:ctrlPr>
            </m:dPr>
            <m:e>
              <m:r>
                <m:rPr>
                  <m:sty m:val="p"/>
                </m:rPr>
                <w:rPr>
                  <w:rFonts w:ascii="Cambria Math" w:hAnsi="Cambria Math" w:cstheme="minorHAnsi"/>
                </w:rPr>
                <m:t>indywidualna stawka podatkowa x nadwyżka zysku</m:t>
              </m:r>
            </m:e>
          </m:d>
          <m:r>
            <m:rPr>
              <m:sty m:val="p"/>
            </m:rPr>
            <w:rPr>
              <w:rFonts w:ascii="Cambria Math" w:hAnsi="Cambria Math" w:cstheme="minorHAnsi"/>
            </w:rPr>
            <m:t>+dodatkowy podatek wyrównawczy</m:t>
          </m:r>
          <m:r>
            <m:rPr>
              <m:sty m:val="b"/>
            </m:rPr>
            <w:rPr>
              <w:rFonts w:ascii="Cambria Math" w:hAnsi="Cambria Math" w:cstheme="minorHAnsi"/>
            </w:rPr>
            <m:t xml:space="preserve"> </m:t>
          </m:r>
        </m:oMath>
      </m:oMathPara>
    </w:p>
    <w:p w14:paraId="553D5281"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Metodologia wyliczenia jest zatem podobna do jurysdykcyjnego globalnego podatku wyrównawczego, jednak w tym przypadku wzór nie przewiduje – zgodnie z zasadami logiki – pomniejszenia tak wyliczonego podatku o krajowy podatek wyrównawczy.</w:t>
      </w:r>
    </w:p>
    <w:p w14:paraId="2C9302E5"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27 [Obliczenie krajowego podatku wyrównawczego należnego od danego podatnika] </w:t>
      </w:r>
    </w:p>
    <w:p w14:paraId="1EE2D17A"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Kolejnym krokiem jest alokacja jurysdykcyjnego krajowego podatku wyrównawczego pomiędzy podatników, tj. pomiędzy poszczególne jednostki składowe </w:t>
      </w:r>
      <w:r w:rsidRPr="00C96268">
        <w:rPr>
          <w:rFonts w:ascii="Times New Roman" w:hAnsi="Times New Roman" w:cs="Times New Roman"/>
          <w:iCs/>
          <w:sz w:val="24"/>
          <w:szCs w:val="24"/>
        </w:rPr>
        <w:t xml:space="preserve">zlokalizowane </w:t>
      </w:r>
      <w:r w:rsidRPr="00C96268">
        <w:rPr>
          <w:rFonts w:ascii="Times New Roman" w:hAnsi="Times New Roman" w:cs="Times New Roman"/>
          <w:bCs/>
          <w:iCs/>
          <w:sz w:val="24"/>
          <w:szCs w:val="24"/>
        </w:rPr>
        <w:t xml:space="preserve">na terytorium RP będące podatnikami krajowego podatku wyrównawczego. </w:t>
      </w:r>
    </w:p>
    <w:p w14:paraId="7E8AF754" w14:textId="34C1C216"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w:t>
      </w:r>
      <w:r w:rsidRPr="00C96268">
        <w:rPr>
          <w:rFonts w:ascii="Times New Roman" w:hAnsi="Times New Roman" w:cs="Times New Roman"/>
          <w:b/>
          <w:iCs/>
          <w:sz w:val="24"/>
          <w:szCs w:val="24"/>
        </w:rPr>
        <w:t>art. 27</w:t>
      </w:r>
      <w:r w:rsidRPr="00C96268">
        <w:rPr>
          <w:rFonts w:ascii="Times New Roman" w:hAnsi="Times New Roman" w:cs="Times New Roman"/>
          <w:bCs/>
          <w:iCs/>
          <w:sz w:val="24"/>
          <w:szCs w:val="24"/>
        </w:rPr>
        <w:t xml:space="preserve"> przyjęty klucz alokacji to dochód kwalifikowany poszczególnych jednostek składowych </w:t>
      </w:r>
      <w:r w:rsidRPr="00C96268">
        <w:rPr>
          <w:rFonts w:ascii="Times New Roman" w:hAnsi="Times New Roman" w:cs="Times New Roman"/>
          <w:iCs/>
          <w:sz w:val="24"/>
          <w:szCs w:val="24"/>
        </w:rPr>
        <w:t xml:space="preserve">zlokalizowanych </w:t>
      </w:r>
      <w:r w:rsidRPr="00C96268">
        <w:rPr>
          <w:rFonts w:ascii="Times New Roman" w:hAnsi="Times New Roman" w:cs="Times New Roman"/>
          <w:bCs/>
          <w:iCs/>
          <w:sz w:val="24"/>
          <w:szCs w:val="24"/>
        </w:rPr>
        <w:t xml:space="preserve">na terytorium RP (tj. poszczególnych podatników) w odniesieniu do kwalifikowanego dochodu wszystkich takich jednostek składowych (wszystkich podatników). Przyjęty klucz alokacji, w oparciu o kwalifikowany dochód, jest uniwersalną miarą, spójną z metodą alokacji jurysdykcyjnego globalnego podatku wyrównawczego do poszczególnych nisko opodatkowanych jednostek składowych, tj. obliczenia jednostkowego podatku na podstawie </w:t>
      </w:r>
      <w:r w:rsidRPr="00C96268">
        <w:rPr>
          <w:rFonts w:ascii="Times New Roman" w:hAnsi="Times New Roman" w:cs="Times New Roman"/>
          <w:b/>
          <w:iCs/>
          <w:sz w:val="24"/>
          <w:szCs w:val="24"/>
        </w:rPr>
        <w:t>art. 14</w:t>
      </w:r>
      <w:r w:rsidRPr="00C96268">
        <w:rPr>
          <w:rFonts w:ascii="Times New Roman" w:hAnsi="Times New Roman" w:cs="Times New Roman"/>
          <w:bCs/>
          <w:iCs/>
          <w:sz w:val="24"/>
          <w:szCs w:val="24"/>
        </w:rPr>
        <w:t>, oraz jest zgodny z Wytycznymi Administracyjnymi.</w:t>
      </w:r>
      <w:r w:rsidRPr="00C96268">
        <w:rPr>
          <w:rFonts w:ascii="Times New Roman" w:hAnsi="Times New Roman" w:cs="Times New Roman"/>
          <w:bCs/>
          <w:iCs/>
          <w:sz w:val="24"/>
          <w:szCs w:val="24"/>
          <w:vertAlign w:val="superscript"/>
        </w:rPr>
        <w:footnoteReference w:id="94"/>
      </w:r>
    </w:p>
    <w:p w14:paraId="343F52B1" w14:textId="77777777" w:rsidR="006C6FE0" w:rsidRPr="00C96268" w:rsidRDefault="006C6FE0" w:rsidP="006C6FE0">
      <w:pPr>
        <w:spacing w:before="120" w:after="240"/>
        <w:jc w:val="both"/>
        <w:rPr>
          <w:rFonts w:ascii="Times New Roman" w:hAnsi="Times New Roman" w:cs="Times New Roman"/>
          <w:bCs/>
          <w:sz w:val="24"/>
          <w:szCs w:val="24"/>
        </w:rPr>
      </w:pPr>
      <w:r w:rsidRPr="00C96268">
        <w:rPr>
          <w:rFonts w:ascii="Times New Roman" w:hAnsi="Times New Roman" w:cs="Times New Roman"/>
          <w:bCs/>
          <w:sz w:val="24"/>
          <w:szCs w:val="24"/>
        </w:rPr>
        <w:t>Krajowy podatek wyrównawczy należny od danego podatnika ustala się zatem według wzoru:</w:t>
      </w:r>
    </w:p>
    <w:p w14:paraId="13F845B0" w14:textId="77777777" w:rsidR="006D0FA4" w:rsidRPr="003E7A67" w:rsidRDefault="006D0FA4" w:rsidP="006D0FA4">
      <w:pPr>
        <w:spacing w:before="120" w:after="240"/>
        <w:ind w:hanging="426"/>
        <w:jc w:val="both"/>
        <w:rPr>
          <w:rFonts w:eastAsiaTheme="minorEastAsia" w:cstheme="minorHAnsi"/>
          <w:b/>
          <w:bCs/>
          <w:iCs/>
          <w:sz w:val="20"/>
          <w:szCs w:val="20"/>
          <w:lang w:val="en-GB"/>
        </w:rPr>
      </w:pPr>
      <m:oMathPara>
        <m:oMath>
          <m:r>
            <m:rPr>
              <m:sty m:val="b"/>
            </m:rPr>
            <w:rPr>
              <w:rFonts w:ascii="Cambria Math" w:hAnsi="Cambria Math" w:cstheme="minorHAnsi"/>
              <w:sz w:val="20"/>
              <w:szCs w:val="20"/>
              <w:lang w:val="en-GB"/>
            </w:rPr>
            <m:t xml:space="preserve">Krajowy podatek wyrównawczy </m:t>
          </m:r>
        </m:oMath>
      </m:oMathPara>
    </w:p>
    <w:p w14:paraId="369621B7" w14:textId="77777777" w:rsidR="006D0FA4" w:rsidRPr="003E7A67" w:rsidRDefault="006D0FA4" w:rsidP="006D0FA4">
      <w:pPr>
        <w:spacing w:before="120" w:after="240"/>
        <w:ind w:left="-284"/>
        <w:jc w:val="both"/>
        <w:rPr>
          <w:rFonts w:cstheme="minorHAnsi"/>
          <w:bCs/>
          <w:iCs/>
          <w:sz w:val="20"/>
          <w:szCs w:val="20"/>
          <w:lang w:val="en-GB"/>
        </w:rPr>
      </w:pPr>
      <m:oMathPara>
        <m:oMath>
          <m:r>
            <m:rPr>
              <m:sty m:val="p"/>
            </m:rPr>
            <w:rPr>
              <w:rFonts w:ascii="Cambria Math" w:hAnsi="Cambria Math" w:cstheme="minorHAnsi"/>
              <w:sz w:val="20"/>
              <w:szCs w:val="20"/>
              <w:lang w:val="en-GB"/>
            </w:rPr>
            <m:t xml:space="preserve">=jurysdykcyjny krajowy podatek wyrównawczy  </m:t>
          </m:r>
          <m:f>
            <m:fPr>
              <m:ctrlPr>
                <w:rPr>
                  <w:rFonts w:ascii="Cambria Math" w:hAnsi="Cambria Math" w:cstheme="minorHAnsi"/>
                  <w:bCs/>
                  <w:iCs/>
                  <w:sz w:val="20"/>
                  <w:szCs w:val="20"/>
                  <w:lang w:val="en-GB"/>
                </w:rPr>
              </m:ctrlPr>
            </m:fPr>
            <m:num>
              <m:r>
                <m:rPr>
                  <m:sty m:val="p"/>
                </m:rPr>
                <w:rPr>
                  <w:rFonts w:ascii="Cambria Math" w:hAnsi="Cambria Math" w:cstheme="minorHAnsi"/>
                  <w:sz w:val="20"/>
                  <w:szCs w:val="20"/>
                  <w:lang w:val="en-GB"/>
                </w:rPr>
                <m:t>kwalifikowany dochód podatnika</m:t>
              </m:r>
            </m:num>
            <m:den>
              <m:r>
                <m:rPr>
                  <m:sty m:val="p"/>
                </m:rPr>
                <w:rPr>
                  <w:rFonts w:ascii="Cambria Math" w:hAnsi="Cambria Math" w:cstheme="minorHAnsi"/>
                  <w:sz w:val="20"/>
                  <w:szCs w:val="20"/>
                  <w:lang w:val="en-GB"/>
                </w:rPr>
                <m:t>suma kwalifikowanego dochodu wszystkich podatników</m:t>
              </m:r>
            </m:den>
          </m:f>
        </m:oMath>
      </m:oMathPara>
    </w:p>
    <w:p w14:paraId="78C9A6FA" w14:textId="083F8F5A" w:rsidR="006C6FE0" w:rsidRPr="00C96268" w:rsidRDefault="006C6FE0" w:rsidP="006C6FE0">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Art. 27 ust. 2</w:t>
      </w:r>
      <w:r w:rsidRPr="00C96268">
        <w:rPr>
          <w:rFonts w:ascii="Times New Roman" w:hAnsi="Times New Roman" w:cs="Times New Roman"/>
          <w:bCs/>
          <w:sz w:val="24"/>
          <w:szCs w:val="24"/>
        </w:rPr>
        <w:t xml:space="preserve"> potwierdza dodatkowo, że w przypadku, gdy podatnik </w:t>
      </w:r>
      <w:r w:rsidR="00277EE3" w:rsidRPr="00C96268">
        <w:rPr>
          <w:rFonts w:ascii="Times New Roman" w:hAnsi="Times New Roman" w:cs="Times New Roman"/>
          <w:bCs/>
          <w:sz w:val="24"/>
          <w:szCs w:val="24"/>
        </w:rPr>
        <w:t xml:space="preserve">poniósł </w:t>
      </w:r>
      <w:r w:rsidRPr="00C96268">
        <w:rPr>
          <w:rFonts w:ascii="Times New Roman" w:hAnsi="Times New Roman" w:cs="Times New Roman"/>
          <w:bCs/>
          <w:sz w:val="24"/>
          <w:szCs w:val="24"/>
        </w:rPr>
        <w:t xml:space="preserve">za dany rok kwalifikowaną stratę, nie ustala się krajowego podatku wyrównawczego należnego od tego podatnika (jurysdykcyjny podatek zostanie alokowany wyłącznie pomiędzy pozostałych podatników, którzy osiągnęli kwalifikowany dochód). Zgodnie z przedstawionym w </w:t>
      </w:r>
      <w:r w:rsidRPr="00C96268">
        <w:rPr>
          <w:rFonts w:ascii="Times New Roman" w:hAnsi="Times New Roman" w:cs="Times New Roman"/>
          <w:b/>
          <w:sz w:val="24"/>
          <w:szCs w:val="24"/>
        </w:rPr>
        <w:t>art. 27 ust. 1</w:t>
      </w:r>
      <w:r w:rsidRPr="00C96268">
        <w:rPr>
          <w:rFonts w:ascii="Times New Roman" w:hAnsi="Times New Roman" w:cs="Times New Roman"/>
          <w:bCs/>
          <w:sz w:val="24"/>
          <w:szCs w:val="24"/>
        </w:rPr>
        <w:t xml:space="preserve"> wzorem kwota krajowego podatku wyrównawczego wyniesie zero również w przypadku, gdy kwalifikowany dochód podatnika będzie równy zeru. </w:t>
      </w:r>
    </w:p>
    <w:p w14:paraId="6B17BD74"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w:t>
      </w:r>
      <w:r w:rsidRPr="00C96268">
        <w:rPr>
          <w:rFonts w:ascii="Times New Roman" w:hAnsi="Times New Roman" w:cs="Times New Roman"/>
          <w:b/>
          <w:iCs/>
          <w:sz w:val="24"/>
          <w:szCs w:val="24"/>
        </w:rPr>
        <w:t>art. 27 ust. 3</w:t>
      </w:r>
      <w:r w:rsidRPr="00C96268">
        <w:rPr>
          <w:rFonts w:ascii="Times New Roman" w:hAnsi="Times New Roman" w:cs="Times New Roman"/>
          <w:bCs/>
          <w:iCs/>
          <w:sz w:val="24"/>
          <w:szCs w:val="24"/>
        </w:rPr>
        <w:t xml:space="preserve"> kwotę krajowego podatku wyrównawczego, należnego od jednostki będącej podatnikiem, oblicza się niezależnie od wysokości udziału własnościowego, jaki posiadają jednostki dominujące danej grupy międzynarodowej albo grupy krajowej w tej jednostce (lub z innej perspektywy – niezależnie od wysokości udziałów, jakie posiadają jednostki spoza danej grupy). </w:t>
      </w:r>
    </w:p>
    <w:p w14:paraId="08CBF611"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Jest to zatem uregulowane odmiennie niż w przepisach działu II, jako że na gruncie globalnego podatku wyrównawczego jednostce dominującej będącej podatnikiem przypisuje się określoną część podatku w odniesieniu do jej nisko opodatkowanej jednostki w oparciu o udział własnościowy jednostki dominującej w takiej jednostce i kwotę dochodu kwalifikowanego przynależną danej jednostce dominującej na tej podstawie (jest to udziałowy globalny podatek wyrównawczy). Natomiast na gruncie krajowego podatku wyrównawczego to sama nisko opodatkowana jednostka jest podatnikiem i udział jednostki dominującej jest nierelewantny. Zastosowanie podejścia, odnoszącego się do udziału jednostek dominujących z grupy, powodowałoby zmniejszenie pobieranych kwot krajowego podatku wyrównawczego, w części w jakiej udziały własnościowe w danym podatniku posiadane są przez jednostki spoza grupy. Byłoby to również niezgodne z Wytycznymi Administracyjnymi.</w:t>
      </w:r>
      <w:r w:rsidRPr="00C96268">
        <w:rPr>
          <w:rFonts w:ascii="Times New Roman" w:hAnsi="Times New Roman" w:cs="Times New Roman"/>
          <w:bCs/>
          <w:iCs/>
          <w:sz w:val="24"/>
          <w:szCs w:val="24"/>
          <w:vertAlign w:val="superscript"/>
        </w:rPr>
        <w:footnoteReference w:id="95"/>
      </w:r>
    </w:p>
    <w:p w14:paraId="13ABA572"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28 [Odpowiednie stosowanie przepisów szczególnych w zakresie obliczenia podatku] </w:t>
      </w:r>
    </w:p>
    <w:p w14:paraId="3AF6D3E4" w14:textId="77777777" w:rsidR="006C6FE0" w:rsidRPr="00C96268" w:rsidRDefault="006C6FE0" w:rsidP="006C6FE0">
      <w:pPr>
        <w:spacing w:after="120"/>
        <w:jc w:val="both"/>
        <w:rPr>
          <w:rFonts w:ascii="Times New Roman" w:hAnsi="Times New Roman" w:cs="Times New Roman"/>
          <w:bCs/>
          <w:i/>
          <w:iCs/>
          <w:sz w:val="24"/>
          <w:szCs w:val="24"/>
        </w:rPr>
      </w:pPr>
      <w:r w:rsidRPr="00C96268">
        <w:rPr>
          <w:rFonts w:ascii="Times New Roman" w:hAnsi="Times New Roman" w:cs="Times New Roman"/>
          <w:bCs/>
          <w:i/>
          <w:iCs/>
          <w:sz w:val="24"/>
          <w:szCs w:val="24"/>
        </w:rPr>
        <w:t>Jednostki o szczególnym charakterze</w:t>
      </w:r>
    </w:p>
    <w:p w14:paraId="2A2BA4A0"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Przy obliczeniu krajowego podatku wyrównawczego należy pamiętać, iż dla określonych szczególnych jednostek ustala się odrębnie efektywną stawkę podatkową, podobnie jak na gruncie globalnego podatku wyrównawczego. Są to jednostki rozliczane „pojedynczo” (bezpaństwowe jednostki składowe), jak i jednostki rozliczane w swoich „podgrupach” (jednostki inwestycyjne i ubezpieczeniowe jednostki inwestycyjne, jednostki joint venture lub jednostki zależne joint venture oraz mniejszościowe jednostki składowe). Regułę tę odzwierciedla </w:t>
      </w:r>
      <w:r w:rsidRPr="00C96268">
        <w:rPr>
          <w:rFonts w:ascii="Times New Roman" w:hAnsi="Times New Roman" w:cs="Times New Roman"/>
          <w:b/>
          <w:iCs/>
          <w:sz w:val="24"/>
          <w:szCs w:val="24"/>
        </w:rPr>
        <w:t>art. 28</w:t>
      </w:r>
      <w:r w:rsidRPr="00C96268">
        <w:rPr>
          <w:rFonts w:ascii="Times New Roman" w:hAnsi="Times New Roman" w:cs="Times New Roman"/>
          <w:bCs/>
          <w:iCs/>
          <w:sz w:val="24"/>
          <w:szCs w:val="24"/>
        </w:rPr>
        <w:t>, zgodnie z którym na potrzeby krajowego podatku wyrównawczego stosuje się odpowiednio przepisy rozdziału 2 działu II, które regulują odrębne obliczenie jurysdykcyjnego kwalifikowanego dochodu netto i efektywnej stawki podatkowej dla takich jednostek.</w:t>
      </w:r>
    </w:p>
    <w:p w14:paraId="67575CF3" w14:textId="6D314C2A" w:rsidR="006C6FE0" w:rsidRPr="00C96268" w:rsidRDefault="006C6FE0" w:rsidP="006C6FE0">
      <w:pPr>
        <w:spacing w:after="120"/>
        <w:jc w:val="both"/>
        <w:rPr>
          <w:rFonts w:ascii="Times New Roman" w:hAnsi="Times New Roman" w:cs="Times New Roman"/>
          <w:bCs/>
          <w:i/>
          <w:iCs/>
          <w:sz w:val="24"/>
          <w:szCs w:val="24"/>
        </w:rPr>
      </w:pPr>
      <w:r w:rsidRPr="00C96268">
        <w:rPr>
          <w:rFonts w:ascii="Times New Roman" w:hAnsi="Times New Roman" w:cs="Times New Roman"/>
          <w:bCs/>
          <w:iCs/>
          <w:sz w:val="24"/>
          <w:szCs w:val="24"/>
        </w:rPr>
        <w:t>Przedstawiając szerszy kontekst należy zaznaczyć, że Wytyczne Administracyjne dopuszczają m.in., aby krajowy podatek wyrównawczy</w:t>
      </w:r>
      <w:r w:rsidRPr="00C96268">
        <w:rPr>
          <w:rFonts w:ascii="Times New Roman" w:hAnsi="Times New Roman" w:cs="Times New Roman"/>
          <w:bCs/>
          <w:iCs/>
          <w:sz w:val="24"/>
          <w:szCs w:val="24"/>
          <w:vertAlign w:val="superscript"/>
        </w:rPr>
        <w:footnoteReference w:id="96"/>
      </w:r>
      <w:r w:rsidRPr="00C96268">
        <w:rPr>
          <w:rFonts w:ascii="Times New Roman" w:hAnsi="Times New Roman" w:cs="Times New Roman"/>
          <w:bCs/>
          <w:iCs/>
          <w:sz w:val="24"/>
          <w:szCs w:val="24"/>
        </w:rPr>
        <w:t xml:space="preserve">, przypadający na te jednostki, był należny od innych jednostek z grupy </w:t>
      </w:r>
      <w:r w:rsidRPr="00C96268">
        <w:rPr>
          <w:rFonts w:ascii="Times New Roman" w:hAnsi="Times New Roman" w:cs="Times New Roman"/>
          <w:iCs/>
          <w:sz w:val="24"/>
          <w:szCs w:val="24"/>
        </w:rPr>
        <w:t>zlokalizowanych</w:t>
      </w:r>
      <w:r w:rsidRPr="00C96268">
        <w:rPr>
          <w:rFonts w:ascii="Times New Roman" w:hAnsi="Times New Roman" w:cs="Times New Roman"/>
          <w:bCs/>
          <w:iCs/>
          <w:sz w:val="24"/>
          <w:szCs w:val="24"/>
        </w:rPr>
        <w:t xml:space="preserve"> w </w:t>
      </w:r>
      <w:r w:rsidR="000118EC" w:rsidRPr="00C96268">
        <w:rPr>
          <w:rFonts w:ascii="Times New Roman" w:hAnsi="Times New Roman" w:cs="Times New Roman"/>
          <w:bCs/>
          <w:iCs/>
          <w:sz w:val="24"/>
          <w:szCs w:val="24"/>
        </w:rPr>
        <w:t xml:space="preserve">danej </w:t>
      </w:r>
      <w:r w:rsidR="000118EC"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Przykładowo, w przypadku jednostek inwestycyjnych motywowane to jest względami zachowania neutralności podatkowej, jaka przysługuje tym jednostkom w części </w:t>
      </w:r>
      <w:r w:rsidR="009B2A90"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Na gruncie ustawy przyjęto jednakże najprostsze rozwiązanie, również dopuszczalne zgodnie z Wytycznymi Administracyjnymi, tj. zgodnie z</w:t>
      </w:r>
      <w:r w:rsidR="005D6897" w:rsidRPr="00C96268">
        <w:rPr>
          <w:rFonts w:ascii="Times New Roman" w:hAnsi="Times New Roman" w:cs="Times New Roman"/>
          <w:bCs/>
          <w:iCs/>
          <w:sz w:val="24"/>
          <w:szCs w:val="24"/>
        </w:rPr>
        <w:t>e zdaniem drugim</w:t>
      </w:r>
      <w:r w:rsidRPr="00C96268">
        <w:rPr>
          <w:rFonts w:ascii="Times New Roman" w:hAnsi="Times New Roman" w:cs="Times New Roman"/>
          <w:bCs/>
          <w:iCs/>
          <w:sz w:val="24"/>
          <w:szCs w:val="24"/>
        </w:rPr>
        <w:t xml:space="preserve"> </w:t>
      </w:r>
      <w:r w:rsidRPr="00C96268">
        <w:rPr>
          <w:rFonts w:ascii="Times New Roman" w:hAnsi="Times New Roman" w:cs="Times New Roman"/>
          <w:b/>
          <w:iCs/>
          <w:sz w:val="24"/>
          <w:szCs w:val="24"/>
        </w:rPr>
        <w:t>art. 28 każda z jednostek szczególnych jest podatnikiem i to od tej jednostki należny jest krajowy podatek wyrównawczy</w:t>
      </w:r>
      <w:r w:rsidRPr="00C96268">
        <w:rPr>
          <w:rFonts w:ascii="Times New Roman" w:hAnsi="Times New Roman" w:cs="Times New Roman"/>
          <w:bCs/>
          <w:iCs/>
          <w:sz w:val="24"/>
          <w:szCs w:val="24"/>
        </w:rPr>
        <w:t xml:space="preserve">, przypadający na nią zgodnie ze wskazanym w </w:t>
      </w:r>
      <w:r w:rsidRPr="00C96268">
        <w:rPr>
          <w:rFonts w:ascii="Times New Roman" w:hAnsi="Times New Roman" w:cs="Times New Roman"/>
          <w:b/>
          <w:iCs/>
          <w:sz w:val="24"/>
          <w:szCs w:val="24"/>
        </w:rPr>
        <w:t>art. 27</w:t>
      </w:r>
      <w:r w:rsidRPr="00C96268">
        <w:rPr>
          <w:rFonts w:ascii="Times New Roman" w:hAnsi="Times New Roman" w:cs="Times New Roman"/>
          <w:bCs/>
          <w:iCs/>
          <w:sz w:val="24"/>
          <w:szCs w:val="24"/>
        </w:rPr>
        <w:t xml:space="preserve"> kluczem alokacji w oparciu o dochód kwalifikowany poszczególnych jednostek. Ponadto, </w:t>
      </w:r>
      <w:r w:rsidRPr="00C96268">
        <w:rPr>
          <w:rFonts w:ascii="Times New Roman" w:hAnsi="Times New Roman" w:cs="Times New Roman"/>
          <w:bCs/>
          <w:sz w:val="24"/>
          <w:szCs w:val="24"/>
        </w:rPr>
        <w:t xml:space="preserve">również w przypadku jednostek szczególnych krajowy podatek wyrównawczy oblicza się niezależnie od wysokości udziału własnościowego jednostki dominującej. W szczególności, na wysokość krajowego podatku wyrównawczego nie ma wpływu fakt, iż w mniejszościowej jednostce składowej </w:t>
      </w:r>
      <w:r w:rsidRPr="00C96268">
        <w:rPr>
          <w:rFonts w:ascii="Times New Roman" w:hAnsi="Times New Roman" w:cs="Times New Roman"/>
          <w:bCs/>
          <w:iCs/>
          <w:sz w:val="24"/>
          <w:szCs w:val="24"/>
        </w:rPr>
        <w:t>jednostka dominująca najwyższego szczebla posiada nie więcej niż 30% udziałów własnościowych.</w:t>
      </w:r>
    </w:p>
    <w:p w14:paraId="1D95B36A"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29 [Lokalny standard rachunkowości]</w:t>
      </w:r>
    </w:p>
    <w:p w14:paraId="1310BAE2" w14:textId="77777777" w:rsidR="006C6FE0" w:rsidRPr="00C96268" w:rsidRDefault="006C6FE0" w:rsidP="006C6FE0">
      <w:pPr>
        <w:spacing w:after="120"/>
        <w:jc w:val="both"/>
        <w:rPr>
          <w:rFonts w:ascii="Times New Roman" w:hAnsi="Times New Roman" w:cs="Times New Roman"/>
          <w:bCs/>
          <w:i/>
          <w:sz w:val="24"/>
          <w:szCs w:val="24"/>
        </w:rPr>
      </w:pPr>
      <w:r w:rsidRPr="00C96268">
        <w:rPr>
          <w:rFonts w:ascii="Times New Roman" w:hAnsi="Times New Roman" w:cs="Times New Roman"/>
          <w:bCs/>
          <w:i/>
          <w:sz w:val="24"/>
          <w:szCs w:val="24"/>
        </w:rPr>
        <w:t>Spójność QDMTT z Zasadami GloBE i dozwolone odstępstwa</w:t>
      </w:r>
    </w:p>
    <w:p w14:paraId="03DE2D9F" w14:textId="57AF6654"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Jak wspomniano, dla zachowania integralności Systemu GloBE, kluczowe jest, aby przepisy o obliczeniu krajowego podatku wyrównawczego były w jak najwyższym stopniu spójne z zasadami obliczenia globalnego podatku wyrównawczego. Wytyczne Administracyjne wskazują jednak na ściśle określone odstępstwa, które są konieczne, lub możliwe, z uwagi na specyfikę krajowego podatku wyrównawczego. Wśród tych odstępstw tylko niektóre dozwolone są na gruncie bezpiecznej przystani (</w:t>
      </w:r>
      <w:r w:rsidRPr="00C96268">
        <w:rPr>
          <w:rFonts w:ascii="Times New Roman" w:hAnsi="Times New Roman" w:cs="Times New Roman"/>
          <w:bCs/>
          <w:i/>
          <w:iCs/>
          <w:sz w:val="24"/>
          <w:szCs w:val="24"/>
        </w:rPr>
        <w:t>QDMTT safe harbour</w:t>
      </w:r>
      <w:r w:rsidRPr="00C96268">
        <w:rPr>
          <w:rFonts w:ascii="Times New Roman" w:hAnsi="Times New Roman" w:cs="Times New Roman"/>
          <w:bCs/>
          <w:iCs/>
          <w:sz w:val="24"/>
          <w:szCs w:val="24"/>
        </w:rPr>
        <w:t>). Z perspektywy bezpiecznej przystani odstępstwa traktowane są w sposób bardziej restrykcyjny z uwagi na to, że w takim przypadku oblicza się jedynie krajowy podatek wyrównawczy</w:t>
      </w:r>
      <w:r w:rsidRPr="00C96268">
        <w:rPr>
          <w:rFonts w:ascii="Times New Roman" w:hAnsi="Times New Roman" w:cs="Times New Roman"/>
          <w:bCs/>
          <w:iCs/>
          <w:sz w:val="24"/>
          <w:szCs w:val="24"/>
          <w:vertAlign w:val="superscript"/>
        </w:rPr>
        <w:footnoteReference w:id="97"/>
      </w:r>
      <w:r w:rsidRPr="00C96268">
        <w:rPr>
          <w:rFonts w:ascii="Times New Roman" w:hAnsi="Times New Roman" w:cs="Times New Roman"/>
          <w:bCs/>
          <w:iCs/>
          <w:sz w:val="24"/>
          <w:szCs w:val="24"/>
        </w:rPr>
        <w:t xml:space="preserve">, a nie stosuje się już kwalifikowanej zasady włączenia dochodu do opodatkowania w </w:t>
      </w:r>
      <w:r w:rsidR="009B2A9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lokalizacji jednostki dominującej. Zatem, wszelkie potencjalne zaniżenia krajowego podatku wyrównawczego, wynikające ze zbyt szerokich odstępstw, prowadziłyby efektywnie do zapłaty niższej kwoty podatku i nie byłyby wyrównane opodatkowaniem w </w:t>
      </w:r>
      <w:r w:rsidR="009B2A9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lokalizacji jednostki dominującej. </w:t>
      </w:r>
    </w:p>
    <w:p w14:paraId="7D88E51B"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Mając to na względzie i dążąc do tego, aby grupy międzynarodowe lub grupy krajowe mogły korzystać z bezpiecznej przystani w odniesieniu do krajowego podatku wyrównawczego, przepisy rozdziału 2 działu III przewidują jedynie trzy takie odstępstwa. Pierwsze z odstępstw dotyczy lokalnego standardu rachunkowości, stosowanego na potrzeby ustalenia księgowego dochodu (straty) netto jednostki składowej, co wiąże się również z drugim odstępstwem - obowiązkiem obliczania krajowego podatku wyrównawczego w złotych polskich (kwestie te uregulowane są w </w:t>
      </w:r>
      <w:r w:rsidRPr="00C96268">
        <w:rPr>
          <w:rFonts w:ascii="Times New Roman" w:hAnsi="Times New Roman" w:cs="Times New Roman"/>
          <w:b/>
          <w:iCs/>
          <w:sz w:val="24"/>
          <w:szCs w:val="24"/>
        </w:rPr>
        <w:t>art. 29</w:t>
      </w:r>
      <w:r w:rsidRPr="00C96268">
        <w:rPr>
          <w:rFonts w:ascii="Times New Roman" w:hAnsi="Times New Roman" w:cs="Times New Roman"/>
          <w:bCs/>
          <w:iCs/>
          <w:sz w:val="24"/>
          <w:szCs w:val="24"/>
        </w:rPr>
        <w:t>). Trzecie odstępstwo dotyczy skorygowanych podatków kwalifikowanych i zostało opisane w kolejnym artykule.</w:t>
      </w:r>
    </w:p>
    <w:p w14:paraId="07CA2D6E" w14:textId="77777777" w:rsidR="006C6FE0" w:rsidRPr="00C96268" w:rsidRDefault="006C6FE0" w:rsidP="006C6FE0">
      <w:pPr>
        <w:jc w:val="both"/>
        <w:rPr>
          <w:rFonts w:ascii="Times New Roman" w:hAnsi="Times New Roman" w:cs="Times New Roman"/>
          <w:i/>
          <w:iCs/>
          <w:sz w:val="24"/>
          <w:szCs w:val="24"/>
        </w:rPr>
      </w:pPr>
      <w:r w:rsidRPr="00C96268">
        <w:rPr>
          <w:rFonts w:ascii="Times New Roman" w:hAnsi="Times New Roman" w:cs="Times New Roman"/>
          <w:i/>
          <w:iCs/>
          <w:sz w:val="24"/>
          <w:szCs w:val="24"/>
        </w:rPr>
        <w:t>Lokalny standard rachunkowości</w:t>
      </w:r>
    </w:p>
    <w:p w14:paraId="723D88BC"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Zasadą ogólną, według której zbudowany jest System GloBE, jest zasada stosowania do wyliczeń GloBE standardu rachunkowości jednostki dominującej najwyższego szczebla, używanego do sporządzenia skonsolidowanego sprawozdania grupy. W praktyce oznacza to, że choć punktem wyjścia do obliczeń mogą być jednostkowe sprawozdania finansowe jednostek składowych (najczęściej sporządzone według ich lokalnych standardów), to wymagają one odpowiednich przekształceń w celu dostosowania ich do standardu jednostki dominującej. W wielu przypadkach będą to te same dostosowania, które wykonuje się na potrzeby konsolidacji (z wyjątkiem eliminacji transakcji wewnątrzgrupowych), w szczególności dostosowania do zasad (polityki) jednostki konsolidującej czy przeliczenia na jej walutę. Jednakże, obliczenia wykonywane w celu konsolidacji mogą w wielu przypadkach okazać się niewystarczające na potrzeby opodatkowania wyrównawczego. Wykonywanie dodatkowych, złożonych korekt do celów Systemu GloBE, dostosowujących sprawozdania jednostkowe do standardu jednostki dominującej najwyższego szczebla zlokalizowanej poza terytorium Rzeczypospolitej Polskiej, znacząco zwiększa koszty stosowania przepisów dla przedsiębiorstw nimi objętych oraz w dalszej perspektywie, może wydłużyć i skomplikować kontrole podatkowe takich podatników (ze względu na to, że organy skarbowe będą musiał kontrolować rzetelność dodatkowych korekt). </w:t>
      </w:r>
    </w:p>
    <w:p w14:paraId="3DB381D8" w14:textId="497BAA4A"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Aby obniżyć koszty stosowania przepisów, wynikające z wyżej opisanych korekt, </w:t>
      </w:r>
      <w:r w:rsidRPr="00C96268">
        <w:rPr>
          <w:rFonts w:ascii="Times New Roman" w:hAnsi="Times New Roman" w:cs="Times New Roman"/>
          <w:i/>
          <w:iCs/>
          <w:sz w:val="24"/>
          <w:szCs w:val="24"/>
        </w:rPr>
        <w:t xml:space="preserve">Inclusive Framework </w:t>
      </w:r>
      <w:r w:rsidRPr="00C96268">
        <w:rPr>
          <w:rFonts w:ascii="Times New Roman" w:hAnsi="Times New Roman" w:cs="Times New Roman"/>
          <w:sz w:val="24"/>
          <w:szCs w:val="24"/>
        </w:rPr>
        <w:t xml:space="preserve">w Wytycznych z lipca 2023 r., w części dotyczącej krajowego podatku wyrównawczego w formule bezpiecznej przystani (QDMTT SH), zawarło zasadę: </w:t>
      </w:r>
      <w:r w:rsidRPr="00C96268">
        <w:rPr>
          <w:rFonts w:ascii="Times New Roman" w:hAnsi="Times New Roman" w:cs="Times New Roman"/>
          <w:i/>
          <w:iCs/>
          <w:sz w:val="24"/>
          <w:szCs w:val="24"/>
        </w:rPr>
        <w:t xml:space="preserve">Local Financial Accounting Standard Rule </w:t>
      </w:r>
      <w:r w:rsidRPr="00C96268">
        <w:rPr>
          <w:rFonts w:ascii="Times New Roman" w:hAnsi="Times New Roman" w:cs="Times New Roman"/>
          <w:sz w:val="24"/>
          <w:szCs w:val="24"/>
        </w:rPr>
        <w:t>(Zasada Standardu Lokalnej Sprawozdawczości Finansowej, dalej jako: Zasada Lokalnego Standardu)</w:t>
      </w:r>
      <w:r w:rsidRPr="00C96268">
        <w:rPr>
          <w:rStyle w:val="Odwoanieprzypisudolnego"/>
          <w:rFonts w:ascii="Times New Roman" w:hAnsi="Times New Roman" w:cs="Times New Roman"/>
          <w:sz w:val="24"/>
          <w:szCs w:val="24"/>
        </w:rPr>
        <w:footnoteReference w:id="98"/>
      </w:r>
      <w:r w:rsidRPr="00C96268">
        <w:rPr>
          <w:rFonts w:ascii="Times New Roman" w:hAnsi="Times New Roman" w:cs="Times New Roman"/>
          <w:sz w:val="24"/>
          <w:szCs w:val="24"/>
        </w:rPr>
        <w:t xml:space="preserve">. Zgodnie z tą zasadą, jeśli spełnione są określone warunki, </w:t>
      </w:r>
      <w:r w:rsidR="009B2A90" w:rsidRPr="00C96268">
        <w:rPr>
          <w:rFonts w:ascii="Times New Roman" w:hAnsi="Times New Roman" w:cs="Times New Roman"/>
          <w:sz w:val="24"/>
          <w:szCs w:val="24"/>
        </w:rPr>
        <w:t xml:space="preserve">jurysdykcja </w:t>
      </w:r>
      <w:r w:rsidR="00D46DF7" w:rsidRPr="00C96268">
        <w:rPr>
          <w:rFonts w:ascii="Times New Roman" w:hAnsi="Times New Roman" w:cs="Times New Roman"/>
          <w:sz w:val="24"/>
          <w:szCs w:val="24"/>
        </w:rPr>
        <w:t xml:space="preserve">implementująca </w:t>
      </w:r>
      <w:r w:rsidRPr="00C96268">
        <w:rPr>
          <w:rFonts w:ascii="Times New Roman" w:hAnsi="Times New Roman" w:cs="Times New Roman"/>
          <w:sz w:val="24"/>
          <w:szCs w:val="24"/>
        </w:rPr>
        <w:t>może wymagać od jednostek objętych systemem opodatkowania wyrównawczego stosowania do wyliczeń GloBE lokalnego standardu rachunkowości (w tym lokalnych przepisów o rachunkowości). W ten sposób, jednostki lub jednostki składowe objęte QDMTT SH nie będą musiały dokonywać dodatkowych korekt (np. walutowych), aby dostosować się do standardu rachunkowości jednostki dominującej najwyższego szczebla.</w:t>
      </w:r>
    </w:p>
    <w:p w14:paraId="2A890487"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
          <w:bCs/>
          <w:sz w:val="24"/>
          <w:szCs w:val="24"/>
        </w:rPr>
        <w:t>Art. 29</w:t>
      </w:r>
      <w:r w:rsidRPr="00C96268">
        <w:rPr>
          <w:rFonts w:ascii="Times New Roman" w:hAnsi="Times New Roman" w:cs="Times New Roman"/>
          <w:sz w:val="24"/>
          <w:szCs w:val="24"/>
        </w:rPr>
        <w:t xml:space="preserve"> zawiera polską implementację Zasady Lokalnego Standardu. Podatnicy, do celów obliczenia krajowego podatku wyrównawczego (polskiego odpowiednika QDMTT) zobowiązani będą stosować przepisy ustawy o rachunkowości.</w:t>
      </w:r>
    </w:p>
    <w:p w14:paraId="657F6657" w14:textId="31863B0C"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W szczególności, przepisy ustawy o rachunkowości będą budowały podstawę do wyliczenia księgowego dochodu (straty) netto i efektywnie kwalifikowanego dochodu (straty), podatków kwalifikowanych lub substratu majątkowo-osobowego. Uwzględniane będą pozycje ujęte w księgach rachunkowych prowadzonych na podstawie ustawy o rachunkowości i w sprawozdaniach finansowych sporządzanych na podstawie ustawy o rachunkowości</w:t>
      </w:r>
      <w:r w:rsidR="00D46DF7" w:rsidRPr="00C96268">
        <w:rPr>
          <w:rFonts w:ascii="Times New Roman" w:hAnsi="Times New Roman" w:cs="Times New Roman"/>
          <w:sz w:val="24"/>
          <w:szCs w:val="24"/>
        </w:rPr>
        <w:t xml:space="preserve"> lub</w:t>
      </w:r>
      <w:r w:rsidRPr="00C96268">
        <w:rPr>
          <w:rFonts w:ascii="Times New Roman" w:hAnsi="Times New Roman" w:cs="Times New Roman"/>
          <w:sz w:val="24"/>
          <w:szCs w:val="24"/>
        </w:rPr>
        <w:t xml:space="preserve"> według MSR/MSSF</w:t>
      </w:r>
      <w:r w:rsidR="00D46DF7" w:rsidRPr="00C96268">
        <w:rPr>
          <w:rFonts w:ascii="Times New Roman" w:hAnsi="Times New Roman" w:cs="Times New Roman"/>
          <w:sz w:val="24"/>
          <w:szCs w:val="24"/>
        </w:rPr>
        <w:t>, jeżeli ten standard jest dopuszczony przez ustawę o rachunkowości</w:t>
      </w:r>
      <w:r w:rsidRPr="00C96268">
        <w:rPr>
          <w:rFonts w:ascii="Times New Roman" w:hAnsi="Times New Roman" w:cs="Times New Roman"/>
          <w:sz w:val="24"/>
          <w:szCs w:val="24"/>
        </w:rPr>
        <w:t xml:space="preserve">. </w:t>
      </w:r>
    </w:p>
    <w:p w14:paraId="6385F364"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bCs/>
          <w:iCs/>
          <w:sz w:val="24"/>
          <w:szCs w:val="24"/>
        </w:rPr>
        <w:t xml:space="preserve">W szczególności, w świetle </w:t>
      </w:r>
      <w:r w:rsidRPr="00C96268">
        <w:rPr>
          <w:rFonts w:ascii="Times New Roman" w:hAnsi="Times New Roman" w:cs="Times New Roman"/>
          <w:b/>
          <w:iCs/>
          <w:sz w:val="24"/>
          <w:szCs w:val="24"/>
        </w:rPr>
        <w:t>art. 29</w:t>
      </w:r>
      <w:r w:rsidRPr="00C96268">
        <w:rPr>
          <w:rFonts w:ascii="Times New Roman" w:hAnsi="Times New Roman" w:cs="Times New Roman"/>
          <w:bCs/>
          <w:iCs/>
          <w:sz w:val="24"/>
          <w:szCs w:val="24"/>
        </w:rPr>
        <w:t xml:space="preserve">, księgowy dochód (stratę) netto jednostki składowej, która jest podatnikiem krajowego podatku wyrównawczego, będzie stanowić zysk (strata) netto tej jednostki, ustalony zgodnie z przepisami ustawy o rachunkowości. Taki księgowy dochód (strata) netto będzie następnie korygowany na podstawie przepisów działu V i innych odpowiednich przepisów ustawy (tj. będzie podlegał specyficznym korektom właściwym dla Systemu GloBE) w celu obliczenia kwalifikowanego dochodu (straty). Jeżeli jednak jednostka sporządza jednostkowe sprawozdanie finansowe zgodnie z MSR lub MSSF, w zakresie w jakim jest to dozwolone przez ustawę o rachunkowości, jej księgowy dochód (stratę) netto ustala się zgodnie z tym standardem. Oznacza to, że powołane przepisy odnoszą się do jednostkowego sprawozdania podatnika krajowego podatku wyrównawczego i standardu, na podstawie którego to jednostkowe sprawozdanie zostało sporządzone (bądź do odpowiednich ksiąg będących podstawą do sporządzenia takiego jednostkowego sprawozdania). </w:t>
      </w:r>
      <w:r w:rsidRPr="00C96268">
        <w:rPr>
          <w:rFonts w:ascii="Times New Roman" w:hAnsi="Times New Roman" w:cs="Times New Roman"/>
          <w:sz w:val="24"/>
          <w:szCs w:val="24"/>
        </w:rPr>
        <w:t xml:space="preserve">Stosowanie Zasady Lokalnego Standardu, wiąże się także z tym, że podatnicy nie będą musieli wykonywać przeliczeń wartości ze sprawozdania jednostkowego, na walutę, w której sporządzane jest skonsolidowane sprawozdanie grupy (por. dalsza część uzasadnienia). </w:t>
      </w:r>
    </w:p>
    <w:p w14:paraId="24D730BA"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W szczególnych sytuacjach, jako wyjątek od reguły, podatnicy będą stosować zasadę Systemu GloBE, gdzie do wyliczeń QDMTT jako punkt wyjścia, używany będzie standard rachunkowości jednostki dominującej najwyższego szczebla, wykorzystywany do sporządzenia skonsolidowanego sprawozdania grupy. Ten wyjątek jest integralną częścią Zasady Lokalnego Standardu zgodnie z Wytycznymi Administracyjnymi. </w:t>
      </w:r>
    </w:p>
    <w:p w14:paraId="6E750A89"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Podatnicy danej grupy międzynarodowej nie będą do celów obliczenia krajowego podatku wyrównawczego stosować (albo w ograniczonym zakresie stosować) przepisów ustawy o rachunkowości jeżeli:</w:t>
      </w:r>
    </w:p>
    <w:p w14:paraId="1B22281A" w14:textId="77777777" w:rsidR="006C6FE0" w:rsidRPr="00C96268" w:rsidRDefault="006C6FE0" w:rsidP="009E73F7">
      <w:pPr>
        <w:pStyle w:val="Akapitzlist"/>
        <w:numPr>
          <w:ilvl w:val="0"/>
          <w:numId w:val="125"/>
        </w:numPr>
        <w:jc w:val="both"/>
        <w:rPr>
          <w:rFonts w:ascii="Times New Roman" w:hAnsi="Times New Roman" w:cs="Times New Roman"/>
          <w:sz w:val="24"/>
          <w:szCs w:val="24"/>
        </w:rPr>
      </w:pPr>
      <w:r w:rsidRPr="00C96268">
        <w:rPr>
          <w:rFonts w:ascii="Times New Roman" w:hAnsi="Times New Roman" w:cs="Times New Roman"/>
          <w:sz w:val="24"/>
          <w:szCs w:val="24"/>
        </w:rPr>
        <w:t>Standard rachunkowości wszystkich podatników w grupie nie jest taki sam (np. niektórzy sporządzają jednostkowe sprawozdanie finansowe według ustawy o rachunkowości i odpowiednich krajowych standardów rachunkowości, a niektórzy w oparciu o MSR/MSSF).</w:t>
      </w:r>
    </w:p>
    <w:p w14:paraId="08692A84" w14:textId="37FAB55B" w:rsidR="006C6FE0" w:rsidRPr="00C96268" w:rsidRDefault="006C6FE0" w:rsidP="009E73F7">
      <w:pPr>
        <w:pStyle w:val="Akapitzlist"/>
        <w:numPr>
          <w:ilvl w:val="0"/>
          <w:numId w:val="125"/>
        </w:numPr>
        <w:jc w:val="both"/>
        <w:rPr>
          <w:rFonts w:ascii="Times New Roman" w:hAnsi="Times New Roman" w:cs="Times New Roman"/>
          <w:sz w:val="24"/>
          <w:szCs w:val="24"/>
        </w:rPr>
      </w:pPr>
      <w:r w:rsidRPr="00C96268">
        <w:rPr>
          <w:rFonts w:ascii="Times New Roman" w:hAnsi="Times New Roman" w:cs="Times New Roman"/>
          <w:sz w:val="24"/>
          <w:szCs w:val="24"/>
        </w:rPr>
        <w:t>Rok obrotowy chociaż jednego podatnika danej grupy nie jest tożsamy z rokiem podatkowym jednostki dominującej najwyższego szczebla (zarówno co do długości jak i momentu rozpoczęcia, i zakończenia).</w:t>
      </w:r>
      <w:r w:rsidR="00D46DF7" w:rsidRPr="00C96268">
        <w:rPr>
          <w:rFonts w:ascii="Times New Roman" w:hAnsi="Times New Roman" w:cs="Times New Roman"/>
          <w:sz w:val="24"/>
          <w:szCs w:val="24"/>
        </w:rPr>
        <w:t xml:space="preserve"> </w:t>
      </w:r>
      <w:r w:rsidR="00D46DF7" w:rsidRPr="00C96268">
        <w:rPr>
          <w:rFonts w:ascii="Times New Roman" w:hAnsi="Times New Roman" w:cs="Times New Roman"/>
          <w:b/>
          <w:bCs/>
          <w:sz w:val="24"/>
          <w:szCs w:val="24"/>
        </w:rPr>
        <w:t>[</w:t>
      </w:r>
      <w:r w:rsidR="00D46DF7" w:rsidRPr="00C96268">
        <w:rPr>
          <w:rFonts w:ascii="Times New Roman" w:hAnsi="Times New Roman" w:cs="Times New Roman"/>
          <w:b/>
          <w:bCs/>
          <w:sz w:val="24"/>
          <w:szCs w:val="24"/>
          <w:u w:val="single"/>
        </w:rPr>
        <w:t>Warunek ten jest nadal przedmiotem rozważań i może podlegać potencjalnym zmianom, w zależności od dalszych wytycznych ze strony OECD.</w:t>
      </w:r>
      <w:r w:rsidR="00D46DF7" w:rsidRPr="00C96268">
        <w:rPr>
          <w:rFonts w:ascii="Times New Roman" w:hAnsi="Times New Roman" w:cs="Times New Roman"/>
          <w:b/>
          <w:bCs/>
          <w:sz w:val="24"/>
          <w:szCs w:val="24"/>
        </w:rPr>
        <w:t>]</w:t>
      </w:r>
    </w:p>
    <w:p w14:paraId="4590BEDA"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W celu realizacji Zasady Lokalnego Standardu oraz zachowania równości pomiędzy podatnikami i spójności rozliczeń krajowego podatku wyrównawczego, projektowany przepis zawiera dla podatników konkretne obowiązki.</w:t>
      </w:r>
    </w:p>
    <w:p w14:paraId="5CF6942D"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Po pierwsze, jeżeli podatnicy należący do tej samej grupy stosują różne standardy rachunkowości, będą zobowiązani do zmiany swoich standardów tak, aby wszyscy podatnicy w grupie stosowali jeden standard rachunkowości. Zmiana standardu, w oparciu o przepisy ustawy o rachunkowości powinna odbyć się tak, aby zgodnie z właściwymi przepisami, właściwe sprawozdania za rok podatkowy (w rozumieniu zasad GloBE), w którym podjęto się zmiany, sporządzić i zatwierdzić w odpowiednich, ustawowych terminach, a podatki takie jak CIT rozliczyć bez opóźnień. Zarówno poprawne wyliczenie podatków (za taki rok podatkowy) jak i zatwierdzenie sprawozdania są obiektywnie konieczne, żeby obliczyć krajowy podatek wyrównawczy zgodnie z Zasadami GloBE. </w:t>
      </w:r>
    </w:p>
    <w:p w14:paraId="7A9F5A29"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Po drugie, jeżeli rok obrotowy podatnika jest inny niż rok podatkowy (w rozumieniu zasad GloBE) jednostki dominującej najwyższego szczebla, podatnik musi dostosować swój rok obrotowy (zgodnie z przepisami o rachunkowości – a więc nie tylko na potrzeby podatkowe) do roku podatkowego jednostki dominującej najwyższego szczebla. Chodzi tutaj zarówno o długość roku obrotowego jak i o moment jego rozpoczęcia i zakończenia (muszą być takie same jak dla UPE). </w:t>
      </w:r>
    </w:p>
    <w:p w14:paraId="4E52D29A" w14:textId="1743D628"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Zmiana długości roku obrotowego, w oparciu o przepisy ustawy o rachunkowości powinna odbyć się tak, aby zgodnie z właściwymi przepisami właściwe sprawozdania za zmieniany rok podatkowy (w rozumieniu Zasad GloBE), w którym podjęto się zmiany, sporządzić i zatwierdzić w odpowiednich, ustawowych terminach, a podatki takie jak CIT rozliczyć bez opóźnień. Zarówno poprawne wyliczenie podatków (za taki rok podatkowy) jak i zatwierdzenie sprawozdania są obiektywnie konieczne, żeby obliczyć krajowy podatek wyrównawczy zgodnie z </w:t>
      </w:r>
      <w:r w:rsidR="0053129C" w:rsidRPr="00C96268">
        <w:rPr>
          <w:rFonts w:ascii="Times New Roman" w:hAnsi="Times New Roman" w:cs="Times New Roman"/>
          <w:sz w:val="24"/>
          <w:szCs w:val="24"/>
        </w:rPr>
        <w:t>Z</w:t>
      </w:r>
      <w:r w:rsidRPr="00C96268">
        <w:rPr>
          <w:rFonts w:ascii="Times New Roman" w:hAnsi="Times New Roman" w:cs="Times New Roman"/>
          <w:sz w:val="24"/>
          <w:szCs w:val="24"/>
        </w:rPr>
        <w:t>asadami GloBE. Przy czym, krajowy podatek wyrównawczy za rok obrotowy, którego długość zmieniono, oblicza się zgodnie z zasadą GloBE, gdzie do wyliczeń (przez wszystkich podatników w grupie) stosuje się standard rachunkowości jednostki dominującej najwyższego szczebla, używany do sporządzenia skonsolidowanego sprawozdania grupy. Dopiero krajowy podatek wyrównawczy za pierwszy rok po zmianie długości roku podatkowego (a więc pierwszy rok tożsamy z rokiem UPE), oblicza się stosując przepisy ustawy o rachunkowości.</w:t>
      </w:r>
    </w:p>
    <w:p w14:paraId="5A663396"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Jedynie sytuacja, w której przepisy ustawy o rachunkowości nie pozwalają na taką zmianę długości roku obrotowego, a więc występują przyczyny obiektywne, niezależne od podatnika, podatnicy są zwolnieni z opisywanego obowiązku zmiany roku, co jednak skutkuje wyjątkiem od stosowania przepisów ustawy o rachunkowości i obowiązkiem stosowania do wyliczeń krajowego podatku wyrównawczego (przez wszystkich podatników w grupie) standardu rachunkowości jednostki dominującej najwyższego szczebla, używanego do sporządzenia skonsolidowanego sprawozdania grupy. Sytuacja taka może np. wystąpić, jeżeli przepisy nie pozwalają na ustalenie roku obrotowego o takiej długości jak rok podatkowy spółki dominującej najwyższego szczebla.</w:t>
      </w:r>
    </w:p>
    <w:p w14:paraId="1DD5F2F0"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Opisywany wyjątek, kiedy podatnicy danej grupy międzynarodowej nie będą do celów obliczenia krajowego podatku wyrównawczego stosować przepisów ustawy o rachunkowości, rozpatruje się oddzielnie dla grupy joint venture. Przykładowo: grupa joint venture spełnia wymagania Zasady Lokalnego Standardu i stosuje przepisy ustawy o rachunkowości, a pozostałe jednostki grupy zlokalizowane na terytorium Rzeczypospolitej Polskiej nie spełniają tych wymagań i muszą do wyliczeń stosować standard rachunkowości jednostki dominującej najwyższego szczebla, używany do sporządzenia skonsolidowanego sprawozdania grupy.</w:t>
      </w:r>
    </w:p>
    <w:p w14:paraId="33D594D0"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W zakresie stałych zakładów spełnienie warunków (i w efekcie obowiązek stosowania ustawy o rachunkowości) ocenia się z perspektywy centrali, tzn. jeśli centrala nie jest zlokalizowana na terytorium Rzeczypospolitej Polskiej, ale do celów zarządczych sporządza właściwe informacje finansowe w sposób spójny z zasadami ustawy o rachunkowości, to jej stały zakład stosuje ustawy o rachunkowości do wyliczenia krajowego podatku wyrównawczego.</w:t>
      </w:r>
    </w:p>
    <w:p w14:paraId="23BACF2C" w14:textId="1FEEEA4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powyższym zakresie należy ponadto mieć na uwadze przepisy przejściowe, którą umożliwiają </w:t>
      </w:r>
      <w:r w:rsidRPr="00C96268">
        <w:rPr>
          <w:rFonts w:ascii="Times New Roman" w:hAnsi="Times New Roman" w:cs="Times New Roman"/>
          <w:b/>
          <w:iCs/>
          <w:sz w:val="24"/>
          <w:szCs w:val="24"/>
        </w:rPr>
        <w:t xml:space="preserve">wybór standardu rachunkowości stosowanego na potrzeby skonsolidowanego sprawozdania grupy </w:t>
      </w:r>
      <w:r w:rsidRPr="00C96268">
        <w:rPr>
          <w:rFonts w:ascii="Times New Roman" w:hAnsi="Times New Roman" w:cs="Times New Roman"/>
          <w:bCs/>
          <w:iCs/>
          <w:sz w:val="24"/>
          <w:szCs w:val="24"/>
        </w:rPr>
        <w:t>(por. przepisy działu XII</w:t>
      </w:r>
      <w:r w:rsidR="00D0466B" w:rsidRPr="00C96268">
        <w:rPr>
          <w:rFonts w:ascii="Times New Roman" w:hAnsi="Times New Roman" w:cs="Times New Roman"/>
          <w:bCs/>
          <w:iCs/>
          <w:sz w:val="24"/>
          <w:szCs w:val="24"/>
        </w:rPr>
        <w:t>I</w:t>
      </w:r>
      <w:r w:rsidRPr="00C96268">
        <w:rPr>
          <w:rFonts w:ascii="Times New Roman" w:hAnsi="Times New Roman" w:cs="Times New Roman"/>
          <w:bCs/>
          <w:iCs/>
          <w:sz w:val="24"/>
          <w:szCs w:val="24"/>
        </w:rPr>
        <w:t>).</w:t>
      </w:r>
    </w:p>
    <w:p w14:paraId="50AA9C22" w14:textId="77777777" w:rsidR="006C6FE0" w:rsidRPr="00C96268" w:rsidRDefault="006C6FE0" w:rsidP="006C6FE0">
      <w:pPr>
        <w:spacing w:after="120"/>
        <w:jc w:val="both"/>
        <w:rPr>
          <w:rFonts w:ascii="Times New Roman" w:hAnsi="Times New Roman" w:cs="Times New Roman"/>
          <w:bCs/>
          <w:i/>
          <w:sz w:val="24"/>
          <w:szCs w:val="24"/>
        </w:rPr>
      </w:pPr>
      <w:r w:rsidRPr="00C96268">
        <w:rPr>
          <w:rFonts w:ascii="Times New Roman" w:hAnsi="Times New Roman" w:cs="Times New Roman"/>
          <w:bCs/>
          <w:i/>
          <w:sz w:val="24"/>
          <w:szCs w:val="24"/>
        </w:rPr>
        <w:t>Waluta stosowana na potrzeby obliczenia krajowego podatku wyrównawczego</w:t>
      </w:r>
    </w:p>
    <w:p w14:paraId="3C349354"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Ponadto, zgodnie z </w:t>
      </w:r>
      <w:r w:rsidRPr="00C96268">
        <w:rPr>
          <w:rFonts w:ascii="Times New Roman" w:hAnsi="Times New Roman" w:cs="Times New Roman"/>
          <w:b/>
          <w:iCs/>
          <w:sz w:val="24"/>
          <w:szCs w:val="24"/>
        </w:rPr>
        <w:t>art. 29 ust. 4</w:t>
      </w:r>
      <w:r w:rsidRPr="00C96268">
        <w:rPr>
          <w:rFonts w:ascii="Times New Roman" w:hAnsi="Times New Roman" w:cs="Times New Roman"/>
          <w:bCs/>
          <w:iCs/>
          <w:sz w:val="24"/>
          <w:szCs w:val="24"/>
        </w:rPr>
        <w:t xml:space="preserve">, w związku ze stosowaniem Zasady Lokalnego Standardu krajowy podatek wyrównawczy </w:t>
      </w:r>
      <w:r w:rsidRPr="00C96268">
        <w:rPr>
          <w:rFonts w:ascii="Times New Roman" w:hAnsi="Times New Roman" w:cs="Times New Roman"/>
          <w:b/>
          <w:iCs/>
          <w:sz w:val="24"/>
          <w:szCs w:val="24"/>
        </w:rPr>
        <w:t>oblicza się w złotych polskich</w:t>
      </w:r>
      <w:r w:rsidRPr="00C96268">
        <w:rPr>
          <w:rFonts w:ascii="Times New Roman" w:hAnsi="Times New Roman" w:cs="Times New Roman"/>
          <w:bCs/>
          <w:iCs/>
          <w:sz w:val="24"/>
          <w:szCs w:val="24"/>
        </w:rPr>
        <w:t>. Jest to drugie z odstępstw przewidzianych w ustawie i odstępstwo obligatoryjne w odniesieniu do krajowego podatku wyrównawczego na gruncie Wytycznych Administracyjnych</w:t>
      </w:r>
      <w:r w:rsidRPr="00C96268">
        <w:rPr>
          <w:rFonts w:ascii="Times New Roman" w:hAnsi="Times New Roman" w:cs="Times New Roman"/>
          <w:bCs/>
          <w:iCs/>
          <w:sz w:val="24"/>
          <w:szCs w:val="24"/>
          <w:vertAlign w:val="superscript"/>
        </w:rPr>
        <w:footnoteReference w:id="99"/>
      </w:r>
      <w:r w:rsidRPr="00C96268">
        <w:rPr>
          <w:rFonts w:ascii="Times New Roman" w:hAnsi="Times New Roman" w:cs="Times New Roman"/>
          <w:bCs/>
          <w:iCs/>
          <w:sz w:val="24"/>
          <w:szCs w:val="24"/>
        </w:rPr>
        <w:t xml:space="preserve">. Zasada ta jest zarazem spójna z obowiązkiem stosowania złotych polskich jako waluty funkcjonalnej na terytorium RP. </w:t>
      </w:r>
    </w:p>
    <w:p w14:paraId="4804C23A"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Natomiast jeżeli poszczególne kwoty uwzględniane dla obliczenia krajowego podatku wyrównawczego, są wyrażone w walucie innej niż złoty polski, w świetle z </w:t>
      </w:r>
      <w:r w:rsidRPr="00C96268">
        <w:rPr>
          <w:rFonts w:ascii="Times New Roman" w:hAnsi="Times New Roman" w:cs="Times New Roman"/>
          <w:b/>
          <w:iCs/>
          <w:sz w:val="24"/>
          <w:szCs w:val="24"/>
        </w:rPr>
        <w:t>art. 29 ust. 5</w:t>
      </w:r>
      <w:r w:rsidRPr="00C96268">
        <w:rPr>
          <w:rFonts w:ascii="Times New Roman" w:hAnsi="Times New Roman" w:cs="Times New Roman"/>
          <w:bCs/>
          <w:iCs/>
          <w:sz w:val="24"/>
          <w:szCs w:val="24"/>
        </w:rPr>
        <w:t xml:space="preserve"> są one przeliczane na złoty polski zgodnie z zasadami przewidzianymi w standardzie rachunkowości, zastosowanym na potrzeby jednostkowego sprawozdania, tj. zgodnie z ustawą o rachunkowości albo MSR/MSSF. Przepis ten potwierdza jedynie, iż w przypadku operacji lub transakcji w walutach obcych stosuje się zasady przeliczania walut obcych wynikające ze stosowanego przez jednostkę standardu rachunkowości.</w:t>
      </w:r>
    </w:p>
    <w:p w14:paraId="799BF432"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Jeżeli w drodze wyjątku krajowy podatek wyrównawczy obliczany jest na podstawie standardu rachunkowości stosowanego na potrzeby skonsolidowanego sprawozdania grupy, zgodnie z art. </w:t>
      </w:r>
      <w:r w:rsidRPr="00C96268">
        <w:rPr>
          <w:rFonts w:ascii="Times New Roman" w:hAnsi="Times New Roman" w:cs="Times New Roman"/>
          <w:b/>
          <w:iCs/>
          <w:sz w:val="24"/>
          <w:szCs w:val="24"/>
        </w:rPr>
        <w:t>29 ust. 3,</w:t>
      </w:r>
      <w:r w:rsidRPr="00C96268">
        <w:rPr>
          <w:rFonts w:ascii="Times New Roman" w:hAnsi="Times New Roman" w:cs="Times New Roman"/>
          <w:bCs/>
          <w:iCs/>
          <w:sz w:val="24"/>
          <w:szCs w:val="24"/>
        </w:rPr>
        <w:t xml:space="preserve"> albo w przypadku dokonania wyboru standardu UPE, o którym mowa w przepisach przejściowych, stosuje się zasady ogólne, o których mowa w </w:t>
      </w:r>
      <w:r w:rsidRPr="00C96268">
        <w:rPr>
          <w:rFonts w:ascii="Times New Roman" w:hAnsi="Times New Roman" w:cs="Times New Roman"/>
          <w:b/>
          <w:iCs/>
          <w:sz w:val="24"/>
          <w:szCs w:val="24"/>
        </w:rPr>
        <w:t>art. 2 ust. 3</w:t>
      </w:r>
      <w:r w:rsidRPr="00C96268">
        <w:rPr>
          <w:rFonts w:ascii="Times New Roman" w:hAnsi="Times New Roman" w:cs="Times New Roman"/>
          <w:bCs/>
          <w:iCs/>
          <w:sz w:val="24"/>
          <w:szCs w:val="24"/>
        </w:rPr>
        <w:t>, tj. podatek oblicza się w walucie prezentacji skonsolidowanego sprawozdania grupy, a transakcje wyrażone w innych walutach przelicza się odpowiednio na walutę prezentacji.</w:t>
      </w:r>
    </w:p>
    <w:p w14:paraId="6EF42D27"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30 [Odstępstwa w zakresie skorygowanych podatków kwalifikowanych]</w:t>
      </w:r>
    </w:p>
    <w:p w14:paraId="28752F46" w14:textId="29D5280D"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Trzecie odstępstwo dotyczy alokacji skorygowanych podatków kwalifikowanych. W tym zakresie należy na wstępie przywołać przepisy działu VI (omawiane szerzej w dalszej części uzasadnienia), które odnoszą się do podatków kwalifikowanych, płaconych i ujętych w księgach przez właściciela jednostek, takich jak zagraniczna jednostka kontrolowana, odwrócona jednostka hybrydowa i jednostka wypłacająca dywidendę. W takich przypadkach, zgodnie z art. 93 ustawy i na gruncie globalnego podatku wyrównawczego, podatki kwalifikowane płacone przez właściciela przydziela się danej jednostce. Tytułem uproszczonego przykładu, podatek CFC należny od właściciela w </w:t>
      </w:r>
      <w:r w:rsidR="009B2A9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jego lokalizacji przydziela się na gruncie Systemu GloBE do zagranicznej jednostki kontrolowanej, w określonym zakresie. Podatek ten składa się na skorygowane podatki kwalifikowane takiej jednostki. Podobny schemat obowiązuje w przypadku odwróconej jednostki hybrydowej i jednostki wypłacającej dywidendę, jak również w odniesieniu do zakładu, jeżeli podatki dotyczące zakładu zostały ujęte w księgach centrali.</w:t>
      </w:r>
    </w:p>
    <w:p w14:paraId="32A35EE1" w14:textId="0E502D8E"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Zasada wyrażona w art. 93 nie może jednak obowiązywać</w:t>
      </w:r>
      <w:r w:rsidR="001E2C9C" w:rsidRPr="00C96268">
        <w:rPr>
          <w:rFonts w:ascii="Times New Roman" w:hAnsi="Times New Roman" w:cs="Times New Roman"/>
          <w:bCs/>
          <w:iCs/>
          <w:sz w:val="24"/>
          <w:szCs w:val="24"/>
        </w:rPr>
        <w:t>, co do zasady,</w:t>
      </w:r>
      <w:r w:rsidRPr="00C96268">
        <w:rPr>
          <w:rFonts w:ascii="Times New Roman" w:hAnsi="Times New Roman" w:cs="Times New Roman"/>
          <w:bCs/>
          <w:iCs/>
          <w:sz w:val="24"/>
          <w:szCs w:val="24"/>
        </w:rPr>
        <w:t xml:space="preserve"> na gruncie krajowego podatku wyrównawczego. Alokacja podatku właściciela (np. podatku CFC) do danej jednostki w </w:t>
      </w:r>
      <w:r w:rsidR="009B2A90" w:rsidRPr="00C96268">
        <w:rPr>
          <w:rFonts w:ascii="Times New Roman" w:hAnsi="Times New Roman" w:cs="Times New Roman"/>
          <w:bCs/>
          <w:iCs/>
          <w:sz w:val="24"/>
          <w:szCs w:val="24"/>
        </w:rPr>
        <w:t xml:space="preserve">innej </w:t>
      </w:r>
      <w:r w:rsidR="009B2A9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sprawiłaby bowiem co do zasady, że jednostka ta nie byłaby uznawana za nisko opodatkowaną jednostkę na gruncie Systemu GloBE i nie byłaby opodatkowana krajowym podatkiem wyrównawczym. Tym samym, budżet </w:t>
      </w:r>
      <w:r w:rsidR="009B2A90" w:rsidRPr="00C96268">
        <w:rPr>
          <w:rFonts w:ascii="Times New Roman" w:hAnsi="Times New Roman" w:cs="Times New Roman"/>
          <w:bCs/>
          <w:iCs/>
          <w:sz w:val="24"/>
          <w:szCs w:val="24"/>
        </w:rPr>
        <w:t xml:space="preserve">danej </w:t>
      </w:r>
      <w:r w:rsidR="009B2A90" w:rsidRPr="00C96268">
        <w:rPr>
          <w:rFonts w:ascii="Times New Roman" w:hAnsi="Times New Roman" w:cs="Times New Roman"/>
          <w:sz w:val="24"/>
          <w:szCs w:val="24"/>
        </w:rPr>
        <w:t xml:space="preserve">jurysdykcji </w:t>
      </w:r>
      <w:r w:rsidRPr="00C96268">
        <w:rPr>
          <w:rFonts w:ascii="Times New Roman" w:hAnsi="Times New Roman" w:cs="Times New Roman"/>
          <w:bCs/>
          <w:iCs/>
          <w:sz w:val="24"/>
          <w:szCs w:val="24"/>
        </w:rPr>
        <w:t xml:space="preserve">kredytowałby zagraniczny podatek CFC – tj. zamiast pobierać lokalnie krajowy podatek wyrównawczy, dana jednostka nie podlegałaby opodatkowaniu tym podatkiem z uwagi na opodatkowanie CFC na poziomie zagranicznego właściciela, a podatek </w:t>
      </w:r>
      <w:r w:rsidR="009B2A90" w:rsidRPr="00C96268">
        <w:rPr>
          <w:rFonts w:ascii="Times New Roman" w:hAnsi="Times New Roman" w:cs="Times New Roman"/>
          <w:bCs/>
          <w:iCs/>
          <w:sz w:val="24"/>
          <w:szCs w:val="24"/>
        </w:rPr>
        <w:t xml:space="preserve">pobierałaby inna </w:t>
      </w:r>
      <w:r w:rsidR="009B2A90" w:rsidRPr="00C96268">
        <w:rPr>
          <w:rFonts w:ascii="Times New Roman" w:hAnsi="Times New Roman" w:cs="Times New Roman"/>
          <w:sz w:val="24"/>
          <w:szCs w:val="24"/>
        </w:rPr>
        <w:t>jurysdykcja</w:t>
      </w:r>
      <w:r w:rsidRPr="00C96268">
        <w:rPr>
          <w:rFonts w:ascii="Times New Roman" w:hAnsi="Times New Roman" w:cs="Times New Roman"/>
          <w:bCs/>
          <w:iCs/>
          <w:sz w:val="24"/>
          <w:szCs w:val="24"/>
        </w:rPr>
        <w:t>. Z tych względów, Wytyczne Administracyjne nakazują obligatoryjną rezygnację</w:t>
      </w:r>
      <w:r w:rsidR="001E2C9C" w:rsidRPr="00C96268">
        <w:rPr>
          <w:rFonts w:ascii="Times New Roman" w:hAnsi="Times New Roman" w:cs="Times New Roman"/>
          <w:bCs/>
          <w:iCs/>
          <w:sz w:val="24"/>
          <w:szCs w:val="24"/>
        </w:rPr>
        <w:t xml:space="preserve"> (z wyjątkiem WHT)</w:t>
      </w:r>
      <w:r w:rsidRPr="00C96268">
        <w:rPr>
          <w:rFonts w:ascii="Times New Roman" w:hAnsi="Times New Roman" w:cs="Times New Roman"/>
          <w:bCs/>
          <w:iCs/>
          <w:sz w:val="24"/>
          <w:szCs w:val="24"/>
        </w:rPr>
        <w:t xml:space="preserve"> z alokacji podatków kwalifikowanych zgodnie z opisaną zasadą. Jest to zatem również odstępstwo obligatoryjne na gruncie Wytycznych Administracyjnych</w:t>
      </w:r>
      <w:r w:rsidRPr="00C96268">
        <w:rPr>
          <w:rFonts w:ascii="Times New Roman" w:hAnsi="Times New Roman" w:cs="Times New Roman"/>
          <w:bCs/>
          <w:iCs/>
          <w:sz w:val="24"/>
          <w:szCs w:val="24"/>
          <w:vertAlign w:val="superscript"/>
        </w:rPr>
        <w:footnoteReference w:id="100"/>
      </w:r>
      <w:r w:rsidRPr="00C96268">
        <w:rPr>
          <w:rFonts w:ascii="Times New Roman" w:hAnsi="Times New Roman" w:cs="Times New Roman"/>
          <w:bCs/>
          <w:iCs/>
          <w:sz w:val="24"/>
          <w:szCs w:val="24"/>
        </w:rPr>
        <w:t>.</w:t>
      </w:r>
    </w:p>
    <w:p w14:paraId="407BBE65" w14:textId="2F8269CC"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W ślad za powyższym, zgodnie z </w:t>
      </w:r>
      <w:r w:rsidRPr="00C96268">
        <w:rPr>
          <w:rFonts w:ascii="Times New Roman" w:hAnsi="Times New Roman" w:cs="Times New Roman"/>
          <w:b/>
          <w:iCs/>
          <w:sz w:val="24"/>
          <w:szCs w:val="24"/>
        </w:rPr>
        <w:t>art. 30</w:t>
      </w:r>
      <w:r w:rsidRPr="00C96268">
        <w:rPr>
          <w:rFonts w:ascii="Times New Roman" w:hAnsi="Times New Roman" w:cs="Times New Roman"/>
          <w:bCs/>
          <w:iCs/>
          <w:sz w:val="24"/>
          <w:szCs w:val="24"/>
        </w:rPr>
        <w:t xml:space="preserve">, w celu obliczenia skorygowanych podatków kwalifikowanych, na potrzeby krajowego podatku wyrównawczego nie stosuje się przepisów </w:t>
      </w:r>
      <w:r w:rsidRPr="00C96268">
        <w:rPr>
          <w:rFonts w:ascii="Times New Roman" w:hAnsi="Times New Roman" w:cs="Times New Roman"/>
          <w:b/>
          <w:iCs/>
          <w:sz w:val="24"/>
          <w:szCs w:val="24"/>
        </w:rPr>
        <w:t>art. 93 pkt 1, 3</w:t>
      </w:r>
      <w:r w:rsidR="00A23774" w:rsidRPr="00C96268">
        <w:rPr>
          <w:rFonts w:ascii="Times New Roman" w:hAnsi="Times New Roman" w:cs="Times New Roman"/>
          <w:b/>
          <w:iCs/>
          <w:sz w:val="24"/>
          <w:szCs w:val="24"/>
        </w:rPr>
        <w:t xml:space="preserve"> i</w:t>
      </w:r>
      <w:r w:rsidRPr="00C96268">
        <w:rPr>
          <w:rFonts w:ascii="Times New Roman" w:hAnsi="Times New Roman" w:cs="Times New Roman"/>
          <w:b/>
          <w:iCs/>
          <w:sz w:val="24"/>
          <w:szCs w:val="24"/>
        </w:rPr>
        <w:t xml:space="preserve"> 4</w:t>
      </w:r>
      <w:r w:rsidRPr="00C96268">
        <w:rPr>
          <w:rFonts w:ascii="Times New Roman" w:hAnsi="Times New Roman" w:cs="Times New Roman"/>
          <w:bCs/>
          <w:iCs/>
          <w:sz w:val="24"/>
          <w:szCs w:val="24"/>
        </w:rPr>
        <w:t>. Oznacza to, że nie przydziela się podatków ujętych w księgach jednostki będącej właścicielem (bądź centrali) do zagranicznej jednostki kontrolowanej, odwróconej jednostki hybrydowej i stałego zakładu.</w:t>
      </w:r>
    </w:p>
    <w:p w14:paraId="2F21D65E" w14:textId="3C03B2AA" w:rsidR="00A23774" w:rsidRPr="00C96268" w:rsidRDefault="00A23774"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Szczególne zasady w tym zakresie obowiązują na gruncie podatku u źródła. Zgodnie z art. 30 pkt 2 </w:t>
      </w:r>
      <w:r w:rsidRPr="00C96268">
        <w:rPr>
          <w:rFonts w:ascii="Times New Roman" w:hAnsi="Times New Roman" w:cs="Times New Roman"/>
          <w:sz w:val="24"/>
          <w:szCs w:val="24"/>
        </w:rPr>
        <w:t>przydziela się podatnikowi podatki kwalifikowane zgodnie z art. 93 pkt 5 wyłącznie w zakresie podatku u źródła</w:t>
      </w:r>
      <w:r w:rsidR="00F13EE7" w:rsidRPr="00C96268">
        <w:rPr>
          <w:rFonts w:ascii="Times New Roman" w:hAnsi="Times New Roman" w:cs="Times New Roman"/>
          <w:sz w:val="24"/>
          <w:szCs w:val="24"/>
        </w:rPr>
        <w:t xml:space="preserve">. </w:t>
      </w:r>
      <w:r w:rsidR="00540AB5" w:rsidRPr="00C96268">
        <w:rPr>
          <w:rFonts w:ascii="Times New Roman" w:hAnsi="Times New Roman" w:cs="Times New Roman"/>
          <w:sz w:val="24"/>
          <w:szCs w:val="24"/>
        </w:rPr>
        <w:t>W przypadku zatem, gdy podatnik krajowego podatku wyrównawczego pobrał podatek u źródła z tytułu dywidendy wypłaconej na rzecz jednostki będącej jej bezpośrednim właścicielem, ten podatek u źródła jest alokowany do podatnika krajowego podatku wyrównawczego i składa się na skorygowane podatki kwalifikowane tego podatnika.</w:t>
      </w:r>
    </w:p>
    <w:p w14:paraId="66440EAB"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31 [Odpowiednie stosowanie przepisów innych działów]</w:t>
      </w:r>
    </w:p>
    <w:p w14:paraId="5BF39820" w14:textId="44ECEBD1"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Zgodnie z </w:t>
      </w:r>
      <w:r w:rsidRPr="00C96268">
        <w:rPr>
          <w:rFonts w:ascii="Times New Roman" w:hAnsi="Times New Roman" w:cs="Times New Roman"/>
          <w:b/>
          <w:iCs/>
          <w:sz w:val="24"/>
          <w:szCs w:val="24"/>
        </w:rPr>
        <w:t>art. 31</w:t>
      </w:r>
      <w:r w:rsidRPr="00C96268">
        <w:rPr>
          <w:rFonts w:ascii="Times New Roman" w:hAnsi="Times New Roman" w:cs="Times New Roman"/>
          <w:bCs/>
          <w:iCs/>
          <w:sz w:val="24"/>
          <w:szCs w:val="24"/>
        </w:rPr>
        <w:t>, w sprawach nieuregulowanych w dziale III dotyczącym obliczenia krajowego podatku wyrównawczego, stosuje się odpowiednio przepisy działu II (przepisy o obliczeniu globalnego podatku wyrównawczego), jak również pozostałe przepisy ustawy (działy V-XI</w:t>
      </w:r>
      <w:r w:rsidR="009665B8" w:rsidRPr="00C96268">
        <w:rPr>
          <w:rFonts w:ascii="Times New Roman" w:hAnsi="Times New Roman" w:cs="Times New Roman"/>
          <w:bCs/>
          <w:iCs/>
          <w:sz w:val="24"/>
          <w:szCs w:val="24"/>
        </w:rPr>
        <w:t>II</w:t>
      </w:r>
      <w:r w:rsidRPr="00C96268">
        <w:rPr>
          <w:rFonts w:ascii="Times New Roman" w:hAnsi="Times New Roman" w:cs="Times New Roman"/>
          <w:sz w:val="24"/>
          <w:szCs w:val="24"/>
        </w:rPr>
        <w:t>)</w:t>
      </w:r>
      <w:r w:rsidRPr="00C96268">
        <w:rPr>
          <w:rFonts w:ascii="Times New Roman" w:hAnsi="Times New Roman" w:cs="Times New Roman"/>
          <w:bCs/>
          <w:iCs/>
          <w:sz w:val="24"/>
          <w:szCs w:val="24"/>
        </w:rPr>
        <w:t xml:space="preserve">. </w:t>
      </w:r>
    </w:p>
    <w:p w14:paraId="2B1FF3F2" w14:textId="3FBDD689"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Zasadniczo większość działów ustawy znajduje zastosowanie zarówno na gruncie globalnego </w:t>
      </w:r>
      <w:r w:rsidRPr="00C96268">
        <w:rPr>
          <w:rFonts w:ascii="Times New Roman" w:hAnsi="Times New Roman" w:cs="Times New Roman"/>
          <w:bCs/>
          <w:iCs/>
          <w:sz w:val="24"/>
          <w:szCs w:val="24"/>
        </w:rPr>
        <w:br/>
        <w:t xml:space="preserve">i krajowego podatku wyrównawczego, bądź to w drodze bezpośrednich odesłań bądź na podstawie </w:t>
      </w:r>
      <w:r w:rsidRPr="00C96268">
        <w:rPr>
          <w:rFonts w:ascii="Times New Roman" w:hAnsi="Times New Roman" w:cs="Times New Roman"/>
          <w:b/>
          <w:iCs/>
          <w:sz w:val="24"/>
          <w:szCs w:val="24"/>
        </w:rPr>
        <w:t>art. 31</w:t>
      </w:r>
      <w:r w:rsidRPr="00C96268">
        <w:rPr>
          <w:rFonts w:ascii="Times New Roman" w:hAnsi="Times New Roman" w:cs="Times New Roman"/>
          <w:bCs/>
          <w:iCs/>
          <w:sz w:val="24"/>
          <w:szCs w:val="24"/>
        </w:rPr>
        <w:t xml:space="preserve">. Dotyczy to w szczególności przepisów ogólnych i definicji, jednostek wyłączonych, kwalifikowanego dochodu (straty), skorygowanych podatków kwalifikowanych, substratu majątkowo-osobowego, restrukturyzacji, szczególnych metod opodatkowania, przepisów administracyjnych i wyborów. Różnice natomiast obejmują kwestie uregulowane w dziale III (krajowy podatek wyrównawczy) w zakresie podatnika tego podatku i odstępstw w sposobie jego obliczenia. </w:t>
      </w:r>
    </w:p>
    <w:p w14:paraId="03DE491C"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 tym zakresie na szczególne omówienie zasługują następujące zagadnienia.</w:t>
      </w:r>
    </w:p>
    <w:p w14:paraId="01A76183" w14:textId="77777777" w:rsidR="006C6FE0" w:rsidRPr="00C96268" w:rsidRDefault="006C6FE0" w:rsidP="006C6FE0">
      <w:pPr>
        <w:spacing w:after="120"/>
        <w:jc w:val="both"/>
        <w:rPr>
          <w:rFonts w:ascii="Times New Roman" w:hAnsi="Times New Roman" w:cs="Times New Roman"/>
          <w:bCs/>
          <w:i/>
          <w:iCs/>
          <w:sz w:val="24"/>
          <w:szCs w:val="24"/>
        </w:rPr>
      </w:pPr>
      <w:r w:rsidRPr="00C96268">
        <w:rPr>
          <w:rFonts w:ascii="Times New Roman" w:hAnsi="Times New Roman" w:cs="Times New Roman"/>
          <w:bCs/>
          <w:i/>
          <w:iCs/>
          <w:sz w:val="24"/>
          <w:szCs w:val="24"/>
        </w:rPr>
        <w:t xml:space="preserve">Dodatkowy podatek wyrównawczy </w:t>
      </w:r>
    </w:p>
    <w:p w14:paraId="0D5483C2"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Na gruncie krajowego podatku wyrównawczego stosuje się odpowiednio przepisy o dodatkowym podatku wyrównawczym, uregulowane w rozdziale 1 działu II. </w:t>
      </w:r>
    </w:p>
    <w:p w14:paraId="7E4F608C"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Zatem, również w przypadku krajowego podatku wyrównawczego obowiązuje zasada, iż istotne obniżenie skorygowanych podatków kwalifikowanych, lub inne zdarzenia wymienione w art. 23 ust. 4 dotyczące poprzednich lat podatkowych, łączą się z koniecznością przeliczenia efektywnej stawki za te poprzednie lata i w rezultacie prowadzą do konieczności przeliczenia jurysdykcyjnego krajowego wyrównawczego za te poprzednie lata podatkowe. Kwota różnicy, wynikająca z takiego przeliczenia, stanowi dodatkowy podatek wyrównawczy, który dodaje się do krajowego jurysdykcyjnego podatku wyrównawczego za dany bieżący rok, w którym wystąpiło zdarzenie powodujące korektę (zgodnie z wzorem, o którym mowa we wcześniej opisanym </w:t>
      </w:r>
      <w:r w:rsidRPr="00C96268">
        <w:rPr>
          <w:rFonts w:ascii="Times New Roman" w:hAnsi="Times New Roman" w:cs="Times New Roman"/>
          <w:b/>
          <w:iCs/>
          <w:sz w:val="24"/>
          <w:szCs w:val="24"/>
        </w:rPr>
        <w:t>art. 26</w:t>
      </w:r>
      <w:r w:rsidRPr="00C96268">
        <w:rPr>
          <w:rFonts w:ascii="Times New Roman" w:hAnsi="Times New Roman" w:cs="Times New Roman"/>
          <w:bCs/>
          <w:iCs/>
          <w:sz w:val="24"/>
          <w:szCs w:val="24"/>
        </w:rPr>
        <w:t xml:space="preserve">). Dodatkowy podatek wyrównawczy alokuje się pomiędzy poszczególne jednostki składowe, stosując odpowiednio </w:t>
      </w:r>
      <w:r w:rsidRPr="00C96268">
        <w:rPr>
          <w:rFonts w:ascii="Times New Roman" w:hAnsi="Times New Roman" w:cs="Times New Roman"/>
          <w:b/>
          <w:iCs/>
          <w:sz w:val="24"/>
          <w:szCs w:val="24"/>
        </w:rPr>
        <w:t>art. 17</w:t>
      </w:r>
      <w:r w:rsidRPr="00C96268">
        <w:rPr>
          <w:rFonts w:ascii="Times New Roman" w:hAnsi="Times New Roman" w:cs="Times New Roman"/>
          <w:bCs/>
          <w:iCs/>
          <w:sz w:val="24"/>
          <w:szCs w:val="24"/>
        </w:rPr>
        <w:t>.</w:t>
      </w:r>
    </w:p>
    <w:p w14:paraId="4637D39B"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Zarazem, jeżeli za dany rok podatkowy efektywna stawka podatkowa dla danej grupy albo jednostki składowej będzie równa co najmniej 15%, lecz danemu podatnikowi zostanie przydzielona kwota dodatkowego podatku wyrównawczego na podstawie odpowiedniego stosowania </w:t>
      </w:r>
      <w:r w:rsidRPr="00C96268">
        <w:rPr>
          <w:rFonts w:ascii="Times New Roman" w:hAnsi="Times New Roman" w:cs="Times New Roman"/>
          <w:b/>
          <w:iCs/>
          <w:sz w:val="24"/>
          <w:szCs w:val="24"/>
        </w:rPr>
        <w:t>art. 17</w:t>
      </w:r>
      <w:r w:rsidRPr="00C96268">
        <w:rPr>
          <w:rFonts w:ascii="Times New Roman" w:hAnsi="Times New Roman" w:cs="Times New Roman"/>
          <w:bCs/>
          <w:iCs/>
          <w:sz w:val="24"/>
          <w:szCs w:val="24"/>
        </w:rPr>
        <w:t xml:space="preserve">, podatnik ten będzie uznany za nisko opodatkowaną jednostkę składową, o której mowa w </w:t>
      </w:r>
      <w:r w:rsidRPr="00C96268">
        <w:rPr>
          <w:rFonts w:ascii="Times New Roman" w:hAnsi="Times New Roman" w:cs="Times New Roman"/>
          <w:b/>
          <w:iCs/>
          <w:sz w:val="24"/>
          <w:szCs w:val="24"/>
        </w:rPr>
        <w:t>art. 25 ust. 1 pkt 3</w:t>
      </w:r>
      <w:r w:rsidRPr="00C96268">
        <w:rPr>
          <w:rFonts w:ascii="Times New Roman" w:hAnsi="Times New Roman" w:cs="Times New Roman"/>
          <w:bCs/>
          <w:iCs/>
          <w:sz w:val="24"/>
          <w:szCs w:val="24"/>
        </w:rPr>
        <w:t xml:space="preserve">. </w:t>
      </w:r>
    </w:p>
    <w:p w14:paraId="66BDC363" w14:textId="77777777" w:rsidR="006C6FE0" w:rsidRPr="00C96268" w:rsidRDefault="006C6FE0" w:rsidP="006C6FE0">
      <w:pPr>
        <w:spacing w:before="240"/>
        <w:rPr>
          <w:rFonts w:ascii="Times New Roman" w:hAnsi="Times New Roman" w:cs="Times New Roman"/>
          <w:i/>
          <w:iCs/>
          <w:sz w:val="24"/>
          <w:szCs w:val="24"/>
        </w:rPr>
      </w:pPr>
      <w:r w:rsidRPr="00C96268">
        <w:rPr>
          <w:rFonts w:ascii="Times New Roman" w:hAnsi="Times New Roman" w:cs="Times New Roman"/>
          <w:i/>
          <w:iCs/>
          <w:sz w:val="24"/>
          <w:szCs w:val="24"/>
        </w:rPr>
        <w:t>Odpowiednie stosowanie przepisów o restrukturyzacjach i szczególnych metodach opodatkowania</w:t>
      </w:r>
    </w:p>
    <w:p w14:paraId="18FDA441"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Podobnie jak w przypadku powołanych wcześniej reguł obliczenia podatku, uregulowanych w dziale II, na potrzeby obliczenia krajowego podatku wyrównawczego stosuje się również odpowiednio:</w:t>
      </w:r>
    </w:p>
    <w:p w14:paraId="55930BAF" w14:textId="77777777" w:rsidR="006C6FE0" w:rsidRPr="00C96268" w:rsidRDefault="006C6FE0" w:rsidP="00B6504F">
      <w:pPr>
        <w:numPr>
          <w:ilvl w:val="0"/>
          <w:numId w:val="24"/>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przepisy </w:t>
      </w:r>
      <w:r w:rsidRPr="00C96268">
        <w:rPr>
          <w:rFonts w:ascii="Times New Roman" w:hAnsi="Times New Roman" w:cs="Times New Roman"/>
          <w:b/>
          <w:iCs/>
          <w:sz w:val="24"/>
          <w:szCs w:val="24"/>
        </w:rPr>
        <w:t xml:space="preserve">działu VIII </w:t>
      </w:r>
      <w:r w:rsidRPr="00C96268">
        <w:rPr>
          <w:rFonts w:ascii="Times New Roman" w:hAnsi="Times New Roman" w:cs="Times New Roman"/>
          <w:bCs/>
          <w:iCs/>
          <w:sz w:val="24"/>
          <w:szCs w:val="24"/>
        </w:rPr>
        <w:t>dotyczące restrukturyzacji i struktur holdingowych,</w:t>
      </w:r>
    </w:p>
    <w:p w14:paraId="053409A7" w14:textId="2C7B71A5" w:rsidR="006C6FE0" w:rsidRPr="00C96268" w:rsidRDefault="006C6FE0" w:rsidP="00B6504F">
      <w:pPr>
        <w:numPr>
          <w:ilvl w:val="0"/>
          <w:numId w:val="24"/>
        </w:num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przepisy </w:t>
      </w:r>
      <w:r w:rsidRPr="00C96268">
        <w:rPr>
          <w:rFonts w:ascii="Times New Roman" w:hAnsi="Times New Roman" w:cs="Times New Roman"/>
          <w:b/>
          <w:iCs/>
          <w:sz w:val="24"/>
          <w:szCs w:val="24"/>
        </w:rPr>
        <w:t xml:space="preserve">rozdziału 1 i </w:t>
      </w:r>
      <w:r w:rsidR="00A94122" w:rsidRPr="00C96268">
        <w:rPr>
          <w:rFonts w:ascii="Times New Roman" w:hAnsi="Times New Roman" w:cs="Times New Roman"/>
          <w:b/>
          <w:iCs/>
          <w:sz w:val="24"/>
          <w:szCs w:val="24"/>
        </w:rPr>
        <w:t>3</w:t>
      </w:r>
      <w:r w:rsidRPr="00C96268">
        <w:rPr>
          <w:rFonts w:ascii="Times New Roman" w:hAnsi="Times New Roman" w:cs="Times New Roman"/>
          <w:b/>
          <w:iCs/>
          <w:sz w:val="24"/>
          <w:szCs w:val="24"/>
        </w:rPr>
        <w:t xml:space="preserve"> działu IX</w:t>
      </w:r>
      <w:r w:rsidRPr="00C96268">
        <w:rPr>
          <w:rFonts w:ascii="Times New Roman" w:hAnsi="Times New Roman" w:cs="Times New Roman"/>
          <w:bCs/>
          <w:iCs/>
          <w:sz w:val="24"/>
          <w:szCs w:val="24"/>
        </w:rPr>
        <w:t xml:space="preserve"> regulujące szczególne systemy opodatkowania.</w:t>
      </w:r>
    </w:p>
    <w:p w14:paraId="3862ED50"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Odnosząc się do restrukturyzacji, na gruncie krajowego podatku wyrównawczego znajdą zatem odpowiednie zastosowanie przepisy regulujące m.in. zbycie udziałów w danej jednostce albo zbycie aktywów i zobowiązań, w tym w ramach reorganizacji</w:t>
      </w:r>
      <w:r w:rsidRPr="00C96268">
        <w:rPr>
          <w:rFonts w:ascii="Times New Roman" w:hAnsi="Times New Roman" w:cs="Times New Roman"/>
          <w:bCs/>
          <w:iCs/>
          <w:sz w:val="24"/>
          <w:szCs w:val="24"/>
          <w:vertAlign w:val="superscript"/>
        </w:rPr>
        <w:footnoteReference w:id="101"/>
      </w:r>
      <w:r w:rsidRPr="00C96268">
        <w:rPr>
          <w:rFonts w:ascii="Times New Roman" w:hAnsi="Times New Roman" w:cs="Times New Roman"/>
          <w:bCs/>
          <w:iCs/>
          <w:sz w:val="24"/>
          <w:szCs w:val="24"/>
        </w:rPr>
        <w:t>.</w:t>
      </w:r>
    </w:p>
    <w:p w14:paraId="4636DEE5" w14:textId="059CC929" w:rsidR="006C6FE0" w:rsidRPr="00C96268" w:rsidRDefault="006C6FE0" w:rsidP="006C6FE0">
      <w:pPr>
        <w:spacing w:after="120"/>
        <w:jc w:val="both"/>
        <w:rPr>
          <w:rFonts w:ascii="Times New Roman" w:hAnsi="Times New Roman" w:cs="Times New Roman"/>
          <w:iCs/>
          <w:sz w:val="24"/>
          <w:szCs w:val="24"/>
        </w:rPr>
      </w:pPr>
      <w:r w:rsidRPr="00C96268">
        <w:rPr>
          <w:rFonts w:ascii="Times New Roman" w:hAnsi="Times New Roman" w:cs="Times New Roman"/>
          <w:bCs/>
          <w:iCs/>
          <w:sz w:val="24"/>
          <w:szCs w:val="24"/>
        </w:rPr>
        <w:t xml:space="preserve">Co do szczególnych metod opodatkowania zakłada się, że przypadki, w których jednostki </w:t>
      </w:r>
      <w:r w:rsidRPr="00C96268">
        <w:rPr>
          <w:rFonts w:ascii="Times New Roman" w:hAnsi="Times New Roman" w:cs="Times New Roman"/>
          <w:iCs/>
          <w:sz w:val="24"/>
          <w:szCs w:val="24"/>
        </w:rPr>
        <w:t>zlokalizowane</w:t>
      </w:r>
      <w:r w:rsidRPr="00C96268">
        <w:rPr>
          <w:rFonts w:ascii="Times New Roman" w:hAnsi="Times New Roman" w:cs="Times New Roman"/>
          <w:bCs/>
          <w:iCs/>
          <w:sz w:val="24"/>
          <w:szCs w:val="24"/>
        </w:rPr>
        <w:t xml:space="preserve"> na terytorium RP będą podlegały tego typu opodatkowaniu, a zarazem będą objęte przepisami ustawy, będą dość rzadkie. Dotyczy to</w:t>
      </w:r>
      <w:r w:rsidRPr="00C96268">
        <w:rPr>
          <w:rFonts w:ascii="Times New Roman" w:hAnsi="Times New Roman" w:cs="Times New Roman"/>
          <w:b/>
          <w:bCs/>
          <w:iCs/>
          <w:sz w:val="24"/>
          <w:szCs w:val="24"/>
        </w:rPr>
        <w:t xml:space="preserve"> </w:t>
      </w:r>
      <w:r w:rsidRPr="00C96268">
        <w:rPr>
          <w:rFonts w:ascii="Times New Roman" w:hAnsi="Times New Roman" w:cs="Times New Roman"/>
          <w:bCs/>
          <w:iCs/>
          <w:sz w:val="24"/>
          <w:szCs w:val="24"/>
        </w:rPr>
        <w:t xml:space="preserve">w szczególności </w:t>
      </w:r>
      <w:r w:rsidRPr="00C96268">
        <w:rPr>
          <w:rFonts w:ascii="Times New Roman" w:hAnsi="Times New Roman" w:cs="Times New Roman"/>
          <w:b/>
          <w:bCs/>
          <w:iCs/>
          <w:sz w:val="24"/>
          <w:szCs w:val="24"/>
        </w:rPr>
        <w:t xml:space="preserve">jednostki dominującej najwyższego szczebla będącej jednostką pośredniczącą (na gruncie polskim np. spółka jawna). </w:t>
      </w:r>
      <w:r w:rsidRPr="00C96268">
        <w:rPr>
          <w:rFonts w:ascii="Times New Roman" w:hAnsi="Times New Roman" w:cs="Times New Roman"/>
          <w:iCs/>
          <w:sz w:val="24"/>
          <w:szCs w:val="24"/>
        </w:rPr>
        <w:t xml:space="preserve">W przypadku takiej jednostki obowiązują szczególne zasady ustalania jej kwalifikowanego dochodu (straty), zgodnie z </w:t>
      </w:r>
      <w:r w:rsidR="00A94122" w:rsidRPr="00C96268">
        <w:rPr>
          <w:rFonts w:ascii="Times New Roman" w:hAnsi="Times New Roman" w:cs="Times New Roman"/>
          <w:iCs/>
          <w:sz w:val="24"/>
          <w:szCs w:val="24"/>
        </w:rPr>
        <w:t>art. 113</w:t>
      </w:r>
      <w:r w:rsidRPr="00C96268">
        <w:rPr>
          <w:rFonts w:ascii="Times New Roman" w:hAnsi="Times New Roman" w:cs="Times New Roman"/>
          <w:iCs/>
          <w:sz w:val="24"/>
          <w:szCs w:val="24"/>
        </w:rPr>
        <w:t xml:space="preserve"> –</w:t>
      </w:r>
      <w:r w:rsidRPr="00C96268">
        <w:rPr>
          <w:rFonts w:ascii="Times New Roman" w:hAnsi="Times New Roman" w:cs="Times New Roman"/>
          <w:b/>
          <w:bCs/>
          <w:iCs/>
          <w:sz w:val="24"/>
          <w:szCs w:val="24"/>
        </w:rPr>
        <w:t xml:space="preserve"> w uproszczeniu kwalifikowany dochód takiej jednostki pomniejsza się o kwalifikowany dochód przypadający na poszczególnych właścicieli spoza grupy, jeżeli są oni opodatkowani na odpowiednim poziomie w </w:t>
      </w:r>
      <w:r w:rsidR="009B2A90" w:rsidRPr="00C96268">
        <w:rPr>
          <w:rFonts w:ascii="Times New Roman" w:hAnsi="Times New Roman" w:cs="Times New Roman"/>
          <w:b/>
          <w:bCs/>
          <w:iCs/>
          <w:sz w:val="24"/>
          <w:szCs w:val="24"/>
        </w:rPr>
        <w:t>jurysdykcji</w:t>
      </w:r>
      <w:r w:rsidRPr="00C96268">
        <w:rPr>
          <w:rFonts w:ascii="Times New Roman" w:hAnsi="Times New Roman" w:cs="Times New Roman"/>
          <w:b/>
          <w:bCs/>
          <w:iCs/>
          <w:sz w:val="24"/>
          <w:szCs w:val="24"/>
        </w:rPr>
        <w:t xml:space="preserve">, w </w:t>
      </w:r>
      <w:r w:rsidR="009B2A90" w:rsidRPr="00C96268">
        <w:rPr>
          <w:rFonts w:ascii="Times New Roman" w:hAnsi="Times New Roman" w:cs="Times New Roman"/>
          <w:b/>
          <w:bCs/>
          <w:iCs/>
          <w:sz w:val="24"/>
          <w:szCs w:val="24"/>
        </w:rPr>
        <w:t xml:space="preserve">której </w:t>
      </w:r>
      <w:r w:rsidRPr="00C96268">
        <w:rPr>
          <w:rFonts w:ascii="Times New Roman" w:hAnsi="Times New Roman" w:cs="Times New Roman"/>
          <w:b/>
          <w:bCs/>
          <w:iCs/>
          <w:sz w:val="24"/>
          <w:szCs w:val="24"/>
        </w:rPr>
        <w:t xml:space="preserve">są rezydentami podatkowymi. </w:t>
      </w:r>
      <w:r w:rsidRPr="00C96268">
        <w:rPr>
          <w:rFonts w:ascii="Times New Roman" w:hAnsi="Times New Roman" w:cs="Times New Roman"/>
          <w:bCs/>
          <w:iCs/>
          <w:sz w:val="24"/>
          <w:szCs w:val="24"/>
        </w:rPr>
        <w:t xml:space="preserve">Ponadto, w odniesieniu do krajowego podatku wyrównawczego w praktyce nie znajdą zastosowania przepisy </w:t>
      </w:r>
      <w:r w:rsidR="00A94122" w:rsidRPr="00C96268">
        <w:rPr>
          <w:rFonts w:ascii="Times New Roman" w:hAnsi="Times New Roman" w:cs="Times New Roman"/>
          <w:bCs/>
          <w:iCs/>
          <w:sz w:val="24"/>
          <w:szCs w:val="24"/>
        </w:rPr>
        <w:t>art. 114</w:t>
      </w:r>
      <w:r w:rsidRPr="00C96268">
        <w:rPr>
          <w:rFonts w:ascii="Times New Roman" w:hAnsi="Times New Roman" w:cs="Times New Roman"/>
          <w:b/>
          <w:iCs/>
          <w:sz w:val="24"/>
          <w:szCs w:val="24"/>
        </w:rPr>
        <w:t>,</w:t>
      </w:r>
      <w:r w:rsidRPr="00C96268">
        <w:rPr>
          <w:rFonts w:ascii="Times New Roman" w:hAnsi="Times New Roman" w:cs="Times New Roman"/>
          <w:bCs/>
          <w:iCs/>
          <w:sz w:val="24"/>
          <w:szCs w:val="24"/>
        </w:rPr>
        <w:t xml:space="preserve"> dotyczące UPE </w:t>
      </w:r>
      <w:r w:rsidRPr="00C96268">
        <w:rPr>
          <w:rFonts w:ascii="Times New Roman" w:hAnsi="Times New Roman" w:cs="Times New Roman"/>
          <w:b/>
          <w:bCs/>
          <w:iCs/>
          <w:sz w:val="24"/>
          <w:szCs w:val="24"/>
        </w:rPr>
        <w:t xml:space="preserve">objętej systemem odliczanej dywidendy, ponieważ ustawa o podatku dochodowym od osób prawnych nie przewiduje takiej metody opodatkowania. </w:t>
      </w:r>
    </w:p>
    <w:p w14:paraId="4211BFF2" w14:textId="0A0A261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iCs/>
          <w:sz w:val="24"/>
          <w:szCs w:val="24"/>
        </w:rPr>
        <w:t>Także, co do ryczałtu</w:t>
      </w:r>
      <w:r w:rsidRPr="00C96268">
        <w:rPr>
          <w:rFonts w:ascii="Times New Roman" w:hAnsi="Times New Roman" w:cs="Times New Roman"/>
          <w:bCs/>
          <w:iCs/>
          <w:sz w:val="24"/>
          <w:szCs w:val="24"/>
        </w:rPr>
        <w:t xml:space="preserve"> od dochodów spółek</w:t>
      </w:r>
      <w:r w:rsidRPr="00C96268">
        <w:rPr>
          <w:rFonts w:ascii="Times New Roman" w:hAnsi="Times New Roman" w:cs="Times New Roman"/>
          <w:bCs/>
          <w:iCs/>
          <w:sz w:val="24"/>
          <w:szCs w:val="24"/>
          <w:vertAlign w:val="superscript"/>
        </w:rPr>
        <w:footnoteReference w:id="102"/>
      </w:r>
      <w:r w:rsidRPr="00C96268">
        <w:rPr>
          <w:rFonts w:ascii="Times New Roman" w:hAnsi="Times New Roman" w:cs="Times New Roman"/>
          <w:bCs/>
          <w:iCs/>
          <w:sz w:val="24"/>
          <w:szCs w:val="24"/>
        </w:rPr>
        <w:t xml:space="preserve">, jako że dotyczy on spółek o prostej strukturze udziałowej, zakłada się że spółki takie, co do zasady, nie będą objęte przepisami niniejszej ustawy, która odnosi się do grup, dla których sporządza się skonsolidowane sprawozdania finansowe oraz które przekraczają próg minimalnego przychodu grupowego. Dlatego, przepisy rozdziału </w:t>
      </w:r>
      <w:r w:rsidR="00A94122" w:rsidRPr="00C96268">
        <w:rPr>
          <w:rFonts w:ascii="Times New Roman" w:hAnsi="Times New Roman" w:cs="Times New Roman"/>
          <w:bCs/>
          <w:iCs/>
          <w:sz w:val="24"/>
          <w:szCs w:val="24"/>
        </w:rPr>
        <w:t>2</w:t>
      </w:r>
      <w:r w:rsidRPr="00C96268">
        <w:rPr>
          <w:rFonts w:ascii="Times New Roman" w:hAnsi="Times New Roman" w:cs="Times New Roman"/>
          <w:bCs/>
          <w:iCs/>
          <w:sz w:val="24"/>
          <w:szCs w:val="24"/>
        </w:rPr>
        <w:t xml:space="preserve"> działu IX, które odnoszą się do szczególnych Zasad GloBE dla ryczałtu od dochodów spółek, co do zasady, nie będą miały zastosowania do jednostek, które podlegają opodatkowaniu krajowym podatkiem wyrównawczym.</w:t>
      </w:r>
    </w:p>
    <w:p w14:paraId="43664516" w14:textId="40B4ABB5"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Zakłada się natomiast, że ewentualne szersze zastosowanie mogą znaleźć przepisy </w:t>
      </w:r>
      <w:r w:rsidRPr="00C96268">
        <w:rPr>
          <w:rFonts w:ascii="Times New Roman" w:hAnsi="Times New Roman" w:cs="Times New Roman"/>
          <w:b/>
          <w:iCs/>
          <w:sz w:val="24"/>
          <w:szCs w:val="24"/>
        </w:rPr>
        <w:t xml:space="preserve">rozdziału </w:t>
      </w:r>
      <w:r w:rsidR="00A94122" w:rsidRPr="00C96268">
        <w:rPr>
          <w:rFonts w:ascii="Times New Roman" w:hAnsi="Times New Roman" w:cs="Times New Roman"/>
          <w:b/>
          <w:iCs/>
          <w:sz w:val="24"/>
          <w:szCs w:val="24"/>
        </w:rPr>
        <w:t>3</w:t>
      </w:r>
      <w:r w:rsidRPr="00C96268">
        <w:rPr>
          <w:rFonts w:ascii="Times New Roman" w:hAnsi="Times New Roman" w:cs="Times New Roman"/>
          <w:b/>
          <w:iCs/>
          <w:sz w:val="24"/>
          <w:szCs w:val="24"/>
        </w:rPr>
        <w:t xml:space="preserve"> działu IX</w:t>
      </w:r>
      <w:r w:rsidRPr="00C96268">
        <w:rPr>
          <w:rFonts w:ascii="Times New Roman" w:hAnsi="Times New Roman" w:cs="Times New Roman"/>
          <w:bCs/>
          <w:iCs/>
          <w:sz w:val="24"/>
          <w:szCs w:val="24"/>
        </w:rPr>
        <w:t xml:space="preserve">, regulujące szczególne metody opodatkowania jednostek inwestycyjnych i ubezpieczeniowych jednostek inwestycyjnych. Przepisy te obejmują dwa wybory, których może dokonać uprawniona jednostka z danej grupy międzynarodowej lub grupy krajowej. Pierwszy wybór dotyczy możliwości traktowania jednostki inwestycyjnej jako transparentnej podatkowo (wybór ten zależny jest jednak od opodatkowania właściciela w </w:t>
      </w:r>
      <w:r w:rsidR="009B2A90"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w </w:t>
      </w:r>
      <w:r w:rsidR="009B2A90" w:rsidRPr="00C96268">
        <w:rPr>
          <w:rFonts w:ascii="Times New Roman" w:hAnsi="Times New Roman" w:cs="Times New Roman"/>
          <w:bCs/>
          <w:iCs/>
          <w:sz w:val="24"/>
          <w:szCs w:val="24"/>
        </w:rPr>
        <w:t xml:space="preserve">której </w:t>
      </w:r>
      <w:r w:rsidRPr="00C96268">
        <w:rPr>
          <w:rFonts w:ascii="Times New Roman" w:hAnsi="Times New Roman" w:cs="Times New Roman"/>
          <w:bCs/>
          <w:iCs/>
          <w:sz w:val="24"/>
          <w:szCs w:val="24"/>
        </w:rPr>
        <w:t xml:space="preserve">jest rezydentem podatkowym, w oparciu o zmiany wartości rynkowej udziałów). W takim przypadku jednostka inwestycyjna pozostanie podatnikiem krajowego podatku wyrównawczego (zgodnie z ogólną zasadą zawartą w art. 24 pkt 1 lit. a), jednak zakłada się, że przeważająca część jej kwalifikowanego dochodu (straty) i skorygowanych podatków kwalifikowanych będzie alokowana do jej właścicieli. </w:t>
      </w:r>
    </w:p>
    <w:p w14:paraId="39BA5E19" w14:textId="2DBB0541" w:rsidR="006C6FE0" w:rsidRPr="00C96268" w:rsidRDefault="006C6FE0" w:rsidP="006C6FE0">
      <w:pPr>
        <w:spacing w:after="120"/>
        <w:jc w:val="both"/>
        <w:rPr>
          <w:rFonts w:ascii="Times New Roman" w:hAnsi="Times New Roman" w:cs="Times New Roman"/>
          <w:bCs/>
          <w:i/>
          <w:sz w:val="24"/>
          <w:szCs w:val="24"/>
        </w:rPr>
      </w:pPr>
      <w:r w:rsidRPr="00C96268">
        <w:rPr>
          <w:rFonts w:ascii="Times New Roman" w:hAnsi="Times New Roman" w:cs="Times New Roman"/>
          <w:bCs/>
          <w:iCs/>
          <w:sz w:val="24"/>
          <w:szCs w:val="24"/>
        </w:rPr>
        <w:t xml:space="preserve">Drugi wybór dotyczy skorzystania z metody opodatkowania wypłaty zysku. W tym przypadku metoda ta nie wynika ze szczególnego sposobu opodatkowania CIT, lecz jest specyficzna dla Systemu GloBE i została zdefiniowana na potrzeby GloBE w art. 120 ustawy. W dużym uproszczeniu, zgodnie z tą metodą, w zakresie w jakim jednostka inwestycyjna dokonuje wypłat na rzecz właściciela, odpowiednią część kwalifikowanego dochodu i kwalifikowanych podatków uwzględnia się po stronie tego właściciela. W odniesieniu natomiast do niewypłaconego dochodu tej jednostki, przepisy rozdziału </w:t>
      </w:r>
      <w:r w:rsidR="00A94122" w:rsidRPr="00C96268">
        <w:rPr>
          <w:rFonts w:ascii="Times New Roman" w:hAnsi="Times New Roman" w:cs="Times New Roman"/>
          <w:bCs/>
          <w:iCs/>
          <w:sz w:val="24"/>
          <w:szCs w:val="24"/>
        </w:rPr>
        <w:t>3</w:t>
      </w:r>
      <w:r w:rsidRPr="00C96268">
        <w:rPr>
          <w:rFonts w:ascii="Times New Roman" w:hAnsi="Times New Roman" w:cs="Times New Roman"/>
          <w:bCs/>
          <w:iCs/>
          <w:sz w:val="24"/>
          <w:szCs w:val="24"/>
        </w:rPr>
        <w:t xml:space="preserve"> działu IX wskazują, w jakim zakresie opodatkowana pozostaje ta jednostka. </w:t>
      </w:r>
      <w:r w:rsidR="00FB5F56" w:rsidRPr="00C96268">
        <w:rPr>
          <w:rFonts w:ascii="Times New Roman" w:hAnsi="Times New Roman" w:cs="Times New Roman"/>
          <w:bCs/>
          <w:i/>
          <w:sz w:val="24"/>
          <w:szCs w:val="24"/>
        </w:rPr>
        <w:br w:type="column"/>
      </w:r>
      <w:r w:rsidRPr="00C96268">
        <w:rPr>
          <w:rFonts w:ascii="Times New Roman" w:hAnsi="Times New Roman" w:cs="Times New Roman"/>
          <w:bCs/>
          <w:i/>
          <w:sz w:val="24"/>
          <w:szCs w:val="24"/>
        </w:rPr>
        <w:t>Zwolnienia podatkowe i przepisy szczególne w okresie początkowym</w:t>
      </w:r>
    </w:p>
    <w:p w14:paraId="3DB8C2BE"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Ponadto, dział X zawiera bardzo istotne przepisy szczególne dotyczące bezpiecznych przystani o charakterze ogólnym albo odnoszące się wprost do krajowego podatku wyrównawczego, lecz wpisujące się bardziej ściśle w materię działu X. </w:t>
      </w:r>
    </w:p>
    <w:p w14:paraId="7413CECF"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 tym zakresie, na gruncie krajowego podatku wyrównawczego - podobnie jak na gruncie globalnego podatku wyrównawczego - stosuje się zawarte w dziale X przepisy o</w:t>
      </w:r>
      <w:r w:rsidRPr="00C96268">
        <w:rPr>
          <w:rFonts w:ascii="Times New Roman" w:hAnsi="Times New Roman" w:cs="Times New Roman"/>
          <w:b/>
          <w:iCs/>
          <w:sz w:val="24"/>
          <w:szCs w:val="24"/>
        </w:rPr>
        <w:t xml:space="preserve"> wyłączeniu </w:t>
      </w:r>
      <w:r w:rsidRPr="00C96268">
        <w:rPr>
          <w:rFonts w:ascii="Times New Roman" w:hAnsi="Times New Roman" w:cs="Times New Roman"/>
          <w:b/>
          <w:i/>
          <w:sz w:val="24"/>
          <w:szCs w:val="24"/>
        </w:rPr>
        <w:t>de minimis</w:t>
      </w:r>
      <w:r w:rsidRPr="00C96268">
        <w:rPr>
          <w:rFonts w:ascii="Times New Roman" w:hAnsi="Times New Roman" w:cs="Times New Roman"/>
          <w:bCs/>
          <w:iCs/>
          <w:sz w:val="24"/>
          <w:szCs w:val="24"/>
        </w:rPr>
        <w:t xml:space="preserve">. Uprawniona jednostka z grupy międzynarodowej lub grupy krajowej może zatem dokonać wyboru dotyczącego stosowania tego wyłączenia na potrzeby krajowego podatku wyrównawczego. W takim przypadku, nie ustala się krajowego podatku wyrównawczego za dany rok podatkowy, jeżeli za ten rok nie przekroczono minimalnych progów w zakresie przychodu i jurysdykcyjnego kwalifikowanego dochodu. W szczególności, aby dana grupa mogła zastosować to wyłączenie – w odniesieniu do ich jednostek składowych </w:t>
      </w:r>
      <w:r w:rsidRPr="00C96268">
        <w:rPr>
          <w:rFonts w:ascii="Times New Roman" w:hAnsi="Times New Roman" w:cs="Times New Roman"/>
          <w:iCs/>
          <w:sz w:val="24"/>
          <w:szCs w:val="24"/>
        </w:rPr>
        <w:t>zlokalizowanych</w:t>
      </w:r>
      <w:r w:rsidRPr="00C96268">
        <w:rPr>
          <w:rFonts w:ascii="Times New Roman" w:hAnsi="Times New Roman" w:cs="Times New Roman"/>
          <w:bCs/>
          <w:iCs/>
          <w:sz w:val="24"/>
          <w:szCs w:val="24"/>
        </w:rPr>
        <w:t xml:space="preserve"> na terytorium RP i będących podatnikami krajowego podatku wyrównawczego – muszą być spełnione łącznie następujące warunki:</w:t>
      </w:r>
    </w:p>
    <w:p w14:paraId="36F1C898" w14:textId="77777777" w:rsidR="006C6FE0" w:rsidRPr="00C96268" w:rsidRDefault="006C6FE0" w:rsidP="006C6FE0">
      <w:pPr>
        <w:tabs>
          <w:tab w:val="left" w:pos="426"/>
        </w:tabs>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1) </w:t>
      </w:r>
      <w:r w:rsidRPr="00C96268">
        <w:rPr>
          <w:rFonts w:ascii="Times New Roman" w:hAnsi="Times New Roman" w:cs="Times New Roman"/>
          <w:bCs/>
          <w:iCs/>
          <w:sz w:val="24"/>
          <w:szCs w:val="24"/>
        </w:rPr>
        <w:tab/>
        <w:t xml:space="preserve">średni trzyletni kwalifikowany przychód wszystkich podatników jest mniejszy niż </w:t>
      </w:r>
      <w:r w:rsidRPr="00C96268">
        <w:rPr>
          <w:rFonts w:ascii="Times New Roman" w:hAnsi="Times New Roman" w:cs="Times New Roman"/>
          <w:b/>
          <w:iCs/>
          <w:sz w:val="24"/>
          <w:szCs w:val="24"/>
        </w:rPr>
        <w:t>10 mln euro</w:t>
      </w:r>
      <w:r w:rsidRPr="00C96268">
        <w:rPr>
          <w:rFonts w:ascii="Times New Roman" w:hAnsi="Times New Roman" w:cs="Times New Roman"/>
          <w:bCs/>
          <w:iCs/>
          <w:sz w:val="24"/>
          <w:szCs w:val="24"/>
        </w:rPr>
        <w:t>;</w:t>
      </w:r>
    </w:p>
    <w:p w14:paraId="74A9508C" w14:textId="3FD91238" w:rsidR="006C6FE0" w:rsidRPr="00C96268" w:rsidRDefault="006C6FE0" w:rsidP="006C6FE0">
      <w:pPr>
        <w:spacing w:after="120"/>
        <w:ind w:left="426" w:hanging="426"/>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2) </w:t>
      </w:r>
      <w:r w:rsidRPr="00C96268">
        <w:rPr>
          <w:rFonts w:ascii="Times New Roman" w:hAnsi="Times New Roman" w:cs="Times New Roman"/>
          <w:bCs/>
          <w:iCs/>
          <w:sz w:val="24"/>
          <w:szCs w:val="24"/>
        </w:rPr>
        <w:tab/>
        <w:t xml:space="preserve">średni trzyletni jurysdykcyjny kwalifikowany dochód wszystkich podatników wynosi mniej niż </w:t>
      </w:r>
      <w:r w:rsidRPr="00C96268">
        <w:rPr>
          <w:rFonts w:ascii="Times New Roman" w:hAnsi="Times New Roman" w:cs="Times New Roman"/>
          <w:b/>
          <w:iCs/>
          <w:sz w:val="24"/>
          <w:szCs w:val="24"/>
        </w:rPr>
        <w:t>1 mln euro</w:t>
      </w:r>
      <w:r w:rsidRPr="00C96268">
        <w:rPr>
          <w:rFonts w:ascii="Times New Roman" w:hAnsi="Times New Roman" w:cs="Times New Roman"/>
          <w:bCs/>
          <w:iCs/>
          <w:sz w:val="24"/>
          <w:szCs w:val="24"/>
        </w:rPr>
        <w:t xml:space="preserve"> albo została osiągnięta średnia jurysdykcyjna kwalifikowana strata wszystkich podatników</w:t>
      </w:r>
      <w:r w:rsidRPr="00C96268">
        <w:rPr>
          <w:rFonts w:ascii="Times New Roman" w:hAnsi="Times New Roman" w:cs="Times New Roman"/>
          <w:bCs/>
          <w:iCs/>
          <w:sz w:val="24"/>
          <w:szCs w:val="24"/>
          <w:vertAlign w:val="superscript"/>
        </w:rPr>
        <w:footnoteReference w:id="103"/>
      </w:r>
      <w:r w:rsidRPr="00C96268">
        <w:rPr>
          <w:rFonts w:ascii="Times New Roman" w:hAnsi="Times New Roman" w:cs="Times New Roman"/>
          <w:bCs/>
          <w:iCs/>
          <w:sz w:val="24"/>
          <w:szCs w:val="24"/>
        </w:rPr>
        <w:t>.</w:t>
      </w:r>
    </w:p>
    <w:p w14:paraId="1E840931"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Wyłączenia tego nie stosuje się jednak do bezpaństwowych jednostek składowych oraz do jednostek inwestycyjnych, a ich wyników finansowych nie bierze się pod uwagę na potrzeby ustalenia przekroczenia wskazanych progów 10 mln euro i 1 mln euro.</w:t>
      </w:r>
    </w:p>
    <w:p w14:paraId="4A6159DE"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Przepisy działu X obejmują również bardzo istotną 5-letnią bezpieczną przystań w zakresie krajowego podatku wyrównawczego dla grup międzynarodowych w początkowej fazie działalności i oraz 5-letnią bezpieczną przystań dla grup krajowych (niezależne od fazy działalności) - </w:t>
      </w:r>
      <w:r w:rsidRPr="00C96268">
        <w:rPr>
          <w:rFonts w:ascii="Times New Roman" w:hAnsi="Times New Roman" w:cs="Times New Roman"/>
          <w:bCs/>
          <w:i/>
          <w:sz w:val="24"/>
          <w:szCs w:val="24"/>
        </w:rPr>
        <w:t>por. uzasadnienie do działu X</w:t>
      </w:r>
      <w:r w:rsidRPr="00C96268">
        <w:rPr>
          <w:rFonts w:ascii="Times New Roman" w:hAnsi="Times New Roman" w:cs="Times New Roman"/>
          <w:bCs/>
          <w:iCs/>
          <w:sz w:val="24"/>
          <w:szCs w:val="24"/>
        </w:rPr>
        <w:t>.</w:t>
      </w:r>
    </w:p>
    <w:p w14:paraId="13C174EA"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Należy pamiętać również, iż zgodnie z art. 6 ust. 2, j</w:t>
      </w:r>
      <w:r w:rsidRPr="00C96268">
        <w:rPr>
          <w:rFonts w:ascii="Times New Roman" w:hAnsi="Times New Roman" w:cs="Times New Roman"/>
          <w:bCs/>
          <w:sz w:val="24"/>
          <w:szCs w:val="24"/>
        </w:rPr>
        <w:t xml:space="preserve">ednostki lub jednostki składowej grupy międzynarodowej nie uwzględnia się przy obliczeniu globalnego podatku wyrównawczego, jeżeli są one podatnikami krajowego podatku wyrównawczego  - </w:t>
      </w:r>
      <w:r w:rsidRPr="00C96268">
        <w:rPr>
          <w:rFonts w:ascii="Times New Roman" w:hAnsi="Times New Roman" w:cs="Times New Roman"/>
          <w:bCs/>
          <w:i/>
          <w:iCs/>
          <w:sz w:val="24"/>
          <w:szCs w:val="24"/>
        </w:rPr>
        <w:t>por. uzasadnienie do art. 6</w:t>
      </w:r>
      <w:r w:rsidRPr="00C96268">
        <w:rPr>
          <w:rFonts w:ascii="Times New Roman" w:hAnsi="Times New Roman" w:cs="Times New Roman"/>
          <w:bCs/>
          <w:sz w:val="24"/>
          <w:szCs w:val="24"/>
        </w:rPr>
        <w:t>.</w:t>
      </w:r>
    </w:p>
    <w:p w14:paraId="7FAEF19F" w14:textId="77777777" w:rsidR="006C6FE0" w:rsidRPr="00C96268" w:rsidRDefault="006C6FE0" w:rsidP="006C6FE0">
      <w:pPr>
        <w:pStyle w:val="Nagwek2"/>
        <w:rPr>
          <w:rFonts w:ascii="Times New Roman" w:hAnsi="Times New Roman" w:cs="Times New Roman"/>
          <w:sz w:val="24"/>
          <w:szCs w:val="24"/>
        </w:rPr>
      </w:pPr>
      <w:r w:rsidRPr="00C96268">
        <w:rPr>
          <w:rFonts w:ascii="Times New Roman" w:hAnsi="Times New Roman" w:cs="Times New Roman"/>
          <w:sz w:val="24"/>
          <w:szCs w:val="24"/>
        </w:rPr>
        <w:t>DZIAŁ IV. Podatek wyrównawczy od niedostatecznie opodatkowanych zysków</w:t>
      </w:r>
    </w:p>
    <w:p w14:paraId="75785EF0" w14:textId="465B83B8"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Jak wyjaśniono w części ogólnej niniejszego uzasadnienia, podatek wyrównawczy od niedostatecznie opodatkowanych zysków (dalej także jako: „</w:t>
      </w:r>
      <w:r w:rsidRPr="00C96268">
        <w:rPr>
          <w:rFonts w:ascii="Times New Roman" w:hAnsi="Times New Roman" w:cs="Times New Roman"/>
          <w:b/>
          <w:bCs/>
          <w:sz w:val="24"/>
          <w:szCs w:val="24"/>
        </w:rPr>
        <w:t>podatek UTPR</w:t>
      </w:r>
      <w:r w:rsidRPr="00C96268">
        <w:rPr>
          <w:rFonts w:ascii="Times New Roman" w:hAnsi="Times New Roman" w:cs="Times New Roman"/>
          <w:sz w:val="24"/>
          <w:szCs w:val="24"/>
        </w:rPr>
        <w:t xml:space="preserve">”) działa jako „mechanizm rezerwowy” wobec Zasady IIR. Podatek wyrównawczy od niedostatecznie opodatkowanych zysków ma zatem charakter komplementarny i działa on wówczas, gdy stosowanie Zasady IIR nie prowadzi w pełni do nałożenia opodatkowania wyrównawczego na wszystkie odpowiednie jednostki dominujące, np. w związku z tym, że część </w:t>
      </w:r>
      <w:r w:rsidR="009B2A90"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 xml:space="preserve">nie wdrożyła Zasad GloBE. </w:t>
      </w:r>
    </w:p>
    <w:p w14:paraId="25DF18E5" w14:textId="06A4D4BD"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Podstawowe reguły, odnoszące się do podatku od niedostatecznie opodatkowanych zysków, regulują przepisy art. 12 – 14 Dyrektywy. Zgodnie z tymi przepisami podatek wyrównawczy od niedostatecznie opodatkowanych zysków może przybrać dwojaką formę (w odniesieniu do jednostek składowych </w:t>
      </w:r>
      <w:r w:rsidRPr="00C96268">
        <w:rPr>
          <w:rFonts w:ascii="Times New Roman" w:hAnsi="Times New Roman" w:cs="Times New Roman"/>
          <w:iCs/>
          <w:sz w:val="24"/>
          <w:szCs w:val="24"/>
        </w:rPr>
        <w:t xml:space="preserve">zlokalizowanych </w:t>
      </w:r>
      <w:r w:rsidRPr="00C96268">
        <w:rPr>
          <w:rFonts w:ascii="Times New Roman" w:hAnsi="Times New Roman" w:cs="Times New Roman"/>
          <w:sz w:val="24"/>
          <w:szCs w:val="24"/>
        </w:rPr>
        <w:t xml:space="preserve">w </w:t>
      </w:r>
      <w:r w:rsidR="009B2A90" w:rsidRPr="00C96268">
        <w:rPr>
          <w:rFonts w:ascii="Times New Roman" w:hAnsi="Times New Roman" w:cs="Times New Roman"/>
          <w:sz w:val="24"/>
          <w:szCs w:val="24"/>
        </w:rPr>
        <w:t xml:space="preserve">danej jurysdykcji stosującej </w:t>
      </w:r>
      <w:r w:rsidRPr="00C96268">
        <w:rPr>
          <w:rFonts w:ascii="Times New Roman" w:hAnsi="Times New Roman" w:cs="Times New Roman"/>
          <w:sz w:val="24"/>
          <w:szCs w:val="24"/>
        </w:rPr>
        <w:t xml:space="preserve">Zasadę UTPR), tj.: </w:t>
      </w:r>
    </w:p>
    <w:p w14:paraId="7ACADED5" w14:textId="77777777" w:rsidR="006C6FE0" w:rsidRPr="00C96268" w:rsidRDefault="006C6FE0" w:rsidP="00B6504F">
      <w:pPr>
        <w:pStyle w:val="Akapitzlist"/>
        <w:numPr>
          <w:ilvl w:val="0"/>
          <w:numId w:val="38"/>
        </w:numPr>
        <w:spacing w:after="120" w:line="252" w:lineRule="auto"/>
        <w:ind w:left="714" w:hanging="357"/>
        <w:jc w:val="both"/>
        <w:rPr>
          <w:rFonts w:ascii="Times New Roman" w:hAnsi="Times New Roman" w:cs="Times New Roman"/>
          <w:sz w:val="24"/>
          <w:szCs w:val="24"/>
        </w:rPr>
      </w:pPr>
      <w:r w:rsidRPr="00C96268">
        <w:rPr>
          <w:rFonts w:ascii="Times New Roman" w:hAnsi="Times New Roman" w:cs="Times New Roman"/>
          <w:sz w:val="24"/>
          <w:szCs w:val="24"/>
        </w:rPr>
        <w:t xml:space="preserve">odrębnego podatku albo </w:t>
      </w:r>
    </w:p>
    <w:p w14:paraId="53D382D2" w14:textId="77777777" w:rsidR="006C6FE0" w:rsidRPr="00C96268" w:rsidRDefault="006C6FE0" w:rsidP="00B6504F">
      <w:pPr>
        <w:pStyle w:val="Akapitzlist"/>
        <w:numPr>
          <w:ilvl w:val="0"/>
          <w:numId w:val="38"/>
        </w:numPr>
        <w:spacing w:after="120" w:line="252" w:lineRule="auto"/>
        <w:ind w:left="714" w:hanging="357"/>
        <w:jc w:val="both"/>
        <w:rPr>
          <w:rFonts w:ascii="Times New Roman" w:hAnsi="Times New Roman" w:cs="Times New Roman"/>
          <w:sz w:val="24"/>
          <w:szCs w:val="24"/>
        </w:rPr>
      </w:pPr>
      <w:r w:rsidRPr="00C96268">
        <w:rPr>
          <w:rFonts w:ascii="Times New Roman" w:hAnsi="Times New Roman" w:cs="Times New Roman"/>
          <w:sz w:val="24"/>
          <w:szCs w:val="24"/>
        </w:rPr>
        <w:t>odmowy odliczenia od podstawy opodatkowania kwoty wynikającej z zastosowania Zasady UTPR</w:t>
      </w:r>
      <w:r w:rsidRPr="00C96268">
        <w:rPr>
          <w:rStyle w:val="Odwoanieprzypisudolnego"/>
          <w:rFonts w:ascii="Times New Roman" w:hAnsi="Times New Roman" w:cs="Times New Roman"/>
          <w:sz w:val="24"/>
          <w:szCs w:val="24"/>
        </w:rPr>
        <w:footnoteReference w:id="104"/>
      </w:r>
      <w:r w:rsidRPr="00C96268">
        <w:rPr>
          <w:rFonts w:ascii="Times New Roman" w:hAnsi="Times New Roman" w:cs="Times New Roman"/>
          <w:sz w:val="24"/>
          <w:szCs w:val="24"/>
        </w:rPr>
        <w:t xml:space="preserve">.   </w:t>
      </w:r>
    </w:p>
    <w:p w14:paraId="744E8C6D"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Obie wskazane metody prowadzą do jednakowego skutku, choć sposób dojścia do niego jest różny. Druga z metod jest mniej bezpośrednia i bardziej skomplikowana. Z tego względu w projekcie przyjęto pierwsze w ww. rozwiązań. Tym samym bezprzedmiotowe stały się te przepisy Dyrektywy, które odnoszą się do drugiego z nich, tj. przepisy art. 12.2 i 13.2 Dyrektywy. </w:t>
      </w:r>
    </w:p>
    <w:p w14:paraId="046E1F26"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32 [Podatnik podatku UTPR] </w:t>
      </w:r>
    </w:p>
    <w:p w14:paraId="0FAD9780"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Zgodnie z </w:t>
      </w:r>
      <w:r w:rsidRPr="00C96268">
        <w:rPr>
          <w:rFonts w:ascii="Times New Roman" w:hAnsi="Times New Roman" w:cs="Times New Roman"/>
          <w:b/>
          <w:bCs/>
          <w:sz w:val="24"/>
          <w:szCs w:val="24"/>
        </w:rPr>
        <w:t>art. 32 ust. 1</w:t>
      </w:r>
      <w:r w:rsidRPr="00C96268">
        <w:rPr>
          <w:rFonts w:ascii="Times New Roman" w:hAnsi="Times New Roman" w:cs="Times New Roman"/>
          <w:sz w:val="24"/>
          <w:szCs w:val="24"/>
        </w:rPr>
        <w:t xml:space="preserve"> podatnikiem podatku od niedostatecznie opodatkowanych zysków jest </w:t>
      </w:r>
      <w:r w:rsidRPr="00C96268">
        <w:rPr>
          <w:rFonts w:ascii="Times New Roman" w:hAnsi="Times New Roman" w:cs="Times New Roman"/>
          <w:b/>
          <w:bCs/>
          <w:sz w:val="24"/>
          <w:szCs w:val="24"/>
        </w:rPr>
        <w:t xml:space="preserve">jednostka składowa grupy międzynarodowej </w:t>
      </w:r>
      <w:r w:rsidRPr="00C96268">
        <w:rPr>
          <w:rFonts w:ascii="Times New Roman" w:hAnsi="Times New Roman" w:cs="Times New Roman"/>
          <w:b/>
          <w:bCs/>
          <w:iCs/>
          <w:sz w:val="24"/>
          <w:szCs w:val="24"/>
        </w:rPr>
        <w:t xml:space="preserve">zlokalizowana </w:t>
      </w:r>
      <w:r w:rsidRPr="00C96268">
        <w:rPr>
          <w:rFonts w:ascii="Times New Roman" w:hAnsi="Times New Roman" w:cs="Times New Roman"/>
          <w:b/>
          <w:bCs/>
          <w:sz w:val="24"/>
          <w:szCs w:val="24"/>
        </w:rPr>
        <w:t xml:space="preserve"> na terytorium Rzeczypospolitej Polskiej</w:t>
      </w:r>
      <w:r w:rsidRPr="00C96268">
        <w:rPr>
          <w:rFonts w:ascii="Times New Roman" w:hAnsi="Times New Roman" w:cs="Times New Roman"/>
          <w:sz w:val="24"/>
          <w:szCs w:val="24"/>
        </w:rPr>
        <w:t>.</w:t>
      </w:r>
    </w:p>
    <w:p w14:paraId="1199C0CD"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Omawianego przepisu nie stosuje się do jednostek składowych będących jednostkami inwestycyjnymi (</w:t>
      </w:r>
      <w:r w:rsidRPr="00C96268">
        <w:rPr>
          <w:rFonts w:ascii="Times New Roman" w:hAnsi="Times New Roman" w:cs="Times New Roman"/>
          <w:b/>
          <w:bCs/>
          <w:sz w:val="24"/>
          <w:szCs w:val="24"/>
        </w:rPr>
        <w:t>ust. 2</w:t>
      </w:r>
      <w:r w:rsidRPr="00C96268">
        <w:rPr>
          <w:rFonts w:ascii="Times New Roman" w:hAnsi="Times New Roman" w:cs="Times New Roman"/>
          <w:sz w:val="24"/>
          <w:szCs w:val="24"/>
        </w:rPr>
        <w:t xml:space="preserve">). Wyjątek ten przenosi na grunt projektu postanowienia art. 12.3 i 13.3 Dyrektywy. </w:t>
      </w:r>
    </w:p>
    <w:p w14:paraId="52862DE5"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Co istotne, jeżeli więcej niż jedna jednostka składowa grupy międzynarodowej będzie </w:t>
      </w:r>
      <w:r w:rsidRPr="00C96268">
        <w:rPr>
          <w:rFonts w:ascii="Times New Roman" w:hAnsi="Times New Roman" w:cs="Times New Roman"/>
          <w:iCs/>
          <w:sz w:val="24"/>
          <w:szCs w:val="24"/>
        </w:rPr>
        <w:t>zlokalizowana</w:t>
      </w:r>
      <w:r w:rsidRPr="00C96268">
        <w:rPr>
          <w:rFonts w:ascii="Times New Roman" w:hAnsi="Times New Roman" w:cs="Times New Roman"/>
          <w:sz w:val="24"/>
          <w:szCs w:val="24"/>
        </w:rPr>
        <w:t xml:space="preserve"> na terytorium RP, wówczas podatnikiem podatku UTPR będzie każda z takich jednostek składowych</w:t>
      </w:r>
    </w:p>
    <w:p w14:paraId="009B9797"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33 [Zakres opodatkowania podatkiem UTPR]</w:t>
      </w:r>
    </w:p>
    <w:p w14:paraId="6C1336D2"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Przepis </w:t>
      </w:r>
      <w:r w:rsidRPr="00C96268">
        <w:rPr>
          <w:rFonts w:ascii="Times New Roman" w:hAnsi="Times New Roman" w:cs="Times New Roman"/>
          <w:b/>
          <w:bCs/>
          <w:sz w:val="24"/>
          <w:szCs w:val="24"/>
        </w:rPr>
        <w:t>art.</w:t>
      </w:r>
      <w:r w:rsidRPr="00C96268">
        <w:rPr>
          <w:rFonts w:ascii="Times New Roman" w:hAnsi="Times New Roman" w:cs="Times New Roman"/>
          <w:sz w:val="24"/>
          <w:szCs w:val="24"/>
        </w:rPr>
        <w:t xml:space="preserve"> </w:t>
      </w:r>
      <w:r w:rsidRPr="00C96268">
        <w:rPr>
          <w:rFonts w:ascii="Times New Roman" w:hAnsi="Times New Roman" w:cs="Times New Roman"/>
          <w:b/>
          <w:bCs/>
          <w:sz w:val="24"/>
          <w:szCs w:val="24"/>
        </w:rPr>
        <w:t xml:space="preserve">33 </w:t>
      </w:r>
      <w:r w:rsidRPr="00C96268">
        <w:rPr>
          <w:rFonts w:ascii="Times New Roman" w:hAnsi="Times New Roman" w:cs="Times New Roman"/>
          <w:sz w:val="24"/>
          <w:szCs w:val="24"/>
        </w:rPr>
        <w:t xml:space="preserve">implementuje przepisy art. 12 i 13 Dyrektywy. Określa on, w jakich przypadkach oblicza się podatek od niedostatecznie opodatkowanych zysków. I tak, zgodnie z tym przepisem jednostka składowa grupy międzynarodowej </w:t>
      </w:r>
      <w:r w:rsidRPr="00C96268">
        <w:rPr>
          <w:rFonts w:ascii="Times New Roman" w:hAnsi="Times New Roman" w:cs="Times New Roman"/>
          <w:iCs/>
          <w:sz w:val="24"/>
          <w:szCs w:val="24"/>
        </w:rPr>
        <w:t xml:space="preserve">zlokalizowana </w:t>
      </w:r>
      <w:r w:rsidRPr="00C96268">
        <w:rPr>
          <w:rFonts w:ascii="Times New Roman" w:hAnsi="Times New Roman" w:cs="Times New Roman"/>
          <w:sz w:val="24"/>
          <w:szCs w:val="24"/>
        </w:rPr>
        <w:t>na terytorium Rzeczypospolitej Polskiej jest zobowiązana do obliczenia podatku UTPR, jeżeli jednostka dominująca najwyższego szczebla tej grupy jest:</w:t>
      </w:r>
    </w:p>
    <w:p w14:paraId="382B149F" w14:textId="5D97FB8C"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1) </w:t>
      </w:r>
      <w:r w:rsidRPr="00C96268">
        <w:rPr>
          <w:rFonts w:ascii="Times New Roman" w:hAnsi="Times New Roman" w:cs="Times New Roman"/>
          <w:iCs/>
          <w:sz w:val="24"/>
          <w:szCs w:val="24"/>
        </w:rPr>
        <w:t>zlokalizowana</w:t>
      </w:r>
      <w:r w:rsidRPr="00C96268">
        <w:rPr>
          <w:rFonts w:ascii="Times New Roman" w:hAnsi="Times New Roman" w:cs="Times New Roman"/>
          <w:sz w:val="24"/>
          <w:szCs w:val="24"/>
        </w:rPr>
        <w:t xml:space="preserve"> w </w:t>
      </w:r>
      <w:r w:rsidR="009B2A90" w:rsidRPr="00C96268">
        <w:rPr>
          <w:rFonts w:ascii="Times New Roman" w:hAnsi="Times New Roman" w:cs="Times New Roman"/>
          <w:sz w:val="24"/>
          <w:szCs w:val="24"/>
        </w:rPr>
        <w:t>innej jurysdykcji</w:t>
      </w:r>
      <w:r w:rsidRPr="00C96268">
        <w:rPr>
          <w:rFonts w:ascii="Times New Roman" w:hAnsi="Times New Roman" w:cs="Times New Roman"/>
          <w:sz w:val="24"/>
          <w:szCs w:val="24"/>
        </w:rPr>
        <w:t xml:space="preserve">, </w:t>
      </w:r>
      <w:r w:rsidR="009B2A90" w:rsidRPr="00C96268">
        <w:rPr>
          <w:rFonts w:ascii="Times New Roman" w:hAnsi="Times New Roman" w:cs="Times New Roman"/>
          <w:sz w:val="24"/>
          <w:szCs w:val="24"/>
        </w:rPr>
        <w:t>która</w:t>
      </w:r>
      <w:r w:rsidRPr="00C96268">
        <w:rPr>
          <w:rFonts w:ascii="Times New Roman" w:hAnsi="Times New Roman" w:cs="Times New Roman"/>
          <w:sz w:val="24"/>
          <w:szCs w:val="24"/>
        </w:rPr>
        <w:t>:</w:t>
      </w:r>
    </w:p>
    <w:p w14:paraId="67C2E037" w14:textId="77777777" w:rsidR="006C6FE0" w:rsidRPr="00C96268" w:rsidRDefault="006C6FE0" w:rsidP="002C7467">
      <w:pPr>
        <w:pStyle w:val="Akapitzlist"/>
        <w:numPr>
          <w:ilvl w:val="3"/>
          <w:numId w:val="65"/>
        </w:numPr>
        <w:spacing w:after="120" w:line="252" w:lineRule="auto"/>
        <w:ind w:left="567" w:hanging="283"/>
        <w:jc w:val="both"/>
        <w:rPr>
          <w:rFonts w:ascii="Times New Roman" w:hAnsi="Times New Roman" w:cs="Times New Roman"/>
          <w:sz w:val="24"/>
          <w:szCs w:val="24"/>
        </w:rPr>
      </w:pPr>
      <w:r w:rsidRPr="00C96268">
        <w:rPr>
          <w:rFonts w:ascii="Times New Roman" w:hAnsi="Times New Roman" w:cs="Times New Roman"/>
          <w:sz w:val="24"/>
          <w:szCs w:val="24"/>
        </w:rPr>
        <w:t>nie stosuje kwalifikowanej zasady włączenia dochodu do opodatkowania albo</w:t>
      </w:r>
    </w:p>
    <w:p w14:paraId="3A20909F" w14:textId="2A9A1B87" w:rsidR="006C6FE0" w:rsidRPr="00C96268" w:rsidRDefault="006C6FE0" w:rsidP="002C7467">
      <w:pPr>
        <w:pStyle w:val="Akapitzlist"/>
        <w:numPr>
          <w:ilvl w:val="3"/>
          <w:numId w:val="65"/>
        </w:numPr>
        <w:spacing w:after="120" w:line="252" w:lineRule="auto"/>
        <w:ind w:left="567" w:hanging="283"/>
        <w:jc w:val="both"/>
        <w:rPr>
          <w:rFonts w:ascii="Times New Roman" w:hAnsi="Times New Roman" w:cs="Times New Roman"/>
          <w:sz w:val="24"/>
          <w:szCs w:val="24"/>
        </w:rPr>
      </w:pPr>
      <w:r w:rsidRPr="00C96268">
        <w:rPr>
          <w:rFonts w:ascii="Times New Roman" w:hAnsi="Times New Roman" w:cs="Times New Roman"/>
          <w:sz w:val="24"/>
          <w:szCs w:val="24"/>
        </w:rPr>
        <w:t xml:space="preserve">jest </w:t>
      </w:r>
      <w:r w:rsidR="009B2A90" w:rsidRPr="00C96268">
        <w:rPr>
          <w:rFonts w:ascii="Times New Roman" w:hAnsi="Times New Roman" w:cs="Times New Roman"/>
          <w:sz w:val="24"/>
          <w:szCs w:val="24"/>
        </w:rPr>
        <w:t xml:space="preserve">jurysdykcją </w:t>
      </w:r>
      <w:r w:rsidRPr="00C96268">
        <w:rPr>
          <w:rFonts w:ascii="Times New Roman" w:hAnsi="Times New Roman" w:cs="Times New Roman"/>
          <w:sz w:val="24"/>
          <w:szCs w:val="24"/>
        </w:rPr>
        <w:t xml:space="preserve">o niskim poziomie opodatkowania, a jednostka dominująca najwyższego szczebla nie podlega kwalifikowanej zasadzie włączenia dochodu do opodatkowania) lub </w:t>
      </w:r>
    </w:p>
    <w:p w14:paraId="0E58FA28" w14:textId="77777777" w:rsidR="006C6FE0" w:rsidRPr="00C96268" w:rsidRDefault="006C6FE0" w:rsidP="006C6FE0">
      <w:pPr>
        <w:spacing w:after="120" w:line="252"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2) jest jednostką wyłączoną. </w:t>
      </w:r>
    </w:p>
    <w:p w14:paraId="06819492" w14:textId="77777777" w:rsidR="006C6FE0" w:rsidRPr="00C96268" w:rsidRDefault="006C6FE0" w:rsidP="006C6FE0">
      <w:pPr>
        <w:spacing w:after="120" w:line="252"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Zasady, o których mowa w </w:t>
      </w:r>
      <w:r w:rsidRPr="00C96268">
        <w:rPr>
          <w:rFonts w:ascii="Times New Roman" w:hAnsi="Times New Roman" w:cs="Times New Roman"/>
          <w:b/>
          <w:bCs/>
          <w:sz w:val="24"/>
          <w:szCs w:val="24"/>
        </w:rPr>
        <w:t>art. 32 i 33</w:t>
      </w:r>
      <w:r w:rsidRPr="00C96268">
        <w:rPr>
          <w:rFonts w:ascii="Times New Roman" w:hAnsi="Times New Roman" w:cs="Times New Roman"/>
          <w:sz w:val="24"/>
          <w:szCs w:val="24"/>
        </w:rPr>
        <w:t xml:space="preserve"> odwołują się po przede wszystkim do przypadku, w którym UPE nie stosuje z różnych powodów Kwalifikowanej Zasady IIR, przy czym należy zauważyć, że zgodnie </w:t>
      </w:r>
      <w:r w:rsidRPr="00C96268">
        <w:rPr>
          <w:rFonts w:ascii="Times New Roman" w:hAnsi="Times New Roman" w:cs="Times New Roman"/>
          <w:b/>
          <w:bCs/>
          <w:sz w:val="24"/>
          <w:szCs w:val="24"/>
        </w:rPr>
        <w:t>z art. 35 ust. 2 oraz 3</w:t>
      </w:r>
      <w:r w:rsidRPr="00C96268">
        <w:rPr>
          <w:rFonts w:ascii="Times New Roman" w:hAnsi="Times New Roman" w:cs="Times New Roman"/>
          <w:sz w:val="24"/>
          <w:szCs w:val="24"/>
        </w:rPr>
        <w:t xml:space="preserve">  w sumie stanowiącej kwotę całkowitego podatku UTPR nie uwzględnia się lub odpowiednio pomniejsza się tę sumę, jeżeli inna niż UPE jednostka dominująca podlega Zasadzie IIR. </w:t>
      </w:r>
    </w:p>
    <w:p w14:paraId="342D55D2"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34 [Podatek UTPR – jako podatek obliczany na poziomie Rzeczypospolitej Polskiej]</w:t>
      </w:r>
    </w:p>
    <w:p w14:paraId="4A421648" w14:textId="333CC00C"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Podatek UTPR jest obliczany w specyficzny sposób. Charakterystyczne dla tego podatku jest to, iż jest on liczony najpierw dla wszystkich nisko opodatkowanych jednostek składowych danej grupy międzynarodowej na całym świecie (całkowity podatek UTPR) a następnie „przydzielany” na poziomie </w:t>
      </w:r>
      <w:r w:rsidR="009B2A90" w:rsidRPr="00C96268">
        <w:rPr>
          <w:rFonts w:ascii="Times New Roman" w:hAnsi="Times New Roman" w:cs="Times New Roman"/>
          <w:sz w:val="24"/>
          <w:szCs w:val="24"/>
        </w:rPr>
        <w:t>danej jurysdykcji</w:t>
      </w:r>
      <w:r w:rsidRPr="00C96268">
        <w:rPr>
          <w:rFonts w:ascii="Times New Roman" w:hAnsi="Times New Roman" w:cs="Times New Roman"/>
          <w:sz w:val="24"/>
          <w:szCs w:val="24"/>
        </w:rPr>
        <w:t xml:space="preserve">, tj. zasadniczo wszystkim jednostkom składowym </w:t>
      </w:r>
      <w:r w:rsidRPr="00C96268">
        <w:rPr>
          <w:rFonts w:ascii="Times New Roman" w:hAnsi="Times New Roman" w:cs="Times New Roman"/>
          <w:iCs/>
          <w:sz w:val="24"/>
          <w:szCs w:val="24"/>
        </w:rPr>
        <w:t xml:space="preserve">zlokalizowanym </w:t>
      </w:r>
      <w:r w:rsidRPr="00C96268">
        <w:rPr>
          <w:rFonts w:ascii="Times New Roman" w:hAnsi="Times New Roman" w:cs="Times New Roman"/>
          <w:sz w:val="24"/>
          <w:szCs w:val="24"/>
        </w:rPr>
        <w:t xml:space="preserve"> w </w:t>
      </w:r>
      <w:r w:rsidR="009B2A90" w:rsidRPr="00C96268">
        <w:rPr>
          <w:rFonts w:ascii="Times New Roman" w:hAnsi="Times New Roman" w:cs="Times New Roman"/>
          <w:sz w:val="24"/>
          <w:szCs w:val="24"/>
        </w:rPr>
        <w:t>danej jurysdykcji</w:t>
      </w:r>
      <w:r w:rsidRPr="00C96268">
        <w:rPr>
          <w:rFonts w:ascii="Times New Roman" w:hAnsi="Times New Roman" w:cs="Times New Roman"/>
          <w:sz w:val="24"/>
          <w:szCs w:val="24"/>
        </w:rPr>
        <w:t xml:space="preserve">. Stosownie do tego, </w:t>
      </w:r>
      <w:r w:rsidRPr="00C96268">
        <w:rPr>
          <w:rFonts w:ascii="Times New Roman" w:hAnsi="Times New Roman" w:cs="Times New Roman"/>
          <w:b/>
          <w:bCs/>
          <w:sz w:val="24"/>
          <w:szCs w:val="24"/>
        </w:rPr>
        <w:t>art. 34 ust. 1</w:t>
      </w:r>
      <w:r w:rsidRPr="00C96268">
        <w:rPr>
          <w:rFonts w:ascii="Times New Roman" w:hAnsi="Times New Roman" w:cs="Times New Roman"/>
          <w:sz w:val="24"/>
          <w:szCs w:val="24"/>
        </w:rPr>
        <w:t xml:space="preserve"> projektu określa podatek UTPR obliczony na poziomie Rzeczypospolitej Polskiej, który stanowi odpowiednią część całkowitego podatku UTPR. Przepis ten implementuje normę zawartą w art. 14.1 Dyrektywy. </w:t>
      </w:r>
    </w:p>
    <w:p w14:paraId="645D9C73"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świetle tego przepisu podatek wyrównawczy od niedostatecznie opodatkowanych zysków oblicza się </w:t>
      </w:r>
      <w:r w:rsidRPr="00C96268">
        <w:rPr>
          <w:rFonts w:ascii="Times New Roman" w:hAnsi="Times New Roman" w:cs="Times New Roman"/>
          <w:b/>
          <w:bCs/>
          <w:sz w:val="24"/>
          <w:szCs w:val="24"/>
        </w:rPr>
        <w:t xml:space="preserve">mnożąc całkowity podatek UTPR </w:t>
      </w:r>
      <w:r w:rsidRPr="00C96268">
        <w:rPr>
          <w:rFonts w:ascii="Times New Roman" w:hAnsi="Times New Roman" w:cs="Times New Roman"/>
          <w:sz w:val="24"/>
          <w:szCs w:val="24"/>
        </w:rPr>
        <w:t xml:space="preserve">dla wszystkich nisko opodatkowanych jednostek składowych danej grupy międzynarodowej, o którym mowa w art. 35 ust. 1, </w:t>
      </w:r>
      <w:r w:rsidRPr="00C96268">
        <w:rPr>
          <w:rFonts w:ascii="Times New Roman" w:hAnsi="Times New Roman" w:cs="Times New Roman"/>
          <w:b/>
          <w:bCs/>
          <w:sz w:val="24"/>
          <w:szCs w:val="24"/>
        </w:rPr>
        <w:t>przez udział Rzeczypospolitej Polskiej w takim całkowitym podatku wyrównawczym</w:t>
      </w:r>
      <w:r w:rsidRPr="00C96268">
        <w:rPr>
          <w:rFonts w:ascii="Times New Roman" w:hAnsi="Times New Roman" w:cs="Times New Roman"/>
          <w:sz w:val="24"/>
          <w:szCs w:val="24"/>
        </w:rPr>
        <w:t xml:space="preserve">, o którym mowa w art. 36 ust. 1. </w:t>
      </w:r>
    </w:p>
    <w:p w14:paraId="7647CEE0"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Zatem, zgodnie ze wskazanymi przepisami podatnik podatku UTPR jest zobowiązany do obliczenia, za rok podatkowy zarówno:</w:t>
      </w:r>
    </w:p>
    <w:p w14:paraId="3BD8652E" w14:textId="77777777" w:rsidR="006C6FE0" w:rsidRPr="00C96268" w:rsidRDefault="006C6FE0" w:rsidP="002C7467">
      <w:pPr>
        <w:pStyle w:val="Akapitzlist"/>
        <w:numPr>
          <w:ilvl w:val="3"/>
          <w:numId w:val="66"/>
        </w:numPr>
        <w:spacing w:after="120" w:line="252" w:lineRule="auto"/>
        <w:ind w:left="709" w:hanging="283"/>
        <w:jc w:val="both"/>
        <w:rPr>
          <w:rFonts w:ascii="Times New Roman" w:hAnsi="Times New Roman" w:cs="Times New Roman"/>
          <w:sz w:val="24"/>
          <w:szCs w:val="24"/>
        </w:rPr>
      </w:pPr>
      <w:r w:rsidRPr="00C96268">
        <w:rPr>
          <w:rFonts w:ascii="Times New Roman" w:hAnsi="Times New Roman" w:cs="Times New Roman"/>
          <w:b/>
          <w:bCs/>
          <w:sz w:val="24"/>
          <w:szCs w:val="24"/>
        </w:rPr>
        <w:t>całkowitego podatku wyrównawczego od niedostatecznie opodatkowanych zysków (całkowitego podatku UTPR)</w:t>
      </w:r>
      <w:r w:rsidRPr="00C96268">
        <w:rPr>
          <w:rFonts w:ascii="Times New Roman" w:hAnsi="Times New Roman" w:cs="Times New Roman"/>
          <w:sz w:val="24"/>
          <w:szCs w:val="24"/>
        </w:rPr>
        <w:t xml:space="preserve"> w odniesieniu do wszystkich nisko opodatkowanych jednostek składowych grupy międzynarodowej, jak również </w:t>
      </w:r>
    </w:p>
    <w:p w14:paraId="77AE6EA6" w14:textId="6EF0D60B" w:rsidR="006C6FE0" w:rsidRPr="00C96268" w:rsidRDefault="006C6FE0" w:rsidP="002C7467">
      <w:pPr>
        <w:pStyle w:val="Akapitzlist"/>
        <w:numPr>
          <w:ilvl w:val="3"/>
          <w:numId w:val="66"/>
        </w:numPr>
        <w:spacing w:after="120" w:line="252" w:lineRule="auto"/>
        <w:ind w:left="709" w:hanging="283"/>
        <w:jc w:val="both"/>
        <w:rPr>
          <w:rFonts w:ascii="Times New Roman" w:hAnsi="Times New Roman" w:cs="Times New Roman"/>
          <w:sz w:val="24"/>
          <w:szCs w:val="24"/>
        </w:rPr>
      </w:pPr>
      <w:r w:rsidRPr="00C96268">
        <w:rPr>
          <w:rFonts w:ascii="Times New Roman" w:hAnsi="Times New Roman" w:cs="Times New Roman"/>
          <w:sz w:val="24"/>
          <w:szCs w:val="24"/>
        </w:rPr>
        <w:t xml:space="preserve">tzw. </w:t>
      </w:r>
      <w:r w:rsidRPr="00C96268">
        <w:rPr>
          <w:rFonts w:ascii="Times New Roman" w:hAnsi="Times New Roman" w:cs="Times New Roman"/>
          <w:b/>
          <w:bCs/>
          <w:sz w:val="24"/>
          <w:szCs w:val="24"/>
        </w:rPr>
        <w:t>udziału dla Rzeczypospolitej Polskiej</w:t>
      </w:r>
      <w:r w:rsidRPr="00C96268">
        <w:rPr>
          <w:rFonts w:ascii="Times New Roman" w:hAnsi="Times New Roman" w:cs="Times New Roman"/>
          <w:sz w:val="24"/>
          <w:szCs w:val="24"/>
        </w:rPr>
        <w:t xml:space="preserve">, tj. określonej procentowo części podatku UTPR przydzielonego Rzeczypospolitej Polskiej w oparciu o liczbę pracowników </w:t>
      </w:r>
      <w:r w:rsidRPr="00C96268">
        <w:rPr>
          <w:rFonts w:ascii="Times New Roman" w:hAnsi="Times New Roman" w:cs="Times New Roman"/>
          <w:sz w:val="24"/>
          <w:szCs w:val="24"/>
        </w:rPr>
        <w:br/>
        <w:t xml:space="preserve">i wartość aktywów w </w:t>
      </w:r>
      <w:r w:rsidR="009B2A90" w:rsidRPr="00C96268">
        <w:rPr>
          <w:rFonts w:ascii="Times New Roman" w:hAnsi="Times New Roman" w:cs="Times New Roman"/>
          <w:sz w:val="24"/>
          <w:szCs w:val="24"/>
        </w:rPr>
        <w:t>tej jurysdykcji</w:t>
      </w:r>
      <w:r w:rsidRPr="00C96268">
        <w:rPr>
          <w:rFonts w:ascii="Times New Roman" w:hAnsi="Times New Roman" w:cs="Times New Roman"/>
          <w:sz w:val="24"/>
          <w:szCs w:val="24"/>
        </w:rPr>
        <w:t>.</w:t>
      </w:r>
    </w:p>
    <w:p w14:paraId="79D7C771" w14:textId="77777777" w:rsidR="006C6FE0" w:rsidRPr="00C96268" w:rsidRDefault="006C6FE0" w:rsidP="006C6FE0">
      <w:pPr>
        <w:spacing w:after="120"/>
        <w:jc w:val="both"/>
        <w:rPr>
          <w:rFonts w:ascii="Times New Roman" w:hAnsi="Times New Roman" w:cs="Times New Roman"/>
          <w:bCs/>
          <w:iCs/>
          <w:sz w:val="24"/>
          <w:szCs w:val="24"/>
        </w:rPr>
      </w:pPr>
      <w:r w:rsidRPr="00C96268">
        <w:rPr>
          <w:rFonts w:ascii="Times New Roman" w:hAnsi="Times New Roman" w:cs="Times New Roman"/>
          <w:sz w:val="24"/>
          <w:szCs w:val="24"/>
        </w:rPr>
        <w:t xml:space="preserve">Zadanie obliczenia ww. kwot może być utrudnione dla danej jednostki składowej, biorąc pod uwagę, że dotyczy ono całej grupy międzynarodowej. </w:t>
      </w:r>
      <w:r w:rsidRPr="00C96268">
        <w:rPr>
          <w:rFonts w:ascii="Times New Roman" w:hAnsi="Times New Roman" w:cs="Times New Roman"/>
          <w:bCs/>
          <w:iCs/>
          <w:sz w:val="24"/>
          <w:szCs w:val="24"/>
        </w:rPr>
        <w:t xml:space="preserve">Proces obliczeń wymaga zatem koordynacji na poziomie grupy i w ramach sporządzania Informacji GloBE. </w:t>
      </w:r>
    </w:p>
    <w:p w14:paraId="660B450A" w14:textId="19B85F06"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Stosownie do koncepcji wynikającej z Zasad GloBE całkowity podatek UTPR przydziela się poszczególnym </w:t>
      </w:r>
      <w:r w:rsidR="009B2A90" w:rsidRPr="00C96268">
        <w:rPr>
          <w:rFonts w:ascii="Times New Roman" w:hAnsi="Times New Roman" w:cs="Times New Roman"/>
          <w:sz w:val="24"/>
          <w:szCs w:val="24"/>
        </w:rPr>
        <w:t xml:space="preserve">jurysdykcjom </w:t>
      </w:r>
      <w:r w:rsidRPr="00C96268">
        <w:rPr>
          <w:rFonts w:ascii="Times New Roman" w:hAnsi="Times New Roman" w:cs="Times New Roman"/>
          <w:sz w:val="24"/>
          <w:szCs w:val="24"/>
        </w:rPr>
        <w:t>(w tym przypadku Rzecz</w:t>
      </w:r>
      <w:r w:rsidR="00A3072D" w:rsidRPr="00C96268">
        <w:rPr>
          <w:rFonts w:ascii="Times New Roman" w:hAnsi="Times New Roman" w:cs="Times New Roman"/>
          <w:sz w:val="24"/>
          <w:szCs w:val="24"/>
        </w:rPr>
        <w:t>y</w:t>
      </w:r>
      <w:r w:rsidRPr="00C96268">
        <w:rPr>
          <w:rFonts w:ascii="Times New Roman" w:hAnsi="Times New Roman" w:cs="Times New Roman"/>
          <w:sz w:val="24"/>
          <w:szCs w:val="24"/>
        </w:rPr>
        <w:t xml:space="preserve">pospolitej Polskiej). Na gruncie Zasad GloBE pozostawia się swobodę poszczególnym </w:t>
      </w:r>
      <w:r w:rsidR="009B2A90" w:rsidRPr="00C96268">
        <w:rPr>
          <w:rFonts w:ascii="Times New Roman" w:hAnsi="Times New Roman" w:cs="Times New Roman"/>
          <w:sz w:val="24"/>
          <w:szCs w:val="24"/>
        </w:rPr>
        <w:t>jurysdykcjom</w:t>
      </w:r>
      <w:r w:rsidRPr="00C96268">
        <w:rPr>
          <w:rFonts w:ascii="Times New Roman" w:hAnsi="Times New Roman" w:cs="Times New Roman"/>
          <w:sz w:val="24"/>
          <w:szCs w:val="24"/>
        </w:rPr>
        <w:t xml:space="preserve">, w jaki sposób dokonać dalszej alokacji - z poziomu </w:t>
      </w:r>
      <w:r w:rsidR="009B2A90" w:rsidRPr="00C96268">
        <w:rPr>
          <w:rFonts w:ascii="Times New Roman" w:hAnsi="Times New Roman" w:cs="Times New Roman"/>
          <w:sz w:val="24"/>
          <w:szCs w:val="24"/>
        </w:rPr>
        <w:t xml:space="preserve">całej jurysdykcji </w:t>
      </w:r>
      <w:r w:rsidRPr="00C96268">
        <w:rPr>
          <w:rFonts w:ascii="Times New Roman" w:hAnsi="Times New Roman" w:cs="Times New Roman"/>
          <w:sz w:val="24"/>
          <w:szCs w:val="24"/>
        </w:rPr>
        <w:t>-  pomiędzy poszczególne jednostki składowe</w:t>
      </w:r>
      <w:r w:rsidR="00E407AA" w:rsidRPr="00C96268">
        <w:rPr>
          <w:rFonts w:ascii="Times New Roman" w:hAnsi="Times New Roman" w:cs="Times New Roman"/>
          <w:sz w:val="24"/>
          <w:szCs w:val="24"/>
        </w:rPr>
        <w:t xml:space="preserve"> danej grupy</w:t>
      </w:r>
      <w:r w:rsidR="00ED00FA" w:rsidRPr="00C96268">
        <w:rPr>
          <w:rFonts w:ascii="Times New Roman" w:hAnsi="Times New Roman" w:cs="Times New Roman"/>
          <w:sz w:val="24"/>
          <w:szCs w:val="24"/>
        </w:rPr>
        <w:t xml:space="preserve"> [Komentarz 2.4.1; 51]</w:t>
      </w:r>
      <w:r w:rsidRPr="00C96268">
        <w:rPr>
          <w:rFonts w:ascii="Times New Roman" w:hAnsi="Times New Roman" w:cs="Times New Roman"/>
          <w:sz w:val="24"/>
          <w:szCs w:val="24"/>
        </w:rPr>
        <w:t xml:space="preserve">. Stosownie do tego, zgodnie z </w:t>
      </w:r>
      <w:r w:rsidRPr="00C96268">
        <w:rPr>
          <w:rFonts w:ascii="Times New Roman" w:hAnsi="Times New Roman" w:cs="Times New Roman"/>
          <w:b/>
          <w:bCs/>
          <w:sz w:val="24"/>
          <w:szCs w:val="24"/>
        </w:rPr>
        <w:t>art. 34 ust. 2</w:t>
      </w:r>
      <w:r w:rsidRPr="00C96268">
        <w:rPr>
          <w:rFonts w:ascii="Times New Roman" w:hAnsi="Times New Roman" w:cs="Times New Roman"/>
          <w:sz w:val="24"/>
          <w:szCs w:val="24"/>
        </w:rPr>
        <w:t xml:space="preserve"> uregulowano, iż na podatnikach podatku UTPR</w:t>
      </w:r>
      <w:r w:rsidR="00E407AA" w:rsidRPr="00C96268">
        <w:rPr>
          <w:rFonts w:ascii="Times New Roman" w:hAnsi="Times New Roman" w:cs="Times New Roman"/>
          <w:sz w:val="24"/>
          <w:szCs w:val="24"/>
        </w:rPr>
        <w:t xml:space="preserve"> danej grupy</w:t>
      </w:r>
      <w:r w:rsidRPr="00C96268">
        <w:rPr>
          <w:rFonts w:ascii="Times New Roman" w:hAnsi="Times New Roman" w:cs="Times New Roman"/>
          <w:sz w:val="24"/>
          <w:szCs w:val="24"/>
        </w:rPr>
        <w:t xml:space="preserve"> ciąży solidarne zobowiązanie do zapłaty podatku wyrównawczego od niedostatecznie opodatkowanych zysków dla Rzeczypospolitej Polskiej</w:t>
      </w:r>
      <w:r w:rsidR="00E407AA" w:rsidRPr="00C96268">
        <w:rPr>
          <w:rFonts w:ascii="Times New Roman" w:hAnsi="Times New Roman" w:cs="Times New Roman"/>
          <w:sz w:val="24"/>
          <w:szCs w:val="24"/>
        </w:rPr>
        <w:t xml:space="preserve"> obliczonego dla tej grupy</w:t>
      </w:r>
      <w:r w:rsidRPr="00C96268">
        <w:rPr>
          <w:rFonts w:ascii="Times New Roman" w:hAnsi="Times New Roman" w:cs="Times New Roman"/>
          <w:sz w:val="24"/>
          <w:szCs w:val="24"/>
        </w:rPr>
        <w:t>. Każdy podatnik wykaże zatem w zeznaniu lokalnym, o którym mowa w przepisach administracyjnych (</w:t>
      </w:r>
      <w:r w:rsidRPr="00C96268">
        <w:rPr>
          <w:rFonts w:ascii="Times New Roman" w:hAnsi="Times New Roman" w:cs="Times New Roman"/>
          <w:b/>
          <w:bCs/>
          <w:sz w:val="24"/>
          <w:szCs w:val="24"/>
        </w:rPr>
        <w:t>dział XI</w:t>
      </w:r>
      <w:r w:rsidRPr="00C96268">
        <w:rPr>
          <w:rFonts w:ascii="Times New Roman" w:hAnsi="Times New Roman" w:cs="Times New Roman"/>
          <w:sz w:val="24"/>
          <w:szCs w:val="24"/>
        </w:rPr>
        <w:t>) pełną kwotę podatku UTPR (tj. dla Rzeczypospolitej Polskiej). Podatnicy mogą jednak dokonać uzgodnień wewnętrznych</w:t>
      </w:r>
      <w:r w:rsidR="00E407AA" w:rsidRPr="00C96268">
        <w:rPr>
          <w:rFonts w:ascii="Times New Roman" w:hAnsi="Times New Roman" w:cs="Times New Roman"/>
          <w:sz w:val="24"/>
          <w:szCs w:val="24"/>
        </w:rPr>
        <w:t xml:space="preserve"> w ramach danej grupy</w:t>
      </w:r>
      <w:r w:rsidRPr="00C96268">
        <w:rPr>
          <w:rFonts w:ascii="Times New Roman" w:hAnsi="Times New Roman" w:cs="Times New Roman"/>
          <w:sz w:val="24"/>
          <w:szCs w:val="24"/>
        </w:rPr>
        <w:t xml:space="preserve">, według jakiej metodologii dzielą zobowiązanie pomiędzy siebie (np. według kwalifikowanego dochodu, substratu majątkowo-osobowego lub innego dowolnego kryterium). Każdy z podatników może rozliczyć zobowiązanie w uzgodnionej części lub jeden z podatników może pokryć zobowiązanie w całości. Stosownie do powyższego, organy podatkowe mogą dokonać egzekucji w wobec jednego podatnika w odniesieniu do całej kwoty podatku (podatnik ten może mieć w takiej sytuacji roszczenia regresowe wobec innych podatników) albo też mogą dokonać egzekucji wobec każdego podatnika w odniesieniu do określonej części podatku. </w:t>
      </w:r>
    </w:p>
    <w:p w14:paraId="59648EBC" w14:textId="77777777" w:rsidR="006C6FE0" w:rsidRPr="00C96268" w:rsidRDefault="006C6FE0" w:rsidP="006C6FE0">
      <w:pPr>
        <w:pStyle w:val="Nagwek5"/>
        <w:rPr>
          <w:rFonts w:ascii="Times New Roman" w:hAnsi="Times New Roman" w:cs="Times New Roman"/>
          <w:sz w:val="24"/>
          <w:szCs w:val="24"/>
        </w:rPr>
      </w:pPr>
      <w:r w:rsidRPr="00C96268">
        <w:rPr>
          <w:rFonts w:ascii="Times New Roman" w:hAnsi="Times New Roman" w:cs="Times New Roman"/>
          <w:sz w:val="24"/>
          <w:szCs w:val="24"/>
        </w:rPr>
        <w:t>Art. 35 [Całkowity podatek UTPR]</w:t>
      </w:r>
    </w:p>
    <w:p w14:paraId="01C4B70A"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Sposób obliczania całkowitego podatku UTPR i jego przydzielania uregulowany jest w </w:t>
      </w:r>
      <w:r w:rsidRPr="00C96268">
        <w:rPr>
          <w:rFonts w:ascii="Times New Roman" w:hAnsi="Times New Roman" w:cs="Times New Roman"/>
          <w:b/>
          <w:bCs/>
          <w:sz w:val="24"/>
          <w:szCs w:val="24"/>
        </w:rPr>
        <w:t>art. 14 Dyrektywy</w:t>
      </w:r>
      <w:r w:rsidRPr="00C96268">
        <w:rPr>
          <w:rFonts w:ascii="Times New Roman" w:hAnsi="Times New Roman" w:cs="Times New Roman"/>
          <w:sz w:val="24"/>
          <w:szCs w:val="24"/>
        </w:rPr>
        <w:t xml:space="preserve">. Jego odpowiednikiem jest </w:t>
      </w:r>
      <w:r w:rsidRPr="00C96268">
        <w:rPr>
          <w:rFonts w:ascii="Times New Roman" w:hAnsi="Times New Roman" w:cs="Times New Roman"/>
          <w:b/>
          <w:bCs/>
          <w:sz w:val="24"/>
          <w:szCs w:val="24"/>
        </w:rPr>
        <w:t>art. 35 oraz 36</w:t>
      </w:r>
      <w:r w:rsidRPr="00C96268">
        <w:rPr>
          <w:rFonts w:ascii="Times New Roman" w:hAnsi="Times New Roman" w:cs="Times New Roman"/>
          <w:sz w:val="24"/>
          <w:szCs w:val="24"/>
        </w:rPr>
        <w:t xml:space="preserve"> projektu. </w:t>
      </w:r>
    </w:p>
    <w:p w14:paraId="72AEADF5"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Zgodnie z </w:t>
      </w:r>
      <w:r w:rsidRPr="00C96268">
        <w:rPr>
          <w:rFonts w:ascii="Times New Roman" w:hAnsi="Times New Roman" w:cs="Times New Roman"/>
          <w:b/>
          <w:bCs/>
          <w:sz w:val="24"/>
          <w:szCs w:val="24"/>
        </w:rPr>
        <w:t>art. 35 ust. 1</w:t>
      </w:r>
      <w:r w:rsidRPr="00C96268">
        <w:rPr>
          <w:rFonts w:ascii="Times New Roman" w:hAnsi="Times New Roman" w:cs="Times New Roman"/>
          <w:sz w:val="24"/>
          <w:szCs w:val="24"/>
        </w:rPr>
        <w:t xml:space="preserve"> całkowity podatek UTPR jest równy sumie, odpowiednio, kwot jednostkowego globalnego podatku wyrównawczego nisko opodatkowanych jednostek składowych grupy międzynarodowej i odpowiednio kwot kwalifikowanego globalnego podatku wyrównawczego przypadających na takie jednostki tej grupy, z zastrzeżeniem </w:t>
      </w:r>
      <w:r w:rsidRPr="00C96268">
        <w:rPr>
          <w:rFonts w:ascii="Times New Roman" w:hAnsi="Times New Roman" w:cs="Times New Roman"/>
          <w:b/>
          <w:bCs/>
          <w:sz w:val="24"/>
          <w:szCs w:val="24"/>
        </w:rPr>
        <w:t>art. 22 ust. 4</w:t>
      </w:r>
      <w:r w:rsidRPr="00C96268">
        <w:rPr>
          <w:rFonts w:ascii="Times New Roman" w:hAnsi="Times New Roman" w:cs="Times New Roman"/>
          <w:sz w:val="24"/>
          <w:szCs w:val="24"/>
        </w:rPr>
        <w:t xml:space="preserve">. W tym ostatnim przypadku chodzi o nadwyżkę pozostałą po rozliczeniu globalnego podatku wyrównawczego grupy joint venture. Regulacja ta stanowi implementację art. 14.2 Dyrektywy. </w:t>
      </w:r>
    </w:p>
    <w:p w14:paraId="32547A1B"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 kolei </w:t>
      </w:r>
      <w:r w:rsidRPr="00C96268">
        <w:rPr>
          <w:rFonts w:ascii="Times New Roman" w:hAnsi="Times New Roman" w:cs="Times New Roman"/>
          <w:b/>
          <w:bCs/>
          <w:sz w:val="24"/>
          <w:szCs w:val="24"/>
        </w:rPr>
        <w:t>ust. 2 oraz ust. 3</w:t>
      </w:r>
      <w:r w:rsidRPr="00C96268">
        <w:rPr>
          <w:rFonts w:ascii="Times New Roman" w:hAnsi="Times New Roman" w:cs="Times New Roman"/>
          <w:sz w:val="24"/>
          <w:szCs w:val="24"/>
        </w:rPr>
        <w:t xml:space="preserve"> omawianego artykułu implementują odpowiednio art. 14.3 i 14.4 Dyrektywy. I tak, przepis </w:t>
      </w:r>
      <w:r w:rsidRPr="00C96268">
        <w:rPr>
          <w:rFonts w:ascii="Times New Roman" w:hAnsi="Times New Roman" w:cs="Times New Roman"/>
          <w:b/>
          <w:bCs/>
          <w:sz w:val="24"/>
          <w:szCs w:val="24"/>
        </w:rPr>
        <w:t xml:space="preserve">art. 35 ust. 2 </w:t>
      </w:r>
      <w:r w:rsidRPr="00C96268">
        <w:rPr>
          <w:rFonts w:ascii="Times New Roman" w:hAnsi="Times New Roman" w:cs="Times New Roman"/>
          <w:sz w:val="24"/>
          <w:szCs w:val="24"/>
        </w:rPr>
        <w:t>stanowi, iż w sumie całkowitego podatek wyrównawczy od niedostatecznie opodatkowanych zysków jednostki składowej za rok podatkowy nie uwzględnia się kwot dotyczących danej nisko opodatkowanej jednostki składowej, jeżeli za ten rok podatkowy w tej jednostce składowej wszystkie udziały własnościowe UPE znajdują się w bezpośrednim lub pośrednim posiadaniu co najmniej jednej jednostki dominującej, która:</w:t>
      </w:r>
    </w:p>
    <w:p w14:paraId="6DDD3027" w14:textId="77777777" w:rsidR="006C6FE0" w:rsidRPr="00C96268" w:rsidRDefault="006C6FE0" w:rsidP="002C7467">
      <w:pPr>
        <w:pStyle w:val="Akapitzlist"/>
        <w:numPr>
          <w:ilvl w:val="0"/>
          <w:numId w:val="97"/>
        </w:numPr>
        <w:spacing w:after="120" w:line="252"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jest podatnikiem globalnego podatku wyrównawczego (czyli jest to odpowiednia jednostka dominująca </w:t>
      </w:r>
      <w:r w:rsidRPr="00C96268">
        <w:rPr>
          <w:rFonts w:ascii="Times New Roman" w:hAnsi="Times New Roman" w:cs="Times New Roman"/>
          <w:iCs/>
          <w:sz w:val="24"/>
          <w:szCs w:val="24"/>
        </w:rPr>
        <w:t>zlokalizowana</w:t>
      </w:r>
      <w:r w:rsidRPr="00C96268">
        <w:rPr>
          <w:rFonts w:ascii="Times New Roman" w:hAnsi="Times New Roman" w:cs="Times New Roman"/>
          <w:sz w:val="24"/>
          <w:szCs w:val="24"/>
        </w:rPr>
        <w:t xml:space="preserve"> na terytorium RP), albo; </w:t>
      </w:r>
    </w:p>
    <w:p w14:paraId="598D39E8" w14:textId="274FEC92" w:rsidR="006C6FE0" w:rsidRPr="00C96268" w:rsidRDefault="006C6FE0" w:rsidP="002C7467">
      <w:pPr>
        <w:pStyle w:val="Akapitzlist"/>
        <w:numPr>
          <w:ilvl w:val="0"/>
          <w:numId w:val="97"/>
        </w:numPr>
        <w:spacing w:after="120" w:line="252"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jest podobnym podatnikiem w </w:t>
      </w:r>
      <w:r w:rsidR="009B2A90" w:rsidRPr="00C96268">
        <w:rPr>
          <w:rFonts w:ascii="Times New Roman" w:hAnsi="Times New Roman" w:cs="Times New Roman"/>
          <w:sz w:val="24"/>
          <w:szCs w:val="24"/>
        </w:rPr>
        <w:t>innej jurysdykcji</w:t>
      </w:r>
      <w:r w:rsidRPr="00C96268">
        <w:rPr>
          <w:rFonts w:ascii="Times New Roman" w:hAnsi="Times New Roman" w:cs="Times New Roman"/>
          <w:sz w:val="24"/>
          <w:szCs w:val="24"/>
        </w:rPr>
        <w:t>, które wdrożyło Zasadę IIR, tj. zagraniczna jednostka dominująca stosuje kwalifikowaną zasadę włączenia dochodu do opodatkowania w odniesieniu do tej jednostki składowej.</w:t>
      </w:r>
    </w:p>
    <w:p w14:paraId="19F36F4C" w14:textId="77777777" w:rsidR="006C6FE0" w:rsidRPr="00C96268" w:rsidRDefault="006C6FE0" w:rsidP="006C6FE0">
      <w:pPr>
        <w:spacing w:after="120" w:line="252"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Zgodnie natomiast z </w:t>
      </w:r>
      <w:r w:rsidRPr="00C96268">
        <w:rPr>
          <w:rFonts w:ascii="Times New Roman" w:hAnsi="Times New Roman" w:cs="Times New Roman"/>
          <w:b/>
          <w:bCs/>
          <w:sz w:val="24"/>
          <w:szCs w:val="24"/>
        </w:rPr>
        <w:t>art. 35 ust. 3</w:t>
      </w:r>
      <w:r w:rsidRPr="00C96268">
        <w:rPr>
          <w:rFonts w:ascii="Times New Roman" w:hAnsi="Times New Roman" w:cs="Times New Roman"/>
          <w:sz w:val="24"/>
          <w:szCs w:val="24"/>
        </w:rPr>
        <w:t xml:space="preserve">, w przypadku uwzględnienia danej nisko opodatkowanej jednostki składowej w sumie wyznaczającej całkowity podatek UTPR, sumę tę pomniejsza się o udziałowy globalny podatek wyrównawczy lub kwalifikowany globalny podatek wyrównawczy, zapłacony przez jednostkę dominującą zgodnie z posiadanym udziałem procentowym w tej jednostce. </w:t>
      </w:r>
    </w:p>
    <w:p w14:paraId="2B016D4F"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Powyższe przepisy stanowią odzwierciedlenie zasady, zgodnie z którą podatek UTPR jest komplementarny względem podatku IIR, a tym samym służy eliminowaniu podwójnego opodatkowania poprzez uwzględnienie w ramach obliczania podatku UPTR podatku należnego w wyniku stosowania metody priorytetowej (Zasady IIR). </w:t>
      </w:r>
    </w:p>
    <w:p w14:paraId="70CB3A1A"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Także w sytuacji, gdy wszystkie udziały własnościowe UPE w danej nisko opodatkowanej jednostce składowej są posiadane poprzez różne jednostki dominujące zobowiązane do stosowania Zasady IIR, nie zostanie wówczas przydzielony podatek UTPR w odniesieniu do takiej nisko opodatkowanej jednostki składowej.</w:t>
      </w:r>
    </w:p>
    <w:p w14:paraId="3F80DF72" w14:textId="11280A21"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Nie chodzi w tym przypadku o faktycznie opłacany globalny podatek wyrównawczy lub kwalifikowany globalny podatek wyrównawczy; wystarczające jest jego przypisanie do jednostki dominującej, która zgodnie z przepisami </w:t>
      </w:r>
      <w:r w:rsidR="009B2A90" w:rsidRPr="00C96268">
        <w:rPr>
          <w:rFonts w:ascii="Times New Roman" w:hAnsi="Times New Roman" w:cs="Times New Roman"/>
          <w:sz w:val="24"/>
          <w:szCs w:val="24"/>
        </w:rPr>
        <w:t xml:space="preserve">danej jurysdykcji </w:t>
      </w:r>
      <w:r w:rsidRPr="00C96268">
        <w:rPr>
          <w:rFonts w:ascii="Times New Roman" w:hAnsi="Times New Roman" w:cs="Times New Roman"/>
          <w:sz w:val="24"/>
          <w:szCs w:val="24"/>
        </w:rPr>
        <w:t xml:space="preserve">jest zobowiązana do stosowania Zasady IIR.  </w:t>
      </w:r>
    </w:p>
    <w:p w14:paraId="4E08F6C0"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To, czy w całkowitym podatku UTPR nie uwzględnia się, zgodnie z </w:t>
      </w:r>
      <w:r w:rsidRPr="00C96268">
        <w:rPr>
          <w:rFonts w:ascii="Times New Roman" w:hAnsi="Times New Roman" w:cs="Times New Roman"/>
          <w:b/>
          <w:bCs/>
          <w:sz w:val="24"/>
          <w:szCs w:val="24"/>
        </w:rPr>
        <w:t>art. 35 ust. 2</w:t>
      </w:r>
      <w:r w:rsidRPr="00C96268">
        <w:rPr>
          <w:rFonts w:ascii="Times New Roman" w:hAnsi="Times New Roman" w:cs="Times New Roman"/>
          <w:sz w:val="24"/>
          <w:szCs w:val="24"/>
        </w:rPr>
        <w:t>,  kwoty podatku dla danej nisko opodatkowanej jednostki składowej czy też sumę odpowiednio pomniejsza się,  jest ustalane indywidualnie w odniesieniu do każdej takiej jednostki (</w:t>
      </w:r>
      <w:r w:rsidRPr="00C96268">
        <w:rPr>
          <w:rFonts w:ascii="Times New Roman" w:hAnsi="Times New Roman" w:cs="Times New Roman"/>
          <w:i/>
          <w:iCs/>
          <w:sz w:val="24"/>
          <w:szCs w:val="24"/>
        </w:rPr>
        <w:t>on an entity-by-entity basis</w:t>
      </w:r>
      <w:r w:rsidRPr="00C96268">
        <w:rPr>
          <w:rFonts w:ascii="Times New Roman" w:hAnsi="Times New Roman" w:cs="Times New Roman"/>
          <w:sz w:val="24"/>
          <w:szCs w:val="24"/>
        </w:rPr>
        <w:t xml:space="preserve">), w której udziały posiada (bezpośrednio lub pośrednio) jednostka zobowiązana do stosowania Zasady IIR. </w:t>
      </w:r>
    </w:p>
    <w:p w14:paraId="48EEF186" w14:textId="40F852FE"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Należy pamiętać, iż na podstawie przepisów w zakresie bezpiecznych przystani, obliczając całkowity  podatek UTPR bierze się pod uwagę nie tylko podatek pobierany w związku z zastosowaniem Zasady IIR, ale również funkcjonujący w </w:t>
      </w:r>
      <w:r w:rsidR="009B2A90" w:rsidRPr="00C96268">
        <w:rPr>
          <w:rFonts w:ascii="Times New Roman" w:hAnsi="Times New Roman" w:cs="Times New Roman"/>
          <w:sz w:val="24"/>
          <w:szCs w:val="24"/>
        </w:rPr>
        <w:t xml:space="preserve">danej jurysdykcji </w:t>
      </w:r>
      <w:r w:rsidRPr="00C96268">
        <w:rPr>
          <w:rFonts w:ascii="Times New Roman" w:hAnsi="Times New Roman" w:cs="Times New Roman"/>
          <w:sz w:val="24"/>
          <w:szCs w:val="24"/>
        </w:rPr>
        <w:t xml:space="preserve">kwalifikowany krajowy podatek wyrównawczy (QDMTT) albo krajowy podatek wyrównawczy funkcjonujący w Polsce. </w:t>
      </w:r>
      <w:r w:rsidR="009B2A90" w:rsidRPr="00C96268">
        <w:rPr>
          <w:rFonts w:ascii="Times New Roman" w:hAnsi="Times New Roman" w:cs="Times New Roman"/>
          <w:sz w:val="24"/>
          <w:szCs w:val="24"/>
        </w:rPr>
        <w:t>Dana jurysdykcja</w:t>
      </w:r>
      <w:r w:rsidRPr="00C96268">
        <w:rPr>
          <w:rFonts w:ascii="Times New Roman" w:hAnsi="Times New Roman" w:cs="Times New Roman"/>
          <w:sz w:val="24"/>
          <w:szCs w:val="24"/>
        </w:rPr>
        <w:t xml:space="preserve">, podobnie jak </w:t>
      </w:r>
      <w:r w:rsidR="009B2A90" w:rsidRPr="00C96268">
        <w:rPr>
          <w:rFonts w:ascii="Times New Roman" w:hAnsi="Times New Roman" w:cs="Times New Roman"/>
          <w:sz w:val="24"/>
          <w:szCs w:val="24"/>
        </w:rPr>
        <w:t xml:space="preserve">Rzeczpospolita </w:t>
      </w:r>
      <w:r w:rsidRPr="00C96268">
        <w:rPr>
          <w:rFonts w:ascii="Times New Roman" w:hAnsi="Times New Roman" w:cs="Times New Roman"/>
          <w:sz w:val="24"/>
          <w:szCs w:val="24"/>
        </w:rPr>
        <w:t xml:space="preserve">Polska, może bowiem zdecydować o niestosowaniu Zasady IIR do własnych jednostek składowych, jeżeli opodatkowuje je kwalifikowanym krajowym podatkiem wyrównawczym (QDMTT). Prowadzi to do tego samego rezultatu co przepis art. 14.2 Dyrektywy. W takiej sytuacji, w przypadku dokonania wyboru z zgodnie z </w:t>
      </w:r>
      <w:r w:rsidRPr="00C96268">
        <w:rPr>
          <w:rFonts w:ascii="Times New Roman" w:hAnsi="Times New Roman" w:cs="Times New Roman"/>
          <w:b/>
          <w:bCs/>
          <w:sz w:val="24"/>
          <w:szCs w:val="24"/>
        </w:rPr>
        <w:t>art. 125</w:t>
      </w:r>
      <w:r w:rsidRPr="00C96268">
        <w:rPr>
          <w:rFonts w:ascii="Times New Roman" w:hAnsi="Times New Roman" w:cs="Times New Roman"/>
          <w:sz w:val="24"/>
          <w:szCs w:val="24"/>
        </w:rPr>
        <w:t xml:space="preserve"> (QDMTT Safe Harbour w odniesieniu do </w:t>
      </w:r>
      <w:r w:rsidR="009B2A90" w:rsidRPr="00C96268">
        <w:rPr>
          <w:rFonts w:ascii="Times New Roman" w:hAnsi="Times New Roman" w:cs="Times New Roman"/>
          <w:sz w:val="24"/>
          <w:szCs w:val="24"/>
        </w:rPr>
        <w:t>danej jurysdykcji</w:t>
      </w:r>
      <w:r w:rsidRPr="00C96268">
        <w:rPr>
          <w:rFonts w:ascii="Times New Roman" w:hAnsi="Times New Roman" w:cs="Times New Roman"/>
          <w:sz w:val="24"/>
          <w:szCs w:val="24"/>
        </w:rPr>
        <w:t xml:space="preserve">), nie uwzględnia się jednostkowych kwot globalnego podatku dla jednostek składowych z </w:t>
      </w:r>
      <w:r w:rsidR="009B2A90" w:rsidRPr="00C96268">
        <w:rPr>
          <w:rFonts w:ascii="Times New Roman" w:hAnsi="Times New Roman" w:cs="Times New Roman"/>
          <w:sz w:val="24"/>
          <w:szCs w:val="24"/>
        </w:rPr>
        <w:t xml:space="preserve">takiej jurysdykcji </w:t>
      </w:r>
      <w:r w:rsidRPr="00C96268">
        <w:rPr>
          <w:rFonts w:ascii="Times New Roman" w:hAnsi="Times New Roman" w:cs="Times New Roman"/>
          <w:sz w:val="24"/>
          <w:szCs w:val="24"/>
        </w:rPr>
        <w:t xml:space="preserve">w całkowitym podatku UTPR. Zgodnie z </w:t>
      </w:r>
      <w:r w:rsidRPr="00C96268">
        <w:rPr>
          <w:rFonts w:ascii="Times New Roman" w:hAnsi="Times New Roman" w:cs="Times New Roman"/>
          <w:b/>
          <w:bCs/>
          <w:sz w:val="24"/>
          <w:szCs w:val="24"/>
        </w:rPr>
        <w:t>art. 35 ust. 1</w:t>
      </w:r>
      <w:r w:rsidRPr="00C96268">
        <w:rPr>
          <w:rFonts w:ascii="Times New Roman" w:hAnsi="Times New Roman" w:cs="Times New Roman"/>
          <w:sz w:val="24"/>
          <w:szCs w:val="24"/>
        </w:rPr>
        <w:t xml:space="preserve"> nie uwzględnia się także jednostek składowych zlokalizowanych na terytorium Rzeczypospolitej Polskiej, z uwagi na to, że podlegają opodatkowaniu krajowym podatkiem wyrównawczym.</w:t>
      </w:r>
    </w:p>
    <w:p w14:paraId="11B4905A" w14:textId="77777777" w:rsidR="006C6FE0" w:rsidRPr="00C96268" w:rsidRDefault="006C6FE0" w:rsidP="006C6FE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36 [Obliczanie udziału dla Rzeczypospolitej Polskiej]</w:t>
      </w:r>
    </w:p>
    <w:p w14:paraId="57128B09" w14:textId="11921C6B"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b/>
          <w:bCs/>
          <w:sz w:val="24"/>
          <w:szCs w:val="24"/>
        </w:rPr>
        <w:t>Art. 36 ust. 1</w:t>
      </w:r>
      <w:r w:rsidRPr="00C96268">
        <w:rPr>
          <w:rFonts w:ascii="Times New Roman" w:hAnsi="Times New Roman" w:cs="Times New Roman"/>
          <w:sz w:val="24"/>
          <w:szCs w:val="24"/>
        </w:rPr>
        <w:t xml:space="preserve"> implementuje art. 14.5 Dyrektywy, który określa następujący wzór na obliczenie kwoty całkowitego podatku UTPR przypadającej na </w:t>
      </w:r>
      <w:r w:rsidR="009B2A90" w:rsidRPr="00C96268">
        <w:rPr>
          <w:rFonts w:ascii="Times New Roman" w:hAnsi="Times New Roman" w:cs="Times New Roman"/>
          <w:sz w:val="24"/>
          <w:szCs w:val="24"/>
        </w:rPr>
        <w:t xml:space="preserve">daną jurysdykcję </w:t>
      </w:r>
      <w:r w:rsidRPr="00C96268">
        <w:rPr>
          <w:rFonts w:ascii="Times New Roman" w:hAnsi="Times New Roman" w:cs="Times New Roman"/>
          <w:sz w:val="24"/>
          <w:szCs w:val="24"/>
        </w:rPr>
        <w:t>(</w:t>
      </w:r>
      <w:r w:rsidRPr="00C96268">
        <w:rPr>
          <w:rFonts w:ascii="Times New Roman" w:hAnsi="Times New Roman" w:cs="Times New Roman"/>
          <w:i/>
          <w:iCs/>
          <w:sz w:val="24"/>
          <w:szCs w:val="24"/>
        </w:rPr>
        <w:t>ang. UTPR percentage</w:t>
      </w:r>
      <w:r w:rsidRPr="00C96268">
        <w:rPr>
          <w:rFonts w:ascii="Times New Roman" w:hAnsi="Times New Roman" w:cs="Times New Roman"/>
          <w:sz w:val="24"/>
          <w:szCs w:val="24"/>
        </w:rPr>
        <w:t xml:space="preserve">). </w:t>
      </w:r>
    </w:p>
    <w:p w14:paraId="7D6CB6E7"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noProof/>
          <w:sz w:val="24"/>
          <w:szCs w:val="24"/>
          <w:lang w:eastAsia="pl-PL"/>
        </w:rPr>
        <w:drawing>
          <wp:inline distT="0" distB="0" distL="0" distR="0" wp14:anchorId="67391C11" wp14:editId="14F6B2D6">
            <wp:extent cx="5760720" cy="443230"/>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60720" cy="443230"/>
                    </a:xfrm>
                    <a:prstGeom prst="rect">
                      <a:avLst/>
                    </a:prstGeom>
                    <a:noFill/>
                    <a:ln>
                      <a:noFill/>
                    </a:ln>
                  </pic:spPr>
                </pic:pic>
              </a:graphicData>
            </a:graphic>
          </wp:inline>
        </w:drawing>
      </w:r>
    </w:p>
    <w:p w14:paraId="4EB1A591" w14:textId="4C960AED"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W niniejszym projekcie pojęcie to określa się jako „</w:t>
      </w:r>
      <w:r w:rsidRPr="00C96268">
        <w:rPr>
          <w:rFonts w:ascii="Times New Roman" w:hAnsi="Times New Roman" w:cs="Times New Roman"/>
          <w:i/>
          <w:iCs/>
          <w:sz w:val="24"/>
          <w:szCs w:val="24"/>
        </w:rPr>
        <w:t>udział dla Rzeczypospolitej Polskiej</w:t>
      </w:r>
      <w:r w:rsidRPr="00C96268">
        <w:rPr>
          <w:rFonts w:ascii="Times New Roman" w:hAnsi="Times New Roman" w:cs="Times New Roman"/>
          <w:sz w:val="24"/>
          <w:szCs w:val="24"/>
        </w:rPr>
        <w:t xml:space="preserve">”. Przepis </w:t>
      </w:r>
      <w:r w:rsidRPr="00C96268">
        <w:rPr>
          <w:rFonts w:ascii="Times New Roman" w:hAnsi="Times New Roman" w:cs="Times New Roman"/>
          <w:b/>
          <w:bCs/>
          <w:sz w:val="24"/>
          <w:szCs w:val="24"/>
        </w:rPr>
        <w:t>ust. 1</w:t>
      </w:r>
      <w:r w:rsidRPr="00C96268">
        <w:rPr>
          <w:rFonts w:ascii="Times New Roman" w:hAnsi="Times New Roman" w:cs="Times New Roman"/>
          <w:sz w:val="24"/>
          <w:szCs w:val="24"/>
        </w:rPr>
        <w:t xml:space="preserve"> nieco modyfikuje zapis tego wzoru poprzez posłużenie się pojęciami (w odniesieniu do obu zawartych w nim ilorazów) „Współczynnika pracowników” i „Współczynnika aktywów”. Wzór z ust. 1 wygląda tym samym następująco: </w:t>
      </w:r>
    </w:p>
    <w:p w14:paraId="332E1465" w14:textId="09D1288F" w:rsidR="002B2F73" w:rsidRPr="00C96268" w:rsidRDefault="002B2F73" w:rsidP="006C6FE0">
      <w:pPr>
        <w:spacing w:after="120"/>
        <w:jc w:val="both"/>
        <w:rPr>
          <w:rFonts w:ascii="Times New Roman" w:hAnsi="Times New Roman" w:cs="Times New Roman"/>
          <w:sz w:val="24"/>
          <w:szCs w:val="24"/>
        </w:rPr>
      </w:pPr>
    </w:p>
    <w:p w14:paraId="10298A04" w14:textId="77777777" w:rsidR="006C6FE0" w:rsidRPr="00C0038D" w:rsidRDefault="006C6FE0" w:rsidP="006C6FE0">
      <w:pPr>
        <w:spacing w:after="120"/>
        <w:jc w:val="center"/>
        <w:rPr>
          <w:rFonts w:cstheme="minorHAnsi"/>
          <w:sz w:val="24"/>
          <w:szCs w:val="24"/>
        </w:rPr>
      </w:pPr>
      <w:r w:rsidRPr="00C0038D">
        <w:rPr>
          <w:rFonts w:cstheme="minorHAnsi"/>
          <w:i/>
          <w:iCs/>
          <w:sz w:val="24"/>
          <w:szCs w:val="24"/>
        </w:rPr>
        <w:t>udział dla Rzeczypospolitej Polskiej</w:t>
      </w:r>
    </w:p>
    <w:p w14:paraId="24A062DE" w14:textId="77777777" w:rsidR="006C6FE0" w:rsidRPr="00C0038D" w:rsidRDefault="006C6FE0" w:rsidP="006C6FE0">
      <w:pPr>
        <w:spacing w:after="120"/>
        <w:jc w:val="center"/>
        <w:rPr>
          <w:rFonts w:cstheme="minorHAnsi"/>
          <w:sz w:val="24"/>
          <w:szCs w:val="24"/>
        </w:rPr>
      </w:pPr>
      <w:r w:rsidRPr="00C0038D">
        <w:rPr>
          <w:rFonts w:cstheme="minorHAnsi"/>
          <w:sz w:val="24"/>
          <w:szCs w:val="24"/>
        </w:rPr>
        <w:t>=</w:t>
      </w:r>
    </w:p>
    <w:p w14:paraId="37FDA6F4" w14:textId="77777777" w:rsidR="006C6FE0" w:rsidRPr="00C0038D" w:rsidRDefault="006C6FE0" w:rsidP="006C6FE0">
      <w:pPr>
        <w:spacing w:after="120"/>
        <w:jc w:val="center"/>
        <w:rPr>
          <w:rFonts w:cstheme="minorHAnsi"/>
          <w:sz w:val="24"/>
          <w:szCs w:val="24"/>
        </w:rPr>
      </w:pPr>
      <w:r w:rsidRPr="00C0038D">
        <w:rPr>
          <w:rFonts w:cstheme="minorHAnsi"/>
          <w:i/>
          <w:iCs/>
          <w:sz w:val="24"/>
          <w:szCs w:val="24"/>
        </w:rPr>
        <w:t>50% x Współczynnik pracowników + 50% x Współczynnik aktywów</w:t>
      </w:r>
    </w:p>
    <w:p w14:paraId="18FAC359" w14:textId="7777777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Jednocześnie </w:t>
      </w:r>
      <w:r w:rsidRPr="00C96268">
        <w:rPr>
          <w:rFonts w:ascii="Times New Roman" w:hAnsi="Times New Roman" w:cs="Times New Roman"/>
          <w:b/>
          <w:bCs/>
          <w:sz w:val="24"/>
          <w:szCs w:val="24"/>
        </w:rPr>
        <w:t>ust. 1</w:t>
      </w:r>
      <w:r w:rsidRPr="00C96268">
        <w:rPr>
          <w:rFonts w:ascii="Times New Roman" w:hAnsi="Times New Roman" w:cs="Times New Roman"/>
          <w:sz w:val="24"/>
          <w:szCs w:val="24"/>
        </w:rPr>
        <w:t xml:space="preserve"> definiuje oba te współczynniki w sposób zgodny z Dyrektywą. </w:t>
      </w:r>
    </w:p>
    <w:p w14:paraId="6724E59A" w14:textId="64DC15B8"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I tak, </w:t>
      </w:r>
      <w:r w:rsidRPr="00C96268">
        <w:rPr>
          <w:rFonts w:ascii="Times New Roman" w:hAnsi="Times New Roman" w:cs="Times New Roman"/>
          <w:b/>
          <w:bCs/>
          <w:sz w:val="24"/>
          <w:szCs w:val="24"/>
        </w:rPr>
        <w:t>współczynnik pracowników</w:t>
      </w:r>
      <w:r w:rsidRPr="00C96268">
        <w:rPr>
          <w:rFonts w:ascii="Times New Roman" w:hAnsi="Times New Roman" w:cs="Times New Roman"/>
          <w:sz w:val="24"/>
          <w:szCs w:val="24"/>
        </w:rPr>
        <w:t xml:space="preserve"> stanowi iloraz łącznej liczby pracowników jednostek składowych grupy międzynarodowej, </w:t>
      </w:r>
      <w:r w:rsidRPr="00C96268">
        <w:rPr>
          <w:rFonts w:ascii="Times New Roman" w:hAnsi="Times New Roman" w:cs="Times New Roman"/>
          <w:iCs/>
          <w:sz w:val="24"/>
          <w:szCs w:val="24"/>
        </w:rPr>
        <w:t>zlokalizowanych</w:t>
      </w:r>
      <w:r w:rsidRPr="00C96268">
        <w:rPr>
          <w:rFonts w:ascii="Times New Roman" w:hAnsi="Times New Roman" w:cs="Times New Roman"/>
          <w:sz w:val="24"/>
          <w:szCs w:val="24"/>
        </w:rPr>
        <w:t xml:space="preserve"> na terytorium RP, do łącznej liczby pracowników jednostek składowych tej grupy </w:t>
      </w:r>
      <w:r w:rsidRPr="00C96268">
        <w:rPr>
          <w:rFonts w:ascii="Times New Roman" w:hAnsi="Times New Roman" w:cs="Times New Roman"/>
          <w:iCs/>
          <w:sz w:val="24"/>
          <w:szCs w:val="24"/>
        </w:rPr>
        <w:t xml:space="preserve">zlokalizowanych </w:t>
      </w:r>
      <w:r w:rsidRPr="00C96268">
        <w:rPr>
          <w:rFonts w:ascii="Times New Roman" w:hAnsi="Times New Roman" w:cs="Times New Roman"/>
          <w:sz w:val="24"/>
          <w:szCs w:val="24"/>
        </w:rPr>
        <w:t xml:space="preserve"> na terytorium Rzeczypospolitej Polskiej oraz w </w:t>
      </w:r>
      <w:r w:rsidR="009B2A90" w:rsidRPr="00C96268">
        <w:rPr>
          <w:rFonts w:ascii="Times New Roman" w:hAnsi="Times New Roman" w:cs="Times New Roman"/>
          <w:sz w:val="24"/>
          <w:szCs w:val="24"/>
        </w:rPr>
        <w:t>jurysdykcjach</w:t>
      </w:r>
      <w:r w:rsidRPr="00C96268">
        <w:rPr>
          <w:rFonts w:ascii="Times New Roman" w:hAnsi="Times New Roman" w:cs="Times New Roman"/>
          <w:sz w:val="24"/>
          <w:szCs w:val="24"/>
        </w:rPr>
        <w:t xml:space="preserve">, w których za rok podatkowy obowiązuje kwalifikowana zasada niedostatecznie opodatkowanych zysków. </w:t>
      </w:r>
    </w:p>
    <w:p w14:paraId="0D892E99" w14:textId="4968B263"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Natomiast </w:t>
      </w:r>
      <w:r w:rsidRPr="00C96268">
        <w:rPr>
          <w:rFonts w:ascii="Times New Roman" w:hAnsi="Times New Roman" w:cs="Times New Roman"/>
          <w:b/>
          <w:bCs/>
          <w:sz w:val="24"/>
          <w:szCs w:val="24"/>
        </w:rPr>
        <w:t>współczynnik aktywów</w:t>
      </w:r>
      <w:r w:rsidRPr="00C96268">
        <w:rPr>
          <w:rFonts w:ascii="Times New Roman" w:hAnsi="Times New Roman" w:cs="Times New Roman"/>
          <w:sz w:val="24"/>
          <w:szCs w:val="24"/>
        </w:rPr>
        <w:t xml:space="preserve"> stanowi iloraz sumy wartości księgowej netto rzeczowych aktywów trwałych wszystkich jednostek składowych grupy międzynarodowej, </w:t>
      </w:r>
      <w:r w:rsidRPr="00C96268">
        <w:rPr>
          <w:rFonts w:ascii="Times New Roman" w:hAnsi="Times New Roman" w:cs="Times New Roman"/>
          <w:iCs/>
          <w:sz w:val="24"/>
          <w:szCs w:val="24"/>
        </w:rPr>
        <w:t>zlokalizowanych</w:t>
      </w:r>
      <w:r w:rsidRPr="00C96268">
        <w:rPr>
          <w:rFonts w:ascii="Times New Roman" w:hAnsi="Times New Roman" w:cs="Times New Roman"/>
          <w:sz w:val="24"/>
          <w:szCs w:val="24"/>
        </w:rPr>
        <w:t xml:space="preserve"> na terytorium Rzeczypospolitej Polskiej, do sumy wartości księgowej netto rzeczowych aktywów trwałych wszystkich jednostek składowych tej grupy (tj. </w:t>
      </w:r>
      <w:r w:rsidRPr="00C96268">
        <w:rPr>
          <w:rFonts w:ascii="Times New Roman" w:hAnsi="Times New Roman" w:cs="Times New Roman"/>
          <w:iCs/>
          <w:sz w:val="24"/>
          <w:szCs w:val="24"/>
        </w:rPr>
        <w:t>zlokalizowanych</w:t>
      </w:r>
      <w:r w:rsidRPr="00C96268">
        <w:rPr>
          <w:rFonts w:ascii="Times New Roman" w:hAnsi="Times New Roman" w:cs="Times New Roman"/>
          <w:sz w:val="24"/>
          <w:szCs w:val="24"/>
        </w:rPr>
        <w:t xml:space="preserve"> na terytorium RP oraz w </w:t>
      </w:r>
      <w:r w:rsidR="009B2A90" w:rsidRPr="00C96268">
        <w:rPr>
          <w:rFonts w:ascii="Times New Roman" w:hAnsi="Times New Roman" w:cs="Times New Roman"/>
          <w:sz w:val="24"/>
          <w:szCs w:val="24"/>
        </w:rPr>
        <w:t>jurysdykcjach</w:t>
      </w:r>
      <w:r w:rsidRPr="00C96268">
        <w:rPr>
          <w:rFonts w:ascii="Times New Roman" w:hAnsi="Times New Roman" w:cs="Times New Roman"/>
          <w:sz w:val="24"/>
          <w:szCs w:val="24"/>
        </w:rPr>
        <w:t>, w których w danym roku podatkowym obowiązuje kwalifikowana zasada niedostatecznie opodatkowanych zysków).</w:t>
      </w:r>
    </w:p>
    <w:p w14:paraId="62CD5B67" w14:textId="77777777"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Uszczegółowienie sposobu wyliczenia udziału dla Rzeczypospolitej Polskiej, w sposób zgodny z art. 14.6 i 14.7 Dyrektywy, zawarte jest w </w:t>
      </w:r>
      <w:r w:rsidRPr="00C96268">
        <w:rPr>
          <w:rFonts w:ascii="Times New Roman" w:hAnsi="Times New Roman" w:cs="Times New Roman"/>
          <w:b/>
          <w:bCs/>
          <w:sz w:val="24"/>
          <w:szCs w:val="24"/>
        </w:rPr>
        <w:t>ust. 2</w:t>
      </w:r>
      <w:r w:rsidRPr="00C96268">
        <w:rPr>
          <w:rFonts w:ascii="Times New Roman" w:hAnsi="Times New Roman" w:cs="Times New Roman"/>
          <w:sz w:val="24"/>
          <w:szCs w:val="24"/>
        </w:rPr>
        <w:t>. Przepis ten, po pierwsze, dookreśla pojęcie pracownika dla potrzeb stosowania powyższego wzoru przeliczając zatrudnienie na pełne etaty we wszystkich jednostkach składowych w danym roku podatkowym oraz zaliczając do tego pojęcie również niezależnych zleceniobiorców, pod warunkiem że uczestniczą oni (niezależni zleceniodawcy) w zwykłej działalności operacyjnej jednostki składowej.</w:t>
      </w:r>
      <w:r w:rsidRPr="00C96268">
        <w:rPr>
          <w:rStyle w:val="Odwoanieprzypisudolnego"/>
          <w:rFonts w:ascii="Times New Roman" w:hAnsi="Times New Roman" w:cs="Times New Roman"/>
          <w:sz w:val="24"/>
          <w:szCs w:val="24"/>
        </w:rPr>
        <w:footnoteReference w:id="105"/>
      </w:r>
      <w:r w:rsidRPr="00C96268">
        <w:rPr>
          <w:rFonts w:ascii="Times New Roman" w:hAnsi="Times New Roman" w:cs="Times New Roman"/>
          <w:sz w:val="24"/>
          <w:szCs w:val="24"/>
        </w:rPr>
        <w:t xml:space="preserve">  </w:t>
      </w:r>
    </w:p>
    <w:p w14:paraId="7B38649E" w14:textId="68E675DB" w:rsidR="006C6FE0" w:rsidRPr="00C96268" w:rsidRDefault="006C6FE0" w:rsidP="006C6FE0">
      <w:pPr>
        <w:jc w:val="both"/>
        <w:rPr>
          <w:rFonts w:ascii="Times New Roman" w:hAnsi="Times New Roman" w:cs="Times New Roman"/>
          <w:sz w:val="24"/>
          <w:szCs w:val="24"/>
        </w:rPr>
      </w:pPr>
      <w:r w:rsidRPr="00C96268">
        <w:rPr>
          <w:rFonts w:ascii="Times New Roman" w:hAnsi="Times New Roman" w:cs="Times New Roman"/>
          <w:sz w:val="24"/>
          <w:szCs w:val="24"/>
        </w:rPr>
        <w:t xml:space="preserve">Definicja stosowana w odniesieniu do liczby pracowników jest zgodna z definicją przedstawioną w raporcie dotyczącym Działania 13 BEPS dla celów CbCR. W myśl tej definicji, opisanej w art. 10.1 Komentarza, liczba pracowników jest obliczana jako łączna liczba pracowników w przeliczeniu na pełne etaty i może być podawana na koniec roku, na podstawie średniego poziomu zatrudnienia w danym roku lub na dowolnej innej podstawie konsekwentnie stosowanej we wszystkich </w:t>
      </w:r>
      <w:r w:rsidR="009B2A90" w:rsidRPr="00C96268">
        <w:rPr>
          <w:rFonts w:ascii="Times New Roman" w:hAnsi="Times New Roman" w:cs="Times New Roman"/>
          <w:sz w:val="24"/>
          <w:szCs w:val="24"/>
        </w:rPr>
        <w:t xml:space="preserve">jurysdykcjach </w:t>
      </w:r>
      <w:r w:rsidRPr="00C96268">
        <w:rPr>
          <w:rFonts w:ascii="Times New Roman" w:hAnsi="Times New Roman" w:cs="Times New Roman"/>
          <w:sz w:val="24"/>
          <w:szCs w:val="24"/>
        </w:rPr>
        <w:t xml:space="preserve">i z roku na rok, pod warunkiem, że taka podstawa pozwala ocenić łączną liczbę pracowników w przeliczeniu na pełne etaty w danym roku podatkowym. Zastosowanie ekwiwalentu pełnego czasu pracy uwzględnia fakt, że pracownicy mogą być zatrudnieni przez kilka jednostek składowych lub mogą być współdzieleni między centralą i jej stałym zakładem. Uwzględnia również potencjalne, znaczące zmiany w zakresie pracowników na poziomie </w:t>
      </w:r>
      <w:r w:rsidR="009B2A90" w:rsidRPr="00C96268">
        <w:rPr>
          <w:rFonts w:ascii="Times New Roman" w:hAnsi="Times New Roman" w:cs="Times New Roman"/>
          <w:sz w:val="24"/>
          <w:szCs w:val="24"/>
        </w:rPr>
        <w:t>jurysdykcji</w:t>
      </w:r>
      <w:r w:rsidRPr="00C96268">
        <w:rPr>
          <w:rFonts w:ascii="Times New Roman" w:hAnsi="Times New Roman" w:cs="Times New Roman"/>
          <w:sz w:val="24"/>
          <w:szCs w:val="24"/>
        </w:rPr>
        <w:t xml:space="preserve">, np. z powodu restrukturyzacji. </w:t>
      </w:r>
    </w:p>
    <w:p w14:paraId="3D78F84F" w14:textId="50104BD7"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Ponadto </w:t>
      </w:r>
      <w:r w:rsidRPr="00C96268">
        <w:rPr>
          <w:rFonts w:ascii="Times New Roman" w:hAnsi="Times New Roman" w:cs="Times New Roman"/>
          <w:b/>
          <w:bCs/>
          <w:sz w:val="24"/>
          <w:szCs w:val="24"/>
        </w:rPr>
        <w:t>ust. 2</w:t>
      </w:r>
      <w:r w:rsidRPr="00C96268">
        <w:rPr>
          <w:rFonts w:ascii="Times New Roman" w:hAnsi="Times New Roman" w:cs="Times New Roman"/>
          <w:sz w:val="24"/>
          <w:szCs w:val="24"/>
        </w:rPr>
        <w:t xml:space="preserve"> uwzględnia zasadę wyrażoną w art. 14.7 Dyrektywy. W świetle </w:t>
      </w:r>
      <w:r w:rsidRPr="00C96268">
        <w:rPr>
          <w:rFonts w:ascii="Times New Roman" w:hAnsi="Times New Roman" w:cs="Times New Roman"/>
          <w:b/>
          <w:bCs/>
          <w:sz w:val="24"/>
          <w:szCs w:val="24"/>
        </w:rPr>
        <w:t>ust. 2 pkt 2</w:t>
      </w:r>
      <w:r w:rsidRPr="00C96268">
        <w:rPr>
          <w:rFonts w:ascii="Times New Roman" w:hAnsi="Times New Roman" w:cs="Times New Roman"/>
          <w:sz w:val="24"/>
          <w:szCs w:val="24"/>
        </w:rPr>
        <w:t xml:space="preserve">, liczba pracowników, którą należy przypisać do </w:t>
      </w:r>
      <w:r w:rsidR="009B2A90"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 xml:space="preserve">lokalizacji stałego zakładu, to liczba pracowników, dla których koszty wynagrodzeń są uwzględnione w sprawozdaniu finansowym tego zakładu (lub które zostałyby uwzględnione w oddzielnych księgach rachunkowych) tego stałego zakładu na tych samych zasadach, co określone w przepisach działu V, regulujących przydzielanie kwalifikowanego dochodu (straty) do stałego zakładu. Takich pracowników nie uwzględnia w liczbie pracowników przypisywanych </w:t>
      </w:r>
      <w:r w:rsidR="009B2A90" w:rsidRPr="00C96268">
        <w:rPr>
          <w:rFonts w:ascii="Times New Roman" w:hAnsi="Times New Roman" w:cs="Times New Roman"/>
          <w:sz w:val="24"/>
          <w:szCs w:val="24"/>
        </w:rPr>
        <w:t>jurysdykcji</w:t>
      </w:r>
      <w:r w:rsidRPr="00C96268">
        <w:rPr>
          <w:rFonts w:ascii="Times New Roman" w:hAnsi="Times New Roman" w:cs="Times New Roman"/>
          <w:sz w:val="24"/>
          <w:szCs w:val="24"/>
        </w:rPr>
        <w:t xml:space="preserve">, w </w:t>
      </w:r>
      <w:r w:rsidR="009B2A90" w:rsidRPr="00C96268">
        <w:rPr>
          <w:rFonts w:ascii="Times New Roman" w:hAnsi="Times New Roman" w:cs="Times New Roman"/>
          <w:sz w:val="24"/>
          <w:szCs w:val="24"/>
        </w:rPr>
        <w:t xml:space="preserve">której </w:t>
      </w:r>
      <w:r w:rsidRPr="00C96268">
        <w:rPr>
          <w:rFonts w:ascii="Times New Roman" w:hAnsi="Times New Roman" w:cs="Times New Roman"/>
          <w:sz w:val="24"/>
          <w:szCs w:val="24"/>
        </w:rPr>
        <w:t xml:space="preserve">jest </w:t>
      </w:r>
      <w:r w:rsidRPr="00C96268">
        <w:rPr>
          <w:rFonts w:ascii="Times New Roman" w:hAnsi="Times New Roman" w:cs="Times New Roman"/>
          <w:iCs/>
          <w:sz w:val="24"/>
          <w:szCs w:val="24"/>
        </w:rPr>
        <w:t>zlokalizowana</w:t>
      </w:r>
      <w:r w:rsidRPr="00C96268">
        <w:rPr>
          <w:rFonts w:ascii="Times New Roman" w:hAnsi="Times New Roman" w:cs="Times New Roman"/>
          <w:sz w:val="24"/>
          <w:szCs w:val="24"/>
        </w:rPr>
        <w:t xml:space="preserve"> centrala tego zakładu. Wymóg ten jest zgodny z podejściem przyjętym do celów wyodrębnienia kwalifikowanych kosztów wynagrodzeń z tytułu substratu majątkowo-osobowego.</w:t>
      </w:r>
      <w:r w:rsidRPr="00C96268">
        <w:rPr>
          <w:rStyle w:val="Odwoanieprzypisudolnego"/>
          <w:rFonts w:ascii="Times New Roman" w:hAnsi="Times New Roman" w:cs="Times New Roman"/>
          <w:sz w:val="24"/>
          <w:szCs w:val="24"/>
        </w:rPr>
        <w:footnoteReference w:id="106"/>
      </w:r>
      <w:r w:rsidRPr="00C96268">
        <w:rPr>
          <w:rFonts w:ascii="Times New Roman" w:hAnsi="Times New Roman" w:cs="Times New Roman"/>
          <w:sz w:val="24"/>
          <w:szCs w:val="24"/>
        </w:rPr>
        <w:t xml:space="preserve"> Zgodnie z  </w:t>
      </w:r>
      <w:r w:rsidRPr="00C96268">
        <w:rPr>
          <w:rFonts w:ascii="Times New Roman" w:hAnsi="Times New Roman" w:cs="Times New Roman"/>
          <w:b/>
          <w:bCs/>
          <w:sz w:val="24"/>
          <w:szCs w:val="24"/>
        </w:rPr>
        <w:t>ust. 2 pkt 3</w:t>
      </w:r>
      <w:r w:rsidRPr="00C96268">
        <w:rPr>
          <w:rFonts w:ascii="Times New Roman" w:hAnsi="Times New Roman" w:cs="Times New Roman"/>
          <w:sz w:val="24"/>
          <w:szCs w:val="24"/>
        </w:rPr>
        <w:t>, podobne podejście dotyczy rzeczowych aktywów trwałych.</w:t>
      </w:r>
    </w:p>
    <w:p w14:paraId="64DAD2BA" w14:textId="50F3649C"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Dodatkowo, </w:t>
      </w:r>
      <w:r w:rsidRPr="00C96268">
        <w:rPr>
          <w:rFonts w:ascii="Times New Roman" w:hAnsi="Times New Roman" w:cs="Times New Roman"/>
          <w:b/>
          <w:bCs/>
          <w:sz w:val="24"/>
          <w:szCs w:val="24"/>
        </w:rPr>
        <w:t>ust. 2 pkt 4</w:t>
      </w:r>
      <w:r w:rsidR="009665B8" w:rsidRPr="00C96268">
        <w:rPr>
          <w:rFonts w:ascii="Times New Roman" w:hAnsi="Times New Roman" w:cs="Times New Roman"/>
          <w:b/>
          <w:bCs/>
          <w:sz w:val="24"/>
          <w:szCs w:val="24"/>
        </w:rPr>
        <w:t xml:space="preserve"> </w:t>
      </w:r>
      <w:r w:rsidRPr="00C96268">
        <w:rPr>
          <w:rFonts w:ascii="Times New Roman" w:hAnsi="Times New Roman" w:cs="Times New Roman"/>
          <w:sz w:val="24"/>
          <w:szCs w:val="24"/>
        </w:rPr>
        <w:t>wyłącza stosowanie tej regulacji do pracowników oraz rzeczowych aktywów trwałych:</w:t>
      </w:r>
    </w:p>
    <w:p w14:paraId="39D31638" w14:textId="77777777" w:rsidR="006C6FE0" w:rsidRPr="00C96268" w:rsidRDefault="006C6FE0" w:rsidP="002C7467">
      <w:pPr>
        <w:pStyle w:val="Akapitzlist"/>
        <w:numPr>
          <w:ilvl w:val="0"/>
          <w:numId w:val="67"/>
        </w:numPr>
        <w:spacing w:after="120" w:line="252"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jednostki inwestycyjnej oraz ubezpieczeniowej jednostki inwestycyjnej, a także </w:t>
      </w:r>
    </w:p>
    <w:p w14:paraId="7208245A" w14:textId="06065128" w:rsidR="006C6FE0" w:rsidRPr="00C96268" w:rsidRDefault="006C6FE0" w:rsidP="002C7467">
      <w:pPr>
        <w:pStyle w:val="Akapitzlist"/>
        <w:numPr>
          <w:ilvl w:val="0"/>
          <w:numId w:val="67"/>
        </w:numPr>
        <w:spacing w:after="120" w:line="252"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jednostki pośredniczącej, chyba że są one przydzielone stałemu zakładowi – a w przypadku braku stałego zakładu, są przydzielone jednostkom składowym </w:t>
      </w:r>
      <w:r w:rsidRPr="00C96268">
        <w:rPr>
          <w:rFonts w:ascii="Times New Roman" w:hAnsi="Times New Roman" w:cs="Times New Roman"/>
          <w:iCs/>
          <w:sz w:val="24"/>
          <w:szCs w:val="24"/>
        </w:rPr>
        <w:t>zlokalizowanym</w:t>
      </w:r>
      <w:r w:rsidRPr="00C96268">
        <w:rPr>
          <w:rFonts w:ascii="Times New Roman" w:hAnsi="Times New Roman" w:cs="Times New Roman"/>
          <w:sz w:val="24"/>
          <w:szCs w:val="24"/>
        </w:rPr>
        <w:t xml:space="preserve"> w </w:t>
      </w:r>
      <w:r w:rsidR="009B2A90" w:rsidRPr="00C96268">
        <w:rPr>
          <w:rFonts w:ascii="Times New Roman" w:hAnsi="Times New Roman" w:cs="Times New Roman"/>
          <w:sz w:val="24"/>
          <w:szCs w:val="24"/>
        </w:rPr>
        <w:t>jurysdykcji</w:t>
      </w:r>
      <w:r w:rsidRPr="00C96268">
        <w:rPr>
          <w:rFonts w:ascii="Times New Roman" w:hAnsi="Times New Roman" w:cs="Times New Roman"/>
          <w:sz w:val="24"/>
          <w:szCs w:val="24"/>
        </w:rPr>
        <w:t>, w </w:t>
      </w:r>
      <w:r w:rsidR="009B2A90" w:rsidRPr="00C96268">
        <w:rPr>
          <w:rFonts w:ascii="Times New Roman" w:hAnsi="Times New Roman" w:cs="Times New Roman"/>
          <w:sz w:val="24"/>
          <w:szCs w:val="24"/>
        </w:rPr>
        <w:t xml:space="preserve">której </w:t>
      </w:r>
      <w:r w:rsidRPr="00C96268">
        <w:rPr>
          <w:rFonts w:ascii="Times New Roman" w:hAnsi="Times New Roman" w:cs="Times New Roman"/>
          <w:sz w:val="24"/>
          <w:szCs w:val="24"/>
        </w:rPr>
        <w:t>jednostka pośrednicząca została utworzona.</w:t>
      </w:r>
    </w:p>
    <w:p w14:paraId="3D6791DF" w14:textId="77777777" w:rsidR="006C6FE0" w:rsidRPr="00C96268" w:rsidRDefault="006C6FE0" w:rsidP="006C6FE0">
      <w:pPr>
        <w:spacing w:before="240" w:after="120"/>
        <w:jc w:val="both"/>
        <w:rPr>
          <w:rFonts w:ascii="Times New Roman" w:hAnsi="Times New Roman" w:cs="Times New Roman"/>
          <w:sz w:val="24"/>
          <w:szCs w:val="24"/>
        </w:rPr>
      </w:pPr>
      <w:r w:rsidRPr="00C96268">
        <w:rPr>
          <w:rFonts w:ascii="Times New Roman" w:hAnsi="Times New Roman" w:cs="Times New Roman"/>
          <w:b/>
          <w:bCs/>
          <w:sz w:val="24"/>
          <w:szCs w:val="24"/>
        </w:rPr>
        <w:t>Art. 36 ust. 3 i 4</w:t>
      </w:r>
      <w:r w:rsidRPr="00C96268">
        <w:rPr>
          <w:rFonts w:ascii="Times New Roman" w:hAnsi="Times New Roman" w:cs="Times New Roman"/>
          <w:sz w:val="24"/>
          <w:szCs w:val="24"/>
        </w:rPr>
        <w:t xml:space="preserve"> projektu wdrażają odpowiednio art. 14.8 i 14.9 Dyrektywy. </w:t>
      </w:r>
    </w:p>
    <w:p w14:paraId="4953F78C" w14:textId="7FA30720"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Zgodnie z tymi przepisami udział </w:t>
      </w:r>
      <w:r w:rsidR="0059503C" w:rsidRPr="00C96268">
        <w:rPr>
          <w:rFonts w:ascii="Times New Roman" w:hAnsi="Times New Roman" w:cs="Times New Roman"/>
          <w:sz w:val="24"/>
          <w:szCs w:val="24"/>
        </w:rPr>
        <w:t>danej jurysdykcji w całkowitym podatku wyrównawczym</w:t>
      </w:r>
      <w:r w:rsidRPr="00C96268">
        <w:rPr>
          <w:rFonts w:ascii="Times New Roman" w:hAnsi="Times New Roman" w:cs="Times New Roman"/>
          <w:sz w:val="24"/>
          <w:szCs w:val="24"/>
        </w:rPr>
        <w:t xml:space="preserve"> za rok podatkowy wynosi zero, jeżeli za poprzedni rok podatkowy nie powstało zobowiązanie podatkowe z tytułu podatku wyrównawczego od niedostatecznie opodatkowanych zysków dla wszystkich jednostek składowych grupy międzynarodowej </w:t>
      </w:r>
      <w:r w:rsidRPr="00C96268">
        <w:rPr>
          <w:rFonts w:ascii="Times New Roman" w:hAnsi="Times New Roman" w:cs="Times New Roman"/>
          <w:iCs/>
          <w:sz w:val="24"/>
          <w:szCs w:val="24"/>
        </w:rPr>
        <w:t>zlokalizowanych</w:t>
      </w:r>
      <w:r w:rsidRPr="00C96268">
        <w:rPr>
          <w:rFonts w:ascii="Times New Roman" w:hAnsi="Times New Roman" w:cs="Times New Roman"/>
          <w:sz w:val="24"/>
          <w:szCs w:val="24"/>
        </w:rPr>
        <w:t xml:space="preserve"> na terytorium RP (</w:t>
      </w:r>
      <w:r w:rsidRPr="00C96268">
        <w:rPr>
          <w:rFonts w:ascii="Times New Roman" w:hAnsi="Times New Roman" w:cs="Times New Roman"/>
          <w:b/>
          <w:bCs/>
          <w:sz w:val="24"/>
          <w:szCs w:val="24"/>
        </w:rPr>
        <w:t>ust. 3</w:t>
      </w:r>
      <w:r w:rsidRPr="00C96268">
        <w:rPr>
          <w:rFonts w:ascii="Times New Roman" w:hAnsi="Times New Roman" w:cs="Times New Roman"/>
          <w:sz w:val="24"/>
          <w:szCs w:val="24"/>
        </w:rPr>
        <w:t xml:space="preserve">). Z kolei, zgodnie z drugim z wymienionych przepisów, regulacja ta nie ma zastosowania do danego roku podatkowego, jeżeli we wszystkich </w:t>
      </w:r>
      <w:r w:rsidR="009B2A90" w:rsidRPr="00C96268">
        <w:rPr>
          <w:rFonts w:ascii="Times New Roman" w:hAnsi="Times New Roman" w:cs="Times New Roman"/>
          <w:sz w:val="24"/>
          <w:szCs w:val="24"/>
        </w:rPr>
        <w:t>jurysdykcjach</w:t>
      </w:r>
      <w:r w:rsidRPr="00C96268">
        <w:rPr>
          <w:rFonts w:ascii="Times New Roman" w:hAnsi="Times New Roman" w:cs="Times New Roman"/>
          <w:sz w:val="24"/>
          <w:szCs w:val="24"/>
        </w:rPr>
        <w:t xml:space="preserve">, w których za ten rok podatkowy obowiązuje Kwalifikowana Zasada UTPR, udział </w:t>
      </w:r>
      <w:r w:rsidR="009B2A90" w:rsidRPr="00C96268">
        <w:rPr>
          <w:rFonts w:ascii="Times New Roman" w:hAnsi="Times New Roman" w:cs="Times New Roman"/>
          <w:sz w:val="24"/>
          <w:szCs w:val="24"/>
        </w:rPr>
        <w:t xml:space="preserve">danej jurysdykcji </w:t>
      </w:r>
      <w:r w:rsidRPr="00C96268">
        <w:rPr>
          <w:rFonts w:ascii="Times New Roman" w:hAnsi="Times New Roman" w:cs="Times New Roman"/>
          <w:sz w:val="24"/>
          <w:szCs w:val="24"/>
        </w:rPr>
        <w:t>w całkowitym podatku UTPR dla grupy międzynarodowej wynosi zero.</w:t>
      </w:r>
    </w:p>
    <w:p w14:paraId="354C800A" w14:textId="60393CA1"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Sens tych przepisów wyraża się w uzależnieniu ich stosowania od tego, czy </w:t>
      </w:r>
      <w:r w:rsidR="009B2A90" w:rsidRPr="00C96268">
        <w:rPr>
          <w:rFonts w:ascii="Times New Roman" w:hAnsi="Times New Roman" w:cs="Times New Roman"/>
          <w:sz w:val="24"/>
          <w:szCs w:val="24"/>
        </w:rPr>
        <w:t xml:space="preserve">dana jurysdykcja </w:t>
      </w:r>
      <w:r w:rsidRPr="00C96268">
        <w:rPr>
          <w:rFonts w:ascii="Times New Roman" w:hAnsi="Times New Roman" w:cs="Times New Roman"/>
          <w:sz w:val="24"/>
          <w:szCs w:val="24"/>
        </w:rPr>
        <w:t xml:space="preserve">skutecznie </w:t>
      </w:r>
      <w:r w:rsidR="009B2A90" w:rsidRPr="00C96268">
        <w:rPr>
          <w:rFonts w:ascii="Times New Roman" w:hAnsi="Times New Roman" w:cs="Times New Roman"/>
          <w:sz w:val="24"/>
          <w:szCs w:val="24"/>
        </w:rPr>
        <w:t xml:space="preserve">pobrała </w:t>
      </w:r>
      <w:r w:rsidRPr="00C96268">
        <w:rPr>
          <w:rFonts w:ascii="Times New Roman" w:hAnsi="Times New Roman" w:cs="Times New Roman"/>
          <w:sz w:val="24"/>
          <w:szCs w:val="24"/>
        </w:rPr>
        <w:t xml:space="preserve">podatek UTPR za wcześniejszy okres. W praktyce regulacja ta częściej może znaleźć zastosowanie w </w:t>
      </w:r>
      <w:r w:rsidR="008C4E1E" w:rsidRPr="00C96268">
        <w:rPr>
          <w:rFonts w:ascii="Times New Roman" w:hAnsi="Times New Roman" w:cs="Times New Roman"/>
          <w:sz w:val="24"/>
          <w:szCs w:val="24"/>
        </w:rPr>
        <w:t>jurysdykcjach</w:t>
      </w:r>
      <w:r w:rsidRPr="00C96268">
        <w:rPr>
          <w:rFonts w:ascii="Times New Roman" w:hAnsi="Times New Roman" w:cs="Times New Roman"/>
          <w:sz w:val="24"/>
          <w:szCs w:val="24"/>
        </w:rPr>
        <w:t xml:space="preserve">, w których stosowanie Zasady UTPR przybierze formę odmowy odliczenia (z uwagi na, właściwą temu systemowi, możliwość wystąpienia niemożności poboru podatku UTPR w danym roku wynikającą z braku wystarczającej bazy kosztowej podlegającej wyłączeniu).  </w:t>
      </w:r>
    </w:p>
    <w:p w14:paraId="52D8D2BA" w14:textId="2C5556AE"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Mechanizm ten gwarantuje, że żaden udział w całkowitym podatku UTPR nie zostanie przydzielony </w:t>
      </w:r>
      <w:r w:rsidR="008C4E1E" w:rsidRPr="00C96268">
        <w:rPr>
          <w:rFonts w:ascii="Times New Roman" w:hAnsi="Times New Roman" w:cs="Times New Roman"/>
          <w:sz w:val="24"/>
          <w:szCs w:val="24"/>
        </w:rPr>
        <w:t>takiej jurysdykcji</w:t>
      </w:r>
      <w:r w:rsidRPr="00C96268">
        <w:rPr>
          <w:rFonts w:ascii="Times New Roman" w:hAnsi="Times New Roman" w:cs="Times New Roman"/>
          <w:sz w:val="24"/>
          <w:szCs w:val="24"/>
        </w:rPr>
        <w:t xml:space="preserve">, dopóki nie będzie </w:t>
      </w:r>
      <w:r w:rsidR="008C4E1E" w:rsidRPr="00C96268">
        <w:rPr>
          <w:rFonts w:ascii="Times New Roman" w:hAnsi="Times New Roman" w:cs="Times New Roman"/>
          <w:sz w:val="24"/>
          <w:szCs w:val="24"/>
        </w:rPr>
        <w:t xml:space="preserve">ona </w:t>
      </w:r>
      <w:r w:rsidRPr="00C96268">
        <w:rPr>
          <w:rFonts w:ascii="Times New Roman" w:hAnsi="Times New Roman" w:cs="Times New Roman"/>
          <w:sz w:val="24"/>
          <w:szCs w:val="24"/>
        </w:rPr>
        <w:t xml:space="preserve">w stanie nałożyć wymaganej kwoty podatku UTPR za przeszłe okresy. Regulacja ta ma zastosowanie corocznie dla każdego roku podatkowego, w którym obowiązuje Zasada UTPR i jest stosowana w odniesieniu do konkretnej grupy międzynarodowej. Wynika to z faktu, że zdolność do nałożenia korekty (podatku) na mocy przepisów dotyczących Zasady UTPR może zależeć od specyfiki jednostek składowych w </w:t>
      </w:r>
      <w:r w:rsidR="008C4E1E" w:rsidRPr="00C96268">
        <w:rPr>
          <w:rFonts w:ascii="Times New Roman" w:hAnsi="Times New Roman" w:cs="Times New Roman"/>
          <w:sz w:val="24"/>
          <w:szCs w:val="24"/>
        </w:rPr>
        <w:t>danej jurysdykcji</w:t>
      </w:r>
      <w:r w:rsidRPr="00C96268">
        <w:rPr>
          <w:rFonts w:ascii="Times New Roman" w:hAnsi="Times New Roman" w:cs="Times New Roman"/>
          <w:sz w:val="24"/>
          <w:szCs w:val="24"/>
        </w:rPr>
        <w:t>.</w:t>
      </w:r>
    </w:p>
    <w:p w14:paraId="60EB1505" w14:textId="5879E325" w:rsidR="0059503C" w:rsidRPr="00C96268" w:rsidRDefault="0059503C"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Zakłada się, że w praktyce wskazana reguła (wyrażona w zdaniu pierwszym ust. 3) nie będzie miała bezpośrednio zastosowania w odniesieniu do Rzeczypospolitej Polskiej. Jednak wpływ na rozliczenia polskiego podatku UTPR może wystąpić poprzez regułę wyrażoną w zdaniu drugim ust. 3. W świetle zdania drugiego, w przypadku jurysdykcji, dla której udział w całkowitym podatku wyniósł zero zgodnie ze zdaniem pierwszym, pracowników i aktywów dotyczących tej jurysdykcji nie ujmuje się obliczając współczynnik pracowników i współczynnik aktywów, tj. wartości te wyklucza się z mianownika (należy przypomnieć, że wskazane współczynniki stanowią elementy obliczenia udziału Rzeczypospolitej Polskiej).</w:t>
      </w:r>
    </w:p>
    <w:p w14:paraId="63191444" w14:textId="4F2A8093" w:rsidR="006C6FE0" w:rsidRPr="00C96268" w:rsidRDefault="006C6FE0"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Z kolei wyjątek (</w:t>
      </w:r>
      <w:r w:rsidRPr="00C96268">
        <w:rPr>
          <w:rFonts w:ascii="Times New Roman" w:hAnsi="Times New Roman" w:cs="Times New Roman"/>
          <w:b/>
          <w:bCs/>
          <w:sz w:val="24"/>
          <w:szCs w:val="24"/>
        </w:rPr>
        <w:t>ust. 4</w:t>
      </w:r>
      <w:r w:rsidRPr="00C96268">
        <w:rPr>
          <w:rFonts w:ascii="Times New Roman" w:hAnsi="Times New Roman" w:cs="Times New Roman"/>
          <w:sz w:val="24"/>
          <w:szCs w:val="24"/>
        </w:rPr>
        <w:t xml:space="preserve">) od opisanej zasady z </w:t>
      </w:r>
      <w:r w:rsidRPr="00C96268">
        <w:rPr>
          <w:rFonts w:ascii="Times New Roman" w:hAnsi="Times New Roman" w:cs="Times New Roman"/>
          <w:b/>
          <w:bCs/>
          <w:sz w:val="24"/>
          <w:szCs w:val="24"/>
        </w:rPr>
        <w:t>ust. 3</w:t>
      </w:r>
      <w:r w:rsidRPr="00C96268">
        <w:rPr>
          <w:rFonts w:ascii="Times New Roman" w:hAnsi="Times New Roman" w:cs="Times New Roman"/>
          <w:sz w:val="24"/>
          <w:szCs w:val="24"/>
        </w:rPr>
        <w:t xml:space="preserve"> dotyczy sytuacji, w której zasada ta w danym roku podatkowym znalazłaby zastosowanie do wszystkich </w:t>
      </w:r>
      <w:r w:rsidR="008C4E1E"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stosujących Zasadę UTPR. Wówczas, gdyby nie wyjątek</w:t>
      </w:r>
      <w:r w:rsidR="0059503C" w:rsidRPr="00C96268">
        <w:rPr>
          <w:rFonts w:ascii="Times New Roman" w:hAnsi="Times New Roman" w:cs="Times New Roman"/>
          <w:sz w:val="24"/>
          <w:szCs w:val="24"/>
        </w:rPr>
        <w:t xml:space="preserve"> wynikający z ust. 3</w:t>
      </w:r>
      <w:r w:rsidRPr="00C96268">
        <w:rPr>
          <w:rFonts w:ascii="Times New Roman" w:hAnsi="Times New Roman" w:cs="Times New Roman"/>
          <w:sz w:val="24"/>
          <w:szCs w:val="24"/>
        </w:rPr>
        <w:t xml:space="preserve">, udział w całkowitym podatku UTPR dla </w:t>
      </w:r>
      <w:r w:rsidR="008C4E1E" w:rsidRPr="00C96268">
        <w:rPr>
          <w:rFonts w:ascii="Times New Roman" w:hAnsi="Times New Roman" w:cs="Times New Roman"/>
          <w:sz w:val="24"/>
          <w:szCs w:val="24"/>
        </w:rPr>
        <w:t xml:space="preserve">każdej jurysdykcji </w:t>
      </w:r>
      <w:r w:rsidRPr="00C96268">
        <w:rPr>
          <w:rFonts w:ascii="Times New Roman" w:hAnsi="Times New Roman" w:cs="Times New Roman"/>
          <w:sz w:val="24"/>
          <w:szCs w:val="24"/>
        </w:rPr>
        <w:t xml:space="preserve">wyniósłby zero, co oznaczałoby że zobowiązanie z tego tytułu nie powstanie w </w:t>
      </w:r>
      <w:r w:rsidR="008C4E1E" w:rsidRPr="00C96268">
        <w:rPr>
          <w:rFonts w:ascii="Times New Roman" w:hAnsi="Times New Roman" w:cs="Times New Roman"/>
          <w:sz w:val="24"/>
          <w:szCs w:val="24"/>
        </w:rPr>
        <w:t>żadnej jurysdykcji</w:t>
      </w:r>
      <w:r w:rsidRPr="00C96268">
        <w:rPr>
          <w:rFonts w:ascii="Times New Roman" w:hAnsi="Times New Roman" w:cs="Times New Roman"/>
          <w:sz w:val="24"/>
          <w:szCs w:val="24"/>
        </w:rPr>
        <w:t xml:space="preserve">. Aby wyeliminować ten skutek, prowadzący do nieadekwatności z celami Systemu GloBE, w tej sytuacji podatek UTPR podlega alokowaniu do poszczególnych </w:t>
      </w:r>
      <w:r w:rsidR="008C4E1E" w:rsidRPr="00C96268">
        <w:rPr>
          <w:rFonts w:ascii="Times New Roman" w:hAnsi="Times New Roman" w:cs="Times New Roman"/>
          <w:sz w:val="24"/>
          <w:szCs w:val="24"/>
        </w:rPr>
        <w:t xml:space="preserve">jurysdykcji </w:t>
      </w:r>
      <w:r w:rsidRPr="00C96268">
        <w:rPr>
          <w:rFonts w:ascii="Times New Roman" w:hAnsi="Times New Roman" w:cs="Times New Roman"/>
          <w:sz w:val="24"/>
          <w:szCs w:val="24"/>
        </w:rPr>
        <w:t xml:space="preserve">bez uwzględnienia regulacji z </w:t>
      </w:r>
      <w:r w:rsidRPr="00C96268">
        <w:rPr>
          <w:rFonts w:ascii="Times New Roman" w:hAnsi="Times New Roman" w:cs="Times New Roman"/>
          <w:b/>
          <w:bCs/>
          <w:sz w:val="24"/>
          <w:szCs w:val="24"/>
        </w:rPr>
        <w:t>art. 36 ust. 3</w:t>
      </w:r>
      <w:r w:rsidRPr="00C96268">
        <w:rPr>
          <w:rFonts w:ascii="Times New Roman" w:hAnsi="Times New Roman" w:cs="Times New Roman"/>
          <w:sz w:val="24"/>
          <w:szCs w:val="24"/>
        </w:rPr>
        <w:t xml:space="preserve">.   </w:t>
      </w:r>
    </w:p>
    <w:p w14:paraId="542B67B8" w14:textId="791868AA" w:rsidR="006C6FE0" w:rsidRPr="00C96268" w:rsidRDefault="0059503C" w:rsidP="006C6FE0">
      <w:pPr>
        <w:spacing w:after="120"/>
        <w:jc w:val="both"/>
        <w:rPr>
          <w:rFonts w:ascii="Times New Roman" w:hAnsi="Times New Roman" w:cs="Times New Roman"/>
          <w:sz w:val="24"/>
          <w:szCs w:val="24"/>
        </w:rPr>
      </w:pPr>
      <w:r w:rsidRPr="00C96268">
        <w:rPr>
          <w:rFonts w:ascii="Times New Roman" w:hAnsi="Times New Roman" w:cs="Times New Roman"/>
          <w:sz w:val="24"/>
          <w:szCs w:val="24"/>
        </w:rPr>
        <w:t>Podsumowując, w</w:t>
      </w:r>
      <w:r w:rsidR="006C6FE0" w:rsidRPr="00C96268">
        <w:rPr>
          <w:rFonts w:ascii="Times New Roman" w:hAnsi="Times New Roman" w:cs="Times New Roman"/>
          <w:sz w:val="24"/>
          <w:szCs w:val="24"/>
        </w:rPr>
        <w:t xml:space="preserve"> praktyce,</w:t>
      </w:r>
      <w:r w:rsidRPr="00C96268">
        <w:rPr>
          <w:rFonts w:ascii="Times New Roman" w:hAnsi="Times New Roman" w:cs="Times New Roman"/>
          <w:sz w:val="24"/>
          <w:szCs w:val="24"/>
        </w:rPr>
        <w:t xml:space="preserve"> </w:t>
      </w:r>
      <w:r w:rsidR="006C6FE0" w:rsidRPr="00C96268">
        <w:rPr>
          <w:rFonts w:ascii="Times New Roman" w:hAnsi="Times New Roman" w:cs="Times New Roman"/>
          <w:sz w:val="24"/>
          <w:szCs w:val="24"/>
        </w:rPr>
        <w:t xml:space="preserve">z uwagi na przyjętą konstrukcję podatku UTPR w Polsce (dodatkowy podatek zamiast odmowy odliczenia oraz zasadę solidarnej odpowiedzialności) zakłada się, że </w:t>
      </w:r>
      <w:r w:rsidR="006C6FE0" w:rsidRPr="00C96268">
        <w:rPr>
          <w:rFonts w:ascii="Times New Roman" w:hAnsi="Times New Roman" w:cs="Times New Roman"/>
          <w:b/>
          <w:bCs/>
          <w:sz w:val="24"/>
          <w:szCs w:val="24"/>
        </w:rPr>
        <w:t>ust. 3 i 4</w:t>
      </w:r>
      <w:r w:rsidR="006C6FE0" w:rsidRPr="00C96268">
        <w:rPr>
          <w:rFonts w:ascii="Times New Roman" w:hAnsi="Times New Roman" w:cs="Times New Roman"/>
          <w:sz w:val="24"/>
          <w:szCs w:val="24"/>
        </w:rPr>
        <w:t xml:space="preserve"> nie znajdą zastosowania</w:t>
      </w:r>
      <w:r w:rsidRPr="00C96268">
        <w:rPr>
          <w:rFonts w:ascii="Times New Roman" w:hAnsi="Times New Roman" w:cs="Times New Roman"/>
          <w:sz w:val="24"/>
          <w:szCs w:val="24"/>
        </w:rPr>
        <w:t xml:space="preserve"> z zastrzeżeniem obliczenia współczynnika pracowników i współczynnika aktywów</w:t>
      </w:r>
      <w:r w:rsidR="006C6FE0" w:rsidRPr="00C96268">
        <w:rPr>
          <w:rFonts w:ascii="Times New Roman" w:hAnsi="Times New Roman" w:cs="Times New Roman"/>
          <w:sz w:val="24"/>
          <w:szCs w:val="24"/>
        </w:rPr>
        <w:t>.</w:t>
      </w:r>
    </w:p>
    <w:p w14:paraId="4DC8D104" w14:textId="798FFD0C" w:rsidR="00E4079F" w:rsidRPr="00C96268" w:rsidRDefault="00E4079F" w:rsidP="00BD768B">
      <w:pPr>
        <w:pStyle w:val="Nagwek2"/>
        <w:rPr>
          <w:rFonts w:ascii="Times New Roman" w:hAnsi="Times New Roman" w:cs="Times New Roman"/>
          <w:sz w:val="24"/>
          <w:szCs w:val="24"/>
        </w:rPr>
      </w:pPr>
      <w:r w:rsidRPr="00C96268">
        <w:rPr>
          <w:rFonts w:ascii="Times New Roman" w:hAnsi="Times New Roman" w:cs="Times New Roman"/>
          <w:sz w:val="24"/>
          <w:szCs w:val="24"/>
        </w:rPr>
        <w:t>DZIAŁ V</w:t>
      </w:r>
      <w:r w:rsidR="00BD768B" w:rsidRPr="00C96268">
        <w:rPr>
          <w:rFonts w:ascii="Times New Roman" w:hAnsi="Times New Roman" w:cs="Times New Roman"/>
          <w:sz w:val="24"/>
          <w:szCs w:val="24"/>
        </w:rPr>
        <w:t>.</w:t>
      </w:r>
      <w:r w:rsidRPr="00C96268">
        <w:rPr>
          <w:rFonts w:ascii="Times New Roman" w:hAnsi="Times New Roman" w:cs="Times New Roman"/>
          <w:sz w:val="24"/>
          <w:szCs w:val="24"/>
        </w:rPr>
        <w:t xml:space="preserve"> Kwalifikowany dochód (strata), podatki kwalifikowane</w:t>
      </w:r>
      <w:r w:rsidR="00FB6E87" w:rsidRPr="00C96268">
        <w:rPr>
          <w:rFonts w:ascii="Times New Roman" w:hAnsi="Times New Roman" w:cs="Times New Roman"/>
          <w:sz w:val="24"/>
          <w:szCs w:val="24"/>
        </w:rPr>
        <w:t>, substrat majątkowo-osobowy</w:t>
      </w:r>
    </w:p>
    <w:p w14:paraId="3978240F" w14:textId="3E39F6D5" w:rsidR="0023055E" w:rsidRPr="00C96268" w:rsidRDefault="0023055E" w:rsidP="0023055E">
      <w:pPr>
        <w:jc w:val="both"/>
        <w:rPr>
          <w:rFonts w:ascii="Times New Roman" w:hAnsi="Times New Roman" w:cs="Times New Roman"/>
          <w:sz w:val="24"/>
          <w:szCs w:val="24"/>
        </w:rPr>
      </w:pPr>
      <w:r w:rsidRPr="00C96268">
        <w:rPr>
          <w:rFonts w:ascii="Times New Roman" w:hAnsi="Times New Roman" w:cs="Times New Roman"/>
          <w:sz w:val="24"/>
          <w:szCs w:val="24"/>
        </w:rPr>
        <w:t xml:space="preserve">W dziale V określono sposób obliczania kwalifikowanego dochodu (straty) dla każdej jednostki składowej. Rozdział 1 zawiera przepisy ogólne. Punktem wyjścia dla wykonania prawidłowej kalkulacji jest księgowy dochód (strata) netto jednostki składowej ustalony - na podstawie księgowego zysku (straty) netto - zgodnie z zasadami, o których mowa w oddziale 1 rozdziału 1. W następnej kolejności, w celu ustalenia kwalifikowanego dochodu (straty) kwota ta podlega dodatniej bądź ujemnej korekcie, zgodnie z </w:t>
      </w:r>
      <w:r w:rsidRPr="00C96268">
        <w:rPr>
          <w:rFonts w:ascii="Times New Roman" w:hAnsi="Times New Roman" w:cs="Times New Roman"/>
          <w:b/>
          <w:bCs/>
          <w:sz w:val="24"/>
          <w:szCs w:val="24"/>
        </w:rPr>
        <w:t>oddziałem 2</w:t>
      </w:r>
      <w:r w:rsidRPr="00C96268">
        <w:rPr>
          <w:rFonts w:ascii="Times New Roman" w:hAnsi="Times New Roman" w:cs="Times New Roman"/>
          <w:sz w:val="24"/>
          <w:szCs w:val="24"/>
        </w:rPr>
        <w:t xml:space="preserve">. </w:t>
      </w:r>
    </w:p>
    <w:p w14:paraId="08FE6078" w14:textId="77777777" w:rsidR="0023055E" w:rsidRPr="00C96268" w:rsidRDefault="0023055E" w:rsidP="0023055E">
      <w:pPr>
        <w:jc w:val="both"/>
        <w:rPr>
          <w:rFonts w:ascii="Times New Roman" w:hAnsi="Times New Roman" w:cs="Times New Roman"/>
          <w:sz w:val="24"/>
          <w:szCs w:val="24"/>
        </w:rPr>
      </w:pPr>
      <w:r w:rsidRPr="00C96268">
        <w:rPr>
          <w:rFonts w:ascii="Times New Roman" w:hAnsi="Times New Roman" w:cs="Times New Roman"/>
          <w:sz w:val="24"/>
          <w:szCs w:val="24"/>
        </w:rPr>
        <w:t xml:space="preserve">Rozdział 2 zawiera przepisy szczególne. Oddział 1 tego rozdziału przewiduje szczególne wyłączenie dla dochodu z żeglugi międzynarodowej oraz działalności dodatkowej w zakresie żeglugi międzynarodowej. W omawianym rozdziale określono również zasady alokacji dochodu między centralą a stałym zakładem (Oddział 2) oraz szczególne zasady przydzielania księgowego dochodu (straty) netto jednostce pośredniczącej (Oddział 3). </w:t>
      </w:r>
    </w:p>
    <w:p w14:paraId="7852D51F" w14:textId="03087E4E" w:rsidR="0023055E" w:rsidRPr="00C96268" w:rsidRDefault="0023055E" w:rsidP="0023055E">
      <w:pPr>
        <w:jc w:val="both"/>
        <w:rPr>
          <w:rFonts w:ascii="Times New Roman" w:hAnsi="Times New Roman" w:cs="Times New Roman"/>
          <w:sz w:val="24"/>
          <w:szCs w:val="24"/>
        </w:rPr>
      </w:pPr>
      <w:r w:rsidRPr="00C96268">
        <w:rPr>
          <w:rFonts w:ascii="Times New Roman" w:hAnsi="Times New Roman" w:cs="Times New Roman"/>
          <w:sz w:val="24"/>
          <w:szCs w:val="24"/>
        </w:rPr>
        <w:t xml:space="preserve">Podsumowując, dział V służy konwersji księgowego dochodu (straty) netto na kwalifikowany dochód (stratę) na potrzeby stosowania Zasad GloBE, i jego odpowiedniego przydziału do jednostek składowych. Kwalifikowany dochód określony zgodnie z przepisami działu V (i innymi szczególnymi przepisami ustawy) służy, w kolejnym kroku, do ustalenia efektywnej stawki podatkowej w celu ustalenia, czy dla </w:t>
      </w:r>
      <w:r w:rsidR="008C4E1E" w:rsidRPr="00C96268">
        <w:rPr>
          <w:rFonts w:ascii="Times New Roman" w:hAnsi="Times New Roman" w:cs="Times New Roman"/>
          <w:sz w:val="24"/>
          <w:szCs w:val="24"/>
        </w:rPr>
        <w:t xml:space="preserve">danej jurysdykcji </w:t>
      </w:r>
      <w:r w:rsidRPr="00C96268">
        <w:rPr>
          <w:rFonts w:ascii="Times New Roman" w:hAnsi="Times New Roman" w:cs="Times New Roman"/>
          <w:sz w:val="24"/>
          <w:szCs w:val="24"/>
        </w:rPr>
        <w:t>oblicza się globalny podatek wyrównawczy bądź krajowy podatek wyrównawczy. Kwalifikowany dochód jest składa się też na nadwyżkę zysku, która wpływa na wysokość globalnego podatku wyrównawczego bądź krajowego podatku wyrównawczego.</w:t>
      </w:r>
    </w:p>
    <w:p w14:paraId="6B20F70D" w14:textId="7D0535CB" w:rsidR="00E4079F" w:rsidRPr="00C96268" w:rsidRDefault="00E4079F" w:rsidP="00BD768B">
      <w:pPr>
        <w:pStyle w:val="Nagwek3"/>
        <w:rPr>
          <w:rFonts w:ascii="Times New Roman" w:hAnsi="Times New Roman" w:cs="Times New Roman"/>
          <w:sz w:val="24"/>
        </w:rPr>
      </w:pPr>
      <w:r w:rsidRPr="00C96268">
        <w:rPr>
          <w:rFonts w:ascii="Times New Roman" w:hAnsi="Times New Roman" w:cs="Times New Roman"/>
          <w:sz w:val="24"/>
        </w:rPr>
        <w:t xml:space="preserve">Rozdział 1 </w:t>
      </w:r>
      <w:r w:rsidR="003A6E9A" w:rsidRPr="00C96268">
        <w:rPr>
          <w:rFonts w:ascii="Times New Roman" w:hAnsi="Times New Roman" w:cs="Times New Roman"/>
          <w:sz w:val="24"/>
        </w:rPr>
        <w:t>–</w:t>
      </w:r>
      <w:r w:rsidRPr="00C96268">
        <w:rPr>
          <w:rFonts w:ascii="Times New Roman" w:hAnsi="Times New Roman" w:cs="Times New Roman"/>
          <w:sz w:val="24"/>
        </w:rPr>
        <w:t xml:space="preserve"> </w:t>
      </w:r>
      <w:r w:rsidR="001A490D" w:rsidRPr="00C96268">
        <w:rPr>
          <w:rFonts w:ascii="Times New Roman" w:hAnsi="Times New Roman" w:cs="Times New Roman"/>
          <w:sz w:val="24"/>
        </w:rPr>
        <w:t>Przepisy ogólne</w:t>
      </w:r>
    </w:p>
    <w:p w14:paraId="10127FE1" w14:textId="532B4E4A" w:rsidR="00BF7A88" w:rsidRPr="00C96268" w:rsidRDefault="00BF7A88" w:rsidP="003345C9">
      <w:pPr>
        <w:pStyle w:val="Nagwek4"/>
        <w:spacing w:before="240"/>
        <w:rPr>
          <w:rFonts w:ascii="Times New Roman" w:hAnsi="Times New Roman" w:cs="Times New Roman"/>
          <w:sz w:val="24"/>
          <w:szCs w:val="24"/>
        </w:rPr>
      </w:pPr>
      <w:r w:rsidRPr="00C96268">
        <w:rPr>
          <w:rFonts w:ascii="Times New Roman" w:hAnsi="Times New Roman" w:cs="Times New Roman"/>
          <w:sz w:val="24"/>
          <w:szCs w:val="24"/>
        </w:rPr>
        <w:t xml:space="preserve">Oddział </w:t>
      </w:r>
      <w:r w:rsidR="001A490D" w:rsidRPr="00C96268">
        <w:rPr>
          <w:rFonts w:ascii="Times New Roman" w:hAnsi="Times New Roman" w:cs="Times New Roman"/>
          <w:sz w:val="24"/>
          <w:szCs w:val="24"/>
        </w:rPr>
        <w:t>1</w:t>
      </w:r>
      <w:r w:rsidRPr="00C96268">
        <w:rPr>
          <w:rFonts w:ascii="Times New Roman" w:hAnsi="Times New Roman" w:cs="Times New Roman"/>
          <w:sz w:val="24"/>
          <w:szCs w:val="24"/>
        </w:rPr>
        <w:t xml:space="preserve"> – </w:t>
      </w:r>
      <w:r w:rsidR="001A490D" w:rsidRPr="00C96268">
        <w:rPr>
          <w:rFonts w:ascii="Times New Roman" w:hAnsi="Times New Roman" w:cs="Times New Roman"/>
          <w:sz w:val="24"/>
          <w:szCs w:val="24"/>
        </w:rPr>
        <w:t>Księgowy dochód (strata) netto jednostki składowej</w:t>
      </w:r>
    </w:p>
    <w:p w14:paraId="30E8F252" w14:textId="3A79FE1C" w:rsidR="00532392" w:rsidRPr="00C96268" w:rsidRDefault="00532392" w:rsidP="00B42E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w:t>
      </w:r>
      <w:r w:rsidR="001A490D" w:rsidRPr="00C96268">
        <w:rPr>
          <w:rFonts w:ascii="Times New Roman" w:hAnsi="Times New Roman" w:cs="Times New Roman"/>
          <w:sz w:val="24"/>
          <w:szCs w:val="24"/>
        </w:rPr>
        <w:t>37</w:t>
      </w:r>
      <w:r w:rsidR="002C73CB" w:rsidRPr="00C96268">
        <w:rPr>
          <w:rFonts w:ascii="Times New Roman" w:hAnsi="Times New Roman" w:cs="Times New Roman"/>
          <w:sz w:val="24"/>
          <w:szCs w:val="24"/>
        </w:rPr>
        <w:t xml:space="preserve"> </w:t>
      </w:r>
      <w:r w:rsidR="00B360A6" w:rsidRPr="00C96268">
        <w:rPr>
          <w:rFonts w:ascii="Times New Roman" w:hAnsi="Times New Roman" w:cs="Times New Roman"/>
          <w:sz w:val="24"/>
          <w:szCs w:val="24"/>
        </w:rPr>
        <w:t>[</w:t>
      </w:r>
      <w:r w:rsidR="00C55F82" w:rsidRPr="00C96268">
        <w:rPr>
          <w:rFonts w:ascii="Times New Roman" w:hAnsi="Times New Roman" w:cs="Times New Roman"/>
          <w:sz w:val="24"/>
          <w:szCs w:val="24"/>
        </w:rPr>
        <w:t>K</w:t>
      </w:r>
      <w:r w:rsidR="00B360A6" w:rsidRPr="00C96268">
        <w:rPr>
          <w:rFonts w:ascii="Times New Roman" w:hAnsi="Times New Roman" w:cs="Times New Roman"/>
          <w:sz w:val="24"/>
          <w:szCs w:val="24"/>
        </w:rPr>
        <w:t>sięgowy dochód (strata) netto jednostki składowej]</w:t>
      </w:r>
    </w:p>
    <w:p w14:paraId="221BD6CA" w14:textId="774151EC" w:rsidR="00731D81" w:rsidRPr="00C96268" w:rsidRDefault="00731D81" w:rsidP="00731D81">
      <w:pPr>
        <w:pStyle w:val="ARTartustawynprozporzdzenia"/>
        <w:spacing w:before="0" w:after="120" w:line="259" w:lineRule="auto"/>
        <w:ind w:firstLine="0"/>
        <w:rPr>
          <w:rFonts w:ascii="Times New Roman" w:hAnsi="Times New Roman" w:cs="Times New Roman"/>
          <w:szCs w:val="24"/>
        </w:rPr>
      </w:pPr>
      <w:r w:rsidRPr="00C96268">
        <w:rPr>
          <w:rFonts w:ascii="Times New Roman" w:hAnsi="Times New Roman" w:cs="Times New Roman"/>
          <w:b/>
          <w:bCs/>
          <w:szCs w:val="24"/>
        </w:rPr>
        <w:t xml:space="preserve">Art. </w:t>
      </w:r>
      <w:r w:rsidR="001A490D" w:rsidRPr="00C96268">
        <w:rPr>
          <w:rFonts w:ascii="Times New Roman" w:hAnsi="Times New Roman" w:cs="Times New Roman"/>
          <w:b/>
          <w:bCs/>
          <w:szCs w:val="24"/>
        </w:rPr>
        <w:t xml:space="preserve">37-40 </w:t>
      </w:r>
      <w:r w:rsidRPr="00C96268">
        <w:rPr>
          <w:rFonts w:ascii="Times New Roman" w:hAnsi="Times New Roman" w:cs="Times New Roman"/>
          <w:szCs w:val="24"/>
        </w:rPr>
        <w:t>stanowią implementację art. 15</w:t>
      </w:r>
      <w:r w:rsidR="000E759E" w:rsidRPr="00C96268">
        <w:rPr>
          <w:rFonts w:ascii="Times New Roman" w:hAnsi="Times New Roman" w:cs="Times New Roman"/>
          <w:szCs w:val="24"/>
        </w:rPr>
        <w:t>.</w:t>
      </w:r>
      <w:r w:rsidRPr="00C96268">
        <w:rPr>
          <w:rFonts w:ascii="Times New Roman" w:hAnsi="Times New Roman" w:cs="Times New Roman"/>
          <w:szCs w:val="24"/>
        </w:rPr>
        <w:t xml:space="preserve">1 – </w:t>
      </w:r>
      <w:r w:rsidR="000E759E" w:rsidRPr="00C96268">
        <w:rPr>
          <w:rFonts w:ascii="Times New Roman" w:hAnsi="Times New Roman" w:cs="Times New Roman"/>
          <w:szCs w:val="24"/>
        </w:rPr>
        <w:t>15.</w:t>
      </w:r>
      <w:r w:rsidRPr="00C96268">
        <w:rPr>
          <w:rFonts w:ascii="Times New Roman" w:hAnsi="Times New Roman" w:cs="Times New Roman"/>
          <w:szCs w:val="24"/>
        </w:rPr>
        <w:t xml:space="preserve">6 Dyrektywy dotyczących określania kwalifikowanego dochodu (straty). </w:t>
      </w:r>
    </w:p>
    <w:p w14:paraId="6AD470D8" w14:textId="794747AA" w:rsidR="0023055E" w:rsidRPr="00C96268" w:rsidRDefault="0023055E" w:rsidP="0023055E">
      <w:pPr>
        <w:pStyle w:val="ARTartustawynprozporzdzenia"/>
        <w:spacing w:before="0" w:after="120" w:line="259" w:lineRule="auto"/>
        <w:ind w:firstLine="0"/>
        <w:rPr>
          <w:rFonts w:ascii="Times New Roman" w:hAnsi="Times New Roman" w:cs="Times New Roman"/>
          <w:szCs w:val="24"/>
        </w:rPr>
      </w:pPr>
      <w:bookmarkStart w:id="13" w:name="_Hlk149038464"/>
      <w:r w:rsidRPr="00C96268">
        <w:rPr>
          <w:rFonts w:ascii="Times New Roman" w:hAnsi="Times New Roman" w:cs="Times New Roman"/>
          <w:szCs w:val="24"/>
        </w:rPr>
        <w:t xml:space="preserve">W świetle art. 37 ust. 1 punktem wyjścia do obliczeń jest </w:t>
      </w:r>
      <w:r w:rsidRPr="00C96268">
        <w:rPr>
          <w:rFonts w:ascii="Times New Roman" w:hAnsi="Times New Roman" w:cs="Times New Roman"/>
          <w:b/>
          <w:bCs/>
          <w:szCs w:val="24"/>
        </w:rPr>
        <w:t>księgowy dochód (strata)</w:t>
      </w:r>
      <w:r w:rsidR="00A527E0" w:rsidRPr="00C96268">
        <w:rPr>
          <w:rFonts w:ascii="Times New Roman" w:hAnsi="Times New Roman" w:cs="Times New Roman"/>
          <w:szCs w:val="24"/>
        </w:rPr>
        <w:t xml:space="preserve"> </w:t>
      </w:r>
      <w:r w:rsidR="00A527E0" w:rsidRPr="00C96268">
        <w:rPr>
          <w:rFonts w:ascii="Times New Roman" w:hAnsi="Times New Roman" w:cs="Times New Roman"/>
          <w:b/>
          <w:bCs/>
          <w:szCs w:val="24"/>
        </w:rPr>
        <w:t>netto</w:t>
      </w:r>
      <w:r w:rsidRPr="00C96268">
        <w:rPr>
          <w:rFonts w:ascii="Times New Roman" w:hAnsi="Times New Roman" w:cs="Times New Roman"/>
          <w:b/>
          <w:bCs/>
          <w:szCs w:val="24"/>
        </w:rPr>
        <w:t xml:space="preserve"> </w:t>
      </w:r>
      <w:r w:rsidRPr="00C96268">
        <w:rPr>
          <w:rFonts w:ascii="Times New Roman" w:hAnsi="Times New Roman" w:cs="Times New Roman"/>
          <w:szCs w:val="24"/>
        </w:rPr>
        <w:t xml:space="preserve">danej jednostki składowej. Pojęcie „księgowego dochodu (straty)” odpowiada zyskowi (stracie) netto jednostki składowej, przy czym </w:t>
      </w:r>
      <w:r w:rsidR="00FA1E46" w:rsidRPr="00C96268">
        <w:rPr>
          <w:rFonts w:ascii="Times New Roman" w:hAnsi="Times New Roman" w:cs="Times New Roman"/>
          <w:szCs w:val="24"/>
        </w:rPr>
        <w:t>- zgodnie z pkt 1-3 -</w:t>
      </w:r>
      <w:r w:rsidRPr="00C96268">
        <w:rPr>
          <w:rFonts w:ascii="Times New Roman" w:hAnsi="Times New Roman" w:cs="Times New Roman"/>
          <w:szCs w:val="24"/>
        </w:rPr>
        <w:t xml:space="preserve"> należy ustalić </w:t>
      </w:r>
      <w:r w:rsidR="00FA1E46" w:rsidRPr="00C96268">
        <w:rPr>
          <w:rFonts w:ascii="Times New Roman" w:hAnsi="Times New Roman" w:cs="Times New Roman"/>
          <w:szCs w:val="24"/>
        </w:rPr>
        <w:t xml:space="preserve">go </w:t>
      </w:r>
      <w:r w:rsidRPr="00C96268">
        <w:rPr>
          <w:rFonts w:ascii="Times New Roman" w:hAnsi="Times New Roman" w:cs="Times New Roman"/>
          <w:szCs w:val="24"/>
        </w:rPr>
        <w:t xml:space="preserve">w oparciu </w:t>
      </w:r>
      <w:r w:rsidRPr="00C96268">
        <w:rPr>
          <w:rFonts w:ascii="Times New Roman" w:hAnsi="Times New Roman" w:cs="Times New Roman"/>
          <w:b/>
          <w:bCs/>
          <w:szCs w:val="24"/>
        </w:rPr>
        <w:t xml:space="preserve">o standard rachunkowości zastosowany przy określaniu </w:t>
      </w:r>
      <w:r w:rsidR="004C5D3A" w:rsidRPr="00C96268">
        <w:rPr>
          <w:rFonts w:ascii="Times New Roman" w:hAnsi="Times New Roman" w:cs="Times New Roman"/>
          <w:b/>
          <w:bCs/>
          <w:szCs w:val="24"/>
        </w:rPr>
        <w:t>zysku</w:t>
      </w:r>
      <w:r w:rsidRPr="00C96268">
        <w:rPr>
          <w:rFonts w:ascii="Times New Roman" w:hAnsi="Times New Roman" w:cs="Times New Roman"/>
          <w:b/>
          <w:bCs/>
          <w:szCs w:val="24"/>
        </w:rPr>
        <w:t xml:space="preserve"> (straty)</w:t>
      </w:r>
      <w:r w:rsidR="004C5D3A" w:rsidRPr="00C96268">
        <w:rPr>
          <w:rFonts w:ascii="Times New Roman" w:hAnsi="Times New Roman" w:cs="Times New Roman"/>
          <w:b/>
          <w:bCs/>
          <w:szCs w:val="24"/>
        </w:rPr>
        <w:t xml:space="preserve"> netto</w:t>
      </w:r>
      <w:r w:rsidRPr="00C96268">
        <w:rPr>
          <w:rFonts w:ascii="Times New Roman" w:hAnsi="Times New Roman" w:cs="Times New Roman"/>
          <w:b/>
          <w:bCs/>
          <w:szCs w:val="24"/>
        </w:rPr>
        <w:t xml:space="preserve"> tej jednostki na potrzeby skonsolidowanego sprawozdania grupy</w:t>
      </w:r>
      <w:r w:rsidRPr="00C96268">
        <w:rPr>
          <w:rFonts w:ascii="Times New Roman" w:hAnsi="Times New Roman" w:cs="Times New Roman"/>
          <w:szCs w:val="24"/>
        </w:rPr>
        <w:t xml:space="preserve">, tj. skonsolidowanego sprawozdania finansowego sporządzanego przez jednostkę dominującą najwyższego szczebla. </w:t>
      </w:r>
      <w:r w:rsidR="0088036D" w:rsidRPr="00C96268">
        <w:rPr>
          <w:rFonts w:ascii="Times New Roman" w:hAnsi="Times New Roman" w:cs="Times New Roman"/>
          <w:szCs w:val="24"/>
        </w:rPr>
        <w:t xml:space="preserve">Jednakże chodzi o </w:t>
      </w:r>
      <w:r w:rsidR="004C5D3A" w:rsidRPr="00C96268">
        <w:rPr>
          <w:rFonts w:ascii="Times New Roman" w:hAnsi="Times New Roman" w:cs="Times New Roman"/>
          <w:szCs w:val="24"/>
        </w:rPr>
        <w:t>zysk</w:t>
      </w:r>
      <w:r w:rsidR="0088036D" w:rsidRPr="00C96268">
        <w:rPr>
          <w:rFonts w:ascii="Times New Roman" w:hAnsi="Times New Roman" w:cs="Times New Roman"/>
          <w:szCs w:val="24"/>
        </w:rPr>
        <w:t xml:space="preserve"> (stratę)</w:t>
      </w:r>
      <w:r w:rsidR="004C5D3A" w:rsidRPr="00C96268">
        <w:rPr>
          <w:rFonts w:ascii="Times New Roman" w:hAnsi="Times New Roman" w:cs="Times New Roman"/>
          <w:szCs w:val="24"/>
        </w:rPr>
        <w:t xml:space="preserve"> netto danej</w:t>
      </w:r>
      <w:r w:rsidR="0088036D" w:rsidRPr="00C96268">
        <w:rPr>
          <w:rFonts w:ascii="Times New Roman" w:hAnsi="Times New Roman" w:cs="Times New Roman"/>
          <w:szCs w:val="24"/>
        </w:rPr>
        <w:t xml:space="preserve"> jednostki; zatem nie uwzględnia się korekt konsolidacyjnych z tytułu wyłączenia transakcji wewnątrz grupy.</w:t>
      </w:r>
      <w:r w:rsidR="004C5D3A" w:rsidRPr="00C96268">
        <w:rPr>
          <w:rFonts w:ascii="Times New Roman" w:hAnsi="Times New Roman" w:cs="Times New Roman"/>
          <w:szCs w:val="24"/>
        </w:rPr>
        <w:t xml:space="preserve"> Księgowy dochód (strata) netto to pojęcie równoważne do pojęcia zdefiniowanego na gruncie </w:t>
      </w:r>
      <w:r w:rsidR="00595132" w:rsidRPr="00C96268">
        <w:rPr>
          <w:rFonts w:ascii="Times New Roman" w:hAnsi="Times New Roman" w:cs="Times New Roman"/>
          <w:szCs w:val="24"/>
        </w:rPr>
        <w:t>Modelowych zasad</w:t>
      </w:r>
      <w:r w:rsidR="004C5D3A" w:rsidRPr="00C96268">
        <w:rPr>
          <w:rFonts w:ascii="Times New Roman" w:hAnsi="Times New Roman" w:cs="Times New Roman"/>
          <w:szCs w:val="24"/>
        </w:rPr>
        <w:t xml:space="preserve"> OECD - </w:t>
      </w:r>
      <w:r w:rsidR="004C5D3A" w:rsidRPr="00C96268">
        <w:rPr>
          <w:rFonts w:ascii="Times New Roman" w:hAnsi="Times New Roman" w:cs="Times New Roman"/>
          <w:b/>
          <w:bCs/>
          <w:szCs w:val="24"/>
        </w:rPr>
        <w:t>Financial Accounting Net Income Loss (FANIL)</w:t>
      </w:r>
      <w:r w:rsidR="004C5D3A" w:rsidRPr="00C96268">
        <w:rPr>
          <w:rFonts w:ascii="Times New Roman" w:hAnsi="Times New Roman" w:cs="Times New Roman"/>
          <w:szCs w:val="24"/>
        </w:rPr>
        <w:t>.</w:t>
      </w:r>
      <w:r w:rsidR="004C5D3A" w:rsidRPr="00C96268">
        <w:rPr>
          <w:rStyle w:val="Odwoanieprzypisudolnego"/>
          <w:rFonts w:ascii="Times New Roman" w:hAnsi="Times New Roman" w:cs="Times New Roman"/>
          <w:szCs w:val="24"/>
        </w:rPr>
        <w:footnoteReference w:id="107"/>
      </w:r>
      <w:r w:rsidR="004C5D3A" w:rsidRPr="00C96268">
        <w:rPr>
          <w:rFonts w:ascii="Times New Roman" w:hAnsi="Times New Roman" w:cs="Times New Roman"/>
          <w:szCs w:val="24"/>
        </w:rPr>
        <w:t xml:space="preserve"> </w:t>
      </w:r>
    </w:p>
    <w:p w14:paraId="50118301" w14:textId="3C127549" w:rsidR="00866EC9" w:rsidRPr="00C96268" w:rsidRDefault="00731D81" w:rsidP="00731D81">
      <w:pPr>
        <w:pStyle w:val="ARTartustawynprozporzdzenia"/>
        <w:spacing w:before="0" w:after="120" w:line="259" w:lineRule="auto"/>
        <w:ind w:firstLine="0"/>
        <w:rPr>
          <w:rFonts w:ascii="Times New Roman" w:hAnsi="Times New Roman" w:cs="Times New Roman"/>
          <w:szCs w:val="24"/>
        </w:rPr>
      </w:pPr>
      <w:r w:rsidRPr="00C96268">
        <w:rPr>
          <w:rFonts w:ascii="Times New Roman" w:hAnsi="Times New Roman" w:cs="Times New Roman"/>
          <w:szCs w:val="24"/>
        </w:rPr>
        <w:t xml:space="preserve">Zgodnie </w:t>
      </w:r>
      <w:r w:rsidR="00A527E0" w:rsidRPr="00C96268">
        <w:rPr>
          <w:rFonts w:ascii="Times New Roman" w:hAnsi="Times New Roman" w:cs="Times New Roman"/>
          <w:szCs w:val="24"/>
        </w:rPr>
        <w:t xml:space="preserve">natomiast z </w:t>
      </w:r>
      <w:r w:rsidRPr="00C96268">
        <w:rPr>
          <w:rFonts w:ascii="Times New Roman" w:hAnsi="Times New Roman" w:cs="Times New Roman"/>
          <w:szCs w:val="24"/>
        </w:rPr>
        <w:t xml:space="preserve">art. </w:t>
      </w:r>
      <w:r w:rsidR="00A527E0" w:rsidRPr="00C96268">
        <w:rPr>
          <w:rFonts w:ascii="Times New Roman" w:hAnsi="Times New Roman" w:cs="Times New Roman"/>
          <w:szCs w:val="24"/>
        </w:rPr>
        <w:t>37</w:t>
      </w:r>
      <w:r w:rsidRPr="00C96268">
        <w:rPr>
          <w:rFonts w:ascii="Times New Roman" w:hAnsi="Times New Roman" w:cs="Times New Roman"/>
          <w:szCs w:val="24"/>
        </w:rPr>
        <w:t xml:space="preserve"> ust. </w:t>
      </w:r>
      <w:r w:rsidR="00A527E0" w:rsidRPr="00C96268">
        <w:rPr>
          <w:rFonts w:ascii="Times New Roman" w:hAnsi="Times New Roman" w:cs="Times New Roman"/>
          <w:szCs w:val="24"/>
        </w:rPr>
        <w:t>2</w:t>
      </w:r>
      <w:r w:rsidRPr="00C96268">
        <w:rPr>
          <w:rFonts w:ascii="Times New Roman" w:hAnsi="Times New Roman" w:cs="Times New Roman"/>
          <w:szCs w:val="24"/>
        </w:rPr>
        <w:t xml:space="preserve"> </w:t>
      </w:r>
      <w:r w:rsidRPr="00C96268">
        <w:rPr>
          <w:rFonts w:ascii="Times New Roman" w:hAnsi="Times New Roman" w:cs="Times New Roman"/>
          <w:b/>
          <w:bCs/>
          <w:szCs w:val="24"/>
        </w:rPr>
        <w:t>kwalifikowany dochód (stratę</w:t>
      </w:r>
      <w:r w:rsidRPr="00C96268">
        <w:rPr>
          <w:rFonts w:ascii="Times New Roman" w:hAnsi="Times New Roman" w:cs="Times New Roman"/>
          <w:szCs w:val="24"/>
        </w:rPr>
        <w:t xml:space="preserve">) jednostki składowej </w:t>
      </w:r>
      <w:r w:rsidR="0088036D" w:rsidRPr="00C96268">
        <w:rPr>
          <w:rFonts w:ascii="Times New Roman" w:hAnsi="Times New Roman" w:cs="Times New Roman"/>
          <w:szCs w:val="24"/>
        </w:rPr>
        <w:t>-</w:t>
      </w:r>
      <w:r w:rsidR="00A527E0" w:rsidRPr="00C96268">
        <w:rPr>
          <w:rFonts w:ascii="Times New Roman" w:hAnsi="Times New Roman" w:cs="Times New Roman"/>
          <w:szCs w:val="24"/>
        </w:rPr>
        <w:t xml:space="preserve"> który jest pojęciem węzłowym na gruncie Zasad GloBE - </w:t>
      </w:r>
      <w:r w:rsidRPr="00C96268">
        <w:rPr>
          <w:rFonts w:ascii="Times New Roman" w:hAnsi="Times New Roman" w:cs="Times New Roman"/>
          <w:szCs w:val="24"/>
        </w:rPr>
        <w:t xml:space="preserve">ustala się w oparciu o księgowy dochód (stratę) netto tej jednostki oraz </w:t>
      </w:r>
      <w:r w:rsidR="004C5D3A" w:rsidRPr="00C96268">
        <w:rPr>
          <w:rFonts w:ascii="Times New Roman" w:hAnsi="Times New Roman" w:cs="Times New Roman"/>
          <w:szCs w:val="24"/>
        </w:rPr>
        <w:t xml:space="preserve">szereg specyficznych korekt wynikających z Zasad GloBE, odzwierciedlonych w przepisach </w:t>
      </w:r>
      <w:r w:rsidR="00A527E0" w:rsidRPr="00C96268">
        <w:rPr>
          <w:rFonts w:ascii="Times New Roman" w:hAnsi="Times New Roman" w:cs="Times New Roman"/>
          <w:szCs w:val="24"/>
        </w:rPr>
        <w:t>o</w:t>
      </w:r>
      <w:r w:rsidRPr="00C96268">
        <w:rPr>
          <w:rFonts w:ascii="Times New Roman" w:hAnsi="Times New Roman" w:cs="Times New Roman"/>
          <w:szCs w:val="24"/>
        </w:rPr>
        <w:t>ddzia</w:t>
      </w:r>
      <w:r w:rsidR="004C5D3A" w:rsidRPr="00C96268">
        <w:rPr>
          <w:rFonts w:ascii="Times New Roman" w:hAnsi="Times New Roman" w:cs="Times New Roman"/>
          <w:szCs w:val="24"/>
        </w:rPr>
        <w:t>łu</w:t>
      </w:r>
      <w:r w:rsidRPr="00C96268">
        <w:rPr>
          <w:rFonts w:ascii="Times New Roman" w:hAnsi="Times New Roman" w:cs="Times New Roman"/>
          <w:szCs w:val="24"/>
        </w:rPr>
        <w:t xml:space="preserve"> </w:t>
      </w:r>
      <w:r w:rsidR="0023055E" w:rsidRPr="00C96268">
        <w:rPr>
          <w:rFonts w:ascii="Times New Roman" w:hAnsi="Times New Roman" w:cs="Times New Roman"/>
          <w:szCs w:val="24"/>
        </w:rPr>
        <w:t>2</w:t>
      </w:r>
      <w:r w:rsidRPr="00C96268">
        <w:rPr>
          <w:rFonts w:ascii="Times New Roman" w:hAnsi="Times New Roman" w:cs="Times New Roman"/>
          <w:szCs w:val="24"/>
        </w:rPr>
        <w:t xml:space="preserve">. </w:t>
      </w:r>
    </w:p>
    <w:p w14:paraId="43F54456" w14:textId="38D59479" w:rsidR="00866EC9" w:rsidRPr="00C96268" w:rsidRDefault="00866EC9" w:rsidP="00866EC9">
      <w:pPr>
        <w:pStyle w:val="ARTartustawynprozporzdzenia"/>
        <w:spacing w:before="0" w:after="120" w:line="259" w:lineRule="auto"/>
        <w:ind w:firstLine="0"/>
        <w:rPr>
          <w:rFonts w:ascii="Times New Roman" w:hAnsi="Times New Roman" w:cs="Times New Roman"/>
          <w:szCs w:val="24"/>
        </w:rPr>
      </w:pPr>
      <w:r w:rsidRPr="00C96268">
        <w:rPr>
          <w:rFonts w:ascii="Times New Roman" w:hAnsi="Times New Roman" w:cs="Times New Roman"/>
          <w:szCs w:val="24"/>
        </w:rPr>
        <w:t xml:space="preserve">W tym miejscu należy wskazać </w:t>
      </w:r>
      <w:r w:rsidR="0069013A" w:rsidRPr="00C96268">
        <w:rPr>
          <w:rFonts w:ascii="Times New Roman" w:hAnsi="Times New Roman" w:cs="Times New Roman"/>
          <w:szCs w:val="24"/>
        </w:rPr>
        <w:t xml:space="preserve">na </w:t>
      </w:r>
      <w:r w:rsidRPr="00C96268">
        <w:rPr>
          <w:rFonts w:ascii="Times New Roman" w:hAnsi="Times New Roman" w:cs="Times New Roman"/>
          <w:szCs w:val="24"/>
        </w:rPr>
        <w:t>zalety korzystania informacji użytych do sporządzenia skonsolidowanego sprawozdania finansowego jako punktu wyjścia do obliczenia kwalifikowanego dochodu (straty)</w:t>
      </w:r>
      <w:r w:rsidR="00A527E0" w:rsidRPr="00C96268">
        <w:rPr>
          <w:rFonts w:ascii="Times New Roman" w:hAnsi="Times New Roman" w:cs="Times New Roman"/>
          <w:szCs w:val="24"/>
        </w:rPr>
        <w:t xml:space="preserve"> na potrzeby globalnego podatku wyrównawczego</w:t>
      </w:r>
      <w:r w:rsidRPr="00C96268">
        <w:rPr>
          <w:rFonts w:ascii="Times New Roman" w:hAnsi="Times New Roman" w:cs="Times New Roman"/>
          <w:szCs w:val="24"/>
        </w:rPr>
        <w:t xml:space="preserve">. </w:t>
      </w:r>
      <w:r w:rsidR="0069013A" w:rsidRPr="00C96268">
        <w:rPr>
          <w:rFonts w:ascii="Times New Roman" w:hAnsi="Times New Roman" w:cs="Times New Roman"/>
          <w:szCs w:val="24"/>
        </w:rPr>
        <w:t>Takie</w:t>
      </w:r>
      <w:r w:rsidRPr="00C96268">
        <w:rPr>
          <w:rFonts w:ascii="Times New Roman" w:hAnsi="Times New Roman" w:cs="Times New Roman"/>
          <w:szCs w:val="24"/>
        </w:rPr>
        <w:t xml:space="preserve"> rozwiązanie gwarantuje większą spójność danych rachunkowych niż w przypadku stosowania lokalnych standardów rachunkowości przez jednostki składowe </w:t>
      </w:r>
      <w:r w:rsidR="003756FC" w:rsidRPr="00C96268">
        <w:rPr>
          <w:rFonts w:ascii="Times New Roman" w:hAnsi="Times New Roman" w:cs="Times New Roman"/>
          <w:szCs w:val="24"/>
        </w:rPr>
        <w:t>zlokalizowane</w:t>
      </w:r>
      <w:r w:rsidRPr="00C96268">
        <w:rPr>
          <w:rFonts w:ascii="Times New Roman" w:hAnsi="Times New Roman" w:cs="Times New Roman"/>
          <w:szCs w:val="24"/>
        </w:rPr>
        <w:t xml:space="preserve"> w różnych </w:t>
      </w:r>
      <w:r w:rsidR="00267E67" w:rsidRPr="00C96268">
        <w:rPr>
          <w:rFonts w:ascii="Times New Roman" w:hAnsi="Times New Roman" w:cs="Times New Roman"/>
          <w:szCs w:val="24"/>
        </w:rPr>
        <w:t>jurysdykcjach</w:t>
      </w:r>
      <w:r w:rsidRPr="00C96268">
        <w:rPr>
          <w:rFonts w:ascii="Times New Roman" w:hAnsi="Times New Roman" w:cs="Times New Roman"/>
          <w:szCs w:val="24"/>
        </w:rPr>
        <w:t xml:space="preserve">. </w:t>
      </w:r>
      <w:r w:rsidR="0069013A" w:rsidRPr="00C96268">
        <w:rPr>
          <w:rFonts w:ascii="Times New Roman" w:hAnsi="Times New Roman" w:cs="Times New Roman"/>
          <w:szCs w:val="24"/>
        </w:rPr>
        <w:t>S</w:t>
      </w:r>
      <w:r w:rsidRPr="00C96268">
        <w:rPr>
          <w:rFonts w:ascii="Times New Roman" w:hAnsi="Times New Roman" w:cs="Times New Roman"/>
          <w:szCs w:val="24"/>
        </w:rPr>
        <w:t xml:space="preserve">tosowanie lokalnych standardów rachunkowości wiązałoby się z ryzykiem wystąpienia szeregu różnic w obszarze sprawozdawczości finansowej jednostek składowych m.in. w zakresie progów istotności dla niektórych transakcji czy kryteriów klasyfikacji wydatków na badania i rozwój. Ponadto, proponowane podejście wiąże się z ograniczeniem potencjalnych kosztów realizacji obowiązków wynikających z Zasad GloBE, z uwagi na fakt, że stosowne dane </w:t>
      </w:r>
      <w:r w:rsidR="0069013A" w:rsidRPr="00C96268">
        <w:rPr>
          <w:rFonts w:ascii="Times New Roman" w:hAnsi="Times New Roman" w:cs="Times New Roman"/>
          <w:szCs w:val="24"/>
        </w:rPr>
        <w:t>finansowe</w:t>
      </w:r>
      <w:r w:rsidRPr="00C96268">
        <w:rPr>
          <w:rFonts w:ascii="Times New Roman" w:hAnsi="Times New Roman" w:cs="Times New Roman"/>
          <w:szCs w:val="24"/>
        </w:rPr>
        <w:t xml:space="preserve"> opierają się na informacjach, które są już przygotowywane dla celów sprawozdawczych oraz jednocześnie mogą zostać zweryfikowane w ramach czynności audytorskich.</w:t>
      </w:r>
    </w:p>
    <w:p w14:paraId="16C41C2A" w14:textId="619E760A" w:rsidR="00731D81" w:rsidRPr="00C96268" w:rsidRDefault="0088036D" w:rsidP="00731D81">
      <w:pPr>
        <w:pStyle w:val="ARTartustawynprozporzdzenia"/>
        <w:spacing w:before="0" w:after="120" w:line="259" w:lineRule="auto"/>
        <w:ind w:firstLine="0"/>
        <w:rPr>
          <w:rFonts w:ascii="Times New Roman" w:hAnsi="Times New Roman" w:cs="Times New Roman"/>
          <w:szCs w:val="24"/>
        </w:rPr>
      </w:pPr>
      <w:r w:rsidRPr="00C96268">
        <w:rPr>
          <w:rFonts w:ascii="Times New Roman" w:hAnsi="Times New Roman" w:cs="Times New Roman"/>
          <w:szCs w:val="24"/>
        </w:rPr>
        <w:t>Należy podkreślić, że k</w:t>
      </w:r>
      <w:r w:rsidR="00866EC9" w:rsidRPr="00C96268">
        <w:rPr>
          <w:rFonts w:ascii="Times New Roman" w:hAnsi="Times New Roman" w:cs="Times New Roman"/>
          <w:szCs w:val="24"/>
        </w:rPr>
        <w:t xml:space="preserve">sięgowy </w:t>
      </w:r>
      <w:r w:rsidR="00731D81" w:rsidRPr="00C96268">
        <w:rPr>
          <w:rFonts w:ascii="Times New Roman" w:hAnsi="Times New Roman" w:cs="Times New Roman"/>
          <w:szCs w:val="24"/>
        </w:rPr>
        <w:t>dochód (stratę)</w:t>
      </w:r>
      <w:r w:rsidR="00866EC9" w:rsidRPr="00C96268">
        <w:rPr>
          <w:rStyle w:val="Odwoanieprzypisudolnego"/>
          <w:rFonts w:ascii="Times New Roman" w:hAnsi="Times New Roman" w:cs="Times New Roman"/>
          <w:szCs w:val="24"/>
        </w:rPr>
        <w:t xml:space="preserve"> </w:t>
      </w:r>
      <w:r w:rsidR="00731D81" w:rsidRPr="00C96268">
        <w:rPr>
          <w:rFonts w:ascii="Times New Roman" w:hAnsi="Times New Roman" w:cs="Times New Roman"/>
          <w:szCs w:val="24"/>
        </w:rPr>
        <w:t>ustal</w:t>
      </w:r>
      <w:r w:rsidR="00866EC9" w:rsidRPr="00C96268">
        <w:rPr>
          <w:rFonts w:ascii="Times New Roman" w:hAnsi="Times New Roman" w:cs="Times New Roman"/>
          <w:szCs w:val="24"/>
        </w:rPr>
        <w:t xml:space="preserve">a się </w:t>
      </w:r>
      <w:r w:rsidR="00731D81" w:rsidRPr="00C96268">
        <w:rPr>
          <w:rFonts w:ascii="Times New Roman" w:hAnsi="Times New Roman" w:cs="Times New Roman"/>
          <w:szCs w:val="24"/>
        </w:rPr>
        <w:t>na poziomie jednostki składowej z uwzględnieniem wszystkich przychodów i kosztów te</w:t>
      </w:r>
      <w:r w:rsidR="00260E7D" w:rsidRPr="00C96268">
        <w:rPr>
          <w:rFonts w:ascii="Times New Roman" w:hAnsi="Times New Roman" w:cs="Times New Roman"/>
          <w:szCs w:val="24"/>
        </w:rPr>
        <w:t>j</w:t>
      </w:r>
      <w:r w:rsidR="00731D81" w:rsidRPr="00C96268">
        <w:rPr>
          <w:rFonts w:ascii="Times New Roman" w:hAnsi="Times New Roman" w:cs="Times New Roman"/>
          <w:szCs w:val="24"/>
        </w:rPr>
        <w:t xml:space="preserve"> </w:t>
      </w:r>
      <w:r w:rsidR="00260E7D" w:rsidRPr="00C96268">
        <w:rPr>
          <w:rFonts w:ascii="Times New Roman" w:hAnsi="Times New Roman" w:cs="Times New Roman"/>
          <w:szCs w:val="24"/>
        </w:rPr>
        <w:t>jednostki</w:t>
      </w:r>
      <w:r w:rsidR="00731D81" w:rsidRPr="00C96268">
        <w:rPr>
          <w:rFonts w:ascii="Times New Roman" w:hAnsi="Times New Roman" w:cs="Times New Roman"/>
          <w:szCs w:val="24"/>
        </w:rPr>
        <w:t xml:space="preserve">, </w:t>
      </w:r>
      <w:r w:rsidR="00731D81" w:rsidRPr="00C96268">
        <w:rPr>
          <w:rFonts w:ascii="Times New Roman" w:hAnsi="Times New Roman" w:cs="Times New Roman"/>
          <w:b/>
          <w:bCs/>
          <w:szCs w:val="24"/>
        </w:rPr>
        <w:t xml:space="preserve">w tym z transakcji z innymi jednostkami składowymi wchodzącymi w skład jednej </w:t>
      </w:r>
      <w:r w:rsidR="00103F2E" w:rsidRPr="00C96268">
        <w:rPr>
          <w:rFonts w:ascii="Times New Roman" w:hAnsi="Times New Roman" w:cs="Times New Roman"/>
          <w:b/>
          <w:bCs/>
          <w:szCs w:val="24"/>
        </w:rPr>
        <w:t>g</w:t>
      </w:r>
      <w:r w:rsidR="00731D81" w:rsidRPr="00C96268">
        <w:rPr>
          <w:rFonts w:ascii="Times New Roman" w:hAnsi="Times New Roman" w:cs="Times New Roman"/>
          <w:b/>
          <w:bCs/>
          <w:szCs w:val="24"/>
        </w:rPr>
        <w:t>rupy</w:t>
      </w:r>
      <w:r w:rsidR="00731D81" w:rsidRPr="00C96268">
        <w:rPr>
          <w:rFonts w:ascii="Times New Roman" w:hAnsi="Times New Roman" w:cs="Times New Roman"/>
          <w:szCs w:val="24"/>
        </w:rPr>
        <w:t xml:space="preserve">, </w:t>
      </w:r>
      <w:r w:rsidR="0069013A" w:rsidRPr="00C96268">
        <w:rPr>
          <w:rFonts w:ascii="Times New Roman" w:hAnsi="Times New Roman" w:cs="Times New Roman"/>
          <w:szCs w:val="24"/>
        </w:rPr>
        <w:t>oraz</w:t>
      </w:r>
      <w:r w:rsidR="00731D81" w:rsidRPr="00C96268">
        <w:rPr>
          <w:rFonts w:ascii="Times New Roman" w:hAnsi="Times New Roman" w:cs="Times New Roman"/>
          <w:szCs w:val="24"/>
        </w:rPr>
        <w:t xml:space="preserve"> uwzględnieniem obciążeń z tytułu podatku dochodowego.</w:t>
      </w:r>
      <w:r w:rsidR="001E24E8" w:rsidRPr="00C96268">
        <w:rPr>
          <w:rFonts w:ascii="Times New Roman" w:hAnsi="Times New Roman" w:cs="Times New Roman"/>
          <w:szCs w:val="24"/>
        </w:rPr>
        <w:t xml:space="preserve"> </w:t>
      </w:r>
      <w:r w:rsidR="00731D81" w:rsidRPr="00C96268">
        <w:rPr>
          <w:rFonts w:ascii="Times New Roman" w:hAnsi="Times New Roman" w:cs="Times New Roman"/>
          <w:szCs w:val="24"/>
        </w:rPr>
        <w:t xml:space="preserve">Innymi słowy, </w:t>
      </w:r>
      <w:r w:rsidR="001E24E8" w:rsidRPr="00C96268">
        <w:rPr>
          <w:rFonts w:ascii="Times New Roman" w:hAnsi="Times New Roman" w:cs="Times New Roman"/>
          <w:szCs w:val="24"/>
        </w:rPr>
        <w:t xml:space="preserve">pomimo oparcia się na standardzie rachunkowości stosowanym na potrzeby konsolidacji, </w:t>
      </w:r>
      <w:r w:rsidR="00731D81" w:rsidRPr="00C96268">
        <w:rPr>
          <w:rFonts w:ascii="Times New Roman" w:hAnsi="Times New Roman" w:cs="Times New Roman"/>
          <w:szCs w:val="24"/>
        </w:rPr>
        <w:t xml:space="preserve">punktem wyjścia do obliczenia kwalifikowanego dochodu (straty) jest </w:t>
      </w:r>
      <w:r w:rsidR="00866EC9" w:rsidRPr="00C96268">
        <w:rPr>
          <w:rFonts w:ascii="Times New Roman" w:hAnsi="Times New Roman" w:cs="Times New Roman"/>
          <w:szCs w:val="24"/>
        </w:rPr>
        <w:t xml:space="preserve">księgowy dochód (strata) netto </w:t>
      </w:r>
      <w:r w:rsidR="00260E7D" w:rsidRPr="00C96268">
        <w:rPr>
          <w:rFonts w:ascii="Times New Roman" w:hAnsi="Times New Roman" w:cs="Times New Roman"/>
          <w:szCs w:val="24"/>
        </w:rPr>
        <w:t>jednostki</w:t>
      </w:r>
      <w:r w:rsidR="00FB132E" w:rsidRPr="00C96268">
        <w:rPr>
          <w:rFonts w:ascii="Times New Roman" w:hAnsi="Times New Roman" w:cs="Times New Roman"/>
          <w:szCs w:val="24"/>
        </w:rPr>
        <w:t xml:space="preserve"> </w:t>
      </w:r>
      <w:r w:rsidR="00260E7D" w:rsidRPr="00C96268">
        <w:rPr>
          <w:rFonts w:ascii="Times New Roman" w:hAnsi="Times New Roman" w:cs="Times New Roman"/>
          <w:szCs w:val="24"/>
        </w:rPr>
        <w:t>składowej</w:t>
      </w:r>
      <w:r w:rsidR="00731D81" w:rsidRPr="00C96268">
        <w:rPr>
          <w:rFonts w:ascii="Times New Roman" w:hAnsi="Times New Roman" w:cs="Times New Roman"/>
          <w:szCs w:val="24"/>
        </w:rPr>
        <w:t xml:space="preserve"> ustalony </w:t>
      </w:r>
      <w:r w:rsidR="00731D81" w:rsidRPr="00C96268">
        <w:rPr>
          <w:rFonts w:ascii="Times New Roman" w:hAnsi="Times New Roman" w:cs="Times New Roman"/>
          <w:b/>
          <w:bCs/>
          <w:szCs w:val="24"/>
        </w:rPr>
        <w:t>przed dokonaniem jakichkolwiek korekt</w:t>
      </w:r>
      <w:r w:rsidR="0069013A" w:rsidRPr="00C96268">
        <w:rPr>
          <w:rFonts w:ascii="Times New Roman" w:hAnsi="Times New Roman" w:cs="Times New Roman"/>
          <w:b/>
          <w:bCs/>
          <w:szCs w:val="24"/>
        </w:rPr>
        <w:t xml:space="preserve"> </w:t>
      </w:r>
      <w:r w:rsidR="00731D81" w:rsidRPr="00C96268">
        <w:rPr>
          <w:rFonts w:ascii="Times New Roman" w:hAnsi="Times New Roman" w:cs="Times New Roman"/>
          <w:b/>
          <w:bCs/>
          <w:szCs w:val="24"/>
        </w:rPr>
        <w:t>konsolidacyjnych</w:t>
      </w:r>
      <w:r w:rsidR="00731D81" w:rsidRPr="00C96268">
        <w:rPr>
          <w:rFonts w:ascii="Times New Roman" w:hAnsi="Times New Roman" w:cs="Times New Roman"/>
          <w:szCs w:val="24"/>
        </w:rPr>
        <w:t xml:space="preserve">, które wyeliminowałyby przychody lub koszty związane z transakcjami wewnątrzgrupowymi. </w:t>
      </w:r>
    </w:p>
    <w:p w14:paraId="71C832DF" w14:textId="624D2AB4" w:rsidR="00372710" w:rsidRPr="00C96268" w:rsidRDefault="00372710" w:rsidP="00372710">
      <w:pPr>
        <w:pStyle w:val="ARTartustawynprozporzdzenia"/>
        <w:spacing w:before="0" w:after="120" w:line="259" w:lineRule="auto"/>
        <w:ind w:firstLine="0"/>
        <w:rPr>
          <w:rFonts w:ascii="Times New Roman" w:hAnsi="Times New Roman" w:cs="Times New Roman"/>
          <w:szCs w:val="24"/>
        </w:rPr>
      </w:pPr>
      <w:r w:rsidRPr="00C96268">
        <w:rPr>
          <w:rFonts w:ascii="Times New Roman" w:hAnsi="Times New Roman" w:cs="Times New Roman"/>
          <w:szCs w:val="24"/>
        </w:rPr>
        <w:t xml:space="preserve">Należy również wskazać, że ani księgowy dochód (strata) netto, ani korekty określone w </w:t>
      </w:r>
      <w:r w:rsidR="009F72C2" w:rsidRPr="00C96268">
        <w:rPr>
          <w:rFonts w:ascii="Times New Roman" w:hAnsi="Times New Roman" w:cs="Times New Roman"/>
          <w:szCs w:val="24"/>
        </w:rPr>
        <w:t>o</w:t>
      </w:r>
      <w:r w:rsidRPr="00C96268">
        <w:rPr>
          <w:rFonts w:ascii="Times New Roman" w:hAnsi="Times New Roman" w:cs="Times New Roman"/>
          <w:szCs w:val="24"/>
        </w:rPr>
        <w:t xml:space="preserve">ddziale </w:t>
      </w:r>
      <w:r w:rsidR="0088036D" w:rsidRPr="00C96268">
        <w:rPr>
          <w:rFonts w:ascii="Times New Roman" w:hAnsi="Times New Roman" w:cs="Times New Roman"/>
          <w:szCs w:val="24"/>
        </w:rPr>
        <w:t>2</w:t>
      </w:r>
      <w:r w:rsidRPr="00C96268">
        <w:rPr>
          <w:rFonts w:ascii="Times New Roman" w:hAnsi="Times New Roman" w:cs="Times New Roman"/>
          <w:szCs w:val="24"/>
        </w:rPr>
        <w:t xml:space="preserve"> nie są proporcjonalnie pomniejszane o księgowe dochody (straty), które można przypisać udziałom mniejszościowym w jednostce składowej.</w:t>
      </w:r>
      <w:r w:rsidRPr="00C96268">
        <w:rPr>
          <w:rStyle w:val="Odwoanieprzypisudolnego"/>
          <w:rFonts w:ascii="Times New Roman" w:hAnsi="Times New Roman" w:cs="Times New Roman"/>
          <w:szCs w:val="24"/>
        </w:rPr>
        <w:footnoteReference w:id="108"/>
      </w:r>
      <w:r w:rsidRPr="00C96268">
        <w:rPr>
          <w:rFonts w:ascii="Times New Roman" w:hAnsi="Times New Roman" w:cs="Times New Roman"/>
          <w:szCs w:val="24"/>
        </w:rPr>
        <w:t xml:space="preserve"> </w:t>
      </w:r>
    </w:p>
    <w:p w14:paraId="51324B68" w14:textId="5EF9CC49" w:rsidR="00731D81" w:rsidRPr="00C96268" w:rsidRDefault="00731D81" w:rsidP="001E24E8">
      <w:pPr>
        <w:spacing w:after="120"/>
        <w:jc w:val="both"/>
        <w:rPr>
          <w:rFonts w:ascii="Times New Roman" w:hAnsi="Times New Roman" w:cs="Times New Roman"/>
          <w:bCs/>
          <w:iCs/>
          <w:sz w:val="24"/>
          <w:szCs w:val="24"/>
          <w:lang w:eastAsia="pl-PL"/>
        </w:rPr>
      </w:pPr>
      <w:r w:rsidRPr="00C96268">
        <w:rPr>
          <w:rFonts w:ascii="Times New Roman" w:hAnsi="Times New Roman" w:cs="Times New Roman"/>
          <w:bCs/>
          <w:iCs/>
          <w:sz w:val="24"/>
          <w:szCs w:val="24"/>
          <w:lang w:eastAsia="pl-PL"/>
        </w:rPr>
        <w:t xml:space="preserve">Ponadto, </w:t>
      </w:r>
      <w:r w:rsidR="002949D2" w:rsidRPr="00C96268">
        <w:rPr>
          <w:rFonts w:ascii="Times New Roman" w:hAnsi="Times New Roman" w:cs="Times New Roman"/>
          <w:bCs/>
          <w:iCs/>
          <w:sz w:val="24"/>
          <w:szCs w:val="24"/>
          <w:lang w:eastAsia="pl-PL"/>
        </w:rPr>
        <w:t xml:space="preserve">w świetle Komentarza, </w:t>
      </w:r>
      <w:r w:rsidR="001E24E8" w:rsidRPr="00C96268">
        <w:rPr>
          <w:rFonts w:ascii="Times New Roman" w:hAnsi="Times New Roman" w:cs="Times New Roman"/>
          <w:bCs/>
          <w:iCs/>
          <w:sz w:val="24"/>
          <w:szCs w:val="24"/>
          <w:lang w:eastAsia="pl-PL"/>
        </w:rPr>
        <w:t>w</w:t>
      </w:r>
      <w:r w:rsidRPr="00C96268">
        <w:rPr>
          <w:rFonts w:ascii="Times New Roman" w:hAnsi="Times New Roman" w:cs="Times New Roman"/>
          <w:bCs/>
          <w:iCs/>
          <w:sz w:val="24"/>
          <w:szCs w:val="24"/>
          <w:lang w:eastAsia="pl-PL"/>
        </w:rPr>
        <w:t xml:space="preserve"> księgow</w:t>
      </w:r>
      <w:r w:rsidR="001E24E8" w:rsidRPr="00C96268">
        <w:rPr>
          <w:rFonts w:ascii="Times New Roman" w:hAnsi="Times New Roman" w:cs="Times New Roman"/>
          <w:bCs/>
          <w:iCs/>
          <w:sz w:val="24"/>
          <w:szCs w:val="24"/>
          <w:lang w:eastAsia="pl-PL"/>
        </w:rPr>
        <w:t>ym</w:t>
      </w:r>
      <w:r w:rsidRPr="00C96268">
        <w:rPr>
          <w:rFonts w:ascii="Times New Roman" w:hAnsi="Times New Roman" w:cs="Times New Roman"/>
          <w:bCs/>
          <w:iCs/>
          <w:sz w:val="24"/>
          <w:szCs w:val="24"/>
          <w:lang w:eastAsia="pl-PL"/>
        </w:rPr>
        <w:t xml:space="preserve"> dochod</w:t>
      </w:r>
      <w:r w:rsidR="001E24E8" w:rsidRPr="00C96268">
        <w:rPr>
          <w:rFonts w:ascii="Times New Roman" w:hAnsi="Times New Roman" w:cs="Times New Roman"/>
          <w:bCs/>
          <w:iCs/>
          <w:sz w:val="24"/>
          <w:szCs w:val="24"/>
          <w:lang w:eastAsia="pl-PL"/>
        </w:rPr>
        <w:t>zie</w:t>
      </w:r>
      <w:r w:rsidRPr="00C96268">
        <w:rPr>
          <w:rFonts w:ascii="Times New Roman" w:hAnsi="Times New Roman" w:cs="Times New Roman"/>
          <w:bCs/>
          <w:iCs/>
          <w:sz w:val="24"/>
          <w:szCs w:val="24"/>
          <w:lang w:eastAsia="pl-PL"/>
        </w:rPr>
        <w:t xml:space="preserve"> (stra</w:t>
      </w:r>
      <w:r w:rsidR="001E24E8" w:rsidRPr="00C96268">
        <w:rPr>
          <w:rFonts w:ascii="Times New Roman" w:hAnsi="Times New Roman" w:cs="Times New Roman"/>
          <w:bCs/>
          <w:iCs/>
          <w:sz w:val="24"/>
          <w:szCs w:val="24"/>
          <w:lang w:eastAsia="pl-PL"/>
        </w:rPr>
        <w:t>cie</w:t>
      </w:r>
      <w:r w:rsidRPr="00C96268">
        <w:rPr>
          <w:rFonts w:ascii="Times New Roman" w:hAnsi="Times New Roman" w:cs="Times New Roman"/>
          <w:bCs/>
          <w:iCs/>
          <w:sz w:val="24"/>
          <w:szCs w:val="24"/>
          <w:lang w:eastAsia="pl-PL"/>
        </w:rPr>
        <w:t>) netto dane</w:t>
      </w:r>
      <w:r w:rsidR="001E24E8" w:rsidRPr="00C96268">
        <w:rPr>
          <w:rFonts w:ascii="Times New Roman" w:hAnsi="Times New Roman" w:cs="Times New Roman"/>
          <w:bCs/>
          <w:iCs/>
          <w:sz w:val="24"/>
          <w:szCs w:val="24"/>
          <w:lang w:eastAsia="pl-PL"/>
        </w:rPr>
        <w:t>j jednostki</w:t>
      </w:r>
      <w:r w:rsidRPr="00C96268">
        <w:rPr>
          <w:rFonts w:ascii="Times New Roman" w:hAnsi="Times New Roman" w:cs="Times New Roman"/>
          <w:bCs/>
          <w:iCs/>
          <w:sz w:val="24"/>
          <w:szCs w:val="24"/>
          <w:lang w:eastAsia="pl-PL"/>
        </w:rPr>
        <w:t xml:space="preserve"> nie</w:t>
      </w:r>
      <w:r w:rsidR="00F55AC0" w:rsidRPr="00C96268">
        <w:rPr>
          <w:rFonts w:ascii="Times New Roman" w:hAnsi="Times New Roman" w:cs="Times New Roman"/>
          <w:bCs/>
          <w:iCs/>
          <w:sz w:val="24"/>
          <w:szCs w:val="24"/>
          <w:lang w:eastAsia="pl-PL"/>
        </w:rPr>
        <w:t xml:space="preserve"> </w:t>
      </w:r>
      <w:r w:rsidRPr="00C96268">
        <w:rPr>
          <w:rFonts w:ascii="Times New Roman" w:hAnsi="Times New Roman" w:cs="Times New Roman"/>
          <w:bCs/>
          <w:iCs/>
          <w:sz w:val="24"/>
          <w:szCs w:val="24"/>
          <w:lang w:eastAsia="pl-PL"/>
        </w:rPr>
        <w:t>uwzględnia</w:t>
      </w:r>
      <w:r w:rsidR="002A423C" w:rsidRPr="00C96268">
        <w:rPr>
          <w:rFonts w:ascii="Times New Roman" w:hAnsi="Times New Roman" w:cs="Times New Roman"/>
          <w:bCs/>
          <w:iCs/>
          <w:sz w:val="24"/>
          <w:szCs w:val="24"/>
          <w:lang w:eastAsia="pl-PL"/>
        </w:rPr>
        <w:t xml:space="preserve"> się</w:t>
      </w:r>
      <w:r w:rsidRPr="00C96268">
        <w:rPr>
          <w:rFonts w:ascii="Times New Roman" w:hAnsi="Times New Roman" w:cs="Times New Roman"/>
          <w:bCs/>
          <w:iCs/>
          <w:sz w:val="24"/>
          <w:szCs w:val="24"/>
          <w:lang w:eastAsia="pl-PL"/>
        </w:rPr>
        <w:t xml:space="preserve"> korekt rachunkowych przychodów lub kosztów związanych z zaksięgowaniem zakupu </w:t>
      </w:r>
      <w:r w:rsidR="002A423C" w:rsidRPr="00C96268">
        <w:rPr>
          <w:rFonts w:ascii="Times New Roman" w:hAnsi="Times New Roman" w:cs="Times New Roman"/>
          <w:bCs/>
          <w:iCs/>
          <w:sz w:val="24"/>
          <w:szCs w:val="24"/>
          <w:lang w:eastAsia="pl-PL"/>
        </w:rPr>
        <w:t>w procesie</w:t>
      </w:r>
      <w:r w:rsidRPr="00C96268">
        <w:rPr>
          <w:rFonts w:ascii="Times New Roman" w:hAnsi="Times New Roman" w:cs="Times New Roman"/>
          <w:bCs/>
          <w:iCs/>
          <w:sz w:val="24"/>
          <w:szCs w:val="24"/>
          <w:lang w:eastAsia="pl-PL"/>
        </w:rPr>
        <w:t xml:space="preserve"> przejęcia działalności</w:t>
      </w:r>
      <w:r w:rsidR="001E24E8" w:rsidRPr="00C96268">
        <w:rPr>
          <w:rStyle w:val="Odwoanieprzypisudolnego"/>
          <w:rFonts w:ascii="Times New Roman" w:hAnsi="Times New Roman" w:cs="Times New Roman"/>
          <w:bCs/>
          <w:iCs/>
          <w:sz w:val="24"/>
          <w:szCs w:val="24"/>
          <w:lang w:eastAsia="pl-PL"/>
        </w:rPr>
        <w:footnoteReference w:id="109"/>
      </w:r>
      <w:r w:rsidRPr="00C96268">
        <w:rPr>
          <w:rFonts w:ascii="Times New Roman" w:hAnsi="Times New Roman" w:cs="Times New Roman"/>
          <w:bCs/>
          <w:iCs/>
          <w:sz w:val="24"/>
          <w:szCs w:val="24"/>
          <w:lang w:eastAsia="pl-PL"/>
        </w:rPr>
        <w:t xml:space="preserve">, które znajdują odzwierciedlenie w skonsolidowanym sprawozdaniu finansowym </w:t>
      </w:r>
      <w:r w:rsidR="00A6724B" w:rsidRPr="00C96268">
        <w:rPr>
          <w:rFonts w:ascii="Times New Roman" w:hAnsi="Times New Roman" w:cs="Times New Roman"/>
          <w:bCs/>
          <w:iCs/>
          <w:sz w:val="24"/>
          <w:szCs w:val="24"/>
          <w:lang w:eastAsia="pl-PL"/>
        </w:rPr>
        <w:t>jednostki dominującej najwyższego szczebla</w:t>
      </w:r>
      <w:r w:rsidRPr="00C96268">
        <w:rPr>
          <w:rFonts w:ascii="Times New Roman" w:hAnsi="Times New Roman" w:cs="Times New Roman"/>
          <w:bCs/>
          <w:iCs/>
          <w:sz w:val="24"/>
          <w:szCs w:val="24"/>
          <w:lang w:eastAsia="pl-PL"/>
        </w:rPr>
        <w:t xml:space="preserve">, a nie w odrębnym sprawozdaniu finansowym jednostki składowej. </w:t>
      </w:r>
      <w:r w:rsidR="001E24E8" w:rsidRPr="00C96268">
        <w:rPr>
          <w:rFonts w:ascii="Times New Roman" w:hAnsi="Times New Roman" w:cs="Times New Roman"/>
          <w:bCs/>
          <w:iCs/>
          <w:sz w:val="24"/>
          <w:szCs w:val="24"/>
          <w:lang w:eastAsia="pl-PL"/>
        </w:rPr>
        <w:t xml:space="preserve">Takie pozycje </w:t>
      </w:r>
      <w:r w:rsidRPr="00C96268">
        <w:rPr>
          <w:rFonts w:ascii="Times New Roman" w:hAnsi="Times New Roman" w:cs="Times New Roman"/>
          <w:bCs/>
          <w:iCs/>
          <w:sz w:val="24"/>
          <w:szCs w:val="24"/>
          <w:lang w:eastAsia="pl-PL"/>
        </w:rPr>
        <w:t>mogą być uwzględniane przy obliczaniu księgowego dochodu (straty) netto tej jednostki oraz kwalifikowanego dochodu (straty) wyłącznie w zakresie, w jakim można je wiarygodnie i spójnie przypisać odpowiednie</w:t>
      </w:r>
      <w:r w:rsidR="001E24E8" w:rsidRPr="00C96268">
        <w:rPr>
          <w:rFonts w:ascii="Times New Roman" w:hAnsi="Times New Roman" w:cs="Times New Roman"/>
          <w:bCs/>
          <w:iCs/>
          <w:sz w:val="24"/>
          <w:szCs w:val="24"/>
          <w:lang w:eastAsia="pl-PL"/>
        </w:rPr>
        <w:t>j jednostce</w:t>
      </w:r>
      <w:r w:rsidRPr="00C96268">
        <w:rPr>
          <w:rFonts w:ascii="Times New Roman" w:hAnsi="Times New Roman" w:cs="Times New Roman"/>
          <w:bCs/>
          <w:iCs/>
          <w:sz w:val="24"/>
          <w:szCs w:val="24"/>
          <w:lang w:eastAsia="pl-PL"/>
        </w:rPr>
        <w:t>.</w:t>
      </w:r>
    </w:p>
    <w:p w14:paraId="58A5D4CE" w14:textId="76956AE2" w:rsidR="00731D81" w:rsidRPr="00C96268" w:rsidRDefault="00731D81" w:rsidP="00731D81">
      <w:pPr>
        <w:pStyle w:val="ARTartustawynprozporzdzenia"/>
        <w:spacing w:before="0" w:after="120" w:line="259" w:lineRule="auto"/>
        <w:ind w:firstLine="0"/>
        <w:rPr>
          <w:rFonts w:ascii="Times New Roman" w:hAnsi="Times New Roman" w:cs="Times New Roman"/>
          <w:szCs w:val="24"/>
        </w:rPr>
      </w:pPr>
      <w:r w:rsidRPr="00C96268">
        <w:rPr>
          <w:rFonts w:ascii="Times New Roman" w:hAnsi="Times New Roman" w:cs="Times New Roman"/>
          <w:szCs w:val="24"/>
        </w:rPr>
        <w:t xml:space="preserve">Ze względu na to, że reguły obliczania kwalifikowanego dochodu (straty) za punkt wyjścia przyjmują wartości księgowego dochodu (straty) netto, </w:t>
      </w:r>
      <w:r w:rsidR="009F72C2" w:rsidRPr="00C96268">
        <w:rPr>
          <w:rFonts w:ascii="Times New Roman" w:hAnsi="Times New Roman" w:cs="Times New Roman"/>
          <w:szCs w:val="24"/>
        </w:rPr>
        <w:t xml:space="preserve">odwołującego się do zysku (straty) netto a tym samym </w:t>
      </w:r>
      <w:r w:rsidRPr="00C96268">
        <w:rPr>
          <w:rFonts w:ascii="Times New Roman" w:hAnsi="Times New Roman" w:cs="Times New Roman"/>
          <w:szCs w:val="24"/>
        </w:rPr>
        <w:t xml:space="preserve"> </w:t>
      </w:r>
      <w:r w:rsidR="00103F2E" w:rsidRPr="00C96268">
        <w:rPr>
          <w:rFonts w:ascii="Times New Roman" w:hAnsi="Times New Roman" w:cs="Times New Roman"/>
          <w:b/>
          <w:bCs/>
          <w:szCs w:val="24"/>
        </w:rPr>
        <w:t>r</w:t>
      </w:r>
      <w:r w:rsidRPr="00C96268">
        <w:rPr>
          <w:rFonts w:ascii="Times New Roman" w:hAnsi="Times New Roman" w:cs="Times New Roman"/>
          <w:b/>
          <w:bCs/>
          <w:szCs w:val="24"/>
        </w:rPr>
        <w:t>achunku zysków i strat</w:t>
      </w:r>
      <w:r w:rsidRPr="00C96268">
        <w:rPr>
          <w:rFonts w:ascii="Times New Roman" w:hAnsi="Times New Roman" w:cs="Times New Roman"/>
          <w:szCs w:val="24"/>
        </w:rPr>
        <w:t xml:space="preserve">, pozycje przychodów lub kosztów, które są wykazywane zgodnie </w:t>
      </w:r>
      <w:r w:rsidR="0069013A" w:rsidRPr="00C96268">
        <w:rPr>
          <w:rFonts w:ascii="Times New Roman" w:hAnsi="Times New Roman" w:cs="Times New Roman"/>
          <w:szCs w:val="24"/>
        </w:rPr>
        <w:t>ze</w:t>
      </w:r>
      <w:r w:rsidRPr="00C96268">
        <w:rPr>
          <w:rFonts w:ascii="Times New Roman" w:hAnsi="Times New Roman" w:cs="Times New Roman"/>
          <w:szCs w:val="24"/>
        </w:rPr>
        <w:t xml:space="preserve"> standardami rachunkowości </w:t>
      </w:r>
      <w:r w:rsidR="0069013A" w:rsidRPr="00C96268">
        <w:rPr>
          <w:rFonts w:ascii="Times New Roman" w:hAnsi="Times New Roman" w:cs="Times New Roman"/>
          <w:szCs w:val="24"/>
        </w:rPr>
        <w:t xml:space="preserve">takimi jak MSR/MSSF </w:t>
      </w:r>
      <w:r w:rsidRPr="00C96268">
        <w:rPr>
          <w:rFonts w:ascii="Times New Roman" w:hAnsi="Times New Roman" w:cs="Times New Roman"/>
          <w:szCs w:val="24"/>
        </w:rPr>
        <w:t xml:space="preserve">w sekcji </w:t>
      </w:r>
      <w:r w:rsidR="00103F2E" w:rsidRPr="00C96268">
        <w:rPr>
          <w:rFonts w:ascii="Times New Roman" w:hAnsi="Times New Roman" w:cs="Times New Roman"/>
          <w:szCs w:val="24"/>
        </w:rPr>
        <w:t>„</w:t>
      </w:r>
      <w:r w:rsidR="00FB132E" w:rsidRPr="00C96268">
        <w:rPr>
          <w:rFonts w:ascii="Times New Roman" w:hAnsi="Times New Roman" w:cs="Times New Roman"/>
          <w:b/>
          <w:bCs/>
          <w:szCs w:val="24"/>
        </w:rPr>
        <w:t>i</w:t>
      </w:r>
      <w:r w:rsidR="00103F2E" w:rsidRPr="00C96268">
        <w:rPr>
          <w:rFonts w:ascii="Times New Roman" w:hAnsi="Times New Roman" w:cs="Times New Roman"/>
          <w:b/>
          <w:bCs/>
          <w:szCs w:val="24"/>
        </w:rPr>
        <w:t>nne całkowite dochody</w:t>
      </w:r>
      <w:r w:rsidR="00103F2E" w:rsidRPr="00C96268">
        <w:rPr>
          <w:rFonts w:ascii="Times New Roman" w:hAnsi="Times New Roman" w:cs="Times New Roman"/>
          <w:szCs w:val="24"/>
        </w:rPr>
        <w:t>”</w:t>
      </w:r>
      <w:r w:rsidRPr="00C96268">
        <w:rPr>
          <w:rStyle w:val="Odwoanieprzypisudolnego"/>
          <w:rFonts w:ascii="Times New Roman" w:hAnsi="Times New Roman" w:cs="Times New Roman"/>
          <w:szCs w:val="24"/>
        </w:rPr>
        <w:footnoteReference w:id="110"/>
      </w:r>
      <w:r w:rsidR="0069013A" w:rsidRPr="00C96268">
        <w:rPr>
          <w:rFonts w:ascii="Times New Roman" w:hAnsi="Times New Roman" w:cs="Times New Roman"/>
          <w:szCs w:val="24"/>
        </w:rPr>
        <w:t xml:space="preserve"> </w:t>
      </w:r>
      <w:r w:rsidRPr="00C96268">
        <w:rPr>
          <w:rFonts w:ascii="Times New Roman" w:hAnsi="Times New Roman" w:cs="Times New Roman"/>
          <w:szCs w:val="24"/>
        </w:rPr>
        <w:t xml:space="preserve">skonsolidowanego sprawozdania finansowego (a nie w </w:t>
      </w:r>
      <w:r w:rsidR="00103F2E" w:rsidRPr="00C96268">
        <w:rPr>
          <w:rFonts w:ascii="Times New Roman" w:hAnsi="Times New Roman" w:cs="Times New Roman"/>
          <w:szCs w:val="24"/>
        </w:rPr>
        <w:t>r</w:t>
      </w:r>
      <w:r w:rsidRPr="00C96268">
        <w:rPr>
          <w:rFonts w:ascii="Times New Roman" w:hAnsi="Times New Roman" w:cs="Times New Roman"/>
          <w:szCs w:val="24"/>
        </w:rPr>
        <w:t>achunku zysków i strat), są zasadniczo wyłączone z obliczania kwalifikowanego dochodu (straty).</w:t>
      </w:r>
      <w:r w:rsidR="009F72C2" w:rsidRPr="00C96268">
        <w:rPr>
          <w:rStyle w:val="Odwoanieprzypisudolnego"/>
          <w:rFonts w:ascii="Times New Roman" w:hAnsi="Times New Roman" w:cs="Times New Roman"/>
          <w:szCs w:val="24"/>
        </w:rPr>
        <w:footnoteReference w:id="111"/>
      </w:r>
      <w:r w:rsidRPr="00C96268">
        <w:rPr>
          <w:rFonts w:ascii="Times New Roman" w:hAnsi="Times New Roman" w:cs="Times New Roman"/>
          <w:szCs w:val="24"/>
        </w:rPr>
        <w:t xml:space="preserve"> Pozycje zawarte w </w:t>
      </w:r>
      <w:r w:rsidR="00A403A5" w:rsidRPr="00C96268">
        <w:rPr>
          <w:rFonts w:ascii="Times New Roman" w:hAnsi="Times New Roman" w:cs="Times New Roman"/>
          <w:szCs w:val="24"/>
        </w:rPr>
        <w:t>ww. sekcji</w:t>
      </w:r>
      <w:r w:rsidRPr="00C96268">
        <w:rPr>
          <w:rFonts w:ascii="Times New Roman" w:hAnsi="Times New Roman" w:cs="Times New Roman"/>
          <w:szCs w:val="24"/>
        </w:rPr>
        <w:t xml:space="preserve"> mogą </w:t>
      </w:r>
      <w:r w:rsidR="0069013A" w:rsidRPr="00C96268">
        <w:rPr>
          <w:rFonts w:ascii="Times New Roman" w:hAnsi="Times New Roman" w:cs="Times New Roman"/>
          <w:szCs w:val="24"/>
        </w:rPr>
        <w:t xml:space="preserve">np. </w:t>
      </w:r>
      <w:r w:rsidRPr="00C96268">
        <w:rPr>
          <w:rFonts w:ascii="Times New Roman" w:hAnsi="Times New Roman" w:cs="Times New Roman"/>
          <w:szCs w:val="24"/>
        </w:rPr>
        <w:t>obejmować zyski i straty z tytułu niektórych inwestycji dłużnych i kapitałowych</w:t>
      </w:r>
      <w:r w:rsidR="0069013A" w:rsidRPr="00C96268">
        <w:rPr>
          <w:rFonts w:ascii="Times New Roman" w:hAnsi="Times New Roman" w:cs="Times New Roman"/>
          <w:szCs w:val="24"/>
        </w:rPr>
        <w:t xml:space="preserve"> lub</w:t>
      </w:r>
      <w:r w:rsidRPr="00C96268">
        <w:rPr>
          <w:rFonts w:ascii="Times New Roman" w:hAnsi="Times New Roman" w:cs="Times New Roman"/>
          <w:szCs w:val="24"/>
        </w:rPr>
        <w:t xml:space="preserve"> zyski i straty z tytułu różnic kursowych. </w:t>
      </w:r>
      <w:r w:rsidR="0069013A" w:rsidRPr="00C96268">
        <w:rPr>
          <w:rFonts w:ascii="Times New Roman" w:hAnsi="Times New Roman" w:cs="Times New Roman"/>
          <w:szCs w:val="24"/>
        </w:rPr>
        <w:t>Jednakże w</w:t>
      </w:r>
      <w:r w:rsidRPr="00C96268">
        <w:rPr>
          <w:rFonts w:ascii="Times New Roman" w:hAnsi="Times New Roman" w:cs="Times New Roman"/>
          <w:szCs w:val="24"/>
        </w:rPr>
        <w:t xml:space="preserve">yjątek od ogólnej zasady, zgodnie z którą pozycje odzwierciedlone </w:t>
      </w:r>
      <w:r w:rsidR="00A6724B" w:rsidRPr="00C96268">
        <w:rPr>
          <w:rFonts w:ascii="Times New Roman" w:hAnsi="Times New Roman" w:cs="Times New Roman"/>
          <w:szCs w:val="24"/>
        </w:rPr>
        <w:t>w i</w:t>
      </w:r>
      <w:r w:rsidR="00A403A5" w:rsidRPr="00C96268">
        <w:rPr>
          <w:rFonts w:ascii="Times New Roman" w:hAnsi="Times New Roman" w:cs="Times New Roman"/>
          <w:szCs w:val="24"/>
        </w:rPr>
        <w:t>nn</w:t>
      </w:r>
      <w:r w:rsidR="00A6724B" w:rsidRPr="00C96268">
        <w:rPr>
          <w:rFonts w:ascii="Times New Roman" w:hAnsi="Times New Roman" w:cs="Times New Roman"/>
          <w:szCs w:val="24"/>
        </w:rPr>
        <w:t>ych</w:t>
      </w:r>
      <w:r w:rsidR="00A403A5" w:rsidRPr="00C96268">
        <w:rPr>
          <w:rFonts w:ascii="Times New Roman" w:hAnsi="Times New Roman" w:cs="Times New Roman"/>
          <w:szCs w:val="24"/>
        </w:rPr>
        <w:t xml:space="preserve"> całkowit</w:t>
      </w:r>
      <w:r w:rsidR="00A6724B" w:rsidRPr="00C96268">
        <w:rPr>
          <w:rFonts w:ascii="Times New Roman" w:hAnsi="Times New Roman" w:cs="Times New Roman"/>
          <w:szCs w:val="24"/>
        </w:rPr>
        <w:t>ych</w:t>
      </w:r>
      <w:r w:rsidR="00A403A5" w:rsidRPr="00C96268">
        <w:rPr>
          <w:rFonts w:ascii="Times New Roman" w:hAnsi="Times New Roman" w:cs="Times New Roman"/>
          <w:szCs w:val="24"/>
        </w:rPr>
        <w:t xml:space="preserve"> dochod</w:t>
      </w:r>
      <w:r w:rsidR="00A6724B" w:rsidRPr="00C96268">
        <w:rPr>
          <w:rFonts w:ascii="Times New Roman" w:hAnsi="Times New Roman" w:cs="Times New Roman"/>
          <w:szCs w:val="24"/>
        </w:rPr>
        <w:t>ach</w:t>
      </w:r>
      <w:r w:rsidR="00A403A5" w:rsidRPr="00C96268">
        <w:rPr>
          <w:rFonts w:ascii="Times New Roman" w:hAnsi="Times New Roman" w:cs="Times New Roman"/>
          <w:szCs w:val="24"/>
        </w:rPr>
        <w:t xml:space="preserve"> </w:t>
      </w:r>
      <w:r w:rsidRPr="00C96268">
        <w:rPr>
          <w:rFonts w:ascii="Times New Roman" w:hAnsi="Times New Roman" w:cs="Times New Roman"/>
          <w:szCs w:val="24"/>
        </w:rPr>
        <w:t>są wyłączone z kwalifikowanego dochodu (straty)</w:t>
      </w:r>
      <w:r w:rsidR="0069013A" w:rsidRPr="00C96268">
        <w:rPr>
          <w:rFonts w:ascii="Times New Roman" w:hAnsi="Times New Roman" w:cs="Times New Roman"/>
          <w:szCs w:val="24"/>
        </w:rPr>
        <w:t xml:space="preserve">, stanowią zyski (straty) wynikające z aktualizacji wyceny, wskazane w </w:t>
      </w:r>
      <w:r w:rsidR="0069013A" w:rsidRPr="00C96268">
        <w:rPr>
          <w:rFonts w:ascii="Times New Roman" w:hAnsi="Times New Roman" w:cs="Times New Roman"/>
          <w:b/>
          <w:bCs/>
          <w:szCs w:val="24"/>
        </w:rPr>
        <w:t xml:space="preserve">art. </w:t>
      </w:r>
      <w:r w:rsidR="009F72C2" w:rsidRPr="00C96268">
        <w:rPr>
          <w:rFonts w:ascii="Times New Roman" w:hAnsi="Times New Roman" w:cs="Times New Roman"/>
          <w:b/>
          <w:bCs/>
          <w:szCs w:val="24"/>
        </w:rPr>
        <w:t>45</w:t>
      </w:r>
      <w:r w:rsidRPr="00C96268">
        <w:rPr>
          <w:rFonts w:ascii="Times New Roman" w:hAnsi="Times New Roman" w:cs="Times New Roman"/>
          <w:szCs w:val="24"/>
        </w:rPr>
        <w:t>.</w:t>
      </w:r>
    </w:p>
    <w:bookmarkEnd w:id="13"/>
    <w:p w14:paraId="3B5CEFE4" w14:textId="1529D938" w:rsidR="009F72C2" w:rsidRPr="00C96268" w:rsidRDefault="009F72C2" w:rsidP="009F72C2">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38 [Korekty w celu </w:t>
      </w:r>
      <w:r w:rsidR="0059503C" w:rsidRPr="00C96268">
        <w:rPr>
          <w:rFonts w:ascii="Times New Roman" w:hAnsi="Times New Roman" w:cs="Times New Roman"/>
          <w:sz w:val="24"/>
          <w:szCs w:val="24"/>
        </w:rPr>
        <w:t>uniknięcia</w:t>
      </w:r>
      <w:r w:rsidRPr="00C96268">
        <w:rPr>
          <w:rFonts w:ascii="Times New Roman" w:hAnsi="Times New Roman" w:cs="Times New Roman"/>
          <w:sz w:val="24"/>
          <w:szCs w:val="24"/>
        </w:rPr>
        <w:t xml:space="preserve"> istotnej różnicy rachunkowej]</w:t>
      </w:r>
    </w:p>
    <w:p w14:paraId="2717D30A" w14:textId="7065F492" w:rsidR="00731D81" w:rsidRPr="00C96268" w:rsidRDefault="009F72C2" w:rsidP="00025C86">
      <w:pPr>
        <w:pStyle w:val="ARTartustawynprozporzdzenia"/>
        <w:spacing w:after="120" w:line="259" w:lineRule="auto"/>
        <w:ind w:firstLine="0"/>
        <w:rPr>
          <w:rFonts w:ascii="Times New Roman" w:hAnsi="Times New Roman" w:cs="Times New Roman"/>
          <w:szCs w:val="24"/>
        </w:rPr>
      </w:pPr>
      <w:r w:rsidRPr="00C96268">
        <w:rPr>
          <w:rFonts w:ascii="Times New Roman" w:hAnsi="Times New Roman" w:cs="Times New Roman"/>
          <w:szCs w:val="24"/>
        </w:rPr>
        <w:t>S</w:t>
      </w:r>
      <w:r w:rsidR="00BF5143" w:rsidRPr="00C96268">
        <w:rPr>
          <w:rFonts w:ascii="Times New Roman" w:hAnsi="Times New Roman" w:cs="Times New Roman"/>
          <w:szCs w:val="24"/>
        </w:rPr>
        <w:t>konsolidowane sprawozdanie finansowe, które wyznacza standard rachunkowości w celu ustalenia księgowego dochodu (straty) netto, może być sporządzone zgodnie z jednym z akceptowalnych standardów rachunkowości wskazanych w wykazie zawartym w</w:t>
      </w:r>
      <w:r w:rsidR="00BF5143" w:rsidRPr="00C96268">
        <w:rPr>
          <w:rFonts w:ascii="Times New Roman" w:hAnsi="Times New Roman" w:cs="Times New Roman"/>
          <w:bCs/>
          <w:szCs w:val="24"/>
        </w:rPr>
        <w:t xml:space="preserve"> art. </w:t>
      </w:r>
      <w:r w:rsidRPr="00C96268">
        <w:rPr>
          <w:rFonts w:ascii="Times New Roman" w:hAnsi="Times New Roman" w:cs="Times New Roman"/>
          <w:bCs/>
          <w:szCs w:val="24"/>
        </w:rPr>
        <w:t>2</w:t>
      </w:r>
      <w:r w:rsidR="00BF5143" w:rsidRPr="00C96268">
        <w:rPr>
          <w:rFonts w:ascii="Times New Roman" w:hAnsi="Times New Roman" w:cs="Times New Roman"/>
          <w:bCs/>
          <w:szCs w:val="24"/>
        </w:rPr>
        <w:t xml:space="preserve"> </w:t>
      </w:r>
      <w:r w:rsidRPr="00C96268">
        <w:rPr>
          <w:rFonts w:ascii="Times New Roman" w:hAnsi="Times New Roman" w:cs="Times New Roman"/>
          <w:bCs/>
          <w:szCs w:val="24"/>
        </w:rPr>
        <w:t xml:space="preserve">ust. 1 </w:t>
      </w:r>
      <w:r w:rsidR="00BF5143" w:rsidRPr="00C96268">
        <w:rPr>
          <w:rFonts w:ascii="Times New Roman" w:hAnsi="Times New Roman" w:cs="Times New Roman"/>
          <w:bCs/>
          <w:szCs w:val="24"/>
        </w:rPr>
        <w:t>pkt</w:t>
      </w:r>
      <w:r w:rsidR="007C1D20" w:rsidRPr="00C96268">
        <w:rPr>
          <w:rFonts w:ascii="Times New Roman" w:hAnsi="Times New Roman" w:cs="Times New Roman"/>
          <w:bCs/>
          <w:szCs w:val="24"/>
        </w:rPr>
        <w:t xml:space="preserve"> 1</w:t>
      </w:r>
      <w:r w:rsidR="00BF5143" w:rsidRPr="00C96268">
        <w:rPr>
          <w:rFonts w:ascii="Times New Roman" w:hAnsi="Times New Roman" w:cs="Times New Roman"/>
          <w:bCs/>
          <w:szCs w:val="24"/>
        </w:rPr>
        <w:t xml:space="preserve">, bądź zgodnie z </w:t>
      </w:r>
      <w:r w:rsidRPr="00C96268">
        <w:rPr>
          <w:rFonts w:ascii="Times New Roman" w:hAnsi="Times New Roman" w:cs="Times New Roman"/>
          <w:bCs/>
          <w:szCs w:val="24"/>
        </w:rPr>
        <w:t xml:space="preserve">innym </w:t>
      </w:r>
      <w:r w:rsidR="00BF5143" w:rsidRPr="00C96268">
        <w:rPr>
          <w:rFonts w:ascii="Times New Roman" w:hAnsi="Times New Roman" w:cs="Times New Roman"/>
          <w:bCs/>
          <w:szCs w:val="24"/>
        </w:rPr>
        <w:t>zatwierdzonym standardem rachunkowości. W</w:t>
      </w:r>
      <w:r w:rsidR="00BF5143" w:rsidRPr="00C96268">
        <w:rPr>
          <w:rFonts w:ascii="Times New Roman" w:hAnsi="Times New Roman" w:cs="Times New Roman"/>
          <w:szCs w:val="24"/>
        </w:rPr>
        <w:t xml:space="preserve"> tym drugim przypadku, zgodnie z</w:t>
      </w:r>
      <w:r w:rsidR="00BF5143" w:rsidRPr="00C96268">
        <w:rPr>
          <w:rFonts w:ascii="Times New Roman" w:hAnsi="Times New Roman" w:cs="Times New Roman"/>
          <w:b/>
          <w:bCs/>
          <w:szCs w:val="24"/>
        </w:rPr>
        <w:t xml:space="preserve"> art. </w:t>
      </w:r>
      <w:r w:rsidRPr="00C96268">
        <w:rPr>
          <w:rFonts w:ascii="Times New Roman" w:hAnsi="Times New Roman" w:cs="Times New Roman"/>
          <w:b/>
          <w:bCs/>
          <w:szCs w:val="24"/>
        </w:rPr>
        <w:t>38</w:t>
      </w:r>
      <w:r w:rsidR="00BF5143" w:rsidRPr="00C96268">
        <w:rPr>
          <w:rFonts w:ascii="Times New Roman" w:hAnsi="Times New Roman" w:cs="Times New Roman"/>
          <w:b/>
          <w:bCs/>
          <w:szCs w:val="24"/>
        </w:rPr>
        <w:t xml:space="preserve"> ust. </w:t>
      </w:r>
      <w:r w:rsidRPr="00C96268">
        <w:rPr>
          <w:rFonts w:ascii="Times New Roman" w:hAnsi="Times New Roman" w:cs="Times New Roman"/>
          <w:b/>
          <w:bCs/>
          <w:szCs w:val="24"/>
        </w:rPr>
        <w:t>1</w:t>
      </w:r>
      <w:r w:rsidR="00BF5143" w:rsidRPr="00C96268">
        <w:rPr>
          <w:rFonts w:ascii="Times New Roman" w:hAnsi="Times New Roman" w:cs="Times New Roman"/>
          <w:szCs w:val="24"/>
        </w:rPr>
        <w:t xml:space="preserve">, </w:t>
      </w:r>
      <w:r w:rsidR="00731D81" w:rsidRPr="00C96268">
        <w:rPr>
          <w:rFonts w:ascii="Times New Roman" w:hAnsi="Times New Roman" w:cs="Times New Roman"/>
          <w:szCs w:val="24"/>
        </w:rPr>
        <w:t xml:space="preserve">księgowy dochód (stratę) netto jednostki składowej </w:t>
      </w:r>
      <w:r w:rsidR="00731D81" w:rsidRPr="00C96268">
        <w:rPr>
          <w:rFonts w:ascii="Times New Roman" w:hAnsi="Times New Roman" w:cs="Times New Roman"/>
          <w:b/>
          <w:bCs/>
          <w:szCs w:val="24"/>
        </w:rPr>
        <w:t>koryguje się w celu uniknięcia istotnej różnicy rachunkowej</w:t>
      </w:r>
      <w:r w:rsidR="00BF5143" w:rsidRPr="00C96268">
        <w:rPr>
          <w:rFonts w:ascii="Times New Roman" w:hAnsi="Times New Roman" w:cs="Times New Roman"/>
          <w:szCs w:val="24"/>
        </w:rPr>
        <w:t>.</w:t>
      </w:r>
    </w:p>
    <w:p w14:paraId="33B004B3" w14:textId="4C24D189" w:rsidR="00660148" w:rsidRPr="00C96268" w:rsidRDefault="00660148" w:rsidP="00660148">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Zgodnie z </w:t>
      </w:r>
      <w:r w:rsidRPr="00C96268">
        <w:rPr>
          <w:rFonts w:ascii="Times New Roman" w:hAnsi="Times New Roman" w:cs="Times New Roman"/>
          <w:bCs/>
          <w:sz w:val="24"/>
          <w:szCs w:val="24"/>
        </w:rPr>
        <w:t xml:space="preserve">art. </w:t>
      </w:r>
      <w:r w:rsidR="00EE3B0C" w:rsidRPr="00C96268">
        <w:rPr>
          <w:rFonts w:ascii="Times New Roman" w:hAnsi="Times New Roman" w:cs="Times New Roman"/>
          <w:bCs/>
          <w:sz w:val="24"/>
          <w:szCs w:val="24"/>
        </w:rPr>
        <w:t>2 ust. 1</w:t>
      </w:r>
      <w:r w:rsidRPr="00C96268">
        <w:rPr>
          <w:rFonts w:ascii="Times New Roman" w:hAnsi="Times New Roman" w:cs="Times New Roman"/>
          <w:bCs/>
          <w:sz w:val="24"/>
          <w:szCs w:val="24"/>
        </w:rPr>
        <w:t xml:space="preserve"> pkt </w:t>
      </w:r>
      <w:r w:rsidR="00EE3B0C" w:rsidRPr="00C96268">
        <w:rPr>
          <w:rFonts w:ascii="Times New Roman" w:hAnsi="Times New Roman" w:cs="Times New Roman"/>
          <w:bCs/>
          <w:sz w:val="24"/>
          <w:szCs w:val="24"/>
        </w:rPr>
        <w:t>49</w:t>
      </w:r>
      <w:r w:rsidRPr="00C96268">
        <w:rPr>
          <w:rFonts w:ascii="Times New Roman" w:hAnsi="Times New Roman" w:cs="Times New Roman"/>
          <w:sz w:val="24"/>
          <w:szCs w:val="24"/>
        </w:rPr>
        <w:t xml:space="preserve"> zatwierdzony standard rachunkowości jest standardem rachunkowości legitymizowanym przez organ dysponujący upoważnieniem prawnym do wydawania, ustanawiania lub przyjmowania standardów rachunkowości dla celów sprawozdawczości finansowej. Zatwierdzone standardy rachunkowości podlegają zatem formalnemu usankcjonowaniu przez upoważniony organ w </w:t>
      </w:r>
      <w:r w:rsidR="00F50951" w:rsidRPr="00C96268">
        <w:rPr>
          <w:rFonts w:ascii="Times New Roman" w:hAnsi="Times New Roman" w:cs="Times New Roman"/>
          <w:sz w:val="24"/>
          <w:szCs w:val="24"/>
        </w:rPr>
        <w:t>dan</w:t>
      </w:r>
      <w:r w:rsidR="00267E67" w:rsidRPr="00C96268">
        <w:rPr>
          <w:rFonts w:ascii="Times New Roman" w:hAnsi="Times New Roman" w:cs="Times New Roman"/>
          <w:sz w:val="24"/>
          <w:szCs w:val="24"/>
        </w:rPr>
        <w:t>ej</w:t>
      </w:r>
      <w:r w:rsidR="00F50951" w:rsidRPr="00C96268">
        <w:rPr>
          <w:rFonts w:ascii="Times New Roman" w:hAnsi="Times New Roman" w:cs="Times New Roman"/>
          <w:sz w:val="24"/>
          <w:szCs w:val="24"/>
        </w:rPr>
        <w:t xml:space="preserve"> </w:t>
      </w:r>
      <w:r w:rsidR="00267E67" w:rsidRPr="00C96268">
        <w:rPr>
          <w:rFonts w:ascii="Times New Roman" w:hAnsi="Times New Roman" w:cs="Times New Roman"/>
          <w:sz w:val="24"/>
          <w:szCs w:val="24"/>
        </w:rPr>
        <w:t>jurysdykcji</w:t>
      </w:r>
      <w:r w:rsidRPr="00C96268">
        <w:rPr>
          <w:rFonts w:ascii="Times New Roman" w:hAnsi="Times New Roman" w:cs="Times New Roman"/>
          <w:sz w:val="24"/>
          <w:szCs w:val="24"/>
        </w:rPr>
        <w:t>. W świetle Zasad GloBE zatwierdzone standardy rachunkowości, które nie są akceptowalnymi standardami rachunkowości, mogą wymagać korekty ze względu na istotną różnic</w:t>
      </w:r>
      <w:r w:rsidR="00590E19" w:rsidRPr="00C96268">
        <w:rPr>
          <w:rFonts w:ascii="Times New Roman" w:hAnsi="Times New Roman" w:cs="Times New Roman"/>
          <w:sz w:val="24"/>
          <w:szCs w:val="24"/>
        </w:rPr>
        <w:t>ę</w:t>
      </w:r>
      <w:r w:rsidRPr="00C96268">
        <w:rPr>
          <w:rFonts w:ascii="Times New Roman" w:hAnsi="Times New Roman" w:cs="Times New Roman"/>
          <w:sz w:val="24"/>
          <w:szCs w:val="24"/>
        </w:rPr>
        <w:t xml:space="preserve"> rachunkową, podczas gdy wykaz standardów rachunkowości, które są akceptowalnymi standardami rachunkowości, nie wymaga stosownej korekty. Ograniczenie dotyczące istotnej różnicy rachunkowej, o którym mowa w </w:t>
      </w:r>
      <w:r w:rsidRPr="00C96268">
        <w:rPr>
          <w:rFonts w:ascii="Times New Roman" w:hAnsi="Times New Roman" w:cs="Times New Roman"/>
          <w:b/>
          <w:bCs/>
          <w:sz w:val="24"/>
          <w:szCs w:val="24"/>
        </w:rPr>
        <w:t xml:space="preserve">art. </w:t>
      </w:r>
      <w:r w:rsidR="00EE3B0C" w:rsidRPr="00C96268">
        <w:rPr>
          <w:rFonts w:ascii="Times New Roman" w:hAnsi="Times New Roman" w:cs="Times New Roman"/>
          <w:b/>
          <w:bCs/>
          <w:sz w:val="24"/>
          <w:szCs w:val="24"/>
        </w:rPr>
        <w:t>38</w:t>
      </w:r>
      <w:r w:rsidRPr="00C96268">
        <w:rPr>
          <w:rFonts w:ascii="Times New Roman" w:hAnsi="Times New Roman" w:cs="Times New Roman"/>
          <w:b/>
          <w:bCs/>
          <w:sz w:val="24"/>
          <w:szCs w:val="24"/>
        </w:rPr>
        <w:t xml:space="preserve"> ust. </w:t>
      </w:r>
      <w:r w:rsidR="00EE3B0C" w:rsidRPr="00C96268">
        <w:rPr>
          <w:rFonts w:ascii="Times New Roman" w:hAnsi="Times New Roman" w:cs="Times New Roman"/>
          <w:b/>
          <w:bCs/>
          <w:sz w:val="24"/>
          <w:szCs w:val="24"/>
        </w:rPr>
        <w:t>1</w:t>
      </w:r>
      <w:r w:rsidRPr="00C96268">
        <w:rPr>
          <w:rFonts w:ascii="Times New Roman" w:hAnsi="Times New Roman" w:cs="Times New Roman"/>
          <w:sz w:val="24"/>
          <w:szCs w:val="24"/>
        </w:rPr>
        <w:t xml:space="preserve"> służy jako reguła normalizująca, mająca na celu ograniczenie korzyści, jakie grupy mogłyby w przeciwnym razie osiągnąć dzięki zasadom i standardom rachunkowości stosowanym w oparciu o zatwierdzony standard rachunkowości, które </w:t>
      </w:r>
      <w:r w:rsidR="00EE3B0C" w:rsidRPr="00C96268">
        <w:rPr>
          <w:rFonts w:ascii="Times New Roman" w:hAnsi="Times New Roman" w:cs="Times New Roman"/>
          <w:sz w:val="24"/>
          <w:szCs w:val="24"/>
        </w:rPr>
        <w:t>nie są uznane za akceptowalne</w:t>
      </w:r>
      <w:r w:rsidRPr="00C96268">
        <w:rPr>
          <w:rFonts w:ascii="Times New Roman" w:hAnsi="Times New Roman" w:cs="Times New Roman"/>
          <w:sz w:val="24"/>
          <w:szCs w:val="24"/>
        </w:rPr>
        <w:t>.</w:t>
      </w:r>
    </w:p>
    <w:p w14:paraId="2D5EAF4E" w14:textId="459EEA55" w:rsidR="007C1D20" w:rsidRPr="00C96268" w:rsidRDefault="00EE3B0C" w:rsidP="007C1D20">
      <w:pPr>
        <w:spacing w:after="120"/>
        <w:jc w:val="both"/>
        <w:rPr>
          <w:rFonts w:ascii="Times New Roman" w:hAnsi="Times New Roman" w:cs="Times New Roman"/>
          <w:sz w:val="24"/>
          <w:szCs w:val="24"/>
        </w:rPr>
      </w:pPr>
      <w:r w:rsidRPr="00C96268">
        <w:rPr>
          <w:rFonts w:ascii="Times New Roman" w:hAnsi="Times New Roman" w:cs="Times New Roman"/>
          <w:sz w:val="24"/>
          <w:szCs w:val="24"/>
        </w:rPr>
        <w:t>W świetle</w:t>
      </w:r>
      <w:r w:rsidR="007C1D20" w:rsidRPr="00C96268">
        <w:rPr>
          <w:rFonts w:ascii="Times New Roman" w:hAnsi="Times New Roman" w:cs="Times New Roman"/>
          <w:sz w:val="24"/>
          <w:szCs w:val="24"/>
        </w:rPr>
        <w:t xml:space="preserve"> Zasad GloBE</w:t>
      </w:r>
      <w:r w:rsidRPr="00C96268">
        <w:rPr>
          <w:rFonts w:ascii="Times New Roman" w:hAnsi="Times New Roman" w:cs="Times New Roman"/>
          <w:sz w:val="24"/>
          <w:szCs w:val="24"/>
        </w:rPr>
        <w:t xml:space="preserve"> i zgodnie z art. 38 ust. 2</w:t>
      </w:r>
      <w:r w:rsidR="007C1D20" w:rsidRPr="00C96268">
        <w:rPr>
          <w:rFonts w:ascii="Times New Roman" w:hAnsi="Times New Roman" w:cs="Times New Roman"/>
          <w:sz w:val="24"/>
          <w:szCs w:val="24"/>
        </w:rPr>
        <w:t xml:space="preserve"> istotna różnica rachunkowa występuje, gdy zastosowanie określonej zasady lub procedury dozwolonej przez standard rachunkowości, który nie jest akceptowalnym standardem rachunkowości, skutkuje łączną różnicą </w:t>
      </w:r>
      <w:r w:rsidRPr="00C96268">
        <w:rPr>
          <w:rFonts w:ascii="Times New Roman" w:hAnsi="Times New Roman" w:cs="Times New Roman"/>
          <w:sz w:val="24"/>
          <w:szCs w:val="24"/>
        </w:rPr>
        <w:t>przekraczającą</w:t>
      </w:r>
      <w:r w:rsidR="007C1D20" w:rsidRPr="00C96268">
        <w:rPr>
          <w:rFonts w:ascii="Times New Roman" w:hAnsi="Times New Roman" w:cs="Times New Roman"/>
          <w:sz w:val="24"/>
          <w:szCs w:val="24"/>
        </w:rPr>
        <w:t xml:space="preserve"> 75 mln euro </w:t>
      </w:r>
      <w:r w:rsidRPr="00C96268">
        <w:rPr>
          <w:rFonts w:ascii="Times New Roman" w:hAnsi="Times New Roman" w:cs="Times New Roman"/>
          <w:sz w:val="24"/>
          <w:szCs w:val="24"/>
        </w:rPr>
        <w:t>łącznie dla wszystkich jednostek składowych grupy, za</w:t>
      </w:r>
      <w:r w:rsidR="007C1D20" w:rsidRPr="00C96268">
        <w:rPr>
          <w:rFonts w:ascii="Times New Roman" w:hAnsi="Times New Roman" w:cs="Times New Roman"/>
          <w:sz w:val="24"/>
          <w:szCs w:val="24"/>
        </w:rPr>
        <w:t xml:space="preserve"> dany rok podatkowy</w:t>
      </w:r>
      <w:r w:rsidRPr="00C96268">
        <w:rPr>
          <w:rFonts w:ascii="Times New Roman" w:hAnsi="Times New Roman" w:cs="Times New Roman"/>
          <w:sz w:val="24"/>
          <w:szCs w:val="24"/>
        </w:rPr>
        <w:t>,</w:t>
      </w:r>
      <w:r w:rsidR="007C1D20" w:rsidRPr="00C96268">
        <w:rPr>
          <w:rFonts w:ascii="Times New Roman" w:hAnsi="Times New Roman" w:cs="Times New Roman"/>
          <w:sz w:val="24"/>
          <w:szCs w:val="24"/>
        </w:rPr>
        <w:t xml:space="preserve"> w porównaniu z kwotą, która zostałaby ustalona przy zastosowaniu MSR lub MSSF. Zagregowane odchylenie odnosi się do całkowitego odchylenia odzwierciedlonego w skonsolidowanym sprawozdaniu finansowym grupy, </w:t>
      </w:r>
      <w:r w:rsidRPr="00C96268">
        <w:rPr>
          <w:rFonts w:ascii="Times New Roman" w:hAnsi="Times New Roman" w:cs="Times New Roman"/>
          <w:sz w:val="24"/>
          <w:szCs w:val="24"/>
        </w:rPr>
        <w:t>tj.</w:t>
      </w:r>
      <w:r w:rsidR="007C1D20" w:rsidRPr="00C96268">
        <w:rPr>
          <w:rFonts w:ascii="Times New Roman" w:hAnsi="Times New Roman" w:cs="Times New Roman"/>
          <w:sz w:val="24"/>
          <w:szCs w:val="24"/>
        </w:rPr>
        <w:t xml:space="preserve"> uwzględnia </w:t>
      </w:r>
      <w:r w:rsidR="007C1D20" w:rsidRPr="00C96268">
        <w:rPr>
          <w:rFonts w:ascii="Times New Roman" w:hAnsi="Times New Roman" w:cs="Times New Roman"/>
          <w:b/>
          <w:bCs/>
          <w:sz w:val="24"/>
          <w:szCs w:val="24"/>
        </w:rPr>
        <w:t>wpływ zasady lub procedury na wszystkie transakcje</w:t>
      </w:r>
      <w:r w:rsidR="00590E19" w:rsidRPr="00C96268">
        <w:rPr>
          <w:rFonts w:ascii="Times New Roman" w:hAnsi="Times New Roman" w:cs="Times New Roman"/>
          <w:b/>
          <w:bCs/>
          <w:sz w:val="24"/>
          <w:szCs w:val="24"/>
        </w:rPr>
        <w:t xml:space="preserve"> danej kategorii</w:t>
      </w:r>
      <w:r w:rsidR="007C1D20" w:rsidRPr="00C96268">
        <w:rPr>
          <w:rFonts w:ascii="Times New Roman" w:hAnsi="Times New Roman" w:cs="Times New Roman"/>
          <w:sz w:val="24"/>
          <w:szCs w:val="24"/>
        </w:rPr>
        <w:t xml:space="preserve">, na które ma to wpływ, zawarte przez </w:t>
      </w:r>
      <w:r w:rsidR="007C1D20" w:rsidRPr="00C96268">
        <w:rPr>
          <w:rFonts w:ascii="Times New Roman" w:hAnsi="Times New Roman" w:cs="Times New Roman"/>
          <w:b/>
          <w:bCs/>
          <w:sz w:val="24"/>
          <w:szCs w:val="24"/>
        </w:rPr>
        <w:t>wszystkie jednostki składowe wchodzące w skład grupy</w:t>
      </w:r>
      <w:r w:rsidR="007C1D20" w:rsidRPr="00C96268">
        <w:rPr>
          <w:rFonts w:ascii="Times New Roman" w:hAnsi="Times New Roman" w:cs="Times New Roman"/>
          <w:sz w:val="24"/>
          <w:szCs w:val="24"/>
        </w:rPr>
        <w:t xml:space="preserve">. W przypadku gdy zastosowanie określonej zasady lub procedury powoduje istotne różnice rachunkowe, </w:t>
      </w:r>
      <w:r w:rsidR="00590E19" w:rsidRPr="00C96268">
        <w:rPr>
          <w:rFonts w:ascii="Times New Roman" w:hAnsi="Times New Roman" w:cs="Times New Roman"/>
          <w:sz w:val="24"/>
          <w:szCs w:val="24"/>
        </w:rPr>
        <w:t xml:space="preserve">ujęcie </w:t>
      </w:r>
      <w:r w:rsidR="007C1D20" w:rsidRPr="00C96268">
        <w:rPr>
          <w:rFonts w:ascii="Times New Roman" w:hAnsi="Times New Roman" w:cs="Times New Roman"/>
          <w:sz w:val="24"/>
          <w:szCs w:val="24"/>
        </w:rPr>
        <w:t xml:space="preserve">księgowe każdej pozycji lub transakcji </w:t>
      </w:r>
      <w:r w:rsidR="00590E19" w:rsidRPr="00C96268">
        <w:rPr>
          <w:rFonts w:ascii="Times New Roman" w:hAnsi="Times New Roman" w:cs="Times New Roman"/>
          <w:sz w:val="24"/>
          <w:szCs w:val="24"/>
        </w:rPr>
        <w:t xml:space="preserve">danej kategorii, </w:t>
      </w:r>
      <w:r w:rsidR="007C1D20" w:rsidRPr="00C96268">
        <w:rPr>
          <w:rFonts w:ascii="Times New Roman" w:hAnsi="Times New Roman" w:cs="Times New Roman"/>
          <w:sz w:val="24"/>
          <w:szCs w:val="24"/>
        </w:rPr>
        <w:t>podlegającej tej zasadzie lub procedurze musi zostać dostosowane w taki sposób, aby było zgodne z podejściem wymaganym dla danej pozycji lub transakcji zgodnie z MSR lub MSSF.</w:t>
      </w:r>
      <w:r w:rsidRPr="00C96268">
        <w:rPr>
          <w:rFonts w:ascii="Times New Roman" w:hAnsi="Times New Roman" w:cs="Times New Roman"/>
          <w:sz w:val="24"/>
          <w:szCs w:val="24"/>
        </w:rPr>
        <w:t xml:space="preserve"> Opisana korekta dotyczy wyłączenie przychodów, kosztów lub innych pozycji stanowiących podstawę</w:t>
      </w:r>
      <w:r w:rsidR="004D4B32" w:rsidRPr="00C96268">
        <w:rPr>
          <w:rFonts w:ascii="Times New Roman" w:hAnsi="Times New Roman" w:cs="Times New Roman"/>
          <w:sz w:val="24"/>
          <w:szCs w:val="24"/>
        </w:rPr>
        <w:t xml:space="preserve"> </w:t>
      </w:r>
      <w:r w:rsidRPr="00C96268">
        <w:rPr>
          <w:rFonts w:ascii="Times New Roman" w:hAnsi="Times New Roman" w:cs="Times New Roman"/>
          <w:sz w:val="24"/>
          <w:szCs w:val="24"/>
        </w:rPr>
        <w:t>ustalenia kwalifikowanego dochodu (straty)</w:t>
      </w:r>
      <w:r w:rsidR="004D4B32" w:rsidRPr="00C96268">
        <w:rPr>
          <w:rFonts w:ascii="Times New Roman" w:hAnsi="Times New Roman" w:cs="Times New Roman"/>
          <w:sz w:val="24"/>
          <w:szCs w:val="24"/>
        </w:rPr>
        <w:t>,</w:t>
      </w:r>
      <w:r w:rsidRPr="00C96268">
        <w:rPr>
          <w:rFonts w:ascii="Times New Roman" w:hAnsi="Times New Roman" w:cs="Times New Roman"/>
          <w:sz w:val="24"/>
          <w:szCs w:val="24"/>
        </w:rPr>
        <w:t xml:space="preserve"> skorygowanych podatków kwalifikowanych</w:t>
      </w:r>
      <w:r w:rsidR="004D4B32" w:rsidRPr="00C96268">
        <w:rPr>
          <w:rFonts w:ascii="Times New Roman" w:hAnsi="Times New Roman" w:cs="Times New Roman"/>
          <w:sz w:val="24"/>
          <w:szCs w:val="24"/>
        </w:rPr>
        <w:t xml:space="preserve">, substratu majątkowo-osobowego lub innych pozycji niezbędnych do wyliczenia globalnego podatku wyrównawczego. </w:t>
      </w:r>
    </w:p>
    <w:p w14:paraId="2EA0C447" w14:textId="26F8153C" w:rsidR="004D4B32" w:rsidRPr="00C96268" w:rsidRDefault="004D4B32" w:rsidP="004D4B32">
      <w:pPr>
        <w:pStyle w:val="USTustnpkodeksu"/>
        <w:spacing w:line="259" w:lineRule="auto"/>
        <w:ind w:firstLine="0"/>
        <w:rPr>
          <w:rFonts w:ascii="Times New Roman" w:hAnsi="Times New Roman" w:cs="Times New Roman"/>
          <w:szCs w:val="24"/>
        </w:rPr>
      </w:pPr>
      <w:r w:rsidRPr="00C96268">
        <w:rPr>
          <w:rFonts w:ascii="Times New Roman" w:hAnsi="Times New Roman" w:cs="Times New Roman"/>
          <w:szCs w:val="24"/>
        </w:rPr>
        <w:t>Ust. 3 precyzuje dodatkowo, że w przypadku gdy wystąpi istotna różnica rachunkowa, kwoty przychodów, kosztów i innych pozycji ustalone w odniesieniu do transakcji z zastosowaniem tej zasady lub procedury ustala się w odniesieniu do tej transakcji zgodnie z zasadą lub procedurą określoną w MSR lub MSSF. Tym samym, na bazie ust. 2 bada się, czy występuje taka różnica, porównując traktowanie danej kategorii transakcji względem MSR/MSSF, a jeżeli występuje, zrównuje się traktowanie danej kategorii transakcji z odpowiednim traktowaniem na gruncie MSR/MSSF.</w:t>
      </w:r>
    </w:p>
    <w:p w14:paraId="59018722" w14:textId="6F8F9ABB" w:rsidR="004D4B32" w:rsidRPr="00C96268" w:rsidRDefault="004D4B32" w:rsidP="00BF31F7">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39 [Brak możliwość zastosowania standardu rachunkowości UPE]</w:t>
      </w:r>
    </w:p>
    <w:p w14:paraId="32835F55" w14:textId="75C1D56D" w:rsidR="0037271B" w:rsidRPr="00C96268" w:rsidRDefault="000A4314" w:rsidP="0037271B">
      <w:pPr>
        <w:spacing w:after="120"/>
        <w:jc w:val="both"/>
        <w:rPr>
          <w:rFonts w:ascii="Times New Roman" w:hAnsi="Times New Roman" w:cs="Times New Roman"/>
          <w:sz w:val="24"/>
          <w:szCs w:val="24"/>
        </w:rPr>
      </w:pPr>
      <w:r w:rsidRPr="00C96268">
        <w:rPr>
          <w:rFonts w:ascii="Times New Roman" w:hAnsi="Times New Roman" w:cs="Times New Roman"/>
          <w:b/>
          <w:bCs/>
          <w:sz w:val="24"/>
          <w:szCs w:val="24"/>
        </w:rPr>
        <w:t>A</w:t>
      </w:r>
      <w:r w:rsidR="00C20FFD" w:rsidRPr="00C96268">
        <w:rPr>
          <w:rFonts w:ascii="Times New Roman" w:hAnsi="Times New Roman" w:cs="Times New Roman"/>
          <w:b/>
          <w:bCs/>
          <w:sz w:val="24"/>
          <w:szCs w:val="24"/>
        </w:rPr>
        <w:t xml:space="preserve">rt. </w:t>
      </w:r>
      <w:r w:rsidR="004D4B32" w:rsidRPr="00C96268">
        <w:rPr>
          <w:rFonts w:ascii="Times New Roman" w:hAnsi="Times New Roman" w:cs="Times New Roman"/>
          <w:b/>
          <w:bCs/>
          <w:sz w:val="24"/>
          <w:szCs w:val="24"/>
        </w:rPr>
        <w:t>39</w:t>
      </w:r>
      <w:r w:rsidR="00C20FFD" w:rsidRPr="00C96268">
        <w:rPr>
          <w:rFonts w:ascii="Times New Roman" w:hAnsi="Times New Roman" w:cs="Times New Roman"/>
          <w:b/>
          <w:bCs/>
          <w:sz w:val="24"/>
          <w:szCs w:val="24"/>
        </w:rPr>
        <w:t xml:space="preserve"> </w:t>
      </w:r>
      <w:r w:rsidR="0037271B" w:rsidRPr="00C96268">
        <w:rPr>
          <w:rFonts w:ascii="Times New Roman" w:hAnsi="Times New Roman" w:cs="Times New Roman"/>
          <w:b/>
          <w:bCs/>
          <w:sz w:val="24"/>
          <w:szCs w:val="24"/>
        </w:rPr>
        <w:t xml:space="preserve">ust. </w:t>
      </w:r>
      <w:r w:rsidR="004D4B32" w:rsidRPr="00C96268">
        <w:rPr>
          <w:rFonts w:ascii="Times New Roman" w:hAnsi="Times New Roman" w:cs="Times New Roman"/>
          <w:b/>
          <w:bCs/>
          <w:sz w:val="24"/>
          <w:szCs w:val="24"/>
        </w:rPr>
        <w:t>1</w:t>
      </w:r>
      <w:r w:rsidRPr="00C96268">
        <w:rPr>
          <w:rFonts w:ascii="Times New Roman" w:hAnsi="Times New Roman" w:cs="Times New Roman"/>
          <w:sz w:val="24"/>
          <w:szCs w:val="24"/>
        </w:rPr>
        <w:t xml:space="preserve"> dotyczy przypadków, gdy</w:t>
      </w:r>
      <w:r w:rsidR="0037271B" w:rsidRPr="00C96268">
        <w:rPr>
          <w:rFonts w:ascii="Times New Roman" w:hAnsi="Times New Roman" w:cs="Times New Roman"/>
          <w:sz w:val="24"/>
          <w:szCs w:val="24"/>
        </w:rPr>
        <w:t xml:space="preserve"> nie jest </w:t>
      </w:r>
      <w:r w:rsidRPr="00C96268">
        <w:rPr>
          <w:rFonts w:ascii="Times New Roman" w:hAnsi="Times New Roman" w:cs="Times New Roman"/>
          <w:sz w:val="24"/>
          <w:szCs w:val="24"/>
        </w:rPr>
        <w:t xml:space="preserve">„racjonalnie </w:t>
      </w:r>
      <w:r w:rsidR="001E2C9C" w:rsidRPr="00C96268">
        <w:rPr>
          <w:rFonts w:ascii="Times New Roman" w:hAnsi="Times New Roman" w:cs="Times New Roman"/>
          <w:sz w:val="24"/>
          <w:szCs w:val="24"/>
        </w:rPr>
        <w:t>u</w:t>
      </w:r>
      <w:r w:rsidRPr="00C96268">
        <w:rPr>
          <w:rFonts w:ascii="Times New Roman" w:hAnsi="Times New Roman" w:cs="Times New Roman"/>
          <w:sz w:val="24"/>
          <w:szCs w:val="24"/>
        </w:rPr>
        <w:t>zasadn</w:t>
      </w:r>
      <w:r w:rsidR="001E2C9C" w:rsidRPr="00C96268">
        <w:rPr>
          <w:rFonts w:ascii="Times New Roman" w:hAnsi="Times New Roman" w:cs="Times New Roman"/>
          <w:sz w:val="24"/>
          <w:szCs w:val="24"/>
        </w:rPr>
        <w:t>ion</w:t>
      </w:r>
      <w:r w:rsidR="00D66B89" w:rsidRPr="00C96268">
        <w:rPr>
          <w:rFonts w:ascii="Times New Roman" w:hAnsi="Times New Roman" w:cs="Times New Roman"/>
          <w:sz w:val="24"/>
          <w:szCs w:val="24"/>
        </w:rPr>
        <w:t>e</w:t>
      </w:r>
      <w:r w:rsidRPr="00C96268">
        <w:rPr>
          <w:rFonts w:ascii="Times New Roman" w:hAnsi="Times New Roman" w:cs="Times New Roman"/>
          <w:sz w:val="24"/>
          <w:szCs w:val="24"/>
        </w:rPr>
        <w:t>” (tj. nie jest możliwe w praktyce lub w wysokim stopniu utrudnione, np. biorąc pod uwagę znaczne koszty)</w:t>
      </w:r>
      <w:r w:rsidR="0037271B" w:rsidRPr="00C96268">
        <w:rPr>
          <w:rFonts w:ascii="Times New Roman" w:hAnsi="Times New Roman" w:cs="Times New Roman"/>
          <w:sz w:val="24"/>
          <w:szCs w:val="24"/>
        </w:rPr>
        <w:t xml:space="preserve"> określenie księgowego dochodu</w:t>
      </w:r>
      <w:r w:rsidR="00F55AC0" w:rsidRPr="00C96268">
        <w:rPr>
          <w:rFonts w:ascii="Times New Roman" w:hAnsi="Times New Roman" w:cs="Times New Roman"/>
          <w:sz w:val="24"/>
          <w:szCs w:val="24"/>
        </w:rPr>
        <w:t xml:space="preserve"> </w:t>
      </w:r>
      <w:r w:rsidR="0037271B" w:rsidRPr="00C96268">
        <w:rPr>
          <w:rFonts w:ascii="Times New Roman" w:hAnsi="Times New Roman" w:cs="Times New Roman"/>
          <w:sz w:val="24"/>
          <w:szCs w:val="24"/>
        </w:rPr>
        <w:t>(straty) netto jednostki składowej na podstawie standardu rachunkowości zastosowanego przy sporządzaniu skonsolidowanego sprawozdania grupy</w:t>
      </w:r>
      <w:r w:rsidRPr="00C96268">
        <w:rPr>
          <w:rFonts w:ascii="Times New Roman" w:hAnsi="Times New Roman" w:cs="Times New Roman"/>
          <w:sz w:val="24"/>
          <w:szCs w:val="24"/>
        </w:rPr>
        <w:t xml:space="preserve">. W takich przypadkach </w:t>
      </w:r>
      <w:r w:rsidR="0037271B" w:rsidRPr="00C96268">
        <w:rPr>
          <w:rFonts w:ascii="Times New Roman" w:hAnsi="Times New Roman" w:cs="Times New Roman"/>
          <w:sz w:val="24"/>
          <w:szCs w:val="24"/>
        </w:rPr>
        <w:t>księgowy dochód</w:t>
      </w:r>
      <w:r w:rsidR="00F55AC0" w:rsidRPr="00C96268">
        <w:rPr>
          <w:rFonts w:ascii="Times New Roman" w:hAnsi="Times New Roman" w:cs="Times New Roman"/>
          <w:sz w:val="24"/>
          <w:szCs w:val="24"/>
        </w:rPr>
        <w:t xml:space="preserve"> </w:t>
      </w:r>
      <w:r w:rsidR="0037271B" w:rsidRPr="00C96268">
        <w:rPr>
          <w:rFonts w:ascii="Times New Roman" w:hAnsi="Times New Roman" w:cs="Times New Roman"/>
          <w:sz w:val="24"/>
          <w:szCs w:val="24"/>
        </w:rPr>
        <w:t xml:space="preserve">(stratę) netto takiej jednostki określa się na podstawie innego akceptowalnego lub zatwierdzonego standardu rachunkowości, jeżeli łącznie spełnione są następujące warunki: </w:t>
      </w:r>
    </w:p>
    <w:p w14:paraId="74ED1F42" w14:textId="4396F298" w:rsidR="0037271B" w:rsidRPr="00C96268" w:rsidRDefault="0037271B" w:rsidP="001E2C9C">
      <w:pPr>
        <w:pStyle w:val="Akapitzlist"/>
        <w:numPr>
          <w:ilvl w:val="0"/>
          <w:numId w:val="157"/>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księgi takiej jednostki są prowadzone </w:t>
      </w:r>
      <w:r w:rsidR="001E2C9C" w:rsidRPr="00C96268">
        <w:rPr>
          <w:rFonts w:ascii="Times New Roman" w:hAnsi="Times New Roman" w:cs="Times New Roman"/>
          <w:sz w:val="24"/>
          <w:szCs w:val="24"/>
        </w:rPr>
        <w:t>na podstawie tego</w:t>
      </w:r>
      <w:r w:rsidRPr="00C96268">
        <w:rPr>
          <w:rFonts w:ascii="Times New Roman" w:hAnsi="Times New Roman" w:cs="Times New Roman"/>
          <w:sz w:val="24"/>
          <w:szCs w:val="24"/>
        </w:rPr>
        <w:t xml:space="preserve"> inn</w:t>
      </w:r>
      <w:r w:rsidR="001E2C9C" w:rsidRPr="00C96268">
        <w:rPr>
          <w:rFonts w:ascii="Times New Roman" w:hAnsi="Times New Roman" w:cs="Times New Roman"/>
          <w:sz w:val="24"/>
          <w:szCs w:val="24"/>
        </w:rPr>
        <w:t>ego</w:t>
      </w:r>
      <w:r w:rsidRPr="00C96268">
        <w:rPr>
          <w:rFonts w:ascii="Times New Roman" w:hAnsi="Times New Roman" w:cs="Times New Roman"/>
          <w:sz w:val="24"/>
          <w:szCs w:val="24"/>
        </w:rPr>
        <w:t xml:space="preserve"> standard</w:t>
      </w:r>
      <w:r w:rsidR="001E2C9C" w:rsidRPr="00C96268">
        <w:rPr>
          <w:rFonts w:ascii="Times New Roman" w:hAnsi="Times New Roman" w:cs="Times New Roman"/>
          <w:sz w:val="24"/>
          <w:szCs w:val="24"/>
        </w:rPr>
        <w:t>u</w:t>
      </w:r>
      <w:r w:rsidRPr="00C96268">
        <w:rPr>
          <w:rFonts w:ascii="Times New Roman" w:hAnsi="Times New Roman" w:cs="Times New Roman"/>
          <w:sz w:val="24"/>
          <w:szCs w:val="24"/>
        </w:rPr>
        <w:t xml:space="preserve"> rachunkowości;</w:t>
      </w:r>
    </w:p>
    <w:p w14:paraId="47D52FF2" w14:textId="10E59C85" w:rsidR="0037271B" w:rsidRPr="00C96268" w:rsidRDefault="0037271B" w:rsidP="001E2C9C">
      <w:pPr>
        <w:pStyle w:val="Akapitzlist"/>
        <w:numPr>
          <w:ilvl w:val="0"/>
          <w:numId w:val="157"/>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informacje </w:t>
      </w:r>
      <w:r w:rsidR="000A4314" w:rsidRPr="00C96268">
        <w:rPr>
          <w:rFonts w:ascii="Times New Roman" w:hAnsi="Times New Roman" w:cs="Times New Roman"/>
          <w:sz w:val="24"/>
          <w:szCs w:val="24"/>
        </w:rPr>
        <w:t>i zapisy ujęte</w:t>
      </w:r>
      <w:r w:rsidRPr="00C96268">
        <w:rPr>
          <w:rFonts w:ascii="Times New Roman" w:hAnsi="Times New Roman" w:cs="Times New Roman"/>
          <w:sz w:val="24"/>
          <w:szCs w:val="24"/>
        </w:rPr>
        <w:t xml:space="preserve"> w księgach są </w:t>
      </w:r>
      <w:r w:rsidR="000A4314" w:rsidRPr="00C96268">
        <w:rPr>
          <w:rFonts w:ascii="Times New Roman" w:hAnsi="Times New Roman" w:cs="Times New Roman"/>
          <w:sz w:val="24"/>
          <w:szCs w:val="24"/>
        </w:rPr>
        <w:t xml:space="preserve">podane w sposób </w:t>
      </w:r>
      <w:r w:rsidRPr="00C96268">
        <w:rPr>
          <w:rFonts w:ascii="Times New Roman" w:hAnsi="Times New Roman" w:cs="Times New Roman"/>
          <w:sz w:val="24"/>
          <w:szCs w:val="24"/>
        </w:rPr>
        <w:t>wiarygodn</w:t>
      </w:r>
      <w:r w:rsidR="000A4314" w:rsidRPr="00C96268">
        <w:rPr>
          <w:rFonts w:ascii="Times New Roman" w:hAnsi="Times New Roman" w:cs="Times New Roman"/>
          <w:sz w:val="24"/>
          <w:szCs w:val="24"/>
        </w:rPr>
        <w:t>y</w:t>
      </w:r>
      <w:r w:rsidRPr="00C96268">
        <w:rPr>
          <w:rFonts w:ascii="Times New Roman" w:hAnsi="Times New Roman" w:cs="Times New Roman"/>
          <w:sz w:val="24"/>
          <w:szCs w:val="24"/>
        </w:rPr>
        <w:t>;</w:t>
      </w:r>
    </w:p>
    <w:p w14:paraId="312BDDCB" w14:textId="53B251FD" w:rsidR="00921996" w:rsidRPr="00C96268" w:rsidRDefault="00921996" w:rsidP="001E2C9C">
      <w:pPr>
        <w:pStyle w:val="Akapitzlist"/>
        <w:numPr>
          <w:ilvl w:val="0"/>
          <w:numId w:val="157"/>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zostaną skorygowane </w:t>
      </w:r>
      <w:r w:rsidR="0037271B" w:rsidRPr="00C96268">
        <w:rPr>
          <w:rFonts w:ascii="Times New Roman" w:hAnsi="Times New Roman" w:cs="Times New Roman"/>
          <w:sz w:val="24"/>
          <w:szCs w:val="24"/>
        </w:rPr>
        <w:t>trwałe różnice</w:t>
      </w:r>
      <w:r w:rsidRPr="00C96268">
        <w:rPr>
          <w:rFonts w:ascii="Times New Roman" w:hAnsi="Times New Roman" w:cs="Times New Roman"/>
          <w:sz w:val="24"/>
          <w:szCs w:val="24"/>
        </w:rPr>
        <w:t xml:space="preserve"> rachunkowe</w:t>
      </w:r>
      <w:r w:rsidR="0037271B" w:rsidRPr="00C96268">
        <w:rPr>
          <w:rFonts w:ascii="Times New Roman" w:hAnsi="Times New Roman" w:cs="Times New Roman"/>
          <w:sz w:val="24"/>
          <w:szCs w:val="24"/>
        </w:rPr>
        <w:t xml:space="preserve"> </w:t>
      </w:r>
      <w:r w:rsidRPr="00C96268">
        <w:rPr>
          <w:rFonts w:ascii="Times New Roman" w:hAnsi="Times New Roman" w:cs="Times New Roman"/>
          <w:sz w:val="24"/>
          <w:szCs w:val="24"/>
        </w:rPr>
        <w:t>pomiędzy stosowanym standardem rachunkowości a standardem stosowanym w skonsolidowanym sprawozdaniu grupy.</w:t>
      </w:r>
    </w:p>
    <w:p w14:paraId="7335479C" w14:textId="6873FB7F" w:rsidR="00731D81" w:rsidRPr="00C96268" w:rsidRDefault="00921996" w:rsidP="00731D81">
      <w:pPr>
        <w:pStyle w:val="Default"/>
        <w:spacing w:after="120" w:line="259" w:lineRule="auto"/>
        <w:jc w:val="both"/>
        <w:rPr>
          <w:rFonts w:ascii="Times New Roman" w:hAnsi="Times New Roman" w:cs="Times New Roman"/>
        </w:rPr>
      </w:pPr>
      <w:r w:rsidRPr="00C96268">
        <w:rPr>
          <w:rFonts w:ascii="Times New Roman" w:hAnsi="Times New Roman" w:cs="Times New Roman"/>
        </w:rPr>
        <w:t>Zakłada</w:t>
      </w:r>
      <w:r w:rsidR="00731D81" w:rsidRPr="00C96268">
        <w:rPr>
          <w:rFonts w:ascii="Times New Roman" w:hAnsi="Times New Roman" w:cs="Times New Roman"/>
        </w:rPr>
        <w:t xml:space="preserve"> się,</w:t>
      </w:r>
      <w:r w:rsidRPr="00C96268">
        <w:rPr>
          <w:rFonts w:ascii="Times New Roman" w:hAnsi="Times New Roman" w:cs="Times New Roman"/>
        </w:rPr>
        <w:t xml:space="preserve"> że </w:t>
      </w:r>
      <w:r w:rsidR="00731D81" w:rsidRPr="00C96268">
        <w:rPr>
          <w:rFonts w:ascii="Times New Roman" w:hAnsi="Times New Roman" w:cs="Times New Roman"/>
        </w:rPr>
        <w:t xml:space="preserve">zasada </w:t>
      </w:r>
      <w:r w:rsidRPr="00C96268">
        <w:rPr>
          <w:rFonts w:ascii="Times New Roman" w:hAnsi="Times New Roman" w:cs="Times New Roman"/>
        </w:rPr>
        <w:t>określona w art. 39</w:t>
      </w:r>
      <w:r w:rsidR="00731D81" w:rsidRPr="00C96268">
        <w:rPr>
          <w:rFonts w:ascii="Times New Roman" w:hAnsi="Times New Roman" w:cs="Times New Roman"/>
        </w:rPr>
        <w:t xml:space="preserve"> nie będzie miała zastosowania w wielu przypadkach, ponieważ </w:t>
      </w:r>
      <w:r w:rsidR="006373BB" w:rsidRPr="00C96268">
        <w:rPr>
          <w:rFonts w:ascii="Times New Roman" w:hAnsi="Times New Roman" w:cs="Times New Roman"/>
        </w:rPr>
        <w:t>grupa</w:t>
      </w:r>
      <w:r w:rsidR="00731D81" w:rsidRPr="00C96268">
        <w:rPr>
          <w:rFonts w:ascii="Times New Roman" w:hAnsi="Times New Roman" w:cs="Times New Roman"/>
        </w:rPr>
        <w:t xml:space="preserve"> zazwyczaj dysponuje mechanizmami umożliwiającymi przekształcenie sprawozdań finansowych jednostki zależnej na poziomie jednostki na standard rachunkowości </w:t>
      </w:r>
      <w:r w:rsidR="006373BB" w:rsidRPr="00C96268">
        <w:rPr>
          <w:rFonts w:ascii="Times New Roman" w:hAnsi="Times New Roman" w:cs="Times New Roman"/>
        </w:rPr>
        <w:t>jednostki dominującej najwyższego szczebla</w:t>
      </w:r>
      <w:r w:rsidR="006373BB" w:rsidRPr="00C96268" w:rsidDel="006373BB">
        <w:rPr>
          <w:rFonts w:ascii="Times New Roman" w:hAnsi="Times New Roman" w:cs="Times New Roman"/>
        </w:rPr>
        <w:t xml:space="preserve"> </w:t>
      </w:r>
      <w:r w:rsidR="00731D81" w:rsidRPr="00C96268">
        <w:rPr>
          <w:rFonts w:ascii="Times New Roman" w:hAnsi="Times New Roman" w:cs="Times New Roman"/>
        </w:rPr>
        <w:t>w związku ze sporządzaniem skonsolidowanego sprawozdania finansowego. W tych okolicznościach racjonalne jest obliczeni</w:t>
      </w:r>
      <w:r w:rsidRPr="00C96268">
        <w:rPr>
          <w:rFonts w:ascii="Times New Roman" w:hAnsi="Times New Roman" w:cs="Times New Roman"/>
        </w:rPr>
        <w:t>e</w:t>
      </w:r>
      <w:r w:rsidR="00731D81" w:rsidRPr="00C96268">
        <w:rPr>
          <w:rFonts w:ascii="Times New Roman" w:hAnsi="Times New Roman" w:cs="Times New Roman"/>
        </w:rPr>
        <w:t xml:space="preserve"> księgowego dochodu (straty) netto jednostki składowej w oparciu o standard zastosowany przy sporządzaniu skonsolidowanego sprawozdania </w:t>
      </w:r>
      <w:r w:rsidRPr="00C96268">
        <w:rPr>
          <w:rFonts w:ascii="Times New Roman" w:hAnsi="Times New Roman" w:cs="Times New Roman"/>
        </w:rPr>
        <w:t>grupy</w:t>
      </w:r>
      <w:r w:rsidR="00731D81" w:rsidRPr="00C96268">
        <w:rPr>
          <w:rFonts w:ascii="Times New Roman" w:hAnsi="Times New Roman" w:cs="Times New Roman"/>
        </w:rPr>
        <w:t xml:space="preserve">. Zasada ta może jednak mieć zastosowanie w przypadku, gdy </w:t>
      </w:r>
      <w:r w:rsidR="006373BB" w:rsidRPr="00C96268">
        <w:rPr>
          <w:rFonts w:ascii="Times New Roman" w:hAnsi="Times New Roman" w:cs="Times New Roman"/>
        </w:rPr>
        <w:t>grupa</w:t>
      </w:r>
      <w:r w:rsidR="00731D81" w:rsidRPr="00C96268">
        <w:rPr>
          <w:rFonts w:ascii="Times New Roman" w:hAnsi="Times New Roman" w:cs="Times New Roman"/>
        </w:rPr>
        <w:t xml:space="preserve"> dokonała niedawnego przejęcia grupy </w:t>
      </w:r>
      <w:r w:rsidRPr="00C96268">
        <w:rPr>
          <w:rFonts w:ascii="Times New Roman" w:hAnsi="Times New Roman" w:cs="Times New Roman"/>
        </w:rPr>
        <w:t>jednostek</w:t>
      </w:r>
      <w:r w:rsidR="00731D81" w:rsidRPr="00C96268">
        <w:rPr>
          <w:rFonts w:ascii="Times New Roman" w:hAnsi="Times New Roman" w:cs="Times New Roman"/>
        </w:rPr>
        <w:t xml:space="preserve">, które w przeszłości stosowały inny standard rachunkowości niż przejmująca </w:t>
      </w:r>
      <w:r w:rsidR="006373BB" w:rsidRPr="00C96268">
        <w:rPr>
          <w:rFonts w:ascii="Times New Roman" w:hAnsi="Times New Roman" w:cs="Times New Roman"/>
        </w:rPr>
        <w:t>grupa</w:t>
      </w:r>
      <w:r w:rsidR="00731D81" w:rsidRPr="00C96268">
        <w:rPr>
          <w:rFonts w:ascii="Times New Roman" w:hAnsi="Times New Roman" w:cs="Times New Roman"/>
        </w:rPr>
        <w:t xml:space="preserve">, co w racjonalny sposób uniemożliwia przekształcenie zasad rachunkowości finansowej przejętych </w:t>
      </w:r>
      <w:r w:rsidRPr="00C96268">
        <w:rPr>
          <w:rFonts w:ascii="Times New Roman" w:hAnsi="Times New Roman" w:cs="Times New Roman"/>
        </w:rPr>
        <w:t>jednostek</w:t>
      </w:r>
      <w:r w:rsidR="00731D81" w:rsidRPr="00C96268">
        <w:rPr>
          <w:rFonts w:ascii="Times New Roman" w:hAnsi="Times New Roman" w:cs="Times New Roman"/>
        </w:rPr>
        <w:t xml:space="preserve"> z ich uprzedniego standardu rachunkowości na standard </w:t>
      </w:r>
      <w:r w:rsidR="006373BB" w:rsidRPr="00C96268">
        <w:rPr>
          <w:rFonts w:ascii="Times New Roman" w:hAnsi="Times New Roman" w:cs="Times New Roman"/>
        </w:rPr>
        <w:t>jednostki dominującej najwyższego szczebla</w:t>
      </w:r>
      <w:r w:rsidR="00731D81" w:rsidRPr="00C96268">
        <w:rPr>
          <w:rFonts w:ascii="Times New Roman" w:hAnsi="Times New Roman" w:cs="Times New Roman"/>
        </w:rPr>
        <w:t>.</w:t>
      </w:r>
    </w:p>
    <w:p w14:paraId="59BDDAFA" w14:textId="2071E3FF" w:rsidR="00F30001" w:rsidRPr="00C96268" w:rsidRDefault="00731D81" w:rsidP="00731D81">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W przypadku, gdy zastosowanie standardu rachunkowości </w:t>
      </w:r>
      <w:r w:rsidR="006373BB" w:rsidRPr="00C96268">
        <w:rPr>
          <w:rFonts w:ascii="Times New Roman" w:hAnsi="Times New Roman" w:cs="Times New Roman"/>
        </w:rPr>
        <w:t>jednostki dominującej najwyższego szczebla</w:t>
      </w:r>
      <w:r w:rsidR="006373BB" w:rsidRPr="00C96268" w:rsidDel="006373BB">
        <w:rPr>
          <w:rFonts w:ascii="Times New Roman" w:hAnsi="Times New Roman" w:cs="Times New Roman"/>
        </w:rPr>
        <w:t xml:space="preserve"> </w:t>
      </w:r>
      <w:r w:rsidRPr="00C96268">
        <w:rPr>
          <w:rFonts w:ascii="Times New Roman" w:hAnsi="Times New Roman" w:cs="Times New Roman"/>
        </w:rPr>
        <w:t xml:space="preserve">do obliczenia księgowego dochodu (straty) netto jednostki składowej nie jest racjonalnie wykonalne, </w:t>
      </w:r>
      <w:r w:rsidR="00F30001" w:rsidRPr="00C96268">
        <w:rPr>
          <w:rFonts w:ascii="Times New Roman" w:hAnsi="Times New Roman" w:cs="Times New Roman"/>
        </w:rPr>
        <w:t xml:space="preserve">jak wskazano powyżej, </w:t>
      </w:r>
      <w:r w:rsidRPr="00C96268">
        <w:rPr>
          <w:rFonts w:ascii="Times New Roman" w:hAnsi="Times New Roman" w:cs="Times New Roman"/>
        </w:rPr>
        <w:t xml:space="preserve">zastosowanie alternatywnego standardu rachunkowości jest dodatkowo ograniczone trzema warunkami. Pierwszy warunek określony w </w:t>
      </w:r>
      <w:r w:rsidRPr="00C96268">
        <w:rPr>
          <w:rFonts w:ascii="Times New Roman" w:hAnsi="Times New Roman" w:cs="Times New Roman"/>
          <w:b/>
          <w:bCs/>
        </w:rPr>
        <w:t>art.</w:t>
      </w:r>
      <w:r w:rsidRPr="00C96268">
        <w:rPr>
          <w:rFonts w:ascii="Times New Roman" w:hAnsi="Times New Roman" w:cs="Times New Roman"/>
        </w:rPr>
        <w:t xml:space="preserve"> </w:t>
      </w:r>
      <w:r w:rsidR="00921996" w:rsidRPr="00C96268">
        <w:rPr>
          <w:rFonts w:ascii="Times New Roman" w:hAnsi="Times New Roman" w:cs="Times New Roman"/>
          <w:b/>
          <w:bCs/>
        </w:rPr>
        <w:t>3</w:t>
      </w:r>
      <w:r w:rsidR="00585A73" w:rsidRPr="00C96268">
        <w:rPr>
          <w:rFonts w:ascii="Times New Roman" w:hAnsi="Times New Roman" w:cs="Times New Roman"/>
          <w:b/>
          <w:bCs/>
        </w:rPr>
        <w:t>9</w:t>
      </w:r>
      <w:r w:rsidRPr="00C96268">
        <w:rPr>
          <w:rFonts w:ascii="Times New Roman" w:hAnsi="Times New Roman" w:cs="Times New Roman"/>
          <w:b/>
          <w:bCs/>
        </w:rPr>
        <w:t xml:space="preserve"> ust. </w:t>
      </w:r>
      <w:r w:rsidR="00921996" w:rsidRPr="00C96268">
        <w:rPr>
          <w:rFonts w:ascii="Times New Roman" w:hAnsi="Times New Roman" w:cs="Times New Roman"/>
          <w:b/>
          <w:bCs/>
        </w:rPr>
        <w:t>1</w:t>
      </w:r>
      <w:r w:rsidRPr="00C96268">
        <w:rPr>
          <w:rFonts w:ascii="Times New Roman" w:hAnsi="Times New Roman" w:cs="Times New Roman"/>
          <w:b/>
          <w:bCs/>
        </w:rPr>
        <w:t xml:space="preserve"> pkt 1</w:t>
      </w:r>
      <w:r w:rsidRPr="00C96268">
        <w:rPr>
          <w:rFonts w:ascii="Times New Roman" w:hAnsi="Times New Roman" w:cs="Times New Roman"/>
        </w:rPr>
        <w:t xml:space="preserve"> polega na tym, że rachunkowość jednostki składowej musi być prowadzona </w:t>
      </w:r>
      <w:r w:rsidR="009665B8" w:rsidRPr="00C96268">
        <w:rPr>
          <w:rFonts w:ascii="Times New Roman" w:hAnsi="Times New Roman" w:cs="Times New Roman"/>
        </w:rPr>
        <w:t>na podstawie tego</w:t>
      </w:r>
      <w:r w:rsidR="00F30001" w:rsidRPr="00C96268">
        <w:rPr>
          <w:rFonts w:ascii="Times New Roman" w:hAnsi="Times New Roman" w:cs="Times New Roman"/>
        </w:rPr>
        <w:t xml:space="preserve"> alternatywn</w:t>
      </w:r>
      <w:r w:rsidR="009665B8" w:rsidRPr="00C96268">
        <w:rPr>
          <w:rFonts w:ascii="Times New Roman" w:hAnsi="Times New Roman" w:cs="Times New Roman"/>
        </w:rPr>
        <w:t>ego</w:t>
      </w:r>
      <w:r w:rsidR="00F30001" w:rsidRPr="00C96268">
        <w:rPr>
          <w:rFonts w:ascii="Times New Roman" w:hAnsi="Times New Roman" w:cs="Times New Roman"/>
        </w:rPr>
        <w:t xml:space="preserve"> standard</w:t>
      </w:r>
      <w:r w:rsidR="009665B8" w:rsidRPr="00C96268">
        <w:rPr>
          <w:rFonts w:ascii="Times New Roman" w:hAnsi="Times New Roman" w:cs="Times New Roman"/>
        </w:rPr>
        <w:t>u</w:t>
      </w:r>
      <w:r w:rsidR="00F30001" w:rsidRPr="00C96268">
        <w:rPr>
          <w:rFonts w:ascii="Times New Roman" w:hAnsi="Times New Roman" w:cs="Times New Roman"/>
        </w:rPr>
        <w:t xml:space="preserve"> i co należy podkreślić, musi to być</w:t>
      </w:r>
      <w:r w:rsidRPr="00C96268">
        <w:rPr>
          <w:rFonts w:ascii="Times New Roman" w:hAnsi="Times New Roman" w:cs="Times New Roman"/>
        </w:rPr>
        <w:t xml:space="preserve"> akceptowalny standard rachunkowości lub </w:t>
      </w:r>
      <w:r w:rsidR="00F30001" w:rsidRPr="00C96268">
        <w:rPr>
          <w:rFonts w:ascii="Times New Roman" w:hAnsi="Times New Roman" w:cs="Times New Roman"/>
        </w:rPr>
        <w:t xml:space="preserve">inny </w:t>
      </w:r>
      <w:r w:rsidRPr="00C96268">
        <w:rPr>
          <w:rFonts w:ascii="Times New Roman" w:hAnsi="Times New Roman" w:cs="Times New Roman"/>
        </w:rPr>
        <w:t xml:space="preserve">zatwierdzony standard rachunkowości. Należy zaznaczyć, że rachunkowość prowadzona zgodnie z zatwierdzonym standardem rachunkowości musi zostać skorygowana ponadto o istotne różnice rachunkowe. </w:t>
      </w:r>
    </w:p>
    <w:p w14:paraId="1EBD1AF4" w14:textId="694CC51C" w:rsidR="00731D81" w:rsidRPr="00C96268" w:rsidRDefault="00731D81" w:rsidP="00731D81">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Drugi warunek określony w </w:t>
      </w:r>
      <w:r w:rsidRPr="00C96268">
        <w:rPr>
          <w:rFonts w:ascii="Times New Roman" w:hAnsi="Times New Roman" w:cs="Times New Roman"/>
          <w:b/>
          <w:bCs/>
        </w:rPr>
        <w:t xml:space="preserve">art. </w:t>
      </w:r>
      <w:r w:rsidR="00585A73" w:rsidRPr="00C96268">
        <w:rPr>
          <w:rFonts w:ascii="Times New Roman" w:hAnsi="Times New Roman" w:cs="Times New Roman"/>
          <w:b/>
          <w:bCs/>
        </w:rPr>
        <w:t>39</w:t>
      </w:r>
      <w:r w:rsidRPr="00C96268">
        <w:rPr>
          <w:rFonts w:ascii="Times New Roman" w:hAnsi="Times New Roman" w:cs="Times New Roman"/>
          <w:b/>
          <w:bCs/>
        </w:rPr>
        <w:t xml:space="preserve"> ust. </w:t>
      </w:r>
      <w:r w:rsidR="00585A73" w:rsidRPr="00C96268">
        <w:rPr>
          <w:rFonts w:ascii="Times New Roman" w:hAnsi="Times New Roman" w:cs="Times New Roman"/>
          <w:b/>
          <w:bCs/>
        </w:rPr>
        <w:t>1</w:t>
      </w:r>
      <w:r w:rsidRPr="00C96268">
        <w:rPr>
          <w:rFonts w:ascii="Times New Roman" w:hAnsi="Times New Roman" w:cs="Times New Roman"/>
          <w:b/>
          <w:bCs/>
        </w:rPr>
        <w:t xml:space="preserve"> pkt 2</w:t>
      </w:r>
      <w:r w:rsidRPr="00C96268">
        <w:rPr>
          <w:rFonts w:ascii="Times New Roman" w:hAnsi="Times New Roman" w:cs="Times New Roman"/>
        </w:rPr>
        <w:t xml:space="preserve"> polega na tym, że informacje wykorzystane dla celów rachunkowości, prowadzonych zgodnie z innym standardem rachunkowości, są </w:t>
      </w:r>
      <w:r w:rsidR="00585A73" w:rsidRPr="00C96268">
        <w:rPr>
          <w:rFonts w:ascii="Times New Roman" w:hAnsi="Times New Roman" w:cs="Times New Roman"/>
        </w:rPr>
        <w:t xml:space="preserve">podane w sposób </w:t>
      </w:r>
      <w:r w:rsidRPr="00C96268">
        <w:rPr>
          <w:rFonts w:ascii="Times New Roman" w:hAnsi="Times New Roman" w:cs="Times New Roman"/>
        </w:rPr>
        <w:t>wiarygodn</w:t>
      </w:r>
      <w:r w:rsidR="00585A73" w:rsidRPr="00C96268">
        <w:rPr>
          <w:rFonts w:ascii="Times New Roman" w:hAnsi="Times New Roman" w:cs="Times New Roman"/>
        </w:rPr>
        <w:t>y</w:t>
      </w:r>
      <w:r w:rsidRPr="00C96268">
        <w:rPr>
          <w:rFonts w:ascii="Times New Roman" w:hAnsi="Times New Roman" w:cs="Times New Roman"/>
        </w:rPr>
        <w:t xml:space="preserve">. Oznacza to, że muszą zostać wdrożone odpowiednie mechanizmy zapewniające dokładne rejestrowanie takich informacji. W związku z tym wewnętrzne kontrole rachunkowości i procesy księgowe stosowane przez jednostkę składową powinny zostać zweryfikowane i uznane za akceptowalne po przeprowadzeniu audytu wewnętrznego zgodnie z ogólnie przyjętymi standardami badania sprawozdań finansowych, mającymi zastosowanie w </w:t>
      </w:r>
      <w:r w:rsidR="00267E67" w:rsidRPr="00C96268">
        <w:rPr>
          <w:rFonts w:ascii="Times New Roman" w:hAnsi="Times New Roman" w:cs="Times New Roman"/>
        </w:rPr>
        <w:t>jurysdykcji</w:t>
      </w:r>
      <w:r w:rsidR="00267E67" w:rsidRPr="00C96268" w:rsidDel="00267E67">
        <w:rPr>
          <w:rFonts w:ascii="Times New Roman" w:hAnsi="Times New Roman" w:cs="Times New Roman"/>
        </w:rPr>
        <w:t xml:space="preserve"> </w:t>
      </w:r>
      <w:r w:rsidR="00585A73" w:rsidRPr="00C96268">
        <w:rPr>
          <w:rFonts w:ascii="Times New Roman" w:hAnsi="Times New Roman" w:cs="Times New Roman"/>
        </w:rPr>
        <w:t>lokalizacji</w:t>
      </w:r>
      <w:r w:rsidR="00FA3520" w:rsidRPr="00C96268">
        <w:rPr>
          <w:rFonts w:ascii="Times New Roman" w:hAnsi="Times New Roman" w:cs="Times New Roman"/>
        </w:rPr>
        <w:t xml:space="preserve"> </w:t>
      </w:r>
      <w:r w:rsidR="006373BB" w:rsidRPr="00C96268">
        <w:rPr>
          <w:rFonts w:ascii="Times New Roman" w:hAnsi="Times New Roman" w:cs="Times New Roman"/>
        </w:rPr>
        <w:t>jednostki dominującej najwyższego szczebla</w:t>
      </w:r>
      <w:r w:rsidR="006373BB" w:rsidRPr="00C96268" w:rsidDel="006373BB">
        <w:rPr>
          <w:rFonts w:ascii="Times New Roman" w:hAnsi="Times New Roman" w:cs="Times New Roman"/>
        </w:rPr>
        <w:t xml:space="preserve"> </w:t>
      </w:r>
      <w:r w:rsidRPr="00C96268">
        <w:rPr>
          <w:rFonts w:ascii="Times New Roman" w:hAnsi="Times New Roman" w:cs="Times New Roman"/>
        </w:rPr>
        <w:t>lub jednostki składowej (</w:t>
      </w:r>
      <w:r w:rsidR="00585A73" w:rsidRPr="00C96268">
        <w:rPr>
          <w:rFonts w:ascii="Times New Roman" w:hAnsi="Times New Roman" w:cs="Times New Roman"/>
        </w:rPr>
        <w:t xml:space="preserve">a </w:t>
      </w:r>
      <w:r w:rsidRPr="00C96268">
        <w:rPr>
          <w:rFonts w:ascii="Times New Roman" w:hAnsi="Times New Roman" w:cs="Times New Roman"/>
        </w:rPr>
        <w:t xml:space="preserve">w przypadku jednostki pośredniczącej w </w:t>
      </w:r>
      <w:r w:rsidR="00267E67" w:rsidRPr="00C96268">
        <w:rPr>
          <w:rFonts w:ascii="Times New Roman" w:hAnsi="Times New Roman" w:cs="Times New Roman"/>
        </w:rPr>
        <w:t>jurysdykcji</w:t>
      </w:r>
      <w:r w:rsidR="00267E67" w:rsidRPr="00C96268" w:rsidDel="00267E67">
        <w:rPr>
          <w:rFonts w:ascii="Times New Roman" w:hAnsi="Times New Roman" w:cs="Times New Roman"/>
        </w:rPr>
        <w:t xml:space="preserve"> </w:t>
      </w:r>
      <w:r w:rsidRPr="00C96268">
        <w:rPr>
          <w:rFonts w:ascii="Times New Roman" w:hAnsi="Times New Roman" w:cs="Times New Roman"/>
        </w:rPr>
        <w:t xml:space="preserve">utworzenia tego podmiotu). Jeżeli jednostka składowa nie spełnia tego wymogu w danym roku podatkowym, to jest ona zobowiązana do określenia rzeczywistego dochodu (straty) i kosztów za ten rok w oparciu o dane, które pozwalają na odzwierciedlenie stanu rzeczywistego (stosownie do </w:t>
      </w:r>
      <w:r w:rsidRPr="00C96268">
        <w:rPr>
          <w:rFonts w:ascii="Times New Roman" w:hAnsi="Times New Roman" w:cs="Times New Roman"/>
          <w:b/>
        </w:rPr>
        <w:t xml:space="preserve">art. </w:t>
      </w:r>
      <w:r w:rsidR="00585A73" w:rsidRPr="00C96268">
        <w:rPr>
          <w:rFonts w:ascii="Times New Roman" w:hAnsi="Times New Roman" w:cs="Times New Roman"/>
          <w:b/>
        </w:rPr>
        <w:t>39</w:t>
      </w:r>
      <w:r w:rsidRPr="00C96268">
        <w:rPr>
          <w:rFonts w:ascii="Times New Roman" w:hAnsi="Times New Roman" w:cs="Times New Roman"/>
          <w:b/>
        </w:rPr>
        <w:t xml:space="preserve"> ust. </w:t>
      </w:r>
      <w:r w:rsidR="00585A73" w:rsidRPr="00C96268">
        <w:rPr>
          <w:rFonts w:ascii="Times New Roman" w:hAnsi="Times New Roman" w:cs="Times New Roman"/>
          <w:b/>
        </w:rPr>
        <w:t>1 pkt 2</w:t>
      </w:r>
      <w:r w:rsidRPr="00C96268">
        <w:rPr>
          <w:rFonts w:ascii="Times New Roman" w:hAnsi="Times New Roman" w:cs="Times New Roman"/>
        </w:rPr>
        <w:t>). Ponadto</w:t>
      </w:r>
      <w:r w:rsidR="0037271B" w:rsidRPr="00C96268">
        <w:rPr>
          <w:rFonts w:ascii="Times New Roman" w:hAnsi="Times New Roman" w:cs="Times New Roman"/>
        </w:rPr>
        <w:t>,</w:t>
      </w:r>
      <w:r w:rsidRPr="00C96268">
        <w:rPr>
          <w:rFonts w:ascii="Times New Roman" w:hAnsi="Times New Roman" w:cs="Times New Roman"/>
        </w:rPr>
        <w:t xml:space="preserve"> w takiej sytuacji jednostka składowa musi opracować i wdrożyć mechanizmy zapewniające wiarygodność informacji zawartych w sprawozdaniu finansowym.</w:t>
      </w:r>
    </w:p>
    <w:p w14:paraId="67ECC7EF" w14:textId="16FD3FF5" w:rsidR="00585A73" w:rsidRPr="00C96268" w:rsidRDefault="00731D81" w:rsidP="00731D81">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Ostatnim warunkiem określonym w </w:t>
      </w:r>
      <w:r w:rsidRPr="00C96268">
        <w:rPr>
          <w:rFonts w:ascii="Times New Roman" w:hAnsi="Times New Roman" w:cs="Times New Roman"/>
          <w:b/>
          <w:bCs/>
        </w:rPr>
        <w:t xml:space="preserve">art. </w:t>
      </w:r>
      <w:r w:rsidR="00585A73" w:rsidRPr="00C96268">
        <w:rPr>
          <w:rFonts w:ascii="Times New Roman" w:hAnsi="Times New Roman" w:cs="Times New Roman"/>
          <w:b/>
          <w:bCs/>
        </w:rPr>
        <w:t>39</w:t>
      </w:r>
      <w:r w:rsidRPr="00C96268">
        <w:rPr>
          <w:rFonts w:ascii="Times New Roman" w:hAnsi="Times New Roman" w:cs="Times New Roman"/>
          <w:b/>
          <w:bCs/>
        </w:rPr>
        <w:t xml:space="preserve"> ust. </w:t>
      </w:r>
      <w:r w:rsidR="00585A73" w:rsidRPr="00C96268">
        <w:rPr>
          <w:rFonts w:ascii="Times New Roman" w:hAnsi="Times New Roman" w:cs="Times New Roman"/>
          <w:b/>
          <w:bCs/>
        </w:rPr>
        <w:t>1</w:t>
      </w:r>
      <w:r w:rsidRPr="00C96268">
        <w:rPr>
          <w:rFonts w:ascii="Times New Roman" w:hAnsi="Times New Roman" w:cs="Times New Roman"/>
          <w:b/>
          <w:bCs/>
        </w:rPr>
        <w:t xml:space="preserve"> pkt 3</w:t>
      </w:r>
      <w:r w:rsidRPr="00C96268">
        <w:rPr>
          <w:rFonts w:ascii="Times New Roman" w:hAnsi="Times New Roman" w:cs="Times New Roman"/>
        </w:rPr>
        <w:t xml:space="preserve"> jest to, że stosowanie innego standardu rachunkowości nie może prowadzić do trwałych różnic w stosunku do standardu rachunkowości </w:t>
      </w:r>
      <w:r w:rsidR="00585A73" w:rsidRPr="00C96268">
        <w:rPr>
          <w:rFonts w:ascii="Times New Roman" w:hAnsi="Times New Roman" w:cs="Times New Roman"/>
        </w:rPr>
        <w:t>w skonsolidowanym sprawozdaniu grupy</w:t>
      </w:r>
      <w:r w:rsidRPr="00C96268">
        <w:rPr>
          <w:rFonts w:ascii="Times New Roman" w:hAnsi="Times New Roman" w:cs="Times New Roman"/>
        </w:rPr>
        <w:t xml:space="preserve">. </w:t>
      </w:r>
    </w:p>
    <w:p w14:paraId="7B12B02A" w14:textId="5B1C0BD5" w:rsidR="00585A73" w:rsidRPr="00C96268" w:rsidRDefault="00585A73" w:rsidP="00585A73">
      <w:pPr>
        <w:spacing w:after="120"/>
        <w:jc w:val="both"/>
        <w:rPr>
          <w:rFonts w:ascii="Times New Roman" w:hAnsi="Times New Roman" w:cs="Times New Roman"/>
          <w:sz w:val="24"/>
          <w:szCs w:val="24"/>
        </w:rPr>
      </w:pPr>
      <w:r w:rsidRPr="00C96268">
        <w:rPr>
          <w:rFonts w:ascii="Times New Roman" w:hAnsi="Times New Roman" w:cs="Times New Roman"/>
          <w:sz w:val="24"/>
          <w:szCs w:val="24"/>
        </w:rPr>
        <w:t>Trwałe różnice rachunkowe określa się jako przekraczające kwotę 1 000 000 euro trwałe różnice - pomiędzy dwoma wskazanymi standardami - odnoszące się do przychodów, kosztów lub innych pozycji ustalonych w odniesieniu do określonego rodzaju transakcji zgodnie z procedurą określoną w danym standardzie rachunkowości. Korekta polega na zapewnieniu zgodności z podejściem wymaganym dla transakcji danej kategorii zgodnie ze standardem rachunkowości zastosowanym przy sporządzeniu skonsolidowanego sprawozdania grupy.</w:t>
      </w:r>
    </w:p>
    <w:p w14:paraId="621FE64D" w14:textId="6EB2CED9" w:rsidR="0036219C" w:rsidRPr="00C96268" w:rsidRDefault="00731D81" w:rsidP="00731D81">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Warunek ten ma zastosowanie wyłącznie do trwałych różnic między standardami rachunkowości. Na przykład, jeżeli instrument finansowy jest traktowany jako dług zgodnie ze standardem rachunkowości </w:t>
      </w:r>
      <w:r w:rsidR="00585A73" w:rsidRPr="00C96268">
        <w:rPr>
          <w:rFonts w:ascii="Times New Roman" w:hAnsi="Times New Roman" w:cs="Times New Roman"/>
        </w:rPr>
        <w:t>w skonsolidowanym sprawozdaniu grupy</w:t>
      </w:r>
      <w:r w:rsidR="006373BB" w:rsidRPr="00C96268" w:rsidDel="006373BB">
        <w:rPr>
          <w:rFonts w:ascii="Times New Roman" w:hAnsi="Times New Roman" w:cs="Times New Roman"/>
        </w:rPr>
        <w:t xml:space="preserve"> </w:t>
      </w:r>
      <w:r w:rsidRPr="00C96268">
        <w:rPr>
          <w:rFonts w:ascii="Times New Roman" w:hAnsi="Times New Roman" w:cs="Times New Roman"/>
        </w:rPr>
        <w:t xml:space="preserve">i kapitał własny zgodnie z innym standardem rachunkowości, standard </w:t>
      </w:r>
      <w:r w:rsidR="00585A73" w:rsidRPr="00C96268">
        <w:rPr>
          <w:rFonts w:ascii="Times New Roman" w:hAnsi="Times New Roman" w:cs="Times New Roman"/>
        </w:rPr>
        <w:t>stosowany w takim skonsolidowanym sprawozdaniu</w:t>
      </w:r>
      <w:r w:rsidRPr="00C96268">
        <w:rPr>
          <w:rFonts w:ascii="Times New Roman" w:hAnsi="Times New Roman" w:cs="Times New Roman"/>
        </w:rPr>
        <w:t xml:space="preserve"> będzie odzwierciedlał płatności otrzymane z tytułu tego instrumentu w </w:t>
      </w:r>
      <w:r w:rsidR="00585A73" w:rsidRPr="00C96268">
        <w:rPr>
          <w:rFonts w:ascii="Times New Roman" w:hAnsi="Times New Roman" w:cs="Times New Roman"/>
        </w:rPr>
        <w:t>zysku (stracie)</w:t>
      </w:r>
      <w:r w:rsidRPr="00C96268">
        <w:rPr>
          <w:rFonts w:ascii="Times New Roman" w:hAnsi="Times New Roman" w:cs="Times New Roman"/>
        </w:rPr>
        <w:t xml:space="preserve"> netto, natomiast ten drugi standard nie. Spowoduje to trwałą różnicę w </w:t>
      </w:r>
      <w:r w:rsidR="00585A73" w:rsidRPr="00C96268">
        <w:rPr>
          <w:rFonts w:ascii="Times New Roman" w:hAnsi="Times New Roman" w:cs="Times New Roman"/>
        </w:rPr>
        <w:t xml:space="preserve">księgowym </w:t>
      </w:r>
      <w:r w:rsidRPr="00C96268">
        <w:rPr>
          <w:rFonts w:ascii="Times New Roman" w:hAnsi="Times New Roman" w:cs="Times New Roman"/>
        </w:rPr>
        <w:t xml:space="preserve">dochodzie </w:t>
      </w:r>
      <w:r w:rsidR="00585A73" w:rsidRPr="00C96268">
        <w:rPr>
          <w:rFonts w:ascii="Times New Roman" w:hAnsi="Times New Roman" w:cs="Times New Roman"/>
        </w:rPr>
        <w:t xml:space="preserve">(stracie) </w:t>
      </w:r>
      <w:r w:rsidRPr="00C96268">
        <w:rPr>
          <w:rFonts w:ascii="Times New Roman" w:hAnsi="Times New Roman" w:cs="Times New Roman"/>
        </w:rPr>
        <w:t xml:space="preserve">netto posiadacza instrumentu. Różnice czasowe, w tym różnice w </w:t>
      </w:r>
      <w:r w:rsidR="00585A73" w:rsidRPr="00C96268">
        <w:rPr>
          <w:rFonts w:ascii="Times New Roman" w:hAnsi="Times New Roman" w:cs="Times New Roman"/>
        </w:rPr>
        <w:t>roku obrotowym</w:t>
      </w:r>
      <w:r w:rsidRPr="00C96268">
        <w:rPr>
          <w:rFonts w:ascii="Times New Roman" w:hAnsi="Times New Roman" w:cs="Times New Roman"/>
        </w:rPr>
        <w:t xml:space="preserve"> </w:t>
      </w:r>
      <w:r w:rsidR="00585A73" w:rsidRPr="00C96268">
        <w:rPr>
          <w:rFonts w:ascii="Times New Roman" w:hAnsi="Times New Roman" w:cs="Times New Roman"/>
        </w:rPr>
        <w:t>przyjętym</w:t>
      </w:r>
      <w:r w:rsidRPr="00C96268">
        <w:rPr>
          <w:rFonts w:ascii="Times New Roman" w:hAnsi="Times New Roman" w:cs="Times New Roman"/>
        </w:rPr>
        <w:t xml:space="preserve"> zgodnie z różnymi standardami rachunkowości, nie podlegają temu warunkowi.</w:t>
      </w:r>
      <w:r w:rsidR="00C55F82" w:rsidRPr="00C96268">
        <w:rPr>
          <w:rFonts w:ascii="Times New Roman" w:hAnsi="Times New Roman" w:cs="Times New Roman"/>
        </w:rPr>
        <w:t xml:space="preserve"> </w:t>
      </w:r>
    </w:p>
    <w:p w14:paraId="2BA9CCF5" w14:textId="213717E7" w:rsidR="001A490D" w:rsidRPr="00C96268" w:rsidRDefault="001A490D" w:rsidP="00852777">
      <w:pPr>
        <w:pStyle w:val="Nagwek5"/>
        <w:jc w:val="both"/>
        <w:rPr>
          <w:rStyle w:val="Ppogrubienie"/>
          <w:rFonts w:ascii="Times New Roman" w:hAnsi="Times New Roman" w:cs="Times New Roman"/>
          <w:b w:val="0"/>
          <w:sz w:val="24"/>
          <w:szCs w:val="24"/>
        </w:rPr>
      </w:pPr>
      <w:r w:rsidRPr="00C96268">
        <w:rPr>
          <w:rStyle w:val="Ppogrubienie"/>
          <w:rFonts w:ascii="Times New Roman" w:hAnsi="Times New Roman" w:cs="Times New Roman"/>
          <w:b w:val="0"/>
          <w:sz w:val="24"/>
          <w:szCs w:val="24"/>
        </w:rPr>
        <w:t>Art. 40</w:t>
      </w:r>
      <w:r w:rsidR="00852777" w:rsidRPr="00C96268">
        <w:rPr>
          <w:rStyle w:val="Ppogrubienie"/>
          <w:rFonts w:ascii="Times New Roman" w:hAnsi="Times New Roman" w:cs="Times New Roman"/>
          <w:b w:val="0"/>
          <w:sz w:val="24"/>
          <w:szCs w:val="24"/>
        </w:rPr>
        <w:t xml:space="preserve"> [Stosowanie wyłącznie akceptowalnego albo innego zatwierdzonego standardu rachunkowości]</w:t>
      </w:r>
    </w:p>
    <w:p w14:paraId="70A01D1D" w14:textId="1820DF46" w:rsidR="00F30001" w:rsidRPr="00C96268" w:rsidRDefault="00F30001" w:rsidP="00F30001">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Zgodnie z </w:t>
      </w:r>
      <w:r w:rsidRPr="00C96268">
        <w:rPr>
          <w:rFonts w:ascii="Times New Roman" w:hAnsi="Times New Roman" w:cs="Times New Roman"/>
          <w:b/>
          <w:bCs/>
        </w:rPr>
        <w:t>art. 4</w:t>
      </w:r>
      <w:r w:rsidR="00852777" w:rsidRPr="00C96268">
        <w:rPr>
          <w:rFonts w:ascii="Times New Roman" w:hAnsi="Times New Roman" w:cs="Times New Roman"/>
          <w:b/>
          <w:bCs/>
        </w:rPr>
        <w:t>0,</w:t>
      </w:r>
      <w:r w:rsidRPr="00C96268">
        <w:rPr>
          <w:rFonts w:ascii="Times New Roman" w:hAnsi="Times New Roman" w:cs="Times New Roman"/>
        </w:rPr>
        <w:t xml:space="preserve"> </w:t>
      </w:r>
      <w:r w:rsidR="00852777" w:rsidRPr="00C96268">
        <w:rPr>
          <w:rFonts w:ascii="Times New Roman" w:hAnsi="Times New Roman" w:cs="Times New Roman"/>
        </w:rPr>
        <w:t>j</w:t>
      </w:r>
      <w:r w:rsidRPr="00C96268">
        <w:rPr>
          <w:rFonts w:ascii="Times New Roman" w:hAnsi="Times New Roman" w:cs="Times New Roman"/>
        </w:rPr>
        <w:t xml:space="preserve">eżeli jednostka składowa nie prowadzi swoich ksiąg rachunkowych </w:t>
      </w:r>
      <w:r w:rsidR="007C3C7F" w:rsidRPr="00C96268">
        <w:rPr>
          <w:rFonts w:ascii="Times New Roman" w:hAnsi="Times New Roman" w:cs="Times New Roman"/>
        </w:rPr>
        <w:t>na podstawie</w:t>
      </w:r>
      <w:r w:rsidRPr="00C96268">
        <w:rPr>
          <w:rFonts w:ascii="Times New Roman" w:hAnsi="Times New Roman" w:cs="Times New Roman"/>
        </w:rPr>
        <w:t xml:space="preserve"> akceptowaln</w:t>
      </w:r>
      <w:r w:rsidR="007C3C7F" w:rsidRPr="00C96268">
        <w:rPr>
          <w:rFonts w:ascii="Times New Roman" w:hAnsi="Times New Roman" w:cs="Times New Roman"/>
        </w:rPr>
        <w:t>ego</w:t>
      </w:r>
      <w:r w:rsidRPr="00C96268">
        <w:rPr>
          <w:rFonts w:ascii="Times New Roman" w:hAnsi="Times New Roman" w:cs="Times New Roman"/>
        </w:rPr>
        <w:t xml:space="preserve"> standard</w:t>
      </w:r>
      <w:r w:rsidR="007C3C7F" w:rsidRPr="00C96268">
        <w:rPr>
          <w:rFonts w:ascii="Times New Roman" w:hAnsi="Times New Roman" w:cs="Times New Roman"/>
        </w:rPr>
        <w:t>u</w:t>
      </w:r>
      <w:r w:rsidRPr="00C96268">
        <w:rPr>
          <w:rFonts w:ascii="Times New Roman" w:hAnsi="Times New Roman" w:cs="Times New Roman"/>
        </w:rPr>
        <w:t xml:space="preserve"> rachunkowości lub zatwierdzon</w:t>
      </w:r>
      <w:r w:rsidR="007C3C7F" w:rsidRPr="00C96268">
        <w:rPr>
          <w:rFonts w:ascii="Times New Roman" w:hAnsi="Times New Roman" w:cs="Times New Roman"/>
        </w:rPr>
        <w:t>ego</w:t>
      </w:r>
      <w:r w:rsidRPr="00C96268">
        <w:rPr>
          <w:rFonts w:ascii="Times New Roman" w:hAnsi="Times New Roman" w:cs="Times New Roman"/>
        </w:rPr>
        <w:t xml:space="preserve"> standard</w:t>
      </w:r>
      <w:r w:rsidR="007C3C7F" w:rsidRPr="00C96268">
        <w:rPr>
          <w:rFonts w:ascii="Times New Roman" w:hAnsi="Times New Roman" w:cs="Times New Roman"/>
        </w:rPr>
        <w:t>u</w:t>
      </w:r>
      <w:r w:rsidRPr="00C96268">
        <w:rPr>
          <w:rFonts w:ascii="Times New Roman" w:hAnsi="Times New Roman" w:cs="Times New Roman"/>
        </w:rPr>
        <w:t xml:space="preserve"> rachunkowości, </w:t>
      </w:r>
      <w:r w:rsidR="00852777" w:rsidRPr="00C96268">
        <w:rPr>
          <w:rFonts w:ascii="Times New Roman" w:hAnsi="Times New Roman" w:cs="Times New Roman"/>
        </w:rPr>
        <w:t>księgowy dochód (stratę) netto takiej jednostki oblicza się</w:t>
      </w:r>
      <w:r w:rsidRPr="00C96268">
        <w:rPr>
          <w:rFonts w:ascii="Times New Roman" w:hAnsi="Times New Roman" w:cs="Times New Roman"/>
        </w:rPr>
        <w:t xml:space="preserve"> przy użyciu standardu rachunkowości</w:t>
      </w:r>
      <w:r w:rsidR="007C3C7F" w:rsidRPr="00C96268">
        <w:rPr>
          <w:rFonts w:ascii="Times New Roman" w:hAnsi="Times New Roman" w:cs="Times New Roman"/>
        </w:rPr>
        <w:t>,</w:t>
      </w:r>
      <w:r w:rsidRPr="00C96268">
        <w:rPr>
          <w:rFonts w:ascii="Times New Roman" w:hAnsi="Times New Roman" w:cs="Times New Roman"/>
        </w:rPr>
        <w:t xml:space="preserve"> </w:t>
      </w:r>
      <w:r w:rsidR="002371CC" w:rsidRPr="00C96268">
        <w:rPr>
          <w:rFonts w:ascii="Times New Roman" w:hAnsi="Times New Roman" w:cs="Times New Roman"/>
        </w:rPr>
        <w:t xml:space="preserve">jaki jest </w:t>
      </w:r>
      <w:r w:rsidRPr="00C96268">
        <w:rPr>
          <w:rFonts w:ascii="Times New Roman" w:hAnsi="Times New Roman" w:cs="Times New Roman"/>
        </w:rPr>
        <w:t xml:space="preserve">stosowany </w:t>
      </w:r>
      <w:r w:rsidR="00852777" w:rsidRPr="00C96268">
        <w:rPr>
          <w:rFonts w:ascii="Times New Roman" w:hAnsi="Times New Roman" w:cs="Times New Roman"/>
        </w:rPr>
        <w:t>na potrzeby skonsolidowanego sprawozdania grupy</w:t>
      </w:r>
      <w:r w:rsidRPr="00C96268">
        <w:rPr>
          <w:rFonts w:ascii="Times New Roman" w:hAnsi="Times New Roman" w:cs="Times New Roman"/>
        </w:rPr>
        <w:t>, bez względu na wszelkie potencjalne trudności o charakterze praktycznym</w:t>
      </w:r>
      <w:r w:rsidR="00B073F6" w:rsidRPr="00C96268">
        <w:rPr>
          <w:rFonts w:ascii="Times New Roman" w:hAnsi="Times New Roman" w:cs="Times New Roman"/>
        </w:rPr>
        <w:t xml:space="preserve"> </w:t>
      </w:r>
      <w:r w:rsidR="00B073F6" w:rsidRPr="00C96268">
        <w:rPr>
          <w:rFonts w:ascii="Times New Roman" w:hAnsi="Times New Roman" w:cs="Times New Roman"/>
          <w:b/>
          <w:bCs/>
        </w:rPr>
        <w:t>(pkt 1)</w:t>
      </w:r>
      <w:r w:rsidRPr="00C96268">
        <w:rPr>
          <w:rFonts w:ascii="Times New Roman" w:hAnsi="Times New Roman" w:cs="Times New Roman"/>
        </w:rPr>
        <w:t>.</w:t>
      </w:r>
    </w:p>
    <w:p w14:paraId="56483A75" w14:textId="4022406B" w:rsidR="00BF31F7" w:rsidRPr="00C96268" w:rsidRDefault="00852777" w:rsidP="00FE681A">
      <w:pPr>
        <w:pStyle w:val="Default"/>
        <w:spacing w:before="120" w:after="120" w:line="259" w:lineRule="auto"/>
        <w:jc w:val="both"/>
        <w:rPr>
          <w:rFonts w:ascii="Times New Roman" w:hAnsi="Times New Roman" w:cs="Times New Roman"/>
        </w:rPr>
      </w:pPr>
      <w:r w:rsidRPr="00C96268">
        <w:rPr>
          <w:rFonts w:ascii="Times New Roman" w:hAnsi="Times New Roman" w:cs="Times New Roman"/>
        </w:rPr>
        <w:t xml:space="preserve">Należy również pamiętać, że w świetle definicji skonsolidowanego sprawozdania finansowego oraz w świetle </w:t>
      </w:r>
      <w:r w:rsidRPr="00C96268">
        <w:rPr>
          <w:rFonts w:ascii="Times New Roman" w:hAnsi="Times New Roman" w:cs="Times New Roman"/>
          <w:b/>
          <w:bCs/>
        </w:rPr>
        <w:t xml:space="preserve">art. 40 ust. </w:t>
      </w:r>
      <w:r w:rsidR="002371CC" w:rsidRPr="00C96268">
        <w:rPr>
          <w:rFonts w:ascii="Times New Roman" w:hAnsi="Times New Roman" w:cs="Times New Roman"/>
          <w:b/>
          <w:bCs/>
        </w:rPr>
        <w:t xml:space="preserve">1 pkt </w:t>
      </w:r>
      <w:r w:rsidRPr="00C96268">
        <w:rPr>
          <w:rFonts w:ascii="Times New Roman" w:hAnsi="Times New Roman" w:cs="Times New Roman"/>
          <w:b/>
          <w:bCs/>
        </w:rPr>
        <w:t>2</w:t>
      </w:r>
      <w:r w:rsidRPr="00C96268">
        <w:rPr>
          <w:rFonts w:ascii="Times New Roman" w:hAnsi="Times New Roman" w:cs="Times New Roman"/>
        </w:rPr>
        <w:t xml:space="preserve">, </w:t>
      </w:r>
      <w:r w:rsidRPr="00C96268">
        <w:rPr>
          <w:rFonts w:ascii="Times New Roman" w:hAnsi="Times New Roman" w:cs="Times New Roman"/>
          <w:b/>
          <w:bCs/>
        </w:rPr>
        <w:t xml:space="preserve"> </w:t>
      </w:r>
      <w:r w:rsidRPr="00C96268">
        <w:rPr>
          <w:rFonts w:ascii="Times New Roman" w:hAnsi="Times New Roman" w:cs="Times New Roman"/>
        </w:rPr>
        <w:t xml:space="preserve">w przypadku, gdy jednostka dominująca najwyższego szczebla nie sporządza skonsolidowanego sprawozdania finansowego, o którym mowa w </w:t>
      </w:r>
      <w:r w:rsidRPr="00C96268">
        <w:rPr>
          <w:rFonts w:ascii="Times New Roman" w:hAnsi="Times New Roman" w:cs="Times New Roman"/>
          <w:bCs/>
        </w:rPr>
        <w:t>art. 2 ust. 1 pkt 3</w:t>
      </w:r>
      <w:r w:rsidR="001E2C9C" w:rsidRPr="00C96268">
        <w:rPr>
          <w:rFonts w:ascii="Times New Roman" w:hAnsi="Times New Roman" w:cs="Times New Roman"/>
          <w:bCs/>
        </w:rPr>
        <w:t>8</w:t>
      </w:r>
      <w:r w:rsidRPr="00C96268">
        <w:rPr>
          <w:rFonts w:ascii="Times New Roman" w:hAnsi="Times New Roman" w:cs="Times New Roman"/>
          <w:bCs/>
        </w:rPr>
        <w:t xml:space="preserve"> lit. a–c,</w:t>
      </w:r>
      <w:r w:rsidRPr="00C96268">
        <w:rPr>
          <w:rFonts w:ascii="Times New Roman" w:hAnsi="Times New Roman" w:cs="Times New Roman"/>
        </w:rPr>
        <w:t xml:space="preserve"> skonsolidowane sprawozdanie grupy stanowi hipotetyczne sprawozdanie finansowe, tj. sprawozdanie, które zostałoby sporządzone, gdyby jednostka dominująca był zobowiązana do sporządzenia takiego skonsolidowanego sprawozdania finansowego zgodnie z akceptowalnym standardem rachunkowości lub zatwierdzonym standardem rachunkowości, pod warunkiem że takie skonsolidowane sprawozdanie finansowe jest korygowane w celu zapobieżenia wszelkim istotnym różnicom rachunkowym. W takim przypadku księgowy dochód (stratę) netto ustala się w oparciu o takie hipotetyczne sprawozdanie, </w:t>
      </w:r>
      <w:r w:rsidR="00163DED" w:rsidRPr="00C96268">
        <w:rPr>
          <w:rFonts w:ascii="Times New Roman" w:hAnsi="Times New Roman" w:cs="Times New Roman"/>
        </w:rPr>
        <w:t>w oparciu o akceptowalny lub zatwierdzony standard rachunkowości</w:t>
      </w:r>
      <w:r w:rsidR="00B073F6" w:rsidRPr="00C96268">
        <w:rPr>
          <w:rFonts w:ascii="Times New Roman" w:hAnsi="Times New Roman" w:cs="Times New Roman"/>
        </w:rPr>
        <w:t>, z zastrzeżeniem dokonania odpowiednich korekt</w:t>
      </w:r>
      <w:r w:rsidR="00163DED" w:rsidRPr="00C96268">
        <w:rPr>
          <w:rFonts w:ascii="Times New Roman" w:hAnsi="Times New Roman" w:cs="Times New Roman"/>
        </w:rPr>
        <w:t>.</w:t>
      </w:r>
      <w:r w:rsidRPr="00C96268">
        <w:rPr>
          <w:rFonts w:ascii="Times New Roman" w:hAnsi="Times New Roman" w:cs="Times New Roman"/>
        </w:rPr>
        <w:t xml:space="preserve"> </w:t>
      </w:r>
    </w:p>
    <w:p w14:paraId="677BE33A" w14:textId="55B74EC7" w:rsidR="00BF7A88" w:rsidRPr="00C96268" w:rsidRDefault="00BF7A88" w:rsidP="00BF31F7">
      <w:pPr>
        <w:pStyle w:val="Nagwek4"/>
        <w:rPr>
          <w:rStyle w:val="Ppogrubienie"/>
          <w:rFonts w:ascii="Times New Roman" w:hAnsi="Times New Roman" w:cs="Times New Roman"/>
          <w:b w:val="0"/>
          <w:sz w:val="24"/>
          <w:szCs w:val="24"/>
        </w:rPr>
      </w:pPr>
      <w:r w:rsidRPr="00C96268">
        <w:rPr>
          <w:rStyle w:val="Ppogrubienie"/>
          <w:rFonts w:ascii="Times New Roman" w:hAnsi="Times New Roman" w:cs="Times New Roman"/>
          <w:b w:val="0"/>
          <w:sz w:val="24"/>
          <w:szCs w:val="24"/>
        </w:rPr>
        <w:t xml:space="preserve">Oddział </w:t>
      </w:r>
      <w:r w:rsidR="000159FC" w:rsidRPr="00C96268">
        <w:rPr>
          <w:rStyle w:val="Ppogrubienie"/>
          <w:rFonts w:ascii="Times New Roman" w:hAnsi="Times New Roman" w:cs="Times New Roman"/>
          <w:b w:val="0"/>
          <w:sz w:val="24"/>
          <w:szCs w:val="24"/>
        </w:rPr>
        <w:t>2</w:t>
      </w:r>
      <w:r w:rsidRPr="00C96268">
        <w:rPr>
          <w:rStyle w:val="Ppogrubienie"/>
          <w:rFonts w:ascii="Times New Roman" w:hAnsi="Times New Roman" w:cs="Times New Roman"/>
          <w:b w:val="0"/>
          <w:sz w:val="24"/>
          <w:szCs w:val="24"/>
        </w:rPr>
        <w:t xml:space="preserve"> - Korekty księgowego dochodu (straty) netto </w:t>
      </w:r>
    </w:p>
    <w:p w14:paraId="17BF1D07" w14:textId="77777777" w:rsidR="000159FC" w:rsidRPr="00C96268" w:rsidRDefault="000159FC" w:rsidP="004C5D3A">
      <w:pPr>
        <w:pStyle w:val="Nagwek5"/>
        <w:rPr>
          <w:rFonts w:ascii="Times New Roman" w:hAnsi="Times New Roman" w:cs="Times New Roman"/>
          <w:sz w:val="24"/>
          <w:szCs w:val="24"/>
        </w:rPr>
      </w:pPr>
      <w:r w:rsidRPr="00C96268">
        <w:rPr>
          <w:rFonts w:ascii="Times New Roman" w:hAnsi="Times New Roman" w:cs="Times New Roman"/>
          <w:sz w:val="24"/>
          <w:szCs w:val="24"/>
        </w:rPr>
        <w:t>Art. 41 [Korekty księgowego dochodu (straty) netto]</w:t>
      </w:r>
    </w:p>
    <w:p w14:paraId="19C94892" w14:textId="73341768" w:rsidR="000159FC" w:rsidRPr="00C96268" w:rsidRDefault="000159FC" w:rsidP="000159FC">
      <w:pPr>
        <w:rPr>
          <w:rFonts w:ascii="Times New Roman" w:hAnsi="Times New Roman" w:cs="Times New Roman"/>
          <w:sz w:val="24"/>
          <w:szCs w:val="24"/>
        </w:rPr>
      </w:pPr>
      <w:r w:rsidRPr="00C96268">
        <w:rPr>
          <w:rFonts w:ascii="Times New Roman" w:hAnsi="Times New Roman" w:cs="Times New Roman"/>
          <w:sz w:val="24"/>
          <w:szCs w:val="24"/>
        </w:rPr>
        <w:t xml:space="preserve">Na mocy </w:t>
      </w:r>
      <w:r w:rsidRPr="00C96268">
        <w:rPr>
          <w:rFonts w:ascii="Times New Roman" w:hAnsi="Times New Roman" w:cs="Times New Roman"/>
          <w:b/>
          <w:sz w:val="24"/>
          <w:szCs w:val="24"/>
        </w:rPr>
        <w:t xml:space="preserve">art. 41 </w:t>
      </w:r>
      <w:r w:rsidR="00CB0F13" w:rsidRPr="00C96268">
        <w:rPr>
          <w:rFonts w:ascii="Times New Roman" w:hAnsi="Times New Roman" w:cs="Times New Roman"/>
          <w:b/>
          <w:sz w:val="24"/>
          <w:szCs w:val="24"/>
        </w:rPr>
        <w:t>ust. 1</w:t>
      </w:r>
      <w:r w:rsidR="00CB0F13" w:rsidRPr="00C96268">
        <w:rPr>
          <w:rFonts w:ascii="Times New Roman" w:hAnsi="Times New Roman" w:cs="Times New Roman"/>
          <w:sz w:val="24"/>
          <w:szCs w:val="24"/>
        </w:rPr>
        <w:t xml:space="preserve"> </w:t>
      </w:r>
      <w:r w:rsidRPr="00C96268">
        <w:rPr>
          <w:rFonts w:ascii="Times New Roman" w:hAnsi="Times New Roman" w:cs="Times New Roman"/>
          <w:sz w:val="24"/>
          <w:szCs w:val="24"/>
        </w:rPr>
        <w:t>projektu, księgowy dochód (strata) netto podlega korektom z tytułu:</w:t>
      </w:r>
    </w:p>
    <w:p w14:paraId="34512FBC" w14:textId="0B01D0CF" w:rsidR="004C5D3A" w:rsidRPr="00C96268" w:rsidRDefault="004C5D3A" w:rsidP="00B6504F">
      <w:pPr>
        <w:numPr>
          <w:ilvl w:val="3"/>
          <w:numId w:val="28"/>
        </w:numPr>
        <w:spacing w:after="40"/>
        <w:ind w:left="851" w:hanging="357"/>
        <w:rPr>
          <w:rFonts w:ascii="Times New Roman" w:hAnsi="Times New Roman" w:cs="Times New Roman"/>
          <w:bCs/>
          <w:sz w:val="24"/>
          <w:szCs w:val="24"/>
        </w:rPr>
      </w:pPr>
      <w:r w:rsidRPr="00C96268">
        <w:rPr>
          <w:rFonts w:ascii="Times New Roman" w:hAnsi="Times New Roman" w:cs="Times New Roman"/>
          <w:b/>
          <w:sz w:val="24"/>
          <w:szCs w:val="24"/>
        </w:rPr>
        <w:t>korekty o charakterze podstawowym</w:t>
      </w:r>
      <w:r w:rsidRPr="00C96268">
        <w:rPr>
          <w:rFonts w:ascii="Times New Roman" w:hAnsi="Times New Roman" w:cs="Times New Roman"/>
          <w:bCs/>
          <w:sz w:val="24"/>
          <w:szCs w:val="24"/>
        </w:rPr>
        <w:t xml:space="preserve"> </w:t>
      </w:r>
      <w:r w:rsidR="00B3140D" w:rsidRPr="00C96268">
        <w:rPr>
          <w:rFonts w:ascii="Times New Roman" w:hAnsi="Times New Roman" w:cs="Times New Roman"/>
          <w:bCs/>
          <w:sz w:val="24"/>
          <w:szCs w:val="24"/>
        </w:rPr>
        <w:t>(obowiązkowe, jeżeli dotyczą danej jednostki składowej), tj. korekty z tytułu:</w:t>
      </w:r>
    </w:p>
    <w:p w14:paraId="59F1D743" w14:textId="110CD4ED"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obciążenia podatkowego netto;</w:t>
      </w:r>
    </w:p>
    <w:p w14:paraId="2DDC1775"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dywidendy wyłączonej;</w:t>
      </w:r>
    </w:p>
    <w:p w14:paraId="6F7CAF7B"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wyłączonych zysków (strat) kapitałowych;</w:t>
      </w:r>
    </w:p>
    <w:p w14:paraId="1D64E291"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uwzględnianych zysków (strat) wynikających z aktualizacji wyceny;</w:t>
      </w:r>
    </w:p>
    <w:p w14:paraId="4254A945"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zysków (straty) z tytułu zbycia aktywów i zobowiązań dokonanego w zakresie reorganizacji;</w:t>
      </w:r>
    </w:p>
    <w:p w14:paraId="44EE98AE"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różnic kursowych;</w:t>
      </w:r>
    </w:p>
    <w:p w14:paraId="1064122C" w14:textId="038F829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niedozwolonych kosztów;</w:t>
      </w:r>
    </w:p>
    <w:p w14:paraId="6A19D5FB"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błędów wcześniejszego okresu;</w:t>
      </w:r>
    </w:p>
    <w:p w14:paraId="7C3300A1"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zmian zasad rachunkowości;</w:t>
      </w:r>
    </w:p>
    <w:p w14:paraId="4BAC29C2"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naliczonych kosztów emerytalnych;</w:t>
      </w:r>
    </w:p>
    <w:p w14:paraId="26CAC853"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wewnątrzgrupowych porozumień finansowych;</w:t>
      </w:r>
    </w:p>
    <w:p w14:paraId="4C73F19E"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przychodów i zmian stanu rezerw zakładów ubezpieczeń;</w:t>
      </w:r>
    </w:p>
    <w:p w14:paraId="17090F98"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kapitału Tier I;</w:t>
      </w:r>
    </w:p>
    <w:p w14:paraId="51A801D9"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zasad ceny rynkowej;</w:t>
      </w:r>
    </w:p>
    <w:p w14:paraId="355BD48C" w14:textId="77777777" w:rsidR="000159FC" w:rsidRPr="00C96268" w:rsidRDefault="000159FC" w:rsidP="00B6504F">
      <w:pPr>
        <w:numPr>
          <w:ilvl w:val="4"/>
          <w:numId w:val="28"/>
        </w:numPr>
        <w:spacing w:after="40"/>
        <w:ind w:left="1418" w:hanging="284"/>
        <w:rPr>
          <w:rFonts w:ascii="Times New Roman" w:hAnsi="Times New Roman" w:cs="Times New Roman"/>
          <w:bCs/>
          <w:sz w:val="24"/>
          <w:szCs w:val="24"/>
        </w:rPr>
      </w:pPr>
      <w:r w:rsidRPr="00C96268">
        <w:rPr>
          <w:rFonts w:ascii="Times New Roman" w:hAnsi="Times New Roman" w:cs="Times New Roman"/>
          <w:bCs/>
          <w:sz w:val="24"/>
          <w:szCs w:val="24"/>
        </w:rPr>
        <w:t>korekty z tytułu ulg;</w:t>
      </w:r>
    </w:p>
    <w:p w14:paraId="1EF5DC39" w14:textId="2B2A4E5B" w:rsidR="000159FC" w:rsidRPr="00C96268" w:rsidRDefault="000159FC" w:rsidP="00B6504F">
      <w:pPr>
        <w:numPr>
          <w:ilvl w:val="3"/>
          <w:numId w:val="28"/>
        </w:numPr>
        <w:spacing w:after="40"/>
        <w:ind w:left="851" w:hanging="357"/>
        <w:rPr>
          <w:rFonts w:ascii="Times New Roman" w:hAnsi="Times New Roman" w:cs="Times New Roman"/>
          <w:bCs/>
          <w:sz w:val="24"/>
          <w:szCs w:val="24"/>
        </w:rPr>
      </w:pPr>
      <w:r w:rsidRPr="00C96268">
        <w:rPr>
          <w:rFonts w:ascii="Times New Roman" w:hAnsi="Times New Roman" w:cs="Times New Roman"/>
          <w:b/>
          <w:sz w:val="24"/>
          <w:szCs w:val="24"/>
        </w:rPr>
        <w:t>korekty wynikające z dokonanych wyborów</w:t>
      </w:r>
      <w:r w:rsidRPr="00C96268">
        <w:rPr>
          <w:rFonts w:ascii="Times New Roman" w:hAnsi="Times New Roman" w:cs="Times New Roman"/>
          <w:bCs/>
          <w:sz w:val="24"/>
          <w:szCs w:val="24"/>
        </w:rPr>
        <w:t xml:space="preserve"> w zakresie:</w:t>
      </w:r>
    </w:p>
    <w:p w14:paraId="590E369F" w14:textId="77777777" w:rsidR="000159FC"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dywidendy z inwestycji portfelowej;</w:t>
      </w:r>
    </w:p>
    <w:p w14:paraId="11524948" w14:textId="77777777" w:rsidR="000159FC"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wynagrodzenia w formie akcji;</w:t>
      </w:r>
    </w:p>
    <w:p w14:paraId="1CD208A1" w14:textId="77777777" w:rsidR="000159FC"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ujmowania zysków (strat) zgodnie z zasadą realizacji;</w:t>
      </w:r>
    </w:p>
    <w:p w14:paraId="40A1C82D" w14:textId="42611550" w:rsidR="000159FC"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dochodu (straty) ze zbycia lokalnych rzeczowych aktywów trwałych</w:t>
      </w:r>
      <w:r w:rsidR="009E4265" w:rsidRPr="00C96268">
        <w:rPr>
          <w:rFonts w:ascii="Times New Roman" w:hAnsi="Times New Roman" w:cs="Times New Roman"/>
          <w:bCs/>
          <w:sz w:val="24"/>
          <w:szCs w:val="24"/>
        </w:rPr>
        <w:t>;</w:t>
      </w:r>
    </w:p>
    <w:p w14:paraId="19894F53" w14:textId="77777777" w:rsidR="000159FC"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skonsolidowanego podejścia księgowego;</w:t>
      </w:r>
    </w:p>
    <w:p w14:paraId="43B4E8FC" w14:textId="77777777" w:rsidR="000159FC"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wyłączonych zysków (strat) kapitałowych z instrumentów zabezpieczających udziały własnościowe;</w:t>
      </w:r>
    </w:p>
    <w:p w14:paraId="0E5AF07B" w14:textId="77777777" w:rsidR="000159FC"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zwolnienia z długu;</w:t>
      </w:r>
    </w:p>
    <w:p w14:paraId="2EAFA2F7" w14:textId="77777777" w:rsidR="009E4265" w:rsidRPr="00C96268" w:rsidRDefault="000159FC" w:rsidP="00B6504F">
      <w:pPr>
        <w:numPr>
          <w:ilvl w:val="1"/>
          <w:numId w:val="28"/>
        </w:numPr>
        <w:spacing w:after="40"/>
        <w:ind w:hanging="357"/>
        <w:rPr>
          <w:rFonts w:ascii="Times New Roman" w:hAnsi="Times New Roman" w:cs="Times New Roman"/>
          <w:bCs/>
          <w:sz w:val="24"/>
          <w:szCs w:val="24"/>
        </w:rPr>
      </w:pPr>
      <w:r w:rsidRPr="00C96268">
        <w:rPr>
          <w:rFonts w:ascii="Times New Roman" w:hAnsi="Times New Roman" w:cs="Times New Roman"/>
          <w:bCs/>
          <w:sz w:val="24"/>
          <w:szCs w:val="24"/>
        </w:rPr>
        <w:t xml:space="preserve">włączenia udziałów własnościowych; </w:t>
      </w:r>
    </w:p>
    <w:p w14:paraId="762243EF" w14:textId="53BD7BF4" w:rsidR="009E4265" w:rsidRPr="00C96268" w:rsidRDefault="009E4265" w:rsidP="002C7467">
      <w:pPr>
        <w:pStyle w:val="Akapitzlist"/>
        <w:numPr>
          <w:ilvl w:val="0"/>
          <w:numId w:val="103"/>
        </w:numPr>
        <w:rPr>
          <w:rFonts w:ascii="Times New Roman" w:hAnsi="Times New Roman" w:cs="Times New Roman"/>
          <w:bCs/>
          <w:sz w:val="24"/>
          <w:szCs w:val="24"/>
        </w:rPr>
      </w:pPr>
      <w:r w:rsidRPr="00C96268">
        <w:rPr>
          <w:rFonts w:ascii="Times New Roman" w:hAnsi="Times New Roman" w:cs="Times New Roman"/>
          <w:b/>
          <w:sz w:val="24"/>
          <w:szCs w:val="24"/>
        </w:rPr>
        <w:t>korekty w zakresie ulg</w:t>
      </w:r>
      <w:r w:rsidRPr="00C96268">
        <w:rPr>
          <w:rFonts w:ascii="Times New Roman" w:hAnsi="Times New Roman" w:cs="Times New Roman"/>
          <w:bCs/>
          <w:sz w:val="24"/>
          <w:szCs w:val="24"/>
        </w:rPr>
        <w:t xml:space="preserve"> - kwalifikowanej zwrotnej ulgi oraz niekwalifikowanej zwrotnej ulgi, kwalifikowanej zbywalnej ulgi oraz innych ulg.</w:t>
      </w:r>
    </w:p>
    <w:p w14:paraId="3DE06C8B" w14:textId="14C5DFA2" w:rsidR="000159FC" w:rsidRPr="00C96268" w:rsidRDefault="000159FC" w:rsidP="00B3140D">
      <w:pPr>
        <w:jc w:val="both"/>
        <w:rPr>
          <w:rFonts w:ascii="Times New Roman" w:hAnsi="Times New Roman" w:cs="Times New Roman"/>
          <w:sz w:val="24"/>
          <w:szCs w:val="24"/>
        </w:rPr>
      </w:pPr>
      <w:r w:rsidRPr="00C96268">
        <w:rPr>
          <w:rFonts w:ascii="Times New Roman" w:hAnsi="Times New Roman" w:cs="Times New Roman"/>
          <w:sz w:val="24"/>
          <w:szCs w:val="24"/>
        </w:rPr>
        <w:t xml:space="preserve">Przepis art. 41 </w:t>
      </w:r>
      <w:r w:rsidR="00CB0F13" w:rsidRPr="00C96268">
        <w:rPr>
          <w:rFonts w:ascii="Times New Roman" w:hAnsi="Times New Roman" w:cs="Times New Roman"/>
          <w:b/>
          <w:bCs/>
          <w:sz w:val="24"/>
          <w:szCs w:val="24"/>
        </w:rPr>
        <w:t>ust. 1</w:t>
      </w:r>
      <w:r w:rsidR="00CB0F13" w:rsidRPr="00C96268">
        <w:rPr>
          <w:rFonts w:ascii="Times New Roman" w:hAnsi="Times New Roman" w:cs="Times New Roman"/>
          <w:sz w:val="24"/>
          <w:szCs w:val="24"/>
        </w:rPr>
        <w:t xml:space="preserve"> </w:t>
      </w:r>
      <w:r w:rsidRPr="00C96268">
        <w:rPr>
          <w:rFonts w:ascii="Times New Roman" w:hAnsi="Times New Roman" w:cs="Times New Roman"/>
          <w:sz w:val="24"/>
          <w:szCs w:val="24"/>
        </w:rPr>
        <w:t>projektu odpowiada treścią art. 16</w:t>
      </w:r>
      <w:r w:rsidR="00357A10" w:rsidRPr="00C96268">
        <w:rPr>
          <w:rFonts w:ascii="Times New Roman" w:hAnsi="Times New Roman" w:cs="Times New Roman"/>
          <w:sz w:val="24"/>
          <w:szCs w:val="24"/>
        </w:rPr>
        <w:t>.</w:t>
      </w:r>
      <w:r w:rsidRPr="00C96268">
        <w:rPr>
          <w:rFonts w:ascii="Times New Roman" w:hAnsi="Times New Roman" w:cs="Times New Roman"/>
          <w:sz w:val="24"/>
          <w:szCs w:val="24"/>
        </w:rPr>
        <w:t>2 Dyrektywy, a także obejmuje korekty wynikające z odpowiednich Wytycznych Administracyjnych.</w:t>
      </w:r>
    </w:p>
    <w:p w14:paraId="76B5F119" w14:textId="6E9FF586" w:rsidR="00197EC6" w:rsidRPr="00C96268" w:rsidRDefault="00197EC6" w:rsidP="00B3140D">
      <w:pPr>
        <w:jc w:val="both"/>
        <w:rPr>
          <w:rFonts w:ascii="Times New Roman" w:hAnsi="Times New Roman" w:cs="Times New Roman"/>
          <w:sz w:val="24"/>
          <w:szCs w:val="24"/>
        </w:rPr>
      </w:pPr>
      <w:r w:rsidRPr="00C96268">
        <w:rPr>
          <w:rFonts w:ascii="Times New Roman" w:hAnsi="Times New Roman" w:cs="Times New Roman"/>
          <w:sz w:val="24"/>
          <w:szCs w:val="24"/>
        </w:rPr>
        <w:t xml:space="preserve">Co do zasady, korekt dokonuje się na poziomie księgowego dochodu (straty) netto (tj. </w:t>
      </w:r>
      <w:r w:rsidRPr="00C96268">
        <w:rPr>
          <w:rFonts w:ascii="Times New Roman" w:hAnsi="Times New Roman" w:cs="Times New Roman"/>
          <w:b/>
          <w:bCs/>
          <w:sz w:val="24"/>
          <w:szCs w:val="24"/>
        </w:rPr>
        <w:t>na poziomie FANIL</w:t>
      </w:r>
      <w:r w:rsidRPr="00C96268">
        <w:rPr>
          <w:rFonts w:ascii="Times New Roman" w:hAnsi="Times New Roman" w:cs="Times New Roman"/>
          <w:sz w:val="24"/>
          <w:szCs w:val="24"/>
        </w:rPr>
        <w:t>), obliczając w ten sposób kwalifikowany dochód (stratę) jednostki składowej.</w:t>
      </w:r>
    </w:p>
    <w:p w14:paraId="099B09E6" w14:textId="4132BB5B" w:rsidR="00A25F04" w:rsidRPr="00C96268" w:rsidRDefault="00A25F04" w:rsidP="00B3140D">
      <w:pPr>
        <w:jc w:val="both"/>
        <w:rPr>
          <w:rFonts w:ascii="Times New Roman" w:hAnsi="Times New Roman" w:cs="Times New Roman"/>
          <w:sz w:val="24"/>
          <w:szCs w:val="24"/>
        </w:rPr>
      </w:pPr>
      <w:r w:rsidRPr="00C96268">
        <w:rPr>
          <w:rFonts w:ascii="Times New Roman" w:hAnsi="Times New Roman" w:cs="Times New Roman"/>
          <w:sz w:val="24"/>
          <w:szCs w:val="24"/>
        </w:rPr>
        <w:t xml:space="preserve">Są to korekty specyficzne dla Zasad GloBE i uniwersalne dla wszystkich </w:t>
      </w:r>
      <w:r w:rsidR="00267E67" w:rsidRPr="00C96268">
        <w:rPr>
          <w:rFonts w:ascii="Times New Roman" w:hAnsi="Times New Roman" w:cs="Times New Roman"/>
          <w:sz w:val="24"/>
          <w:szCs w:val="24"/>
        </w:rPr>
        <w:t>jurysdykcji</w:t>
      </w:r>
      <w:r w:rsidR="00267E67" w:rsidRPr="00C96268" w:rsidDel="00267E67">
        <w:rPr>
          <w:rFonts w:ascii="Times New Roman" w:hAnsi="Times New Roman" w:cs="Times New Roman"/>
          <w:sz w:val="24"/>
          <w:szCs w:val="24"/>
        </w:rPr>
        <w:t xml:space="preserve"> </w:t>
      </w:r>
      <w:r w:rsidRPr="00C96268">
        <w:rPr>
          <w:rFonts w:ascii="Times New Roman" w:hAnsi="Times New Roman" w:cs="Times New Roman"/>
          <w:sz w:val="24"/>
          <w:szCs w:val="24"/>
        </w:rPr>
        <w:t>stosujących te zasady. Mają na celu zbliżenie kwalifikowanego dochodu (straty), w pewnym stopniu, do dochodu podlegającego opodatkowaniu CIT, uniknięcie podwójnego opodatkowania (np. poprzez wyłączenie dywidend) lub pewne dostosowania sektorowe.</w:t>
      </w:r>
    </w:p>
    <w:p w14:paraId="4F5FB3CF" w14:textId="6F2E3EE8" w:rsidR="000159FC" w:rsidRPr="00C96268" w:rsidRDefault="000159FC" w:rsidP="00B3140D">
      <w:pPr>
        <w:jc w:val="both"/>
        <w:rPr>
          <w:rFonts w:ascii="Times New Roman" w:hAnsi="Times New Roman" w:cs="Times New Roman"/>
          <w:sz w:val="24"/>
          <w:szCs w:val="24"/>
        </w:rPr>
      </w:pPr>
      <w:r w:rsidRPr="00C96268">
        <w:rPr>
          <w:rFonts w:ascii="Times New Roman" w:hAnsi="Times New Roman" w:cs="Times New Roman"/>
          <w:sz w:val="24"/>
          <w:szCs w:val="24"/>
        </w:rPr>
        <w:t>Korekty wskazane w niniejszej regulacji mogą mieć</w:t>
      </w:r>
      <w:r w:rsidR="00B3140D" w:rsidRPr="00C96268">
        <w:rPr>
          <w:rFonts w:ascii="Times New Roman" w:hAnsi="Times New Roman" w:cs="Times New Roman"/>
          <w:sz w:val="24"/>
          <w:szCs w:val="24"/>
        </w:rPr>
        <w:t xml:space="preserve"> w szczególności</w:t>
      </w:r>
      <w:r w:rsidRPr="00C96268">
        <w:rPr>
          <w:rFonts w:ascii="Times New Roman" w:hAnsi="Times New Roman" w:cs="Times New Roman"/>
          <w:sz w:val="24"/>
          <w:szCs w:val="24"/>
        </w:rPr>
        <w:t xml:space="preserve"> charakter dodatni bądź ujemny. Korekta kwotą dodatnią będzie skutkowała zwiększeniem </w:t>
      </w:r>
      <w:r w:rsidR="00B3140D" w:rsidRPr="00C96268">
        <w:rPr>
          <w:rFonts w:ascii="Times New Roman" w:hAnsi="Times New Roman" w:cs="Times New Roman"/>
          <w:sz w:val="24"/>
          <w:szCs w:val="24"/>
        </w:rPr>
        <w:t>księgowego dochodu (straty) netto</w:t>
      </w:r>
      <w:r w:rsidRPr="00C96268">
        <w:rPr>
          <w:rFonts w:ascii="Times New Roman" w:hAnsi="Times New Roman" w:cs="Times New Roman"/>
          <w:sz w:val="24"/>
          <w:szCs w:val="24"/>
        </w:rPr>
        <w:t xml:space="preserve">, zaś kwota ujemna – obniżeniem </w:t>
      </w:r>
      <w:r w:rsidR="00B3140D" w:rsidRPr="00C96268">
        <w:rPr>
          <w:rFonts w:ascii="Times New Roman" w:hAnsi="Times New Roman" w:cs="Times New Roman"/>
          <w:sz w:val="24"/>
          <w:szCs w:val="24"/>
        </w:rPr>
        <w:t xml:space="preserve">księgowego </w:t>
      </w:r>
      <w:r w:rsidRPr="00C96268">
        <w:rPr>
          <w:rFonts w:ascii="Times New Roman" w:hAnsi="Times New Roman" w:cs="Times New Roman"/>
          <w:sz w:val="24"/>
          <w:szCs w:val="24"/>
        </w:rPr>
        <w:t>dochodu (zwiększeniem straty). Jedynie dwie kategorie wskazanych w przedmiotowej regulacji korekt mają zawsze jednoraki charakter, tj. koszty niedozwolone stanowią zawsze kwotę dodatnią, zaś wyłączone dywidendy skutkują zawsze korektą kwotą ujemną.</w:t>
      </w:r>
      <w:r w:rsidR="00B3140D" w:rsidRPr="00C96268">
        <w:rPr>
          <w:rFonts w:ascii="Times New Roman" w:hAnsi="Times New Roman" w:cs="Times New Roman"/>
          <w:sz w:val="24"/>
          <w:szCs w:val="24"/>
        </w:rPr>
        <w:t xml:space="preserve"> Część wskazanych korekt ma jednak charakter bardziej złożony niż opisany powyżej.</w:t>
      </w:r>
    </w:p>
    <w:p w14:paraId="394AC895" w14:textId="0BD52112" w:rsidR="00D077C1" w:rsidRPr="00C96268" w:rsidRDefault="00CB0F13" w:rsidP="00CB0F13">
      <w:pPr>
        <w:jc w:val="both"/>
        <w:rPr>
          <w:rFonts w:ascii="Times New Roman" w:hAnsi="Times New Roman" w:cs="Times New Roman"/>
          <w:sz w:val="24"/>
          <w:szCs w:val="24"/>
        </w:rPr>
      </w:pPr>
      <w:r w:rsidRPr="00C96268">
        <w:rPr>
          <w:rFonts w:ascii="Times New Roman" w:hAnsi="Times New Roman" w:cs="Times New Roman"/>
          <w:sz w:val="24"/>
          <w:szCs w:val="24"/>
        </w:rPr>
        <w:t xml:space="preserve">Ponadto, przepis art. 41 w </w:t>
      </w:r>
      <w:r w:rsidRPr="00C96268">
        <w:rPr>
          <w:rFonts w:ascii="Times New Roman" w:hAnsi="Times New Roman" w:cs="Times New Roman"/>
          <w:b/>
          <w:bCs/>
          <w:sz w:val="24"/>
          <w:szCs w:val="24"/>
        </w:rPr>
        <w:t>ust. 2 i 3</w:t>
      </w:r>
      <w:r w:rsidRPr="00C96268">
        <w:rPr>
          <w:rFonts w:ascii="Times New Roman" w:hAnsi="Times New Roman" w:cs="Times New Roman"/>
          <w:sz w:val="24"/>
          <w:szCs w:val="24"/>
        </w:rPr>
        <w:t xml:space="preserve"> wprowadza obowiązek prowadzenia ewidencji rachunkowej, zgodnie z odpowiednimi przepisami (obecnie co do zasady będzie to ustawa z dnia 29 września 1994r.) i stosowanymi przez jednostkę standardami rachunkowości. Zapewni to przejrzystość i wiarygodność rozliczeń kwalifikowanego dochodu (straty), skorygowanych podatków kwalifikowanych oraz wszystkich kategorii podatków wyrównawczych regulowanych ustawą. Dodatkowo, z uwagi na obowiązek podatkowy ciążący na jednostce dominującej grupy międzynarodowej zlokalizowanej na terytorium Rzeczypospolitej Polskiej oraz prawo organów podatkowych do kontroli zobowiązań podatkowych takiej jednostki dominującej przepis art. 41 ust. 3 przewiduje obowiązek prowadzenia ewidencji </w:t>
      </w:r>
      <w:r w:rsidR="00D077C1" w:rsidRPr="00C96268">
        <w:rPr>
          <w:rFonts w:ascii="Times New Roman" w:hAnsi="Times New Roman" w:cs="Times New Roman"/>
          <w:sz w:val="24"/>
          <w:szCs w:val="24"/>
        </w:rPr>
        <w:t xml:space="preserve">rachunkowej </w:t>
      </w:r>
      <w:r w:rsidRPr="00C96268">
        <w:rPr>
          <w:rFonts w:ascii="Times New Roman" w:hAnsi="Times New Roman" w:cs="Times New Roman"/>
          <w:sz w:val="24"/>
          <w:szCs w:val="24"/>
        </w:rPr>
        <w:t xml:space="preserve">również w odniesieniu do korekt </w:t>
      </w:r>
      <w:r w:rsidR="004F065E" w:rsidRPr="00C96268">
        <w:rPr>
          <w:rFonts w:ascii="Times New Roman" w:hAnsi="Times New Roman" w:cs="Times New Roman"/>
          <w:sz w:val="24"/>
          <w:szCs w:val="24"/>
        </w:rPr>
        <w:t>księgowego dochodu (straty) netto</w:t>
      </w:r>
      <w:r w:rsidR="00632DCA" w:rsidRPr="00C96268">
        <w:rPr>
          <w:rFonts w:ascii="Times New Roman" w:hAnsi="Times New Roman" w:cs="Times New Roman"/>
          <w:sz w:val="24"/>
          <w:szCs w:val="24"/>
        </w:rPr>
        <w:t xml:space="preserve"> oraz skorygowanych podatków kwalifikowanych</w:t>
      </w:r>
      <w:r w:rsidR="004F065E" w:rsidRPr="00C96268">
        <w:rPr>
          <w:rFonts w:ascii="Times New Roman" w:hAnsi="Times New Roman" w:cs="Times New Roman"/>
          <w:sz w:val="24"/>
          <w:szCs w:val="24"/>
        </w:rPr>
        <w:t xml:space="preserve"> </w:t>
      </w:r>
      <w:r w:rsidRPr="00C96268">
        <w:rPr>
          <w:rFonts w:ascii="Times New Roman" w:hAnsi="Times New Roman" w:cs="Times New Roman"/>
          <w:sz w:val="24"/>
          <w:szCs w:val="24"/>
        </w:rPr>
        <w:t xml:space="preserve">jednostek składowych, których księgowy dochód (starta) netto jest uwzględniany </w:t>
      </w:r>
      <w:r w:rsidR="00D077C1" w:rsidRPr="00C96268">
        <w:rPr>
          <w:rFonts w:ascii="Times New Roman" w:hAnsi="Times New Roman" w:cs="Times New Roman"/>
          <w:sz w:val="24"/>
          <w:szCs w:val="24"/>
        </w:rPr>
        <w:t>przy</w:t>
      </w:r>
      <w:r w:rsidRPr="00C96268">
        <w:rPr>
          <w:rFonts w:ascii="Times New Roman" w:hAnsi="Times New Roman" w:cs="Times New Roman"/>
          <w:sz w:val="24"/>
          <w:szCs w:val="24"/>
        </w:rPr>
        <w:t xml:space="preserve"> rozliczeni</w:t>
      </w:r>
      <w:r w:rsidR="00D077C1" w:rsidRPr="00C96268">
        <w:rPr>
          <w:rFonts w:ascii="Times New Roman" w:hAnsi="Times New Roman" w:cs="Times New Roman"/>
          <w:sz w:val="24"/>
          <w:szCs w:val="24"/>
        </w:rPr>
        <w:t>u zobowiązań podatkowych</w:t>
      </w:r>
      <w:r w:rsidRPr="00C96268">
        <w:rPr>
          <w:rFonts w:ascii="Times New Roman" w:hAnsi="Times New Roman" w:cs="Times New Roman"/>
          <w:sz w:val="24"/>
          <w:szCs w:val="24"/>
        </w:rPr>
        <w:t xml:space="preserve"> </w:t>
      </w:r>
      <w:r w:rsidR="002D619A" w:rsidRPr="00C96268">
        <w:rPr>
          <w:rFonts w:ascii="Times New Roman" w:hAnsi="Times New Roman" w:cs="Times New Roman"/>
          <w:sz w:val="24"/>
          <w:szCs w:val="24"/>
        </w:rPr>
        <w:t xml:space="preserve">takiej </w:t>
      </w:r>
      <w:r w:rsidRPr="00C96268">
        <w:rPr>
          <w:rFonts w:ascii="Times New Roman" w:hAnsi="Times New Roman" w:cs="Times New Roman"/>
          <w:sz w:val="24"/>
          <w:szCs w:val="24"/>
        </w:rPr>
        <w:t>jednostki dominującej.</w:t>
      </w:r>
      <w:r w:rsidR="004F065E" w:rsidRPr="00C96268">
        <w:rPr>
          <w:rFonts w:ascii="Times New Roman" w:hAnsi="Times New Roman" w:cs="Times New Roman"/>
          <w:sz w:val="24"/>
          <w:szCs w:val="24"/>
        </w:rPr>
        <w:t xml:space="preserve"> Obowiązek rejestracji nie dotyczy w tym przypadku przychodów, kosztów, zysków, strat oraz transakcji zarejestrowanych w księgach tych jednostek dla celów obliczenia swojego zysku (straty) netto oraz księgowego dochodu (straty) netto, ale pod warunkiem że nie wpływają one na korekty tego księgowego dochody (straty) netto, ujęte w kwalifikowanym dochodzie (stracie)</w:t>
      </w:r>
      <w:r w:rsidR="00632DCA" w:rsidRPr="00C96268">
        <w:rPr>
          <w:rFonts w:ascii="Times New Roman" w:hAnsi="Times New Roman" w:cs="Times New Roman"/>
          <w:sz w:val="24"/>
          <w:szCs w:val="24"/>
        </w:rPr>
        <w:t xml:space="preserve"> lub substracie majątkowo-osobowym</w:t>
      </w:r>
      <w:r w:rsidR="004F065E" w:rsidRPr="00C96268">
        <w:rPr>
          <w:rFonts w:ascii="Times New Roman" w:hAnsi="Times New Roman" w:cs="Times New Roman"/>
          <w:sz w:val="24"/>
          <w:szCs w:val="24"/>
        </w:rPr>
        <w:t>, który jednostka dominująca uwzględnia we własnych rozliczeniach.</w:t>
      </w:r>
    </w:p>
    <w:p w14:paraId="48AD8687" w14:textId="371B9443" w:rsidR="006231DA" w:rsidRPr="00C96268" w:rsidRDefault="006231DA" w:rsidP="001B320A">
      <w:pPr>
        <w:pStyle w:val="Nagwek5"/>
        <w:rPr>
          <w:rFonts w:ascii="Times New Roman" w:hAnsi="Times New Roman" w:cs="Times New Roman"/>
          <w:sz w:val="24"/>
          <w:szCs w:val="24"/>
        </w:rPr>
      </w:pPr>
      <w:bookmarkStart w:id="14" w:name="_Toc162360415"/>
      <w:r w:rsidRPr="00C96268">
        <w:rPr>
          <w:rFonts w:ascii="Times New Roman" w:hAnsi="Times New Roman" w:cs="Times New Roman"/>
          <w:sz w:val="24"/>
          <w:szCs w:val="24"/>
        </w:rPr>
        <w:t>Art. 42 [Obciążenie podatkowe netto]</w:t>
      </w:r>
      <w:bookmarkEnd w:id="14"/>
    </w:p>
    <w:p w14:paraId="390FDF87" w14:textId="030B18BB" w:rsidR="00A25F04" w:rsidRPr="00C96268" w:rsidRDefault="006231DA" w:rsidP="00A25F04">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 xml:space="preserve">Art. 42 </w:t>
      </w:r>
      <w:r w:rsidRPr="00C96268">
        <w:rPr>
          <w:rFonts w:ascii="Times New Roman" w:hAnsi="Times New Roman" w:cs="Times New Roman"/>
          <w:bCs/>
          <w:sz w:val="24"/>
          <w:szCs w:val="24"/>
        </w:rPr>
        <w:t>odwołuje się do obciążenia podatkowego netto, wskazanego w treści art. 16</w:t>
      </w:r>
      <w:r w:rsidR="00357A10"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1 lit. a Dyrektywy. </w:t>
      </w:r>
    </w:p>
    <w:p w14:paraId="5B325783" w14:textId="6A7EAD75" w:rsidR="00A25F04" w:rsidRPr="00C96268" w:rsidRDefault="00A25F04" w:rsidP="00A25F04">
      <w:pPr>
        <w:tabs>
          <w:tab w:val="left" w:pos="1272"/>
        </w:tabs>
        <w:jc w:val="both"/>
        <w:rPr>
          <w:rFonts w:ascii="Times New Roman" w:hAnsi="Times New Roman" w:cs="Times New Roman"/>
          <w:sz w:val="24"/>
          <w:szCs w:val="24"/>
        </w:rPr>
      </w:pPr>
      <w:r w:rsidRPr="00C96268">
        <w:rPr>
          <w:rFonts w:ascii="Times New Roman" w:hAnsi="Times New Roman" w:cs="Times New Roman"/>
          <w:bCs/>
          <w:sz w:val="24"/>
          <w:szCs w:val="24"/>
        </w:rPr>
        <w:t>Obciążenie podatkowe netto dodaje się z powrotem („</w:t>
      </w:r>
      <w:r w:rsidRPr="00C96268">
        <w:rPr>
          <w:rFonts w:ascii="Times New Roman" w:hAnsi="Times New Roman" w:cs="Times New Roman"/>
          <w:bCs/>
          <w:i/>
          <w:iCs/>
          <w:sz w:val="24"/>
          <w:szCs w:val="24"/>
        </w:rPr>
        <w:t>add back</w:t>
      </w:r>
      <w:r w:rsidRPr="00C96268">
        <w:rPr>
          <w:rFonts w:ascii="Times New Roman" w:hAnsi="Times New Roman" w:cs="Times New Roman"/>
          <w:bCs/>
          <w:sz w:val="24"/>
          <w:szCs w:val="24"/>
        </w:rPr>
        <w:t xml:space="preserve">”) do księgowego dochodu (straty) netto, aby </w:t>
      </w:r>
      <w:r w:rsidR="00380D92" w:rsidRPr="00C96268">
        <w:rPr>
          <w:rFonts w:ascii="Times New Roman" w:hAnsi="Times New Roman" w:cs="Times New Roman"/>
          <w:bCs/>
          <w:sz w:val="24"/>
          <w:szCs w:val="24"/>
        </w:rPr>
        <w:t>obliczyć kwalifikowany dochód, który odzwierciedla już</w:t>
      </w:r>
      <w:r w:rsidRPr="00C96268">
        <w:rPr>
          <w:rFonts w:ascii="Times New Roman" w:hAnsi="Times New Roman" w:cs="Times New Roman"/>
          <w:bCs/>
          <w:sz w:val="24"/>
          <w:szCs w:val="24"/>
        </w:rPr>
        <w:t xml:space="preserve"> wynik brutto. </w:t>
      </w:r>
      <w:r w:rsidRPr="00C96268">
        <w:rPr>
          <w:rFonts w:ascii="Times New Roman" w:hAnsi="Times New Roman" w:cs="Times New Roman"/>
          <w:sz w:val="24"/>
          <w:szCs w:val="24"/>
        </w:rPr>
        <w:t>Ma to na celu prawidłowe obliczenie efektywnej stawki podatkowej. Przykładowo</w:t>
      </w:r>
      <w:r w:rsidR="004B1EF2" w:rsidRPr="00C96268">
        <w:rPr>
          <w:rFonts w:ascii="Times New Roman" w:hAnsi="Times New Roman" w:cs="Times New Roman"/>
          <w:sz w:val="24"/>
          <w:szCs w:val="24"/>
        </w:rPr>
        <w:t xml:space="preserve"> i w dużym uproszczeniu</w:t>
      </w:r>
      <w:r w:rsidRPr="00C96268">
        <w:rPr>
          <w:rFonts w:ascii="Times New Roman" w:hAnsi="Times New Roman" w:cs="Times New Roman"/>
          <w:sz w:val="24"/>
          <w:szCs w:val="24"/>
        </w:rPr>
        <w:t>, jednostka</w:t>
      </w:r>
      <w:r w:rsidR="004B1EF2" w:rsidRPr="00C96268">
        <w:rPr>
          <w:rFonts w:ascii="Times New Roman" w:hAnsi="Times New Roman" w:cs="Times New Roman"/>
          <w:sz w:val="24"/>
          <w:szCs w:val="24"/>
        </w:rPr>
        <w:t xml:space="preserve"> składowa</w:t>
      </w:r>
      <w:r w:rsidRPr="00C96268">
        <w:rPr>
          <w:rFonts w:ascii="Times New Roman" w:hAnsi="Times New Roman" w:cs="Times New Roman"/>
          <w:sz w:val="24"/>
          <w:szCs w:val="24"/>
        </w:rPr>
        <w:t xml:space="preserve">, która </w:t>
      </w:r>
      <w:r w:rsidR="004B1EF2" w:rsidRPr="00C96268">
        <w:rPr>
          <w:rFonts w:ascii="Times New Roman" w:hAnsi="Times New Roman" w:cs="Times New Roman"/>
          <w:sz w:val="24"/>
          <w:szCs w:val="24"/>
        </w:rPr>
        <w:t>nalicza podatki kwalifikowane</w:t>
      </w:r>
      <w:r w:rsidRPr="00C96268">
        <w:rPr>
          <w:rFonts w:ascii="Times New Roman" w:hAnsi="Times New Roman" w:cs="Times New Roman"/>
          <w:sz w:val="24"/>
          <w:szCs w:val="24"/>
        </w:rPr>
        <w:t xml:space="preserve"> w wysokości 20 </w:t>
      </w:r>
      <w:r w:rsidR="004B1EF2" w:rsidRPr="00C96268">
        <w:rPr>
          <w:rFonts w:ascii="Times New Roman" w:hAnsi="Times New Roman" w:cs="Times New Roman"/>
          <w:sz w:val="24"/>
          <w:szCs w:val="24"/>
        </w:rPr>
        <w:t>w odniesieniu do kwoty</w:t>
      </w:r>
      <w:r w:rsidRPr="00C96268">
        <w:rPr>
          <w:rFonts w:ascii="Times New Roman" w:hAnsi="Times New Roman" w:cs="Times New Roman"/>
          <w:sz w:val="24"/>
          <w:szCs w:val="24"/>
        </w:rPr>
        <w:t xml:space="preserve"> 100 </w:t>
      </w:r>
      <w:r w:rsidR="00380D92" w:rsidRPr="00C96268">
        <w:rPr>
          <w:rFonts w:ascii="Times New Roman" w:hAnsi="Times New Roman" w:cs="Times New Roman"/>
          <w:sz w:val="24"/>
          <w:szCs w:val="24"/>
        </w:rPr>
        <w:t>zysku</w:t>
      </w:r>
      <w:r w:rsidR="004B1EF2" w:rsidRPr="00C96268">
        <w:rPr>
          <w:rFonts w:ascii="Times New Roman" w:hAnsi="Times New Roman" w:cs="Times New Roman"/>
          <w:sz w:val="24"/>
          <w:szCs w:val="24"/>
        </w:rPr>
        <w:t xml:space="preserve">, osiąga księgowy dochód netto w wysokości 80. Taka jednostka </w:t>
      </w:r>
      <w:r w:rsidR="00380D92" w:rsidRPr="00C96268">
        <w:rPr>
          <w:rFonts w:ascii="Times New Roman" w:hAnsi="Times New Roman" w:cs="Times New Roman"/>
          <w:sz w:val="24"/>
          <w:szCs w:val="24"/>
        </w:rPr>
        <w:t>oblicza</w:t>
      </w:r>
      <w:r w:rsidR="004B1EF2" w:rsidRPr="00C96268">
        <w:rPr>
          <w:rFonts w:ascii="Times New Roman" w:hAnsi="Times New Roman" w:cs="Times New Roman"/>
          <w:sz w:val="24"/>
          <w:szCs w:val="24"/>
        </w:rPr>
        <w:t xml:space="preserve"> jednak</w:t>
      </w:r>
      <w:r w:rsidRPr="00C96268">
        <w:rPr>
          <w:rFonts w:ascii="Times New Roman" w:hAnsi="Times New Roman" w:cs="Times New Roman"/>
          <w:sz w:val="24"/>
          <w:szCs w:val="24"/>
        </w:rPr>
        <w:t xml:space="preserve"> efektywną stawkę </w:t>
      </w:r>
      <w:r w:rsidR="004B1EF2" w:rsidRPr="00C96268">
        <w:rPr>
          <w:rFonts w:ascii="Times New Roman" w:hAnsi="Times New Roman" w:cs="Times New Roman"/>
          <w:sz w:val="24"/>
          <w:szCs w:val="24"/>
        </w:rPr>
        <w:t>podatkową</w:t>
      </w:r>
      <w:r w:rsidRPr="00C96268">
        <w:rPr>
          <w:rFonts w:ascii="Times New Roman" w:hAnsi="Times New Roman" w:cs="Times New Roman"/>
          <w:sz w:val="24"/>
          <w:szCs w:val="24"/>
        </w:rPr>
        <w:t xml:space="preserve"> w wysokości 20% (=20/100),</w:t>
      </w:r>
      <w:r w:rsidR="00380D92" w:rsidRPr="00C96268">
        <w:rPr>
          <w:rFonts w:ascii="Times New Roman" w:hAnsi="Times New Roman" w:cs="Times New Roman"/>
          <w:sz w:val="24"/>
          <w:szCs w:val="24"/>
        </w:rPr>
        <w:t xml:space="preserve"> tj. uwzględniając kwalifikowany dochód odzwierciedlający wynik brutto,</w:t>
      </w:r>
      <w:r w:rsidRPr="00C96268">
        <w:rPr>
          <w:rFonts w:ascii="Times New Roman" w:hAnsi="Times New Roman" w:cs="Times New Roman"/>
          <w:sz w:val="24"/>
          <w:szCs w:val="24"/>
        </w:rPr>
        <w:t xml:space="preserve"> a nie efektywną stawkę w wysokości 25% (=20/80).</w:t>
      </w:r>
      <w:r w:rsidR="004B1EF2" w:rsidRPr="00C96268">
        <w:rPr>
          <w:rStyle w:val="Odwoanieprzypisudolnego"/>
          <w:rFonts w:ascii="Times New Roman" w:hAnsi="Times New Roman" w:cs="Times New Roman"/>
          <w:sz w:val="24"/>
          <w:szCs w:val="24"/>
        </w:rPr>
        <w:footnoteReference w:id="112"/>
      </w:r>
    </w:p>
    <w:p w14:paraId="440EBE16" w14:textId="49C1C5E4" w:rsidR="006231DA" w:rsidRPr="00C96268" w:rsidRDefault="006231DA" w:rsidP="006231D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Obciążenie podatkowe netto stanowi sumę dodatnich i ujemnych wartości wskazanych w </w:t>
      </w:r>
      <w:r w:rsidR="004B1EF2" w:rsidRPr="00C96268">
        <w:rPr>
          <w:rFonts w:ascii="Times New Roman" w:hAnsi="Times New Roman" w:cs="Times New Roman"/>
          <w:bCs/>
          <w:sz w:val="24"/>
          <w:szCs w:val="24"/>
        </w:rPr>
        <w:t>art. 42</w:t>
      </w:r>
      <w:r w:rsidRPr="00C96268">
        <w:rPr>
          <w:rFonts w:ascii="Times New Roman" w:hAnsi="Times New Roman" w:cs="Times New Roman"/>
          <w:bCs/>
          <w:sz w:val="24"/>
          <w:szCs w:val="24"/>
        </w:rPr>
        <w:t>. Wartościami tymi są:</w:t>
      </w:r>
    </w:p>
    <w:p w14:paraId="049F320E" w14:textId="19F207B9" w:rsidR="006231DA" w:rsidRPr="00C96268" w:rsidRDefault="006231DA" w:rsidP="002C7467">
      <w:pPr>
        <w:pStyle w:val="Akapitzlist"/>
        <w:numPr>
          <w:ilvl w:val="2"/>
          <w:numId w:val="96"/>
        </w:numPr>
        <w:spacing w:after="120"/>
        <w:ind w:left="56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 podatki kwalifikowane</w:t>
      </w:r>
      <w:r w:rsidR="00197EC6" w:rsidRPr="00C96268">
        <w:rPr>
          <w:rFonts w:ascii="Times New Roman" w:hAnsi="Times New Roman" w:cs="Times New Roman"/>
          <w:bCs/>
          <w:sz w:val="24"/>
          <w:szCs w:val="24"/>
        </w:rPr>
        <w:t xml:space="preserve"> ujęte w obciążeniu wyniku finansowego (bieżące i odroczone) albo ujęte w księgach jako koszt lub podobny zapis</w:t>
      </w:r>
      <w:r w:rsidR="002A210E" w:rsidRPr="00C96268">
        <w:rPr>
          <w:rFonts w:ascii="Times New Roman" w:hAnsi="Times New Roman" w:cs="Times New Roman"/>
          <w:bCs/>
          <w:sz w:val="24"/>
          <w:szCs w:val="24"/>
        </w:rPr>
        <w:t>,</w:t>
      </w:r>
      <w:r w:rsidR="004B1EF2" w:rsidRPr="00C96268">
        <w:rPr>
          <w:rFonts w:ascii="Times New Roman" w:hAnsi="Times New Roman" w:cs="Times New Roman"/>
          <w:bCs/>
          <w:sz w:val="24"/>
          <w:szCs w:val="24"/>
        </w:rPr>
        <w:t xml:space="preserve"> </w:t>
      </w:r>
    </w:p>
    <w:p w14:paraId="6A4FF150" w14:textId="77777777" w:rsidR="006231DA" w:rsidRPr="00C96268" w:rsidRDefault="006231DA" w:rsidP="002C7467">
      <w:pPr>
        <w:pStyle w:val="Akapitzlist"/>
        <w:numPr>
          <w:ilvl w:val="2"/>
          <w:numId w:val="96"/>
        </w:numPr>
        <w:spacing w:after="120"/>
        <w:ind w:left="56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 aktywa z tytułu podatku odroczonego od straty za rok podatkowy,</w:t>
      </w:r>
    </w:p>
    <w:p w14:paraId="17E98D0A" w14:textId="267DCF97" w:rsidR="006231DA" w:rsidRPr="00C96268" w:rsidRDefault="006231DA" w:rsidP="002C7467">
      <w:pPr>
        <w:pStyle w:val="Akapitzlist"/>
        <w:numPr>
          <w:ilvl w:val="2"/>
          <w:numId w:val="96"/>
        </w:numPr>
        <w:spacing w:after="120"/>
        <w:ind w:left="56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 kwalifikowany krajowy podatek wyrównawczy lub krajowy podatek wyrównawczy, </w:t>
      </w:r>
    </w:p>
    <w:p w14:paraId="75D47F96" w14:textId="71ABD685" w:rsidR="006231DA" w:rsidRPr="00C96268" w:rsidRDefault="006231DA" w:rsidP="002C7467">
      <w:pPr>
        <w:pStyle w:val="Akapitzlist"/>
        <w:numPr>
          <w:ilvl w:val="2"/>
          <w:numId w:val="96"/>
        </w:numPr>
        <w:spacing w:after="120"/>
        <w:ind w:left="56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 globalny podatek wyrównawczy, podatek wyrównawczy od niedostatecznie opodatkowanych zysków lub równoważne</w:t>
      </w:r>
      <w:r w:rsidR="00197EC6" w:rsidRPr="00C96268">
        <w:rPr>
          <w:rFonts w:ascii="Times New Roman" w:hAnsi="Times New Roman" w:cs="Times New Roman"/>
          <w:bCs/>
          <w:sz w:val="24"/>
          <w:szCs w:val="24"/>
        </w:rPr>
        <w:t xml:space="preserve"> podatki obowiązujące w innych </w:t>
      </w:r>
      <w:r w:rsidR="00267E67" w:rsidRPr="00C96268">
        <w:rPr>
          <w:rFonts w:ascii="Times New Roman" w:hAnsi="Times New Roman" w:cs="Times New Roman"/>
          <w:sz w:val="24"/>
          <w:szCs w:val="24"/>
        </w:rPr>
        <w:t>jurysdykcjach</w:t>
      </w:r>
      <w:r w:rsidRPr="00C96268">
        <w:rPr>
          <w:rFonts w:ascii="Times New Roman" w:hAnsi="Times New Roman" w:cs="Times New Roman"/>
          <w:bCs/>
          <w:sz w:val="24"/>
          <w:szCs w:val="24"/>
        </w:rPr>
        <w:t xml:space="preserve">, </w:t>
      </w:r>
    </w:p>
    <w:p w14:paraId="742F9E37" w14:textId="2435305A" w:rsidR="006231DA" w:rsidRPr="00C96268" w:rsidRDefault="006231DA" w:rsidP="002C7467">
      <w:pPr>
        <w:pStyle w:val="Akapitzlist"/>
        <w:numPr>
          <w:ilvl w:val="2"/>
          <w:numId w:val="96"/>
        </w:numPr>
        <w:spacing w:after="120"/>
        <w:ind w:left="56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 wyłączony przypisany podatek</w:t>
      </w:r>
      <w:r w:rsidR="00197EC6" w:rsidRPr="00C96268">
        <w:rPr>
          <w:rFonts w:ascii="Times New Roman" w:hAnsi="Times New Roman" w:cs="Times New Roman"/>
          <w:bCs/>
          <w:sz w:val="24"/>
          <w:szCs w:val="24"/>
        </w:rPr>
        <w:t>, zdefiniowany w przepisach działu VI</w:t>
      </w:r>
      <w:r w:rsidRPr="00C96268">
        <w:rPr>
          <w:rFonts w:ascii="Times New Roman" w:hAnsi="Times New Roman" w:cs="Times New Roman"/>
          <w:bCs/>
          <w:sz w:val="24"/>
          <w:szCs w:val="24"/>
        </w:rPr>
        <w:t>.</w:t>
      </w:r>
    </w:p>
    <w:p w14:paraId="74839ECF" w14:textId="77777777" w:rsidR="00197EC6" w:rsidRPr="00C96268" w:rsidRDefault="006231DA" w:rsidP="006231D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Są to pozycje, które co do zasady uwzględnia się w wyniku netto dla potrzeb rachunkowych (w szczególności pozycje wskazane w pkt 1 i 2).</w:t>
      </w:r>
      <w:r w:rsidR="00197EC6" w:rsidRPr="00C96268">
        <w:rPr>
          <w:rFonts w:ascii="Times New Roman" w:hAnsi="Times New Roman" w:cs="Times New Roman"/>
          <w:bCs/>
          <w:sz w:val="24"/>
          <w:szCs w:val="24"/>
        </w:rPr>
        <w:t xml:space="preserve"> </w:t>
      </w:r>
    </w:p>
    <w:p w14:paraId="61D5A694" w14:textId="672794C8" w:rsidR="006231DA" w:rsidRPr="00C96268" w:rsidRDefault="00197EC6" w:rsidP="006231DA">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Korekty o obciążenia podatkowe netto mogą mieć, co do zasady, dodatni lub ujemny charakter (zwykle będą miały charakter dodatni, poprzez zwiększenie księgowego dochodu netto bądź zmniejszenie straty). Będą jednak miały charakter ujemny, gdy jednostka składowa ponosi stratę skutkującą powstaniem aktywa z tytułu podatku odroczonego.</w:t>
      </w:r>
    </w:p>
    <w:p w14:paraId="2C0FCF0A" w14:textId="77777777" w:rsidR="0097216A" w:rsidRPr="00C96268" w:rsidRDefault="006231DA" w:rsidP="002A210E">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Podatki kwalifikowane, o których mowa w </w:t>
      </w:r>
      <w:r w:rsidRPr="00C96268">
        <w:rPr>
          <w:rFonts w:ascii="Times New Roman" w:hAnsi="Times New Roman" w:cs="Times New Roman"/>
          <w:b/>
          <w:sz w:val="24"/>
          <w:szCs w:val="24"/>
        </w:rPr>
        <w:t>pkt 1</w:t>
      </w:r>
      <w:r w:rsidRPr="00C96268">
        <w:rPr>
          <w:rFonts w:ascii="Times New Roman" w:hAnsi="Times New Roman" w:cs="Times New Roman"/>
          <w:bCs/>
          <w:sz w:val="24"/>
          <w:szCs w:val="24"/>
        </w:rPr>
        <w:t xml:space="preserve">, </w:t>
      </w:r>
      <w:r w:rsidR="002A210E" w:rsidRPr="00C96268">
        <w:rPr>
          <w:rFonts w:ascii="Times New Roman" w:hAnsi="Times New Roman" w:cs="Times New Roman"/>
          <w:bCs/>
          <w:sz w:val="24"/>
          <w:szCs w:val="24"/>
        </w:rPr>
        <w:t>obejmują zarówno pozycje ujęte w obciążeniu wyniku finansowego, jak i pozycje ujęte jako koszt lub podobny zapis. Będą to zatem wszystkie pozycje podatków kwalifikowanych, które obniżyły księgowy dochód (stratę) netto, niezależnie czy zostały zaprezentowane jako obowiązkowe obciążenie wyniku czy w innej pozycji rachunku zysków i strat.</w:t>
      </w:r>
      <w:r w:rsidR="002A210E" w:rsidRPr="00C96268">
        <w:rPr>
          <w:rStyle w:val="Odwoanieprzypisudolnego"/>
          <w:rFonts w:ascii="Times New Roman" w:hAnsi="Times New Roman" w:cs="Times New Roman"/>
          <w:bCs/>
          <w:sz w:val="24"/>
          <w:szCs w:val="24"/>
        </w:rPr>
        <w:footnoteReference w:id="113"/>
      </w:r>
      <w:r w:rsidR="002A210E" w:rsidRPr="00C96268">
        <w:rPr>
          <w:rFonts w:ascii="Times New Roman" w:hAnsi="Times New Roman" w:cs="Times New Roman"/>
          <w:bCs/>
          <w:sz w:val="24"/>
          <w:szCs w:val="24"/>
        </w:rPr>
        <w:t xml:space="preserve"> </w:t>
      </w:r>
    </w:p>
    <w:p w14:paraId="751EF236" w14:textId="75866EA6" w:rsidR="002A210E" w:rsidRPr="00C96268" w:rsidRDefault="002A210E" w:rsidP="002A210E">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Zgodnie z art. 42 ust. 1 pkt 1, korekta obejmuje również podatki kwalifikowane naliczone od dochodu (przychodu), który jest wyłączony z obliczania kwalifikowanego dochodu (straty).</w:t>
      </w:r>
    </w:p>
    <w:p w14:paraId="04B35298" w14:textId="7933AA40" w:rsidR="0097216A" w:rsidRPr="003E7A67" w:rsidRDefault="0097216A" w:rsidP="005D438E">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r w:rsidR="005664E5" w:rsidRPr="003E7A67">
        <w:rPr>
          <w:rFonts w:asciiTheme="minorHAnsi" w:hAnsiTheme="minorHAnsi" w:cstheme="minorHAnsi"/>
          <w:bCs w:val="0"/>
          <w:sz w:val="22"/>
          <w:szCs w:val="22"/>
          <w:vertAlign w:val="superscript"/>
        </w:rPr>
        <w:footnoteReference w:id="114"/>
      </w:r>
    </w:p>
    <w:p w14:paraId="646C0360" w14:textId="4E176178" w:rsidR="005D438E" w:rsidRPr="003E7A67" w:rsidRDefault="0097216A" w:rsidP="005D438E">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Jednostka składowa osiągnęła zysk w kwocie 120 w roku 1 i naliczyła kwotę 12 podatków kwalifikowanych (np. CIT) w odniesieniu do tego zysku według stawki 10%. Księgowy dochód (strata) netto [FANIL] wyniesie 108 (= 120 - 12). Jednakże zakładamy, że kwota 20 jest wyłączona z kwalifikowanego dochodu, a do tej kwoty przypisuje się kwotę 2 podatku kwalifikowanego. </w:t>
      </w:r>
      <w:r w:rsidR="005664E5" w:rsidRPr="003E7A67">
        <w:rPr>
          <w:rFonts w:asciiTheme="minorHAnsi" w:hAnsiTheme="minorHAnsi" w:cstheme="minorHAnsi"/>
          <w:bCs w:val="0"/>
          <w:i/>
          <w:iCs/>
          <w:sz w:val="22"/>
          <w:szCs w:val="22"/>
        </w:rPr>
        <w:t>Zatem,</w:t>
      </w:r>
      <w:r w:rsidRPr="003E7A67">
        <w:rPr>
          <w:rFonts w:asciiTheme="minorHAnsi" w:hAnsiTheme="minorHAnsi" w:cstheme="minorHAnsi"/>
          <w:bCs w:val="0"/>
          <w:i/>
          <w:iCs/>
          <w:sz w:val="22"/>
          <w:szCs w:val="22"/>
        </w:rPr>
        <w:t xml:space="preserve"> kwalifikowany dochód jednostki składowej powinien wynosić 100, a skorygowane podatki kwalifikowane powinny wynosić 10 (=12-2), co </w:t>
      </w:r>
      <w:r w:rsidR="005664E5" w:rsidRPr="003E7A67">
        <w:rPr>
          <w:rFonts w:asciiTheme="minorHAnsi" w:hAnsiTheme="minorHAnsi" w:cstheme="minorHAnsi"/>
          <w:bCs w:val="0"/>
          <w:i/>
          <w:iCs/>
          <w:sz w:val="22"/>
          <w:szCs w:val="22"/>
        </w:rPr>
        <w:t>prowadzi do e</w:t>
      </w:r>
      <w:r w:rsidRPr="003E7A67">
        <w:rPr>
          <w:rFonts w:asciiTheme="minorHAnsi" w:hAnsiTheme="minorHAnsi" w:cstheme="minorHAnsi"/>
          <w:bCs w:val="0"/>
          <w:i/>
          <w:iCs/>
          <w:sz w:val="22"/>
          <w:szCs w:val="22"/>
        </w:rPr>
        <w:t xml:space="preserve">fektywnej stawki </w:t>
      </w:r>
      <w:r w:rsidR="005664E5" w:rsidRPr="003E7A67">
        <w:rPr>
          <w:rFonts w:asciiTheme="minorHAnsi" w:hAnsiTheme="minorHAnsi" w:cstheme="minorHAnsi"/>
          <w:bCs w:val="0"/>
          <w:i/>
          <w:iCs/>
          <w:sz w:val="22"/>
          <w:szCs w:val="22"/>
        </w:rPr>
        <w:t>podatkowej w wysokości 10%</w:t>
      </w:r>
      <w:r w:rsidRPr="003E7A67">
        <w:rPr>
          <w:rFonts w:asciiTheme="minorHAnsi" w:hAnsiTheme="minorHAnsi" w:cstheme="minorHAnsi"/>
          <w:bCs w:val="0"/>
          <w:i/>
          <w:iCs/>
          <w:sz w:val="22"/>
          <w:szCs w:val="22"/>
        </w:rPr>
        <w:t xml:space="preserve">. Jeżeli </w:t>
      </w:r>
      <w:r w:rsidR="005664E5" w:rsidRPr="003E7A67">
        <w:rPr>
          <w:rFonts w:asciiTheme="minorHAnsi" w:hAnsiTheme="minorHAnsi" w:cstheme="minorHAnsi"/>
          <w:bCs w:val="0"/>
          <w:i/>
          <w:iCs/>
          <w:sz w:val="22"/>
          <w:szCs w:val="22"/>
        </w:rPr>
        <w:t xml:space="preserve">- w drodze opisanych korekt - </w:t>
      </w:r>
      <w:r w:rsidRPr="003E7A67">
        <w:rPr>
          <w:rFonts w:asciiTheme="minorHAnsi" w:hAnsiTheme="minorHAnsi" w:cstheme="minorHAnsi"/>
          <w:bCs w:val="0"/>
          <w:i/>
          <w:iCs/>
          <w:sz w:val="22"/>
          <w:szCs w:val="22"/>
        </w:rPr>
        <w:t xml:space="preserve">do 108 </w:t>
      </w:r>
      <w:r w:rsidR="005664E5" w:rsidRPr="003E7A67">
        <w:rPr>
          <w:rFonts w:asciiTheme="minorHAnsi" w:hAnsiTheme="minorHAnsi" w:cstheme="minorHAnsi"/>
          <w:bCs w:val="0"/>
          <w:i/>
          <w:iCs/>
          <w:sz w:val="22"/>
          <w:szCs w:val="22"/>
        </w:rPr>
        <w:t xml:space="preserve">księgowego </w:t>
      </w:r>
      <w:r w:rsidRPr="003E7A67">
        <w:rPr>
          <w:rFonts w:asciiTheme="minorHAnsi" w:hAnsiTheme="minorHAnsi" w:cstheme="minorHAnsi"/>
          <w:bCs w:val="0"/>
          <w:i/>
          <w:iCs/>
          <w:sz w:val="22"/>
          <w:szCs w:val="22"/>
        </w:rPr>
        <w:t xml:space="preserve">dochodu netto </w:t>
      </w:r>
      <w:r w:rsidR="005664E5" w:rsidRPr="003E7A67">
        <w:rPr>
          <w:rFonts w:asciiTheme="minorHAnsi" w:hAnsiTheme="minorHAnsi" w:cstheme="minorHAnsi"/>
          <w:bCs w:val="0"/>
          <w:i/>
          <w:iCs/>
          <w:sz w:val="22"/>
          <w:szCs w:val="22"/>
        </w:rPr>
        <w:t>zostałoby dodane</w:t>
      </w:r>
      <w:r w:rsidRPr="003E7A67">
        <w:rPr>
          <w:rFonts w:asciiTheme="minorHAnsi" w:hAnsiTheme="minorHAnsi" w:cstheme="minorHAnsi"/>
          <w:bCs w:val="0"/>
          <w:i/>
          <w:iCs/>
          <w:sz w:val="22"/>
          <w:szCs w:val="22"/>
        </w:rPr>
        <w:t xml:space="preserve"> tylko 10 podatku, który można przypisać </w:t>
      </w:r>
      <w:r w:rsidR="005664E5" w:rsidRPr="003E7A67">
        <w:rPr>
          <w:rFonts w:asciiTheme="minorHAnsi" w:hAnsiTheme="minorHAnsi" w:cstheme="minorHAnsi"/>
          <w:bCs w:val="0"/>
          <w:i/>
          <w:iCs/>
          <w:sz w:val="22"/>
          <w:szCs w:val="22"/>
        </w:rPr>
        <w:t xml:space="preserve">kwalifikowanemu </w:t>
      </w:r>
      <w:r w:rsidRPr="003E7A67">
        <w:rPr>
          <w:rFonts w:asciiTheme="minorHAnsi" w:hAnsiTheme="minorHAnsi" w:cstheme="minorHAnsi"/>
          <w:bCs w:val="0"/>
          <w:i/>
          <w:iCs/>
          <w:sz w:val="22"/>
          <w:szCs w:val="22"/>
        </w:rPr>
        <w:t xml:space="preserve">dochodowi, to </w:t>
      </w:r>
      <w:r w:rsidR="005664E5" w:rsidRPr="003E7A67">
        <w:rPr>
          <w:rFonts w:asciiTheme="minorHAnsi" w:hAnsiTheme="minorHAnsi" w:cstheme="minorHAnsi"/>
          <w:bCs w:val="0"/>
          <w:i/>
          <w:iCs/>
          <w:sz w:val="22"/>
          <w:szCs w:val="22"/>
        </w:rPr>
        <w:t xml:space="preserve">kwalifikowany </w:t>
      </w:r>
      <w:r w:rsidRPr="003E7A67">
        <w:rPr>
          <w:rFonts w:asciiTheme="minorHAnsi" w:hAnsiTheme="minorHAnsi" w:cstheme="minorHAnsi"/>
          <w:bCs w:val="0"/>
          <w:i/>
          <w:iCs/>
          <w:sz w:val="22"/>
          <w:szCs w:val="22"/>
        </w:rPr>
        <w:t>dochód wyniesie</w:t>
      </w:r>
      <w:r w:rsidR="005664E5" w:rsidRPr="003E7A67">
        <w:rPr>
          <w:rFonts w:asciiTheme="minorHAnsi" w:hAnsiTheme="minorHAnsi" w:cstheme="minorHAnsi"/>
          <w:bCs w:val="0"/>
          <w:i/>
          <w:iCs/>
          <w:sz w:val="22"/>
          <w:szCs w:val="22"/>
        </w:rPr>
        <w:t xml:space="preserve"> błędnie</w:t>
      </w:r>
      <w:r w:rsidRPr="003E7A67">
        <w:rPr>
          <w:rFonts w:asciiTheme="minorHAnsi" w:hAnsiTheme="minorHAnsi" w:cstheme="minorHAnsi"/>
          <w:bCs w:val="0"/>
          <w:i/>
          <w:iCs/>
          <w:sz w:val="22"/>
          <w:szCs w:val="22"/>
        </w:rPr>
        <w:t xml:space="preserve"> 98 (= 108 + 10 - 20). </w:t>
      </w:r>
      <w:r w:rsidR="005664E5" w:rsidRPr="003E7A67">
        <w:rPr>
          <w:rFonts w:asciiTheme="minorHAnsi" w:hAnsiTheme="minorHAnsi" w:cstheme="minorHAnsi"/>
          <w:bCs w:val="0"/>
          <w:i/>
          <w:iCs/>
          <w:sz w:val="22"/>
          <w:szCs w:val="22"/>
        </w:rPr>
        <w:t>Natomiast p</w:t>
      </w:r>
      <w:r w:rsidRPr="003E7A67">
        <w:rPr>
          <w:rFonts w:asciiTheme="minorHAnsi" w:hAnsiTheme="minorHAnsi" w:cstheme="minorHAnsi"/>
          <w:bCs w:val="0"/>
          <w:i/>
          <w:iCs/>
          <w:sz w:val="22"/>
          <w:szCs w:val="22"/>
        </w:rPr>
        <w:t xml:space="preserve">o </w:t>
      </w:r>
      <w:r w:rsidR="005664E5" w:rsidRPr="003E7A67">
        <w:rPr>
          <w:rFonts w:asciiTheme="minorHAnsi" w:hAnsiTheme="minorHAnsi" w:cstheme="minorHAnsi"/>
          <w:bCs w:val="0"/>
          <w:i/>
          <w:iCs/>
          <w:sz w:val="22"/>
          <w:szCs w:val="22"/>
        </w:rPr>
        <w:t>ujęciu</w:t>
      </w:r>
      <w:r w:rsidRPr="003E7A67">
        <w:rPr>
          <w:rFonts w:asciiTheme="minorHAnsi" w:hAnsiTheme="minorHAnsi" w:cstheme="minorHAnsi"/>
          <w:bCs w:val="0"/>
          <w:i/>
          <w:iCs/>
          <w:sz w:val="22"/>
          <w:szCs w:val="22"/>
        </w:rPr>
        <w:t xml:space="preserve"> </w:t>
      </w:r>
      <w:r w:rsidR="005664E5" w:rsidRPr="003E7A67">
        <w:rPr>
          <w:rFonts w:asciiTheme="minorHAnsi" w:hAnsiTheme="minorHAnsi" w:cstheme="minorHAnsi"/>
          <w:bCs w:val="0"/>
          <w:i/>
          <w:iCs/>
          <w:sz w:val="22"/>
          <w:szCs w:val="22"/>
        </w:rPr>
        <w:t>całej kwoty</w:t>
      </w:r>
      <w:r w:rsidRPr="003E7A67">
        <w:rPr>
          <w:rFonts w:asciiTheme="minorHAnsi" w:hAnsiTheme="minorHAnsi" w:cstheme="minorHAnsi"/>
          <w:bCs w:val="0"/>
          <w:i/>
          <w:iCs/>
          <w:sz w:val="22"/>
          <w:szCs w:val="22"/>
        </w:rPr>
        <w:t xml:space="preserve"> podatków kwalifikowanych </w:t>
      </w:r>
      <w:r w:rsidR="005664E5" w:rsidRPr="003E7A67">
        <w:rPr>
          <w:rFonts w:asciiTheme="minorHAnsi" w:hAnsiTheme="minorHAnsi" w:cstheme="minorHAnsi"/>
          <w:bCs w:val="0"/>
          <w:i/>
          <w:iCs/>
          <w:sz w:val="22"/>
          <w:szCs w:val="22"/>
        </w:rPr>
        <w:t>(12)</w:t>
      </w:r>
      <w:r w:rsidRPr="003E7A67">
        <w:rPr>
          <w:rFonts w:asciiTheme="minorHAnsi" w:hAnsiTheme="minorHAnsi" w:cstheme="minorHAnsi"/>
          <w:bCs w:val="0"/>
          <w:i/>
          <w:iCs/>
          <w:sz w:val="22"/>
          <w:szCs w:val="22"/>
        </w:rPr>
        <w:t xml:space="preserve">, </w:t>
      </w:r>
      <w:r w:rsidR="005664E5" w:rsidRPr="003E7A67">
        <w:rPr>
          <w:rFonts w:asciiTheme="minorHAnsi" w:hAnsiTheme="minorHAnsi" w:cstheme="minorHAnsi"/>
          <w:bCs w:val="0"/>
          <w:i/>
          <w:iCs/>
          <w:sz w:val="22"/>
          <w:szCs w:val="22"/>
        </w:rPr>
        <w:t xml:space="preserve">kwalifikowany </w:t>
      </w:r>
      <w:r w:rsidRPr="003E7A67">
        <w:rPr>
          <w:rFonts w:asciiTheme="minorHAnsi" w:hAnsiTheme="minorHAnsi" w:cstheme="minorHAnsi"/>
          <w:bCs w:val="0"/>
          <w:i/>
          <w:iCs/>
          <w:sz w:val="22"/>
          <w:szCs w:val="22"/>
        </w:rPr>
        <w:t xml:space="preserve">dochód </w:t>
      </w:r>
      <w:r w:rsidR="005664E5" w:rsidRPr="003E7A67">
        <w:rPr>
          <w:rFonts w:asciiTheme="minorHAnsi" w:hAnsiTheme="minorHAnsi" w:cstheme="minorHAnsi"/>
          <w:bCs w:val="0"/>
          <w:i/>
          <w:iCs/>
          <w:sz w:val="22"/>
          <w:szCs w:val="22"/>
        </w:rPr>
        <w:t>będzie</w:t>
      </w:r>
      <w:r w:rsidRPr="003E7A67">
        <w:rPr>
          <w:rFonts w:asciiTheme="minorHAnsi" w:hAnsiTheme="minorHAnsi" w:cstheme="minorHAnsi"/>
          <w:bCs w:val="0"/>
          <w:i/>
          <w:iCs/>
          <w:sz w:val="22"/>
          <w:szCs w:val="22"/>
        </w:rPr>
        <w:t xml:space="preserve"> prawidłowo określony jako 100 (= </w:t>
      </w:r>
      <w:r w:rsidR="005664E5" w:rsidRPr="003E7A67">
        <w:rPr>
          <w:rFonts w:asciiTheme="minorHAnsi" w:hAnsiTheme="minorHAnsi" w:cstheme="minorHAnsi"/>
          <w:bCs w:val="0"/>
          <w:i/>
          <w:iCs/>
          <w:sz w:val="22"/>
          <w:szCs w:val="22"/>
        </w:rPr>
        <w:t xml:space="preserve">FANIL </w:t>
      </w:r>
      <w:r w:rsidRPr="003E7A67">
        <w:rPr>
          <w:rFonts w:asciiTheme="minorHAnsi" w:hAnsiTheme="minorHAnsi" w:cstheme="minorHAnsi"/>
          <w:bCs w:val="0"/>
          <w:i/>
          <w:iCs/>
          <w:sz w:val="22"/>
          <w:szCs w:val="22"/>
        </w:rPr>
        <w:t xml:space="preserve">108 + </w:t>
      </w:r>
      <w:r w:rsidR="005664E5" w:rsidRPr="003E7A67">
        <w:rPr>
          <w:rFonts w:asciiTheme="minorHAnsi" w:hAnsiTheme="minorHAnsi" w:cstheme="minorHAnsi"/>
          <w:bCs w:val="0"/>
          <w:i/>
          <w:iCs/>
          <w:sz w:val="22"/>
          <w:szCs w:val="22"/>
        </w:rPr>
        <w:t xml:space="preserve">przywrócenie obciążenia podatkowego </w:t>
      </w:r>
      <w:r w:rsidRPr="003E7A67">
        <w:rPr>
          <w:rFonts w:asciiTheme="minorHAnsi" w:hAnsiTheme="minorHAnsi" w:cstheme="minorHAnsi"/>
          <w:bCs w:val="0"/>
          <w:i/>
          <w:iCs/>
          <w:sz w:val="22"/>
          <w:szCs w:val="22"/>
        </w:rPr>
        <w:t xml:space="preserve">12 </w:t>
      </w:r>
      <w:r w:rsidR="005664E5" w:rsidRPr="003E7A67">
        <w:rPr>
          <w:rFonts w:asciiTheme="minorHAnsi" w:hAnsiTheme="minorHAnsi" w:cstheme="minorHAnsi"/>
          <w:bCs w:val="0"/>
          <w:i/>
          <w:iCs/>
          <w:sz w:val="22"/>
          <w:szCs w:val="22"/>
        </w:rPr>
        <w:t>– dochód wyłączony</w:t>
      </w:r>
      <w:r w:rsidRPr="003E7A67">
        <w:rPr>
          <w:rFonts w:asciiTheme="minorHAnsi" w:hAnsiTheme="minorHAnsi" w:cstheme="minorHAnsi"/>
          <w:bCs w:val="0"/>
          <w:i/>
          <w:iCs/>
          <w:sz w:val="22"/>
          <w:szCs w:val="22"/>
        </w:rPr>
        <w:t xml:space="preserve"> 20), a efektywna stawka </w:t>
      </w:r>
      <w:r w:rsidR="005664E5" w:rsidRPr="003E7A67">
        <w:rPr>
          <w:rFonts w:asciiTheme="minorHAnsi" w:hAnsiTheme="minorHAnsi" w:cstheme="minorHAnsi"/>
          <w:bCs w:val="0"/>
          <w:i/>
          <w:iCs/>
          <w:sz w:val="22"/>
          <w:szCs w:val="22"/>
        </w:rPr>
        <w:t>podatkowa będzie</w:t>
      </w:r>
      <w:r w:rsidRPr="003E7A67">
        <w:rPr>
          <w:rFonts w:asciiTheme="minorHAnsi" w:hAnsiTheme="minorHAnsi" w:cstheme="minorHAnsi"/>
          <w:bCs w:val="0"/>
          <w:i/>
          <w:iCs/>
          <w:sz w:val="22"/>
          <w:szCs w:val="22"/>
        </w:rPr>
        <w:t xml:space="preserve"> prawidłowo określona jako 10%.</w:t>
      </w:r>
    </w:p>
    <w:p w14:paraId="19DF1344" w14:textId="0414F0EE" w:rsidR="005664E5" w:rsidRPr="00C96268" w:rsidRDefault="005664E5" w:rsidP="005664E5">
      <w:pPr>
        <w:spacing w:before="240"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Podatki składające się na obciążenie podatkowe netto najczęściej będą dotyczyć </w:t>
      </w:r>
      <w:r w:rsidR="00525301" w:rsidRPr="00C96268">
        <w:rPr>
          <w:rFonts w:ascii="Times New Roman" w:hAnsi="Times New Roman" w:cs="Times New Roman"/>
          <w:bCs/>
          <w:sz w:val="24"/>
          <w:szCs w:val="24"/>
        </w:rPr>
        <w:t>podatku CIT ujętego jako obowiązkowe obciążenie wyniku finansowego</w:t>
      </w:r>
      <w:r w:rsidRPr="00C96268">
        <w:rPr>
          <w:rFonts w:ascii="Times New Roman" w:hAnsi="Times New Roman" w:cs="Times New Roman"/>
          <w:bCs/>
          <w:sz w:val="24"/>
          <w:szCs w:val="24"/>
        </w:rPr>
        <w:t>.</w:t>
      </w:r>
      <w:r w:rsidR="00525301" w:rsidRPr="00C96268">
        <w:rPr>
          <w:rFonts w:ascii="Times New Roman" w:hAnsi="Times New Roman" w:cs="Times New Roman"/>
          <w:bCs/>
          <w:sz w:val="24"/>
          <w:szCs w:val="24"/>
        </w:rPr>
        <w:t xml:space="preserve"> W Komentarzu, jak również w ramach prac Komisji Europejskiej, wyjaśniono ponadto skutki w odniesieniu do podatku u źródła.</w:t>
      </w:r>
      <w:r w:rsidR="00B72127" w:rsidRPr="00C96268">
        <w:rPr>
          <w:rStyle w:val="Odwoanieprzypisudolnego"/>
          <w:rFonts w:ascii="Times New Roman" w:hAnsi="Times New Roman" w:cs="Times New Roman"/>
          <w:bCs/>
          <w:sz w:val="24"/>
          <w:szCs w:val="24"/>
        </w:rPr>
        <w:footnoteReference w:id="115"/>
      </w:r>
      <w:r w:rsidRPr="00C96268">
        <w:rPr>
          <w:rFonts w:ascii="Times New Roman" w:hAnsi="Times New Roman" w:cs="Times New Roman"/>
          <w:bCs/>
          <w:sz w:val="24"/>
          <w:szCs w:val="24"/>
        </w:rPr>
        <w:t xml:space="preserve"> </w:t>
      </w:r>
      <w:r w:rsidR="00525301" w:rsidRPr="00C96268">
        <w:rPr>
          <w:rFonts w:ascii="Times New Roman" w:hAnsi="Times New Roman" w:cs="Times New Roman"/>
          <w:bCs/>
          <w:sz w:val="24"/>
          <w:szCs w:val="24"/>
        </w:rPr>
        <w:t>Mianowicie</w:t>
      </w:r>
      <w:r w:rsidRPr="00C96268">
        <w:rPr>
          <w:rFonts w:ascii="Times New Roman" w:hAnsi="Times New Roman" w:cs="Times New Roman"/>
          <w:bCs/>
          <w:sz w:val="24"/>
          <w:szCs w:val="24"/>
        </w:rPr>
        <w:t xml:space="preserve">, jeżeli ciężar ekonomiczny podatku dochodowego u źródła lub innego podatku o podobnym charakterze, ponosi podatnik, </w:t>
      </w:r>
      <w:r w:rsidRPr="00C96268">
        <w:rPr>
          <w:rFonts w:ascii="Times New Roman" w:hAnsi="Times New Roman" w:cs="Times New Roman"/>
          <w:sz w:val="24"/>
          <w:szCs w:val="24"/>
        </w:rPr>
        <w:t xml:space="preserve">co do zasady nie powinien </w:t>
      </w:r>
      <w:r w:rsidRPr="00C96268">
        <w:rPr>
          <w:rFonts w:ascii="Times New Roman" w:hAnsi="Times New Roman" w:cs="Times New Roman"/>
          <w:bCs/>
          <w:sz w:val="24"/>
          <w:szCs w:val="24"/>
        </w:rPr>
        <w:t xml:space="preserve">on być naliczany jako koszt księgowy płatnika. W takim przypadku nie stanowi dla </w:t>
      </w:r>
      <w:r w:rsidR="00525301" w:rsidRPr="00C96268">
        <w:rPr>
          <w:rFonts w:ascii="Times New Roman" w:hAnsi="Times New Roman" w:cs="Times New Roman"/>
          <w:bCs/>
          <w:sz w:val="24"/>
          <w:szCs w:val="24"/>
        </w:rPr>
        <w:t>płatnika</w:t>
      </w:r>
      <w:r w:rsidRPr="00C96268">
        <w:rPr>
          <w:rFonts w:ascii="Times New Roman" w:hAnsi="Times New Roman" w:cs="Times New Roman"/>
          <w:bCs/>
          <w:sz w:val="24"/>
          <w:szCs w:val="24"/>
        </w:rPr>
        <w:t xml:space="preserve"> pozycji obciążenia podatkowego netto. Natomiast jeżeli to płatnik wpłaca podatek z własnych środków (tzw. ubruttowienie płatności), wówczas taki podatek może być dla niego naliczonym kosztem i być ujmowany w obciążeniu podatkowym netto tego płatnika. </w:t>
      </w:r>
    </w:p>
    <w:p w14:paraId="13AA4527" w14:textId="298C7685" w:rsidR="006231DA" w:rsidRPr="00C96268" w:rsidRDefault="00525301" w:rsidP="005664E5">
      <w:pPr>
        <w:spacing w:before="240"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Kolejną pozycją obciążenia podatkowego netto, wskazaną w </w:t>
      </w:r>
      <w:r w:rsidRPr="00C96268">
        <w:rPr>
          <w:rFonts w:ascii="Times New Roman" w:hAnsi="Times New Roman" w:cs="Times New Roman"/>
          <w:b/>
          <w:sz w:val="24"/>
          <w:szCs w:val="24"/>
        </w:rPr>
        <w:t>pkt 2</w:t>
      </w:r>
      <w:r w:rsidRPr="00C96268">
        <w:rPr>
          <w:rFonts w:ascii="Times New Roman" w:hAnsi="Times New Roman" w:cs="Times New Roman"/>
          <w:bCs/>
          <w:sz w:val="24"/>
          <w:szCs w:val="24"/>
        </w:rPr>
        <w:t>, są a</w:t>
      </w:r>
      <w:r w:rsidR="006231DA" w:rsidRPr="00C96268">
        <w:rPr>
          <w:rFonts w:ascii="Times New Roman" w:hAnsi="Times New Roman" w:cs="Times New Roman"/>
          <w:bCs/>
          <w:sz w:val="24"/>
          <w:szCs w:val="24"/>
        </w:rPr>
        <w:t>ktywa z tytułu podatku odroczonego od straty</w:t>
      </w:r>
      <w:r w:rsidR="00B72127" w:rsidRPr="00C96268">
        <w:rPr>
          <w:rFonts w:ascii="Times New Roman" w:hAnsi="Times New Roman" w:cs="Times New Roman"/>
          <w:bCs/>
          <w:sz w:val="24"/>
          <w:szCs w:val="24"/>
        </w:rPr>
        <w:t>. Aktywa te</w:t>
      </w:r>
      <w:r w:rsidR="006231DA" w:rsidRPr="00C96268">
        <w:rPr>
          <w:rFonts w:ascii="Times New Roman" w:hAnsi="Times New Roman" w:cs="Times New Roman"/>
          <w:bCs/>
          <w:sz w:val="24"/>
          <w:szCs w:val="24"/>
        </w:rPr>
        <w:t xml:space="preserve"> </w:t>
      </w:r>
      <w:r w:rsidR="00380D92" w:rsidRPr="00C96268">
        <w:rPr>
          <w:rFonts w:ascii="Times New Roman" w:hAnsi="Times New Roman" w:cs="Times New Roman"/>
          <w:bCs/>
          <w:sz w:val="24"/>
          <w:szCs w:val="24"/>
        </w:rPr>
        <w:t>tworzy w związku z możliwością pomniejszenia</w:t>
      </w:r>
      <w:r w:rsidR="006231DA" w:rsidRPr="00C96268">
        <w:rPr>
          <w:rFonts w:ascii="Times New Roman" w:hAnsi="Times New Roman" w:cs="Times New Roman"/>
          <w:bCs/>
          <w:sz w:val="24"/>
          <w:szCs w:val="24"/>
        </w:rPr>
        <w:t xml:space="preserve"> zobowiązania podatkowego</w:t>
      </w:r>
      <w:r w:rsidR="00380D92" w:rsidRPr="00C96268">
        <w:rPr>
          <w:rFonts w:ascii="Times New Roman" w:hAnsi="Times New Roman" w:cs="Times New Roman"/>
          <w:bCs/>
          <w:sz w:val="24"/>
          <w:szCs w:val="24"/>
        </w:rPr>
        <w:t xml:space="preserve"> w przyszłości</w:t>
      </w:r>
      <w:r w:rsidR="006231DA" w:rsidRPr="00C96268">
        <w:rPr>
          <w:rFonts w:ascii="Times New Roman" w:hAnsi="Times New Roman" w:cs="Times New Roman"/>
          <w:bCs/>
          <w:sz w:val="24"/>
          <w:szCs w:val="24"/>
        </w:rPr>
        <w:t>. Aktywo takie traktowane jest jako ujemna kwota korekty obciążenia podatkowego netto.</w:t>
      </w:r>
      <w:r w:rsidR="00380D92" w:rsidRPr="00C96268">
        <w:rPr>
          <w:rFonts w:ascii="Times New Roman" w:hAnsi="Times New Roman" w:cs="Times New Roman"/>
          <w:bCs/>
          <w:sz w:val="24"/>
          <w:szCs w:val="24"/>
        </w:rPr>
        <w:t xml:space="preserve"> </w:t>
      </w:r>
    </w:p>
    <w:p w14:paraId="51957E14" w14:textId="313A8DC9" w:rsidR="006231DA" w:rsidRPr="00C96268" w:rsidRDefault="006231DA" w:rsidP="006231D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Korektę o wskazany w </w:t>
      </w:r>
      <w:r w:rsidRPr="00C96268">
        <w:rPr>
          <w:rFonts w:ascii="Times New Roman" w:hAnsi="Times New Roman" w:cs="Times New Roman"/>
          <w:b/>
          <w:sz w:val="24"/>
          <w:szCs w:val="24"/>
        </w:rPr>
        <w:t>pkt 3</w:t>
      </w:r>
      <w:r w:rsidRPr="00C96268">
        <w:rPr>
          <w:rFonts w:ascii="Times New Roman" w:hAnsi="Times New Roman" w:cs="Times New Roman"/>
          <w:bCs/>
          <w:sz w:val="24"/>
          <w:szCs w:val="24"/>
        </w:rPr>
        <w:t xml:space="preserve"> kwalifikowany krajowy podatek wyrównawczy lub krajowy podatek wyrównawczy, naliczony</w:t>
      </w:r>
      <w:r w:rsidR="00380D92" w:rsidRPr="00C96268">
        <w:rPr>
          <w:rFonts w:ascii="Times New Roman" w:hAnsi="Times New Roman" w:cs="Times New Roman"/>
          <w:bCs/>
          <w:sz w:val="24"/>
          <w:szCs w:val="24"/>
        </w:rPr>
        <w:t xml:space="preserve"> potencjalnie</w:t>
      </w:r>
      <w:r w:rsidRPr="00C96268">
        <w:rPr>
          <w:rFonts w:ascii="Times New Roman" w:hAnsi="Times New Roman" w:cs="Times New Roman"/>
          <w:bCs/>
          <w:sz w:val="24"/>
          <w:szCs w:val="24"/>
        </w:rPr>
        <w:t xml:space="preserve"> jako koszt, uzasadniać należy tymi samymi względami, jak ma to miejsce w przypadku podatków kwalifikowanych – w przeciwnym razie </w:t>
      </w:r>
      <w:r w:rsidR="00380D92" w:rsidRPr="00C96268">
        <w:rPr>
          <w:rFonts w:ascii="Times New Roman" w:hAnsi="Times New Roman" w:cs="Times New Roman"/>
          <w:bCs/>
          <w:sz w:val="24"/>
          <w:szCs w:val="24"/>
        </w:rPr>
        <w:t>obliczenie efektywnej stawki podatkowej byłoby niepoprawne</w:t>
      </w:r>
      <w:r w:rsidRPr="00C96268">
        <w:rPr>
          <w:rFonts w:ascii="Times New Roman" w:hAnsi="Times New Roman" w:cs="Times New Roman"/>
          <w:bCs/>
          <w:sz w:val="24"/>
          <w:szCs w:val="24"/>
        </w:rPr>
        <w:t>. Podobnie jak w przypadku podatków kwalifikowanych, korekta taka stanowi kwotę dodatnią.</w:t>
      </w:r>
      <w:r w:rsidR="00380D92" w:rsidRPr="00C96268">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Co do zasady dodatnią kwotę korekty stanowić też będą podatki, o których mowa w </w:t>
      </w:r>
      <w:r w:rsidRPr="00C96268">
        <w:rPr>
          <w:rFonts w:ascii="Times New Roman" w:hAnsi="Times New Roman" w:cs="Times New Roman"/>
          <w:b/>
          <w:sz w:val="24"/>
          <w:szCs w:val="24"/>
        </w:rPr>
        <w:t>pkt 4</w:t>
      </w:r>
      <w:r w:rsidRPr="00C96268">
        <w:rPr>
          <w:rFonts w:ascii="Times New Roman" w:hAnsi="Times New Roman" w:cs="Times New Roman"/>
          <w:bCs/>
          <w:sz w:val="24"/>
          <w:szCs w:val="24"/>
        </w:rPr>
        <w:t xml:space="preserve"> – globalny podatek wyrównawczy, podatek wyrównawczy od niedostatecznie opodatkowanych zysków lub inne wskazane podatki, naliczone jako koszt lub jako obciążenie wyniku finansowego z tytułu podatku dochodowego. </w:t>
      </w:r>
    </w:p>
    <w:p w14:paraId="4703438D" w14:textId="5BA40A3B" w:rsidR="000159FC" w:rsidRPr="00C96268" w:rsidRDefault="006231DA" w:rsidP="00380D92">
      <w:pPr>
        <w:jc w:val="both"/>
        <w:rPr>
          <w:rFonts w:ascii="Times New Roman" w:hAnsi="Times New Roman" w:cs="Times New Roman"/>
          <w:sz w:val="24"/>
          <w:szCs w:val="24"/>
        </w:rPr>
      </w:pPr>
      <w:r w:rsidRPr="00C96268">
        <w:rPr>
          <w:rFonts w:ascii="Times New Roman" w:hAnsi="Times New Roman" w:cs="Times New Roman"/>
          <w:sz w:val="24"/>
          <w:szCs w:val="24"/>
        </w:rPr>
        <w:t xml:space="preserve">Wyłączony przypisany podatek naliczony jako koszt, wskazany w </w:t>
      </w:r>
      <w:r w:rsidRPr="00C96268">
        <w:rPr>
          <w:rFonts w:ascii="Times New Roman" w:hAnsi="Times New Roman" w:cs="Times New Roman"/>
          <w:b/>
          <w:sz w:val="24"/>
          <w:szCs w:val="24"/>
        </w:rPr>
        <w:t>pkt 5</w:t>
      </w:r>
      <w:r w:rsidR="00380D92" w:rsidRPr="00C96268">
        <w:rPr>
          <w:rFonts w:ascii="Times New Roman" w:hAnsi="Times New Roman" w:cs="Times New Roman"/>
          <w:b/>
          <w:sz w:val="24"/>
          <w:szCs w:val="24"/>
        </w:rPr>
        <w:t xml:space="preserve">, </w:t>
      </w:r>
      <w:r w:rsidR="00380D92" w:rsidRPr="00C96268">
        <w:rPr>
          <w:rFonts w:ascii="Times New Roman" w:hAnsi="Times New Roman" w:cs="Times New Roman"/>
          <w:bCs/>
          <w:sz w:val="24"/>
          <w:szCs w:val="24"/>
        </w:rPr>
        <w:t xml:space="preserve">został opisany szerzej w uzasadnieniu do </w:t>
      </w:r>
      <w:r w:rsidR="00380D92" w:rsidRPr="00C96268">
        <w:rPr>
          <w:rFonts w:ascii="Times New Roman" w:hAnsi="Times New Roman" w:cs="Times New Roman"/>
          <w:b/>
          <w:sz w:val="24"/>
          <w:szCs w:val="24"/>
        </w:rPr>
        <w:t>działu VI</w:t>
      </w:r>
      <w:r w:rsidR="00380D92"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w:t>
      </w:r>
      <w:r w:rsidR="00380D92" w:rsidRPr="00C96268">
        <w:rPr>
          <w:rFonts w:ascii="Times New Roman" w:hAnsi="Times New Roman" w:cs="Times New Roman"/>
          <w:bCs/>
          <w:sz w:val="24"/>
          <w:szCs w:val="24"/>
        </w:rPr>
        <w:t>C</w:t>
      </w:r>
      <w:r w:rsidRPr="00C96268">
        <w:rPr>
          <w:rFonts w:ascii="Times New Roman" w:hAnsi="Times New Roman" w:cs="Times New Roman"/>
          <w:bCs/>
          <w:sz w:val="24"/>
          <w:szCs w:val="24"/>
        </w:rPr>
        <w:t>o</w:t>
      </w:r>
      <w:r w:rsidRPr="00C96268">
        <w:rPr>
          <w:rFonts w:ascii="Times New Roman" w:hAnsi="Times New Roman" w:cs="Times New Roman"/>
          <w:sz w:val="24"/>
          <w:szCs w:val="24"/>
        </w:rPr>
        <w:t xml:space="preserve"> do zasady nie stanowi </w:t>
      </w:r>
      <w:r w:rsidR="00380D92" w:rsidRPr="00C96268">
        <w:rPr>
          <w:rFonts w:ascii="Times New Roman" w:hAnsi="Times New Roman" w:cs="Times New Roman"/>
          <w:sz w:val="24"/>
          <w:szCs w:val="24"/>
        </w:rPr>
        <w:t xml:space="preserve">on </w:t>
      </w:r>
      <w:r w:rsidRPr="00C96268">
        <w:rPr>
          <w:rFonts w:ascii="Times New Roman" w:hAnsi="Times New Roman" w:cs="Times New Roman"/>
          <w:sz w:val="24"/>
          <w:szCs w:val="24"/>
        </w:rPr>
        <w:t xml:space="preserve">podatku kwalifikowanego, lecz także o jego wartość koryguje się </w:t>
      </w:r>
      <w:r w:rsidR="00380D92" w:rsidRPr="00C96268">
        <w:rPr>
          <w:rFonts w:ascii="Times New Roman" w:hAnsi="Times New Roman" w:cs="Times New Roman"/>
          <w:sz w:val="24"/>
          <w:szCs w:val="24"/>
        </w:rPr>
        <w:t>księgowy dochód (stratę) netto</w:t>
      </w:r>
      <w:r w:rsidR="00E00ECC" w:rsidRPr="00C96268">
        <w:rPr>
          <w:rFonts w:ascii="Times New Roman" w:hAnsi="Times New Roman" w:cs="Times New Roman"/>
          <w:sz w:val="24"/>
          <w:szCs w:val="24"/>
        </w:rPr>
        <w:t>, ponieważ taki podatek może podlegać zwrotowi w przypadku wypłaty dywidendy</w:t>
      </w:r>
      <w:r w:rsidRPr="00C96268">
        <w:rPr>
          <w:rFonts w:ascii="Times New Roman" w:hAnsi="Times New Roman" w:cs="Times New Roman"/>
          <w:sz w:val="24"/>
          <w:szCs w:val="24"/>
        </w:rPr>
        <w:t>. Korekta taka stanowić może, w zależności od okoliczności, kwotę dodatnią bądź ujemną.</w:t>
      </w:r>
      <w:r w:rsidR="002B2F73" w:rsidRPr="00C96268">
        <w:rPr>
          <w:rFonts w:ascii="Times New Roman" w:hAnsi="Times New Roman" w:cs="Times New Roman"/>
          <w:sz w:val="24"/>
          <w:szCs w:val="24"/>
        </w:rPr>
        <w:t xml:space="preserve"> [Komentarz, 3.2.1; 33]</w:t>
      </w:r>
      <w:r w:rsidRPr="00C96268">
        <w:rPr>
          <w:rFonts w:ascii="Times New Roman" w:hAnsi="Times New Roman" w:cs="Times New Roman"/>
          <w:sz w:val="24"/>
          <w:szCs w:val="24"/>
        </w:rPr>
        <w:t xml:space="preserve"> </w:t>
      </w:r>
    </w:p>
    <w:p w14:paraId="48264669" w14:textId="77777777" w:rsidR="000626F6" w:rsidRPr="00C96268" w:rsidRDefault="000626F6" w:rsidP="000626F6">
      <w:pPr>
        <w:pStyle w:val="Nagwek5"/>
        <w:rPr>
          <w:rFonts w:ascii="Times New Roman" w:hAnsi="Times New Roman" w:cs="Times New Roman"/>
          <w:sz w:val="24"/>
          <w:szCs w:val="24"/>
        </w:rPr>
      </w:pPr>
      <w:bookmarkStart w:id="15" w:name="_Toc162351065"/>
      <w:bookmarkStart w:id="16" w:name="_Hlk162259805"/>
      <w:r w:rsidRPr="00C96268">
        <w:rPr>
          <w:rFonts w:ascii="Times New Roman" w:hAnsi="Times New Roman" w:cs="Times New Roman"/>
          <w:sz w:val="24"/>
          <w:szCs w:val="24"/>
        </w:rPr>
        <w:t>Art. 43 [Dywidendy wyłączone]</w:t>
      </w:r>
      <w:bookmarkEnd w:id="15"/>
      <w:r w:rsidRPr="00C96268" w:rsidDel="00E266F8">
        <w:rPr>
          <w:rFonts w:ascii="Times New Roman" w:hAnsi="Times New Roman" w:cs="Times New Roman"/>
          <w:iCs/>
          <w:sz w:val="24"/>
          <w:szCs w:val="24"/>
          <w:vertAlign w:val="superscript"/>
        </w:rPr>
        <w:t xml:space="preserve"> </w:t>
      </w:r>
    </w:p>
    <w:p w14:paraId="7F680ACC" w14:textId="79E09EE9" w:rsidR="000626F6" w:rsidRPr="00C96268" w:rsidRDefault="000626F6" w:rsidP="000626F6">
      <w:pPr>
        <w:jc w:val="both"/>
        <w:rPr>
          <w:rFonts w:ascii="Times New Roman" w:eastAsiaTheme="majorEastAsia" w:hAnsi="Times New Roman" w:cs="Times New Roman"/>
          <w:iCs/>
          <w:sz w:val="24"/>
          <w:szCs w:val="24"/>
        </w:rPr>
      </w:pPr>
      <w:r w:rsidRPr="00C96268">
        <w:rPr>
          <w:rFonts w:ascii="Times New Roman" w:eastAsiaTheme="majorEastAsia" w:hAnsi="Times New Roman" w:cs="Times New Roman"/>
          <w:iCs/>
          <w:sz w:val="24"/>
          <w:szCs w:val="24"/>
        </w:rPr>
        <w:t xml:space="preserve">Przepis </w:t>
      </w:r>
      <w:r w:rsidRPr="00C96268">
        <w:rPr>
          <w:rFonts w:ascii="Times New Roman" w:eastAsiaTheme="majorEastAsia" w:hAnsi="Times New Roman" w:cs="Times New Roman"/>
          <w:b/>
          <w:bCs/>
          <w:iCs/>
          <w:sz w:val="24"/>
          <w:szCs w:val="24"/>
        </w:rPr>
        <w:t>art. 43</w:t>
      </w:r>
      <w:r w:rsidRPr="00C96268">
        <w:rPr>
          <w:rFonts w:ascii="Times New Roman" w:eastAsiaTheme="majorEastAsia" w:hAnsi="Times New Roman" w:cs="Times New Roman"/>
          <w:iCs/>
          <w:sz w:val="24"/>
          <w:szCs w:val="24"/>
        </w:rPr>
        <w:t xml:space="preserve"> implementuje art. 16</w:t>
      </w:r>
      <w:r w:rsidR="00357A10" w:rsidRPr="00C96268">
        <w:rPr>
          <w:rFonts w:ascii="Times New Roman" w:eastAsiaTheme="majorEastAsia" w:hAnsi="Times New Roman" w:cs="Times New Roman"/>
          <w:iCs/>
          <w:sz w:val="24"/>
          <w:szCs w:val="24"/>
        </w:rPr>
        <w:t>.</w:t>
      </w:r>
      <w:r w:rsidRPr="00C96268">
        <w:rPr>
          <w:rFonts w:ascii="Times New Roman" w:eastAsiaTheme="majorEastAsia" w:hAnsi="Times New Roman" w:cs="Times New Roman"/>
          <w:iCs/>
          <w:sz w:val="24"/>
          <w:szCs w:val="24"/>
        </w:rPr>
        <w:t xml:space="preserve">1 lit. b Dyrektywy. Jak wynika z </w:t>
      </w:r>
      <w:r w:rsidRPr="00C96268">
        <w:rPr>
          <w:rFonts w:ascii="Times New Roman" w:eastAsiaTheme="majorEastAsia" w:hAnsi="Times New Roman" w:cs="Times New Roman"/>
          <w:b/>
          <w:bCs/>
          <w:iCs/>
          <w:sz w:val="24"/>
          <w:szCs w:val="24"/>
        </w:rPr>
        <w:t>ust. 1</w:t>
      </w:r>
      <w:r w:rsidRPr="00C96268">
        <w:rPr>
          <w:rFonts w:ascii="Times New Roman" w:eastAsiaTheme="majorEastAsia" w:hAnsi="Times New Roman" w:cs="Times New Roman"/>
          <w:iCs/>
          <w:sz w:val="24"/>
          <w:szCs w:val="24"/>
        </w:rPr>
        <w:t xml:space="preserve">, korekta z tytułu dywidendy wyłączonej polega na nieuwzględnieniu dywidendy oraz innych </w:t>
      </w:r>
      <w:r w:rsidR="009675E0" w:rsidRPr="00C96268">
        <w:rPr>
          <w:rFonts w:ascii="Times New Roman" w:eastAsiaTheme="majorEastAsia" w:hAnsi="Times New Roman" w:cs="Times New Roman"/>
          <w:iCs/>
          <w:sz w:val="24"/>
          <w:szCs w:val="24"/>
        </w:rPr>
        <w:t xml:space="preserve">płatności o podobnym charakterze </w:t>
      </w:r>
      <w:r w:rsidRPr="00C96268">
        <w:rPr>
          <w:rFonts w:ascii="Times New Roman" w:eastAsiaTheme="majorEastAsia" w:hAnsi="Times New Roman" w:cs="Times New Roman"/>
          <w:iCs/>
          <w:sz w:val="24"/>
          <w:szCs w:val="24"/>
        </w:rPr>
        <w:t xml:space="preserve">otrzymanych lub naliczonych z tytułu udziałów własnościowych. </w:t>
      </w:r>
    </w:p>
    <w:p w14:paraId="55734073" w14:textId="393D4C94" w:rsidR="000626F6" w:rsidRPr="00C96268" w:rsidRDefault="000626F6" w:rsidP="000626F6">
      <w:pPr>
        <w:jc w:val="both"/>
        <w:rPr>
          <w:rFonts w:ascii="Times New Roman" w:eastAsiaTheme="majorEastAsia" w:hAnsi="Times New Roman" w:cs="Times New Roman"/>
          <w:iCs/>
          <w:sz w:val="24"/>
          <w:szCs w:val="24"/>
        </w:rPr>
      </w:pPr>
      <w:r w:rsidRPr="00C96268">
        <w:rPr>
          <w:rFonts w:ascii="Times New Roman" w:eastAsiaTheme="majorEastAsia" w:hAnsi="Times New Roman" w:cs="Times New Roman"/>
          <w:iCs/>
          <w:sz w:val="24"/>
          <w:szCs w:val="24"/>
        </w:rPr>
        <w:t xml:space="preserve">Generalną zasadą jest wyłączenie dywidend i innych </w:t>
      </w:r>
      <w:r w:rsidR="009675E0" w:rsidRPr="00C96268">
        <w:rPr>
          <w:rFonts w:ascii="Times New Roman" w:eastAsiaTheme="majorEastAsia" w:hAnsi="Times New Roman" w:cs="Times New Roman"/>
          <w:iCs/>
          <w:sz w:val="24"/>
          <w:szCs w:val="24"/>
        </w:rPr>
        <w:t xml:space="preserve">podobnych płatności </w:t>
      </w:r>
      <w:r w:rsidRPr="00C96268">
        <w:rPr>
          <w:rFonts w:ascii="Times New Roman" w:eastAsiaTheme="majorEastAsia" w:hAnsi="Times New Roman" w:cs="Times New Roman"/>
          <w:iCs/>
          <w:sz w:val="24"/>
          <w:szCs w:val="24"/>
        </w:rPr>
        <w:t xml:space="preserve">dokonywanych wewnątrz grupy, dla potrzeb kalkulacji kwalifikowanego dochodu jednostek składowych (gdyż znajdują już odzwierciedlenie w kwalifikowanym dochodzie z perspektywy grupy). Jednakże, zgodnie z </w:t>
      </w:r>
      <w:r w:rsidRPr="00C96268">
        <w:rPr>
          <w:rFonts w:ascii="Times New Roman" w:eastAsiaTheme="majorEastAsia" w:hAnsi="Times New Roman" w:cs="Times New Roman"/>
          <w:b/>
          <w:bCs/>
          <w:iCs/>
          <w:sz w:val="24"/>
          <w:szCs w:val="24"/>
        </w:rPr>
        <w:t>ust. 2</w:t>
      </w:r>
      <w:r w:rsidRPr="00C96268">
        <w:rPr>
          <w:rFonts w:ascii="Times New Roman" w:eastAsiaTheme="majorEastAsia" w:hAnsi="Times New Roman" w:cs="Times New Roman"/>
          <w:iCs/>
          <w:sz w:val="24"/>
          <w:szCs w:val="24"/>
        </w:rPr>
        <w:t xml:space="preserve">, dywidendy wyłączonej nie stanowią dwie kategorie dywidend. </w:t>
      </w:r>
    </w:p>
    <w:p w14:paraId="417C5DDC" w14:textId="7FAF8E06" w:rsidR="000626F6" w:rsidRPr="00C96268" w:rsidRDefault="000626F6" w:rsidP="000626F6">
      <w:pPr>
        <w:spacing w:after="120"/>
        <w:jc w:val="both"/>
        <w:rPr>
          <w:rFonts w:ascii="Times New Roman" w:eastAsiaTheme="majorEastAsia" w:hAnsi="Times New Roman" w:cs="Times New Roman"/>
          <w:b/>
          <w:bCs/>
          <w:iCs/>
          <w:sz w:val="24"/>
          <w:szCs w:val="24"/>
        </w:rPr>
      </w:pPr>
      <w:r w:rsidRPr="00C96268">
        <w:rPr>
          <w:rFonts w:ascii="Times New Roman" w:eastAsiaTheme="majorEastAsia" w:hAnsi="Times New Roman" w:cs="Times New Roman"/>
          <w:iCs/>
          <w:sz w:val="24"/>
          <w:szCs w:val="24"/>
        </w:rPr>
        <w:t xml:space="preserve">Po pierwsze, dywidendą wyłączoną </w:t>
      </w:r>
      <w:r w:rsidRPr="00C96268">
        <w:rPr>
          <w:rFonts w:ascii="Times New Roman" w:eastAsiaTheme="majorEastAsia" w:hAnsi="Times New Roman" w:cs="Times New Roman"/>
          <w:b/>
          <w:bCs/>
          <w:iCs/>
          <w:sz w:val="24"/>
          <w:szCs w:val="24"/>
        </w:rPr>
        <w:t>nie są</w:t>
      </w:r>
      <w:r w:rsidRPr="00C96268">
        <w:rPr>
          <w:rFonts w:ascii="Times New Roman" w:eastAsiaTheme="majorEastAsia" w:hAnsi="Times New Roman" w:cs="Times New Roman"/>
          <w:iCs/>
          <w:sz w:val="24"/>
          <w:szCs w:val="24"/>
        </w:rPr>
        <w:t xml:space="preserve"> dywidendy lub inne </w:t>
      </w:r>
      <w:r w:rsidR="009675E0" w:rsidRPr="00C96268">
        <w:rPr>
          <w:rFonts w:ascii="Times New Roman" w:eastAsiaTheme="majorEastAsia" w:hAnsi="Times New Roman" w:cs="Times New Roman"/>
          <w:iCs/>
          <w:sz w:val="24"/>
          <w:szCs w:val="24"/>
        </w:rPr>
        <w:t xml:space="preserve">płatności </w:t>
      </w:r>
      <w:r w:rsidRPr="00C96268">
        <w:rPr>
          <w:rFonts w:ascii="Times New Roman" w:eastAsiaTheme="majorEastAsia" w:hAnsi="Times New Roman" w:cs="Times New Roman"/>
          <w:iCs/>
          <w:sz w:val="24"/>
          <w:szCs w:val="24"/>
        </w:rPr>
        <w:t xml:space="preserve">otrzymane lub naliczone z tytułu tzw. </w:t>
      </w:r>
      <w:r w:rsidRPr="00C96268">
        <w:rPr>
          <w:rFonts w:ascii="Times New Roman" w:eastAsiaTheme="majorEastAsia" w:hAnsi="Times New Roman" w:cs="Times New Roman"/>
          <w:b/>
          <w:bCs/>
          <w:iCs/>
          <w:sz w:val="24"/>
          <w:szCs w:val="24"/>
        </w:rPr>
        <w:t>inwestycji portfelowych</w:t>
      </w:r>
      <w:r w:rsidRPr="00C96268">
        <w:rPr>
          <w:rFonts w:ascii="Times New Roman" w:eastAsiaTheme="majorEastAsia" w:hAnsi="Times New Roman" w:cs="Times New Roman"/>
          <w:iCs/>
          <w:sz w:val="24"/>
          <w:szCs w:val="24"/>
        </w:rPr>
        <w:t xml:space="preserve"> w jednostce składowej, tj. z tytułu udziałów własnościowych w jednostce składowej posiadanych przez inne jednostki składowe grupy, które dają prawa do </w:t>
      </w:r>
      <w:r w:rsidRPr="00C96268">
        <w:rPr>
          <w:rFonts w:ascii="Times New Roman" w:eastAsiaTheme="majorEastAsia" w:hAnsi="Times New Roman" w:cs="Times New Roman"/>
          <w:b/>
          <w:bCs/>
          <w:iCs/>
          <w:sz w:val="24"/>
          <w:szCs w:val="24"/>
        </w:rPr>
        <w:t>mniej niż 10%</w:t>
      </w:r>
      <w:r w:rsidRPr="00C96268">
        <w:rPr>
          <w:rFonts w:ascii="Times New Roman" w:eastAsiaTheme="majorEastAsia" w:hAnsi="Times New Roman" w:cs="Times New Roman"/>
          <w:iCs/>
          <w:sz w:val="24"/>
          <w:szCs w:val="24"/>
        </w:rPr>
        <w:t xml:space="preserve"> zysków, kapitału, rezerw lub praw głosu w tej jednostce w dniu wypłaty lub naliczenia zysków lub zbycia tych udziałów (</w:t>
      </w:r>
      <w:r w:rsidRPr="00C96268">
        <w:rPr>
          <w:rFonts w:ascii="Times New Roman" w:eastAsiaTheme="majorEastAsia" w:hAnsi="Times New Roman" w:cs="Times New Roman"/>
          <w:b/>
          <w:bCs/>
          <w:iCs/>
          <w:sz w:val="24"/>
          <w:szCs w:val="24"/>
        </w:rPr>
        <w:t>pkt 1 lit. a</w:t>
      </w:r>
      <w:r w:rsidRPr="00C96268">
        <w:rPr>
          <w:rFonts w:ascii="Times New Roman" w:eastAsiaTheme="majorEastAsia" w:hAnsi="Times New Roman" w:cs="Times New Roman"/>
          <w:iCs/>
          <w:sz w:val="24"/>
          <w:szCs w:val="24"/>
        </w:rPr>
        <w:t xml:space="preserve">). Jednocześnie wymaga się, aby udziały takie stanowiły ekonomiczną własność jednostki składowej, która otrzymuje lub nalicza w księgach dywidendy lub inne wypłaty, nieprzerwanie przez okres </w:t>
      </w:r>
      <w:r w:rsidRPr="00C96268">
        <w:rPr>
          <w:rFonts w:ascii="Times New Roman" w:eastAsiaTheme="majorEastAsia" w:hAnsi="Times New Roman" w:cs="Times New Roman"/>
          <w:b/>
          <w:bCs/>
          <w:iCs/>
          <w:sz w:val="24"/>
          <w:szCs w:val="24"/>
        </w:rPr>
        <w:t>krótszy niż 12 miesięcy</w:t>
      </w:r>
      <w:r w:rsidRPr="00C96268">
        <w:rPr>
          <w:rFonts w:ascii="Times New Roman" w:eastAsiaTheme="majorEastAsia" w:hAnsi="Times New Roman" w:cs="Times New Roman"/>
          <w:iCs/>
          <w:sz w:val="24"/>
          <w:szCs w:val="24"/>
        </w:rPr>
        <w:t xml:space="preserve"> liczony na dzień otrzymania dywidendy lub innej wypłaty (</w:t>
      </w:r>
      <w:r w:rsidRPr="00C96268">
        <w:rPr>
          <w:rFonts w:ascii="Times New Roman" w:eastAsiaTheme="majorEastAsia" w:hAnsi="Times New Roman" w:cs="Times New Roman"/>
          <w:b/>
          <w:bCs/>
          <w:iCs/>
          <w:sz w:val="24"/>
          <w:szCs w:val="24"/>
        </w:rPr>
        <w:t>pkt 1 lit. b</w:t>
      </w:r>
      <w:r w:rsidRPr="00C96268">
        <w:rPr>
          <w:rFonts w:ascii="Times New Roman" w:eastAsiaTheme="majorEastAsia" w:hAnsi="Times New Roman" w:cs="Times New Roman"/>
          <w:iCs/>
          <w:sz w:val="24"/>
          <w:szCs w:val="24"/>
        </w:rPr>
        <w:t>) [</w:t>
      </w:r>
      <w:r w:rsidRPr="00C96268">
        <w:rPr>
          <w:rFonts w:ascii="Times New Roman" w:eastAsiaTheme="majorEastAsia" w:hAnsi="Times New Roman" w:cs="Times New Roman"/>
          <w:i/>
          <w:sz w:val="24"/>
          <w:szCs w:val="24"/>
        </w:rPr>
        <w:t xml:space="preserve">Należy przy tym pamiętać o wyborze uregulowanym w art. 56, zgodnie z którym dywidendę portfelową ujmuje się </w:t>
      </w:r>
      <w:r w:rsidRPr="00C96268">
        <w:rPr>
          <w:rFonts w:ascii="Times New Roman" w:hAnsi="Times New Roman" w:cs="Times New Roman"/>
          <w:i/>
          <w:sz w:val="24"/>
          <w:szCs w:val="24"/>
        </w:rPr>
        <w:t>bez względu na okres, przez który jednostka ta posiada taką inwestycję portfelową</w:t>
      </w:r>
      <w:r w:rsidRPr="00C96268">
        <w:rPr>
          <w:rFonts w:ascii="Times New Roman" w:hAnsi="Times New Roman" w:cs="Times New Roman"/>
          <w:sz w:val="24"/>
          <w:szCs w:val="24"/>
        </w:rPr>
        <w:t xml:space="preserve">]. </w:t>
      </w:r>
      <w:r w:rsidRPr="00C96268">
        <w:rPr>
          <w:rFonts w:ascii="Times New Roman" w:eastAsiaTheme="majorEastAsia" w:hAnsi="Times New Roman" w:cs="Times New Roman"/>
          <w:iCs/>
          <w:sz w:val="24"/>
          <w:szCs w:val="24"/>
        </w:rPr>
        <w:t>Dla potrzeb powyższej regulacji przyjmuje się, że udziały własnościowe stanowią ekonomiczną własność jednostki składowej w danym okresie, jeżeli jednostka ta posiada albo jest uprawniona do całości lub prawie wszystkich praw i obowiązków, wynikających z posiadania tych udziałów, w tym prawa do zysków, kapitału, rezerw lub prawa głosu i jednostka ta w tym okresie nie zrzekła się tych praw ani ich nie przeniosła na inną osobę/podmiot. Przyjmuje się także, że okresu, w którym udziały własnościowe stanowią ekonomiczną własność jednostki składowej, nie przerywa przeniesione tych udziałów na inną jednostkę składową grupy w drodze reorganizacji.</w:t>
      </w:r>
    </w:p>
    <w:p w14:paraId="5B2991D8" w14:textId="54BDB438" w:rsidR="000626F6" w:rsidRPr="00C96268" w:rsidRDefault="000626F6" w:rsidP="000626F6">
      <w:pPr>
        <w:jc w:val="both"/>
        <w:rPr>
          <w:rFonts w:ascii="Times New Roman" w:eastAsiaTheme="majorEastAsia" w:hAnsi="Times New Roman" w:cs="Times New Roman"/>
          <w:iCs/>
          <w:sz w:val="24"/>
          <w:szCs w:val="24"/>
        </w:rPr>
      </w:pPr>
      <w:r w:rsidRPr="00C96268">
        <w:rPr>
          <w:rFonts w:ascii="Times New Roman" w:eastAsiaTheme="majorEastAsia" w:hAnsi="Times New Roman" w:cs="Times New Roman"/>
          <w:iCs/>
          <w:sz w:val="24"/>
          <w:szCs w:val="24"/>
        </w:rPr>
        <w:t xml:space="preserve">Po drugie, dywidend wyłączonych nie stanowią dywidendy lub inne wypłaty otrzymane lub naliczone z tytułu udziałów własnościowych w jednostce inwestycyjnej, dla której dokonano wyboru w zakresie metody </w:t>
      </w:r>
      <w:r w:rsidR="007C3C7F" w:rsidRPr="00C96268">
        <w:rPr>
          <w:rFonts w:ascii="Times New Roman" w:eastAsiaTheme="majorEastAsia" w:hAnsi="Times New Roman" w:cs="Times New Roman"/>
          <w:iCs/>
          <w:sz w:val="24"/>
          <w:szCs w:val="24"/>
        </w:rPr>
        <w:t xml:space="preserve">opodatkowania </w:t>
      </w:r>
      <w:r w:rsidRPr="00C96268">
        <w:rPr>
          <w:rFonts w:ascii="Times New Roman" w:eastAsiaTheme="majorEastAsia" w:hAnsi="Times New Roman" w:cs="Times New Roman"/>
          <w:iCs/>
          <w:sz w:val="24"/>
          <w:szCs w:val="24"/>
        </w:rPr>
        <w:t>opartej na wypłacie zysku (bądź w oparciu o przepisy projektowanej ustawy bądź równoważne przepisy inne</w:t>
      </w:r>
      <w:r w:rsidR="00267E67" w:rsidRPr="00C96268">
        <w:rPr>
          <w:rFonts w:ascii="Times New Roman" w:eastAsiaTheme="majorEastAsia" w:hAnsi="Times New Roman" w:cs="Times New Roman"/>
          <w:iCs/>
          <w:sz w:val="24"/>
          <w:szCs w:val="24"/>
        </w:rPr>
        <w:t>j</w:t>
      </w:r>
      <w:r w:rsidRPr="00C96268">
        <w:rPr>
          <w:rFonts w:ascii="Times New Roman" w:eastAsiaTheme="majorEastAsia" w:hAnsi="Times New Roman" w:cs="Times New Roman"/>
          <w:iCs/>
          <w:sz w:val="24"/>
          <w:szCs w:val="24"/>
        </w:rPr>
        <w:t xml:space="preserve"> </w:t>
      </w:r>
      <w:r w:rsidR="00267E67" w:rsidRPr="00C96268">
        <w:rPr>
          <w:rFonts w:ascii="Times New Roman" w:hAnsi="Times New Roman" w:cs="Times New Roman"/>
          <w:sz w:val="24"/>
          <w:szCs w:val="24"/>
        </w:rPr>
        <w:t>jurysdykcji</w:t>
      </w:r>
      <w:r w:rsidRPr="00C96268">
        <w:rPr>
          <w:rFonts w:ascii="Times New Roman" w:eastAsiaTheme="majorEastAsia" w:hAnsi="Times New Roman" w:cs="Times New Roman"/>
          <w:iCs/>
          <w:sz w:val="24"/>
          <w:szCs w:val="24"/>
        </w:rPr>
        <w:t>).</w:t>
      </w:r>
    </w:p>
    <w:p w14:paraId="64CCEBE6" w14:textId="7024C857" w:rsidR="000626F6" w:rsidRPr="00C96268" w:rsidRDefault="000626F6" w:rsidP="000626F6">
      <w:pPr>
        <w:jc w:val="both"/>
        <w:rPr>
          <w:rFonts w:ascii="Times New Roman" w:eastAsiaTheme="majorEastAsia" w:hAnsi="Times New Roman" w:cs="Times New Roman"/>
          <w:iCs/>
          <w:sz w:val="24"/>
          <w:szCs w:val="24"/>
        </w:rPr>
      </w:pPr>
      <w:r w:rsidRPr="00C96268">
        <w:rPr>
          <w:rFonts w:ascii="Times New Roman" w:eastAsiaTheme="majorEastAsia" w:hAnsi="Times New Roman" w:cs="Times New Roman"/>
          <w:iCs/>
          <w:sz w:val="24"/>
          <w:szCs w:val="24"/>
        </w:rPr>
        <w:t>Wskazać ponadto należy, że w przypadku otrzymania lub naliczenia dywidendy lub innej wypłaty w odniesieniu do udziałów własnościowych, które są złożonym instrumentem finansowym (tj. posiadającym zarówno składnik kapitałowy, jak i zobowiązaniowy), tylko kwoty otrzymane lub naliczone w odniesieniu do składnika kapitałowego udziałów własnościowych będą traktowane jako wyłączona dywidenda</w:t>
      </w:r>
      <w:r w:rsidRPr="00C96268">
        <w:rPr>
          <w:rFonts w:ascii="Times New Roman" w:eastAsiaTheme="majorEastAsia" w:hAnsi="Times New Roman" w:cs="Times New Roman"/>
          <w:iCs/>
          <w:sz w:val="24"/>
          <w:szCs w:val="24"/>
          <w:vertAlign w:val="superscript"/>
        </w:rPr>
        <w:footnoteReference w:id="116"/>
      </w:r>
      <w:r w:rsidRPr="00C96268">
        <w:rPr>
          <w:rFonts w:ascii="Times New Roman" w:eastAsiaTheme="majorEastAsia" w:hAnsi="Times New Roman" w:cs="Times New Roman"/>
          <w:iCs/>
          <w:sz w:val="24"/>
          <w:szCs w:val="24"/>
        </w:rPr>
        <w:t xml:space="preserve">. </w:t>
      </w:r>
    </w:p>
    <w:p w14:paraId="7CF5EEC2" w14:textId="25E4FE07" w:rsidR="009675E0" w:rsidRPr="00C96268" w:rsidRDefault="009675E0" w:rsidP="009675E0">
      <w:pPr>
        <w:jc w:val="both"/>
        <w:rPr>
          <w:rFonts w:ascii="Times New Roman" w:eastAsiaTheme="majorEastAsia" w:hAnsi="Times New Roman" w:cs="Times New Roman"/>
          <w:iCs/>
          <w:sz w:val="24"/>
          <w:szCs w:val="24"/>
        </w:rPr>
      </w:pPr>
      <w:r w:rsidRPr="00C96268">
        <w:rPr>
          <w:rFonts w:ascii="Times New Roman" w:eastAsiaTheme="majorEastAsia" w:hAnsi="Times New Roman" w:cs="Times New Roman"/>
          <w:iCs/>
          <w:sz w:val="24"/>
          <w:szCs w:val="24"/>
        </w:rPr>
        <w:t xml:space="preserve">Przepis art. 43 </w:t>
      </w:r>
      <w:r w:rsidR="00646DD4" w:rsidRPr="00C96268">
        <w:rPr>
          <w:rFonts w:ascii="Times New Roman" w:eastAsiaTheme="majorEastAsia" w:hAnsi="Times New Roman" w:cs="Times New Roman"/>
          <w:iCs/>
          <w:sz w:val="24"/>
          <w:szCs w:val="24"/>
        </w:rPr>
        <w:t>może znaleźć</w:t>
      </w:r>
      <w:r w:rsidRPr="00C96268">
        <w:rPr>
          <w:rFonts w:ascii="Times New Roman" w:eastAsiaTheme="majorEastAsia" w:hAnsi="Times New Roman" w:cs="Times New Roman"/>
          <w:iCs/>
          <w:sz w:val="24"/>
          <w:szCs w:val="24"/>
        </w:rPr>
        <w:t xml:space="preserve"> również odpowiednie zastosowanie do zaliczek wypłaconych na poczet dywidendy</w:t>
      </w:r>
      <w:r w:rsidR="00646DD4" w:rsidRPr="00C96268">
        <w:rPr>
          <w:rFonts w:ascii="Times New Roman" w:eastAsiaTheme="majorEastAsia" w:hAnsi="Times New Roman" w:cs="Times New Roman"/>
          <w:iCs/>
          <w:sz w:val="24"/>
          <w:szCs w:val="24"/>
        </w:rPr>
        <w:t xml:space="preserve">, jeżeli </w:t>
      </w:r>
      <w:r w:rsidRPr="00C96268">
        <w:rPr>
          <w:rFonts w:ascii="Times New Roman" w:eastAsiaTheme="majorEastAsia" w:hAnsi="Times New Roman" w:cs="Times New Roman"/>
          <w:iCs/>
          <w:sz w:val="24"/>
          <w:szCs w:val="24"/>
        </w:rPr>
        <w:t>potencjalnie</w:t>
      </w:r>
      <w:r w:rsidR="00646DD4" w:rsidRPr="00C96268">
        <w:rPr>
          <w:rFonts w:ascii="Times New Roman" w:eastAsiaTheme="majorEastAsia" w:hAnsi="Times New Roman" w:cs="Times New Roman"/>
          <w:iCs/>
          <w:sz w:val="24"/>
          <w:szCs w:val="24"/>
        </w:rPr>
        <w:t xml:space="preserve"> byłyby wykazane</w:t>
      </w:r>
      <w:r w:rsidRPr="00C96268">
        <w:rPr>
          <w:rFonts w:ascii="Times New Roman" w:eastAsiaTheme="majorEastAsia" w:hAnsi="Times New Roman" w:cs="Times New Roman"/>
          <w:iCs/>
          <w:sz w:val="24"/>
          <w:szCs w:val="24"/>
        </w:rPr>
        <w:t xml:space="preserve"> </w:t>
      </w:r>
      <w:r w:rsidR="00646DD4" w:rsidRPr="00C96268">
        <w:rPr>
          <w:rFonts w:ascii="Times New Roman" w:eastAsiaTheme="majorEastAsia" w:hAnsi="Times New Roman" w:cs="Times New Roman"/>
          <w:iCs/>
          <w:sz w:val="24"/>
          <w:szCs w:val="24"/>
        </w:rPr>
        <w:t xml:space="preserve">- w szczególnych przypadkach - </w:t>
      </w:r>
      <w:r w:rsidRPr="00C96268">
        <w:rPr>
          <w:rFonts w:ascii="Times New Roman" w:eastAsiaTheme="majorEastAsia" w:hAnsi="Times New Roman" w:cs="Times New Roman"/>
          <w:iCs/>
          <w:sz w:val="24"/>
          <w:szCs w:val="24"/>
        </w:rPr>
        <w:t>w księgowym zysku (stracie) netto jednostki składowej</w:t>
      </w:r>
      <w:r w:rsidR="00646DD4" w:rsidRPr="00C96268">
        <w:rPr>
          <w:rFonts w:ascii="Times New Roman" w:eastAsiaTheme="majorEastAsia" w:hAnsi="Times New Roman" w:cs="Times New Roman"/>
          <w:iCs/>
          <w:sz w:val="24"/>
          <w:szCs w:val="24"/>
        </w:rPr>
        <w:t xml:space="preserve"> zgodnie z właściwym akceptowalnym lub zatwierdzonym standardem rachunkowości</w:t>
      </w:r>
      <w:r w:rsidRPr="00C96268">
        <w:rPr>
          <w:rFonts w:ascii="Times New Roman" w:eastAsiaTheme="majorEastAsia" w:hAnsi="Times New Roman" w:cs="Times New Roman"/>
          <w:iCs/>
          <w:sz w:val="24"/>
          <w:szCs w:val="24"/>
        </w:rPr>
        <w:t>.</w:t>
      </w:r>
    </w:p>
    <w:bookmarkEnd w:id="16"/>
    <w:p w14:paraId="06C72D95" w14:textId="77777777" w:rsidR="0082073B" w:rsidRPr="00C96268" w:rsidRDefault="0082073B" w:rsidP="0082073B">
      <w:pPr>
        <w:pStyle w:val="Nagwek5"/>
        <w:rPr>
          <w:rFonts w:ascii="Times New Roman" w:hAnsi="Times New Roman" w:cs="Times New Roman"/>
          <w:sz w:val="24"/>
          <w:szCs w:val="24"/>
        </w:rPr>
      </w:pPr>
      <w:r w:rsidRPr="00C96268">
        <w:rPr>
          <w:rFonts w:ascii="Times New Roman" w:hAnsi="Times New Roman" w:cs="Times New Roman"/>
          <w:sz w:val="24"/>
          <w:szCs w:val="24"/>
        </w:rPr>
        <w:t>Art. 44 [Wyłączone zyski (straty) kapitałowe]</w:t>
      </w:r>
    </w:p>
    <w:p w14:paraId="222C604F" w14:textId="7720CB56" w:rsidR="0082073B" w:rsidRPr="00C96268" w:rsidRDefault="0082073B" w:rsidP="0082073B">
      <w:pPr>
        <w:jc w:val="both"/>
        <w:rPr>
          <w:rFonts w:ascii="Times New Roman" w:hAnsi="Times New Roman" w:cs="Times New Roman"/>
          <w:sz w:val="24"/>
          <w:szCs w:val="24"/>
        </w:rPr>
      </w:pPr>
      <w:r w:rsidRPr="00C96268">
        <w:rPr>
          <w:rFonts w:ascii="Times New Roman" w:hAnsi="Times New Roman" w:cs="Times New Roman"/>
          <w:sz w:val="24"/>
          <w:szCs w:val="24"/>
        </w:rPr>
        <w:t xml:space="preserve">W </w:t>
      </w:r>
      <w:r w:rsidRPr="00C96268">
        <w:rPr>
          <w:rFonts w:ascii="Times New Roman" w:hAnsi="Times New Roman" w:cs="Times New Roman"/>
          <w:b/>
          <w:sz w:val="24"/>
          <w:szCs w:val="24"/>
        </w:rPr>
        <w:t xml:space="preserve">art. 44 </w:t>
      </w:r>
      <w:r w:rsidRPr="00C96268">
        <w:rPr>
          <w:rFonts w:ascii="Times New Roman" w:hAnsi="Times New Roman" w:cs="Times New Roman"/>
          <w:sz w:val="24"/>
          <w:szCs w:val="24"/>
        </w:rPr>
        <w:t>zostały zawarte regulacje dotyczące wyłączonych zysków (strat) kapitałowych, transponując definicję wskazaną w art. 16</w:t>
      </w:r>
      <w:r w:rsidR="00357A10" w:rsidRPr="00C96268">
        <w:rPr>
          <w:rFonts w:ascii="Times New Roman" w:hAnsi="Times New Roman" w:cs="Times New Roman"/>
          <w:sz w:val="24"/>
          <w:szCs w:val="24"/>
        </w:rPr>
        <w:t>.</w:t>
      </w:r>
      <w:r w:rsidRPr="00C96268">
        <w:rPr>
          <w:rFonts w:ascii="Times New Roman" w:hAnsi="Times New Roman" w:cs="Times New Roman"/>
          <w:sz w:val="24"/>
          <w:szCs w:val="24"/>
        </w:rPr>
        <w:t xml:space="preserve">1 lit. c Dyrektywy. </w:t>
      </w:r>
    </w:p>
    <w:p w14:paraId="1B776C80" w14:textId="77777777" w:rsidR="0082073B" w:rsidRPr="00C96268" w:rsidRDefault="0082073B" w:rsidP="0082073B">
      <w:pPr>
        <w:jc w:val="both"/>
        <w:rPr>
          <w:rFonts w:ascii="Times New Roman" w:hAnsi="Times New Roman" w:cs="Times New Roman"/>
          <w:sz w:val="24"/>
          <w:szCs w:val="24"/>
        </w:rPr>
      </w:pPr>
      <w:r w:rsidRPr="00C96268">
        <w:rPr>
          <w:rFonts w:ascii="Times New Roman" w:hAnsi="Times New Roman" w:cs="Times New Roman"/>
          <w:sz w:val="24"/>
          <w:szCs w:val="24"/>
        </w:rPr>
        <w:t>Pod pojęciem wyłączonych zysków (strat) należy rozumieć trzy kategorie zysków (strat):</w:t>
      </w:r>
    </w:p>
    <w:p w14:paraId="4F8A2E03" w14:textId="77777777" w:rsidR="0082073B" w:rsidRPr="00C96268" w:rsidRDefault="0082073B" w:rsidP="002C7467">
      <w:pPr>
        <w:pStyle w:val="Akapitzlist"/>
        <w:numPr>
          <w:ilvl w:val="0"/>
          <w:numId w:val="92"/>
        </w:numPr>
        <w:jc w:val="both"/>
        <w:rPr>
          <w:rFonts w:ascii="Times New Roman" w:hAnsi="Times New Roman" w:cs="Times New Roman"/>
          <w:sz w:val="24"/>
          <w:szCs w:val="24"/>
        </w:rPr>
      </w:pPr>
      <w:r w:rsidRPr="00C96268">
        <w:rPr>
          <w:rFonts w:ascii="Times New Roman" w:hAnsi="Times New Roman" w:cs="Times New Roman"/>
          <w:sz w:val="24"/>
          <w:szCs w:val="24"/>
        </w:rPr>
        <w:t>zyski bądź straty wynikające ze zmian wartości godziwej udziału własnościowego, z wyjątkiem inwestycji portfelowej;</w:t>
      </w:r>
    </w:p>
    <w:p w14:paraId="0313F5D2" w14:textId="77777777" w:rsidR="0082073B" w:rsidRPr="00C96268" w:rsidRDefault="0082073B" w:rsidP="002C7467">
      <w:pPr>
        <w:pStyle w:val="Akapitzlist"/>
        <w:numPr>
          <w:ilvl w:val="0"/>
          <w:numId w:val="92"/>
        </w:numPr>
        <w:jc w:val="both"/>
        <w:rPr>
          <w:rFonts w:ascii="Times New Roman" w:hAnsi="Times New Roman" w:cs="Times New Roman"/>
          <w:sz w:val="24"/>
          <w:szCs w:val="24"/>
        </w:rPr>
      </w:pPr>
      <w:r w:rsidRPr="00C96268">
        <w:rPr>
          <w:rFonts w:ascii="Times New Roman" w:hAnsi="Times New Roman" w:cs="Times New Roman"/>
          <w:sz w:val="24"/>
          <w:szCs w:val="24"/>
        </w:rPr>
        <w:t>zyski bądź straty z udziałów własnościowych, które są ujęte zgodnie z metodą praw własności;</w:t>
      </w:r>
    </w:p>
    <w:p w14:paraId="2FCA2CC4" w14:textId="77777777" w:rsidR="0082073B" w:rsidRPr="00C96268" w:rsidRDefault="0082073B" w:rsidP="002C7467">
      <w:pPr>
        <w:pStyle w:val="Akapitzlist"/>
        <w:numPr>
          <w:ilvl w:val="0"/>
          <w:numId w:val="92"/>
        </w:numPr>
        <w:jc w:val="both"/>
        <w:rPr>
          <w:rFonts w:ascii="Times New Roman" w:hAnsi="Times New Roman" w:cs="Times New Roman"/>
          <w:sz w:val="24"/>
          <w:szCs w:val="24"/>
        </w:rPr>
      </w:pPr>
      <w:r w:rsidRPr="00C96268">
        <w:rPr>
          <w:rFonts w:ascii="Times New Roman" w:hAnsi="Times New Roman" w:cs="Times New Roman"/>
          <w:sz w:val="24"/>
          <w:szCs w:val="24"/>
        </w:rPr>
        <w:t>zyski bądź straty wynikające ze zbycia udziału własnościowego, z wyjątkiem zbycia inwestycji portfelowej.</w:t>
      </w:r>
    </w:p>
    <w:p w14:paraId="7A242CE0" w14:textId="77777777" w:rsidR="0082073B" w:rsidRPr="00C96268" w:rsidRDefault="0082073B" w:rsidP="0082073B">
      <w:pPr>
        <w:jc w:val="both"/>
        <w:rPr>
          <w:rFonts w:ascii="Times New Roman" w:hAnsi="Times New Roman" w:cs="Times New Roman"/>
          <w:sz w:val="24"/>
          <w:szCs w:val="24"/>
        </w:rPr>
      </w:pPr>
      <w:r w:rsidRPr="00C96268">
        <w:rPr>
          <w:rFonts w:ascii="Times New Roman" w:hAnsi="Times New Roman" w:cs="Times New Roman"/>
          <w:sz w:val="24"/>
          <w:szCs w:val="24"/>
        </w:rPr>
        <w:t xml:space="preserve">Pierwszy rodzaj wyłączonych zysków lub strat kapitałowych, wskazany w </w:t>
      </w:r>
      <w:r w:rsidRPr="00C96268">
        <w:rPr>
          <w:rFonts w:ascii="Times New Roman" w:hAnsi="Times New Roman" w:cs="Times New Roman"/>
          <w:b/>
          <w:bCs/>
          <w:sz w:val="24"/>
          <w:szCs w:val="24"/>
        </w:rPr>
        <w:t>pkt 1</w:t>
      </w:r>
      <w:r w:rsidRPr="00C96268">
        <w:rPr>
          <w:rFonts w:ascii="Times New Roman" w:hAnsi="Times New Roman" w:cs="Times New Roman"/>
          <w:sz w:val="24"/>
          <w:szCs w:val="24"/>
        </w:rPr>
        <w:t xml:space="preserve">, można przypisać do </w:t>
      </w:r>
      <w:r w:rsidRPr="00C96268">
        <w:rPr>
          <w:rFonts w:ascii="Times New Roman" w:hAnsi="Times New Roman" w:cs="Times New Roman"/>
          <w:b/>
          <w:bCs/>
          <w:sz w:val="24"/>
          <w:szCs w:val="24"/>
        </w:rPr>
        <w:t>zmian wartości godziwej udziałów własnościowych</w:t>
      </w:r>
      <w:r w:rsidRPr="00C96268">
        <w:rPr>
          <w:rFonts w:ascii="Times New Roman" w:hAnsi="Times New Roman" w:cs="Times New Roman"/>
          <w:sz w:val="24"/>
          <w:szCs w:val="24"/>
        </w:rPr>
        <w:t>, które są rozliczane metodą wartości godziwej (</w:t>
      </w:r>
      <w:r w:rsidRPr="00C96268">
        <w:rPr>
          <w:rFonts w:ascii="Times New Roman" w:hAnsi="Times New Roman" w:cs="Times New Roman"/>
          <w:i/>
          <w:iCs/>
          <w:sz w:val="24"/>
          <w:szCs w:val="24"/>
        </w:rPr>
        <w:t>fair value accounting method</w:t>
      </w:r>
      <w:r w:rsidRPr="00C96268">
        <w:rPr>
          <w:rFonts w:ascii="Times New Roman" w:hAnsi="Times New Roman" w:cs="Times New Roman"/>
          <w:sz w:val="24"/>
          <w:szCs w:val="24"/>
        </w:rPr>
        <w:t>), w tym metodą wyceny według wartości rynkowej (</w:t>
      </w:r>
      <w:r w:rsidRPr="00C96268">
        <w:rPr>
          <w:rFonts w:ascii="Times New Roman" w:hAnsi="Times New Roman" w:cs="Times New Roman"/>
          <w:i/>
          <w:iCs/>
          <w:sz w:val="24"/>
          <w:szCs w:val="24"/>
        </w:rPr>
        <w:t>mark-to-market</w:t>
      </w:r>
      <w:r w:rsidRPr="00C96268">
        <w:rPr>
          <w:rFonts w:ascii="Times New Roman" w:hAnsi="Times New Roman" w:cs="Times New Roman"/>
          <w:sz w:val="24"/>
          <w:szCs w:val="24"/>
        </w:rPr>
        <w:t>).</w:t>
      </w:r>
    </w:p>
    <w:p w14:paraId="58DA7DC4" w14:textId="77777777" w:rsidR="0082073B" w:rsidRPr="00C96268" w:rsidRDefault="0082073B" w:rsidP="0082073B">
      <w:pPr>
        <w:jc w:val="both"/>
        <w:rPr>
          <w:rFonts w:ascii="Times New Roman" w:hAnsi="Times New Roman" w:cs="Times New Roman"/>
          <w:sz w:val="24"/>
          <w:szCs w:val="24"/>
        </w:rPr>
      </w:pPr>
      <w:r w:rsidRPr="00C96268">
        <w:rPr>
          <w:rFonts w:ascii="Times New Roman" w:hAnsi="Times New Roman" w:cs="Times New Roman"/>
          <w:sz w:val="24"/>
          <w:szCs w:val="24"/>
        </w:rPr>
        <w:t>W przypadku metody wartości godziwej okresowo przeszacowuje się udziały własnościowe, a zmiany ich wartości są wykazywane jako zysk lub strata, w rachunku zysków i strat lub w sekcji „inne całkowite dochody</w:t>
      </w:r>
      <w:r w:rsidRPr="00C96268">
        <w:rPr>
          <w:rStyle w:val="Odwoanieprzypisudolnego"/>
          <w:rFonts w:ascii="Times New Roman" w:hAnsi="Times New Roman" w:cs="Times New Roman"/>
          <w:sz w:val="24"/>
          <w:szCs w:val="24"/>
        </w:rPr>
        <w:footnoteReference w:id="117"/>
      </w:r>
      <w:r w:rsidRPr="00C96268">
        <w:rPr>
          <w:rFonts w:ascii="Times New Roman" w:hAnsi="Times New Roman" w:cs="Times New Roman"/>
          <w:sz w:val="24"/>
          <w:szCs w:val="24"/>
        </w:rPr>
        <w:t>. Zyski lub straty wynikające z zastosowania metody wartości godziwej w odniesieniu do udziałów własnościowych innych niż inwestycja portfelowa są wyłączone z obliczeń kwalifikowanego dochodu (straty). W związku z tym wyłączone zyski z wyceny według wartości godziwej wymagają ujemnej korekty, tj. odliczenia od księgowego dochodu netto, a wyłączone straty z wyceny według wartości godziwej wymagają dodatniej korekty, tj.  doliczenia do księgowego dochodu netto. Zysk lub strata z tytułu wartości godziwej za dany rok podatkowy musi jednak zostać skorygowana w celu odzwierciedlenia (wykluczenia) wypłat z tytułu udziału własnościowego, które to wypłaty stanowią wyłączone dywidendy zgodnie z art. 43. Ponadto, w zakresie, w jakim zyski i straty z tytułu wartości godziwej są ujmowane w „innych całkowitych dochodach” lub kapitale własnym zamiast w rachunku zysków i strat, mogły one już zostać wyłączone z księgowego dochodu (straty) netto i nie ma potrzeby dokonywania dodatkowej korekty zgodnie z art. 44.</w:t>
      </w:r>
    </w:p>
    <w:p w14:paraId="5117B3B9" w14:textId="77777777" w:rsidR="0082073B" w:rsidRPr="00C96268" w:rsidRDefault="0082073B" w:rsidP="0082073B">
      <w:pPr>
        <w:jc w:val="both"/>
        <w:rPr>
          <w:rFonts w:ascii="Times New Roman" w:hAnsi="Times New Roman" w:cs="Times New Roman"/>
          <w:sz w:val="24"/>
          <w:szCs w:val="24"/>
        </w:rPr>
      </w:pPr>
      <w:r w:rsidRPr="00C96268">
        <w:rPr>
          <w:rFonts w:ascii="Times New Roman" w:hAnsi="Times New Roman" w:cs="Times New Roman"/>
          <w:sz w:val="24"/>
          <w:szCs w:val="24"/>
        </w:rPr>
        <w:t xml:space="preserve">Drugi rodzaj wyłączonych zysków lub strat kapitałowych, wskazany w </w:t>
      </w:r>
      <w:r w:rsidRPr="00C96268">
        <w:rPr>
          <w:rFonts w:ascii="Times New Roman" w:hAnsi="Times New Roman" w:cs="Times New Roman"/>
          <w:b/>
          <w:bCs/>
          <w:sz w:val="24"/>
          <w:szCs w:val="24"/>
        </w:rPr>
        <w:t>pkt 2</w:t>
      </w:r>
      <w:r w:rsidRPr="00C96268">
        <w:rPr>
          <w:rFonts w:ascii="Times New Roman" w:hAnsi="Times New Roman" w:cs="Times New Roman"/>
          <w:sz w:val="24"/>
          <w:szCs w:val="24"/>
        </w:rPr>
        <w:t xml:space="preserve">, można przypisać do </w:t>
      </w:r>
      <w:r w:rsidRPr="00C96268">
        <w:rPr>
          <w:rFonts w:ascii="Times New Roman" w:hAnsi="Times New Roman" w:cs="Times New Roman"/>
          <w:b/>
          <w:bCs/>
          <w:sz w:val="24"/>
          <w:szCs w:val="24"/>
        </w:rPr>
        <w:t>zysków (strat) wynikających z udziałów własnościowych, które są ujęte zgodnie z metodą praw własności</w:t>
      </w:r>
      <w:r w:rsidRPr="00C96268">
        <w:rPr>
          <w:rFonts w:ascii="Times New Roman" w:hAnsi="Times New Roman" w:cs="Times New Roman"/>
          <w:sz w:val="24"/>
          <w:szCs w:val="24"/>
        </w:rPr>
        <w:t xml:space="preserve">. Standardy rachunkowości finansowej zazwyczaj wymagają rozliczania metodą praw własności, gdy grupa posiada znaczący, ale niekontrolny udział w danej jednostce, zwykle od 20% do 50% udziałów w kapitale własnym takiej jednostki. Zgodnie z metodą praw własności, właściciel uwzględnia swój proporcjonalny udział w zysku (stracie) netto takiej jednostki. </w:t>
      </w:r>
    </w:p>
    <w:p w14:paraId="1556B326" w14:textId="77777777" w:rsidR="0082073B" w:rsidRPr="00C96268" w:rsidRDefault="0082073B" w:rsidP="0082073B">
      <w:pPr>
        <w:jc w:val="both"/>
        <w:rPr>
          <w:rFonts w:ascii="Times New Roman" w:hAnsi="Times New Roman" w:cs="Times New Roman"/>
          <w:sz w:val="24"/>
          <w:szCs w:val="24"/>
        </w:rPr>
      </w:pPr>
      <w:r w:rsidRPr="00C96268">
        <w:rPr>
          <w:rFonts w:ascii="Times New Roman" w:hAnsi="Times New Roman" w:cs="Times New Roman"/>
          <w:sz w:val="24"/>
          <w:szCs w:val="24"/>
        </w:rPr>
        <w:t xml:space="preserve">Ostatnim rodzajem wyłączonych zysków lub strat kapitałowych, wskazanym w </w:t>
      </w:r>
      <w:r w:rsidRPr="00C96268">
        <w:rPr>
          <w:rFonts w:ascii="Times New Roman" w:hAnsi="Times New Roman" w:cs="Times New Roman"/>
          <w:b/>
          <w:bCs/>
          <w:sz w:val="24"/>
          <w:szCs w:val="24"/>
        </w:rPr>
        <w:t>pkt 3</w:t>
      </w:r>
      <w:r w:rsidRPr="00C96268">
        <w:rPr>
          <w:rFonts w:ascii="Times New Roman" w:hAnsi="Times New Roman" w:cs="Times New Roman"/>
          <w:sz w:val="24"/>
          <w:szCs w:val="24"/>
        </w:rPr>
        <w:t xml:space="preserve">, są </w:t>
      </w:r>
      <w:r w:rsidRPr="00C96268">
        <w:rPr>
          <w:rFonts w:ascii="Times New Roman" w:hAnsi="Times New Roman" w:cs="Times New Roman"/>
          <w:b/>
          <w:bCs/>
          <w:sz w:val="24"/>
          <w:szCs w:val="24"/>
        </w:rPr>
        <w:t>zyski (straty) wynikające ze zbycia udziału własnościowego, z wyjątkiem zbycia inwestycji portfelowej</w:t>
      </w:r>
      <w:r w:rsidRPr="00C96268">
        <w:rPr>
          <w:rFonts w:ascii="Times New Roman" w:hAnsi="Times New Roman" w:cs="Times New Roman"/>
          <w:sz w:val="24"/>
          <w:szCs w:val="24"/>
        </w:rPr>
        <w:t xml:space="preserve">. Regulacja obejmuje zatem zbycie udziału własnościowego w jednostce, w której grupa posiada łącznie </w:t>
      </w:r>
      <w:r w:rsidRPr="00C96268">
        <w:rPr>
          <w:rFonts w:ascii="Times New Roman" w:hAnsi="Times New Roman" w:cs="Times New Roman"/>
          <w:b/>
          <w:bCs/>
          <w:sz w:val="24"/>
          <w:szCs w:val="24"/>
        </w:rPr>
        <w:t>co najmniej 10% udziałów własnościowych</w:t>
      </w:r>
      <w:r w:rsidRPr="00C96268">
        <w:rPr>
          <w:rFonts w:ascii="Times New Roman" w:hAnsi="Times New Roman" w:cs="Times New Roman"/>
          <w:sz w:val="24"/>
          <w:szCs w:val="24"/>
        </w:rPr>
        <w:t xml:space="preserve"> w momencie ich zbycia. Kategoria ta obejmuje zyski i straty ze zbycia udziałów własnościowych w jednostce składowej, a także innych jednostek/podmiotów. </w:t>
      </w:r>
    </w:p>
    <w:p w14:paraId="3A2384B5" w14:textId="77777777" w:rsidR="0082073B" w:rsidRPr="00C96268" w:rsidRDefault="0082073B" w:rsidP="0082073B">
      <w:pPr>
        <w:pStyle w:val="Nagwek5"/>
        <w:rPr>
          <w:rFonts w:ascii="Times New Roman" w:hAnsi="Times New Roman" w:cs="Times New Roman"/>
          <w:sz w:val="24"/>
          <w:szCs w:val="24"/>
        </w:rPr>
      </w:pPr>
      <w:r w:rsidRPr="00C96268">
        <w:rPr>
          <w:rFonts w:ascii="Times New Roman" w:hAnsi="Times New Roman" w:cs="Times New Roman"/>
          <w:bCs/>
          <w:sz w:val="24"/>
          <w:szCs w:val="24"/>
        </w:rPr>
        <w:t>Art. 45 [</w:t>
      </w:r>
      <w:r w:rsidRPr="00C96268">
        <w:rPr>
          <w:rFonts w:ascii="Times New Roman" w:hAnsi="Times New Roman" w:cs="Times New Roman"/>
          <w:sz w:val="24"/>
          <w:szCs w:val="24"/>
        </w:rPr>
        <w:t>Uwzględniane zyski (straty) wynikające z aktualizacji wyceny</w:t>
      </w:r>
      <w:r w:rsidRPr="00C96268">
        <w:rPr>
          <w:rFonts w:ascii="Times New Roman" w:hAnsi="Times New Roman" w:cs="Times New Roman"/>
          <w:bCs/>
          <w:sz w:val="24"/>
          <w:szCs w:val="24"/>
        </w:rPr>
        <w:t>]</w:t>
      </w:r>
    </w:p>
    <w:p w14:paraId="7FA6EDAA" w14:textId="77777777" w:rsidR="0082073B" w:rsidRPr="00C96268" w:rsidRDefault="0082073B" w:rsidP="0082073B">
      <w:pPr>
        <w:tabs>
          <w:tab w:val="left" w:pos="1246"/>
        </w:tabs>
        <w:jc w:val="both"/>
        <w:rPr>
          <w:rFonts w:ascii="Times New Roman" w:hAnsi="Times New Roman" w:cs="Times New Roman"/>
          <w:sz w:val="24"/>
          <w:szCs w:val="24"/>
        </w:rPr>
      </w:pPr>
      <w:r w:rsidRPr="00C96268">
        <w:rPr>
          <w:rFonts w:ascii="Times New Roman" w:hAnsi="Times New Roman" w:cs="Times New Roman"/>
          <w:sz w:val="24"/>
          <w:szCs w:val="24"/>
        </w:rPr>
        <w:t xml:space="preserve">Zgodnie z niektórymi standardami rachunkowości finansowej, jednostka może wybrać jako zasadę rachunkowości dla rzeczowych aktywów trwałych model oparty na cenie nabycia </w:t>
      </w:r>
      <w:r w:rsidRPr="00C96268">
        <w:rPr>
          <w:rFonts w:ascii="Times New Roman" w:hAnsi="Times New Roman" w:cs="Times New Roman"/>
          <w:i/>
          <w:iCs/>
          <w:sz w:val="24"/>
          <w:szCs w:val="24"/>
        </w:rPr>
        <w:t>(cost model)</w:t>
      </w:r>
      <w:r w:rsidRPr="00C96268">
        <w:rPr>
          <w:rFonts w:ascii="Times New Roman" w:hAnsi="Times New Roman" w:cs="Times New Roman"/>
          <w:sz w:val="24"/>
          <w:szCs w:val="24"/>
        </w:rPr>
        <w:t xml:space="preserve"> lub model oparty na aktualizacji wyceny </w:t>
      </w:r>
      <w:r w:rsidRPr="00C96268">
        <w:rPr>
          <w:rFonts w:ascii="Times New Roman" w:hAnsi="Times New Roman" w:cs="Times New Roman"/>
          <w:i/>
          <w:iCs/>
          <w:sz w:val="24"/>
          <w:szCs w:val="24"/>
        </w:rPr>
        <w:t>(revaluation model)</w:t>
      </w:r>
      <w:r w:rsidRPr="00C96268">
        <w:rPr>
          <w:rFonts w:ascii="Times New Roman" w:hAnsi="Times New Roman" w:cs="Times New Roman"/>
          <w:sz w:val="24"/>
          <w:szCs w:val="24"/>
        </w:rPr>
        <w:t>. Zwiększenia z tytułu aktualizacji wyceny są z reguły ujmowane w „innych całkowitych dochodach”, a nie w rachunku zysków i strat. Zmniejszenia z tytułu aktualizacji wyceny są z reguły (ale nie zawsze) ujmowane w rachunku zysków i strat. W przypadku braku korekty na gruncie Zasad GloBE, zyski z aktualizacji wyceny byłyby generalnie wyłączone z księgowego dochodu (straty) netto na potrzeby GloBE, jednak koszty amortyzacji byłyby ustalane na podstawie wartości zaktualizowanej. Dlatego też wymaga się, aby wszystkie zyski lub straty wynikające z zastosowania metody aktualizacji wyceny za dany rok podatkowy zostały uwzględnione w obliczaniu kwalifikowanego dochodu (straty). [Komentarz, 3.2.1; 58]</w:t>
      </w:r>
    </w:p>
    <w:p w14:paraId="41F891C3" w14:textId="76EC6C74" w:rsidR="0082073B" w:rsidRPr="00C96268" w:rsidRDefault="0082073B" w:rsidP="0082073B">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Stosownie do tego, </w:t>
      </w:r>
      <w:r w:rsidRPr="00C96268">
        <w:rPr>
          <w:rFonts w:ascii="Times New Roman" w:hAnsi="Times New Roman" w:cs="Times New Roman"/>
          <w:b/>
          <w:bCs/>
          <w:sz w:val="24"/>
          <w:szCs w:val="24"/>
        </w:rPr>
        <w:t xml:space="preserve">art. 45 </w:t>
      </w:r>
      <w:r w:rsidRPr="00C96268">
        <w:rPr>
          <w:rFonts w:ascii="Times New Roman" w:hAnsi="Times New Roman" w:cs="Times New Roman"/>
          <w:bCs/>
          <w:sz w:val="24"/>
          <w:szCs w:val="24"/>
        </w:rPr>
        <w:t>projektu przewiduje - analogicznie jak w art. 16</w:t>
      </w:r>
      <w:r w:rsidR="00357A10"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1 lit. d Dyrektywy - korektę, zgodnie z którą zysk (stratę) wynikające z aktualizacji wyceny uwzględnia się na potrzeby obliczenia kwalifikowanego dochodu (straty), tj. dolicza się do księgowego dochodu (straty) netto, o ile kwoty te nie były dotychczas uwzględnione. Dotyczy to zysków (strat) netto z tytułu aktualizacji wyceny, powstałych w wyniku zastosowania metody lub procedury księgowej, w ramach której w odniesieniu do rzeczowych aktywów trwałych jednocześnie okresowo koryguje się ich wartość bilansową do wartości godziwej, jak i wykazuje się zmiany wartości w innych całkowitych dochodach (zarazem nie wykazuje się w rachunku zysków i strat tych zysków (strat), które zostały wykazane w innych całkowitych dochodach). </w:t>
      </w:r>
    </w:p>
    <w:p w14:paraId="77FCBB2E" w14:textId="77777777" w:rsidR="0082073B" w:rsidRPr="00C96268" w:rsidRDefault="0082073B" w:rsidP="0082073B">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Uwzględniane zyski (straty) z aktualizacji wyceny odpowiednio powiększa się lub pomniejsza o związane z tymi zyskami (stratami) podatki kwalifikowane za dany rok podatkowy.</w:t>
      </w:r>
    </w:p>
    <w:p w14:paraId="6A8BF041" w14:textId="77777777" w:rsidR="00E37FAA" w:rsidRPr="00C96268" w:rsidRDefault="00E37FAA" w:rsidP="004D133C">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46 [Zyski (straty) z tytułu zbycia aktywów i zobowiązań dokonanego w zakresie reorganizacji]</w:t>
      </w:r>
    </w:p>
    <w:p w14:paraId="74CC207E" w14:textId="77777777" w:rsidR="006E6A90" w:rsidRPr="00C96268" w:rsidRDefault="00CC3A15" w:rsidP="00E37FA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Na wstępie należy</w:t>
      </w:r>
      <w:r w:rsidR="00E37FAA" w:rsidRPr="00C96268">
        <w:rPr>
          <w:rFonts w:ascii="Times New Roman" w:hAnsi="Times New Roman" w:cs="Times New Roman"/>
          <w:bCs/>
          <w:sz w:val="24"/>
          <w:szCs w:val="24"/>
        </w:rPr>
        <w:t xml:space="preserve"> wskazać, że co do zasady zysk (strata) ze zbycia aktywów</w:t>
      </w:r>
      <w:r w:rsidR="006E6A90" w:rsidRPr="00C96268">
        <w:rPr>
          <w:rFonts w:ascii="Times New Roman" w:hAnsi="Times New Roman" w:cs="Times New Roman"/>
          <w:bCs/>
          <w:sz w:val="24"/>
          <w:szCs w:val="24"/>
        </w:rPr>
        <w:t xml:space="preserve"> (tj. innych niż w ramach reorganizacji)</w:t>
      </w:r>
      <w:r w:rsidR="00E37FAA" w:rsidRPr="00C96268">
        <w:rPr>
          <w:rFonts w:ascii="Times New Roman" w:hAnsi="Times New Roman" w:cs="Times New Roman"/>
          <w:bCs/>
          <w:sz w:val="24"/>
          <w:szCs w:val="24"/>
        </w:rPr>
        <w:t xml:space="preserve"> jest uwzględniany w obliczeniach dochodu kwalifikowanego</w:t>
      </w:r>
      <w:r w:rsidR="006E6A90" w:rsidRPr="00C96268">
        <w:rPr>
          <w:rFonts w:ascii="Times New Roman" w:hAnsi="Times New Roman" w:cs="Times New Roman"/>
          <w:bCs/>
          <w:sz w:val="24"/>
          <w:szCs w:val="24"/>
        </w:rPr>
        <w:t xml:space="preserve">. </w:t>
      </w:r>
    </w:p>
    <w:p w14:paraId="64F38D6D" w14:textId="433C918F" w:rsidR="006E6A90" w:rsidRPr="00C96268" w:rsidRDefault="006E6A90" w:rsidP="00E37FA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Ma to miejsce </w:t>
      </w:r>
      <w:r w:rsidR="00E37FAA" w:rsidRPr="00C96268">
        <w:rPr>
          <w:rFonts w:ascii="Times New Roman" w:hAnsi="Times New Roman" w:cs="Times New Roman"/>
          <w:bCs/>
          <w:sz w:val="24"/>
          <w:szCs w:val="24"/>
        </w:rPr>
        <w:t xml:space="preserve">nawet </w:t>
      </w:r>
      <w:r w:rsidRPr="00C96268">
        <w:rPr>
          <w:rFonts w:ascii="Times New Roman" w:hAnsi="Times New Roman" w:cs="Times New Roman"/>
          <w:bCs/>
          <w:sz w:val="24"/>
          <w:szCs w:val="24"/>
        </w:rPr>
        <w:t>jeżeli</w:t>
      </w:r>
      <w:r w:rsidR="00E37FAA" w:rsidRPr="00C96268">
        <w:rPr>
          <w:rFonts w:ascii="Times New Roman" w:hAnsi="Times New Roman" w:cs="Times New Roman"/>
          <w:bCs/>
          <w:sz w:val="24"/>
          <w:szCs w:val="24"/>
        </w:rPr>
        <w:t xml:space="preserve"> nabywcą jest inna jednostka składowa grupy. W przypadku sprzedaży pomiędzy członkami grupy, dokonywane są zwykle korekty mające na celu wyeliminowanie wewnątrzgrupowego zysku lub straty. Niemniej jednak, dla potrzeb </w:t>
      </w:r>
      <w:r w:rsidRPr="00C96268">
        <w:rPr>
          <w:rFonts w:ascii="Times New Roman" w:hAnsi="Times New Roman" w:cs="Times New Roman"/>
          <w:bCs/>
          <w:sz w:val="24"/>
          <w:szCs w:val="24"/>
        </w:rPr>
        <w:t>Zasad GloBE</w:t>
      </w:r>
      <w:r w:rsidR="00E37FAA" w:rsidRPr="00C96268">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księgowy dochód (strata) netto jest ustalany z pominięciem korekt eliminacyjnych. Dochód ten (i konsekwentnie kwalifikowany dochód jednostki składowej) </w:t>
      </w:r>
      <w:r w:rsidR="00E37FAA" w:rsidRPr="00C96268">
        <w:rPr>
          <w:rFonts w:ascii="Times New Roman" w:hAnsi="Times New Roman" w:cs="Times New Roman"/>
          <w:bCs/>
          <w:sz w:val="24"/>
          <w:szCs w:val="24"/>
        </w:rPr>
        <w:t>odzwierciedla</w:t>
      </w:r>
      <w:r w:rsidRPr="00C96268">
        <w:rPr>
          <w:rFonts w:ascii="Times New Roman" w:hAnsi="Times New Roman" w:cs="Times New Roman"/>
          <w:bCs/>
          <w:sz w:val="24"/>
          <w:szCs w:val="24"/>
        </w:rPr>
        <w:t xml:space="preserve"> zatem</w:t>
      </w:r>
      <w:r w:rsidR="00E37FAA" w:rsidRPr="00C96268">
        <w:rPr>
          <w:rFonts w:ascii="Times New Roman" w:hAnsi="Times New Roman" w:cs="Times New Roman"/>
          <w:bCs/>
          <w:sz w:val="24"/>
          <w:szCs w:val="24"/>
        </w:rPr>
        <w:t xml:space="preserve"> wyniki transakcji w taki sam sposób, jakby była to transakcja z </w:t>
      </w:r>
      <w:r w:rsidR="004D133C" w:rsidRPr="00C96268">
        <w:rPr>
          <w:rFonts w:ascii="Times New Roman" w:hAnsi="Times New Roman" w:cs="Times New Roman"/>
          <w:bCs/>
          <w:sz w:val="24"/>
          <w:szCs w:val="24"/>
        </w:rPr>
        <w:t>osobą</w:t>
      </w:r>
      <w:r w:rsidR="00E37FAA" w:rsidRPr="00C96268">
        <w:rPr>
          <w:rFonts w:ascii="Times New Roman" w:hAnsi="Times New Roman" w:cs="Times New Roman"/>
          <w:bCs/>
          <w:sz w:val="24"/>
          <w:szCs w:val="24"/>
        </w:rPr>
        <w:t xml:space="preserve"> spoza grupy</w:t>
      </w:r>
      <w:r w:rsidRPr="00C96268">
        <w:rPr>
          <w:rFonts w:ascii="Times New Roman" w:hAnsi="Times New Roman" w:cs="Times New Roman"/>
          <w:bCs/>
          <w:sz w:val="24"/>
          <w:szCs w:val="24"/>
        </w:rPr>
        <w:t xml:space="preserve"> (taki zysk powinien być włączony)</w:t>
      </w:r>
      <w:r w:rsidR="00E37FAA" w:rsidRPr="00C96268">
        <w:rPr>
          <w:rFonts w:ascii="Times New Roman" w:hAnsi="Times New Roman" w:cs="Times New Roman"/>
          <w:bCs/>
          <w:sz w:val="24"/>
          <w:szCs w:val="24"/>
        </w:rPr>
        <w:t xml:space="preserve">. </w:t>
      </w:r>
    </w:p>
    <w:p w14:paraId="579CA17C" w14:textId="19F25F44" w:rsidR="006E6A90" w:rsidRPr="00C96268" w:rsidRDefault="006E6A90" w:rsidP="00E37FA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Zgodnie z art. 46 wyłącza się natomiast</w:t>
      </w:r>
      <w:r w:rsidR="004C29BD" w:rsidRPr="00C96268">
        <w:rPr>
          <w:rFonts w:ascii="Times New Roman" w:hAnsi="Times New Roman" w:cs="Times New Roman"/>
          <w:bCs/>
          <w:sz w:val="24"/>
          <w:szCs w:val="24"/>
        </w:rPr>
        <w:t>, co do zasady,</w:t>
      </w:r>
      <w:r w:rsidRPr="00C96268">
        <w:rPr>
          <w:rFonts w:ascii="Times New Roman" w:hAnsi="Times New Roman" w:cs="Times New Roman"/>
          <w:bCs/>
          <w:sz w:val="24"/>
          <w:szCs w:val="24"/>
        </w:rPr>
        <w:t xml:space="preserve"> zyski (straty) ze zbycia aktywów i zobowiązań w ramach reorganizacji. Definicja reorganizacji i jej skutki na gruncie Zasad GloBE zostały omówione szeroko w uzasadnieniu do rozdziału 2 działu VIII. </w:t>
      </w:r>
      <w:r w:rsidR="004C29BD" w:rsidRPr="00C96268">
        <w:rPr>
          <w:rFonts w:ascii="Times New Roman" w:hAnsi="Times New Roman" w:cs="Times New Roman"/>
          <w:bCs/>
          <w:sz w:val="24"/>
          <w:szCs w:val="24"/>
        </w:rPr>
        <w:t>W szczególności, w przepisach wskazanego rozdziału doprecyzowuje się, że zyski (straty) z reorganizacji uwzględnia się na potrzeby obliczenia kwalifikowanego dochodu w zakresie tzw. niekwalifikowanego zysku (straty). tj. w uproszczeniu takie transakcje ujmuje się, na ile są one jednak opodatkowane, a nie neutralne podatkowo z uwagi na reorganizację.</w:t>
      </w:r>
    </w:p>
    <w:p w14:paraId="58E2CFBD" w14:textId="7B9AE449" w:rsidR="00E37FAA" w:rsidRPr="00C96268" w:rsidRDefault="006E6A90" w:rsidP="00E37FA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związku ze zbyciem w ramach reorganizacji w</w:t>
      </w:r>
      <w:r w:rsidR="00E37FAA" w:rsidRPr="00C96268">
        <w:rPr>
          <w:rFonts w:ascii="Times New Roman" w:hAnsi="Times New Roman" w:cs="Times New Roman"/>
          <w:bCs/>
          <w:sz w:val="24"/>
          <w:szCs w:val="24"/>
        </w:rPr>
        <w:t>ymagana jest korekta ujemna (zaś w zakresie, w jakim wyłączona jest strata, wymagana jest korekta dodatnia).</w:t>
      </w:r>
    </w:p>
    <w:p w14:paraId="10485B28" w14:textId="6AF42484" w:rsidR="00E37FAA" w:rsidRPr="00C96268" w:rsidRDefault="00E37FAA" w:rsidP="006E6A90">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47 [Zyski (straty) z tytułu </w:t>
      </w:r>
      <w:r w:rsidR="004C29BD" w:rsidRPr="00C96268">
        <w:rPr>
          <w:rFonts w:ascii="Times New Roman" w:hAnsi="Times New Roman" w:cs="Times New Roman"/>
          <w:sz w:val="24"/>
          <w:szCs w:val="24"/>
        </w:rPr>
        <w:t xml:space="preserve">asymetrycznych </w:t>
      </w:r>
      <w:r w:rsidRPr="00C96268">
        <w:rPr>
          <w:rFonts w:ascii="Times New Roman" w:hAnsi="Times New Roman" w:cs="Times New Roman"/>
          <w:sz w:val="24"/>
          <w:szCs w:val="24"/>
        </w:rPr>
        <w:t>różnic kursowych]</w:t>
      </w:r>
    </w:p>
    <w:p w14:paraId="07AFD770" w14:textId="48EF8199" w:rsidR="004C29BD" w:rsidRPr="00C96268" w:rsidRDefault="00E37FAA" w:rsidP="00E37FAA">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Art. 47</w:t>
      </w:r>
      <w:r w:rsidRPr="00C96268">
        <w:rPr>
          <w:rFonts w:ascii="Times New Roman" w:hAnsi="Times New Roman" w:cs="Times New Roman"/>
          <w:bCs/>
          <w:sz w:val="24"/>
          <w:szCs w:val="24"/>
        </w:rPr>
        <w:t>, analogicznie do art. 16</w:t>
      </w:r>
      <w:r w:rsidR="00357A10"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1 lit. e Dyrektywy, wprowadza regulacje obejmujące zyski (straty) z tytułu różnic kursowych. Definicja zawarta w tym przepisie odnosi się do zysku (straty) z tytułu różnic kursowych, w odniesieniu do jednostki składowej, której </w:t>
      </w:r>
      <w:r w:rsidRPr="00C96268">
        <w:rPr>
          <w:rFonts w:ascii="Times New Roman" w:hAnsi="Times New Roman" w:cs="Times New Roman"/>
          <w:b/>
          <w:sz w:val="24"/>
          <w:szCs w:val="24"/>
        </w:rPr>
        <w:t>księgowa waluta funkcjonalna i podatkowa waluta funkcjonalna nie są takie same</w:t>
      </w:r>
      <w:r w:rsidRPr="00C96268">
        <w:rPr>
          <w:rFonts w:ascii="Times New Roman" w:hAnsi="Times New Roman" w:cs="Times New Roman"/>
          <w:bCs/>
          <w:sz w:val="24"/>
          <w:szCs w:val="24"/>
        </w:rPr>
        <w:t xml:space="preserve">. </w:t>
      </w:r>
    </w:p>
    <w:p w14:paraId="17A8C731" w14:textId="41C3CA13" w:rsidR="004C29BD" w:rsidRPr="00C96268" w:rsidRDefault="004C29BD" w:rsidP="00E37FA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Art. 47 transponuje definicje zawarte w art. 16</w:t>
      </w:r>
      <w:r w:rsidR="00357A10"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1 lit. e akapit drugi Dyrektywy, tj. definicję księgowej waluty funkcjonalnej, podatkowej waluty funkcjonalnej oraz trzeciej waluty obcej. Księgowa waluta funkcjonalna oznacza walutę stosowaną do określenia księgowego dochodu (straty) netto jednostki składowej. Podatkowa waluta funkcjonalna oznacza walutę stosowaną do określenia dochodu (straty) jednostki składowej podlegającego opodatkowaniu podatkiem kwalifikowanym w </w:t>
      </w:r>
      <w:r w:rsidR="00267E67"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w:t>
      </w:r>
      <w:r w:rsidR="00267E67"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jednostka ta jest zlokalizowana. Z kolei przez trzecią walutę funkcjonalną rozumie się walutę inną niż podatkowa waluta funkcjonalna i księgowa waluta funkcjonalna jednostki składowej.</w:t>
      </w:r>
    </w:p>
    <w:p w14:paraId="42DDCAAC" w14:textId="0FABCEA5" w:rsidR="00E37FAA" w:rsidRPr="00C96268" w:rsidRDefault="00E37FAA" w:rsidP="00E37FA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Przepis</w:t>
      </w:r>
      <w:r w:rsidR="004C29BD" w:rsidRPr="00C96268">
        <w:rPr>
          <w:rFonts w:ascii="Times New Roman" w:hAnsi="Times New Roman" w:cs="Times New Roman"/>
          <w:bCs/>
          <w:sz w:val="24"/>
          <w:szCs w:val="24"/>
        </w:rPr>
        <w:t xml:space="preserve"> nakazuje korektę o różnice kursowe w trzech przypadkach. M</w:t>
      </w:r>
      <w:r w:rsidRPr="00C96268">
        <w:rPr>
          <w:rFonts w:ascii="Times New Roman" w:hAnsi="Times New Roman" w:cs="Times New Roman"/>
          <w:bCs/>
          <w:sz w:val="24"/>
          <w:szCs w:val="24"/>
        </w:rPr>
        <w:t>ianowicie chodzi o to zysk (stratę), który:</w:t>
      </w:r>
    </w:p>
    <w:p w14:paraId="51B50AB7" w14:textId="61604F59" w:rsidR="00E37FAA" w:rsidRPr="00C96268" w:rsidRDefault="00E37FAA" w:rsidP="002C7467">
      <w:pPr>
        <w:pStyle w:val="Akapitzlist"/>
        <w:numPr>
          <w:ilvl w:val="0"/>
          <w:numId w:val="95"/>
        </w:numPr>
        <w:spacing w:after="120"/>
        <w:ind w:left="1060" w:hanging="703"/>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jest uwzględniany przy obliczaniu dochodu podlegającego opodatkowaniu podatkiem kwalifikowanym lub przy obliczaniu straty jednostki składowej i ten zysk (stratę) można przypisać zmianom kursu wymiany między księgową walutą funkcjonalną a podatkową walutą funkcjonalną</w:t>
      </w:r>
      <w:r w:rsidR="00013083" w:rsidRPr="00C96268">
        <w:rPr>
          <w:rStyle w:val="Odwoanieprzypisudolnego"/>
          <w:rFonts w:ascii="Times New Roman" w:hAnsi="Times New Roman" w:cs="Times New Roman"/>
          <w:bCs/>
          <w:sz w:val="24"/>
          <w:szCs w:val="24"/>
        </w:rPr>
        <w:footnoteReference w:id="118"/>
      </w:r>
      <w:r w:rsidRPr="00C96268">
        <w:rPr>
          <w:rFonts w:ascii="Times New Roman" w:hAnsi="Times New Roman" w:cs="Times New Roman"/>
          <w:bCs/>
          <w:sz w:val="24"/>
          <w:szCs w:val="24"/>
        </w:rPr>
        <w:t>;</w:t>
      </w:r>
    </w:p>
    <w:p w14:paraId="2968ED57" w14:textId="25EE8AF1" w:rsidR="00E37FAA" w:rsidRPr="00C96268" w:rsidRDefault="00E37FAA" w:rsidP="002C7467">
      <w:pPr>
        <w:pStyle w:val="Akapitzlist"/>
        <w:numPr>
          <w:ilvl w:val="0"/>
          <w:numId w:val="95"/>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jest uwzględniany przy obliczaniu księgowego zysku (straty) netto jednostki składowej i ten zysk (stratę) można przypisać zmianom kursu wymiany między:</w:t>
      </w:r>
    </w:p>
    <w:p w14:paraId="1A73F4C3" w14:textId="6720B72B" w:rsidR="006E6A90" w:rsidRPr="00C96268" w:rsidRDefault="00E37FAA" w:rsidP="00B6504F">
      <w:pPr>
        <w:pStyle w:val="Akapitzlist"/>
        <w:numPr>
          <w:ilvl w:val="1"/>
          <w:numId w:val="22"/>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księgową walutą funkcjonalną a podatkową walutą funkcjonalną</w:t>
      </w:r>
      <w:r w:rsidR="00013083" w:rsidRPr="00C96268">
        <w:rPr>
          <w:rStyle w:val="Odwoanieprzypisudolnego"/>
          <w:rFonts w:ascii="Times New Roman" w:hAnsi="Times New Roman" w:cs="Times New Roman"/>
          <w:bCs/>
          <w:sz w:val="24"/>
          <w:szCs w:val="24"/>
        </w:rPr>
        <w:footnoteReference w:id="119"/>
      </w:r>
      <w:r w:rsidRPr="00C96268">
        <w:rPr>
          <w:rFonts w:ascii="Times New Roman" w:hAnsi="Times New Roman" w:cs="Times New Roman"/>
          <w:bCs/>
          <w:sz w:val="24"/>
          <w:szCs w:val="24"/>
        </w:rPr>
        <w:t>,</w:t>
      </w:r>
    </w:p>
    <w:p w14:paraId="185335EF" w14:textId="684344AB" w:rsidR="00E37FAA" w:rsidRPr="00C96268" w:rsidRDefault="00E37FAA" w:rsidP="00B6504F">
      <w:pPr>
        <w:pStyle w:val="Akapitzlist"/>
        <w:numPr>
          <w:ilvl w:val="1"/>
          <w:numId w:val="22"/>
        </w:numPr>
        <w:spacing w:after="120"/>
        <w:ind w:left="1434"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trzecią walutą obcą a księgową walutą funkcjonalną</w:t>
      </w:r>
      <w:r w:rsidR="00013083" w:rsidRPr="00C96268">
        <w:rPr>
          <w:rStyle w:val="Odwoanieprzypisudolnego"/>
          <w:rFonts w:ascii="Times New Roman" w:hAnsi="Times New Roman" w:cs="Times New Roman"/>
          <w:bCs/>
          <w:sz w:val="24"/>
          <w:szCs w:val="24"/>
        </w:rPr>
        <w:footnoteReference w:id="120"/>
      </w:r>
      <w:r w:rsidRPr="00C96268">
        <w:rPr>
          <w:rFonts w:ascii="Times New Roman" w:hAnsi="Times New Roman" w:cs="Times New Roman"/>
          <w:bCs/>
          <w:sz w:val="24"/>
          <w:szCs w:val="24"/>
        </w:rPr>
        <w:t>;</w:t>
      </w:r>
    </w:p>
    <w:p w14:paraId="4B48D2C9" w14:textId="2758A364" w:rsidR="00E37FAA" w:rsidRPr="00C96268" w:rsidRDefault="00E37FAA" w:rsidP="002C7467">
      <w:pPr>
        <w:pStyle w:val="Akapitzlist"/>
        <w:numPr>
          <w:ilvl w:val="0"/>
          <w:numId w:val="95"/>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można przypisać zmianom kursu wymiany między trzecią walutą obcą a podatkową walutą funkcjonalną, niezależnie od tego, czy taki zysk (strata) w walucie </w:t>
      </w:r>
      <w:r w:rsidR="00267E67"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odniesieniu do </w:t>
      </w:r>
      <w:r w:rsidR="00267E67"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liczona jest ta trzecia waluta obca, jest uwzględniony w dochodzie podlegającym opodatkowaniu podatkiem kwalifikowanym</w:t>
      </w:r>
      <w:r w:rsidR="00013083" w:rsidRPr="00C96268">
        <w:rPr>
          <w:rStyle w:val="Odwoanieprzypisudolnego"/>
          <w:rFonts w:ascii="Times New Roman" w:hAnsi="Times New Roman" w:cs="Times New Roman"/>
          <w:bCs/>
          <w:sz w:val="24"/>
          <w:szCs w:val="24"/>
        </w:rPr>
        <w:footnoteReference w:id="121"/>
      </w:r>
      <w:r w:rsidRPr="00C96268">
        <w:rPr>
          <w:rFonts w:ascii="Times New Roman" w:hAnsi="Times New Roman" w:cs="Times New Roman"/>
          <w:bCs/>
          <w:sz w:val="24"/>
          <w:szCs w:val="24"/>
        </w:rPr>
        <w:t>.</w:t>
      </w:r>
    </w:p>
    <w:p w14:paraId="43CB555E" w14:textId="77BBE796" w:rsidR="00E37FAA" w:rsidRPr="00C96268" w:rsidRDefault="00E37FAA" w:rsidP="00E37FAA">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Nie wprowadza się natomiast żadnych korekt z tytułu różnic kursowych w sytuacji, gdy księgowa i podatkowa waluta funkcjonalna jednostki składowej są takie same. W takich okolicznościach, różnice kursowe są uwzględniane w obliczeniach księgowego dochodu (straty) netto jednostki składowej.</w:t>
      </w:r>
    </w:p>
    <w:p w14:paraId="3C2A9DEF" w14:textId="77777777" w:rsidR="000159FC" w:rsidRPr="00C96268" w:rsidRDefault="000159FC" w:rsidP="00DC0714">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48 [Koszty niedozwolone]</w:t>
      </w:r>
    </w:p>
    <w:p w14:paraId="18B8DFC3" w14:textId="58AE4E74" w:rsidR="00DC0714" w:rsidRPr="00C96268" w:rsidRDefault="000159FC" w:rsidP="000159FC">
      <w:pPr>
        <w:spacing w:after="120"/>
        <w:jc w:val="both"/>
        <w:rPr>
          <w:rFonts w:ascii="Times New Roman" w:hAnsi="Times New Roman" w:cs="Times New Roman"/>
          <w:sz w:val="24"/>
          <w:szCs w:val="24"/>
        </w:rPr>
      </w:pPr>
      <w:r w:rsidRPr="00C96268">
        <w:rPr>
          <w:rFonts w:ascii="Times New Roman" w:hAnsi="Times New Roman" w:cs="Times New Roman"/>
          <w:b/>
          <w:bCs/>
          <w:sz w:val="24"/>
          <w:szCs w:val="24"/>
        </w:rPr>
        <w:t>Art. 48</w:t>
      </w:r>
      <w:r w:rsidR="00DC0714" w:rsidRPr="00C96268">
        <w:rPr>
          <w:rFonts w:ascii="Times New Roman" w:hAnsi="Times New Roman" w:cs="Times New Roman"/>
          <w:sz w:val="24"/>
          <w:szCs w:val="24"/>
        </w:rPr>
        <w:t>,</w:t>
      </w:r>
      <w:r w:rsidRPr="00C96268">
        <w:rPr>
          <w:rFonts w:ascii="Times New Roman" w:hAnsi="Times New Roman" w:cs="Times New Roman"/>
          <w:sz w:val="24"/>
          <w:szCs w:val="24"/>
        </w:rPr>
        <w:t xml:space="preserve"> tożsamo z art. 16</w:t>
      </w:r>
      <w:r w:rsidR="00357A10" w:rsidRPr="00C96268">
        <w:rPr>
          <w:rFonts w:ascii="Times New Roman" w:hAnsi="Times New Roman" w:cs="Times New Roman"/>
          <w:sz w:val="24"/>
          <w:szCs w:val="24"/>
        </w:rPr>
        <w:t>.</w:t>
      </w:r>
      <w:r w:rsidRPr="00C96268">
        <w:rPr>
          <w:rFonts w:ascii="Times New Roman" w:hAnsi="Times New Roman" w:cs="Times New Roman"/>
          <w:sz w:val="24"/>
          <w:szCs w:val="24"/>
        </w:rPr>
        <w:t xml:space="preserve">1 lit. f Dyrektywy, definiuje pojęcie kosztów niedozwolonych. Kosztami niedozwolonymi są koszty naliczone przez jednostkę składową, w tym utworzone rezerwy: </w:t>
      </w:r>
    </w:p>
    <w:p w14:paraId="2AD889BD" w14:textId="28FC2F21" w:rsidR="00DC0714" w:rsidRPr="00C96268" w:rsidRDefault="000159FC" w:rsidP="002C7467">
      <w:pPr>
        <w:pStyle w:val="Akapitzlist"/>
        <w:numPr>
          <w:ilvl w:val="0"/>
          <w:numId w:val="103"/>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 pierwsze wynikające z czynności, które na podstawie przepisów </w:t>
      </w:r>
      <w:r w:rsidR="00267E67" w:rsidRPr="00C96268">
        <w:rPr>
          <w:rFonts w:ascii="Times New Roman" w:hAnsi="Times New Roman" w:cs="Times New Roman"/>
          <w:sz w:val="24"/>
          <w:szCs w:val="24"/>
        </w:rPr>
        <w:t>jurysdykcji</w:t>
      </w:r>
      <w:r w:rsidR="00267E67" w:rsidRPr="00C96268" w:rsidDel="00267E67">
        <w:rPr>
          <w:rFonts w:ascii="Times New Roman" w:hAnsi="Times New Roman" w:cs="Times New Roman"/>
          <w:sz w:val="24"/>
          <w:szCs w:val="24"/>
        </w:rPr>
        <w:t xml:space="preserve"> </w:t>
      </w:r>
      <w:r w:rsidR="00DC0714" w:rsidRPr="00C96268">
        <w:rPr>
          <w:rFonts w:ascii="Times New Roman" w:hAnsi="Times New Roman" w:cs="Times New Roman"/>
          <w:sz w:val="24"/>
          <w:szCs w:val="24"/>
        </w:rPr>
        <w:t>lokalizacji</w:t>
      </w:r>
      <w:r w:rsidRPr="00C96268">
        <w:rPr>
          <w:rFonts w:ascii="Times New Roman" w:hAnsi="Times New Roman" w:cs="Times New Roman"/>
          <w:sz w:val="24"/>
          <w:szCs w:val="24"/>
        </w:rPr>
        <w:t xml:space="preserve"> jednostki składowej lub jednostki dominującej najwyższego szczebla nie mogą być przedmiotem prawnie skutecznej umowy, w tym łapówki i ukryte prowizje</w:t>
      </w:r>
      <w:r w:rsidR="001E4CD2" w:rsidRPr="00C96268">
        <w:rPr>
          <w:rFonts w:ascii="Times New Roman" w:hAnsi="Times New Roman" w:cs="Times New Roman"/>
          <w:sz w:val="24"/>
          <w:szCs w:val="24"/>
        </w:rPr>
        <w:t xml:space="preserve"> </w:t>
      </w:r>
      <w:r w:rsidR="001E4CD2" w:rsidRPr="00C96268">
        <w:rPr>
          <w:rFonts w:ascii="Times New Roman" w:hAnsi="Times New Roman" w:cs="Times New Roman"/>
          <w:b/>
          <w:bCs/>
          <w:sz w:val="24"/>
          <w:szCs w:val="24"/>
        </w:rPr>
        <w:t>(ust. 1 pkt 1)</w:t>
      </w:r>
      <w:r w:rsidR="00564CD7" w:rsidRPr="00C96268">
        <w:rPr>
          <w:rStyle w:val="Odwoanieprzypisudolnego"/>
          <w:rFonts w:ascii="Times New Roman" w:hAnsi="Times New Roman" w:cs="Times New Roman"/>
          <w:b/>
          <w:bCs/>
          <w:sz w:val="24"/>
          <w:szCs w:val="24"/>
        </w:rPr>
        <w:footnoteReference w:id="122"/>
      </w:r>
      <w:r w:rsidRPr="00C96268">
        <w:rPr>
          <w:rFonts w:ascii="Times New Roman" w:hAnsi="Times New Roman" w:cs="Times New Roman"/>
          <w:sz w:val="24"/>
          <w:szCs w:val="24"/>
        </w:rPr>
        <w:t xml:space="preserve"> oraz </w:t>
      </w:r>
    </w:p>
    <w:p w14:paraId="4C98C785" w14:textId="2D8D88B5" w:rsidR="00DC0714" w:rsidRPr="00C96268" w:rsidRDefault="000159FC" w:rsidP="002C7467">
      <w:pPr>
        <w:pStyle w:val="Akapitzlist"/>
        <w:numPr>
          <w:ilvl w:val="0"/>
          <w:numId w:val="103"/>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koszty z tytułu grzywien i kar, określonych na podstawie przepisów </w:t>
      </w:r>
      <w:r w:rsidR="00267E67" w:rsidRPr="00C96268">
        <w:rPr>
          <w:rFonts w:ascii="Times New Roman" w:hAnsi="Times New Roman" w:cs="Times New Roman"/>
          <w:sz w:val="24"/>
          <w:szCs w:val="24"/>
        </w:rPr>
        <w:t>jurysdykcji</w:t>
      </w:r>
      <w:r w:rsidR="00267E67" w:rsidRPr="00C96268" w:rsidDel="00267E67">
        <w:rPr>
          <w:rFonts w:ascii="Times New Roman" w:hAnsi="Times New Roman" w:cs="Times New Roman"/>
          <w:sz w:val="24"/>
          <w:szCs w:val="24"/>
        </w:rPr>
        <w:t xml:space="preserve"> </w:t>
      </w:r>
      <w:r w:rsidRPr="00C96268">
        <w:rPr>
          <w:rFonts w:ascii="Times New Roman" w:hAnsi="Times New Roman" w:cs="Times New Roman"/>
          <w:sz w:val="24"/>
          <w:szCs w:val="24"/>
        </w:rPr>
        <w:t>lokalizacji jednostki składowej, których kwota wynosi co najmniej 50 000 euro lub równowartość tej kwoty w księgowej walucie funkcjonalnej</w:t>
      </w:r>
      <w:r w:rsidR="001E4CD2" w:rsidRPr="00C96268">
        <w:rPr>
          <w:rFonts w:ascii="Times New Roman" w:hAnsi="Times New Roman" w:cs="Times New Roman"/>
          <w:sz w:val="24"/>
          <w:szCs w:val="24"/>
        </w:rPr>
        <w:t xml:space="preserve"> (</w:t>
      </w:r>
      <w:r w:rsidR="001E4CD2" w:rsidRPr="00C96268">
        <w:rPr>
          <w:rFonts w:ascii="Times New Roman" w:hAnsi="Times New Roman" w:cs="Times New Roman"/>
          <w:b/>
          <w:bCs/>
          <w:sz w:val="24"/>
          <w:szCs w:val="24"/>
        </w:rPr>
        <w:t>ust. 1 pkt 2</w:t>
      </w:r>
      <w:r w:rsidR="001E4CD2" w:rsidRPr="00C96268">
        <w:rPr>
          <w:rFonts w:ascii="Times New Roman" w:hAnsi="Times New Roman" w:cs="Times New Roman"/>
          <w:sz w:val="24"/>
          <w:szCs w:val="24"/>
        </w:rPr>
        <w:t>)</w:t>
      </w:r>
      <w:r w:rsidR="00DC0714" w:rsidRPr="00C96268">
        <w:rPr>
          <w:rFonts w:ascii="Times New Roman" w:hAnsi="Times New Roman" w:cs="Times New Roman"/>
          <w:sz w:val="24"/>
          <w:szCs w:val="24"/>
        </w:rPr>
        <w:t>.</w:t>
      </w:r>
    </w:p>
    <w:p w14:paraId="29C254DB" w14:textId="1938D830" w:rsidR="001E4CD2" w:rsidRPr="00C96268" w:rsidRDefault="001E4CD2" w:rsidP="001E4CD2">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odniesieniu ust. 1 pkt 2, zgodnie z Komentarzem do </w:t>
      </w:r>
      <w:r w:rsidR="00595132" w:rsidRPr="00C96268">
        <w:rPr>
          <w:rFonts w:ascii="Times New Roman" w:hAnsi="Times New Roman" w:cs="Times New Roman"/>
          <w:sz w:val="24"/>
          <w:szCs w:val="24"/>
        </w:rPr>
        <w:t>Modelowych zasad</w:t>
      </w:r>
      <w:r w:rsidRPr="00C96268">
        <w:rPr>
          <w:rFonts w:ascii="Times New Roman" w:hAnsi="Times New Roman" w:cs="Times New Roman"/>
          <w:sz w:val="24"/>
          <w:szCs w:val="24"/>
        </w:rPr>
        <w:t xml:space="preserve"> chodzi o grzywny i kary o charakterze publicznoprawnym, nakładane przez właściwe organy [Komentarz; 3.2.1g; 77-78]. Przepis ten nie dotyczy natomiast kar umownych nakładanych na podstawie umów z kontrahentami w wyniku niedotrzymania zobowiązań umownych.</w:t>
      </w:r>
    </w:p>
    <w:p w14:paraId="0CB603B1" w14:textId="212FD0AA" w:rsidR="000159FC" w:rsidRPr="00C96268" w:rsidRDefault="000159FC" w:rsidP="00DC0714">
      <w:pPr>
        <w:spacing w:after="120"/>
        <w:jc w:val="both"/>
        <w:rPr>
          <w:rFonts w:ascii="Times New Roman" w:hAnsi="Times New Roman" w:cs="Times New Roman"/>
          <w:sz w:val="24"/>
          <w:szCs w:val="24"/>
        </w:rPr>
      </w:pPr>
      <w:r w:rsidRPr="00C96268">
        <w:rPr>
          <w:rFonts w:ascii="Times New Roman" w:hAnsi="Times New Roman" w:cs="Times New Roman"/>
          <w:sz w:val="24"/>
          <w:szCs w:val="24"/>
        </w:rPr>
        <w:t>Zauważyć należy</w:t>
      </w:r>
      <w:r w:rsidR="001E4CD2" w:rsidRPr="00C96268">
        <w:rPr>
          <w:rFonts w:ascii="Times New Roman" w:hAnsi="Times New Roman" w:cs="Times New Roman"/>
          <w:sz w:val="24"/>
          <w:szCs w:val="24"/>
        </w:rPr>
        <w:t xml:space="preserve"> także</w:t>
      </w:r>
      <w:r w:rsidRPr="00C96268">
        <w:rPr>
          <w:rFonts w:ascii="Times New Roman" w:hAnsi="Times New Roman" w:cs="Times New Roman"/>
          <w:sz w:val="24"/>
          <w:szCs w:val="24"/>
        </w:rPr>
        <w:t xml:space="preserve">, że wskazany próg kwotowy </w:t>
      </w:r>
      <w:r w:rsidR="001E4CD2" w:rsidRPr="00C96268">
        <w:rPr>
          <w:rFonts w:ascii="Times New Roman" w:hAnsi="Times New Roman" w:cs="Times New Roman"/>
          <w:sz w:val="24"/>
          <w:szCs w:val="24"/>
        </w:rPr>
        <w:t xml:space="preserve">(50 000 EUR) </w:t>
      </w:r>
      <w:r w:rsidRPr="00C96268">
        <w:rPr>
          <w:rFonts w:ascii="Times New Roman" w:hAnsi="Times New Roman" w:cs="Times New Roman"/>
          <w:sz w:val="24"/>
          <w:szCs w:val="24"/>
        </w:rPr>
        <w:t xml:space="preserve">odnosi się do grzywien i kar, o których mowa w </w:t>
      </w:r>
      <w:r w:rsidR="001E4CD2" w:rsidRPr="00C96268">
        <w:rPr>
          <w:rFonts w:ascii="Times New Roman" w:hAnsi="Times New Roman" w:cs="Times New Roman"/>
          <w:sz w:val="24"/>
          <w:szCs w:val="24"/>
        </w:rPr>
        <w:t>ust. 1 pkt 2</w:t>
      </w:r>
      <w:r w:rsidRPr="00C96268">
        <w:rPr>
          <w:rFonts w:ascii="Times New Roman" w:hAnsi="Times New Roman" w:cs="Times New Roman"/>
          <w:sz w:val="24"/>
          <w:szCs w:val="24"/>
        </w:rPr>
        <w:t xml:space="preserve"> – </w:t>
      </w:r>
      <w:r w:rsidR="001E4CD2" w:rsidRPr="00C96268">
        <w:rPr>
          <w:rFonts w:ascii="Times New Roman" w:hAnsi="Times New Roman" w:cs="Times New Roman"/>
          <w:sz w:val="24"/>
          <w:szCs w:val="24"/>
        </w:rPr>
        <w:t xml:space="preserve">próg ten </w:t>
      </w:r>
      <w:r w:rsidRPr="00C96268">
        <w:rPr>
          <w:rFonts w:ascii="Times New Roman" w:hAnsi="Times New Roman" w:cs="Times New Roman"/>
          <w:sz w:val="24"/>
          <w:szCs w:val="24"/>
        </w:rPr>
        <w:t xml:space="preserve">nie dotyczy </w:t>
      </w:r>
      <w:r w:rsidR="001E4CD2" w:rsidRPr="00C96268">
        <w:rPr>
          <w:rFonts w:ascii="Times New Roman" w:hAnsi="Times New Roman" w:cs="Times New Roman"/>
          <w:sz w:val="24"/>
          <w:szCs w:val="24"/>
        </w:rPr>
        <w:t xml:space="preserve">jednak </w:t>
      </w:r>
      <w:r w:rsidRPr="00C96268">
        <w:rPr>
          <w:rFonts w:ascii="Times New Roman" w:hAnsi="Times New Roman" w:cs="Times New Roman"/>
          <w:sz w:val="24"/>
          <w:szCs w:val="24"/>
        </w:rPr>
        <w:t xml:space="preserve">łapówek i ukrytych prowizji, które zawsze </w:t>
      </w:r>
      <w:r w:rsidR="001E4CD2" w:rsidRPr="00C96268">
        <w:rPr>
          <w:rFonts w:ascii="Times New Roman" w:hAnsi="Times New Roman" w:cs="Times New Roman"/>
          <w:sz w:val="24"/>
          <w:szCs w:val="24"/>
        </w:rPr>
        <w:t xml:space="preserve">stanowią koszty </w:t>
      </w:r>
      <w:r w:rsidRPr="00C96268">
        <w:rPr>
          <w:rFonts w:ascii="Times New Roman" w:hAnsi="Times New Roman" w:cs="Times New Roman"/>
          <w:sz w:val="24"/>
          <w:szCs w:val="24"/>
        </w:rPr>
        <w:t>niedozwolone</w:t>
      </w:r>
      <w:r w:rsidR="001E4CD2" w:rsidRPr="00C96268">
        <w:rPr>
          <w:rFonts w:ascii="Times New Roman" w:hAnsi="Times New Roman" w:cs="Times New Roman"/>
          <w:sz w:val="24"/>
          <w:szCs w:val="24"/>
        </w:rPr>
        <w:t xml:space="preserve"> objęte omawianą korektą</w:t>
      </w:r>
      <w:r w:rsidRPr="00C96268">
        <w:rPr>
          <w:rFonts w:ascii="Times New Roman" w:hAnsi="Times New Roman" w:cs="Times New Roman"/>
          <w:sz w:val="24"/>
          <w:szCs w:val="24"/>
        </w:rPr>
        <w:t>.</w:t>
      </w:r>
    </w:p>
    <w:p w14:paraId="4264C314" w14:textId="32AD1FBE" w:rsidR="00564CD7" w:rsidRPr="00C96268" w:rsidRDefault="00564CD7" w:rsidP="00DC0714">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świetle art. 48 ust. 2, w przypadku grzywny </w:t>
      </w:r>
      <w:r w:rsidR="00E73938" w:rsidRPr="00C96268">
        <w:rPr>
          <w:rFonts w:ascii="Times New Roman" w:hAnsi="Times New Roman" w:cs="Times New Roman"/>
          <w:sz w:val="24"/>
          <w:szCs w:val="24"/>
        </w:rPr>
        <w:t>lub kary</w:t>
      </w:r>
      <w:r w:rsidRPr="00C96268">
        <w:rPr>
          <w:rFonts w:ascii="Times New Roman" w:hAnsi="Times New Roman" w:cs="Times New Roman"/>
          <w:sz w:val="24"/>
          <w:szCs w:val="24"/>
        </w:rPr>
        <w:t xml:space="preserve"> danej kategorii, wymierzanej dziennie lub okresowo, badając próg 50 000 EUR bierze się pod uwagę sumę takich kwot </w:t>
      </w:r>
      <w:r w:rsidR="00E73938" w:rsidRPr="00C96268">
        <w:rPr>
          <w:rFonts w:ascii="Times New Roman" w:hAnsi="Times New Roman" w:cs="Times New Roman"/>
          <w:sz w:val="24"/>
          <w:szCs w:val="24"/>
        </w:rPr>
        <w:t xml:space="preserve">naliczonych w księgach </w:t>
      </w:r>
      <w:r w:rsidRPr="00C96268">
        <w:rPr>
          <w:rFonts w:ascii="Times New Roman" w:hAnsi="Times New Roman" w:cs="Times New Roman"/>
          <w:sz w:val="24"/>
          <w:szCs w:val="24"/>
        </w:rPr>
        <w:t>za dany rok podatkowy</w:t>
      </w:r>
      <w:r w:rsidR="00E73938" w:rsidRPr="00C96268">
        <w:rPr>
          <w:rFonts w:ascii="Times New Roman" w:hAnsi="Times New Roman" w:cs="Times New Roman"/>
          <w:sz w:val="24"/>
          <w:szCs w:val="24"/>
        </w:rPr>
        <w:t xml:space="preserve"> [Komentarz 3.2; 75]</w:t>
      </w:r>
      <w:r w:rsidRPr="00C96268">
        <w:rPr>
          <w:rFonts w:ascii="Times New Roman" w:hAnsi="Times New Roman" w:cs="Times New Roman"/>
          <w:sz w:val="24"/>
          <w:szCs w:val="24"/>
        </w:rPr>
        <w:t>.</w:t>
      </w:r>
    </w:p>
    <w:p w14:paraId="3DB846E3" w14:textId="205D30C5" w:rsidR="000159FC" w:rsidRPr="00C96268" w:rsidRDefault="000159FC" w:rsidP="00DC0714">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49 </w:t>
      </w:r>
      <w:r w:rsidR="00E714E5" w:rsidRPr="00C96268">
        <w:rPr>
          <w:rFonts w:ascii="Times New Roman" w:hAnsi="Times New Roman" w:cs="Times New Roman"/>
          <w:sz w:val="24"/>
          <w:szCs w:val="24"/>
        </w:rPr>
        <w:t xml:space="preserve">i 50 </w:t>
      </w:r>
      <w:r w:rsidRPr="00C96268">
        <w:rPr>
          <w:rFonts w:ascii="Times New Roman" w:hAnsi="Times New Roman" w:cs="Times New Roman"/>
          <w:sz w:val="24"/>
          <w:szCs w:val="24"/>
        </w:rPr>
        <w:t>[Błąd wcześniejszego okresu</w:t>
      </w:r>
      <w:r w:rsidR="00E714E5" w:rsidRPr="00C96268">
        <w:rPr>
          <w:rFonts w:ascii="Times New Roman" w:hAnsi="Times New Roman" w:cs="Times New Roman"/>
          <w:sz w:val="24"/>
          <w:szCs w:val="24"/>
        </w:rPr>
        <w:t xml:space="preserve"> i zmiana zasad rachunkowości</w:t>
      </w:r>
      <w:r w:rsidRPr="00C96268">
        <w:rPr>
          <w:rFonts w:ascii="Times New Roman" w:hAnsi="Times New Roman" w:cs="Times New Roman"/>
          <w:sz w:val="24"/>
          <w:szCs w:val="24"/>
        </w:rPr>
        <w:t>]</w:t>
      </w:r>
    </w:p>
    <w:p w14:paraId="170A35F5" w14:textId="237CFB0F" w:rsidR="00E714E5" w:rsidRPr="00C96268" w:rsidRDefault="000159FC" w:rsidP="000159FC">
      <w:pPr>
        <w:spacing w:after="120"/>
        <w:jc w:val="both"/>
        <w:rPr>
          <w:rFonts w:ascii="Times New Roman" w:hAnsi="Times New Roman" w:cs="Times New Roman"/>
          <w:sz w:val="24"/>
          <w:szCs w:val="24"/>
        </w:rPr>
      </w:pPr>
      <w:r w:rsidRPr="00C96268">
        <w:rPr>
          <w:rFonts w:ascii="Times New Roman" w:hAnsi="Times New Roman" w:cs="Times New Roman"/>
          <w:sz w:val="24"/>
          <w:szCs w:val="24"/>
        </w:rPr>
        <w:t>Projektowan</w:t>
      </w:r>
      <w:r w:rsidR="00E714E5" w:rsidRPr="00C96268">
        <w:rPr>
          <w:rFonts w:ascii="Times New Roman" w:hAnsi="Times New Roman" w:cs="Times New Roman"/>
          <w:sz w:val="24"/>
          <w:szCs w:val="24"/>
        </w:rPr>
        <w:t>e</w:t>
      </w:r>
      <w:r w:rsidRPr="00C96268">
        <w:rPr>
          <w:rFonts w:ascii="Times New Roman" w:hAnsi="Times New Roman" w:cs="Times New Roman"/>
          <w:sz w:val="24"/>
          <w:szCs w:val="24"/>
        </w:rPr>
        <w:t xml:space="preserve"> </w:t>
      </w:r>
      <w:r w:rsidRPr="00C96268">
        <w:rPr>
          <w:rFonts w:ascii="Times New Roman" w:hAnsi="Times New Roman" w:cs="Times New Roman"/>
          <w:b/>
          <w:sz w:val="24"/>
          <w:szCs w:val="24"/>
        </w:rPr>
        <w:t>art. 49</w:t>
      </w:r>
      <w:r w:rsidR="00E714E5" w:rsidRPr="00C96268">
        <w:rPr>
          <w:rFonts w:ascii="Times New Roman" w:hAnsi="Times New Roman" w:cs="Times New Roman"/>
          <w:b/>
          <w:sz w:val="24"/>
          <w:szCs w:val="24"/>
        </w:rPr>
        <w:t xml:space="preserve"> </w:t>
      </w:r>
      <w:r w:rsidR="00E714E5" w:rsidRPr="00C96268">
        <w:rPr>
          <w:rFonts w:ascii="Times New Roman" w:hAnsi="Times New Roman" w:cs="Times New Roman"/>
          <w:bCs/>
          <w:sz w:val="24"/>
          <w:szCs w:val="24"/>
        </w:rPr>
        <w:t xml:space="preserve">i </w:t>
      </w:r>
      <w:r w:rsidR="00E714E5" w:rsidRPr="00C96268">
        <w:rPr>
          <w:rFonts w:ascii="Times New Roman" w:hAnsi="Times New Roman" w:cs="Times New Roman"/>
          <w:b/>
          <w:sz w:val="24"/>
          <w:szCs w:val="24"/>
        </w:rPr>
        <w:t>50</w:t>
      </w:r>
      <w:r w:rsidRPr="00C96268">
        <w:rPr>
          <w:rFonts w:ascii="Times New Roman" w:hAnsi="Times New Roman" w:cs="Times New Roman"/>
          <w:sz w:val="24"/>
          <w:szCs w:val="24"/>
        </w:rPr>
        <w:t>, za art. 16</w:t>
      </w:r>
      <w:r w:rsidR="00357A10" w:rsidRPr="00C96268">
        <w:rPr>
          <w:rFonts w:ascii="Times New Roman" w:hAnsi="Times New Roman" w:cs="Times New Roman"/>
          <w:sz w:val="24"/>
          <w:szCs w:val="24"/>
        </w:rPr>
        <w:t>.</w:t>
      </w:r>
      <w:r w:rsidRPr="00C96268">
        <w:rPr>
          <w:rFonts w:ascii="Times New Roman" w:hAnsi="Times New Roman" w:cs="Times New Roman"/>
          <w:sz w:val="24"/>
          <w:szCs w:val="24"/>
        </w:rPr>
        <w:t xml:space="preserve">1 lit. g Dyrektywy, </w:t>
      </w:r>
      <w:r w:rsidR="00E714E5" w:rsidRPr="00C96268">
        <w:rPr>
          <w:rFonts w:ascii="Times New Roman" w:hAnsi="Times New Roman" w:cs="Times New Roman"/>
          <w:sz w:val="24"/>
          <w:szCs w:val="24"/>
        </w:rPr>
        <w:t>określają korekty z tytułu</w:t>
      </w:r>
      <w:r w:rsidRPr="00C96268">
        <w:rPr>
          <w:rFonts w:ascii="Times New Roman" w:hAnsi="Times New Roman" w:cs="Times New Roman"/>
          <w:sz w:val="24"/>
          <w:szCs w:val="24"/>
        </w:rPr>
        <w:t xml:space="preserve"> „błędu wcześniejszego okresu”</w:t>
      </w:r>
      <w:r w:rsidR="00E714E5" w:rsidRPr="00C96268">
        <w:rPr>
          <w:rFonts w:ascii="Times New Roman" w:hAnsi="Times New Roman" w:cs="Times New Roman"/>
          <w:sz w:val="24"/>
          <w:szCs w:val="24"/>
        </w:rPr>
        <w:t xml:space="preserve"> i „zmiany polityki rachunkowości”</w:t>
      </w:r>
      <w:r w:rsidRPr="00C96268">
        <w:rPr>
          <w:rFonts w:ascii="Times New Roman" w:hAnsi="Times New Roman" w:cs="Times New Roman"/>
          <w:sz w:val="24"/>
          <w:szCs w:val="24"/>
        </w:rPr>
        <w:t xml:space="preserve">. </w:t>
      </w:r>
      <w:r w:rsidR="00E714E5" w:rsidRPr="00C96268">
        <w:rPr>
          <w:rFonts w:ascii="Times New Roman" w:hAnsi="Times New Roman" w:cs="Times New Roman"/>
          <w:sz w:val="24"/>
          <w:szCs w:val="24"/>
        </w:rPr>
        <w:t>Polegają one na uwzględnieniu wartości zmiany kapitału własnego jednostki składowej na początku roku podatkowego</w:t>
      </w:r>
      <w:r w:rsidR="00B31F08" w:rsidRPr="00C96268">
        <w:rPr>
          <w:rFonts w:ascii="Times New Roman" w:hAnsi="Times New Roman" w:cs="Times New Roman"/>
          <w:sz w:val="24"/>
          <w:szCs w:val="24"/>
        </w:rPr>
        <w:t xml:space="preserve"> („</w:t>
      </w:r>
      <w:r w:rsidR="00B31F08" w:rsidRPr="00C96268">
        <w:rPr>
          <w:rFonts w:ascii="Times New Roman" w:hAnsi="Times New Roman" w:cs="Times New Roman"/>
          <w:i/>
          <w:iCs/>
          <w:sz w:val="24"/>
          <w:szCs w:val="24"/>
        </w:rPr>
        <w:t>opening equity</w:t>
      </w:r>
      <w:r w:rsidR="00B31F08" w:rsidRPr="00C96268">
        <w:rPr>
          <w:rFonts w:ascii="Times New Roman" w:hAnsi="Times New Roman" w:cs="Times New Roman"/>
          <w:sz w:val="24"/>
          <w:szCs w:val="24"/>
        </w:rPr>
        <w:t>”)</w:t>
      </w:r>
      <w:r w:rsidR="00E714E5" w:rsidRPr="00C96268">
        <w:rPr>
          <w:rFonts w:ascii="Times New Roman" w:hAnsi="Times New Roman" w:cs="Times New Roman"/>
          <w:sz w:val="24"/>
          <w:szCs w:val="24"/>
        </w:rPr>
        <w:t>, którą można przypisać wskazanym błędom lub zmianie polityki rachunkowości.</w:t>
      </w:r>
    </w:p>
    <w:p w14:paraId="61844509" w14:textId="432AC614" w:rsidR="000159FC" w:rsidRPr="00C96268" w:rsidRDefault="000159FC" w:rsidP="000159FC">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Jako błąd wcześniejszego okresu uznaje się zmianę kapitału własnego jednostki składowej na początku roku podatkowego, którą można przypisać korekcie błędu popełnionego przy określaniu księgowego dochodu (straty) netto </w:t>
      </w:r>
      <w:r w:rsidR="00BF04B8" w:rsidRPr="00C96268">
        <w:rPr>
          <w:rFonts w:ascii="Times New Roman" w:hAnsi="Times New Roman" w:cs="Times New Roman"/>
          <w:sz w:val="24"/>
          <w:szCs w:val="24"/>
        </w:rPr>
        <w:t>za</w:t>
      </w:r>
      <w:r w:rsidRPr="00C96268">
        <w:rPr>
          <w:rFonts w:ascii="Times New Roman" w:hAnsi="Times New Roman" w:cs="Times New Roman"/>
          <w:sz w:val="24"/>
          <w:szCs w:val="24"/>
        </w:rPr>
        <w:t xml:space="preserve"> poprzedni rok podatkowy lub poprzedni</w:t>
      </w:r>
      <w:r w:rsidR="00BF04B8" w:rsidRPr="00C96268">
        <w:rPr>
          <w:rFonts w:ascii="Times New Roman" w:hAnsi="Times New Roman" w:cs="Times New Roman"/>
          <w:sz w:val="24"/>
          <w:szCs w:val="24"/>
        </w:rPr>
        <w:t>e</w:t>
      </w:r>
      <w:r w:rsidRPr="00C96268">
        <w:rPr>
          <w:rFonts w:ascii="Times New Roman" w:hAnsi="Times New Roman" w:cs="Times New Roman"/>
          <w:sz w:val="24"/>
          <w:szCs w:val="24"/>
        </w:rPr>
        <w:t xml:space="preserve"> lata podatkow</w:t>
      </w:r>
      <w:r w:rsidR="00BF04B8" w:rsidRPr="00C96268">
        <w:rPr>
          <w:rFonts w:ascii="Times New Roman" w:hAnsi="Times New Roman" w:cs="Times New Roman"/>
          <w:sz w:val="24"/>
          <w:szCs w:val="24"/>
        </w:rPr>
        <w:t>e</w:t>
      </w:r>
      <w:r w:rsidRPr="00C96268">
        <w:rPr>
          <w:rFonts w:ascii="Times New Roman" w:hAnsi="Times New Roman" w:cs="Times New Roman"/>
          <w:sz w:val="24"/>
          <w:szCs w:val="24"/>
        </w:rPr>
        <w:t xml:space="preserve">, jeżeli ten błąd miał wpływ na przychody lub koszty uwzględniane w obliczeniu kwalifikowanego dochodu (straty) </w:t>
      </w:r>
      <w:r w:rsidR="00BF04B8" w:rsidRPr="00C96268">
        <w:rPr>
          <w:rFonts w:ascii="Times New Roman" w:hAnsi="Times New Roman" w:cs="Times New Roman"/>
          <w:sz w:val="24"/>
          <w:szCs w:val="24"/>
        </w:rPr>
        <w:t>za ten</w:t>
      </w:r>
      <w:r w:rsidRPr="00C96268">
        <w:rPr>
          <w:rFonts w:ascii="Times New Roman" w:hAnsi="Times New Roman" w:cs="Times New Roman"/>
          <w:sz w:val="24"/>
          <w:szCs w:val="24"/>
        </w:rPr>
        <w:t xml:space="preserve"> poprzedni rok podatkowy lub poprzedni</w:t>
      </w:r>
      <w:r w:rsidR="00BF04B8" w:rsidRPr="00C96268">
        <w:rPr>
          <w:rFonts w:ascii="Times New Roman" w:hAnsi="Times New Roman" w:cs="Times New Roman"/>
          <w:sz w:val="24"/>
          <w:szCs w:val="24"/>
        </w:rPr>
        <w:t>e</w:t>
      </w:r>
      <w:r w:rsidRPr="00C96268">
        <w:rPr>
          <w:rFonts w:ascii="Times New Roman" w:hAnsi="Times New Roman" w:cs="Times New Roman"/>
          <w:sz w:val="24"/>
          <w:szCs w:val="24"/>
        </w:rPr>
        <w:t xml:space="preserve"> lata podatkow</w:t>
      </w:r>
      <w:r w:rsidR="00BF04B8" w:rsidRPr="00C96268">
        <w:rPr>
          <w:rFonts w:ascii="Times New Roman" w:hAnsi="Times New Roman" w:cs="Times New Roman"/>
          <w:sz w:val="24"/>
          <w:szCs w:val="24"/>
        </w:rPr>
        <w:t>e</w:t>
      </w:r>
      <w:r w:rsidRPr="00C96268">
        <w:rPr>
          <w:rFonts w:ascii="Times New Roman" w:hAnsi="Times New Roman" w:cs="Times New Roman"/>
          <w:sz w:val="24"/>
          <w:szCs w:val="24"/>
        </w:rPr>
        <w:t xml:space="preserve">. </w:t>
      </w:r>
    </w:p>
    <w:p w14:paraId="23FA29C7" w14:textId="77777777" w:rsidR="00E714E5" w:rsidRPr="00C96268" w:rsidRDefault="00E714E5" w:rsidP="00E714E5">
      <w:pPr>
        <w:spacing w:after="120"/>
        <w:jc w:val="both"/>
        <w:rPr>
          <w:rFonts w:ascii="Times New Roman" w:hAnsi="Times New Roman" w:cs="Times New Roman"/>
          <w:sz w:val="24"/>
          <w:szCs w:val="24"/>
        </w:rPr>
      </w:pPr>
      <w:r w:rsidRPr="00C96268">
        <w:rPr>
          <w:rFonts w:ascii="Times New Roman" w:hAnsi="Times New Roman" w:cs="Times New Roman"/>
          <w:sz w:val="24"/>
          <w:szCs w:val="24"/>
        </w:rPr>
        <w:t>Zmiana zasad rachunkowości odnosi się natomiast do zmiany początkowego kapitału własnego na początku roku podatkowego wynikającej ze zmiany zasad lub polityki rachunkowości jednostki składowej w zakresie przychodów lub kosztów uwzględnionych przy obliczaniu kwalifikowanego dochodu (straty).</w:t>
      </w:r>
    </w:p>
    <w:p w14:paraId="1EECEC26" w14:textId="309BB719" w:rsidR="00E714E5" w:rsidRPr="00C96268" w:rsidRDefault="00E714E5" w:rsidP="00E714E5">
      <w:pPr>
        <w:spacing w:after="120"/>
        <w:jc w:val="both"/>
        <w:rPr>
          <w:rFonts w:ascii="Times New Roman" w:hAnsi="Times New Roman" w:cs="Times New Roman"/>
          <w:sz w:val="24"/>
          <w:szCs w:val="24"/>
        </w:rPr>
      </w:pPr>
      <w:r w:rsidRPr="00C96268">
        <w:rPr>
          <w:rFonts w:ascii="Times New Roman" w:hAnsi="Times New Roman" w:cs="Times New Roman"/>
          <w:sz w:val="24"/>
          <w:szCs w:val="24"/>
        </w:rPr>
        <w:t>Korekty z tytułu błędu wcześniejszego okresu nie dokonuje się, jeżeli korekta błędu spowodowała zmniejszenie podatku kwalifikowanego w kwocie wyższej niż 1 000 000 euro lub z innych powodów wymaga ponownego obliczenia efektywnej stawki podatkowej i dodatkowego globalnego podatku wyrównawczego.</w:t>
      </w:r>
      <w:r w:rsidR="00B31F08" w:rsidRPr="00C96268">
        <w:rPr>
          <w:rFonts w:ascii="Times New Roman" w:hAnsi="Times New Roman" w:cs="Times New Roman"/>
          <w:sz w:val="24"/>
          <w:szCs w:val="24"/>
        </w:rPr>
        <w:t xml:space="preserve"> Takie korekty są rozliczane na podstawie odrębnych przepisów</w:t>
      </w:r>
      <w:r w:rsidR="00061E85" w:rsidRPr="00C96268">
        <w:rPr>
          <w:rFonts w:ascii="Times New Roman" w:hAnsi="Times New Roman" w:cs="Times New Roman"/>
          <w:sz w:val="24"/>
          <w:szCs w:val="24"/>
        </w:rPr>
        <w:t>, np. w ramach korekt podatków kwalifikowanych po złożeniu zeznania i zmiany stawek podatkowych</w:t>
      </w:r>
      <w:r w:rsidR="00B31F08" w:rsidRPr="00C96268">
        <w:rPr>
          <w:rFonts w:ascii="Times New Roman" w:hAnsi="Times New Roman" w:cs="Times New Roman"/>
          <w:sz w:val="24"/>
          <w:szCs w:val="24"/>
        </w:rPr>
        <w:t>.</w:t>
      </w:r>
    </w:p>
    <w:p w14:paraId="5FFCCCDF" w14:textId="77777777" w:rsidR="00B31F08" w:rsidRPr="00C96268" w:rsidRDefault="00E37FAA" w:rsidP="000159FC">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Błędy wcześniejszego okresu </w:t>
      </w:r>
      <w:r w:rsidR="00DC0714" w:rsidRPr="00C96268">
        <w:rPr>
          <w:rFonts w:ascii="Times New Roman" w:hAnsi="Times New Roman" w:cs="Times New Roman"/>
          <w:sz w:val="24"/>
          <w:szCs w:val="24"/>
        </w:rPr>
        <w:t>po</w:t>
      </w:r>
      <w:r w:rsidRPr="00C96268">
        <w:rPr>
          <w:rFonts w:ascii="Times New Roman" w:hAnsi="Times New Roman" w:cs="Times New Roman"/>
          <w:sz w:val="24"/>
          <w:szCs w:val="24"/>
        </w:rPr>
        <w:t xml:space="preserve">winny być korygowane za rok podatkowy, w którym błąd został wykryty lub tak szybko, jak to możliwe. W niektórych przypadkach może to skutkować koniecznością zmiany skonsolidowanego sprawozdania </w:t>
      </w:r>
      <w:r w:rsidR="00DC0714" w:rsidRPr="00C96268">
        <w:rPr>
          <w:rFonts w:ascii="Times New Roman" w:hAnsi="Times New Roman" w:cs="Times New Roman"/>
          <w:sz w:val="24"/>
          <w:szCs w:val="24"/>
        </w:rPr>
        <w:t>grupy</w:t>
      </w:r>
      <w:r w:rsidRPr="00C96268">
        <w:rPr>
          <w:rFonts w:ascii="Times New Roman" w:hAnsi="Times New Roman" w:cs="Times New Roman"/>
          <w:sz w:val="24"/>
          <w:szCs w:val="24"/>
        </w:rPr>
        <w:t xml:space="preserve"> za rok podatkowy, którego dotyczy błąd. Korekty mogą zwiększać lub zmniejszać </w:t>
      </w:r>
      <w:r w:rsidR="00B31F08" w:rsidRPr="00C96268">
        <w:rPr>
          <w:rFonts w:ascii="Times New Roman" w:hAnsi="Times New Roman" w:cs="Times New Roman"/>
          <w:sz w:val="24"/>
          <w:szCs w:val="24"/>
        </w:rPr>
        <w:t>kwotę kapitału własnego na początku roku podatkowego</w:t>
      </w:r>
      <w:r w:rsidRPr="00C96268">
        <w:rPr>
          <w:rFonts w:ascii="Times New Roman" w:hAnsi="Times New Roman" w:cs="Times New Roman"/>
          <w:sz w:val="24"/>
          <w:szCs w:val="24"/>
        </w:rPr>
        <w:t>, w zależności od charakteru błędu, przykładowo błędne wyłączenie przychodu zasadniczo spowoduje wzrost kapitału własnego</w:t>
      </w:r>
      <w:r w:rsidR="00B31F08" w:rsidRPr="00C96268">
        <w:rPr>
          <w:rFonts w:ascii="Times New Roman" w:hAnsi="Times New Roman" w:cs="Times New Roman"/>
          <w:sz w:val="24"/>
          <w:szCs w:val="24"/>
        </w:rPr>
        <w:t xml:space="preserve"> na początku roku</w:t>
      </w:r>
      <w:r w:rsidRPr="00C96268">
        <w:rPr>
          <w:rFonts w:ascii="Times New Roman" w:hAnsi="Times New Roman" w:cs="Times New Roman"/>
          <w:sz w:val="24"/>
          <w:szCs w:val="24"/>
        </w:rPr>
        <w:t xml:space="preserve"> i odpowiadający mu wzrost dochodu</w:t>
      </w:r>
      <w:r w:rsidR="00B31F08" w:rsidRPr="00C96268">
        <w:rPr>
          <w:rFonts w:ascii="Times New Roman" w:hAnsi="Times New Roman" w:cs="Times New Roman"/>
          <w:sz w:val="24"/>
          <w:szCs w:val="24"/>
        </w:rPr>
        <w:t xml:space="preserve"> na potrzeby obliczenia kwalifikowanego dochodu (straty)</w:t>
      </w:r>
      <w:r w:rsidRPr="00C96268">
        <w:rPr>
          <w:rFonts w:ascii="Times New Roman" w:hAnsi="Times New Roman" w:cs="Times New Roman"/>
          <w:sz w:val="24"/>
          <w:szCs w:val="24"/>
        </w:rPr>
        <w:t xml:space="preserve">. </w:t>
      </w:r>
    </w:p>
    <w:p w14:paraId="2A594A8E" w14:textId="127B4F30" w:rsidR="000159FC" w:rsidRPr="00C96268" w:rsidRDefault="00E37FAA" w:rsidP="00FB5F5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Ponadto, </w:t>
      </w:r>
      <w:r w:rsidR="00B31F08" w:rsidRPr="00C96268">
        <w:rPr>
          <w:rFonts w:ascii="Times New Roman" w:hAnsi="Times New Roman" w:cs="Times New Roman"/>
          <w:sz w:val="24"/>
          <w:szCs w:val="24"/>
        </w:rPr>
        <w:t>również</w:t>
      </w:r>
      <w:r w:rsidRPr="00C96268">
        <w:rPr>
          <w:rFonts w:ascii="Times New Roman" w:hAnsi="Times New Roman" w:cs="Times New Roman"/>
          <w:sz w:val="24"/>
          <w:szCs w:val="24"/>
        </w:rPr>
        <w:t xml:space="preserve"> </w:t>
      </w:r>
      <w:r w:rsidR="00B31F08" w:rsidRPr="00C96268">
        <w:rPr>
          <w:rFonts w:ascii="Times New Roman" w:hAnsi="Times New Roman" w:cs="Times New Roman"/>
          <w:sz w:val="24"/>
          <w:szCs w:val="24"/>
        </w:rPr>
        <w:t>z</w:t>
      </w:r>
      <w:r w:rsidRPr="00C96268">
        <w:rPr>
          <w:rFonts w:ascii="Times New Roman" w:hAnsi="Times New Roman" w:cs="Times New Roman"/>
          <w:sz w:val="24"/>
          <w:szCs w:val="24"/>
        </w:rPr>
        <w:t>miana zasady lub polityki rachunkowości może wymagać zwiększenia lub zmniejszenia kapitału własnego na początek okresu. Korekta na mocy niniejszej regulacji powinna odpowiadać kierunkowo korekcie kapitału własnego na początek okresu. W związku z tym, jeżeli zmiana zasad lub polityki rachunkowości zmniejsza kapitał własny na początek okresu, korekta</w:t>
      </w:r>
      <w:r w:rsidR="00B31F08" w:rsidRPr="00C96268">
        <w:rPr>
          <w:rFonts w:ascii="Times New Roman" w:hAnsi="Times New Roman" w:cs="Times New Roman"/>
          <w:sz w:val="24"/>
          <w:szCs w:val="24"/>
        </w:rPr>
        <w:t xml:space="preserve"> na potrzeby Zasad GloBE</w:t>
      </w:r>
      <w:r w:rsidRPr="00C96268">
        <w:rPr>
          <w:rFonts w:ascii="Times New Roman" w:hAnsi="Times New Roman" w:cs="Times New Roman"/>
          <w:sz w:val="24"/>
          <w:szCs w:val="24"/>
        </w:rPr>
        <w:t xml:space="preserve"> będzie ujemna i odniesie taki sam skutek, jak dodatkowe odliczenie przy obliczaniu kwalifikowanego dochodu </w:t>
      </w:r>
      <w:r w:rsidR="00B31F08" w:rsidRPr="00C96268">
        <w:rPr>
          <w:rFonts w:ascii="Times New Roman" w:hAnsi="Times New Roman" w:cs="Times New Roman"/>
          <w:sz w:val="24"/>
          <w:szCs w:val="24"/>
        </w:rPr>
        <w:t>(straty). Jeżeli natomiast</w:t>
      </w:r>
      <w:r w:rsidRPr="00C96268">
        <w:rPr>
          <w:rFonts w:ascii="Times New Roman" w:hAnsi="Times New Roman" w:cs="Times New Roman"/>
          <w:sz w:val="24"/>
          <w:szCs w:val="24"/>
        </w:rPr>
        <w:t xml:space="preserve"> zmiana zasady lub polityki rachunkowości zwiększa kapitał własny </w:t>
      </w:r>
      <w:r w:rsidR="00B31F08" w:rsidRPr="00C96268">
        <w:rPr>
          <w:rFonts w:ascii="Times New Roman" w:hAnsi="Times New Roman" w:cs="Times New Roman"/>
          <w:sz w:val="24"/>
          <w:szCs w:val="24"/>
        </w:rPr>
        <w:t>na początku okresu</w:t>
      </w:r>
      <w:r w:rsidRPr="00C96268">
        <w:rPr>
          <w:rFonts w:ascii="Times New Roman" w:hAnsi="Times New Roman" w:cs="Times New Roman"/>
          <w:sz w:val="24"/>
          <w:szCs w:val="24"/>
        </w:rPr>
        <w:t>, korekta będzie dodatnia i odniesie taki sam skutek, jak dodatkow</w:t>
      </w:r>
      <w:r w:rsidR="00B31F08" w:rsidRPr="00C96268">
        <w:rPr>
          <w:rFonts w:ascii="Times New Roman" w:hAnsi="Times New Roman" w:cs="Times New Roman"/>
          <w:sz w:val="24"/>
          <w:szCs w:val="24"/>
        </w:rPr>
        <w:t>a kwota</w:t>
      </w:r>
      <w:r w:rsidRPr="00C96268">
        <w:rPr>
          <w:rFonts w:ascii="Times New Roman" w:hAnsi="Times New Roman" w:cs="Times New Roman"/>
          <w:sz w:val="24"/>
          <w:szCs w:val="24"/>
        </w:rPr>
        <w:t xml:space="preserve"> doch</w:t>
      </w:r>
      <w:r w:rsidR="00B31F08" w:rsidRPr="00C96268">
        <w:rPr>
          <w:rFonts w:ascii="Times New Roman" w:hAnsi="Times New Roman" w:cs="Times New Roman"/>
          <w:sz w:val="24"/>
          <w:szCs w:val="24"/>
        </w:rPr>
        <w:t>odu</w:t>
      </w:r>
      <w:r w:rsidRPr="00C96268">
        <w:rPr>
          <w:rFonts w:ascii="Times New Roman" w:hAnsi="Times New Roman" w:cs="Times New Roman"/>
          <w:sz w:val="24"/>
          <w:szCs w:val="24"/>
        </w:rPr>
        <w:t>.</w:t>
      </w:r>
    </w:p>
    <w:p w14:paraId="63E6EC59" w14:textId="464E2BBA" w:rsidR="00337BDD" w:rsidRPr="00C96268" w:rsidRDefault="00337BDD" w:rsidP="00FB5F5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Korekty z powyższych tytułów nie dotyczą zmian kapitału własnego za okres sprzed okresu zastosowania ustawy. </w:t>
      </w:r>
    </w:p>
    <w:p w14:paraId="75D86195" w14:textId="77777777" w:rsidR="000159FC" w:rsidRPr="00C96268" w:rsidRDefault="000159FC" w:rsidP="00FB5F56">
      <w:pPr>
        <w:pStyle w:val="Nagwek5"/>
        <w:spacing w:before="120"/>
        <w:rPr>
          <w:rFonts w:ascii="Times New Roman" w:hAnsi="Times New Roman" w:cs="Times New Roman"/>
          <w:sz w:val="24"/>
          <w:szCs w:val="24"/>
        </w:rPr>
      </w:pPr>
      <w:r w:rsidRPr="00C96268">
        <w:rPr>
          <w:rFonts w:ascii="Times New Roman" w:hAnsi="Times New Roman" w:cs="Times New Roman"/>
          <w:sz w:val="24"/>
          <w:szCs w:val="24"/>
        </w:rPr>
        <w:t>Art. 51 [Naliczone koszty emerytalne]</w:t>
      </w:r>
    </w:p>
    <w:p w14:paraId="0924874B" w14:textId="5567617F" w:rsidR="000159FC" w:rsidRPr="00C96268" w:rsidRDefault="000159FC">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Projektowany </w:t>
      </w:r>
      <w:r w:rsidRPr="00C96268">
        <w:rPr>
          <w:rFonts w:ascii="Times New Roman" w:hAnsi="Times New Roman" w:cs="Times New Roman"/>
          <w:b/>
          <w:sz w:val="24"/>
          <w:szCs w:val="24"/>
        </w:rPr>
        <w:t>art. 51</w:t>
      </w:r>
      <w:r w:rsidRPr="00C96268">
        <w:rPr>
          <w:rFonts w:ascii="Times New Roman" w:hAnsi="Times New Roman" w:cs="Times New Roman"/>
          <w:sz w:val="24"/>
          <w:szCs w:val="24"/>
        </w:rPr>
        <w:t>, za art. 16</w:t>
      </w:r>
      <w:r w:rsidR="00357A10" w:rsidRPr="00C96268">
        <w:rPr>
          <w:rFonts w:ascii="Times New Roman" w:hAnsi="Times New Roman" w:cs="Times New Roman"/>
          <w:sz w:val="24"/>
          <w:szCs w:val="24"/>
        </w:rPr>
        <w:t>.</w:t>
      </w:r>
      <w:r w:rsidRPr="00C96268">
        <w:rPr>
          <w:rFonts w:ascii="Times New Roman" w:hAnsi="Times New Roman" w:cs="Times New Roman"/>
          <w:sz w:val="24"/>
          <w:szCs w:val="24"/>
        </w:rPr>
        <w:t xml:space="preserve">1 lit. h Dyrektywy wskazuje, że jako naliczone koszty emerytalne rozumieć należy różnicę między </w:t>
      </w:r>
      <w:r w:rsidR="00BF04B8" w:rsidRPr="00C96268">
        <w:rPr>
          <w:rFonts w:ascii="Times New Roman" w:hAnsi="Times New Roman" w:cs="Times New Roman"/>
          <w:sz w:val="24"/>
          <w:szCs w:val="24"/>
        </w:rPr>
        <w:t xml:space="preserve">(i.) </w:t>
      </w:r>
      <w:r w:rsidRPr="00C96268">
        <w:rPr>
          <w:rFonts w:ascii="Times New Roman" w:hAnsi="Times New Roman" w:cs="Times New Roman"/>
          <w:b/>
          <w:bCs/>
          <w:sz w:val="24"/>
          <w:szCs w:val="24"/>
        </w:rPr>
        <w:t>kwotą kosztów</w:t>
      </w:r>
      <w:r w:rsidRPr="00C96268">
        <w:rPr>
          <w:rFonts w:ascii="Times New Roman" w:hAnsi="Times New Roman" w:cs="Times New Roman"/>
          <w:sz w:val="24"/>
          <w:szCs w:val="24"/>
        </w:rPr>
        <w:t xml:space="preserve"> z tytułu zobowiązań emerytalnych uwzględnionych w księgowym dochodzie (stracie) netto a </w:t>
      </w:r>
      <w:r w:rsidR="00BF04B8" w:rsidRPr="00C96268">
        <w:rPr>
          <w:rFonts w:ascii="Times New Roman" w:hAnsi="Times New Roman" w:cs="Times New Roman"/>
          <w:sz w:val="24"/>
          <w:szCs w:val="24"/>
        </w:rPr>
        <w:t xml:space="preserve">(ii.) </w:t>
      </w:r>
      <w:r w:rsidRPr="00C96268">
        <w:rPr>
          <w:rFonts w:ascii="Times New Roman" w:hAnsi="Times New Roman" w:cs="Times New Roman"/>
          <w:b/>
          <w:bCs/>
          <w:sz w:val="24"/>
          <w:szCs w:val="24"/>
        </w:rPr>
        <w:t>kwotą składek wpłaconych</w:t>
      </w:r>
      <w:r w:rsidRPr="00C96268">
        <w:rPr>
          <w:rFonts w:ascii="Times New Roman" w:hAnsi="Times New Roman" w:cs="Times New Roman"/>
          <w:sz w:val="24"/>
          <w:szCs w:val="24"/>
        </w:rPr>
        <w:t xml:space="preserve"> do funduszu emerytalnego za dany rok podatkowy.</w:t>
      </w:r>
      <w:r w:rsidR="00BE2742" w:rsidRPr="00C96268">
        <w:rPr>
          <w:rFonts w:ascii="Times New Roman" w:hAnsi="Times New Roman" w:cs="Times New Roman"/>
          <w:sz w:val="24"/>
          <w:szCs w:val="24"/>
        </w:rPr>
        <w:t xml:space="preserve"> Korekta z tytułu naliczonych kosztów emerytalnych polega </w:t>
      </w:r>
      <w:r w:rsidR="00BE2742" w:rsidRPr="00C96268">
        <w:rPr>
          <w:rFonts w:ascii="Times New Roman" w:hAnsi="Times New Roman" w:cs="Times New Roman"/>
          <w:b/>
          <w:bCs/>
          <w:sz w:val="24"/>
          <w:szCs w:val="24"/>
        </w:rPr>
        <w:t>uwzględnieniu tej różnicy w księgowym dochodzie (stracie) netto</w:t>
      </w:r>
      <w:r w:rsidR="00BE2742" w:rsidRPr="00C96268">
        <w:rPr>
          <w:rFonts w:ascii="Times New Roman" w:hAnsi="Times New Roman" w:cs="Times New Roman"/>
          <w:sz w:val="24"/>
          <w:szCs w:val="24"/>
        </w:rPr>
        <w:t>.</w:t>
      </w:r>
    </w:p>
    <w:p w14:paraId="5FF0C699" w14:textId="507E2EE0" w:rsidR="00BE2742" w:rsidRPr="00C96268" w:rsidRDefault="00BE2742" w:rsidP="000159FC">
      <w:pPr>
        <w:jc w:val="both"/>
        <w:rPr>
          <w:rFonts w:ascii="Times New Roman" w:hAnsi="Times New Roman" w:cs="Times New Roman"/>
          <w:sz w:val="24"/>
          <w:szCs w:val="24"/>
        </w:rPr>
      </w:pPr>
      <w:r w:rsidRPr="00C96268">
        <w:rPr>
          <w:rFonts w:ascii="Times New Roman" w:hAnsi="Times New Roman" w:cs="Times New Roman"/>
          <w:sz w:val="24"/>
          <w:szCs w:val="24"/>
        </w:rPr>
        <w:t>Celem regulacji jest, aby z</w:t>
      </w:r>
      <w:r w:rsidR="000159FC" w:rsidRPr="00C96268">
        <w:rPr>
          <w:rFonts w:ascii="Times New Roman" w:hAnsi="Times New Roman" w:cs="Times New Roman"/>
          <w:sz w:val="24"/>
          <w:szCs w:val="24"/>
        </w:rPr>
        <w:t xml:space="preserve">obowiązania emerytalne </w:t>
      </w:r>
      <w:r w:rsidRPr="00C96268">
        <w:rPr>
          <w:rFonts w:ascii="Times New Roman" w:hAnsi="Times New Roman" w:cs="Times New Roman"/>
          <w:sz w:val="24"/>
          <w:szCs w:val="24"/>
        </w:rPr>
        <w:t>były</w:t>
      </w:r>
      <w:r w:rsidR="000159FC" w:rsidRPr="00C96268">
        <w:rPr>
          <w:rFonts w:ascii="Times New Roman" w:hAnsi="Times New Roman" w:cs="Times New Roman"/>
          <w:sz w:val="24"/>
          <w:szCs w:val="24"/>
        </w:rPr>
        <w:t xml:space="preserve"> uwzględniane jako koszty przy obliczaniu kwalifikowanego dochodu (straty) w zakresie</w:t>
      </w:r>
      <w:r w:rsidRPr="00C96268">
        <w:rPr>
          <w:rFonts w:ascii="Times New Roman" w:hAnsi="Times New Roman" w:cs="Times New Roman"/>
          <w:sz w:val="24"/>
          <w:szCs w:val="24"/>
        </w:rPr>
        <w:t>, w jakim płacone są</w:t>
      </w:r>
      <w:r w:rsidR="000159FC" w:rsidRPr="00C96268">
        <w:rPr>
          <w:rFonts w:ascii="Times New Roman" w:hAnsi="Times New Roman" w:cs="Times New Roman"/>
          <w:sz w:val="24"/>
          <w:szCs w:val="24"/>
        </w:rPr>
        <w:t xml:space="preserve"> składk</w:t>
      </w:r>
      <w:r w:rsidRPr="00C96268">
        <w:rPr>
          <w:rFonts w:ascii="Times New Roman" w:hAnsi="Times New Roman" w:cs="Times New Roman"/>
          <w:sz w:val="24"/>
          <w:szCs w:val="24"/>
        </w:rPr>
        <w:t>i</w:t>
      </w:r>
      <w:r w:rsidR="000159FC" w:rsidRPr="00C96268">
        <w:rPr>
          <w:rFonts w:ascii="Times New Roman" w:hAnsi="Times New Roman" w:cs="Times New Roman"/>
          <w:sz w:val="24"/>
          <w:szCs w:val="24"/>
        </w:rPr>
        <w:t xml:space="preserve"> na fundusz emerytalny w trakcie roku podatkowego. </w:t>
      </w:r>
      <w:r w:rsidRPr="00C96268">
        <w:rPr>
          <w:rFonts w:ascii="Times New Roman" w:hAnsi="Times New Roman" w:cs="Times New Roman"/>
          <w:sz w:val="24"/>
          <w:szCs w:val="24"/>
        </w:rPr>
        <w:t>Wskazana k</w:t>
      </w:r>
      <w:r w:rsidR="000159FC" w:rsidRPr="00C96268">
        <w:rPr>
          <w:rFonts w:ascii="Times New Roman" w:hAnsi="Times New Roman" w:cs="Times New Roman"/>
          <w:sz w:val="24"/>
          <w:szCs w:val="24"/>
        </w:rPr>
        <w:t xml:space="preserve">orekta będzie kwotą dodatnią, jeżeli kwota naliczona jako koszt przekracza składki za dany rok (analogicznie, będzie kwotą ujemną w latach podatkowych, w których składki przewyższają koszty naliczone). </w:t>
      </w:r>
    </w:p>
    <w:p w14:paraId="5FE7A33F" w14:textId="7A14262A" w:rsidR="000159FC" w:rsidRPr="00C96268" w:rsidRDefault="000159FC" w:rsidP="000159FC">
      <w:pPr>
        <w:jc w:val="both"/>
        <w:rPr>
          <w:rFonts w:ascii="Times New Roman" w:hAnsi="Times New Roman" w:cs="Times New Roman"/>
          <w:iCs/>
          <w:sz w:val="24"/>
          <w:szCs w:val="24"/>
        </w:rPr>
      </w:pPr>
      <w:r w:rsidRPr="00C96268">
        <w:rPr>
          <w:rFonts w:ascii="Times New Roman" w:hAnsi="Times New Roman" w:cs="Times New Roman"/>
          <w:iCs/>
          <w:sz w:val="24"/>
          <w:szCs w:val="24"/>
        </w:rPr>
        <w:t xml:space="preserve">Uwzględniając założenia związane z mechanizmem korekty należy wskazać, że ma ona zastosowanie wyłącznie w przypadku kosztów emerytalnych </w:t>
      </w:r>
      <w:r w:rsidR="00BE2742" w:rsidRPr="00C96268">
        <w:rPr>
          <w:rFonts w:ascii="Times New Roman" w:hAnsi="Times New Roman" w:cs="Times New Roman"/>
          <w:iCs/>
          <w:sz w:val="24"/>
          <w:szCs w:val="24"/>
        </w:rPr>
        <w:t>wynikających ze składek na rzecz</w:t>
      </w:r>
      <w:r w:rsidRPr="00C96268">
        <w:rPr>
          <w:rFonts w:ascii="Times New Roman" w:hAnsi="Times New Roman" w:cs="Times New Roman"/>
          <w:iCs/>
          <w:sz w:val="24"/>
          <w:szCs w:val="24"/>
        </w:rPr>
        <w:t xml:space="preserve"> funduszu emerytalnego</w:t>
      </w:r>
      <w:r w:rsidR="00C37F79" w:rsidRPr="00C96268">
        <w:rPr>
          <w:rFonts w:ascii="Times New Roman" w:hAnsi="Times New Roman" w:cs="Times New Roman"/>
          <w:iCs/>
          <w:sz w:val="24"/>
          <w:szCs w:val="24"/>
        </w:rPr>
        <w:t xml:space="preserve"> (w rozumieniu art. 5 ust. 6)</w:t>
      </w:r>
      <w:r w:rsidRPr="00C96268">
        <w:rPr>
          <w:rFonts w:ascii="Times New Roman" w:hAnsi="Times New Roman" w:cs="Times New Roman"/>
          <w:iCs/>
          <w:sz w:val="24"/>
          <w:szCs w:val="24"/>
        </w:rPr>
        <w:t xml:space="preserve">. </w:t>
      </w:r>
      <w:r w:rsidR="00BE2742" w:rsidRPr="00C96268">
        <w:rPr>
          <w:rFonts w:ascii="Times New Roman" w:hAnsi="Times New Roman" w:cs="Times New Roman"/>
          <w:sz w:val="24"/>
          <w:szCs w:val="24"/>
        </w:rPr>
        <w:t xml:space="preserve">W związku z tym wydatki emerytalne, które są naliczane </w:t>
      </w:r>
      <w:r w:rsidR="00595CA7" w:rsidRPr="00C96268">
        <w:rPr>
          <w:rFonts w:ascii="Times New Roman" w:hAnsi="Times New Roman" w:cs="Times New Roman"/>
          <w:sz w:val="24"/>
          <w:szCs w:val="24"/>
        </w:rPr>
        <w:t>w związku z</w:t>
      </w:r>
      <w:r w:rsidR="00BE2742" w:rsidRPr="00C96268">
        <w:rPr>
          <w:rFonts w:ascii="Times New Roman" w:hAnsi="Times New Roman" w:cs="Times New Roman"/>
          <w:sz w:val="24"/>
          <w:szCs w:val="24"/>
        </w:rPr>
        <w:t xml:space="preserve"> bezpośredni</w:t>
      </w:r>
      <w:r w:rsidR="00595CA7" w:rsidRPr="00C96268">
        <w:rPr>
          <w:rFonts w:ascii="Times New Roman" w:hAnsi="Times New Roman" w:cs="Times New Roman"/>
          <w:sz w:val="24"/>
          <w:szCs w:val="24"/>
        </w:rPr>
        <w:t>mi</w:t>
      </w:r>
      <w:r w:rsidR="00BE2742" w:rsidRPr="00C96268">
        <w:rPr>
          <w:rFonts w:ascii="Times New Roman" w:hAnsi="Times New Roman" w:cs="Times New Roman"/>
          <w:sz w:val="24"/>
          <w:szCs w:val="24"/>
        </w:rPr>
        <w:t xml:space="preserve"> wypłat</w:t>
      </w:r>
      <w:r w:rsidR="00595CA7" w:rsidRPr="00C96268">
        <w:rPr>
          <w:rFonts w:ascii="Times New Roman" w:hAnsi="Times New Roman" w:cs="Times New Roman"/>
          <w:sz w:val="24"/>
          <w:szCs w:val="24"/>
        </w:rPr>
        <w:t>ami</w:t>
      </w:r>
      <w:r w:rsidR="00BE2742" w:rsidRPr="00C96268">
        <w:rPr>
          <w:rFonts w:ascii="Times New Roman" w:hAnsi="Times New Roman" w:cs="Times New Roman"/>
          <w:sz w:val="24"/>
          <w:szCs w:val="24"/>
        </w:rPr>
        <w:t xml:space="preserve"> emerytalny</w:t>
      </w:r>
      <w:r w:rsidR="00595CA7" w:rsidRPr="00C96268">
        <w:rPr>
          <w:rFonts w:ascii="Times New Roman" w:hAnsi="Times New Roman" w:cs="Times New Roman"/>
          <w:sz w:val="24"/>
          <w:szCs w:val="24"/>
        </w:rPr>
        <w:t>mi</w:t>
      </w:r>
      <w:r w:rsidR="00BE2742" w:rsidRPr="00C96268">
        <w:rPr>
          <w:rFonts w:ascii="Times New Roman" w:hAnsi="Times New Roman" w:cs="Times New Roman"/>
          <w:sz w:val="24"/>
          <w:szCs w:val="24"/>
        </w:rPr>
        <w:t xml:space="preserve"> na rzecz byłych pracowników, nie podlegają przedmiotowej regulacji i powinny być brane pod uwagę na zasadach ogólnych, w tym samym czasie i w tej samej kwocie, w jakiej są naliczane jako koszt.</w:t>
      </w:r>
    </w:p>
    <w:p w14:paraId="2C523F4A" w14:textId="77777777" w:rsidR="0037357C" w:rsidRPr="00C96268" w:rsidRDefault="0037357C" w:rsidP="0037357C">
      <w:pPr>
        <w:pStyle w:val="Nagwek5"/>
        <w:rPr>
          <w:rFonts w:ascii="Times New Roman" w:hAnsi="Times New Roman" w:cs="Times New Roman"/>
          <w:sz w:val="24"/>
          <w:szCs w:val="24"/>
        </w:rPr>
      </w:pPr>
      <w:bookmarkStart w:id="17" w:name="_Toc162449920"/>
      <w:bookmarkStart w:id="18" w:name="_Hlk162450226"/>
      <w:r w:rsidRPr="00C96268">
        <w:rPr>
          <w:rFonts w:ascii="Times New Roman" w:hAnsi="Times New Roman" w:cs="Times New Roman"/>
          <w:sz w:val="24"/>
          <w:szCs w:val="24"/>
        </w:rPr>
        <w:t>Art. 52 [</w:t>
      </w:r>
      <w:bookmarkStart w:id="19" w:name="_Hlk153464462"/>
      <w:r w:rsidRPr="00C96268">
        <w:rPr>
          <w:rFonts w:ascii="Times New Roman" w:hAnsi="Times New Roman" w:cs="Times New Roman"/>
          <w:sz w:val="24"/>
          <w:szCs w:val="24"/>
        </w:rPr>
        <w:t>Wewnątrzgrupowe porozumienia finansowe</w:t>
      </w:r>
      <w:bookmarkEnd w:id="19"/>
      <w:r w:rsidRPr="00C96268">
        <w:rPr>
          <w:rFonts w:ascii="Times New Roman" w:hAnsi="Times New Roman" w:cs="Times New Roman"/>
          <w:sz w:val="24"/>
          <w:szCs w:val="24"/>
        </w:rPr>
        <w:t>]</w:t>
      </w:r>
      <w:bookmarkEnd w:id="17"/>
    </w:p>
    <w:p w14:paraId="061B572F" w14:textId="72092213" w:rsidR="0037357C" w:rsidRPr="00C96268" w:rsidRDefault="0037357C" w:rsidP="0037357C">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Korekta przewidziana w </w:t>
      </w:r>
      <w:r w:rsidRPr="00C96268">
        <w:rPr>
          <w:rFonts w:ascii="Times New Roman" w:hAnsi="Times New Roman" w:cs="Times New Roman"/>
          <w:b/>
          <w:bCs/>
          <w:sz w:val="24"/>
          <w:szCs w:val="24"/>
        </w:rPr>
        <w:t>art. 52</w:t>
      </w:r>
      <w:r w:rsidRPr="00C96268">
        <w:rPr>
          <w:rFonts w:ascii="Times New Roman" w:hAnsi="Times New Roman" w:cs="Times New Roman"/>
          <w:sz w:val="24"/>
          <w:szCs w:val="24"/>
        </w:rPr>
        <w:t xml:space="preserve"> </w:t>
      </w:r>
      <w:r w:rsidR="00595CA7" w:rsidRPr="00C96268">
        <w:rPr>
          <w:rFonts w:ascii="Times New Roman" w:hAnsi="Times New Roman" w:cs="Times New Roman"/>
          <w:bCs/>
          <w:iCs/>
          <w:sz w:val="24"/>
          <w:szCs w:val="24"/>
        </w:rPr>
        <w:t>stanowi implementację art. 16</w:t>
      </w:r>
      <w:r w:rsidR="00357A10" w:rsidRPr="00C96268">
        <w:rPr>
          <w:rFonts w:ascii="Times New Roman" w:hAnsi="Times New Roman" w:cs="Times New Roman"/>
          <w:bCs/>
          <w:iCs/>
          <w:sz w:val="24"/>
          <w:szCs w:val="24"/>
        </w:rPr>
        <w:t>.</w:t>
      </w:r>
      <w:r w:rsidR="00595CA7" w:rsidRPr="00C96268">
        <w:rPr>
          <w:rFonts w:ascii="Times New Roman" w:hAnsi="Times New Roman" w:cs="Times New Roman"/>
          <w:bCs/>
          <w:iCs/>
          <w:sz w:val="24"/>
          <w:szCs w:val="24"/>
        </w:rPr>
        <w:t xml:space="preserve">8 Dyrektywy i </w:t>
      </w:r>
      <w:r w:rsidRPr="00C96268">
        <w:rPr>
          <w:rFonts w:ascii="Times New Roman" w:hAnsi="Times New Roman" w:cs="Times New Roman"/>
          <w:sz w:val="24"/>
          <w:szCs w:val="24"/>
        </w:rPr>
        <w:t xml:space="preserve">dotyczy kosztów wynikających z wewnątrzgrupowych porozumień finansowych. Na mocy tej regulacji, </w:t>
      </w:r>
      <w:r w:rsidR="00DB1D60" w:rsidRPr="00C96268">
        <w:rPr>
          <w:rFonts w:ascii="Times New Roman" w:hAnsi="Times New Roman" w:cs="Times New Roman"/>
          <w:sz w:val="24"/>
          <w:szCs w:val="24"/>
        </w:rPr>
        <w:t xml:space="preserve">takie </w:t>
      </w:r>
      <w:r w:rsidRPr="00C96268">
        <w:rPr>
          <w:rFonts w:ascii="Times New Roman" w:hAnsi="Times New Roman" w:cs="Times New Roman"/>
          <w:sz w:val="24"/>
          <w:szCs w:val="24"/>
        </w:rPr>
        <w:t>koszty  nie są uwzględniane przy obliczaniu kwalifikowanego dochodu (straty) jednostki składowej za rok podatkowy</w:t>
      </w:r>
      <w:r w:rsidR="00DB1D60" w:rsidRPr="00C96268">
        <w:rPr>
          <w:rFonts w:ascii="Times New Roman" w:hAnsi="Times New Roman" w:cs="Times New Roman"/>
          <w:sz w:val="24"/>
          <w:szCs w:val="24"/>
        </w:rPr>
        <w:t>, jeżeli spełnione są określone warunki</w:t>
      </w:r>
      <w:r w:rsidRPr="00C96268">
        <w:rPr>
          <w:rFonts w:ascii="Times New Roman" w:hAnsi="Times New Roman" w:cs="Times New Roman"/>
          <w:sz w:val="24"/>
          <w:szCs w:val="24"/>
        </w:rPr>
        <w:t>.</w:t>
      </w:r>
      <w:r w:rsidR="00EB63FB" w:rsidRPr="00C96268">
        <w:rPr>
          <w:rFonts w:ascii="Times New Roman" w:hAnsi="Times New Roman" w:cs="Times New Roman"/>
          <w:sz w:val="24"/>
          <w:szCs w:val="24"/>
        </w:rPr>
        <w:t xml:space="preserve"> Art. 52 ust. 1 posługuje się w tym zakresie szerszym określeniem „koszty lub podobne odliczenia”. Chodzi w tym przypadku o odzwierciedlenie sformułowania z angielskiej wersji Dyrektywy lub </w:t>
      </w:r>
      <w:r w:rsidR="00595132" w:rsidRPr="00C96268">
        <w:rPr>
          <w:rFonts w:ascii="Times New Roman" w:hAnsi="Times New Roman" w:cs="Times New Roman"/>
          <w:sz w:val="24"/>
          <w:szCs w:val="24"/>
        </w:rPr>
        <w:t>Modelowych zasad</w:t>
      </w:r>
      <w:r w:rsidR="00EB63FB" w:rsidRPr="00C96268">
        <w:rPr>
          <w:rFonts w:ascii="Times New Roman" w:hAnsi="Times New Roman" w:cs="Times New Roman"/>
          <w:sz w:val="24"/>
          <w:szCs w:val="24"/>
        </w:rPr>
        <w:t xml:space="preserve"> (</w:t>
      </w:r>
      <w:r w:rsidR="00EB63FB" w:rsidRPr="00C96268">
        <w:rPr>
          <w:rFonts w:ascii="Times New Roman" w:hAnsi="Times New Roman" w:cs="Times New Roman"/>
          <w:i/>
          <w:iCs/>
          <w:sz w:val="24"/>
          <w:szCs w:val="24"/>
        </w:rPr>
        <w:t>expense</w:t>
      </w:r>
      <w:r w:rsidR="00EB63FB" w:rsidRPr="00C96268">
        <w:rPr>
          <w:rFonts w:ascii="Times New Roman" w:hAnsi="Times New Roman" w:cs="Times New Roman"/>
          <w:sz w:val="24"/>
          <w:szCs w:val="24"/>
        </w:rPr>
        <w:t>). Może to być koszt, wydatek lub podobna pozycja wynikająca z ksiąg jednostki składowej, która</w:t>
      </w:r>
      <w:r w:rsidR="00DB1D60" w:rsidRPr="00C96268">
        <w:rPr>
          <w:rFonts w:ascii="Times New Roman" w:hAnsi="Times New Roman" w:cs="Times New Roman"/>
          <w:sz w:val="24"/>
          <w:szCs w:val="24"/>
        </w:rPr>
        <w:t xml:space="preserve"> to pozycja</w:t>
      </w:r>
      <w:r w:rsidR="00EB63FB" w:rsidRPr="00C96268">
        <w:rPr>
          <w:rFonts w:ascii="Times New Roman" w:hAnsi="Times New Roman" w:cs="Times New Roman"/>
          <w:sz w:val="24"/>
          <w:szCs w:val="24"/>
        </w:rPr>
        <w:t xml:space="preserve"> jest uwzględniana na potrzeby obliczenia kwalifikowanego dochodu (straty) jednostki składowej i obniża ten kwalifikowany dochód (albo odpowiednio zwiększa kwalifikowaną stratę).</w:t>
      </w:r>
    </w:p>
    <w:p w14:paraId="61EC689C" w14:textId="21BDBFF1" w:rsidR="0037357C" w:rsidRPr="00C96268" w:rsidRDefault="0037357C" w:rsidP="0037357C">
      <w:pPr>
        <w:spacing w:after="120"/>
        <w:jc w:val="both"/>
        <w:rPr>
          <w:rFonts w:ascii="Times New Roman" w:hAnsi="Times New Roman" w:cs="Times New Roman"/>
          <w:i/>
          <w:iCs/>
          <w:sz w:val="24"/>
          <w:szCs w:val="24"/>
        </w:rPr>
      </w:pPr>
      <w:r w:rsidRPr="00C96268">
        <w:rPr>
          <w:rFonts w:ascii="Times New Roman" w:hAnsi="Times New Roman" w:cs="Times New Roman"/>
          <w:sz w:val="24"/>
          <w:szCs w:val="24"/>
        </w:rPr>
        <w:t xml:space="preserve">Przepis ten określa zasadę w odniesieniu do wewnątrzgrupowych porozumień finansowych, które zwiększają kwotę </w:t>
      </w:r>
      <w:r w:rsidR="00E103D9" w:rsidRPr="00C96268">
        <w:rPr>
          <w:rFonts w:ascii="Times New Roman" w:hAnsi="Times New Roman" w:cs="Times New Roman"/>
          <w:sz w:val="24"/>
          <w:szCs w:val="24"/>
        </w:rPr>
        <w:t xml:space="preserve">kosztów / </w:t>
      </w:r>
      <w:r w:rsidRPr="00C96268">
        <w:rPr>
          <w:rFonts w:ascii="Times New Roman" w:hAnsi="Times New Roman" w:cs="Times New Roman"/>
          <w:sz w:val="24"/>
          <w:szCs w:val="24"/>
        </w:rPr>
        <w:t xml:space="preserve">wydatków uwzględnianych przy obliczaniu dochodu </w:t>
      </w:r>
      <w:r w:rsidR="00DB1D60" w:rsidRPr="00C96268">
        <w:rPr>
          <w:rFonts w:ascii="Times New Roman" w:hAnsi="Times New Roman" w:cs="Times New Roman"/>
          <w:sz w:val="24"/>
          <w:szCs w:val="24"/>
        </w:rPr>
        <w:t xml:space="preserve">jednostki </w:t>
      </w:r>
      <w:r w:rsidRPr="00C96268">
        <w:rPr>
          <w:rFonts w:ascii="Times New Roman" w:hAnsi="Times New Roman" w:cs="Times New Roman"/>
          <w:sz w:val="24"/>
          <w:szCs w:val="24"/>
        </w:rPr>
        <w:t>podlegające</w:t>
      </w:r>
      <w:r w:rsidR="00DB1D60" w:rsidRPr="00C96268">
        <w:rPr>
          <w:rFonts w:ascii="Times New Roman" w:hAnsi="Times New Roman" w:cs="Times New Roman"/>
          <w:sz w:val="24"/>
          <w:szCs w:val="24"/>
        </w:rPr>
        <w:t>j</w:t>
      </w:r>
      <w:r w:rsidRPr="00C96268">
        <w:rPr>
          <w:rFonts w:ascii="Times New Roman" w:hAnsi="Times New Roman" w:cs="Times New Roman"/>
          <w:sz w:val="24"/>
          <w:szCs w:val="24"/>
        </w:rPr>
        <w:t xml:space="preserve"> niskiemu opodatkowaniu</w:t>
      </w:r>
      <w:r w:rsidR="001A61C9" w:rsidRPr="00C96268">
        <w:rPr>
          <w:rFonts w:ascii="Times New Roman" w:hAnsi="Times New Roman" w:cs="Times New Roman"/>
          <w:sz w:val="24"/>
          <w:szCs w:val="24"/>
        </w:rPr>
        <w:t xml:space="preserve"> </w:t>
      </w:r>
      <w:r w:rsidRPr="00C96268">
        <w:rPr>
          <w:rFonts w:ascii="Times New Roman" w:hAnsi="Times New Roman" w:cs="Times New Roman"/>
          <w:sz w:val="24"/>
          <w:szCs w:val="24"/>
        </w:rPr>
        <w:t>i nie powodują odpowiedniego zwiększenia dochodu podlegającego opodatkowaniu u kontrahenta podlegającego wysokiemu opodatkowaniu w ramach takiego porozumienia</w:t>
      </w:r>
      <w:r w:rsidR="001A61C9" w:rsidRPr="00C96268">
        <w:rPr>
          <w:rFonts w:ascii="Times New Roman" w:hAnsi="Times New Roman" w:cs="Times New Roman"/>
          <w:sz w:val="24"/>
          <w:szCs w:val="24"/>
        </w:rPr>
        <w:t xml:space="preserve"> (chodzi zasadniczo o opodatkowani</w:t>
      </w:r>
      <w:r w:rsidR="00DB1D60" w:rsidRPr="00C96268">
        <w:rPr>
          <w:rFonts w:ascii="Times New Roman" w:hAnsi="Times New Roman" w:cs="Times New Roman"/>
          <w:sz w:val="24"/>
          <w:szCs w:val="24"/>
        </w:rPr>
        <w:t>e</w:t>
      </w:r>
      <w:r w:rsidR="001A61C9" w:rsidRPr="00C96268">
        <w:rPr>
          <w:rFonts w:ascii="Times New Roman" w:hAnsi="Times New Roman" w:cs="Times New Roman"/>
          <w:sz w:val="24"/>
          <w:szCs w:val="24"/>
        </w:rPr>
        <w:t xml:space="preserve"> CIT, przy czym Zasady GloBE i w ślad za nimi ustawa</w:t>
      </w:r>
      <w:r w:rsidR="000C4AC7" w:rsidRPr="00C96268">
        <w:rPr>
          <w:rFonts w:ascii="Times New Roman" w:hAnsi="Times New Roman" w:cs="Times New Roman"/>
          <w:sz w:val="24"/>
          <w:szCs w:val="24"/>
        </w:rPr>
        <w:t>,</w:t>
      </w:r>
      <w:r w:rsidR="001A61C9" w:rsidRPr="00C96268">
        <w:rPr>
          <w:rFonts w:ascii="Times New Roman" w:hAnsi="Times New Roman" w:cs="Times New Roman"/>
          <w:sz w:val="24"/>
          <w:szCs w:val="24"/>
        </w:rPr>
        <w:t xml:space="preserve"> posługuj</w:t>
      </w:r>
      <w:r w:rsidR="000C4AC7" w:rsidRPr="00C96268">
        <w:rPr>
          <w:rFonts w:ascii="Times New Roman" w:hAnsi="Times New Roman" w:cs="Times New Roman"/>
          <w:sz w:val="24"/>
          <w:szCs w:val="24"/>
        </w:rPr>
        <w:t>ą</w:t>
      </w:r>
      <w:r w:rsidR="001A61C9" w:rsidRPr="00C96268">
        <w:rPr>
          <w:rFonts w:ascii="Times New Roman" w:hAnsi="Times New Roman" w:cs="Times New Roman"/>
          <w:sz w:val="24"/>
          <w:szCs w:val="24"/>
        </w:rPr>
        <w:t xml:space="preserve"> się szerszym pojęciem podatków kwalifikowanych). </w:t>
      </w:r>
      <w:r w:rsidRPr="00C96268">
        <w:rPr>
          <w:rFonts w:ascii="Times New Roman" w:hAnsi="Times New Roman" w:cs="Times New Roman"/>
          <w:sz w:val="24"/>
          <w:szCs w:val="24"/>
        </w:rPr>
        <w:t xml:space="preserve">Ta zasada uniemożliwia grupom angażowanie się w transakcje, które mają na celu zwiększenie efektywnej stawki </w:t>
      </w:r>
      <w:r w:rsidR="001A61C9" w:rsidRPr="00C96268">
        <w:rPr>
          <w:rFonts w:ascii="Times New Roman" w:hAnsi="Times New Roman" w:cs="Times New Roman"/>
          <w:sz w:val="24"/>
          <w:szCs w:val="24"/>
        </w:rPr>
        <w:t>podatkowej</w:t>
      </w:r>
      <w:r w:rsidRPr="00C96268">
        <w:rPr>
          <w:rFonts w:ascii="Times New Roman" w:hAnsi="Times New Roman" w:cs="Times New Roman"/>
          <w:sz w:val="24"/>
          <w:szCs w:val="24"/>
        </w:rPr>
        <w:t xml:space="preserve"> w </w:t>
      </w:r>
      <w:r w:rsidR="00FD7D2B" w:rsidRPr="00C96268">
        <w:rPr>
          <w:rFonts w:ascii="Times New Roman" w:hAnsi="Times New Roman" w:cs="Times New Roman"/>
          <w:sz w:val="24"/>
          <w:szCs w:val="24"/>
        </w:rPr>
        <w:t>jurysdykcji</w:t>
      </w:r>
      <w:r w:rsidRPr="00C96268">
        <w:rPr>
          <w:rFonts w:ascii="Times New Roman" w:hAnsi="Times New Roman" w:cs="Times New Roman"/>
          <w:sz w:val="24"/>
          <w:szCs w:val="24"/>
        </w:rPr>
        <w:t xml:space="preserve">, </w:t>
      </w:r>
      <w:r w:rsidR="000C4AC7" w:rsidRPr="00C96268">
        <w:rPr>
          <w:rFonts w:ascii="Times New Roman" w:hAnsi="Times New Roman" w:cs="Times New Roman"/>
          <w:sz w:val="24"/>
          <w:szCs w:val="24"/>
        </w:rPr>
        <w:t>w której stawka ta wynosi poniżej 15%</w:t>
      </w:r>
      <w:r w:rsidRPr="00C96268">
        <w:rPr>
          <w:rFonts w:ascii="Times New Roman" w:hAnsi="Times New Roman" w:cs="Times New Roman"/>
          <w:sz w:val="24"/>
          <w:szCs w:val="24"/>
        </w:rPr>
        <w:t xml:space="preserve">, poprzez obniżenie dochodu </w:t>
      </w:r>
      <w:r w:rsidR="001A61C9" w:rsidRPr="00C96268">
        <w:rPr>
          <w:rFonts w:ascii="Times New Roman" w:hAnsi="Times New Roman" w:cs="Times New Roman"/>
          <w:sz w:val="24"/>
          <w:szCs w:val="24"/>
        </w:rPr>
        <w:t xml:space="preserve">podlegającego opodatkowaniu </w:t>
      </w:r>
      <w:r w:rsidRPr="00C96268">
        <w:rPr>
          <w:rFonts w:ascii="Times New Roman" w:hAnsi="Times New Roman" w:cs="Times New Roman"/>
          <w:sz w:val="24"/>
          <w:szCs w:val="24"/>
        </w:rPr>
        <w:t>w taki</w:t>
      </w:r>
      <w:r w:rsidR="00FD7D2B" w:rsidRPr="00C96268">
        <w:rPr>
          <w:rFonts w:ascii="Times New Roman" w:hAnsi="Times New Roman" w:cs="Times New Roman"/>
          <w:sz w:val="24"/>
          <w:szCs w:val="24"/>
        </w:rPr>
        <w:t>ej</w:t>
      </w:r>
      <w:r w:rsidRPr="00C96268">
        <w:rPr>
          <w:rFonts w:ascii="Times New Roman" w:hAnsi="Times New Roman" w:cs="Times New Roman"/>
          <w:sz w:val="24"/>
          <w:szCs w:val="24"/>
        </w:rPr>
        <w:t xml:space="preserve"> </w:t>
      </w:r>
      <w:r w:rsidR="00FD7D2B" w:rsidRPr="00C96268">
        <w:rPr>
          <w:rFonts w:ascii="Times New Roman" w:hAnsi="Times New Roman" w:cs="Times New Roman"/>
          <w:sz w:val="24"/>
          <w:szCs w:val="24"/>
        </w:rPr>
        <w:t>jurysdykcji</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 xml:space="preserve">bez zwiększenia dochodu podlegającego opodatkowaniu </w:t>
      </w:r>
      <w:r w:rsidR="000C4AC7" w:rsidRPr="00C96268">
        <w:rPr>
          <w:rFonts w:ascii="Times New Roman" w:hAnsi="Times New Roman" w:cs="Times New Roman"/>
          <w:sz w:val="24"/>
          <w:szCs w:val="24"/>
        </w:rPr>
        <w:t xml:space="preserve">innej </w:t>
      </w:r>
      <w:r w:rsidRPr="00C96268">
        <w:rPr>
          <w:rFonts w:ascii="Times New Roman" w:hAnsi="Times New Roman" w:cs="Times New Roman"/>
          <w:sz w:val="24"/>
          <w:szCs w:val="24"/>
        </w:rPr>
        <w:t>ze stron porozumienia.</w:t>
      </w:r>
    </w:p>
    <w:p w14:paraId="45760DE6" w14:textId="00A752BB" w:rsidR="0037357C" w:rsidRPr="00C96268" w:rsidRDefault="0037357C" w:rsidP="0037357C">
      <w:pPr>
        <w:spacing w:after="120"/>
        <w:jc w:val="both"/>
        <w:rPr>
          <w:rFonts w:ascii="Times New Roman" w:hAnsi="Times New Roman" w:cs="Times New Roman"/>
          <w:i/>
          <w:iCs/>
          <w:sz w:val="24"/>
          <w:szCs w:val="24"/>
        </w:rPr>
      </w:pPr>
      <w:r w:rsidRPr="00C96268">
        <w:rPr>
          <w:rFonts w:ascii="Times New Roman" w:hAnsi="Times New Roman" w:cs="Times New Roman"/>
          <w:sz w:val="24"/>
          <w:szCs w:val="24"/>
        </w:rPr>
        <w:t>Wewnątrzgrupowe porozumienie finansowe</w:t>
      </w:r>
      <w:r w:rsidRPr="00C96268">
        <w:rPr>
          <w:rFonts w:ascii="Times New Roman" w:hAnsi="Times New Roman" w:cs="Times New Roman"/>
          <w:i/>
          <w:iCs/>
          <w:sz w:val="24"/>
          <w:szCs w:val="24"/>
        </w:rPr>
        <w:t xml:space="preserve"> </w:t>
      </w:r>
      <w:r w:rsidRPr="00C96268">
        <w:rPr>
          <w:rFonts w:ascii="Times New Roman" w:hAnsi="Times New Roman" w:cs="Times New Roman"/>
          <w:sz w:val="24"/>
          <w:szCs w:val="24"/>
        </w:rPr>
        <w:t xml:space="preserve">zostało zdefiniowane w </w:t>
      </w:r>
      <w:r w:rsidRPr="00C96268">
        <w:rPr>
          <w:rFonts w:ascii="Times New Roman" w:hAnsi="Times New Roman" w:cs="Times New Roman"/>
          <w:b/>
          <w:bCs/>
          <w:sz w:val="24"/>
          <w:szCs w:val="24"/>
        </w:rPr>
        <w:t xml:space="preserve">ust. </w:t>
      </w:r>
      <w:r w:rsidR="00061E85" w:rsidRPr="00C96268">
        <w:rPr>
          <w:rFonts w:ascii="Times New Roman" w:hAnsi="Times New Roman" w:cs="Times New Roman"/>
          <w:b/>
          <w:bCs/>
          <w:sz w:val="24"/>
          <w:szCs w:val="24"/>
        </w:rPr>
        <w:t>2</w:t>
      </w:r>
      <w:r w:rsidRPr="00C96268">
        <w:rPr>
          <w:rFonts w:ascii="Times New Roman" w:hAnsi="Times New Roman" w:cs="Times New Roman"/>
          <w:sz w:val="24"/>
          <w:szCs w:val="24"/>
        </w:rPr>
        <w:t xml:space="preserve"> jako porozumienie zawarte przez co najmniej dwie jednostki składowe grupy, w ramach którego</w:t>
      </w:r>
      <w:r w:rsidR="000C4AC7" w:rsidRPr="00C96268">
        <w:rPr>
          <w:rFonts w:ascii="Times New Roman" w:hAnsi="Times New Roman" w:cs="Times New Roman"/>
          <w:sz w:val="24"/>
          <w:szCs w:val="24"/>
        </w:rPr>
        <w:t xml:space="preserve"> - co do zasady -</w:t>
      </w:r>
      <w:r w:rsidRPr="00C96268">
        <w:rPr>
          <w:rFonts w:ascii="Times New Roman" w:hAnsi="Times New Roman" w:cs="Times New Roman"/>
          <w:sz w:val="24"/>
          <w:szCs w:val="24"/>
        </w:rPr>
        <w:t xml:space="preserve"> </w:t>
      </w:r>
      <w:r w:rsidRPr="00C96268">
        <w:rPr>
          <w:rFonts w:ascii="Times New Roman" w:hAnsi="Times New Roman" w:cs="Times New Roman"/>
          <w:b/>
          <w:bCs/>
          <w:sz w:val="24"/>
          <w:szCs w:val="24"/>
        </w:rPr>
        <w:t>jednostka składowa opodatkowana wyższą stawką podatku kwalifikowanego udziela finansowania w formie pożyczki (kredytu) lub w inny sposób finansuje jednostkę składową opodatkowaną niższą stawką podatku kwalifikowanego</w:t>
      </w:r>
      <w:r w:rsidRPr="00C96268">
        <w:rPr>
          <w:rFonts w:ascii="Times New Roman" w:hAnsi="Times New Roman" w:cs="Times New Roman"/>
          <w:sz w:val="24"/>
          <w:szCs w:val="24"/>
        </w:rPr>
        <w:t>. Finansowanie może być udzielane bezpośrednio lub za pośrednictwem inn</w:t>
      </w:r>
      <w:r w:rsidR="001A61C9" w:rsidRPr="00C96268">
        <w:rPr>
          <w:rFonts w:ascii="Times New Roman" w:hAnsi="Times New Roman" w:cs="Times New Roman"/>
          <w:sz w:val="24"/>
          <w:szCs w:val="24"/>
        </w:rPr>
        <w:t xml:space="preserve">ych osób/podmiotów </w:t>
      </w:r>
      <w:r w:rsidRPr="00C96268">
        <w:rPr>
          <w:rFonts w:ascii="Times New Roman" w:hAnsi="Times New Roman" w:cs="Times New Roman"/>
          <w:sz w:val="24"/>
          <w:szCs w:val="24"/>
        </w:rPr>
        <w:t xml:space="preserve"> – w formie pożyczki (kredytu) lub w inny sposób. Na przykład, jednostka składowa może działać jako pośrednik, pożyczając pieniądze od kontrahenta podlegającego wysokiemu opodatkowaniu, a następnie pożyczać je jednostce podlegającej niskiemu opodatkowaniu w ramach tej samej grupy. W takim przypadku pożyczki wzajemne można uznać za część porozumienia, w ramach którego kontrahent podlegający wysokiemu opodatkowaniu pośrednio udzielił kredytu jednostce podlegającej niskiemu opodatkowaniu.</w:t>
      </w:r>
    </w:p>
    <w:p w14:paraId="5D00199A" w14:textId="1B308E0E" w:rsidR="0037357C" w:rsidRPr="00C96268" w:rsidRDefault="0037357C" w:rsidP="0037357C">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Przy obliczaniu kwalifikowanego dochodu (straty) jednostki składowej za rok podatkowy nie uwzględnia się kosztów wynikających z wewnątrzgrupowych porozumień finansowych pod warunkiem spełnienia łącznie następujących warunków, wskazanych w </w:t>
      </w:r>
      <w:r w:rsidRPr="00C96268">
        <w:rPr>
          <w:rFonts w:ascii="Times New Roman" w:hAnsi="Times New Roman" w:cs="Times New Roman"/>
          <w:b/>
          <w:bCs/>
          <w:sz w:val="24"/>
          <w:szCs w:val="24"/>
        </w:rPr>
        <w:t xml:space="preserve">ust. </w:t>
      </w:r>
      <w:r w:rsidR="00061E85" w:rsidRPr="00C96268">
        <w:rPr>
          <w:rFonts w:ascii="Times New Roman" w:hAnsi="Times New Roman" w:cs="Times New Roman"/>
          <w:b/>
          <w:bCs/>
          <w:sz w:val="24"/>
          <w:szCs w:val="24"/>
        </w:rPr>
        <w:t>3</w:t>
      </w:r>
      <w:r w:rsidRPr="00C96268">
        <w:rPr>
          <w:rFonts w:ascii="Times New Roman" w:hAnsi="Times New Roman" w:cs="Times New Roman"/>
          <w:sz w:val="24"/>
          <w:szCs w:val="24"/>
        </w:rPr>
        <w:t>:</w:t>
      </w:r>
    </w:p>
    <w:p w14:paraId="67E31C1C" w14:textId="1D5B7654" w:rsidR="0037357C" w:rsidRPr="00C96268" w:rsidRDefault="0037357C" w:rsidP="002C7467">
      <w:pPr>
        <w:numPr>
          <w:ilvl w:val="0"/>
          <w:numId w:val="98"/>
        </w:numPr>
        <w:spacing w:after="120" w:line="254"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jednostka składowa, </w:t>
      </w:r>
      <w:r w:rsidRPr="00C96268">
        <w:rPr>
          <w:rFonts w:ascii="Times New Roman" w:hAnsi="Times New Roman" w:cs="Times New Roman"/>
          <w:b/>
          <w:bCs/>
          <w:sz w:val="24"/>
          <w:szCs w:val="24"/>
        </w:rPr>
        <w:t>otrzymująca finansowanie</w:t>
      </w:r>
      <w:r w:rsidRPr="00C96268">
        <w:rPr>
          <w:rFonts w:ascii="Times New Roman" w:hAnsi="Times New Roman" w:cs="Times New Roman"/>
          <w:sz w:val="24"/>
          <w:szCs w:val="24"/>
        </w:rPr>
        <w:t xml:space="preserve">, jest zlokalizowana </w:t>
      </w:r>
      <w:r w:rsidRPr="00C96268">
        <w:rPr>
          <w:rFonts w:ascii="Times New Roman" w:hAnsi="Times New Roman" w:cs="Times New Roman"/>
          <w:b/>
          <w:bCs/>
          <w:sz w:val="24"/>
          <w:szCs w:val="24"/>
        </w:rPr>
        <w:t xml:space="preserve">w </w:t>
      </w:r>
      <w:r w:rsidR="00FD7D2B" w:rsidRPr="00C96268">
        <w:rPr>
          <w:rFonts w:ascii="Times New Roman" w:hAnsi="Times New Roman" w:cs="Times New Roman"/>
          <w:b/>
          <w:bCs/>
          <w:sz w:val="24"/>
          <w:szCs w:val="24"/>
        </w:rPr>
        <w:t>jurysdykcji</w:t>
      </w:r>
      <w:r w:rsidR="00FD7D2B" w:rsidRPr="00C96268" w:rsidDel="00FD7D2B">
        <w:rPr>
          <w:rFonts w:ascii="Times New Roman" w:hAnsi="Times New Roman" w:cs="Times New Roman"/>
          <w:b/>
          <w:bCs/>
          <w:sz w:val="24"/>
          <w:szCs w:val="24"/>
        </w:rPr>
        <w:t xml:space="preserve"> </w:t>
      </w:r>
      <w:r w:rsidRPr="00C96268">
        <w:rPr>
          <w:rFonts w:ascii="Times New Roman" w:hAnsi="Times New Roman" w:cs="Times New Roman"/>
          <w:b/>
          <w:bCs/>
          <w:sz w:val="24"/>
          <w:szCs w:val="24"/>
        </w:rPr>
        <w:t>o niskim poziomie opodatkowania</w:t>
      </w:r>
      <w:r w:rsidRPr="00C96268">
        <w:rPr>
          <w:rFonts w:ascii="Times New Roman" w:hAnsi="Times New Roman" w:cs="Times New Roman"/>
          <w:sz w:val="24"/>
          <w:szCs w:val="24"/>
        </w:rPr>
        <w:t xml:space="preserve"> lub </w:t>
      </w:r>
      <w:r w:rsidR="00FD7D2B" w:rsidRPr="00C96268">
        <w:rPr>
          <w:rFonts w:ascii="Times New Roman" w:hAnsi="Times New Roman" w:cs="Times New Roman"/>
          <w:sz w:val="24"/>
          <w:szCs w:val="24"/>
        </w:rPr>
        <w:t>jurysdykcji</w:t>
      </w:r>
      <w:r w:rsidRPr="00C96268">
        <w:rPr>
          <w:rFonts w:ascii="Times New Roman" w:hAnsi="Times New Roman" w:cs="Times New Roman"/>
          <w:sz w:val="24"/>
          <w:szCs w:val="24"/>
        </w:rPr>
        <w:t xml:space="preserve">, </w:t>
      </w:r>
      <w:r w:rsidR="00FD7D2B" w:rsidRPr="00C96268">
        <w:rPr>
          <w:rFonts w:ascii="Times New Roman" w:hAnsi="Times New Roman" w:cs="Times New Roman"/>
          <w:sz w:val="24"/>
          <w:szCs w:val="24"/>
        </w:rPr>
        <w:t xml:space="preserve">która byłaby jurysdykcją </w:t>
      </w:r>
      <w:r w:rsidRPr="00C96268">
        <w:rPr>
          <w:rFonts w:ascii="Times New Roman" w:hAnsi="Times New Roman" w:cs="Times New Roman"/>
          <w:sz w:val="24"/>
          <w:szCs w:val="24"/>
        </w:rPr>
        <w:t>o niskim poziomie opodatkowania, gdyby jednostka nie naliczyła kosztu wynikającego z finansowania;</w:t>
      </w:r>
    </w:p>
    <w:p w14:paraId="0EBA3EFC" w14:textId="11B728D3" w:rsidR="0037357C" w:rsidRPr="00C96268" w:rsidRDefault="0037357C" w:rsidP="002C7467">
      <w:pPr>
        <w:numPr>
          <w:ilvl w:val="0"/>
          <w:numId w:val="98"/>
        </w:numPr>
        <w:spacing w:after="120" w:line="254"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jednostka składowa, </w:t>
      </w:r>
      <w:r w:rsidRPr="00C96268">
        <w:rPr>
          <w:rFonts w:ascii="Times New Roman" w:hAnsi="Times New Roman" w:cs="Times New Roman"/>
          <w:b/>
          <w:bCs/>
          <w:sz w:val="24"/>
          <w:szCs w:val="24"/>
        </w:rPr>
        <w:t>udzielająca finansowania</w:t>
      </w:r>
      <w:r w:rsidRPr="00C96268">
        <w:rPr>
          <w:rFonts w:ascii="Times New Roman" w:hAnsi="Times New Roman" w:cs="Times New Roman"/>
          <w:sz w:val="24"/>
          <w:szCs w:val="24"/>
        </w:rPr>
        <w:t xml:space="preserve">, jest zlokalizowana </w:t>
      </w:r>
      <w:r w:rsidRPr="00C96268">
        <w:rPr>
          <w:rFonts w:ascii="Times New Roman" w:hAnsi="Times New Roman" w:cs="Times New Roman"/>
          <w:b/>
          <w:bCs/>
          <w:sz w:val="24"/>
          <w:szCs w:val="24"/>
        </w:rPr>
        <w:t xml:space="preserve">w </w:t>
      </w:r>
      <w:r w:rsidR="00FD7D2B" w:rsidRPr="00C96268">
        <w:rPr>
          <w:rFonts w:ascii="Times New Roman" w:hAnsi="Times New Roman" w:cs="Times New Roman"/>
          <w:b/>
          <w:bCs/>
          <w:sz w:val="24"/>
          <w:szCs w:val="24"/>
        </w:rPr>
        <w:t>jurysdykcji</w:t>
      </w:r>
      <w:r w:rsidR="00FD7D2B" w:rsidRPr="00C96268" w:rsidDel="00FD7D2B">
        <w:rPr>
          <w:rFonts w:ascii="Times New Roman" w:hAnsi="Times New Roman" w:cs="Times New Roman"/>
          <w:b/>
          <w:bCs/>
          <w:sz w:val="24"/>
          <w:szCs w:val="24"/>
        </w:rPr>
        <w:t xml:space="preserve"> </w:t>
      </w:r>
      <w:r w:rsidR="00FD7D2B" w:rsidRPr="00C96268">
        <w:rPr>
          <w:rFonts w:ascii="Times New Roman" w:hAnsi="Times New Roman" w:cs="Times New Roman"/>
          <w:b/>
          <w:bCs/>
          <w:sz w:val="24"/>
          <w:szCs w:val="24"/>
        </w:rPr>
        <w:t>niebędącą jurysdykcją</w:t>
      </w:r>
      <w:r w:rsidR="00FD7D2B" w:rsidRPr="00C96268" w:rsidDel="00FD7D2B">
        <w:rPr>
          <w:rFonts w:ascii="Times New Roman" w:hAnsi="Times New Roman" w:cs="Times New Roman"/>
          <w:b/>
          <w:bCs/>
          <w:sz w:val="24"/>
          <w:szCs w:val="24"/>
        </w:rPr>
        <w:t xml:space="preserve"> </w:t>
      </w:r>
      <w:r w:rsidRPr="00C96268">
        <w:rPr>
          <w:rFonts w:ascii="Times New Roman" w:hAnsi="Times New Roman" w:cs="Times New Roman"/>
          <w:b/>
          <w:bCs/>
          <w:sz w:val="24"/>
          <w:szCs w:val="24"/>
        </w:rPr>
        <w:t>o niskim poziomie opodatkowania</w:t>
      </w:r>
      <w:r w:rsidRPr="00C96268">
        <w:rPr>
          <w:rFonts w:ascii="Times New Roman" w:hAnsi="Times New Roman" w:cs="Times New Roman"/>
          <w:sz w:val="24"/>
          <w:szCs w:val="24"/>
        </w:rPr>
        <w:t xml:space="preserve">, lub w </w:t>
      </w:r>
      <w:r w:rsidR="00FD7D2B" w:rsidRPr="00C96268">
        <w:rPr>
          <w:rFonts w:ascii="Times New Roman" w:hAnsi="Times New Roman" w:cs="Times New Roman"/>
          <w:sz w:val="24"/>
          <w:szCs w:val="24"/>
        </w:rPr>
        <w:t>jurysdykcji</w:t>
      </w:r>
      <w:r w:rsidRPr="00C96268">
        <w:rPr>
          <w:rFonts w:ascii="Times New Roman" w:hAnsi="Times New Roman" w:cs="Times New Roman"/>
          <w:sz w:val="24"/>
          <w:szCs w:val="24"/>
        </w:rPr>
        <w:t xml:space="preserve">, </w:t>
      </w:r>
      <w:r w:rsidR="00FD7D2B" w:rsidRPr="00C96268">
        <w:rPr>
          <w:rFonts w:ascii="Times New Roman" w:hAnsi="Times New Roman" w:cs="Times New Roman"/>
          <w:sz w:val="24"/>
          <w:szCs w:val="24"/>
        </w:rPr>
        <w:t xml:space="preserve">która </w:t>
      </w:r>
      <w:r w:rsidRPr="00C96268">
        <w:rPr>
          <w:rFonts w:ascii="Times New Roman" w:hAnsi="Times New Roman" w:cs="Times New Roman"/>
          <w:sz w:val="24"/>
          <w:szCs w:val="24"/>
        </w:rPr>
        <w:t xml:space="preserve">nie </w:t>
      </w:r>
      <w:r w:rsidR="00FD7D2B" w:rsidRPr="00C96268">
        <w:rPr>
          <w:rFonts w:ascii="Times New Roman" w:hAnsi="Times New Roman" w:cs="Times New Roman"/>
          <w:sz w:val="24"/>
          <w:szCs w:val="24"/>
        </w:rPr>
        <w:t>byłaby jurysdykcją</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o niskim poziomie opodatkowania, gdyby jednostka nie naliczyła przychodu (dochodu) wynikającego z udzielonego finansowania;</w:t>
      </w:r>
    </w:p>
    <w:p w14:paraId="3EE6EBBF" w14:textId="1BA269C0" w:rsidR="00174F00" w:rsidRDefault="0037357C" w:rsidP="002C7467">
      <w:pPr>
        <w:numPr>
          <w:ilvl w:val="0"/>
          <w:numId w:val="98"/>
        </w:numPr>
        <w:spacing w:after="120" w:line="254" w:lineRule="auto"/>
        <w:jc w:val="both"/>
        <w:rPr>
          <w:rFonts w:ascii="Times New Roman" w:hAnsi="Times New Roman" w:cs="Times New Roman"/>
          <w:sz w:val="24"/>
          <w:szCs w:val="24"/>
        </w:rPr>
      </w:pPr>
      <w:r w:rsidRPr="00C96268">
        <w:rPr>
          <w:rFonts w:ascii="Times New Roman" w:hAnsi="Times New Roman" w:cs="Times New Roman"/>
          <w:sz w:val="24"/>
          <w:szCs w:val="24"/>
        </w:rPr>
        <w:t xml:space="preserve">w  okresie obowiązywania wewnątrzgrupowych porozumień finansowych, porozumienia te prowadzą do </w:t>
      </w:r>
      <w:r w:rsidRPr="00C96268">
        <w:rPr>
          <w:rFonts w:ascii="Times New Roman" w:hAnsi="Times New Roman" w:cs="Times New Roman"/>
          <w:b/>
          <w:bCs/>
          <w:sz w:val="24"/>
          <w:szCs w:val="24"/>
        </w:rPr>
        <w:t>wzrostu kwoty kosztów uwzględnianych przy obliczaniu kwalifikowanego dochodu (straty) jednostki otrzymującej finansowanie</w:t>
      </w:r>
      <w:r w:rsidRPr="00C96268">
        <w:rPr>
          <w:rFonts w:ascii="Times New Roman" w:hAnsi="Times New Roman" w:cs="Times New Roman"/>
          <w:sz w:val="24"/>
          <w:szCs w:val="24"/>
        </w:rPr>
        <w:t xml:space="preserve">, </w:t>
      </w:r>
      <w:r w:rsidRPr="00C96268">
        <w:rPr>
          <w:rFonts w:ascii="Times New Roman" w:hAnsi="Times New Roman" w:cs="Times New Roman"/>
          <w:b/>
          <w:bCs/>
          <w:sz w:val="24"/>
          <w:szCs w:val="24"/>
        </w:rPr>
        <w:t>nie powodując proporcjonalnego wzrostu dochodu</w:t>
      </w:r>
      <w:r w:rsidR="00A55F8E" w:rsidRPr="00C96268">
        <w:rPr>
          <w:rFonts w:ascii="Times New Roman" w:hAnsi="Times New Roman" w:cs="Times New Roman"/>
          <w:b/>
          <w:bCs/>
          <w:sz w:val="24"/>
          <w:szCs w:val="24"/>
        </w:rPr>
        <w:t xml:space="preserve"> podlegającego opodatkowaniu podatkiem kwalifikowanym po stronie</w:t>
      </w:r>
      <w:r w:rsidRPr="00C96268">
        <w:rPr>
          <w:rFonts w:ascii="Times New Roman" w:hAnsi="Times New Roman" w:cs="Times New Roman"/>
          <w:b/>
          <w:bCs/>
          <w:sz w:val="24"/>
          <w:szCs w:val="24"/>
        </w:rPr>
        <w:t xml:space="preserve"> jednostki składowej, która udziela tego finansowania</w:t>
      </w:r>
      <w:r w:rsidRPr="00C96268">
        <w:rPr>
          <w:rFonts w:ascii="Times New Roman" w:hAnsi="Times New Roman" w:cs="Times New Roman"/>
          <w:sz w:val="24"/>
          <w:szCs w:val="24"/>
        </w:rPr>
        <w:t>, w tym gdy dochód z tego finansowania jest wyłączony lub zwolniony z opodatkowania podatkiem kwalifikowanym lub podlega odliczeniu, uldze lub innej korzyści podatkowej w tym podatku.</w:t>
      </w:r>
    </w:p>
    <w:p w14:paraId="42E64374" w14:textId="77777777" w:rsidR="00C0038D" w:rsidRPr="00C96268" w:rsidRDefault="00C0038D" w:rsidP="00C0038D">
      <w:pPr>
        <w:spacing w:after="120" w:line="254" w:lineRule="auto"/>
        <w:ind w:left="720"/>
        <w:jc w:val="both"/>
        <w:rPr>
          <w:rFonts w:ascii="Times New Roman" w:hAnsi="Times New Roman" w:cs="Times New Roman"/>
          <w:sz w:val="24"/>
          <w:szCs w:val="24"/>
        </w:rPr>
      </w:pPr>
    </w:p>
    <w:p w14:paraId="235A698E" w14:textId="6BE3DF54" w:rsidR="00174F00" w:rsidRPr="00C96268" w:rsidRDefault="00174F00" w:rsidP="00191592">
      <w:pPr>
        <w:spacing w:before="120" w:after="240" w:line="254" w:lineRule="auto"/>
        <w:jc w:val="both"/>
        <w:rPr>
          <w:rFonts w:ascii="Times New Roman" w:hAnsi="Times New Roman" w:cs="Times New Roman"/>
          <w:sz w:val="24"/>
          <w:szCs w:val="24"/>
        </w:rPr>
      </w:pPr>
      <w:r w:rsidRPr="00C96268">
        <w:rPr>
          <w:rFonts w:ascii="Times New Roman" w:hAnsi="Times New Roman" w:cs="Times New Roman"/>
          <w:sz w:val="24"/>
          <w:szCs w:val="24"/>
        </w:rPr>
        <w:t>Definicję wewnątrzgrupowego porozumienia finansowego i jego warunki obrazuje poniższy schemat.</w:t>
      </w:r>
      <w:r w:rsidRPr="00C96268">
        <w:rPr>
          <w:rStyle w:val="Odwoanieprzypisudolnego"/>
          <w:rFonts w:ascii="Times New Roman" w:hAnsi="Times New Roman" w:cs="Times New Roman"/>
          <w:sz w:val="24"/>
          <w:szCs w:val="24"/>
        </w:rPr>
        <w:footnoteReference w:id="123"/>
      </w:r>
    </w:p>
    <w:bookmarkEnd w:id="18"/>
    <w:p w14:paraId="5E48D517" w14:textId="65519112" w:rsidR="00174F00" w:rsidRPr="003E7A67" w:rsidRDefault="00A55F8E" w:rsidP="001A61C9">
      <w:pPr>
        <w:spacing w:after="120"/>
        <w:jc w:val="both"/>
        <w:rPr>
          <w:rFonts w:cstheme="minorHAnsi"/>
        </w:rPr>
      </w:pPr>
      <w:r w:rsidRPr="003E7A67">
        <w:rPr>
          <w:rFonts w:cstheme="minorHAnsi"/>
          <w:noProof/>
          <w:lang w:eastAsia="pl-PL"/>
        </w:rPr>
        <w:drawing>
          <wp:inline distT="0" distB="0" distL="0" distR="0" wp14:anchorId="5BEDC8E2" wp14:editId="1D4B41F2">
            <wp:extent cx="5695950" cy="2054626"/>
            <wp:effectExtent l="0" t="0" r="0" b="317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50" cy="2078001"/>
                    </a:xfrm>
                    <a:prstGeom prst="rect">
                      <a:avLst/>
                    </a:prstGeom>
                    <a:noFill/>
                  </pic:spPr>
                </pic:pic>
              </a:graphicData>
            </a:graphic>
          </wp:inline>
        </w:drawing>
      </w:r>
    </w:p>
    <w:p w14:paraId="30EFA7E6" w14:textId="00DF6AE7" w:rsidR="00174F00" w:rsidRPr="003E7A67" w:rsidRDefault="00174F00" w:rsidP="001A61C9">
      <w:pPr>
        <w:spacing w:after="120"/>
        <w:jc w:val="both"/>
        <w:rPr>
          <w:rFonts w:cstheme="minorHAnsi"/>
        </w:rPr>
      </w:pPr>
    </w:p>
    <w:p w14:paraId="3A5FFFF3" w14:textId="5BB16615" w:rsidR="00174F00" w:rsidRPr="00C96268" w:rsidRDefault="00174F00" w:rsidP="00174F00">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celu ustalenia spełnienia ww. warunku, zgodnie z treścią </w:t>
      </w:r>
      <w:r w:rsidRPr="00C96268">
        <w:rPr>
          <w:rFonts w:ascii="Times New Roman" w:hAnsi="Times New Roman" w:cs="Times New Roman"/>
          <w:b/>
          <w:bCs/>
          <w:sz w:val="24"/>
          <w:szCs w:val="24"/>
        </w:rPr>
        <w:t xml:space="preserve">ust. </w:t>
      </w:r>
      <w:r w:rsidR="00061E85" w:rsidRPr="00C96268">
        <w:rPr>
          <w:rFonts w:ascii="Times New Roman" w:hAnsi="Times New Roman" w:cs="Times New Roman"/>
          <w:b/>
          <w:bCs/>
          <w:sz w:val="24"/>
          <w:szCs w:val="24"/>
        </w:rPr>
        <w:t>4</w:t>
      </w:r>
      <w:r w:rsidRPr="00C96268">
        <w:rPr>
          <w:rFonts w:ascii="Times New Roman" w:hAnsi="Times New Roman" w:cs="Times New Roman"/>
          <w:sz w:val="24"/>
          <w:szCs w:val="24"/>
        </w:rPr>
        <w:t xml:space="preserve">, należy porównać efektywną stawkę podatkową, obliczoną dla </w:t>
      </w:r>
      <w:r w:rsidR="00FD7D2B" w:rsidRPr="00C96268">
        <w:rPr>
          <w:rFonts w:ascii="Times New Roman" w:hAnsi="Times New Roman" w:cs="Times New Roman"/>
          <w:sz w:val="24"/>
          <w:szCs w:val="24"/>
        </w:rPr>
        <w:t>danej jurysdykcji</w:t>
      </w:r>
      <w:r w:rsidRPr="00C96268">
        <w:rPr>
          <w:rFonts w:ascii="Times New Roman" w:hAnsi="Times New Roman" w:cs="Times New Roman"/>
          <w:sz w:val="24"/>
          <w:szCs w:val="24"/>
        </w:rPr>
        <w:t xml:space="preserve">, bez uwzględnienia odpowiednio kosztów albo przychodów (dochodów), naliczonych z wewnątrzgrupowego porozumienia finansowego, oraz efektywną stawkę podatkową dla </w:t>
      </w:r>
      <w:r w:rsidR="00FD7D2B" w:rsidRPr="00C96268">
        <w:rPr>
          <w:rFonts w:ascii="Times New Roman" w:hAnsi="Times New Roman" w:cs="Times New Roman"/>
          <w:sz w:val="24"/>
          <w:szCs w:val="24"/>
        </w:rPr>
        <w:t>tej samej jurysdykcji</w:t>
      </w:r>
      <w:r w:rsidRPr="00C96268">
        <w:rPr>
          <w:rFonts w:ascii="Times New Roman" w:hAnsi="Times New Roman" w:cs="Times New Roman"/>
          <w:sz w:val="24"/>
          <w:szCs w:val="24"/>
        </w:rPr>
        <w:t xml:space="preserve">, z uwzględnieniem odpowiednio takich kosztów albo przychodów (dochodów). </w:t>
      </w:r>
    </w:p>
    <w:p w14:paraId="492B6510" w14:textId="77777777" w:rsidR="000159FC" w:rsidRPr="00C96268" w:rsidRDefault="000159FC" w:rsidP="00A55F8E">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53 [Przychody i zmiany stanu rezerw zakładów ubezpieczeń]</w:t>
      </w:r>
    </w:p>
    <w:p w14:paraId="20D101AA" w14:textId="5C3DE8E9" w:rsidR="000159FC" w:rsidRPr="00C96268" w:rsidRDefault="000159FC" w:rsidP="000159FC">
      <w:pPr>
        <w:spacing w:after="120"/>
        <w:jc w:val="both"/>
        <w:rPr>
          <w:rFonts w:ascii="Times New Roman" w:hAnsi="Times New Roman" w:cs="Times New Roman"/>
          <w:bCs/>
          <w:iCs/>
          <w:sz w:val="24"/>
          <w:szCs w:val="24"/>
        </w:rPr>
      </w:pPr>
      <w:r w:rsidRPr="00C96268">
        <w:rPr>
          <w:rFonts w:ascii="Times New Roman" w:hAnsi="Times New Roman" w:cs="Times New Roman"/>
          <w:b/>
          <w:bCs/>
          <w:iCs/>
          <w:sz w:val="24"/>
          <w:szCs w:val="24"/>
        </w:rPr>
        <w:t>Art. 53</w:t>
      </w:r>
      <w:r w:rsidRPr="00C96268">
        <w:rPr>
          <w:rFonts w:ascii="Times New Roman" w:hAnsi="Times New Roman" w:cs="Times New Roman"/>
          <w:bCs/>
          <w:iCs/>
          <w:sz w:val="24"/>
          <w:szCs w:val="24"/>
        </w:rPr>
        <w:t xml:space="preserve"> stanowi implementację art. 16</w:t>
      </w:r>
      <w:r w:rsidR="00357A10" w:rsidRPr="00C96268">
        <w:rPr>
          <w:rFonts w:ascii="Times New Roman" w:hAnsi="Times New Roman" w:cs="Times New Roman"/>
          <w:bCs/>
          <w:iCs/>
          <w:sz w:val="24"/>
          <w:szCs w:val="24"/>
        </w:rPr>
        <w:t>.</w:t>
      </w:r>
      <w:r w:rsidRPr="00C96268">
        <w:rPr>
          <w:rFonts w:ascii="Times New Roman" w:hAnsi="Times New Roman" w:cs="Times New Roman"/>
          <w:bCs/>
          <w:iCs/>
          <w:sz w:val="24"/>
          <w:szCs w:val="24"/>
        </w:rPr>
        <w:t xml:space="preserve">10 Dyrektywy </w:t>
      </w:r>
      <w:r w:rsidRPr="00C96268">
        <w:rPr>
          <w:rFonts w:ascii="Times New Roman" w:hAnsi="Times New Roman" w:cs="Times New Roman"/>
          <w:iCs/>
          <w:sz w:val="24"/>
          <w:szCs w:val="24"/>
        </w:rPr>
        <w:t xml:space="preserve">dotyczącego wyłączenia niektórych dochodów zakładów ubezpieczeń, będących jednostkami składowymi, z obliczania kwalifikowanego dochodu (straty). </w:t>
      </w:r>
    </w:p>
    <w:p w14:paraId="0D399673" w14:textId="73D376D4" w:rsidR="000159FC" w:rsidRPr="00C96268" w:rsidRDefault="000159FC" w:rsidP="000159FC">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W ramach prowadzonej działalności zdarza się sytuacja, w której zakłady ubezpieczeń podlegają opodatkowaniu z tytułu </w:t>
      </w:r>
      <w:r w:rsidR="00FE147B" w:rsidRPr="00C96268">
        <w:rPr>
          <w:rFonts w:ascii="Times New Roman" w:hAnsi="Times New Roman" w:cs="Times New Roman"/>
        </w:rPr>
        <w:t>wpływów</w:t>
      </w:r>
      <w:r w:rsidRPr="00C96268">
        <w:rPr>
          <w:rFonts w:ascii="Times New Roman" w:hAnsi="Times New Roman" w:cs="Times New Roman"/>
        </w:rPr>
        <w:t xml:space="preserve">, które muszą zostać </w:t>
      </w:r>
      <w:r w:rsidR="00FE147B" w:rsidRPr="00C96268">
        <w:rPr>
          <w:rFonts w:ascii="Times New Roman" w:hAnsi="Times New Roman" w:cs="Times New Roman"/>
        </w:rPr>
        <w:t>przekazane</w:t>
      </w:r>
      <w:r w:rsidRPr="00C96268">
        <w:rPr>
          <w:rFonts w:ascii="Times New Roman" w:hAnsi="Times New Roman" w:cs="Times New Roman"/>
        </w:rPr>
        <w:t xml:space="preserve"> ubezpieczonym zgodnie z warunkami umowy. </w:t>
      </w:r>
      <w:r w:rsidR="00FE147B" w:rsidRPr="00C96268">
        <w:rPr>
          <w:rFonts w:ascii="Times New Roman" w:hAnsi="Times New Roman" w:cs="Times New Roman"/>
        </w:rPr>
        <w:t>W tej sytuacji</w:t>
      </w:r>
      <w:r w:rsidRPr="00C96268">
        <w:rPr>
          <w:rFonts w:ascii="Times New Roman" w:hAnsi="Times New Roman" w:cs="Times New Roman"/>
        </w:rPr>
        <w:t xml:space="preserve"> zakład ubezpieczeń przenosi koszty pobranego podatku na ubezpieczonych (w formie opłaty), dzięki czemu jednostka ta faktycznie otrzymuje zwrot podatku, opłaconego w pewnym sensie w imieniu ubezpieczonego. Zazwyczaj </w:t>
      </w:r>
      <w:r w:rsidR="00FE147B" w:rsidRPr="00C96268">
        <w:rPr>
          <w:rFonts w:ascii="Times New Roman" w:hAnsi="Times New Roman" w:cs="Times New Roman"/>
        </w:rPr>
        <w:t>taka opłata jest regulowana</w:t>
      </w:r>
      <w:r w:rsidRPr="00C96268">
        <w:rPr>
          <w:rFonts w:ascii="Times New Roman" w:hAnsi="Times New Roman" w:cs="Times New Roman"/>
        </w:rPr>
        <w:t xml:space="preserve"> poprzez zmniejszenie zobowiązań z tytułu ubezpieczenia proporcjonalnie do kwoty odprowadzonego podatku. Takie pomniejszenie jest następnie ujmowane w bilansie jako przychód, a zakład otrzymuje </w:t>
      </w:r>
      <w:r w:rsidRPr="00C96268">
        <w:rPr>
          <w:rFonts w:ascii="Times New Roman" w:hAnsi="Times New Roman" w:cs="Times New Roman"/>
          <w:i/>
          <w:iCs/>
        </w:rPr>
        <w:t>de facto</w:t>
      </w:r>
      <w:r w:rsidRPr="00C96268">
        <w:rPr>
          <w:rFonts w:ascii="Times New Roman" w:hAnsi="Times New Roman" w:cs="Times New Roman"/>
        </w:rPr>
        <w:t xml:space="preserve"> zwrot kwoty podatku zapłaconego w imieniu ubezpieczonego.</w:t>
      </w:r>
    </w:p>
    <w:p w14:paraId="754D7C63" w14:textId="3E06D267" w:rsidR="000159FC" w:rsidRPr="00C96268" w:rsidRDefault="000159FC" w:rsidP="000159FC">
      <w:pPr>
        <w:pStyle w:val="Default"/>
        <w:spacing w:after="120" w:line="259" w:lineRule="auto"/>
        <w:jc w:val="both"/>
        <w:rPr>
          <w:rFonts w:ascii="Times New Roman" w:hAnsi="Times New Roman" w:cs="Times New Roman"/>
        </w:rPr>
      </w:pPr>
      <w:r w:rsidRPr="00C96268">
        <w:rPr>
          <w:rFonts w:ascii="Times New Roman" w:hAnsi="Times New Roman" w:cs="Times New Roman"/>
        </w:rPr>
        <w:t>Je</w:t>
      </w:r>
      <w:r w:rsidR="00FE147B" w:rsidRPr="00C96268">
        <w:rPr>
          <w:rFonts w:ascii="Times New Roman" w:hAnsi="Times New Roman" w:cs="Times New Roman"/>
        </w:rPr>
        <w:t>żeli wpływy (przekazywane dalej ubezpieczonym) są traktowane jako przychód, a</w:t>
      </w:r>
      <w:r w:rsidRPr="00C96268">
        <w:rPr>
          <w:rFonts w:ascii="Times New Roman" w:hAnsi="Times New Roman" w:cs="Times New Roman"/>
        </w:rPr>
        <w:t xml:space="preserve"> podatek </w:t>
      </w:r>
      <w:r w:rsidR="00FE147B" w:rsidRPr="00C96268">
        <w:rPr>
          <w:rFonts w:ascii="Times New Roman" w:hAnsi="Times New Roman" w:cs="Times New Roman"/>
        </w:rPr>
        <w:t>zmniejszający zobowiązanie z tytułu ubezpieczenia</w:t>
      </w:r>
      <w:r w:rsidRPr="00C96268">
        <w:rPr>
          <w:rFonts w:ascii="Times New Roman" w:hAnsi="Times New Roman" w:cs="Times New Roman"/>
        </w:rPr>
        <w:t xml:space="preserve"> jest</w:t>
      </w:r>
      <w:r w:rsidR="00FE147B" w:rsidRPr="00C96268">
        <w:rPr>
          <w:rFonts w:ascii="Times New Roman" w:hAnsi="Times New Roman" w:cs="Times New Roman"/>
        </w:rPr>
        <w:t xml:space="preserve"> traktowany jako koszt</w:t>
      </w:r>
      <w:r w:rsidRPr="00C96268">
        <w:rPr>
          <w:rFonts w:ascii="Times New Roman" w:hAnsi="Times New Roman" w:cs="Times New Roman"/>
          <w:color w:val="auto"/>
        </w:rPr>
        <w:t xml:space="preserve"> </w:t>
      </w:r>
      <w:r w:rsidRPr="00C96268">
        <w:rPr>
          <w:rFonts w:ascii="Times New Roman" w:hAnsi="Times New Roman" w:cs="Times New Roman"/>
        </w:rPr>
        <w:t xml:space="preserve">zakładu ubezpieczeń, </w:t>
      </w:r>
      <w:r w:rsidR="00FE147B" w:rsidRPr="00C96268">
        <w:rPr>
          <w:rFonts w:ascii="Times New Roman" w:hAnsi="Times New Roman" w:cs="Times New Roman"/>
        </w:rPr>
        <w:t>to te dwie pozycje skompensują się – wpływ na zysk (stratę) netto będzie neutralny</w:t>
      </w:r>
      <w:r w:rsidRPr="00C96268">
        <w:rPr>
          <w:rFonts w:ascii="Times New Roman" w:hAnsi="Times New Roman" w:cs="Times New Roman"/>
        </w:rPr>
        <w:t xml:space="preserve"> i nie będ</w:t>
      </w:r>
      <w:r w:rsidR="00FE147B" w:rsidRPr="00C96268">
        <w:rPr>
          <w:rFonts w:ascii="Times New Roman" w:hAnsi="Times New Roman" w:cs="Times New Roman"/>
        </w:rPr>
        <w:t>zie to</w:t>
      </w:r>
      <w:r w:rsidRPr="00C96268">
        <w:rPr>
          <w:rFonts w:ascii="Times New Roman" w:hAnsi="Times New Roman" w:cs="Times New Roman"/>
        </w:rPr>
        <w:t xml:space="preserve"> miał</w:t>
      </w:r>
      <w:r w:rsidR="00FE147B" w:rsidRPr="00C96268">
        <w:rPr>
          <w:rFonts w:ascii="Times New Roman" w:hAnsi="Times New Roman" w:cs="Times New Roman"/>
        </w:rPr>
        <w:t>o</w:t>
      </w:r>
      <w:r w:rsidRPr="00C96268">
        <w:rPr>
          <w:rFonts w:ascii="Times New Roman" w:hAnsi="Times New Roman" w:cs="Times New Roman"/>
        </w:rPr>
        <w:t xml:space="preserve"> wpływu na efektywn</w:t>
      </w:r>
      <w:r w:rsidR="00A55F8E" w:rsidRPr="00C96268">
        <w:rPr>
          <w:rFonts w:ascii="Times New Roman" w:hAnsi="Times New Roman" w:cs="Times New Roman"/>
        </w:rPr>
        <w:t>ą</w:t>
      </w:r>
      <w:r w:rsidRPr="00C96268">
        <w:rPr>
          <w:rFonts w:ascii="Times New Roman" w:hAnsi="Times New Roman" w:cs="Times New Roman"/>
        </w:rPr>
        <w:t xml:space="preserve"> stawk</w:t>
      </w:r>
      <w:r w:rsidR="00A55F8E" w:rsidRPr="00C96268">
        <w:rPr>
          <w:rFonts w:ascii="Times New Roman" w:hAnsi="Times New Roman" w:cs="Times New Roman"/>
        </w:rPr>
        <w:t>ą</w:t>
      </w:r>
      <w:r w:rsidRPr="00C96268">
        <w:rPr>
          <w:rFonts w:ascii="Times New Roman" w:hAnsi="Times New Roman" w:cs="Times New Roman"/>
        </w:rPr>
        <w:t xml:space="preserve"> podatkow</w:t>
      </w:r>
      <w:r w:rsidR="00A55F8E" w:rsidRPr="00C96268">
        <w:rPr>
          <w:rFonts w:ascii="Times New Roman" w:hAnsi="Times New Roman" w:cs="Times New Roman"/>
        </w:rPr>
        <w:t>ą</w:t>
      </w:r>
      <w:r w:rsidRPr="00C96268">
        <w:rPr>
          <w:rFonts w:ascii="Times New Roman" w:hAnsi="Times New Roman" w:cs="Times New Roman"/>
        </w:rPr>
        <w:t>.</w:t>
      </w:r>
    </w:p>
    <w:p w14:paraId="38A9CE29" w14:textId="4D16E9EA" w:rsidR="000159FC" w:rsidRPr="00C96268" w:rsidRDefault="00FE147B" w:rsidP="000159FC">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Jednakże problematyczne jest, że </w:t>
      </w:r>
      <w:r w:rsidR="00FC4055" w:rsidRPr="00C96268">
        <w:rPr>
          <w:rFonts w:ascii="Times New Roman" w:hAnsi="Times New Roman" w:cs="Times New Roman"/>
        </w:rPr>
        <w:t xml:space="preserve">zgodnie z niektórymi standardami rachunkowości </w:t>
      </w:r>
      <w:r w:rsidRPr="00C96268">
        <w:rPr>
          <w:rFonts w:ascii="Times New Roman" w:hAnsi="Times New Roman" w:cs="Times New Roman"/>
        </w:rPr>
        <w:t>p</w:t>
      </w:r>
      <w:r w:rsidR="000159FC" w:rsidRPr="00C96268">
        <w:rPr>
          <w:rFonts w:ascii="Times New Roman" w:hAnsi="Times New Roman" w:cs="Times New Roman"/>
        </w:rPr>
        <w:t xml:space="preserve">odatek </w:t>
      </w:r>
      <w:r w:rsidR="00FC4055" w:rsidRPr="00C96268">
        <w:rPr>
          <w:rFonts w:ascii="Times New Roman" w:hAnsi="Times New Roman" w:cs="Times New Roman"/>
        </w:rPr>
        <w:t>z tytułu wpływów przekazanych ubezpieczonemu</w:t>
      </w:r>
      <w:r w:rsidR="000159FC" w:rsidRPr="00C96268">
        <w:rPr>
          <w:rFonts w:ascii="Times New Roman" w:hAnsi="Times New Roman" w:cs="Times New Roman"/>
        </w:rPr>
        <w:t xml:space="preserve"> może być traktowany jako podatek dochodowy</w:t>
      </w:r>
      <w:r w:rsidR="00FC4055" w:rsidRPr="00C96268">
        <w:rPr>
          <w:rFonts w:ascii="Times New Roman" w:hAnsi="Times New Roman" w:cs="Times New Roman"/>
        </w:rPr>
        <w:t>, tj. jak obciążenie wyniku finansowego („</w:t>
      </w:r>
      <w:r w:rsidR="00FC4055" w:rsidRPr="00C96268">
        <w:rPr>
          <w:rFonts w:ascii="Times New Roman" w:hAnsi="Times New Roman" w:cs="Times New Roman"/>
          <w:i/>
          <w:iCs/>
        </w:rPr>
        <w:t>below-the-line</w:t>
      </w:r>
      <w:r w:rsidR="00FC4055" w:rsidRPr="00C96268">
        <w:rPr>
          <w:rFonts w:ascii="Times New Roman" w:hAnsi="Times New Roman" w:cs="Times New Roman"/>
        </w:rPr>
        <w:t>”)</w:t>
      </w:r>
      <w:r w:rsidR="000159FC" w:rsidRPr="00C96268">
        <w:rPr>
          <w:rFonts w:ascii="Times New Roman" w:hAnsi="Times New Roman" w:cs="Times New Roman"/>
        </w:rPr>
        <w:t xml:space="preserve">. </w:t>
      </w:r>
      <w:r w:rsidR="00FC4055" w:rsidRPr="00C96268">
        <w:rPr>
          <w:rFonts w:ascii="Times New Roman" w:hAnsi="Times New Roman" w:cs="Times New Roman"/>
        </w:rPr>
        <w:t>Natomiast opisane wcześniej pomniejszenie zobowiązania z tytułu ubezpieczeń stanowi przychód (jedna z pozycji „</w:t>
      </w:r>
      <w:r w:rsidR="00FC4055" w:rsidRPr="00C96268">
        <w:rPr>
          <w:rFonts w:ascii="Times New Roman" w:hAnsi="Times New Roman" w:cs="Times New Roman"/>
          <w:i/>
          <w:iCs/>
        </w:rPr>
        <w:t>above the line”</w:t>
      </w:r>
      <w:r w:rsidR="00FC4055" w:rsidRPr="00C96268">
        <w:rPr>
          <w:rFonts w:ascii="Times New Roman" w:hAnsi="Times New Roman" w:cs="Times New Roman"/>
        </w:rPr>
        <w:t>). Zatem</w:t>
      </w:r>
      <w:r w:rsidR="000159FC" w:rsidRPr="00C96268">
        <w:rPr>
          <w:rFonts w:ascii="Times New Roman" w:hAnsi="Times New Roman" w:cs="Times New Roman"/>
        </w:rPr>
        <w:t xml:space="preserve">, mimo że </w:t>
      </w:r>
      <w:r w:rsidR="00FC4055" w:rsidRPr="00C96268">
        <w:rPr>
          <w:rFonts w:ascii="Times New Roman" w:hAnsi="Times New Roman" w:cs="Times New Roman"/>
        </w:rPr>
        <w:t>kwoty</w:t>
      </w:r>
      <w:r w:rsidR="000159FC" w:rsidRPr="00C96268">
        <w:rPr>
          <w:rFonts w:ascii="Times New Roman" w:hAnsi="Times New Roman" w:cs="Times New Roman"/>
        </w:rPr>
        <w:t xml:space="preserve"> </w:t>
      </w:r>
      <w:r w:rsidR="00FC4055" w:rsidRPr="00C96268">
        <w:rPr>
          <w:rFonts w:ascii="Times New Roman" w:hAnsi="Times New Roman" w:cs="Times New Roman"/>
        </w:rPr>
        <w:t xml:space="preserve">te </w:t>
      </w:r>
      <w:r w:rsidR="000159FC" w:rsidRPr="00C96268">
        <w:rPr>
          <w:rFonts w:ascii="Times New Roman" w:hAnsi="Times New Roman" w:cs="Times New Roman"/>
        </w:rPr>
        <w:t xml:space="preserve">wzajemnie się kompensują, </w:t>
      </w:r>
      <w:r w:rsidR="00FC4055" w:rsidRPr="00C96268">
        <w:rPr>
          <w:rFonts w:ascii="Times New Roman" w:hAnsi="Times New Roman" w:cs="Times New Roman"/>
        </w:rPr>
        <w:t>następuje brak symetrii – mianowicie dla</w:t>
      </w:r>
      <w:r w:rsidR="000159FC" w:rsidRPr="00C96268">
        <w:rPr>
          <w:rFonts w:ascii="Times New Roman" w:hAnsi="Times New Roman" w:cs="Times New Roman"/>
        </w:rPr>
        <w:t xml:space="preserve"> celów stosowania Zasad GloBE kwota podatku jest wliczana do podatków kwalifikowanych, co powoduje zwiększenie licznika we wzorze na efektywną stawkę podatkową, a obciążenie (pomniejszenie zobowiązań z tytułu ubezpieczenia o kwotę zapłaconego podatku) </w:t>
      </w:r>
      <w:r w:rsidR="00FC4055" w:rsidRPr="00C96268">
        <w:rPr>
          <w:rFonts w:ascii="Times New Roman" w:hAnsi="Times New Roman" w:cs="Times New Roman"/>
        </w:rPr>
        <w:t>zwiększa efektywnie</w:t>
      </w:r>
      <w:r w:rsidR="000159FC" w:rsidRPr="00C96268">
        <w:rPr>
          <w:rFonts w:ascii="Times New Roman" w:hAnsi="Times New Roman" w:cs="Times New Roman"/>
        </w:rPr>
        <w:t xml:space="preserve"> kwalifikowan</w:t>
      </w:r>
      <w:r w:rsidR="00FC4055" w:rsidRPr="00C96268">
        <w:rPr>
          <w:rFonts w:ascii="Times New Roman" w:hAnsi="Times New Roman" w:cs="Times New Roman"/>
        </w:rPr>
        <w:t>y</w:t>
      </w:r>
      <w:r w:rsidR="000159FC" w:rsidRPr="00C96268">
        <w:rPr>
          <w:rFonts w:ascii="Times New Roman" w:hAnsi="Times New Roman" w:cs="Times New Roman"/>
        </w:rPr>
        <w:t xml:space="preserve"> doch</w:t>
      </w:r>
      <w:r w:rsidR="00FC4055" w:rsidRPr="00C96268">
        <w:rPr>
          <w:rFonts w:ascii="Times New Roman" w:hAnsi="Times New Roman" w:cs="Times New Roman"/>
        </w:rPr>
        <w:t>ód</w:t>
      </w:r>
      <w:r w:rsidR="000159FC" w:rsidRPr="00C96268">
        <w:rPr>
          <w:rFonts w:ascii="Times New Roman" w:hAnsi="Times New Roman" w:cs="Times New Roman"/>
        </w:rPr>
        <w:t xml:space="preserve">, podwyższający wartość mianownika w ETR. W konsekwencji, </w:t>
      </w:r>
      <w:r w:rsidR="00FC4055" w:rsidRPr="00C96268">
        <w:rPr>
          <w:rFonts w:ascii="Times New Roman" w:hAnsi="Times New Roman" w:cs="Times New Roman"/>
        </w:rPr>
        <w:t>operacje te nie byłyby neutralne</w:t>
      </w:r>
      <w:r w:rsidR="000159FC" w:rsidRPr="00C96268">
        <w:rPr>
          <w:rFonts w:ascii="Times New Roman" w:hAnsi="Times New Roman" w:cs="Times New Roman"/>
        </w:rPr>
        <w:t xml:space="preserve">, </w:t>
      </w:r>
      <w:r w:rsidR="00FC4055" w:rsidRPr="00C96268">
        <w:rPr>
          <w:rFonts w:ascii="Times New Roman" w:hAnsi="Times New Roman" w:cs="Times New Roman"/>
        </w:rPr>
        <w:t>a mogłyby wpłynąć na niższe opodatkowanie na gruncie Zasad GloBE.</w:t>
      </w:r>
    </w:p>
    <w:p w14:paraId="0A41CEE0" w14:textId="4E4FEB1B" w:rsidR="00A83F85" w:rsidRPr="00C96268" w:rsidRDefault="000159FC" w:rsidP="000159FC">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W celu rozwiązania powyższej kwestii, </w:t>
      </w:r>
      <w:r w:rsidR="00A83F85" w:rsidRPr="00C96268">
        <w:rPr>
          <w:rFonts w:ascii="Times New Roman" w:hAnsi="Times New Roman" w:cs="Times New Roman"/>
        </w:rPr>
        <w:t xml:space="preserve">zgodnie z art. 53 ust. 1 na potrzeby obliczenia kwalifikowanego dochodu </w:t>
      </w:r>
      <w:r w:rsidR="00A83F85" w:rsidRPr="00C96268">
        <w:rPr>
          <w:rFonts w:ascii="Times New Roman" w:hAnsi="Times New Roman" w:cs="Times New Roman"/>
          <w:b/>
          <w:bCs/>
        </w:rPr>
        <w:t>nie uwzględnia się ujętych w księgowym dochodzie (stracie) netto pozycji z tytułu przychodów z kwot pobranych od ubezpieczonych, stanowiących równowartość podatków zapłaconych przez zakład ubezpieczeń z tytułu wypłat lub zwrotów na rzecz ubezpieczonych</w:t>
      </w:r>
      <w:r w:rsidR="00A83F85" w:rsidRPr="00C96268">
        <w:rPr>
          <w:rFonts w:ascii="Times New Roman" w:hAnsi="Times New Roman" w:cs="Times New Roman"/>
        </w:rPr>
        <w:t>.</w:t>
      </w:r>
    </w:p>
    <w:p w14:paraId="2D3B05F4" w14:textId="089ECE03" w:rsidR="00F9367E" w:rsidRPr="00C96268" w:rsidRDefault="00A83F85" w:rsidP="000159FC">
      <w:pPr>
        <w:pStyle w:val="Default"/>
        <w:spacing w:after="120" w:line="259" w:lineRule="auto"/>
        <w:jc w:val="both"/>
        <w:rPr>
          <w:rFonts w:ascii="Times New Roman" w:hAnsi="Times New Roman" w:cs="Times New Roman"/>
        </w:rPr>
      </w:pPr>
      <w:r w:rsidRPr="00C96268">
        <w:rPr>
          <w:rFonts w:ascii="Times New Roman" w:hAnsi="Times New Roman" w:cs="Times New Roman"/>
        </w:rPr>
        <w:t>Zgodnie z ust. 2</w:t>
      </w:r>
      <w:r w:rsidR="000159FC" w:rsidRPr="00C96268">
        <w:rPr>
          <w:rFonts w:ascii="Times New Roman" w:hAnsi="Times New Roman" w:cs="Times New Roman"/>
        </w:rPr>
        <w:t xml:space="preserve"> kwoty </w:t>
      </w:r>
      <w:r w:rsidRPr="00C96268">
        <w:rPr>
          <w:rFonts w:ascii="Times New Roman" w:hAnsi="Times New Roman" w:cs="Times New Roman"/>
        </w:rPr>
        <w:t>te powinny podlegać korekcie</w:t>
      </w:r>
      <w:r w:rsidR="000159FC" w:rsidRPr="00C96268">
        <w:rPr>
          <w:rFonts w:ascii="Times New Roman" w:hAnsi="Times New Roman" w:cs="Times New Roman"/>
        </w:rPr>
        <w:t xml:space="preserve"> tylko wtedy, gdy kwoty te </w:t>
      </w:r>
      <w:r w:rsidR="000159FC" w:rsidRPr="00C96268">
        <w:rPr>
          <w:rFonts w:ascii="Times New Roman" w:hAnsi="Times New Roman" w:cs="Times New Roman"/>
          <w:u w:val="single"/>
        </w:rPr>
        <w:t>nie zostały</w:t>
      </w:r>
      <w:r w:rsidR="000159FC" w:rsidRPr="00C96268">
        <w:rPr>
          <w:rFonts w:ascii="Times New Roman" w:hAnsi="Times New Roman" w:cs="Times New Roman"/>
        </w:rPr>
        <w:t xml:space="preserve"> uwzględnione jako koszty lub podobne odliczenia </w:t>
      </w:r>
      <w:r w:rsidRPr="00C96268">
        <w:rPr>
          <w:rFonts w:ascii="Times New Roman" w:hAnsi="Times New Roman" w:cs="Times New Roman"/>
        </w:rPr>
        <w:t xml:space="preserve">na potrzeby ustalenia zysku </w:t>
      </w:r>
      <w:r w:rsidR="000159FC" w:rsidRPr="00C96268">
        <w:rPr>
          <w:rFonts w:ascii="Times New Roman" w:hAnsi="Times New Roman" w:cs="Times New Roman"/>
        </w:rPr>
        <w:t>(stra</w:t>
      </w:r>
      <w:r w:rsidRPr="00C96268">
        <w:rPr>
          <w:rFonts w:ascii="Times New Roman" w:hAnsi="Times New Roman" w:cs="Times New Roman"/>
        </w:rPr>
        <w:t>ty</w:t>
      </w:r>
      <w:r w:rsidR="000159FC" w:rsidRPr="00C96268">
        <w:rPr>
          <w:rFonts w:ascii="Times New Roman" w:hAnsi="Times New Roman" w:cs="Times New Roman"/>
        </w:rPr>
        <w:t xml:space="preserve">) </w:t>
      </w:r>
      <w:r w:rsidRPr="00C96268">
        <w:rPr>
          <w:rFonts w:ascii="Times New Roman" w:hAnsi="Times New Roman" w:cs="Times New Roman"/>
        </w:rPr>
        <w:t xml:space="preserve">netto </w:t>
      </w:r>
      <w:r w:rsidR="000159FC" w:rsidRPr="00C96268">
        <w:rPr>
          <w:rFonts w:ascii="Times New Roman" w:hAnsi="Times New Roman" w:cs="Times New Roman"/>
        </w:rPr>
        <w:t>zakładu ubezpieczeń</w:t>
      </w:r>
      <w:r w:rsidRPr="00C96268">
        <w:rPr>
          <w:rFonts w:ascii="Times New Roman" w:hAnsi="Times New Roman" w:cs="Times New Roman"/>
        </w:rPr>
        <w:t>, lecz jako podatek dochodowy</w:t>
      </w:r>
      <w:r w:rsidR="000159FC" w:rsidRPr="00C96268">
        <w:rPr>
          <w:rFonts w:ascii="Times New Roman" w:hAnsi="Times New Roman" w:cs="Times New Roman"/>
        </w:rPr>
        <w:t>. Je</w:t>
      </w:r>
      <w:r w:rsidRPr="00C96268">
        <w:rPr>
          <w:rFonts w:ascii="Times New Roman" w:hAnsi="Times New Roman" w:cs="Times New Roman"/>
        </w:rPr>
        <w:t>żeli</w:t>
      </w:r>
      <w:r w:rsidR="000159FC" w:rsidRPr="00C96268">
        <w:rPr>
          <w:rFonts w:ascii="Times New Roman" w:hAnsi="Times New Roman" w:cs="Times New Roman"/>
        </w:rPr>
        <w:t xml:space="preserve"> </w:t>
      </w:r>
      <w:r w:rsidRPr="00C96268">
        <w:rPr>
          <w:rFonts w:ascii="Times New Roman" w:hAnsi="Times New Roman" w:cs="Times New Roman"/>
        </w:rPr>
        <w:t>natomiast taki podatek został uwzględniony jako koszt lub wydatek</w:t>
      </w:r>
      <w:r w:rsidR="000159FC" w:rsidRPr="00C96268">
        <w:rPr>
          <w:rFonts w:ascii="Times New Roman" w:hAnsi="Times New Roman" w:cs="Times New Roman"/>
          <w:i/>
          <w:iCs/>
        </w:rPr>
        <w:t>,</w:t>
      </w:r>
      <w:r w:rsidR="000159FC" w:rsidRPr="00C96268">
        <w:rPr>
          <w:rFonts w:ascii="Times New Roman" w:hAnsi="Times New Roman" w:cs="Times New Roman"/>
        </w:rPr>
        <w:t xml:space="preserve"> zgodnie ze standardem rachunkowości stosowanym w skonsolidowanym sprawozdaniu </w:t>
      </w:r>
      <w:r w:rsidRPr="00C96268">
        <w:rPr>
          <w:rFonts w:ascii="Times New Roman" w:hAnsi="Times New Roman" w:cs="Times New Roman"/>
        </w:rPr>
        <w:t>grupy</w:t>
      </w:r>
      <w:r w:rsidR="000159FC" w:rsidRPr="00C96268">
        <w:rPr>
          <w:rFonts w:ascii="Times New Roman" w:hAnsi="Times New Roman" w:cs="Times New Roman"/>
        </w:rPr>
        <w:t xml:space="preserve">, skompensuje on </w:t>
      </w:r>
      <w:r w:rsidRPr="00C96268">
        <w:rPr>
          <w:rFonts w:ascii="Times New Roman" w:hAnsi="Times New Roman" w:cs="Times New Roman"/>
        </w:rPr>
        <w:t>przychód z tytułu</w:t>
      </w:r>
      <w:r w:rsidR="000159FC" w:rsidRPr="00C96268">
        <w:rPr>
          <w:rFonts w:ascii="Times New Roman" w:hAnsi="Times New Roman" w:cs="Times New Roman"/>
        </w:rPr>
        <w:t xml:space="preserve"> zmniejszeni</w:t>
      </w:r>
      <w:r w:rsidRPr="00C96268">
        <w:rPr>
          <w:rFonts w:ascii="Times New Roman" w:hAnsi="Times New Roman" w:cs="Times New Roman"/>
        </w:rPr>
        <w:t>a</w:t>
      </w:r>
      <w:r w:rsidR="000159FC" w:rsidRPr="00C96268">
        <w:rPr>
          <w:rFonts w:ascii="Times New Roman" w:hAnsi="Times New Roman" w:cs="Times New Roman"/>
        </w:rPr>
        <w:t xml:space="preserve"> zobowiązań ubezpieczonego, a zatem nie będzie konieczna żadna korekta.</w:t>
      </w:r>
    </w:p>
    <w:p w14:paraId="0413A9C5" w14:textId="77777777" w:rsidR="00A83F85" w:rsidRPr="00C96268" w:rsidRDefault="00A83F85" w:rsidP="00A83F85">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Ponadto, na podstawie odrębnych przepisów wszelkie podatki wynikające z wypłat lub zwrotów na rzecz ubezpieczonych nie są objęte zakresem definicji podatków kwalifikowanych. </w:t>
      </w:r>
    </w:p>
    <w:p w14:paraId="0F0A3BF2" w14:textId="15B6A714" w:rsidR="007F738B" w:rsidRPr="00C96268" w:rsidRDefault="007F738B" w:rsidP="007F738B">
      <w:pPr>
        <w:jc w:val="both"/>
        <w:rPr>
          <w:rFonts w:ascii="Times New Roman" w:hAnsi="Times New Roman" w:cs="Times New Roman"/>
          <w:iCs/>
          <w:sz w:val="24"/>
          <w:szCs w:val="24"/>
        </w:rPr>
      </w:pPr>
      <w:r w:rsidRPr="00C96268">
        <w:rPr>
          <w:rFonts w:ascii="Times New Roman" w:hAnsi="Times New Roman" w:cs="Times New Roman"/>
          <w:sz w:val="24"/>
          <w:szCs w:val="24"/>
        </w:rPr>
        <w:t xml:space="preserve">Zgodnie z art. 53 ust. 1 pkt 2 </w:t>
      </w:r>
      <w:r w:rsidRPr="00C96268">
        <w:rPr>
          <w:rFonts w:ascii="Times New Roman" w:eastAsiaTheme="majorEastAsia" w:hAnsi="Times New Roman" w:cs="Times New Roman"/>
          <w:iCs/>
          <w:sz w:val="24"/>
          <w:szCs w:val="24"/>
        </w:rPr>
        <w:t>odnotowania wymaga także szczególne rozumienie tego mechanizmu korekty o dywidendy wyłączone w odniesieniu do zakładów ubezpieczeń. Dotyczy to przypadku, gdy zmiana w rezerwach zakładu ubezpieczeń ekonomicznie odpowiada wyłączonej dywidendzie z tytułu udziałów lub akcji posiadanych przez ten zakład ubezpieczeń w imieniu ubezpieczonego (po potrąceniu opłaty zarządczej). Na potrzeby kwalifikowanego dochodu nie uwzględnia się kwot ujętych w księgowych dochodzie (stracie) netto, które wynikają ze zmiany stanu rezerw zakładu ubezpieczeń nie</w:t>
      </w:r>
      <w:r w:rsidRPr="00C96268">
        <w:rPr>
          <w:rFonts w:ascii="Times New Roman" w:eastAsiaTheme="majorEastAsia" w:hAnsi="Times New Roman" w:cs="Times New Roman"/>
          <w:iCs/>
          <w:sz w:val="24"/>
          <w:szCs w:val="24"/>
          <w:vertAlign w:val="superscript"/>
        </w:rPr>
        <w:footnoteReference w:id="124"/>
      </w:r>
      <w:r w:rsidRPr="00C96268">
        <w:rPr>
          <w:rFonts w:ascii="Times New Roman" w:eastAsiaTheme="majorEastAsia" w:hAnsi="Times New Roman" w:cs="Times New Roman"/>
          <w:iCs/>
          <w:sz w:val="24"/>
          <w:szCs w:val="24"/>
        </w:rPr>
        <w:t>, tj. taka zmiana stanu rezerw nie jest dopuszczalna jako pozycja zmniejszająca kwalifikowany dochód.</w:t>
      </w:r>
    </w:p>
    <w:p w14:paraId="4CF83619" w14:textId="77777777" w:rsidR="000626F6" w:rsidRPr="00C96268" w:rsidRDefault="000626F6" w:rsidP="000626F6">
      <w:pPr>
        <w:pStyle w:val="Nagwek5"/>
        <w:rPr>
          <w:rFonts w:ascii="Times New Roman" w:hAnsi="Times New Roman" w:cs="Times New Roman"/>
          <w:sz w:val="24"/>
          <w:szCs w:val="24"/>
        </w:rPr>
      </w:pPr>
      <w:r w:rsidRPr="00C96268">
        <w:rPr>
          <w:rFonts w:ascii="Times New Roman" w:hAnsi="Times New Roman" w:cs="Times New Roman"/>
          <w:sz w:val="24"/>
          <w:szCs w:val="24"/>
        </w:rPr>
        <w:t>Art. 54 [Kapitał Tier I]</w:t>
      </w:r>
    </w:p>
    <w:p w14:paraId="69404B4D" w14:textId="5661884D"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b/>
          <w:bCs/>
          <w:sz w:val="24"/>
          <w:szCs w:val="24"/>
        </w:rPr>
        <w:t>Art. 54</w:t>
      </w:r>
      <w:r w:rsidRPr="00C96268">
        <w:rPr>
          <w:rFonts w:ascii="Times New Roman" w:hAnsi="Times New Roman" w:cs="Times New Roman"/>
          <w:sz w:val="24"/>
          <w:szCs w:val="24"/>
        </w:rPr>
        <w:t xml:space="preserve"> implementuje treść art. 16</w:t>
      </w:r>
      <w:r w:rsidR="00357A10" w:rsidRPr="00C96268">
        <w:rPr>
          <w:rFonts w:ascii="Times New Roman" w:hAnsi="Times New Roman" w:cs="Times New Roman"/>
          <w:sz w:val="24"/>
          <w:szCs w:val="24"/>
        </w:rPr>
        <w:t>.</w:t>
      </w:r>
      <w:r w:rsidRPr="00C96268">
        <w:rPr>
          <w:rFonts w:ascii="Times New Roman" w:hAnsi="Times New Roman" w:cs="Times New Roman"/>
          <w:sz w:val="24"/>
          <w:szCs w:val="24"/>
        </w:rPr>
        <w:t>11 Dyrektywy. Regulacja ta wprowadza zasadę szczególną, dotyczącą traktowania kapitału Tier I.</w:t>
      </w:r>
    </w:p>
    <w:p w14:paraId="6295AA3A" w14:textId="36C3D31C"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Dodatkowy kapitał Tier I jest zasadniczo traktowany jako kapitał własny dla celów rachunkowości finansowej. Jest on jednak traktowany jako dług do celów podatkowych w niektórych </w:t>
      </w:r>
      <w:r w:rsidR="00FD7D2B" w:rsidRPr="00C96268">
        <w:rPr>
          <w:rFonts w:ascii="Times New Roman" w:hAnsi="Times New Roman" w:cs="Times New Roman"/>
          <w:sz w:val="24"/>
          <w:szCs w:val="24"/>
        </w:rPr>
        <w:t>jurysdykcjach</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 xml:space="preserve">objętych </w:t>
      </w:r>
      <w:r w:rsidRPr="00C96268">
        <w:rPr>
          <w:rFonts w:ascii="Times New Roman" w:eastAsia="Times New Roman" w:hAnsi="Times New Roman" w:cs="Times New Roman"/>
          <w:i/>
          <w:sz w:val="24"/>
          <w:szCs w:val="24"/>
          <w:lang w:eastAsia="pl-PL"/>
        </w:rPr>
        <w:t>Inclusive Framework</w:t>
      </w:r>
      <w:r w:rsidRPr="00C96268">
        <w:rPr>
          <w:rFonts w:ascii="Times New Roman" w:hAnsi="Times New Roman" w:cs="Times New Roman"/>
          <w:sz w:val="24"/>
          <w:szCs w:val="24"/>
        </w:rPr>
        <w:t xml:space="preserve">. W związku z tym, w przypadku wielu jednostek składowych danej grupy, płatności z tytułu dodatkowego </w:t>
      </w:r>
      <w:r w:rsidR="007C3C7F" w:rsidRPr="00C96268">
        <w:rPr>
          <w:rFonts w:ascii="Times New Roman" w:hAnsi="Times New Roman" w:cs="Times New Roman"/>
          <w:sz w:val="24"/>
          <w:szCs w:val="24"/>
        </w:rPr>
        <w:t xml:space="preserve">kapitału </w:t>
      </w:r>
      <w:r w:rsidRPr="00C96268">
        <w:rPr>
          <w:rFonts w:ascii="Times New Roman" w:hAnsi="Times New Roman" w:cs="Times New Roman"/>
          <w:sz w:val="24"/>
          <w:szCs w:val="24"/>
        </w:rPr>
        <w:t>Tier I podlegają odliczeniu przez emitenta jako koszty z tytułu odsetek i mogą zostać włączone do przychodów z odsetek posiadacza dla celów podatkowych. W takich przypadkach (które według Komentarza są powszechne) stanowi to trwałą różnicę między rachunkowością finansową a dochodem podlegającym opodatkowaniu. Stąd, na gruncie Zasad Globe założeniem jest, żeby odpowiednie zmiany kapitału własnego były traktowane jako przychód albo koszt w ramach obliczenia kwalifikowanego dochodu (straty).</w:t>
      </w:r>
    </w:p>
    <w:p w14:paraId="22B06A6F"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Wobec powyższego, </w:t>
      </w:r>
      <w:r w:rsidRPr="00C96268">
        <w:rPr>
          <w:rFonts w:ascii="Times New Roman" w:hAnsi="Times New Roman" w:cs="Times New Roman"/>
          <w:b/>
          <w:bCs/>
          <w:sz w:val="24"/>
          <w:szCs w:val="24"/>
        </w:rPr>
        <w:t>art. 54 ust. 1</w:t>
      </w:r>
      <w:r w:rsidRPr="00C96268">
        <w:rPr>
          <w:rFonts w:ascii="Times New Roman" w:hAnsi="Times New Roman" w:cs="Times New Roman"/>
          <w:sz w:val="24"/>
          <w:szCs w:val="24"/>
        </w:rPr>
        <w:t xml:space="preserve"> stanowi, że korekta polega na:</w:t>
      </w:r>
    </w:p>
    <w:p w14:paraId="64EFE55C" w14:textId="77777777" w:rsidR="000626F6" w:rsidRPr="00C96268" w:rsidRDefault="000626F6" w:rsidP="002C7467">
      <w:pPr>
        <w:pStyle w:val="Akapitzlist"/>
        <w:numPr>
          <w:ilvl w:val="0"/>
          <w:numId w:val="93"/>
        </w:numPr>
        <w:spacing w:after="120"/>
        <w:jc w:val="both"/>
        <w:rPr>
          <w:rFonts w:ascii="Times New Roman" w:hAnsi="Times New Roman" w:cs="Times New Roman"/>
          <w:sz w:val="24"/>
          <w:szCs w:val="24"/>
        </w:rPr>
      </w:pPr>
      <w:r w:rsidRPr="00C96268">
        <w:rPr>
          <w:rFonts w:ascii="Times New Roman" w:hAnsi="Times New Roman" w:cs="Times New Roman"/>
          <w:b/>
          <w:bCs/>
          <w:sz w:val="24"/>
          <w:szCs w:val="24"/>
        </w:rPr>
        <w:t>pomniejszeniu</w:t>
      </w:r>
      <w:r w:rsidRPr="00C96268">
        <w:rPr>
          <w:rFonts w:ascii="Times New Roman" w:hAnsi="Times New Roman" w:cs="Times New Roman"/>
          <w:sz w:val="24"/>
          <w:szCs w:val="24"/>
        </w:rPr>
        <w:t xml:space="preserve"> księgowego dochodu (straty) netto </w:t>
      </w:r>
      <w:r w:rsidRPr="00C96268">
        <w:rPr>
          <w:rFonts w:ascii="Times New Roman" w:hAnsi="Times New Roman" w:cs="Times New Roman"/>
          <w:b/>
          <w:bCs/>
          <w:sz w:val="24"/>
          <w:szCs w:val="24"/>
        </w:rPr>
        <w:t>o wartość zmniejszenia kapitału własnego</w:t>
      </w:r>
      <w:r w:rsidRPr="00C96268">
        <w:rPr>
          <w:rFonts w:ascii="Times New Roman" w:hAnsi="Times New Roman" w:cs="Times New Roman"/>
          <w:sz w:val="24"/>
          <w:szCs w:val="24"/>
        </w:rPr>
        <w:t xml:space="preserve"> w wyniku dokonanych lub należnych wypłat w odniesieniu do instrumentu wyemitowanego przez tę jednostkę z tytułu dodatkowego kapitału Tier I i zastrzeżonego kapitału Tier I;</w:t>
      </w:r>
    </w:p>
    <w:p w14:paraId="623EEDBC" w14:textId="77777777" w:rsidR="000626F6" w:rsidRPr="00C96268" w:rsidRDefault="000626F6" w:rsidP="002C7467">
      <w:pPr>
        <w:pStyle w:val="Akapitzlist"/>
        <w:numPr>
          <w:ilvl w:val="0"/>
          <w:numId w:val="93"/>
        </w:numPr>
        <w:spacing w:after="120"/>
        <w:jc w:val="both"/>
        <w:rPr>
          <w:rFonts w:ascii="Times New Roman" w:hAnsi="Times New Roman" w:cs="Times New Roman"/>
          <w:sz w:val="24"/>
          <w:szCs w:val="24"/>
        </w:rPr>
      </w:pPr>
      <w:r w:rsidRPr="00C96268">
        <w:rPr>
          <w:rFonts w:ascii="Times New Roman" w:hAnsi="Times New Roman" w:cs="Times New Roman"/>
          <w:b/>
          <w:bCs/>
          <w:sz w:val="24"/>
          <w:szCs w:val="24"/>
        </w:rPr>
        <w:t>zwiększeniu</w:t>
      </w:r>
      <w:r w:rsidRPr="00C96268">
        <w:rPr>
          <w:rFonts w:ascii="Times New Roman" w:hAnsi="Times New Roman" w:cs="Times New Roman"/>
          <w:sz w:val="24"/>
          <w:szCs w:val="24"/>
        </w:rPr>
        <w:t xml:space="preserve"> księgowego dochodu (straty) netto </w:t>
      </w:r>
      <w:r w:rsidRPr="00C96268">
        <w:rPr>
          <w:rFonts w:ascii="Times New Roman" w:hAnsi="Times New Roman" w:cs="Times New Roman"/>
          <w:b/>
          <w:bCs/>
          <w:sz w:val="24"/>
          <w:szCs w:val="24"/>
        </w:rPr>
        <w:t>o wartość zwiększenia kapitału własnego</w:t>
      </w:r>
      <w:r w:rsidRPr="00C96268">
        <w:rPr>
          <w:rFonts w:ascii="Times New Roman" w:hAnsi="Times New Roman" w:cs="Times New Roman"/>
          <w:sz w:val="24"/>
          <w:szCs w:val="24"/>
        </w:rPr>
        <w:t xml:space="preserve"> w wyniku wpłat otrzymanych lub należnych z tytułu dodatkowego kapitału Tier I i zastrzeżonego kapitału Tier I.</w:t>
      </w:r>
    </w:p>
    <w:p w14:paraId="2333340B"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Kapitał dodatkowy Tier I, zdefiniowany jest w </w:t>
      </w:r>
      <w:r w:rsidRPr="00C96268">
        <w:rPr>
          <w:rFonts w:ascii="Times New Roman" w:hAnsi="Times New Roman" w:cs="Times New Roman"/>
          <w:b/>
          <w:sz w:val="24"/>
          <w:szCs w:val="24"/>
        </w:rPr>
        <w:t>ust. 2</w:t>
      </w:r>
      <w:r w:rsidRPr="00C96268">
        <w:rPr>
          <w:rFonts w:ascii="Times New Roman" w:hAnsi="Times New Roman" w:cs="Times New Roman"/>
          <w:sz w:val="24"/>
          <w:szCs w:val="24"/>
        </w:rPr>
        <w:t xml:space="preserve"> jako instrument wyemitowany przez jednostkę składową, zgodnie z ostrożnościowymi wymogami regulacyjnymi mającymi zastosowanie do sektora bankowego, który jest zamienny na kapitał własny lub odpisany w przypadku wystąpienia wcześniej określonego zdarzenia i który ma inne cechy mające na celu łatwiejsze pokrycie strat w przypadku kryzysu finansowego. Ten rodzaj kapitału jest powszechnie określany na rynkach finansowych jako </w:t>
      </w:r>
      <w:r w:rsidRPr="00C96268">
        <w:rPr>
          <w:rFonts w:ascii="Times New Roman" w:hAnsi="Times New Roman" w:cs="Times New Roman"/>
          <w:i/>
          <w:iCs/>
          <w:sz w:val="24"/>
          <w:szCs w:val="24"/>
        </w:rPr>
        <w:t>Additional Tier One Capital</w:t>
      </w:r>
      <w:r w:rsidRPr="00C96268">
        <w:rPr>
          <w:rFonts w:ascii="Times New Roman" w:hAnsi="Times New Roman" w:cs="Times New Roman"/>
          <w:sz w:val="24"/>
          <w:szCs w:val="24"/>
        </w:rPr>
        <w:t xml:space="preserve">. </w:t>
      </w:r>
    </w:p>
    <w:p w14:paraId="7E604F4D"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Ponadto, ostrożnościowe wymogi regulacyjne w sektorze ubezpieczeń wymagają często, aby jednostki składowe emitowały instrumenty o tych samych cechach. W sektorze ubezpieczeniowym ten rodzaj kapitału jest powszechnie określany jako </w:t>
      </w:r>
      <w:r w:rsidRPr="00C96268">
        <w:rPr>
          <w:rFonts w:ascii="Times New Roman" w:hAnsi="Times New Roman" w:cs="Times New Roman"/>
          <w:i/>
          <w:iCs/>
          <w:sz w:val="24"/>
          <w:szCs w:val="24"/>
        </w:rPr>
        <w:t>Restricted Tier One Capital</w:t>
      </w:r>
      <w:r w:rsidRPr="00C96268">
        <w:rPr>
          <w:rFonts w:ascii="Times New Roman" w:hAnsi="Times New Roman" w:cs="Times New Roman"/>
          <w:sz w:val="24"/>
          <w:szCs w:val="24"/>
        </w:rPr>
        <w:t>. A</w:t>
      </w:r>
      <w:r w:rsidRPr="00C96268">
        <w:rPr>
          <w:rFonts w:ascii="Times New Roman" w:hAnsi="Times New Roman" w:cs="Times New Roman"/>
          <w:bCs/>
          <w:sz w:val="24"/>
          <w:szCs w:val="24"/>
        </w:rPr>
        <w:t>rt. 54</w:t>
      </w:r>
      <w:r w:rsidRPr="00C96268">
        <w:rPr>
          <w:rFonts w:ascii="Times New Roman" w:hAnsi="Times New Roman" w:cs="Times New Roman"/>
          <w:sz w:val="24"/>
          <w:szCs w:val="24"/>
        </w:rPr>
        <w:t xml:space="preserve"> znajdzie również zastosowanie do zastrzeżonego kapitału Tier I. </w:t>
      </w:r>
      <w:r w:rsidRPr="00C96268">
        <w:rPr>
          <w:rFonts w:ascii="Times New Roman" w:hAnsi="Times New Roman" w:cs="Times New Roman"/>
          <w:b/>
          <w:sz w:val="24"/>
          <w:szCs w:val="24"/>
        </w:rPr>
        <w:t>Ust. 3</w:t>
      </w:r>
      <w:r w:rsidRPr="00C96268">
        <w:rPr>
          <w:rFonts w:ascii="Times New Roman" w:hAnsi="Times New Roman" w:cs="Times New Roman"/>
          <w:sz w:val="24"/>
          <w:szCs w:val="24"/>
        </w:rPr>
        <w:t xml:space="preserve"> definiuje zastrzeżony kapitał Tier I jako instrument wyemitowany przez jednostkę składową, zgodnie z ostrożnościowymi wymogami regulacyjnymi mającymi zastosowanie do sektora ubezpieczeń, który spełnia warunki określone w ust. 2 pkt 1 i 2.</w:t>
      </w:r>
    </w:p>
    <w:p w14:paraId="4FCF3DD9" w14:textId="77777777" w:rsidR="000626F6" w:rsidRPr="00C96268" w:rsidRDefault="000626F6" w:rsidP="000626F6">
      <w:pPr>
        <w:pStyle w:val="Nagwek5"/>
        <w:rPr>
          <w:rFonts w:ascii="Times New Roman" w:hAnsi="Times New Roman" w:cs="Times New Roman"/>
          <w:sz w:val="24"/>
          <w:szCs w:val="24"/>
        </w:rPr>
      </w:pPr>
      <w:r w:rsidRPr="00C96268">
        <w:rPr>
          <w:rFonts w:ascii="Times New Roman" w:hAnsi="Times New Roman" w:cs="Times New Roman"/>
          <w:sz w:val="24"/>
          <w:szCs w:val="24"/>
        </w:rPr>
        <w:t>Art. 55 [Zasada ceny rynkowej]</w:t>
      </w:r>
    </w:p>
    <w:p w14:paraId="5C8497DB" w14:textId="1186AF58" w:rsidR="000626F6" w:rsidRPr="00C96268" w:rsidRDefault="000626F6" w:rsidP="000626F6">
      <w:pPr>
        <w:spacing w:after="120"/>
        <w:jc w:val="both"/>
        <w:rPr>
          <w:rFonts w:ascii="Times New Roman" w:eastAsia="Calibri" w:hAnsi="Times New Roman" w:cs="Times New Roman"/>
          <w:bCs/>
          <w:iCs/>
          <w:sz w:val="24"/>
          <w:szCs w:val="24"/>
        </w:rPr>
      </w:pPr>
      <w:r w:rsidRPr="00C96268">
        <w:rPr>
          <w:rFonts w:ascii="Times New Roman" w:eastAsia="Calibri" w:hAnsi="Times New Roman" w:cs="Times New Roman"/>
          <w:b/>
          <w:bCs/>
          <w:iCs/>
          <w:sz w:val="24"/>
          <w:szCs w:val="24"/>
        </w:rPr>
        <w:t>Art. 55</w:t>
      </w:r>
      <w:r w:rsidRPr="00C96268">
        <w:rPr>
          <w:rFonts w:ascii="Times New Roman" w:eastAsia="Calibri" w:hAnsi="Times New Roman" w:cs="Times New Roman"/>
          <w:bCs/>
          <w:iCs/>
          <w:sz w:val="24"/>
          <w:szCs w:val="24"/>
        </w:rPr>
        <w:t xml:space="preserve"> stanowi implementację art. 16</w:t>
      </w:r>
      <w:r w:rsidR="00357A10" w:rsidRPr="00C96268">
        <w:rPr>
          <w:rFonts w:ascii="Times New Roman" w:eastAsia="Calibri" w:hAnsi="Times New Roman" w:cs="Times New Roman"/>
          <w:bCs/>
          <w:iCs/>
          <w:sz w:val="24"/>
          <w:szCs w:val="24"/>
        </w:rPr>
        <w:t>.</w:t>
      </w:r>
      <w:r w:rsidRPr="00C96268">
        <w:rPr>
          <w:rFonts w:ascii="Times New Roman" w:eastAsia="Calibri" w:hAnsi="Times New Roman" w:cs="Times New Roman"/>
          <w:bCs/>
          <w:iCs/>
          <w:sz w:val="24"/>
          <w:szCs w:val="24"/>
        </w:rPr>
        <w:t xml:space="preserve">4 Dyrektywy </w:t>
      </w:r>
      <w:r w:rsidRPr="00C96268">
        <w:rPr>
          <w:rFonts w:ascii="Times New Roman" w:eastAsia="Calibri" w:hAnsi="Times New Roman" w:cs="Times New Roman"/>
          <w:iCs/>
          <w:sz w:val="24"/>
          <w:szCs w:val="24"/>
        </w:rPr>
        <w:t xml:space="preserve">dotyczącego </w:t>
      </w:r>
      <w:r w:rsidRPr="00C96268">
        <w:rPr>
          <w:rFonts w:ascii="Times New Roman" w:eastAsia="Calibri" w:hAnsi="Times New Roman" w:cs="Times New Roman"/>
          <w:bCs/>
          <w:iCs/>
          <w:sz w:val="24"/>
          <w:szCs w:val="24"/>
        </w:rPr>
        <w:t>zasady ceny rynkowej.</w:t>
      </w:r>
    </w:p>
    <w:p w14:paraId="65C28738" w14:textId="77777777" w:rsidR="000626F6" w:rsidRPr="00C96268" w:rsidRDefault="000626F6" w:rsidP="000626F6">
      <w:pPr>
        <w:spacing w:after="120"/>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Zgodnie z </w:t>
      </w:r>
      <w:r w:rsidRPr="00C96268">
        <w:rPr>
          <w:rFonts w:ascii="Times New Roman" w:eastAsia="Calibri" w:hAnsi="Times New Roman" w:cs="Times New Roman"/>
          <w:b/>
          <w:bCs/>
          <w:sz w:val="24"/>
          <w:szCs w:val="24"/>
        </w:rPr>
        <w:t>ust. 1</w:t>
      </w:r>
      <w:r w:rsidRPr="00C96268">
        <w:rPr>
          <w:rFonts w:ascii="Times New Roman" w:eastAsia="Calibri" w:hAnsi="Times New Roman" w:cs="Times New Roman"/>
          <w:sz w:val="24"/>
          <w:szCs w:val="24"/>
        </w:rPr>
        <w:t xml:space="preserve">, określenie wartości transakcji między jednostkami składowymi grupy powinno być dokonane w tej samej wysokości oraz zgodnie z zasadą ceny rynkowej. W </w:t>
      </w:r>
      <w:r w:rsidRPr="00C96268">
        <w:rPr>
          <w:rFonts w:ascii="Times New Roman" w:hAnsi="Times New Roman" w:cs="Times New Roman"/>
          <w:sz w:val="24"/>
          <w:szCs w:val="24"/>
        </w:rPr>
        <w:t>przypadku transakcji, które nie zostały ujęte w księgowym dochodzie (stracie) netto w tej samej wysokości oraz w wartości zgodnej z zasadą ceny rynkowej, na potrzeby obliczenia kwalifikowanego dochodu należy skorygować wartość transakcji do kwoty zgodnej z zasadą ceny rynkowej.</w:t>
      </w:r>
    </w:p>
    <w:p w14:paraId="40CD4A27" w14:textId="77777777" w:rsidR="00F32517" w:rsidRPr="00C96268" w:rsidRDefault="00F32517" w:rsidP="00F32517">
      <w:pPr>
        <w:spacing w:after="120"/>
        <w:jc w:val="both"/>
        <w:rPr>
          <w:rFonts w:ascii="Times New Roman" w:eastAsia="Calibri" w:hAnsi="Times New Roman" w:cs="Times New Roman"/>
          <w:sz w:val="24"/>
          <w:szCs w:val="24"/>
        </w:rPr>
      </w:pPr>
      <w:bookmarkStart w:id="20" w:name="_Hlk172282000"/>
      <w:r w:rsidRPr="00C96268">
        <w:rPr>
          <w:rFonts w:ascii="Times New Roman" w:eastAsia="Calibri" w:hAnsi="Times New Roman" w:cs="Times New Roman"/>
          <w:sz w:val="24"/>
          <w:szCs w:val="24"/>
        </w:rPr>
        <w:t xml:space="preserve">Przepis </w:t>
      </w:r>
      <w:r w:rsidRPr="00C96268">
        <w:rPr>
          <w:rFonts w:ascii="Times New Roman" w:eastAsia="Calibri" w:hAnsi="Times New Roman" w:cs="Times New Roman"/>
          <w:b/>
          <w:bCs/>
          <w:sz w:val="24"/>
          <w:szCs w:val="24"/>
        </w:rPr>
        <w:t>ust. 2</w:t>
      </w:r>
      <w:r w:rsidRPr="00C96268">
        <w:rPr>
          <w:rFonts w:ascii="Times New Roman" w:eastAsia="Calibri" w:hAnsi="Times New Roman" w:cs="Times New Roman"/>
          <w:sz w:val="24"/>
          <w:szCs w:val="24"/>
        </w:rPr>
        <w:t xml:space="preserve"> definiuje zasadę ceny rynkowej jako zasadę ceny polegającą na ujmowaniu transakcji między jednostkami składowymi grupy zgodnie warunkami, jakie byłyby ustalone między niezależnymi jednostkami w porównywalnych transakcjach i w porównywalnych okolicznościach.</w:t>
      </w:r>
    </w:p>
    <w:p w14:paraId="594D1141" w14:textId="54105FFF" w:rsidR="00F237AD" w:rsidRPr="00C96268" w:rsidRDefault="00F237AD" w:rsidP="00F237AD">
      <w:pPr>
        <w:tabs>
          <w:tab w:val="left" w:pos="1274"/>
        </w:tabs>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W świetle</w:t>
      </w:r>
      <w:r w:rsidR="000626F6" w:rsidRPr="00C96268">
        <w:rPr>
          <w:rFonts w:ascii="Times New Roman" w:eastAsia="Calibri" w:hAnsi="Times New Roman" w:cs="Times New Roman"/>
          <w:sz w:val="24"/>
          <w:szCs w:val="24"/>
        </w:rPr>
        <w:t xml:space="preserve"> </w:t>
      </w:r>
      <w:r w:rsidR="000626F6" w:rsidRPr="00C96268">
        <w:rPr>
          <w:rFonts w:ascii="Times New Roman" w:eastAsia="Calibri" w:hAnsi="Times New Roman" w:cs="Times New Roman"/>
          <w:b/>
          <w:bCs/>
          <w:sz w:val="24"/>
          <w:szCs w:val="24"/>
        </w:rPr>
        <w:t>ust. 3</w:t>
      </w:r>
      <w:r w:rsidR="000626F6" w:rsidRPr="00C96268">
        <w:rPr>
          <w:rFonts w:ascii="Times New Roman" w:eastAsia="Calibri" w:hAnsi="Times New Roman" w:cs="Times New Roman"/>
          <w:sz w:val="24"/>
          <w:szCs w:val="24"/>
        </w:rPr>
        <w:t>, transakcj</w:t>
      </w:r>
      <w:r w:rsidRPr="00C96268">
        <w:rPr>
          <w:rFonts w:ascii="Times New Roman" w:eastAsia="Calibri" w:hAnsi="Times New Roman" w:cs="Times New Roman"/>
          <w:sz w:val="24"/>
          <w:szCs w:val="24"/>
        </w:rPr>
        <w:t>i</w:t>
      </w:r>
      <w:r w:rsidR="000626F6" w:rsidRPr="00C96268">
        <w:rPr>
          <w:rFonts w:ascii="Times New Roman" w:eastAsia="Calibri" w:hAnsi="Times New Roman" w:cs="Times New Roman"/>
          <w:sz w:val="24"/>
          <w:szCs w:val="24"/>
        </w:rPr>
        <w:t xml:space="preserve"> między jednostkami składowymi zlokalizowanymi w </w:t>
      </w:r>
      <w:r w:rsidR="00FD7D2B" w:rsidRPr="00C96268">
        <w:rPr>
          <w:rFonts w:ascii="Times New Roman" w:eastAsia="Calibri" w:hAnsi="Times New Roman" w:cs="Times New Roman"/>
          <w:sz w:val="24"/>
          <w:szCs w:val="24"/>
        </w:rPr>
        <w:t xml:space="preserve">tej samej </w:t>
      </w:r>
      <w:r w:rsidR="00FD7D2B" w:rsidRPr="00C96268">
        <w:rPr>
          <w:rFonts w:ascii="Times New Roman" w:hAnsi="Times New Roman" w:cs="Times New Roman"/>
          <w:sz w:val="24"/>
          <w:szCs w:val="24"/>
        </w:rPr>
        <w:t>jurysdykcji</w:t>
      </w:r>
      <w:r w:rsidR="00FD7D2B" w:rsidRPr="00C96268" w:rsidDel="00FD7D2B">
        <w:rPr>
          <w:rFonts w:ascii="Times New Roman" w:eastAsia="Calibri" w:hAnsi="Times New Roman" w:cs="Times New Roman"/>
          <w:sz w:val="24"/>
          <w:szCs w:val="24"/>
        </w:rPr>
        <w:t xml:space="preserve"> </w:t>
      </w:r>
      <w:r w:rsidRPr="00C96268">
        <w:rPr>
          <w:rFonts w:ascii="Times New Roman" w:eastAsia="Calibri" w:hAnsi="Times New Roman" w:cs="Times New Roman"/>
          <w:sz w:val="24"/>
          <w:szCs w:val="24"/>
        </w:rPr>
        <w:t>nie koryguje się</w:t>
      </w:r>
      <w:r w:rsidR="000626F6" w:rsidRPr="00C96268">
        <w:rPr>
          <w:rFonts w:ascii="Times New Roman" w:eastAsia="Calibri" w:hAnsi="Times New Roman" w:cs="Times New Roman"/>
          <w:sz w:val="24"/>
          <w:szCs w:val="24"/>
        </w:rPr>
        <w:t xml:space="preserve"> zgodnie z zasadą ceny rynkowej, jeżeli zostały wycenione w tej samej kwocie</w:t>
      </w:r>
      <w:r w:rsidR="007012AD" w:rsidRPr="00C96268">
        <w:rPr>
          <w:rFonts w:ascii="Times New Roman" w:eastAsia="Calibri" w:hAnsi="Times New Roman" w:cs="Times New Roman"/>
          <w:sz w:val="24"/>
          <w:szCs w:val="24"/>
        </w:rPr>
        <w:t>.</w:t>
      </w:r>
      <w:r w:rsidR="000626F6" w:rsidRPr="00C96268">
        <w:rPr>
          <w:rFonts w:ascii="Times New Roman" w:eastAsia="Calibri" w:hAnsi="Times New Roman" w:cs="Times New Roman"/>
          <w:sz w:val="24"/>
          <w:szCs w:val="24"/>
        </w:rPr>
        <w:t xml:space="preserve"> </w:t>
      </w:r>
      <w:r w:rsidRPr="00C96268">
        <w:rPr>
          <w:rFonts w:ascii="Times New Roman" w:eastAsia="Calibri" w:hAnsi="Times New Roman" w:cs="Times New Roman"/>
          <w:sz w:val="24"/>
          <w:szCs w:val="24"/>
        </w:rPr>
        <w:t xml:space="preserve">Opisana zasada wynika z Komentarza do </w:t>
      </w:r>
      <w:r w:rsidR="00595132" w:rsidRPr="00C96268">
        <w:rPr>
          <w:rFonts w:ascii="Times New Roman" w:eastAsia="Calibri" w:hAnsi="Times New Roman" w:cs="Times New Roman"/>
          <w:sz w:val="24"/>
          <w:szCs w:val="24"/>
        </w:rPr>
        <w:t>Modelowych zasad</w:t>
      </w:r>
      <w:r w:rsidRPr="00C96268">
        <w:rPr>
          <w:rFonts w:ascii="Times New Roman" w:eastAsia="Calibri" w:hAnsi="Times New Roman" w:cs="Times New Roman"/>
          <w:sz w:val="24"/>
          <w:szCs w:val="24"/>
        </w:rPr>
        <w:t xml:space="preserve"> [3.2.3; 106]:</w:t>
      </w:r>
    </w:p>
    <w:p w14:paraId="69BD4D3F" w14:textId="2948D74B" w:rsidR="00F237AD" w:rsidRPr="00C96268" w:rsidRDefault="00F237AD" w:rsidP="00F237AD">
      <w:pPr>
        <w:tabs>
          <w:tab w:val="left" w:pos="1274"/>
        </w:tabs>
        <w:jc w:val="both"/>
        <w:rPr>
          <w:rFonts w:ascii="Times New Roman" w:hAnsi="Times New Roman" w:cs="Times New Roman"/>
          <w:sz w:val="24"/>
          <w:szCs w:val="24"/>
        </w:rPr>
      </w:pPr>
      <w:r w:rsidRPr="00C96268">
        <w:rPr>
          <w:rFonts w:ascii="Times New Roman" w:hAnsi="Times New Roman" w:cs="Times New Roman"/>
          <w:sz w:val="24"/>
          <w:szCs w:val="24"/>
        </w:rPr>
        <w:t xml:space="preserve">Z drugiej strony, transakcje pomiędzy jednostkami składowymi zlokalizowanymi w tej samej jurysdykcji zasadniczo nie muszą być korygowane, dla celów podatkowych, z kwot wykorzystanych przy sporządzaniu skonsolidowanych sprawozdań finansowych. Dzieje się tak dlatego, że przesunięcie dochodu od jednego podatnika do drugiego w ramach tej samej jurysdykcji zasadniczo nie będzie miało wpływu na ogólną kwotę dochodu podlegającego opodatkowaniu w tej jurysdykcji. Takie transakcje w tej samej jurysdykcji mogą być już wyeliminowane lub w inny sposób skorygowane dla celów podatków lokalnych zgodnie z systemem konsolidacji lub ulg podatkowych dla grup. </w:t>
      </w:r>
      <w:r w:rsidRPr="00C96268">
        <w:rPr>
          <w:rFonts w:ascii="Times New Roman" w:hAnsi="Times New Roman" w:cs="Times New Roman"/>
          <w:sz w:val="24"/>
          <w:szCs w:val="24"/>
          <w:u w:val="single"/>
        </w:rPr>
        <w:t>Dla celów GloBE dodatkowe korekty w celu zachowania zgodności z zasadą ceny rynkowej w odniesieniu do transakcji całkowicie krajowych nie powinny być generalnie wymagane, ponieważ wpływ tych transakcji będzie zasadniczo wyeliminowany zgodnie z zasadą scalenia jurysdykcyjnego [jurisdictional blending]</w:t>
      </w:r>
      <w:r w:rsidRPr="00C96268">
        <w:rPr>
          <w:rFonts w:ascii="Times New Roman" w:hAnsi="Times New Roman" w:cs="Times New Roman"/>
          <w:sz w:val="24"/>
          <w:szCs w:val="24"/>
        </w:rPr>
        <w:t xml:space="preserve"> (…). Ponadto jednostki składowe mogą potencjalnie nie stosować zasady ceny rynkowej do transakcji w tej samej jurysdykcji, jeżeli dana jury</w:t>
      </w:r>
      <w:r w:rsidR="00453064" w:rsidRPr="00C96268">
        <w:rPr>
          <w:rFonts w:ascii="Times New Roman" w:hAnsi="Times New Roman" w:cs="Times New Roman"/>
          <w:sz w:val="24"/>
          <w:szCs w:val="24"/>
        </w:rPr>
        <w:t>s</w:t>
      </w:r>
      <w:r w:rsidRPr="00C96268">
        <w:rPr>
          <w:rFonts w:ascii="Times New Roman" w:hAnsi="Times New Roman" w:cs="Times New Roman"/>
          <w:sz w:val="24"/>
          <w:szCs w:val="24"/>
        </w:rPr>
        <w:t>dykcja w ogóle nie nakłada podatku kwalifikowanego.</w:t>
      </w:r>
    </w:p>
    <w:p w14:paraId="59E9EDC1" w14:textId="7016CF9B" w:rsidR="000626F6" w:rsidRPr="00C96268" w:rsidRDefault="00F237AD" w:rsidP="000626F6">
      <w:pPr>
        <w:spacing w:after="120"/>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Wyjątkiem są transakcje między jednostkami składowymi a zlokalizowanymi w tej samej </w:t>
      </w:r>
      <w:r w:rsidRPr="00C96268">
        <w:rPr>
          <w:rFonts w:ascii="Times New Roman" w:hAnsi="Times New Roman" w:cs="Times New Roman"/>
          <w:sz w:val="24"/>
          <w:szCs w:val="24"/>
        </w:rPr>
        <w:t>jurysdykcji</w:t>
      </w:r>
      <w:r w:rsidRPr="00C96268" w:rsidDel="00FD7D2B">
        <w:rPr>
          <w:rFonts w:ascii="Times New Roman" w:eastAsia="Calibri" w:hAnsi="Times New Roman" w:cs="Times New Roman"/>
          <w:sz w:val="24"/>
          <w:szCs w:val="24"/>
        </w:rPr>
        <w:t xml:space="preserve"> </w:t>
      </w:r>
      <w:r w:rsidRPr="00C96268">
        <w:rPr>
          <w:rFonts w:ascii="Times New Roman" w:eastAsia="Calibri" w:hAnsi="Times New Roman" w:cs="Times New Roman"/>
          <w:sz w:val="24"/>
          <w:szCs w:val="24"/>
        </w:rPr>
        <w:t xml:space="preserve">mniejszościowymi jednostkami składowymi, jednostkami inwestycyjnymi lub ubezpieczeniowymi jednostkami inwestycyjnymi. Te specyficzne jednostki są bowiem uwzględniane odrębnie przy obliczaniu ETR. Wyjątkiem jest również strata ze sprzedaży składnika aktywów lub innego jego przeniesienia między jednostkami składowymi grupy zlokalizowanymi w tej samej </w:t>
      </w:r>
      <w:r w:rsidRPr="00C96268">
        <w:rPr>
          <w:rFonts w:ascii="Times New Roman" w:hAnsi="Times New Roman" w:cs="Times New Roman"/>
          <w:sz w:val="24"/>
          <w:szCs w:val="24"/>
        </w:rPr>
        <w:t>jurysdykcji, o której mowa w ust. 6.</w:t>
      </w:r>
    </w:p>
    <w:bookmarkEnd w:id="20"/>
    <w:p w14:paraId="7E52FDD2" w14:textId="77777777" w:rsidR="000626F6" w:rsidRPr="00C96268" w:rsidRDefault="000626F6" w:rsidP="000626F6">
      <w:pPr>
        <w:spacing w:after="120"/>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Jak wynika z </w:t>
      </w:r>
      <w:r w:rsidRPr="00C96268">
        <w:rPr>
          <w:rFonts w:ascii="Times New Roman" w:eastAsia="Calibri" w:hAnsi="Times New Roman" w:cs="Times New Roman"/>
          <w:b/>
          <w:bCs/>
          <w:sz w:val="24"/>
          <w:szCs w:val="24"/>
        </w:rPr>
        <w:t>ust. 4</w:t>
      </w:r>
      <w:r w:rsidRPr="00C96268">
        <w:rPr>
          <w:rFonts w:ascii="Times New Roman" w:eastAsia="Calibri" w:hAnsi="Times New Roman" w:cs="Times New Roman"/>
          <w:sz w:val="24"/>
          <w:szCs w:val="24"/>
        </w:rPr>
        <w:t>, jeżeli  kwota transakcji uwzględniona w księgowym dochodzie (stracie) netto poszczególnych jednostek składowych będących stronami transakcji została również ujęta przy obliczeniu dochodu podlegającego opodatkowaniu podatkiem kwalifikowanym tych jednostek oraz wycena ta nie została zakwestionowana lub zmieniona przez właściwe organy podatkowe przy obliczaniu kwalifikowanego dochodu (straty), transakcja ta podlega wycenie według tej kwoty.</w:t>
      </w:r>
    </w:p>
    <w:p w14:paraId="50E05308" w14:textId="77777777" w:rsidR="000626F6" w:rsidRPr="00C96268" w:rsidRDefault="000626F6" w:rsidP="000626F6">
      <w:pPr>
        <w:spacing w:after="120"/>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W pewnych sytuacjach, jak wskazano w </w:t>
      </w:r>
      <w:r w:rsidRPr="00C96268">
        <w:rPr>
          <w:rFonts w:ascii="Times New Roman" w:eastAsia="Calibri" w:hAnsi="Times New Roman" w:cs="Times New Roman"/>
          <w:b/>
          <w:bCs/>
          <w:sz w:val="24"/>
          <w:szCs w:val="24"/>
        </w:rPr>
        <w:t>ust. 5</w:t>
      </w:r>
      <w:r w:rsidRPr="00C96268">
        <w:rPr>
          <w:rFonts w:ascii="Times New Roman" w:eastAsia="Calibri" w:hAnsi="Times New Roman" w:cs="Times New Roman"/>
          <w:sz w:val="24"/>
          <w:szCs w:val="24"/>
        </w:rPr>
        <w:t xml:space="preserve">, kwota transakcji uwzględniona w kwalifikowanym dochodzie (stracie) jednostki składowej podlega skorygowaniu do wysokości kwoty przyjętej przy obliczeniu dochodu podlegającego opodatkowaniu podatkiem kwalifikowanym. Wskazano przykładowe sytuacje, w których taka korekta ma miejsce, to znaczy gdy: </w:t>
      </w:r>
    </w:p>
    <w:p w14:paraId="48DE298E" w14:textId="77777777" w:rsidR="000626F6" w:rsidRPr="00C96268" w:rsidRDefault="000626F6" w:rsidP="002C7467">
      <w:pPr>
        <w:pStyle w:val="Akapitzlist"/>
        <w:numPr>
          <w:ilvl w:val="0"/>
          <w:numId w:val="99"/>
        </w:numPr>
        <w:spacing w:after="120" w:line="256" w:lineRule="auto"/>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dochód podlegający opodatkowaniu podatkiem kwalifikowanym wynikający z transakcji został określony w wartości innej, niż wartość uwzględniona w księgowym dochodzie (stracie ) netto tej jednostki;</w:t>
      </w:r>
    </w:p>
    <w:p w14:paraId="0DED09A6" w14:textId="5B633E22" w:rsidR="000626F6" w:rsidRPr="00C96268" w:rsidRDefault="000626F6" w:rsidP="002C7467">
      <w:pPr>
        <w:pStyle w:val="Akapitzlist"/>
        <w:numPr>
          <w:ilvl w:val="0"/>
          <w:numId w:val="99"/>
        </w:numPr>
        <w:spacing w:after="120" w:line="256" w:lineRule="auto"/>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wycena transakcji jest przedmiotem uprzedniego porozumienia cenowego zawartego między właściwymi organami wszystkich </w:t>
      </w:r>
      <w:r w:rsidR="00FD7D2B" w:rsidRPr="00C96268">
        <w:rPr>
          <w:rFonts w:ascii="Times New Roman" w:eastAsia="Calibri" w:hAnsi="Times New Roman" w:cs="Times New Roman"/>
          <w:sz w:val="24"/>
          <w:szCs w:val="24"/>
        </w:rPr>
        <w:t>jurysdykcji</w:t>
      </w:r>
      <w:r w:rsidRPr="00C96268">
        <w:rPr>
          <w:rFonts w:ascii="Times New Roman" w:eastAsia="Calibri" w:hAnsi="Times New Roman" w:cs="Times New Roman"/>
          <w:sz w:val="24"/>
          <w:szCs w:val="24"/>
        </w:rPr>
        <w:t>, w których są zlokalizowane jednostki będące stronami tej transakcji.</w:t>
      </w:r>
    </w:p>
    <w:p w14:paraId="23C139CA" w14:textId="776F0639" w:rsidR="00C07476" w:rsidRPr="00C96268" w:rsidRDefault="00C07476" w:rsidP="003A3F1B">
      <w:pPr>
        <w:tabs>
          <w:tab w:val="left" w:pos="1268"/>
        </w:tabs>
        <w:jc w:val="both"/>
        <w:rPr>
          <w:rFonts w:ascii="Times New Roman" w:hAnsi="Times New Roman" w:cs="Times New Roman"/>
          <w:sz w:val="24"/>
          <w:szCs w:val="24"/>
        </w:rPr>
      </w:pPr>
      <w:r w:rsidRPr="00C96268">
        <w:rPr>
          <w:rFonts w:ascii="Times New Roman" w:hAnsi="Times New Roman" w:cs="Times New Roman"/>
          <w:sz w:val="24"/>
          <w:szCs w:val="24"/>
        </w:rPr>
        <w:t>W przypadku wystąpienia ww. różnic, zakłada się, że cena transferowa stosowana dla celów dochodu podlegającego opodatkowaniu jest zgodna z zasadą ceny rynkowej. Omawiana regulacja nie nakłada żadnych dodatkowych wymogów poza ceną rynkową. W związku z tym, nie wymaga się od grupy, aby dostosowała moment powstania pozycji przychodów lub kosztów dla celów Systemu GloBE do momentu powstania tej pozycji dla celów podatku lokalnego.</w:t>
      </w:r>
    </w:p>
    <w:p w14:paraId="23B991CC" w14:textId="00BA0355" w:rsidR="005241B7" w:rsidRPr="00C96268" w:rsidRDefault="000626F6" w:rsidP="00C07476">
      <w:pPr>
        <w:spacing w:after="120"/>
        <w:jc w:val="both"/>
        <w:rPr>
          <w:rFonts w:ascii="Times New Roman" w:hAnsi="Times New Roman" w:cs="Times New Roman"/>
          <w:sz w:val="24"/>
          <w:szCs w:val="24"/>
        </w:rPr>
      </w:pPr>
      <w:r w:rsidRPr="00C96268">
        <w:rPr>
          <w:rFonts w:ascii="Times New Roman" w:eastAsia="Calibri" w:hAnsi="Times New Roman" w:cs="Times New Roman"/>
          <w:sz w:val="24"/>
          <w:szCs w:val="24"/>
        </w:rPr>
        <w:t xml:space="preserve">Ponadto, </w:t>
      </w:r>
      <w:r w:rsidR="00C07476" w:rsidRPr="00C96268">
        <w:rPr>
          <w:rFonts w:ascii="Times New Roman" w:eastAsia="Calibri" w:hAnsi="Times New Roman" w:cs="Times New Roman"/>
          <w:sz w:val="24"/>
          <w:szCs w:val="24"/>
        </w:rPr>
        <w:t xml:space="preserve">jak wskazano w </w:t>
      </w:r>
      <w:r w:rsidR="00C07476" w:rsidRPr="00C96268">
        <w:rPr>
          <w:rFonts w:ascii="Times New Roman" w:eastAsia="Calibri" w:hAnsi="Times New Roman" w:cs="Times New Roman"/>
          <w:b/>
          <w:bCs/>
          <w:sz w:val="24"/>
          <w:szCs w:val="24"/>
        </w:rPr>
        <w:t>ust. 6</w:t>
      </w:r>
      <w:r w:rsidR="00C07476" w:rsidRPr="00C96268">
        <w:rPr>
          <w:rFonts w:ascii="Times New Roman" w:eastAsia="Calibri" w:hAnsi="Times New Roman" w:cs="Times New Roman"/>
          <w:sz w:val="24"/>
          <w:szCs w:val="24"/>
        </w:rPr>
        <w:t xml:space="preserve">, </w:t>
      </w:r>
      <w:r w:rsidRPr="00C96268">
        <w:rPr>
          <w:rFonts w:ascii="Times New Roman" w:eastAsia="Calibri" w:hAnsi="Times New Roman" w:cs="Times New Roman"/>
          <w:sz w:val="24"/>
          <w:szCs w:val="24"/>
        </w:rPr>
        <w:t xml:space="preserve">strata ze sprzedaży składnika aktywów lub innego jego przeniesienia między jednostkami składowymi grupy zlokalizowanymi w </w:t>
      </w:r>
      <w:r w:rsidR="00FD7D2B" w:rsidRPr="00C96268">
        <w:rPr>
          <w:rFonts w:ascii="Times New Roman" w:eastAsia="Calibri" w:hAnsi="Times New Roman" w:cs="Times New Roman"/>
          <w:sz w:val="24"/>
          <w:szCs w:val="24"/>
        </w:rPr>
        <w:t xml:space="preserve">tej samej </w:t>
      </w:r>
      <w:r w:rsidR="00FD7D2B" w:rsidRPr="00C96268">
        <w:rPr>
          <w:rFonts w:ascii="Times New Roman" w:hAnsi="Times New Roman" w:cs="Times New Roman"/>
          <w:sz w:val="24"/>
          <w:szCs w:val="24"/>
        </w:rPr>
        <w:t>jurysdykcji</w:t>
      </w:r>
      <w:r w:rsidRPr="00C96268">
        <w:rPr>
          <w:rFonts w:ascii="Times New Roman" w:eastAsia="Calibri" w:hAnsi="Times New Roman" w:cs="Times New Roman"/>
          <w:sz w:val="24"/>
          <w:szCs w:val="24"/>
        </w:rPr>
        <w:t xml:space="preserve">, która jest uwzględniona przy obliczeniu kwalifikowanego dochodu (straty), podlega skorygowaniu zgodnie z zasadą ceny rynkowej. </w:t>
      </w:r>
      <w:r w:rsidR="005241B7" w:rsidRPr="00C96268">
        <w:rPr>
          <w:rFonts w:ascii="Times New Roman" w:hAnsi="Times New Roman" w:cs="Times New Roman"/>
          <w:sz w:val="24"/>
          <w:szCs w:val="24"/>
        </w:rPr>
        <w:t>Ust. 6 wymaga</w:t>
      </w:r>
      <w:r w:rsidR="00C07476" w:rsidRPr="00C96268">
        <w:rPr>
          <w:rFonts w:ascii="Times New Roman" w:hAnsi="Times New Roman" w:cs="Times New Roman"/>
          <w:sz w:val="24"/>
          <w:szCs w:val="24"/>
        </w:rPr>
        <w:t xml:space="preserve"> zatem</w:t>
      </w:r>
      <w:r w:rsidR="005241B7" w:rsidRPr="00C96268">
        <w:rPr>
          <w:rFonts w:ascii="Times New Roman" w:hAnsi="Times New Roman" w:cs="Times New Roman"/>
          <w:sz w:val="24"/>
          <w:szCs w:val="24"/>
        </w:rPr>
        <w:t xml:space="preserve"> stosowania zasady ceny rynkowej do transakcji pomiędzy jednostkami składowymi w tej samej jurysdykcji, jeżeli sprzedaż lub inne przekazanie aktywów powoduje stratę i ta strata jest brana pod uwagę przy obliczaniu dochodu lub straty dla potrzeb Zasad GloBE. Regulacja ta ma na celu uniemożliwienie grupom generowania strat w danej jurysdykcji poprzez sprzedaż lub inne przeniesienie aktywów pomiędzy członkami grupy po cenach, które nie są zgodne z zasadą ceny rynkowej. Przepis nie dotyczy straty wyłączonej z obliczenia kwalifikowanego dochodu lub straty jednostki składowej. Tym samym, w sytuacji dokonania stosownego wyboru zastosowania rachunkowości skonsolidowanej w jurysdykcji, w której powstaje strata, strata ta zostanie wyeliminowana w ramach konsolidacji i wyłączona z obliczeń kwalifikowanego dochodu lub straty jednostki składowej.</w:t>
      </w:r>
    </w:p>
    <w:p w14:paraId="0034E3D9" w14:textId="22C8FA2B" w:rsidR="005241B7" w:rsidRPr="00C96268" w:rsidRDefault="00C07476" w:rsidP="003A3F1B">
      <w:pPr>
        <w:jc w:val="both"/>
        <w:rPr>
          <w:rFonts w:ascii="Times New Roman" w:hAnsi="Times New Roman" w:cs="Times New Roman"/>
          <w:i/>
          <w:iCs/>
          <w:sz w:val="24"/>
          <w:szCs w:val="24"/>
        </w:rPr>
      </w:pPr>
      <w:r w:rsidRPr="00C96268">
        <w:rPr>
          <w:rFonts w:ascii="Times New Roman" w:eastAsia="Calibri" w:hAnsi="Times New Roman" w:cs="Times New Roman"/>
          <w:sz w:val="24"/>
          <w:szCs w:val="24"/>
        </w:rPr>
        <w:t xml:space="preserve">Wyjątek od powyżej opisanej zasady ustanawia </w:t>
      </w:r>
      <w:r w:rsidRPr="00C96268">
        <w:rPr>
          <w:rFonts w:ascii="Times New Roman" w:eastAsia="Calibri" w:hAnsi="Times New Roman" w:cs="Times New Roman"/>
          <w:b/>
          <w:bCs/>
          <w:sz w:val="24"/>
          <w:szCs w:val="24"/>
        </w:rPr>
        <w:t>ust. 7</w:t>
      </w:r>
      <w:r w:rsidRPr="00C96268">
        <w:rPr>
          <w:rFonts w:ascii="Times New Roman" w:eastAsia="Calibri" w:hAnsi="Times New Roman" w:cs="Times New Roman"/>
          <w:sz w:val="24"/>
          <w:szCs w:val="24"/>
        </w:rPr>
        <w:t xml:space="preserve">, w przypadku, gdy ww. korekta prowadzi do podwójnego opodatkowania lub podwójnego nieopodatkowania tych transakcji. </w:t>
      </w:r>
      <w:r w:rsidR="005241B7" w:rsidRPr="00C96268">
        <w:rPr>
          <w:rFonts w:ascii="Times New Roman" w:hAnsi="Times New Roman" w:cs="Times New Roman"/>
          <w:sz w:val="24"/>
          <w:szCs w:val="24"/>
        </w:rPr>
        <w:t>Dochód lub strata powinny być odpowiednio skorygowane zgodnie z art. 55, jeżeli jest to konieczne w celu uniknięcia podwójnego opodatkowania lub podwójnego braku opodatkowania. W szczególności, jednostronna korekta cen transferowych powinna skutkować odpowiednią korektą dochodu lub straty wszystkich kontrahentów zgodnie z art. 55, chyba że korekta cen transferowych zwiększy lub zmniejszy dochód podlegający opodatkowaniu grupy w jurysdykcji, która ma nominalną stawkę podatkową poniżej stawki minimalnej lub która była jurysdykcją o niskim poziomie opodatkowania w odniesieniu do grupy w każdym z dwóch lat podatkowych poprzedzających jednostronną korektę cen transferowych.</w:t>
      </w:r>
    </w:p>
    <w:p w14:paraId="34D3DAC1" w14:textId="77777777" w:rsidR="000626F6" w:rsidRPr="00C96268" w:rsidRDefault="000626F6" w:rsidP="000626F6">
      <w:pPr>
        <w:pStyle w:val="Nagwek5"/>
        <w:rPr>
          <w:rFonts w:ascii="Times New Roman" w:hAnsi="Times New Roman" w:cs="Times New Roman"/>
          <w:sz w:val="24"/>
          <w:szCs w:val="24"/>
        </w:rPr>
      </w:pPr>
      <w:r w:rsidRPr="00C96268">
        <w:rPr>
          <w:rFonts w:ascii="Times New Roman" w:hAnsi="Times New Roman" w:cs="Times New Roman"/>
          <w:sz w:val="24"/>
          <w:szCs w:val="24"/>
        </w:rPr>
        <w:t>Art. 56 [Dywidendy z inwestycji portfelowej]</w:t>
      </w:r>
      <w:r w:rsidRPr="00C96268">
        <w:rPr>
          <w:rStyle w:val="Odwoanieprzypisudolnego"/>
          <w:rFonts w:ascii="Times New Roman" w:hAnsi="Times New Roman" w:cs="Times New Roman"/>
          <w:sz w:val="24"/>
          <w:szCs w:val="24"/>
        </w:rPr>
        <w:t xml:space="preserve"> </w:t>
      </w:r>
    </w:p>
    <w:p w14:paraId="3E7BFC73" w14:textId="77777777"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
          <w:iCs/>
          <w:sz w:val="24"/>
          <w:szCs w:val="24"/>
        </w:rPr>
        <w:t>Art. 56</w:t>
      </w:r>
      <w:r w:rsidRPr="00C96268">
        <w:rPr>
          <w:rFonts w:ascii="Times New Roman" w:hAnsi="Times New Roman" w:cs="Times New Roman"/>
          <w:bCs/>
          <w:iCs/>
          <w:sz w:val="24"/>
          <w:szCs w:val="24"/>
        </w:rPr>
        <w:t xml:space="preserve"> </w:t>
      </w:r>
      <w:r w:rsidRPr="00C96268">
        <w:rPr>
          <w:rFonts w:ascii="Times New Roman" w:hAnsi="Times New Roman" w:cs="Times New Roman"/>
          <w:iCs/>
          <w:sz w:val="24"/>
          <w:szCs w:val="24"/>
        </w:rPr>
        <w:t>uwzględnia</w:t>
      </w:r>
      <w:r w:rsidRPr="00C96268">
        <w:rPr>
          <w:rFonts w:ascii="Times New Roman" w:hAnsi="Times New Roman" w:cs="Times New Roman"/>
          <w:bCs/>
          <w:iCs/>
          <w:sz w:val="24"/>
          <w:szCs w:val="24"/>
        </w:rPr>
        <w:t xml:space="preserve"> Wytyczne Administracyjne z lutego 2023 r. (pkt 3.5), </w:t>
      </w:r>
      <w:r w:rsidRPr="00C96268">
        <w:rPr>
          <w:rFonts w:ascii="Times New Roman" w:hAnsi="Times New Roman" w:cs="Times New Roman"/>
          <w:iCs/>
          <w:sz w:val="24"/>
          <w:szCs w:val="24"/>
        </w:rPr>
        <w:t>dotyczące</w:t>
      </w:r>
      <w:r w:rsidRPr="00C96268">
        <w:rPr>
          <w:rFonts w:ascii="Times New Roman" w:hAnsi="Times New Roman" w:cs="Times New Roman"/>
          <w:bCs/>
          <w:iCs/>
          <w:sz w:val="24"/>
          <w:szCs w:val="24"/>
        </w:rPr>
        <w:t xml:space="preserve"> </w:t>
      </w:r>
      <w:r w:rsidRPr="00C96268">
        <w:rPr>
          <w:rFonts w:ascii="Times New Roman" w:hAnsi="Times New Roman" w:cs="Times New Roman"/>
          <w:iCs/>
          <w:sz w:val="24"/>
          <w:szCs w:val="24"/>
        </w:rPr>
        <w:t xml:space="preserve">możliwości dokonania </w:t>
      </w:r>
      <w:r w:rsidRPr="00C96268">
        <w:rPr>
          <w:rFonts w:ascii="Times New Roman" w:hAnsi="Times New Roman" w:cs="Times New Roman"/>
          <w:bCs/>
          <w:iCs/>
          <w:sz w:val="24"/>
          <w:szCs w:val="24"/>
        </w:rPr>
        <w:t>wyboru w zakresie dywidend z inwestycji portfelowej.</w:t>
      </w:r>
    </w:p>
    <w:p w14:paraId="3590958E" w14:textId="77777777"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Korekta wynikająca z wyboru w zakresie dywidendy z inwestycji portfelowej polega na </w:t>
      </w:r>
      <w:r w:rsidRPr="00C96268">
        <w:rPr>
          <w:rFonts w:ascii="Times New Roman" w:hAnsi="Times New Roman" w:cs="Times New Roman"/>
          <w:b/>
          <w:sz w:val="24"/>
          <w:szCs w:val="24"/>
        </w:rPr>
        <w:t>uwzględnieniu dywidend lub innych wypłat uzyskanych przez jednostkę składową z tytułu inwestycji portfelowych, bez względu na okres, przez który jednostka ta posiada taką inwestycję portfelową na dzień wypłaty</w:t>
      </w:r>
      <w:r w:rsidRPr="00C96268">
        <w:rPr>
          <w:rFonts w:ascii="Times New Roman" w:hAnsi="Times New Roman" w:cs="Times New Roman"/>
          <w:bCs/>
          <w:sz w:val="24"/>
          <w:szCs w:val="24"/>
        </w:rPr>
        <w:t>.</w:t>
      </w:r>
    </w:p>
    <w:p w14:paraId="06C630E5" w14:textId="77777777"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Odnosząc się do ogólnych zasad stosowanych do dywidend wyłączonych (nieujmowanych w kwalifikowanym dochodzie lub stracie), należy przypomnieć, że istnieje wyjątek dla dywidend z inwestycji portfelowych, które stanowią udział krótkoterminowy. Udział krótkoterminowy, to udział, który jest posiadany przez okres krótszy niż jeden rok w momencie wypłaty dywidendy. Takie dywidendy są ujmowane w kwalifikowanym dochodzie (stracie).</w:t>
      </w:r>
    </w:p>
    <w:p w14:paraId="7C4E7F87" w14:textId="77777777"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 uwagi na sygnalizowane przez różne grupy trudności dotyczące różnego traktowania udziałów krótkoterminowych i długoterminowych, zdecydowano o wprowadzeniu wspólnego podejścia do tych udziałów. W celu uproszczenia administracyjnego zaproponowano, aby grupy mogły, dla każdej jednostki składowej, dokonać wyboru dotyczącego włączenia dywidend ze wszystkich inwestycji portfelowych (w tym udziałów długoterminowych) przy obliczaniu kwalifikowanego dochodu (straty).</w:t>
      </w:r>
      <w:r w:rsidRPr="00C96268">
        <w:rPr>
          <w:rStyle w:val="Odwoanieprzypisudolnego"/>
          <w:rFonts w:ascii="Times New Roman" w:hAnsi="Times New Roman" w:cs="Times New Roman"/>
          <w:bCs/>
          <w:sz w:val="24"/>
          <w:szCs w:val="24"/>
        </w:rPr>
        <w:footnoteReference w:id="125"/>
      </w:r>
      <w:r w:rsidRPr="00C96268">
        <w:rPr>
          <w:rFonts w:ascii="Times New Roman" w:hAnsi="Times New Roman" w:cs="Times New Roman"/>
          <w:bCs/>
          <w:sz w:val="24"/>
          <w:szCs w:val="24"/>
        </w:rPr>
        <w:t xml:space="preserve"> Taki wybór obowiązywałby przez pięć lat i byłby dokonywany w odniesieniu do danej jednostki składowej (tj. jest to wybór na poziomie jednostki, a nie wybór jurysdykcyjny). </w:t>
      </w:r>
    </w:p>
    <w:p w14:paraId="6A7F630A" w14:textId="77777777"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odniesieniu do krótkoterminowych inwestycji portfelowych, dochód z dywidendy nie jest objęty korektą z tytułu dywidend wyłączonych, a zatem </w:t>
      </w:r>
      <w:r w:rsidRPr="00C96268">
        <w:rPr>
          <w:rFonts w:ascii="Times New Roman" w:hAnsi="Times New Roman" w:cs="Times New Roman"/>
          <w:b/>
          <w:sz w:val="24"/>
          <w:szCs w:val="24"/>
        </w:rPr>
        <w:t>jest włączany do kwalifikowanego dochodu (straty)</w:t>
      </w:r>
      <w:r w:rsidRPr="00C96268">
        <w:rPr>
          <w:rFonts w:ascii="Times New Roman" w:hAnsi="Times New Roman" w:cs="Times New Roman"/>
          <w:bCs/>
          <w:sz w:val="24"/>
          <w:szCs w:val="24"/>
        </w:rPr>
        <w:t xml:space="preserve">. Podatki kwalifikowane uiszczane zgodnie z prawem krajowym w odniesieniu do tych dywidend są włączane do skorygowanych podatków kwalifikowanych (licznik) przy obliczaniu efektywnej stawki podatkowej. </w:t>
      </w:r>
    </w:p>
    <w:p w14:paraId="3407605C"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bCs/>
          <w:sz w:val="24"/>
          <w:szCs w:val="24"/>
        </w:rPr>
        <w:t>Zatem, odchodząc od ogólnych zasad, a</w:t>
      </w:r>
      <w:r w:rsidRPr="00C96268">
        <w:rPr>
          <w:rFonts w:ascii="Times New Roman" w:hAnsi="Times New Roman" w:cs="Times New Roman"/>
          <w:sz w:val="24"/>
          <w:szCs w:val="24"/>
        </w:rPr>
        <w:t>lternatywnie dla każdej jednostki składowej można dokonać wyboru na pięć lat dotyczącego włączenia wszystkich dywidend z inwestycji portfelowych, otrzymanych przez jednostkę składową do obliczania kwalifikowanego dochodu (straty), niezależnie od tego, czy są to udziały krótkoterminowe. Oznacza to, że po dokonaniu wyboru, wszystkie dywidendy z inwestycji portfelowych jednostki składowej, dla której dokonano wyboru, będą włączane do obliczania kwalifikowanego dochodu (straty) tej jednostki składowej.</w:t>
      </w:r>
    </w:p>
    <w:p w14:paraId="1A086837" w14:textId="77777777" w:rsidR="000626F6" w:rsidRPr="00C96268" w:rsidRDefault="000626F6" w:rsidP="000626F6">
      <w:pPr>
        <w:pStyle w:val="Nagwek5"/>
        <w:rPr>
          <w:rFonts w:ascii="Times New Roman" w:hAnsi="Times New Roman" w:cs="Times New Roman"/>
          <w:sz w:val="24"/>
          <w:szCs w:val="24"/>
        </w:rPr>
      </w:pPr>
      <w:r w:rsidRPr="00C96268">
        <w:rPr>
          <w:rFonts w:ascii="Times New Roman" w:hAnsi="Times New Roman" w:cs="Times New Roman"/>
          <w:sz w:val="24"/>
          <w:szCs w:val="24"/>
        </w:rPr>
        <w:t>Art. 57 [Wynagrodzenie w formie akcji]</w:t>
      </w:r>
    </w:p>
    <w:p w14:paraId="4F92C1B3" w14:textId="18D34878" w:rsidR="000626F6" w:rsidRPr="00C96268" w:rsidRDefault="000626F6" w:rsidP="000626F6">
      <w:pPr>
        <w:spacing w:after="120"/>
        <w:jc w:val="both"/>
        <w:rPr>
          <w:rFonts w:ascii="Times New Roman" w:hAnsi="Times New Roman" w:cs="Times New Roman"/>
          <w:bCs/>
          <w:iCs/>
          <w:sz w:val="24"/>
          <w:szCs w:val="24"/>
        </w:rPr>
      </w:pPr>
      <w:r w:rsidRPr="00C96268">
        <w:rPr>
          <w:rFonts w:ascii="Times New Roman" w:hAnsi="Times New Roman" w:cs="Times New Roman"/>
          <w:b/>
          <w:bCs/>
          <w:iCs/>
          <w:sz w:val="24"/>
          <w:szCs w:val="24"/>
        </w:rPr>
        <w:t>Art. 57</w:t>
      </w:r>
      <w:r w:rsidRPr="00C96268">
        <w:rPr>
          <w:rFonts w:ascii="Times New Roman" w:hAnsi="Times New Roman" w:cs="Times New Roman"/>
          <w:bCs/>
          <w:iCs/>
          <w:sz w:val="24"/>
          <w:szCs w:val="24"/>
        </w:rPr>
        <w:t xml:space="preserve"> projektu stanowi implementację art. 16</w:t>
      </w:r>
      <w:r w:rsidR="00357A10" w:rsidRPr="00C96268">
        <w:rPr>
          <w:rFonts w:ascii="Times New Roman" w:hAnsi="Times New Roman" w:cs="Times New Roman"/>
          <w:bCs/>
          <w:iCs/>
          <w:sz w:val="24"/>
          <w:szCs w:val="24"/>
        </w:rPr>
        <w:t>.</w:t>
      </w:r>
      <w:r w:rsidRPr="00C96268">
        <w:rPr>
          <w:rFonts w:ascii="Times New Roman" w:hAnsi="Times New Roman" w:cs="Times New Roman"/>
          <w:bCs/>
          <w:iCs/>
          <w:sz w:val="24"/>
          <w:szCs w:val="24"/>
        </w:rPr>
        <w:t xml:space="preserve">3 Dyrektywy </w:t>
      </w:r>
      <w:r w:rsidRPr="00C96268">
        <w:rPr>
          <w:rFonts w:ascii="Times New Roman" w:hAnsi="Times New Roman" w:cs="Times New Roman"/>
          <w:iCs/>
          <w:sz w:val="24"/>
          <w:szCs w:val="24"/>
        </w:rPr>
        <w:t xml:space="preserve">dotyczącego możliwości dokonania </w:t>
      </w:r>
      <w:r w:rsidRPr="00C96268">
        <w:rPr>
          <w:rFonts w:ascii="Times New Roman" w:hAnsi="Times New Roman" w:cs="Times New Roman"/>
          <w:bCs/>
          <w:iCs/>
          <w:sz w:val="24"/>
          <w:szCs w:val="24"/>
        </w:rPr>
        <w:t>wyboru wynagrodzenia w formie akcji.</w:t>
      </w:r>
    </w:p>
    <w:p w14:paraId="4C1DC0F3" w14:textId="77777777"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Jak wskazano w ust. 1, na podstawie takiego wyboru </w:t>
      </w:r>
      <w:r w:rsidRPr="00C96268">
        <w:rPr>
          <w:rFonts w:ascii="Times New Roman" w:hAnsi="Times New Roman" w:cs="Times New Roman"/>
          <w:b/>
          <w:sz w:val="24"/>
          <w:szCs w:val="24"/>
        </w:rPr>
        <w:t>można zastąpić kwotę ujętą w księgowym dochodzie (stracie) netto</w:t>
      </w:r>
      <w:r w:rsidRPr="00C96268">
        <w:rPr>
          <w:rFonts w:ascii="Times New Roman" w:hAnsi="Times New Roman" w:cs="Times New Roman"/>
          <w:bCs/>
          <w:sz w:val="24"/>
          <w:szCs w:val="24"/>
        </w:rPr>
        <w:t xml:space="preserve"> jak koszt lub wydatek na wynagrodzenia w formie akcji w wysokości wartości rynkowej tych akcji, określonej na dzień ich wydania, </w:t>
      </w:r>
      <w:r w:rsidRPr="00C96268">
        <w:rPr>
          <w:rFonts w:ascii="Times New Roman" w:hAnsi="Times New Roman" w:cs="Times New Roman"/>
          <w:b/>
          <w:sz w:val="24"/>
          <w:szCs w:val="24"/>
        </w:rPr>
        <w:t>kwotą</w:t>
      </w:r>
      <w:r w:rsidRPr="00C96268">
        <w:rPr>
          <w:rFonts w:ascii="Times New Roman" w:hAnsi="Times New Roman" w:cs="Times New Roman"/>
          <w:bCs/>
          <w:sz w:val="24"/>
          <w:szCs w:val="24"/>
        </w:rPr>
        <w:t xml:space="preserve"> takiego kosztu lub wydatku w wysokości wartości rynkowej tych akcji określonej na dzień ich realizacji, </w:t>
      </w:r>
      <w:r w:rsidRPr="00C96268">
        <w:rPr>
          <w:rFonts w:ascii="Times New Roman" w:hAnsi="Times New Roman" w:cs="Times New Roman"/>
          <w:b/>
          <w:sz w:val="24"/>
          <w:szCs w:val="24"/>
        </w:rPr>
        <w:t>w części w jakiej taki koszt lub wydatek może zostać odliczony przy obliczaniu dochodu podlegającego opodatkowaniu podatkiem kwalifikowanym.</w:t>
      </w:r>
      <w:r w:rsidRPr="00C96268">
        <w:rPr>
          <w:rFonts w:ascii="Times New Roman" w:hAnsi="Times New Roman" w:cs="Times New Roman"/>
          <w:bCs/>
          <w:sz w:val="24"/>
          <w:szCs w:val="24"/>
        </w:rPr>
        <w:t xml:space="preserve"> Chodzi zatem o zastąpienie pozycji księgowej kwotą ujętą dla celów podatkowych.</w:t>
      </w:r>
    </w:p>
    <w:p w14:paraId="2C800AB6" w14:textId="5B70B66E"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Powyższe, jak wskazano w </w:t>
      </w:r>
      <w:r w:rsidRPr="00C96268">
        <w:rPr>
          <w:rFonts w:ascii="Times New Roman" w:hAnsi="Times New Roman" w:cs="Times New Roman"/>
          <w:b/>
          <w:sz w:val="24"/>
          <w:szCs w:val="24"/>
        </w:rPr>
        <w:t>ust. 2</w:t>
      </w:r>
      <w:r w:rsidRPr="00C96268">
        <w:rPr>
          <w:rFonts w:ascii="Times New Roman" w:hAnsi="Times New Roman" w:cs="Times New Roman"/>
          <w:bCs/>
          <w:sz w:val="24"/>
          <w:szCs w:val="24"/>
        </w:rPr>
        <w:t>, ma zastosowanie do akcji wyemitowanych przez jednostkę składową wypłacającą wynagrodzenie w formie akcji bądź przez inną jednostkę składową. Jednak warunkiem jest, aby dana jednostka składowa poniosła koszt księgowy oraz i była dla niej wykonana praca lub inne świadczenia, z tytułu których wypłacane jest wynagrodzenie w formie akcji. Przykładowo, jeżeli jednostka składowa wypłaca swoim członkom zarządu wynagrodzenie w formie akcji jednostki dominującej najwyższego szczebla (UPE), to ta jednostka składowa (a nie UPE) dokonuje opisanej korekty</w:t>
      </w:r>
      <w:r w:rsidR="002B2F73" w:rsidRPr="00C96268">
        <w:rPr>
          <w:rFonts w:ascii="Times New Roman" w:hAnsi="Times New Roman" w:cs="Times New Roman"/>
          <w:sz w:val="24"/>
          <w:szCs w:val="24"/>
        </w:rPr>
        <w:t xml:space="preserve"> [Komentarz; 3.2.2; 94].</w:t>
      </w:r>
    </w:p>
    <w:p w14:paraId="4727B931" w14:textId="2DC7599D"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Zgodnie z </w:t>
      </w:r>
      <w:r w:rsidRPr="00C96268">
        <w:rPr>
          <w:rFonts w:ascii="Times New Roman" w:hAnsi="Times New Roman" w:cs="Times New Roman"/>
          <w:b/>
          <w:sz w:val="24"/>
          <w:szCs w:val="24"/>
        </w:rPr>
        <w:t>ust. 3</w:t>
      </w:r>
      <w:r w:rsidRPr="00C96268">
        <w:rPr>
          <w:rFonts w:ascii="Times New Roman" w:hAnsi="Times New Roman" w:cs="Times New Roman"/>
          <w:bCs/>
          <w:sz w:val="24"/>
          <w:szCs w:val="24"/>
        </w:rPr>
        <w:t xml:space="preserve">, opisany wybór jest wyborem jurysdykcyjnym i tym samym, jest stosowany do wszystkich jednostek składowych zlokalizowanych w </w:t>
      </w:r>
      <w:r w:rsidR="00FD7D2B"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odniesieniu do </w:t>
      </w:r>
      <w:r w:rsidR="00FD7D2B"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 xml:space="preserve">został dokonany, jeżeli obowiązujące w </w:t>
      </w:r>
      <w:r w:rsidR="00FD7D2B" w:rsidRPr="00C96268">
        <w:rPr>
          <w:rFonts w:ascii="Times New Roman" w:hAnsi="Times New Roman" w:cs="Times New Roman"/>
          <w:bCs/>
          <w:sz w:val="24"/>
          <w:szCs w:val="24"/>
        </w:rPr>
        <w:t xml:space="preserve">tej </w:t>
      </w:r>
      <w:r w:rsidR="00FD7D2B" w:rsidRPr="00C96268">
        <w:rPr>
          <w:rFonts w:ascii="Times New Roman" w:hAnsi="Times New Roman" w:cs="Times New Roman"/>
          <w:sz w:val="24"/>
          <w:szCs w:val="24"/>
        </w:rPr>
        <w:t>jurysdykcji</w:t>
      </w:r>
      <w:r w:rsidR="00FD7D2B" w:rsidRPr="00C96268" w:rsidDel="00FD7D2B">
        <w:rPr>
          <w:rFonts w:ascii="Times New Roman" w:hAnsi="Times New Roman" w:cs="Times New Roman"/>
          <w:bCs/>
          <w:sz w:val="24"/>
          <w:szCs w:val="24"/>
        </w:rPr>
        <w:t xml:space="preserve"> </w:t>
      </w:r>
      <w:r w:rsidRPr="00C96268">
        <w:rPr>
          <w:rFonts w:ascii="Times New Roman" w:hAnsi="Times New Roman" w:cs="Times New Roman"/>
          <w:bCs/>
          <w:sz w:val="24"/>
          <w:szCs w:val="24"/>
        </w:rPr>
        <w:t>przepisy dotyczące opodatkowania dochodu podatkiem kwalifikowanym uprawniają do odliczenia kwoty kosztu lub wydatku na wynagrodzenia w oparciu o wartość rynkową akcji na dzień ich realizacji. Oznacza to, że w przypadku dokonania tego wyboru</w:t>
      </w:r>
      <w:r w:rsidRPr="00C96268">
        <w:rPr>
          <w:rFonts w:ascii="Times New Roman" w:hAnsi="Times New Roman" w:cs="Times New Roman"/>
          <w:sz w:val="24"/>
          <w:szCs w:val="24"/>
        </w:rPr>
        <w:t xml:space="preserve"> </w:t>
      </w:r>
      <w:r w:rsidRPr="00C96268">
        <w:rPr>
          <w:rFonts w:ascii="Times New Roman" w:hAnsi="Times New Roman" w:cs="Times New Roman"/>
          <w:bCs/>
          <w:sz w:val="24"/>
          <w:szCs w:val="24"/>
        </w:rPr>
        <w:t xml:space="preserve">dla obliczenia kwalifikowanego dochodu (straty), dla wszystkich jednostek składowych zlokalizowanych w </w:t>
      </w:r>
      <w:r w:rsidR="00FD7D2B" w:rsidRPr="00C96268">
        <w:rPr>
          <w:rFonts w:ascii="Times New Roman" w:hAnsi="Times New Roman" w:cs="Times New Roman"/>
          <w:bCs/>
          <w:sz w:val="24"/>
          <w:szCs w:val="24"/>
        </w:rPr>
        <w:t xml:space="preserve">danej </w:t>
      </w:r>
      <w:r w:rsidR="00FD7D2B" w:rsidRPr="00C96268">
        <w:rPr>
          <w:rFonts w:ascii="Times New Roman" w:hAnsi="Times New Roman" w:cs="Times New Roman"/>
          <w:sz w:val="24"/>
          <w:szCs w:val="24"/>
        </w:rPr>
        <w:t>jurysdykcji</w:t>
      </w:r>
      <w:r w:rsidR="00FD7D2B" w:rsidRPr="00C96268" w:rsidDel="00FD7D2B">
        <w:rPr>
          <w:rFonts w:ascii="Times New Roman" w:hAnsi="Times New Roman" w:cs="Times New Roman"/>
          <w:bCs/>
          <w:sz w:val="24"/>
          <w:szCs w:val="24"/>
        </w:rPr>
        <w:t xml:space="preserve"> </w:t>
      </w:r>
      <w:r w:rsidRPr="00C96268">
        <w:rPr>
          <w:rFonts w:ascii="Times New Roman" w:hAnsi="Times New Roman" w:cs="Times New Roman"/>
          <w:bCs/>
          <w:sz w:val="24"/>
          <w:szCs w:val="24"/>
        </w:rPr>
        <w:t>należy zastąpić księgowy koszt/wydatek na wynagrodzenia w formie akcji</w:t>
      </w:r>
      <w:r w:rsidRPr="00C96268">
        <w:rPr>
          <w:rFonts w:ascii="Times New Roman" w:hAnsi="Times New Roman" w:cs="Times New Roman"/>
          <w:sz w:val="24"/>
          <w:szCs w:val="24"/>
        </w:rPr>
        <w:t xml:space="preserve"> </w:t>
      </w:r>
      <w:r w:rsidRPr="00C96268">
        <w:rPr>
          <w:rFonts w:ascii="Times New Roman" w:hAnsi="Times New Roman" w:cs="Times New Roman"/>
          <w:bCs/>
          <w:sz w:val="24"/>
          <w:szCs w:val="24"/>
        </w:rPr>
        <w:t>przez odpowiednią kwotę ujętą dla celów podatkowych.</w:t>
      </w:r>
      <w:r w:rsidRPr="00C96268">
        <w:rPr>
          <w:rFonts w:ascii="Times New Roman" w:hAnsi="Times New Roman" w:cs="Times New Roman"/>
          <w:sz w:val="24"/>
          <w:szCs w:val="24"/>
        </w:rPr>
        <w:t xml:space="preserve"> </w:t>
      </w:r>
      <w:r w:rsidRPr="00C96268">
        <w:rPr>
          <w:rFonts w:ascii="Times New Roman" w:hAnsi="Times New Roman" w:cs="Times New Roman"/>
          <w:bCs/>
          <w:sz w:val="24"/>
          <w:szCs w:val="24"/>
        </w:rPr>
        <w:t>Zakres wyboru jest ograniczony do wydatków na wynagrodzenie w formie akcji, opcji na akcje, warrantów na akcje lub instrumentów o podobnym charakterze (</w:t>
      </w:r>
      <w:r w:rsidRPr="00C96268">
        <w:rPr>
          <w:rFonts w:ascii="Times New Roman" w:hAnsi="Times New Roman" w:cs="Times New Roman"/>
          <w:b/>
          <w:sz w:val="24"/>
          <w:szCs w:val="24"/>
        </w:rPr>
        <w:t>ust. 7</w:t>
      </w:r>
      <w:r w:rsidRPr="00C96268">
        <w:rPr>
          <w:rFonts w:ascii="Times New Roman" w:hAnsi="Times New Roman" w:cs="Times New Roman"/>
          <w:bCs/>
          <w:sz w:val="24"/>
          <w:szCs w:val="24"/>
        </w:rPr>
        <w:t xml:space="preserve">). </w:t>
      </w:r>
    </w:p>
    <w:p w14:paraId="59F854CE" w14:textId="638B9C49"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Wybór ten jest wyborem pięcioletnim i musi być stosowany konsekwentnie w roku, w odniesieniu do którego dokonano wyboru, oraz we wszystkich kolejnych latach podatkowych, chyba że zostanie odwołany. Wybór jest zasadniczo dokonywany i odwoływany w odniesieniu do </w:t>
      </w:r>
      <w:r w:rsidR="00FD7D2B" w:rsidRPr="00C96268">
        <w:rPr>
          <w:rFonts w:ascii="Times New Roman" w:hAnsi="Times New Roman" w:cs="Times New Roman"/>
          <w:bCs/>
          <w:sz w:val="24"/>
          <w:szCs w:val="24"/>
        </w:rPr>
        <w:t xml:space="preserve">danej </w:t>
      </w:r>
      <w:r w:rsidR="00FD7D2B"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Jak wskazano w </w:t>
      </w:r>
      <w:r w:rsidRPr="00C96268">
        <w:rPr>
          <w:rFonts w:ascii="Times New Roman" w:hAnsi="Times New Roman" w:cs="Times New Roman"/>
          <w:b/>
          <w:sz w:val="24"/>
          <w:szCs w:val="24"/>
        </w:rPr>
        <w:t>ust. 4</w:t>
      </w:r>
      <w:r w:rsidRPr="00C96268">
        <w:rPr>
          <w:rFonts w:ascii="Times New Roman" w:hAnsi="Times New Roman" w:cs="Times New Roman"/>
          <w:bCs/>
          <w:sz w:val="24"/>
          <w:szCs w:val="24"/>
        </w:rPr>
        <w:t>, w  przypadku, gdy wybór został odwołany, kwota niezapłaconych kosztów lub wydatków z tytułu wynagrodzenia w formie akcji odliczona zgodnie z tym wyborem, która przekracza koszty księgowe naliczone na dzień wydania akcji, podwyższa  księgowy dochód netto lub obniża księgową stratę netto za rok podatkowy, w którym wybór został odwołany.</w:t>
      </w:r>
    </w:p>
    <w:p w14:paraId="26DA5208" w14:textId="69E023D0"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myśl </w:t>
      </w:r>
      <w:r w:rsidRPr="00C96268">
        <w:rPr>
          <w:rFonts w:ascii="Times New Roman" w:hAnsi="Times New Roman" w:cs="Times New Roman"/>
          <w:b/>
          <w:sz w:val="24"/>
          <w:szCs w:val="24"/>
        </w:rPr>
        <w:t>ust. 5</w:t>
      </w:r>
      <w:r w:rsidRPr="00C96268">
        <w:rPr>
          <w:rFonts w:ascii="Times New Roman" w:hAnsi="Times New Roman" w:cs="Times New Roman"/>
          <w:bCs/>
          <w:sz w:val="24"/>
          <w:szCs w:val="24"/>
        </w:rPr>
        <w:t>, w przypadku niezrealizowania prawa do wynagrodzenia w formie akcji, za rok podatkowy, w którym możliwość realizacji tego prawa wygasła, dokonuje się ponownej korekty. Mianowicie, podwyższa się księgowy dochód netto</w:t>
      </w:r>
      <w:r w:rsidR="001D1E1F" w:rsidRPr="00C96268">
        <w:rPr>
          <w:rFonts w:ascii="Times New Roman" w:hAnsi="Times New Roman" w:cs="Times New Roman"/>
          <w:bCs/>
          <w:sz w:val="24"/>
          <w:szCs w:val="24"/>
        </w:rPr>
        <w:t xml:space="preserve"> (albo zmniejsza księgową stratę netto)</w:t>
      </w:r>
      <w:r w:rsidRPr="00C96268">
        <w:rPr>
          <w:rFonts w:ascii="Times New Roman" w:hAnsi="Times New Roman" w:cs="Times New Roman"/>
          <w:bCs/>
          <w:sz w:val="24"/>
          <w:szCs w:val="24"/>
        </w:rPr>
        <w:t xml:space="preserve"> o kwotę podatkowych kosztów lub wydatków z tytułu wynagrodzenia na akcję, uwzględnioną przy obliczaniu kwalifikowanego dochodu (straty) w poprzednich latach podatkowych.</w:t>
      </w:r>
    </w:p>
    <w:p w14:paraId="2089C5AA" w14:textId="33BCA974" w:rsidR="000626F6" w:rsidRPr="00C96268" w:rsidRDefault="000626F6" w:rsidP="000626F6">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Ponadto, </w:t>
      </w:r>
      <w:r w:rsidRPr="00C96268">
        <w:rPr>
          <w:rFonts w:ascii="Times New Roman" w:hAnsi="Times New Roman" w:cs="Times New Roman"/>
          <w:b/>
          <w:sz w:val="24"/>
          <w:szCs w:val="24"/>
        </w:rPr>
        <w:t>ust. 6</w:t>
      </w:r>
      <w:r w:rsidRPr="00C96268">
        <w:rPr>
          <w:rFonts w:ascii="Times New Roman" w:hAnsi="Times New Roman" w:cs="Times New Roman"/>
          <w:bCs/>
          <w:sz w:val="24"/>
          <w:szCs w:val="24"/>
        </w:rPr>
        <w:t xml:space="preserve"> dotyczy sytuacji, w której  część kwoty kosztów lub wydatków z tytułu wynagrodzenia w formie akcji została ujęta w księgach jednostki składowej w latach podatkowych poprzedzających rok podatkowy dokonania wskazanego wyboru. W takiej sytuacji, nieuprawnione byłoby, aby jednostka składowa najpierw - tj. w poprzednich latach - ujęła koszt księgowy dla celów kwalifikowanego dochodu (straty), a następnie - w roku wyboru - ponownie ujęła wynagrodzenie w formie akcji uwzględniając kwotę kosztu podatkowego. W związku z tym, za rok, za który dokonano wyboru,  w księgowym dochodzie (stracie) netto uwzględnia się odpowiednio kwotę różnicy między całkowitą kwotą kosztów lub wydatków z tytułu wynagrodzenia w formie akcji, która została odliczona przy obliczaniu kwalifikowanego dochodu (straty) tej jednostki w tych poprzednich latach, a łączną kwotą kosztów lub wydatków z tego tytułu, która zostałaby odliczona przy obliczaniu jej kwalifikowanego dochodu (straty) w tych poprzednich latach, gdyby ten wybór został dokonany w tych latach podatkowych</w:t>
      </w:r>
      <w:r w:rsidR="002B2F73" w:rsidRPr="00C96268">
        <w:rPr>
          <w:rFonts w:ascii="Times New Roman" w:hAnsi="Times New Roman" w:cs="Times New Roman"/>
          <w:bCs/>
          <w:sz w:val="24"/>
          <w:szCs w:val="24"/>
        </w:rPr>
        <w:t xml:space="preserve"> [</w:t>
      </w:r>
      <w:r w:rsidR="002B2F73" w:rsidRPr="00C96268">
        <w:rPr>
          <w:rFonts w:ascii="Times New Roman" w:hAnsi="Times New Roman" w:cs="Times New Roman"/>
          <w:sz w:val="24"/>
          <w:szCs w:val="24"/>
        </w:rPr>
        <w:t>Komentarz; 3.2.1; 93]</w:t>
      </w:r>
      <w:r w:rsidRPr="00C96268">
        <w:rPr>
          <w:rFonts w:ascii="Times New Roman" w:hAnsi="Times New Roman" w:cs="Times New Roman"/>
          <w:bCs/>
          <w:sz w:val="24"/>
          <w:szCs w:val="24"/>
        </w:rPr>
        <w:t>.</w:t>
      </w:r>
    </w:p>
    <w:p w14:paraId="6070CC8B" w14:textId="77777777" w:rsidR="000626F6" w:rsidRPr="00C96268" w:rsidRDefault="000626F6" w:rsidP="000626F6">
      <w:pPr>
        <w:pStyle w:val="Nagwek5"/>
        <w:rPr>
          <w:rFonts w:ascii="Times New Roman" w:hAnsi="Times New Roman" w:cs="Times New Roman"/>
          <w:sz w:val="24"/>
          <w:szCs w:val="24"/>
        </w:rPr>
      </w:pPr>
      <w:r w:rsidRPr="00C96268">
        <w:rPr>
          <w:rFonts w:ascii="Times New Roman" w:hAnsi="Times New Roman" w:cs="Times New Roman"/>
          <w:sz w:val="24"/>
          <w:szCs w:val="24"/>
        </w:rPr>
        <w:t>Art. 58 [Zasada realizacji]</w:t>
      </w:r>
    </w:p>
    <w:p w14:paraId="6263DCC4" w14:textId="3D53FA08" w:rsidR="000626F6" w:rsidRPr="00C96268" w:rsidRDefault="000626F6" w:rsidP="000626F6">
      <w:pPr>
        <w:spacing w:after="120"/>
        <w:jc w:val="both"/>
        <w:rPr>
          <w:rFonts w:ascii="Times New Roman" w:hAnsi="Times New Roman" w:cs="Times New Roman"/>
          <w:bCs/>
          <w:iCs/>
          <w:sz w:val="24"/>
          <w:szCs w:val="24"/>
        </w:rPr>
      </w:pPr>
      <w:r w:rsidRPr="00C96268">
        <w:rPr>
          <w:rFonts w:ascii="Times New Roman" w:hAnsi="Times New Roman" w:cs="Times New Roman"/>
          <w:b/>
          <w:bCs/>
          <w:iCs/>
          <w:sz w:val="24"/>
          <w:szCs w:val="24"/>
        </w:rPr>
        <w:t>Art. 58</w:t>
      </w:r>
      <w:r w:rsidRPr="00C96268">
        <w:rPr>
          <w:rFonts w:ascii="Times New Roman" w:hAnsi="Times New Roman" w:cs="Times New Roman"/>
          <w:bCs/>
          <w:iCs/>
          <w:sz w:val="24"/>
          <w:szCs w:val="24"/>
        </w:rPr>
        <w:t xml:space="preserve"> stanowi implementację art. 16</w:t>
      </w:r>
      <w:r w:rsidR="00357A10" w:rsidRPr="00C96268">
        <w:rPr>
          <w:rFonts w:ascii="Times New Roman" w:hAnsi="Times New Roman" w:cs="Times New Roman"/>
          <w:bCs/>
          <w:iCs/>
          <w:sz w:val="24"/>
          <w:szCs w:val="24"/>
        </w:rPr>
        <w:t>.</w:t>
      </w:r>
      <w:r w:rsidRPr="00C96268">
        <w:rPr>
          <w:rFonts w:ascii="Times New Roman" w:hAnsi="Times New Roman" w:cs="Times New Roman"/>
          <w:bCs/>
          <w:iCs/>
          <w:sz w:val="24"/>
          <w:szCs w:val="24"/>
        </w:rPr>
        <w:t xml:space="preserve">6 Dyrektywy </w:t>
      </w:r>
      <w:r w:rsidRPr="00C96268">
        <w:rPr>
          <w:rFonts w:ascii="Times New Roman" w:hAnsi="Times New Roman" w:cs="Times New Roman"/>
          <w:iCs/>
          <w:sz w:val="24"/>
          <w:szCs w:val="24"/>
        </w:rPr>
        <w:t xml:space="preserve">dotyczącego możliwości dokonania </w:t>
      </w:r>
      <w:r w:rsidRPr="00C96268">
        <w:rPr>
          <w:rFonts w:ascii="Times New Roman" w:hAnsi="Times New Roman" w:cs="Times New Roman"/>
          <w:bCs/>
          <w:iCs/>
          <w:sz w:val="24"/>
          <w:szCs w:val="24"/>
        </w:rPr>
        <w:t>wyboru ujmowania zysków (strat) zgodnie z zasadą realizacji.</w:t>
      </w:r>
    </w:p>
    <w:p w14:paraId="2C19371A" w14:textId="534D1794" w:rsidR="000626F6" w:rsidRPr="00C96268" w:rsidRDefault="000626F6" w:rsidP="000626F6">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Jak wskazano w </w:t>
      </w:r>
      <w:r w:rsidRPr="00C96268">
        <w:rPr>
          <w:rFonts w:ascii="Times New Roman" w:hAnsi="Times New Roman" w:cs="Times New Roman"/>
          <w:b/>
          <w:iCs/>
          <w:sz w:val="24"/>
          <w:szCs w:val="24"/>
        </w:rPr>
        <w:t>ust. 1</w:t>
      </w:r>
      <w:r w:rsidRPr="00C96268">
        <w:rPr>
          <w:rFonts w:ascii="Times New Roman" w:hAnsi="Times New Roman" w:cs="Times New Roman"/>
          <w:bCs/>
          <w:iCs/>
          <w:sz w:val="24"/>
          <w:szCs w:val="24"/>
        </w:rPr>
        <w:t xml:space="preserve">, korekta zgodnie z zasadą realizacji </w:t>
      </w:r>
      <w:r w:rsidRPr="00C96268">
        <w:rPr>
          <w:rFonts w:ascii="Times New Roman" w:hAnsi="Times New Roman" w:cs="Times New Roman"/>
          <w:sz w:val="24"/>
          <w:szCs w:val="24"/>
        </w:rPr>
        <w:t xml:space="preserve">polega na tym, że zyski (straty) z aktywów i zobowiązań, które są ujmowane w skonsolidowanym sprawozdaniu finansowym za rok podatkowy według wartości godziwej lub wyceny z uwzględnieniem utraty wartości, określa się na dzień zbycia takiego aktywa lub zobowiązania z uwzględnieniem, </w:t>
      </w:r>
      <w:r w:rsidR="00E71ACF" w:rsidRPr="00C96268">
        <w:rPr>
          <w:rFonts w:ascii="Times New Roman" w:hAnsi="Times New Roman" w:cs="Times New Roman"/>
          <w:sz w:val="24"/>
          <w:szCs w:val="24"/>
        </w:rPr>
        <w:t>w szczególności</w:t>
      </w:r>
      <w:r w:rsidRPr="00C96268">
        <w:rPr>
          <w:rFonts w:ascii="Times New Roman" w:hAnsi="Times New Roman" w:cs="Times New Roman"/>
          <w:sz w:val="24"/>
          <w:szCs w:val="24"/>
        </w:rPr>
        <w:t>, wartości bilansowej z dnia nabycia. Zatem, zysk lub strata związane z danym składnikiem aktywów lub zobowiązaniem uwzględnia się na potrzeby kwalifikowanego dochodu w momencie zbycia składnika aktywów, a nie w momencie zmiany jego wartości w wyniku zmian wartości rynkowej lub utraty wartości. Obliczając zysk (stratę) bierze się pod uwagę wartość bilansową, o której mowa w ust. 4.</w:t>
      </w:r>
    </w:p>
    <w:p w14:paraId="5E63A980" w14:textId="4A9D64B6"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Zgodnie z </w:t>
      </w:r>
      <w:r w:rsidRPr="00C96268">
        <w:rPr>
          <w:rFonts w:ascii="Times New Roman" w:hAnsi="Times New Roman" w:cs="Times New Roman"/>
          <w:b/>
          <w:bCs/>
          <w:sz w:val="24"/>
          <w:szCs w:val="24"/>
        </w:rPr>
        <w:t>ust. 2</w:t>
      </w:r>
      <w:r w:rsidRPr="00C96268">
        <w:rPr>
          <w:rFonts w:ascii="Times New Roman" w:hAnsi="Times New Roman" w:cs="Times New Roman"/>
          <w:sz w:val="24"/>
          <w:szCs w:val="24"/>
        </w:rPr>
        <w:t xml:space="preserve">, wybór ten stosuje się do wszystkich jednostek składowych zlokalizowanych w </w:t>
      </w:r>
      <w:r w:rsidR="00FD7D2B" w:rsidRPr="00C96268">
        <w:rPr>
          <w:rFonts w:ascii="Times New Roman" w:hAnsi="Times New Roman" w:cs="Times New Roman"/>
          <w:sz w:val="24"/>
          <w:szCs w:val="24"/>
        </w:rPr>
        <w:t>danej jurysdykcji</w:t>
      </w:r>
      <w:r w:rsidRPr="00C96268">
        <w:rPr>
          <w:rFonts w:ascii="Times New Roman" w:hAnsi="Times New Roman" w:cs="Times New Roman"/>
          <w:sz w:val="24"/>
          <w:szCs w:val="24"/>
        </w:rPr>
        <w:t xml:space="preserve">, w odniesieniu do </w:t>
      </w:r>
      <w:r w:rsidR="00FD7D2B" w:rsidRPr="00C96268">
        <w:rPr>
          <w:rFonts w:ascii="Times New Roman" w:hAnsi="Times New Roman" w:cs="Times New Roman"/>
          <w:sz w:val="24"/>
          <w:szCs w:val="24"/>
        </w:rPr>
        <w:t xml:space="preserve">której </w:t>
      </w:r>
      <w:r w:rsidRPr="00C96268">
        <w:rPr>
          <w:rFonts w:ascii="Times New Roman" w:hAnsi="Times New Roman" w:cs="Times New Roman"/>
          <w:sz w:val="24"/>
          <w:szCs w:val="24"/>
        </w:rPr>
        <w:t>został dokonany (co do zasady jest to zatem wybór jurysdykcyjny), chyba że wybór ten został ograniczony wyłącznie do rzeczowych aktywów trwałych jednostek składowych lub jednostek inwestycyjnych.</w:t>
      </w:r>
    </w:p>
    <w:p w14:paraId="306A7129" w14:textId="5424D463"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przypadku dokonania tego wyboru, zyski (straty) z aktywów i zobowiązań ujęte według wartości godziwej lub wyceny z uwzględnieniem utraty wartości  </w:t>
      </w:r>
      <w:r w:rsidRPr="00C96268">
        <w:rPr>
          <w:rFonts w:ascii="Times New Roman" w:hAnsi="Times New Roman" w:cs="Times New Roman"/>
          <w:b/>
          <w:bCs/>
          <w:sz w:val="24"/>
          <w:szCs w:val="24"/>
        </w:rPr>
        <w:t>nie są uwzględniane przy obliczaniu kwalifikowanego dochodu (straty)</w:t>
      </w:r>
      <w:r w:rsidRPr="00C96268">
        <w:rPr>
          <w:rFonts w:ascii="Times New Roman" w:hAnsi="Times New Roman" w:cs="Times New Roman"/>
          <w:sz w:val="24"/>
          <w:szCs w:val="24"/>
        </w:rPr>
        <w:t xml:space="preserve"> jakiejkolwiek jednostki składowej zlokalizowanej w </w:t>
      </w:r>
      <w:r w:rsidR="00FD7D2B" w:rsidRPr="00C96268">
        <w:rPr>
          <w:rFonts w:ascii="Times New Roman" w:hAnsi="Times New Roman" w:cs="Times New Roman"/>
          <w:sz w:val="24"/>
          <w:szCs w:val="24"/>
        </w:rPr>
        <w:t>tej jurysdykcji</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objętej wyborem (</w:t>
      </w:r>
      <w:r w:rsidRPr="00C96268">
        <w:rPr>
          <w:rFonts w:ascii="Times New Roman" w:hAnsi="Times New Roman" w:cs="Times New Roman"/>
          <w:b/>
          <w:bCs/>
          <w:sz w:val="24"/>
          <w:szCs w:val="24"/>
        </w:rPr>
        <w:t>ust. 3</w:t>
      </w:r>
      <w:r w:rsidRPr="00C96268">
        <w:rPr>
          <w:rFonts w:ascii="Times New Roman" w:hAnsi="Times New Roman" w:cs="Times New Roman"/>
          <w:sz w:val="24"/>
          <w:szCs w:val="24"/>
        </w:rPr>
        <w:t xml:space="preserve">). Zgodnie natomiast z treścią </w:t>
      </w:r>
      <w:r w:rsidRPr="00C96268">
        <w:rPr>
          <w:rFonts w:ascii="Times New Roman" w:hAnsi="Times New Roman" w:cs="Times New Roman"/>
          <w:b/>
          <w:bCs/>
          <w:sz w:val="24"/>
          <w:szCs w:val="24"/>
        </w:rPr>
        <w:t>ust. 4</w:t>
      </w:r>
      <w:r w:rsidRPr="00C96268">
        <w:rPr>
          <w:rFonts w:ascii="Times New Roman" w:hAnsi="Times New Roman" w:cs="Times New Roman"/>
          <w:sz w:val="24"/>
          <w:szCs w:val="24"/>
        </w:rPr>
        <w:t xml:space="preserve">, w celu określenia zysku (straty) ustalanego zgodnie z zasadą realizacji, przyjmuje się wartość bilansową aktywów lub zobowiązań, która stanowi wartość bilansowa z dnia nabycia aktywów lub zaciągnięcia zobowiązań lub wartość bilansowa w pierwszym dniu roku podatkowego, w którym dokonano wyboru, w zależności od tego, która z tych dat jest późniejsza. </w:t>
      </w:r>
    </w:p>
    <w:p w14:paraId="7E840DAE"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Uzasadnieniem dla wprowadzenia tej metody jest zmniejszenie zmienności wyników finansowych uwzględnianych w kwalifikowanym dochodzie (stracie) poprzez umożliwienie podatnikowi skrystalizowania zysku dla celów Systemu GloBE w dniu faktycznego zbycia, a nie zmian wartości godziwej z jednego okresu na następny, zgodnie z zasadami rachunkowości. Pozwala to też na uniknięcie uwzględnienia zysku za dany rok, który nie odzwierciedla rzeczywistego zysku z transakcji, jednak może prowadzić do opodatkowania wyrównawczego.</w:t>
      </w:r>
      <w:r w:rsidRPr="00C96268">
        <w:rPr>
          <w:rStyle w:val="Odwoanieprzypisudolnego"/>
          <w:rFonts w:ascii="Times New Roman" w:hAnsi="Times New Roman" w:cs="Times New Roman"/>
          <w:sz w:val="24"/>
          <w:szCs w:val="24"/>
        </w:rPr>
        <w:footnoteReference w:id="126"/>
      </w:r>
    </w:p>
    <w:p w14:paraId="2B0DB99C" w14:textId="77777777" w:rsidR="000626F6" w:rsidRPr="00C96268" w:rsidRDefault="000626F6" w:rsidP="000626F6">
      <w:pPr>
        <w:jc w:val="both"/>
        <w:rPr>
          <w:rFonts w:ascii="Times New Roman" w:hAnsi="Times New Roman" w:cs="Times New Roman"/>
          <w:sz w:val="24"/>
          <w:szCs w:val="24"/>
        </w:rPr>
      </w:pPr>
      <w:r w:rsidRPr="00C96268">
        <w:rPr>
          <w:rFonts w:ascii="Times New Roman" w:hAnsi="Times New Roman" w:cs="Times New Roman"/>
          <w:sz w:val="24"/>
          <w:szCs w:val="24"/>
        </w:rPr>
        <w:t xml:space="preserve">Wskazany wybór jest wyborem pięcioletnim. Nie można go odwołać w ciągu pięciu lat podatkowych po roku, za który dokonano wyboru i nie można dokonać kolejnego wyboru w ciągu pięciu lat podatkowych po roku, w którym dokonano odwołania. Jak wskazano w </w:t>
      </w:r>
      <w:r w:rsidRPr="00C96268">
        <w:rPr>
          <w:rFonts w:ascii="Times New Roman" w:hAnsi="Times New Roman" w:cs="Times New Roman"/>
          <w:b/>
          <w:bCs/>
          <w:sz w:val="24"/>
          <w:szCs w:val="24"/>
        </w:rPr>
        <w:t>ust. 5</w:t>
      </w:r>
      <w:r w:rsidRPr="00C96268">
        <w:rPr>
          <w:rFonts w:ascii="Times New Roman" w:hAnsi="Times New Roman" w:cs="Times New Roman"/>
          <w:sz w:val="24"/>
          <w:szCs w:val="24"/>
        </w:rPr>
        <w:t>, w przypadku odwołania wyboru, dokonuje się odpowiedniej korekty. Mianowicie, księgowy dochód (stratę) netto koryguję się o kwotę różnicy między wartością godziwą aktywów lub zobowiązań, a wartością bilansową tych aktywów lub zobowiązań ustaloną, na pierwszy dzień roku podatkowego, w którym dokonano tego odwołania. Wartość ta jest doliczana do księgowego dochodu (straty) netto, jeżeli wartość godziwa jest wyższa od wartości bilansowej albo odliczana od tego dochodu, jeżeli wartość bilansowa jest wyższa od wartości godziwej  za rok podatkowy, w którym to odwołanie nastąpiło.</w:t>
      </w:r>
    </w:p>
    <w:p w14:paraId="489650A4" w14:textId="77777777" w:rsidR="000626F6" w:rsidRPr="00C96268" w:rsidRDefault="000626F6" w:rsidP="000626F6">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59 [Zbycie lokalnych rzeczowych aktywów trwałych (nieruchomości)]</w:t>
      </w:r>
    </w:p>
    <w:p w14:paraId="49A07B8B" w14:textId="3167603B" w:rsidR="000626F6" w:rsidRPr="00C96268" w:rsidRDefault="000626F6" w:rsidP="000626F6">
      <w:pPr>
        <w:spacing w:after="120"/>
        <w:jc w:val="both"/>
        <w:rPr>
          <w:rFonts w:ascii="Times New Roman" w:hAnsi="Times New Roman" w:cs="Times New Roman"/>
          <w:bCs/>
          <w:iCs/>
          <w:sz w:val="24"/>
          <w:szCs w:val="24"/>
        </w:rPr>
      </w:pPr>
      <w:r w:rsidRPr="00C96268">
        <w:rPr>
          <w:rFonts w:ascii="Times New Roman" w:hAnsi="Times New Roman" w:cs="Times New Roman"/>
          <w:b/>
          <w:bCs/>
          <w:iCs/>
          <w:sz w:val="24"/>
          <w:szCs w:val="24"/>
        </w:rPr>
        <w:t>Art. 59</w:t>
      </w:r>
      <w:r w:rsidRPr="00C96268">
        <w:rPr>
          <w:rFonts w:ascii="Times New Roman" w:hAnsi="Times New Roman" w:cs="Times New Roman"/>
          <w:bCs/>
          <w:iCs/>
          <w:sz w:val="24"/>
          <w:szCs w:val="24"/>
        </w:rPr>
        <w:t xml:space="preserve"> stanowi implementację art. 16</w:t>
      </w:r>
      <w:r w:rsidR="00357A10" w:rsidRPr="00C96268">
        <w:rPr>
          <w:rFonts w:ascii="Times New Roman" w:hAnsi="Times New Roman" w:cs="Times New Roman"/>
          <w:bCs/>
          <w:iCs/>
          <w:sz w:val="24"/>
          <w:szCs w:val="24"/>
        </w:rPr>
        <w:t>.</w:t>
      </w:r>
      <w:r w:rsidRPr="00C96268">
        <w:rPr>
          <w:rFonts w:ascii="Times New Roman" w:hAnsi="Times New Roman" w:cs="Times New Roman"/>
          <w:bCs/>
          <w:iCs/>
          <w:sz w:val="24"/>
          <w:szCs w:val="24"/>
        </w:rPr>
        <w:t xml:space="preserve">7 Dyrektywy </w:t>
      </w:r>
      <w:r w:rsidRPr="00C96268">
        <w:rPr>
          <w:rFonts w:ascii="Times New Roman" w:hAnsi="Times New Roman" w:cs="Times New Roman"/>
          <w:iCs/>
          <w:sz w:val="24"/>
          <w:szCs w:val="24"/>
        </w:rPr>
        <w:t xml:space="preserve">dotyczącego możliwości dokonania </w:t>
      </w:r>
      <w:r w:rsidRPr="00C96268">
        <w:rPr>
          <w:rFonts w:ascii="Times New Roman" w:hAnsi="Times New Roman" w:cs="Times New Roman"/>
          <w:bCs/>
          <w:iCs/>
          <w:sz w:val="24"/>
          <w:szCs w:val="24"/>
        </w:rPr>
        <w:t xml:space="preserve">wyboru </w:t>
      </w:r>
      <w:r w:rsidRPr="00C96268">
        <w:rPr>
          <w:rFonts w:ascii="Times New Roman" w:hAnsi="Times New Roman" w:cs="Times New Roman"/>
          <w:bCs/>
          <w:iCs/>
          <w:sz w:val="24"/>
          <w:szCs w:val="24"/>
        </w:rPr>
        <w:br/>
        <w:t xml:space="preserve">w zakresie zysku ze zbycia lokalnych rzeczowych aktywów trwałych. Lokalne rzeczowe aktywa trwałe stanowią nieruchomości, jednak chodzi wyłącznie o nieruchomości położone w </w:t>
      </w:r>
      <w:r w:rsidR="00FD7D2B" w:rsidRPr="00C96268">
        <w:rPr>
          <w:rFonts w:ascii="Times New Roman" w:hAnsi="Times New Roman" w:cs="Times New Roman"/>
          <w:bCs/>
          <w:iCs/>
          <w:sz w:val="24"/>
          <w:szCs w:val="24"/>
        </w:rPr>
        <w:t xml:space="preserve">tej samej </w:t>
      </w:r>
      <w:r w:rsidR="00FD7D2B" w:rsidRPr="00C96268">
        <w:rPr>
          <w:rFonts w:ascii="Times New Roman" w:hAnsi="Times New Roman" w:cs="Times New Roman"/>
          <w:sz w:val="24"/>
          <w:szCs w:val="24"/>
        </w:rPr>
        <w:t>jurysdykcji</w:t>
      </w:r>
      <w:r w:rsidRPr="00C96268">
        <w:rPr>
          <w:rFonts w:ascii="Times New Roman" w:hAnsi="Times New Roman" w:cs="Times New Roman"/>
          <w:bCs/>
          <w:iCs/>
          <w:sz w:val="24"/>
          <w:szCs w:val="24"/>
        </w:rPr>
        <w:t xml:space="preserve">, w </w:t>
      </w:r>
      <w:r w:rsidR="00FD7D2B" w:rsidRPr="00C96268">
        <w:rPr>
          <w:rFonts w:ascii="Times New Roman" w:hAnsi="Times New Roman" w:cs="Times New Roman"/>
          <w:bCs/>
          <w:iCs/>
          <w:sz w:val="24"/>
          <w:szCs w:val="24"/>
        </w:rPr>
        <w:t xml:space="preserve">której </w:t>
      </w:r>
      <w:r w:rsidRPr="00C96268">
        <w:rPr>
          <w:rFonts w:ascii="Times New Roman" w:hAnsi="Times New Roman" w:cs="Times New Roman"/>
          <w:bCs/>
          <w:iCs/>
          <w:sz w:val="24"/>
          <w:szCs w:val="24"/>
        </w:rPr>
        <w:t xml:space="preserve">zlokalizowana jest jednostka składowa (stąd, określenie „lokalne”). </w:t>
      </w:r>
    </w:p>
    <w:p w14:paraId="2CB066C7" w14:textId="656E85EE"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Regulacja ta pozwala grupie na rozłożenie skutków zysków i strat ze sprzedaży </w:t>
      </w:r>
      <w:r w:rsidRPr="00C96268">
        <w:rPr>
          <w:rFonts w:ascii="Times New Roman" w:hAnsi="Times New Roman" w:cs="Times New Roman"/>
          <w:bCs/>
          <w:iCs/>
          <w:sz w:val="24"/>
          <w:szCs w:val="24"/>
        </w:rPr>
        <w:t>nieruchomości</w:t>
      </w:r>
      <w:r w:rsidRPr="00C96268">
        <w:rPr>
          <w:rFonts w:ascii="Times New Roman" w:hAnsi="Times New Roman" w:cs="Times New Roman"/>
          <w:sz w:val="24"/>
          <w:szCs w:val="24"/>
        </w:rPr>
        <w:t xml:space="preserve"> – na okres do pięciu lat – w celu złagodzenia skutków ujęcia całego zysku w jednym roku. Uzasadnieniem tego wyboru jest fakt, że wzrost wartości majątku prawdopodobnie skumulował się w ciągu kilku lat, a rozłożenie zysku na taki okres (maksymalnie do pięciu lat) i zestawienie go ze stratami z podobnego majątku pozwala lepiej ocenić, czy grupa podlegała w tym okresie minimalnemu poziomowi opodatkowania w </w:t>
      </w:r>
      <w:r w:rsidR="00FD7D2B" w:rsidRPr="00C96268">
        <w:rPr>
          <w:rFonts w:ascii="Times New Roman" w:hAnsi="Times New Roman" w:cs="Times New Roman"/>
          <w:sz w:val="24"/>
          <w:szCs w:val="24"/>
        </w:rPr>
        <w:t>danej jurysdykcji</w:t>
      </w:r>
      <w:r w:rsidRPr="00C96268">
        <w:rPr>
          <w:rFonts w:ascii="Times New Roman" w:hAnsi="Times New Roman" w:cs="Times New Roman"/>
          <w:sz w:val="24"/>
          <w:szCs w:val="24"/>
        </w:rPr>
        <w:t>.</w:t>
      </w:r>
    </w:p>
    <w:p w14:paraId="0663AD9F" w14:textId="54F0FDEB" w:rsidR="000626F6" w:rsidRPr="00C96268" w:rsidRDefault="000626F6" w:rsidP="000626F6">
      <w:pPr>
        <w:jc w:val="both"/>
        <w:rPr>
          <w:rFonts w:ascii="Times New Roman" w:hAnsi="Times New Roman" w:cs="Times New Roman"/>
          <w:sz w:val="24"/>
          <w:szCs w:val="24"/>
        </w:rPr>
      </w:pPr>
      <w:r w:rsidRPr="00C96268">
        <w:rPr>
          <w:rFonts w:ascii="Times New Roman" w:hAnsi="Times New Roman" w:cs="Times New Roman"/>
          <w:sz w:val="24"/>
          <w:szCs w:val="24"/>
        </w:rPr>
        <w:t xml:space="preserve">Wybór ten jest wyborem rocznym o charakterze jurysdykcyjnym (dokonywanym w odniesieniu do wszystkich jednostek składowych z </w:t>
      </w:r>
      <w:r w:rsidR="00FD7D2B" w:rsidRPr="00C96268">
        <w:rPr>
          <w:rFonts w:ascii="Times New Roman" w:hAnsi="Times New Roman" w:cs="Times New Roman"/>
          <w:sz w:val="24"/>
          <w:szCs w:val="24"/>
        </w:rPr>
        <w:t>danej jurysdykcji</w:t>
      </w:r>
      <w:r w:rsidRPr="00C96268">
        <w:rPr>
          <w:rFonts w:ascii="Times New Roman" w:hAnsi="Times New Roman" w:cs="Times New Roman"/>
          <w:sz w:val="24"/>
          <w:szCs w:val="24"/>
        </w:rPr>
        <w:t xml:space="preserve">). Jak zaznaczono wcześniej, ma on zastosowanie wyłącznie w odniesieniu do zysków i strat, które można przypisać do transakcji zbycia nieruchomości położonych w </w:t>
      </w:r>
      <w:r w:rsidR="00FD7D2B" w:rsidRPr="00C96268">
        <w:rPr>
          <w:rFonts w:ascii="Times New Roman" w:hAnsi="Times New Roman" w:cs="Times New Roman"/>
          <w:sz w:val="24"/>
          <w:szCs w:val="24"/>
        </w:rPr>
        <w:t>jurysdykcji</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 xml:space="preserve">lokalizacji jednostki składowej. Ograniczenie do nieruchomości gwarantuje, że wybór ten nie może być wykorzystany do przenoszenia zysków z tytułu zbycia majątku ruchomego. Co istotne, wybór ten </w:t>
      </w:r>
      <w:r w:rsidRPr="00C96268">
        <w:rPr>
          <w:rFonts w:ascii="Times New Roman" w:hAnsi="Times New Roman" w:cs="Times New Roman"/>
          <w:b/>
          <w:bCs/>
          <w:sz w:val="24"/>
          <w:szCs w:val="24"/>
        </w:rPr>
        <w:t>nie ma zastosowania do sprzedaży pomiędzy jednostkami grupy</w:t>
      </w:r>
      <w:r w:rsidRPr="00C96268">
        <w:rPr>
          <w:rFonts w:ascii="Times New Roman" w:hAnsi="Times New Roman" w:cs="Times New Roman"/>
          <w:sz w:val="24"/>
          <w:szCs w:val="24"/>
        </w:rPr>
        <w:t xml:space="preserve">. Tym samym, zbycie lokalnych aktywów trwałych, to zbycie nieruchomości położonych w </w:t>
      </w:r>
      <w:r w:rsidR="00FD7D2B" w:rsidRPr="00C96268">
        <w:rPr>
          <w:rFonts w:ascii="Times New Roman" w:hAnsi="Times New Roman" w:cs="Times New Roman"/>
          <w:sz w:val="24"/>
          <w:szCs w:val="24"/>
        </w:rPr>
        <w:t>jurysdykcji</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lokalizacji jednostki składowej na rzecz osób spoza grupy (dalsza część uzasadnienia odwołuje się tylko do takiego zbycia).</w:t>
      </w:r>
    </w:p>
    <w:p w14:paraId="3908719F" w14:textId="2FBF1FCD"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Zgodnie z </w:t>
      </w:r>
      <w:r w:rsidRPr="00C96268">
        <w:rPr>
          <w:rFonts w:ascii="Times New Roman" w:hAnsi="Times New Roman" w:cs="Times New Roman"/>
          <w:b/>
          <w:bCs/>
          <w:sz w:val="24"/>
          <w:szCs w:val="24"/>
        </w:rPr>
        <w:t>ust. 2</w:t>
      </w:r>
      <w:r w:rsidRPr="00C96268">
        <w:rPr>
          <w:rFonts w:ascii="Times New Roman" w:hAnsi="Times New Roman" w:cs="Times New Roman"/>
          <w:sz w:val="24"/>
          <w:szCs w:val="24"/>
        </w:rPr>
        <w:t xml:space="preserve">, można dokonać wskazanego wyboru, jeżeli za rok dokonania wyboru osiągnięty został </w:t>
      </w:r>
      <w:r w:rsidRPr="00C96268">
        <w:rPr>
          <w:rFonts w:ascii="Times New Roman" w:hAnsi="Times New Roman" w:cs="Times New Roman"/>
          <w:b/>
          <w:bCs/>
          <w:sz w:val="24"/>
          <w:szCs w:val="24"/>
        </w:rPr>
        <w:t>zagregowany zysk netto</w:t>
      </w:r>
      <w:r w:rsidRPr="00C96268">
        <w:rPr>
          <w:rFonts w:ascii="Times New Roman" w:hAnsi="Times New Roman" w:cs="Times New Roman"/>
          <w:sz w:val="24"/>
          <w:szCs w:val="24"/>
        </w:rPr>
        <w:t xml:space="preserve"> ze zbycia lokalnych aktywów trwałych liczony jako </w:t>
      </w:r>
      <w:r w:rsidRPr="00C96268">
        <w:rPr>
          <w:rFonts w:ascii="Times New Roman" w:hAnsi="Times New Roman" w:cs="Times New Roman"/>
          <w:b/>
          <w:bCs/>
          <w:sz w:val="24"/>
          <w:szCs w:val="24"/>
        </w:rPr>
        <w:t xml:space="preserve">różnica między łącznym zyskiem a łącznymi stratami z takiego zbycia osiągniętymi w tym roku przez wszystkie jednostki składowe zlokalizowane w </w:t>
      </w:r>
      <w:r w:rsidR="00FD7D2B" w:rsidRPr="00C96268">
        <w:rPr>
          <w:rFonts w:ascii="Times New Roman" w:hAnsi="Times New Roman" w:cs="Times New Roman"/>
          <w:b/>
          <w:bCs/>
          <w:sz w:val="24"/>
          <w:szCs w:val="24"/>
        </w:rPr>
        <w:t>tej jurysdykcji</w:t>
      </w:r>
      <w:r w:rsidRPr="00C96268">
        <w:rPr>
          <w:rFonts w:ascii="Times New Roman" w:hAnsi="Times New Roman" w:cs="Times New Roman"/>
          <w:sz w:val="24"/>
          <w:szCs w:val="24"/>
        </w:rPr>
        <w:t xml:space="preserve">. Zatem, zagregowany zysk netto za rok, za który dokonano wyboru, to saldo zysków i strat ze zbycia lokalnych aktywów trwałych przez wszystkie jednostki składowe znajdujące w </w:t>
      </w:r>
      <w:r w:rsidR="00FD7D2B" w:rsidRPr="00C96268">
        <w:rPr>
          <w:rFonts w:ascii="Times New Roman" w:hAnsi="Times New Roman" w:cs="Times New Roman"/>
          <w:sz w:val="24"/>
          <w:szCs w:val="24"/>
        </w:rPr>
        <w:t>danej jurysdykcji</w:t>
      </w:r>
      <w:r w:rsidRPr="00C96268">
        <w:rPr>
          <w:rFonts w:ascii="Times New Roman" w:hAnsi="Times New Roman" w:cs="Times New Roman"/>
          <w:sz w:val="24"/>
          <w:szCs w:val="24"/>
        </w:rPr>
        <w:t>, tj. z wyłączeniem zysku lub straty z tytułu przeniesienia tych aktywów pomiędzy członkami grupy.</w:t>
      </w:r>
    </w:p>
    <w:p w14:paraId="13FBB7D5"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Zgodnie z omawianym wyborem, zagregowany zysk ze wskazanego zbycia nieruchomości za rok, za który dokonano wyboru, </w:t>
      </w:r>
      <w:r w:rsidRPr="00C96268">
        <w:rPr>
          <w:rFonts w:ascii="Times New Roman" w:hAnsi="Times New Roman" w:cs="Times New Roman"/>
          <w:b/>
          <w:bCs/>
          <w:sz w:val="24"/>
          <w:szCs w:val="24"/>
        </w:rPr>
        <w:t>jest alokowany wstecznie na tzw. okres retrospekcji</w:t>
      </w:r>
      <w:r w:rsidRPr="00C96268">
        <w:rPr>
          <w:rFonts w:ascii="Times New Roman" w:hAnsi="Times New Roman" w:cs="Times New Roman"/>
          <w:sz w:val="24"/>
          <w:szCs w:val="24"/>
        </w:rPr>
        <w:t xml:space="preserve">, na zasadach określonych w </w:t>
      </w:r>
      <w:r w:rsidRPr="00C96268">
        <w:rPr>
          <w:rFonts w:ascii="Times New Roman" w:hAnsi="Times New Roman" w:cs="Times New Roman"/>
          <w:b/>
          <w:bCs/>
          <w:sz w:val="24"/>
          <w:szCs w:val="24"/>
        </w:rPr>
        <w:t>ust. 3 i 4</w:t>
      </w:r>
      <w:r w:rsidRPr="00C96268">
        <w:rPr>
          <w:rFonts w:ascii="Times New Roman" w:hAnsi="Times New Roman" w:cs="Times New Roman"/>
          <w:sz w:val="24"/>
          <w:szCs w:val="24"/>
        </w:rPr>
        <w:t xml:space="preserve">. Generalnie okres retrospekcji uwzględnia </w:t>
      </w:r>
      <w:r w:rsidRPr="00C96268">
        <w:rPr>
          <w:rFonts w:ascii="Times New Roman" w:hAnsi="Times New Roman" w:cs="Times New Roman"/>
          <w:b/>
          <w:bCs/>
          <w:sz w:val="24"/>
          <w:szCs w:val="24"/>
        </w:rPr>
        <w:t>rok, za który dokonano wyboru i cztery poprzednie lata podatkowe</w:t>
      </w:r>
      <w:r w:rsidRPr="00C96268">
        <w:rPr>
          <w:rFonts w:ascii="Times New Roman" w:hAnsi="Times New Roman" w:cs="Times New Roman"/>
          <w:sz w:val="24"/>
          <w:szCs w:val="24"/>
        </w:rPr>
        <w:t>, przy czym pierwszy etap wskazanej korekty obejmuje tylko 4 lata poprzedzające rok wyboru, a drugi etap korekty obejmuje 5 lat (łącznie z rokiem wyboru).</w:t>
      </w:r>
    </w:p>
    <w:p w14:paraId="3AC81C67"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Zagregowany zysk w pierwszej kolejności jest kompensowany ze stratami netto poszczególnych jednostek składowych powstałymi </w:t>
      </w:r>
      <w:r w:rsidRPr="00C96268">
        <w:rPr>
          <w:rFonts w:ascii="Times New Roman" w:hAnsi="Times New Roman" w:cs="Times New Roman"/>
          <w:b/>
          <w:bCs/>
          <w:sz w:val="24"/>
          <w:szCs w:val="24"/>
        </w:rPr>
        <w:t>w okresie 4 lat poprzedzających rok wyboru</w:t>
      </w:r>
      <w:r w:rsidRPr="00C96268">
        <w:rPr>
          <w:rFonts w:ascii="Times New Roman" w:hAnsi="Times New Roman" w:cs="Times New Roman"/>
          <w:sz w:val="24"/>
          <w:szCs w:val="24"/>
        </w:rPr>
        <w:t xml:space="preserve"> (które to straty nie zostały jeszcze skompensowane w ramach ewentualnego takiego wcześniejszego rocznego wyboru). Taka „kompensata” efektywnie oznacza zwiększenie kwalifikowanego dochodu za dany poprzedni rok o kwotę poniesionej wcześniej straty netto. Kompensatę zaczyna się od najwcześniejszego roku straty w we wskazanym okresie. Jeżeli łączny zysk z aktywów nie zostanie w pełni zaabsorbowany w najwcześniejszym roku straty, saldo przenosi się na kolejny rok straty, i tak dalej, aż do momentu, gdy zagregowany zysk netto zostanie w pełni zaabsorbowany lub gdy nie pozostaną żadne lata, w których wystąpiła strata netto, w okresie retrospekcji.</w:t>
      </w:r>
    </w:p>
    <w:p w14:paraId="29F673D6" w14:textId="74E157E6"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„Strata netto” jednostki składowej, którą kompensuje się z zagregowanym zyskiem netto, oznacza łączną stratę z tytułu zbycia lokalnych rzeczowych aktywów trwałych </w:t>
      </w:r>
      <w:r w:rsidR="006F7918" w:rsidRPr="00C96268">
        <w:rPr>
          <w:rFonts w:ascii="Times New Roman" w:hAnsi="Times New Roman" w:cs="Times New Roman"/>
          <w:sz w:val="24"/>
          <w:szCs w:val="24"/>
        </w:rPr>
        <w:t xml:space="preserve">poniesioną </w:t>
      </w:r>
      <w:r w:rsidRPr="00C96268">
        <w:rPr>
          <w:rFonts w:ascii="Times New Roman" w:hAnsi="Times New Roman" w:cs="Times New Roman"/>
          <w:sz w:val="24"/>
          <w:szCs w:val="24"/>
        </w:rPr>
        <w:t xml:space="preserve">przez tę jednostkę za dany rok (tj. nadwyżkę strat nad zyskami z takich transakcji za dany rok), z wyłączeniem zysku lub straty z tytułu zbycia aktywów innej jednostce składowej grupy. </w:t>
      </w:r>
    </w:p>
    <w:p w14:paraId="6EC6991A"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Należy mieć na uwadze, że jeżeli zgodnie z omawianym wyborem zagregowany zysk netto zostanie już skompensowany ze stratą netto ze zbycia lokalnych aktywów trwałych za dany poprzedni rok podatkowy, to taka strata netto zostaje pomniejszona o odpowiednią kwotę dla celów kolejnego rocznego wyboru tego rodzaju. Zapobiega to ponownemu (podwójnemu) wykorzystaniu tej kwoty w przyszłości, jeżeli omawiany wybór zostanie ponowiony za lata kolejne. </w:t>
      </w:r>
    </w:p>
    <w:p w14:paraId="53EC7BC5" w14:textId="5CAAAC98"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Jeżeli straty netto ze zbycia lokalnych aktywów trwałych wszystkich jednostek w </w:t>
      </w:r>
      <w:r w:rsidR="00FD7D2B" w:rsidRPr="00C96268">
        <w:rPr>
          <w:rFonts w:ascii="Times New Roman" w:hAnsi="Times New Roman" w:cs="Times New Roman"/>
          <w:sz w:val="24"/>
          <w:szCs w:val="24"/>
        </w:rPr>
        <w:t>danej jurysdykcji</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 xml:space="preserve">za dany rok podatkowy przekraczają zagregowany zysk netto (tj. zysku tego nie starcza na pokrycie wszystkich strat za dany poprzedni rok), straty poszczególnych jednostek składowych kompensuje się w części, w oparciu o stosunek straty netto danej jednostki do łącznej kwoty strat netto wszystkich jednostek </w:t>
      </w:r>
      <w:r w:rsidRPr="00C96268">
        <w:rPr>
          <w:rFonts w:ascii="Times New Roman" w:hAnsi="Times New Roman" w:cs="Times New Roman"/>
          <w:iCs/>
          <w:sz w:val="24"/>
          <w:szCs w:val="24"/>
        </w:rPr>
        <w:t>zlokalizowanych</w:t>
      </w:r>
      <w:r w:rsidRPr="00C96268">
        <w:rPr>
          <w:rFonts w:ascii="Times New Roman" w:hAnsi="Times New Roman" w:cs="Times New Roman"/>
          <w:sz w:val="24"/>
          <w:szCs w:val="24"/>
        </w:rPr>
        <w:t xml:space="preserve"> w </w:t>
      </w:r>
      <w:r w:rsidR="00FD7D2B" w:rsidRPr="00C96268">
        <w:rPr>
          <w:rFonts w:ascii="Times New Roman" w:hAnsi="Times New Roman" w:cs="Times New Roman"/>
          <w:sz w:val="24"/>
          <w:szCs w:val="24"/>
        </w:rPr>
        <w:t>danej jurysdykcji</w:t>
      </w:r>
      <w:r w:rsidR="00FD7D2B" w:rsidRPr="00C96268" w:rsidDel="00FD7D2B">
        <w:rPr>
          <w:rFonts w:ascii="Times New Roman" w:hAnsi="Times New Roman" w:cs="Times New Roman"/>
          <w:sz w:val="24"/>
          <w:szCs w:val="24"/>
        </w:rPr>
        <w:t xml:space="preserve"> </w:t>
      </w:r>
      <w:r w:rsidRPr="00C96268">
        <w:rPr>
          <w:rFonts w:ascii="Times New Roman" w:hAnsi="Times New Roman" w:cs="Times New Roman"/>
          <w:sz w:val="24"/>
          <w:szCs w:val="24"/>
        </w:rPr>
        <w:t>w danym roku podatkowym.</w:t>
      </w:r>
    </w:p>
    <w:p w14:paraId="32552230" w14:textId="5A7B9C3F"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Ust. 5 wskazuje na kolejny etap korekty. Przepis ten reguluje sytuację, w której po rozliczeniu poszczególnych strat netto pozostaje nierozliczona część (nadwyżka) zagregowanego zysku netto. W takim przypadku nadwyżkę tę rozkłada się równomiernie na cały okres retrospekcji, łącznie z rokiem wyboru (tj. </w:t>
      </w:r>
      <w:r w:rsidRPr="00C96268">
        <w:rPr>
          <w:rFonts w:ascii="Times New Roman" w:hAnsi="Times New Roman" w:cs="Times New Roman"/>
          <w:b/>
          <w:bCs/>
          <w:sz w:val="24"/>
          <w:szCs w:val="24"/>
        </w:rPr>
        <w:t>1/5 tej nadwyżki jest przypisana do każdego z 5 lat okresu retrospekcji</w:t>
      </w:r>
      <w:r w:rsidRPr="00C96268">
        <w:rPr>
          <w:rFonts w:ascii="Times New Roman" w:hAnsi="Times New Roman" w:cs="Times New Roman"/>
          <w:sz w:val="24"/>
          <w:szCs w:val="24"/>
        </w:rPr>
        <w:t xml:space="preserve">). Następnie, część nadwyżki przypisana do danego roku (1/5) jest rozdzielana pomiędzy jednostki składowe w oparciu o ich proporcję ich zysku netto ze zbycia lokalnych aktywów trwałych za </w:t>
      </w:r>
      <w:r w:rsidRPr="00C96268">
        <w:rPr>
          <w:rFonts w:ascii="Times New Roman" w:eastAsia="Times New Roman" w:hAnsi="Times New Roman" w:cs="Times New Roman"/>
          <w:sz w:val="24"/>
          <w:szCs w:val="24"/>
        </w:rPr>
        <w:t xml:space="preserve">rok, za który dokonano wyboru, do takiego zysku netto wszystkich jednostek składowych zlokalizowanych w </w:t>
      </w:r>
      <w:r w:rsidR="00FD7D2B" w:rsidRPr="00C96268">
        <w:rPr>
          <w:rFonts w:ascii="Times New Roman" w:eastAsia="Times New Roman" w:hAnsi="Times New Roman" w:cs="Times New Roman"/>
          <w:sz w:val="24"/>
          <w:szCs w:val="24"/>
        </w:rPr>
        <w:t xml:space="preserve">danej </w:t>
      </w:r>
      <w:r w:rsidR="00FD7D2B" w:rsidRPr="00C96268">
        <w:rPr>
          <w:rFonts w:ascii="Times New Roman" w:hAnsi="Times New Roman" w:cs="Times New Roman"/>
          <w:sz w:val="24"/>
          <w:szCs w:val="24"/>
        </w:rPr>
        <w:t>jurysdykcji</w:t>
      </w:r>
      <w:r w:rsidRPr="00C96268">
        <w:rPr>
          <w:rFonts w:ascii="Times New Roman" w:hAnsi="Times New Roman" w:cs="Times New Roman"/>
          <w:sz w:val="24"/>
          <w:szCs w:val="24"/>
        </w:rPr>
        <w:t xml:space="preserve">. </w:t>
      </w:r>
    </w:p>
    <w:p w14:paraId="070D5B51"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„Zysk netto” jednostki składowej, o którym mowa powyżej, oznacza łączny zysk z tytułu zbycia lokalnych rzeczowych aktywów trwałych przez tę jednostkę za dany rok (tj. nadwyżkę zysków nad stratami z takich transakcji za dany rok), z wyłączeniem zysku lub straty z tytułu zbycia aktywów innej jednostce składowej grupy. </w:t>
      </w:r>
    </w:p>
    <w:p w14:paraId="2674D7AB"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Dokonanie opisanych rozliczeń powoduje zmianę kwalifikowanego dochodu (straty) za poprzednie lata. Stąd, efektywna stawka opodatkowania za każdy poprzedni rok podatkowy w okresie retrospekcji musi zostać ponownie obliczona, w związku z czym może powstać dodatkowy podatek wyrównawczy.</w:t>
      </w:r>
    </w:p>
    <w:p w14:paraId="6B827929" w14:textId="77777777"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sz w:val="24"/>
          <w:szCs w:val="24"/>
        </w:rPr>
        <w:t>W przypadku dokonania wyboru, wszelkie podatki kwalifikowane (w tym aktywa z tytułu odroczonego podatku dochodowego) w odniesieniu do jakiegokolwiek zysku netto lub straty netto ze zbycia lokalnych aktywów trwałych za rok, za który dokonano wyboru, są wyłączone ze skorygowanych podatków kwalifikowanych. Określenie kwoty podatku kwalifikowanego, którą należałoby przypisać do każdego poprzedniego roku w okresie retrospekcji byłoby bowiem nadmiernie kłopotliwe, a przyznanie prawa do przeniesienia zagregowanego zysku netto wstecz i jego kompensaty ze stratami z lat ubiegłych stanowi samo w sobie istotną korzyść. W związku z powyższym, podatki kwalifikowane z tytułu zbycia lokalnych aktywów trwałych, powstałe w roku, za który dokonano wyboru, jeżeli takie podatki wystąpią, są wyłączone ze skorygowanych podatków kwalifikowanych.</w:t>
      </w:r>
      <w:r w:rsidRPr="00C96268" w:rsidDel="008407E6">
        <w:rPr>
          <w:rFonts w:ascii="Times New Roman" w:hAnsi="Times New Roman" w:cs="Times New Roman"/>
          <w:sz w:val="24"/>
          <w:szCs w:val="24"/>
        </w:rPr>
        <w:t xml:space="preserve"> </w:t>
      </w:r>
    </w:p>
    <w:p w14:paraId="076F0306" w14:textId="7376E3BB" w:rsidR="000626F6" w:rsidRPr="00C96268" w:rsidRDefault="000626F6" w:rsidP="000626F6">
      <w:pPr>
        <w:spacing w:after="120"/>
        <w:jc w:val="both"/>
        <w:rPr>
          <w:rFonts w:ascii="Times New Roman" w:hAnsi="Times New Roman" w:cs="Times New Roman"/>
          <w:sz w:val="24"/>
          <w:szCs w:val="24"/>
        </w:rPr>
      </w:pPr>
      <w:r w:rsidRPr="00C96268">
        <w:rPr>
          <w:rFonts w:ascii="Times New Roman" w:hAnsi="Times New Roman" w:cs="Times New Roman"/>
          <w:b/>
          <w:bCs/>
          <w:sz w:val="24"/>
          <w:szCs w:val="24"/>
        </w:rPr>
        <w:t xml:space="preserve">Ust. 6 i 7 </w:t>
      </w:r>
      <w:r w:rsidRPr="00C96268">
        <w:rPr>
          <w:rFonts w:ascii="Times New Roman" w:hAnsi="Times New Roman" w:cs="Times New Roman"/>
          <w:sz w:val="24"/>
          <w:szCs w:val="24"/>
        </w:rPr>
        <w:t xml:space="preserve">stanowią potwierdzenie, że dla jednostek składowych zlokalizowanych w </w:t>
      </w:r>
      <w:r w:rsidR="00FD7D2B" w:rsidRPr="00C96268">
        <w:rPr>
          <w:rFonts w:ascii="Times New Roman" w:hAnsi="Times New Roman" w:cs="Times New Roman"/>
          <w:sz w:val="24"/>
          <w:szCs w:val="24"/>
        </w:rPr>
        <w:t>danej jurysdykcji</w:t>
      </w:r>
      <w:r w:rsidR="00FD7D2B" w:rsidRPr="00C96268" w:rsidDel="00FD7D2B">
        <w:rPr>
          <w:rFonts w:ascii="Times New Roman" w:hAnsi="Times New Roman" w:cs="Times New Roman"/>
          <w:sz w:val="24"/>
          <w:szCs w:val="24"/>
        </w:rPr>
        <w:t xml:space="preserve"> </w:t>
      </w:r>
      <w:r w:rsidR="00FD7D2B" w:rsidRPr="00C96268">
        <w:rPr>
          <w:rFonts w:ascii="Times New Roman" w:hAnsi="Times New Roman" w:cs="Times New Roman"/>
          <w:sz w:val="24"/>
          <w:szCs w:val="24"/>
        </w:rPr>
        <w:t xml:space="preserve">objętej </w:t>
      </w:r>
      <w:r w:rsidRPr="00C96268">
        <w:rPr>
          <w:rFonts w:ascii="Times New Roman" w:hAnsi="Times New Roman" w:cs="Times New Roman"/>
          <w:sz w:val="24"/>
          <w:szCs w:val="24"/>
        </w:rPr>
        <w:t>wskazanym wyborem ponownie oblicza się kwalifikowany dochód (stratę) za okres retrospekcji. Tym samym, za takie lata należy ponownie obliczyć efektywną stawkę podatkową oraz obliczyć dodatkowy podatek wyrównawczy.</w:t>
      </w:r>
    </w:p>
    <w:p w14:paraId="6AAD94EF" w14:textId="62232461" w:rsidR="002D1512" w:rsidRPr="00C96268" w:rsidRDefault="002D1512" w:rsidP="002B2F73">
      <w:pPr>
        <w:spacing w:after="120"/>
        <w:ind w:left="284"/>
        <w:jc w:val="both"/>
        <w:rPr>
          <w:rFonts w:ascii="Times New Roman" w:hAnsi="Times New Roman" w:cs="Times New Roman"/>
          <w:b/>
          <w:bCs/>
          <w:sz w:val="24"/>
          <w:szCs w:val="24"/>
        </w:rPr>
      </w:pPr>
      <w:r w:rsidRPr="00C96268">
        <w:rPr>
          <w:rFonts w:ascii="Times New Roman" w:hAnsi="Times New Roman" w:cs="Times New Roman"/>
          <w:b/>
          <w:bCs/>
          <w:sz w:val="24"/>
          <w:szCs w:val="24"/>
        </w:rPr>
        <w:t>Przykład</w:t>
      </w:r>
      <w:r w:rsidRPr="00C96268">
        <w:rPr>
          <w:rStyle w:val="Odwoanieprzypisudolnego"/>
          <w:rFonts w:ascii="Times New Roman" w:hAnsi="Times New Roman" w:cs="Times New Roman"/>
          <w:sz w:val="24"/>
          <w:szCs w:val="24"/>
        </w:rPr>
        <w:footnoteReference w:id="127"/>
      </w:r>
    </w:p>
    <w:p w14:paraId="3DF4C503" w14:textId="3AC83222" w:rsidR="002D1512" w:rsidRPr="00C96268" w:rsidRDefault="002D1512" w:rsidP="002B2F73">
      <w:pPr>
        <w:ind w:left="567" w:hanging="283"/>
        <w:jc w:val="both"/>
        <w:rPr>
          <w:rFonts w:ascii="Times New Roman" w:hAnsi="Times New Roman" w:cs="Times New Roman"/>
          <w:i/>
          <w:iCs/>
          <w:sz w:val="24"/>
          <w:szCs w:val="24"/>
        </w:rPr>
      </w:pPr>
      <w:r w:rsidRPr="00C96268">
        <w:rPr>
          <w:rFonts w:ascii="Times New Roman" w:hAnsi="Times New Roman" w:cs="Times New Roman"/>
          <w:i/>
          <w:iCs/>
          <w:sz w:val="24"/>
          <w:szCs w:val="24"/>
        </w:rPr>
        <w:t>1.</w:t>
      </w:r>
      <w:r w:rsidRPr="00C96268">
        <w:rPr>
          <w:rFonts w:ascii="Times New Roman" w:hAnsi="Times New Roman" w:cs="Times New Roman"/>
          <w:i/>
          <w:iCs/>
          <w:sz w:val="24"/>
          <w:szCs w:val="24"/>
        </w:rPr>
        <w:tab/>
        <w:t xml:space="preserve">A Co jest jednostką składową grupy zlokalizowaną w </w:t>
      </w:r>
      <w:r w:rsidR="00EF17F2" w:rsidRPr="00C96268">
        <w:rPr>
          <w:rFonts w:ascii="Times New Roman" w:hAnsi="Times New Roman" w:cs="Times New Roman"/>
          <w:i/>
          <w:iCs/>
          <w:sz w:val="24"/>
          <w:szCs w:val="24"/>
        </w:rPr>
        <w:t>jurysdykcji</w:t>
      </w:r>
      <w:r w:rsidR="00EF17F2" w:rsidRPr="00C96268" w:rsidDel="00EF17F2">
        <w:rPr>
          <w:rFonts w:ascii="Times New Roman" w:hAnsi="Times New Roman" w:cs="Times New Roman"/>
          <w:i/>
          <w:iCs/>
          <w:sz w:val="24"/>
          <w:szCs w:val="24"/>
        </w:rPr>
        <w:t xml:space="preserve"> </w:t>
      </w:r>
      <w:r w:rsidRPr="00C96268">
        <w:rPr>
          <w:rFonts w:ascii="Times New Roman" w:hAnsi="Times New Roman" w:cs="Times New Roman"/>
          <w:i/>
          <w:iCs/>
          <w:sz w:val="24"/>
          <w:szCs w:val="24"/>
        </w:rPr>
        <w:t xml:space="preserve">A oraz posiada nieruchomości położone w </w:t>
      </w:r>
      <w:r w:rsidR="00EF17F2" w:rsidRPr="00C96268">
        <w:rPr>
          <w:rFonts w:ascii="Times New Roman" w:hAnsi="Times New Roman" w:cs="Times New Roman"/>
          <w:i/>
          <w:iCs/>
          <w:sz w:val="24"/>
          <w:szCs w:val="24"/>
        </w:rPr>
        <w:t>tej jurysdykcji</w:t>
      </w:r>
      <w:r w:rsidR="00EF17F2" w:rsidRPr="00C96268" w:rsidDel="00EF17F2">
        <w:rPr>
          <w:rFonts w:ascii="Times New Roman" w:hAnsi="Times New Roman" w:cs="Times New Roman"/>
          <w:i/>
          <w:iCs/>
          <w:sz w:val="24"/>
          <w:szCs w:val="24"/>
        </w:rPr>
        <w:t xml:space="preserve"> </w:t>
      </w:r>
      <w:r w:rsidRPr="00C96268">
        <w:rPr>
          <w:rFonts w:ascii="Times New Roman" w:hAnsi="Times New Roman" w:cs="Times New Roman"/>
          <w:i/>
          <w:iCs/>
          <w:sz w:val="24"/>
          <w:szCs w:val="24"/>
        </w:rPr>
        <w:t xml:space="preserve">(lokalne aktywa trwałe). W roku 3 jednostka A Co zbyła jedną z nieruchomości na rzecz osób spoza grupy i poniosła stratę netto w wysokości 25 euro. W roku 5 jednostka A Co zbyła pozostałe nieruchomości na rzecz osób spoza grupy za kwotę 300 euro. Wartość bilansowa zbytych w roku 5 nieruchomości wynosiła 100 euro. W związku z tym w roku 5 osiągnęła </w:t>
      </w:r>
      <w:r w:rsidR="00D97D75" w:rsidRPr="00C96268">
        <w:rPr>
          <w:rFonts w:ascii="Times New Roman" w:hAnsi="Times New Roman" w:cs="Times New Roman"/>
          <w:i/>
          <w:iCs/>
          <w:sz w:val="24"/>
          <w:szCs w:val="24"/>
        </w:rPr>
        <w:t>zysk netto</w:t>
      </w:r>
      <w:r w:rsidRPr="00C96268">
        <w:rPr>
          <w:rFonts w:ascii="Times New Roman" w:hAnsi="Times New Roman" w:cs="Times New Roman"/>
          <w:i/>
          <w:iCs/>
          <w:sz w:val="24"/>
          <w:szCs w:val="24"/>
        </w:rPr>
        <w:t xml:space="preserve"> z lokalnych aktywów trwałych w wysokości 200 euro.</w:t>
      </w:r>
      <w:r w:rsidR="00D97D75" w:rsidRPr="00C96268">
        <w:rPr>
          <w:rFonts w:ascii="Times New Roman" w:hAnsi="Times New Roman" w:cs="Times New Roman"/>
          <w:i/>
          <w:iCs/>
          <w:sz w:val="24"/>
          <w:szCs w:val="24"/>
        </w:rPr>
        <w:t xml:space="preserve"> Z uwagi na to, że w ramach niniejszego przykładu nie występują inne transakcje za ten rok ani inne jednostki składowe, 200 euro będzie zarazem stanowić zagregowany zysk netto.</w:t>
      </w:r>
      <w:r w:rsidRPr="00C96268">
        <w:rPr>
          <w:rFonts w:ascii="Times New Roman" w:hAnsi="Times New Roman" w:cs="Times New Roman"/>
          <w:i/>
          <w:iCs/>
          <w:sz w:val="24"/>
          <w:szCs w:val="24"/>
        </w:rPr>
        <w:t xml:space="preserve"> A Co dokonała rocznego wyboru dotyczącego zbycia lokalnych aktywów trwałych w odniesieniu do tego zagregowanego zysku</w:t>
      </w:r>
      <w:r w:rsidR="00D97D75" w:rsidRPr="00C96268">
        <w:rPr>
          <w:rFonts w:ascii="Times New Roman" w:hAnsi="Times New Roman" w:cs="Times New Roman"/>
          <w:i/>
          <w:iCs/>
          <w:sz w:val="24"/>
          <w:szCs w:val="24"/>
        </w:rPr>
        <w:t xml:space="preserve"> netto</w:t>
      </w:r>
      <w:r w:rsidRPr="00C96268">
        <w:rPr>
          <w:rFonts w:ascii="Times New Roman" w:hAnsi="Times New Roman" w:cs="Times New Roman"/>
          <w:i/>
          <w:iCs/>
          <w:sz w:val="24"/>
          <w:szCs w:val="24"/>
        </w:rPr>
        <w:t xml:space="preserve"> w roku 5.</w:t>
      </w:r>
    </w:p>
    <w:p w14:paraId="7236CC05" w14:textId="06E49286" w:rsidR="002D1512" w:rsidRPr="00C96268" w:rsidRDefault="002D1512" w:rsidP="002B2F73">
      <w:pPr>
        <w:ind w:left="567" w:hanging="283"/>
        <w:jc w:val="both"/>
        <w:rPr>
          <w:rFonts w:ascii="Times New Roman" w:hAnsi="Times New Roman" w:cs="Times New Roman"/>
          <w:i/>
          <w:iCs/>
          <w:sz w:val="24"/>
          <w:szCs w:val="24"/>
        </w:rPr>
      </w:pPr>
      <w:r w:rsidRPr="00C96268">
        <w:rPr>
          <w:rFonts w:ascii="Times New Roman" w:hAnsi="Times New Roman" w:cs="Times New Roman"/>
          <w:i/>
          <w:iCs/>
          <w:sz w:val="24"/>
          <w:szCs w:val="24"/>
        </w:rPr>
        <w:t>2.</w:t>
      </w:r>
      <w:r w:rsidRPr="00C96268">
        <w:rPr>
          <w:rFonts w:ascii="Times New Roman" w:hAnsi="Times New Roman" w:cs="Times New Roman"/>
          <w:i/>
          <w:iCs/>
          <w:sz w:val="24"/>
          <w:szCs w:val="24"/>
        </w:rPr>
        <w:tab/>
        <w:t>Ponieważ w roku 3</w:t>
      </w:r>
      <w:r w:rsidR="00D97D75" w:rsidRPr="00C96268">
        <w:rPr>
          <w:rFonts w:ascii="Times New Roman" w:hAnsi="Times New Roman" w:cs="Times New Roman"/>
          <w:i/>
          <w:iCs/>
          <w:sz w:val="24"/>
          <w:szCs w:val="24"/>
        </w:rPr>
        <w:t xml:space="preserve"> jednostka</w:t>
      </w:r>
      <w:r w:rsidRPr="00C96268">
        <w:rPr>
          <w:rFonts w:ascii="Times New Roman" w:hAnsi="Times New Roman" w:cs="Times New Roman"/>
          <w:i/>
          <w:iCs/>
          <w:sz w:val="24"/>
          <w:szCs w:val="24"/>
        </w:rPr>
        <w:t xml:space="preserve"> A Co poniosła </w:t>
      </w:r>
      <w:r w:rsidR="00D97D75" w:rsidRPr="00C96268">
        <w:rPr>
          <w:rFonts w:ascii="Times New Roman" w:hAnsi="Times New Roman" w:cs="Times New Roman"/>
          <w:i/>
          <w:iCs/>
          <w:sz w:val="24"/>
          <w:szCs w:val="24"/>
        </w:rPr>
        <w:t>stratę</w:t>
      </w:r>
      <w:r w:rsidRPr="00C96268">
        <w:rPr>
          <w:rFonts w:ascii="Times New Roman" w:hAnsi="Times New Roman" w:cs="Times New Roman"/>
          <w:i/>
          <w:iCs/>
          <w:sz w:val="24"/>
          <w:szCs w:val="24"/>
        </w:rPr>
        <w:t xml:space="preserve"> netto</w:t>
      </w:r>
      <w:r w:rsidR="00D97D75" w:rsidRPr="00C96268">
        <w:rPr>
          <w:rFonts w:ascii="Times New Roman" w:hAnsi="Times New Roman" w:cs="Times New Roman"/>
          <w:i/>
          <w:iCs/>
          <w:sz w:val="24"/>
          <w:szCs w:val="24"/>
        </w:rPr>
        <w:t xml:space="preserve"> ze zbycia lokalnych aktywów trwałych</w:t>
      </w:r>
      <w:r w:rsidRPr="00C96268">
        <w:rPr>
          <w:rFonts w:ascii="Times New Roman" w:hAnsi="Times New Roman" w:cs="Times New Roman"/>
          <w:i/>
          <w:iCs/>
          <w:sz w:val="24"/>
          <w:szCs w:val="24"/>
        </w:rPr>
        <w:t xml:space="preserve"> w wysokości 25 euro, A Co musi najpierw przyporządkować 25 euro z</w:t>
      </w:r>
      <w:r w:rsidR="00D97D75" w:rsidRPr="00C96268">
        <w:rPr>
          <w:rFonts w:ascii="Times New Roman" w:hAnsi="Times New Roman" w:cs="Times New Roman"/>
          <w:i/>
          <w:iCs/>
          <w:sz w:val="24"/>
          <w:szCs w:val="24"/>
        </w:rPr>
        <w:t>e zagregowanego zysku netto</w:t>
      </w:r>
      <w:r w:rsidRPr="00C96268">
        <w:rPr>
          <w:rFonts w:ascii="Times New Roman" w:hAnsi="Times New Roman" w:cs="Times New Roman"/>
          <w:i/>
          <w:iCs/>
          <w:sz w:val="24"/>
          <w:szCs w:val="24"/>
        </w:rPr>
        <w:t xml:space="preserve"> do roku 3. </w:t>
      </w:r>
      <w:r w:rsidR="00D97D75" w:rsidRPr="00C96268">
        <w:rPr>
          <w:rFonts w:ascii="Times New Roman" w:hAnsi="Times New Roman" w:cs="Times New Roman"/>
          <w:i/>
          <w:iCs/>
          <w:sz w:val="24"/>
          <w:szCs w:val="24"/>
        </w:rPr>
        <w:t>Zagregowany zysk netto</w:t>
      </w:r>
      <w:r w:rsidRPr="00C96268">
        <w:rPr>
          <w:rFonts w:ascii="Times New Roman" w:hAnsi="Times New Roman" w:cs="Times New Roman"/>
          <w:i/>
          <w:iCs/>
          <w:sz w:val="24"/>
          <w:szCs w:val="24"/>
        </w:rPr>
        <w:t xml:space="preserve"> należy najpierw przenieść na najwcześniejszy rok straty.</w:t>
      </w:r>
    </w:p>
    <w:p w14:paraId="3B3DC40B" w14:textId="693CED9A" w:rsidR="002D1512" w:rsidRPr="00C96268" w:rsidRDefault="002D1512" w:rsidP="002B2F73">
      <w:pPr>
        <w:ind w:left="567" w:hanging="283"/>
        <w:jc w:val="both"/>
        <w:rPr>
          <w:rFonts w:ascii="Times New Roman" w:hAnsi="Times New Roman" w:cs="Times New Roman"/>
          <w:i/>
          <w:iCs/>
          <w:sz w:val="24"/>
          <w:szCs w:val="24"/>
        </w:rPr>
      </w:pPr>
      <w:r w:rsidRPr="00C96268">
        <w:rPr>
          <w:rFonts w:ascii="Times New Roman" w:hAnsi="Times New Roman" w:cs="Times New Roman"/>
          <w:i/>
          <w:iCs/>
          <w:sz w:val="24"/>
          <w:szCs w:val="24"/>
        </w:rPr>
        <w:t>3.</w:t>
      </w:r>
      <w:r w:rsidRPr="00C96268">
        <w:rPr>
          <w:rFonts w:ascii="Times New Roman" w:hAnsi="Times New Roman" w:cs="Times New Roman"/>
          <w:i/>
          <w:iCs/>
          <w:sz w:val="24"/>
          <w:szCs w:val="24"/>
        </w:rPr>
        <w:tab/>
        <w:t xml:space="preserve">Następnie, A Co musi rozdzielić pozostałe 175 euro równomiernie na każdy rok podatkowy w okresie </w:t>
      </w:r>
      <w:r w:rsidR="00D97D75" w:rsidRPr="00C96268">
        <w:rPr>
          <w:rFonts w:ascii="Times New Roman" w:hAnsi="Times New Roman" w:cs="Times New Roman"/>
          <w:i/>
          <w:iCs/>
          <w:sz w:val="24"/>
          <w:szCs w:val="24"/>
        </w:rPr>
        <w:t>retrospekcji.</w:t>
      </w:r>
      <w:r w:rsidRPr="00C96268">
        <w:rPr>
          <w:rFonts w:ascii="Times New Roman" w:hAnsi="Times New Roman" w:cs="Times New Roman"/>
          <w:i/>
          <w:iCs/>
          <w:sz w:val="24"/>
          <w:szCs w:val="24"/>
        </w:rPr>
        <w:t xml:space="preserve"> Skutkuje to przeniesieniem kwoty 35 euro</w:t>
      </w:r>
      <w:r w:rsidR="00D97D75" w:rsidRPr="00C96268">
        <w:rPr>
          <w:rFonts w:ascii="Times New Roman" w:hAnsi="Times New Roman" w:cs="Times New Roman"/>
          <w:i/>
          <w:iCs/>
          <w:sz w:val="24"/>
          <w:szCs w:val="24"/>
        </w:rPr>
        <w:t xml:space="preserve"> (175/5)</w:t>
      </w:r>
      <w:r w:rsidRPr="00C96268">
        <w:rPr>
          <w:rFonts w:ascii="Times New Roman" w:hAnsi="Times New Roman" w:cs="Times New Roman"/>
          <w:i/>
          <w:iCs/>
          <w:sz w:val="24"/>
          <w:szCs w:val="24"/>
        </w:rPr>
        <w:t xml:space="preserve"> na każdy rok podatkowy w okresie </w:t>
      </w:r>
      <w:r w:rsidR="00D97D75" w:rsidRPr="00C96268">
        <w:rPr>
          <w:rFonts w:ascii="Times New Roman" w:hAnsi="Times New Roman" w:cs="Times New Roman"/>
          <w:i/>
          <w:iCs/>
          <w:sz w:val="24"/>
          <w:szCs w:val="24"/>
        </w:rPr>
        <w:t>retrospekcji</w:t>
      </w:r>
      <w:r w:rsidRPr="00C96268">
        <w:rPr>
          <w:rFonts w:ascii="Times New Roman" w:hAnsi="Times New Roman" w:cs="Times New Roman"/>
          <w:i/>
          <w:iCs/>
          <w:sz w:val="24"/>
          <w:szCs w:val="24"/>
        </w:rPr>
        <w:t>.</w:t>
      </w:r>
    </w:p>
    <w:p w14:paraId="6D8F80A8" w14:textId="7A437998" w:rsidR="002D1512" w:rsidRPr="00C96268" w:rsidRDefault="002D1512" w:rsidP="002B2F73">
      <w:pPr>
        <w:ind w:left="567" w:hanging="283"/>
        <w:jc w:val="both"/>
        <w:rPr>
          <w:rFonts w:ascii="Times New Roman" w:hAnsi="Times New Roman" w:cs="Times New Roman"/>
          <w:i/>
          <w:iCs/>
          <w:sz w:val="24"/>
          <w:szCs w:val="24"/>
        </w:rPr>
      </w:pPr>
      <w:r w:rsidRPr="00C96268">
        <w:rPr>
          <w:rFonts w:ascii="Times New Roman" w:hAnsi="Times New Roman" w:cs="Times New Roman"/>
          <w:i/>
          <w:iCs/>
          <w:sz w:val="24"/>
          <w:szCs w:val="24"/>
        </w:rPr>
        <w:t>5.</w:t>
      </w:r>
      <w:r w:rsidRPr="00C96268">
        <w:rPr>
          <w:rFonts w:ascii="Times New Roman" w:hAnsi="Times New Roman" w:cs="Times New Roman"/>
          <w:i/>
          <w:iCs/>
          <w:sz w:val="24"/>
          <w:szCs w:val="24"/>
        </w:rPr>
        <w:tab/>
        <w:t xml:space="preserve">Alokacja </w:t>
      </w:r>
      <w:r w:rsidR="00D97D75" w:rsidRPr="00C96268">
        <w:rPr>
          <w:rFonts w:ascii="Times New Roman" w:hAnsi="Times New Roman" w:cs="Times New Roman"/>
          <w:i/>
          <w:iCs/>
          <w:sz w:val="24"/>
          <w:szCs w:val="24"/>
        </w:rPr>
        <w:t>zagregowanego</w:t>
      </w:r>
      <w:r w:rsidRPr="00C96268">
        <w:rPr>
          <w:rFonts w:ascii="Times New Roman" w:hAnsi="Times New Roman" w:cs="Times New Roman"/>
          <w:i/>
          <w:iCs/>
          <w:sz w:val="24"/>
          <w:szCs w:val="24"/>
        </w:rPr>
        <w:t xml:space="preserve"> zysku </w:t>
      </w:r>
      <w:r w:rsidR="00D97D75" w:rsidRPr="00C96268">
        <w:rPr>
          <w:rFonts w:ascii="Times New Roman" w:hAnsi="Times New Roman" w:cs="Times New Roman"/>
          <w:i/>
          <w:iCs/>
          <w:sz w:val="24"/>
          <w:szCs w:val="24"/>
        </w:rPr>
        <w:t>netto</w:t>
      </w:r>
      <w:r w:rsidRPr="00C96268">
        <w:rPr>
          <w:rFonts w:ascii="Times New Roman" w:hAnsi="Times New Roman" w:cs="Times New Roman"/>
          <w:i/>
          <w:iCs/>
          <w:sz w:val="24"/>
          <w:szCs w:val="24"/>
        </w:rPr>
        <w:t xml:space="preserve"> </w:t>
      </w:r>
      <w:r w:rsidR="00D97D75" w:rsidRPr="00C96268">
        <w:rPr>
          <w:rFonts w:ascii="Times New Roman" w:hAnsi="Times New Roman" w:cs="Times New Roman"/>
          <w:i/>
          <w:iCs/>
          <w:sz w:val="24"/>
          <w:szCs w:val="24"/>
        </w:rPr>
        <w:t>do okresu retrospekcji</w:t>
      </w:r>
      <w:r w:rsidRPr="00C96268">
        <w:rPr>
          <w:rFonts w:ascii="Times New Roman" w:hAnsi="Times New Roman" w:cs="Times New Roman"/>
          <w:i/>
          <w:iCs/>
          <w:sz w:val="24"/>
          <w:szCs w:val="24"/>
        </w:rPr>
        <w:t xml:space="preserve"> może być podsumowana w następujący sposób:</w:t>
      </w:r>
    </w:p>
    <w:tbl>
      <w:tblPr>
        <w:tblW w:w="8505" w:type="dxa"/>
        <w:tblInd w:w="704" w:type="dxa"/>
        <w:tblLayout w:type="fixed"/>
        <w:tblCellMar>
          <w:left w:w="10" w:type="dxa"/>
          <w:right w:w="10" w:type="dxa"/>
        </w:tblCellMar>
        <w:tblLook w:val="04A0" w:firstRow="1" w:lastRow="0" w:firstColumn="1" w:lastColumn="0" w:noHBand="0" w:noVBand="1"/>
      </w:tblPr>
      <w:tblGrid>
        <w:gridCol w:w="1716"/>
        <w:gridCol w:w="1133"/>
        <w:gridCol w:w="1128"/>
        <w:gridCol w:w="1138"/>
        <w:gridCol w:w="1147"/>
        <w:gridCol w:w="2243"/>
      </w:tblGrid>
      <w:tr w:rsidR="002D1512" w:rsidRPr="003E7A67" w14:paraId="6736B594" w14:textId="77777777" w:rsidTr="00D97D75">
        <w:trPr>
          <w:trHeight w:val="514"/>
        </w:trPr>
        <w:tc>
          <w:tcPr>
            <w:tcW w:w="1716" w:type="dxa"/>
            <w:tcBorders>
              <w:top w:val="single" w:sz="4" w:space="0" w:color="auto"/>
              <w:left w:val="single" w:sz="4" w:space="0" w:color="auto"/>
              <w:bottom w:val="nil"/>
              <w:right w:val="nil"/>
            </w:tcBorders>
            <w:shd w:val="clear" w:color="auto" w:fill="D9D9D9" w:themeFill="background1" w:themeFillShade="D9"/>
            <w:vAlign w:val="center"/>
            <w:hideMark/>
          </w:tcPr>
          <w:p w14:paraId="354798B4" w14:textId="529B9184" w:rsidR="002D1512" w:rsidRPr="003E7A67" w:rsidRDefault="00D97D75" w:rsidP="00AD6F00">
            <w:pPr>
              <w:ind w:left="567" w:hanging="283"/>
              <w:rPr>
                <w:b/>
                <w:bCs/>
                <w:i/>
                <w:iCs/>
              </w:rPr>
            </w:pPr>
            <w:r w:rsidRPr="003E7A67">
              <w:rPr>
                <w:b/>
                <w:bCs/>
                <w:i/>
                <w:iCs/>
              </w:rPr>
              <w:t xml:space="preserve">Zagregowany </w:t>
            </w:r>
            <w:r w:rsidRPr="003E7A67">
              <w:rPr>
                <w:b/>
                <w:bCs/>
                <w:i/>
                <w:iCs/>
              </w:rPr>
              <w:br/>
              <w:t>zysk netto</w:t>
            </w:r>
          </w:p>
        </w:tc>
        <w:tc>
          <w:tcPr>
            <w:tcW w:w="1133" w:type="dxa"/>
            <w:tcBorders>
              <w:top w:val="single" w:sz="4" w:space="0" w:color="auto"/>
              <w:left w:val="single" w:sz="4" w:space="0" w:color="auto"/>
              <w:bottom w:val="nil"/>
              <w:right w:val="nil"/>
            </w:tcBorders>
            <w:shd w:val="clear" w:color="auto" w:fill="D9D9D9" w:themeFill="background1" w:themeFillShade="D9"/>
            <w:vAlign w:val="center"/>
            <w:hideMark/>
          </w:tcPr>
          <w:p w14:paraId="16BA0BFB" w14:textId="77777777" w:rsidR="002D1512" w:rsidRPr="003E7A67" w:rsidRDefault="002D1512" w:rsidP="00AD6F00">
            <w:pPr>
              <w:ind w:left="567" w:hanging="283"/>
              <w:rPr>
                <w:i/>
                <w:iCs/>
              </w:rPr>
            </w:pPr>
            <w:r w:rsidRPr="003E7A67">
              <w:rPr>
                <w:b/>
                <w:bCs/>
                <w:i/>
                <w:iCs/>
              </w:rPr>
              <w:t>Rok 1</w:t>
            </w:r>
          </w:p>
        </w:tc>
        <w:tc>
          <w:tcPr>
            <w:tcW w:w="1128" w:type="dxa"/>
            <w:tcBorders>
              <w:top w:val="single" w:sz="4" w:space="0" w:color="auto"/>
              <w:left w:val="single" w:sz="4" w:space="0" w:color="auto"/>
              <w:bottom w:val="nil"/>
              <w:right w:val="nil"/>
            </w:tcBorders>
            <w:shd w:val="clear" w:color="auto" w:fill="D9D9D9" w:themeFill="background1" w:themeFillShade="D9"/>
            <w:vAlign w:val="center"/>
            <w:hideMark/>
          </w:tcPr>
          <w:p w14:paraId="7A6A66CF" w14:textId="77777777" w:rsidR="002D1512" w:rsidRPr="003E7A67" w:rsidRDefault="002D1512" w:rsidP="00AD6F00">
            <w:pPr>
              <w:ind w:left="567" w:hanging="283"/>
              <w:rPr>
                <w:i/>
                <w:iCs/>
              </w:rPr>
            </w:pPr>
            <w:r w:rsidRPr="003E7A67">
              <w:rPr>
                <w:b/>
                <w:bCs/>
                <w:i/>
                <w:iCs/>
              </w:rPr>
              <w:t>Rok 2</w:t>
            </w:r>
          </w:p>
        </w:tc>
        <w:tc>
          <w:tcPr>
            <w:tcW w:w="1138" w:type="dxa"/>
            <w:tcBorders>
              <w:top w:val="single" w:sz="4" w:space="0" w:color="auto"/>
              <w:left w:val="single" w:sz="4" w:space="0" w:color="auto"/>
              <w:bottom w:val="nil"/>
              <w:right w:val="nil"/>
            </w:tcBorders>
            <w:shd w:val="clear" w:color="auto" w:fill="D9D9D9" w:themeFill="background1" w:themeFillShade="D9"/>
            <w:vAlign w:val="center"/>
            <w:hideMark/>
          </w:tcPr>
          <w:p w14:paraId="5EF7101A" w14:textId="77777777" w:rsidR="002D1512" w:rsidRPr="003E7A67" w:rsidRDefault="002D1512" w:rsidP="00AD6F00">
            <w:pPr>
              <w:ind w:left="567" w:hanging="283"/>
              <w:rPr>
                <w:i/>
                <w:iCs/>
              </w:rPr>
            </w:pPr>
            <w:r w:rsidRPr="003E7A67">
              <w:rPr>
                <w:b/>
                <w:bCs/>
                <w:i/>
                <w:iCs/>
              </w:rPr>
              <w:t>Rok 3</w:t>
            </w:r>
          </w:p>
        </w:tc>
        <w:tc>
          <w:tcPr>
            <w:tcW w:w="1147" w:type="dxa"/>
            <w:tcBorders>
              <w:top w:val="single" w:sz="4" w:space="0" w:color="auto"/>
              <w:left w:val="single" w:sz="4" w:space="0" w:color="auto"/>
              <w:bottom w:val="nil"/>
              <w:right w:val="nil"/>
            </w:tcBorders>
            <w:shd w:val="clear" w:color="auto" w:fill="D9D9D9" w:themeFill="background1" w:themeFillShade="D9"/>
            <w:vAlign w:val="center"/>
            <w:hideMark/>
          </w:tcPr>
          <w:p w14:paraId="4731ADDB" w14:textId="77777777" w:rsidR="002D1512" w:rsidRPr="003E7A67" w:rsidRDefault="002D1512" w:rsidP="00AD6F00">
            <w:pPr>
              <w:ind w:left="567" w:hanging="283"/>
              <w:rPr>
                <w:i/>
                <w:iCs/>
              </w:rPr>
            </w:pPr>
            <w:r w:rsidRPr="003E7A67">
              <w:rPr>
                <w:b/>
                <w:bCs/>
                <w:i/>
                <w:iCs/>
              </w:rPr>
              <w:t>Rok 4</w:t>
            </w:r>
          </w:p>
        </w:tc>
        <w:tc>
          <w:tcPr>
            <w:tcW w:w="2243"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57E7806D" w14:textId="06B2960D" w:rsidR="002D1512" w:rsidRPr="003E7A67" w:rsidRDefault="002D1512" w:rsidP="00AD6F00">
            <w:pPr>
              <w:ind w:left="567" w:hanging="283"/>
              <w:rPr>
                <w:i/>
                <w:iCs/>
              </w:rPr>
            </w:pPr>
            <w:r w:rsidRPr="003E7A67">
              <w:rPr>
                <w:b/>
                <w:bCs/>
                <w:i/>
                <w:iCs/>
              </w:rPr>
              <w:t>Rok 5 / Rok wyboru</w:t>
            </w:r>
          </w:p>
        </w:tc>
      </w:tr>
      <w:tr w:rsidR="002D1512" w:rsidRPr="003E7A67" w14:paraId="52DBEF2D" w14:textId="77777777" w:rsidTr="00D97D75">
        <w:trPr>
          <w:trHeight w:val="518"/>
        </w:trPr>
        <w:tc>
          <w:tcPr>
            <w:tcW w:w="1716" w:type="dxa"/>
            <w:tcBorders>
              <w:top w:val="single" w:sz="4" w:space="0" w:color="auto"/>
              <w:left w:val="single" w:sz="4" w:space="0" w:color="auto"/>
              <w:bottom w:val="single" w:sz="4" w:space="0" w:color="auto"/>
              <w:right w:val="nil"/>
            </w:tcBorders>
            <w:shd w:val="clear" w:color="auto" w:fill="FFFFFF"/>
            <w:vAlign w:val="center"/>
            <w:hideMark/>
          </w:tcPr>
          <w:p w14:paraId="38E0E2C1" w14:textId="77777777" w:rsidR="002D1512" w:rsidRPr="003E7A67" w:rsidRDefault="002D1512" w:rsidP="00AD6F00">
            <w:pPr>
              <w:ind w:left="567" w:hanging="283"/>
              <w:rPr>
                <w:b/>
                <w:bCs/>
                <w:i/>
                <w:iCs/>
              </w:rPr>
            </w:pPr>
            <w:r w:rsidRPr="003E7A67">
              <w:rPr>
                <w:b/>
                <w:bCs/>
                <w:i/>
                <w:iCs/>
              </w:rPr>
              <w:t>200 euro</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14:paraId="2667E6D9" w14:textId="77777777" w:rsidR="002D1512" w:rsidRPr="003E7A67" w:rsidRDefault="002D1512" w:rsidP="00AD6F00">
            <w:pPr>
              <w:ind w:left="567" w:hanging="283"/>
              <w:rPr>
                <w:i/>
                <w:iCs/>
              </w:rPr>
            </w:pPr>
            <w:r w:rsidRPr="003E7A67">
              <w:rPr>
                <w:i/>
                <w:iCs/>
              </w:rPr>
              <w:t>35 euro</w:t>
            </w:r>
          </w:p>
        </w:tc>
        <w:tc>
          <w:tcPr>
            <w:tcW w:w="1128" w:type="dxa"/>
            <w:tcBorders>
              <w:top w:val="single" w:sz="4" w:space="0" w:color="auto"/>
              <w:left w:val="single" w:sz="4" w:space="0" w:color="auto"/>
              <w:bottom w:val="single" w:sz="4" w:space="0" w:color="auto"/>
              <w:right w:val="nil"/>
            </w:tcBorders>
            <w:shd w:val="clear" w:color="auto" w:fill="FFFFFF"/>
            <w:vAlign w:val="center"/>
            <w:hideMark/>
          </w:tcPr>
          <w:p w14:paraId="7B0FD969" w14:textId="77777777" w:rsidR="002D1512" w:rsidRPr="003E7A67" w:rsidRDefault="002D1512" w:rsidP="00AD6F00">
            <w:pPr>
              <w:ind w:left="567" w:hanging="283"/>
              <w:rPr>
                <w:i/>
                <w:iCs/>
              </w:rPr>
            </w:pPr>
            <w:r w:rsidRPr="003E7A67">
              <w:rPr>
                <w:i/>
                <w:iCs/>
              </w:rPr>
              <w:t>35 euro</w:t>
            </w:r>
          </w:p>
        </w:tc>
        <w:tc>
          <w:tcPr>
            <w:tcW w:w="1138" w:type="dxa"/>
            <w:tcBorders>
              <w:top w:val="single" w:sz="4" w:space="0" w:color="auto"/>
              <w:left w:val="single" w:sz="4" w:space="0" w:color="auto"/>
              <w:bottom w:val="single" w:sz="4" w:space="0" w:color="auto"/>
              <w:right w:val="nil"/>
            </w:tcBorders>
            <w:shd w:val="clear" w:color="auto" w:fill="FFFFFF"/>
            <w:vAlign w:val="center"/>
            <w:hideMark/>
          </w:tcPr>
          <w:p w14:paraId="2A149565" w14:textId="3E5DAEAA" w:rsidR="002D1512" w:rsidRPr="003E7A67" w:rsidRDefault="002D1512" w:rsidP="00AD6F00">
            <w:pPr>
              <w:ind w:left="121"/>
              <w:rPr>
                <w:i/>
                <w:iCs/>
              </w:rPr>
            </w:pPr>
            <w:r w:rsidRPr="003E7A67">
              <w:rPr>
                <w:i/>
                <w:iCs/>
              </w:rPr>
              <w:t>60 euro</w:t>
            </w:r>
            <w:r w:rsidR="00D97D75" w:rsidRPr="003E7A67">
              <w:rPr>
                <w:i/>
                <w:iCs/>
              </w:rPr>
              <w:t xml:space="preserve"> (=25+35)</w:t>
            </w:r>
          </w:p>
        </w:tc>
        <w:tc>
          <w:tcPr>
            <w:tcW w:w="1147" w:type="dxa"/>
            <w:tcBorders>
              <w:top w:val="single" w:sz="4" w:space="0" w:color="auto"/>
              <w:left w:val="single" w:sz="4" w:space="0" w:color="auto"/>
              <w:bottom w:val="single" w:sz="4" w:space="0" w:color="auto"/>
              <w:right w:val="nil"/>
            </w:tcBorders>
            <w:shd w:val="clear" w:color="auto" w:fill="FFFFFF"/>
            <w:vAlign w:val="center"/>
            <w:hideMark/>
          </w:tcPr>
          <w:p w14:paraId="72B40E18" w14:textId="77777777" w:rsidR="002D1512" w:rsidRPr="003E7A67" w:rsidRDefault="002D1512" w:rsidP="00AD6F00">
            <w:pPr>
              <w:ind w:left="567" w:hanging="283"/>
              <w:rPr>
                <w:i/>
                <w:iCs/>
              </w:rPr>
            </w:pPr>
            <w:r w:rsidRPr="003E7A67">
              <w:rPr>
                <w:i/>
                <w:iCs/>
              </w:rPr>
              <w:t>35 euro</w:t>
            </w:r>
          </w:p>
        </w:tc>
        <w:tc>
          <w:tcPr>
            <w:tcW w:w="22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D96B9" w14:textId="77777777" w:rsidR="002D1512" w:rsidRPr="003E7A67" w:rsidRDefault="002D1512" w:rsidP="00AD6F00">
            <w:pPr>
              <w:ind w:left="567" w:hanging="283"/>
              <w:rPr>
                <w:i/>
                <w:iCs/>
              </w:rPr>
            </w:pPr>
            <w:r w:rsidRPr="003E7A67">
              <w:rPr>
                <w:i/>
                <w:iCs/>
              </w:rPr>
              <w:t>35 euro</w:t>
            </w:r>
          </w:p>
        </w:tc>
      </w:tr>
    </w:tbl>
    <w:p w14:paraId="1D365516" w14:textId="3A7AE2CF" w:rsidR="00D97D75" w:rsidRPr="003E7A67" w:rsidRDefault="00D97D75" w:rsidP="00AD6F00">
      <w:pPr>
        <w:spacing w:before="120"/>
        <w:ind w:left="568" w:hanging="284"/>
        <w:jc w:val="both"/>
        <w:rPr>
          <w:i/>
          <w:iCs/>
        </w:rPr>
      </w:pPr>
      <w:r w:rsidRPr="003E7A67">
        <w:rPr>
          <w:i/>
          <w:iCs/>
        </w:rPr>
        <w:t>6.</w:t>
      </w:r>
      <w:r w:rsidRPr="003E7A67">
        <w:rPr>
          <w:i/>
          <w:iCs/>
        </w:rPr>
        <w:tab/>
        <w:t>Wskutek powyższych rozliczeń zmieni się kwalifikowany dochód (strata) A Co za lata objęte okresem retrospekcji. Stąd, za ten okres przelicza się efektywną stawkę podatkową i oblicza dodatkowy podatek wyrównawczy.</w:t>
      </w:r>
    </w:p>
    <w:p w14:paraId="46E50E66" w14:textId="2FE59D8F" w:rsidR="002E7C5D" w:rsidRPr="00C96268" w:rsidRDefault="002E7C5D" w:rsidP="002E7C5D">
      <w:pPr>
        <w:pStyle w:val="Nagwek5"/>
        <w:spacing w:before="240"/>
        <w:rPr>
          <w:rFonts w:ascii="Times New Roman" w:hAnsi="Times New Roman" w:cs="Times New Roman"/>
          <w:sz w:val="24"/>
          <w:szCs w:val="24"/>
        </w:rPr>
      </w:pPr>
      <w:bookmarkStart w:id="21" w:name="_Toc162450610"/>
      <w:r w:rsidRPr="00C96268">
        <w:rPr>
          <w:rFonts w:ascii="Times New Roman" w:hAnsi="Times New Roman" w:cs="Times New Roman"/>
          <w:sz w:val="24"/>
          <w:szCs w:val="24"/>
        </w:rPr>
        <w:t>Art. 60 [</w:t>
      </w:r>
      <w:r w:rsidRPr="00C96268">
        <w:rPr>
          <w:rFonts w:ascii="Times New Roman" w:hAnsi="Times New Roman" w:cs="Times New Roman"/>
          <w:iCs/>
          <w:sz w:val="24"/>
          <w:szCs w:val="24"/>
        </w:rPr>
        <w:t xml:space="preserve">Konsolidacja transakcji w </w:t>
      </w:r>
      <w:r w:rsidR="00EF17F2" w:rsidRPr="00C96268">
        <w:rPr>
          <w:rFonts w:ascii="Times New Roman" w:hAnsi="Times New Roman" w:cs="Times New Roman"/>
          <w:iCs/>
          <w:sz w:val="24"/>
          <w:szCs w:val="24"/>
        </w:rPr>
        <w:t>tej samej jurysdykcji</w:t>
      </w:r>
      <w:r w:rsidRPr="00C96268">
        <w:rPr>
          <w:rFonts w:ascii="Times New Roman" w:hAnsi="Times New Roman" w:cs="Times New Roman"/>
          <w:iCs/>
          <w:sz w:val="24"/>
          <w:szCs w:val="24"/>
        </w:rPr>
        <w:t>]</w:t>
      </w:r>
    </w:p>
    <w:p w14:paraId="5C662A35" w14:textId="2BD15685" w:rsidR="002E7C5D" w:rsidRPr="00C96268" w:rsidRDefault="002E7C5D" w:rsidP="002E7C5D">
      <w:pPr>
        <w:spacing w:after="120"/>
        <w:jc w:val="both"/>
        <w:rPr>
          <w:rFonts w:ascii="Times New Roman" w:hAnsi="Times New Roman" w:cs="Times New Roman"/>
          <w:iCs/>
          <w:sz w:val="24"/>
          <w:szCs w:val="24"/>
        </w:rPr>
      </w:pPr>
      <w:r w:rsidRPr="00C96268">
        <w:rPr>
          <w:rFonts w:ascii="Times New Roman" w:hAnsi="Times New Roman" w:cs="Times New Roman"/>
          <w:b/>
          <w:bCs/>
          <w:iCs/>
          <w:sz w:val="24"/>
          <w:szCs w:val="24"/>
        </w:rPr>
        <w:t>Art. 60</w:t>
      </w:r>
      <w:r w:rsidRPr="00C96268">
        <w:rPr>
          <w:rFonts w:ascii="Times New Roman" w:hAnsi="Times New Roman" w:cs="Times New Roman"/>
          <w:bCs/>
          <w:iCs/>
          <w:sz w:val="24"/>
          <w:szCs w:val="24"/>
        </w:rPr>
        <w:t xml:space="preserve"> stanowi implementację art. 16</w:t>
      </w:r>
      <w:r w:rsidR="00357A10" w:rsidRPr="00C96268">
        <w:rPr>
          <w:rFonts w:ascii="Times New Roman" w:hAnsi="Times New Roman" w:cs="Times New Roman"/>
          <w:bCs/>
          <w:iCs/>
          <w:sz w:val="24"/>
          <w:szCs w:val="24"/>
        </w:rPr>
        <w:t>.</w:t>
      </w:r>
      <w:r w:rsidRPr="00C96268">
        <w:rPr>
          <w:rFonts w:ascii="Times New Roman" w:hAnsi="Times New Roman" w:cs="Times New Roman"/>
          <w:bCs/>
          <w:iCs/>
          <w:sz w:val="24"/>
          <w:szCs w:val="24"/>
        </w:rPr>
        <w:t xml:space="preserve">9 Dyrektywy </w:t>
      </w:r>
      <w:r w:rsidRPr="00C96268">
        <w:rPr>
          <w:rFonts w:ascii="Times New Roman" w:hAnsi="Times New Roman" w:cs="Times New Roman"/>
          <w:iCs/>
          <w:sz w:val="24"/>
          <w:szCs w:val="24"/>
        </w:rPr>
        <w:t xml:space="preserve">dotyczącego wyboru konsolidacji transakcji </w:t>
      </w:r>
      <w:r w:rsidRPr="00C96268">
        <w:rPr>
          <w:rFonts w:ascii="Times New Roman" w:hAnsi="Times New Roman" w:cs="Times New Roman"/>
          <w:iCs/>
          <w:sz w:val="24"/>
          <w:szCs w:val="24"/>
        </w:rPr>
        <w:br/>
        <w:t xml:space="preserve">w </w:t>
      </w:r>
      <w:r w:rsidR="00EF17F2" w:rsidRPr="00C96268">
        <w:rPr>
          <w:rFonts w:ascii="Times New Roman" w:hAnsi="Times New Roman" w:cs="Times New Roman"/>
          <w:iCs/>
          <w:sz w:val="24"/>
          <w:szCs w:val="24"/>
        </w:rPr>
        <w:t xml:space="preserve">tej samej </w:t>
      </w:r>
      <w:r w:rsidR="00EF17F2" w:rsidRPr="00C96268">
        <w:rPr>
          <w:rFonts w:ascii="Times New Roman" w:hAnsi="Times New Roman" w:cs="Times New Roman"/>
          <w:sz w:val="24"/>
          <w:szCs w:val="24"/>
        </w:rPr>
        <w:t>jurysdykcji</w:t>
      </w:r>
      <w:r w:rsidRPr="00C96268">
        <w:rPr>
          <w:rFonts w:ascii="Times New Roman" w:hAnsi="Times New Roman" w:cs="Times New Roman"/>
          <w:iCs/>
          <w:sz w:val="24"/>
          <w:szCs w:val="24"/>
        </w:rPr>
        <w:t xml:space="preserve">. </w:t>
      </w:r>
    </w:p>
    <w:p w14:paraId="566E1436" w14:textId="023CBA6D" w:rsidR="002E7C5D" w:rsidRPr="00C96268" w:rsidRDefault="002E7C5D" w:rsidP="002E7C5D">
      <w:pPr>
        <w:pStyle w:val="USTustnpkodeksu"/>
        <w:spacing w:after="120" w:line="259" w:lineRule="auto"/>
        <w:ind w:firstLine="0"/>
        <w:rPr>
          <w:rFonts w:ascii="Times New Roman" w:eastAsiaTheme="minorHAnsi" w:hAnsi="Times New Roman" w:cs="Times New Roman"/>
          <w:bCs w:val="0"/>
          <w:color w:val="000000"/>
          <w:szCs w:val="24"/>
          <w:lang w:eastAsia="en-US"/>
        </w:rPr>
      </w:pPr>
      <w:r w:rsidRPr="00C96268">
        <w:rPr>
          <w:rFonts w:ascii="Times New Roman" w:eastAsiaTheme="minorHAnsi" w:hAnsi="Times New Roman" w:cs="Times New Roman"/>
          <w:bCs w:val="0"/>
          <w:color w:val="000000"/>
          <w:szCs w:val="24"/>
          <w:lang w:eastAsia="en-US"/>
        </w:rPr>
        <w:t xml:space="preserve">W </w:t>
      </w:r>
      <w:r w:rsidRPr="00C96268">
        <w:rPr>
          <w:rFonts w:ascii="Times New Roman" w:eastAsiaTheme="minorHAnsi" w:hAnsi="Times New Roman" w:cs="Times New Roman"/>
          <w:b/>
          <w:color w:val="000000"/>
          <w:szCs w:val="24"/>
          <w:lang w:eastAsia="en-US"/>
        </w:rPr>
        <w:t>ust. 1</w:t>
      </w:r>
      <w:r w:rsidRPr="00C96268">
        <w:rPr>
          <w:rFonts w:ascii="Times New Roman" w:eastAsiaTheme="minorHAnsi" w:hAnsi="Times New Roman" w:cs="Times New Roman"/>
          <w:bCs w:val="0"/>
          <w:color w:val="000000"/>
          <w:szCs w:val="24"/>
          <w:lang w:eastAsia="en-US"/>
        </w:rPr>
        <w:t xml:space="preserve"> wskazano na możliwość wyboru, który pozwala na stosowanie skonsolidowanego podejścia księgowego do </w:t>
      </w:r>
      <w:r w:rsidRPr="00C96268">
        <w:rPr>
          <w:rFonts w:ascii="Times New Roman" w:eastAsiaTheme="minorHAnsi" w:hAnsi="Times New Roman" w:cs="Times New Roman"/>
          <w:b/>
          <w:color w:val="000000"/>
          <w:szCs w:val="24"/>
          <w:lang w:eastAsia="en-US"/>
        </w:rPr>
        <w:t>transakcji między jednostkami składowymi podatkowej grupy kapitałowej</w:t>
      </w:r>
      <w:r w:rsidRPr="00C96268">
        <w:rPr>
          <w:rFonts w:ascii="Times New Roman" w:eastAsiaTheme="minorHAnsi" w:hAnsi="Times New Roman" w:cs="Times New Roman"/>
          <w:bCs w:val="0"/>
          <w:color w:val="000000"/>
          <w:szCs w:val="24"/>
          <w:lang w:eastAsia="en-US"/>
        </w:rPr>
        <w:t xml:space="preserve"> (w rozumieniu polskiej ustawy o CIT lub podobnych przepisów dotyczących konsolidacji podatkowej obowiązujących w </w:t>
      </w:r>
      <w:r w:rsidR="00EF17F2" w:rsidRPr="00C96268">
        <w:rPr>
          <w:rFonts w:ascii="Times New Roman" w:eastAsiaTheme="minorHAnsi" w:hAnsi="Times New Roman" w:cs="Times New Roman"/>
          <w:bCs w:val="0"/>
          <w:color w:val="000000"/>
          <w:szCs w:val="24"/>
          <w:lang w:eastAsia="en-US"/>
        </w:rPr>
        <w:t>jurysdykcjach</w:t>
      </w:r>
      <w:r w:rsidR="00EF17F2" w:rsidRPr="00C96268" w:rsidDel="00EF17F2">
        <w:rPr>
          <w:rFonts w:ascii="Times New Roman" w:eastAsiaTheme="minorHAnsi" w:hAnsi="Times New Roman" w:cs="Times New Roman"/>
          <w:bCs w:val="0"/>
          <w:color w:val="000000"/>
          <w:szCs w:val="24"/>
          <w:lang w:eastAsia="en-US"/>
        </w:rPr>
        <w:t xml:space="preserve"> </w:t>
      </w:r>
      <w:r w:rsidRPr="00C96268">
        <w:rPr>
          <w:rFonts w:ascii="Times New Roman" w:eastAsiaTheme="minorHAnsi" w:hAnsi="Times New Roman" w:cs="Times New Roman"/>
          <w:bCs w:val="0"/>
          <w:color w:val="000000"/>
          <w:szCs w:val="24"/>
          <w:lang w:eastAsia="en-US"/>
        </w:rPr>
        <w:t xml:space="preserve">innych niż </w:t>
      </w:r>
      <w:r w:rsidR="00EF17F2" w:rsidRPr="00C96268">
        <w:rPr>
          <w:rFonts w:ascii="Times New Roman" w:eastAsiaTheme="minorHAnsi" w:hAnsi="Times New Roman" w:cs="Times New Roman"/>
          <w:bCs w:val="0"/>
          <w:color w:val="000000"/>
          <w:szCs w:val="24"/>
          <w:lang w:eastAsia="en-US"/>
        </w:rPr>
        <w:t xml:space="preserve">Rzeczpospolita </w:t>
      </w:r>
      <w:r w:rsidRPr="00C96268">
        <w:rPr>
          <w:rFonts w:ascii="Times New Roman" w:eastAsiaTheme="minorHAnsi" w:hAnsi="Times New Roman" w:cs="Times New Roman"/>
          <w:bCs w:val="0"/>
          <w:color w:val="000000"/>
          <w:szCs w:val="24"/>
          <w:lang w:eastAsia="en-US"/>
        </w:rPr>
        <w:t xml:space="preserve">Polska), </w:t>
      </w:r>
      <w:r w:rsidRPr="00C96268">
        <w:rPr>
          <w:rFonts w:ascii="Times New Roman" w:eastAsiaTheme="minorHAnsi" w:hAnsi="Times New Roman" w:cs="Times New Roman"/>
          <w:b/>
          <w:color w:val="000000"/>
          <w:szCs w:val="24"/>
          <w:lang w:eastAsia="en-US"/>
        </w:rPr>
        <w:t xml:space="preserve">zlokalizowanymi w </w:t>
      </w:r>
      <w:r w:rsidR="00EF17F2" w:rsidRPr="00C96268">
        <w:rPr>
          <w:rFonts w:ascii="Times New Roman" w:eastAsiaTheme="minorHAnsi" w:hAnsi="Times New Roman" w:cs="Times New Roman"/>
          <w:b/>
          <w:color w:val="000000"/>
          <w:szCs w:val="24"/>
          <w:lang w:eastAsia="en-US"/>
        </w:rPr>
        <w:t>tej samej jurysdykcji</w:t>
      </w:r>
      <w:r w:rsidRPr="00C96268">
        <w:rPr>
          <w:rFonts w:ascii="Times New Roman" w:eastAsiaTheme="minorHAnsi" w:hAnsi="Times New Roman" w:cs="Times New Roman"/>
          <w:bCs w:val="0"/>
          <w:color w:val="000000"/>
          <w:szCs w:val="24"/>
          <w:lang w:eastAsia="en-US"/>
        </w:rPr>
        <w:t xml:space="preserve">. </w:t>
      </w:r>
    </w:p>
    <w:p w14:paraId="580A371A" w14:textId="4CB8C563" w:rsidR="002E7C5D" w:rsidRPr="00C96268" w:rsidRDefault="002E7C5D" w:rsidP="002E7C5D">
      <w:pPr>
        <w:pStyle w:val="USTustnpkodeksu"/>
        <w:spacing w:after="120" w:line="259" w:lineRule="auto"/>
        <w:ind w:firstLine="0"/>
        <w:rPr>
          <w:rFonts w:ascii="Times New Roman" w:eastAsiaTheme="minorHAnsi" w:hAnsi="Times New Roman" w:cs="Times New Roman"/>
          <w:bCs w:val="0"/>
          <w:color w:val="000000"/>
          <w:szCs w:val="24"/>
          <w:lang w:eastAsia="en-US"/>
        </w:rPr>
      </w:pPr>
      <w:r w:rsidRPr="00C96268">
        <w:rPr>
          <w:rFonts w:ascii="Times New Roman" w:eastAsiaTheme="minorHAnsi" w:hAnsi="Times New Roman" w:cs="Times New Roman"/>
          <w:bCs w:val="0"/>
          <w:color w:val="000000"/>
          <w:szCs w:val="24"/>
          <w:lang w:eastAsia="en-US"/>
        </w:rPr>
        <w:t xml:space="preserve">W przypadku dokonania takiego wyboru </w:t>
      </w:r>
      <w:r w:rsidRPr="00C96268">
        <w:rPr>
          <w:rFonts w:ascii="Times New Roman" w:eastAsiaTheme="minorHAnsi" w:hAnsi="Times New Roman" w:cs="Times New Roman"/>
          <w:b/>
          <w:color w:val="000000"/>
          <w:szCs w:val="24"/>
          <w:lang w:eastAsia="en-US"/>
        </w:rPr>
        <w:t>przychody, koszty, zyski i straty wynikające z transakcji pomiędzy jednostkami składowymi wyłącza się z obliczenia kwalifikowanego dochodu (straty)</w:t>
      </w:r>
      <w:r w:rsidRPr="00C96268">
        <w:rPr>
          <w:rFonts w:ascii="Times New Roman" w:eastAsiaTheme="minorHAnsi" w:hAnsi="Times New Roman" w:cs="Times New Roman"/>
          <w:bCs w:val="0"/>
          <w:color w:val="000000"/>
          <w:szCs w:val="24"/>
          <w:lang w:eastAsia="en-US"/>
        </w:rPr>
        <w:t xml:space="preserve">. Jest to podobne do sposobu, w jaki kwoty odnoszące się do transakcji między członkami grupy są eliminowane w ramach korekt konsolidacyjnych na potrzeby skonsolidowanego sprawozdania grupy. Ma to na celu zapobieżenie rozbieżnościom na gruncie Zasad GloBE, mogącym zaistnieć w sytuacji, gdy przychody, koszty, zyski i straty z krajowych transakcji wewnątrzgrupowych są traktowane jako neutralne podatkowo według przepisów </w:t>
      </w:r>
      <w:r w:rsidR="00EF17F2" w:rsidRPr="00C96268">
        <w:rPr>
          <w:rFonts w:ascii="Times New Roman" w:eastAsiaTheme="minorHAnsi" w:hAnsi="Times New Roman" w:cs="Times New Roman"/>
          <w:bCs w:val="0"/>
          <w:color w:val="000000"/>
          <w:szCs w:val="24"/>
          <w:lang w:eastAsia="en-US"/>
        </w:rPr>
        <w:t xml:space="preserve">danej </w:t>
      </w:r>
      <w:r w:rsidR="00EF17F2" w:rsidRPr="00C96268">
        <w:rPr>
          <w:rFonts w:ascii="Times New Roman" w:hAnsi="Times New Roman" w:cs="Times New Roman"/>
          <w:szCs w:val="24"/>
        </w:rPr>
        <w:t>jurysdykcji</w:t>
      </w:r>
      <w:r w:rsidRPr="00C96268">
        <w:rPr>
          <w:rFonts w:ascii="Times New Roman" w:eastAsiaTheme="minorHAnsi" w:hAnsi="Times New Roman" w:cs="Times New Roman"/>
          <w:bCs w:val="0"/>
          <w:color w:val="000000"/>
          <w:szCs w:val="24"/>
          <w:lang w:eastAsia="en-US"/>
        </w:rPr>
        <w:t xml:space="preserve">. </w:t>
      </w:r>
    </w:p>
    <w:p w14:paraId="1AF0D855" w14:textId="277542F4" w:rsidR="002E7C5D" w:rsidRPr="00C96268" w:rsidRDefault="002E7C5D" w:rsidP="002E7C5D">
      <w:pPr>
        <w:pStyle w:val="USTustnpkodeksu"/>
        <w:spacing w:after="120" w:line="259" w:lineRule="auto"/>
        <w:ind w:firstLine="0"/>
        <w:rPr>
          <w:rFonts w:ascii="Times New Roman" w:hAnsi="Times New Roman" w:cs="Times New Roman"/>
          <w:bCs w:val="0"/>
          <w:szCs w:val="24"/>
        </w:rPr>
      </w:pPr>
      <w:r w:rsidRPr="00C96268">
        <w:rPr>
          <w:rFonts w:ascii="Times New Roman" w:eastAsiaTheme="minorHAnsi" w:hAnsi="Times New Roman" w:cs="Times New Roman"/>
          <w:bCs w:val="0"/>
          <w:color w:val="000000"/>
          <w:szCs w:val="24"/>
          <w:lang w:eastAsia="en-US"/>
        </w:rPr>
        <w:t xml:space="preserve">W świetle Komentarza do </w:t>
      </w:r>
      <w:r w:rsidR="00595132" w:rsidRPr="00C96268">
        <w:rPr>
          <w:rFonts w:ascii="Times New Roman" w:eastAsiaTheme="minorHAnsi" w:hAnsi="Times New Roman" w:cs="Times New Roman"/>
          <w:bCs w:val="0"/>
          <w:color w:val="000000"/>
          <w:szCs w:val="24"/>
          <w:lang w:eastAsia="en-US"/>
        </w:rPr>
        <w:t>Modelowych zasad</w:t>
      </w:r>
      <w:r w:rsidRPr="00C96268">
        <w:rPr>
          <w:rFonts w:ascii="Times New Roman" w:eastAsiaTheme="minorHAnsi" w:hAnsi="Times New Roman" w:cs="Times New Roman"/>
          <w:bCs w:val="0"/>
          <w:color w:val="000000"/>
          <w:szCs w:val="24"/>
          <w:lang w:eastAsia="en-US"/>
        </w:rPr>
        <w:t xml:space="preserve"> OECD, wskazany wybór nie powinien prowadzić do korekty wartości bilansowej aktywów w celu uwzględnienia korekt księgowych dokonywanych w ramach konsolidacji. Aktywa będą nadal utrzymywane według ich pierwotnej wartości bilansowej, a pełne zyski lub straty ekonomiczne powstałe w okresie, gdy podatkowa grupa kapitałowa będzie posiadała te aktywa, powinny być uwzględniane w momencie ich sprzedaży poza grupą objętą konsolidacją podatkową lub poza </w:t>
      </w:r>
      <w:r w:rsidR="00EF17F2" w:rsidRPr="00C96268">
        <w:rPr>
          <w:rFonts w:ascii="Times New Roman" w:eastAsiaTheme="minorHAnsi" w:hAnsi="Times New Roman" w:cs="Times New Roman"/>
          <w:bCs w:val="0"/>
          <w:color w:val="000000"/>
          <w:szCs w:val="24"/>
          <w:lang w:eastAsia="en-US"/>
        </w:rPr>
        <w:t>daną jurysdykcją</w:t>
      </w:r>
      <w:r w:rsidRPr="00C96268">
        <w:rPr>
          <w:rFonts w:ascii="Times New Roman" w:eastAsiaTheme="minorHAnsi" w:hAnsi="Times New Roman" w:cs="Times New Roman"/>
          <w:bCs w:val="0"/>
          <w:color w:val="000000"/>
          <w:szCs w:val="24"/>
          <w:lang w:eastAsia="en-US"/>
        </w:rPr>
        <w:t xml:space="preserve">. </w:t>
      </w:r>
    </w:p>
    <w:p w14:paraId="24A80055" w14:textId="679CC0F1" w:rsidR="002E7C5D" w:rsidRPr="00C96268" w:rsidRDefault="002E7C5D" w:rsidP="002E7C5D">
      <w:pPr>
        <w:pStyle w:val="Default"/>
        <w:spacing w:after="120" w:line="259" w:lineRule="auto"/>
        <w:jc w:val="both"/>
        <w:rPr>
          <w:rFonts w:ascii="Times New Roman" w:hAnsi="Times New Roman" w:cs="Times New Roman"/>
        </w:rPr>
      </w:pPr>
      <w:r w:rsidRPr="00C96268">
        <w:rPr>
          <w:rFonts w:ascii="Times New Roman" w:hAnsi="Times New Roman" w:cs="Times New Roman"/>
        </w:rPr>
        <w:t xml:space="preserve">Jak wskazano w </w:t>
      </w:r>
      <w:r w:rsidRPr="00C96268">
        <w:rPr>
          <w:rFonts w:ascii="Times New Roman" w:hAnsi="Times New Roman" w:cs="Times New Roman"/>
          <w:b/>
          <w:bCs/>
        </w:rPr>
        <w:t>ust. 1</w:t>
      </w:r>
      <w:r w:rsidRPr="00C96268">
        <w:rPr>
          <w:rFonts w:ascii="Times New Roman" w:hAnsi="Times New Roman" w:cs="Times New Roman"/>
        </w:rPr>
        <w:t xml:space="preserve">, wybór jest ograniczony do transakcji między jednostkami składowymi  zlokalizowanymi w </w:t>
      </w:r>
      <w:r w:rsidR="00EF17F2" w:rsidRPr="00C96268">
        <w:rPr>
          <w:rFonts w:ascii="Times New Roman" w:hAnsi="Times New Roman" w:cs="Times New Roman"/>
        </w:rPr>
        <w:t>tej samej jurysdykcji</w:t>
      </w:r>
      <w:r w:rsidRPr="00C96268">
        <w:rPr>
          <w:rFonts w:ascii="Times New Roman" w:hAnsi="Times New Roman" w:cs="Times New Roman"/>
        </w:rPr>
        <w:t xml:space="preserve">. Transakcje między jednostkami składowymi zlokalizowanymi w różnych </w:t>
      </w:r>
      <w:r w:rsidR="00EF17F2" w:rsidRPr="00C96268">
        <w:rPr>
          <w:rFonts w:ascii="Times New Roman" w:hAnsi="Times New Roman" w:cs="Times New Roman"/>
        </w:rPr>
        <w:t>jurysdykcjach</w:t>
      </w:r>
      <w:r w:rsidR="00EF17F2" w:rsidRPr="00C96268" w:rsidDel="00EF17F2">
        <w:rPr>
          <w:rFonts w:ascii="Times New Roman" w:hAnsi="Times New Roman" w:cs="Times New Roman"/>
        </w:rPr>
        <w:t xml:space="preserve"> </w:t>
      </w:r>
      <w:r w:rsidRPr="00C96268">
        <w:rPr>
          <w:rFonts w:ascii="Times New Roman" w:hAnsi="Times New Roman" w:cs="Times New Roman"/>
        </w:rPr>
        <w:t xml:space="preserve">byłyby nadal traktowane w taki sam sposób jak transakcje z osobami trzecimi i nie korzystałyby z wyłączenia z księgowego dochodu (straty) netto, wynikającego z wyboru. Przykładowo, jeżeli jednostka składowa będąca producentem sprzedaje towary innej jednostce składowej zlokalizowanej w </w:t>
      </w:r>
      <w:r w:rsidR="00EF17F2" w:rsidRPr="00C96268">
        <w:rPr>
          <w:rFonts w:ascii="Times New Roman" w:hAnsi="Times New Roman" w:cs="Times New Roman"/>
        </w:rPr>
        <w:t>innej jurysdykcji</w:t>
      </w:r>
      <w:r w:rsidRPr="00C96268">
        <w:rPr>
          <w:rFonts w:ascii="Times New Roman" w:hAnsi="Times New Roman" w:cs="Times New Roman"/>
        </w:rPr>
        <w:t xml:space="preserve">, jednostka składowa będąca producentem byłaby zobowiązana do ujęcia zysku z tytułu sprzedaży wewnątrzgrupowej (z uwzględnieniem zasady ceny rynkowej) tak, jakby była to sprzedaż na rzecz klienta będącego osobą trzecią. W związku z tym wybór nakłada na podatkową grupę kapitałową obowiązek dokonania rozróżnienia między transakcjami między jednostkami składowymi w </w:t>
      </w:r>
      <w:r w:rsidR="00EF17F2" w:rsidRPr="00C96268">
        <w:rPr>
          <w:rFonts w:ascii="Times New Roman" w:hAnsi="Times New Roman" w:cs="Times New Roman"/>
        </w:rPr>
        <w:t>tej samej jurysdykcji</w:t>
      </w:r>
      <w:r w:rsidR="00EF17F2" w:rsidRPr="00C96268" w:rsidDel="00EF17F2">
        <w:rPr>
          <w:rFonts w:ascii="Times New Roman" w:hAnsi="Times New Roman" w:cs="Times New Roman"/>
        </w:rPr>
        <w:t xml:space="preserve"> </w:t>
      </w:r>
      <w:r w:rsidRPr="00C96268">
        <w:rPr>
          <w:rFonts w:ascii="Times New Roman" w:hAnsi="Times New Roman" w:cs="Times New Roman"/>
        </w:rPr>
        <w:t xml:space="preserve">a jednostkami składowymi zlokalizowanymi w innych </w:t>
      </w:r>
      <w:r w:rsidR="00EF17F2" w:rsidRPr="00C96268">
        <w:rPr>
          <w:rFonts w:ascii="Times New Roman" w:hAnsi="Times New Roman" w:cs="Times New Roman"/>
        </w:rPr>
        <w:t>jurysdykcjach</w:t>
      </w:r>
      <w:r w:rsidRPr="00C96268">
        <w:rPr>
          <w:rFonts w:ascii="Times New Roman" w:hAnsi="Times New Roman" w:cs="Times New Roman"/>
        </w:rPr>
        <w:t xml:space="preserve">. </w:t>
      </w:r>
    </w:p>
    <w:p w14:paraId="5C219358" w14:textId="77777777" w:rsidR="002E7C5D" w:rsidRPr="00C96268" w:rsidRDefault="002E7C5D" w:rsidP="002E7C5D">
      <w:pPr>
        <w:pStyle w:val="USTustnpkodeksu"/>
        <w:spacing w:line="259" w:lineRule="auto"/>
        <w:ind w:firstLine="0"/>
        <w:rPr>
          <w:rFonts w:ascii="Times New Roman" w:hAnsi="Times New Roman" w:cs="Times New Roman"/>
          <w:szCs w:val="24"/>
        </w:rPr>
      </w:pPr>
      <w:r w:rsidRPr="00C96268">
        <w:rPr>
          <w:rFonts w:ascii="Times New Roman" w:hAnsi="Times New Roman" w:cs="Times New Roman"/>
          <w:b/>
          <w:bCs w:val="0"/>
          <w:szCs w:val="24"/>
        </w:rPr>
        <w:t>Ust. 2</w:t>
      </w:r>
      <w:r w:rsidRPr="00C96268">
        <w:rPr>
          <w:rFonts w:ascii="Times New Roman" w:hAnsi="Times New Roman" w:cs="Times New Roman"/>
          <w:szCs w:val="24"/>
        </w:rPr>
        <w:t xml:space="preserve"> zawiera ważną zasadę kierunkową, zgodnie z którą w roku podatkowym, za który dokonano wyboru w zakresie skonsolidowanego podejścia księgowego  oraz w roku, za który ten wybór został odwołany, odpowiednie pozycje przychodów, kosztów, zysków i strat i podobnych pozycji - uwzględniane przy obliczaniu księgowego dochodu (straty) netto - koryguje się w taki sposób, aby pozycje te nie zostały uwzględnione więcej niż jeden raz lub pominięte w wyniku takiego wyboru lub jego odwołania.</w:t>
      </w:r>
    </w:p>
    <w:p w14:paraId="0F1E8857" w14:textId="77777777" w:rsidR="002E7C5D" w:rsidRPr="00C96268" w:rsidRDefault="002E7C5D" w:rsidP="002E7C5D">
      <w:pPr>
        <w:pStyle w:val="USTustnpkodeksu"/>
        <w:spacing w:before="240" w:line="259" w:lineRule="auto"/>
        <w:ind w:firstLine="0"/>
        <w:rPr>
          <w:rFonts w:ascii="Times New Roman" w:hAnsi="Times New Roman" w:cs="Times New Roman"/>
          <w:szCs w:val="24"/>
        </w:rPr>
      </w:pPr>
      <w:r w:rsidRPr="00C96268">
        <w:rPr>
          <w:rFonts w:ascii="Times New Roman" w:hAnsi="Times New Roman" w:cs="Times New Roman"/>
          <w:szCs w:val="24"/>
        </w:rPr>
        <w:t xml:space="preserve">Ponadto, zgodnie z </w:t>
      </w:r>
      <w:r w:rsidRPr="00C96268">
        <w:rPr>
          <w:rFonts w:ascii="Times New Roman" w:hAnsi="Times New Roman" w:cs="Times New Roman"/>
          <w:b/>
          <w:bCs w:val="0"/>
          <w:szCs w:val="24"/>
        </w:rPr>
        <w:t>ust. 3</w:t>
      </w:r>
      <w:r w:rsidRPr="00C96268">
        <w:rPr>
          <w:rFonts w:ascii="Times New Roman" w:hAnsi="Times New Roman" w:cs="Times New Roman"/>
          <w:szCs w:val="24"/>
        </w:rPr>
        <w:t xml:space="preserve"> wskazany wybór nie obejmuje określonych w tym ustępie jednostek szczególnych (jednostki inwestycyjne, ubezpieczeniowe jednostki inwestycyjne, jednostki joint venture oraz mniejszościowe jednostki składowe).</w:t>
      </w:r>
    </w:p>
    <w:p w14:paraId="21611E44" w14:textId="77777777" w:rsidR="002E7C5D" w:rsidRPr="00C96268" w:rsidRDefault="002E7C5D" w:rsidP="002E7C5D">
      <w:pPr>
        <w:pStyle w:val="Nagwek5"/>
        <w:spacing w:before="240"/>
        <w:jc w:val="both"/>
        <w:rPr>
          <w:rFonts w:ascii="Times New Roman" w:hAnsi="Times New Roman" w:cs="Times New Roman"/>
          <w:sz w:val="24"/>
          <w:szCs w:val="24"/>
        </w:rPr>
      </w:pPr>
      <w:r w:rsidRPr="00C96268">
        <w:rPr>
          <w:rFonts w:ascii="Times New Roman" w:hAnsi="Times New Roman" w:cs="Times New Roman"/>
          <w:sz w:val="24"/>
          <w:szCs w:val="24"/>
        </w:rPr>
        <w:t>Art. 61 [Instrumenty zabezpieczające udziały własnościowe przed ryzykiem wahań kursowych]</w:t>
      </w:r>
    </w:p>
    <w:p w14:paraId="25D2D412" w14:textId="77777777" w:rsidR="002E7C5D" w:rsidRPr="00C96268" w:rsidRDefault="002E7C5D" w:rsidP="002E7C5D">
      <w:pPr>
        <w:pStyle w:val="Default"/>
        <w:spacing w:after="120" w:line="259" w:lineRule="auto"/>
        <w:jc w:val="both"/>
        <w:rPr>
          <w:rFonts w:ascii="Times New Roman" w:hAnsi="Times New Roman" w:cs="Times New Roman"/>
        </w:rPr>
      </w:pPr>
      <w:r w:rsidRPr="00C96268">
        <w:rPr>
          <w:rFonts w:ascii="Times New Roman" w:hAnsi="Times New Roman" w:cs="Times New Roman"/>
          <w:b/>
          <w:bCs/>
        </w:rPr>
        <w:t>Art. 61</w:t>
      </w:r>
      <w:r w:rsidRPr="00C96268">
        <w:rPr>
          <w:rFonts w:ascii="Times New Roman" w:hAnsi="Times New Roman" w:cs="Times New Roman"/>
        </w:rPr>
        <w:t xml:space="preserve"> wdraża rozwiązania przedstawione w Wytycznych z lutego 2023 r. (pkt 2.2.) w odniesieniu do zysków (strat) powstających w związku z ustanowieniem instrumentów zabezpieczających przed ryzykiem wahań kursowych w odniesieniu do udziałów własnościowych posiadanych w innej jednostce składowej.</w:t>
      </w:r>
    </w:p>
    <w:p w14:paraId="241E8750" w14:textId="77777777" w:rsidR="002E7C5D" w:rsidRPr="00C96268" w:rsidRDefault="002E7C5D" w:rsidP="002E7C5D">
      <w:pPr>
        <w:spacing w:after="120" w:line="240" w:lineRule="auto"/>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Na podstawie niniejszej regulacji możliwe jest dokonanie wyboru, zgodnie z którym kwalifikowany dochód (stratę) danej jednostki składowej ustala się bez uwzględnienia zysków (strat) z inwestycji służących zabezpieczeniu udziałów własnościowych przed ryzykiem wynikającym z wahań kursowych. Ustanowienie takiego wyboru opiera się na założeniu, że zabezpieczenie inwestycji kapitałowej w kontekście ustalenia kwalifikowanego dochodu (straty) powinno rodzić analogiczne skutki, co sama zabezpieczana inwestycja (tj. udziały własnościowe). </w:t>
      </w:r>
      <w:r w:rsidRPr="00C96268">
        <w:rPr>
          <w:rFonts w:ascii="Times New Roman" w:hAnsi="Times New Roman" w:cs="Times New Roman"/>
          <w:sz w:val="24"/>
          <w:szCs w:val="24"/>
        </w:rPr>
        <w:t>Wybór ten stanowi zatem swojego rodzaju uzupełnienie korekty z tytułu wyłączonych zysków kapitałowych – skoro wyłączone są zyski kapitałowe z udziałów własnościowych, to wyłączone mogą być zatem również zyski (straty) z instrumentów zabezpieczających takie udziały.</w:t>
      </w:r>
    </w:p>
    <w:p w14:paraId="4239DA8F" w14:textId="77777777" w:rsidR="002E7C5D" w:rsidRPr="00C96268" w:rsidRDefault="002E7C5D" w:rsidP="002E7C5D">
      <w:pPr>
        <w:spacing w:after="120" w:line="240" w:lineRule="auto"/>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Aby jednostka składowa mogła skorzystać z omawianego wyboru co do traktowania zysku bądź straty zrealizowanej w ramach operacji zabezpieczającej określoną inwestycję kapitałową jako zysków (strat) wyłączonych, inwestycja zabezpieczająca musi spełniać przesłanki określone w </w:t>
      </w:r>
      <w:r w:rsidRPr="00C96268">
        <w:rPr>
          <w:rFonts w:ascii="Times New Roman" w:eastAsia="Calibri" w:hAnsi="Times New Roman" w:cs="Times New Roman"/>
          <w:b/>
          <w:bCs/>
          <w:sz w:val="24"/>
          <w:szCs w:val="24"/>
        </w:rPr>
        <w:t>ust. 2</w:t>
      </w:r>
      <w:r w:rsidRPr="00C96268">
        <w:rPr>
          <w:rFonts w:ascii="Times New Roman" w:eastAsia="Calibri" w:hAnsi="Times New Roman" w:cs="Times New Roman"/>
          <w:sz w:val="24"/>
          <w:szCs w:val="24"/>
        </w:rPr>
        <w:t xml:space="preserve">. Pierwszą z nich jest konieczność przypisania ujemnych bądź dodatnich różnic kursowych wyłącznie instrumentom zabezpieczającym ustanowionym w celu wyeliminowania ryzyka walutowego związanego z posiadaniem udziałów własnościowych </w:t>
      </w:r>
      <w:r w:rsidRPr="00C96268">
        <w:rPr>
          <w:rFonts w:ascii="Times New Roman" w:eastAsia="Calibri" w:hAnsi="Times New Roman" w:cs="Times New Roman"/>
          <w:b/>
          <w:bCs/>
          <w:sz w:val="24"/>
          <w:szCs w:val="24"/>
        </w:rPr>
        <w:t>innych niż inwestycja portfelowa</w:t>
      </w:r>
      <w:r w:rsidRPr="00C96268">
        <w:rPr>
          <w:rFonts w:ascii="Times New Roman" w:eastAsia="Calibri" w:hAnsi="Times New Roman" w:cs="Times New Roman"/>
          <w:sz w:val="24"/>
          <w:szCs w:val="24"/>
        </w:rPr>
        <w:t>. Inwestycje portfelowo stanowią bowiem zasadniczo wyjątek w ramach bazowej korekty dotyczącej wyłączonych zysków (strat) kapitałowych.</w:t>
      </w:r>
    </w:p>
    <w:p w14:paraId="40827944" w14:textId="77777777" w:rsidR="002E7C5D" w:rsidRPr="00C96268" w:rsidRDefault="002E7C5D" w:rsidP="002E7C5D">
      <w:pPr>
        <w:spacing w:after="120" w:line="240" w:lineRule="auto"/>
        <w:jc w:val="both"/>
        <w:rPr>
          <w:rFonts w:ascii="Times New Roman" w:eastAsia="Calibri" w:hAnsi="Times New Roman" w:cs="Times New Roman"/>
          <w:sz w:val="24"/>
          <w:szCs w:val="24"/>
        </w:rPr>
      </w:pPr>
      <w:r w:rsidRPr="00C96268">
        <w:rPr>
          <w:rFonts w:ascii="Times New Roman" w:eastAsia="Calibri" w:hAnsi="Times New Roman" w:cs="Times New Roman"/>
          <w:sz w:val="24"/>
          <w:szCs w:val="24"/>
        </w:rPr>
        <w:t xml:space="preserve">Ponadto, jako zyski lub straty wyłączone mogą być traktowane wyłącznie rezultaty tych operacji zabezpieczających, które na poziomie skonsolidowanego sprawozdania finansowego wykazywane są </w:t>
      </w:r>
      <w:r w:rsidRPr="00C96268">
        <w:rPr>
          <w:rFonts w:ascii="Times New Roman" w:eastAsia="Calibri" w:hAnsi="Times New Roman" w:cs="Times New Roman"/>
          <w:b/>
          <w:bCs/>
          <w:sz w:val="24"/>
          <w:szCs w:val="24"/>
        </w:rPr>
        <w:t>w innych całkowitych dochodach</w:t>
      </w:r>
      <w:r w:rsidRPr="00C96268">
        <w:rPr>
          <w:rFonts w:ascii="Times New Roman" w:eastAsia="Calibri" w:hAnsi="Times New Roman" w:cs="Times New Roman"/>
          <w:sz w:val="24"/>
          <w:szCs w:val="24"/>
        </w:rPr>
        <w:t xml:space="preserve">. Należy również podkreślić, że dla skorzystania z omawianego wyłączenia wykorzystywany dla ochrony posiadanych udziałów instrument musi być klasyfikowany jako </w:t>
      </w:r>
      <w:r w:rsidRPr="00C96268">
        <w:rPr>
          <w:rFonts w:ascii="Times New Roman" w:eastAsia="Calibri" w:hAnsi="Times New Roman" w:cs="Times New Roman"/>
          <w:b/>
          <w:bCs/>
          <w:sz w:val="24"/>
          <w:szCs w:val="24"/>
        </w:rPr>
        <w:t>efektywne zabezpieczenie zgodnie z zatwierdzonym standardem rachunkowości</w:t>
      </w:r>
      <w:r w:rsidRPr="00C96268">
        <w:rPr>
          <w:rFonts w:ascii="Times New Roman" w:eastAsia="Calibri" w:hAnsi="Times New Roman" w:cs="Times New Roman"/>
          <w:sz w:val="24"/>
          <w:szCs w:val="24"/>
        </w:rPr>
        <w:t xml:space="preserve"> stosowanym przy sporządzaniu skonsolidowanego sprawozdania finansowego danej grupy</w:t>
      </w:r>
      <w:r w:rsidRPr="00C96268">
        <w:rPr>
          <w:rStyle w:val="Odwoanieprzypisudolnego"/>
          <w:rFonts w:ascii="Times New Roman" w:eastAsia="Calibri" w:hAnsi="Times New Roman" w:cs="Times New Roman"/>
          <w:sz w:val="24"/>
          <w:szCs w:val="24"/>
        </w:rPr>
        <w:footnoteReference w:id="128"/>
      </w:r>
      <w:r w:rsidRPr="00C96268">
        <w:rPr>
          <w:rFonts w:ascii="Times New Roman" w:eastAsia="Calibri" w:hAnsi="Times New Roman" w:cs="Times New Roman"/>
          <w:sz w:val="24"/>
          <w:szCs w:val="24"/>
        </w:rPr>
        <w:t>.</w:t>
      </w:r>
    </w:p>
    <w:p w14:paraId="6872ECF5" w14:textId="3F8B8583" w:rsidR="002E7C5D" w:rsidRPr="00C96268" w:rsidRDefault="002E7C5D" w:rsidP="002E7C5D">
      <w:pPr>
        <w:spacing w:after="120" w:line="240" w:lineRule="auto"/>
        <w:jc w:val="both"/>
        <w:rPr>
          <w:rFonts w:ascii="Times New Roman" w:eastAsia="Calibri" w:hAnsi="Times New Roman" w:cs="Times New Roman"/>
          <w:sz w:val="24"/>
          <w:szCs w:val="24"/>
        </w:rPr>
      </w:pPr>
      <w:bookmarkStart w:id="22" w:name="_Hlk163469191"/>
      <w:r w:rsidRPr="00C96268">
        <w:rPr>
          <w:rFonts w:ascii="Times New Roman" w:eastAsia="Calibri" w:hAnsi="Times New Roman" w:cs="Times New Roman"/>
          <w:sz w:val="24"/>
          <w:szCs w:val="24"/>
        </w:rPr>
        <w:t xml:space="preserve">Jeśli jednostka składowa podlega w </w:t>
      </w:r>
      <w:r w:rsidR="00EF17F2" w:rsidRPr="00C96268">
        <w:rPr>
          <w:rFonts w:ascii="Times New Roman" w:hAnsi="Times New Roman" w:cs="Times New Roman"/>
          <w:sz w:val="24"/>
          <w:szCs w:val="24"/>
        </w:rPr>
        <w:t>jurysdykcji</w:t>
      </w:r>
      <w:r w:rsidR="00EF17F2" w:rsidRPr="00C96268" w:rsidDel="00EF17F2">
        <w:rPr>
          <w:rFonts w:ascii="Times New Roman" w:eastAsia="Calibri" w:hAnsi="Times New Roman" w:cs="Times New Roman"/>
          <w:sz w:val="24"/>
          <w:szCs w:val="24"/>
        </w:rPr>
        <w:t xml:space="preserve"> </w:t>
      </w:r>
      <w:r w:rsidRPr="00C96268">
        <w:rPr>
          <w:rFonts w:ascii="Times New Roman" w:eastAsia="Calibri" w:hAnsi="Times New Roman" w:cs="Times New Roman"/>
          <w:sz w:val="24"/>
          <w:szCs w:val="24"/>
        </w:rPr>
        <w:t>swojej rezydencji opodatkowaniu z tytułu dodatnich różnic kursowych uzyskanych w związku ustanowieniem zabezpieczenia i skorzysta ze wskazanego wyboru, zapłacone z tego tytułu podatki nie będą uwzględniane na potrzeby obliczenia skorygowanych podatków kwalifikowanych. Jest to spójne z ogólną zasadą, zgodnie z których w przypadku zysków/strat wyłączonych z obliczania kwalifikowanego dochodu (straty), podatków związanych z tymi pozycjami nie ujmuje się w skorygowanych podatkach kwalifikowanych</w:t>
      </w:r>
      <w:r w:rsidR="0062614E">
        <w:rPr>
          <w:rFonts w:ascii="Times New Roman" w:eastAsia="Calibri" w:hAnsi="Times New Roman" w:cs="Times New Roman"/>
          <w:sz w:val="24"/>
          <w:szCs w:val="24"/>
        </w:rPr>
        <w:t>.</w:t>
      </w:r>
    </w:p>
    <w:bookmarkEnd w:id="22"/>
    <w:p w14:paraId="1BF9693E" w14:textId="77777777" w:rsidR="002E7C5D" w:rsidRPr="00C96268" w:rsidRDefault="002E7C5D" w:rsidP="002E7C5D">
      <w:pPr>
        <w:pStyle w:val="Default"/>
        <w:spacing w:after="120" w:line="259" w:lineRule="auto"/>
        <w:jc w:val="both"/>
        <w:rPr>
          <w:rFonts w:ascii="Times New Roman" w:eastAsia="Calibri" w:hAnsi="Times New Roman" w:cs="Times New Roman"/>
        </w:rPr>
      </w:pPr>
      <w:r w:rsidRPr="00C96268">
        <w:rPr>
          <w:rFonts w:ascii="Times New Roman" w:eastAsia="Calibri" w:hAnsi="Times New Roman" w:cs="Times New Roman"/>
        </w:rPr>
        <w:t xml:space="preserve">W określonych przypadkach instrument zabezpieczający może być ustanowiony przez inną jednostkę grupy niż jednostka, która posiada zabezpieczane udziały własnościowe. Taką inną jednostką może być jednostka, która pełni w grupie funkcję finansową lub w zakresie zarządzania płynnością. Taka jednostka może przenieść ekonomiczne i księgowe skutki zabezpieczenia na rzecz jednostki posiadającej udziały własnościowe na podstawie odpowiedniej umowy wewnątrzgrupowej. W takiej sytuacji, zgodnie z ust. 3 skutki wskazanego wyboru dotyczą  </w:t>
      </w:r>
      <w:r w:rsidRPr="00C96268">
        <w:rPr>
          <w:rFonts w:ascii="Times New Roman" w:eastAsia="Calibri" w:hAnsi="Times New Roman" w:cs="Times New Roman"/>
          <w:b/>
          <w:bCs/>
        </w:rPr>
        <w:t>jednostki, która posiada udziały własnościowe</w:t>
      </w:r>
      <w:r w:rsidRPr="00C96268">
        <w:rPr>
          <w:rFonts w:ascii="Times New Roman" w:eastAsia="Calibri" w:hAnsi="Times New Roman" w:cs="Times New Roman"/>
        </w:rPr>
        <w:t xml:space="preserve"> – tj. to z księgowego dochodu (straty) netto tej jednostki wyłącza się zyski/straty z odpowiednich różnic kursowych. Nie ma natomiast potrzeby dokonywania korekt względem jednostki składowej ustanawiającej dany instrument zabezpieczający.</w:t>
      </w:r>
    </w:p>
    <w:p w14:paraId="4A473B20" w14:textId="77777777" w:rsidR="002E7C5D" w:rsidRPr="00C96268" w:rsidRDefault="002E7C5D" w:rsidP="002E7C5D">
      <w:pPr>
        <w:pStyle w:val="Nagwek5"/>
        <w:jc w:val="both"/>
        <w:rPr>
          <w:rFonts w:ascii="Times New Roman" w:hAnsi="Times New Roman" w:cs="Times New Roman"/>
          <w:sz w:val="24"/>
          <w:szCs w:val="24"/>
        </w:rPr>
      </w:pPr>
      <w:r w:rsidRPr="00C96268">
        <w:rPr>
          <w:rFonts w:ascii="Times New Roman" w:hAnsi="Times New Roman" w:cs="Times New Roman"/>
          <w:sz w:val="24"/>
          <w:szCs w:val="24"/>
        </w:rPr>
        <w:t>Art. 62 [Zwolnienie z długu]</w:t>
      </w:r>
    </w:p>
    <w:p w14:paraId="29B41F08" w14:textId="163C1D25"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b/>
          <w:bCs/>
          <w:color w:val="000000"/>
          <w:sz w:val="24"/>
          <w:szCs w:val="24"/>
        </w:rPr>
        <w:t>Art. 62</w:t>
      </w:r>
      <w:r w:rsidRPr="00C96268">
        <w:rPr>
          <w:rFonts w:ascii="Times New Roman" w:hAnsi="Times New Roman" w:cs="Times New Roman"/>
          <w:color w:val="000000"/>
          <w:sz w:val="24"/>
          <w:szCs w:val="24"/>
        </w:rPr>
        <w:t xml:space="preserve"> stanowi implementację Wytycznych z lutego 2023 r., odnoszących się w pkt 2.4 do zwolnienia z długu. Przepis ten określa możliwość, sposób i zakres uwzględniania przychod</w:t>
      </w:r>
      <w:r w:rsidR="006F7918" w:rsidRPr="00C96268">
        <w:rPr>
          <w:rFonts w:ascii="Times New Roman" w:hAnsi="Times New Roman" w:cs="Times New Roman"/>
          <w:color w:val="000000"/>
          <w:sz w:val="24"/>
          <w:szCs w:val="24"/>
        </w:rPr>
        <w:t>ów</w:t>
      </w:r>
      <w:r w:rsidRPr="00C96268">
        <w:rPr>
          <w:rFonts w:ascii="Times New Roman" w:hAnsi="Times New Roman" w:cs="Times New Roman"/>
          <w:color w:val="000000"/>
          <w:sz w:val="24"/>
          <w:szCs w:val="24"/>
        </w:rPr>
        <w:t xml:space="preserve"> (dochod</w:t>
      </w:r>
      <w:r w:rsidR="006F7918" w:rsidRPr="00C96268">
        <w:rPr>
          <w:rFonts w:ascii="Times New Roman" w:hAnsi="Times New Roman" w:cs="Times New Roman"/>
          <w:color w:val="000000"/>
          <w:sz w:val="24"/>
          <w:szCs w:val="24"/>
        </w:rPr>
        <w:t>ów</w:t>
      </w:r>
      <w:r w:rsidRPr="00C96268">
        <w:rPr>
          <w:rFonts w:ascii="Times New Roman" w:hAnsi="Times New Roman" w:cs="Times New Roman"/>
          <w:color w:val="000000"/>
          <w:sz w:val="24"/>
          <w:szCs w:val="24"/>
        </w:rPr>
        <w:t>) powstając</w:t>
      </w:r>
      <w:r w:rsidR="006F7918" w:rsidRPr="00C96268">
        <w:rPr>
          <w:rFonts w:ascii="Times New Roman" w:hAnsi="Times New Roman" w:cs="Times New Roman"/>
          <w:color w:val="000000"/>
          <w:sz w:val="24"/>
          <w:szCs w:val="24"/>
        </w:rPr>
        <w:t>ych</w:t>
      </w:r>
      <w:r w:rsidRPr="00C96268">
        <w:rPr>
          <w:rFonts w:ascii="Times New Roman" w:hAnsi="Times New Roman" w:cs="Times New Roman"/>
          <w:color w:val="000000"/>
          <w:sz w:val="24"/>
          <w:szCs w:val="24"/>
        </w:rPr>
        <w:t xml:space="preserve"> w związku z instytucją zwolnienia z długu, oraz korespondujących z nim podatków  - odpowiednio w kwalifikowanym dochodzie (stracie) oraz skorygowanych podatkach kwalifikowanych.</w:t>
      </w:r>
    </w:p>
    <w:p w14:paraId="7E1738AA" w14:textId="1905739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Wytyczne te zostały wydane i implementowane dla określenia skutków trwałych różnic powstających wskutek odmiennego rozpoznania przychodu (dochodu) uzyskanego ze zwolnienia z długu na potrzeby sprawozdania finansowego oraz na potrzeby określenia podlegającego opodatkowaniu dochodu w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color w:val="000000"/>
          <w:sz w:val="24"/>
          <w:szCs w:val="24"/>
        </w:rPr>
        <w:t xml:space="preserve"> </w:t>
      </w:r>
      <w:r w:rsidRPr="00C96268">
        <w:rPr>
          <w:rFonts w:ascii="Times New Roman" w:hAnsi="Times New Roman" w:cs="Times New Roman"/>
          <w:color w:val="000000"/>
          <w:sz w:val="24"/>
          <w:szCs w:val="24"/>
        </w:rPr>
        <w:t>lokalizacji jednostki składowej.</w:t>
      </w:r>
    </w:p>
    <w:p w14:paraId="5BE5CBE4" w14:textId="7777777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Z jednej strony, kwalifikowany dochód (strata) opiera się o (odpowiednio skorygowany) wynik finansowy jednostki, z drugiej strony jednak odmienne traktowanie przychodu ze zwolnienia z długu na potrzeby określenia opodatkowanego dochodu jest wystarczająco istotnym i powszechnie akceptowalnym zjawiskiem, aby zostało wzięte pod uwagę także w przypadku określenia kwalifikowanego dochodu (straty). </w:t>
      </w:r>
    </w:p>
    <w:p w14:paraId="19CBC6AB" w14:textId="7777777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„Zwolnienie z długu” odnosi się do sytuacji, w której kwota należna od jednostki składowej zostaje umorzona przez wierzyciela bez całkowitej spłaty, a dłużnik jest zwolniony z dalszego obowiązku zapłaty zobowiązania. W polskim systemie prawnym instytucja ta została uregulowana w art. 508 ustawy z dnia 23 kwietnia 1964 r. - Kodeks cywilny.</w:t>
      </w:r>
    </w:p>
    <w:p w14:paraId="3991439F" w14:textId="312A544C"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Zgodnie z wieloma zatwierdzonymi standardami rachunkowości, takie zwolnienie z długu zwykle skutkuje uznaniem zwolnionej kwoty za przychód dłużnika. Jednocześnie, w wielu </w:t>
      </w:r>
      <w:r w:rsidR="00EF17F2" w:rsidRPr="00C96268">
        <w:rPr>
          <w:rFonts w:ascii="Times New Roman" w:hAnsi="Times New Roman" w:cs="Times New Roman"/>
          <w:sz w:val="24"/>
          <w:szCs w:val="24"/>
        </w:rPr>
        <w:t xml:space="preserve">jurysdykcjach </w:t>
      </w:r>
      <w:r w:rsidRPr="00C96268">
        <w:rPr>
          <w:rFonts w:ascii="Times New Roman" w:hAnsi="Times New Roman" w:cs="Times New Roman"/>
          <w:color w:val="000000"/>
          <w:sz w:val="24"/>
          <w:szCs w:val="24"/>
        </w:rPr>
        <w:t>przepisy podatkowe nie opodatkowują zwolnienia z długu a z drugiej strony wymagają w takiej sytuacji pewnych korekt</w:t>
      </w:r>
      <w:r w:rsidRPr="00C96268">
        <w:rPr>
          <w:rStyle w:val="Odwoanieprzypisudolnego"/>
          <w:rFonts w:ascii="Times New Roman" w:hAnsi="Times New Roman" w:cs="Times New Roman"/>
          <w:color w:val="000000"/>
          <w:sz w:val="24"/>
          <w:szCs w:val="24"/>
        </w:rPr>
        <w:footnoteReference w:id="129"/>
      </w:r>
      <w:r w:rsidRPr="00C96268">
        <w:rPr>
          <w:rFonts w:ascii="Times New Roman" w:hAnsi="Times New Roman" w:cs="Times New Roman"/>
          <w:color w:val="000000"/>
          <w:sz w:val="24"/>
          <w:szCs w:val="24"/>
        </w:rPr>
        <w:t xml:space="preserve">. Ponadto, niektóre </w:t>
      </w:r>
      <w:r w:rsidR="00EF17F2" w:rsidRPr="00C96268">
        <w:rPr>
          <w:rFonts w:ascii="Times New Roman" w:hAnsi="Times New Roman" w:cs="Times New Roman"/>
          <w:sz w:val="24"/>
          <w:szCs w:val="24"/>
        </w:rPr>
        <w:t xml:space="preserve">jurysdykcje </w:t>
      </w:r>
      <w:r w:rsidRPr="00C96268">
        <w:rPr>
          <w:rFonts w:ascii="Times New Roman" w:hAnsi="Times New Roman" w:cs="Times New Roman"/>
          <w:color w:val="000000"/>
          <w:sz w:val="24"/>
          <w:szCs w:val="24"/>
        </w:rPr>
        <w:t xml:space="preserve">nie wprowadzają rozróżnienia między zwolnieniem z długu przez osoby/podmioty powiązane i przez osoby/podmiot niepowiązane. </w:t>
      </w:r>
    </w:p>
    <w:p w14:paraId="14DBF8C4" w14:textId="109F2873"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W przypadku, gdy dłużnik podlega zwolnieniu z długu, a w </w:t>
      </w:r>
      <w:r w:rsidR="00EF17F2" w:rsidRPr="00C96268">
        <w:rPr>
          <w:rFonts w:ascii="Times New Roman" w:hAnsi="Times New Roman" w:cs="Times New Roman"/>
          <w:color w:val="000000"/>
          <w:sz w:val="24"/>
          <w:szCs w:val="24"/>
        </w:rPr>
        <w:t xml:space="preserve">danej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color w:val="000000"/>
          <w:sz w:val="24"/>
          <w:szCs w:val="24"/>
        </w:rPr>
        <w:t xml:space="preserve"> </w:t>
      </w:r>
      <w:r w:rsidRPr="00C96268">
        <w:rPr>
          <w:rFonts w:ascii="Times New Roman" w:hAnsi="Times New Roman" w:cs="Times New Roman"/>
          <w:color w:val="000000"/>
          <w:sz w:val="24"/>
          <w:szCs w:val="24"/>
        </w:rPr>
        <w:t xml:space="preserve">obowiązują przepisy podatkowe podobne do powyższych, bez wprowadzenia omawianej regulacji zwolnienie z długu skutkowałoby albo stałą różnicą (gdy nie podlega ono opodatkowaniu) lub tymczasową różnicą dla celów podatków lokalnych (gdy wymagane są określone korekty). </w:t>
      </w:r>
    </w:p>
    <w:p w14:paraId="55E32E0D" w14:textId="7777777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W zakresie, w jakim kwota zwolnienia z długu, w całości lub w części, nie podlega opodatkowaniu zgodnie z lokalnym prawem podatkowym, zwolnienie z długu zwiększyłoby kwalifikowany dochód (stratę) jednostek składowych bez odpowiadającego mu wzrostu skorygowanych podatków kwalifikowanych, skutkując kwotami podatku wyrównawczego. Natomiast w drugim przypadku (korekt) może dojść np. do zmniejszenia wysokości aktywów z tytułu odroczonego podatku dochodowego, wskutek zmniejszenia wartości odliczeń pozostających do rozliczenia (pomniejszenia </w:t>
      </w:r>
      <w:r w:rsidRPr="00C96268">
        <w:rPr>
          <w:rFonts w:ascii="Times New Roman" w:hAnsi="Times New Roman" w:cs="Times New Roman"/>
          <w:i/>
          <w:iCs/>
          <w:color w:val="000000"/>
          <w:sz w:val="24"/>
          <w:szCs w:val="24"/>
        </w:rPr>
        <w:t>tax attributes</w:t>
      </w:r>
      <w:r w:rsidRPr="00C96268">
        <w:rPr>
          <w:rFonts w:ascii="Times New Roman" w:hAnsi="Times New Roman" w:cs="Times New Roman"/>
          <w:color w:val="000000"/>
          <w:sz w:val="24"/>
          <w:szCs w:val="24"/>
        </w:rPr>
        <w:t>). Tym samym, może dojść do zwiększenia skorygowanych podatków kwalifikowanych. Pozwoliłoby to na uniknięcie dodatkowego podatku wyrównawczego, jednak tylko w określonym zakresie z uwagi na pewne różnice pomiędzy lokalnym prawem podatkowym a Zasadami GloBE.</w:t>
      </w:r>
    </w:p>
    <w:p w14:paraId="076A8111" w14:textId="44DF6CFD"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Jednocześnie, instytucja zwolnienia z długu jest powszechna w celu wsparcia działań reorganizacyjnych i zapewnienia ciągłości działania jednostek w trudnej sytuacji finansowej. Procedury te często obejmują negocjacje między spółką znajdującą się w trudnej sytuacji jako dłużnikiem i jej wierzycielami. Mają one na celu redukcję nadmiernego zadłużenia spółki i zazwyczaj obejmują zwolnienie lub konwersję zadłużenia na kapitał własny. Procedury te są często nadzorowane lub muszą zostać potwierdzone przez sąd w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color w:val="000000"/>
          <w:sz w:val="24"/>
          <w:szCs w:val="24"/>
        </w:rPr>
        <w:t xml:space="preserve"> </w:t>
      </w:r>
      <w:r w:rsidRPr="00C96268">
        <w:rPr>
          <w:rFonts w:ascii="Times New Roman" w:hAnsi="Times New Roman" w:cs="Times New Roman"/>
          <w:color w:val="000000"/>
          <w:sz w:val="24"/>
          <w:szCs w:val="24"/>
        </w:rPr>
        <w:t xml:space="preserve">lokalizacji spółki. </w:t>
      </w:r>
    </w:p>
    <w:p w14:paraId="1BE62293" w14:textId="7777777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W świetle powyższego, brak tych regulacji prowadziłby do powstania zobowiązania z tytułu podatku wyrównawczego, co podważałoby politykę, której celem jest wspieranie podmiotów niewypłacalnych lub znajdujących się w trudnej sytuacji finansowej. Jednakże, gdyby zwolnienie z długu bezwarunkowo zmniejszało zobowiązanie z tytułu podatku wyrównawczego także w przypadku transakcji między jednostkami tej samej grupy, prowadziłoby to do możliwości planowania podatkowego. Dlatego też, w przypadku transakcji w ramach jednej grupy, projekt ustawy - w ślad za Wytycznymi - zezwala na </w:t>
      </w:r>
      <w:r w:rsidRPr="00C96268">
        <w:rPr>
          <w:rFonts w:ascii="Times New Roman" w:hAnsi="Times New Roman" w:cs="Times New Roman"/>
          <w:b/>
          <w:bCs/>
          <w:color w:val="000000"/>
          <w:sz w:val="24"/>
          <w:szCs w:val="24"/>
        </w:rPr>
        <w:t>wyłączenie takiego przychodu (dochodu) z obliczenia kwalifikowanego dochodu (straty)</w:t>
      </w:r>
      <w:r w:rsidRPr="00C96268">
        <w:rPr>
          <w:rFonts w:ascii="Times New Roman" w:hAnsi="Times New Roman" w:cs="Times New Roman"/>
          <w:color w:val="000000"/>
          <w:sz w:val="24"/>
          <w:szCs w:val="24"/>
        </w:rPr>
        <w:t xml:space="preserve"> wyłącznie </w:t>
      </w:r>
      <w:r w:rsidRPr="00C96268">
        <w:rPr>
          <w:rFonts w:ascii="Times New Roman" w:hAnsi="Times New Roman" w:cs="Times New Roman"/>
          <w:b/>
          <w:bCs/>
          <w:color w:val="000000"/>
          <w:sz w:val="24"/>
          <w:szCs w:val="24"/>
        </w:rPr>
        <w:t>w określonych przypadkach</w:t>
      </w:r>
      <w:r w:rsidRPr="00C96268">
        <w:rPr>
          <w:rFonts w:ascii="Times New Roman" w:hAnsi="Times New Roman" w:cs="Times New Roman"/>
          <w:color w:val="000000"/>
          <w:sz w:val="24"/>
          <w:szCs w:val="24"/>
        </w:rPr>
        <w:t>, aby wyłączeniem tym były objęte tylko rzeczywiste przypadki niewypłacalności, które są istotne i mają zasadnicze znaczenie dla ciągłości działania danej jednostki składowej.</w:t>
      </w:r>
    </w:p>
    <w:p w14:paraId="66C91A1F" w14:textId="56716C1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Jednym z takich przypadków jest zwolnienie z długu wskutek jednego z postępowań wskazanych </w:t>
      </w:r>
      <w:r w:rsidRPr="00C96268">
        <w:rPr>
          <w:rFonts w:ascii="Times New Roman" w:hAnsi="Times New Roman" w:cs="Times New Roman"/>
          <w:b/>
          <w:bCs/>
          <w:color w:val="000000"/>
          <w:sz w:val="24"/>
          <w:szCs w:val="24"/>
        </w:rPr>
        <w:t>ust. 1 pkt 1 lit. a</w:t>
      </w:r>
      <w:r w:rsidRPr="00C96268">
        <w:rPr>
          <w:rFonts w:ascii="Times New Roman" w:hAnsi="Times New Roman" w:cs="Times New Roman"/>
          <w:color w:val="000000"/>
          <w:sz w:val="24"/>
          <w:szCs w:val="24"/>
        </w:rPr>
        <w:t xml:space="preserve">, tj. </w:t>
      </w:r>
      <w:r w:rsidRPr="00C96268">
        <w:rPr>
          <w:rFonts w:ascii="Times New Roman" w:hAnsi="Times New Roman" w:cs="Times New Roman"/>
          <w:sz w:val="24"/>
          <w:szCs w:val="24"/>
        </w:rPr>
        <w:t xml:space="preserve">postępowania upadłościowego, likwidacyjnego, pojednawczego, układowego oraz innego postępowania o podobnym charakterze prowadzonego na podstawie właściwych przepisów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sz w:val="24"/>
          <w:szCs w:val="24"/>
        </w:rPr>
        <w:t xml:space="preserve"> </w:t>
      </w:r>
      <w:r w:rsidRPr="00C96268">
        <w:rPr>
          <w:rFonts w:ascii="Times New Roman" w:hAnsi="Times New Roman" w:cs="Times New Roman"/>
          <w:sz w:val="24"/>
          <w:szCs w:val="24"/>
        </w:rPr>
        <w:t xml:space="preserve">lokalizacji tej jednostki, które zostało zatwierdzone przez właściwy organ sądowy </w:t>
      </w:r>
      <w:r w:rsidR="00EF17F2" w:rsidRPr="00C96268">
        <w:rPr>
          <w:rFonts w:ascii="Times New Roman" w:hAnsi="Times New Roman" w:cs="Times New Roman"/>
          <w:sz w:val="24"/>
          <w:szCs w:val="24"/>
        </w:rPr>
        <w:t>tej jurysdykcji</w:t>
      </w:r>
      <w:r w:rsidR="00EF17F2" w:rsidRPr="00C96268" w:rsidDel="00EF17F2">
        <w:rPr>
          <w:rFonts w:ascii="Times New Roman" w:hAnsi="Times New Roman" w:cs="Times New Roman"/>
          <w:sz w:val="24"/>
          <w:szCs w:val="24"/>
        </w:rPr>
        <w:t xml:space="preserve"> </w:t>
      </w:r>
      <w:r w:rsidRPr="00C96268">
        <w:rPr>
          <w:rFonts w:ascii="Times New Roman" w:hAnsi="Times New Roman" w:cs="Times New Roman"/>
          <w:sz w:val="24"/>
          <w:szCs w:val="24"/>
        </w:rPr>
        <w:t>lub powołanego w celach prowadzenia takiego postępowania niezależnego zarządcy masy upadłościowej.</w:t>
      </w:r>
    </w:p>
    <w:p w14:paraId="4BFC045B" w14:textId="75EB5488"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Kolejnym z nich, zgodnie z </w:t>
      </w:r>
      <w:r w:rsidRPr="00C96268">
        <w:rPr>
          <w:rFonts w:ascii="Times New Roman" w:hAnsi="Times New Roman" w:cs="Times New Roman"/>
          <w:b/>
          <w:bCs/>
          <w:color w:val="000000"/>
          <w:sz w:val="24"/>
          <w:szCs w:val="24"/>
        </w:rPr>
        <w:t>ust. 1 pkt 1 lit. b</w:t>
      </w:r>
      <w:r w:rsidRPr="00C96268">
        <w:rPr>
          <w:rFonts w:ascii="Times New Roman" w:hAnsi="Times New Roman" w:cs="Times New Roman"/>
          <w:color w:val="000000"/>
          <w:sz w:val="24"/>
          <w:szCs w:val="24"/>
        </w:rPr>
        <w:t xml:space="preserve">, jest zwolnienie z długu na mocy </w:t>
      </w:r>
      <w:r w:rsidRPr="00C96268">
        <w:rPr>
          <w:rFonts w:ascii="Times New Roman" w:hAnsi="Times New Roman" w:cs="Times New Roman"/>
          <w:sz w:val="24"/>
          <w:szCs w:val="24"/>
        </w:rPr>
        <w:t xml:space="preserve">układu albo porozumienia o podobnym charakterze, którego jedną ze stron jest co najmniej jedna osoba </w:t>
      </w:r>
      <w:r w:rsidR="00F32517" w:rsidRPr="00C96268">
        <w:rPr>
          <w:rFonts w:ascii="Times New Roman" w:hAnsi="Times New Roman" w:cs="Times New Roman"/>
          <w:sz w:val="24"/>
          <w:szCs w:val="24"/>
        </w:rPr>
        <w:t>nie</w:t>
      </w:r>
      <w:r w:rsidRPr="00C96268">
        <w:rPr>
          <w:rFonts w:ascii="Times New Roman" w:hAnsi="Times New Roman" w:cs="Times New Roman"/>
          <w:sz w:val="24"/>
          <w:szCs w:val="24"/>
        </w:rPr>
        <w:t xml:space="preserve">powiązana z daną jednostką składową. W świetle Wytycznych chodzi o porozumienie </w:t>
      </w:r>
      <w:r w:rsidRPr="00C96268">
        <w:rPr>
          <w:rFonts w:ascii="Times New Roman" w:hAnsi="Times New Roman" w:cs="Times New Roman"/>
          <w:color w:val="000000"/>
          <w:sz w:val="24"/>
          <w:szCs w:val="24"/>
        </w:rPr>
        <w:t xml:space="preserve">zawarte po ustanowieniu niezależnego zarządcy masy upadłościowej. W niektórych </w:t>
      </w:r>
      <w:r w:rsidR="00EF17F2" w:rsidRPr="00C96268">
        <w:rPr>
          <w:rFonts w:ascii="Times New Roman" w:hAnsi="Times New Roman" w:cs="Times New Roman"/>
          <w:sz w:val="24"/>
          <w:szCs w:val="24"/>
        </w:rPr>
        <w:t>jurysdykcjach</w:t>
      </w:r>
      <w:r w:rsidR="00EF17F2" w:rsidRPr="00C96268" w:rsidDel="00EF17F2">
        <w:rPr>
          <w:rFonts w:ascii="Times New Roman" w:hAnsi="Times New Roman" w:cs="Times New Roman"/>
          <w:color w:val="000000"/>
          <w:sz w:val="24"/>
          <w:szCs w:val="24"/>
        </w:rPr>
        <w:t xml:space="preserve"> </w:t>
      </w:r>
      <w:r w:rsidRPr="00C96268">
        <w:rPr>
          <w:rFonts w:ascii="Times New Roman" w:hAnsi="Times New Roman" w:cs="Times New Roman"/>
          <w:color w:val="000000"/>
          <w:sz w:val="24"/>
          <w:szCs w:val="24"/>
        </w:rPr>
        <w:t>proces ten jest co prawda określony przez ustawodawstwo krajowe, jednak nie jest nadzorowany ani potwierdzany przez sąd lub organ sądowy. Zakresem tej regulacji nie będą objęte długi, z których zwolnienie następuje co prawda po ustanowieniu zarządcy, jednak na podstawie wcześniej zawartych porozumień. Układ albo porozumienie, do którego odwołuje się ten punkt powinno układ/porozumienie pomiędzy dłużnikiem a wierzycielem/wierzycielami. Nie jest też konieczne, aby wszystkie długi umorzone na podstawie układu/porozumienia były częścią jednej umowy prawnej, jednak porozumienie takie powinno być obiektywnie postrzegane jako podejmowane w ramach pojedynczego planu mającego na celu zapewnienie wypłacalności dłużnika.</w:t>
      </w:r>
    </w:p>
    <w:p w14:paraId="1E4002E2" w14:textId="7777777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sz w:val="24"/>
          <w:szCs w:val="24"/>
        </w:rPr>
        <w:t xml:space="preserve">W tym drugim przypadku, warunkiem jest, aby brak zawarcia omawianego układu albo porozumienia skutkował prawdopodobieństwem niewypłacalności tej jednostki składowej w następujących po sobie kolejnych 12 miesiącach, liczonych od miesiąca w którym zawarto ten układ lub porozumienie. </w:t>
      </w:r>
      <w:r w:rsidRPr="00C96268">
        <w:rPr>
          <w:rFonts w:ascii="Times New Roman" w:hAnsi="Times New Roman" w:cs="Times New Roman"/>
          <w:color w:val="000000"/>
          <w:sz w:val="24"/>
          <w:szCs w:val="24"/>
        </w:rPr>
        <w:t>Przez prawdopodobieństwo niewypłacalności jednostki składowej rozumie się, zgodnie z ust. 3, stwierdzoną - przez niezależną, niepowiązaną i wykwalifikowaną osobę – utratę zdolności danej jednostki do realizowania własnych zobowiązań pieniężnych w terminie ich wymagalności. Prawdopodobieństwo to stwierdza się po wyłączeniu wszelkich długów danej jednostki składowej wobec jednostek składowych tej samej grupy. W świetle Wytycznych, w tym kontekście „jednostkę niewypłacalną” należy więc rozumieć w powszechnym znaczeniu jako jednostkę, która nie jest w stanie spłacić wszystkich swoich długów w terminie i w terminie ich wymagalności”, a nie jako jednostkę spełniający rygorystyczny test bilansowy.</w:t>
      </w:r>
    </w:p>
    <w:p w14:paraId="18BB5A31" w14:textId="77777777"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sz w:val="24"/>
          <w:szCs w:val="24"/>
        </w:rPr>
        <w:t xml:space="preserve">Po trzecie, zgodnie z </w:t>
      </w:r>
      <w:r w:rsidRPr="00C96268">
        <w:rPr>
          <w:rFonts w:ascii="Times New Roman" w:hAnsi="Times New Roman" w:cs="Times New Roman"/>
          <w:b/>
          <w:bCs/>
          <w:sz w:val="24"/>
          <w:szCs w:val="24"/>
        </w:rPr>
        <w:t>ust. 1 pkt 2</w:t>
      </w:r>
      <w:r w:rsidRPr="00C96268">
        <w:rPr>
          <w:rFonts w:ascii="Times New Roman" w:hAnsi="Times New Roman" w:cs="Times New Roman"/>
          <w:sz w:val="24"/>
          <w:szCs w:val="24"/>
        </w:rPr>
        <w:t xml:space="preserve"> można dokonać omawianego wyboru, jeżeli wartość umorzonych zobowiązań danej jednostki składowej przewyższa wartość rynkową jej aktywów, określoną na dzień poprzedzający to umorzenie.</w:t>
      </w:r>
    </w:p>
    <w:p w14:paraId="667FC538" w14:textId="77777777" w:rsidR="002E7C5D" w:rsidRPr="00C96268" w:rsidRDefault="002E7C5D" w:rsidP="002E7C5D">
      <w:pPr>
        <w:jc w:val="both"/>
        <w:rPr>
          <w:rFonts w:ascii="Times New Roman" w:eastAsia="Times New Roman" w:hAnsi="Times New Roman" w:cs="Times New Roman"/>
          <w:sz w:val="24"/>
          <w:szCs w:val="24"/>
          <w:lang w:eastAsia="pl-PL"/>
        </w:rPr>
      </w:pPr>
      <w:r w:rsidRPr="00C96268">
        <w:rPr>
          <w:rFonts w:ascii="Times New Roman" w:eastAsia="Times New Roman" w:hAnsi="Times New Roman" w:cs="Times New Roman"/>
          <w:sz w:val="24"/>
          <w:szCs w:val="24"/>
          <w:lang w:eastAsia="pl-PL"/>
        </w:rPr>
        <w:t>W konsekwencji, o ile dokonano odpowiedniego wyboru, z kalkulacji kwalifikowanego dochodu (straty) i jednostki składowej wyłącza się przychód (dochód) powstały w związku z jednym z wyżej wskazanych przypadków zwolnienia z długu. Odpowiednio ze skorygowanych podatków kwalifikowanych wyłącza się</w:t>
      </w:r>
      <w:r w:rsidRPr="00C96268">
        <w:rPr>
          <w:rFonts w:ascii="Times New Roman" w:hAnsi="Times New Roman" w:cs="Times New Roman"/>
          <w:color w:val="000000"/>
          <w:sz w:val="24"/>
          <w:szCs w:val="24"/>
        </w:rPr>
        <w:t xml:space="preserve"> </w:t>
      </w:r>
      <w:r w:rsidRPr="00C96268">
        <w:rPr>
          <w:rFonts w:ascii="Times New Roman" w:eastAsia="Times New Roman" w:hAnsi="Times New Roman" w:cs="Times New Roman"/>
          <w:sz w:val="24"/>
          <w:szCs w:val="24"/>
          <w:lang w:eastAsia="pl-PL"/>
        </w:rPr>
        <w:t xml:space="preserve">podatek dochodowy w części bieżącej </w:t>
      </w:r>
      <w:r w:rsidRPr="00C96268">
        <w:rPr>
          <w:rFonts w:ascii="Times New Roman" w:hAnsi="Times New Roman" w:cs="Times New Roman"/>
          <w:sz w:val="24"/>
          <w:szCs w:val="24"/>
        </w:rPr>
        <w:t xml:space="preserve">należny w związku z przychodem wyłączonym na podstawie (por. </w:t>
      </w:r>
      <w:r w:rsidRPr="00C96268">
        <w:rPr>
          <w:rFonts w:ascii="Times New Roman" w:hAnsi="Times New Roman" w:cs="Times New Roman"/>
          <w:b/>
          <w:bCs/>
          <w:sz w:val="24"/>
          <w:szCs w:val="24"/>
        </w:rPr>
        <w:t>art. 82 ust. 1 pkt 1 lit. d</w:t>
      </w:r>
      <w:r w:rsidRPr="00C96268">
        <w:rPr>
          <w:rFonts w:ascii="Times New Roman" w:hAnsi="Times New Roman" w:cs="Times New Roman"/>
          <w:sz w:val="24"/>
          <w:szCs w:val="24"/>
        </w:rPr>
        <w:t xml:space="preserve">), jak również </w:t>
      </w:r>
      <w:r w:rsidRPr="00C96268">
        <w:rPr>
          <w:rFonts w:ascii="Times New Roman" w:eastAsia="Times New Roman" w:hAnsi="Times New Roman" w:cs="Times New Roman"/>
          <w:sz w:val="24"/>
          <w:szCs w:val="24"/>
          <w:lang w:eastAsia="pl-PL"/>
        </w:rPr>
        <w:t>podatek dochodowy w części odroczonej związany ze zwolnieniem z długu.</w:t>
      </w:r>
    </w:p>
    <w:p w14:paraId="4EBDD0C1" w14:textId="6AC3B436" w:rsidR="002E7C5D" w:rsidRPr="00C96268" w:rsidRDefault="002E7C5D" w:rsidP="002E7C5D">
      <w:pPr>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Należy także podkreślić, że w przypadkach opisanych w </w:t>
      </w:r>
      <w:r w:rsidRPr="00C96268">
        <w:rPr>
          <w:rFonts w:ascii="Times New Roman" w:hAnsi="Times New Roman" w:cs="Times New Roman"/>
          <w:b/>
          <w:bCs/>
          <w:color w:val="000000"/>
          <w:sz w:val="24"/>
          <w:szCs w:val="24"/>
        </w:rPr>
        <w:t xml:space="preserve">ust. 1 pkt 1 </w:t>
      </w:r>
      <w:r w:rsidRPr="00C96268">
        <w:rPr>
          <w:rFonts w:ascii="Times New Roman" w:hAnsi="Times New Roman" w:cs="Times New Roman"/>
          <w:color w:val="000000"/>
          <w:sz w:val="24"/>
          <w:szCs w:val="24"/>
        </w:rPr>
        <w:t>(odpowiednie postępowanie lub układ/porozumienie) wyłączeniu podlegają kwoty zarówno wynikające z transakcji między jednostkami grupy, jak i z osobami niepowiązanymi. Natomiast w przypadku wskazanym w ust. 1 pkt 2 (tj. gdy umorzone zobowiązania przewyższają wartość rynkową aktywów) wyłączeniu podlegają jedynie kwoty przychodu (dochodu) dotyczące zobowiązań wobec osób niepowiązanych z jednostką składową. Ponadto, w tym przypadku, skutki dotyczą wyłącznie części przychodu (dochodu) faktycznie umorzonej, do wysokości mniejszej z kwot:</w:t>
      </w:r>
    </w:p>
    <w:p w14:paraId="62FE6D07" w14:textId="77777777" w:rsidR="002E7C5D" w:rsidRPr="00C96268" w:rsidRDefault="002E7C5D" w:rsidP="002C7467">
      <w:pPr>
        <w:pStyle w:val="Akapitzlist"/>
        <w:numPr>
          <w:ilvl w:val="2"/>
          <w:numId w:val="68"/>
        </w:numPr>
        <w:ind w:left="567" w:hanging="283"/>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kwoty nadwyżki zobowiązań jednostki składowej nad wartością rynkową jej aktywów, określonych na dzień poprzedzający zwolnienie z długu (umorzenie), albo</w:t>
      </w:r>
    </w:p>
    <w:p w14:paraId="55A99B7B" w14:textId="0C454A00" w:rsidR="002E7C5D" w:rsidRPr="00C96268" w:rsidRDefault="002E7C5D" w:rsidP="002C7467">
      <w:pPr>
        <w:pStyle w:val="Akapitzlist"/>
        <w:numPr>
          <w:ilvl w:val="2"/>
          <w:numId w:val="68"/>
        </w:numPr>
        <w:ind w:left="567" w:hanging="283"/>
        <w:jc w:val="both"/>
        <w:rPr>
          <w:rFonts w:ascii="Times New Roman" w:hAnsi="Times New Roman" w:cs="Times New Roman"/>
          <w:color w:val="000000"/>
          <w:sz w:val="24"/>
          <w:szCs w:val="24"/>
        </w:rPr>
      </w:pPr>
      <w:r w:rsidRPr="00C96268">
        <w:rPr>
          <w:rFonts w:ascii="Times New Roman" w:hAnsi="Times New Roman" w:cs="Times New Roman"/>
          <w:color w:val="000000"/>
          <w:sz w:val="24"/>
          <w:szCs w:val="24"/>
        </w:rPr>
        <w:t xml:space="preserve">kwoty zmniejszenia </w:t>
      </w:r>
      <w:r w:rsidRPr="00C96268">
        <w:rPr>
          <w:rFonts w:ascii="Times New Roman" w:hAnsi="Times New Roman" w:cs="Times New Roman"/>
          <w:sz w:val="24"/>
          <w:szCs w:val="24"/>
        </w:rPr>
        <w:t xml:space="preserve">aktywów, zobowiązań, dochodów, kosztów, w tym podatków kwalifikowanych, i przepływów pieniężnych </w:t>
      </w:r>
      <w:r w:rsidRPr="00C96268">
        <w:rPr>
          <w:rFonts w:ascii="Times New Roman" w:hAnsi="Times New Roman" w:cs="Times New Roman"/>
          <w:color w:val="000000"/>
          <w:sz w:val="24"/>
          <w:szCs w:val="24"/>
        </w:rPr>
        <w:t xml:space="preserve">w rozumieniu prawa podatkowego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color w:val="000000"/>
          <w:sz w:val="24"/>
          <w:szCs w:val="24"/>
        </w:rPr>
        <w:t xml:space="preserve"> </w:t>
      </w:r>
      <w:r w:rsidRPr="00C96268">
        <w:rPr>
          <w:rFonts w:ascii="Times New Roman" w:hAnsi="Times New Roman" w:cs="Times New Roman"/>
          <w:color w:val="000000"/>
          <w:sz w:val="24"/>
          <w:szCs w:val="24"/>
        </w:rPr>
        <w:t xml:space="preserve">lokalizacji jednostki składowej wynikającego z tego zwolnienia z długu.  </w:t>
      </w:r>
    </w:p>
    <w:p w14:paraId="1A10E686" w14:textId="5934A86E" w:rsidR="007265FC" w:rsidRPr="00C96268" w:rsidRDefault="002E7C5D" w:rsidP="007265FC">
      <w:pPr>
        <w:jc w:val="both"/>
        <w:rPr>
          <w:rFonts w:ascii="Times New Roman" w:hAnsi="Times New Roman" w:cs="Times New Roman"/>
          <w:color w:val="000000"/>
          <w:sz w:val="24"/>
          <w:szCs w:val="24"/>
        </w:rPr>
      </w:pPr>
      <w:r w:rsidRPr="00C96268">
        <w:rPr>
          <w:rFonts w:ascii="Times New Roman" w:hAnsi="Times New Roman" w:cs="Times New Roman"/>
          <w:sz w:val="24"/>
          <w:szCs w:val="24"/>
        </w:rPr>
        <w:t xml:space="preserve">Przez kwotę aktywów, zobowiązań, przychodów, kosztów, w tym podatków kwalifikowanych, </w:t>
      </w:r>
      <w:r w:rsidRPr="00C96268">
        <w:rPr>
          <w:rFonts w:ascii="Times New Roman" w:hAnsi="Times New Roman" w:cs="Times New Roman"/>
          <w:sz w:val="24"/>
          <w:szCs w:val="24"/>
        </w:rPr>
        <w:br/>
        <w:t xml:space="preserve">i przepływów pieniężnych, o których mowa w lit. b powyżej rozumie się sumę tych pozycji </w:t>
      </w:r>
      <w:r w:rsidRPr="00C96268">
        <w:rPr>
          <w:rFonts w:ascii="Times New Roman" w:hAnsi="Times New Roman" w:cs="Times New Roman"/>
          <w:sz w:val="24"/>
          <w:szCs w:val="24"/>
        </w:rPr>
        <w:br/>
        <w:t xml:space="preserve">w rozumieniu prawa podatkowego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sz w:val="24"/>
          <w:szCs w:val="24"/>
        </w:rPr>
        <w:t xml:space="preserve"> </w:t>
      </w:r>
      <w:r w:rsidRPr="00C96268">
        <w:rPr>
          <w:rFonts w:ascii="Times New Roman" w:hAnsi="Times New Roman" w:cs="Times New Roman"/>
          <w:sz w:val="24"/>
          <w:szCs w:val="24"/>
        </w:rPr>
        <w:t>lokalizacji jednostki składowej - w tym pozycje, które nie są ujęte w podatkach kwalifikowanych tej jednostki (np. zagraniczne ulgi podatkowe)</w:t>
      </w:r>
      <w:r w:rsidRPr="00C96268">
        <w:rPr>
          <w:rFonts w:ascii="Times New Roman" w:hAnsi="Times New Roman" w:cs="Times New Roman"/>
          <w:color w:val="000000"/>
          <w:sz w:val="24"/>
          <w:szCs w:val="24"/>
        </w:rPr>
        <w:t>.</w:t>
      </w:r>
      <w:bookmarkStart w:id="23" w:name="_Hlk149255587"/>
      <w:bookmarkEnd w:id="21"/>
    </w:p>
    <w:p w14:paraId="5B547C67" w14:textId="77777777" w:rsidR="007A3596" w:rsidRPr="00C96268" w:rsidRDefault="007A3596" w:rsidP="00394B47">
      <w:pPr>
        <w:pStyle w:val="Nagwek5"/>
        <w:rPr>
          <w:rFonts w:ascii="Times New Roman" w:hAnsi="Times New Roman" w:cs="Times New Roman"/>
          <w:sz w:val="24"/>
          <w:szCs w:val="24"/>
        </w:rPr>
      </w:pPr>
      <w:bookmarkStart w:id="24" w:name="_Toc162450613"/>
      <w:r w:rsidRPr="00C96268">
        <w:rPr>
          <w:rStyle w:val="Ppogrubienie"/>
          <w:rFonts w:ascii="Times New Roman" w:hAnsi="Times New Roman" w:cs="Times New Roman"/>
          <w:b w:val="0"/>
          <w:bCs/>
          <w:iCs/>
          <w:sz w:val="24"/>
          <w:szCs w:val="24"/>
        </w:rPr>
        <w:t>Art. 63</w:t>
      </w:r>
      <w:r w:rsidRPr="00C96268">
        <w:rPr>
          <w:rFonts w:ascii="Times New Roman" w:hAnsi="Times New Roman" w:cs="Times New Roman"/>
          <w:sz w:val="24"/>
          <w:szCs w:val="24"/>
        </w:rPr>
        <w:t xml:space="preserve"> [Włączenie udziałów własnościowych]</w:t>
      </w:r>
      <w:bookmarkEnd w:id="24"/>
    </w:p>
    <w:p w14:paraId="05A764A1" w14:textId="78427774" w:rsidR="00214622" w:rsidRPr="00C96268" w:rsidRDefault="00214622" w:rsidP="00394B47">
      <w:pPr>
        <w:spacing w:after="120"/>
        <w:jc w:val="both"/>
        <w:rPr>
          <w:rStyle w:val="ui-provider"/>
          <w:rFonts w:ascii="Times New Roman" w:hAnsi="Times New Roman" w:cs="Times New Roman"/>
          <w:sz w:val="24"/>
          <w:szCs w:val="24"/>
        </w:rPr>
      </w:pPr>
      <w:bookmarkStart w:id="25" w:name="_Toc162450614"/>
      <w:r w:rsidRPr="00C96268">
        <w:rPr>
          <w:rFonts w:ascii="Times New Roman" w:hAnsi="Times New Roman" w:cs="Times New Roman"/>
          <w:sz w:val="24"/>
          <w:szCs w:val="24"/>
        </w:rPr>
        <w:t>Art. 63 stanowi implementację Wytycznych Administracyjnych z lutego 2023 r. (pkt 2.9</w:t>
      </w:r>
      <w:r w:rsidR="007246D1" w:rsidRPr="00C96268">
        <w:rPr>
          <w:rFonts w:ascii="Times New Roman" w:hAnsi="Times New Roman" w:cs="Times New Roman"/>
          <w:sz w:val="24"/>
          <w:szCs w:val="24"/>
        </w:rPr>
        <w:t>)</w:t>
      </w:r>
      <w:r w:rsidRPr="00C96268">
        <w:rPr>
          <w:rFonts w:ascii="Times New Roman" w:hAnsi="Times New Roman" w:cs="Times New Roman"/>
          <w:sz w:val="24"/>
          <w:szCs w:val="24"/>
        </w:rPr>
        <w:t xml:space="preserve"> a także Wytycznych Administracyjnych z lipca 2023 r. (pkt 2), w zakresie kwalifikowanych udziałów własnościowych. Wytyczne Administracyjne precyzują zasady traktowania kwalifikowanych udziałów własnościowych i zapewniają takie samo traktowanie inwestora posiadającego kwalifikowane udziały własnościowe, niezależnie od podejścia przyjętego dla potrzeb rachunkowości finansowej.</w:t>
      </w:r>
      <w:r w:rsidRPr="00C96268">
        <w:rPr>
          <w:rStyle w:val="ui-provider"/>
          <w:rFonts w:ascii="Times New Roman" w:hAnsi="Times New Roman" w:cs="Times New Roman"/>
          <w:sz w:val="24"/>
          <w:szCs w:val="24"/>
        </w:rPr>
        <w:t xml:space="preserve"> </w:t>
      </w:r>
    </w:p>
    <w:p w14:paraId="0B8B6296" w14:textId="6C5E316C" w:rsidR="00214622" w:rsidRPr="00C96268" w:rsidRDefault="00214622" w:rsidP="00394B47">
      <w:pPr>
        <w:spacing w:after="120"/>
        <w:jc w:val="both"/>
        <w:rPr>
          <w:rStyle w:val="ui-provider"/>
          <w:rFonts w:ascii="Times New Roman" w:hAnsi="Times New Roman" w:cs="Times New Roman"/>
          <w:sz w:val="24"/>
          <w:szCs w:val="24"/>
        </w:rPr>
      </w:pPr>
      <w:r w:rsidRPr="00C96268">
        <w:rPr>
          <w:rStyle w:val="ui-provider"/>
          <w:rFonts w:ascii="Times New Roman" w:hAnsi="Times New Roman" w:cs="Times New Roman"/>
          <w:sz w:val="24"/>
          <w:szCs w:val="24"/>
        </w:rPr>
        <w:t xml:space="preserve">Wybór ten jest dokonywany w odniesieniu do wszystkich udziałów własnościowych innych niż inwestycje portfelowe oraz innych niż kwalifikowane udziały własnościowe, posiadanych przez jednostki składowe zlokalizowane w jurysdykcji, w odniesieniu do której dokonano wyboru. Jest on pięcioletni, jednak jest nieodwoływalny </w:t>
      </w:r>
      <w:r w:rsidR="007D4DAD" w:rsidRPr="00C96268">
        <w:rPr>
          <w:rStyle w:val="ui-provider"/>
          <w:rFonts w:ascii="Times New Roman" w:hAnsi="Times New Roman" w:cs="Times New Roman"/>
          <w:sz w:val="24"/>
          <w:szCs w:val="24"/>
        </w:rPr>
        <w:t>w odniesieniu do udziałów, z którymi związana strata została uwzględniona w kalkulacji kwalifikowanego dochodu (straty) w okresie obowiązywania wyboru.</w:t>
      </w:r>
      <w:r w:rsidRPr="00C96268">
        <w:rPr>
          <w:rStyle w:val="ui-provider"/>
          <w:rFonts w:ascii="Times New Roman" w:hAnsi="Times New Roman" w:cs="Times New Roman"/>
          <w:sz w:val="24"/>
          <w:szCs w:val="24"/>
        </w:rPr>
        <w:t xml:space="preserve"> </w:t>
      </w:r>
    </w:p>
    <w:p w14:paraId="01CC360E" w14:textId="77777777" w:rsidR="00214622" w:rsidRPr="00C96268" w:rsidRDefault="00214622" w:rsidP="00394B47">
      <w:pPr>
        <w:spacing w:after="120"/>
        <w:jc w:val="both"/>
        <w:rPr>
          <w:rStyle w:val="ui-provider"/>
          <w:rFonts w:ascii="Times New Roman" w:hAnsi="Times New Roman" w:cs="Times New Roman"/>
          <w:sz w:val="24"/>
          <w:szCs w:val="24"/>
        </w:rPr>
      </w:pPr>
      <w:r w:rsidRPr="00C96268">
        <w:rPr>
          <w:rStyle w:val="ui-provider"/>
          <w:rFonts w:ascii="Times New Roman" w:hAnsi="Times New Roman" w:cs="Times New Roman"/>
          <w:sz w:val="24"/>
          <w:szCs w:val="24"/>
        </w:rPr>
        <w:t>Dokonanie wyboru w zakresie włączenia udziałów własnościowych skutkuje koniecznością dokonania korekty księgowego dochodu (straty) polegającej na uwzględnieniu zysku (straty) z udziałów własnościowych innych niż inwestycje portfelowe oraz innych niż kwalifikowane udziały własnościowe.</w:t>
      </w:r>
    </w:p>
    <w:p w14:paraId="3A32541D" w14:textId="50E21382" w:rsidR="002B2F73" w:rsidRPr="00C96268" w:rsidRDefault="00214622" w:rsidP="00394B47">
      <w:pPr>
        <w:spacing w:after="120"/>
        <w:jc w:val="both"/>
        <w:rPr>
          <w:rStyle w:val="ui-provider"/>
          <w:rFonts w:ascii="Times New Roman" w:hAnsi="Times New Roman" w:cs="Times New Roman"/>
          <w:sz w:val="24"/>
          <w:szCs w:val="24"/>
        </w:rPr>
      </w:pPr>
      <w:r w:rsidRPr="00C96268">
        <w:rPr>
          <w:rStyle w:val="ui-provider"/>
          <w:rFonts w:ascii="Times New Roman" w:hAnsi="Times New Roman" w:cs="Times New Roman"/>
          <w:sz w:val="24"/>
          <w:szCs w:val="24"/>
        </w:rPr>
        <w:t>Kwalifikowanymi udziałami własnościowymi jest inwestycja w jednost</w:t>
      </w:r>
      <w:r w:rsidR="00683E8D" w:rsidRPr="00C96268">
        <w:rPr>
          <w:rStyle w:val="ui-provider"/>
          <w:rFonts w:ascii="Times New Roman" w:hAnsi="Times New Roman" w:cs="Times New Roman"/>
          <w:sz w:val="24"/>
          <w:szCs w:val="24"/>
        </w:rPr>
        <w:t>kę</w:t>
      </w:r>
      <w:r w:rsidRPr="00C96268">
        <w:rPr>
          <w:rStyle w:val="ui-provider"/>
          <w:rFonts w:ascii="Times New Roman" w:hAnsi="Times New Roman" w:cs="Times New Roman"/>
          <w:sz w:val="24"/>
          <w:szCs w:val="24"/>
        </w:rPr>
        <w:t xml:space="preserve"> transparentn</w:t>
      </w:r>
      <w:r w:rsidR="00683E8D" w:rsidRPr="00C96268">
        <w:rPr>
          <w:rStyle w:val="ui-provider"/>
          <w:rFonts w:ascii="Times New Roman" w:hAnsi="Times New Roman" w:cs="Times New Roman"/>
          <w:sz w:val="24"/>
          <w:szCs w:val="24"/>
        </w:rPr>
        <w:t>ą</w:t>
      </w:r>
      <w:r w:rsidRPr="00C96268">
        <w:rPr>
          <w:rStyle w:val="ui-provider"/>
          <w:rFonts w:ascii="Times New Roman" w:hAnsi="Times New Roman" w:cs="Times New Roman"/>
          <w:sz w:val="24"/>
          <w:szCs w:val="24"/>
        </w:rPr>
        <w:t xml:space="preserve"> podatkowo, która wykazywana jest w księgach rachunkowych jednostki składowej dokonującej inwestycji jako </w:t>
      </w:r>
      <w:r w:rsidRPr="00C96268">
        <w:rPr>
          <w:rStyle w:val="ui-provider"/>
          <w:rFonts w:ascii="Times New Roman" w:hAnsi="Times New Roman" w:cs="Times New Roman"/>
          <w:b/>
          <w:bCs/>
          <w:sz w:val="24"/>
          <w:szCs w:val="24"/>
        </w:rPr>
        <w:t>udziały własnościowe</w:t>
      </w:r>
      <w:r w:rsidRPr="00C96268">
        <w:rPr>
          <w:rStyle w:val="ui-provider"/>
          <w:rFonts w:ascii="Times New Roman" w:hAnsi="Times New Roman" w:cs="Times New Roman"/>
          <w:sz w:val="24"/>
          <w:szCs w:val="24"/>
        </w:rPr>
        <w:t xml:space="preserve">, jeżeli aktywa, zobowiązania, przychody, koszty i przepływy pieniężne jednostki transparentnej podatkowo, w </w:t>
      </w:r>
      <w:r w:rsidR="00F57451" w:rsidRPr="00C96268">
        <w:rPr>
          <w:rStyle w:val="ui-provider"/>
          <w:rFonts w:ascii="Times New Roman" w:hAnsi="Times New Roman" w:cs="Times New Roman"/>
          <w:sz w:val="24"/>
          <w:szCs w:val="24"/>
        </w:rPr>
        <w:t xml:space="preserve">którą </w:t>
      </w:r>
      <w:r w:rsidRPr="00C96268">
        <w:rPr>
          <w:rStyle w:val="ui-provider"/>
          <w:rFonts w:ascii="Times New Roman" w:hAnsi="Times New Roman" w:cs="Times New Roman"/>
          <w:sz w:val="24"/>
          <w:szCs w:val="24"/>
        </w:rPr>
        <w:t>dokonano inwestycji nie są konsolidowane metod</w:t>
      </w:r>
      <w:r w:rsidR="00F57451" w:rsidRPr="00C96268">
        <w:rPr>
          <w:rStyle w:val="ui-provider"/>
          <w:rFonts w:ascii="Times New Roman" w:hAnsi="Times New Roman" w:cs="Times New Roman"/>
          <w:sz w:val="24"/>
          <w:szCs w:val="24"/>
        </w:rPr>
        <w:t>ą</w:t>
      </w:r>
      <w:r w:rsidRPr="00C96268">
        <w:rPr>
          <w:rStyle w:val="ui-provider"/>
          <w:rFonts w:ascii="Times New Roman" w:hAnsi="Times New Roman" w:cs="Times New Roman"/>
          <w:sz w:val="24"/>
          <w:szCs w:val="24"/>
        </w:rPr>
        <w:t xml:space="preserve"> pełną w skonsolidowanym sprawozdaniu finansowym grupy jednostki dokonującej inwestycji. W takim wypadku inwestycja ta będzie</w:t>
      </w:r>
      <w:r w:rsidR="00A80FA1" w:rsidRPr="00C96268">
        <w:rPr>
          <w:rStyle w:val="ui-provider"/>
          <w:rFonts w:ascii="Times New Roman" w:hAnsi="Times New Roman" w:cs="Times New Roman"/>
          <w:sz w:val="24"/>
          <w:szCs w:val="24"/>
        </w:rPr>
        <w:t xml:space="preserve"> stanowić</w:t>
      </w:r>
      <w:r w:rsidRPr="00C96268">
        <w:rPr>
          <w:rStyle w:val="ui-provider"/>
          <w:rFonts w:ascii="Times New Roman" w:hAnsi="Times New Roman" w:cs="Times New Roman"/>
          <w:sz w:val="24"/>
          <w:szCs w:val="24"/>
        </w:rPr>
        <w:t xml:space="preserve"> kwalifikowan</w:t>
      </w:r>
      <w:r w:rsidR="00A80FA1" w:rsidRPr="00C96268">
        <w:rPr>
          <w:rStyle w:val="ui-provider"/>
          <w:rFonts w:ascii="Times New Roman" w:hAnsi="Times New Roman" w:cs="Times New Roman"/>
          <w:sz w:val="24"/>
          <w:szCs w:val="24"/>
        </w:rPr>
        <w:t>e</w:t>
      </w:r>
      <w:r w:rsidRPr="00C96268">
        <w:rPr>
          <w:rStyle w:val="ui-provider"/>
          <w:rFonts w:ascii="Times New Roman" w:hAnsi="Times New Roman" w:cs="Times New Roman"/>
          <w:sz w:val="24"/>
          <w:szCs w:val="24"/>
        </w:rPr>
        <w:t xml:space="preserve"> udział</w:t>
      </w:r>
      <w:r w:rsidR="00A80FA1" w:rsidRPr="00C96268">
        <w:rPr>
          <w:rStyle w:val="ui-provider"/>
          <w:rFonts w:ascii="Times New Roman" w:hAnsi="Times New Roman" w:cs="Times New Roman"/>
          <w:sz w:val="24"/>
          <w:szCs w:val="24"/>
        </w:rPr>
        <w:t>y</w:t>
      </w:r>
      <w:r w:rsidRPr="00C96268">
        <w:rPr>
          <w:rStyle w:val="ui-provider"/>
          <w:rFonts w:ascii="Times New Roman" w:hAnsi="Times New Roman" w:cs="Times New Roman"/>
          <w:sz w:val="24"/>
          <w:szCs w:val="24"/>
        </w:rPr>
        <w:t xml:space="preserve"> własnościow</w:t>
      </w:r>
      <w:r w:rsidR="00A80FA1" w:rsidRPr="00C96268">
        <w:rPr>
          <w:rStyle w:val="ui-provider"/>
          <w:rFonts w:ascii="Times New Roman" w:hAnsi="Times New Roman" w:cs="Times New Roman"/>
          <w:sz w:val="24"/>
          <w:szCs w:val="24"/>
        </w:rPr>
        <w:t>e,</w:t>
      </w:r>
      <w:r w:rsidRPr="00C96268">
        <w:rPr>
          <w:rStyle w:val="ui-provider"/>
          <w:rFonts w:ascii="Times New Roman" w:hAnsi="Times New Roman" w:cs="Times New Roman"/>
          <w:sz w:val="24"/>
          <w:szCs w:val="24"/>
        </w:rPr>
        <w:t xml:space="preserve"> jeżeli z wszelkich faktów i okoliczności, w tym z warunków inwestycji wynika, że jednostka dokonująca inwestycji na moment dokonywania tej inwestycji zakładała, że kwota zwrotu z tej inwestycji będzie niższa niż kwota zainwestowana. Podkreślenia wymaga, że kwota zwrotu obejmuje również wypłaty, możliwość rozliczenia strat, kwalifikowane zwrotne ulgi podatkowe wynikające z działalności jednostki transparentnej podatkowo</w:t>
      </w:r>
      <w:r w:rsidR="00F57451" w:rsidRPr="00C96268">
        <w:rPr>
          <w:rStyle w:val="ui-provider"/>
          <w:rFonts w:ascii="Times New Roman" w:hAnsi="Times New Roman" w:cs="Times New Roman"/>
          <w:sz w:val="24"/>
          <w:szCs w:val="24"/>
        </w:rPr>
        <w:t>,</w:t>
      </w:r>
      <w:r w:rsidRPr="00C96268">
        <w:rPr>
          <w:rStyle w:val="ui-provider"/>
          <w:rFonts w:ascii="Times New Roman" w:hAnsi="Times New Roman" w:cs="Times New Roman"/>
          <w:sz w:val="24"/>
          <w:szCs w:val="24"/>
        </w:rPr>
        <w:t xml:space="preserve"> w której dokonano inwestycji, z wyjątkiem ulg podatkowych innych niż  kwalifikowane pośrednie aktywa podatkowe.</w:t>
      </w:r>
      <w:r w:rsidR="007246D1" w:rsidRPr="00C96268">
        <w:rPr>
          <w:rStyle w:val="ui-provider"/>
          <w:rFonts w:ascii="Times New Roman" w:hAnsi="Times New Roman" w:cs="Times New Roman"/>
          <w:sz w:val="24"/>
          <w:szCs w:val="24"/>
        </w:rPr>
        <w:t xml:space="preserve"> Warunek ten obejmuje istotę takiej inwestycji, w której jednostka jej dokonująca mogła zakładać, że częścią kwoty zwrotu z takiej inwestycji będą ulgi podatkowe (inne niż kwalifikowane zwrotne ulgi podatkowe), niezależnie czy miały one być zbyte czy rozliczone jako zmniejszenie podatków kwalifikowanych tej jednostki składowej.</w:t>
      </w:r>
    </w:p>
    <w:p w14:paraId="18A00C42" w14:textId="0C135013" w:rsidR="00214622" w:rsidRPr="00C96268" w:rsidRDefault="00214622" w:rsidP="00394B47">
      <w:pPr>
        <w:spacing w:after="120"/>
        <w:jc w:val="both"/>
        <w:rPr>
          <w:rFonts w:ascii="Times New Roman" w:hAnsi="Times New Roman" w:cs="Times New Roman"/>
          <w:sz w:val="24"/>
          <w:szCs w:val="24"/>
        </w:rPr>
      </w:pPr>
      <w:r w:rsidRPr="00C96268">
        <w:rPr>
          <w:rStyle w:val="ui-provider"/>
          <w:rFonts w:ascii="Times New Roman" w:hAnsi="Times New Roman" w:cs="Times New Roman"/>
          <w:sz w:val="24"/>
          <w:szCs w:val="24"/>
        </w:rPr>
        <w:t xml:space="preserve">Zyskiem (stratą) z takich udziałów własnościowych jest </w:t>
      </w:r>
      <w:r w:rsidR="00A80FA1" w:rsidRPr="00C96268">
        <w:rPr>
          <w:rStyle w:val="ui-provider"/>
          <w:rFonts w:ascii="Times New Roman" w:hAnsi="Times New Roman" w:cs="Times New Roman"/>
          <w:sz w:val="24"/>
          <w:szCs w:val="24"/>
        </w:rPr>
        <w:t>-</w:t>
      </w:r>
      <w:r w:rsidRPr="00C96268">
        <w:rPr>
          <w:rStyle w:val="ui-provider"/>
          <w:rFonts w:ascii="Times New Roman" w:hAnsi="Times New Roman" w:cs="Times New Roman"/>
          <w:sz w:val="24"/>
          <w:szCs w:val="24"/>
        </w:rPr>
        <w:t xml:space="preserve"> w określonych przypadkach - zysk (strata) uwzględniony przy opodatkowaniu podatkiem kwalifikowanym jednostki składowej: (i) z tytułu zmiany wartości godziwej takich udziałów własnościowych, lub (ii) </w:t>
      </w:r>
      <w:r w:rsidRPr="00C96268">
        <w:rPr>
          <w:rFonts w:ascii="Times New Roman" w:hAnsi="Times New Roman" w:cs="Times New Roman"/>
          <w:sz w:val="24"/>
          <w:szCs w:val="24"/>
        </w:rPr>
        <w:t>przypisany do tych udziałów własnościowych.</w:t>
      </w:r>
    </w:p>
    <w:p w14:paraId="5C8BCCBA" w14:textId="2D66B408" w:rsidR="00F0612E"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W pierwszym przypadku</w:t>
      </w:r>
      <w:r w:rsidR="00683E8D" w:rsidRPr="00C96268">
        <w:rPr>
          <w:rFonts w:ascii="Times New Roman" w:hAnsi="Times New Roman" w:cs="Times New Roman"/>
          <w:sz w:val="24"/>
          <w:szCs w:val="24"/>
        </w:rPr>
        <w:t xml:space="preserve"> (ust. 3 pkt 1)</w:t>
      </w:r>
      <w:r w:rsidRPr="00C96268">
        <w:rPr>
          <w:rFonts w:ascii="Times New Roman" w:hAnsi="Times New Roman" w:cs="Times New Roman"/>
          <w:sz w:val="24"/>
          <w:szCs w:val="24"/>
        </w:rPr>
        <w:t xml:space="preserve"> taki zysk (strata) </w:t>
      </w:r>
      <w:r w:rsidR="00F0612E" w:rsidRPr="00C96268">
        <w:rPr>
          <w:rFonts w:ascii="Times New Roman" w:hAnsi="Times New Roman" w:cs="Times New Roman"/>
          <w:sz w:val="24"/>
          <w:szCs w:val="24"/>
        </w:rPr>
        <w:t>może stanowić</w:t>
      </w:r>
      <w:r w:rsidRPr="00C96268">
        <w:rPr>
          <w:rFonts w:ascii="Times New Roman" w:hAnsi="Times New Roman" w:cs="Times New Roman"/>
          <w:sz w:val="24"/>
          <w:szCs w:val="24"/>
        </w:rPr>
        <w:t xml:space="preserve"> zysk z kwalifikowanych udziałów własnościowych</w:t>
      </w:r>
      <w:r w:rsidR="00F0612E" w:rsidRPr="00C96268">
        <w:rPr>
          <w:rFonts w:ascii="Times New Roman" w:hAnsi="Times New Roman" w:cs="Times New Roman"/>
          <w:sz w:val="24"/>
          <w:szCs w:val="24"/>
        </w:rPr>
        <w:t>:</w:t>
      </w:r>
    </w:p>
    <w:p w14:paraId="5756CE27" w14:textId="527CD4C3" w:rsidR="00F0612E" w:rsidRPr="00C96268" w:rsidRDefault="00F0612E"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1)</w:t>
      </w:r>
      <w:r w:rsidR="00214622" w:rsidRPr="00C96268">
        <w:rPr>
          <w:rFonts w:ascii="Times New Roman" w:hAnsi="Times New Roman" w:cs="Times New Roman"/>
          <w:sz w:val="24"/>
          <w:szCs w:val="24"/>
        </w:rPr>
        <w:t xml:space="preserve"> jeżeli zmiany </w:t>
      </w:r>
      <w:r w:rsidRPr="00C96268">
        <w:rPr>
          <w:rFonts w:ascii="Times New Roman" w:hAnsi="Times New Roman" w:cs="Times New Roman"/>
          <w:sz w:val="24"/>
          <w:szCs w:val="24"/>
        </w:rPr>
        <w:t>wartości godziwej</w:t>
      </w:r>
      <w:r w:rsidR="00214622" w:rsidRPr="00C96268">
        <w:rPr>
          <w:rFonts w:ascii="Times New Roman" w:hAnsi="Times New Roman" w:cs="Times New Roman"/>
          <w:sz w:val="24"/>
          <w:szCs w:val="24"/>
        </w:rPr>
        <w:t xml:space="preserve"> są uwzględniane przez jednostkę składową </w:t>
      </w:r>
      <w:r w:rsidR="00A80FA1" w:rsidRPr="00C96268">
        <w:rPr>
          <w:rFonts w:ascii="Times New Roman" w:hAnsi="Times New Roman" w:cs="Times New Roman"/>
          <w:sz w:val="24"/>
          <w:szCs w:val="24"/>
        </w:rPr>
        <w:t>przy obliczaniu</w:t>
      </w:r>
      <w:r w:rsidR="00214622" w:rsidRPr="00C96268">
        <w:rPr>
          <w:rFonts w:ascii="Times New Roman" w:hAnsi="Times New Roman" w:cs="Times New Roman"/>
          <w:sz w:val="24"/>
          <w:szCs w:val="24"/>
        </w:rPr>
        <w:t xml:space="preserve"> podatku dochodowego w części bieżącej</w:t>
      </w:r>
      <w:r w:rsidRPr="00C96268">
        <w:rPr>
          <w:rFonts w:ascii="Times New Roman" w:hAnsi="Times New Roman" w:cs="Times New Roman"/>
          <w:sz w:val="24"/>
          <w:szCs w:val="24"/>
        </w:rPr>
        <w:t>, albo</w:t>
      </w:r>
    </w:p>
    <w:p w14:paraId="4F02F88C" w14:textId="7AC54E60" w:rsidR="00214622" w:rsidRPr="00C96268" w:rsidRDefault="00F0612E"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2) </w:t>
      </w:r>
      <w:r w:rsidR="00214622" w:rsidRPr="00C96268">
        <w:rPr>
          <w:rFonts w:ascii="Times New Roman" w:hAnsi="Times New Roman" w:cs="Times New Roman"/>
          <w:sz w:val="24"/>
          <w:szCs w:val="24"/>
        </w:rPr>
        <w:t>kiedy jednostka składowa podlega opodatkowaniu dopiero na moment zbycia posiadanych udziałów własnościowych</w:t>
      </w:r>
      <w:r w:rsidRPr="00C96268">
        <w:rPr>
          <w:rFonts w:ascii="Times New Roman" w:hAnsi="Times New Roman" w:cs="Times New Roman"/>
          <w:sz w:val="24"/>
          <w:szCs w:val="24"/>
        </w:rPr>
        <w:t>, a</w:t>
      </w:r>
      <w:r w:rsidR="00214622" w:rsidRPr="00C96268">
        <w:rPr>
          <w:rFonts w:ascii="Times New Roman" w:hAnsi="Times New Roman" w:cs="Times New Roman"/>
          <w:sz w:val="24"/>
          <w:szCs w:val="24"/>
        </w:rPr>
        <w:t xml:space="preserve"> </w:t>
      </w:r>
      <w:r w:rsidRPr="00C96268">
        <w:rPr>
          <w:rFonts w:ascii="Times New Roman" w:hAnsi="Times New Roman" w:cs="Times New Roman"/>
          <w:sz w:val="24"/>
          <w:szCs w:val="24"/>
        </w:rPr>
        <w:t>-</w:t>
      </w:r>
      <w:r w:rsidR="00214622" w:rsidRPr="00C96268">
        <w:rPr>
          <w:rFonts w:ascii="Times New Roman" w:hAnsi="Times New Roman" w:cs="Times New Roman"/>
          <w:sz w:val="24"/>
          <w:szCs w:val="24"/>
        </w:rPr>
        <w:t xml:space="preserve"> rezerwa lub aktywo z tytułu podatku dochodowego określane w oparciu o zmianę bieżącej wartości godziwej tych udziałów jest wykazywane jako podatek dochodowy w części </w:t>
      </w:r>
      <w:r w:rsidRPr="00C96268">
        <w:rPr>
          <w:rFonts w:ascii="Times New Roman" w:hAnsi="Times New Roman" w:cs="Times New Roman"/>
          <w:sz w:val="24"/>
          <w:szCs w:val="24"/>
        </w:rPr>
        <w:t>odroczonej</w:t>
      </w:r>
      <w:r w:rsidR="00214622" w:rsidRPr="00C96268">
        <w:rPr>
          <w:rFonts w:ascii="Times New Roman" w:hAnsi="Times New Roman" w:cs="Times New Roman"/>
          <w:sz w:val="24"/>
          <w:szCs w:val="24"/>
        </w:rPr>
        <w:t>.</w:t>
      </w:r>
    </w:p>
    <w:p w14:paraId="4005F205" w14:textId="638D405B"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W drugim przypadku</w:t>
      </w:r>
      <w:r w:rsidR="00683E8D" w:rsidRPr="00C96268">
        <w:rPr>
          <w:rFonts w:ascii="Times New Roman" w:hAnsi="Times New Roman" w:cs="Times New Roman"/>
          <w:sz w:val="24"/>
          <w:szCs w:val="24"/>
        </w:rPr>
        <w:t xml:space="preserve"> (ust. 3 pkt 2)</w:t>
      </w:r>
      <w:r w:rsidRPr="00C96268">
        <w:rPr>
          <w:rFonts w:ascii="Times New Roman" w:hAnsi="Times New Roman" w:cs="Times New Roman"/>
          <w:sz w:val="24"/>
          <w:szCs w:val="24"/>
        </w:rPr>
        <w:t xml:space="preserve"> taki zysk (strata) jest zyskiem z kwalifikowanych udziałów własnościowych, jeżeli jednostka składowa wykazuje metodą praw własności udziały własnościowe bezpośrednio lub pośrednio posiadane w jednostkach transparentnych podatkowo. </w:t>
      </w:r>
    </w:p>
    <w:p w14:paraId="3F227784" w14:textId="780F18E8"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trzecim przypadku </w:t>
      </w:r>
      <w:r w:rsidR="00683E8D" w:rsidRPr="00C96268">
        <w:rPr>
          <w:rFonts w:ascii="Times New Roman" w:hAnsi="Times New Roman" w:cs="Times New Roman"/>
          <w:sz w:val="24"/>
          <w:szCs w:val="24"/>
        </w:rPr>
        <w:t xml:space="preserve">(ust. 3 pkt 3) </w:t>
      </w:r>
      <w:r w:rsidRPr="00C96268">
        <w:rPr>
          <w:rFonts w:ascii="Times New Roman" w:hAnsi="Times New Roman" w:cs="Times New Roman"/>
          <w:sz w:val="24"/>
          <w:szCs w:val="24"/>
        </w:rPr>
        <w:t>taki zysk (strata) jest zyskiem z kwalifikowanych udziałów własnościowych, jeżeli został on uwzględniony przy opodatkowaniu podatkiem kwalifikowanym sprzedającej jednostki składowej, z wyjątkiem przypadku, gdy taki zysk (strata) podlega zwolnieniu lub wyłączeniu z opodatkowania podatkiem kwalifikowanym.</w:t>
      </w:r>
    </w:p>
    <w:p w14:paraId="284FEAA8" w14:textId="77777777"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dalszej części regulacja ta określa pozostałe skutki wynikające z dokonania wyboru w zakresie kwalifikowanych udziałów własnościowych, m.in. w zakresie ulg uzyskiwanych w związku z udziałami posiadanymi w jednostkach transparentnych podatkowo i kwalifikowanymi pośrednimi aktywami podatkowymi bezpośrednio związanymi z kwalifikowanymi udziałami własnościowymi. </w:t>
      </w:r>
    </w:p>
    <w:p w14:paraId="1CE9F17F" w14:textId="77777777"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Jeżeli jednostka składowa objęta wyborem uzyskuje prawo do ulgi w związku z posiadanymi udziałami własnościowymi w jednostce transparentnej podatkowo, to uwzględnia to prawo w kalkulacji jej kwalifikowanego dochodu (straty) lub skorygowanych podatków kwalifikowanych. </w:t>
      </w:r>
    </w:p>
    <w:p w14:paraId="55E24D08" w14:textId="52CB0975"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Kwalifikowane pośrednie aktywa podatkowe to ulgi podatkowe (inne niż kwalifikowane zwrotne ulgi podatkowe) oraz iloczyn straty podatkowej jednostki transparentnej podatkowo, w której dokonano inwestycji i standardowej stawki podatku dochodowego jednostki dokonującej inwestycji. Pozycje te są uznawane za kwalifikowane pośrednie aktywa podatkowe pod warunkiem, że obniżają one kwotę inwestycji i są rozliczne przez jednostkę dokonującą tej inwestycji lub jednostkę składową, posiadającą udziały własnościowe w jednostce transparentnej podatkowo, w której dokonano tej inwestycji poprzez jednostki pośredniczące transparentne podatkowo, niebędące jednostkami składowymi grupy do której należy jednostka transparentna podatkowo, w której dokonano inwestycji. </w:t>
      </w:r>
    </w:p>
    <w:p w14:paraId="65B21913" w14:textId="5CDF4484"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Kwota inwestycji, o której mowa powyżej, jest równa wartości udziałów własnościowych objętych wyborem albo wartości pożyczki. Kwota inwestycji jest równa wartości pożyczki, jeżeli inwestycja w takiej jednostce transparentnej podatkowo jest wykazywana w księgach przez jednostkę jej dokonująca jako pożyczka, a zwrot z tej inwestycji odpowiednio jako spłat</w:t>
      </w:r>
      <w:r w:rsidR="00683E8D" w:rsidRPr="00C96268">
        <w:rPr>
          <w:rFonts w:ascii="Times New Roman" w:hAnsi="Times New Roman" w:cs="Times New Roman"/>
          <w:sz w:val="24"/>
          <w:szCs w:val="24"/>
        </w:rPr>
        <w:t>a</w:t>
      </w:r>
      <w:r w:rsidRPr="00C96268">
        <w:rPr>
          <w:rFonts w:ascii="Times New Roman" w:hAnsi="Times New Roman" w:cs="Times New Roman"/>
          <w:sz w:val="24"/>
          <w:szCs w:val="24"/>
        </w:rPr>
        <w:t xml:space="preserve"> pożyczki w części kapitałowej i odsetkowej. Ponadto, pożyczka taka musi być traktowana jako udział własnościowy zgodnie z </w:t>
      </w:r>
      <w:r w:rsidR="00683E8D" w:rsidRPr="00C96268">
        <w:rPr>
          <w:rFonts w:ascii="Times New Roman" w:hAnsi="Times New Roman" w:cs="Times New Roman"/>
          <w:sz w:val="24"/>
          <w:szCs w:val="24"/>
        </w:rPr>
        <w:t xml:space="preserve">akceptowanym lub </w:t>
      </w:r>
      <w:r w:rsidRPr="00C96268">
        <w:rPr>
          <w:rFonts w:ascii="Times New Roman" w:hAnsi="Times New Roman" w:cs="Times New Roman"/>
          <w:sz w:val="24"/>
          <w:szCs w:val="24"/>
        </w:rPr>
        <w:t xml:space="preserve">zatwierdzonym standardem rachunkowości w </w:t>
      </w:r>
      <w:r w:rsidR="00EF17F2" w:rsidRPr="00C96268">
        <w:rPr>
          <w:rFonts w:ascii="Times New Roman" w:hAnsi="Times New Roman" w:cs="Times New Roman"/>
          <w:sz w:val="24"/>
          <w:szCs w:val="24"/>
        </w:rPr>
        <w:t>jurysdykcji</w:t>
      </w:r>
      <w:r w:rsidRPr="00C96268">
        <w:rPr>
          <w:rFonts w:ascii="Times New Roman" w:hAnsi="Times New Roman" w:cs="Times New Roman"/>
          <w:sz w:val="24"/>
          <w:szCs w:val="24"/>
        </w:rPr>
        <w:t xml:space="preserve">, w </w:t>
      </w:r>
      <w:r w:rsidR="00EF17F2" w:rsidRPr="00C96268">
        <w:rPr>
          <w:rFonts w:ascii="Times New Roman" w:hAnsi="Times New Roman" w:cs="Times New Roman"/>
          <w:sz w:val="24"/>
          <w:szCs w:val="24"/>
        </w:rPr>
        <w:t xml:space="preserve">której </w:t>
      </w:r>
      <w:r w:rsidRPr="00C96268">
        <w:rPr>
          <w:rFonts w:ascii="Times New Roman" w:hAnsi="Times New Roman" w:cs="Times New Roman"/>
          <w:sz w:val="24"/>
          <w:szCs w:val="24"/>
        </w:rPr>
        <w:t xml:space="preserve">jest zlokalizowana jednostka transparentna podatkowo, w której dokonano inwestycji, a jednostka dokonująca inwestycji musi mieć rzeczywisty cel ekonomiczny w inwestycji w jednostkę transparentną podatkowo, w której dokonano tej inwestycji i nie być chroniona od strat z tej inwestycji. Jednocześnie, ciężar dowodu, że warunki te zostały spełnione spoczywa na podatniku. </w:t>
      </w:r>
    </w:p>
    <w:p w14:paraId="7C78E0B0" w14:textId="77777777"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Regulacje te przewidują, że jeżeli jednostka składowa posiada kwalifikowane udziały własnościowe i bezpośrednio z nimi związane kwalifikowane pośrednie aktywa podatkowe oraz dokonała wyboru w zakresie kwalifikowanych udziałów własnościowych, to dokonuje odpowiednich, omówionych w dalszej części ustawy, pomniejszeń lub zwiększeń skorygowanych podatków kwalifikowanych.</w:t>
      </w:r>
    </w:p>
    <w:p w14:paraId="5BD467D2" w14:textId="77777777" w:rsidR="00C73DB2" w:rsidRPr="00C96268" w:rsidRDefault="00C73DB2" w:rsidP="00394B47">
      <w:pPr>
        <w:pStyle w:val="Nagwek5"/>
        <w:spacing w:before="0"/>
        <w:rPr>
          <w:rFonts w:ascii="Times New Roman" w:hAnsi="Times New Roman" w:cs="Times New Roman"/>
          <w:sz w:val="24"/>
          <w:szCs w:val="24"/>
        </w:rPr>
      </w:pPr>
      <w:r w:rsidRPr="00C96268">
        <w:rPr>
          <w:rFonts w:ascii="Times New Roman" w:hAnsi="Times New Roman" w:cs="Times New Roman"/>
          <w:sz w:val="24"/>
          <w:szCs w:val="24"/>
        </w:rPr>
        <w:t>Art. 64 [Kwalifikowana oraz niekwalifikowana zwrotna ulga]</w:t>
      </w:r>
      <w:bookmarkEnd w:id="25"/>
    </w:p>
    <w:p w14:paraId="7E9FCB49" w14:textId="7C5470B0" w:rsidR="00C73DB2" w:rsidRPr="00C96268" w:rsidRDefault="00C73DB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Traktowanie ulg podatkowych w kontekście Zasad GloBE jest istotne z perspektywy kalkulacji jurysdykcyjnego ETR. Ulgi podatkowe mogą być traktowane jako kwalifikowany dochód bądź jako obniżenie kwalifikowanych podatków. Ulgi zmniejszają ETR w obu przypadkach, jednak ulga  traktowana jako dochód zmniejsza ETR </w:t>
      </w:r>
      <w:r w:rsidR="00737841" w:rsidRPr="00C96268">
        <w:rPr>
          <w:rFonts w:ascii="Times New Roman" w:hAnsi="Times New Roman" w:cs="Times New Roman"/>
          <w:sz w:val="24"/>
          <w:szCs w:val="24"/>
        </w:rPr>
        <w:t>w mniejszym stopniu</w:t>
      </w:r>
      <w:r w:rsidRPr="00C96268">
        <w:rPr>
          <w:rFonts w:ascii="Times New Roman" w:hAnsi="Times New Roman" w:cs="Times New Roman"/>
          <w:sz w:val="24"/>
          <w:szCs w:val="24"/>
        </w:rPr>
        <w:t xml:space="preserve"> niż w przypadku, gdy jest traktowana jako obniżenie podatku. </w:t>
      </w:r>
    </w:p>
    <w:p w14:paraId="789ACB6F" w14:textId="5D0388E1" w:rsidR="00C73DB2" w:rsidRPr="00C96268" w:rsidRDefault="00C73DB2" w:rsidP="00394B47">
      <w:pPr>
        <w:spacing w:after="120"/>
        <w:jc w:val="both"/>
        <w:rPr>
          <w:rFonts w:ascii="Times New Roman" w:hAnsi="Times New Roman" w:cs="Times New Roman"/>
          <w:bCs/>
          <w:iCs/>
          <w:sz w:val="24"/>
          <w:szCs w:val="24"/>
        </w:rPr>
      </w:pPr>
      <w:r w:rsidRPr="00C96268">
        <w:rPr>
          <w:rFonts w:ascii="Times New Roman" w:hAnsi="Times New Roman" w:cs="Times New Roman"/>
          <w:b/>
          <w:bCs/>
          <w:iCs/>
          <w:sz w:val="24"/>
          <w:szCs w:val="24"/>
        </w:rPr>
        <w:t>Art. 64</w:t>
      </w:r>
      <w:r w:rsidRPr="00C96268">
        <w:rPr>
          <w:rFonts w:ascii="Times New Roman" w:hAnsi="Times New Roman" w:cs="Times New Roman"/>
          <w:bCs/>
          <w:iCs/>
          <w:sz w:val="24"/>
          <w:szCs w:val="24"/>
        </w:rPr>
        <w:t xml:space="preserve"> stanowi implementację art. 16</w:t>
      </w:r>
      <w:r w:rsidR="0042058C" w:rsidRPr="00C96268">
        <w:rPr>
          <w:rFonts w:ascii="Times New Roman" w:hAnsi="Times New Roman" w:cs="Times New Roman"/>
          <w:bCs/>
          <w:iCs/>
          <w:sz w:val="24"/>
          <w:szCs w:val="24"/>
        </w:rPr>
        <w:t>.</w:t>
      </w:r>
      <w:r w:rsidRPr="00C96268">
        <w:rPr>
          <w:rFonts w:ascii="Times New Roman" w:hAnsi="Times New Roman" w:cs="Times New Roman"/>
          <w:bCs/>
          <w:iCs/>
          <w:sz w:val="24"/>
          <w:szCs w:val="24"/>
        </w:rPr>
        <w:t xml:space="preserve">5 Dyrektywy </w:t>
      </w:r>
      <w:r w:rsidRPr="00C96268">
        <w:rPr>
          <w:rFonts w:ascii="Times New Roman" w:hAnsi="Times New Roman" w:cs="Times New Roman"/>
          <w:iCs/>
          <w:sz w:val="24"/>
          <w:szCs w:val="24"/>
        </w:rPr>
        <w:t xml:space="preserve">dotyczącego uwzględniania bądź nieuwzględniania </w:t>
      </w:r>
      <w:r w:rsidRPr="00C96268">
        <w:rPr>
          <w:rFonts w:ascii="Times New Roman" w:hAnsi="Times New Roman" w:cs="Times New Roman"/>
          <w:bCs/>
          <w:iCs/>
          <w:sz w:val="24"/>
          <w:szCs w:val="24"/>
        </w:rPr>
        <w:t>kwalifikowanej</w:t>
      </w:r>
      <w:r w:rsidRPr="00C96268">
        <w:rPr>
          <w:rFonts w:ascii="Times New Roman" w:hAnsi="Times New Roman" w:cs="Times New Roman"/>
          <w:iCs/>
          <w:sz w:val="24"/>
          <w:szCs w:val="24"/>
        </w:rPr>
        <w:t xml:space="preserve"> oraz </w:t>
      </w:r>
      <w:r w:rsidRPr="00C96268">
        <w:rPr>
          <w:rFonts w:ascii="Times New Roman" w:hAnsi="Times New Roman" w:cs="Times New Roman"/>
          <w:bCs/>
          <w:iCs/>
          <w:sz w:val="24"/>
          <w:szCs w:val="24"/>
        </w:rPr>
        <w:t>niekwalifikowanej zwrotnej ulgi</w:t>
      </w:r>
      <w:r w:rsidRPr="00C96268">
        <w:rPr>
          <w:rFonts w:ascii="Times New Roman" w:hAnsi="Times New Roman" w:cs="Times New Roman"/>
          <w:iCs/>
          <w:sz w:val="24"/>
          <w:szCs w:val="24"/>
        </w:rPr>
        <w:t xml:space="preserve"> przy obliczaniu kwalifikowanego dochodu (straty). </w:t>
      </w:r>
    </w:p>
    <w:p w14:paraId="4A5BFE26" w14:textId="322B3E1A" w:rsidR="00C73DB2" w:rsidRPr="00C96268" w:rsidRDefault="00C73DB2" w:rsidP="00394B47">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 xml:space="preserve">Regulacja określa sposób traktowania kwalifikowanej zwrotnej ulgi oraz niekwalifikowanej zwrotnej ulgi dla celów obliczania kwalifikowanego dochodu (straty) </w:t>
      </w:r>
      <w:r w:rsidRPr="00C96268">
        <w:rPr>
          <w:rFonts w:ascii="Times New Roman" w:hAnsi="Times New Roman" w:cs="Times New Roman"/>
          <w:bCs/>
          <w:sz w:val="24"/>
          <w:szCs w:val="24"/>
        </w:rPr>
        <w:t>jednostki składowej</w:t>
      </w:r>
      <w:r w:rsidRPr="00C96268">
        <w:rPr>
          <w:rFonts w:ascii="Times New Roman" w:hAnsi="Times New Roman" w:cs="Times New Roman"/>
          <w:sz w:val="24"/>
          <w:szCs w:val="24"/>
        </w:rPr>
        <w:t>.</w:t>
      </w:r>
      <w:r w:rsidRPr="00C96268">
        <w:rPr>
          <w:rFonts w:ascii="Times New Roman" w:hAnsi="Times New Roman" w:cs="Times New Roman"/>
          <w:bCs/>
          <w:sz w:val="24"/>
          <w:szCs w:val="24"/>
        </w:rPr>
        <w:t xml:space="preserve"> Dla celów obliczenia kwalifikowanego dochodu jednostki składowej za rok podatkowy, kwalifikowana zwrotna ulga jest </w:t>
      </w:r>
      <w:r w:rsidR="003F4D57" w:rsidRPr="00C96268">
        <w:rPr>
          <w:rFonts w:ascii="Times New Roman" w:hAnsi="Times New Roman" w:cs="Times New Roman"/>
          <w:bCs/>
          <w:sz w:val="24"/>
          <w:szCs w:val="24"/>
        </w:rPr>
        <w:t>uwzględniana w</w:t>
      </w:r>
      <w:r w:rsidRPr="00C96268">
        <w:rPr>
          <w:rFonts w:ascii="Times New Roman" w:hAnsi="Times New Roman" w:cs="Times New Roman"/>
          <w:bCs/>
          <w:sz w:val="24"/>
          <w:szCs w:val="24"/>
        </w:rPr>
        <w:t xml:space="preserve"> kwalifikowany</w:t>
      </w:r>
      <w:r w:rsidR="003F4D57" w:rsidRPr="00C96268">
        <w:rPr>
          <w:rFonts w:ascii="Times New Roman" w:hAnsi="Times New Roman" w:cs="Times New Roman"/>
          <w:bCs/>
          <w:sz w:val="24"/>
          <w:szCs w:val="24"/>
        </w:rPr>
        <w:t>m</w:t>
      </w:r>
      <w:r w:rsidRPr="00C96268">
        <w:rPr>
          <w:rFonts w:ascii="Times New Roman" w:hAnsi="Times New Roman" w:cs="Times New Roman"/>
          <w:bCs/>
          <w:sz w:val="24"/>
          <w:szCs w:val="24"/>
        </w:rPr>
        <w:t xml:space="preserve"> </w:t>
      </w:r>
      <w:r w:rsidR="003F4D57" w:rsidRPr="00C96268">
        <w:rPr>
          <w:rFonts w:ascii="Times New Roman" w:hAnsi="Times New Roman" w:cs="Times New Roman"/>
          <w:bCs/>
          <w:sz w:val="24"/>
          <w:szCs w:val="24"/>
        </w:rPr>
        <w:t>dochodzie (stracie)</w:t>
      </w:r>
      <w:r w:rsidRPr="00C96268">
        <w:rPr>
          <w:rFonts w:ascii="Times New Roman" w:hAnsi="Times New Roman" w:cs="Times New Roman"/>
          <w:bCs/>
          <w:sz w:val="24"/>
          <w:szCs w:val="24"/>
        </w:rPr>
        <w:t>, natomiast niekwalifikowana zwrotna ulga nie podlega uwzględnieniu w tym dochodzie</w:t>
      </w:r>
      <w:r w:rsidR="003F4D57" w:rsidRPr="00C96268">
        <w:rPr>
          <w:rFonts w:ascii="Times New Roman" w:hAnsi="Times New Roman" w:cs="Times New Roman"/>
          <w:bCs/>
          <w:sz w:val="24"/>
          <w:szCs w:val="24"/>
        </w:rPr>
        <w:t xml:space="preserve"> (stracie)</w:t>
      </w:r>
      <w:r w:rsidRPr="00C96268">
        <w:rPr>
          <w:rFonts w:ascii="Times New Roman" w:hAnsi="Times New Roman" w:cs="Times New Roman"/>
          <w:bCs/>
          <w:sz w:val="24"/>
          <w:szCs w:val="24"/>
        </w:rPr>
        <w:t xml:space="preserve">. </w:t>
      </w:r>
    </w:p>
    <w:p w14:paraId="03273761" w14:textId="52AB6D07" w:rsidR="00C73DB2" w:rsidRPr="00C96268" w:rsidRDefault="00C73DB2" w:rsidP="00394B47">
      <w:pPr>
        <w:spacing w:after="120"/>
        <w:jc w:val="both"/>
        <w:rPr>
          <w:rFonts w:ascii="Times New Roman" w:eastAsia="Times New Roman" w:hAnsi="Times New Roman" w:cs="Times New Roman"/>
          <w:bCs/>
          <w:sz w:val="24"/>
          <w:szCs w:val="24"/>
          <w:lang w:eastAsia="pl-PL"/>
        </w:rPr>
      </w:pPr>
      <w:r w:rsidRPr="00C96268">
        <w:rPr>
          <w:rFonts w:ascii="Times New Roman" w:eastAsia="Times New Roman" w:hAnsi="Times New Roman" w:cs="Times New Roman"/>
          <w:bCs/>
          <w:iCs/>
          <w:sz w:val="24"/>
          <w:szCs w:val="24"/>
          <w:lang w:eastAsia="pl-PL"/>
        </w:rPr>
        <w:t>Definicja kwalifikowanej zwrotnej ulgi, przyjęta dla potrzeb niniejszego projektu, stanowi implementację art. 3</w:t>
      </w:r>
      <w:r w:rsidR="00357A10" w:rsidRPr="00C96268">
        <w:rPr>
          <w:rFonts w:ascii="Times New Roman" w:eastAsia="Times New Roman" w:hAnsi="Times New Roman" w:cs="Times New Roman"/>
          <w:bCs/>
          <w:iCs/>
          <w:sz w:val="24"/>
          <w:szCs w:val="24"/>
          <w:lang w:eastAsia="pl-PL"/>
        </w:rPr>
        <w:t xml:space="preserve"> pkt </w:t>
      </w:r>
      <w:r w:rsidRPr="00C96268">
        <w:rPr>
          <w:rFonts w:ascii="Times New Roman" w:eastAsia="Times New Roman" w:hAnsi="Times New Roman" w:cs="Times New Roman"/>
          <w:bCs/>
          <w:iCs/>
          <w:sz w:val="24"/>
          <w:szCs w:val="24"/>
          <w:lang w:eastAsia="pl-PL"/>
        </w:rPr>
        <w:t>38 Dyrektywy.</w:t>
      </w:r>
      <w:r w:rsidRPr="00C96268">
        <w:rPr>
          <w:rFonts w:ascii="Times New Roman" w:eastAsia="Times New Roman" w:hAnsi="Times New Roman" w:cs="Times New Roman"/>
          <w:bCs/>
          <w:sz w:val="24"/>
          <w:szCs w:val="24"/>
          <w:lang w:eastAsia="pl-PL"/>
        </w:rPr>
        <w:t xml:space="preserve"> Przepis ten wprowadza definicję </w:t>
      </w:r>
      <w:r w:rsidRPr="00C96268">
        <w:rPr>
          <w:rFonts w:ascii="Times New Roman" w:eastAsia="Times New Roman" w:hAnsi="Times New Roman" w:cs="Times New Roman"/>
          <w:b/>
          <w:bCs/>
          <w:sz w:val="24"/>
          <w:szCs w:val="24"/>
          <w:lang w:eastAsia="pl-PL"/>
        </w:rPr>
        <w:t>kwalifikowanej zwrotnej ulgi</w:t>
      </w:r>
      <w:r w:rsidRPr="00C96268">
        <w:rPr>
          <w:rFonts w:ascii="Times New Roman" w:eastAsia="Times New Roman" w:hAnsi="Times New Roman" w:cs="Times New Roman"/>
          <w:bCs/>
          <w:sz w:val="24"/>
          <w:szCs w:val="24"/>
          <w:lang w:eastAsia="pl-PL"/>
        </w:rPr>
        <w:t xml:space="preserve"> (podatkowej) (ang. </w:t>
      </w:r>
      <w:r w:rsidRPr="00C96268">
        <w:rPr>
          <w:rFonts w:ascii="Times New Roman" w:eastAsia="Times New Roman" w:hAnsi="Times New Roman" w:cs="Times New Roman"/>
          <w:bCs/>
          <w:i/>
          <w:sz w:val="24"/>
          <w:szCs w:val="24"/>
          <w:lang w:eastAsia="pl-PL"/>
        </w:rPr>
        <w:t>Qualified Refundable Tax Credit</w:t>
      </w:r>
      <w:r w:rsidRPr="00C96268">
        <w:rPr>
          <w:rFonts w:ascii="Times New Roman" w:eastAsia="Times New Roman" w:hAnsi="Times New Roman" w:cs="Times New Roman"/>
          <w:bCs/>
          <w:sz w:val="24"/>
          <w:szCs w:val="24"/>
          <w:lang w:eastAsia="pl-PL"/>
        </w:rPr>
        <w:t>), tj. ulgi podatkowej polegającej na pełnym lub częściowym zwrocie jednostce składowej należnego podatku dochodowego, w tym w formie kwoty przewyższającej taki podatek, jeżeli zwrot podatku przysługuje w całości lub w części w formie pieniężnej lub ekwiwalentu środków pieniężnych i następuje w okresie czterech lat od daty nabycia przez tę Jednostkę prawa do takiej ulgi. Przepis nie ma zastosowanie do kwalifikowanego podatku przypisanego lub wyłączonego zwrotnego podatku przypisanego, podlegających zwrotowi lub zaliczeniu na poczet innych zobowiązań podatkowych.</w:t>
      </w:r>
    </w:p>
    <w:p w14:paraId="12844654" w14:textId="77777777" w:rsidR="00C73DB2" w:rsidRPr="00C96268" w:rsidRDefault="00C73DB2" w:rsidP="00394B47">
      <w:pPr>
        <w:spacing w:after="120"/>
        <w:jc w:val="both"/>
        <w:rPr>
          <w:rFonts w:ascii="Times New Roman" w:eastAsia="Times New Roman" w:hAnsi="Times New Roman" w:cs="Times New Roman"/>
          <w:bCs/>
          <w:sz w:val="24"/>
          <w:szCs w:val="24"/>
          <w:lang w:eastAsia="pl-PL"/>
        </w:rPr>
      </w:pPr>
      <w:r w:rsidRPr="00C96268">
        <w:rPr>
          <w:rFonts w:ascii="Times New Roman" w:eastAsia="Times New Roman" w:hAnsi="Times New Roman" w:cs="Times New Roman"/>
          <w:bCs/>
          <w:sz w:val="24"/>
          <w:szCs w:val="24"/>
          <w:lang w:eastAsia="pl-PL"/>
        </w:rPr>
        <w:t>Kwalifikowana zwrotna ulga jest traktowana jako dochód dla celów Zasad GloBE, co oznacza, że ulga taka jest uwzględniana w mianowniku obliczenia ETR i nie jest traktowana jako zmniejszenie podatków jednostki składowej w roku, w którym ubiega się ona taką ulgę (zwrot).</w:t>
      </w:r>
    </w:p>
    <w:p w14:paraId="778ABFEF" w14:textId="77777777" w:rsidR="00C73DB2" w:rsidRPr="00C96268" w:rsidRDefault="00C73DB2" w:rsidP="00394B47">
      <w:pPr>
        <w:spacing w:after="120"/>
        <w:jc w:val="both"/>
        <w:rPr>
          <w:rFonts w:ascii="Times New Roman" w:eastAsia="Times New Roman" w:hAnsi="Times New Roman" w:cs="Times New Roman"/>
          <w:bCs/>
          <w:sz w:val="24"/>
          <w:szCs w:val="24"/>
          <w:lang w:eastAsia="pl-PL"/>
        </w:rPr>
      </w:pPr>
      <w:r w:rsidRPr="00C96268">
        <w:rPr>
          <w:rFonts w:ascii="Times New Roman" w:eastAsia="Times New Roman" w:hAnsi="Times New Roman" w:cs="Times New Roman"/>
          <w:bCs/>
          <w:sz w:val="24"/>
          <w:szCs w:val="24"/>
          <w:lang w:eastAsia="pl-PL"/>
        </w:rPr>
        <w:t>Wszystkie inne ulgi podatkowe podlegające zwrotowi (tj. ulgi „niekwalifikowane”) są wyłączone z dochodu, ale traktowane jako zmniejszenie podatków kwalifikowanych w okresie, w którym jednostka składowa ubiega się o zwrot lub ulgę, co oznacza, że zmniejszają licznik obliczenia ETR.</w:t>
      </w:r>
    </w:p>
    <w:p w14:paraId="20F2263E" w14:textId="059B45A9" w:rsidR="00C73DB2" w:rsidRPr="00C96268" w:rsidRDefault="00C73DB2" w:rsidP="00394B47">
      <w:pPr>
        <w:spacing w:after="120"/>
        <w:jc w:val="both"/>
        <w:rPr>
          <w:rFonts w:ascii="Times New Roman" w:eastAsia="Times New Roman" w:hAnsi="Times New Roman" w:cs="Times New Roman"/>
          <w:bCs/>
          <w:sz w:val="24"/>
          <w:szCs w:val="24"/>
          <w:lang w:eastAsia="pl-PL"/>
        </w:rPr>
      </w:pPr>
      <w:r w:rsidRPr="00C96268">
        <w:rPr>
          <w:rFonts w:ascii="Times New Roman" w:eastAsia="Times New Roman" w:hAnsi="Times New Roman" w:cs="Times New Roman"/>
          <w:bCs/>
          <w:sz w:val="24"/>
          <w:szCs w:val="24"/>
          <w:lang w:eastAsia="pl-PL"/>
        </w:rPr>
        <w:t xml:space="preserve">Aby określona ulga podatkowa była traktowana jako „kwalifikowana zwrotna ulga” na gruncie Dyrektywy i Systemu GloBE, musi być zaprojektowana w taki sposób, aby podlegać zwrotowi w ciągu 4 lat od spełnienia warunków określonych w prawie </w:t>
      </w:r>
      <w:r w:rsidR="00EF17F2" w:rsidRPr="00C96268">
        <w:rPr>
          <w:rFonts w:ascii="Times New Roman" w:hAnsi="Times New Roman" w:cs="Times New Roman"/>
          <w:sz w:val="24"/>
          <w:szCs w:val="24"/>
        </w:rPr>
        <w:t>jurysdykcji</w:t>
      </w:r>
      <w:r w:rsidR="00EF17F2" w:rsidRPr="00C96268" w:rsidDel="00EF17F2">
        <w:rPr>
          <w:rFonts w:ascii="Times New Roman" w:eastAsia="Times New Roman" w:hAnsi="Times New Roman" w:cs="Times New Roman"/>
          <w:bCs/>
          <w:sz w:val="24"/>
          <w:szCs w:val="24"/>
          <w:lang w:eastAsia="pl-PL"/>
        </w:rPr>
        <w:t xml:space="preserve"> </w:t>
      </w:r>
      <w:r w:rsidR="00EF17F2" w:rsidRPr="00C96268">
        <w:rPr>
          <w:rFonts w:ascii="Times New Roman" w:eastAsia="Times New Roman" w:hAnsi="Times New Roman" w:cs="Times New Roman"/>
          <w:bCs/>
          <w:sz w:val="24"/>
          <w:szCs w:val="24"/>
          <w:lang w:eastAsia="pl-PL"/>
        </w:rPr>
        <w:t xml:space="preserve">przyznającej tę </w:t>
      </w:r>
      <w:r w:rsidRPr="00C96268">
        <w:rPr>
          <w:rFonts w:ascii="Times New Roman" w:eastAsia="Times New Roman" w:hAnsi="Times New Roman" w:cs="Times New Roman"/>
          <w:bCs/>
          <w:sz w:val="24"/>
          <w:szCs w:val="24"/>
          <w:lang w:eastAsia="pl-PL"/>
        </w:rPr>
        <w:t>ulgę. Zwrotny charakter takiej ulgi oznacza, że jej niewykorzystana kwota (kwota ulgi podatkowej zmniejszającej wysokość podatków kwalifikowanych) jest płatna w gotówce lub w ekwiwalencie pieniężnym</w:t>
      </w:r>
      <w:r w:rsidRPr="00C96268">
        <w:rPr>
          <w:rStyle w:val="Odwoanieprzypisudolnego"/>
          <w:rFonts w:ascii="Times New Roman" w:eastAsia="Times New Roman" w:hAnsi="Times New Roman" w:cs="Times New Roman"/>
          <w:bCs/>
          <w:sz w:val="24"/>
          <w:szCs w:val="24"/>
          <w:lang w:eastAsia="pl-PL"/>
        </w:rPr>
        <w:footnoteReference w:id="130"/>
      </w:r>
      <w:r w:rsidRPr="00C96268">
        <w:rPr>
          <w:rFonts w:ascii="Times New Roman" w:eastAsia="Times New Roman" w:hAnsi="Times New Roman" w:cs="Times New Roman"/>
          <w:bCs/>
          <w:sz w:val="24"/>
          <w:szCs w:val="24"/>
          <w:lang w:eastAsia="pl-PL"/>
        </w:rPr>
        <w:t xml:space="preserve">. </w:t>
      </w:r>
    </w:p>
    <w:p w14:paraId="04B1DA17" w14:textId="53A17940" w:rsidR="00C73DB2" w:rsidRPr="00C96268" w:rsidRDefault="00C73DB2" w:rsidP="00394B47">
      <w:pPr>
        <w:spacing w:after="120"/>
        <w:jc w:val="both"/>
        <w:rPr>
          <w:rFonts w:ascii="Times New Roman" w:eastAsia="Times New Roman" w:hAnsi="Times New Roman" w:cs="Times New Roman"/>
          <w:bCs/>
          <w:sz w:val="24"/>
          <w:szCs w:val="24"/>
          <w:lang w:eastAsia="pl-PL"/>
        </w:rPr>
      </w:pPr>
      <w:r w:rsidRPr="00C96268">
        <w:rPr>
          <w:rFonts w:ascii="Times New Roman" w:eastAsia="Times New Roman" w:hAnsi="Times New Roman" w:cs="Times New Roman"/>
          <w:bCs/>
          <w:sz w:val="24"/>
          <w:szCs w:val="24"/>
          <w:lang w:eastAsia="pl-PL"/>
        </w:rPr>
        <w:t xml:space="preserve">Ustalenie, czy ulga podlega zwrotowi w ciągu 4 lat, dokonuje się w momencie spełnienia warunków jej udzielenia na podstawie prawa </w:t>
      </w:r>
      <w:r w:rsidR="00EF17F2" w:rsidRPr="00C96268">
        <w:rPr>
          <w:rFonts w:ascii="Times New Roman" w:eastAsia="Times New Roman" w:hAnsi="Times New Roman" w:cs="Times New Roman"/>
          <w:bCs/>
          <w:sz w:val="24"/>
          <w:szCs w:val="24"/>
          <w:lang w:eastAsia="pl-PL"/>
        </w:rPr>
        <w:t xml:space="preserve">danej </w:t>
      </w:r>
      <w:r w:rsidR="00EF17F2" w:rsidRPr="00C96268">
        <w:rPr>
          <w:rFonts w:ascii="Times New Roman" w:hAnsi="Times New Roman" w:cs="Times New Roman"/>
          <w:sz w:val="24"/>
          <w:szCs w:val="24"/>
        </w:rPr>
        <w:t>jurysdykcji</w:t>
      </w:r>
      <w:r w:rsidRPr="00C96268">
        <w:rPr>
          <w:rFonts w:ascii="Times New Roman" w:eastAsia="Times New Roman" w:hAnsi="Times New Roman" w:cs="Times New Roman"/>
          <w:bCs/>
          <w:sz w:val="24"/>
          <w:szCs w:val="24"/>
          <w:lang w:eastAsia="pl-PL"/>
        </w:rPr>
        <w:t xml:space="preserve">. W związku z tym w sytuacji, gdy jednostka składowa nie posiadała żadnych zobowiązań podatkowych ani innych zobowiązań wobec </w:t>
      </w:r>
      <w:r w:rsidR="00EF17F2" w:rsidRPr="00C96268">
        <w:rPr>
          <w:rFonts w:ascii="Times New Roman" w:hAnsi="Times New Roman" w:cs="Times New Roman"/>
          <w:sz w:val="24"/>
          <w:szCs w:val="24"/>
        </w:rPr>
        <w:t>jurysdykcji</w:t>
      </w:r>
      <w:r w:rsidRPr="00C96268">
        <w:rPr>
          <w:rFonts w:ascii="Times New Roman" w:eastAsia="Times New Roman" w:hAnsi="Times New Roman" w:cs="Times New Roman"/>
          <w:bCs/>
          <w:sz w:val="24"/>
          <w:szCs w:val="24"/>
          <w:lang w:eastAsia="pl-PL"/>
        </w:rPr>
        <w:t xml:space="preserve">, </w:t>
      </w:r>
      <w:r w:rsidR="00EF17F2" w:rsidRPr="00C96268">
        <w:rPr>
          <w:rFonts w:ascii="Times New Roman" w:eastAsia="Times New Roman" w:hAnsi="Times New Roman" w:cs="Times New Roman"/>
          <w:bCs/>
          <w:sz w:val="24"/>
          <w:szCs w:val="24"/>
          <w:lang w:eastAsia="pl-PL"/>
        </w:rPr>
        <w:t xml:space="preserve">która udzieliła </w:t>
      </w:r>
      <w:r w:rsidRPr="00C96268">
        <w:rPr>
          <w:rFonts w:ascii="Times New Roman" w:eastAsia="Times New Roman" w:hAnsi="Times New Roman" w:cs="Times New Roman"/>
          <w:bCs/>
          <w:sz w:val="24"/>
          <w:szCs w:val="24"/>
          <w:lang w:eastAsia="pl-PL"/>
        </w:rPr>
        <w:t xml:space="preserve">ulgi, jej zwrot musi być dokonany w gotówce lub jej ekwiwalencie w ciągu 4 lat od spełnienia odpowiednich wymogów ustawowych uprawniających do takiej ulgi. W przypadku, gdy system </w:t>
      </w:r>
      <w:r w:rsidR="00EF17F2" w:rsidRPr="00C96268">
        <w:rPr>
          <w:rFonts w:ascii="Times New Roman" w:eastAsia="Times New Roman" w:hAnsi="Times New Roman" w:cs="Times New Roman"/>
          <w:bCs/>
          <w:sz w:val="24"/>
          <w:szCs w:val="24"/>
          <w:lang w:eastAsia="pl-PL"/>
        </w:rPr>
        <w:t xml:space="preserve">danej </w:t>
      </w:r>
      <w:r w:rsidR="00EF17F2" w:rsidRPr="00C96268">
        <w:rPr>
          <w:rFonts w:ascii="Times New Roman" w:hAnsi="Times New Roman" w:cs="Times New Roman"/>
          <w:sz w:val="24"/>
          <w:szCs w:val="24"/>
        </w:rPr>
        <w:t>jurysdykcji</w:t>
      </w:r>
      <w:r w:rsidR="00EF17F2" w:rsidRPr="00C96268" w:rsidDel="00EF17F2">
        <w:rPr>
          <w:rFonts w:ascii="Times New Roman" w:eastAsia="Times New Roman" w:hAnsi="Times New Roman" w:cs="Times New Roman"/>
          <w:bCs/>
          <w:sz w:val="24"/>
          <w:szCs w:val="24"/>
          <w:lang w:eastAsia="pl-PL"/>
        </w:rPr>
        <w:t xml:space="preserve"> </w:t>
      </w:r>
      <w:r w:rsidRPr="00C96268">
        <w:rPr>
          <w:rFonts w:ascii="Times New Roman" w:eastAsia="Times New Roman" w:hAnsi="Times New Roman" w:cs="Times New Roman"/>
          <w:bCs/>
          <w:sz w:val="24"/>
          <w:szCs w:val="24"/>
          <w:lang w:eastAsia="pl-PL"/>
        </w:rPr>
        <w:t xml:space="preserve">przewiduje wyłącznie częściowy zwrot ulgi we wskazanym okresie, dana ulga może być traktowana jako kwalifikowana zwrotna ulga tylko w zakresie tego częściowego zwrotu. </w:t>
      </w:r>
    </w:p>
    <w:p w14:paraId="3608555C" w14:textId="77777777" w:rsidR="00C73DB2" w:rsidRPr="00C96268" w:rsidRDefault="00C73DB2" w:rsidP="00394B47">
      <w:pPr>
        <w:spacing w:after="120"/>
        <w:jc w:val="both"/>
        <w:rPr>
          <w:rFonts w:ascii="Times New Roman" w:eastAsia="Times New Roman" w:hAnsi="Times New Roman" w:cs="Times New Roman"/>
          <w:bCs/>
          <w:sz w:val="24"/>
          <w:szCs w:val="24"/>
          <w:lang w:eastAsia="pl-PL"/>
        </w:rPr>
      </w:pPr>
      <w:r w:rsidRPr="00C96268">
        <w:rPr>
          <w:rFonts w:ascii="Times New Roman" w:eastAsia="Times New Roman" w:hAnsi="Times New Roman" w:cs="Times New Roman"/>
          <w:bCs/>
          <w:sz w:val="24"/>
          <w:szCs w:val="24"/>
          <w:lang w:eastAsia="pl-PL"/>
        </w:rPr>
        <w:t xml:space="preserve">Jeśli dana ulga jest dostępna wyłącznie w formie zmniejszenia wysokości podatków kwalifikowanych, tj. nie może zostać zwrócona w gotówce ani zaliczona na poczet innego podatku, nie jest traktowana jako „podlegająca zwrotowi” dla celów stosowania omawianej definicji. </w:t>
      </w:r>
    </w:p>
    <w:p w14:paraId="78BF7C51" w14:textId="16C02177" w:rsidR="00C73DB2" w:rsidRPr="00C96268" w:rsidRDefault="00C73DB2" w:rsidP="00394B47">
      <w:pPr>
        <w:spacing w:after="120"/>
        <w:jc w:val="both"/>
        <w:rPr>
          <w:rFonts w:ascii="Times New Roman" w:eastAsia="Times New Roman" w:hAnsi="Times New Roman" w:cs="Times New Roman"/>
          <w:bCs/>
          <w:sz w:val="24"/>
          <w:szCs w:val="24"/>
          <w:lang w:eastAsia="pl-PL"/>
        </w:rPr>
      </w:pPr>
      <w:r w:rsidRPr="00C96268">
        <w:rPr>
          <w:rFonts w:ascii="Times New Roman" w:eastAsia="Times New Roman" w:hAnsi="Times New Roman" w:cs="Times New Roman"/>
          <w:bCs/>
          <w:sz w:val="24"/>
          <w:szCs w:val="24"/>
          <w:lang w:eastAsia="pl-PL"/>
        </w:rPr>
        <w:t xml:space="preserve">Jeżeli system </w:t>
      </w:r>
      <w:r w:rsidR="00EF17F2" w:rsidRPr="00C96268">
        <w:rPr>
          <w:rFonts w:ascii="Times New Roman" w:eastAsia="Times New Roman" w:hAnsi="Times New Roman" w:cs="Times New Roman"/>
          <w:bCs/>
          <w:sz w:val="24"/>
          <w:szCs w:val="24"/>
          <w:lang w:eastAsia="pl-PL"/>
        </w:rPr>
        <w:t xml:space="preserve">danej </w:t>
      </w:r>
      <w:r w:rsidR="00EF17F2" w:rsidRPr="00C96268">
        <w:rPr>
          <w:rFonts w:ascii="Times New Roman" w:hAnsi="Times New Roman" w:cs="Times New Roman"/>
          <w:sz w:val="24"/>
          <w:szCs w:val="24"/>
        </w:rPr>
        <w:t>jurysdykcji</w:t>
      </w:r>
      <w:r w:rsidR="00EF17F2" w:rsidRPr="00C96268" w:rsidDel="00EF17F2">
        <w:rPr>
          <w:rFonts w:ascii="Times New Roman" w:eastAsia="Times New Roman" w:hAnsi="Times New Roman" w:cs="Times New Roman"/>
          <w:bCs/>
          <w:sz w:val="24"/>
          <w:szCs w:val="24"/>
          <w:lang w:eastAsia="pl-PL"/>
        </w:rPr>
        <w:t xml:space="preserve"> </w:t>
      </w:r>
      <w:r w:rsidRPr="00C96268">
        <w:rPr>
          <w:rFonts w:ascii="Times New Roman" w:eastAsia="Times New Roman" w:hAnsi="Times New Roman" w:cs="Times New Roman"/>
          <w:bCs/>
          <w:sz w:val="24"/>
          <w:szCs w:val="24"/>
          <w:lang w:eastAsia="pl-PL"/>
        </w:rPr>
        <w:t xml:space="preserve">przewiduje możliwość wyboru przez podatnika otrzymania zwrotu ulgi, ulgę taką uznaje się za kwalifikowaną zwrotną ulgę, w zakresie w jakim system prawny </w:t>
      </w:r>
      <w:r w:rsidR="00EF17F2" w:rsidRPr="00C96268">
        <w:rPr>
          <w:rFonts w:ascii="Times New Roman" w:eastAsia="Times New Roman" w:hAnsi="Times New Roman" w:cs="Times New Roman"/>
          <w:bCs/>
          <w:sz w:val="24"/>
          <w:szCs w:val="24"/>
          <w:lang w:eastAsia="pl-PL"/>
        </w:rPr>
        <w:t xml:space="preserve">tej </w:t>
      </w:r>
      <w:r w:rsidR="00EF17F2" w:rsidRPr="00C96268">
        <w:rPr>
          <w:rFonts w:ascii="Times New Roman" w:hAnsi="Times New Roman" w:cs="Times New Roman"/>
          <w:sz w:val="24"/>
          <w:szCs w:val="24"/>
        </w:rPr>
        <w:t>jurysdykcji</w:t>
      </w:r>
      <w:r w:rsidR="00EF17F2" w:rsidRPr="00C96268" w:rsidDel="00EF17F2">
        <w:rPr>
          <w:rFonts w:ascii="Times New Roman" w:eastAsia="Times New Roman" w:hAnsi="Times New Roman" w:cs="Times New Roman"/>
          <w:bCs/>
          <w:sz w:val="24"/>
          <w:szCs w:val="24"/>
          <w:lang w:eastAsia="pl-PL"/>
        </w:rPr>
        <w:t xml:space="preserve"> </w:t>
      </w:r>
      <w:r w:rsidRPr="00C96268">
        <w:rPr>
          <w:rFonts w:ascii="Times New Roman" w:eastAsia="Times New Roman" w:hAnsi="Times New Roman" w:cs="Times New Roman"/>
          <w:bCs/>
          <w:sz w:val="24"/>
          <w:szCs w:val="24"/>
          <w:lang w:eastAsia="pl-PL"/>
        </w:rPr>
        <w:t xml:space="preserve">dopuszcza możliwość jej zwrócenia, niezależnie od tego, czy dany podatnik faktycznie skorzysta z takiej możliwości. </w:t>
      </w:r>
    </w:p>
    <w:p w14:paraId="65111DB8" w14:textId="77777777" w:rsidR="00C73DB2" w:rsidRPr="00C96268" w:rsidRDefault="00C73DB2" w:rsidP="00394B47">
      <w:pPr>
        <w:spacing w:after="120"/>
        <w:jc w:val="both"/>
        <w:rPr>
          <w:rFonts w:ascii="Times New Roman" w:hAnsi="Times New Roman" w:cs="Times New Roman"/>
          <w:sz w:val="24"/>
          <w:szCs w:val="24"/>
        </w:rPr>
      </w:pPr>
      <w:r w:rsidRPr="00C96268">
        <w:rPr>
          <w:rFonts w:ascii="Times New Roman" w:hAnsi="Times New Roman" w:cs="Times New Roman"/>
          <w:iCs/>
          <w:sz w:val="24"/>
          <w:szCs w:val="24"/>
        </w:rPr>
        <w:t>Art. 64 stanowi</w:t>
      </w:r>
      <w:r w:rsidRPr="00C96268">
        <w:rPr>
          <w:rFonts w:ascii="Times New Roman" w:hAnsi="Times New Roman" w:cs="Times New Roman"/>
          <w:sz w:val="24"/>
          <w:szCs w:val="24"/>
        </w:rPr>
        <w:t xml:space="preserve"> także implementację art. 3 pkt 39 Dyrektywy w zakresie, w jakim przepis ten definiuje pojęcie „niekwalifikowanej zwrotnej ulgi”. Jest to, co do zasady, ulga podatkowa niebędąca „kwalifikowaną zwrotną ulgą”. Chodzi zatem w szczególności o ulgę w podatku dochodowym podlegającą zwrotowi w całości lub części w okresie dłuższym niż 4 lata podatkowe. </w:t>
      </w:r>
    </w:p>
    <w:p w14:paraId="5CAE0411" w14:textId="51B51C4C" w:rsidR="00C73DB2" w:rsidRPr="00C96268" w:rsidRDefault="00C73DB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Ponadto zwrotna ulga podatkowa jest uznawana za „niekwalifikowaną”, jeżeli nie może być zwrócona w gotówce (lub ekwiwalent gotówkowy) lub zaliczona na poczet innego podatku, jak to ma miejsce w przypadku kwalifikowanej zwrotnej ulgi podatkowej, natomiast dostępna jest wyłącznie w celu obniżenia podatku kwalifikowanego. </w:t>
      </w:r>
    </w:p>
    <w:p w14:paraId="2C0B73F1" w14:textId="19289DFE" w:rsidR="00214622" w:rsidRPr="00C96268" w:rsidRDefault="00214622" w:rsidP="00394B47">
      <w:pPr>
        <w:pStyle w:val="Nagwek5"/>
        <w:spacing w:before="0"/>
        <w:rPr>
          <w:rFonts w:ascii="Times New Roman" w:hAnsi="Times New Roman" w:cs="Times New Roman"/>
          <w:sz w:val="24"/>
          <w:szCs w:val="24"/>
        </w:rPr>
      </w:pPr>
      <w:bookmarkStart w:id="26" w:name="_Toc162450615"/>
      <w:r w:rsidRPr="00C96268">
        <w:rPr>
          <w:rFonts w:ascii="Times New Roman" w:hAnsi="Times New Roman" w:cs="Times New Roman"/>
          <w:sz w:val="24"/>
          <w:szCs w:val="24"/>
        </w:rPr>
        <w:t>Art. 65 [Kwalifikowana zbywalna ulga]</w:t>
      </w:r>
      <w:bookmarkEnd w:id="26"/>
    </w:p>
    <w:p w14:paraId="66080B88" w14:textId="01C108F6" w:rsidR="00737841" w:rsidRPr="00C96268" w:rsidRDefault="00737841" w:rsidP="00737841">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Wytyczne Administracyjne z lutego 2023 r. uzupełniają zapisy Komentarza o obowiązkowe reguły traktowania rynkowych zbywalnych ulg podatkowych i nierynkowych zbywalnych ulg podatkowych, a także obowiązki jednostki składowej uzyskującej prawo do stosowania powyższych ulg. </w:t>
      </w:r>
    </w:p>
    <w:p w14:paraId="5DAF4AF4" w14:textId="73E203EE" w:rsidR="00737841" w:rsidRPr="00C96268" w:rsidRDefault="00737841" w:rsidP="00737841">
      <w:pPr>
        <w:spacing w:before="240"/>
        <w:jc w:val="both"/>
        <w:rPr>
          <w:rFonts w:ascii="Times New Roman" w:hAnsi="Times New Roman" w:cs="Times New Roman"/>
          <w:i/>
          <w:iCs/>
          <w:sz w:val="24"/>
          <w:szCs w:val="24"/>
        </w:rPr>
      </w:pPr>
      <w:r w:rsidRPr="00C96268">
        <w:rPr>
          <w:rFonts w:ascii="Times New Roman" w:hAnsi="Times New Roman" w:cs="Times New Roman"/>
          <w:sz w:val="24"/>
          <w:szCs w:val="24"/>
        </w:rPr>
        <w:t>Aby określić właściwą kategorię ulgi podatkowej na potrzeby Zasad GloBE, pierwszym badanym kryterium jest kryterium zwrotu ulgi, zaś zbywalność jest badana w drugiej kolejności. Oznacza to, że jeśli dana ulga spełnia kryteria uznania jej za kwalifikowaną zwrotną ulgę, należy ją uznać za taką kwalifikowaną zwrotną ulgę, niezależnie od tego, czy ulga taka może być również zbyta. Jeśli natomiast dana ulga podatkowa nie spełnia kryterium zwrotu, tj. w ogóle nie podlega zwrotowi lub nie jest kwalifikowaną zwrotną ulgą, wówczas należy zbadać kryterium zbywalności w celu ustalenia, czy ulga ta może być uznana za zbywalną ulgę podatkową</w:t>
      </w:r>
      <w:r w:rsidRPr="00C96268">
        <w:rPr>
          <w:rStyle w:val="Odwoanieprzypisudolnego"/>
          <w:rFonts w:ascii="Times New Roman" w:hAnsi="Times New Roman" w:cs="Times New Roman"/>
          <w:sz w:val="24"/>
          <w:szCs w:val="24"/>
        </w:rPr>
        <w:footnoteReference w:id="131"/>
      </w:r>
      <w:r w:rsidRPr="00C96268">
        <w:rPr>
          <w:rFonts w:ascii="Times New Roman" w:hAnsi="Times New Roman" w:cs="Times New Roman"/>
          <w:sz w:val="24"/>
          <w:szCs w:val="24"/>
        </w:rPr>
        <w:t>.</w:t>
      </w:r>
    </w:p>
    <w:p w14:paraId="7BFF4BCA" w14:textId="359F6904" w:rsidR="00214622" w:rsidRPr="00C96268" w:rsidRDefault="00214622">
      <w:pPr>
        <w:spacing w:after="120"/>
        <w:jc w:val="both"/>
        <w:rPr>
          <w:rFonts w:ascii="Times New Roman" w:hAnsi="Times New Roman" w:cs="Times New Roman"/>
          <w:sz w:val="24"/>
          <w:szCs w:val="24"/>
        </w:rPr>
      </w:pPr>
      <w:bookmarkStart w:id="27" w:name="_Toc162450616"/>
      <w:r w:rsidRPr="00C96268">
        <w:rPr>
          <w:rFonts w:ascii="Times New Roman" w:hAnsi="Times New Roman" w:cs="Times New Roman"/>
          <w:b/>
          <w:bCs/>
          <w:sz w:val="24"/>
          <w:szCs w:val="24"/>
        </w:rPr>
        <w:t>Art. 65</w:t>
      </w:r>
      <w:r w:rsidRPr="00C96268">
        <w:rPr>
          <w:rFonts w:ascii="Times New Roman" w:hAnsi="Times New Roman" w:cs="Times New Roman"/>
          <w:sz w:val="24"/>
          <w:szCs w:val="24"/>
        </w:rPr>
        <w:t xml:space="preserve"> </w:t>
      </w:r>
      <w:r w:rsidR="00AB7E36" w:rsidRPr="00C96268">
        <w:rPr>
          <w:rFonts w:ascii="Times New Roman" w:hAnsi="Times New Roman" w:cs="Times New Roman"/>
          <w:sz w:val="24"/>
          <w:szCs w:val="24"/>
        </w:rPr>
        <w:t>odnosi się do</w:t>
      </w:r>
      <w:r w:rsidRPr="00C96268">
        <w:rPr>
          <w:rFonts w:ascii="Times New Roman" w:hAnsi="Times New Roman" w:cs="Times New Roman"/>
          <w:sz w:val="24"/>
          <w:szCs w:val="24"/>
        </w:rPr>
        <w:t xml:space="preserve"> kwalifikowanej zbywalnej ulgi (ang. </w:t>
      </w:r>
      <w:r w:rsidRPr="00C96268">
        <w:rPr>
          <w:rFonts w:ascii="Times New Roman" w:hAnsi="Times New Roman" w:cs="Times New Roman"/>
          <w:i/>
          <w:iCs/>
          <w:sz w:val="24"/>
          <w:szCs w:val="24"/>
        </w:rPr>
        <w:t>Marketable Transferable Tax Credit</w:t>
      </w:r>
      <w:r w:rsidRPr="00C96268">
        <w:rPr>
          <w:rFonts w:ascii="Times New Roman" w:hAnsi="Times New Roman" w:cs="Times New Roman"/>
          <w:sz w:val="24"/>
          <w:szCs w:val="24"/>
        </w:rPr>
        <w:t xml:space="preserve">), wprowadzone do Systemu GloBE poprzez Wytyczne Administracyjne z lipca 2023 r., pkt 2. Kwalifikowana zbywalna ulga może zostać wykorzystana do zapłaty podatku dochodowego lub sprzedana, a wpływy ze sprzedaży wykorzystane do zapłaty podatku dochodowego lub pokrycia innych wydatków. Ulga ta jest traktowana jako dochód, a nie jako obniżenie podatku. </w:t>
      </w:r>
    </w:p>
    <w:p w14:paraId="0C0B8962" w14:textId="12039ACC"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Kwalifikowaną zbywalną ulgą jest ulga podatkowa, która: </w:t>
      </w:r>
    </w:p>
    <w:p w14:paraId="31A237F7" w14:textId="77777777" w:rsidR="00214622" w:rsidRPr="00C96268" w:rsidRDefault="00214622" w:rsidP="009E73F7">
      <w:pPr>
        <w:pStyle w:val="Akapitzlist"/>
        <w:numPr>
          <w:ilvl w:val="0"/>
          <w:numId w:val="114"/>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nie jest kwalifikowaną zwrotną ulgą albo niekwalifikowaną zwrotną ulgą, </w:t>
      </w:r>
    </w:p>
    <w:p w14:paraId="3749BD85" w14:textId="77777777" w:rsidR="00214622" w:rsidRPr="00C96268" w:rsidRDefault="00214622" w:rsidP="009E73F7">
      <w:pPr>
        <w:pStyle w:val="Akapitzlist"/>
        <w:numPr>
          <w:ilvl w:val="0"/>
          <w:numId w:val="114"/>
        </w:numPr>
        <w:spacing w:after="120"/>
        <w:jc w:val="both"/>
        <w:rPr>
          <w:rFonts w:ascii="Times New Roman" w:hAnsi="Times New Roman" w:cs="Times New Roman"/>
          <w:sz w:val="24"/>
          <w:szCs w:val="24"/>
        </w:rPr>
      </w:pPr>
      <w:r w:rsidRPr="00C96268">
        <w:rPr>
          <w:rFonts w:ascii="Times New Roman" w:hAnsi="Times New Roman" w:cs="Times New Roman"/>
          <w:sz w:val="24"/>
          <w:szCs w:val="24"/>
        </w:rPr>
        <w:t>polega na zwrocie lub odliczeniu, w całości lub w części, kwoty podatku dochodowego, w tym w kwocie przewyższającej taki podatek, oraz</w:t>
      </w:r>
    </w:p>
    <w:p w14:paraId="22F87966" w14:textId="1BCA067A" w:rsidR="00214622" w:rsidRPr="00C96268" w:rsidRDefault="00214622" w:rsidP="009E73F7">
      <w:pPr>
        <w:pStyle w:val="Akapitzlist"/>
        <w:numPr>
          <w:ilvl w:val="0"/>
          <w:numId w:val="114"/>
        </w:numPr>
        <w:spacing w:after="120"/>
        <w:jc w:val="both"/>
        <w:rPr>
          <w:rFonts w:ascii="Times New Roman" w:hAnsi="Times New Roman" w:cs="Times New Roman"/>
          <w:sz w:val="24"/>
          <w:szCs w:val="24"/>
        </w:rPr>
      </w:pPr>
      <w:r w:rsidRPr="00C96268">
        <w:rPr>
          <w:rFonts w:ascii="Times New Roman" w:hAnsi="Times New Roman" w:cs="Times New Roman"/>
          <w:sz w:val="24"/>
          <w:szCs w:val="24"/>
        </w:rPr>
        <w:t>co kluczowe - prawo do takiego zwrotu lub odliczenia przysługuje każdej jednostce</w:t>
      </w:r>
      <w:r w:rsidR="00AB7E36" w:rsidRPr="00C96268">
        <w:rPr>
          <w:rFonts w:ascii="Times New Roman" w:hAnsi="Times New Roman" w:cs="Times New Roman"/>
          <w:sz w:val="24"/>
          <w:szCs w:val="24"/>
        </w:rPr>
        <w:t>,</w:t>
      </w:r>
      <w:r w:rsidRPr="00C96268">
        <w:rPr>
          <w:rFonts w:ascii="Times New Roman" w:hAnsi="Times New Roman" w:cs="Times New Roman"/>
          <w:sz w:val="24"/>
          <w:szCs w:val="24"/>
        </w:rPr>
        <w:t xml:space="preserve"> dla której został spełniony prawny standard zbywalności oraz rynkowy standard zbywalności. </w:t>
      </w:r>
    </w:p>
    <w:p w14:paraId="31560EFA" w14:textId="30673E7A" w:rsidR="00214622" w:rsidRPr="00C96268" w:rsidRDefault="00214622" w:rsidP="00394B47">
      <w:pPr>
        <w:spacing w:after="120"/>
        <w:jc w:val="both"/>
        <w:rPr>
          <w:rFonts w:ascii="Times New Roman" w:hAnsi="Times New Roman" w:cs="Times New Roman"/>
          <w:sz w:val="24"/>
          <w:szCs w:val="24"/>
        </w:rPr>
      </w:pPr>
      <w:r w:rsidRPr="00C96268">
        <w:rPr>
          <w:rFonts w:ascii="Times New Roman" w:hAnsi="Times New Roman" w:cs="Times New Roman"/>
          <w:bCs/>
          <w:sz w:val="24"/>
          <w:szCs w:val="24"/>
        </w:rPr>
        <w:t>Odpowiednio, artykuł ten w dalszej części określa</w:t>
      </w:r>
      <w:r w:rsidR="00AB7E36"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kiedy spełniony jest prawny standard zbywalności i </w:t>
      </w:r>
      <w:r w:rsidRPr="00C96268">
        <w:rPr>
          <w:rFonts w:ascii="Times New Roman" w:hAnsi="Times New Roman" w:cs="Times New Roman"/>
          <w:sz w:val="24"/>
          <w:szCs w:val="24"/>
        </w:rPr>
        <w:t>rynkowy standardu zbywalności oraz definiuje pojęcie minimalnej ceny rynkowej, stanowiące element rynkowego standardu zbywalności.</w:t>
      </w:r>
    </w:p>
    <w:p w14:paraId="4D896D41" w14:textId="0DFADB19"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 xml:space="preserve">Warunki spełnienia wyżej wskazanych standardów są różne </w:t>
      </w:r>
      <w:r w:rsidRPr="00C96268">
        <w:rPr>
          <w:rFonts w:ascii="Times New Roman" w:hAnsi="Times New Roman" w:cs="Times New Roman"/>
          <w:bCs/>
          <w:sz w:val="24"/>
          <w:szCs w:val="24"/>
        </w:rPr>
        <w:t>w zależności od tego</w:t>
      </w:r>
      <w:r w:rsidR="00AB7E36"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czy jednostka objęła prawo pierwotne czy prawo wtórne do ulgi. Jednostka składowa dysponuje prawem pierwotnym do ulgi</w:t>
      </w:r>
      <w:r w:rsidR="00AB7E36"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w:t>
      </w:r>
      <w:r w:rsidR="007246D1" w:rsidRPr="00C96268">
        <w:rPr>
          <w:rFonts w:ascii="Times New Roman" w:hAnsi="Times New Roman" w:cs="Times New Roman"/>
          <w:bCs/>
          <w:sz w:val="24"/>
          <w:szCs w:val="24"/>
        </w:rPr>
        <w:t xml:space="preserve">kiedy </w:t>
      </w:r>
      <w:r w:rsidRPr="00C96268">
        <w:rPr>
          <w:rFonts w:ascii="Times New Roman" w:hAnsi="Times New Roman" w:cs="Times New Roman"/>
          <w:bCs/>
          <w:sz w:val="24"/>
          <w:szCs w:val="24"/>
        </w:rPr>
        <w:t xml:space="preserve">prawo do kwalifikowanej zbywalnej ulgi zostało objęte przez jednostkę składową po raz pierwszy na podstawie przepisów obowiązujących w </w:t>
      </w:r>
      <w:r w:rsidR="00EF17F2" w:rsidRPr="00C96268">
        <w:rPr>
          <w:rFonts w:ascii="Times New Roman" w:hAnsi="Times New Roman" w:cs="Times New Roman"/>
          <w:sz w:val="24"/>
          <w:szCs w:val="24"/>
        </w:rPr>
        <w:t>jurysdykcji</w:t>
      </w:r>
      <w:r w:rsidR="00AB7E36" w:rsidRPr="00C96268">
        <w:rPr>
          <w:rFonts w:ascii="Times New Roman" w:hAnsi="Times New Roman" w:cs="Times New Roman"/>
          <w:sz w:val="24"/>
          <w:szCs w:val="24"/>
        </w:rPr>
        <w:t>, w której jest zlokalizowana</w:t>
      </w:r>
      <w:r w:rsidRPr="00C96268">
        <w:rPr>
          <w:rFonts w:ascii="Times New Roman" w:hAnsi="Times New Roman" w:cs="Times New Roman"/>
          <w:bCs/>
          <w:sz w:val="24"/>
          <w:szCs w:val="24"/>
        </w:rPr>
        <w:t xml:space="preserve">. Prawem wtórnym do ulgi jest natomiast prawo do ulgi nabyte od innego podmiotu. </w:t>
      </w:r>
    </w:p>
    <w:p w14:paraId="2C3127B0" w14:textId="6BB3F7D1"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odniesieniu do prawnego standardu zbywalności, w przypadku jednostki, która objęła prawo pierwotne do tej ulgi</w:t>
      </w:r>
      <w:r w:rsidR="00AB7E36"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standard ten jest spełniony</w:t>
      </w:r>
      <w:r w:rsidR="00AB7E36" w:rsidRPr="00C96268">
        <w:rPr>
          <w:rFonts w:ascii="Times New Roman" w:hAnsi="Times New Roman" w:cs="Times New Roman"/>
          <w:bCs/>
          <w:sz w:val="24"/>
          <w:szCs w:val="24"/>
        </w:rPr>
        <w:t>, gdy</w:t>
      </w:r>
      <w:r w:rsidRPr="00C96268">
        <w:rPr>
          <w:rFonts w:ascii="Times New Roman" w:hAnsi="Times New Roman" w:cs="Times New Roman"/>
          <w:bCs/>
          <w:sz w:val="24"/>
          <w:szCs w:val="24"/>
        </w:rPr>
        <w:t xml:space="preserve">  zgodnie z prawem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bCs/>
          <w:sz w:val="24"/>
          <w:szCs w:val="24"/>
        </w:rPr>
        <w:t xml:space="preserve"> </w:t>
      </w:r>
      <w:r w:rsidR="00EF17F2" w:rsidRPr="00C96268">
        <w:rPr>
          <w:rFonts w:ascii="Times New Roman" w:hAnsi="Times New Roman" w:cs="Times New Roman"/>
          <w:bCs/>
          <w:sz w:val="24"/>
          <w:szCs w:val="24"/>
        </w:rPr>
        <w:t xml:space="preserve">przyznającej </w:t>
      </w:r>
      <w:r w:rsidRPr="00C96268">
        <w:rPr>
          <w:rFonts w:ascii="Times New Roman" w:hAnsi="Times New Roman" w:cs="Times New Roman"/>
          <w:bCs/>
          <w:sz w:val="24"/>
          <w:szCs w:val="24"/>
        </w:rPr>
        <w:t xml:space="preserve">prawo do zwrotu lub odliczenia z tytułu tej ulgi możliwe jest nabycie prawa do ulgi przez osobę inną niż </w:t>
      </w:r>
      <w:r w:rsidR="00F32517" w:rsidRPr="00C96268">
        <w:rPr>
          <w:rFonts w:ascii="Times New Roman" w:hAnsi="Times New Roman" w:cs="Times New Roman"/>
          <w:bCs/>
          <w:sz w:val="24"/>
          <w:szCs w:val="24"/>
        </w:rPr>
        <w:t>nie</w:t>
      </w:r>
      <w:r w:rsidRPr="00C96268">
        <w:rPr>
          <w:rFonts w:ascii="Times New Roman" w:hAnsi="Times New Roman" w:cs="Times New Roman"/>
          <w:bCs/>
          <w:sz w:val="24"/>
          <w:szCs w:val="24"/>
        </w:rPr>
        <w:t xml:space="preserve">powiązaną w roku podatkowym, w którym jednostka taka objęła to prawo lub w ciągu piętnastu miesięcy od końca tego roku podatkowego. Natomiast w przypadku jednostki, która nabyła prawo wtórne do ulgi od innej osoby, standard ten jest spełniony jeżeli zgodnie z prawem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bCs/>
          <w:sz w:val="24"/>
          <w:szCs w:val="24"/>
        </w:rPr>
        <w:t xml:space="preserve"> </w:t>
      </w:r>
      <w:r w:rsidR="00EF17F2" w:rsidRPr="00C96268">
        <w:rPr>
          <w:rFonts w:ascii="Times New Roman" w:hAnsi="Times New Roman" w:cs="Times New Roman"/>
          <w:bCs/>
          <w:sz w:val="24"/>
          <w:szCs w:val="24"/>
        </w:rPr>
        <w:t xml:space="preserve">przyznającej </w:t>
      </w:r>
      <w:r w:rsidRPr="00C96268">
        <w:rPr>
          <w:rFonts w:ascii="Times New Roman" w:hAnsi="Times New Roman" w:cs="Times New Roman"/>
          <w:bCs/>
          <w:sz w:val="24"/>
          <w:szCs w:val="24"/>
        </w:rPr>
        <w:t xml:space="preserve">prawo do zwrotu lub odliczenia z tytułu tej ulgi możliwe jest, w roku podatkowym nabycia tego prawa wtórnego do ulgi, jej kolejne nabycie przez osobę </w:t>
      </w:r>
      <w:r w:rsidR="00F32517" w:rsidRPr="00C96268">
        <w:rPr>
          <w:rFonts w:ascii="Times New Roman" w:hAnsi="Times New Roman" w:cs="Times New Roman"/>
          <w:bCs/>
          <w:sz w:val="24"/>
          <w:szCs w:val="24"/>
        </w:rPr>
        <w:t>nie</w:t>
      </w:r>
      <w:r w:rsidRPr="00C96268">
        <w:rPr>
          <w:rFonts w:ascii="Times New Roman" w:hAnsi="Times New Roman" w:cs="Times New Roman"/>
          <w:bCs/>
          <w:sz w:val="24"/>
          <w:szCs w:val="24"/>
        </w:rPr>
        <w:t>powiązaną.</w:t>
      </w:r>
      <w:r w:rsidR="007246D1" w:rsidRPr="00C96268">
        <w:rPr>
          <w:rFonts w:ascii="Times New Roman" w:hAnsi="Times New Roman" w:cs="Times New Roman"/>
          <w:bCs/>
          <w:sz w:val="24"/>
          <w:szCs w:val="24"/>
        </w:rPr>
        <w:t xml:space="preserve"> Jeżeli więc, zgodnie z ramami prawnymi obowiązującymi dla ulgi </w:t>
      </w:r>
      <w:r w:rsidR="00AB7E36" w:rsidRPr="00C96268">
        <w:rPr>
          <w:rFonts w:ascii="Times New Roman" w:hAnsi="Times New Roman" w:cs="Times New Roman"/>
          <w:bCs/>
          <w:sz w:val="24"/>
          <w:szCs w:val="24"/>
        </w:rPr>
        <w:t>,</w:t>
      </w:r>
      <w:r w:rsidR="007246D1" w:rsidRPr="00C96268">
        <w:rPr>
          <w:rFonts w:ascii="Times New Roman" w:hAnsi="Times New Roman" w:cs="Times New Roman"/>
          <w:bCs/>
          <w:sz w:val="24"/>
          <w:szCs w:val="24"/>
        </w:rPr>
        <w:t>nabywca ulgi nie może zgodnie z prawem przenieść ulgi na</w:t>
      </w:r>
      <w:r w:rsidR="002B2F73" w:rsidRPr="00C96268">
        <w:rPr>
          <w:rFonts w:ascii="Times New Roman" w:hAnsi="Times New Roman" w:cs="Times New Roman"/>
          <w:bCs/>
          <w:sz w:val="24"/>
          <w:szCs w:val="24"/>
        </w:rPr>
        <w:t xml:space="preserve"> osobę /</w:t>
      </w:r>
      <w:r w:rsidR="007246D1" w:rsidRPr="00C96268">
        <w:rPr>
          <w:rFonts w:ascii="Times New Roman" w:hAnsi="Times New Roman" w:cs="Times New Roman"/>
          <w:bCs/>
          <w:sz w:val="24"/>
          <w:szCs w:val="24"/>
        </w:rPr>
        <w:t xml:space="preserve"> podmiot niepowiązany lub podlega bardziej rygorystycznym ograniczeniom prawnym w zakresie przeniesienia ulgi niż zbywca, ulga taka nie będzie spełniała prawnego standardu zbywalności w rękach tego nabywcy. Podkreślenia wymaga więc, że standard ten może być spełniony w odniesieniu do tej samej ulgi u jednej jednostki i nie być spełniony u innej.</w:t>
      </w:r>
    </w:p>
    <w:p w14:paraId="74CC52F1" w14:textId="7236ED6E" w:rsidR="00214622" w:rsidRPr="00C96268" w:rsidRDefault="00214622" w:rsidP="00394B47">
      <w:pPr>
        <w:spacing w:after="120"/>
        <w:jc w:val="both"/>
        <w:rPr>
          <w:rFonts w:ascii="Times New Roman" w:hAnsi="Times New Roman" w:cs="Times New Roman"/>
          <w:bCs/>
          <w:color w:val="FF0000"/>
          <w:sz w:val="24"/>
          <w:szCs w:val="24"/>
        </w:rPr>
      </w:pPr>
      <w:r w:rsidRPr="00C96268">
        <w:rPr>
          <w:rFonts w:ascii="Times New Roman" w:hAnsi="Times New Roman" w:cs="Times New Roman"/>
          <w:sz w:val="24"/>
          <w:szCs w:val="24"/>
        </w:rPr>
        <w:t>W odniesieniu do rynkowego standardu zbywalności, w przypadku jednostki, która objęła prawo pierwotne do tej ulgi, jest on spełniony</w:t>
      </w:r>
      <w:r w:rsidR="00AB7E36" w:rsidRPr="00C96268">
        <w:rPr>
          <w:rFonts w:ascii="Times New Roman" w:hAnsi="Times New Roman" w:cs="Times New Roman"/>
          <w:sz w:val="24"/>
          <w:szCs w:val="24"/>
        </w:rPr>
        <w:t>,</w:t>
      </w:r>
      <w:r w:rsidRPr="00C96268">
        <w:rPr>
          <w:rFonts w:ascii="Times New Roman" w:hAnsi="Times New Roman" w:cs="Times New Roman"/>
          <w:sz w:val="24"/>
          <w:szCs w:val="24"/>
        </w:rPr>
        <w:t xml:space="preserve"> jeżeli ulga została nabyta przez osobę </w:t>
      </w:r>
      <w:r w:rsidR="00F32517" w:rsidRPr="00C96268">
        <w:rPr>
          <w:rFonts w:ascii="Times New Roman" w:hAnsi="Times New Roman" w:cs="Times New Roman"/>
          <w:sz w:val="24"/>
          <w:szCs w:val="24"/>
        </w:rPr>
        <w:t>nie</w:t>
      </w:r>
      <w:r w:rsidRPr="00C96268">
        <w:rPr>
          <w:rFonts w:ascii="Times New Roman" w:hAnsi="Times New Roman" w:cs="Times New Roman"/>
          <w:sz w:val="24"/>
          <w:szCs w:val="24"/>
        </w:rPr>
        <w:t xml:space="preserve">powiązaną </w:t>
      </w:r>
      <w:r w:rsidRPr="00C96268">
        <w:rPr>
          <w:rFonts w:ascii="Times New Roman" w:hAnsi="Times New Roman" w:cs="Times New Roman"/>
          <w:bCs/>
          <w:sz w:val="24"/>
          <w:szCs w:val="24"/>
        </w:rPr>
        <w:t xml:space="preserve">po cenie równej lub wyższej od minimalnej ceny rynkowej, w ciągu </w:t>
      </w:r>
      <w:r w:rsidR="00AB7E36" w:rsidRPr="00C96268">
        <w:rPr>
          <w:rFonts w:ascii="Times New Roman" w:hAnsi="Times New Roman" w:cs="Times New Roman"/>
          <w:bCs/>
          <w:sz w:val="24"/>
          <w:szCs w:val="24"/>
        </w:rPr>
        <w:t xml:space="preserve">15 </w:t>
      </w:r>
      <w:r w:rsidRPr="00C96268">
        <w:rPr>
          <w:rFonts w:ascii="Times New Roman" w:hAnsi="Times New Roman" w:cs="Times New Roman"/>
          <w:bCs/>
          <w:sz w:val="24"/>
          <w:szCs w:val="24"/>
        </w:rPr>
        <w:t>miesięcy od końca roku podatkowego, w którym taka jednostka nabyła prawo do tej ulgi. Natomiast w przypadku jednostki, która nabyła prawo wtórne do ulgi od innej osoby, jeżeli prawo to zostało nabyte od osoby innej niż powiązaną po cenie równej lub wyższej od minimalnej ceny rynkowej.</w:t>
      </w:r>
      <w:r w:rsidR="007246D1" w:rsidRPr="00C96268">
        <w:rPr>
          <w:rFonts w:ascii="Times New Roman" w:hAnsi="Times New Roman" w:cs="Times New Roman"/>
          <w:bCs/>
          <w:sz w:val="24"/>
          <w:szCs w:val="24"/>
        </w:rPr>
        <w:t xml:space="preserve"> Warunki dotyczące kwalifikowanej zbywalnej ulgi mają na celu identyfikację ulg podatkowych, które ze względu na treść, a nie tylko formę, są zbywalne na rynku. Aby więc ulga podatkowa mogła być traktowana jako kwalifikowana zbywalna ulga, musi istnieć taki rynek, na którym prawo do przeniesienia ulgi ma natychmiastowe znaczenie praktyczne i ekonomiczne dla podatników, którzy będą uprawnieni do ulgi. Jeżeli nie istnieje rzeczywisty rynek ulg podatkowych, wówczas element możliwości przeniesienia nie będzie miał praktycznego znaczenia dla podatników, a ulga nie będzie kwalifikowaną zbywalną ulgą w rozumieniu ustawy.</w:t>
      </w:r>
    </w:p>
    <w:p w14:paraId="5D96D6BE" w14:textId="6B023840"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Kolejno, regulacja ta określa, że minimalna cena rynkowa jest równa 80% wartości bieżącej netto ulgi. Wartości niezbędne dla określania wartości bieżącej ulgi zostały wskazane w Wytycznych administracyjnych 2023 r. i odpowiednio w ustawie. W celu określenia tej wartości przyjmuje się więc stopę rentowności instrumentu dłużnego o identycznym lub podobnym terminie wykupu, co termin przedawnienia prawa do ulgi, nie dłuższym niż pięć lat, wyemitowanego przez </w:t>
      </w:r>
      <w:r w:rsidR="00EF17F2" w:rsidRPr="00C96268">
        <w:rPr>
          <w:rFonts w:ascii="Times New Roman" w:hAnsi="Times New Roman" w:cs="Times New Roman"/>
          <w:sz w:val="24"/>
          <w:szCs w:val="24"/>
        </w:rPr>
        <w:t>jurysdykcję</w:t>
      </w:r>
      <w:r w:rsidR="00EF17F2" w:rsidRPr="00C96268" w:rsidDel="00EF17F2">
        <w:rPr>
          <w:rFonts w:ascii="Times New Roman" w:hAnsi="Times New Roman" w:cs="Times New Roman"/>
          <w:bCs/>
          <w:sz w:val="24"/>
          <w:szCs w:val="24"/>
        </w:rPr>
        <w:t xml:space="preserve"> </w:t>
      </w:r>
      <w:r w:rsidRPr="00C96268">
        <w:rPr>
          <w:rFonts w:ascii="Times New Roman" w:hAnsi="Times New Roman" w:cs="Times New Roman"/>
          <w:bCs/>
          <w:sz w:val="24"/>
          <w:szCs w:val="24"/>
        </w:rPr>
        <w:t>przyznając</w:t>
      </w:r>
      <w:r w:rsidR="00EF17F2" w:rsidRPr="00C96268">
        <w:rPr>
          <w:rFonts w:ascii="Times New Roman" w:hAnsi="Times New Roman" w:cs="Times New Roman"/>
          <w:bCs/>
          <w:sz w:val="24"/>
          <w:szCs w:val="24"/>
        </w:rPr>
        <w:t>ą</w:t>
      </w:r>
      <w:r w:rsidRPr="00C96268">
        <w:rPr>
          <w:rFonts w:ascii="Times New Roman" w:hAnsi="Times New Roman" w:cs="Times New Roman"/>
          <w:bCs/>
          <w:sz w:val="24"/>
          <w:szCs w:val="24"/>
        </w:rPr>
        <w:t xml:space="preserve"> prawo do tej ulgi, w tym samym roku podatkowym, w którym jednostka składowa nabyła prawo wtórne do ulgi albo w roku podatkowym, w którym jednostka uzyskała prawo pierwotne do tej ulgi. Natomiast ulga jest równa kwocie maksymalnego zwrotu lub odliczenia z tej ulgi lub kwocie pozostałej do zwrotu lub odliczenia, a przepływy gotówkowe określa się w oparciu o maksymalną kwotę, która może podlegać zwrotowi lub odliczeniu w danym roku podatkowym, zgodnie z prawem </w:t>
      </w:r>
      <w:r w:rsidR="00EF17F2"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t>
      </w:r>
      <w:r w:rsidR="00EF17F2" w:rsidRPr="00C96268">
        <w:rPr>
          <w:rFonts w:ascii="Times New Roman" w:hAnsi="Times New Roman" w:cs="Times New Roman"/>
          <w:bCs/>
          <w:sz w:val="24"/>
          <w:szCs w:val="24"/>
        </w:rPr>
        <w:t xml:space="preserve">która </w:t>
      </w:r>
      <w:r w:rsidRPr="00C96268">
        <w:rPr>
          <w:rFonts w:ascii="Times New Roman" w:hAnsi="Times New Roman" w:cs="Times New Roman"/>
          <w:bCs/>
          <w:sz w:val="24"/>
          <w:szCs w:val="24"/>
        </w:rPr>
        <w:t xml:space="preserve">przyznaje prawo do tej ulgi. </w:t>
      </w:r>
    </w:p>
    <w:p w14:paraId="7EB92623"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Na gruncie takich definicji określono, że zwrot lub odliczenie z tytułu takiej kwalifikowanej zbywalnej ulgi bądź wygaśniecie prawa do niej lub jego sprzedaż skutkuje koniecznością dokonania korekty w zakresie kwalifikowanej zbywalnej ulgi, o której mowa w podstawowych regulacjach dotyczących zasad określania kwalifikowanego dochodu (straty). </w:t>
      </w:r>
    </w:p>
    <w:p w14:paraId="1FF91B3B"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Zasady tej korekty są różne, w zależności od tego, czy jednostka składowa dysponowała prawem pierwotnym czy prawem wtórnym do ulgi oraz od tego, czy skorzystała z możliwego zwrotu lub odliczenia z tytułu takiej ulgi czy prawo do tej ulgi wygasło lub zostało zbyte.</w:t>
      </w:r>
    </w:p>
    <w:p w14:paraId="32966C7E" w14:textId="403F935E"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przypadku prawa pierwotnego do ulgi jej uwzględnienie </w:t>
      </w:r>
      <w:r w:rsidR="00737841" w:rsidRPr="00C96268">
        <w:rPr>
          <w:rFonts w:ascii="Times New Roman" w:hAnsi="Times New Roman" w:cs="Times New Roman"/>
          <w:bCs/>
          <w:sz w:val="24"/>
          <w:szCs w:val="24"/>
        </w:rPr>
        <w:t>przy obliczeniu</w:t>
      </w:r>
      <w:r w:rsidRPr="00C96268">
        <w:rPr>
          <w:rFonts w:ascii="Times New Roman" w:hAnsi="Times New Roman" w:cs="Times New Roman"/>
          <w:bCs/>
          <w:sz w:val="24"/>
          <w:szCs w:val="24"/>
        </w:rPr>
        <w:t xml:space="preserve"> kwalifikowanego dochodu (straty) polega na </w:t>
      </w:r>
      <w:r w:rsidRPr="00C96268">
        <w:rPr>
          <w:rFonts w:ascii="Times New Roman" w:hAnsi="Times New Roman" w:cs="Times New Roman"/>
          <w:b/>
          <w:sz w:val="24"/>
          <w:szCs w:val="24"/>
        </w:rPr>
        <w:t>zwiększeniu</w:t>
      </w:r>
      <w:r w:rsidRPr="00C96268">
        <w:rPr>
          <w:rFonts w:ascii="Times New Roman" w:hAnsi="Times New Roman" w:cs="Times New Roman"/>
          <w:bCs/>
          <w:sz w:val="24"/>
          <w:szCs w:val="24"/>
        </w:rPr>
        <w:t xml:space="preserve"> księgowego dochodu (straty) netto w przypadku, gdy kwota tego zwrotu oraz odliczenia nie została uwzględniona już w księgowym dochodzie (stracie) netto jako przychód lub zapis o podobnym charakterze. Takiego zwiększenia dokonuje się o kwotę całkowitego zwrotu oraz odliczenia z tytułu takiej ulgi za rok podatkowy, w którym jednostka ta objęła prawo pierwotne do ulgi.</w:t>
      </w:r>
    </w:p>
    <w:p w14:paraId="4FCCF13E"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Korekta polegająca na zwiększeniu księgowego dochodu (strat) ma miejsce także, kiedy prawo to nie zostało wykorzystane, a jednostka ta osiągnęła kwalifikowaną </w:t>
      </w:r>
      <w:r w:rsidRPr="00C96268">
        <w:rPr>
          <w:rFonts w:ascii="Times New Roman" w:hAnsi="Times New Roman" w:cs="Times New Roman"/>
          <w:b/>
          <w:sz w:val="24"/>
          <w:szCs w:val="24"/>
        </w:rPr>
        <w:t>stratę</w:t>
      </w:r>
      <w:r w:rsidRPr="00C96268">
        <w:rPr>
          <w:rFonts w:ascii="Times New Roman" w:hAnsi="Times New Roman" w:cs="Times New Roman"/>
          <w:bCs/>
          <w:sz w:val="24"/>
          <w:szCs w:val="24"/>
        </w:rPr>
        <w:t xml:space="preserve"> za rok podatkowy, w którym jednostka ta objęła prawo pierwotne do tej ulgi i uwzględniła tę ulgę w księgowym dochodzie (stracie) netto jako przychód lub zapis o podobnym charakterze. Dokonuje się jej wówczas o kwotę zwrotu lub odliczenia z tytułu takiej ulgi za rok podatkowy, w którym nastąpiło przedawnienie prawa pierwotnego do ulgi. </w:t>
      </w:r>
    </w:p>
    <w:p w14:paraId="044FBEB4" w14:textId="1CC5D0E8"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przypadku prawa pierwotnego do ulgi jej uwzględnienie w kalkulacji kwalifikowanego dochodu (straty) polega na </w:t>
      </w:r>
      <w:r w:rsidRPr="00C96268">
        <w:rPr>
          <w:rFonts w:ascii="Times New Roman" w:hAnsi="Times New Roman" w:cs="Times New Roman"/>
          <w:b/>
          <w:sz w:val="24"/>
          <w:szCs w:val="24"/>
        </w:rPr>
        <w:t>zmniejszeniu</w:t>
      </w:r>
      <w:r w:rsidRPr="00C96268">
        <w:rPr>
          <w:rFonts w:ascii="Times New Roman" w:hAnsi="Times New Roman" w:cs="Times New Roman"/>
          <w:bCs/>
          <w:sz w:val="24"/>
          <w:szCs w:val="24"/>
        </w:rPr>
        <w:t xml:space="preserve"> księgowego dochodu (straty) netto w przypadku przedawnienia</w:t>
      </w:r>
      <w:r w:rsidR="004927E8"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jeżeli prawo to uległo przedawnieniu i nie zostało wykorzystane oraz jednostka ta osiągnęła kwalifikowany dochód za rok podatkowy, w którym jednostka ta objęła prawo pierwotne do tej ulgi i uwzględniła tą ulgę w księgowym dochodzie (stracie) netto jako przychód lub zapis o podobnym charakterze. Korekty dokonuje się wówczas o kwotę zwrotu lub odliczenia z tytułu takiej ulgi za rok podatkowy, w którym nastąpiło przedawnienie prawa pierwotnego do tej ulgi.</w:t>
      </w:r>
    </w:p>
    <w:p w14:paraId="0253B771"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Jednocześnie, zasady te mogą być stosowane do jednego prawa do ulgi, w przypadki kiedy jednostka składowa uzyskała część zwrotu lub odliczenia z tytułu prawa pierwotnego do ulgi, a prawo do pozostałej części tego zwrotu oraz odliczenia uległo przedawnieniu. Zwiększenie albo zmniejszenie księgowego dochodu (straty) netto w przypadku przedawnienia dotyczy wówczas tylko części nieuzyskanego prawa do zwrotu oraz odliczenia.</w:t>
      </w:r>
    </w:p>
    <w:p w14:paraId="60B1186E" w14:textId="6205411B"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Zasady korekty w przypadku zbycia pierwotnego prawa do ulgi zależą od tego</w:t>
      </w:r>
      <w:r w:rsidR="004927E8"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czy jednostka składowa zbyła to prawo w terminie nieprzekraczającym </w:t>
      </w:r>
      <w:r w:rsidR="004927E8" w:rsidRPr="00C96268">
        <w:rPr>
          <w:rFonts w:ascii="Times New Roman" w:hAnsi="Times New Roman" w:cs="Times New Roman"/>
          <w:bCs/>
          <w:sz w:val="24"/>
          <w:szCs w:val="24"/>
        </w:rPr>
        <w:t xml:space="preserve">15 </w:t>
      </w:r>
      <w:r w:rsidRPr="00C96268">
        <w:rPr>
          <w:rFonts w:ascii="Times New Roman" w:hAnsi="Times New Roman" w:cs="Times New Roman"/>
          <w:bCs/>
          <w:sz w:val="24"/>
          <w:szCs w:val="24"/>
        </w:rPr>
        <w:t xml:space="preserve">miesięcy następujących po ostatnim miesiącu roku podatkowego, w którym to prawo pierwotne do ulgi zostało objęte przez tę jednostkę składową czy po tym terminie. </w:t>
      </w:r>
    </w:p>
    <w:p w14:paraId="05031E84" w14:textId="7E9F9F5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pierwszym przypadku księgowy dochód (stratę) netto takiej jednostki składowej za rok podatkowy, w którym nastąpiło to zbycie</w:t>
      </w:r>
      <w:r w:rsidR="00B01A15"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pomniejsza się o kwotę uprzednio doliczoną ze względu na nabycie tego prawa oraz  zwiększa się o cenę rynkową zbytego prawa pierwotnego do ulgi. Zwiększenia dokonuje się</w:t>
      </w:r>
      <w:r w:rsidR="00B01A15"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jeżeli przychód lub podobny zapis odpowiadający tej cenie rynkowej nie został ujęty w tym księgowym dochodzie (stracie) netto.</w:t>
      </w:r>
    </w:p>
    <w:p w14:paraId="63B65D4E"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drugim przypadku taki księgowy dochód (stratę) netto koryguje się poprzez uwzględnienie straty liczonej jako różnica między rynkową ceną sprzedaży tego prawa pierwotnego do ulgi a kwotą zbywanego oraz niewykorzystanego zwrotu oraz odliczenia z tytułu takiej ulgi, którą jednostka ta uwzględniła ze względu na nabycie tego prawa.</w:t>
      </w:r>
    </w:p>
    <w:p w14:paraId="662671BE" w14:textId="2DC9D162"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Jednocześnie, jeżeli jednostka składowa zbyła część niewykorzystanego prawa pierwotnego do ulgi</w:t>
      </w:r>
      <w:r w:rsidR="004927E8"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zasady dotyczące uwzględniania zbycia tego prawa stosuje się odpowiednio do jego zbywanej, niewykorzystanej części.</w:t>
      </w:r>
    </w:p>
    <w:p w14:paraId="6BE68241" w14:textId="4CB0DA72"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odniesieniu do wtórnego prawa do ulgi ustawa rozróżnia zasady korekty w zależności od tego, czy jednostka składowa wykorzystała prawo do tej ulgi w całości lub w części, czy prawo to uległo przedawnieniu w całości lub części albo czy jednostka ta dokonała jego dalszego zbycia. </w:t>
      </w:r>
    </w:p>
    <w:p w14:paraId="051FD79A"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pierwszym przypadku jednostka ta uwzględnia w roku podatkowym zysk z tytułu wykorzystania prawa do ulgi. Zysk ten jest równy różnicy między całkowitą kwotą zwrotu oraz odliczenia z tytułu takiej ulgi a ceną nabycia prawa wtórnego do tej ulgi, w proporcji w jakiej pozostaje wartość dokonanego w tym roku podatkowym odliczenia oraz zwrotu z tytułu tej ulgi do całkowitej wartości takiego odliczenia i zwrotu możliwego do wykorzystania.  </w:t>
      </w:r>
    </w:p>
    <w:p w14:paraId="319ED649"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drugim przypadku, jednostka ta uwzględnia w roku podatkowym stratę z tytułu przedawnienia prawa do ulgi. Strata ta jest równa nadwyżce sumy ceny nabycia prawa wtórnego do tej ulgi oraz zysku z tytułu wykorzystania prawa do ulgi nad sumą dokonanych odliczeń i zwrotów z tytułu ulgi.</w:t>
      </w:r>
    </w:p>
    <w:p w14:paraId="358F6FDC"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trzecim przypadku, jednostka ta uwzględnia w roku podatkowym zysk (stratę) ze sprzedaży prawa wtórnego do ulgi. Zysk (strata) jest wówczas równy różnicy między ceną sprzedaży a sumą ceny nabycia prawa wtórnego do tej ulgi i zysku z tytułu wykorzystania prawa do ulgi, od tej części prawa do ulgi, która została wykorzystana przed tym zbyciem, uwzględnionego w księgowym dochodzie (stracie) netto.</w:t>
      </w:r>
    </w:p>
    <w:p w14:paraId="5AC30D62"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przypadku wtórnego prawa do ulgi także może mieć zastosowanie kilka z powyższych regulacji. Jeżeli zwrot lub odliczenie podatku przysługuje w odniesieniu tylko do części prawa do kwalifikowanej zbywalnej ulgi lub zbyciu podlega tylko prawo do części zwrotu lub odliczenia z tytułu kwalifikowanej zbywalnej ulgi, daną regulację stosuje się odpowiednio tylko do tej części.</w:t>
      </w:r>
    </w:p>
    <w:p w14:paraId="07E546DD" w14:textId="37B91B69"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Finalnie wskazano przypadki, kiedy jednostka może stosować w celu ujęcia kwalifikowanych zbywalnych ulg zasady przyjęte w jej polityce rachunkowości. Jest to możliwe jedynie w odniesieniu do  jednostk</w:t>
      </w:r>
      <w:r w:rsidR="004927E8" w:rsidRPr="00C96268">
        <w:rPr>
          <w:rFonts w:ascii="Times New Roman" w:hAnsi="Times New Roman" w:cs="Times New Roman"/>
          <w:bCs/>
          <w:sz w:val="24"/>
          <w:szCs w:val="24"/>
        </w:rPr>
        <w:t>i</w:t>
      </w:r>
      <w:r w:rsidRPr="00C96268">
        <w:rPr>
          <w:rFonts w:ascii="Times New Roman" w:hAnsi="Times New Roman" w:cs="Times New Roman"/>
          <w:bCs/>
          <w:sz w:val="24"/>
          <w:szCs w:val="24"/>
        </w:rPr>
        <w:t xml:space="preserve">, która objęła prawo pierwotne do ulgi, a korzyść z kwalifikowanej zbywalnej ulgi wynika z nabycia lub wytworzenia składnika aktywów. Ponadto, przyjęta polityka rachunkowości musi stanowić, że wartość bilansowa składnika aktywów objętego kwalifikowaną zbywalną ulgą jest pomniejszana o korzyść z tej ulgi, albo że korzyść z kwalifikowanej zbywalnej ulgi jest wykazywana w księgowym dochodzie (stracie) netto jako przychód rozpoznawany proporcjonalnie do okresu użytkowania składnika aktywów objętego taką ulgą. </w:t>
      </w:r>
      <w:r w:rsidR="007246D1" w:rsidRPr="00C96268">
        <w:rPr>
          <w:rFonts w:ascii="Times New Roman" w:hAnsi="Times New Roman" w:cs="Times New Roman"/>
          <w:bCs/>
          <w:sz w:val="24"/>
          <w:szCs w:val="24"/>
        </w:rPr>
        <w:t>Podkreślenia wymaga, że taki sposób ujęcia i rozliczenia ulgi nie zmienia jej charakteru, ulga ta pozostaje kwalifikowaną zbywalną ulgą.</w:t>
      </w:r>
    </w:p>
    <w:p w14:paraId="01DC5319" w14:textId="535D565F"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przypadku</w:t>
      </w:r>
      <w:r w:rsidR="004927E8"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kiedy jednostka stosuje zasady wynikające z jej polityki rachunkowości i prawo do ulgi wygaśnie w drodze przedawnienia, to jednostka składowa ujmuje w roku podatkowym wygaśnięcia poprzez podwyższenie wartości bilansowej składnika aktywów objętego tą ulgą o kwotę nieuzyskanego w związku z tym wygaśnięciem zwrotu lub odliczenia. Natomiast</w:t>
      </w:r>
      <w:r w:rsidR="004927E8"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je</w:t>
      </w:r>
      <w:r w:rsidR="004927E8" w:rsidRPr="00C96268">
        <w:rPr>
          <w:rFonts w:ascii="Times New Roman" w:hAnsi="Times New Roman" w:cs="Times New Roman"/>
          <w:bCs/>
          <w:sz w:val="24"/>
          <w:szCs w:val="24"/>
        </w:rPr>
        <w:t>że</w:t>
      </w:r>
      <w:r w:rsidRPr="00C96268">
        <w:rPr>
          <w:rFonts w:ascii="Times New Roman" w:hAnsi="Times New Roman" w:cs="Times New Roman"/>
          <w:bCs/>
          <w:sz w:val="24"/>
          <w:szCs w:val="24"/>
        </w:rPr>
        <w:t xml:space="preserve">li w takim przypadku prawo do ulgi zostanie zbyte, to jednostka składowa kontynuuje przyjęte zasady rozliczenia do końca okresu użytkowania składnika aktywów a różnicę pomiędzy rynkową ceną sprzedaży i kwotą zwrotu oraz odliczenia z tytułu tej ulgi odnosi proporcjonalnie do tego okresu użytkowania, jaki pozostaje po roku w którym składnik ten został zbyty. </w:t>
      </w:r>
    </w:p>
    <w:p w14:paraId="10A3C96B" w14:textId="77777777" w:rsidR="00EC77C8" w:rsidRPr="00C96268" w:rsidRDefault="00EC77C8" w:rsidP="00394B47">
      <w:pPr>
        <w:pStyle w:val="Nagwek5"/>
        <w:rPr>
          <w:rFonts w:ascii="Times New Roman" w:hAnsi="Times New Roman" w:cs="Times New Roman"/>
          <w:sz w:val="24"/>
          <w:szCs w:val="24"/>
        </w:rPr>
      </w:pPr>
      <w:r w:rsidRPr="00C96268">
        <w:rPr>
          <w:rFonts w:ascii="Times New Roman" w:hAnsi="Times New Roman" w:cs="Times New Roman"/>
          <w:sz w:val="24"/>
          <w:szCs w:val="24"/>
        </w:rPr>
        <w:t>Art. 66 [Inne ulgi]</w:t>
      </w:r>
      <w:bookmarkEnd w:id="27"/>
    </w:p>
    <w:p w14:paraId="78FB0475" w14:textId="54CC524E" w:rsidR="00C73DB2" w:rsidRPr="00C96268" w:rsidRDefault="00EC77C8"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Zgodnie z regulacją przewidzianą w art. 66, korekta w zakresie ulg innych niż kwalifikowana zwrotna ulga, niekwalifikowana zwrotna ulga lub kwalifikowana zbywalna ulga, polega na ich nieuwzględnieniu. Jeżeli ulgi takie zostały uwzględnione w księgowym dochodzie (stracie) netto jako przychód lub koszt lub podobny zapis, wartość tę koryguje się odpowiednio przy obliczaniu kwalifikowanego dochodu (straty).</w:t>
      </w:r>
    </w:p>
    <w:p w14:paraId="34307FD9" w14:textId="77777777" w:rsidR="00214622" w:rsidRPr="00C96268" w:rsidRDefault="00214622" w:rsidP="00394B4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Ponadto, artykuł ten reguluje zasady rozliczania sprzedaży nabytej wcześniej niekwalifikowanej zbywalnej ulgi w przypadku poniesienia straty w związku z tą sprzedażą oraz definiuje samo pojęcie niekwalifikowanej zbywalnej ulgi. </w:t>
      </w:r>
    </w:p>
    <w:p w14:paraId="43A56426" w14:textId="77777777" w:rsidR="00214622" w:rsidRPr="00C96268" w:rsidRDefault="00214622" w:rsidP="00394B47">
      <w:pPr>
        <w:spacing w:after="0"/>
        <w:jc w:val="both"/>
        <w:rPr>
          <w:rFonts w:ascii="Times New Roman" w:hAnsi="Times New Roman" w:cs="Times New Roman"/>
          <w:bCs/>
          <w:sz w:val="24"/>
          <w:szCs w:val="24"/>
        </w:rPr>
      </w:pPr>
      <w:r w:rsidRPr="00C96268">
        <w:rPr>
          <w:rFonts w:ascii="Times New Roman" w:hAnsi="Times New Roman" w:cs="Times New Roman"/>
          <w:bCs/>
          <w:sz w:val="24"/>
          <w:szCs w:val="24"/>
        </w:rPr>
        <w:t>Niekwalifikowaną zbywalną ulgą jest ulga podatkową, która:</w:t>
      </w:r>
    </w:p>
    <w:p w14:paraId="3AFFE81C" w14:textId="77777777" w:rsidR="00214622" w:rsidRPr="00C96268" w:rsidRDefault="00214622" w:rsidP="009E73F7">
      <w:pPr>
        <w:pStyle w:val="Akapitzlist"/>
        <w:numPr>
          <w:ilvl w:val="0"/>
          <w:numId w:val="113"/>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nie jest kwalifikowaną zwrotną ulgą, niekwalifikowaną zwrotną ulgą, albo kwalifikowaną zbywalną ulgą, </w:t>
      </w:r>
    </w:p>
    <w:p w14:paraId="06786001" w14:textId="77777777" w:rsidR="00214622" w:rsidRPr="00C96268" w:rsidRDefault="00214622" w:rsidP="009E73F7">
      <w:pPr>
        <w:pStyle w:val="Akapitzlist"/>
        <w:numPr>
          <w:ilvl w:val="0"/>
          <w:numId w:val="113"/>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polega na zwrocie lub odliczeniu kwoty podatku dochodowego, w tym w kwocie przewyższającej taki podatek, oraz </w:t>
      </w:r>
    </w:p>
    <w:p w14:paraId="5307B412" w14:textId="77777777" w:rsidR="00214622" w:rsidRPr="00C96268" w:rsidRDefault="00214622" w:rsidP="009E73F7">
      <w:pPr>
        <w:pStyle w:val="Akapitzlist"/>
        <w:numPr>
          <w:ilvl w:val="0"/>
          <w:numId w:val="113"/>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co kluczowe, prawo do takiego zwrotu lub odliczenia przysługuje każdej jednostce posiadającej prawo do ulgi. </w:t>
      </w:r>
    </w:p>
    <w:p w14:paraId="3D7E5FDD" w14:textId="358DE9E3" w:rsidR="00214622" w:rsidRPr="00C96268" w:rsidRDefault="00214622" w:rsidP="00394B47">
      <w:pPr>
        <w:spacing w:before="120" w:after="240"/>
        <w:jc w:val="both"/>
        <w:rPr>
          <w:rFonts w:ascii="Times New Roman" w:hAnsi="Times New Roman" w:cs="Times New Roman"/>
          <w:sz w:val="24"/>
          <w:szCs w:val="24"/>
        </w:rPr>
      </w:pPr>
      <w:r w:rsidRPr="00C96268">
        <w:rPr>
          <w:rFonts w:ascii="Times New Roman" w:hAnsi="Times New Roman" w:cs="Times New Roman"/>
          <w:bCs/>
          <w:sz w:val="24"/>
          <w:szCs w:val="24"/>
        </w:rPr>
        <w:t xml:space="preserve">Natomiast jednostka składowa uwzględnia stratę poniesioną w związku z jej sprzedażą w kalkulacji kwalifikowanego dochodu (straty) za rok podatkowy, w którym nastąpiła ta sprzedaż. </w:t>
      </w:r>
    </w:p>
    <w:bookmarkEnd w:id="23"/>
    <w:p w14:paraId="0FC3F97A" w14:textId="26803783" w:rsidR="005E21A8" w:rsidRPr="00C96268" w:rsidRDefault="0023055E" w:rsidP="0023055E">
      <w:pPr>
        <w:pStyle w:val="Nagwek3"/>
        <w:rPr>
          <w:rFonts w:ascii="Times New Roman" w:hAnsi="Times New Roman" w:cs="Times New Roman"/>
          <w:sz w:val="24"/>
        </w:rPr>
      </w:pPr>
      <w:r w:rsidRPr="00C96268">
        <w:rPr>
          <w:rFonts w:ascii="Times New Roman" w:hAnsi="Times New Roman" w:cs="Times New Roman"/>
          <w:sz w:val="24"/>
        </w:rPr>
        <w:t>Rozdział 2 – Przepisy szczególne</w:t>
      </w:r>
    </w:p>
    <w:p w14:paraId="359C269E" w14:textId="77777777" w:rsidR="001D0627" w:rsidRPr="00C96268" w:rsidRDefault="001D0627" w:rsidP="001D0627">
      <w:pPr>
        <w:pStyle w:val="Nagwek4"/>
        <w:spacing w:before="240"/>
        <w:rPr>
          <w:rFonts w:ascii="Times New Roman" w:hAnsi="Times New Roman" w:cs="Times New Roman"/>
          <w:sz w:val="24"/>
          <w:szCs w:val="24"/>
        </w:rPr>
      </w:pPr>
      <w:r w:rsidRPr="00C96268">
        <w:rPr>
          <w:rFonts w:ascii="Times New Roman" w:hAnsi="Times New Roman" w:cs="Times New Roman"/>
          <w:sz w:val="24"/>
          <w:szCs w:val="24"/>
        </w:rPr>
        <w:t>Oddział 1 – Wyłączenie dochodu z żeglugi międzynarodowej</w:t>
      </w:r>
    </w:p>
    <w:p w14:paraId="4282553D" w14:textId="04F72BBE"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Przepisy Oddziału 1 (art. 67 i nast.) implementują art. 17 Dyrektywy. Artykuł 17 Dyrektywy przewiduje wyłączenie dla dochodu uzyskanego z międzynarodowej żeglugi morskiej. Wskazać należy, iż działalność w zakresie żeglugi międzynarodowej od dawna podlega specyficznym dla tej branży przepisom podatkowym (np. w Polsce podatek tonażowy). Kapitałochłonny charakter tej działalności, poziom rentowności i długi ekonomiczny cykl działalności uzasadniają wprowadzenie przez wiele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alternatywnych lub uzupełniających reżimów podatkowych dla tej branży. Systemy podatkowe mające zastosowanie do żeglugi międzynarodowej, takie jak podatek tonażowy, mogą skutkować mniejszą zmiennością wyników podatkowych dla żeglugi i zapewnić bardziej stabilną podstawę dla inwestycji długoterminowych. Jednocześnie powszechna dostępność tych alternatywnych systemów podatkowych oznacza, że żegluga międzynarodowa często funkcjonuje poza zakresem podatku dochodowego od osób prawnych. Włączenie międzynarodowej żeglugi morskiej w zakres Zasad GloBE budziłoby zatem wątpliwości w świetle wyborów w tym zakresie dokonywanych przez </w:t>
      </w:r>
      <w:r w:rsidR="00EF17F2" w:rsidRPr="00C96268">
        <w:rPr>
          <w:rFonts w:ascii="Times New Roman" w:hAnsi="Times New Roman" w:cs="Times New Roman"/>
          <w:sz w:val="24"/>
          <w:szCs w:val="24"/>
        </w:rPr>
        <w:t>jurysdykcje</w:t>
      </w:r>
      <w:r w:rsidRPr="00C96268">
        <w:rPr>
          <w:rFonts w:ascii="Times New Roman" w:hAnsi="Times New Roman" w:cs="Times New Roman"/>
          <w:bCs/>
          <w:sz w:val="24"/>
          <w:szCs w:val="24"/>
        </w:rPr>
        <w:t>, które wprowadziły alternatywę zasady opodatkowania.</w:t>
      </w:r>
    </w:p>
    <w:p w14:paraId="1D0CD6D6" w14:textId="77777777" w:rsidR="001D0627" w:rsidRPr="00C96268" w:rsidRDefault="001D0627" w:rsidP="001D0627">
      <w:pPr>
        <w:pStyle w:val="Nagwek5"/>
        <w:rPr>
          <w:rFonts w:ascii="Times New Roman" w:hAnsi="Times New Roman" w:cs="Times New Roman"/>
          <w:sz w:val="24"/>
          <w:szCs w:val="24"/>
        </w:rPr>
      </w:pPr>
      <w:r w:rsidRPr="00C96268">
        <w:rPr>
          <w:rFonts w:ascii="Times New Roman" w:hAnsi="Times New Roman" w:cs="Times New Roman"/>
          <w:sz w:val="24"/>
          <w:szCs w:val="24"/>
        </w:rPr>
        <w:t>Art. 67 [Korekta księgowego dochodu (straty) netto z tytułu  żeglugi międzynarodowej]</w:t>
      </w:r>
    </w:p>
    <w:p w14:paraId="109A82C6" w14:textId="0887208B" w:rsidR="001D0627" w:rsidRPr="00C96268" w:rsidRDefault="001D0627" w:rsidP="001D0627">
      <w:pPr>
        <w:jc w:val="both"/>
        <w:rPr>
          <w:rFonts w:ascii="Times New Roman" w:hAnsi="Times New Roman" w:cs="Times New Roman"/>
          <w:bCs/>
          <w:sz w:val="24"/>
          <w:szCs w:val="24"/>
        </w:rPr>
      </w:pPr>
      <w:r w:rsidRPr="00C96268">
        <w:rPr>
          <w:rFonts w:ascii="Times New Roman" w:hAnsi="Times New Roman" w:cs="Times New Roman"/>
          <w:b/>
          <w:bCs/>
          <w:sz w:val="24"/>
          <w:szCs w:val="24"/>
        </w:rPr>
        <w:t>Art. 67</w:t>
      </w:r>
      <w:r w:rsidRPr="00C96268">
        <w:rPr>
          <w:rFonts w:ascii="Times New Roman" w:hAnsi="Times New Roman" w:cs="Times New Roman"/>
          <w:bCs/>
          <w:sz w:val="24"/>
          <w:szCs w:val="24"/>
        </w:rPr>
        <w:t xml:space="preserve"> implementuje art. 17.2 – 17.6 Dyrektywy. W świetle </w:t>
      </w:r>
      <w:r w:rsidRPr="00C96268">
        <w:rPr>
          <w:rFonts w:ascii="Times New Roman" w:hAnsi="Times New Roman" w:cs="Times New Roman"/>
          <w:b/>
          <w:sz w:val="24"/>
          <w:szCs w:val="24"/>
        </w:rPr>
        <w:t>ust. 1</w:t>
      </w:r>
      <w:r w:rsidRPr="00C96268">
        <w:rPr>
          <w:rFonts w:ascii="Times New Roman" w:hAnsi="Times New Roman" w:cs="Times New Roman"/>
          <w:bCs/>
          <w:sz w:val="24"/>
          <w:szCs w:val="24"/>
        </w:rPr>
        <w:t xml:space="preserve">, dochody (straty) jednostek składowych w zakresie żeglugi międzynarodowej, jak również z działalności dodatkowej w zakresie żeglugi międzynarodowej, nie są uwzględniane przy obliczania kwalifikowanego dochodu (straty) tych jednostek. Przy czym wyłączenie to stosuje się pod warunkiem, że strategiczne lub handlowe zarządzanie wszystkimi statkami, które są wykorzystywane przez jednostki składowe w ramach wymienionych działalności, jest w sposób faktyczny wykonywane na terytorium </w:t>
      </w:r>
      <w:r w:rsidR="00EF17F2"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w:t>
      </w:r>
      <w:r w:rsidR="00EF17F2"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ustalona jest lokalizacja tych jednostek.</w:t>
      </w:r>
    </w:p>
    <w:p w14:paraId="12978DCB"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Postanowienia </w:t>
      </w:r>
      <w:r w:rsidRPr="00C96268">
        <w:rPr>
          <w:rFonts w:ascii="Times New Roman" w:hAnsi="Times New Roman" w:cs="Times New Roman"/>
          <w:b/>
          <w:sz w:val="24"/>
          <w:szCs w:val="24"/>
        </w:rPr>
        <w:t>ust. 2</w:t>
      </w:r>
      <w:r w:rsidRPr="00C96268">
        <w:rPr>
          <w:rFonts w:ascii="Times New Roman" w:hAnsi="Times New Roman" w:cs="Times New Roman"/>
          <w:bCs/>
          <w:sz w:val="24"/>
          <w:szCs w:val="24"/>
        </w:rPr>
        <w:t xml:space="preserve"> odnoszą się do metodologii przypisywania określonych kosztów jednostki składowej odpowiednio do części księgowego dochodu (straty), rozpoznanego jako dochód (strata) z działalności w zakresie żeglugi międzynarodowej oraz działalności dodatkowej w zakresie żeglugi międzynarodowej, w celu prawidłowego ustalenia dochodu (straty) netto z tytułu tych działalności. Koszty poniesione przez jednostkę składową w ramach wskazanych działalności dzieli się na bezpośrednie i pośrednie. Koszty poniesione bezpośrednio przypisuje się odpowiednio do działalności w zakresie żeglugi międzynarodowej lub działalności dodatkowej w zakresie żeglugi międzynarodowej. Natomiast koszty poniesione pośrednio muszą zostać przypisane do tych działalności proporcjonalnie do udziału przychodów odpowiednich działalności w całkowitych przychodach jednostki składowej.</w:t>
      </w:r>
    </w:p>
    <w:p w14:paraId="5B27707F"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Jako tzw. koszty bezpośrednie można przykładowo wskazać: </w:t>
      </w:r>
    </w:p>
    <w:p w14:paraId="1313AA7B" w14:textId="77777777" w:rsidR="001D0627" w:rsidRPr="00C96268" w:rsidRDefault="001D0627" w:rsidP="001D0627">
      <w:pPr>
        <w:pStyle w:val="Akapitzlist"/>
        <w:numPr>
          <w:ilvl w:val="3"/>
          <w:numId w:val="32"/>
        </w:numPr>
        <w:spacing w:after="60"/>
        <w:ind w:left="709" w:hanging="357"/>
        <w:contextualSpacing w:val="0"/>
        <w:jc w:val="both"/>
        <w:rPr>
          <w:rFonts w:ascii="Times New Roman" w:hAnsi="Times New Roman" w:cs="Times New Roman"/>
          <w:sz w:val="24"/>
          <w:szCs w:val="24"/>
        </w:rPr>
      </w:pPr>
      <w:r w:rsidRPr="00C96268">
        <w:rPr>
          <w:rFonts w:ascii="Times New Roman" w:hAnsi="Times New Roman" w:cs="Times New Roman"/>
          <w:bCs/>
          <w:sz w:val="24"/>
          <w:szCs w:val="24"/>
        </w:rPr>
        <w:t>k</w:t>
      </w:r>
      <w:r w:rsidRPr="00C96268">
        <w:rPr>
          <w:rFonts w:ascii="Times New Roman" w:hAnsi="Times New Roman" w:cs="Times New Roman"/>
          <w:sz w:val="24"/>
          <w:szCs w:val="24"/>
        </w:rPr>
        <w:t>oszty eksploatacji statku:</w:t>
      </w:r>
    </w:p>
    <w:p w14:paraId="747FEB33" w14:textId="77777777" w:rsidR="001D0627" w:rsidRPr="00C96268" w:rsidRDefault="001D0627" w:rsidP="001D0627">
      <w:pPr>
        <w:pStyle w:val="Akapitzlist"/>
        <w:numPr>
          <w:ilvl w:val="0"/>
          <w:numId w:val="33"/>
        </w:numPr>
        <w:spacing w:after="0"/>
        <w:ind w:left="1134"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koszty pracownicze (np. załoga i zarząd statku),</w:t>
      </w:r>
    </w:p>
    <w:p w14:paraId="6A6EFE68" w14:textId="77777777" w:rsidR="001D0627" w:rsidRPr="00C96268" w:rsidRDefault="001D0627" w:rsidP="001D0627">
      <w:pPr>
        <w:pStyle w:val="Akapitzlist"/>
        <w:numPr>
          <w:ilvl w:val="0"/>
          <w:numId w:val="33"/>
        </w:numPr>
        <w:spacing w:after="0"/>
        <w:ind w:left="1134"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koszty paliwa,</w:t>
      </w:r>
    </w:p>
    <w:p w14:paraId="3F22D7CA" w14:textId="77777777" w:rsidR="001D0627" w:rsidRPr="00C96268" w:rsidRDefault="001D0627" w:rsidP="001D0627">
      <w:pPr>
        <w:pStyle w:val="Akapitzlist"/>
        <w:numPr>
          <w:ilvl w:val="0"/>
          <w:numId w:val="33"/>
        </w:numPr>
        <w:spacing w:after="0"/>
        <w:ind w:left="1134"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konserwacji i modernizacji (</w:t>
      </w:r>
      <w:r w:rsidRPr="00C96268">
        <w:rPr>
          <w:rFonts w:ascii="Times New Roman" w:hAnsi="Times New Roman" w:cs="Times New Roman"/>
          <w:i/>
          <w:sz w:val="24"/>
          <w:szCs w:val="24"/>
        </w:rPr>
        <w:t>dry-docking</w:t>
      </w:r>
      <w:r w:rsidRPr="00C96268">
        <w:rPr>
          <w:rFonts w:ascii="Times New Roman" w:hAnsi="Times New Roman" w:cs="Times New Roman"/>
          <w:sz w:val="24"/>
          <w:szCs w:val="24"/>
        </w:rPr>
        <w:t>),</w:t>
      </w:r>
    </w:p>
    <w:p w14:paraId="36BD2B76" w14:textId="77777777" w:rsidR="001D0627" w:rsidRPr="00C96268" w:rsidRDefault="001D0627" w:rsidP="001D0627">
      <w:pPr>
        <w:pStyle w:val="Akapitzlist"/>
        <w:numPr>
          <w:ilvl w:val="0"/>
          <w:numId w:val="33"/>
        </w:numPr>
        <w:spacing w:after="120"/>
        <w:ind w:left="1134"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koszty terminalu, sztauowania i portu;</w:t>
      </w:r>
    </w:p>
    <w:p w14:paraId="123927DC" w14:textId="77777777" w:rsidR="001D0627" w:rsidRPr="00C96268" w:rsidRDefault="001D0627" w:rsidP="001D0627">
      <w:pPr>
        <w:pStyle w:val="Akapitzlist"/>
        <w:numPr>
          <w:ilvl w:val="3"/>
          <w:numId w:val="32"/>
        </w:numPr>
        <w:spacing w:after="120"/>
        <w:ind w:left="709"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koszty związane z użytkowaniem statku:</w:t>
      </w:r>
    </w:p>
    <w:p w14:paraId="35BADC2B" w14:textId="77777777" w:rsidR="001D0627" w:rsidRPr="00C96268" w:rsidRDefault="001D0627" w:rsidP="001D0627">
      <w:pPr>
        <w:pStyle w:val="Akapitzlist"/>
        <w:numPr>
          <w:ilvl w:val="0"/>
          <w:numId w:val="34"/>
        </w:numPr>
        <w:spacing w:after="0"/>
        <w:ind w:left="1134"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koszty amortyzacji statków i innych urządzeń morskich oraz infrastruktury,</w:t>
      </w:r>
    </w:p>
    <w:p w14:paraId="5C9D2EC4" w14:textId="77777777" w:rsidR="001D0627" w:rsidRPr="00C96268" w:rsidRDefault="001D0627" w:rsidP="001D0627">
      <w:pPr>
        <w:pStyle w:val="Akapitzlist"/>
        <w:numPr>
          <w:ilvl w:val="0"/>
          <w:numId w:val="34"/>
        </w:numPr>
        <w:spacing w:after="0"/>
        <w:ind w:left="1134"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koszty czarteru statków,</w:t>
      </w:r>
    </w:p>
    <w:p w14:paraId="15180A8B" w14:textId="77777777" w:rsidR="001D0627" w:rsidRPr="00C96268" w:rsidRDefault="001D0627" w:rsidP="001D0627">
      <w:pPr>
        <w:pStyle w:val="Akapitzlist"/>
        <w:numPr>
          <w:ilvl w:val="0"/>
          <w:numId w:val="34"/>
        </w:numPr>
        <w:spacing w:after="120"/>
        <w:ind w:left="1134" w:hanging="357"/>
        <w:contextualSpacing w:val="0"/>
        <w:jc w:val="both"/>
        <w:rPr>
          <w:rFonts w:ascii="Times New Roman" w:hAnsi="Times New Roman" w:cs="Times New Roman"/>
          <w:sz w:val="24"/>
          <w:szCs w:val="24"/>
        </w:rPr>
      </w:pPr>
      <w:r w:rsidRPr="00C96268">
        <w:rPr>
          <w:rFonts w:ascii="Times New Roman" w:hAnsi="Times New Roman" w:cs="Times New Roman"/>
          <w:sz w:val="24"/>
          <w:szCs w:val="24"/>
        </w:rPr>
        <w:t>leasingu kontenerów morskich, czy przeładunku towarów.</w:t>
      </w:r>
    </w:p>
    <w:p w14:paraId="56593B34"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Powyższa lista kosztów ma jednak charakter jedynie przykładowy i nie możne stanowić zamkniętego katalogu kosztów uznawanych za koszty bezpośrednie. Wyszczególnienie to może być jednak pomocne przy takiej ocenie.</w:t>
      </w:r>
    </w:p>
    <w:p w14:paraId="38412962"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Stosownie do postanowień </w:t>
      </w:r>
      <w:r w:rsidRPr="00C96268">
        <w:rPr>
          <w:rFonts w:ascii="Times New Roman" w:hAnsi="Times New Roman" w:cs="Times New Roman"/>
          <w:b/>
          <w:bCs/>
          <w:sz w:val="24"/>
          <w:szCs w:val="24"/>
        </w:rPr>
        <w:t>ust. 3</w:t>
      </w:r>
      <w:r w:rsidRPr="00C96268">
        <w:rPr>
          <w:rFonts w:ascii="Times New Roman" w:hAnsi="Times New Roman" w:cs="Times New Roman"/>
          <w:bCs/>
          <w:sz w:val="24"/>
          <w:szCs w:val="24"/>
        </w:rPr>
        <w:t>, przez zarządzanie strategiczne należy rozumieć podejmowanie decyzji w obszarze:</w:t>
      </w:r>
    </w:p>
    <w:p w14:paraId="36DD793B" w14:textId="77777777" w:rsidR="001D0627" w:rsidRPr="00C96268" w:rsidRDefault="001D0627" w:rsidP="001D0627">
      <w:pPr>
        <w:numPr>
          <w:ilvl w:val="0"/>
          <w:numId w:val="29"/>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znaczących wydatków kapitałowych i zbywania aktywów;</w:t>
      </w:r>
    </w:p>
    <w:p w14:paraId="6980A419" w14:textId="77777777" w:rsidR="001D0627" w:rsidRPr="00C96268" w:rsidRDefault="001D0627" w:rsidP="001D0627">
      <w:pPr>
        <w:numPr>
          <w:ilvl w:val="0"/>
          <w:numId w:val="29"/>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znaczących zamówień;</w:t>
      </w:r>
    </w:p>
    <w:p w14:paraId="072440DB" w14:textId="77777777" w:rsidR="001D0627" w:rsidRPr="00C96268" w:rsidRDefault="001D0627" w:rsidP="001D0627">
      <w:pPr>
        <w:numPr>
          <w:ilvl w:val="0"/>
          <w:numId w:val="29"/>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umów o strategicznych sojuszach i wspólnych przedsięwzięciach dot. korzystania ze statków;</w:t>
      </w:r>
    </w:p>
    <w:p w14:paraId="14D8C902" w14:textId="77777777" w:rsidR="001D0627" w:rsidRPr="00C96268" w:rsidRDefault="001D0627" w:rsidP="001D0627">
      <w:pPr>
        <w:numPr>
          <w:ilvl w:val="0"/>
          <w:numId w:val="29"/>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kierowania zagranicznymi placówkami.</w:t>
      </w:r>
    </w:p>
    <w:p w14:paraId="5BA41516"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Przy czym, jak wskazano w </w:t>
      </w:r>
      <w:r w:rsidRPr="00C96268">
        <w:rPr>
          <w:rFonts w:ascii="Times New Roman" w:hAnsi="Times New Roman" w:cs="Times New Roman"/>
          <w:b/>
          <w:sz w:val="24"/>
          <w:szCs w:val="24"/>
        </w:rPr>
        <w:t>ust. 4</w:t>
      </w:r>
      <w:r w:rsidRPr="00C96268">
        <w:rPr>
          <w:rFonts w:ascii="Times New Roman" w:hAnsi="Times New Roman" w:cs="Times New Roman"/>
          <w:bCs/>
          <w:sz w:val="24"/>
          <w:szCs w:val="24"/>
        </w:rPr>
        <w:t>, w celu prawidłowego określenia, czy mamy do czynienia z zarządzaniem strategicznym uwzględnia się m.in.:</w:t>
      </w:r>
    </w:p>
    <w:p w14:paraId="40C9D225" w14:textId="77777777" w:rsidR="001D0627" w:rsidRPr="00C96268" w:rsidRDefault="001D0627" w:rsidP="001D0627">
      <w:pPr>
        <w:pStyle w:val="Akapitzlist"/>
        <w:numPr>
          <w:ilvl w:val="3"/>
          <w:numId w:val="30"/>
        </w:numPr>
        <w:spacing w:after="120"/>
        <w:ind w:left="709"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lokalizację osób podejmujących decyzje, w tym kadry kierowniczej wyższego szczebla;</w:t>
      </w:r>
    </w:p>
    <w:p w14:paraId="198FB786" w14:textId="77777777" w:rsidR="001D0627" w:rsidRPr="00C96268" w:rsidRDefault="001D0627" w:rsidP="001D0627">
      <w:pPr>
        <w:pStyle w:val="Akapitzlist"/>
        <w:numPr>
          <w:ilvl w:val="3"/>
          <w:numId w:val="30"/>
        </w:numPr>
        <w:spacing w:after="120"/>
        <w:ind w:left="709"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lokalizację posiedzeń zarządu spółki;</w:t>
      </w:r>
    </w:p>
    <w:p w14:paraId="3980609A" w14:textId="77777777" w:rsidR="001D0627" w:rsidRPr="00C96268" w:rsidRDefault="001D0627" w:rsidP="001D0627">
      <w:pPr>
        <w:pStyle w:val="Akapitzlist"/>
        <w:numPr>
          <w:ilvl w:val="3"/>
          <w:numId w:val="30"/>
        </w:numPr>
        <w:spacing w:after="120"/>
        <w:ind w:left="709"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kraj faktycznego zamieszkania dyrektorów i kluczowych pracowników.</w:t>
      </w:r>
    </w:p>
    <w:p w14:paraId="0D06D462"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Są to przykładowe czynniki świadczące o zarządzaniu strategicznym, ale prawidłowe ustalenie tego faktu musi odbywać się w oparciu o właściwe okoliczności z uwzględnieniem wszystkich istotnych czynników mających na to wpływ. </w:t>
      </w:r>
    </w:p>
    <w:p w14:paraId="5A0E5E4F"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w:t>
      </w:r>
      <w:r w:rsidRPr="00C96268">
        <w:rPr>
          <w:rFonts w:ascii="Times New Roman" w:hAnsi="Times New Roman" w:cs="Times New Roman"/>
          <w:b/>
          <w:bCs/>
          <w:sz w:val="24"/>
          <w:szCs w:val="24"/>
        </w:rPr>
        <w:t>ust. 5</w:t>
      </w:r>
      <w:r w:rsidRPr="00C96268">
        <w:rPr>
          <w:rFonts w:ascii="Times New Roman" w:hAnsi="Times New Roman" w:cs="Times New Roman"/>
          <w:bCs/>
          <w:sz w:val="24"/>
          <w:szCs w:val="24"/>
        </w:rPr>
        <w:t xml:space="preserve"> określone zostały zasady dotyczące zarządzania handlowego. Zgodnie z tym przepisem, zarządzanie handlowe statkami, wykorzystywanymi przez jednostki składowe w ramach prowadzonej działalności w zakresie żeglugi międzynarodowej oraz działalności dodatkowej w zakresie żeglugi międzynarodowej, należy rozumieć jako decyzje dot.:</w:t>
      </w:r>
    </w:p>
    <w:p w14:paraId="7444EB11" w14:textId="77777777" w:rsidR="001D0627" w:rsidRPr="00C96268" w:rsidRDefault="001D0627" w:rsidP="001D0627">
      <w:pPr>
        <w:numPr>
          <w:ilvl w:val="0"/>
          <w:numId w:val="31"/>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planowania tras, przyjmowania rezerwacji na ładunku lub pasażerów;</w:t>
      </w:r>
    </w:p>
    <w:p w14:paraId="12FADA5F" w14:textId="77777777" w:rsidR="001D0627" w:rsidRPr="00C96268" w:rsidRDefault="001D0627" w:rsidP="001D0627">
      <w:pPr>
        <w:numPr>
          <w:ilvl w:val="0"/>
          <w:numId w:val="31"/>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ubezpieczenia;</w:t>
      </w:r>
    </w:p>
    <w:p w14:paraId="3C983745" w14:textId="77777777" w:rsidR="001D0627" w:rsidRPr="00C96268" w:rsidRDefault="001D0627" w:rsidP="001D0627">
      <w:pPr>
        <w:numPr>
          <w:ilvl w:val="0"/>
          <w:numId w:val="31"/>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zarządzania finansami oraz personelem;</w:t>
      </w:r>
    </w:p>
    <w:p w14:paraId="368D13DB" w14:textId="77777777" w:rsidR="001D0627" w:rsidRPr="00C96268" w:rsidRDefault="001D0627" w:rsidP="001D0627">
      <w:pPr>
        <w:numPr>
          <w:ilvl w:val="0"/>
          <w:numId w:val="31"/>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zaopatrzenia;</w:t>
      </w:r>
    </w:p>
    <w:p w14:paraId="5D3F7E77" w14:textId="77777777" w:rsidR="001D0627" w:rsidRPr="00C96268" w:rsidRDefault="001D0627" w:rsidP="001D0627">
      <w:pPr>
        <w:numPr>
          <w:ilvl w:val="0"/>
          <w:numId w:val="31"/>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szkolenia.</w:t>
      </w:r>
    </w:p>
    <w:p w14:paraId="67E38720"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Ponadto, </w:t>
      </w:r>
      <w:r w:rsidRPr="00C96268">
        <w:rPr>
          <w:rFonts w:ascii="Times New Roman" w:hAnsi="Times New Roman" w:cs="Times New Roman"/>
          <w:b/>
          <w:sz w:val="24"/>
          <w:szCs w:val="24"/>
        </w:rPr>
        <w:t>ust. 6</w:t>
      </w:r>
      <w:r w:rsidRPr="00C96268">
        <w:rPr>
          <w:rFonts w:ascii="Times New Roman" w:hAnsi="Times New Roman" w:cs="Times New Roman"/>
          <w:bCs/>
          <w:sz w:val="24"/>
          <w:szCs w:val="24"/>
        </w:rPr>
        <w:t xml:space="preserve"> wprowadza katalog kryteriów, na które należy zwrócić szczególną uwagę przy ocenie wystąpienia faktycznego zarządzania handlowego. Za kluczowe czynniki wpływające na występowanie zarządzania handlowego uznaje się:</w:t>
      </w:r>
    </w:p>
    <w:p w14:paraId="1EC3C60C" w14:textId="436D60C9" w:rsidR="001D0627" w:rsidRPr="00C96268" w:rsidRDefault="001D0627" w:rsidP="002C7467">
      <w:pPr>
        <w:numPr>
          <w:ilvl w:val="0"/>
          <w:numId w:val="76"/>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liczbę pracowników zaangażowanych w </w:t>
      </w:r>
      <w:r w:rsidR="00EF17F2" w:rsidRPr="00C96268">
        <w:rPr>
          <w:rFonts w:ascii="Times New Roman" w:hAnsi="Times New Roman" w:cs="Times New Roman"/>
          <w:bCs/>
          <w:sz w:val="24"/>
          <w:szCs w:val="24"/>
        </w:rPr>
        <w:t xml:space="preserve">danej </w:t>
      </w:r>
      <w:r w:rsidR="00EF17F2" w:rsidRPr="00C96268">
        <w:rPr>
          <w:rFonts w:ascii="Times New Roman" w:hAnsi="Times New Roman" w:cs="Times New Roman"/>
          <w:sz w:val="24"/>
          <w:szCs w:val="24"/>
        </w:rPr>
        <w:t>jurysdykcji</w:t>
      </w:r>
      <w:r w:rsidR="00EF17F2" w:rsidRPr="00C96268" w:rsidDel="00EF17F2">
        <w:rPr>
          <w:rFonts w:ascii="Times New Roman" w:hAnsi="Times New Roman" w:cs="Times New Roman"/>
          <w:bCs/>
          <w:sz w:val="24"/>
          <w:szCs w:val="24"/>
        </w:rPr>
        <w:t xml:space="preserve"> </w:t>
      </w:r>
      <w:r w:rsidRPr="00C96268">
        <w:rPr>
          <w:rFonts w:ascii="Times New Roman" w:hAnsi="Times New Roman" w:cs="Times New Roman"/>
          <w:bCs/>
          <w:sz w:val="24"/>
          <w:szCs w:val="24"/>
        </w:rPr>
        <w:t>w działania wymienione powyżej;</w:t>
      </w:r>
    </w:p>
    <w:p w14:paraId="579171A8" w14:textId="2D2BECA5" w:rsidR="001D0627" w:rsidRPr="00C96268" w:rsidRDefault="001D0627" w:rsidP="002C7467">
      <w:pPr>
        <w:numPr>
          <w:ilvl w:val="0"/>
          <w:numId w:val="76"/>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charakter i zakres zakwaterowania pracowników, o których mowa w pkt 1, w </w:t>
      </w:r>
      <w:r w:rsidR="00EF17F2" w:rsidRPr="00C96268">
        <w:rPr>
          <w:rFonts w:ascii="Times New Roman" w:hAnsi="Times New Roman" w:cs="Times New Roman"/>
          <w:bCs/>
          <w:sz w:val="24"/>
          <w:szCs w:val="24"/>
        </w:rPr>
        <w:t xml:space="preserve">danej </w:t>
      </w:r>
      <w:r w:rsidR="00EF17F2" w:rsidRPr="00C96268">
        <w:rPr>
          <w:rFonts w:ascii="Times New Roman" w:hAnsi="Times New Roman" w:cs="Times New Roman"/>
          <w:sz w:val="24"/>
          <w:szCs w:val="24"/>
        </w:rPr>
        <w:t>jurysdykcji</w:t>
      </w:r>
      <w:r w:rsidRPr="00C96268">
        <w:rPr>
          <w:rFonts w:ascii="Times New Roman" w:hAnsi="Times New Roman" w:cs="Times New Roman"/>
          <w:bCs/>
          <w:sz w:val="24"/>
          <w:szCs w:val="24"/>
        </w:rPr>
        <w:t>;</w:t>
      </w:r>
    </w:p>
    <w:p w14:paraId="01C215D3" w14:textId="77777777" w:rsidR="001D0627" w:rsidRPr="00C96268" w:rsidRDefault="001D0627" w:rsidP="002C7467">
      <w:pPr>
        <w:numPr>
          <w:ilvl w:val="0"/>
          <w:numId w:val="76"/>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kraj faktycznego zamieszkania kluczowego personelu zarządzającego, w tym dyrektorów.</w:t>
      </w:r>
    </w:p>
    <w:p w14:paraId="0DCBE053"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Należy zwrócić uwagę, że katalog ten ma charakter otwarty. Podobnie jak w przypadku zarządzania strategicznego, prawidłowe ustalenie tego faktu musi odbywać się w oparciu o właściwe okoliczności z uwzględnieniem wszystkich istotnych czynników mających na to wpływ.</w:t>
      </w:r>
    </w:p>
    <w:p w14:paraId="61698B1F" w14:textId="156CA12A" w:rsidR="001D0627" w:rsidRPr="00C96268" w:rsidRDefault="000B73BC"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Wskazać </w:t>
      </w:r>
      <w:r w:rsidR="001D0627" w:rsidRPr="00C96268">
        <w:rPr>
          <w:rFonts w:ascii="Times New Roman" w:hAnsi="Times New Roman" w:cs="Times New Roman"/>
          <w:bCs/>
          <w:sz w:val="24"/>
          <w:szCs w:val="24"/>
        </w:rPr>
        <w:t xml:space="preserve">należy, że to, iż statek pływa pod banderą </w:t>
      </w:r>
      <w:r w:rsidRPr="00C96268">
        <w:rPr>
          <w:rFonts w:ascii="Times New Roman" w:hAnsi="Times New Roman" w:cs="Times New Roman"/>
          <w:bCs/>
          <w:sz w:val="24"/>
          <w:szCs w:val="24"/>
        </w:rPr>
        <w:t xml:space="preserve">danej </w:t>
      </w:r>
      <w:r w:rsidRPr="00C96268">
        <w:rPr>
          <w:rFonts w:ascii="Times New Roman" w:hAnsi="Times New Roman" w:cs="Times New Roman"/>
          <w:sz w:val="24"/>
          <w:szCs w:val="24"/>
        </w:rPr>
        <w:t>jurysdykcji</w:t>
      </w:r>
      <w:r w:rsidRPr="00C96268" w:rsidDel="000B73BC">
        <w:rPr>
          <w:rFonts w:ascii="Times New Roman" w:hAnsi="Times New Roman" w:cs="Times New Roman"/>
          <w:bCs/>
          <w:sz w:val="24"/>
          <w:szCs w:val="24"/>
        </w:rPr>
        <w:t xml:space="preserve"> </w:t>
      </w:r>
      <w:r w:rsidR="001D0627" w:rsidRPr="00C96268">
        <w:rPr>
          <w:rFonts w:ascii="Times New Roman" w:hAnsi="Times New Roman" w:cs="Times New Roman"/>
          <w:bCs/>
          <w:sz w:val="24"/>
          <w:szCs w:val="24"/>
        </w:rPr>
        <w:t xml:space="preserve">nie jest decydującym czynnikiem przy określaniu, czy zarządzanie strategiczne lub handlowe jest skutecznie prowadzone z obszaru </w:t>
      </w:r>
      <w:r w:rsidRPr="00C96268">
        <w:rPr>
          <w:rFonts w:ascii="Times New Roman" w:hAnsi="Times New Roman" w:cs="Times New Roman"/>
          <w:bCs/>
          <w:sz w:val="24"/>
          <w:szCs w:val="24"/>
        </w:rPr>
        <w:t xml:space="preserve">tej </w:t>
      </w:r>
      <w:r w:rsidRPr="00C96268">
        <w:rPr>
          <w:rFonts w:ascii="Times New Roman" w:hAnsi="Times New Roman" w:cs="Times New Roman"/>
          <w:sz w:val="24"/>
          <w:szCs w:val="24"/>
        </w:rPr>
        <w:t>jurysdykcji</w:t>
      </w:r>
      <w:r w:rsidR="001D0627" w:rsidRPr="00C96268">
        <w:rPr>
          <w:rFonts w:ascii="Times New Roman" w:hAnsi="Times New Roman" w:cs="Times New Roman"/>
          <w:bCs/>
          <w:sz w:val="24"/>
          <w:szCs w:val="24"/>
        </w:rPr>
        <w:t xml:space="preserve">. Jednak wymagania narzucone przez </w:t>
      </w:r>
      <w:r w:rsidRPr="00C96268">
        <w:rPr>
          <w:rFonts w:ascii="Times New Roman" w:hAnsi="Times New Roman" w:cs="Times New Roman"/>
          <w:sz w:val="24"/>
          <w:szCs w:val="24"/>
        </w:rPr>
        <w:t>jurysdykcję</w:t>
      </w:r>
      <w:r w:rsidRPr="00C96268" w:rsidDel="000B73BC">
        <w:rPr>
          <w:rFonts w:ascii="Times New Roman" w:hAnsi="Times New Roman" w:cs="Times New Roman"/>
          <w:bCs/>
          <w:sz w:val="24"/>
          <w:szCs w:val="24"/>
        </w:rPr>
        <w:t xml:space="preserve"> </w:t>
      </w:r>
      <w:r w:rsidR="001D0627" w:rsidRPr="00C96268">
        <w:rPr>
          <w:rFonts w:ascii="Times New Roman" w:hAnsi="Times New Roman" w:cs="Times New Roman"/>
          <w:bCs/>
          <w:sz w:val="24"/>
          <w:szCs w:val="24"/>
        </w:rPr>
        <w:t>bandery mogą być istotne dla takiego określenia.</w:t>
      </w:r>
    </w:p>
    <w:p w14:paraId="290B133B" w14:textId="172C4422" w:rsidR="001D0627" w:rsidRPr="00C96268" w:rsidRDefault="001D0627" w:rsidP="001D0627">
      <w:pPr>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ramach niektórych systemów prawnych wymóg zarządzania jest często bowiem stosowany w połączeniu z banderą, co oznacza, że statki i ich właściciele muszą przestrzegać warunków rejestru okrętowego </w:t>
      </w:r>
      <w:r w:rsidR="000B73BC" w:rsidRPr="00C96268">
        <w:rPr>
          <w:rFonts w:ascii="Times New Roman" w:hAnsi="Times New Roman" w:cs="Times New Roman"/>
          <w:bCs/>
          <w:sz w:val="24"/>
          <w:szCs w:val="24"/>
        </w:rPr>
        <w:t>jurysdykcji</w:t>
      </w:r>
      <w:r w:rsidR="000B73BC" w:rsidRPr="00C96268" w:rsidDel="000B73BC">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bandery. </w:t>
      </w:r>
      <w:r w:rsidR="000B73BC" w:rsidRPr="00C96268">
        <w:rPr>
          <w:rFonts w:ascii="Times New Roman" w:hAnsi="Times New Roman" w:cs="Times New Roman"/>
          <w:sz w:val="24"/>
          <w:szCs w:val="24"/>
        </w:rPr>
        <w:t xml:space="preserve">Jurysdykcja </w:t>
      </w:r>
      <w:r w:rsidRPr="00C96268">
        <w:rPr>
          <w:rFonts w:ascii="Times New Roman" w:hAnsi="Times New Roman" w:cs="Times New Roman"/>
          <w:bCs/>
          <w:sz w:val="24"/>
          <w:szCs w:val="24"/>
        </w:rPr>
        <w:t xml:space="preserve">bandery jest wówczas odpowiedzialne za to, aby statki pływające pod jej banderą przestrzegały ratyfikowanych przez nią międzynarodowych konwencji Międzynarodowej Organizacji Morskiej i Międzynarodowej Organizacji Pracy, dotyczących m.in. bezpieczeństwa na morzu, zanieczyszczeń i innych czynników wpływających na środowisko, a także warunków pracy. W zależności od tych wymagań związek z banderą może nakładać na jednostkę składową konkretne obowiązki, aby zapewnić, że statki pływające pod banderą przestrzegają tych wymagań. Jeśli te obowiązki są nałożone na jednostkę składową i zarządzane przez tę jednostkę, może to spowodować, że ta jednostka składowa będzie miała wystarczający poziom zarządzania strategicznego, które jest skutecznie prowadzone z obszaru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w:t>
      </w:r>
      <w:r w:rsidR="000B73BC"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 xml:space="preserve">ta jednostka jest </w:t>
      </w:r>
      <w:r w:rsidRPr="00C96268">
        <w:rPr>
          <w:rFonts w:ascii="Times New Roman" w:hAnsi="Times New Roman" w:cs="Times New Roman"/>
          <w:sz w:val="24"/>
          <w:szCs w:val="24"/>
        </w:rPr>
        <w:t>zlokalizowana</w:t>
      </w:r>
      <w:r w:rsidRPr="00C96268">
        <w:rPr>
          <w:rFonts w:ascii="Times New Roman" w:hAnsi="Times New Roman" w:cs="Times New Roman"/>
          <w:bCs/>
          <w:sz w:val="24"/>
          <w:szCs w:val="24"/>
        </w:rPr>
        <w:t>.</w:t>
      </w:r>
    </w:p>
    <w:p w14:paraId="28ED98A6" w14:textId="31223508" w:rsidR="001D0627" w:rsidRPr="00C96268" w:rsidRDefault="001D0627" w:rsidP="001D0627">
      <w:pPr>
        <w:jc w:val="both"/>
        <w:rPr>
          <w:rFonts w:ascii="Times New Roman" w:hAnsi="Times New Roman" w:cs="Times New Roman"/>
          <w:bCs/>
          <w:sz w:val="24"/>
          <w:szCs w:val="24"/>
        </w:rPr>
      </w:pPr>
      <w:r w:rsidRPr="00C96268">
        <w:rPr>
          <w:rFonts w:ascii="Times New Roman" w:hAnsi="Times New Roman" w:cs="Times New Roman"/>
          <w:bCs/>
          <w:sz w:val="24"/>
          <w:szCs w:val="24"/>
        </w:rPr>
        <w:t xml:space="preserve">Zgodnie z </w:t>
      </w:r>
      <w:r w:rsidRPr="00C96268">
        <w:rPr>
          <w:rFonts w:ascii="Times New Roman" w:hAnsi="Times New Roman" w:cs="Times New Roman"/>
          <w:b/>
          <w:sz w:val="24"/>
          <w:szCs w:val="24"/>
        </w:rPr>
        <w:t>ust. 7</w:t>
      </w:r>
      <w:r w:rsidRPr="00C96268">
        <w:rPr>
          <w:rFonts w:ascii="Times New Roman" w:hAnsi="Times New Roman" w:cs="Times New Roman"/>
          <w:bCs/>
          <w:sz w:val="24"/>
          <w:szCs w:val="24"/>
        </w:rPr>
        <w:t xml:space="preserve">, ciężar dowodu, że zarządzanie strategiczne lub zarządzanie handlowe wszystkimi statkami jest faktycznie prowadzone w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w:t>
      </w:r>
      <w:r w:rsidR="000B73BC"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jednostka składowa jest zlokalizowana, spoczywa na tej jednostce.</w:t>
      </w:r>
    </w:p>
    <w:p w14:paraId="3E05E675" w14:textId="77777777" w:rsidR="001D0627" w:rsidRPr="00C96268" w:rsidRDefault="001D0627" w:rsidP="001D0627">
      <w:pPr>
        <w:pStyle w:val="Nagwek5"/>
        <w:rPr>
          <w:rFonts w:ascii="Times New Roman" w:hAnsi="Times New Roman" w:cs="Times New Roman"/>
          <w:sz w:val="24"/>
          <w:szCs w:val="24"/>
        </w:rPr>
      </w:pPr>
      <w:r w:rsidRPr="00C96268">
        <w:rPr>
          <w:rFonts w:ascii="Times New Roman" w:hAnsi="Times New Roman" w:cs="Times New Roman"/>
          <w:sz w:val="24"/>
          <w:szCs w:val="24"/>
        </w:rPr>
        <w:t>Art. 68 [Nadwyżka dochodów z działalności dodatkowej w zakresie żeglugi międzynarodowej]</w:t>
      </w:r>
    </w:p>
    <w:p w14:paraId="0366DB4B" w14:textId="43E7400F"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w:t>
      </w:r>
      <w:r w:rsidRPr="00C96268">
        <w:rPr>
          <w:rFonts w:ascii="Times New Roman" w:hAnsi="Times New Roman" w:cs="Times New Roman"/>
          <w:b/>
          <w:bCs/>
          <w:sz w:val="24"/>
          <w:szCs w:val="24"/>
        </w:rPr>
        <w:t>art. 68</w:t>
      </w:r>
      <w:r w:rsidRPr="00C96268">
        <w:rPr>
          <w:rFonts w:ascii="Times New Roman" w:hAnsi="Times New Roman" w:cs="Times New Roman"/>
          <w:bCs/>
          <w:sz w:val="24"/>
          <w:szCs w:val="24"/>
        </w:rPr>
        <w:t xml:space="preserve"> określone zostały zasady dotyczące podziału i ewentualnego włączenia do opodatkowania uzyskiwanych przez jednostkę składową dochodów nie tylko z działalności w zakresie żeglugi międzynarodowej, ale również dochodów z działalności dodatkowej, które przekraczają 50% sumy dochodów z tej pierwszej działalności W takim przypadku kwota nadwyżki dochodów z działalności dodatkowej w zakresie żeglugi międzynarodowej ponad wskazaną wyżej wartość 50% sumy dochodów powinna zostać uwzględniona przy obliczaniu kwalifikowanego dochodu (straty) takich jednostek w sposób proporcjonalny do udziału dochodu z działalności dodatkowej w zakresie żeglugi międzynarodowej jednostki składowej w całkowitym dochodzie z takiej działalności wszystkich jednostek składowych, </w:t>
      </w:r>
      <w:r w:rsidRPr="00C96268">
        <w:rPr>
          <w:rFonts w:ascii="Times New Roman" w:hAnsi="Times New Roman" w:cs="Times New Roman"/>
          <w:sz w:val="24"/>
          <w:szCs w:val="24"/>
        </w:rPr>
        <w:t xml:space="preserve">zlokalizowanych </w:t>
      </w:r>
      <w:r w:rsidRPr="00C96268">
        <w:rPr>
          <w:rFonts w:ascii="Times New Roman" w:hAnsi="Times New Roman" w:cs="Times New Roman"/>
          <w:bCs/>
          <w:sz w:val="24"/>
          <w:szCs w:val="24"/>
        </w:rPr>
        <w:t xml:space="preserve">w </w:t>
      </w:r>
      <w:r w:rsidR="000B73BC" w:rsidRPr="00C96268">
        <w:rPr>
          <w:rFonts w:ascii="Times New Roman" w:hAnsi="Times New Roman" w:cs="Times New Roman"/>
          <w:bCs/>
          <w:sz w:val="24"/>
          <w:szCs w:val="24"/>
        </w:rPr>
        <w:t xml:space="preserve">tej samej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rPr>
        <w:t>.</w:t>
      </w:r>
    </w:p>
    <w:p w14:paraId="1BF775FC"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Uzasadnieniem dla takiego rozwiązania jest to, że działalność poboczna powinna kwalifikować się do wyłączenia tylko wtedy, gdy stanowi niezbędne wsparcie dla podstawowej działalności międzynarodowej żeglugi morskiej.</w:t>
      </w:r>
    </w:p>
    <w:p w14:paraId="7F75FEB0"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Jednocześnie w </w:t>
      </w:r>
      <w:r w:rsidRPr="00C96268">
        <w:rPr>
          <w:rFonts w:ascii="Times New Roman" w:hAnsi="Times New Roman" w:cs="Times New Roman"/>
          <w:b/>
          <w:bCs/>
          <w:sz w:val="24"/>
          <w:szCs w:val="24"/>
        </w:rPr>
        <w:t>ust. 2</w:t>
      </w:r>
      <w:r w:rsidRPr="00C96268">
        <w:rPr>
          <w:rFonts w:ascii="Times New Roman" w:hAnsi="Times New Roman" w:cs="Times New Roman"/>
          <w:bCs/>
          <w:sz w:val="24"/>
          <w:szCs w:val="24"/>
        </w:rPr>
        <w:t xml:space="preserve"> wskazano, iż dla celów obliczenia nadwyżki, uwzględnieniu nie podlegają straty jednostek składowych z:</w:t>
      </w:r>
    </w:p>
    <w:p w14:paraId="6CB8A457" w14:textId="77777777" w:rsidR="001D0627" w:rsidRPr="00C96268" w:rsidRDefault="001D0627" w:rsidP="002C7467">
      <w:pPr>
        <w:numPr>
          <w:ilvl w:val="0"/>
          <w:numId w:val="77"/>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działalności dodatkowej w zakresie żeglugi międzynarodowej;</w:t>
      </w:r>
    </w:p>
    <w:p w14:paraId="028587EF" w14:textId="77777777" w:rsidR="001D0627" w:rsidRPr="00C96268" w:rsidRDefault="001D0627" w:rsidP="002C7467">
      <w:pPr>
        <w:numPr>
          <w:ilvl w:val="0"/>
          <w:numId w:val="77"/>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działalności w zakresie żeglugi międzynarodowej.</w:t>
      </w:r>
    </w:p>
    <w:p w14:paraId="57BC85B5" w14:textId="77777777" w:rsidR="001D0627" w:rsidRPr="00C96268" w:rsidRDefault="001D0627" w:rsidP="001D0627">
      <w:pPr>
        <w:pStyle w:val="Nagwek5"/>
        <w:rPr>
          <w:rFonts w:ascii="Times New Roman" w:hAnsi="Times New Roman" w:cs="Times New Roman"/>
          <w:sz w:val="24"/>
          <w:szCs w:val="24"/>
        </w:rPr>
      </w:pPr>
      <w:r w:rsidRPr="00C96268">
        <w:rPr>
          <w:rFonts w:ascii="Times New Roman" w:hAnsi="Times New Roman" w:cs="Times New Roman"/>
          <w:sz w:val="24"/>
          <w:szCs w:val="24"/>
        </w:rPr>
        <w:t>Art. 69 [Dochody (straty) jednostek składowych w zakresie żeglugi międzynarodowej]</w:t>
      </w:r>
    </w:p>
    <w:p w14:paraId="76625F33"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w:t>
      </w:r>
      <w:r w:rsidRPr="00C96268">
        <w:rPr>
          <w:rFonts w:ascii="Times New Roman" w:hAnsi="Times New Roman" w:cs="Times New Roman"/>
          <w:b/>
          <w:sz w:val="24"/>
          <w:szCs w:val="24"/>
        </w:rPr>
        <w:t>art.</w:t>
      </w:r>
      <w:r w:rsidRPr="00C96268">
        <w:rPr>
          <w:rFonts w:ascii="Times New Roman" w:hAnsi="Times New Roman" w:cs="Times New Roman"/>
          <w:bCs/>
          <w:sz w:val="24"/>
          <w:szCs w:val="24"/>
        </w:rPr>
        <w:t xml:space="preserve"> </w:t>
      </w:r>
      <w:r w:rsidRPr="00C96268">
        <w:rPr>
          <w:rFonts w:ascii="Times New Roman" w:hAnsi="Times New Roman" w:cs="Times New Roman"/>
          <w:b/>
          <w:bCs/>
          <w:sz w:val="24"/>
          <w:szCs w:val="24"/>
        </w:rPr>
        <w:t xml:space="preserve">69 </w:t>
      </w:r>
      <w:r w:rsidRPr="00C96268">
        <w:rPr>
          <w:rFonts w:ascii="Times New Roman" w:hAnsi="Times New Roman" w:cs="Times New Roman"/>
          <w:bCs/>
          <w:sz w:val="24"/>
          <w:szCs w:val="24"/>
        </w:rPr>
        <w:t xml:space="preserve">projektu, implementującym art. 17.1 lit. a i b Dyrektywy. W </w:t>
      </w:r>
      <w:r w:rsidRPr="00C96268">
        <w:rPr>
          <w:rFonts w:ascii="Times New Roman" w:hAnsi="Times New Roman" w:cs="Times New Roman"/>
          <w:b/>
          <w:sz w:val="24"/>
          <w:szCs w:val="24"/>
        </w:rPr>
        <w:t xml:space="preserve">ust. 1 </w:t>
      </w:r>
      <w:r w:rsidRPr="00C96268">
        <w:rPr>
          <w:rFonts w:ascii="Times New Roman" w:hAnsi="Times New Roman" w:cs="Times New Roman"/>
          <w:bCs/>
          <w:sz w:val="24"/>
          <w:szCs w:val="24"/>
        </w:rPr>
        <w:t>zawarty został katalog źródeł dochodów (strat) uzyskiwanych przez jednostkę składową, z tytułu których takich dochód (strata) jest kwalifikowany do działalności w zakresie żeglugi międzynarodowej. Katalog ten ma charakter zamknięty.</w:t>
      </w:r>
    </w:p>
    <w:p w14:paraId="36EB0E54" w14:textId="0CB76708"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Jednocześnie zwrócić należy uwagę, iż aby dochody kwalifikowały się do działalności w zakresie żeglugi międzynarodowej, prowadzona działalność w zakresie przewozu osób lub towarów nie może odbywać się śródlądowymi drogami wodnymi w obrębie </w:t>
      </w:r>
      <w:r w:rsidR="000B73BC" w:rsidRPr="00C96268">
        <w:rPr>
          <w:rFonts w:ascii="Times New Roman" w:hAnsi="Times New Roman" w:cs="Times New Roman"/>
          <w:bCs/>
          <w:sz w:val="24"/>
          <w:szCs w:val="24"/>
        </w:rPr>
        <w:t xml:space="preserve">tej samej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rPr>
        <w:t>.</w:t>
      </w:r>
    </w:p>
    <w:p w14:paraId="72918E72"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Zgodnie z postanowieniami </w:t>
      </w:r>
      <w:r w:rsidRPr="00C96268">
        <w:rPr>
          <w:rFonts w:ascii="Times New Roman" w:hAnsi="Times New Roman" w:cs="Times New Roman"/>
          <w:b/>
          <w:sz w:val="24"/>
          <w:szCs w:val="24"/>
        </w:rPr>
        <w:t>ust. 1</w:t>
      </w:r>
      <w:r w:rsidRPr="00C96268">
        <w:rPr>
          <w:rFonts w:ascii="Times New Roman" w:hAnsi="Times New Roman" w:cs="Times New Roman"/>
          <w:bCs/>
          <w:sz w:val="24"/>
          <w:szCs w:val="24"/>
        </w:rPr>
        <w:t>, do działalności w zakresie żeglugi międzynarodowej należy zaliczyć:</w:t>
      </w:r>
    </w:p>
    <w:p w14:paraId="551294C3" w14:textId="77777777" w:rsidR="001D0627" w:rsidRPr="00C96268" w:rsidRDefault="001D0627" w:rsidP="002C7467">
      <w:pPr>
        <w:pStyle w:val="Akapitzlist"/>
        <w:numPr>
          <w:ilvl w:val="3"/>
          <w:numId w:val="101"/>
        </w:numPr>
        <w:spacing w:after="120"/>
        <w:ind w:left="567"/>
        <w:jc w:val="both"/>
        <w:rPr>
          <w:rFonts w:ascii="Times New Roman" w:hAnsi="Times New Roman" w:cs="Times New Roman"/>
          <w:bCs/>
          <w:sz w:val="24"/>
          <w:szCs w:val="24"/>
        </w:rPr>
      </w:pPr>
      <w:r w:rsidRPr="00C96268">
        <w:rPr>
          <w:rFonts w:ascii="Times New Roman" w:hAnsi="Times New Roman" w:cs="Times New Roman"/>
          <w:bCs/>
          <w:sz w:val="24"/>
          <w:szCs w:val="24"/>
        </w:rPr>
        <w:t>przewozu pasażerów lub ładunków statkiem w żegludze międzynarodowej, bez względu na tytuł prawny przysługujący jednostce składowej do tego statku;</w:t>
      </w:r>
    </w:p>
    <w:p w14:paraId="44E1E5AA" w14:textId="77777777" w:rsidR="001D0627" w:rsidRPr="00C96268" w:rsidRDefault="001D0627" w:rsidP="002C7467">
      <w:pPr>
        <w:pStyle w:val="Akapitzlist"/>
        <w:numPr>
          <w:ilvl w:val="3"/>
          <w:numId w:val="101"/>
        </w:numPr>
        <w:spacing w:after="120"/>
        <w:ind w:left="567"/>
        <w:jc w:val="both"/>
        <w:rPr>
          <w:rFonts w:ascii="Times New Roman" w:hAnsi="Times New Roman" w:cs="Times New Roman"/>
          <w:bCs/>
          <w:sz w:val="24"/>
          <w:szCs w:val="24"/>
        </w:rPr>
      </w:pPr>
      <w:r w:rsidRPr="00C96268">
        <w:rPr>
          <w:rFonts w:ascii="Times New Roman" w:hAnsi="Times New Roman" w:cs="Times New Roman"/>
          <w:bCs/>
          <w:sz w:val="24"/>
          <w:szCs w:val="24"/>
        </w:rPr>
        <w:t>przewozu pasażerów lub ładunków statkiem w żegludze międzynarodowej w ramach umowy slotczarter;</w:t>
      </w:r>
    </w:p>
    <w:p w14:paraId="29348905" w14:textId="77777777" w:rsidR="001D0627" w:rsidRPr="00C96268" w:rsidRDefault="001D0627" w:rsidP="002C7467">
      <w:pPr>
        <w:pStyle w:val="Akapitzlist"/>
        <w:numPr>
          <w:ilvl w:val="3"/>
          <w:numId w:val="101"/>
        </w:numPr>
        <w:spacing w:after="120"/>
        <w:ind w:left="567"/>
        <w:jc w:val="both"/>
        <w:rPr>
          <w:rFonts w:ascii="Times New Roman" w:hAnsi="Times New Roman" w:cs="Times New Roman"/>
          <w:bCs/>
          <w:sz w:val="24"/>
          <w:szCs w:val="24"/>
        </w:rPr>
      </w:pPr>
      <w:r w:rsidRPr="00C96268">
        <w:rPr>
          <w:rFonts w:ascii="Times New Roman" w:hAnsi="Times New Roman" w:cs="Times New Roman"/>
          <w:bCs/>
          <w:sz w:val="24"/>
          <w:szCs w:val="24"/>
        </w:rPr>
        <w:t>dzierżawy statku, który ma być wykorzystywany do przewozu pasażerów lub ładunków w żegludze międzynarodowej z pełnym wyposażeniem, załogą i zaopatrzeniem;</w:t>
      </w:r>
    </w:p>
    <w:p w14:paraId="5F794B9F" w14:textId="77777777" w:rsidR="001D0627" w:rsidRPr="00C96268" w:rsidRDefault="001D0627" w:rsidP="002C7467">
      <w:pPr>
        <w:pStyle w:val="Akapitzlist"/>
        <w:numPr>
          <w:ilvl w:val="3"/>
          <w:numId w:val="101"/>
        </w:numPr>
        <w:spacing w:after="120"/>
        <w:ind w:left="567"/>
        <w:jc w:val="both"/>
        <w:rPr>
          <w:rFonts w:ascii="Times New Roman" w:hAnsi="Times New Roman" w:cs="Times New Roman"/>
          <w:bCs/>
          <w:sz w:val="24"/>
          <w:szCs w:val="24"/>
        </w:rPr>
      </w:pPr>
      <w:r w:rsidRPr="00C96268">
        <w:rPr>
          <w:rFonts w:ascii="Times New Roman" w:hAnsi="Times New Roman" w:cs="Times New Roman"/>
          <w:bCs/>
          <w:sz w:val="24"/>
          <w:szCs w:val="24"/>
        </w:rPr>
        <w:t>dzierżawy samego statku wykorzystywanego do przewozu pasażerów lub ładunków w żegludze międzynarodowej na rzecz innej jednostki składowej;</w:t>
      </w:r>
    </w:p>
    <w:p w14:paraId="4B57058D" w14:textId="3EC76270" w:rsidR="001D0627" w:rsidRPr="00C96268" w:rsidRDefault="001D0627" w:rsidP="002C7467">
      <w:pPr>
        <w:pStyle w:val="Akapitzlist"/>
        <w:numPr>
          <w:ilvl w:val="3"/>
          <w:numId w:val="101"/>
        </w:numPr>
        <w:spacing w:after="120"/>
        <w:ind w:left="567"/>
        <w:jc w:val="both"/>
        <w:rPr>
          <w:rFonts w:ascii="Times New Roman" w:hAnsi="Times New Roman" w:cs="Times New Roman"/>
          <w:bCs/>
          <w:sz w:val="24"/>
          <w:szCs w:val="24"/>
        </w:rPr>
      </w:pPr>
      <w:r w:rsidRPr="00C96268">
        <w:rPr>
          <w:rFonts w:ascii="Times New Roman" w:hAnsi="Times New Roman" w:cs="Times New Roman"/>
          <w:bCs/>
          <w:sz w:val="24"/>
          <w:szCs w:val="24"/>
        </w:rPr>
        <w:t>udziału we wspólnym przedsięwzięciu lub międzynarodowej agencji operacyjnej</w:t>
      </w:r>
      <w:r w:rsidR="00BC0499" w:rsidRPr="00C96268">
        <w:rPr>
          <w:rFonts w:ascii="Times New Roman" w:hAnsi="Times New Roman" w:cs="Times New Roman"/>
          <w:bCs/>
          <w:sz w:val="24"/>
          <w:szCs w:val="24"/>
        </w:rPr>
        <w:t xml:space="preserve"> (ang. </w:t>
      </w:r>
      <w:r w:rsidR="00BC0499" w:rsidRPr="00C96268">
        <w:rPr>
          <w:rFonts w:ascii="Times New Roman" w:hAnsi="Times New Roman" w:cs="Times New Roman"/>
          <w:bCs/>
          <w:i/>
          <w:iCs/>
          <w:sz w:val="24"/>
          <w:szCs w:val="24"/>
        </w:rPr>
        <w:t>participation in a pool, joint business or internationaal operating agency</w:t>
      </w:r>
      <w:r w:rsidR="00BC0499"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w:t>
      </w:r>
      <w:r w:rsidR="00BC0499" w:rsidRPr="00C96268">
        <w:rPr>
          <w:rFonts w:ascii="Times New Roman" w:hAnsi="Times New Roman" w:cs="Times New Roman"/>
          <w:bCs/>
          <w:sz w:val="24"/>
          <w:szCs w:val="24"/>
        </w:rPr>
        <w:t xml:space="preserve">przez które </w:t>
      </w:r>
      <w:r w:rsidRPr="00C96268">
        <w:rPr>
          <w:rFonts w:ascii="Times New Roman" w:hAnsi="Times New Roman" w:cs="Times New Roman"/>
          <w:bCs/>
          <w:sz w:val="24"/>
          <w:szCs w:val="24"/>
        </w:rPr>
        <w:t>prowadz</w:t>
      </w:r>
      <w:r w:rsidR="00BC0499" w:rsidRPr="00C96268">
        <w:rPr>
          <w:rFonts w:ascii="Times New Roman" w:hAnsi="Times New Roman" w:cs="Times New Roman"/>
          <w:bCs/>
          <w:sz w:val="24"/>
          <w:szCs w:val="24"/>
        </w:rPr>
        <w:t>ona jest</w:t>
      </w:r>
      <w:r w:rsidRPr="00C96268">
        <w:rPr>
          <w:rFonts w:ascii="Times New Roman" w:hAnsi="Times New Roman" w:cs="Times New Roman"/>
          <w:bCs/>
          <w:sz w:val="24"/>
          <w:szCs w:val="24"/>
        </w:rPr>
        <w:t xml:space="preserve"> działalność w zakresie przewozu pasażerów lub ładunków statkiem w żegludze międzynarodowej;</w:t>
      </w:r>
    </w:p>
    <w:p w14:paraId="647CD68D" w14:textId="77777777" w:rsidR="001D0627" w:rsidRPr="00C96268" w:rsidRDefault="001D0627" w:rsidP="002C7467">
      <w:pPr>
        <w:pStyle w:val="Akapitzlist"/>
        <w:numPr>
          <w:ilvl w:val="3"/>
          <w:numId w:val="101"/>
        </w:numPr>
        <w:spacing w:after="120"/>
        <w:ind w:left="567"/>
        <w:jc w:val="both"/>
        <w:rPr>
          <w:rFonts w:ascii="Times New Roman" w:hAnsi="Times New Roman" w:cs="Times New Roman"/>
          <w:bCs/>
          <w:sz w:val="24"/>
          <w:szCs w:val="24"/>
        </w:rPr>
      </w:pPr>
      <w:r w:rsidRPr="00C96268">
        <w:rPr>
          <w:rFonts w:ascii="Times New Roman" w:hAnsi="Times New Roman" w:cs="Times New Roman"/>
          <w:bCs/>
          <w:sz w:val="24"/>
          <w:szCs w:val="24"/>
        </w:rPr>
        <w:t>sprzedaży statku wykorzystywanego do przewozu pasażerów lub ładunków w żegludze międzynarodowej, jeżeli statek ten był użytkowany przez jednostkę składową przez co najmniej 12 miesięcy.</w:t>
      </w:r>
    </w:p>
    <w:p w14:paraId="243FC161" w14:textId="2498F828"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Jak wynika z </w:t>
      </w:r>
      <w:r w:rsidRPr="00C96268">
        <w:rPr>
          <w:rFonts w:ascii="Times New Roman" w:hAnsi="Times New Roman" w:cs="Times New Roman"/>
          <w:b/>
          <w:sz w:val="24"/>
          <w:szCs w:val="24"/>
        </w:rPr>
        <w:t>ust. 5</w:t>
      </w:r>
      <w:r w:rsidRPr="00C96268">
        <w:rPr>
          <w:rFonts w:ascii="Times New Roman" w:hAnsi="Times New Roman" w:cs="Times New Roman"/>
          <w:bCs/>
          <w:sz w:val="24"/>
          <w:szCs w:val="24"/>
        </w:rPr>
        <w:t xml:space="preserve">, powyższa regulacja nie znajduje jednak zastosowania do przewozu pomiędzy miejscami zlokalizowanymi na terytorium </w:t>
      </w:r>
      <w:r w:rsidR="000B73BC" w:rsidRPr="00C96268">
        <w:rPr>
          <w:rFonts w:ascii="Times New Roman" w:hAnsi="Times New Roman" w:cs="Times New Roman"/>
          <w:bCs/>
          <w:sz w:val="24"/>
          <w:szCs w:val="24"/>
        </w:rPr>
        <w:t xml:space="preserve">jednej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bez względu na to czy </w:t>
      </w:r>
      <w:r w:rsidR="000B73BC" w:rsidRPr="00C96268">
        <w:rPr>
          <w:rFonts w:ascii="Times New Roman" w:hAnsi="Times New Roman" w:cs="Times New Roman"/>
          <w:sz w:val="24"/>
          <w:szCs w:val="24"/>
        </w:rPr>
        <w:t>jurysdykcja</w:t>
      </w:r>
      <w:r w:rsidR="000B73BC" w:rsidRPr="00C96268" w:rsidDel="000B73BC">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to jest </w:t>
      </w:r>
      <w:r w:rsidR="000B73BC" w:rsidRPr="00C96268">
        <w:rPr>
          <w:rFonts w:ascii="Times New Roman" w:hAnsi="Times New Roman" w:cs="Times New Roman"/>
          <w:sz w:val="24"/>
          <w:szCs w:val="24"/>
        </w:rPr>
        <w:t>jurysdykcją</w:t>
      </w:r>
      <w:r w:rsidR="000B73BC" w:rsidRPr="00C96268" w:rsidDel="000B73BC">
        <w:rPr>
          <w:rFonts w:ascii="Times New Roman" w:hAnsi="Times New Roman" w:cs="Times New Roman"/>
          <w:bCs/>
          <w:sz w:val="24"/>
          <w:szCs w:val="24"/>
        </w:rPr>
        <w:t xml:space="preserve"> </w:t>
      </w:r>
      <w:r w:rsidRPr="00C96268">
        <w:rPr>
          <w:rFonts w:ascii="Times New Roman" w:hAnsi="Times New Roman" w:cs="Times New Roman"/>
          <w:bCs/>
          <w:sz w:val="24"/>
          <w:szCs w:val="24"/>
        </w:rPr>
        <w:t>lokalizacji jednostki składowej.</w:t>
      </w:r>
    </w:p>
    <w:p w14:paraId="3CEA7E21" w14:textId="709131EB"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Ustalając dochód (stratę) z działalności w zakresie żeglugi międzynarodowej, stosownie do </w:t>
      </w:r>
      <w:r w:rsidRPr="00C96268">
        <w:rPr>
          <w:rFonts w:ascii="Times New Roman" w:hAnsi="Times New Roman" w:cs="Times New Roman"/>
          <w:b/>
          <w:bCs/>
          <w:sz w:val="24"/>
          <w:szCs w:val="24"/>
        </w:rPr>
        <w:t>ust.</w:t>
      </w:r>
      <w:r w:rsidR="00C0038D">
        <w:rPr>
          <w:rFonts w:ascii="Times New Roman" w:hAnsi="Times New Roman" w:cs="Times New Roman"/>
          <w:b/>
          <w:bCs/>
          <w:sz w:val="24"/>
          <w:szCs w:val="24"/>
        </w:rPr>
        <w:t> </w:t>
      </w:r>
      <w:r w:rsidRPr="00C96268">
        <w:rPr>
          <w:rFonts w:ascii="Times New Roman" w:hAnsi="Times New Roman" w:cs="Times New Roman"/>
          <w:b/>
          <w:bCs/>
          <w:sz w:val="24"/>
          <w:szCs w:val="24"/>
        </w:rPr>
        <w:t>4,</w:t>
      </w:r>
      <w:r w:rsidRPr="00C96268">
        <w:rPr>
          <w:rFonts w:ascii="Times New Roman" w:hAnsi="Times New Roman" w:cs="Times New Roman"/>
          <w:bCs/>
          <w:sz w:val="24"/>
          <w:szCs w:val="24"/>
        </w:rPr>
        <w:t xml:space="preserve"> pod uwagę bierze się tę część księgowego dochodu (straty) netto jednostki składowej, którą można przypisać do działalności określonej w ust. 1. Dla celów prawidłowego obliczenia takiego dochodu (straty) należ uwzględnić postanowienia dotyczące właściwej alokacji kosztów.</w:t>
      </w:r>
    </w:p>
    <w:p w14:paraId="0AF5944E" w14:textId="77777777" w:rsidR="001D0627" w:rsidRPr="00C96268" w:rsidRDefault="001D0627" w:rsidP="001D0627">
      <w:pPr>
        <w:jc w:val="both"/>
        <w:rPr>
          <w:rFonts w:ascii="Times New Roman" w:hAnsi="Times New Roman" w:cs="Times New Roman"/>
          <w:sz w:val="24"/>
          <w:szCs w:val="24"/>
        </w:rPr>
      </w:pPr>
      <w:r w:rsidRPr="00C96268">
        <w:rPr>
          <w:rFonts w:ascii="Times New Roman" w:hAnsi="Times New Roman" w:cs="Times New Roman"/>
          <w:b/>
          <w:bCs/>
          <w:sz w:val="24"/>
          <w:szCs w:val="24"/>
        </w:rPr>
        <w:t>Ust. 3</w:t>
      </w:r>
      <w:r w:rsidRPr="00C96268">
        <w:rPr>
          <w:rFonts w:ascii="Times New Roman" w:hAnsi="Times New Roman" w:cs="Times New Roman"/>
          <w:sz w:val="24"/>
          <w:szCs w:val="24"/>
        </w:rPr>
        <w:t xml:space="preserve"> </w:t>
      </w:r>
      <w:r w:rsidRPr="00C96268">
        <w:rPr>
          <w:rFonts w:ascii="Times New Roman" w:hAnsi="Times New Roman" w:cs="Times New Roman"/>
          <w:bCs/>
          <w:sz w:val="24"/>
          <w:szCs w:val="24"/>
        </w:rPr>
        <w:t>stanowi implementację art. 17.1 lit. b Dyrektywy. W treści omawianego przepisu zawarty został katalog źródeł dochodów (strat) uzyskiwanych przez jednostkę składową, z tytułu których takich dochód (strata) jest kwalifikowany do działalności dodatkowej w zakresie żeglugi międzynarodowej. Katalog ten ma charakter zamknięty.</w:t>
      </w:r>
    </w:p>
    <w:p w14:paraId="0A471F6C"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Jednocześnie zwrócić należy uwagę, iż analogicznie jak w przypadku regulacji odnoszącej się do działalności w zakresie żeglugi międzynarodowej, również w tym przypadku, aby dochody kwalifikowały się do działalności dodatkowej w zakresie żeglugi międzynarodowej, taka działalność musi być prowadzona w związku z przewozem pasażerów lub towarów statkami w żegludze międzynarodowej i nie może dotyczyć przewozu śródlądowymi drogami wodnymi. Analogicznie, katalog określony w tym przepisie ma charakter zamknięty.</w:t>
      </w:r>
    </w:p>
    <w:p w14:paraId="658D36B8"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Do działalności dodatkowej w zakresie żeglugi międzynarodowej zalicza się:</w:t>
      </w:r>
    </w:p>
    <w:p w14:paraId="75790B6E" w14:textId="10E5FDBE" w:rsidR="001D0627" w:rsidRPr="00C96268" w:rsidRDefault="001D0627" w:rsidP="001D0627">
      <w:pPr>
        <w:pStyle w:val="Akapitzlist"/>
        <w:numPr>
          <w:ilvl w:val="3"/>
          <w:numId w:val="22"/>
        </w:numPr>
        <w:spacing w:after="120"/>
        <w:ind w:left="709"/>
        <w:jc w:val="both"/>
        <w:rPr>
          <w:rFonts w:ascii="Times New Roman" w:hAnsi="Times New Roman" w:cs="Times New Roman"/>
          <w:bCs/>
          <w:sz w:val="24"/>
          <w:szCs w:val="24"/>
        </w:rPr>
      </w:pPr>
      <w:r w:rsidRPr="00C96268">
        <w:rPr>
          <w:rFonts w:ascii="Times New Roman" w:hAnsi="Times New Roman" w:cs="Times New Roman"/>
          <w:bCs/>
          <w:sz w:val="24"/>
          <w:szCs w:val="24"/>
        </w:rPr>
        <w:t>dzierżawy statku</w:t>
      </w:r>
      <w:r w:rsidR="009B0B8A" w:rsidRPr="00C96268">
        <w:rPr>
          <w:rFonts w:ascii="Times New Roman" w:hAnsi="Times New Roman" w:cs="Times New Roman"/>
          <w:bCs/>
          <w:sz w:val="24"/>
          <w:szCs w:val="24"/>
        </w:rPr>
        <w:t xml:space="preserve"> bez załogi</w:t>
      </w:r>
      <w:r w:rsidRPr="00C96268">
        <w:rPr>
          <w:rFonts w:ascii="Times New Roman" w:hAnsi="Times New Roman" w:cs="Times New Roman"/>
          <w:bCs/>
          <w:sz w:val="24"/>
          <w:szCs w:val="24"/>
        </w:rPr>
        <w:t xml:space="preserve"> na rzecz innego przedsiębiorstwa żeglugowego, które nie jest jednostką składową, pod warunkiem, że okres dzierżawy nie przekracza 36 miesięcy, przy czym przy ustalaniu tego okresu uwzględnia się wszelkie okoliczności mające wpływ na faktyczną dzierżawę statku, w szczególności nowe umowy lub zmianę umów,</w:t>
      </w:r>
    </w:p>
    <w:p w14:paraId="3FB86BF4" w14:textId="38FEBAA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Przepis ten ma zastosowanie do dzierżawy (leasingu) na zasadzie czarteru typu </w:t>
      </w:r>
      <w:r w:rsidRPr="00C96268">
        <w:rPr>
          <w:rFonts w:ascii="Times New Roman" w:hAnsi="Times New Roman" w:cs="Times New Roman"/>
          <w:bCs/>
          <w:i/>
          <w:sz w:val="24"/>
          <w:szCs w:val="24"/>
        </w:rPr>
        <w:t>bare-boat</w:t>
      </w:r>
      <w:r w:rsidR="009B0B8A" w:rsidRPr="00C96268">
        <w:rPr>
          <w:rFonts w:ascii="Times New Roman" w:hAnsi="Times New Roman" w:cs="Times New Roman"/>
          <w:bCs/>
          <w:i/>
          <w:sz w:val="24"/>
          <w:szCs w:val="24"/>
        </w:rPr>
        <w:t xml:space="preserve"> (</w:t>
      </w:r>
      <w:r w:rsidR="009B0B8A" w:rsidRPr="00C96268">
        <w:rPr>
          <w:rFonts w:ascii="Times New Roman" w:hAnsi="Times New Roman" w:cs="Times New Roman"/>
          <w:bCs/>
          <w:iCs/>
          <w:sz w:val="24"/>
          <w:szCs w:val="24"/>
        </w:rPr>
        <w:t>bez załogi)</w:t>
      </w:r>
      <w:r w:rsidRPr="00C96268">
        <w:rPr>
          <w:rFonts w:ascii="Times New Roman" w:hAnsi="Times New Roman" w:cs="Times New Roman"/>
          <w:bCs/>
          <w:iCs/>
          <w:sz w:val="24"/>
          <w:szCs w:val="24"/>
        </w:rPr>
        <w:t>.</w:t>
      </w:r>
      <w:r w:rsidRPr="00C96268">
        <w:rPr>
          <w:rFonts w:ascii="Times New Roman" w:hAnsi="Times New Roman" w:cs="Times New Roman"/>
          <w:bCs/>
          <w:sz w:val="24"/>
          <w:szCs w:val="24"/>
        </w:rPr>
        <w:t xml:space="preserve"> Wskazać należy, że warunek 3-letniego terminu ma na celu ograniczenie możliwości zastosowania tego wyłączenia do dochodu z czarteru typu </w:t>
      </w:r>
      <w:r w:rsidRPr="00C96268">
        <w:rPr>
          <w:rFonts w:ascii="Times New Roman" w:hAnsi="Times New Roman" w:cs="Times New Roman"/>
          <w:bCs/>
          <w:i/>
          <w:sz w:val="24"/>
          <w:szCs w:val="24"/>
        </w:rPr>
        <w:t xml:space="preserve">bare-boat </w:t>
      </w:r>
      <w:r w:rsidRPr="00C96268">
        <w:rPr>
          <w:rFonts w:ascii="Times New Roman" w:hAnsi="Times New Roman" w:cs="Times New Roman"/>
          <w:bCs/>
          <w:sz w:val="24"/>
          <w:szCs w:val="24"/>
        </w:rPr>
        <w:t xml:space="preserve">przez przedsiębiorstwo żeglugowe z krótkoterminową nadwyżką mocy produkcyjnych i jednocześnie uniemożliwienie zastosowania tego wyłączenia do dochodu z długoterminowych umów. Warunek trzyletniego okresu nie będzie jednak spełniony, jeżeli ustalenia umowne i faktyczne okoliczności przewidują, że charter typu </w:t>
      </w:r>
      <w:r w:rsidRPr="00C96268">
        <w:rPr>
          <w:rFonts w:ascii="Times New Roman" w:hAnsi="Times New Roman" w:cs="Times New Roman"/>
          <w:bCs/>
          <w:i/>
          <w:sz w:val="24"/>
          <w:szCs w:val="24"/>
        </w:rPr>
        <w:t>bare-boat</w:t>
      </w:r>
      <w:r w:rsidRPr="00C96268">
        <w:rPr>
          <w:rFonts w:ascii="Times New Roman" w:hAnsi="Times New Roman" w:cs="Times New Roman"/>
          <w:bCs/>
          <w:sz w:val="24"/>
          <w:szCs w:val="24"/>
        </w:rPr>
        <w:t xml:space="preserve"> jest dostępny dla najemcy </w:t>
      </w:r>
      <w:r w:rsidRPr="00C96268">
        <w:rPr>
          <w:rFonts w:ascii="Times New Roman" w:hAnsi="Times New Roman" w:cs="Times New Roman"/>
          <w:bCs/>
          <w:i/>
          <w:sz w:val="24"/>
          <w:szCs w:val="24"/>
        </w:rPr>
        <w:t xml:space="preserve">de facto </w:t>
      </w:r>
      <w:r w:rsidRPr="00C96268">
        <w:rPr>
          <w:rFonts w:ascii="Times New Roman" w:hAnsi="Times New Roman" w:cs="Times New Roman"/>
          <w:bCs/>
          <w:sz w:val="24"/>
          <w:szCs w:val="24"/>
        </w:rPr>
        <w:t xml:space="preserve">przez okres dłuższy niż trzy lata. Jeżeli umowa zostanie uzgodniona na okres krótszy niż trzy lata, należy ustalić, czy całkowity okres czarteru przekroczył trzy lata. Na przykład, przedłużenie dwuletniego czarteru typu </w:t>
      </w:r>
      <w:r w:rsidRPr="00C96268">
        <w:rPr>
          <w:rFonts w:ascii="Times New Roman" w:hAnsi="Times New Roman" w:cs="Times New Roman"/>
          <w:bCs/>
          <w:i/>
          <w:sz w:val="24"/>
          <w:szCs w:val="24"/>
        </w:rPr>
        <w:t>bare-boat</w:t>
      </w:r>
      <w:r w:rsidRPr="00C96268">
        <w:rPr>
          <w:rFonts w:ascii="Times New Roman" w:hAnsi="Times New Roman" w:cs="Times New Roman"/>
          <w:bCs/>
          <w:sz w:val="24"/>
          <w:szCs w:val="24"/>
        </w:rPr>
        <w:t xml:space="preserve"> na kolejny okres dwóch lat będzie uważane za przekroczenie trzech lat.</w:t>
      </w:r>
    </w:p>
    <w:p w14:paraId="2112462F"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Jak ponadto wskazano, przy ustalaniu ww. terminu okresu dzierżawy, uwzględnia się wszelkie okoliczności mające wpływ na faktyczną dzierżawę statku, w szczególności nowe umowy lub zmianę umów.</w:t>
      </w:r>
    </w:p>
    <w:p w14:paraId="551B4B0B" w14:textId="77777777" w:rsidR="001D0627" w:rsidRPr="00C96268" w:rsidRDefault="001D0627" w:rsidP="001D0627">
      <w:pPr>
        <w:pStyle w:val="Akapitzlist"/>
        <w:numPr>
          <w:ilvl w:val="3"/>
          <w:numId w:val="22"/>
        </w:numPr>
        <w:spacing w:after="120"/>
        <w:ind w:left="709"/>
        <w:jc w:val="both"/>
        <w:rPr>
          <w:rFonts w:ascii="Times New Roman" w:hAnsi="Times New Roman" w:cs="Times New Roman"/>
          <w:bCs/>
          <w:sz w:val="24"/>
          <w:szCs w:val="24"/>
        </w:rPr>
      </w:pPr>
      <w:r w:rsidRPr="00C96268">
        <w:rPr>
          <w:rFonts w:ascii="Times New Roman" w:hAnsi="Times New Roman" w:cs="Times New Roman"/>
          <w:bCs/>
          <w:sz w:val="24"/>
          <w:szCs w:val="24"/>
        </w:rPr>
        <w:t>sprzedaży biletów wystawionych przez inne przedsiębiorstwa żeglugowe na krajowy odcinek rejsu międzynarodowego;</w:t>
      </w:r>
    </w:p>
    <w:p w14:paraId="131ADA43"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Regulacja ta będzie miała zastosowanie do dochodu uzyskanego z tytułu dzierżawy (leasingu) i krótkoterminowego składowania kontenerów oraz z tytułu opłat za przetrzymywanie załadowanego kontenera w magazynie w oczekiwaniu na dostawę lub z tytułu opłat za przetrzymanie za późny zwrot. Przykładowo, okres 5 dni lub krótszy może być uznany za krótkotrwały, przy czym, aby ustalić, czy składowanie było krótkoterminowe, należałoby wziąć pod uwagę wszystkie okoliczności mające wpływ na daną działalność.</w:t>
      </w:r>
    </w:p>
    <w:p w14:paraId="0833FA16" w14:textId="77777777" w:rsidR="001D0627" w:rsidRPr="00C96268" w:rsidRDefault="001D0627" w:rsidP="001D0627">
      <w:pPr>
        <w:pStyle w:val="Akapitzlist"/>
        <w:numPr>
          <w:ilvl w:val="3"/>
          <w:numId w:val="22"/>
        </w:numPr>
        <w:spacing w:after="120"/>
        <w:ind w:left="709"/>
        <w:jc w:val="both"/>
        <w:rPr>
          <w:rFonts w:ascii="Times New Roman" w:hAnsi="Times New Roman" w:cs="Times New Roman"/>
          <w:bCs/>
          <w:sz w:val="24"/>
          <w:szCs w:val="24"/>
        </w:rPr>
      </w:pPr>
      <w:r w:rsidRPr="00C96268">
        <w:rPr>
          <w:rFonts w:ascii="Times New Roman" w:hAnsi="Times New Roman" w:cs="Times New Roman"/>
          <w:bCs/>
          <w:sz w:val="24"/>
          <w:szCs w:val="24"/>
        </w:rPr>
        <w:t>dzierżawy i krótkoterminowego składowania kontenerów lub opłat za przetrzymanie w przypadku opóźnionego zwrotu kontenerów;</w:t>
      </w:r>
    </w:p>
    <w:p w14:paraId="4D0DC4E1" w14:textId="77777777" w:rsidR="001D0627" w:rsidRPr="00C96268" w:rsidRDefault="001D0627" w:rsidP="001D0627">
      <w:pPr>
        <w:pStyle w:val="Akapitzlist"/>
        <w:numPr>
          <w:ilvl w:val="3"/>
          <w:numId w:val="22"/>
        </w:numPr>
        <w:spacing w:after="120"/>
        <w:ind w:left="709"/>
        <w:jc w:val="both"/>
        <w:rPr>
          <w:rFonts w:ascii="Times New Roman" w:hAnsi="Times New Roman" w:cs="Times New Roman"/>
          <w:bCs/>
          <w:sz w:val="24"/>
          <w:szCs w:val="24"/>
        </w:rPr>
      </w:pPr>
      <w:r w:rsidRPr="00C96268">
        <w:rPr>
          <w:rFonts w:ascii="Times New Roman" w:hAnsi="Times New Roman" w:cs="Times New Roman"/>
          <w:bCs/>
          <w:sz w:val="24"/>
          <w:szCs w:val="24"/>
        </w:rPr>
        <w:t>świadczenia usług na rzecz innych przedsiębiorstw żeglugowych przez inżynierów, pracowników obsługi technicznej, pracowników zajmujących się przeładunkiem, pracowników gastronomii oraz pracowników obsługi pasażerów;</w:t>
      </w:r>
    </w:p>
    <w:p w14:paraId="2C07B13F" w14:textId="1B74DD57" w:rsidR="009B0B8A" w:rsidRPr="00C96268" w:rsidRDefault="001D0627" w:rsidP="001D0627">
      <w:pPr>
        <w:pStyle w:val="Akapitzlist"/>
        <w:numPr>
          <w:ilvl w:val="3"/>
          <w:numId w:val="22"/>
        </w:numPr>
        <w:spacing w:after="120"/>
        <w:ind w:left="709"/>
        <w:jc w:val="both"/>
        <w:rPr>
          <w:rFonts w:ascii="Times New Roman" w:hAnsi="Times New Roman" w:cs="Times New Roman"/>
          <w:bCs/>
          <w:sz w:val="24"/>
          <w:szCs w:val="24"/>
        </w:rPr>
      </w:pPr>
      <w:r w:rsidRPr="00C96268">
        <w:rPr>
          <w:rFonts w:ascii="Times New Roman" w:hAnsi="Times New Roman" w:cs="Times New Roman"/>
          <w:bCs/>
          <w:sz w:val="24"/>
          <w:szCs w:val="24"/>
        </w:rPr>
        <w:t>depozytów pieniężnych lub inwestycji w papiery wartościowe, jeżeli depozyty te lub inwestycje, z których osiągnięto dochód, są dokonywane jako integralna część prowadzenia działalności polegającej na eksploatacji statków w żegludze międzynarodowej.</w:t>
      </w:r>
    </w:p>
    <w:p w14:paraId="4BA61E76"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Regulacja ta obejmuje dochód z inwestycji, jeżeli inwestycja ta jest dokonywana jako integralna część prowadzenia działalności polegającej na eksploatacji statków w żegludze międzynarodowej. Przepis ten będzie mógł mieć zastosowanie do przychodów z odsetek uzyskanych np. z depozytów gotówkowych lub innych krótkoterminowych środków obrotowych niezbędnych do prowadzenia takiej działalności. Podobnie będzie mógł być stosowany również do odsetek od obligacji złożonych jako zabezpieczenie, jeżeli jest to wymagane przez odpowiednie przepisy prawa w celu prowadzenia działalności – w takich przypadkach inwestycja jest konieczna, aby umożliwić eksploatację statków w danym miejscu.</w:t>
      </w:r>
    </w:p>
    <w:p w14:paraId="3EEB70E1" w14:textId="77777777"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Ponadto, przedsiębiorstwa zajmujące się eksploatacją statków w ruchu międzynarodowym mogą być również zobowiązane do nabywania i wykorzystywania pozwoleń i kredytów na emisję. Dochód uzyskany w związku z takimi zezwoleniami i kredytami, jeżeli jest integralną częścią prowadzenia działalności polegającej na eksploatacji statków w ruchu międzynarodowym, również będzie mógł być traktowany jako kwalifikowany dochód poboczny, np. w przypadku, gdy zezwolenia są nabywane w celu eksploatacji statków lub gdy zezwolenia nabyte w tym celu są następnie sprzedawane, gdy okaże się, że nie będą potrzebne.</w:t>
      </w:r>
    </w:p>
    <w:p w14:paraId="695643AC" w14:textId="41865F9A" w:rsidR="001D0627" w:rsidRPr="00C96268" w:rsidRDefault="001D0627" w:rsidP="001D0627">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Jednocześnie, regulacja ta nie będzie jednak stosowana do odsetek uzyskanych w trakcie obsługi przepływu środków pieniężnych lub innych czynności skarbowych dla innych jednostek składowych, niezależnie od tego, czy takie jednostki znajdują się w obrębie </w:t>
      </w:r>
      <w:r w:rsidR="000B73BC" w:rsidRPr="00C96268">
        <w:rPr>
          <w:rFonts w:ascii="Times New Roman" w:hAnsi="Times New Roman" w:cs="Times New Roman"/>
          <w:bCs/>
          <w:sz w:val="24"/>
          <w:szCs w:val="24"/>
        </w:rPr>
        <w:t xml:space="preserve">danej </w:t>
      </w:r>
      <w:r w:rsidR="000B73BC" w:rsidRPr="00C96268">
        <w:rPr>
          <w:rFonts w:ascii="Times New Roman" w:hAnsi="Times New Roman" w:cs="Times New Roman"/>
          <w:sz w:val="24"/>
          <w:szCs w:val="24"/>
        </w:rPr>
        <w:t>jurysdykcji</w:t>
      </w:r>
      <w:r w:rsidR="000B73BC" w:rsidRPr="00C96268" w:rsidDel="000B73BC">
        <w:rPr>
          <w:rFonts w:ascii="Times New Roman" w:hAnsi="Times New Roman" w:cs="Times New Roman"/>
          <w:bCs/>
          <w:sz w:val="24"/>
          <w:szCs w:val="24"/>
        </w:rPr>
        <w:t xml:space="preserve"> </w:t>
      </w:r>
      <w:r w:rsidRPr="00C96268">
        <w:rPr>
          <w:rFonts w:ascii="Times New Roman" w:hAnsi="Times New Roman" w:cs="Times New Roman"/>
          <w:bCs/>
          <w:sz w:val="24"/>
          <w:szCs w:val="24"/>
        </w:rPr>
        <w:t>czy poza ni</w:t>
      </w:r>
      <w:r w:rsidR="000B73BC" w:rsidRPr="00C96268">
        <w:rPr>
          <w:rFonts w:ascii="Times New Roman" w:hAnsi="Times New Roman" w:cs="Times New Roman"/>
          <w:bCs/>
          <w:sz w:val="24"/>
          <w:szCs w:val="24"/>
        </w:rPr>
        <w:t>ą</w:t>
      </w:r>
      <w:r w:rsidRPr="00C96268">
        <w:rPr>
          <w:rFonts w:ascii="Times New Roman" w:hAnsi="Times New Roman" w:cs="Times New Roman"/>
          <w:bCs/>
          <w:sz w:val="24"/>
          <w:szCs w:val="24"/>
        </w:rPr>
        <w:t xml:space="preserve"> (np. w ramach centralizacji czynności skarbowych i inwestycyjnych). Nie będzie również stosowana do odsetek generowanych przez krótkoterminowe inwestowanie zysków wygenerowanych przez operację żeglugową, jeżeli zainwestowane środki nie są potrzebne do tej operacji.</w:t>
      </w:r>
    </w:p>
    <w:p w14:paraId="33CE314F" w14:textId="60FAB8F5" w:rsidR="00CC053E" w:rsidRPr="00C96268" w:rsidRDefault="00CC053E" w:rsidP="00650154">
      <w:pPr>
        <w:pStyle w:val="Nagwek4"/>
        <w:spacing w:before="240"/>
        <w:rPr>
          <w:rFonts w:ascii="Times New Roman" w:hAnsi="Times New Roman" w:cs="Times New Roman"/>
          <w:sz w:val="24"/>
          <w:szCs w:val="24"/>
        </w:rPr>
      </w:pPr>
      <w:r w:rsidRPr="00C96268">
        <w:rPr>
          <w:rFonts w:ascii="Times New Roman" w:hAnsi="Times New Roman" w:cs="Times New Roman"/>
          <w:sz w:val="24"/>
          <w:szCs w:val="24"/>
        </w:rPr>
        <w:t xml:space="preserve">Oddział </w:t>
      </w:r>
      <w:r w:rsidR="00F20C74" w:rsidRPr="00C96268">
        <w:rPr>
          <w:rFonts w:ascii="Times New Roman" w:hAnsi="Times New Roman" w:cs="Times New Roman"/>
          <w:sz w:val="24"/>
          <w:szCs w:val="24"/>
        </w:rPr>
        <w:t>2</w:t>
      </w:r>
      <w:r w:rsidR="00BD768B" w:rsidRPr="00C96268">
        <w:rPr>
          <w:rFonts w:ascii="Times New Roman" w:hAnsi="Times New Roman" w:cs="Times New Roman"/>
          <w:sz w:val="24"/>
          <w:szCs w:val="24"/>
        </w:rPr>
        <w:t xml:space="preserve"> </w:t>
      </w:r>
      <w:r w:rsidR="003A6E9A" w:rsidRPr="00C96268">
        <w:rPr>
          <w:rFonts w:ascii="Times New Roman" w:hAnsi="Times New Roman" w:cs="Times New Roman"/>
          <w:sz w:val="24"/>
          <w:szCs w:val="24"/>
        </w:rPr>
        <w:t>–</w:t>
      </w:r>
      <w:r w:rsidR="00BD768B" w:rsidRPr="00C96268">
        <w:rPr>
          <w:rFonts w:ascii="Times New Roman" w:hAnsi="Times New Roman" w:cs="Times New Roman"/>
          <w:sz w:val="24"/>
          <w:szCs w:val="24"/>
        </w:rPr>
        <w:t xml:space="preserve"> </w:t>
      </w:r>
      <w:r w:rsidRPr="00C96268">
        <w:rPr>
          <w:rFonts w:ascii="Times New Roman" w:hAnsi="Times New Roman" w:cs="Times New Roman"/>
          <w:sz w:val="24"/>
          <w:szCs w:val="24"/>
        </w:rPr>
        <w:t>Księgowy dochód (strata) stałego zakładu oraz przydzielanie kwalifikowanego dochodu (straty) między centralę a stały zakład</w:t>
      </w:r>
    </w:p>
    <w:p w14:paraId="60B3D718" w14:textId="434DE301" w:rsidR="00F73D4E" w:rsidRPr="00C96268" w:rsidRDefault="00F73D4E" w:rsidP="00BD768B">
      <w:pPr>
        <w:pStyle w:val="Nagwek5"/>
        <w:rPr>
          <w:rFonts w:ascii="Times New Roman" w:hAnsi="Times New Roman" w:cs="Times New Roman"/>
          <w:sz w:val="24"/>
          <w:szCs w:val="24"/>
        </w:rPr>
      </w:pPr>
      <w:bookmarkStart w:id="28" w:name="_Hlk148945946"/>
      <w:r w:rsidRPr="00C96268">
        <w:rPr>
          <w:rFonts w:ascii="Times New Roman" w:hAnsi="Times New Roman" w:cs="Times New Roman"/>
          <w:sz w:val="24"/>
          <w:szCs w:val="24"/>
        </w:rPr>
        <w:t xml:space="preserve">Art. </w:t>
      </w:r>
      <w:r w:rsidR="00F20C74" w:rsidRPr="00C96268">
        <w:rPr>
          <w:rFonts w:ascii="Times New Roman" w:hAnsi="Times New Roman" w:cs="Times New Roman"/>
          <w:sz w:val="24"/>
          <w:szCs w:val="24"/>
        </w:rPr>
        <w:t>70</w:t>
      </w:r>
      <w:r w:rsidR="00080C0B" w:rsidRPr="00C96268">
        <w:rPr>
          <w:rFonts w:ascii="Times New Roman" w:hAnsi="Times New Roman" w:cs="Times New Roman"/>
          <w:sz w:val="24"/>
          <w:szCs w:val="24"/>
        </w:rPr>
        <w:t>-71</w:t>
      </w:r>
      <w:r w:rsidRPr="00C96268">
        <w:rPr>
          <w:rFonts w:ascii="Times New Roman" w:hAnsi="Times New Roman" w:cs="Times New Roman"/>
          <w:sz w:val="24"/>
          <w:szCs w:val="24"/>
        </w:rPr>
        <w:t xml:space="preserve"> [</w:t>
      </w:r>
      <w:r w:rsidR="001828C3" w:rsidRPr="00C96268">
        <w:rPr>
          <w:rFonts w:ascii="Times New Roman" w:hAnsi="Times New Roman" w:cs="Times New Roman"/>
          <w:sz w:val="24"/>
          <w:szCs w:val="24"/>
        </w:rPr>
        <w:t>K</w:t>
      </w:r>
      <w:r w:rsidRPr="00C96268">
        <w:rPr>
          <w:rFonts w:ascii="Times New Roman" w:hAnsi="Times New Roman" w:cs="Times New Roman"/>
          <w:sz w:val="24"/>
          <w:szCs w:val="24"/>
        </w:rPr>
        <w:t xml:space="preserve">sięgowy dochód (strata) netto stałego zakładu] </w:t>
      </w:r>
    </w:p>
    <w:p w14:paraId="6E4F9C64" w14:textId="51B1BE9D" w:rsidR="00F73D4E" w:rsidRPr="00C96268" w:rsidRDefault="00F73D4E" w:rsidP="00F73D4E">
      <w:pPr>
        <w:spacing w:after="120"/>
        <w:jc w:val="both"/>
        <w:rPr>
          <w:rFonts w:ascii="Times New Roman" w:hAnsi="Times New Roman" w:cs="Times New Roman"/>
          <w:bCs/>
          <w:sz w:val="24"/>
          <w:szCs w:val="24"/>
        </w:rPr>
      </w:pPr>
      <w:bookmarkStart w:id="29" w:name="_Hlk149242468"/>
      <w:bookmarkEnd w:id="28"/>
      <w:r w:rsidRPr="00C96268">
        <w:rPr>
          <w:rFonts w:ascii="Times New Roman" w:hAnsi="Times New Roman" w:cs="Times New Roman"/>
          <w:bCs/>
          <w:sz w:val="24"/>
          <w:szCs w:val="24"/>
        </w:rPr>
        <w:t xml:space="preserve">Przepisy </w:t>
      </w:r>
      <w:r w:rsidR="007E140B" w:rsidRPr="00C96268">
        <w:rPr>
          <w:rFonts w:ascii="Times New Roman" w:hAnsi="Times New Roman" w:cs="Times New Roman"/>
          <w:b/>
          <w:bCs/>
          <w:sz w:val="24"/>
          <w:szCs w:val="24"/>
        </w:rPr>
        <w:t xml:space="preserve">art. </w:t>
      </w:r>
      <w:bookmarkStart w:id="30" w:name="_Hlk149211452"/>
      <w:r w:rsidR="00F20C74" w:rsidRPr="00C96268">
        <w:rPr>
          <w:rFonts w:ascii="Times New Roman" w:hAnsi="Times New Roman" w:cs="Times New Roman"/>
          <w:b/>
          <w:bCs/>
          <w:sz w:val="24"/>
          <w:szCs w:val="24"/>
        </w:rPr>
        <w:t>70</w:t>
      </w:r>
      <w:r w:rsidR="00080C0B" w:rsidRPr="00C96268">
        <w:rPr>
          <w:rFonts w:ascii="Times New Roman" w:hAnsi="Times New Roman" w:cs="Times New Roman"/>
          <w:b/>
          <w:bCs/>
          <w:sz w:val="24"/>
          <w:szCs w:val="24"/>
        </w:rPr>
        <w:t xml:space="preserve"> i 71</w:t>
      </w:r>
      <w:r w:rsidR="00F20C74" w:rsidRPr="00C96268">
        <w:rPr>
          <w:rFonts w:ascii="Times New Roman" w:hAnsi="Times New Roman" w:cs="Times New Roman"/>
          <w:bCs/>
          <w:sz w:val="24"/>
          <w:szCs w:val="24"/>
        </w:rPr>
        <w:t xml:space="preserve"> </w:t>
      </w:r>
      <w:r w:rsidR="003A6E9A"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stanowią</w:t>
      </w:r>
      <w:r w:rsidR="007E140B" w:rsidRPr="00C96268">
        <w:rPr>
          <w:rFonts w:ascii="Times New Roman" w:hAnsi="Times New Roman" w:cs="Times New Roman"/>
          <w:bCs/>
          <w:sz w:val="24"/>
          <w:szCs w:val="24"/>
        </w:rPr>
        <w:t>c</w:t>
      </w:r>
      <w:r w:rsidRPr="00C96268">
        <w:rPr>
          <w:rFonts w:ascii="Times New Roman" w:hAnsi="Times New Roman" w:cs="Times New Roman"/>
          <w:bCs/>
          <w:sz w:val="24"/>
          <w:szCs w:val="24"/>
        </w:rPr>
        <w:t xml:space="preserve">e </w:t>
      </w:r>
      <w:r w:rsidRPr="00C96268">
        <w:rPr>
          <w:rFonts w:ascii="Times New Roman" w:hAnsi="Times New Roman" w:cs="Times New Roman"/>
          <w:sz w:val="24"/>
          <w:szCs w:val="24"/>
        </w:rPr>
        <w:t>implementację art. 18</w:t>
      </w:r>
      <w:r w:rsidR="0042058C" w:rsidRPr="00C96268">
        <w:rPr>
          <w:rFonts w:ascii="Times New Roman" w:hAnsi="Times New Roman" w:cs="Times New Roman"/>
          <w:sz w:val="24"/>
          <w:szCs w:val="24"/>
        </w:rPr>
        <w:t>.</w:t>
      </w:r>
      <w:r w:rsidRPr="00C96268">
        <w:rPr>
          <w:rFonts w:ascii="Times New Roman" w:hAnsi="Times New Roman" w:cs="Times New Roman"/>
          <w:sz w:val="24"/>
          <w:szCs w:val="24"/>
        </w:rPr>
        <w:t xml:space="preserve">1 </w:t>
      </w:r>
      <w:r w:rsidR="003A6E9A" w:rsidRPr="00C96268">
        <w:rPr>
          <w:rFonts w:ascii="Times New Roman" w:hAnsi="Times New Roman" w:cs="Times New Roman"/>
          <w:sz w:val="24"/>
          <w:szCs w:val="24"/>
        </w:rPr>
        <w:t>–</w:t>
      </w:r>
      <w:r w:rsidRPr="00C96268">
        <w:rPr>
          <w:rFonts w:ascii="Times New Roman" w:hAnsi="Times New Roman" w:cs="Times New Roman"/>
          <w:sz w:val="24"/>
          <w:szCs w:val="24"/>
        </w:rPr>
        <w:t xml:space="preserve"> 4 Dyrektywy</w:t>
      </w:r>
      <w:bookmarkEnd w:id="30"/>
      <w:r w:rsidRPr="00C96268">
        <w:rPr>
          <w:rFonts w:ascii="Times New Roman" w:hAnsi="Times New Roman" w:cs="Times New Roman"/>
          <w:bCs/>
          <w:sz w:val="24"/>
          <w:szCs w:val="24"/>
        </w:rPr>
        <w:t xml:space="preserve"> </w:t>
      </w:r>
      <w:r w:rsidR="003A6E9A"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określają zasady rozpoznawania księgowego dochodu (straty) netto przez jednostkę składową </w:t>
      </w:r>
      <w:r w:rsidR="00880C40" w:rsidRPr="00C96268">
        <w:rPr>
          <w:rFonts w:ascii="Times New Roman" w:hAnsi="Times New Roman" w:cs="Times New Roman"/>
          <w:bCs/>
          <w:sz w:val="24"/>
          <w:szCs w:val="24"/>
        </w:rPr>
        <w:t>grupy międzynarodowej</w:t>
      </w:r>
      <w:r w:rsidR="00F55AC0" w:rsidRPr="00C96268">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będącą stałym zakładem centrali (art. 3 pkt 2 lit. b i pkt 13 Dyrektywy). </w:t>
      </w:r>
    </w:p>
    <w:p w14:paraId="7F2F9F03" w14:textId="195DF908" w:rsidR="00F73D4E" w:rsidRPr="00C96268" w:rsidRDefault="00F73D4E" w:rsidP="00F73D4E">
      <w:pPr>
        <w:spacing w:after="120"/>
        <w:jc w:val="both"/>
        <w:rPr>
          <w:rFonts w:ascii="Times New Roman" w:hAnsi="Times New Roman" w:cs="Times New Roman"/>
          <w:bCs/>
          <w:sz w:val="24"/>
          <w:szCs w:val="24"/>
        </w:rPr>
      </w:pPr>
      <w:bookmarkStart w:id="31" w:name="_Hlk149243927"/>
      <w:bookmarkEnd w:id="29"/>
      <w:r w:rsidRPr="00C96268">
        <w:rPr>
          <w:rFonts w:ascii="Times New Roman" w:hAnsi="Times New Roman" w:cs="Times New Roman"/>
          <w:bCs/>
          <w:sz w:val="24"/>
          <w:szCs w:val="24"/>
        </w:rPr>
        <w:t>Należy wskazać, że stały zakład jest pojęciem podatkowym, nie księgowym</w:t>
      </w:r>
      <w:r w:rsidR="004209D6"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co oznacza, że nie zawsze informacje z zakresu księgowości (w tym księgi rachunkowe) mogą być dla takiej jednostki składowej prowadzone oddzielnie. Jednak w wielu sytuacjach ma to miejsce dla celów zarządzania lub zachowania zgodności</w:t>
      </w:r>
      <w:r w:rsidR="00F55AC0" w:rsidRPr="00C96268">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z lokalnymi przepisami podatkowymi. Mając zatem na uwadze, że Zasady GloBE bazują przede wszystkim na danych (wyciągach) z ksiąg rachunkowych, </w:t>
      </w:r>
      <w:bookmarkStart w:id="32" w:name="_Hlk149163060"/>
      <w:r w:rsidRPr="00C96268">
        <w:rPr>
          <w:rFonts w:ascii="Times New Roman" w:hAnsi="Times New Roman" w:cs="Times New Roman"/>
          <w:bCs/>
          <w:sz w:val="24"/>
          <w:szCs w:val="24"/>
        </w:rPr>
        <w:t>wprowadzane regulacje wskazują zasady (metodologię) identyfikacji księgowego dochodu (straty) netto stałego zakładu w</w:t>
      </w:r>
      <w:r w:rsidR="00F55AC0" w:rsidRPr="00C96268">
        <w:rPr>
          <w:rFonts w:ascii="Times New Roman" w:hAnsi="Times New Roman" w:cs="Times New Roman"/>
          <w:bCs/>
          <w:sz w:val="24"/>
          <w:szCs w:val="24"/>
        </w:rPr>
        <w:t xml:space="preserve"> </w:t>
      </w:r>
      <w:r w:rsidRPr="00C96268">
        <w:rPr>
          <w:rFonts w:ascii="Times New Roman" w:hAnsi="Times New Roman" w:cs="Times New Roman"/>
          <w:bCs/>
          <w:sz w:val="24"/>
          <w:szCs w:val="24"/>
        </w:rPr>
        <w:t>zależności od jego formy organizacyjno-prawnej</w:t>
      </w:r>
      <w:r w:rsidR="00F20C74" w:rsidRPr="00C96268">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sposób dokonania ewentualnych korekt takiego dochodu (straty) </w:t>
      </w:r>
      <w:bookmarkEnd w:id="32"/>
      <w:r w:rsidRPr="00C96268">
        <w:rPr>
          <w:rFonts w:ascii="Times New Roman" w:hAnsi="Times New Roman" w:cs="Times New Roman"/>
          <w:bCs/>
          <w:sz w:val="24"/>
          <w:szCs w:val="24"/>
        </w:rPr>
        <w:t>i jego wpływ na określenie kwalifikowanego dochodu (straty) centrali, a w konsekwencji pozwalają na prawidłową alokację dochodu (straty) między centralą a stałym zakładem</w:t>
      </w:r>
      <w:r w:rsidR="00F20C74" w:rsidRPr="00C96268">
        <w:rPr>
          <w:rFonts w:ascii="Times New Roman" w:hAnsi="Times New Roman" w:cs="Times New Roman"/>
          <w:bCs/>
          <w:sz w:val="24"/>
          <w:szCs w:val="24"/>
        </w:rPr>
        <w:t>.</w:t>
      </w:r>
    </w:p>
    <w:bookmarkEnd w:id="31"/>
    <w:p w14:paraId="60F42B80" w14:textId="3B14EE98" w:rsidR="00F73D4E" w:rsidRPr="00C96268" w:rsidRDefault="007E140B" w:rsidP="00F73D4E">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 xml:space="preserve">Art. </w:t>
      </w:r>
      <w:r w:rsidR="00F20C74" w:rsidRPr="00C96268">
        <w:rPr>
          <w:rFonts w:ascii="Times New Roman" w:hAnsi="Times New Roman" w:cs="Times New Roman"/>
          <w:b/>
          <w:sz w:val="24"/>
          <w:szCs w:val="24"/>
        </w:rPr>
        <w:t xml:space="preserve">70 </w:t>
      </w:r>
      <w:r w:rsidR="00F73D4E" w:rsidRPr="00C96268">
        <w:rPr>
          <w:rFonts w:ascii="Times New Roman" w:hAnsi="Times New Roman" w:cs="Times New Roman"/>
          <w:bCs/>
          <w:sz w:val="24"/>
          <w:szCs w:val="24"/>
        </w:rPr>
        <w:t xml:space="preserve">w </w:t>
      </w:r>
      <w:r w:rsidR="00F73D4E" w:rsidRPr="00C96268">
        <w:rPr>
          <w:rFonts w:ascii="Times New Roman" w:hAnsi="Times New Roman" w:cs="Times New Roman"/>
          <w:b/>
          <w:bCs/>
          <w:sz w:val="24"/>
          <w:szCs w:val="24"/>
        </w:rPr>
        <w:t xml:space="preserve">pkt 1 i 2 </w:t>
      </w:r>
      <w:r w:rsidR="00F73D4E" w:rsidRPr="00C96268">
        <w:rPr>
          <w:rFonts w:ascii="Times New Roman" w:hAnsi="Times New Roman" w:cs="Times New Roman"/>
          <w:bCs/>
          <w:sz w:val="24"/>
          <w:szCs w:val="24"/>
        </w:rPr>
        <w:t>odwołując się do definicji stałego zakład</w:t>
      </w:r>
      <w:r w:rsidRPr="00C96268">
        <w:rPr>
          <w:rFonts w:ascii="Times New Roman" w:hAnsi="Times New Roman" w:cs="Times New Roman"/>
          <w:bCs/>
          <w:sz w:val="24"/>
          <w:szCs w:val="24"/>
        </w:rPr>
        <w:t xml:space="preserve">u z art. </w:t>
      </w:r>
      <w:r w:rsidR="000D3D77" w:rsidRPr="00C96268">
        <w:rPr>
          <w:rFonts w:ascii="Times New Roman" w:hAnsi="Times New Roman" w:cs="Times New Roman"/>
          <w:bCs/>
          <w:sz w:val="24"/>
          <w:szCs w:val="24"/>
        </w:rPr>
        <w:t>2</w:t>
      </w:r>
      <w:r w:rsidRPr="00C96268">
        <w:rPr>
          <w:rFonts w:ascii="Times New Roman" w:hAnsi="Times New Roman" w:cs="Times New Roman"/>
          <w:bCs/>
          <w:sz w:val="24"/>
          <w:szCs w:val="24"/>
        </w:rPr>
        <w:t xml:space="preserve"> </w:t>
      </w:r>
      <w:r w:rsidR="001D0627" w:rsidRPr="00C96268">
        <w:rPr>
          <w:rFonts w:ascii="Times New Roman" w:hAnsi="Times New Roman" w:cs="Times New Roman"/>
          <w:bCs/>
          <w:sz w:val="24"/>
          <w:szCs w:val="24"/>
        </w:rPr>
        <w:t xml:space="preserve">ust. 1 </w:t>
      </w:r>
      <w:r w:rsidRPr="00C96268">
        <w:rPr>
          <w:rFonts w:ascii="Times New Roman" w:hAnsi="Times New Roman" w:cs="Times New Roman"/>
          <w:bCs/>
          <w:sz w:val="24"/>
          <w:szCs w:val="24"/>
        </w:rPr>
        <w:t xml:space="preserve">pkt </w:t>
      </w:r>
      <w:r w:rsidR="000D3D77" w:rsidRPr="00C96268">
        <w:rPr>
          <w:rFonts w:ascii="Times New Roman" w:hAnsi="Times New Roman" w:cs="Times New Roman"/>
          <w:bCs/>
          <w:sz w:val="24"/>
          <w:szCs w:val="24"/>
        </w:rPr>
        <w:t>4</w:t>
      </w:r>
      <w:r w:rsidR="00BC0499" w:rsidRPr="00C96268">
        <w:rPr>
          <w:rFonts w:ascii="Times New Roman" w:hAnsi="Times New Roman" w:cs="Times New Roman"/>
          <w:bCs/>
          <w:sz w:val="24"/>
          <w:szCs w:val="24"/>
        </w:rPr>
        <w:t>0</w:t>
      </w:r>
      <w:r w:rsidRPr="00C96268">
        <w:rPr>
          <w:rFonts w:ascii="Times New Roman" w:hAnsi="Times New Roman" w:cs="Times New Roman"/>
          <w:bCs/>
          <w:sz w:val="24"/>
          <w:szCs w:val="24"/>
        </w:rPr>
        <w:t xml:space="preserve"> lit. a</w:t>
      </w:r>
      <w:r w:rsidR="003A6E9A" w:rsidRPr="00C96268">
        <w:rPr>
          <w:rFonts w:ascii="Times New Roman" w:hAnsi="Times New Roman" w:cs="Times New Roman"/>
          <w:bCs/>
          <w:sz w:val="24"/>
          <w:szCs w:val="24"/>
        </w:rPr>
        <w:t>–</w:t>
      </w:r>
      <w:r w:rsidR="00F73D4E" w:rsidRPr="00C96268">
        <w:rPr>
          <w:rFonts w:ascii="Times New Roman" w:hAnsi="Times New Roman" w:cs="Times New Roman"/>
          <w:bCs/>
          <w:sz w:val="24"/>
          <w:szCs w:val="24"/>
        </w:rPr>
        <w:t>c</w:t>
      </w:r>
      <w:r w:rsidR="00F55AC0" w:rsidRPr="00C96268">
        <w:rPr>
          <w:rFonts w:ascii="Times New Roman" w:hAnsi="Times New Roman" w:cs="Times New Roman"/>
          <w:bCs/>
          <w:sz w:val="24"/>
          <w:szCs w:val="24"/>
          <w:vertAlign w:val="superscript"/>
        </w:rPr>
        <w:t xml:space="preserve"> </w:t>
      </w:r>
      <w:r w:rsidR="00F73D4E" w:rsidRPr="00C96268">
        <w:rPr>
          <w:rFonts w:ascii="Times New Roman" w:hAnsi="Times New Roman" w:cs="Times New Roman"/>
          <w:bCs/>
          <w:sz w:val="24"/>
          <w:szCs w:val="24"/>
        </w:rPr>
        <w:t xml:space="preserve">wskazuje, że w wymienionych sytuacjach księgowy dochód (strata) netto stałego zakładu stanowi wartość: </w:t>
      </w:r>
    </w:p>
    <w:p w14:paraId="1235BF9E" w14:textId="1EBE5110" w:rsidR="00F73D4E" w:rsidRPr="00C96268" w:rsidRDefault="00F73D4E" w:rsidP="00B6504F">
      <w:pPr>
        <w:numPr>
          <w:ilvl w:val="0"/>
          <w:numId w:val="25"/>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wynikającą z jego odrębnego (od centrali) sprawozdania finansowego, zgodnego z akceptowalnym lub zatwierdzonym standardem rachunkowości finansowej (z zastrzeżeniem dostosowań zapobiegającym istotnym zakłóceniom konkurencji) </w:t>
      </w:r>
      <w:r w:rsidR="003A6E9A"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w przypadku gdy takowe jest przez zakład sporządzane </w:t>
      </w:r>
      <w:r w:rsidRPr="00C96268">
        <w:rPr>
          <w:rFonts w:ascii="Times New Roman" w:hAnsi="Times New Roman" w:cs="Times New Roman"/>
          <w:b/>
          <w:sz w:val="24"/>
          <w:szCs w:val="24"/>
        </w:rPr>
        <w:t>(pkt 1)</w:t>
      </w:r>
      <w:r w:rsidR="004209D6" w:rsidRPr="00C96268">
        <w:rPr>
          <w:rFonts w:ascii="Times New Roman" w:hAnsi="Times New Roman" w:cs="Times New Roman"/>
          <w:b/>
          <w:sz w:val="24"/>
          <w:szCs w:val="24"/>
        </w:rPr>
        <w:t>,</w:t>
      </w:r>
      <w:r w:rsidRPr="00C96268">
        <w:rPr>
          <w:rFonts w:ascii="Times New Roman" w:hAnsi="Times New Roman" w:cs="Times New Roman"/>
          <w:bCs/>
          <w:sz w:val="24"/>
          <w:szCs w:val="24"/>
        </w:rPr>
        <w:t xml:space="preserve"> jak również</w:t>
      </w:r>
    </w:p>
    <w:p w14:paraId="3304DC60" w14:textId="06388AF0" w:rsidR="00F73D4E" w:rsidRPr="00C96268" w:rsidRDefault="00F73D4E" w:rsidP="00B6504F">
      <w:pPr>
        <w:numPr>
          <w:ilvl w:val="0"/>
          <w:numId w:val="25"/>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która zostałaby odzwierciedlona w jego odrębnym sprawozdaniu finansowym, zgodnym ze standardem rachunkowości zastosowanym przy sporządzaniu skonsolidowanego sprawozdania finansowego UPE </w:t>
      </w:r>
      <w:r w:rsidR="003A6E9A"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w przypadku gdy faktycznie nie jest ono przez zakład sporządzane </w:t>
      </w:r>
      <w:r w:rsidRPr="00C96268">
        <w:rPr>
          <w:rFonts w:ascii="Times New Roman" w:hAnsi="Times New Roman" w:cs="Times New Roman"/>
          <w:b/>
          <w:sz w:val="24"/>
          <w:szCs w:val="24"/>
        </w:rPr>
        <w:t>(pkt 2)</w:t>
      </w:r>
      <w:r w:rsidR="004209D6" w:rsidRPr="00C96268">
        <w:rPr>
          <w:rFonts w:ascii="Times New Roman" w:hAnsi="Times New Roman" w:cs="Times New Roman"/>
          <w:b/>
          <w:sz w:val="24"/>
          <w:szCs w:val="24"/>
        </w:rPr>
        <w:t>.</w:t>
      </w:r>
    </w:p>
    <w:p w14:paraId="493FF9FF" w14:textId="15A31325" w:rsidR="00F73D4E" w:rsidRPr="00C96268" w:rsidRDefault="00F73D4E" w:rsidP="007E140B">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Natomiast</w:t>
      </w:r>
      <w:r w:rsidR="007E140B" w:rsidRPr="00C96268">
        <w:rPr>
          <w:rFonts w:ascii="Times New Roman" w:hAnsi="Times New Roman" w:cs="Times New Roman"/>
          <w:bCs/>
          <w:sz w:val="24"/>
          <w:szCs w:val="24"/>
        </w:rPr>
        <w:t xml:space="preserve"> </w:t>
      </w:r>
      <w:r w:rsidRPr="00C96268">
        <w:rPr>
          <w:rFonts w:ascii="Times New Roman" w:hAnsi="Times New Roman" w:cs="Times New Roman"/>
          <w:b/>
          <w:sz w:val="24"/>
          <w:szCs w:val="24"/>
        </w:rPr>
        <w:t>pkt 3</w:t>
      </w:r>
      <w:r w:rsidRPr="00C96268">
        <w:rPr>
          <w:rFonts w:ascii="Times New Roman" w:hAnsi="Times New Roman" w:cs="Times New Roman"/>
          <w:bCs/>
          <w:sz w:val="24"/>
          <w:szCs w:val="24"/>
        </w:rPr>
        <w:t xml:space="preserve"> odwołuje się do definicji stałego zakładu z art.</w:t>
      </w:r>
      <w:r w:rsidRPr="00C96268">
        <w:rPr>
          <w:rFonts w:ascii="Times New Roman" w:hAnsi="Times New Roman" w:cs="Times New Roman"/>
          <w:sz w:val="24"/>
          <w:szCs w:val="24"/>
        </w:rPr>
        <w:t xml:space="preserve"> </w:t>
      </w:r>
      <w:r w:rsidR="006664E7" w:rsidRPr="00C96268">
        <w:rPr>
          <w:rFonts w:ascii="Times New Roman" w:hAnsi="Times New Roman" w:cs="Times New Roman"/>
          <w:bCs/>
          <w:sz w:val="24"/>
          <w:szCs w:val="24"/>
        </w:rPr>
        <w:t>2</w:t>
      </w:r>
      <w:r w:rsidRPr="00C96268">
        <w:rPr>
          <w:rFonts w:ascii="Times New Roman" w:hAnsi="Times New Roman" w:cs="Times New Roman"/>
          <w:bCs/>
          <w:sz w:val="24"/>
          <w:szCs w:val="24"/>
        </w:rPr>
        <w:t xml:space="preserve"> </w:t>
      </w:r>
      <w:r w:rsidR="001D0627" w:rsidRPr="00C96268">
        <w:rPr>
          <w:rFonts w:ascii="Times New Roman" w:hAnsi="Times New Roman" w:cs="Times New Roman"/>
          <w:bCs/>
          <w:sz w:val="24"/>
          <w:szCs w:val="24"/>
        </w:rPr>
        <w:t xml:space="preserve">ust. 1 </w:t>
      </w:r>
      <w:r w:rsidRPr="00C96268">
        <w:rPr>
          <w:rFonts w:ascii="Times New Roman" w:hAnsi="Times New Roman" w:cs="Times New Roman"/>
          <w:bCs/>
          <w:sz w:val="24"/>
          <w:szCs w:val="24"/>
        </w:rPr>
        <w:t xml:space="preserve">pkt </w:t>
      </w:r>
      <w:r w:rsidR="006664E7" w:rsidRPr="00C96268">
        <w:rPr>
          <w:rFonts w:ascii="Times New Roman" w:hAnsi="Times New Roman" w:cs="Times New Roman"/>
          <w:bCs/>
          <w:sz w:val="24"/>
          <w:szCs w:val="24"/>
        </w:rPr>
        <w:t>4</w:t>
      </w:r>
      <w:r w:rsidR="00BC0499" w:rsidRPr="00C96268">
        <w:rPr>
          <w:rFonts w:ascii="Times New Roman" w:hAnsi="Times New Roman" w:cs="Times New Roman"/>
          <w:bCs/>
          <w:sz w:val="24"/>
          <w:szCs w:val="24"/>
        </w:rPr>
        <w:t>0</w:t>
      </w:r>
      <w:r w:rsidRPr="00C96268">
        <w:rPr>
          <w:rFonts w:ascii="Times New Roman" w:hAnsi="Times New Roman" w:cs="Times New Roman"/>
          <w:bCs/>
          <w:sz w:val="24"/>
          <w:szCs w:val="24"/>
        </w:rPr>
        <w:t xml:space="preserve"> lit. d poprzez wskazanie, że w tym scenariuszu księgowy dochód (strata) netto stałego zakładu jest wartością dochodu zwolnionego z podatku dochodowego w </w:t>
      </w:r>
      <w:r w:rsidR="000B73BC" w:rsidRPr="00C96268">
        <w:rPr>
          <w:rFonts w:ascii="Times New Roman" w:hAnsi="Times New Roman" w:cs="Times New Roman"/>
          <w:sz w:val="24"/>
          <w:szCs w:val="24"/>
        </w:rPr>
        <w:t>jurysdykcji</w:t>
      </w:r>
      <w:r w:rsidR="000B73BC" w:rsidRPr="00C96268" w:rsidDel="000B73BC">
        <w:rPr>
          <w:rFonts w:ascii="Times New Roman" w:hAnsi="Times New Roman" w:cs="Times New Roman"/>
          <w:bCs/>
          <w:sz w:val="24"/>
          <w:szCs w:val="24"/>
        </w:rPr>
        <w:t xml:space="preserve"> </w:t>
      </w:r>
      <w:r w:rsidR="00895E47" w:rsidRPr="00C96268">
        <w:rPr>
          <w:rFonts w:ascii="Times New Roman" w:hAnsi="Times New Roman" w:cs="Times New Roman"/>
          <w:bCs/>
          <w:sz w:val="24"/>
          <w:szCs w:val="24"/>
        </w:rPr>
        <w:t xml:space="preserve">lokalizacji </w:t>
      </w:r>
      <w:r w:rsidRPr="00C96268">
        <w:rPr>
          <w:rFonts w:ascii="Times New Roman" w:hAnsi="Times New Roman" w:cs="Times New Roman"/>
          <w:bCs/>
          <w:sz w:val="24"/>
          <w:szCs w:val="24"/>
        </w:rPr>
        <w:t xml:space="preserve">centrali, oraz kosztów (wydatków) nie branych pod uwagę do celów podatkowych (nieodliczanych) w </w:t>
      </w:r>
      <w:r w:rsidR="000B73BC" w:rsidRPr="00C96268">
        <w:rPr>
          <w:rFonts w:ascii="Times New Roman" w:hAnsi="Times New Roman" w:cs="Times New Roman"/>
          <w:bCs/>
          <w:sz w:val="24"/>
          <w:szCs w:val="24"/>
        </w:rPr>
        <w:t xml:space="preserve">tej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t>
      </w:r>
      <w:r w:rsidR="000B73BC" w:rsidRPr="00C96268">
        <w:rPr>
          <w:rFonts w:ascii="Times New Roman" w:hAnsi="Times New Roman" w:cs="Times New Roman"/>
          <w:bCs/>
          <w:sz w:val="24"/>
          <w:szCs w:val="24"/>
        </w:rPr>
        <w:t>któr</w:t>
      </w:r>
      <w:r w:rsidR="003000E9" w:rsidRPr="00C96268">
        <w:rPr>
          <w:rFonts w:ascii="Times New Roman" w:hAnsi="Times New Roman" w:cs="Times New Roman"/>
          <w:bCs/>
          <w:sz w:val="24"/>
          <w:szCs w:val="24"/>
        </w:rPr>
        <w:t>y</w:t>
      </w:r>
      <w:r w:rsidR="000B73BC" w:rsidRPr="00C96268">
        <w:rPr>
          <w:rFonts w:ascii="Times New Roman" w:hAnsi="Times New Roman" w:cs="Times New Roman"/>
          <w:bCs/>
          <w:sz w:val="24"/>
          <w:szCs w:val="24"/>
        </w:rPr>
        <w:t xml:space="preserve"> </w:t>
      </w:r>
      <w:r w:rsidRPr="00C96268">
        <w:rPr>
          <w:rFonts w:ascii="Times New Roman" w:hAnsi="Times New Roman" w:cs="Times New Roman"/>
          <w:bCs/>
          <w:sz w:val="24"/>
          <w:szCs w:val="24"/>
        </w:rPr>
        <w:t>to dochód oraz koszty</w:t>
      </w:r>
      <w:r w:rsidRPr="00C96268">
        <w:rPr>
          <w:rFonts w:ascii="Times New Roman" w:hAnsi="Times New Roman" w:cs="Times New Roman"/>
          <w:sz w:val="24"/>
          <w:szCs w:val="24"/>
        </w:rPr>
        <w:t xml:space="preserve"> </w:t>
      </w:r>
      <w:r w:rsidRPr="00C96268">
        <w:rPr>
          <w:rFonts w:ascii="Times New Roman" w:hAnsi="Times New Roman" w:cs="Times New Roman"/>
          <w:bCs/>
          <w:sz w:val="24"/>
          <w:szCs w:val="24"/>
        </w:rPr>
        <w:t xml:space="preserve">można przypisać transakcjom poza </w:t>
      </w:r>
      <w:r w:rsidR="000B73BC" w:rsidRPr="00C96268">
        <w:rPr>
          <w:rFonts w:ascii="Times New Roman" w:hAnsi="Times New Roman" w:cs="Times New Roman"/>
          <w:sz w:val="24"/>
          <w:szCs w:val="24"/>
        </w:rPr>
        <w:t>jurysdykcją</w:t>
      </w:r>
      <w:r w:rsidR="000B73BC" w:rsidRPr="00C96268" w:rsidDel="000B73BC">
        <w:rPr>
          <w:rFonts w:ascii="Times New Roman" w:hAnsi="Times New Roman" w:cs="Times New Roman"/>
          <w:bCs/>
          <w:sz w:val="24"/>
          <w:szCs w:val="24"/>
        </w:rPr>
        <w:t xml:space="preserve"> </w:t>
      </w:r>
      <w:r w:rsidR="00895E47" w:rsidRPr="00C96268">
        <w:rPr>
          <w:rFonts w:ascii="Times New Roman" w:hAnsi="Times New Roman" w:cs="Times New Roman"/>
          <w:bCs/>
          <w:sz w:val="24"/>
          <w:szCs w:val="24"/>
        </w:rPr>
        <w:t xml:space="preserve">lokalizacji </w:t>
      </w:r>
      <w:r w:rsidRPr="00C96268">
        <w:rPr>
          <w:rFonts w:ascii="Times New Roman" w:hAnsi="Times New Roman" w:cs="Times New Roman"/>
          <w:bCs/>
          <w:sz w:val="24"/>
          <w:szCs w:val="24"/>
        </w:rPr>
        <w:t>centrali.</w:t>
      </w:r>
    </w:p>
    <w:p w14:paraId="36668148" w14:textId="2C22397A" w:rsidR="00F73D4E" w:rsidRPr="00C96268" w:rsidRDefault="00080C0B" w:rsidP="00F73D4E">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Art. 71</w:t>
      </w:r>
      <w:r w:rsidR="00F73D4E" w:rsidRPr="00C96268">
        <w:rPr>
          <w:rFonts w:ascii="Times New Roman" w:hAnsi="Times New Roman" w:cs="Times New Roman"/>
          <w:bCs/>
          <w:sz w:val="24"/>
          <w:szCs w:val="24"/>
        </w:rPr>
        <w:t xml:space="preserve"> konstruuje reguły postępowania dotyczące korygowania księgowego dochodu (straty) netto stałego zakładu, ustalonego zgodnie z ust. 1, w celu ujęcia (przypisania) takiemu zakładowi (lub wyłączenia) określonych (pozycji) przychodów i kosztów. Potrzeba ta wynika z faktu, że jak już zostało wspomniane, stały zakład jest pojęciem podatkowym i nie funkcjonują żadne szczególne zasady rachunkowości kierunkujące, które pozycje i kwoty przychodów i kosztów, dla celów określenia księgowego dochodu (straty) netto, uwzględnia centrala, a które należy przypisać stałemu zakładowi.</w:t>
      </w:r>
    </w:p>
    <w:p w14:paraId="157A723D" w14:textId="3803B84A" w:rsidR="00F73D4E" w:rsidRPr="00C96268" w:rsidRDefault="00F73D4E" w:rsidP="00F73D4E">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Sposób korygowania, podobnie jak w przypadku ust. 1 zależy od formy organizacyjno-prawnej stałego zakładu określonej w art. </w:t>
      </w:r>
      <w:r w:rsidR="006664E7" w:rsidRPr="00C96268">
        <w:rPr>
          <w:rFonts w:ascii="Times New Roman" w:hAnsi="Times New Roman" w:cs="Times New Roman"/>
          <w:bCs/>
          <w:sz w:val="24"/>
          <w:szCs w:val="24"/>
        </w:rPr>
        <w:t>2</w:t>
      </w:r>
      <w:r w:rsidRPr="00C96268">
        <w:rPr>
          <w:rFonts w:ascii="Times New Roman" w:hAnsi="Times New Roman" w:cs="Times New Roman"/>
          <w:bCs/>
          <w:sz w:val="24"/>
          <w:szCs w:val="24"/>
        </w:rPr>
        <w:t xml:space="preserve"> </w:t>
      </w:r>
      <w:r w:rsidR="001D0627" w:rsidRPr="00C96268">
        <w:rPr>
          <w:rFonts w:ascii="Times New Roman" w:hAnsi="Times New Roman" w:cs="Times New Roman"/>
          <w:bCs/>
          <w:sz w:val="24"/>
          <w:szCs w:val="24"/>
        </w:rPr>
        <w:t xml:space="preserve">ust. 1 </w:t>
      </w:r>
      <w:r w:rsidRPr="00C96268">
        <w:rPr>
          <w:rFonts w:ascii="Times New Roman" w:hAnsi="Times New Roman" w:cs="Times New Roman"/>
          <w:bCs/>
          <w:sz w:val="24"/>
          <w:szCs w:val="24"/>
        </w:rPr>
        <w:t xml:space="preserve">pkt </w:t>
      </w:r>
      <w:r w:rsidR="006664E7" w:rsidRPr="00C96268">
        <w:rPr>
          <w:rFonts w:ascii="Times New Roman" w:hAnsi="Times New Roman" w:cs="Times New Roman"/>
          <w:bCs/>
          <w:sz w:val="24"/>
          <w:szCs w:val="24"/>
        </w:rPr>
        <w:t>4</w:t>
      </w:r>
      <w:r w:rsidR="002D3517" w:rsidRPr="00C96268">
        <w:rPr>
          <w:rFonts w:ascii="Times New Roman" w:hAnsi="Times New Roman" w:cs="Times New Roman"/>
          <w:bCs/>
          <w:sz w:val="24"/>
          <w:szCs w:val="24"/>
        </w:rPr>
        <w:t>0</w:t>
      </w:r>
      <w:r w:rsidRPr="00C96268">
        <w:rPr>
          <w:rFonts w:ascii="Times New Roman" w:hAnsi="Times New Roman" w:cs="Times New Roman"/>
          <w:bCs/>
          <w:sz w:val="24"/>
          <w:szCs w:val="24"/>
        </w:rPr>
        <w:t xml:space="preserve"> lit. a</w:t>
      </w:r>
      <w:r w:rsidR="003A6E9A"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c. </w:t>
      </w:r>
    </w:p>
    <w:p w14:paraId="157D41CA" w14:textId="4236CE89" w:rsidR="00F73D4E" w:rsidRPr="00C96268" w:rsidRDefault="00F73D4E" w:rsidP="00F73D4E">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Zatem</w:t>
      </w:r>
      <w:r w:rsidR="004209D6"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gdy chodzi o stały zakład:</w:t>
      </w:r>
    </w:p>
    <w:p w14:paraId="01519BA2" w14:textId="5064D493" w:rsidR="00F73D4E" w:rsidRPr="00C96268" w:rsidRDefault="00F73D4E" w:rsidP="00B6504F">
      <w:pPr>
        <w:numPr>
          <w:ilvl w:val="0"/>
          <w:numId w:val="26"/>
        </w:numPr>
        <w:spacing w:after="120"/>
        <w:jc w:val="both"/>
        <w:rPr>
          <w:rFonts w:ascii="Times New Roman" w:hAnsi="Times New Roman" w:cs="Times New Roman"/>
          <w:b/>
          <w:sz w:val="24"/>
          <w:szCs w:val="24"/>
        </w:rPr>
      </w:pPr>
      <w:r w:rsidRPr="00C96268">
        <w:rPr>
          <w:rFonts w:ascii="Times New Roman" w:hAnsi="Times New Roman" w:cs="Times New Roman"/>
          <w:bCs/>
          <w:sz w:val="24"/>
          <w:szCs w:val="24"/>
        </w:rPr>
        <w:t xml:space="preserve">spełniający definicję z lit. a lub lit. b </w:t>
      </w:r>
      <w:r w:rsidR="003A6E9A"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korekty dokonuje się w celu ujęcia wyłącznie przychodów i kosztów możliwych do przypisania zgodnie z mającą zastosowanie umową o unikaniu podwójnego opodatkowania lub prawem krajowym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w:t>
      </w:r>
      <w:r w:rsidR="000B73BC"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 xml:space="preserve">ów stały zakład </w:t>
      </w:r>
      <w:r w:rsidR="00895E47" w:rsidRPr="00C96268">
        <w:rPr>
          <w:rFonts w:ascii="Times New Roman" w:hAnsi="Times New Roman" w:cs="Times New Roman"/>
          <w:bCs/>
          <w:sz w:val="24"/>
          <w:szCs w:val="24"/>
        </w:rPr>
        <w:t xml:space="preserve">jest </w:t>
      </w:r>
      <w:r w:rsidR="00895E47" w:rsidRPr="00C96268">
        <w:rPr>
          <w:rFonts w:ascii="Times New Roman" w:hAnsi="Times New Roman" w:cs="Times New Roman"/>
          <w:sz w:val="24"/>
          <w:szCs w:val="24"/>
        </w:rPr>
        <w:t>zlokalizowany</w:t>
      </w:r>
      <w:r w:rsidRPr="00C96268">
        <w:rPr>
          <w:rFonts w:ascii="Times New Roman" w:hAnsi="Times New Roman" w:cs="Times New Roman"/>
          <w:bCs/>
          <w:sz w:val="24"/>
          <w:szCs w:val="24"/>
        </w:rPr>
        <w:t xml:space="preserve">, niezależnie od kwoty dochodu podlegającego opodatkowaniu i wysokości kosztów podlegających odliczeniu w </w:t>
      </w:r>
      <w:r w:rsidR="000B73BC" w:rsidRPr="00C96268">
        <w:rPr>
          <w:rFonts w:ascii="Times New Roman" w:hAnsi="Times New Roman" w:cs="Times New Roman"/>
          <w:bCs/>
          <w:sz w:val="24"/>
          <w:szCs w:val="24"/>
        </w:rPr>
        <w:t xml:space="preserve">tej </w:t>
      </w:r>
      <w:r w:rsidR="000B73BC" w:rsidRPr="00C96268">
        <w:rPr>
          <w:rFonts w:ascii="Times New Roman" w:hAnsi="Times New Roman" w:cs="Times New Roman"/>
          <w:sz w:val="24"/>
          <w:szCs w:val="24"/>
        </w:rPr>
        <w:t>jurysdykcji</w:t>
      </w:r>
      <w:r w:rsidRPr="00C96268">
        <w:rPr>
          <w:rFonts w:ascii="Times New Roman" w:hAnsi="Times New Roman" w:cs="Times New Roman"/>
          <w:bCs/>
          <w:sz w:val="24"/>
          <w:szCs w:val="24"/>
          <w:vertAlign w:val="superscript"/>
        </w:rPr>
        <w:footnoteReference w:id="132"/>
      </w:r>
      <w:r w:rsidRPr="00C96268">
        <w:rPr>
          <w:rFonts w:ascii="Times New Roman" w:hAnsi="Times New Roman" w:cs="Times New Roman"/>
          <w:bCs/>
          <w:sz w:val="24"/>
          <w:szCs w:val="24"/>
        </w:rPr>
        <w:t xml:space="preserve"> </w:t>
      </w:r>
      <w:r w:rsidRPr="00C96268">
        <w:rPr>
          <w:rFonts w:ascii="Times New Roman" w:hAnsi="Times New Roman" w:cs="Times New Roman"/>
          <w:b/>
          <w:sz w:val="24"/>
          <w:szCs w:val="24"/>
        </w:rPr>
        <w:t>(pkt</w:t>
      </w:r>
      <w:r w:rsidR="00D724B9">
        <w:rPr>
          <w:rFonts w:ascii="Times New Roman" w:hAnsi="Times New Roman" w:cs="Times New Roman"/>
          <w:b/>
          <w:sz w:val="24"/>
          <w:szCs w:val="24"/>
        </w:rPr>
        <w:t> </w:t>
      </w:r>
      <w:r w:rsidRPr="00C96268">
        <w:rPr>
          <w:rFonts w:ascii="Times New Roman" w:hAnsi="Times New Roman" w:cs="Times New Roman"/>
          <w:b/>
          <w:sz w:val="24"/>
          <w:szCs w:val="24"/>
        </w:rPr>
        <w:t>1)</w:t>
      </w:r>
      <w:r w:rsidR="004209D6" w:rsidRPr="00C96268">
        <w:rPr>
          <w:rFonts w:ascii="Times New Roman" w:hAnsi="Times New Roman" w:cs="Times New Roman"/>
          <w:b/>
          <w:sz w:val="24"/>
          <w:szCs w:val="24"/>
        </w:rPr>
        <w:t>.</w:t>
      </w:r>
    </w:p>
    <w:p w14:paraId="32CC40A3" w14:textId="477C4BC9" w:rsidR="00F73D4E" w:rsidRPr="003E7A67" w:rsidRDefault="00F73D4E" w:rsidP="00AD6F00">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bookmarkStart w:id="33" w:name="_Hlk149226011"/>
      <w:r w:rsidRPr="003E7A67">
        <w:rPr>
          <w:rFonts w:asciiTheme="minorHAnsi" w:hAnsiTheme="minorHAnsi" w:cstheme="minorHAnsi"/>
          <w:b/>
          <w:sz w:val="22"/>
          <w:szCs w:val="22"/>
        </w:rPr>
        <w:t xml:space="preserve">Przykład </w:t>
      </w:r>
    </w:p>
    <w:p w14:paraId="7DF0D11A" w14:textId="30F14F40" w:rsidR="00AD6F00" w:rsidRPr="003E7A67" w:rsidRDefault="00F73D4E" w:rsidP="00AD6F00">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A Co jest jednostką </w:t>
      </w:r>
      <w:r w:rsidR="00895E47" w:rsidRPr="003E7A67">
        <w:rPr>
          <w:rFonts w:asciiTheme="minorHAnsi" w:hAnsiTheme="minorHAnsi" w:cstheme="minorHAnsi"/>
          <w:bCs w:val="0"/>
          <w:i/>
          <w:iCs/>
          <w:sz w:val="22"/>
          <w:szCs w:val="22"/>
        </w:rPr>
        <w:t xml:space="preserve">grupy </w:t>
      </w:r>
      <w:r w:rsidR="00F417D7" w:rsidRPr="003E7A67">
        <w:rPr>
          <w:rFonts w:asciiTheme="minorHAnsi" w:hAnsiTheme="minorHAnsi" w:cstheme="minorHAnsi"/>
          <w:bCs w:val="0"/>
          <w:i/>
          <w:iCs/>
          <w:sz w:val="22"/>
          <w:szCs w:val="22"/>
        </w:rPr>
        <w:t xml:space="preserve">międzynarodowej </w:t>
      </w:r>
      <w:r w:rsidR="00895E47" w:rsidRPr="003E7A67">
        <w:rPr>
          <w:rFonts w:asciiTheme="minorHAnsi" w:hAnsiTheme="minorHAnsi" w:cstheme="minorHAnsi"/>
          <w:bCs w:val="0"/>
          <w:i/>
          <w:iCs/>
          <w:sz w:val="22"/>
          <w:szCs w:val="22"/>
        </w:rPr>
        <w:t>zlokalizowaną</w:t>
      </w:r>
      <w:r w:rsidRPr="003E7A67">
        <w:rPr>
          <w:rFonts w:asciiTheme="minorHAnsi" w:hAnsiTheme="minorHAnsi" w:cstheme="minorHAnsi"/>
          <w:bCs w:val="0"/>
          <w:i/>
          <w:iCs/>
          <w:sz w:val="22"/>
          <w:szCs w:val="22"/>
        </w:rPr>
        <w:t xml:space="preserve"> w </w:t>
      </w:r>
      <w:r w:rsidR="000B73BC" w:rsidRPr="003E7A67">
        <w:rPr>
          <w:rFonts w:asciiTheme="minorHAnsi" w:hAnsiTheme="minorHAnsi" w:cstheme="minorHAnsi"/>
          <w:bCs w:val="0"/>
          <w:i/>
          <w:iCs/>
          <w:sz w:val="22"/>
          <w:szCs w:val="22"/>
        </w:rPr>
        <w:t>jurysdykcji</w:t>
      </w:r>
      <w:r w:rsidR="000B73BC" w:rsidRPr="003E7A67" w:rsidDel="000B73BC">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A, która posiada stały zakład w </w:t>
      </w:r>
      <w:r w:rsidR="000B73BC" w:rsidRPr="003E7A67">
        <w:rPr>
          <w:rFonts w:asciiTheme="minorHAnsi" w:hAnsiTheme="minorHAnsi" w:cstheme="minorHAnsi"/>
          <w:bCs w:val="0"/>
          <w:i/>
          <w:iCs/>
          <w:sz w:val="22"/>
          <w:szCs w:val="22"/>
        </w:rPr>
        <w:t>jurysdykcji</w:t>
      </w:r>
      <w:r w:rsidR="000B73BC" w:rsidRPr="003E7A67" w:rsidDel="000B73BC">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B zgodnie z umową podatkową A–B. Załóżmy, że 100 zysków z działalności gospodarczej, które pochodzą z opłat licencyjnych, można przypisać stałemu zakładowi (załóżmy również, że nie ma kosztów uzyskania przychodów). </w:t>
      </w:r>
      <w:r w:rsidR="000B73BC" w:rsidRPr="003E7A67">
        <w:rPr>
          <w:rFonts w:asciiTheme="minorHAnsi" w:hAnsiTheme="minorHAnsi" w:cstheme="minorHAnsi"/>
          <w:bCs w:val="0"/>
          <w:i/>
          <w:iCs/>
          <w:sz w:val="22"/>
          <w:szCs w:val="22"/>
        </w:rPr>
        <w:t>Jurysdykcja</w:t>
      </w:r>
      <w:r w:rsidR="000B73BC" w:rsidRPr="003E7A67" w:rsidDel="000B73BC">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B zwalnia z opłat licencyjnych 50%. W takim przypadku kwota dochodu </w:t>
      </w:r>
      <w:r w:rsidR="007E140B" w:rsidRPr="003E7A67">
        <w:rPr>
          <w:rFonts w:asciiTheme="minorHAnsi" w:hAnsiTheme="minorHAnsi" w:cstheme="minorHAnsi"/>
          <w:bCs w:val="0"/>
          <w:i/>
          <w:iCs/>
          <w:sz w:val="22"/>
          <w:szCs w:val="22"/>
        </w:rPr>
        <w:t>uwzględniana</w:t>
      </w:r>
      <w:r w:rsidRPr="003E7A67">
        <w:rPr>
          <w:rFonts w:asciiTheme="minorHAnsi" w:hAnsiTheme="minorHAnsi" w:cstheme="minorHAnsi"/>
          <w:bCs w:val="0"/>
          <w:i/>
          <w:iCs/>
          <w:sz w:val="22"/>
          <w:szCs w:val="22"/>
        </w:rPr>
        <w:t xml:space="preserve"> przy ustalaniu księgowego dochodu netto stałego zakładu wynosi 100, niezależnie od tego, że stały zakład jest opodatkowany tylko w odniesieniu do kwoty 50.</w:t>
      </w:r>
    </w:p>
    <w:p w14:paraId="6C213402" w14:textId="347A2A16" w:rsidR="00F73D4E" w:rsidRPr="00C96268" w:rsidRDefault="00F73D4E" w:rsidP="00AD6F00">
      <w:pPr>
        <w:spacing w:before="240"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 xml:space="preserve">Gdyby zatem stały zakład w </w:t>
      </w:r>
      <w:r w:rsidR="000B73BC" w:rsidRPr="00C96268">
        <w:rPr>
          <w:rFonts w:ascii="Times New Roman" w:hAnsi="Times New Roman" w:cs="Times New Roman"/>
          <w:bCs/>
          <w:iCs/>
          <w:sz w:val="24"/>
          <w:szCs w:val="24"/>
        </w:rPr>
        <w:t>jurysdykcji</w:t>
      </w:r>
      <w:r w:rsidR="000B73BC" w:rsidRPr="00C96268" w:rsidDel="000B73BC">
        <w:rPr>
          <w:rFonts w:ascii="Times New Roman" w:hAnsi="Times New Roman" w:cs="Times New Roman"/>
          <w:bCs/>
          <w:iCs/>
          <w:sz w:val="24"/>
          <w:szCs w:val="24"/>
        </w:rPr>
        <w:t xml:space="preserve"> </w:t>
      </w:r>
      <w:r w:rsidRPr="00C96268">
        <w:rPr>
          <w:rFonts w:ascii="Times New Roman" w:hAnsi="Times New Roman" w:cs="Times New Roman"/>
          <w:bCs/>
          <w:iCs/>
          <w:sz w:val="24"/>
          <w:szCs w:val="24"/>
        </w:rPr>
        <w:t xml:space="preserve">B posiadał odrębne sprawozdanie finansowe (prowadził własną rachunkowość), które odzwierciedlałoby kwotę wyższą dochodów, bowiem obejmującą również pozycje, których nie można przypisać stałemu zakładowi zgodnie z przepisami podatkowymi, pozycje takie nie byłyby wówczas uwzględniane. </w:t>
      </w:r>
    </w:p>
    <w:p w14:paraId="50D52EE8" w14:textId="0C89F530" w:rsidR="00F73D4E" w:rsidRPr="00C96268" w:rsidRDefault="00F73D4E" w:rsidP="00F73D4E">
      <w:pPr>
        <w:spacing w:after="120"/>
        <w:jc w:val="both"/>
        <w:rPr>
          <w:rFonts w:ascii="Times New Roman" w:hAnsi="Times New Roman" w:cs="Times New Roman"/>
          <w:b/>
          <w:iCs/>
          <w:sz w:val="24"/>
          <w:szCs w:val="24"/>
        </w:rPr>
      </w:pPr>
      <w:r w:rsidRPr="00C96268">
        <w:rPr>
          <w:rFonts w:ascii="Times New Roman" w:hAnsi="Times New Roman" w:cs="Times New Roman"/>
          <w:bCs/>
          <w:iCs/>
          <w:sz w:val="24"/>
          <w:szCs w:val="24"/>
        </w:rPr>
        <w:t>W przypadku natomiast gdyby, przy założeniach ze zdania poprzedniego, sprawozdanie finansowe</w:t>
      </w:r>
      <w:r w:rsidR="00F55AC0" w:rsidRPr="00C96268">
        <w:rPr>
          <w:rFonts w:ascii="Times New Roman" w:hAnsi="Times New Roman" w:cs="Times New Roman"/>
          <w:bCs/>
          <w:iCs/>
          <w:sz w:val="24"/>
          <w:szCs w:val="24"/>
        </w:rPr>
        <w:t xml:space="preserve"> </w:t>
      </w:r>
      <w:r w:rsidRPr="00C96268">
        <w:rPr>
          <w:rFonts w:ascii="Times New Roman" w:hAnsi="Times New Roman" w:cs="Times New Roman"/>
          <w:bCs/>
          <w:iCs/>
          <w:sz w:val="24"/>
          <w:szCs w:val="24"/>
        </w:rPr>
        <w:t xml:space="preserve">stałego zakładu w </w:t>
      </w:r>
      <w:r w:rsidR="000B73BC" w:rsidRPr="00C96268">
        <w:rPr>
          <w:rFonts w:ascii="Times New Roman" w:hAnsi="Times New Roman" w:cs="Times New Roman"/>
          <w:bCs/>
          <w:iCs/>
          <w:sz w:val="24"/>
          <w:szCs w:val="24"/>
        </w:rPr>
        <w:t>jurysdykcji</w:t>
      </w:r>
      <w:r w:rsidR="000B73BC" w:rsidRPr="00C96268" w:rsidDel="000B73BC">
        <w:rPr>
          <w:rFonts w:ascii="Times New Roman" w:hAnsi="Times New Roman" w:cs="Times New Roman"/>
          <w:bCs/>
          <w:iCs/>
          <w:sz w:val="24"/>
          <w:szCs w:val="24"/>
        </w:rPr>
        <w:t xml:space="preserve"> </w:t>
      </w:r>
      <w:r w:rsidRPr="00C96268">
        <w:rPr>
          <w:rFonts w:ascii="Times New Roman" w:hAnsi="Times New Roman" w:cs="Times New Roman"/>
          <w:bCs/>
          <w:iCs/>
          <w:sz w:val="24"/>
          <w:szCs w:val="24"/>
        </w:rPr>
        <w:t>B odzwierciedlało większą lub mniejszą kwotę przychodów lub kosztów np. ze względu na różnicę w zasadach dot. momentu uzyskania danego przychodu</w:t>
      </w:r>
      <w:r w:rsidRPr="00C96268">
        <w:rPr>
          <w:rFonts w:ascii="Times New Roman" w:hAnsi="Times New Roman" w:cs="Times New Roman"/>
          <w:bCs/>
          <w:iCs/>
          <w:sz w:val="24"/>
          <w:szCs w:val="24"/>
          <w:u w:val="single"/>
        </w:rPr>
        <w:t xml:space="preserve"> </w:t>
      </w:r>
      <w:r w:rsidRPr="00C96268">
        <w:rPr>
          <w:rFonts w:ascii="Times New Roman" w:hAnsi="Times New Roman" w:cs="Times New Roman"/>
          <w:bCs/>
          <w:iCs/>
          <w:sz w:val="24"/>
          <w:szCs w:val="24"/>
        </w:rPr>
        <w:t xml:space="preserve">zgodnie z krajowymi przepisami podatkowymi (np. z powodu przyspieszonej amortyzacji do celów podatkowych w </w:t>
      </w:r>
      <w:r w:rsidR="000B73BC" w:rsidRPr="00C96268">
        <w:rPr>
          <w:rFonts w:ascii="Times New Roman" w:hAnsi="Times New Roman" w:cs="Times New Roman"/>
          <w:bCs/>
          <w:iCs/>
          <w:sz w:val="24"/>
          <w:szCs w:val="24"/>
        </w:rPr>
        <w:t>jurysdykcji</w:t>
      </w:r>
      <w:r w:rsidR="000B73BC" w:rsidRPr="00C96268" w:rsidDel="000B73BC">
        <w:rPr>
          <w:rFonts w:ascii="Times New Roman" w:hAnsi="Times New Roman" w:cs="Times New Roman"/>
          <w:bCs/>
          <w:iCs/>
          <w:sz w:val="24"/>
          <w:szCs w:val="24"/>
        </w:rPr>
        <w:t xml:space="preserve"> </w:t>
      </w:r>
      <w:r w:rsidRPr="00C96268">
        <w:rPr>
          <w:rFonts w:ascii="Times New Roman" w:hAnsi="Times New Roman" w:cs="Times New Roman"/>
          <w:bCs/>
          <w:iCs/>
          <w:sz w:val="24"/>
          <w:szCs w:val="24"/>
        </w:rPr>
        <w:t>B),</w:t>
      </w:r>
      <w:r w:rsidR="00926990" w:rsidRPr="00C96268">
        <w:rPr>
          <w:rFonts w:ascii="Times New Roman" w:hAnsi="Times New Roman" w:cs="Times New Roman"/>
          <w:bCs/>
          <w:iCs/>
          <w:sz w:val="24"/>
          <w:szCs w:val="24"/>
        </w:rPr>
        <w:t xml:space="preserve"> </w:t>
      </w:r>
      <w:r w:rsidRPr="00C96268">
        <w:rPr>
          <w:rFonts w:ascii="Times New Roman" w:hAnsi="Times New Roman" w:cs="Times New Roman"/>
          <w:bCs/>
          <w:iCs/>
          <w:sz w:val="24"/>
          <w:szCs w:val="24"/>
        </w:rPr>
        <w:t>wówczas kwota przychodu wykazana w sprawozdaniu finansowym za każdy odpowiedni rok podatkowy zostałaby wykorzystana do określenia przychodu przypadającego na stały zakład, a nie kwoty przychodu obliczonej zgodnie z przepisami podatkowymi.</w:t>
      </w:r>
    </w:p>
    <w:bookmarkEnd w:id="33"/>
    <w:p w14:paraId="1D754FA1" w14:textId="01F6561E" w:rsidR="00F73D4E" w:rsidRPr="00C96268" w:rsidRDefault="00F73D4E" w:rsidP="00B6504F">
      <w:pPr>
        <w:numPr>
          <w:ilvl w:val="0"/>
          <w:numId w:val="26"/>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spełniający definicję z lit. c </w:t>
      </w:r>
      <w:r w:rsidR="003A6E9A"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korekty dokonuje się w celu ujęcia wyłącznie przychodów i kosztów</w:t>
      </w:r>
      <w:r w:rsidR="00941194"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które zostałyby przypisane zgodnie z art. 7 </w:t>
      </w:r>
      <w:r w:rsidR="00ED3A9E" w:rsidRPr="00C96268">
        <w:rPr>
          <w:rFonts w:ascii="Times New Roman" w:hAnsi="Times New Roman" w:cs="Times New Roman"/>
          <w:bCs/>
          <w:sz w:val="24"/>
          <w:szCs w:val="24"/>
        </w:rPr>
        <w:t>Modelowej k</w:t>
      </w:r>
      <w:r w:rsidRPr="00C96268">
        <w:rPr>
          <w:rFonts w:ascii="Times New Roman" w:hAnsi="Times New Roman" w:cs="Times New Roman"/>
          <w:bCs/>
          <w:sz w:val="24"/>
          <w:szCs w:val="24"/>
        </w:rPr>
        <w:t>onwencji</w:t>
      </w:r>
      <w:r w:rsidR="00ED3A9E" w:rsidRPr="00C96268">
        <w:rPr>
          <w:rFonts w:ascii="Times New Roman" w:hAnsi="Times New Roman" w:cs="Times New Roman"/>
          <w:bCs/>
          <w:sz w:val="24"/>
          <w:szCs w:val="24"/>
        </w:rPr>
        <w:t xml:space="preserve"> OECD</w:t>
      </w:r>
      <w:r w:rsidRPr="00C96268">
        <w:rPr>
          <w:rFonts w:ascii="Times New Roman" w:hAnsi="Times New Roman" w:cs="Times New Roman"/>
          <w:bCs/>
          <w:sz w:val="24"/>
          <w:szCs w:val="24"/>
        </w:rPr>
        <w:t xml:space="preserve"> </w:t>
      </w:r>
      <w:r w:rsidRPr="00C96268">
        <w:rPr>
          <w:rFonts w:ascii="Times New Roman" w:hAnsi="Times New Roman" w:cs="Times New Roman"/>
          <w:b/>
          <w:sz w:val="24"/>
          <w:szCs w:val="24"/>
        </w:rPr>
        <w:t>(pkt 2)</w:t>
      </w:r>
      <w:r w:rsidRPr="00C96268">
        <w:rPr>
          <w:rFonts w:ascii="Times New Roman" w:hAnsi="Times New Roman" w:cs="Times New Roman"/>
          <w:bCs/>
          <w:sz w:val="24"/>
          <w:szCs w:val="24"/>
        </w:rPr>
        <w:t>. Przypadek ten realizuje scenariusz hipotetycznego utworzenia stałego zakładu zgodnie ze wspomnianym przepisem</w:t>
      </w:r>
      <w:r w:rsidR="00ED3A9E" w:rsidRPr="00C96268">
        <w:rPr>
          <w:rFonts w:ascii="Times New Roman" w:hAnsi="Times New Roman" w:cs="Times New Roman"/>
          <w:bCs/>
          <w:sz w:val="24"/>
          <w:szCs w:val="24"/>
        </w:rPr>
        <w:t xml:space="preserve"> tej</w:t>
      </w:r>
      <w:r w:rsidRPr="00C96268">
        <w:rPr>
          <w:rFonts w:ascii="Times New Roman" w:hAnsi="Times New Roman" w:cs="Times New Roman"/>
          <w:bCs/>
          <w:sz w:val="24"/>
          <w:szCs w:val="24"/>
        </w:rPr>
        <w:t xml:space="preserve"> </w:t>
      </w:r>
      <w:r w:rsidR="00ED3A9E" w:rsidRPr="00C96268">
        <w:rPr>
          <w:rFonts w:ascii="Times New Roman" w:hAnsi="Times New Roman" w:cs="Times New Roman"/>
          <w:bCs/>
          <w:sz w:val="24"/>
          <w:szCs w:val="24"/>
        </w:rPr>
        <w:t>k</w:t>
      </w:r>
      <w:r w:rsidRPr="00C96268">
        <w:rPr>
          <w:rFonts w:ascii="Times New Roman" w:hAnsi="Times New Roman" w:cs="Times New Roman"/>
          <w:bCs/>
          <w:sz w:val="24"/>
          <w:szCs w:val="24"/>
        </w:rPr>
        <w:t>onwencji.</w:t>
      </w:r>
    </w:p>
    <w:p w14:paraId="1BAEAAC7" w14:textId="625263DD" w:rsidR="00F73D4E" w:rsidRPr="00C96268" w:rsidRDefault="00F73D4E" w:rsidP="00BD768B">
      <w:pPr>
        <w:pStyle w:val="Nagwek5"/>
        <w:rPr>
          <w:rFonts w:ascii="Times New Roman" w:hAnsi="Times New Roman" w:cs="Times New Roman"/>
          <w:sz w:val="24"/>
          <w:szCs w:val="24"/>
        </w:rPr>
      </w:pPr>
      <w:r w:rsidRPr="00C96268">
        <w:rPr>
          <w:rFonts w:ascii="Times New Roman" w:hAnsi="Times New Roman" w:cs="Times New Roman"/>
          <w:sz w:val="24"/>
          <w:szCs w:val="24"/>
        </w:rPr>
        <w:t xml:space="preserve">Art. </w:t>
      </w:r>
      <w:r w:rsidR="00F20C74" w:rsidRPr="00C96268">
        <w:rPr>
          <w:rFonts w:ascii="Times New Roman" w:hAnsi="Times New Roman" w:cs="Times New Roman"/>
          <w:sz w:val="24"/>
          <w:szCs w:val="24"/>
        </w:rPr>
        <w:t>7</w:t>
      </w:r>
      <w:r w:rsidR="00080C0B" w:rsidRPr="00C96268">
        <w:rPr>
          <w:rFonts w:ascii="Times New Roman" w:hAnsi="Times New Roman" w:cs="Times New Roman"/>
          <w:sz w:val="24"/>
          <w:szCs w:val="24"/>
        </w:rPr>
        <w:t>2</w:t>
      </w:r>
      <w:r w:rsidR="00F20C74" w:rsidRPr="00C96268">
        <w:rPr>
          <w:rFonts w:ascii="Times New Roman" w:hAnsi="Times New Roman" w:cs="Times New Roman"/>
          <w:sz w:val="24"/>
          <w:szCs w:val="24"/>
        </w:rPr>
        <w:t xml:space="preserve"> </w:t>
      </w:r>
      <w:r w:rsidRPr="00C96268">
        <w:rPr>
          <w:rFonts w:ascii="Times New Roman" w:hAnsi="Times New Roman" w:cs="Times New Roman"/>
          <w:sz w:val="24"/>
          <w:szCs w:val="24"/>
        </w:rPr>
        <w:t>[</w:t>
      </w:r>
      <w:r w:rsidR="001828C3" w:rsidRPr="00C96268">
        <w:rPr>
          <w:rFonts w:ascii="Times New Roman" w:hAnsi="Times New Roman" w:cs="Times New Roman"/>
          <w:sz w:val="24"/>
          <w:szCs w:val="24"/>
        </w:rPr>
        <w:t>P</w:t>
      </w:r>
      <w:r w:rsidRPr="00C96268">
        <w:rPr>
          <w:rFonts w:ascii="Times New Roman" w:hAnsi="Times New Roman" w:cs="Times New Roman"/>
          <w:sz w:val="24"/>
          <w:szCs w:val="24"/>
        </w:rPr>
        <w:t>rzydzielanie kwalifikowanego dochodu (straty)</w:t>
      </w:r>
      <w:r w:rsidR="00F55AC0" w:rsidRPr="00C96268">
        <w:rPr>
          <w:rFonts w:ascii="Times New Roman" w:hAnsi="Times New Roman" w:cs="Times New Roman"/>
          <w:sz w:val="24"/>
          <w:szCs w:val="24"/>
        </w:rPr>
        <w:t xml:space="preserve"> </w:t>
      </w:r>
      <w:r w:rsidRPr="00C96268">
        <w:rPr>
          <w:rFonts w:ascii="Times New Roman" w:hAnsi="Times New Roman" w:cs="Times New Roman"/>
          <w:sz w:val="24"/>
          <w:szCs w:val="24"/>
        </w:rPr>
        <w:t xml:space="preserve">między centralę a stały zakład] </w:t>
      </w:r>
    </w:p>
    <w:p w14:paraId="0F6FA133" w14:textId="0DCDF125" w:rsidR="004A2AB8" w:rsidRPr="00C96268" w:rsidRDefault="00F73D4E" w:rsidP="00F73D4E">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Przepis </w:t>
      </w:r>
      <w:r w:rsidR="0046166C" w:rsidRPr="00C96268">
        <w:rPr>
          <w:rFonts w:ascii="Times New Roman" w:hAnsi="Times New Roman" w:cs="Times New Roman"/>
          <w:b/>
          <w:bCs/>
          <w:sz w:val="24"/>
          <w:szCs w:val="24"/>
        </w:rPr>
        <w:t>art. 7</w:t>
      </w:r>
      <w:r w:rsidR="00080C0B" w:rsidRPr="00C96268">
        <w:rPr>
          <w:rFonts w:ascii="Times New Roman" w:hAnsi="Times New Roman" w:cs="Times New Roman"/>
          <w:b/>
          <w:bCs/>
          <w:sz w:val="24"/>
          <w:szCs w:val="24"/>
        </w:rPr>
        <w:t>2</w:t>
      </w:r>
      <w:r w:rsidR="0046166C" w:rsidRPr="00C96268">
        <w:rPr>
          <w:rFonts w:ascii="Times New Roman" w:hAnsi="Times New Roman" w:cs="Times New Roman"/>
          <w:b/>
          <w:bCs/>
          <w:sz w:val="24"/>
          <w:szCs w:val="24"/>
        </w:rPr>
        <w:t xml:space="preserve"> </w:t>
      </w:r>
      <w:r w:rsidRPr="00C96268">
        <w:rPr>
          <w:rFonts w:ascii="Times New Roman" w:hAnsi="Times New Roman" w:cs="Times New Roman"/>
          <w:bCs/>
          <w:sz w:val="24"/>
          <w:szCs w:val="24"/>
        </w:rPr>
        <w:t xml:space="preserve">– stanowi </w:t>
      </w:r>
      <w:r w:rsidRPr="00C96268">
        <w:rPr>
          <w:rFonts w:ascii="Times New Roman" w:hAnsi="Times New Roman" w:cs="Times New Roman"/>
          <w:sz w:val="24"/>
          <w:szCs w:val="24"/>
        </w:rPr>
        <w:t>implementację art. 18</w:t>
      </w:r>
      <w:r w:rsidR="0042058C" w:rsidRPr="00C96268">
        <w:rPr>
          <w:rFonts w:ascii="Times New Roman" w:hAnsi="Times New Roman" w:cs="Times New Roman"/>
          <w:sz w:val="24"/>
          <w:szCs w:val="24"/>
        </w:rPr>
        <w:t>.</w:t>
      </w:r>
      <w:r w:rsidRPr="00C96268">
        <w:rPr>
          <w:rFonts w:ascii="Times New Roman" w:hAnsi="Times New Roman" w:cs="Times New Roman"/>
          <w:sz w:val="24"/>
          <w:szCs w:val="24"/>
        </w:rPr>
        <w:t>5 Dyrektywy</w:t>
      </w:r>
      <w:r w:rsidR="00F20C74" w:rsidRPr="00C96268">
        <w:rPr>
          <w:rFonts w:ascii="Times New Roman" w:hAnsi="Times New Roman" w:cs="Times New Roman"/>
          <w:bCs/>
          <w:sz w:val="24"/>
          <w:szCs w:val="24"/>
        </w:rPr>
        <w:t xml:space="preserve">. </w:t>
      </w:r>
      <w:r w:rsidR="004A2AB8" w:rsidRPr="00C96268">
        <w:rPr>
          <w:rFonts w:ascii="Times New Roman" w:hAnsi="Times New Roman" w:cs="Times New Roman"/>
          <w:b/>
          <w:sz w:val="24"/>
          <w:szCs w:val="24"/>
        </w:rPr>
        <w:t>Ust. 1</w:t>
      </w:r>
      <w:r w:rsidR="004A2AB8" w:rsidRPr="00C96268">
        <w:rPr>
          <w:rFonts w:ascii="Times New Roman" w:hAnsi="Times New Roman" w:cs="Times New Roman"/>
          <w:bCs/>
          <w:sz w:val="24"/>
          <w:szCs w:val="24"/>
        </w:rPr>
        <w:t xml:space="preserve"> wprowadza zasadę, zgodnie z którą księgowego dochodu (straty) netto stałego zakładu nie bierze się pod uwagę przy obliczaniu kwalifikowanego dochodu (straty) dla potrzeby Zasad GloBE centrali. Oznacza to tym samym, że w okolicznościach uwzględnienia wymienionych wartości w sprawozdaniu finansowym centrali obligatoryjne będzie ich odjęcie od księgowego dochodu (straty) netto centrali. Przepis ten niewątpliwie ma na celu przeciwdziałanie sytuacjom podwójnego liczenia bądź pomijania księgowego dochodu (straty) netto przy obliczaniu kwalifikowanego dochodu (straty) centrali i stałego zakładu. </w:t>
      </w:r>
    </w:p>
    <w:p w14:paraId="16DA4C0B" w14:textId="411BF607" w:rsidR="00F73D4E" w:rsidRPr="00C96268" w:rsidRDefault="004A2AB8" w:rsidP="00F73D4E">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Ust. 2</w:t>
      </w:r>
      <w:r w:rsidRPr="00C96268">
        <w:rPr>
          <w:rFonts w:ascii="Times New Roman" w:hAnsi="Times New Roman" w:cs="Times New Roman"/>
          <w:bCs/>
          <w:sz w:val="24"/>
          <w:szCs w:val="24"/>
        </w:rPr>
        <w:t xml:space="preserve"> wprowadza </w:t>
      </w:r>
      <w:r w:rsidR="00F73D4E" w:rsidRPr="00C96268">
        <w:rPr>
          <w:rFonts w:ascii="Times New Roman" w:hAnsi="Times New Roman" w:cs="Times New Roman"/>
          <w:bCs/>
          <w:sz w:val="24"/>
          <w:szCs w:val="24"/>
        </w:rPr>
        <w:t>uwarunkowane określonymi wymogami odstępstwa od zasady nieuwzględniania, przy określaniu kwalifikowanego dochodu (straty) centrali, księgowego dochodu (straty) netto jej stałego zakładu</w:t>
      </w:r>
      <w:r w:rsidR="00F73D4E" w:rsidRPr="00C96268">
        <w:rPr>
          <w:rFonts w:ascii="Times New Roman" w:hAnsi="Times New Roman" w:cs="Times New Roman"/>
          <w:bCs/>
          <w:sz w:val="24"/>
          <w:szCs w:val="24"/>
          <w:vertAlign w:val="superscript"/>
        </w:rPr>
        <w:footnoteReference w:id="133"/>
      </w:r>
      <w:r w:rsidR="00F73D4E" w:rsidRPr="00C96268">
        <w:rPr>
          <w:rFonts w:ascii="Times New Roman" w:hAnsi="Times New Roman" w:cs="Times New Roman"/>
          <w:bCs/>
          <w:sz w:val="24"/>
          <w:szCs w:val="24"/>
        </w:rPr>
        <w:t>. Przy czym kolejne ustępy odnoszą się odrębnie do kwalifikowanej straty</w:t>
      </w:r>
      <w:r w:rsidR="00F55AC0" w:rsidRPr="00C96268">
        <w:rPr>
          <w:rFonts w:ascii="Times New Roman" w:hAnsi="Times New Roman" w:cs="Times New Roman"/>
          <w:bCs/>
          <w:sz w:val="24"/>
          <w:szCs w:val="24"/>
        </w:rPr>
        <w:t xml:space="preserve"> </w:t>
      </w:r>
      <w:r w:rsidR="00F73D4E" w:rsidRPr="00C96268">
        <w:rPr>
          <w:rFonts w:ascii="Times New Roman" w:hAnsi="Times New Roman" w:cs="Times New Roman"/>
          <w:bCs/>
          <w:sz w:val="24"/>
          <w:szCs w:val="24"/>
        </w:rPr>
        <w:t>i do kwalifikowanego dochodu</w:t>
      </w:r>
      <w:r w:rsidR="00F55AC0" w:rsidRPr="00C96268">
        <w:rPr>
          <w:rFonts w:ascii="Times New Roman" w:hAnsi="Times New Roman" w:cs="Times New Roman"/>
          <w:bCs/>
          <w:sz w:val="24"/>
          <w:szCs w:val="24"/>
        </w:rPr>
        <w:t xml:space="preserve"> </w:t>
      </w:r>
      <w:r w:rsidR="00F73D4E" w:rsidRPr="00C96268">
        <w:rPr>
          <w:rFonts w:ascii="Times New Roman" w:hAnsi="Times New Roman" w:cs="Times New Roman"/>
          <w:bCs/>
          <w:sz w:val="24"/>
          <w:szCs w:val="24"/>
        </w:rPr>
        <w:t>stałego zakładu.</w:t>
      </w:r>
    </w:p>
    <w:p w14:paraId="4FA3FADE" w14:textId="4A5D321D" w:rsidR="00F73D4E" w:rsidRPr="00C96268" w:rsidRDefault="00F73D4E" w:rsidP="00F73D4E">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Ust. </w:t>
      </w:r>
      <w:r w:rsidR="004A2AB8" w:rsidRPr="00C96268">
        <w:rPr>
          <w:rFonts w:ascii="Times New Roman" w:hAnsi="Times New Roman" w:cs="Times New Roman"/>
          <w:bCs/>
          <w:sz w:val="24"/>
          <w:szCs w:val="24"/>
        </w:rPr>
        <w:t>2</w:t>
      </w:r>
      <w:r w:rsidRPr="00C96268">
        <w:rPr>
          <w:rFonts w:ascii="Times New Roman" w:hAnsi="Times New Roman" w:cs="Times New Roman"/>
          <w:bCs/>
          <w:sz w:val="24"/>
          <w:szCs w:val="24"/>
        </w:rPr>
        <w:t xml:space="preserve"> wskazuje</w:t>
      </w:r>
      <w:r w:rsidR="004A2AB8"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pod jakimi warunkami </w:t>
      </w:r>
      <w:r w:rsidRPr="00C96268">
        <w:rPr>
          <w:rFonts w:ascii="Times New Roman" w:hAnsi="Times New Roman" w:cs="Times New Roman"/>
          <w:b/>
          <w:sz w:val="24"/>
          <w:szCs w:val="24"/>
        </w:rPr>
        <w:t>kwalifikowana</w:t>
      </w:r>
      <w:r w:rsidRPr="00C96268">
        <w:rPr>
          <w:rFonts w:ascii="Times New Roman" w:hAnsi="Times New Roman" w:cs="Times New Roman"/>
          <w:bCs/>
          <w:sz w:val="24"/>
          <w:szCs w:val="24"/>
        </w:rPr>
        <w:t xml:space="preserve"> </w:t>
      </w:r>
      <w:r w:rsidRPr="00C96268">
        <w:rPr>
          <w:rFonts w:ascii="Times New Roman" w:hAnsi="Times New Roman" w:cs="Times New Roman"/>
          <w:b/>
          <w:sz w:val="24"/>
          <w:szCs w:val="24"/>
        </w:rPr>
        <w:t>strata</w:t>
      </w:r>
      <w:r w:rsidR="00F55AC0" w:rsidRPr="00C96268">
        <w:rPr>
          <w:rFonts w:ascii="Times New Roman" w:hAnsi="Times New Roman" w:cs="Times New Roman"/>
          <w:b/>
          <w:sz w:val="24"/>
          <w:szCs w:val="24"/>
        </w:rPr>
        <w:t xml:space="preserve"> </w:t>
      </w:r>
      <w:r w:rsidRPr="00C96268">
        <w:rPr>
          <w:rFonts w:ascii="Times New Roman" w:hAnsi="Times New Roman" w:cs="Times New Roman"/>
          <w:b/>
          <w:sz w:val="24"/>
          <w:szCs w:val="24"/>
        </w:rPr>
        <w:t>stałego zakładu</w:t>
      </w:r>
      <w:r w:rsidRPr="00C96268">
        <w:rPr>
          <w:rFonts w:ascii="Times New Roman" w:hAnsi="Times New Roman" w:cs="Times New Roman"/>
          <w:bCs/>
          <w:sz w:val="24"/>
          <w:szCs w:val="24"/>
        </w:rPr>
        <w:t xml:space="preserve"> może stanowić koszt centrali dla celów obliczenia jej kwalifikowanego dochodu (straty) za rok podatkowy. Otóż sytuacja taka jest możliwa jedynie w zakresie, w jakim strata taka, bez względu na rok podatkowy jej rozliczenia: </w:t>
      </w:r>
    </w:p>
    <w:p w14:paraId="6857C7DD" w14:textId="13588555" w:rsidR="00AD6F00" w:rsidRPr="00C96268" w:rsidRDefault="00F73D4E" w:rsidP="00B6504F">
      <w:pPr>
        <w:numPr>
          <w:ilvl w:val="0"/>
          <w:numId w:val="26"/>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jest traktowana jako koszt przy obliczaniu krajowego dochodu podlegającego opodatkowaniu podatkiem kwalifikowanym centrali</w:t>
      </w:r>
      <w:r w:rsidRPr="00C96268">
        <w:rPr>
          <w:rFonts w:ascii="Times New Roman" w:hAnsi="Times New Roman" w:cs="Times New Roman"/>
          <w:bCs/>
          <w:sz w:val="24"/>
          <w:szCs w:val="24"/>
          <w:vertAlign w:val="superscript"/>
        </w:rPr>
        <w:footnoteReference w:id="134"/>
      </w:r>
      <w:r w:rsidRPr="00C96268">
        <w:rPr>
          <w:rFonts w:ascii="Times New Roman" w:hAnsi="Times New Roman" w:cs="Times New Roman"/>
          <w:bCs/>
          <w:sz w:val="24"/>
          <w:szCs w:val="24"/>
        </w:rPr>
        <w:t xml:space="preserve"> </w:t>
      </w:r>
      <w:r w:rsidRPr="00C96268">
        <w:rPr>
          <w:rFonts w:ascii="Times New Roman" w:hAnsi="Times New Roman" w:cs="Times New Roman"/>
          <w:b/>
          <w:sz w:val="24"/>
          <w:szCs w:val="24"/>
        </w:rPr>
        <w:t>(pkt 1)</w:t>
      </w:r>
      <w:bookmarkStart w:id="34" w:name="_Hlk149225802"/>
      <w:bookmarkStart w:id="35" w:name="_Hlk149228176"/>
    </w:p>
    <w:p w14:paraId="6FDF6601" w14:textId="2723F77A" w:rsidR="00F73D4E" w:rsidRPr="003E7A67" w:rsidRDefault="00F73D4E"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2B579A20" w14:textId="257B83B3" w:rsidR="009D5AA2" w:rsidRPr="003E7A67" w:rsidRDefault="00F73D4E"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Jeżeli centrala przy obliczaniu swojego krajowego dochodu podlegającego opodatkowaniu, uwzględnia jedynie 80% straty stałego zakładu, wówczas konsekwentnie ten sam % kwalifikowanej straty stałego zakładu jest kosztem przy obliczaniu kwalifikowanego dochodu lub straty centrali. Pozostałe 20% traktuje się jako stratę przy obliczaniu kwalifikowanego dochodu lub straty stałego zakładu. Jeżeli jednak strata stałego zakładu powoduje dla centrali ograniczone w czasie przeniesienie straty na kolejne okresy, jest ona traktowana jako koszt przy obliczaniu krajowej straty do opodatkowania w centrali, niezależnie od tego, czy takie przeniesienie wygasa przed jego pełnym wykorzystaniem.</w:t>
      </w:r>
    </w:p>
    <w:bookmarkEnd w:id="34"/>
    <w:bookmarkEnd w:id="35"/>
    <w:p w14:paraId="79B3598D" w14:textId="03D2C05B" w:rsidR="00E95CA2" w:rsidRPr="00C96268" w:rsidRDefault="00F73D4E" w:rsidP="00B6504F">
      <w:pPr>
        <w:numPr>
          <w:ilvl w:val="0"/>
          <w:numId w:val="26"/>
        </w:numPr>
        <w:spacing w:before="240" w:after="120"/>
        <w:ind w:left="714" w:hanging="357"/>
        <w:jc w:val="both"/>
        <w:rPr>
          <w:rFonts w:ascii="Times New Roman" w:hAnsi="Times New Roman" w:cs="Times New Roman"/>
          <w:bCs/>
          <w:sz w:val="24"/>
          <w:szCs w:val="24"/>
        </w:rPr>
      </w:pPr>
      <w:r w:rsidRPr="00C96268">
        <w:rPr>
          <w:rFonts w:ascii="Times New Roman" w:hAnsi="Times New Roman" w:cs="Times New Roman"/>
          <w:bCs/>
          <w:sz w:val="24"/>
          <w:szCs w:val="24"/>
        </w:rPr>
        <w:t xml:space="preserve">i jednocześnie nie została uwzględniona przy obliczaniu tego dochodu podlegającego opodatkowaniu podatkiem kwalifikowanym, na mocy przepisów zarówno </w:t>
      </w:r>
      <w:r w:rsidR="00CA3713" w:rsidRPr="00C96268">
        <w:rPr>
          <w:rFonts w:ascii="Times New Roman" w:hAnsi="Times New Roman" w:cs="Times New Roman"/>
          <w:bCs/>
          <w:sz w:val="24"/>
          <w:szCs w:val="24"/>
        </w:rPr>
        <w:t>jurysdykcji</w:t>
      </w:r>
      <w:r w:rsidR="00CA3713" w:rsidRPr="00C96268" w:rsidDel="00CA3713">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centrali, jak i </w:t>
      </w:r>
      <w:r w:rsidR="00CA3713" w:rsidRPr="00C96268">
        <w:rPr>
          <w:rFonts w:ascii="Times New Roman" w:hAnsi="Times New Roman" w:cs="Times New Roman"/>
          <w:bCs/>
          <w:sz w:val="24"/>
          <w:szCs w:val="24"/>
        </w:rPr>
        <w:t>jurysdykcji</w:t>
      </w:r>
      <w:r w:rsidR="00CA3713" w:rsidRPr="00C96268" w:rsidDel="00CA3713">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stałego zakładu </w:t>
      </w:r>
      <w:r w:rsidRPr="00C96268">
        <w:rPr>
          <w:rFonts w:ascii="Times New Roman" w:hAnsi="Times New Roman" w:cs="Times New Roman"/>
          <w:b/>
          <w:sz w:val="24"/>
          <w:szCs w:val="24"/>
        </w:rPr>
        <w:t>(pkt 2)</w:t>
      </w:r>
      <w:r w:rsidR="00E95CA2" w:rsidRPr="00C96268">
        <w:rPr>
          <w:rFonts w:ascii="Times New Roman" w:hAnsi="Times New Roman" w:cs="Times New Roman"/>
          <w:bCs/>
          <w:sz w:val="24"/>
          <w:szCs w:val="24"/>
        </w:rPr>
        <w:t>.</w:t>
      </w:r>
    </w:p>
    <w:p w14:paraId="48C44969" w14:textId="77777777" w:rsidR="001D0627" w:rsidRPr="003E7A67" w:rsidRDefault="001D0627" w:rsidP="001D0627">
      <w:pPr>
        <w:spacing w:before="240" w:after="120"/>
        <w:jc w:val="both"/>
        <w:rPr>
          <w:rFonts w:cstheme="minorHAnsi"/>
          <w:bCs/>
        </w:rPr>
      </w:pPr>
    </w:p>
    <w:p w14:paraId="3BFB5C2F" w14:textId="745EDC8A" w:rsidR="00F73D4E" w:rsidRPr="003E7A67" w:rsidRDefault="00F73D4E"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57DAF29F" w14:textId="30A8DECD" w:rsidR="00E95CA2" w:rsidRPr="003E7A67" w:rsidRDefault="00F73D4E"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W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A </w:t>
      </w:r>
      <w:r w:rsidR="00895E47" w:rsidRPr="003E7A67">
        <w:rPr>
          <w:rFonts w:asciiTheme="minorHAnsi" w:hAnsiTheme="minorHAnsi" w:cstheme="minorHAnsi"/>
          <w:bCs w:val="0"/>
          <w:i/>
          <w:iCs/>
          <w:sz w:val="22"/>
          <w:szCs w:val="22"/>
        </w:rPr>
        <w:t>są zlokalizowane</w:t>
      </w:r>
      <w:r w:rsidRPr="003E7A67">
        <w:rPr>
          <w:rFonts w:asciiTheme="minorHAnsi" w:hAnsiTheme="minorHAnsi" w:cstheme="minorHAnsi"/>
          <w:bCs w:val="0"/>
          <w:i/>
          <w:iCs/>
          <w:sz w:val="22"/>
          <w:szCs w:val="22"/>
        </w:rPr>
        <w:t xml:space="preserve">: centrala (ME1), która posiada stały zakład (PE1), a także centrala (ME2), która posiada stały zakład (PE2). Oba stałe zakłady centrali ME1 i ME2 </w:t>
      </w:r>
      <w:r w:rsidR="00895E47" w:rsidRPr="003E7A67">
        <w:rPr>
          <w:rFonts w:asciiTheme="minorHAnsi" w:hAnsiTheme="minorHAnsi" w:cstheme="minorHAnsi"/>
          <w:bCs w:val="0"/>
          <w:i/>
          <w:iCs/>
          <w:sz w:val="22"/>
          <w:szCs w:val="22"/>
        </w:rPr>
        <w:t>są zlokalizowane</w:t>
      </w:r>
      <w:r w:rsidRPr="003E7A67">
        <w:rPr>
          <w:rFonts w:asciiTheme="minorHAnsi" w:hAnsiTheme="minorHAnsi" w:cstheme="minorHAnsi"/>
          <w:bCs w:val="0"/>
          <w:i/>
          <w:iCs/>
          <w:sz w:val="22"/>
          <w:szCs w:val="22"/>
        </w:rPr>
        <w:t xml:space="preserve"> w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B. </w:t>
      </w:r>
      <w:r w:rsidR="00CA3713" w:rsidRPr="003E7A67">
        <w:rPr>
          <w:rFonts w:asciiTheme="minorHAnsi" w:hAnsiTheme="minorHAnsi" w:cstheme="minorHAnsi"/>
          <w:bCs w:val="0"/>
          <w:i/>
          <w:iCs/>
          <w:sz w:val="22"/>
          <w:szCs w:val="22"/>
        </w:rPr>
        <w:t>Jurysdykcja</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A posiada ogólnoświatowy system podatkowy, który opodatkowuje dochody zagraniczne stałych zakładów i zapewnia ulgę podatkową z tytułu podatków zapłaconych od takich dochodów. Ob</w:t>
      </w:r>
      <w:r w:rsidR="00CA3713" w:rsidRPr="003E7A67">
        <w:rPr>
          <w:rFonts w:asciiTheme="minorHAnsi" w:hAnsiTheme="minorHAnsi" w:cstheme="minorHAnsi"/>
          <w:bCs w:val="0"/>
          <w:i/>
          <w:iCs/>
          <w:sz w:val="22"/>
          <w:szCs w:val="22"/>
        </w:rPr>
        <w:t>ie</w:t>
      </w:r>
      <w:r w:rsidRPr="003E7A67">
        <w:rPr>
          <w:rFonts w:asciiTheme="minorHAnsi" w:hAnsiTheme="minorHAnsi" w:cstheme="minorHAnsi"/>
          <w:bCs w:val="0"/>
          <w:i/>
          <w:iCs/>
          <w:sz w:val="22"/>
          <w:szCs w:val="22"/>
        </w:rPr>
        <w:t xml:space="preserve"> </w:t>
      </w:r>
      <w:r w:rsidR="00CA3713" w:rsidRPr="003E7A67">
        <w:rPr>
          <w:rFonts w:asciiTheme="minorHAnsi" w:hAnsiTheme="minorHAnsi" w:cstheme="minorHAnsi"/>
          <w:bCs w:val="0"/>
          <w:i/>
          <w:iCs/>
          <w:sz w:val="22"/>
          <w:szCs w:val="22"/>
        </w:rPr>
        <w:t>jurysdykcje</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zezwalają na podział dochodów i strat między rezydentów podatkowych i stałe zakłady </w:t>
      </w:r>
      <w:r w:rsidR="00895E47" w:rsidRPr="003E7A67">
        <w:rPr>
          <w:rFonts w:asciiTheme="minorHAnsi" w:hAnsiTheme="minorHAnsi" w:cstheme="minorHAnsi"/>
          <w:bCs w:val="0"/>
          <w:i/>
          <w:iCs/>
          <w:sz w:val="22"/>
          <w:szCs w:val="22"/>
        </w:rPr>
        <w:t>zlokalizowane</w:t>
      </w:r>
      <w:r w:rsidRPr="003E7A67">
        <w:rPr>
          <w:rFonts w:asciiTheme="minorHAnsi" w:hAnsiTheme="minorHAnsi" w:cstheme="minorHAnsi"/>
          <w:bCs w:val="0"/>
          <w:i/>
          <w:iCs/>
          <w:sz w:val="22"/>
          <w:szCs w:val="22"/>
        </w:rPr>
        <w:t xml:space="preserve"> w ich </w:t>
      </w:r>
      <w:r w:rsidR="00CA3713"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jeżeli znajdują się one pod wspólną kontrolą (np. system konsolidacji podatkowej). PE1 ma stratę podatkową w wysokości 100, a PE2 ma dochód netto podlegający opodatkowaniu w wysokości 100. W obu </w:t>
      </w:r>
      <w:r w:rsidR="00CA3713" w:rsidRPr="003E7A67">
        <w:rPr>
          <w:rFonts w:asciiTheme="minorHAnsi" w:hAnsiTheme="minorHAnsi" w:cstheme="minorHAnsi"/>
          <w:bCs w:val="0"/>
          <w:i/>
          <w:iCs/>
          <w:sz w:val="22"/>
          <w:szCs w:val="22"/>
        </w:rPr>
        <w:t>jurysdykcjach</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strata podatkowa PE1 jest potrącana (kompensowana) z podlegającego opodatkowaniu dochodu netto PE2, w związku z czym w </w:t>
      </w:r>
      <w:r w:rsidR="00CA3713" w:rsidRPr="003E7A67">
        <w:rPr>
          <w:rFonts w:asciiTheme="minorHAnsi" w:hAnsiTheme="minorHAnsi" w:cstheme="minorHAnsi"/>
          <w:bCs w:val="0"/>
          <w:i/>
          <w:iCs/>
          <w:sz w:val="22"/>
          <w:szCs w:val="22"/>
        </w:rPr>
        <w:t xml:space="preserve">żadnej </w:t>
      </w:r>
      <w:r w:rsidRPr="003E7A67">
        <w:rPr>
          <w:rFonts w:asciiTheme="minorHAnsi" w:hAnsiTheme="minorHAnsi" w:cstheme="minorHAnsi"/>
          <w:bCs w:val="0"/>
          <w:i/>
          <w:iCs/>
          <w:sz w:val="22"/>
          <w:szCs w:val="22"/>
        </w:rPr>
        <w:t xml:space="preserve">z tych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nie ma podatku do zapłaty w odniesieniu do PE1 i PE2. Chociaż strata PE1 jest traktowana jako koszt ME1 w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A, nie jest ona ponownie przypisana do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A zgodnie z art. 70 pkt 2</w:t>
      </w:r>
      <w:r w:rsidR="00536217" w:rsidRPr="003E7A67">
        <w:rPr>
          <w:rFonts w:asciiTheme="minorHAnsi" w:hAnsiTheme="minorHAnsi" w:cstheme="minorHAnsi"/>
          <w:bCs w:val="0"/>
          <w:i/>
          <w:iCs/>
          <w:sz w:val="22"/>
          <w:szCs w:val="22"/>
        </w:rPr>
        <w:t>,</w:t>
      </w:r>
      <w:r w:rsidRPr="003E7A67">
        <w:rPr>
          <w:rFonts w:asciiTheme="minorHAnsi" w:hAnsiTheme="minorHAnsi" w:cstheme="minorHAnsi"/>
          <w:bCs w:val="0"/>
          <w:i/>
          <w:iCs/>
          <w:sz w:val="22"/>
          <w:szCs w:val="22"/>
        </w:rPr>
        <w:t xml:space="preserve"> ponieważ jest ona kompensowana z pozycją dochodu, która podlega opodatkowaniu zgodnie z prawem zarówno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A, jak i B. W tym stanie faktycznym nie ma potrzeby przypisywania straty PE1 do ME1 i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A, ponieważ jej ETR nie jest zaniżana ze względu na taką stratę, a przypisanie straty do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A w rzeczywistości zaniżyłoby ETR </w:t>
      </w:r>
      <w:r w:rsidR="00CA3713" w:rsidRPr="003E7A67">
        <w:rPr>
          <w:rFonts w:asciiTheme="minorHAnsi" w:hAnsiTheme="minorHAnsi" w:cstheme="minorHAnsi"/>
          <w:bCs w:val="0"/>
          <w:i/>
          <w:iCs/>
          <w:sz w:val="22"/>
          <w:szCs w:val="22"/>
        </w:rPr>
        <w:t>jurysdykcji</w:t>
      </w:r>
      <w:r w:rsidR="00CA3713"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B.</w:t>
      </w:r>
    </w:p>
    <w:p w14:paraId="337ABED6" w14:textId="69F570B6" w:rsidR="00F73D4E" w:rsidRPr="00C96268" w:rsidRDefault="00F73D4E" w:rsidP="00E95CA2">
      <w:pPr>
        <w:spacing w:before="240" w:after="120"/>
        <w:jc w:val="both"/>
        <w:rPr>
          <w:rFonts w:ascii="Times New Roman" w:hAnsi="Times New Roman" w:cs="Times New Roman"/>
          <w:bCs/>
          <w:sz w:val="24"/>
          <w:szCs w:val="24"/>
        </w:rPr>
      </w:pPr>
      <w:r w:rsidRPr="00C96268">
        <w:rPr>
          <w:rFonts w:ascii="Times New Roman" w:hAnsi="Times New Roman" w:cs="Times New Roman"/>
          <w:b/>
          <w:sz w:val="24"/>
          <w:szCs w:val="24"/>
        </w:rPr>
        <w:t xml:space="preserve">Ust. </w:t>
      </w:r>
      <w:r w:rsidR="004A2AB8" w:rsidRPr="00C96268">
        <w:rPr>
          <w:rFonts w:ascii="Times New Roman" w:hAnsi="Times New Roman" w:cs="Times New Roman"/>
          <w:b/>
          <w:sz w:val="24"/>
          <w:szCs w:val="24"/>
        </w:rPr>
        <w:t>3</w:t>
      </w:r>
      <w:r w:rsidRPr="00C96268">
        <w:rPr>
          <w:rFonts w:ascii="Times New Roman" w:hAnsi="Times New Roman" w:cs="Times New Roman"/>
          <w:bCs/>
          <w:sz w:val="24"/>
          <w:szCs w:val="24"/>
        </w:rPr>
        <w:t xml:space="preserve"> jest </w:t>
      </w:r>
      <w:r w:rsidR="0046166C" w:rsidRPr="00C96268">
        <w:rPr>
          <w:rFonts w:ascii="Times New Roman" w:hAnsi="Times New Roman" w:cs="Times New Roman"/>
          <w:bCs/>
          <w:sz w:val="24"/>
          <w:szCs w:val="24"/>
        </w:rPr>
        <w:t xml:space="preserve">wypadkową stosowania </w:t>
      </w:r>
      <w:r w:rsidRPr="00C96268">
        <w:rPr>
          <w:rFonts w:ascii="Times New Roman" w:hAnsi="Times New Roman" w:cs="Times New Roman"/>
          <w:bCs/>
          <w:sz w:val="24"/>
          <w:szCs w:val="24"/>
        </w:rPr>
        <w:t xml:space="preserve">ust. </w:t>
      </w:r>
      <w:r w:rsidR="004A2AB8" w:rsidRPr="00C96268">
        <w:rPr>
          <w:rFonts w:ascii="Times New Roman" w:hAnsi="Times New Roman" w:cs="Times New Roman"/>
          <w:bCs/>
          <w:sz w:val="24"/>
          <w:szCs w:val="24"/>
        </w:rPr>
        <w:t>2</w:t>
      </w:r>
      <w:r w:rsidRPr="00C96268">
        <w:rPr>
          <w:rFonts w:ascii="Times New Roman" w:hAnsi="Times New Roman" w:cs="Times New Roman"/>
          <w:bCs/>
          <w:sz w:val="24"/>
          <w:szCs w:val="24"/>
          <w:vertAlign w:val="superscript"/>
        </w:rPr>
        <w:footnoteReference w:id="135"/>
      </w:r>
      <w:r w:rsidRPr="00C96268">
        <w:rPr>
          <w:rFonts w:ascii="Times New Roman" w:hAnsi="Times New Roman" w:cs="Times New Roman"/>
          <w:bCs/>
          <w:sz w:val="24"/>
          <w:szCs w:val="24"/>
        </w:rPr>
        <w:t xml:space="preserve"> wskazującą na sposób rozpoznawania </w:t>
      </w:r>
      <w:r w:rsidRPr="00C96268">
        <w:rPr>
          <w:rFonts w:ascii="Times New Roman" w:hAnsi="Times New Roman" w:cs="Times New Roman"/>
          <w:b/>
          <w:sz w:val="24"/>
          <w:szCs w:val="24"/>
        </w:rPr>
        <w:t>kwalifikowanego dochodu stałego</w:t>
      </w:r>
      <w:r w:rsidRPr="00C96268">
        <w:rPr>
          <w:rFonts w:ascii="Times New Roman" w:hAnsi="Times New Roman" w:cs="Times New Roman"/>
          <w:bCs/>
          <w:sz w:val="24"/>
          <w:szCs w:val="24"/>
        </w:rPr>
        <w:t xml:space="preserve"> </w:t>
      </w:r>
      <w:r w:rsidRPr="00C96268">
        <w:rPr>
          <w:rFonts w:ascii="Times New Roman" w:hAnsi="Times New Roman" w:cs="Times New Roman"/>
          <w:b/>
          <w:sz w:val="24"/>
          <w:szCs w:val="24"/>
        </w:rPr>
        <w:t>zakładu</w:t>
      </w:r>
      <w:r w:rsidRPr="00C96268">
        <w:rPr>
          <w:rFonts w:ascii="Times New Roman" w:hAnsi="Times New Roman" w:cs="Times New Roman"/>
          <w:bCs/>
          <w:sz w:val="24"/>
          <w:szCs w:val="24"/>
        </w:rPr>
        <w:t xml:space="preserve"> osiągniętego w kolejnych latach podatkowych, tj. po roku, o którym mowa w ust. </w:t>
      </w:r>
      <w:r w:rsidR="004A2AB8" w:rsidRPr="00C96268">
        <w:rPr>
          <w:rFonts w:ascii="Times New Roman" w:hAnsi="Times New Roman" w:cs="Times New Roman"/>
          <w:bCs/>
          <w:sz w:val="24"/>
          <w:szCs w:val="24"/>
        </w:rPr>
        <w:t>2</w:t>
      </w:r>
      <w:r w:rsidRPr="00C96268">
        <w:rPr>
          <w:rFonts w:ascii="Times New Roman" w:hAnsi="Times New Roman" w:cs="Times New Roman"/>
          <w:bCs/>
          <w:sz w:val="24"/>
          <w:szCs w:val="24"/>
        </w:rPr>
        <w:t xml:space="preserve">. Otóż będzie on traktowany jako kwalifikowany dochód centrali (nie stałego zakładu) do wysokości kwalifikowanej straty, która uprzednio była rozliczona jako koszt centrali na podstawie ust. </w:t>
      </w:r>
      <w:r w:rsidR="004A2AB8" w:rsidRPr="00C96268">
        <w:rPr>
          <w:rFonts w:ascii="Times New Roman" w:hAnsi="Times New Roman" w:cs="Times New Roman"/>
          <w:bCs/>
          <w:sz w:val="24"/>
          <w:szCs w:val="24"/>
        </w:rPr>
        <w:t>2</w:t>
      </w:r>
      <w:r w:rsidRPr="00C96268">
        <w:rPr>
          <w:rFonts w:ascii="Times New Roman" w:hAnsi="Times New Roman" w:cs="Times New Roman"/>
          <w:bCs/>
          <w:sz w:val="24"/>
          <w:szCs w:val="24"/>
        </w:rPr>
        <w:t>. (tj. do celów obliczenia jej dochodu lub straty).</w:t>
      </w:r>
    </w:p>
    <w:p w14:paraId="06F7F4E2" w14:textId="0AB9EC9C" w:rsidR="00F73D4E" w:rsidRPr="00C96268" w:rsidRDefault="00F73D4E" w:rsidP="00F73D4E">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Zasada ta znajdzie zastosowanie do całej kwoty straty traktowanej jako koszt przy obliczaniu krajowego dochodu lub straty centrali podlegającej opodatkowaniu. W związku z tym, nawet jeśli strata stała się częścią przeniesienia straty w </w:t>
      </w:r>
      <w:r w:rsidR="00CA3713" w:rsidRPr="00C96268">
        <w:rPr>
          <w:rFonts w:ascii="Times New Roman" w:hAnsi="Times New Roman" w:cs="Times New Roman"/>
          <w:bCs/>
          <w:sz w:val="24"/>
          <w:szCs w:val="24"/>
        </w:rPr>
        <w:t>jurysdykcji</w:t>
      </w:r>
      <w:r w:rsidR="00CA3713" w:rsidRPr="00C96268" w:rsidDel="00CA3713">
        <w:rPr>
          <w:rFonts w:ascii="Times New Roman" w:hAnsi="Times New Roman" w:cs="Times New Roman"/>
          <w:bCs/>
          <w:sz w:val="24"/>
          <w:szCs w:val="24"/>
        </w:rPr>
        <w:t xml:space="preserve"> </w:t>
      </w:r>
      <w:r w:rsidRPr="00C96268">
        <w:rPr>
          <w:rFonts w:ascii="Times New Roman" w:hAnsi="Times New Roman" w:cs="Times New Roman"/>
          <w:bCs/>
          <w:sz w:val="24"/>
          <w:szCs w:val="24"/>
        </w:rPr>
        <w:t>centrali, która wygasła przed jej pełnym wykorzystaniem, dochód stałego zakładu w zakresie tej straty jest traktowany jako kwalifikowany dochód centrali. Jest to podejście pozwalające na uniknięcie trudności związanych najogólniej mówiąc ze śledzeniem rozliczania straty (szereg złożonych reguł koniecznych do administrowania regułą śledzenia).</w:t>
      </w:r>
    </w:p>
    <w:p w14:paraId="717A2D1C" w14:textId="07F1E4CA" w:rsidR="00F73D4E" w:rsidRPr="00C96268" w:rsidRDefault="00F73D4E" w:rsidP="00F73D4E">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 xml:space="preserve">Ust. </w:t>
      </w:r>
      <w:r w:rsidR="004A2AB8" w:rsidRPr="00C96268">
        <w:rPr>
          <w:rFonts w:ascii="Times New Roman" w:hAnsi="Times New Roman" w:cs="Times New Roman"/>
          <w:b/>
          <w:sz w:val="24"/>
          <w:szCs w:val="24"/>
        </w:rPr>
        <w:t>4</w:t>
      </w:r>
      <w:r w:rsidRPr="00C96268">
        <w:rPr>
          <w:rFonts w:ascii="Times New Roman" w:hAnsi="Times New Roman" w:cs="Times New Roman"/>
          <w:bCs/>
          <w:sz w:val="24"/>
          <w:szCs w:val="24"/>
        </w:rPr>
        <w:t xml:space="preserve"> ma charakter porządkujący bowiem wskazuje, że przepisy ust. 1 znajdują odpowiednie zastosowanie w przypadku, gdy strata stałego zakładu rozliczana jest poprzez przychody i koszty mające bezpośredni wpływ na jej wysokość.</w:t>
      </w:r>
    </w:p>
    <w:p w14:paraId="5B3F6B9C" w14:textId="22B79954" w:rsidR="00CE1F09" w:rsidRPr="00C96268" w:rsidRDefault="00CE1F09" w:rsidP="00CE1F09">
      <w:pPr>
        <w:pStyle w:val="Nagwek4"/>
        <w:spacing w:before="240"/>
        <w:jc w:val="both"/>
        <w:rPr>
          <w:rFonts w:ascii="Times New Roman" w:hAnsi="Times New Roman" w:cs="Times New Roman"/>
          <w:sz w:val="24"/>
          <w:szCs w:val="24"/>
        </w:rPr>
      </w:pPr>
      <w:r w:rsidRPr="00C96268">
        <w:rPr>
          <w:rFonts w:ascii="Times New Roman" w:hAnsi="Times New Roman" w:cs="Times New Roman"/>
          <w:sz w:val="24"/>
          <w:szCs w:val="24"/>
        </w:rPr>
        <w:t>Oddział 3 – Szczególne zasady przydzielania księgowego dochodu (straty) netto jednostce pośredniczącej</w:t>
      </w:r>
    </w:p>
    <w:p w14:paraId="2B101E02" w14:textId="77777777" w:rsidR="00CE1F09" w:rsidRPr="00C96268" w:rsidRDefault="00CE1F09" w:rsidP="00CE1F09">
      <w:pPr>
        <w:pStyle w:val="Nagwek5"/>
        <w:rPr>
          <w:rFonts w:ascii="Times New Roman" w:hAnsi="Times New Roman" w:cs="Times New Roman"/>
          <w:sz w:val="24"/>
          <w:szCs w:val="24"/>
        </w:rPr>
      </w:pPr>
      <w:r w:rsidRPr="00C96268">
        <w:rPr>
          <w:rFonts w:ascii="Times New Roman" w:hAnsi="Times New Roman" w:cs="Times New Roman"/>
          <w:sz w:val="24"/>
          <w:szCs w:val="24"/>
        </w:rPr>
        <w:t xml:space="preserve">Art. 73 - 76 [Przydzielanie/alokacja księgowego dochodu (straty) netto jednostce pośredniczącej] </w:t>
      </w:r>
    </w:p>
    <w:p w14:paraId="245C0081" w14:textId="7F782159"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Przepisy </w:t>
      </w:r>
      <w:r w:rsidRPr="00C96268">
        <w:rPr>
          <w:rFonts w:ascii="Times New Roman" w:hAnsi="Times New Roman" w:cs="Times New Roman"/>
          <w:b/>
          <w:bCs/>
          <w:sz w:val="24"/>
          <w:szCs w:val="24"/>
        </w:rPr>
        <w:t xml:space="preserve">art. 73 - 76 </w:t>
      </w:r>
      <w:r w:rsidRPr="00C96268">
        <w:rPr>
          <w:rFonts w:ascii="Times New Roman" w:hAnsi="Times New Roman" w:cs="Times New Roman"/>
          <w:sz w:val="24"/>
          <w:szCs w:val="24"/>
        </w:rPr>
        <w:t xml:space="preserve">ustawy </w:t>
      </w:r>
      <w:r w:rsidRPr="00C96268">
        <w:rPr>
          <w:rFonts w:ascii="Times New Roman" w:hAnsi="Times New Roman" w:cs="Times New Roman"/>
          <w:bCs/>
          <w:sz w:val="24"/>
          <w:szCs w:val="24"/>
        </w:rPr>
        <w:t xml:space="preserve">– stanowiące </w:t>
      </w:r>
      <w:r w:rsidRPr="00C96268">
        <w:rPr>
          <w:rFonts w:ascii="Times New Roman" w:hAnsi="Times New Roman" w:cs="Times New Roman"/>
          <w:sz w:val="24"/>
          <w:szCs w:val="24"/>
        </w:rPr>
        <w:t>implementację art. 19 Dyrektywy</w:t>
      </w:r>
      <w:r w:rsidRPr="00C96268">
        <w:rPr>
          <w:rFonts w:ascii="Times New Roman" w:hAnsi="Times New Roman" w:cs="Times New Roman"/>
          <w:bCs/>
          <w:sz w:val="24"/>
          <w:szCs w:val="24"/>
        </w:rPr>
        <w:t xml:space="preserve"> – określają zasady przydzielania księgowego dochodu (straty) netto jednostki składowej grupy, będącej </w:t>
      </w:r>
      <w:r w:rsidRPr="00C96268">
        <w:rPr>
          <w:rFonts w:ascii="Times New Roman" w:hAnsi="Times New Roman" w:cs="Times New Roman"/>
          <w:sz w:val="24"/>
          <w:szCs w:val="24"/>
        </w:rPr>
        <w:t>jednostką pośredniczącą</w:t>
      </w:r>
      <w:r w:rsidRPr="00C96268">
        <w:rPr>
          <w:rFonts w:ascii="Times New Roman" w:hAnsi="Times New Roman" w:cs="Times New Roman"/>
          <w:bCs/>
          <w:sz w:val="24"/>
          <w:szCs w:val="24"/>
        </w:rPr>
        <w:t xml:space="preserve"> w rozumieniu art. 3 ust. 2, na rzecz innych jednostek takich jak stałe zakłady, właściciele tej jednostki niewchodzący w skład grupy oraz jednostki będące właścicielami (tj. wchodzące w skład grupy).</w:t>
      </w:r>
      <w:r w:rsidR="00DE0ED7" w:rsidRPr="00C96268">
        <w:rPr>
          <w:rStyle w:val="Odwoanieprzypisudolnego"/>
          <w:rFonts w:ascii="Times New Roman" w:hAnsi="Times New Roman" w:cs="Times New Roman"/>
          <w:bCs/>
          <w:sz w:val="24"/>
          <w:szCs w:val="24"/>
        </w:rPr>
        <w:footnoteReference w:id="136"/>
      </w:r>
    </w:p>
    <w:p w14:paraId="788C1D2A" w14:textId="189DADFA"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nawiązaniu do wskazanych przepisów definiujących pojęcie jednostki pośredniczącej, należy wspomnieć, że jest nią - co do zasady - jednostka przejrzysta podatkowo</w:t>
      </w:r>
      <w:r w:rsidRPr="00C96268">
        <w:rPr>
          <w:rFonts w:ascii="Times New Roman" w:hAnsi="Times New Roman" w:cs="Times New Roman"/>
          <w:bCs/>
          <w:sz w:val="24"/>
          <w:szCs w:val="24"/>
          <w:vertAlign w:val="superscript"/>
        </w:rPr>
        <w:footnoteReference w:id="137"/>
      </w:r>
      <w:r w:rsidRPr="00C96268">
        <w:rPr>
          <w:rFonts w:ascii="Times New Roman" w:hAnsi="Times New Roman" w:cs="Times New Roman"/>
          <w:bCs/>
          <w:sz w:val="24"/>
          <w:szCs w:val="24"/>
        </w:rPr>
        <w:t xml:space="preserve"> w </w:t>
      </w:r>
      <w:r w:rsidR="00CA3713" w:rsidRPr="00C96268">
        <w:rPr>
          <w:rFonts w:ascii="Times New Roman" w:hAnsi="Times New Roman" w:cs="Times New Roman"/>
          <w:bCs/>
          <w:sz w:val="24"/>
          <w:szCs w:val="24"/>
        </w:rPr>
        <w:t>jurysdykcji</w:t>
      </w:r>
      <w:r w:rsidRPr="00C96268">
        <w:rPr>
          <w:rFonts w:ascii="Times New Roman" w:hAnsi="Times New Roman" w:cs="Times New Roman"/>
          <w:bCs/>
          <w:sz w:val="24"/>
          <w:szCs w:val="24"/>
        </w:rPr>
        <w:t xml:space="preserve">, w </w:t>
      </w:r>
      <w:r w:rsidR="00CA3713" w:rsidRPr="00C96268">
        <w:rPr>
          <w:rFonts w:ascii="Times New Roman" w:hAnsi="Times New Roman" w:cs="Times New Roman"/>
          <w:bCs/>
          <w:sz w:val="24"/>
          <w:szCs w:val="24"/>
        </w:rPr>
        <w:t xml:space="preserve">której </w:t>
      </w:r>
      <w:r w:rsidRPr="00C96268">
        <w:rPr>
          <w:rFonts w:ascii="Times New Roman" w:hAnsi="Times New Roman" w:cs="Times New Roman"/>
          <w:bCs/>
          <w:sz w:val="24"/>
          <w:szCs w:val="24"/>
        </w:rPr>
        <w:t xml:space="preserve">została utworzona. Jednostka ta funkcjonuje zasadniczo w dwóch formach, tj. jako </w:t>
      </w:r>
      <w:r w:rsidRPr="00C96268">
        <w:rPr>
          <w:rFonts w:ascii="Times New Roman" w:hAnsi="Times New Roman" w:cs="Times New Roman"/>
          <w:sz w:val="24"/>
          <w:szCs w:val="24"/>
        </w:rPr>
        <w:t>jednostka transparentna podatkowo</w:t>
      </w:r>
      <w:r w:rsidRPr="00C96268">
        <w:rPr>
          <w:rFonts w:ascii="Times New Roman" w:hAnsi="Times New Roman" w:cs="Times New Roman"/>
          <w:bCs/>
          <w:sz w:val="24"/>
          <w:szCs w:val="24"/>
        </w:rPr>
        <w:t xml:space="preserve"> oraz </w:t>
      </w:r>
      <w:r w:rsidRPr="00C96268">
        <w:rPr>
          <w:rFonts w:ascii="Times New Roman" w:hAnsi="Times New Roman" w:cs="Times New Roman"/>
          <w:sz w:val="24"/>
          <w:szCs w:val="24"/>
        </w:rPr>
        <w:t>odwrócona jednostka hybrydowa</w:t>
      </w:r>
      <w:r w:rsidRPr="00C96268">
        <w:rPr>
          <w:rFonts w:ascii="Times New Roman" w:hAnsi="Times New Roman" w:cs="Times New Roman"/>
          <w:bCs/>
          <w:sz w:val="24"/>
          <w:szCs w:val="24"/>
        </w:rPr>
        <w:t xml:space="preserve">. </w:t>
      </w:r>
    </w:p>
    <w:p w14:paraId="3247DF53" w14:textId="0C661EEE"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Wprowadzane regulacje art. 73 – 76 ustawy  wskazują metodologię postępowania, na gruncie Systemu GloBE w okolicznościach, gdy w skład grupy wchodzi jednostka pośrednicząca. Zastosowanie zasad </w:t>
      </w:r>
      <w:r w:rsidR="00DE0ED7" w:rsidRPr="00C96268">
        <w:rPr>
          <w:rFonts w:ascii="Times New Roman" w:hAnsi="Times New Roman" w:cs="Times New Roman"/>
          <w:bCs/>
          <w:sz w:val="24"/>
          <w:szCs w:val="24"/>
        </w:rPr>
        <w:t xml:space="preserve">przydziału / </w:t>
      </w:r>
      <w:r w:rsidRPr="00C96268">
        <w:rPr>
          <w:rFonts w:ascii="Times New Roman" w:hAnsi="Times New Roman" w:cs="Times New Roman"/>
          <w:bCs/>
          <w:sz w:val="24"/>
          <w:szCs w:val="24"/>
        </w:rPr>
        <w:t>alokacji odbywa się w kilku etapach opisanych poniżej</w:t>
      </w:r>
      <w:r w:rsidRPr="00C96268">
        <w:rPr>
          <w:rFonts w:ascii="Times New Roman" w:hAnsi="Times New Roman" w:cs="Times New Roman"/>
          <w:bCs/>
          <w:sz w:val="24"/>
          <w:szCs w:val="24"/>
          <w:vertAlign w:val="superscript"/>
        </w:rPr>
        <w:footnoteReference w:id="138"/>
      </w:r>
      <w:r w:rsidRPr="00C96268">
        <w:rPr>
          <w:rFonts w:ascii="Times New Roman" w:hAnsi="Times New Roman" w:cs="Times New Roman"/>
          <w:bCs/>
          <w:sz w:val="24"/>
          <w:szCs w:val="24"/>
        </w:rPr>
        <w:t>.</w:t>
      </w:r>
    </w:p>
    <w:p w14:paraId="0A4F51CA" w14:textId="77777777" w:rsidR="00CE1F09" w:rsidRPr="00C96268" w:rsidRDefault="00CE1F09" w:rsidP="00CE1F09">
      <w:pPr>
        <w:spacing w:after="120"/>
        <w:jc w:val="both"/>
        <w:rPr>
          <w:rFonts w:ascii="Times New Roman" w:hAnsi="Times New Roman" w:cs="Times New Roman"/>
          <w:b/>
          <w:sz w:val="24"/>
          <w:szCs w:val="24"/>
        </w:rPr>
      </w:pPr>
      <w:r w:rsidRPr="00C96268">
        <w:rPr>
          <w:rFonts w:ascii="Times New Roman" w:hAnsi="Times New Roman" w:cs="Times New Roman"/>
          <w:b/>
          <w:sz w:val="24"/>
          <w:szCs w:val="24"/>
        </w:rPr>
        <w:t xml:space="preserve">Etap I </w:t>
      </w:r>
      <w:r w:rsidRPr="00C96268">
        <w:rPr>
          <w:rFonts w:ascii="Times New Roman" w:hAnsi="Times New Roman" w:cs="Times New Roman"/>
          <w:bCs/>
          <w:sz w:val="24"/>
          <w:szCs w:val="24"/>
        </w:rPr>
        <w:t>(</w:t>
      </w:r>
      <w:r w:rsidRPr="00C96268">
        <w:rPr>
          <w:rFonts w:ascii="Times New Roman" w:hAnsi="Times New Roman" w:cs="Times New Roman"/>
          <w:b/>
          <w:sz w:val="24"/>
          <w:szCs w:val="24"/>
        </w:rPr>
        <w:t>art. 73</w:t>
      </w:r>
      <w:r w:rsidRPr="00C96268">
        <w:rPr>
          <w:rFonts w:ascii="Times New Roman" w:hAnsi="Times New Roman" w:cs="Times New Roman"/>
          <w:bCs/>
          <w:sz w:val="24"/>
          <w:szCs w:val="24"/>
        </w:rPr>
        <w:t xml:space="preserve"> ustawy)</w:t>
      </w:r>
    </w:p>
    <w:p w14:paraId="4E321482" w14:textId="123614AC" w:rsidR="00AF4287" w:rsidRPr="00C96268" w:rsidRDefault="00CE1F09" w:rsidP="00AF4287">
      <w:pPr>
        <w:spacing w:after="120"/>
        <w:jc w:val="both"/>
        <w:rPr>
          <w:rFonts w:ascii="Times New Roman" w:hAnsi="Times New Roman" w:cs="Times New Roman"/>
          <w:sz w:val="24"/>
          <w:szCs w:val="24"/>
        </w:rPr>
      </w:pPr>
      <w:r w:rsidRPr="00C96268">
        <w:rPr>
          <w:rFonts w:ascii="Times New Roman" w:hAnsi="Times New Roman" w:cs="Times New Roman"/>
          <w:bCs/>
          <w:sz w:val="24"/>
          <w:szCs w:val="24"/>
        </w:rPr>
        <w:t>Właściwą procedurę przydzielania księgowego dochodu (straty) netto jednostki pośredniczącej</w:t>
      </w:r>
      <w:r w:rsidR="00AF4287" w:rsidRPr="00C96268">
        <w:rPr>
          <w:rFonts w:ascii="Times New Roman" w:hAnsi="Times New Roman" w:cs="Times New Roman"/>
          <w:bCs/>
          <w:sz w:val="24"/>
          <w:szCs w:val="24"/>
        </w:rPr>
        <w:t xml:space="preserve"> innym jednostkom składowym z grupy</w:t>
      </w:r>
      <w:r w:rsidRPr="00C96268">
        <w:rPr>
          <w:rFonts w:ascii="Times New Roman" w:hAnsi="Times New Roman" w:cs="Times New Roman"/>
          <w:bCs/>
          <w:sz w:val="24"/>
          <w:szCs w:val="24"/>
        </w:rPr>
        <w:t xml:space="preserve"> poprzedza </w:t>
      </w:r>
      <w:r w:rsidRPr="00C96268">
        <w:rPr>
          <w:rFonts w:ascii="Times New Roman" w:hAnsi="Times New Roman" w:cs="Times New Roman"/>
          <w:b/>
          <w:sz w:val="24"/>
          <w:szCs w:val="24"/>
        </w:rPr>
        <w:t xml:space="preserve">obowiązek jego pomniejszenia o kwotę przypadającą na właścicieli jednostki pośredniczącej, którzy </w:t>
      </w:r>
      <w:r w:rsidRPr="00C96268">
        <w:rPr>
          <w:rFonts w:ascii="Times New Roman" w:hAnsi="Times New Roman" w:cs="Times New Roman"/>
          <w:b/>
          <w:sz w:val="24"/>
          <w:szCs w:val="24"/>
          <w:u w:val="single"/>
        </w:rPr>
        <w:t>nie są</w:t>
      </w:r>
      <w:r w:rsidRPr="00C96268">
        <w:rPr>
          <w:rFonts w:ascii="Times New Roman" w:hAnsi="Times New Roman" w:cs="Times New Roman"/>
          <w:b/>
          <w:sz w:val="24"/>
          <w:szCs w:val="24"/>
        </w:rPr>
        <w:t xml:space="preserve"> jednostkami składowymi grupy</w:t>
      </w:r>
      <w:r w:rsidRPr="00C96268">
        <w:rPr>
          <w:rFonts w:ascii="Times New Roman" w:hAnsi="Times New Roman" w:cs="Times New Roman"/>
          <w:bCs/>
          <w:sz w:val="24"/>
          <w:szCs w:val="24"/>
        </w:rPr>
        <w:t xml:space="preserve"> i którzy posiadają udziały własnościowe w takiej jednostce pośredniczącej bezpośrednio lub za pośrednictwem jednej lub kilku jednostek transparentnych podatkowo</w:t>
      </w:r>
      <w:r w:rsidRPr="00C96268" w:rsidDel="00EC390C">
        <w:rPr>
          <w:rFonts w:ascii="Times New Roman" w:hAnsi="Times New Roman" w:cs="Times New Roman"/>
          <w:bCs/>
          <w:sz w:val="24"/>
          <w:szCs w:val="24"/>
        </w:rPr>
        <w:t xml:space="preserve"> </w:t>
      </w:r>
      <w:r w:rsidRPr="00C96268">
        <w:rPr>
          <w:rFonts w:ascii="Times New Roman" w:hAnsi="Times New Roman" w:cs="Times New Roman"/>
          <w:b/>
          <w:sz w:val="24"/>
          <w:szCs w:val="24"/>
        </w:rPr>
        <w:t>(art.</w:t>
      </w:r>
      <w:r w:rsidR="00D724B9">
        <w:rPr>
          <w:rFonts w:ascii="Times New Roman" w:hAnsi="Times New Roman" w:cs="Times New Roman"/>
          <w:b/>
          <w:sz w:val="24"/>
          <w:szCs w:val="24"/>
        </w:rPr>
        <w:t> </w:t>
      </w:r>
      <w:r w:rsidRPr="00C96268">
        <w:rPr>
          <w:rFonts w:ascii="Times New Roman" w:hAnsi="Times New Roman" w:cs="Times New Roman"/>
          <w:b/>
          <w:sz w:val="24"/>
          <w:szCs w:val="24"/>
        </w:rPr>
        <w:t>73 ust. 1 ustawy)</w:t>
      </w:r>
      <w:r w:rsidRPr="00C96268">
        <w:rPr>
          <w:rFonts w:ascii="Times New Roman" w:hAnsi="Times New Roman" w:cs="Times New Roman"/>
          <w:bCs/>
          <w:sz w:val="24"/>
          <w:szCs w:val="24"/>
        </w:rPr>
        <w:t>.</w:t>
      </w:r>
    </w:p>
    <w:p w14:paraId="38571C6E" w14:textId="77777777" w:rsidR="00AF4287" w:rsidRPr="00C96268" w:rsidRDefault="00CE1F09" w:rsidP="00AF4287">
      <w:pPr>
        <w:spacing w:before="120" w:after="120"/>
        <w:jc w:val="both"/>
        <w:rPr>
          <w:rFonts w:ascii="Times New Roman" w:hAnsi="Times New Roman" w:cs="Times New Roman"/>
          <w:sz w:val="24"/>
          <w:szCs w:val="24"/>
        </w:rPr>
      </w:pPr>
      <w:r w:rsidRPr="00C96268">
        <w:rPr>
          <w:rFonts w:ascii="Times New Roman" w:hAnsi="Times New Roman" w:cs="Times New Roman"/>
          <w:sz w:val="24"/>
          <w:szCs w:val="24"/>
        </w:rPr>
        <w:t xml:space="preserve">W związku z powyższym, docelowo wartość księgowego dochodu (straty) netto będzie odzwierciedlała tylko część należącą do jednostek grupy, co ma bezpośredni wpływ na prawidłowe obliczenie efektywnej stawki podatkowej (jako że w tej procedurze brane są pod uwagę wyłącznie podatki płacone przez jednostki grupy). </w:t>
      </w:r>
    </w:p>
    <w:p w14:paraId="35E5258F" w14:textId="5F8D9B39" w:rsidR="00F71507" w:rsidRPr="003E7A67" w:rsidRDefault="00F71507" w:rsidP="00F7150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r w:rsidRPr="003E7A67">
        <w:rPr>
          <w:rFonts w:asciiTheme="minorHAnsi" w:hAnsiTheme="minorHAnsi" w:cstheme="minorHAnsi"/>
          <w:bCs w:val="0"/>
          <w:sz w:val="22"/>
          <w:szCs w:val="22"/>
        </w:rPr>
        <w:t>[Komentarz, 3.5.3;</w:t>
      </w:r>
      <w:r>
        <w:rPr>
          <w:rFonts w:asciiTheme="minorHAnsi" w:hAnsiTheme="minorHAnsi" w:cstheme="minorHAnsi"/>
          <w:bCs w:val="0"/>
          <w:sz w:val="22"/>
          <w:szCs w:val="22"/>
        </w:rPr>
        <w:t xml:space="preserve"> </w:t>
      </w:r>
      <w:r w:rsidRPr="003E7A67">
        <w:rPr>
          <w:rFonts w:asciiTheme="minorHAnsi" w:hAnsiTheme="minorHAnsi" w:cstheme="minorHAnsi"/>
          <w:bCs w:val="0"/>
          <w:sz w:val="22"/>
          <w:szCs w:val="22"/>
        </w:rPr>
        <w:t>22</w:t>
      </w:r>
      <w:r>
        <w:rPr>
          <w:rFonts w:asciiTheme="minorHAnsi" w:hAnsiTheme="minorHAnsi" w:cstheme="minorHAnsi"/>
          <w:bCs w:val="0"/>
          <w:sz w:val="22"/>
          <w:szCs w:val="22"/>
        </w:rPr>
        <w:t>9</w:t>
      </w:r>
      <w:r w:rsidRPr="003E7A67">
        <w:rPr>
          <w:rFonts w:asciiTheme="minorHAnsi" w:hAnsiTheme="minorHAnsi" w:cstheme="minorHAnsi"/>
          <w:bCs w:val="0"/>
          <w:sz w:val="22"/>
          <w:szCs w:val="22"/>
        </w:rPr>
        <w:t>]</w:t>
      </w:r>
    </w:p>
    <w:p w14:paraId="32DEC215" w14:textId="6BA772E4" w:rsidR="00F71507" w:rsidRPr="00F71507" w:rsidRDefault="00F71507" w:rsidP="00F7150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sz w:val="22"/>
          <w:szCs w:val="22"/>
        </w:rPr>
      </w:pPr>
      <w:r>
        <w:rPr>
          <w:rFonts w:asciiTheme="minorHAnsi" w:hAnsiTheme="minorHAnsi" w:cstheme="minorHAnsi"/>
          <w:sz w:val="22"/>
          <w:szCs w:val="22"/>
        </w:rPr>
        <w:t>K</w:t>
      </w:r>
      <w:r w:rsidRPr="00F71507">
        <w:rPr>
          <w:rFonts w:asciiTheme="minorHAnsi" w:hAnsiTheme="minorHAnsi" w:cstheme="minorHAnsi"/>
          <w:bCs w:val="0"/>
          <w:sz w:val="22"/>
          <w:szCs w:val="22"/>
        </w:rPr>
        <w:t>sięgowy dochód</w:t>
      </w:r>
      <w:r w:rsidRPr="00F71507">
        <w:rPr>
          <w:rFonts w:asciiTheme="minorHAnsi" w:hAnsiTheme="minorHAnsi" w:cstheme="minorHAnsi"/>
          <w:sz w:val="22"/>
          <w:szCs w:val="22"/>
        </w:rPr>
        <w:t xml:space="preserve"> (strata)</w:t>
      </w:r>
      <w:r w:rsidRPr="00F71507">
        <w:rPr>
          <w:rFonts w:asciiTheme="minorHAnsi" w:hAnsiTheme="minorHAnsi" w:cstheme="minorHAnsi"/>
          <w:bCs w:val="0"/>
          <w:sz w:val="22"/>
          <w:szCs w:val="22"/>
        </w:rPr>
        <w:t xml:space="preserve"> netto </w:t>
      </w:r>
      <w:r w:rsidRPr="00F71507">
        <w:rPr>
          <w:rFonts w:asciiTheme="minorHAnsi" w:hAnsiTheme="minorHAnsi" w:cstheme="minorHAnsi"/>
          <w:sz w:val="22"/>
          <w:szCs w:val="22"/>
        </w:rPr>
        <w:t>jednostki pośredniczącej</w:t>
      </w:r>
      <w:r w:rsidRPr="00F71507">
        <w:rPr>
          <w:rFonts w:asciiTheme="minorHAnsi" w:hAnsiTheme="minorHAnsi" w:cstheme="minorHAnsi"/>
          <w:bCs w:val="0"/>
          <w:sz w:val="22"/>
          <w:szCs w:val="22"/>
        </w:rPr>
        <w:t xml:space="preserve"> wynosi 200</w:t>
      </w:r>
      <w:r w:rsidRPr="00F71507">
        <w:rPr>
          <w:rFonts w:asciiTheme="minorHAnsi" w:hAnsiTheme="minorHAnsi" w:cstheme="minorHAnsi"/>
          <w:sz w:val="22"/>
          <w:szCs w:val="22"/>
        </w:rPr>
        <w:t>. Jeżeli</w:t>
      </w:r>
      <w:r w:rsidRPr="00F71507">
        <w:rPr>
          <w:rFonts w:asciiTheme="minorHAnsi" w:hAnsiTheme="minorHAnsi" w:cstheme="minorHAnsi"/>
          <w:bCs w:val="0"/>
          <w:sz w:val="22"/>
          <w:szCs w:val="22"/>
        </w:rPr>
        <w:t xml:space="preserve"> 40% udziałów własnościowych </w:t>
      </w:r>
      <w:r w:rsidRPr="00F71507">
        <w:rPr>
          <w:rFonts w:asciiTheme="minorHAnsi" w:hAnsiTheme="minorHAnsi" w:cstheme="minorHAnsi"/>
          <w:sz w:val="22"/>
          <w:szCs w:val="22"/>
        </w:rPr>
        <w:t>jednostki pośredniczącej</w:t>
      </w:r>
      <w:r w:rsidRPr="00F71507">
        <w:rPr>
          <w:rFonts w:asciiTheme="minorHAnsi" w:hAnsiTheme="minorHAnsi" w:cstheme="minorHAnsi"/>
          <w:bCs w:val="0"/>
          <w:sz w:val="22"/>
          <w:szCs w:val="22"/>
        </w:rPr>
        <w:t xml:space="preserve"> znajduje się w posiadaniu </w:t>
      </w:r>
      <w:r w:rsidRPr="00F71507">
        <w:rPr>
          <w:rFonts w:asciiTheme="minorHAnsi" w:hAnsiTheme="minorHAnsi" w:cstheme="minorHAnsi"/>
          <w:sz w:val="22"/>
          <w:szCs w:val="22"/>
        </w:rPr>
        <w:t>osób</w:t>
      </w:r>
      <w:r w:rsidRPr="00F71507">
        <w:rPr>
          <w:rFonts w:asciiTheme="minorHAnsi" w:hAnsiTheme="minorHAnsi" w:cstheme="minorHAnsi"/>
          <w:bCs w:val="0"/>
          <w:sz w:val="22"/>
          <w:szCs w:val="22"/>
        </w:rPr>
        <w:t xml:space="preserve"> nienależących do grupy, tzw. „udziałowców mniejszościowych”, co do zasady, zgodnie z opisywanym art. 73 ust. 1 ustawy, księgowy dochód jednostki pośredniczącej zmniejsza się o 80 (200 x 40%), ponieważ jest to kwota, którą można przypisać udziałowcom mniejszościowym.</w:t>
      </w:r>
    </w:p>
    <w:p w14:paraId="31881BCC" w14:textId="77777777" w:rsidR="00D724B9" w:rsidRPr="00D724B9" w:rsidRDefault="00D724B9" w:rsidP="00CE1F09">
      <w:pPr>
        <w:spacing w:after="120"/>
        <w:jc w:val="both"/>
        <w:rPr>
          <w:rFonts w:ascii="Times New Roman" w:hAnsi="Times New Roman" w:cs="Times New Roman"/>
          <w:sz w:val="8"/>
          <w:szCs w:val="8"/>
        </w:rPr>
      </w:pPr>
    </w:p>
    <w:p w14:paraId="1C1F1B53" w14:textId="11277389"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 xml:space="preserve">W ślad za powyższym, również skorygowane podatki kwalifikowane pomniejsza się o ewentualny </w:t>
      </w:r>
      <w:r w:rsidRPr="00C96268">
        <w:rPr>
          <w:rFonts w:ascii="Times New Roman" w:hAnsi="Times New Roman" w:cs="Times New Roman"/>
          <w:bCs/>
          <w:sz w:val="24"/>
          <w:szCs w:val="24"/>
        </w:rPr>
        <w:t>podatek kwalifikowany jednostki pośredniczącej, który jest powiązany z księgowym dochodem (stratą) netto właścicieli spoza grupy, który wyklucza się z księgowego dochodu (straty) netto tej jednostki. Kwota takiego podatku ulega zmniejszeniu w tej samej proporcji.</w:t>
      </w:r>
      <w:bookmarkStart w:id="36" w:name="_Hlk149292815"/>
      <w:r w:rsidRPr="00C96268">
        <w:rPr>
          <w:rFonts w:ascii="Times New Roman" w:hAnsi="Times New Roman" w:cs="Times New Roman"/>
          <w:bCs/>
          <w:sz w:val="24"/>
          <w:szCs w:val="24"/>
        </w:rPr>
        <w:t xml:space="preserve"> Wynika to z zasad ogólnych dotyczących ujmowania skorygowanych podatków kwalifikowanych w odniesieniu do kwot wyłączonych z kwalifikowanego dochodu (straty).</w:t>
      </w:r>
    </w:p>
    <w:bookmarkEnd w:id="36"/>
    <w:p w14:paraId="7067F33A" w14:textId="1D8BD948" w:rsidR="00CE1F09" w:rsidRPr="003E7A67" w:rsidRDefault="00CE1F09"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r w:rsidR="00F71507" w:rsidRPr="003E7A67">
        <w:rPr>
          <w:rFonts w:asciiTheme="minorHAnsi" w:hAnsiTheme="minorHAnsi" w:cstheme="minorHAnsi"/>
          <w:bCs w:val="0"/>
          <w:sz w:val="22"/>
          <w:szCs w:val="22"/>
        </w:rPr>
        <w:t>[Komentarz, 3.5.3;</w:t>
      </w:r>
      <w:r w:rsidR="00F71507">
        <w:rPr>
          <w:rFonts w:asciiTheme="minorHAnsi" w:hAnsiTheme="minorHAnsi" w:cstheme="minorHAnsi"/>
          <w:bCs w:val="0"/>
          <w:sz w:val="22"/>
          <w:szCs w:val="22"/>
        </w:rPr>
        <w:t xml:space="preserve"> </w:t>
      </w:r>
      <w:r w:rsidR="00F71507" w:rsidRPr="003E7A67">
        <w:rPr>
          <w:rFonts w:asciiTheme="minorHAnsi" w:hAnsiTheme="minorHAnsi" w:cstheme="minorHAnsi"/>
          <w:bCs w:val="0"/>
          <w:sz w:val="22"/>
          <w:szCs w:val="22"/>
        </w:rPr>
        <w:t>2</w:t>
      </w:r>
      <w:r w:rsidR="00F71507">
        <w:rPr>
          <w:rFonts w:asciiTheme="minorHAnsi" w:hAnsiTheme="minorHAnsi" w:cstheme="minorHAnsi"/>
          <w:bCs w:val="0"/>
          <w:sz w:val="22"/>
          <w:szCs w:val="22"/>
        </w:rPr>
        <w:t>30</w:t>
      </w:r>
      <w:r w:rsidR="00F71507" w:rsidRPr="003E7A67">
        <w:rPr>
          <w:rFonts w:asciiTheme="minorHAnsi" w:hAnsiTheme="minorHAnsi" w:cstheme="minorHAnsi"/>
          <w:bCs w:val="0"/>
          <w:sz w:val="22"/>
          <w:szCs w:val="22"/>
        </w:rPr>
        <w:t>]</w:t>
      </w:r>
    </w:p>
    <w:p w14:paraId="5EEADB20" w14:textId="77777777" w:rsidR="00CE1F09" w:rsidRPr="003E7A67" w:rsidRDefault="00CE1F09"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Jednostka pośrednicząca podlega opodatkowaniu w państwie trzecim nakładającym podatek dochodowy bezpośrednio na tę jednostkę. W kontekście przykładu przedstawionego wcześniej ze skorygowanych podatków kwalifikowanych wykluczono by 40% takiego podatku, zgodnie z proporcją księgowego dochodu, który został zredukowany (w odniesieniu do osób spoza grupy wykluczono 40% z 200 dochodu).</w:t>
      </w:r>
    </w:p>
    <w:p w14:paraId="72E5398E" w14:textId="77777777" w:rsidR="00CE1F09" w:rsidRPr="00C96268" w:rsidRDefault="00CE1F09" w:rsidP="00CE1F09">
      <w:pPr>
        <w:spacing w:before="240" w:after="120"/>
        <w:jc w:val="both"/>
        <w:rPr>
          <w:rFonts w:ascii="Times New Roman" w:hAnsi="Times New Roman" w:cs="Times New Roman"/>
          <w:bCs/>
          <w:sz w:val="24"/>
          <w:szCs w:val="24"/>
        </w:rPr>
      </w:pPr>
      <w:r w:rsidRPr="00C96268">
        <w:rPr>
          <w:rFonts w:ascii="Times New Roman" w:hAnsi="Times New Roman" w:cs="Times New Roman"/>
          <w:b/>
          <w:sz w:val="24"/>
          <w:szCs w:val="24"/>
        </w:rPr>
        <w:t>Art. 73 ust. 2 ustawy</w:t>
      </w:r>
      <w:r w:rsidRPr="00C96268">
        <w:rPr>
          <w:rFonts w:ascii="Times New Roman" w:hAnsi="Times New Roman" w:cs="Times New Roman"/>
          <w:bCs/>
          <w:sz w:val="24"/>
          <w:szCs w:val="24"/>
        </w:rPr>
        <w:t xml:space="preserve"> wskazuje, że pomniejszenie, o którym mowa w ust. 1, nie ma zastosowania do (i.) jednostki pośredniczącej będącej jednostką dominującą najwyższego szczebla lub (ii.) w której taka jednostka dominująca najwyższego szczebla posiada udziały własnościowe bezpośrednio lub za pośrednictwem jednej lub kilku jednostek transparentnych podatkowo. </w:t>
      </w:r>
      <w:r w:rsidRPr="00C96268">
        <w:rPr>
          <w:rFonts w:ascii="Times New Roman" w:hAnsi="Times New Roman" w:cs="Times New Roman"/>
          <w:sz w:val="24"/>
          <w:szCs w:val="24"/>
        </w:rPr>
        <w:t>Zasady traktowania takich jednostek i ich właścicieli spoza grupy regulują bowiem przepisy art. 113 niniejszego projektu ustawy (implementujący art. 38 Dyrektywy).</w:t>
      </w:r>
    </w:p>
    <w:p w14:paraId="5EDE021B" w14:textId="77777777" w:rsidR="00CE1F09" w:rsidRPr="00C96268" w:rsidRDefault="00CE1F09" w:rsidP="00CE1F09">
      <w:pPr>
        <w:spacing w:before="240" w:after="120"/>
        <w:jc w:val="both"/>
        <w:rPr>
          <w:rFonts w:ascii="Times New Roman" w:hAnsi="Times New Roman" w:cs="Times New Roman"/>
          <w:b/>
          <w:sz w:val="24"/>
          <w:szCs w:val="24"/>
        </w:rPr>
      </w:pPr>
      <w:r w:rsidRPr="00C96268">
        <w:rPr>
          <w:rFonts w:ascii="Times New Roman" w:hAnsi="Times New Roman" w:cs="Times New Roman"/>
          <w:b/>
          <w:sz w:val="24"/>
          <w:szCs w:val="24"/>
        </w:rPr>
        <w:t xml:space="preserve">Etap II </w:t>
      </w:r>
      <w:r w:rsidRPr="00C96268">
        <w:rPr>
          <w:rFonts w:ascii="Times New Roman" w:hAnsi="Times New Roman" w:cs="Times New Roman"/>
          <w:bCs/>
          <w:sz w:val="24"/>
          <w:szCs w:val="24"/>
        </w:rPr>
        <w:t>(art. 74 ustawy)</w:t>
      </w:r>
    </w:p>
    <w:p w14:paraId="2FB95138" w14:textId="338062A5" w:rsidR="00CE1F09" w:rsidRPr="00C96268" w:rsidRDefault="00CE1F09" w:rsidP="00F71507">
      <w:pPr>
        <w:spacing w:after="120"/>
        <w:jc w:val="both"/>
        <w:rPr>
          <w:rFonts w:ascii="Times New Roman" w:hAnsi="Times New Roman" w:cs="Times New Roman"/>
          <w:bCs/>
          <w:i/>
          <w:iCs/>
          <w:sz w:val="24"/>
          <w:szCs w:val="24"/>
        </w:rPr>
      </w:pPr>
      <w:bookmarkStart w:id="37" w:name="_Hlk149304661"/>
      <w:r w:rsidRPr="00C96268">
        <w:rPr>
          <w:rFonts w:ascii="Times New Roman" w:hAnsi="Times New Roman" w:cs="Times New Roman"/>
          <w:bCs/>
          <w:sz w:val="24"/>
          <w:szCs w:val="24"/>
        </w:rPr>
        <w:t xml:space="preserve">W przypadku, gdy jednostka pośrednicząca </w:t>
      </w:r>
      <w:r w:rsidRPr="00C96268">
        <w:rPr>
          <w:rFonts w:ascii="Times New Roman" w:hAnsi="Times New Roman" w:cs="Times New Roman"/>
          <w:sz w:val="24"/>
          <w:szCs w:val="24"/>
        </w:rPr>
        <w:t xml:space="preserve">prowadzi działalność w całości lub części za pośrednictwem stałego zakładu i ujęła księgowy dochód (stratę) netto takiego zakładu w swoim sprawozdaniu finansowym, księgowy dochód (stratę) netto stałego zakładu ustala się </w:t>
      </w:r>
      <w:r w:rsidR="005256B9" w:rsidRPr="00C96268">
        <w:rPr>
          <w:rFonts w:ascii="Times New Roman" w:hAnsi="Times New Roman" w:cs="Times New Roman"/>
          <w:sz w:val="24"/>
          <w:szCs w:val="24"/>
        </w:rPr>
        <w:t xml:space="preserve">i przydziela się stałemu zakładowi </w:t>
      </w:r>
      <w:r w:rsidRPr="00C96268">
        <w:rPr>
          <w:rFonts w:ascii="Times New Roman" w:hAnsi="Times New Roman" w:cs="Times New Roman"/>
          <w:sz w:val="24"/>
          <w:szCs w:val="24"/>
        </w:rPr>
        <w:t>zgodnie z art. 70</w:t>
      </w:r>
      <w:r w:rsidR="00957420" w:rsidRPr="00C96268">
        <w:rPr>
          <w:rFonts w:ascii="Times New Roman" w:hAnsi="Times New Roman" w:cs="Times New Roman"/>
          <w:sz w:val="24"/>
          <w:szCs w:val="24"/>
        </w:rPr>
        <w:t xml:space="preserve"> i art. 71</w:t>
      </w:r>
      <w:r w:rsidRPr="00C96268">
        <w:rPr>
          <w:rFonts w:ascii="Times New Roman" w:hAnsi="Times New Roman" w:cs="Times New Roman"/>
          <w:sz w:val="24"/>
          <w:szCs w:val="24"/>
        </w:rPr>
        <w:t xml:space="preserve">. Następnie, zgodnie z </w:t>
      </w:r>
      <w:r w:rsidRPr="00C96268">
        <w:rPr>
          <w:rFonts w:ascii="Times New Roman" w:hAnsi="Times New Roman" w:cs="Times New Roman"/>
          <w:b/>
          <w:bCs/>
          <w:sz w:val="24"/>
          <w:szCs w:val="24"/>
        </w:rPr>
        <w:t xml:space="preserve">art. 74 </w:t>
      </w:r>
      <w:r w:rsidR="005256B9" w:rsidRPr="00C96268">
        <w:rPr>
          <w:rFonts w:ascii="Times New Roman" w:hAnsi="Times New Roman" w:cs="Times New Roman"/>
          <w:sz w:val="24"/>
          <w:szCs w:val="24"/>
        </w:rPr>
        <w:t>o</w:t>
      </w:r>
      <w:r w:rsidR="005256B9" w:rsidRPr="00C96268">
        <w:rPr>
          <w:rFonts w:ascii="Times New Roman" w:hAnsi="Times New Roman" w:cs="Times New Roman"/>
          <w:b/>
          <w:bCs/>
          <w:sz w:val="24"/>
          <w:szCs w:val="24"/>
        </w:rPr>
        <w:t xml:space="preserve"> </w:t>
      </w:r>
      <w:r w:rsidRPr="00C96268">
        <w:rPr>
          <w:rFonts w:ascii="Times New Roman" w:hAnsi="Times New Roman" w:cs="Times New Roman"/>
          <w:sz w:val="24"/>
          <w:szCs w:val="24"/>
        </w:rPr>
        <w:t>kwotę tak ustalonego księgowego dochodu (straty) netto</w:t>
      </w:r>
      <w:bookmarkEnd w:id="37"/>
      <w:r w:rsidRPr="00C96268">
        <w:rPr>
          <w:rFonts w:ascii="Times New Roman" w:hAnsi="Times New Roman" w:cs="Times New Roman"/>
          <w:sz w:val="24"/>
          <w:szCs w:val="24"/>
        </w:rPr>
        <w:t xml:space="preserve"> </w:t>
      </w:r>
      <w:r w:rsidR="005256B9" w:rsidRPr="00C96268">
        <w:rPr>
          <w:rFonts w:ascii="Times New Roman" w:hAnsi="Times New Roman" w:cs="Times New Roman"/>
          <w:sz w:val="24"/>
          <w:szCs w:val="24"/>
        </w:rPr>
        <w:t>stałego zakładu pomniejsza się</w:t>
      </w:r>
      <w:r w:rsidRPr="00C96268">
        <w:rPr>
          <w:rFonts w:ascii="Times New Roman" w:hAnsi="Times New Roman" w:cs="Times New Roman"/>
          <w:sz w:val="24"/>
          <w:szCs w:val="24"/>
        </w:rPr>
        <w:t xml:space="preserve"> księgow</w:t>
      </w:r>
      <w:r w:rsidR="005256B9" w:rsidRPr="00C96268">
        <w:rPr>
          <w:rFonts w:ascii="Times New Roman" w:hAnsi="Times New Roman" w:cs="Times New Roman"/>
          <w:sz w:val="24"/>
          <w:szCs w:val="24"/>
        </w:rPr>
        <w:t>y</w:t>
      </w:r>
      <w:r w:rsidRPr="00C96268">
        <w:rPr>
          <w:rFonts w:ascii="Times New Roman" w:hAnsi="Times New Roman" w:cs="Times New Roman"/>
          <w:sz w:val="24"/>
          <w:szCs w:val="24"/>
        </w:rPr>
        <w:t xml:space="preserve"> doch</w:t>
      </w:r>
      <w:r w:rsidR="005256B9" w:rsidRPr="00C96268">
        <w:rPr>
          <w:rFonts w:ascii="Times New Roman" w:hAnsi="Times New Roman" w:cs="Times New Roman"/>
          <w:sz w:val="24"/>
          <w:szCs w:val="24"/>
        </w:rPr>
        <w:t>ód</w:t>
      </w:r>
      <w:r w:rsidRPr="00C96268">
        <w:rPr>
          <w:rFonts w:ascii="Times New Roman" w:hAnsi="Times New Roman" w:cs="Times New Roman"/>
          <w:sz w:val="24"/>
          <w:szCs w:val="24"/>
        </w:rPr>
        <w:t xml:space="preserve"> (strat</w:t>
      </w:r>
      <w:r w:rsidR="005256B9" w:rsidRPr="00C96268">
        <w:rPr>
          <w:rFonts w:ascii="Times New Roman" w:hAnsi="Times New Roman" w:cs="Times New Roman"/>
          <w:sz w:val="24"/>
          <w:szCs w:val="24"/>
        </w:rPr>
        <w:t>ę</w:t>
      </w:r>
      <w:r w:rsidRPr="00C96268">
        <w:rPr>
          <w:rFonts w:ascii="Times New Roman" w:hAnsi="Times New Roman" w:cs="Times New Roman"/>
          <w:sz w:val="24"/>
          <w:szCs w:val="24"/>
        </w:rPr>
        <w:t>) netto jednostki pośredniczącej. Podobnie jak w przypadku art. 73 ust. 1 ustawy, działanie takie pozwala uniknąć sytuacji, że księgowy dochód (strata) stałego zakładu będzie brany pod uwagę dwukrotnie przy obliczeniach efektywnej stawki podatkowej.</w:t>
      </w:r>
    </w:p>
    <w:p w14:paraId="363B6869" w14:textId="45C2F0ED" w:rsidR="00AF4287" w:rsidRDefault="00F71507" w:rsidP="00AF4287">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Jednak należy mieć na uwadze, że w przypadku występowania właścicieli spoza grupy, kwotę przydzieloną stałemu zakładowi należy (zgodnie z art. </w:t>
      </w:r>
      <w:r w:rsidRPr="00C96268">
        <w:rPr>
          <w:rFonts w:ascii="Times New Roman" w:hAnsi="Times New Roman" w:cs="Times New Roman"/>
          <w:b/>
          <w:bCs/>
          <w:sz w:val="24"/>
          <w:szCs w:val="24"/>
        </w:rPr>
        <w:t>74 ust. 2</w:t>
      </w:r>
      <w:r w:rsidRPr="00C96268">
        <w:rPr>
          <w:rFonts w:ascii="Times New Roman" w:hAnsi="Times New Roman" w:cs="Times New Roman"/>
          <w:sz w:val="24"/>
          <w:szCs w:val="24"/>
        </w:rPr>
        <w:t>) pomniejszyć proporcjonalnie do części przypadającej na właścicieli spoza grupy.</w:t>
      </w:r>
    </w:p>
    <w:p w14:paraId="456D6779" w14:textId="77777777" w:rsidR="00D724B9" w:rsidRPr="00C96268" w:rsidRDefault="00D724B9" w:rsidP="00AF4287">
      <w:pPr>
        <w:spacing w:after="120"/>
        <w:jc w:val="both"/>
        <w:rPr>
          <w:rFonts w:ascii="Times New Roman" w:hAnsi="Times New Roman" w:cs="Times New Roman"/>
          <w:sz w:val="24"/>
          <w:szCs w:val="24"/>
        </w:rPr>
      </w:pPr>
    </w:p>
    <w:p w14:paraId="202153F2" w14:textId="77777777" w:rsidR="00AF4287" w:rsidRPr="003E7A67" w:rsidRDefault="00AF4287" w:rsidP="00AF428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sz w:val="22"/>
          <w:szCs w:val="22"/>
        </w:rPr>
      </w:pPr>
      <w:bookmarkStart w:id="38" w:name="_Hlk149321948"/>
      <w:bookmarkStart w:id="39" w:name="_Hlk149301284"/>
      <w:r w:rsidRPr="003E7A67">
        <w:rPr>
          <w:rFonts w:asciiTheme="minorHAnsi" w:hAnsiTheme="minorHAnsi" w:cstheme="minorHAnsi"/>
          <w:b/>
          <w:sz w:val="22"/>
          <w:szCs w:val="22"/>
        </w:rPr>
        <w:t>Przykład</w:t>
      </w:r>
      <w:r w:rsidRPr="003E7A67">
        <w:rPr>
          <w:rFonts w:asciiTheme="minorHAnsi" w:hAnsiTheme="minorHAnsi" w:cstheme="minorHAnsi"/>
          <w:bCs w:val="0"/>
          <w:sz w:val="22"/>
          <w:szCs w:val="22"/>
        </w:rPr>
        <w:t xml:space="preserve"> [Komentarz, 3.5.3;228-229]</w:t>
      </w:r>
    </w:p>
    <w:p w14:paraId="399E2F8D" w14:textId="5205B738" w:rsidR="00AF4287" w:rsidRPr="003E7A67" w:rsidRDefault="00AF4287" w:rsidP="00AF428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HoldCo jest zlokalizowana w jurysdykcji</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A i jest jednostką dominującą najwyższego szczebla (</w:t>
      </w:r>
      <w:r w:rsidRPr="003E7A67">
        <w:rPr>
          <w:rFonts w:asciiTheme="minorHAnsi" w:hAnsiTheme="minorHAnsi" w:cstheme="minorHAnsi"/>
          <w:b/>
          <w:i/>
          <w:iCs/>
          <w:sz w:val="22"/>
          <w:szCs w:val="22"/>
        </w:rPr>
        <w:t>UPE</w:t>
      </w:r>
      <w:r w:rsidRPr="003E7A67">
        <w:rPr>
          <w:rFonts w:asciiTheme="minorHAnsi" w:hAnsiTheme="minorHAnsi" w:cstheme="minorHAnsi"/>
          <w:bCs w:val="0"/>
          <w:i/>
          <w:iCs/>
          <w:sz w:val="22"/>
          <w:szCs w:val="22"/>
        </w:rPr>
        <w:t>) grupy międzynarodowej. Posiada 60% udziałów własnościowych jednostki transparentnej podatkowo B LP utworzonej w kraju B. Pozostałe 40% udziałów własnościowych B LP znajduje się w posiadaniu osób nienależących do grupy, tzw. „udziałowców mniejszościowych”, którzy również znajdują się w kraju A. B LP posiada sklep w jurysdykcji</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B, w którym uznawany jest jako stały zakład dla HoldCo i udziałowców mniejszościowych. Księgowy dochód netto B LP wynosi 200, jednak tylko 100 można przypisać do stałego zakładu i opodatkować w kraju B.</w:t>
      </w:r>
    </w:p>
    <w:p w14:paraId="0492F663" w14:textId="2E19037F" w:rsidR="00AF4287" w:rsidRDefault="00AF4287" w:rsidP="00AF428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Zgodnie z opisywanym art. 73 ust. 1 ustawy, </w:t>
      </w:r>
      <w:r w:rsidRPr="00F71507">
        <w:rPr>
          <w:rFonts w:asciiTheme="minorHAnsi" w:hAnsiTheme="minorHAnsi" w:cstheme="minorHAnsi"/>
          <w:bCs w:val="0"/>
          <w:i/>
          <w:iCs/>
          <w:sz w:val="22"/>
          <w:szCs w:val="22"/>
        </w:rPr>
        <w:t>księgowy dochód netto B LP zmniejsza się o 80 (200 x 40%), ponieważ jest to kwota, którą można przypisać udziałowcom mniejszościowym.</w:t>
      </w:r>
      <w:r w:rsidRPr="003E7A67">
        <w:rPr>
          <w:rFonts w:asciiTheme="minorHAnsi" w:hAnsiTheme="minorHAnsi" w:cstheme="minorHAnsi"/>
          <w:bCs w:val="0"/>
          <w:i/>
          <w:iCs/>
          <w:sz w:val="22"/>
          <w:szCs w:val="22"/>
        </w:rPr>
        <w:t xml:space="preserve"> Pozostałą kwotę 120 (200-80) przydziela się - na kolejnych etapach - w następujący sposób. Po pierwsze, </w:t>
      </w:r>
      <w:r w:rsidRPr="00F71507">
        <w:rPr>
          <w:rFonts w:asciiTheme="minorHAnsi" w:hAnsiTheme="minorHAnsi" w:cstheme="minorHAnsi"/>
          <w:b/>
          <w:i/>
          <w:iCs/>
          <w:sz w:val="22"/>
          <w:szCs w:val="22"/>
        </w:rPr>
        <w:t xml:space="preserve">60 </w:t>
      </w:r>
      <w:bookmarkStart w:id="40" w:name="_Hlk149296924"/>
      <w:r w:rsidRPr="00F71507">
        <w:rPr>
          <w:rFonts w:asciiTheme="minorHAnsi" w:hAnsiTheme="minorHAnsi" w:cstheme="minorHAnsi"/>
          <w:b/>
          <w:i/>
          <w:iCs/>
          <w:sz w:val="22"/>
          <w:szCs w:val="22"/>
        </w:rPr>
        <w:t xml:space="preserve">(100 x 60%) </w:t>
      </w:r>
      <w:bookmarkEnd w:id="40"/>
      <w:r w:rsidRPr="00F71507">
        <w:rPr>
          <w:rFonts w:asciiTheme="minorHAnsi" w:hAnsiTheme="minorHAnsi" w:cstheme="minorHAnsi"/>
          <w:b/>
          <w:i/>
          <w:iCs/>
          <w:sz w:val="22"/>
          <w:szCs w:val="22"/>
        </w:rPr>
        <w:t xml:space="preserve">przypada stałemu zakładowi zgodnie z art. 74, ponieważ po pomniejszeniu o udziały udziałowców mniejszościowych tylko tyle jest możliwe do przypisania udziałom własnościowym posiadanym przez </w:t>
      </w:r>
      <w:r w:rsidR="00F71507" w:rsidRPr="00F71507">
        <w:rPr>
          <w:rFonts w:asciiTheme="minorHAnsi" w:hAnsiTheme="minorHAnsi" w:cstheme="minorHAnsi"/>
          <w:b/>
          <w:i/>
          <w:iCs/>
          <w:sz w:val="22"/>
          <w:szCs w:val="22"/>
        </w:rPr>
        <w:t>jednostki</w:t>
      </w:r>
      <w:r w:rsidRPr="00F71507">
        <w:rPr>
          <w:rFonts w:asciiTheme="minorHAnsi" w:hAnsiTheme="minorHAnsi" w:cstheme="minorHAnsi"/>
          <w:b/>
          <w:i/>
          <w:iCs/>
          <w:sz w:val="22"/>
          <w:szCs w:val="22"/>
        </w:rPr>
        <w:t xml:space="preserve"> grupy</w:t>
      </w:r>
      <w:r w:rsidRPr="003E7A67">
        <w:rPr>
          <w:rFonts w:asciiTheme="minorHAnsi" w:hAnsiTheme="minorHAnsi" w:cstheme="minorHAnsi"/>
          <w:bCs w:val="0"/>
          <w:i/>
          <w:iCs/>
          <w:sz w:val="22"/>
          <w:szCs w:val="22"/>
        </w:rPr>
        <w:t>. Pozostałe 60 (100 x 60%) jest przydzielone HoldCo zgodnie z art. 75 ust.1 pkt 1 , ponieważ B LP jest jednostką transparentną podatkowo, której dochód jest przypisywany jednostkom będącym właścicielami tej jednostki.</w:t>
      </w:r>
      <w:bookmarkEnd w:id="38"/>
      <w:bookmarkEnd w:id="39"/>
    </w:p>
    <w:p w14:paraId="6FFBBF4B" w14:textId="693FCC70" w:rsidR="00F71507" w:rsidRPr="00AB6F1E" w:rsidRDefault="00AB6F1E" w:rsidP="00AF428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sz w:val="22"/>
          <w:szCs w:val="22"/>
        </w:rPr>
      </w:pPr>
      <w:r>
        <w:rPr>
          <w:rFonts w:asciiTheme="minorHAnsi" w:hAnsiTheme="minorHAnsi" w:cstheme="minorHAnsi"/>
          <w:bCs w:val="0"/>
          <w:noProof/>
          <w:sz w:val="22"/>
          <w:szCs w:val="22"/>
        </w:rPr>
        <w:drawing>
          <wp:inline distT="0" distB="0" distL="0" distR="0" wp14:anchorId="4E6A32A7" wp14:editId="78F530C5">
            <wp:extent cx="5529744" cy="2676569"/>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0535" cy="2691473"/>
                    </a:xfrm>
                    <a:prstGeom prst="rect">
                      <a:avLst/>
                    </a:prstGeom>
                    <a:noFill/>
                  </pic:spPr>
                </pic:pic>
              </a:graphicData>
            </a:graphic>
          </wp:inline>
        </w:drawing>
      </w:r>
    </w:p>
    <w:p w14:paraId="1502F65B" w14:textId="1C1075AD" w:rsidR="00AF4287" w:rsidRPr="00C96268" w:rsidRDefault="00B66E9F" w:rsidP="00D724B9">
      <w:pPr>
        <w:spacing w:before="240" w:after="240"/>
        <w:jc w:val="both"/>
        <w:rPr>
          <w:rFonts w:ascii="Times New Roman" w:hAnsi="Times New Roman" w:cs="Times New Roman"/>
          <w:sz w:val="24"/>
          <w:szCs w:val="24"/>
        </w:rPr>
      </w:pPr>
      <w:r w:rsidRPr="00C96268">
        <w:rPr>
          <w:rFonts w:ascii="Times New Roman" w:hAnsi="Times New Roman" w:cs="Times New Roman"/>
          <w:sz w:val="24"/>
          <w:szCs w:val="24"/>
        </w:rPr>
        <w:t xml:space="preserve">W świetle art. 74 ust. 1, przydzielenie księgowego dochodu (straty) netto stałemu zakładowi może nastąpić niezależnie od jurysdykcji, w której zakład ten jest zlokalizowany, tj. stały zakład może być zlokalizowany w państwie utworzenia jednostki pośredniczącej, bowiem to działalność jednostki pośredniczącej może stanowić stały zakład dla właściciela tej jednostki. Jednak, w rozumieniu Zasad GloBE jednostka pośrednicząca może być centralą, jeżeli to w jej sprawozdaniu finansowym uwzględniane są wyniki finansowe stałego zakładu. </w:t>
      </w:r>
    </w:p>
    <w:p w14:paraId="22D8FF48" w14:textId="77777777" w:rsidR="00F71507" w:rsidRPr="003E7A67" w:rsidRDefault="00F71507" w:rsidP="00F7150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bookmarkStart w:id="41" w:name="_Hlk149301501"/>
      <w:r w:rsidRPr="003E7A67">
        <w:rPr>
          <w:rFonts w:asciiTheme="minorHAnsi" w:hAnsiTheme="minorHAnsi" w:cstheme="minorHAnsi"/>
          <w:b/>
          <w:sz w:val="22"/>
          <w:szCs w:val="22"/>
        </w:rPr>
        <w:t xml:space="preserve">Przykład </w:t>
      </w:r>
      <w:r w:rsidRPr="003E7A67">
        <w:rPr>
          <w:rFonts w:asciiTheme="minorHAnsi" w:hAnsiTheme="minorHAnsi" w:cstheme="minorHAnsi"/>
          <w:bCs w:val="0"/>
          <w:sz w:val="22"/>
          <w:szCs w:val="22"/>
        </w:rPr>
        <w:t>[Komentarz, 3.5.1; 211]</w:t>
      </w:r>
    </w:p>
    <w:p w14:paraId="79C624D3" w14:textId="77777777" w:rsidR="00F71507" w:rsidRPr="003E7A67" w:rsidRDefault="00F71507" w:rsidP="00F7150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A Co jest spółką zlokalizowaną w jurysdykcji</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A i wspólnikiem B LP, która jest jednostką transparentną podatkowo utworzoną zgodnie z prawem jurysdykcji</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B. Zgodnie z prawem podatkowym jurysdykcji</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B, spółka A Co posiada stały zakład w jurysdykcji</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B, ponieważ działalność gospodarcza spółki B LP jest prowadzona za pośrednictwem biura w tej jurysdykcji. Z uwagi na to, że spółka B LP jest przejrzysta podatkowo w jurysdykcji</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B, jurysdykcja</w:t>
      </w:r>
      <w:r w:rsidRPr="003E7A67" w:rsidDel="00CA3713">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B uważa, do celów podatkowych, że spółka A Co prowadzi działalność gospodarczą bezpośrednio przez biuro, które tworzy stały zakład. W tym przypadku, dla potrzeb Zasad GloBE, to B LP jest centralą stałego zakładu zlokalizowaną w kraju B (ponieważ to w sprawozdaniu finansowym/ księgowym dochodzie (netto) stracie tej jednostki ujmowane są wyniki stałego zakładu) i w związku z tym księgowy dochód (strata) netto B LP podlega pomniejszeniu o księgowy dochód (stratę)  przypisany do stałego zakładu.</w:t>
      </w:r>
      <w:bookmarkEnd w:id="41"/>
    </w:p>
    <w:p w14:paraId="736D911B" w14:textId="2E14AA74" w:rsidR="00CE1F09" w:rsidRPr="00C96268" w:rsidRDefault="00CE1F09" w:rsidP="00D724B9">
      <w:pPr>
        <w:spacing w:before="360" w:after="120"/>
        <w:jc w:val="both"/>
        <w:rPr>
          <w:rFonts w:ascii="Times New Roman" w:hAnsi="Times New Roman" w:cs="Times New Roman"/>
          <w:b/>
          <w:sz w:val="24"/>
          <w:szCs w:val="24"/>
        </w:rPr>
      </w:pPr>
      <w:r w:rsidRPr="00C96268">
        <w:rPr>
          <w:rFonts w:ascii="Times New Roman" w:hAnsi="Times New Roman" w:cs="Times New Roman"/>
          <w:b/>
          <w:sz w:val="24"/>
          <w:szCs w:val="24"/>
        </w:rPr>
        <w:t xml:space="preserve">Etap III </w:t>
      </w:r>
      <w:r w:rsidRPr="00C96268">
        <w:rPr>
          <w:rFonts w:ascii="Times New Roman" w:hAnsi="Times New Roman" w:cs="Times New Roman"/>
          <w:bCs/>
          <w:sz w:val="24"/>
          <w:szCs w:val="24"/>
        </w:rPr>
        <w:t>(art. 75-76 ustawy)</w:t>
      </w:r>
    </w:p>
    <w:p w14:paraId="4D64A8C0" w14:textId="42B7E8F6"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Kwotę księgowego dochodu (straty) netto jednostki pośredniczącej, pozostałą po zastosowaniu art. 73 ust. 1 i art. 74 ustawy, </w:t>
      </w:r>
      <w:r w:rsidR="00DE0ED7" w:rsidRPr="00C96268">
        <w:rPr>
          <w:rFonts w:ascii="Times New Roman" w:hAnsi="Times New Roman" w:cs="Times New Roman"/>
          <w:bCs/>
          <w:sz w:val="24"/>
          <w:szCs w:val="24"/>
        </w:rPr>
        <w:t>przydziela</w:t>
      </w:r>
      <w:r w:rsidRPr="00C96268">
        <w:rPr>
          <w:rFonts w:ascii="Times New Roman" w:hAnsi="Times New Roman" w:cs="Times New Roman"/>
          <w:bCs/>
          <w:sz w:val="24"/>
          <w:szCs w:val="24"/>
        </w:rPr>
        <w:t xml:space="preserve"> się w następujący sposób:</w:t>
      </w:r>
    </w:p>
    <w:p w14:paraId="29AAB5FA" w14:textId="77777777" w:rsidR="00CE1F09" w:rsidRPr="00C96268" w:rsidRDefault="00CE1F09" w:rsidP="00CE1F09">
      <w:pPr>
        <w:spacing w:after="120"/>
        <w:jc w:val="both"/>
        <w:rPr>
          <w:rFonts w:ascii="Times New Roman" w:hAnsi="Times New Roman" w:cs="Times New Roman"/>
          <w:bCs/>
          <w:i/>
          <w:iCs/>
          <w:sz w:val="24"/>
          <w:szCs w:val="24"/>
        </w:rPr>
      </w:pPr>
      <w:r w:rsidRPr="00C96268">
        <w:rPr>
          <w:rFonts w:ascii="Times New Roman" w:hAnsi="Times New Roman" w:cs="Times New Roman"/>
          <w:bCs/>
          <w:i/>
          <w:iCs/>
          <w:sz w:val="24"/>
          <w:szCs w:val="24"/>
        </w:rPr>
        <w:t xml:space="preserve">Przypadek 1 </w:t>
      </w:r>
    </w:p>
    <w:p w14:paraId="151404B3" w14:textId="715CEA4D" w:rsidR="00CE1F09" w:rsidRPr="00C96268" w:rsidRDefault="00CE1F09" w:rsidP="00D724B9">
      <w:pPr>
        <w:spacing w:after="24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przypadku, gdy jednostka pośrednicząca jest jednostką transparentną podatkowo lecz niebędącą jednostką dominującą najwyższego szczebla – </w:t>
      </w:r>
      <w:r w:rsidRPr="00C96268">
        <w:rPr>
          <w:rFonts w:ascii="Times New Roman" w:hAnsi="Times New Roman" w:cs="Times New Roman"/>
          <w:b/>
          <w:sz w:val="24"/>
          <w:szCs w:val="24"/>
        </w:rPr>
        <w:t>pozostałą kwotę przydziela się jednostkom będącymi właścicielami (tj. jednostkom z grupy)</w:t>
      </w:r>
      <w:r w:rsidRPr="00C96268">
        <w:rPr>
          <w:rFonts w:ascii="Times New Roman" w:hAnsi="Times New Roman" w:cs="Times New Roman"/>
          <w:bCs/>
          <w:sz w:val="24"/>
          <w:szCs w:val="24"/>
        </w:rPr>
        <w:t xml:space="preserve">, zgodnie z ich udziałem własnościowym </w:t>
      </w:r>
      <w:r w:rsidRPr="00C96268">
        <w:rPr>
          <w:rFonts w:ascii="Times New Roman" w:hAnsi="Times New Roman" w:cs="Times New Roman"/>
          <w:b/>
          <w:sz w:val="24"/>
          <w:szCs w:val="24"/>
        </w:rPr>
        <w:t>(art. 75 ust. 2</w:t>
      </w:r>
      <w:r w:rsidR="00B2797B" w:rsidRPr="00C96268">
        <w:rPr>
          <w:rFonts w:ascii="Times New Roman" w:hAnsi="Times New Roman" w:cs="Times New Roman"/>
          <w:b/>
          <w:sz w:val="24"/>
          <w:szCs w:val="24"/>
        </w:rPr>
        <w:t xml:space="preserve"> pkt 1</w:t>
      </w:r>
      <w:r w:rsidRPr="00C96268">
        <w:rPr>
          <w:rFonts w:ascii="Times New Roman" w:hAnsi="Times New Roman" w:cs="Times New Roman"/>
          <w:b/>
          <w:sz w:val="24"/>
          <w:szCs w:val="24"/>
        </w:rPr>
        <w:t xml:space="preserve">). Zarazem </w:t>
      </w:r>
      <w:r w:rsidR="005256B9" w:rsidRPr="00C96268">
        <w:rPr>
          <w:rFonts w:ascii="Times New Roman" w:hAnsi="Times New Roman" w:cs="Times New Roman"/>
          <w:b/>
          <w:sz w:val="24"/>
          <w:szCs w:val="24"/>
        </w:rPr>
        <w:t>pomniejsza</w:t>
      </w:r>
      <w:r w:rsidRPr="00C96268">
        <w:rPr>
          <w:rFonts w:ascii="Times New Roman" w:hAnsi="Times New Roman" w:cs="Times New Roman"/>
          <w:b/>
          <w:sz w:val="24"/>
          <w:szCs w:val="24"/>
        </w:rPr>
        <w:t xml:space="preserve"> się księgowy dochód (stratę) netto jednostki pośredniczącej o tę kwotę</w:t>
      </w:r>
      <w:r w:rsidR="00B2797B" w:rsidRPr="00C96268">
        <w:rPr>
          <w:rFonts w:ascii="Times New Roman" w:hAnsi="Times New Roman" w:cs="Times New Roman"/>
          <w:b/>
          <w:sz w:val="24"/>
          <w:szCs w:val="24"/>
        </w:rPr>
        <w:t xml:space="preserve"> (art. 75 ust. 2)</w:t>
      </w:r>
      <w:r w:rsidRPr="00C96268">
        <w:rPr>
          <w:rFonts w:ascii="Times New Roman" w:hAnsi="Times New Roman" w:cs="Times New Roman"/>
          <w:bCs/>
          <w:sz w:val="24"/>
          <w:szCs w:val="24"/>
        </w:rPr>
        <w:t>.</w:t>
      </w:r>
    </w:p>
    <w:p w14:paraId="3C050871" w14:textId="5006E415" w:rsidR="00CE1F09" w:rsidRPr="003E7A67" w:rsidRDefault="00CE1F09"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2821A07B" w14:textId="2B3EA299" w:rsidR="00CE1F09" w:rsidRPr="003E7A67" w:rsidRDefault="00CE1F09" w:rsidP="00E95CA2">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Udziały własnościowe jednostki transparentnej podatkowo są posiadane w następujący sposób: 40% udziałów przez jednostkę będącą właścicielem niebędącą rezydentem, a pozostałe 60% udziałów jest dzielone równo między dwie jednostki będące właścicielem będące rezydentami. Jednostka transparentna podatkowo posiada biuro w </w:t>
      </w:r>
      <w:r w:rsidR="00CA3713" w:rsidRPr="003E7A67">
        <w:rPr>
          <w:rFonts w:asciiTheme="minorHAnsi" w:hAnsiTheme="minorHAnsi" w:cstheme="minorHAnsi"/>
          <w:bCs w:val="0"/>
          <w:i/>
          <w:iCs/>
          <w:sz w:val="22"/>
          <w:szCs w:val="22"/>
        </w:rPr>
        <w:t>jurysdykcji</w:t>
      </w:r>
      <w:r w:rsidRPr="003E7A67">
        <w:rPr>
          <w:rFonts w:asciiTheme="minorHAnsi" w:hAnsiTheme="minorHAnsi" w:cstheme="minorHAnsi"/>
          <w:bCs w:val="0"/>
          <w:i/>
          <w:iCs/>
          <w:sz w:val="22"/>
          <w:szCs w:val="22"/>
        </w:rPr>
        <w:t xml:space="preserve">, w </w:t>
      </w:r>
      <w:r w:rsidR="00CA3713" w:rsidRPr="003E7A67">
        <w:rPr>
          <w:rFonts w:asciiTheme="minorHAnsi" w:hAnsiTheme="minorHAnsi" w:cstheme="minorHAnsi"/>
          <w:bCs w:val="0"/>
          <w:i/>
          <w:iCs/>
          <w:sz w:val="22"/>
          <w:szCs w:val="22"/>
        </w:rPr>
        <w:t xml:space="preserve">której </w:t>
      </w:r>
      <w:r w:rsidRPr="003E7A67">
        <w:rPr>
          <w:rFonts w:asciiTheme="minorHAnsi" w:hAnsiTheme="minorHAnsi" w:cstheme="minorHAnsi"/>
          <w:bCs w:val="0"/>
          <w:i/>
          <w:iCs/>
          <w:sz w:val="22"/>
          <w:szCs w:val="22"/>
        </w:rPr>
        <w:t xml:space="preserve">jest zlokalizowana i takie miejsce prowadzenia działalności tworzy stały zakład dla jednostki będącej właścicielem, niebędącej rezydentem, która posiada 40%. Zatem 40% dochodu jednostki transparentnej podatkowo </w:t>
      </w:r>
      <w:r w:rsidR="00DE0ED7">
        <w:rPr>
          <w:rFonts w:asciiTheme="minorHAnsi" w:hAnsiTheme="minorHAnsi" w:cstheme="minorHAnsi"/>
          <w:bCs w:val="0"/>
          <w:i/>
          <w:iCs/>
          <w:sz w:val="22"/>
          <w:szCs w:val="22"/>
        </w:rPr>
        <w:t>przydziela się</w:t>
      </w:r>
      <w:r w:rsidRPr="003E7A67">
        <w:rPr>
          <w:rFonts w:asciiTheme="minorHAnsi" w:hAnsiTheme="minorHAnsi" w:cstheme="minorHAnsi"/>
          <w:bCs w:val="0"/>
          <w:i/>
          <w:iCs/>
          <w:sz w:val="22"/>
          <w:szCs w:val="22"/>
        </w:rPr>
        <w:t xml:space="preserve"> do stałego zakładu. Pozostałe 60% dochodu przydziela się dwóm pozostałym jednostkom będącymi właścicielem zgodnie z </w:t>
      </w:r>
      <w:r w:rsidRPr="003E7A67">
        <w:rPr>
          <w:rFonts w:asciiTheme="minorHAnsi" w:hAnsiTheme="minorHAnsi" w:cstheme="minorHAnsi"/>
          <w:b/>
          <w:i/>
          <w:iCs/>
          <w:sz w:val="22"/>
          <w:szCs w:val="22"/>
        </w:rPr>
        <w:t>art. 75 ust. 2</w:t>
      </w:r>
      <w:r w:rsidRPr="003E7A67">
        <w:rPr>
          <w:rFonts w:asciiTheme="minorHAnsi" w:hAnsiTheme="minorHAnsi" w:cstheme="minorHAnsi"/>
          <w:bCs w:val="0"/>
          <w:i/>
          <w:iCs/>
          <w:sz w:val="22"/>
          <w:szCs w:val="22"/>
        </w:rPr>
        <w:t xml:space="preserve"> (po 30 % każda).</w:t>
      </w:r>
    </w:p>
    <w:p w14:paraId="2D1668D3" w14:textId="2CD7D76F" w:rsidR="00CE1F09" w:rsidRPr="00C96268" w:rsidRDefault="00CE1F09" w:rsidP="00D724B9">
      <w:pPr>
        <w:spacing w:before="360"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kontekście omawianego przypadku (ust. 1) w </w:t>
      </w:r>
      <w:r w:rsidRPr="00C96268">
        <w:rPr>
          <w:rFonts w:ascii="Times New Roman" w:hAnsi="Times New Roman" w:cs="Times New Roman"/>
          <w:b/>
          <w:sz w:val="24"/>
          <w:szCs w:val="24"/>
        </w:rPr>
        <w:t xml:space="preserve">ust. </w:t>
      </w:r>
      <w:r w:rsidR="00B2797B" w:rsidRPr="00C96268">
        <w:rPr>
          <w:rFonts w:ascii="Times New Roman" w:hAnsi="Times New Roman" w:cs="Times New Roman"/>
          <w:b/>
          <w:sz w:val="24"/>
          <w:szCs w:val="24"/>
        </w:rPr>
        <w:t>3</w:t>
      </w:r>
      <w:r w:rsidRPr="00C96268">
        <w:rPr>
          <w:rFonts w:ascii="Times New Roman" w:hAnsi="Times New Roman" w:cs="Times New Roman"/>
          <w:bCs/>
          <w:sz w:val="24"/>
          <w:szCs w:val="24"/>
        </w:rPr>
        <w:t xml:space="preserve"> uwzględniona została sytuacja, w której jednostki będące właścicielem jednostki pośredniczącej są również jednostkami transparentnymi podatkowo. Wówczas zasady określone w ust. 1 należy stosować odpowiednio do kolejnych jednostek będących właścicielem, znajdujących się na wyższym poziomie w strukturze własnościowej. W przypadku zaś, gdy wszystkie jednostki składowe grupy są jednostkami transparentnymi podatkowo, kwotę księgowego dochodu (straty) netto jednostki pośredniczącej przydziela się jednostce dominującej najwyższego szczebla. </w:t>
      </w:r>
    </w:p>
    <w:p w14:paraId="4FC02DD5" w14:textId="49B741A2" w:rsidR="00CE1F09"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Odwołując się do definicji udziałów własnościowych wprowadzonej w art. 2 ust. 1 pkt 4</w:t>
      </w:r>
      <w:r w:rsidR="0007799D" w:rsidRPr="00C96268">
        <w:rPr>
          <w:rFonts w:ascii="Times New Roman" w:hAnsi="Times New Roman" w:cs="Times New Roman"/>
          <w:bCs/>
          <w:sz w:val="24"/>
          <w:szCs w:val="24"/>
        </w:rPr>
        <w:t>3</w:t>
      </w:r>
      <w:r w:rsidRPr="00C96268">
        <w:rPr>
          <w:rFonts w:ascii="Times New Roman" w:hAnsi="Times New Roman" w:cs="Times New Roman"/>
          <w:bCs/>
          <w:sz w:val="24"/>
          <w:szCs w:val="24"/>
        </w:rPr>
        <w:t xml:space="preserve"> wskazać należy, że termin ten uwzględnia prawa do zysków związane z udziałami kapitałowymi. Niekiedy jednak dochodzi do rozbieżności między kwotą zysków przypisanych jednostce będącej zgodnie z przepisami podatkowymi, a kwotą zysków, do których właściciel ten jest uprawniony na podstawie udziałów kapitałowych. W takich przypadkach art. 75 ust. 1 stosuje się zgodnie z podejściem przewidzianym w prawie podatkowym [Komentarz, 3.5.1, 217-220].</w:t>
      </w:r>
    </w:p>
    <w:p w14:paraId="731DAE8E" w14:textId="77777777" w:rsidR="00D724B9" w:rsidRDefault="00D724B9" w:rsidP="00CE1F09">
      <w:pPr>
        <w:spacing w:after="120"/>
        <w:jc w:val="both"/>
        <w:rPr>
          <w:rFonts w:ascii="Times New Roman" w:hAnsi="Times New Roman" w:cs="Times New Roman"/>
          <w:bCs/>
          <w:sz w:val="24"/>
          <w:szCs w:val="24"/>
        </w:rPr>
      </w:pPr>
    </w:p>
    <w:p w14:paraId="2A2BE8B9" w14:textId="77777777" w:rsidR="00D724B9" w:rsidRPr="00C96268" w:rsidRDefault="00D724B9" w:rsidP="00CE1F09">
      <w:pPr>
        <w:spacing w:after="120"/>
        <w:jc w:val="both"/>
        <w:rPr>
          <w:rFonts w:ascii="Times New Roman" w:hAnsi="Times New Roman" w:cs="Times New Roman"/>
          <w:bCs/>
          <w:sz w:val="24"/>
          <w:szCs w:val="24"/>
        </w:rPr>
      </w:pPr>
    </w:p>
    <w:p w14:paraId="1AAB33A6" w14:textId="77777777" w:rsidR="00CE1F09" w:rsidRPr="00C96268" w:rsidRDefault="00CE1F09" w:rsidP="00D724B9">
      <w:pPr>
        <w:spacing w:before="240" w:after="120"/>
        <w:jc w:val="both"/>
        <w:rPr>
          <w:rFonts w:ascii="Times New Roman" w:hAnsi="Times New Roman" w:cs="Times New Roman"/>
          <w:bCs/>
          <w:i/>
          <w:iCs/>
          <w:sz w:val="24"/>
          <w:szCs w:val="24"/>
        </w:rPr>
      </w:pPr>
      <w:r w:rsidRPr="00C96268">
        <w:rPr>
          <w:rFonts w:ascii="Times New Roman" w:hAnsi="Times New Roman" w:cs="Times New Roman"/>
          <w:bCs/>
          <w:i/>
          <w:iCs/>
          <w:sz w:val="24"/>
          <w:szCs w:val="24"/>
        </w:rPr>
        <w:t>Przypadek 2</w:t>
      </w:r>
    </w:p>
    <w:p w14:paraId="279A4421" w14:textId="33A5B9A6" w:rsidR="0071078B" w:rsidRPr="00C96268" w:rsidRDefault="0071078B" w:rsidP="0071078B">
      <w:pPr>
        <w:spacing w:after="120"/>
        <w:jc w:val="both"/>
        <w:rPr>
          <w:rFonts w:ascii="Times New Roman" w:hAnsi="Times New Roman" w:cs="Times New Roman"/>
          <w:sz w:val="24"/>
          <w:szCs w:val="24"/>
        </w:rPr>
      </w:pPr>
      <w:r w:rsidRPr="00C96268">
        <w:rPr>
          <w:rFonts w:ascii="Times New Roman" w:hAnsi="Times New Roman" w:cs="Times New Roman"/>
          <w:sz w:val="24"/>
          <w:szCs w:val="24"/>
        </w:rPr>
        <w:t>Art. 75 ust. 1 pkt 2 wprowadza swego rodzaju wyjątki od reguły, że pozostałą część księgowego dochodu (straty) przydziela się jednostkom będącym właścicielami jednostki pośredniczącej, tj. jednostkom składowym grupy.</w:t>
      </w:r>
    </w:p>
    <w:p w14:paraId="34E93708" w14:textId="69BDDFB1" w:rsidR="00CE1F09" w:rsidRPr="00C96268" w:rsidRDefault="0071078B" w:rsidP="00CE1F09">
      <w:pPr>
        <w:spacing w:after="120"/>
        <w:jc w:val="both"/>
        <w:rPr>
          <w:rFonts w:ascii="Times New Roman" w:hAnsi="Times New Roman" w:cs="Times New Roman"/>
          <w:sz w:val="24"/>
          <w:szCs w:val="24"/>
        </w:rPr>
      </w:pPr>
      <w:r w:rsidRPr="00C96268">
        <w:rPr>
          <w:rFonts w:ascii="Times New Roman" w:hAnsi="Times New Roman" w:cs="Times New Roman"/>
          <w:sz w:val="24"/>
          <w:szCs w:val="24"/>
        </w:rPr>
        <w:t>Po pierwsze,</w:t>
      </w:r>
      <w:r w:rsidRPr="00C96268">
        <w:rPr>
          <w:rFonts w:ascii="Times New Roman" w:hAnsi="Times New Roman" w:cs="Times New Roman"/>
          <w:b/>
          <w:bCs/>
          <w:sz w:val="24"/>
          <w:szCs w:val="24"/>
        </w:rPr>
        <w:t xml:space="preserve"> w</w:t>
      </w:r>
      <w:r w:rsidR="00CE1F09" w:rsidRPr="00C96268">
        <w:rPr>
          <w:rFonts w:ascii="Times New Roman" w:hAnsi="Times New Roman" w:cs="Times New Roman"/>
          <w:b/>
          <w:bCs/>
          <w:sz w:val="24"/>
          <w:szCs w:val="24"/>
        </w:rPr>
        <w:t xml:space="preserve"> przypadku, gdy jednostka pośrednicząca jest jednostką transparentną podatkowo będącą jednostką dominującą najwyższego szczebla, zgodnie z art. 75 ust. 1 pkt 2 ustawy, jej księgowy dochód  (stratę) netto przydziela się tej jednostce pośredniczącej (tzn. jej samej)</w:t>
      </w:r>
      <w:r w:rsidR="00CE1F09" w:rsidRPr="00C96268">
        <w:rPr>
          <w:rFonts w:ascii="Times New Roman" w:hAnsi="Times New Roman" w:cs="Times New Roman"/>
          <w:sz w:val="24"/>
          <w:szCs w:val="24"/>
        </w:rPr>
        <w:t>. Tym samym, dochód ten „pozostaje” przy jednostce pośredniczącej i nie jest już przydzielany właścicielom. Właściciele są bowiem spoza grupy i nie są zobowiązani do stosowania Zasad GloBE</w:t>
      </w:r>
      <w:r w:rsidR="005256B9" w:rsidRPr="00C96268">
        <w:rPr>
          <w:rFonts w:ascii="Times New Roman" w:hAnsi="Times New Roman" w:cs="Times New Roman"/>
          <w:sz w:val="24"/>
          <w:szCs w:val="24"/>
        </w:rPr>
        <w:t>.</w:t>
      </w:r>
      <w:r w:rsidR="00CE1F09" w:rsidRPr="00C96268">
        <w:rPr>
          <w:rFonts w:ascii="Times New Roman" w:hAnsi="Times New Roman" w:cs="Times New Roman"/>
          <w:sz w:val="24"/>
          <w:szCs w:val="24"/>
          <w:vertAlign w:val="superscript"/>
        </w:rPr>
        <w:footnoteReference w:id="139"/>
      </w:r>
    </w:p>
    <w:p w14:paraId="71F0EB92" w14:textId="47F98EF5" w:rsidR="00CE1F09" w:rsidRPr="00C96268" w:rsidRDefault="00CE1F09" w:rsidP="00CE1F09">
      <w:pPr>
        <w:spacing w:after="120"/>
        <w:jc w:val="both"/>
        <w:rPr>
          <w:rFonts w:ascii="Times New Roman" w:hAnsi="Times New Roman" w:cs="Times New Roman"/>
          <w:sz w:val="24"/>
          <w:szCs w:val="24"/>
        </w:rPr>
      </w:pPr>
      <w:bookmarkStart w:id="42" w:name="_Hlk149310974"/>
      <w:r w:rsidRPr="00C96268">
        <w:rPr>
          <w:rFonts w:ascii="Times New Roman" w:hAnsi="Times New Roman" w:cs="Times New Roman"/>
          <w:b/>
          <w:bCs/>
          <w:sz w:val="24"/>
          <w:szCs w:val="24"/>
        </w:rPr>
        <w:t xml:space="preserve">Podobna procedura następuje, gdy jednostka pośrednicząca jest </w:t>
      </w:r>
      <w:r w:rsidR="003D78F5" w:rsidRPr="00C96268">
        <w:rPr>
          <w:rFonts w:ascii="Times New Roman" w:hAnsi="Times New Roman" w:cs="Times New Roman"/>
          <w:b/>
          <w:bCs/>
          <w:sz w:val="24"/>
          <w:szCs w:val="24"/>
        </w:rPr>
        <w:t xml:space="preserve">z perspektywy danego właściciela </w:t>
      </w:r>
      <w:r w:rsidRPr="00C96268">
        <w:rPr>
          <w:rFonts w:ascii="Times New Roman" w:hAnsi="Times New Roman" w:cs="Times New Roman"/>
          <w:b/>
          <w:bCs/>
          <w:sz w:val="24"/>
          <w:szCs w:val="24"/>
        </w:rPr>
        <w:t>odwróconą jednostką hybrydową – przydział dotyczy tej jednostki, tj. księgowy dochód (strata) netto pozostaje przy tej jednostce</w:t>
      </w:r>
      <w:r w:rsidRPr="00C96268">
        <w:rPr>
          <w:rFonts w:ascii="Times New Roman" w:hAnsi="Times New Roman" w:cs="Times New Roman"/>
          <w:sz w:val="24"/>
          <w:szCs w:val="24"/>
        </w:rPr>
        <w:t>.</w:t>
      </w:r>
      <w:bookmarkEnd w:id="42"/>
      <w:r w:rsidRPr="00C96268">
        <w:rPr>
          <w:rFonts w:ascii="Times New Roman" w:hAnsi="Times New Roman" w:cs="Times New Roman"/>
          <w:sz w:val="24"/>
          <w:szCs w:val="24"/>
        </w:rPr>
        <w:t xml:space="preserve">  Zgodnie bowiem z przepisami podatkowymi </w:t>
      </w:r>
      <w:r w:rsidR="00CA3713" w:rsidRPr="00C96268">
        <w:rPr>
          <w:rFonts w:ascii="Times New Roman" w:hAnsi="Times New Roman" w:cs="Times New Roman"/>
          <w:sz w:val="24"/>
          <w:szCs w:val="24"/>
        </w:rPr>
        <w:t>jurysdykcji</w:t>
      </w:r>
      <w:r w:rsidR="00CA3713" w:rsidRPr="00C96268" w:rsidDel="00CA3713">
        <w:rPr>
          <w:rFonts w:ascii="Times New Roman" w:hAnsi="Times New Roman" w:cs="Times New Roman"/>
          <w:sz w:val="24"/>
          <w:szCs w:val="24"/>
        </w:rPr>
        <w:t xml:space="preserve"> </w:t>
      </w:r>
      <w:r w:rsidRPr="00C96268">
        <w:rPr>
          <w:rFonts w:ascii="Times New Roman" w:hAnsi="Times New Roman" w:cs="Times New Roman"/>
          <w:sz w:val="24"/>
          <w:szCs w:val="24"/>
        </w:rPr>
        <w:t>właściciela dochód (strata) takiej jednostki nie są bezpośrednio opodatkowane po stronie właścicieli</w:t>
      </w:r>
      <w:r w:rsidR="005256B9" w:rsidRPr="00C96268">
        <w:rPr>
          <w:rFonts w:ascii="Times New Roman" w:hAnsi="Times New Roman" w:cs="Times New Roman"/>
          <w:sz w:val="24"/>
          <w:szCs w:val="24"/>
        </w:rPr>
        <w:t xml:space="preserve"> (z perspektywy właścicieli jest ona nieprzejrzysta)</w:t>
      </w:r>
      <w:r w:rsidRPr="00C96268">
        <w:rPr>
          <w:rFonts w:ascii="Times New Roman" w:hAnsi="Times New Roman" w:cs="Times New Roman"/>
          <w:sz w:val="24"/>
          <w:szCs w:val="24"/>
        </w:rPr>
        <w:t>.</w:t>
      </w:r>
    </w:p>
    <w:p w14:paraId="57BCE4FE" w14:textId="1B4C4339" w:rsidR="003D78F5" w:rsidRPr="00C96268" w:rsidRDefault="0071078B" w:rsidP="005746D3">
      <w:pPr>
        <w:pStyle w:val="USTustnpkodeksu"/>
        <w:spacing w:line="259" w:lineRule="auto"/>
        <w:ind w:firstLine="0"/>
        <w:rPr>
          <w:rFonts w:ascii="Times New Roman" w:hAnsi="Times New Roman" w:cs="Times New Roman"/>
          <w:szCs w:val="24"/>
        </w:rPr>
      </w:pPr>
      <w:r w:rsidRPr="00C96268">
        <w:rPr>
          <w:rFonts w:ascii="Times New Roman" w:hAnsi="Times New Roman" w:cs="Times New Roman"/>
          <w:szCs w:val="24"/>
        </w:rPr>
        <w:t xml:space="preserve">Co istotne, </w:t>
      </w:r>
      <w:r w:rsidR="005746D3" w:rsidRPr="00C96268">
        <w:rPr>
          <w:rFonts w:ascii="Times New Roman" w:hAnsi="Times New Roman" w:cs="Times New Roman"/>
          <w:szCs w:val="24"/>
        </w:rPr>
        <w:t>w świetle</w:t>
      </w:r>
      <w:r w:rsidRPr="00C96268">
        <w:rPr>
          <w:rFonts w:ascii="Times New Roman" w:hAnsi="Times New Roman" w:cs="Times New Roman"/>
          <w:szCs w:val="24"/>
        </w:rPr>
        <w:t xml:space="preserve"> ust. 2</w:t>
      </w:r>
      <w:r w:rsidR="003D78F5" w:rsidRPr="00C96268">
        <w:rPr>
          <w:rFonts w:ascii="Times New Roman" w:hAnsi="Times New Roman" w:cs="Times New Roman"/>
          <w:szCs w:val="24"/>
        </w:rPr>
        <w:t xml:space="preserve"> </w:t>
      </w:r>
      <w:r w:rsidRPr="00C96268">
        <w:rPr>
          <w:rFonts w:ascii="Times New Roman" w:hAnsi="Times New Roman" w:cs="Times New Roman"/>
          <w:szCs w:val="24"/>
        </w:rPr>
        <w:t>powyższego prz</w:t>
      </w:r>
      <w:r w:rsidR="005746D3" w:rsidRPr="00C96268">
        <w:rPr>
          <w:rFonts w:ascii="Times New Roman" w:hAnsi="Times New Roman" w:cs="Times New Roman"/>
          <w:szCs w:val="24"/>
        </w:rPr>
        <w:t>y</w:t>
      </w:r>
      <w:r w:rsidRPr="00C96268">
        <w:rPr>
          <w:rFonts w:ascii="Times New Roman" w:hAnsi="Times New Roman" w:cs="Times New Roman"/>
          <w:szCs w:val="24"/>
        </w:rPr>
        <w:t>działu</w:t>
      </w:r>
      <w:r w:rsidR="003D78F5" w:rsidRPr="00C96268">
        <w:rPr>
          <w:rFonts w:ascii="Times New Roman" w:hAnsi="Times New Roman" w:cs="Times New Roman"/>
          <w:szCs w:val="24"/>
        </w:rPr>
        <w:t xml:space="preserve"> dokonuje się odrębnie w odniesieniu do każdego właściciela posiadającego udział własnościowy w jednostce pośredniczącej.</w:t>
      </w:r>
      <w:r w:rsidR="005746D3" w:rsidRPr="00C96268">
        <w:rPr>
          <w:rFonts w:ascii="Times New Roman" w:hAnsi="Times New Roman" w:cs="Times New Roman"/>
          <w:szCs w:val="24"/>
        </w:rPr>
        <w:t xml:space="preserve"> Przykładowo, jeżeli jednostka może mieć dwóch właścicieli, z których jeden traktuje ją jako jednostkę przejrzystą podatkowo w jurysdykcji lokalizacji tego właściciela (będzie to – w odniesieniu to jego udziałów własnościowych jednostka transparentna podatkowo), a drugi właściciel traktuje ją jako nieprzejrzystą podatkowo zgodnie z przepisami jurysdykcji, w której ten właściciel jest zlokalizowany (będzie to – w odniesieniu to jego udziałów własnościowych – odwrócona jednostka hybrydowa). W takim przypadku, jeżeli zgodnie z art. 75 ust. 1 pkt 2 księgowy dochód (strata) netto ma „pozostać” przy jednostce pośredniczącej będącej odwróconą jednostką hybrydową, dotyczy to części dochodu przypadającej na danego właściciela, z perspektywy którego jest to odwrócona jednostka hybrydowa.</w:t>
      </w:r>
    </w:p>
    <w:p w14:paraId="0CF2C003" w14:textId="77777777" w:rsidR="003D78F5" w:rsidRPr="00C96268" w:rsidRDefault="003D78F5" w:rsidP="00CE1F09">
      <w:pPr>
        <w:spacing w:after="120"/>
        <w:jc w:val="both"/>
        <w:rPr>
          <w:rFonts w:ascii="Times New Roman" w:hAnsi="Times New Roman" w:cs="Times New Roman"/>
          <w:bCs/>
          <w:sz w:val="24"/>
          <w:szCs w:val="24"/>
        </w:rPr>
      </w:pPr>
    </w:p>
    <w:p w14:paraId="49E11E19" w14:textId="60781A7C"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Opisane etapy </w:t>
      </w:r>
      <w:r w:rsidR="00DE0ED7" w:rsidRPr="00C96268">
        <w:rPr>
          <w:rFonts w:ascii="Times New Roman" w:hAnsi="Times New Roman" w:cs="Times New Roman"/>
          <w:bCs/>
          <w:sz w:val="24"/>
          <w:szCs w:val="24"/>
        </w:rPr>
        <w:t xml:space="preserve">przydzielania / </w:t>
      </w:r>
      <w:r w:rsidRPr="00C96268">
        <w:rPr>
          <w:rFonts w:ascii="Times New Roman" w:hAnsi="Times New Roman" w:cs="Times New Roman"/>
          <w:bCs/>
          <w:sz w:val="24"/>
          <w:szCs w:val="24"/>
        </w:rPr>
        <w:t>alokacji księgowego dochodu (straty) jednostki pośredniczącej przedstawia poniższy schemat:</w:t>
      </w:r>
    </w:p>
    <w:p w14:paraId="5C4C8DD5" w14:textId="77777777" w:rsidR="00CE1F09" w:rsidRPr="003E7A67" w:rsidRDefault="00CE1F09" w:rsidP="00CE1F09">
      <w:pPr>
        <w:spacing w:after="120"/>
        <w:jc w:val="both"/>
        <w:rPr>
          <w:rFonts w:cstheme="minorHAnsi"/>
          <w:bCs/>
        </w:rPr>
      </w:pPr>
      <w:r w:rsidRPr="003E7A67">
        <w:rPr>
          <w:rFonts w:cstheme="minorHAnsi"/>
          <w:bCs/>
          <w:noProof/>
        </w:rPr>
        <w:drawing>
          <wp:inline distT="0" distB="0" distL="0" distR="0" wp14:anchorId="1888CD37" wp14:editId="533564E9">
            <wp:extent cx="5769826" cy="3750388"/>
            <wp:effectExtent l="0" t="0" r="2540" b="254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79" cy="3770508"/>
                    </a:xfrm>
                    <a:prstGeom prst="rect">
                      <a:avLst/>
                    </a:prstGeom>
                    <a:noFill/>
                  </pic:spPr>
                </pic:pic>
              </a:graphicData>
            </a:graphic>
          </wp:inline>
        </w:drawing>
      </w:r>
    </w:p>
    <w:p w14:paraId="7FE9FBAB" w14:textId="77777777" w:rsidR="00CE1F09" w:rsidRPr="003E7A67" w:rsidRDefault="00CE1F09" w:rsidP="00CE1F09">
      <w:pPr>
        <w:spacing w:after="120"/>
        <w:jc w:val="both"/>
        <w:rPr>
          <w:rFonts w:cstheme="minorHAnsi"/>
          <w:b/>
        </w:rPr>
      </w:pPr>
    </w:p>
    <w:p w14:paraId="4E68C06A" w14:textId="77777777"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Ponadto,</w:t>
      </w:r>
      <w:r w:rsidRPr="00C96268">
        <w:rPr>
          <w:rFonts w:ascii="Times New Roman" w:hAnsi="Times New Roman" w:cs="Times New Roman"/>
          <w:b/>
          <w:sz w:val="24"/>
          <w:szCs w:val="24"/>
        </w:rPr>
        <w:t xml:space="preserve"> art. 76 ust. 1 ustawy</w:t>
      </w:r>
      <w:r w:rsidRPr="00C96268">
        <w:rPr>
          <w:rFonts w:ascii="Times New Roman" w:hAnsi="Times New Roman" w:cs="Times New Roman"/>
          <w:bCs/>
          <w:sz w:val="24"/>
          <w:szCs w:val="24"/>
        </w:rPr>
        <w:t xml:space="preserve"> jest regulacją niezależną wskazującą, dla porządku, że przepisy </w:t>
      </w:r>
      <w:bookmarkStart w:id="43" w:name="_Hlk164170844"/>
      <w:r w:rsidRPr="00C96268">
        <w:rPr>
          <w:rFonts w:ascii="Times New Roman" w:hAnsi="Times New Roman" w:cs="Times New Roman"/>
          <w:bCs/>
          <w:sz w:val="24"/>
          <w:szCs w:val="24"/>
        </w:rPr>
        <w:t>art. 73 oraz art. 75 ust. 1 i 2 ustawy</w:t>
      </w:r>
      <w:bookmarkEnd w:id="43"/>
      <w:r w:rsidRPr="00C96268">
        <w:rPr>
          <w:rFonts w:ascii="Times New Roman" w:hAnsi="Times New Roman" w:cs="Times New Roman"/>
          <w:bCs/>
          <w:sz w:val="24"/>
          <w:szCs w:val="24"/>
        </w:rPr>
        <w:t xml:space="preserve"> należy stosować odpowiednio w odniesieniu do każdego udziału własnościowego posiadanego przez danego właściciela w jednostce pośredniczącej.</w:t>
      </w:r>
    </w:p>
    <w:p w14:paraId="23AA6E90" w14:textId="77777777"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Zapis ten jest niezbędny z uwagi na fakt, że ta sama jednostka pośrednicząca może być jednocześnie traktowana przez poszczególnych właścicieli inaczej, tj. przez niektórych jako transparentna podatkowo, zaś przez innych jako odwrócona jednostka hybrydowa. Dlatego w takich przypadkach poszczególne zasady przydziału określone w art. 73 oraz art. 75 ust. 1 i 2 ustawy</w:t>
      </w:r>
      <w:r w:rsidRPr="00C96268" w:rsidDel="000F152D">
        <w:rPr>
          <w:rFonts w:ascii="Times New Roman" w:hAnsi="Times New Roman" w:cs="Times New Roman"/>
          <w:bCs/>
          <w:sz w:val="24"/>
          <w:szCs w:val="24"/>
        </w:rPr>
        <w:t xml:space="preserve"> </w:t>
      </w:r>
      <w:r w:rsidRPr="00C96268">
        <w:rPr>
          <w:rFonts w:ascii="Times New Roman" w:hAnsi="Times New Roman" w:cs="Times New Roman"/>
          <w:bCs/>
          <w:sz w:val="24"/>
          <w:szCs w:val="24"/>
        </w:rPr>
        <w:t>stosowane będą oddzielnie i odpowiednio, tj. z perspektywy każdego właściciela takiej jednostki.</w:t>
      </w:r>
    </w:p>
    <w:p w14:paraId="5C604BCC" w14:textId="77777777" w:rsidR="00CE1F09" w:rsidRPr="00C96268" w:rsidRDefault="00CE1F09" w:rsidP="00CE1F09">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Art. 76 ust. 2 ustawy</w:t>
      </w:r>
      <w:r w:rsidRPr="00C96268">
        <w:rPr>
          <w:rFonts w:ascii="Times New Roman" w:hAnsi="Times New Roman" w:cs="Times New Roman"/>
          <w:bCs/>
          <w:sz w:val="24"/>
          <w:szCs w:val="24"/>
        </w:rPr>
        <w:t xml:space="preserve"> stanowi, iż dla celów stosowania przepisu uznaje się, że przez udziały własnościowe rozumie się również prawa do zysków wynikające z takich udziałów posiadane przez jednostkę, jeżeli na dany rok podatkowy prawa te zostały przeniesione z właściciela na tę jednostkę, w drodze zawartej na czas określony umowy lub kontraktu lub innego porozumienia w jakiejkolwiek formie.</w:t>
      </w:r>
    </w:p>
    <w:p w14:paraId="11A54DC3" w14:textId="77777777" w:rsidR="00D25419" w:rsidRPr="00C96268" w:rsidRDefault="00D25419" w:rsidP="00D25419">
      <w:pPr>
        <w:pStyle w:val="Nagwek2"/>
        <w:spacing w:before="480"/>
        <w:rPr>
          <w:rFonts w:ascii="Times New Roman" w:hAnsi="Times New Roman" w:cs="Times New Roman"/>
          <w:sz w:val="24"/>
          <w:szCs w:val="24"/>
        </w:rPr>
      </w:pPr>
      <w:r w:rsidRPr="00C96268">
        <w:rPr>
          <w:rFonts w:ascii="Times New Roman" w:hAnsi="Times New Roman" w:cs="Times New Roman"/>
          <w:sz w:val="24"/>
          <w:szCs w:val="24"/>
        </w:rPr>
        <w:t>DZIAŁ VI. Skorygowane podatki kwalifikowane</w:t>
      </w:r>
    </w:p>
    <w:p w14:paraId="0DA4E8EA" w14:textId="77777777" w:rsidR="00D25419" w:rsidRPr="00C96268" w:rsidRDefault="00D25419" w:rsidP="00D25419">
      <w:pPr>
        <w:pStyle w:val="Nagwek3"/>
        <w:rPr>
          <w:rFonts w:ascii="Times New Roman" w:hAnsi="Times New Roman" w:cs="Times New Roman"/>
          <w:sz w:val="24"/>
        </w:rPr>
      </w:pPr>
      <w:r w:rsidRPr="00C96268">
        <w:rPr>
          <w:rFonts w:ascii="Times New Roman" w:hAnsi="Times New Roman" w:cs="Times New Roman"/>
          <w:sz w:val="24"/>
        </w:rPr>
        <w:t>Rozdział 1 – Przepisy ogólne</w:t>
      </w:r>
    </w:p>
    <w:p w14:paraId="0A881FE5" w14:textId="77777777" w:rsidR="00D25419" w:rsidRPr="00C96268" w:rsidRDefault="00D25419" w:rsidP="00D25419">
      <w:pPr>
        <w:spacing w:after="120"/>
        <w:jc w:val="both"/>
        <w:rPr>
          <w:rFonts w:ascii="Times New Roman" w:hAnsi="Times New Roman" w:cs="Times New Roman"/>
          <w:i/>
          <w:sz w:val="24"/>
          <w:szCs w:val="24"/>
        </w:rPr>
      </w:pPr>
      <w:r w:rsidRPr="00C96268">
        <w:rPr>
          <w:rFonts w:ascii="Times New Roman" w:hAnsi="Times New Roman" w:cs="Times New Roman"/>
          <w:i/>
          <w:sz w:val="24"/>
          <w:szCs w:val="24"/>
        </w:rPr>
        <w:t>Uwagi ogólne – podatki kwalifikowane</w:t>
      </w:r>
    </w:p>
    <w:p w14:paraId="233C413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Celem rozdziału 2 „Skorygowane podatki kwalifikowane” jest określenie podatków, które mają być uwzględnione w kalkulacji efektywnej stawki podatkowej. Dla zdefiniowania pojęcia „skorygowanych podatków kwalifikowanych” konieczne jest w pierwszej kolejności zdefiniowanie pojęcia „podatków kwalifikowanych”. </w:t>
      </w:r>
    </w:p>
    <w:p w14:paraId="599F07EA" w14:textId="165DCEA1" w:rsidR="00D25419" w:rsidRPr="00C96268" w:rsidRDefault="00D25419" w:rsidP="00D25419">
      <w:pPr>
        <w:spacing w:after="120"/>
        <w:jc w:val="both"/>
        <w:rPr>
          <w:rFonts w:ascii="Times New Roman" w:hAnsi="Times New Roman" w:cs="Times New Roman"/>
          <w:bCs/>
          <w:sz w:val="24"/>
          <w:szCs w:val="24"/>
        </w:rPr>
      </w:pPr>
      <w:bookmarkStart w:id="44" w:name="_Hlk156204028"/>
      <w:r w:rsidRPr="00C96268">
        <w:rPr>
          <w:rFonts w:ascii="Times New Roman" w:hAnsi="Times New Roman" w:cs="Times New Roman"/>
          <w:bCs/>
          <w:sz w:val="24"/>
          <w:szCs w:val="24"/>
        </w:rPr>
        <w:t xml:space="preserve">Pojęcie podatków kwalifikowanych (i odpowiednio skorygowanych podatków kwalifikowanych) jest pojęciem opracowanym na potrzeby </w:t>
      </w:r>
      <w:r w:rsidR="00595132" w:rsidRPr="00C96268">
        <w:rPr>
          <w:rFonts w:ascii="Times New Roman" w:hAnsi="Times New Roman" w:cs="Times New Roman"/>
          <w:bCs/>
          <w:sz w:val="24"/>
          <w:szCs w:val="24"/>
        </w:rPr>
        <w:t>Modelowych zasad</w:t>
      </w:r>
      <w:r w:rsidRPr="00C96268">
        <w:rPr>
          <w:rFonts w:ascii="Times New Roman" w:hAnsi="Times New Roman" w:cs="Times New Roman"/>
          <w:bCs/>
          <w:sz w:val="24"/>
          <w:szCs w:val="24"/>
        </w:rPr>
        <w:t xml:space="preserve"> oraz Dyrektywy i nie ma bezpośredniego związku z Artykułem 2 (Podatki Objęte Zakresem) Modelowej </w:t>
      </w:r>
      <w:r w:rsidR="00ED3A9E" w:rsidRPr="00C96268">
        <w:rPr>
          <w:rFonts w:ascii="Times New Roman" w:hAnsi="Times New Roman" w:cs="Times New Roman"/>
          <w:bCs/>
          <w:sz w:val="24"/>
          <w:szCs w:val="24"/>
        </w:rPr>
        <w:t>k</w:t>
      </w:r>
      <w:r w:rsidRPr="00C96268">
        <w:rPr>
          <w:rFonts w:ascii="Times New Roman" w:hAnsi="Times New Roman" w:cs="Times New Roman"/>
          <w:bCs/>
          <w:sz w:val="24"/>
          <w:szCs w:val="24"/>
        </w:rPr>
        <w:t xml:space="preserve">onwencji OECD. Zgodnie z definicją zawartą w </w:t>
      </w:r>
      <w:r w:rsidR="00595132" w:rsidRPr="00C96268">
        <w:rPr>
          <w:rFonts w:ascii="Times New Roman" w:hAnsi="Times New Roman" w:cs="Times New Roman"/>
          <w:bCs/>
          <w:sz w:val="24"/>
          <w:szCs w:val="24"/>
        </w:rPr>
        <w:t>Modelowych zasad</w:t>
      </w:r>
      <w:r w:rsidRPr="00C96268">
        <w:rPr>
          <w:rFonts w:ascii="Times New Roman" w:hAnsi="Times New Roman" w:cs="Times New Roman"/>
          <w:bCs/>
          <w:sz w:val="24"/>
          <w:szCs w:val="24"/>
        </w:rPr>
        <w:t xml:space="preserve">ach podatek to </w:t>
      </w:r>
      <w:r w:rsidRPr="00C96268">
        <w:rPr>
          <w:rFonts w:ascii="Times New Roman" w:hAnsi="Times New Roman" w:cs="Times New Roman"/>
          <w:sz w:val="24"/>
          <w:szCs w:val="24"/>
        </w:rPr>
        <w:t xml:space="preserve">przymusowe, nieodpłatne świadczenie publicznoprawne </w:t>
      </w:r>
      <w:r w:rsidRPr="00C96268">
        <w:rPr>
          <w:rFonts w:ascii="Times New Roman" w:hAnsi="Times New Roman" w:cs="Times New Roman"/>
          <w:bCs/>
          <w:sz w:val="24"/>
          <w:szCs w:val="24"/>
        </w:rPr>
        <w:t xml:space="preserve">na rzecz szeroko pojętego „rządu” (ang. </w:t>
      </w:r>
      <w:r w:rsidRPr="00C96268">
        <w:rPr>
          <w:rFonts w:ascii="Times New Roman" w:hAnsi="Times New Roman" w:cs="Times New Roman"/>
          <w:bCs/>
          <w:i/>
          <w:sz w:val="24"/>
          <w:szCs w:val="24"/>
        </w:rPr>
        <w:t>general government)</w:t>
      </w:r>
      <w:r w:rsidRPr="00C96268">
        <w:rPr>
          <w:rFonts w:ascii="Times New Roman" w:hAnsi="Times New Roman" w:cs="Times New Roman"/>
          <w:bCs/>
          <w:iCs/>
          <w:sz w:val="24"/>
          <w:szCs w:val="24"/>
        </w:rPr>
        <w:t xml:space="preserve">, który na gruncie </w:t>
      </w:r>
      <w:r w:rsidR="00595132" w:rsidRPr="00C96268">
        <w:rPr>
          <w:rFonts w:ascii="Times New Roman" w:hAnsi="Times New Roman" w:cs="Times New Roman"/>
          <w:bCs/>
          <w:iCs/>
          <w:sz w:val="24"/>
          <w:szCs w:val="24"/>
        </w:rPr>
        <w:t>Modelowych zasad</w:t>
      </w:r>
      <w:r w:rsidRPr="00C96268">
        <w:rPr>
          <w:rFonts w:ascii="Times New Roman" w:hAnsi="Times New Roman" w:cs="Times New Roman"/>
          <w:bCs/>
          <w:iCs/>
          <w:sz w:val="24"/>
          <w:szCs w:val="24"/>
        </w:rPr>
        <w:t xml:space="preserve"> obejmuje administrację centralną i samorządową.</w:t>
      </w:r>
      <w:r w:rsidRPr="00C96268">
        <w:rPr>
          <w:rStyle w:val="Odwoanieprzypisudolnego"/>
          <w:rFonts w:ascii="Times New Roman" w:hAnsi="Times New Roman" w:cs="Times New Roman"/>
          <w:bCs/>
          <w:iCs/>
          <w:sz w:val="24"/>
          <w:szCs w:val="24"/>
        </w:rPr>
        <w:footnoteReference w:id="140"/>
      </w:r>
      <w:r w:rsidRPr="00C96268">
        <w:rPr>
          <w:rFonts w:ascii="Times New Roman" w:hAnsi="Times New Roman" w:cs="Times New Roman"/>
          <w:bCs/>
          <w:iCs/>
          <w:sz w:val="24"/>
          <w:szCs w:val="24"/>
        </w:rPr>
        <w:t xml:space="preserve"> </w:t>
      </w:r>
    </w:p>
    <w:p w14:paraId="44FF7E8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Przy ustalaniu, czy dany podatek jest podatkiem kwalifikowanym w rozumieniu projektu, rozstrzygający jest charakter tego podatku, tj. jego zaliczenie do jednej z kategorii opisanych w art. 78. </w:t>
      </w:r>
    </w:p>
    <w:p w14:paraId="18A64881"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Wychodząc od definicji podatków kwalifikowanych, konieczne jest następnie dokonanie szeregu korekt dla określenia skorygowanych podatków kwalifikowanych (które to będą ujęte w kalkulacji efektywnej stawki podatkowej). Korekty te obejmują przede wszystkim:</w:t>
      </w:r>
    </w:p>
    <w:p w14:paraId="3E384492" w14:textId="77777777" w:rsidR="00D25419" w:rsidRPr="00C96268" w:rsidRDefault="00D25419" w:rsidP="00D25419">
      <w:pPr>
        <w:pStyle w:val="Akapitzlist"/>
        <w:numPr>
          <w:ilvl w:val="4"/>
          <w:numId w:val="78"/>
        </w:numPr>
        <w:spacing w:after="120"/>
        <w:ind w:left="709" w:hanging="425"/>
        <w:jc w:val="both"/>
        <w:rPr>
          <w:rFonts w:ascii="Times New Roman" w:hAnsi="Times New Roman" w:cs="Times New Roman"/>
          <w:bCs/>
          <w:sz w:val="24"/>
          <w:szCs w:val="24"/>
        </w:rPr>
      </w:pPr>
      <w:r w:rsidRPr="00C96268">
        <w:rPr>
          <w:rFonts w:ascii="Times New Roman" w:hAnsi="Times New Roman" w:cs="Times New Roman"/>
          <w:bCs/>
          <w:sz w:val="24"/>
          <w:szCs w:val="24"/>
        </w:rPr>
        <w:t xml:space="preserve">mechanizm uwzględniania podatków jednostki składowej, które nie są ujmowane w pozycji podatkowej rachunku zysków i strat, oraz </w:t>
      </w:r>
    </w:p>
    <w:p w14:paraId="0FAB685D" w14:textId="77777777" w:rsidR="00D25419" w:rsidRPr="00C96268" w:rsidRDefault="00D25419" w:rsidP="00D25419">
      <w:pPr>
        <w:pStyle w:val="Akapitzlist"/>
        <w:numPr>
          <w:ilvl w:val="4"/>
          <w:numId w:val="78"/>
        </w:numPr>
        <w:spacing w:after="120"/>
        <w:ind w:left="709" w:hanging="425"/>
        <w:jc w:val="both"/>
        <w:rPr>
          <w:rFonts w:ascii="Times New Roman" w:hAnsi="Times New Roman" w:cs="Times New Roman"/>
          <w:bCs/>
          <w:sz w:val="24"/>
          <w:szCs w:val="24"/>
        </w:rPr>
      </w:pPr>
      <w:r w:rsidRPr="00C96268">
        <w:rPr>
          <w:rFonts w:ascii="Times New Roman" w:hAnsi="Times New Roman" w:cs="Times New Roman"/>
          <w:bCs/>
          <w:sz w:val="24"/>
          <w:szCs w:val="24"/>
        </w:rPr>
        <w:t xml:space="preserve">wyłączenie podatków, które nie są związane z kwalifikowanym dochodem (stratą). </w:t>
      </w:r>
    </w:p>
    <w:p w14:paraId="3DCF6AA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Następnie dokonywane są dalsze korekty w celu przypisania niektórych podatków transgranicznych do właściwej jednostki składowej. Mechanizm ten dotyczy podatków takich jak podatki nałożone w ramach systemu zagranicznych jednostek kontrolowanych lub na jednostkę transparentną podatkowo.  </w:t>
      </w:r>
    </w:p>
    <w:p w14:paraId="593BBC0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Na wysokość podatków kwalifikowanych wpływają także różnice przejściowe. W odniesieniu do nich, jako zasadę przyjęto mechanizm oparty na mechanizmach rachunkowości podatku odroczonego, jednocześnie przewidując uproszczone rozwiązanie alternatywne, oparte o stratę powstałą w danej jurysdykcji</w:t>
      </w:r>
      <w:r w:rsidRPr="00C96268" w:rsidDel="00CA3713">
        <w:rPr>
          <w:rFonts w:ascii="Times New Roman" w:hAnsi="Times New Roman" w:cs="Times New Roman"/>
          <w:bCs/>
          <w:sz w:val="24"/>
          <w:szCs w:val="24"/>
        </w:rPr>
        <w:t xml:space="preserve"> </w:t>
      </w:r>
      <w:r w:rsidRPr="00C96268">
        <w:rPr>
          <w:rFonts w:ascii="Times New Roman" w:hAnsi="Times New Roman" w:cs="Times New Roman"/>
          <w:bCs/>
          <w:sz w:val="24"/>
          <w:szCs w:val="24"/>
        </w:rPr>
        <w:t>na gruncie opodatkowania wyrównawczego.</w:t>
      </w:r>
    </w:p>
    <w:p w14:paraId="63A9EC5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Określono także zasady postępowania w przypadku zmian w zakresie zobowiązania jednostki składowej z tytułu podatków kwalifikowanych, dotyczących poprzednich lat podatkowych. </w:t>
      </w:r>
    </w:p>
    <w:p w14:paraId="08DD2A4A"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77 [Podatki kwalifikowane jednostki składowej]</w:t>
      </w:r>
    </w:p>
    <w:p w14:paraId="27AC1A72" w14:textId="77777777" w:rsidR="00D25419" w:rsidRPr="00C96268" w:rsidRDefault="00D25419" w:rsidP="00D25419">
      <w:pPr>
        <w:jc w:val="both"/>
        <w:rPr>
          <w:rFonts w:ascii="Times New Roman" w:hAnsi="Times New Roman" w:cs="Times New Roman"/>
          <w:sz w:val="24"/>
          <w:szCs w:val="24"/>
        </w:rPr>
      </w:pPr>
      <w:r w:rsidRPr="00C96268">
        <w:rPr>
          <w:rFonts w:ascii="Times New Roman" w:hAnsi="Times New Roman" w:cs="Times New Roman"/>
          <w:bCs/>
          <w:sz w:val="24"/>
          <w:szCs w:val="24"/>
        </w:rPr>
        <w:t xml:space="preserve">Art. 77 precyzuje, co należy rozumieć przez podatki kwalifikowane jednostki składowej. Obejmują one podatki </w:t>
      </w:r>
      <w:r w:rsidRPr="00C96268">
        <w:rPr>
          <w:rFonts w:ascii="Times New Roman" w:hAnsi="Times New Roman" w:cs="Times New Roman"/>
          <w:sz w:val="24"/>
          <w:szCs w:val="24"/>
        </w:rPr>
        <w:t xml:space="preserve">przydzielone jednostce składowej zgodnie z przepisami ustawy, tj.: </w:t>
      </w:r>
    </w:p>
    <w:p w14:paraId="107F5EC9" w14:textId="77777777" w:rsidR="00D25419" w:rsidRPr="00C96268" w:rsidRDefault="00D25419" w:rsidP="00D25419">
      <w:pPr>
        <w:pStyle w:val="Akapitzlist"/>
        <w:numPr>
          <w:ilvl w:val="0"/>
          <w:numId w:val="154"/>
        </w:numPr>
        <w:jc w:val="both"/>
        <w:rPr>
          <w:rFonts w:ascii="Times New Roman" w:hAnsi="Times New Roman" w:cs="Times New Roman"/>
          <w:bCs/>
          <w:sz w:val="24"/>
          <w:szCs w:val="24"/>
        </w:rPr>
      </w:pPr>
      <w:r w:rsidRPr="00C96268">
        <w:rPr>
          <w:rFonts w:ascii="Times New Roman" w:hAnsi="Times New Roman" w:cs="Times New Roman"/>
          <w:sz w:val="24"/>
          <w:szCs w:val="24"/>
        </w:rPr>
        <w:t xml:space="preserve">podatki kwalifikowane naliczone w księgach danej jednostki składowej lub </w:t>
      </w:r>
    </w:p>
    <w:p w14:paraId="0163F08F" w14:textId="77777777" w:rsidR="00D25419" w:rsidRPr="00C96268" w:rsidRDefault="00D25419" w:rsidP="00D25419">
      <w:pPr>
        <w:pStyle w:val="Akapitzlist"/>
        <w:numPr>
          <w:ilvl w:val="0"/>
          <w:numId w:val="154"/>
        </w:numPr>
        <w:jc w:val="both"/>
        <w:rPr>
          <w:rFonts w:ascii="Times New Roman" w:hAnsi="Times New Roman" w:cs="Times New Roman"/>
          <w:bCs/>
          <w:sz w:val="24"/>
          <w:szCs w:val="24"/>
        </w:rPr>
      </w:pPr>
      <w:r w:rsidRPr="00C96268">
        <w:rPr>
          <w:rFonts w:ascii="Times New Roman" w:hAnsi="Times New Roman" w:cs="Times New Roman"/>
          <w:sz w:val="24"/>
          <w:szCs w:val="24"/>
        </w:rPr>
        <w:t xml:space="preserve">podatki kwalifikowane przydzielone danej jednostce składowej, zgodnie ze szczególnymi zasadami przydziału / alokacji pomiędzy jednostkami składowymi (np. podatki kwalifikowane właściciela alokowane do jednostki składowej). </w:t>
      </w:r>
    </w:p>
    <w:p w14:paraId="72103F84" w14:textId="77777777" w:rsidR="00D25419" w:rsidRPr="00C96268" w:rsidRDefault="00D25419" w:rsidP="00D25419">
      <w:pPr>
        <w:jc w:val="both"/>
        <w:rPr>
          <w:rFonts w:ascii="Times New Roman" w:hAnsi="Times New Roman" w:cs="Times New Roman"/>
          <w:bCs/>
          <w:sz w:val="24"/>
          <w:szCs w:val="24"/>
        </w:rPr>
      </w:pPr>
      <w:r w:rsidRPr="00C96268">
        <w:rPr>
          <w:rFonts w:ascii="Times New Roman" w:hAnsi="Times New Roman" w:cs="Times New Roman"/>
          <w:sz w:val="24"/>
          <w:szCs w:val="24"/>
        </w:rPr>
        <w:t>Po drugie, jednostka składowa musi uwzględniać dochód nimi opodatkowany przy obliczaniu kwalifikowanego dochodu (straty).</w:t>
      </w:r>
      <w:r w:rsidRPr="00C96268">
        <w:rPr>
          <w:rFonts w:ascii="Times New Roman" w:hAnsi="Times New Roman" w:cs="Times New Roman"/>
          <w:bCs/>
          <w:sz w:val="24"/>
          <w:szCs w:val="24"/>
        </w:rPr>
        <w:t xml:space="preserve"> </w:t>
      </w:r>
    </w:p>
    <w:p w14:paraId="7461932D"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78 [Katalog podatków kwalifikowanych] </w:t>
      </w:r>
    </w:p>
    <w:p w14:paraId="5E58243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Art. </w:t>
      </w:r>
      <w:r w:rsidRPr="00C96268">
        <w:rPr>
          <w:rFonts w:ascii="Times New Roman" w:hAnsi="Times New Roman" w:cs="Times New Roman"/>
          <w:sz w:val="24"/>
          <w:szCs w:val="24"/>
        </w:rPr>
        <w:t>78</w:t>
      </w:r>
      <w:r w:rsidRPr="00C96268">
        <w:rPr>
          <w:rFonts w:ascii="Times New Roman" w:hAnsi="Times New Roman" w:cs="Times New Roman"/>
          <w:b/>
          <w:bCs/>
          <w:sz w:val="24"/>
          <w:szCs w:val="24"/>
        </w:rPr>
        <w:t xml:space="preserve"> </w:t>
      </w:r>
      <w:r w:rsidRPr="00C96268">
        <w:rPr>
          <w:rFonts w:ascii="Times New Roman" w:hAnsi="Times New Roman" w:cs="Times New Roman"/>
          <w:bCs/>
          <w:sz w:val="24"/>
          <w:szCs w:val="24"/>
        </w:rPr>
        <w:t>stanowi implementację art. 20.1 Dyrektywy i wskazuje kategorie podatków uznawanych za podatki kwalifikowane. Podkreślenia wymaga, że podatki te są uznawane za podatki kwalifikowane jedynie, gdy stanowią świadczenie publicznoprawne, przymusowe, nieodpłatne oraz bezzwrotne, ich wysokość wynika z przepisów obowiązujących w jurysdykcji</w:t>
      </w:r>
      <w:r w:rsidRPr="00C96268" w:rsidDel="00CA3713">
        <w:rPr>
          <w:rFonts w:ascii="Times New Roman" w:hAnsi="Times New Roman" w:cs="Times New Roman"/>
          <w:bCs/>
          <w:sz w:val="24"/>
          <w:szCs w:val="24"/>
        </w:rPr>
        <w:t xml:space="preserve"> </w:t>
      </w:r>
      <w:r w:rsidRPr="00C96268">
        <w:rPr>
          <w:rFonts w:ascii="Times New Roman" w:hAnsi="Times New Roman" w:cs="Times New Roman"/>
          <w:bCs/>
          <w:sz w:val="24"/>
          <w:szCs w:val="24"/>
        </w:rPr>
        <w:t>lokalizacji danej jednostki, oraz są ujęte w księgach jednostki składowej za rok podatkowy.</w:t>
      </w:r>
    </w:p>
    <w:p w14:paraId="7671A64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Podatkami kwalifikowanymi nie będą więc grzywny, kary, odsetki i opłaty o podobnym charakterze naliczane w związku z takimi podatkami kwalifikowanymi.</w:t>
      </w:r>
    </w:p>
    <w:p w14:paraId="01058F6C" w14:textId="77777777" w:rsidR="00D25419" w:rsidRPr="00C96268" w:rsidRDefault="00D25419" w:rsidP="00D25419">
      <w:pPr>
        <w:spacing w:after="120"/>
        <w:jc w:val="both"/>
        <w:rPr>
          <w:rFonts w:ascii="Times New Roman" w:hAnsi="Times New Roman" w:cs="Times New Roman"/>
          <w:bCs/>
          <w:sz w:val="24"/>
          <w:szCs w:val="24"/>
        </w:rPr>
      </w:pPr>
      <w:bookmarkStart w:id="45" w:name="_Hlk153890767"/>
      <w:bookmarkEnd w:id="44"/>
      <w:r w:rsidRPr="00C96268">
        <w:rPr>
          <w:rFonts w:ascii="Times New Roman" w:hAnsi="Times New Roman" w:cs="Times New Roman"/>
          <w:bCs/>
          <w:sz w:val="24"/>
          <w:szCs w:val="24"/>
        </w:rPr>
        <w:t xml:space="preserve">Podstawową pozycją uznawaną za podatki kwalifikowane są podatki naliczone od dochodu lub zysku tej jednostki lub udziału tej jednostki w dochodzie lub zysku jednostki składowej, w której posiada ona udział własnościowy. Definicja ta obejmuje nie tylko podatki nałożone na dochód w momencie uzyskania takiego dochodu, ale także podatki nałożone na późniejszą dystrybucję zysków. </w:t>
      </w:r>
    </w:p>
    <w:p w14:paraId="4D5BE59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Powyższe oznacza, że definicja ta obejmuje także: </w:t>
      </w:r>
    </w:p>
    <w:p w14:paraId="5983DD5F" w14:textId="77777777" w:rsidR="00D25419" w:rsidRPr="00C96268" w:rsidRDefault="00D25419" w:rsidP="00D25419">
      <w:pPr>
        <w:pStyle w:val="Akapitzlist"/>
        <w:numPr>
          <w:ilvl w:val="4"/>
          <w:numId w:val="64"/>
        </w:numPr>
        <w:spacing w:after="120"/>
        <w:ind w:left="567" w:hanging="283"/>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podatki nałożone na udział jednostki składowej w niepodzielonych zyskach jednostki transparentnej podatkowo, takiej jak spółka osobowa, </w:t>
      </w:r>
    </w:p>
    <w:p w14:paraId="32D0730F" w14:textId="77777777" w:rsidR="00D25419" w:rsidRPr="00C96268" w:rsidRDefault="00D25419" w:rsidP="00D25419">
      <w:pPr>
        <w:pStyle w:val="Akapitzlist"/>
        <w:numPr>
          <w:ilvl w:val="4"/>
          <w:numId w:val="64"/>
        </w:numPr>
        <w:spacing w:after="120"/>
        <w:ind w:left="567" w:hanging="283"/>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podatki nałożone w ramach reżimu zagranicznych jednostek kontrolowanych, </w:t>
      </w:r>
    </w:p>
    <w:p w14:paraId="01DACF5C" w14:textId="77777777" w:rsidR="00D25419" w:rsidRPr="00C96268" w:rsidRDefault="00D25419" w:rsidP="00D25419">
      <w:pPr>
        <w:pStyle w:val="Akapitzlist"/>
        <w:numPr>
          <w:ilvl w:val="4"/>
          <w:numId w:val="64"/>
        </w:numPr>
        <w:spacing w:after="120"/>
        <w:ind w:left="567" w:hanging="283"/>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podatki nałożone na wypłaty z innej jednostki składowej. </w:t>
      </w:r>
    </w:p>
    <w:p w14:paraId="4251A5C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Podatek nałożony na dochód brutto lub przychód bez żadnych odliczeń (tj. podatek od obrotu) nie będzie uznawany za podatek dochodowy. Jednak podatki lub dodatkowe obciążenia nałożone na dochód netto z określonych rodzajów działalności, takich jak bankowość lub poszukiwanie i wydobycie ropy naftowej i gazu, będą również objęte ogólną definicją podatku kwalifikowanego niezależnie od tego czy mają zastosowanie jako dodatek do ogólnie obowiązującego podatku dochodowego.</w:t>
      </w:r>
    </w:p>
    <w:p w14:paraId="5151CDB0" w14:textId="700437CE" w:rsidR="00D25419" w:rsidRPr="00C96268" w:rsidRDefault="00D25419" w:rsidP="00D25419">
      <w:pPr>
        <w:spacing w:after="120"/>
        <w:jc w:val="both"/>
        <w:rPr>
          <w:rFonts w:ascii="Times New Roman" w:hAnsi="Times New Roman" w:cs="Times New Roman"/>
          <w:bCs/>
          <w:sz w:val="24"/>
          <w:szCs w:val="24"/>
        </w:rPr>
      </w:pPr>
      <w:bookmarkStart w:id="46" w:name="_Hlk152081237"/>
      <w:r w:rsidRPr="00C96268">
        <w:rPr>
          <w:rFonts w:ascii="Times New Roman" w:hAnsi="Times New Roman" w:cs="Times New Roman"/>
          <w:bCs/>
          <w:sz w:val="24"/>
          <w:szCs w:val="24"/>
        </w:rPr>
        <w:t>Podatkiem kwalifikowanym jest także ujęty w księgach podatnika (odbiorcy należności) podatek u źródła i podatek o podobnym charakterze, pobierany i wpłacany w jego imieniu do organu podatkowego przez płatnika będącego jednostką składową.</w:t>
      </w:r>
    </w:p>
    <w:bookmarkEnd w:id="45"/>
    <w:bookmarkEnd w:id="46"/>
    <w:p w14:paraId="4A4CB639" w14:textId="77777777" w:rsidR="00D25419" w:rsidRPr="00C96268" w:rsidRDefault="00D25419" w:rsidP="00D25419">
      <w:pPr>
        <w:spacing w:after="120"/>
        <w:jc w:val="both"/>
        <w:rPr>
          <w:rFonts w:ascii="Times New Roman" w:hAnsi="Times New Roman" w:cs="Times New Roman"/>
          <w:sz w:val="24"/>
          <w:szCs w:val="24"/>
        </w:rPr>
      </w:pPr>
      <w:r w:rsidRPr="00C96268">
        <w:rPr>
          <w:rFonts w:ascii="Times New Roman" w:hAnsi="Times New Roman" w:cs="Times New Roman"/>
          <w:sz w:val="24"/>
          <w:szCs w:val="24"/>
        </w:rPr>
        <w:t>Za podatki kwalifikowane uznaje się także podatki naliczone „w miejsce” podatku dochodowego od osób prawnych.</w:t>
      </w:r>
    </w:p>
    <w:p w14:paraId="7BF7880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Sformułowanie „w miejsce” obejmuje podatki, które nie są opisane w ogólnie stosowanej definicji podatku dochodowego, ale które działają jako substytuty takich podatków. Test ten jest stosowany w niektórych jurysdykcjach</w:t>
      </w:r>
      <w:r w:rsidRPr="00C96268" w:rsidDel="00CA3713">
        <w:rPr>
          <w:rFonts w:ascii="Times New Roman" w:hAnsi="Times New Roman" w:cs="Times New Roman"/>
          <w:bCs/>
          <w:sz w:val="24"/>
          <w:szCs w:val="24"/>
        </w:rPr>
        <w:t xml:space="preserve"> </w:t>
      </w:r>
      <w:r w:rsidRPr="00C96268">
        <w:rPr>
          <w:rFonts w:ascii="Times New Roman" w:hAnsi="Times New Roman" w:cs="Times New Roman"/>
          <w:bCs/>
          <w:sz w:val="24"/>
          <w:szCs w:val="24"/>
        </w:rPr>
        <w:t>w kontekście zagranicznych ulg podatkowych. Obejmuje on podatki u źródła od odsetek, czynszów i należności licencyjnych oraz inne podatki od innych kategorii płatności brutto, takich jak składki ubezpieczeniowe, pod warunkiem, że są one nakładane „w miejsce” ogólnie obowiązującego podatku dochodowego.</w:t>
      </w:r>
    </w:p>
    <w:p w14:paraId="6229DD17"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Koncepcja podatku naliczonego</w:t>
      </w:r>
      <w:r w:rsidRPr="00C96268">
        <w:rPr>
          <w:rFonts w:ascii="Times New Roman" w:hAnsi="Times New Roman" w:cs="Times New Roman"/>
          <w:bCs/>
          <w:i/>
          <w:iCs/>
          <w:sz w:val="24"/>
          <w:szCs w:val="24"/>
        </w:rPr>
        <w:t xml:space="preserve"> </w:t>
      </w:r>
      <w:r w:rsidRPr="00C96268">
        <w:rPr>
          <w:rFonts w:ascii="Times New Roman" w:hAnsi="Times New Roman" w:cs="Times New Roman"/>
          <w:bCs/>
          <w:sz w:val="24"/>
          <w:szCs w:val="24"/>
        </w:rPr>
        <w:t xml:space="preserve">„w miejsce” podatku dochodowego obejmuje również podatki, które są nakładane na alternatywnej podstawie (tj. innej niż dochód netto), takie jak podatki oparte na liczbie wyprodukowanych jednostek lub powierzchni handlowej, jeżeli są stosowane jako substytuty ogólnie obowiązującego podatku dochodowego zgodnie z prawem danej jurysdykcji. Podatek nałożony na zasadzie alternatywnej na poziomie władz stanowych lub lokalnych, który podlega zaliczeniu na poczet ogólnie obowiązującego podatku dochodowego nakładanego na poziomie władz krajowych, również jest podatkiem kwalifikowanym w rozumieniu tego punktu. Natomiast podatek nałożony na zasadzie alternatywnej, który zgodnie z prawem danej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jest stosowany dodatkowo (nie jako substytut) ogólnie obowiązującego podatku dochodowego, nie jest podatkiem kwalifikowanym w rozumieniu tego punktu. </w:t>
      </w:r>
    </w:p>
    <w:p w14:paraId="7B139AE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Ostatnią grupą podatków kwalifikowanych są podatki naliczone poprzez odniesienie do zysków zatrzymanych lub kapitału własnego jednostki</w:t>
      </w:r>
      <w:r w:rsidRPr="00C96268">
        <w:rPr>
          <w:rFonts w:ascii="Times New Roman" w:hAnsi="Times New Roman" w:cs="Times New Roman"/>
          <w:bCs/>
          <w:sz w:val="24"/>
          <w:szCs w:val="24"/>
        </w:rPr>
        <w:t>, w tym podatek złożony z kilku składników opartych na dochodzie i kapitale własnym. Podatki złożone z kilku składników są podatkami kwalifikowanymi, jeżeli wszystkie składniki podstawy opodatkowania mieszczą się w definicji dochodu lub zysku objętego ustawą lub jeżeli stanowią w przeważającej mierze podatek od dochodu podmiotu, a podział podatku na odrębne składniki dochodowe i niedochodowe byłby uciążliwy z administracyjnego punktu widzenia. W obu przypadkach podatek taki w całości traktowany jest jako podatek kwalifikowany.</w:t>
      </w:r>
    </w:p>
    <w:p w14:paraId="3A29E702" w14:textId="77777777" w:rsidR="00D25419" w:rsidRPr="00C96268" w:rsidRDefault="00D25419" w:rsidP="00D25419">
      <w:p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Podatki takie mogą być nakładane zamiast lub działać jako uzupełnienie podatku dochodowego w ramach ogólnego podejścia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do opodatkowania działalności spółki. Na przykład, niektóre podatki od kapitału zakładowego mogą zawierać element podatku minimalnego. Takie podatki od kapitału zakładowego są zatem integralną częścią ogólnego systemu opodatkowania osób prawnych w tych jurysdykcjach.</w:t>
      </w:r>
    </w:p>
    <w:p w14:paraId="74900AF8" w14:textId="77777777" w:rsidR="00D25419" w:rsidRPr="00C96268" w:rsidRDefault="00D25419" w:rsidP="00D25419">
      <w:p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odniesieniu do Rzeczypospolitej Polskiej za podatki kwalifikowane należy uznać, co do zasady, wszelkie podatki przewidziane na mocy ustawy CIT. Dotyczą one bowiem opodatkowania dochodu lub stanowią środki anty-abuzywne, które przeciwdziałają erozji dochodu jako podstawy opodatkowania – w tym zakresie stanowią uzupełnienie klasycznego opodatkowania dochodu. </w:t>
      </w:r>
    </w:p>
    <w:p w14:paraId="5501C4BA" w14:textId="77777777" w:rsidR="00D25419" w:rsidRPr="00C96268" w:rsidRDefault="00D25419" w:rsidP="00D25419">
      <w:p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Art. 78 ust. 3 wymienia jako podatki kwalifikowane w szczególności:</w:t>
      </w:r>
    </w:p>
    <w:p w14:paraId="3FE4FE7E"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CIT pobierany na zasadach ogólnych</w:t>
      </w:r>
    </w:p>
    <w:p w14:paraId="4F040954"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podatek u źródła</w:t>
      </w:r>
    </w:p>
    <w:p w14:paraId="68E6C862"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podatek od dochodu ze zbycia walut wirtualnych</w:t>
      </w:r>
    </w:p>
    <w:p w14:paraId="78A254E1"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podatek od zagranicznych jednostek kontrolowanych (CFC)</w:t>
      </w:r>
    </w:p>
    <w:p w14:paraId="069F308E"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bCs/>
          <w:sz w:val="24"/>
          <w:szCs w:val="24"/>
        </w:rPr>
        <w:t>podatek od przerzuconych dochodów</w:t>
      </w:r>
    </w:p>
    <w:p w14:paraId="241671F5"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sz w:val="24"/>
          <w:szCs w:val="24"/>
        </w:rPr>
        <w:t>podatek dochodowy od przychodów z budynków</w:t>
      </w:r>
    </w:p>
    <w:p w14:paraId="0C1E8A97"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sz w:val="24"/>
          <w:szCs w:val="24"/>
        </w:rPr>
        <w:t>podatek minimalny (art. 24ca)</w:t>
      </w:r>
    </w:p>
    <w:p w14:paraId="0AB77A62"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sz w:val="24"/>
          <w:szCs w:val="24"/>
          <w:shd w:val="clear" w:color="auto" w:fill="FFFFFF"/>
        </w:rPr>
        <w:t>podatek od kwalifikowanego dochodu z kwalifikowanych praw własności intelektualnej (IP BOX)</w:t>
      </w:r>
    </w:p>
    <w:p w14:paraId="3BDEA591" w14:textId="77777777" w:rsidR="00D25419" w:rsidRPr="00C96268" w:rsidRDefault="00D25419" w:rsidP="00D25419">
      <w:pPr>
        <w:pStyle w:val="Akapitzlist"/>
        <w:numPr>
          <w:ilvl w:val="0"/>
          <w:numId w:val="143"/>
        </w:numPr>
        <w:spacing w:before="120" w:after="120"/>
        <w:jc w:val="both"/>
        <w:rPr>
          <w:rFonts w:ascii="Times New Roman" w:hAnsi="Times New Roman" w:cs="Times New Roman"/>
          <w:bCs/>
          <w:sz w:val="24"/>
          <w:szCs w:val="24"/>
        </w:rPr>
      </w:pPr>
      <w:r w:rsidRPr="00C96268">
        <w:rPr>
          <w:rFonts w:ascii="Times New Roman" w:hAnsi="Times New Roman" w:cs="Times New Roman"/>
          <w:sz w:val="24"/>
          <w:szCs w:val="24"/>
        </w:rPr>
        <w:t>podatek od dochodów od niezrealizowanych zysków (</w:t>
      </w:r>
      <w:r w:rsidRPr="00C96268">
        <w:rPr>
          <w:rFonts w:ascii="Times New Roman" w:hAnsi="Times New Roman" w:cs="Times New Roman"/>
          <w:i/>
          <w:iCs/>
          <w:sz w:val="24"/>
          <w:szCs w:val="24"/>
        </w:rPr>
        <w:t>exit tax</w:t>
      </w:r>
      <w:r w:rsidRPr="00C96268">
        <w:rPr>
          <w:rFonts w:ascii="Times New Roman" w:hAnsi="Times New Roman" w:cs="Times New Roman"/>
          <w:sz w:val="24"/>
          <w:szCs w:val="24"/>
        </w:rPr>
        <w:t>)</w:t>
      </w:r>
    </w:p>
    <w:p w14:paraId="67828CB5" w14:textId="77777777" w:rsidR="00D25419" w:rsidRDefault="00D25419" w:rsidP="00D724B9">
      <w:pPr>
        <w:spacing w:before="360" w:after="120"/>
        <w:jc w:val="both"/>
        <w:rPr>
          <w:rFonts w:ascii="Times New Roman" w:hAnsi="Times New Roman" w:cs="Times New Roman"/>
          <w:bCs/>
          <w:sz w:val="24"/>
          <w:szCs w:val="24"/>
        </w:rPr>
      </w:pPr>
      <w:r w:rsidRPr="00C96268">
        <w:rPr>
          <w:rFonts w:ascii="Times New Roman" w:hAnsi="Times New Roman" w:cs="Times New Roman"/>
          <w:bCs/>
          <w:sz w:val="24"/>
          <w:szCs w:val="24"/>
        </w:rPr>
        <w:t>Tabela poniżej przedstawia zwięzłe uzasadnienie w zakresie zaliczenia poszczególnych podatków do podatków kwalifikowanych, jak również dodatkowe uwagi w zakresie przydziału tych podatków do poszczególnych jednostek.</w:t>
      </w:r>
    </w:p>
    <w:p w14:paraId="157E6042" w14:textId="77777777" w:rsidR="00D724B9" w:rsidRDefault="00D724B9" w:rsidP="00D25419">
      <w:pPr>
        <w:spacing w:before="120" w:after="120"/>
        <w:jc w:val="both"/>
        <w:rPr>
          <w:rFonts w:ascii="Times New Roman" w:hAnsi="Times New Roman" w:cs="Times New Roman"/>
          <w:bCs/>
          <w:sz w:val="24"/>
          <w:szCs w:val="24"/>
        </w:rPr>
      </w:pPr>
    </w:p>
    <w:p w14:paraId="23092633" w14:textId="77777777" w:rsidR="00D724B9" w:rsidRPr="00C96268" w:rsidRDefault="00D724B9" w:rsidP="00D25419">
      <w:pPr>
        <w:spacing w:before="120" w:after="120"/>
        <w:jc w:val="both"/>
        <w:rPr>
          <w:rFonts w:ascii="Times New Roman" w:hAnsi="Times New Roman" w:cs="Times New Roman"/>
          <w:bCs/>
          <w:sz w:val="24"/>
          <w:szCs w:val="24"/>
        </w:rPr>
      </w:pPr>
    </w:p>
    <w:tbl>
      <w:tblPr>
        <w:tblStyle w:val="Tabela-Siatka"/>
        <w:tblW w:w="10348" w:type="dxa"/>
        <w:tblInd w:w="-572" w:type="dxa"/>
        <w:tblLook w:val="04A0" w:firstRow="1" w:lastRow="0" w:firstColumn="1" w:lastColumn="0" w:noHBand="0" w:noVBand="1"/>
      </w:tblPr>
      <w:tblGrid>
        <w:gridCol w:w="1945"/>
        <w:gridCol w:w="1636"/>
        <w:gridCol w:w="6767"/>
      </w:tblGrid>
      <w:tr w:rsidR="00D25419" w:rsidRPr="00C96268" w14:paraId="754F9739" w14:textId="77777777" w:rsidTr="0018113C">
        <w:tc>
          <w:tcPr>
            <w:tcW w:w="1945" w:type="dxa"/>
          </w:tcPr>
          <w:p w14:paraId="03C58B06" w14:textId="7E5CA8D0" w:rsidR="00D25419" w:rsidRPr="00C96268" w:rsidRDefault="00D25419" w:rsidP="0018113C">
            <w:pPr>
              <w:rPr>
                <w:rFonts w:ascii="Times New Roman" w:hAnsi="Times New Roman" w:cs="Times New Roman"/>
                <w:b/>
                <w:bCs/>
                <w:sz w:val="20"/>
                <w:szCs w:val="20"/>
              </w:rPr>
            </w:pPr>
            <w:r w:rsidRPr="00C96268">
              <w:rPr>
                <w:rFonts w:ascii="Times New Roman" w:hAnsi="Times New Roman" w:cs="Times New Roman"/>
                <w:b/>
                <w:bCs/>
              </w:rPr>
              <w:t xml:space="preserve"> </w:t>
            </w:r>
            <w:r w:rsidRPr="00C96268">
              <w:rPr>
                <w:rFonts w:ascii="Times New Roman" w:hAnsi="Times New Roman" w:cs="Times New Roman"/>
                <w:b/>
                <w:bCs/>
                <w:sz w:val="20"/>
                <w:szCs w:val="20"/>
              </w:rPr>
              <w:t>Podatek</w:t>
            </w:r>
          </w:p>
        </w:tc>
        <w:tc>
          <w:tcPr>
            <w:tcW w:w="1636" w:type="dxa"/>
          </w:tcPr>
          <w:p w14:paraId="4C730AA5" w14:textId="77777777" w:rsidR="00D25419" w:rsidRPr="00C96268" w:rsidRDefault="00D25419" w:rsidP="0018113C">
            <w:pPr>
              <w:spacing w:after="120"/>
              <w:rPr>
                <w:rFonts w:ascii="Times New Roman" w:hAnsi="Times New Roman" w:cs="Times New Roman"/>
                <w:b/>
                <w:bCs/>
                <w:sz w:val="20"/>
                <w:szCs w:val="20"/>
              </w:rPr>
            </w:pPr>
            <w:r w:rsidRPr="00C96268">
              <w:rPr>
                <w:rFonts w:ascii="Times New Roman" w:hAnsi="Times New Roman" w:cs="Times New Roman"/>
                <w:b/>
                <w:bCs/>
                <w:sz w:val="20"/>
                <w:szCs w:val="20"/>
              </w:rPr>
              <w:t xml:space="preserve">Art. ustawy CIT </w:t>
            </w:r>
          </w:p>
        </w:tc>
        <w:tc>
          <w:tcPr>
            <w:tcW w:w="6767" w:type="dxa"/>
          </w:tcPr>
          <w:p w14:paraId="746C2EE2" w14:textId="77777777" w:rsidR="00D25419" w:rsidRPr="00C96268" w:rsidRDefault="00D25419" w:rsidP="0018113C">
            <w:pPr>
              <w:rPr>
                <w:rFonts w:ascii="Times New Roman" w:hAnsi="Times New Roman" w:cs="Times New Roman"/>
                <w:b/>
                <w:bCs/>
                <w:sz w:val="20"/>
                <w:szCs w:val="20"/>
              </w:rPr>
            </w:pPr>
            <w:r w:rsidRPr="00C96268">
              <w:rPr>
                <w:rFonts w:ascii="Times New Roman" w:hAnsi="Times New Roman" w:cs="Times New Roman"/>
                <w:b/>
                <w:bCs/>
                <w:sz w:val="20"/>
                <w:szCs w:val="20"/>
              </w:rPr>
              <w:t>Uzasadnienie</w:t>
            </w:r>
          </w:p>
        </w:tc>
      </w:tr>
      <w:tr w:rsidR="00D25419" w:rsidRPr="00C96268" w14:paraId="63179E10" w14:textId="77777777" w:rsidTr="0018113C">
        <w:tc>
          <w:tcPr>
            <w:tcW w:w="1945" w:type="dxa"/>
            <w:shd w:val="clear" w:color="auto" w:fill="D9D9D9" w:themeFill="background1" w:themeFillShade="D9"/>
          </w:tcPr>
          <w:p w14:paraId="0969611E" w14:textId="77777777" w:rsidR="00D25419" w:rsidRPr="00C96268" w:rsidRDefault="00D25419" w:rsidP="0018113C">
            <w:pPr>
              <w:rPr>
                <w:rFonts w:ascii="Times New Roman" w:hAnsi="Times New Roman" w:cs="Times New Roman"/>
                <w:b/>
                <w:bCs/>
                <w:sz w:val="20"/>
                <w:szCs w:val="20"/>
              </w:rPr>
            </w:pPr>
            <w:r w:rsidRPr="00C96268">
              <w:rPr>
                <w:rFonts w:ascii="Times New Roman" w:hAnsi="Times New Roman" w:cs="Times New Roman"/>
                <w:b/>
                <w:bCs/>
                <w:sz w:val="20"/>
                <w:szCs w:val="20"/>
              </w:rPr>
              <w:t>Ustawa CIT</w:t>
            </w:r>
          </w:p>
        </w:tc>
        <w:tc>
          <w:tcPr>
            <w:tcW w:w="1636" w:type="dxa"/>
            <w:shd w:val="clear" w:color="auto" w:fill="D9D9D9" w:themeFill="background1" w:themeFillShade="D9"/>
          </w:tcPr>
          <w:p w14:paraId="2ABF75AB" w14:textId="77777777" w:rsidR="00D25419" w:rsidRPr="00C96268" w:rsidRDefault="00D25419" w:rsidP="0018113C">
            <w:pPr>
              <w:rPr>
                <w:rFonts w:ascii="Times New Roman" w:hAnsi="Times New Roman" w:cs="Times New Roman"/>
                <w:sz w:val="20"/>
                <w:szCs w:val="20"/>
              </w:rPr>
            </w:pPr>
          </w:p>
        </w:tc>
        <w:tc>
          <w:tcPr>
            <w:tcW w:w="6767" w:type="dxa"/>
            <w:shd w:val="clear" w:color="auto" w:fill="D9D9D9" w:themeFill="background1" w:themeFillShade="D9"/>
          </w:tcPr>
          <w:p w14:paraId="0E11FCB0" w14:textId="77777777" w:rsidR="00D25419" w:rsidRPr="00C96268" w:rsidRDefault="00D25419" w:rsidP="0018113C">
            <w:pPr>
              <w:rPr>
                <w:rFonts w:ascii="Times New Roman" w:hAnsi="Times New Roman" w:cs="Times New Roman"/>
                <w:sz w:val="20"/>
                <w:szCs w:val="20"/>
              </w:rPr>
            </w:pPr>
          </w:p>
        </w:tc>
      </w:tr>
      <w:tr w:rsidR="00D25419" w:rsidRPr="00C96268" w14:paraId="22B1F599" w14:textId="77777777" w:rsidTr="0018113C">
        <w:tc>
          <w:tcPr>
            <w:tcW w:w="1945" w:type="dxa"/>
          </w:tcPr>
          <w:p w14:paraId="1C17B983"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CIT – opodatkowanie dochodu na ogólnych zasadach</w:t>
            </w:r>
          </w:p>
        </w:tc>
        <w:tc>
          <w:tcPr>
            <w:tcW w:w="1636" w:type="dxa"/>
          </w:tcPr>
          <w:p w14:paraId="55348711"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19</w:t>
            </w:r>
          </w:p>
        </w:tc>
        <w:tc>
          <w:tcPr>
            <w:tcW w:w="6767" w:type="dxa"/>
          </w:tcPr>
          <w:p w14:paraId="5B2E8505" w14:textId="1AFC7FC2" w:rsidR="00D25419" w:rsidRPr="00C96268" w:rsidRDefault="00D25419" w:rsidP="0018113C">
            <w:pPr>
              <w:spacing w:after="120"/>
              <w:jc w:val="both"/>
              <w:rPr>
                <w:rFonts w:ascii="Times New Roman" w:hAnsi="Times New Roman" w:cs="Times New Roman"/>
                <w:bCs/>
                <w:sz w:val="20"/>
                <w:szCs w:val="20"/>
              </w:rPr>
            </w:pPr>
            <w:r w:rsidRPr="00C96268">
              <w:rPr>
                <w:rFonts w:ascii="Times New Roman" w:hAnsi="Times New Roman" w:cs="Times New Roman"/>
                <w:sz w:val="20"/>
                <w:szCs w:val="20"/>
              </w:rPr>
              <w:t xml:space="preserve">Art. 78 ust. 1 pkt 1 lit. a ustawy GloBE wymienia </w:t>
            </w:r>
            <w:r w:rsidRPr="00C96268">
              <w:rPr>
                <w:rFonts w:ascii="Times New Roman" w:hAnsi="Times New Roman" w:cs="Times New Roman"/>
                <w:i/>
                <w:iCs/>
                <w:sz w:val="20"/>
                <w:szCs w:val="20"/>
              </w:rPr>
              <w:t>podatki nakładane z tytułu dochodu lub zysku jednostki składowej</w:t>
            </w:r>
            <w:r w:rsidRPr="00C96268">
              <w:rPr>
                <w:rFonts w:ascii="Times New Roman" w:hAnsi="Times New Roman" w:cs="Times New Roman"/>
                <w:sz w:val="20"/>
                <w:szCs w:val="20"/>
              </w:rPr>
              <w:t xml:space="preserve">. </w:t>
            </w:r>
            <w:r w:rsidRPr="00C96268">
              <w:rPr>
                <w:rFonts w:ascii="Times New Roman" w:hAnsi="Times New Roman" w:cs="Times New Roman"/>
                <w:bCs/>
                <w:sz w:val="20"/>
                <w:szCs w:val="20"/>
              </w:rPr>
              <w:t>Podatek CIT pobierany na zasadach ogólnych stanowi zatem kluczowy element podatków kwalifikowanych, co wynika również z Dyrektywy/</w:t>
            </w:r>
            <w:r w:rsidR="00595132" w:rsidRPr="00C96268">
              <w:rPr>
                <w:rFonts w:ascii="Times New Roman" w:hAnsi="Times New Roman" w:cs="Times New Roman"/>
                <w:bCs/>
                <w:sz w:val="20"/>
                <w:szCs w:val="20"/>
              </w:rPr>
              <w:t>Modelowych zasad</w:t>
            </w:r>
            <w:r w:rsidRPr="00C96268">
              <w:rPr>
                <w:rFonts w:ascii="Times New Roman" w:hAnsi="Times New Roman" w:cs="Times New Roman"/>
                <w:bCs/>
                <w:sz w:val="20"/>
                <w:szCs w:val="20"/>
              </w:rPr>
              <w:t xml:space="preserve"> OECD/Komentarza.</w:t>
            </w:r>
          </w:p>
        </w:tc>
      </w:tr>
      <w:tr w:rsidR="00D25419" w:rsidRPr="00C96268" w14:paraId="18F90935" w14:textId="77777777" w:rsidTr="0018113C">
        <w:tc>
          <w:tcPr>
            <w:tcW w:w="1945" w:type="dxa"/>
          </w:tcPr>
          <w:p w14:paraId="2027ADD3"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 xml:space="preserve">Podatek u źródła </w:t>
            </w:r>
            <w:r w:rsidRPr="00C96268">
              <w:rPr>
                <w:rFonts w:ascii="Times New Roman" w:hAnsi="Times New Roman" w:cs="Times New Roman"/>
                <w:sz w:val="20"/>
                <w:szCs w:val="20"/>
              </w:rPr>
              <w:br/>
            </w:r>
          </w:p>
        </w:tc>
        <w:tc>
          <w:tcPr>
            <w:tcW w:w="1636" w:type="dxa"/>
          </w:tcPr>
          <w:p w14:paraId="2D4436D2"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21-22</w:t>
            </w:r>
          </w:p>
        </w:tc>
        <w:tc>
          <w:tcPr>
            <w:tcW w:w="6767" w:type="dxa"/>
          </w:tcPr>
          <w:p w14:paraId="2CF7CE7D" w14:textId="77777777" w:rsidR="00D25419" w:rsidRPr="00C96268" w:rsidRDefault="00D25419" w:rsidP="0018113C">
            <w:pPr>
              <w:spacing w:after="120"/>
              <w:jc w:val="both"/>
              <w:rPr>
                <w:rFonts w:ascii="Times New Roman" w:hAnsi="Times New Roman" w:cs="Times New Roman"/>
                <w:bCs/>
                <w:sz w:val="20"/>
                <w:szCs w:val="20"/>
              </w:rPr>
            </w:pPr>
            <w:r w:rsidRPr="00C96268">
              <w:rPr>
                <w:rFonts w:ascii="Times New Roman" w:hAnsi="Times New Roman" w:cs="Times New Roman"/>
                <w:bCs/>
                <w:sz w:val="20"/>
                <w:szCs w:val="20"/>
              </w:rPr>
              <w:t xml:space="preserve">WHT wymieniony jest wprost jako podatek kwalifikowany w </w:t>
            </w:r>
            <w:r w:rsidRPr="00C96268">
              <w:rPr>
                <w:rFonts w:ascii="Times New Roman" w:hAnsi="Times New Roman" w:cs="Times New Roman"/>
                <w:sz w:val="20"/>
                <w:szCs w:val="20"/>
              </w:rPr>
              <w:t xml:space="preserve">art. 78 ust. 1 pkt 1 ustawy GloBE </w:t>
            </w:r>
            <w:r w:rsidRPr="00C96268">
              <w:rPr>
                <w:rFonts w:ascii="Times New Roman" w:hAnsi="Times New Roman" w:cs="Times New Roman"/>
                <w:i/>
                <w:iCs/>
                <w:sz w:val="20"/>
                <w:szCs w:val="20"/>
              </w:rPr>
              <w:t>(…w tym podatki dochodowe nakładane u źródła</w:t>
            </w:r>
            <w:r w:rsidRPr="00C96268">
              <w:rPr>
                <w:rFonts w:ascii="Times New Roman" w:hAnsi="Times New Roman" w:cs="Times New Roman"/>
                <w:sz w:val="20"/>
                <w:szCs w:val="20"/>
              </w:rPr>
              <w:t>)</w:t>
            </w:r>
            <w:r w:rsidRPr="00C96268">
              <w:rPr>
                <w:rFonts w:ascii="Times New Roman" w:hAnsi="Times New Roman" w:cs="Times New Roman"/>
                <w:bCs/>
                <w:sz w:val="20"/>
                <w:szCs w:val="20"/>
              </w:rPr>
              <w:t>, Komentarzu i wyjaśnieniach KE</w:t>
            </w:r>
            <w:r w:rsidRPr="00C96268">
              <w:rPr>
                <w:rStyle w:val="Odwoanieprzypisudolnego"/>
                <w:rFonts w:ascii="Times New Roman" w:hAnsi="Times New Roman" w:cs="Times New Roman"/>
                <w:bCs/>
              </w:rPr>
              <w:footnoteReference w:id="141"/>
            </w:r>
            <w:r w:rsidRPr="00C96268">
              <w:rPr>
                <w:rFonts w:ascii="Times New Roman" w:hAnsi="Times New Roman" w:cs="Times New Roman"/>
                <w:bCs/>
                <w:sz w:val="20"/>
                <w:szCs w:val="20"/>
              </w:rPr>
              <w:t xml:space="preserve">. </w:t>
            </w:r>
          </w:p>
          <w:p w14:paraId="39B94DBA" w14:textId="77777777" w:rsidR="00D25419" w:rsidRPr="00C96268" w:rsidRDefault="00D25419" w:rsidP="0018113C">
            <w:pPr>
              <w:shd w:val="clear" w:color="auto" w:fill="FFFFFF" w:themeFill="background1"/>
              <w:spacing w:after="120"/>
              <w:jc w:val="both"/>
              <w:rPr>
                <w:rFonts w:ascii="Times New Roman" w:hAnsi="Times New Roman" w:cs="Times New Roman"/>
                <w:bCs/>
                <w:sz w:val="20"/>
                <w:szCs w:val="20"/>
              </w:rPr>
            </w:pPr>
            <w:r w:rsidRPr="00C96268">
              <w:rPr>
                <w:rFonts w:ascii="Times New Roman" w:hAnsi="Times New Roman" w:cs="Times New Roman"/>
                <w:bCs/>
                <w:sz w:val="20"/>
                <w:szCs w:val="20"/>
              </w:rPr>
              <w:t>Omówienia wymaga, dla jakiej jednostki jest to podatek kwalifikowany. Co do zasady, WHT jest pobierany i wpłacany do organu podatkowego przez płatnika w imieniu podatnika, a następnie jest ujmowany w księgach podatnika (odbiorcy należności). Co do zasady będzie to zatem podatek kwalifikowany po stronie podatnika (jeżeli zostanie ujęty jako koszt po jego stronie), a nie płatnika. Jeżeli jednak dojdzie do ubruttowienia i odpowiedniego ujęcia ciężaru tego podatku w księgach płatnika, można uznać, że WHT stanowi podatek kwalifikowany płatnika.</w:t>
            </w:r>
          </w:p>
          <w:p w14:paraId="14E7BAE1"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bCs/>
                <w:sz w:val="20"/>
                <w:szCs w:val="20"/>
              </w:rPr>
              <w:t>Szczególne reguły dotyczą WHT od dywidend i równoważnych płatności. Jeżeli taki podatek został ujęty - zgodnie z ogólną praktyką - w księgach podatnika/właściciela, zgodnie z Zasadami GloBE podlega on przydziałowi na rzecz jednostki dokonującej wypłaty dywidendy. Dotyczy to zarówno podatku globalnego jak i QDMTT.</w:t>
            </w:r>
          </w:p>
        </w:tc>
      </w:tr>
      <w:tr w:rsidR="00D25419" w:rsidRPr="00C96268" w14:paraId="4062C4A4" w14:textId="77777777" w:rsidTr="0018113C">
        <w:tc>
          <w:tcPr>
            <w:tcW w:w="1945" w:type="dxa"/>
          </w:tcPr>
          <w:p w14:paraId="24E2E3F6"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Podatek od dochodu ze zbycia walut wirtualnych</w:t>
            </w:r>
          </w:p>
        </w:tc>
        <w:tc>
          <w:tcPr>
            <w:tcW w:w="1636" w:type="dxa"/>
          </w:tcPr>
          <w:p w14:paraId="2F502691"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22d</w:t>
            </w:r>
          </w:p>
        </w:tc>
        <w:tc>
          <w:tcPr>
            <w:tcW w:w="6767" w:type="dxa"/>
          </w:tcPr>
          <w:p w14:paraId="30E4461E" w14:textId="77777777" w:rsidR="00D25419" w:rsidRPr="00C96268" w:rsidRDefault="00D25419" w:rsidP="0018113C">
            <w:pPr>
              <w:jc w:val="both"/>
              <w:rPr>
                <w:rFonts w:ascii="Times New Roman" w:hAnsi="Times New Roman" w:cs="Times New Roman"/>
                <w:sz w:val="20"/>
                <w:szCs w:val="20"/>
              </w:rPr>
            </w:pPr>
            <w:r w:rsidRPr="00C96268">
              <w:rPr>
                <w:rFonts w:ascii="Times New Roman" w:hAnsi="Times New Roman" w:cs="Times New Roman"/>
                <w:sz w:val="20"/>
                <w:szCs w:val="20"/>
              </w:rPr>
              <w:t>Opodatkowaniu podlega dochód z odpłatnego zbycia wirtualnych walut (nadwyżka określonych przychodów nad kosztami). Jest to zatem podatek kwalifikowany na mocy art. 78 ust. 1 pkt 1 lit. a ustawy GloBE (</w:t>
            </w:r>
            <w:r w:rsidRPr="00C96268">
              <w:rPr>
                <w:rFonts w:ascii="Times New Roman" w:hAnsi="Times New Roman" w:cs="Times New Roman"/>
                <w:i/>
                <w:iCs/>
                <w:sz w:val="20"/>
                <w:szCs w:val="20"/>
              </w:rPr>
              <w:t>podatki nakładane z tytułu dochodu lub zysku jednostki składowej</w:t>
            </w:r>
            <w:r w:rsidRPr="00C96268">
              <w:rPr>
                <w:rFonts w:ascii="Times New Roman" w:hAnsi="Times New Roman" w:cs="Times New Roman"/>
                <w:sz w:val="20"/>
                <w:szCs w:val="20"/>
              </w:rPr>
              <w:t>).</w:t>
            </w:r>
          </w:p>
        </w:tc>
      </w:tr>
      <w:tr w:rsidR="00D25419" w:rsidRPr="00C96268" w14:paraId="29076C99" w14:textId="77777777" w:rsidTr="0018113C">
        <w:tc>
          <w:tcPr>
            <w:tcW w:w="1945" w:type="dxa"/>
          </w:tcPr>
          <w:p w14:paraId="281E95F4"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CFC</w:t>
            </w:r>
          </w:p>
        </w:tc>
        <w:tc>
          <w:tcPr>
            <w:tcW w:w="1636" w:type="dxa"/>
          </w:tcPr>
          <w:p w14:paraId="386B8B55"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24a</w:t>
            </w:r>
          </w:p>
        </w:tc>
        <w:tc>
          <w:tcPr>
            <w:tcW w:w="6767" w:type="dxa"/>
          </w:tcPr>
          <w:p w14:paraId="10CCFF9E"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Podatek CFC jest wymieniony wśród podatków nakładanych z tytułu </w:t>
            </w:r>
            <w:r w:rsidRPr="00C96268">
              <w:rPr>
                <w:rFonts w:ascii="Times New Roman" w:hAnsi="Times New Roman" w:cs="Times New Roman"/>
                <w:sz w:val="20"/>
                <w:szCs w:val="20"/>
                <w:u w:val="single"/>
              </w:rPr>
              <w:t>udziału w dochodzie lub zysku innej jednostki składowej</w:t>
            </w:r>
            <w:r w:rsidRPr="00C96268">
              <w:rPr>
                <w:rFonts w:ascii="Times New Roman" w:hAnsi="Times New Roman" w:cs="Times New Roman"/>
                <w:sz w:val="20"/>
                <w:szCs w:val="20"/>
              </w:rPr>
              <w:t xml:space="preserve">, w której dana jednostka posiada udział własnościowy (Art. 78 ust. 1 pkt 1 lit. a ustawy GloBE oraz Komentarz, 4.2.1; 26). </w:t>
            </w:r>
          </w:p>
          <w:p w14:paraId="23770BAB" w14:textId="77777777" w:rsidR="00D25419" w:rsidRPr="00C96268" w:rsidRDefault="00D25419" w:rsidP="0018113C">
            <w:pPr>
              <w:jc w:val="both"/>
              <w:rPr>
                <w:rFonts w:ascii="Times New Roman" w:hAnsi="Times New Roman" w:cs="Times New Roman"/>
                <w:sz w:val="20"/>
                <w:szCs w:val="20"/>
              </w:rPr>
            </w:pPr>
            <w:r w:rsidRPr="00C96268">
              <w:rPr>
                <w:rFonts w:ascii="Times New Roman" w:hAnsi="Times New Roman" w:cs="Times New Roman"/>
                <w:sz w:val="20"/>
                <w:szCs w:val="20"/>
              </w:rPr>
              <w:t>Na kolejnym etapie, w przypadku globalnego podatku wyrównawczego CFC podlega alokacji do zagranicznej jednostki kontrolowanej. Zasada ta nie działa jednak na gruncie QDMTT.</w:t>
            </w:r>
          </w:p>
        </w:tc>
      </w:tr>
      <w:tr w:rsidR="00D25419" w:rsidRPr="00C96268" w14:paraId="2D734A7F" w14:textId="77777777" w:rsidTr="0018113C">
        <w:tc>
          <w:tcPr>
            <w:tcW w:w="1945" w:type="dxa"/>
          </w:tcPr>
          <w:p w14:paraId="1CDDFC61"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Podatek od przerzuconych dochodów</w:t>
            </w:r>
          </w:p>
        </w:tc>
        <w:tc>
          <w:tcPr>
            <w:tcW w:w="1636" w:type="dxa"/>
          </w:tcPr>
          <w:p w14:paraId="0B27E411"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24aa</w:t>
            </w:r>
          </w:p>
        </w:tc>
        <w:tc>
          <w:tcPr>
            <w:tcW w:w="6767" w:type="dxa"/>
          </w:tcPr>
          <w:p w14:paraId="146516F4" w14:textId="77777777" w:rsidR="00D25419" w:rsidRPr="00C96268" w:rsidRDefault="00D25419" w:rsidP="0018113C">
            <w:pPr>
              <w:pStyle w:val="Akapitzlist"/>
              <w:numPr>
                <w:ilvl w:val="0"/>
                <w:numId w:val="141"/>
              </w:numPr>
              <w:ind w:left="459" w:hanging="283"/>
              <w:jc w:val="both"/>
              <w:rPr>
                <w:rFonts w:ascii="Times New Roman" w:hAnsi="Times New Roman" w:cs="Times New Roman"/>
                <w:sz w:val="20"/>
                <w:szCs w:val="20"/>
              </w:rPr>
            </w:pPr>
            <w:r w:rsidRPr="00C96268">
              <w:rPr>
                <w:rFonts w:ascii="Times New Roman" w:hAnsi="Times New Roman" w:cs="Times New Roman"/>
                <w:sz w:val="20"/>
                <w:szCs w:val="20"/>
              </w:rPr>
              <w:t>Podatek od przerzuconych dochodów jest traktowany jako element systemu opodatkowania CIT i wykazywany w zeznaniu CIT, w oparciu o załącznik do tego zeznania. Spójnie z tym podejściem, na potrzeby rachunkowości traktowany jest jako obowiązkowe obciążenie wyniku brutto (podobnie jak inne kategorie CIT).</w:t>
            </w:r>
          </w:p>
          <w:p w14:paraId="052E39A7" w14:textId="77777777" w:rsidR="00D25419" w:rsidRPr="00C96268" w:rsidRDefault="00D25419" w:rsidP="0018113C">
            <w:pPr>
              <w:pStyle w:val="Akapitzlist"/>
              <w:numPr>
                <w:ilvl w:val="0"/>
                <w:numId w:val="141"/>
              </w:numPr>
              <w:ind w:left="459" w:hanging="283"/>
              <w:jc w:val="both"/>
              <w:rPr>
                <w:rFonts w:ascii="Times New Roman" w:hAnsi="Times New Roman" w:cs="Times New Roman"/>
                <w:sz w:val="20"/>
                <w:szCs w:val="20"/>
              </w:rPr>
            </w:pPr>
            <w:r w:rsidRPr="00C96268">
              <w:rPr>
                <w:rFonts w:ascii="Times New Roman" w:hAnsi="Times New Roman" w:cs="Times New Roman"/>
                <w:sz w:val="20"/>
                <w:szCs w:val="20"/>
              </w:rPr>
              <w:t>Ponadto, jest pomniejszany w określonych sytuacjach o inny podatek dochodowy, jakim jest WHT.</w:t>
            </w:r>
          </w:p>
          <w:p w14:paraId="5966792F" w14:textId="77777777" w:rsidR="00D25419" w:rsidRPr="00C96268" w:rsidRDefault="00D25419" w:rsidP="0018113C">
            <w:pPr>
              <w:pStyle w:val="Akapitzlist"/>
              <w:numPr>
                <w:ilvl w:val="0"/>
                <w:numId w:val="141"/>
              </w:numPr>
              <w:ind w:left="459" w:hanging="283"/>
              <w:jc w:val="both"/>
              <w:rPr>
                <w:rFonts w:ascii="Times New Roman" w:hAnsi="Times New Roman" w:cs="Times New Roman"/>
                <w:sz w:val="20"/>
                <w:szCs w:val="20"/>
              </w:rPr>
            </w:pPr>
            <w:r w:rsidRPr="00C96268">
              <w:rPr>
                <w:rFonts w:ascii="Times New Roman" w:hAnsi="Times New Roman" w:cs="Times New Roman"/>
                <w:sz w:val="20"/>
                <w:szCs w:val="20"/>
              </w:rPr>
              <w:t>Co prawda podstawa opodatkowania obejmuje kwotę kosztów poniesionych na rzecz zagranicznych podmiotów powiązanych – nie jest to zatem klasyczny dochód, i nie chodzi de facto o podatek od dochodu. Niemniej niewątpliwie jest to mechanizm służący „uzupełnieniu” dochodów podatnika, w przypadku gdy wskutek optymalizacji dochodzi do erozji podstawy opodatkowania. W tym kontekście, klasyczny CIT oraz jego anty-abuzywne uszczelnienia tego typu, powinny być rozpatrywane łącznie – jako podatki kwalifikowane.</w:t>
            </w:r>
          </w:p>
          <w:p w14:paraId="4B43DEC9" w14:textId="77777777" w:rsidR="00D25419" w:rsidRPr="00C96268" w:rsidRDefault="00D25419" w:rsidP="0018113C">
            <w:pPr>
              <w:pStyle w:val="Akapitzlist"/>
              <w:numPr>
                <w:ilvl w:val="0"/>
                <w:numId w:val="141"/>
              </w:numPr>
              <w:ind w:left="459" w:hanging="283"/>
              <w:jc w:val="both"/>
              <w:rPr>
                <w:rFonts w:ascii="Times New Roman" w:hAnsi="Times New Roman" w:cs="Times New Roman"/>
                <w:i/>
                <w:iCs/>
                <w:sz w:val="20"/>
                <w:szCs w:val="20"/>
              </w:rPr>
            </w:pPr>
            <w:r w:rsidRPr="00C96268">
              <w:rPr>
                <w:rFonts w:ascii="Times New Roman" w:hAnsi="Times New Roman" w:cs="Times New Roman"/>
                <w:sz w:val="20"/>
                <w:szCs w:val="20"/>
              </w:rPr>
              <w:t xml:space="preserve">Powyższa konkluzja znajduje potwierdzenie w par. 34 Komentarza Skonsolidowanego do art. 4.2: </w:t>
            </w:r>
            <w:r w:rsidRPr="00C96268">
              <w:rPr>
                <w:rFonts w:ascii="Times New Roman" w:hAnsi="Times New Roman" w:cs="Times New Roman"/>
                <w:i/>
                <w:iCs/>
                <w:sz w:val="20"/>
                <w:szCs w:val="20"/>
              </w:rPr>
              <w:t xml:space="preserve">Inne podatki mogą być nakładane w związku z działalnością osoby prawnej w danej jurysdykcji i są administracyjnie i koncepcyjnie częścią systemu opodatkowania osób prawnych w tych jurysdykcjach, ale mogą zawierać zarówno element dochodowy, jak i niedochodowy. Jeżeli takie podatki są w przeważającej mierze podatkiem od dochodu podmiotu i podział podatku na odrębne składniki dochodowe i niedochodowe byłby uciążliwy z administracyjnego punktu widzenia, wówczas takie podatki powinny być traktowane w całości jako podatki kwalifikowane według zasad GloBE. </w:t>
            </w:r>
            <w:r w:rsidRPr="00C96268">
              <w:rPr>
                <w:rFonts w:ascii="Times New Roman" w:hAnsi="Times New Roman" w:cs="Times New Roman"/>
                <w:sz w:val="20"/>
                <w:szCs w:val="20"/>
              </w:rPr>
              <w:t>[Kwestia ta dotyczy wszystkich podatków o charakterze anty-abuzywnym uregulowanych w ustawie CIT.]</w:t>
            </w:r>
          </w:p>
          <w:p w14:paraId="05C68F47" w14:textId="77777777" w:rsidR="00D25419" w:rsidRPr="00C96268" w:rsidRDefault="00D25419" w:rsidP="0018113C">
            <w:pPr>
              <w:pStyle w:val="Akapitzlist"/>
              <w:ind w:left="459"/>
              <w:jc w:val="both"/>
              <w:rPr>
                <w:rFonts w:ascii="Times New Roman" w:hAnsi="Times New Roman" w:cs="Times New Roman"/>
                <w:sz w:val="20"/>
                <w:szCs w:val="20"/>
              </w:rPr>
            </w:pPr>
          </w:p>
        </w:tc>
      </w:tr>
      <w:tr w:rsidR="00D25419" w:rsidRPr="00C96268" w14:paraId="74BB2B9A" w14:textId="77777777" w:rsidTr="0018113C">
        <w:tc>
          <w:tcPr>
            <w:tcW w:w="1945" w:type="dxa"/>
          </w:tcPr>
          <w:p w14:paraId="3AFDAA5A"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Podatek dochodowy od przychodów z budynków</w:t>
            </w:r>
          </w:p>
        </w:tc>
        <w:tc>
          <w:tcPr>
            <w:tcW w:w="1636" w:type="dxa"/>
          </w:tcPr>
          <w:p w14:paraId="307D0BB9"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24b</w:t>
            </w:r>
          </w:p>
        </w:tc>
        <w:tc>
          <w:tcPr>
            <w:tcW w:w="6767" w:type="dxa"/>
            <w:shd w:val="clear" w:color="auto" w:fill="auto"/>
          </w:tcPr>
          <w:p w14:paraId="4837878E"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Za przychód na potrzeby tego podatku uznaje się co do zasady wartość początkową budynku. Nie chodzi zatem o opodatkowanie dochodu/zysku. </w:t>
            </w:r>
          </w:p>
          <w:p w14:paraId="15583A24" w14:textId="77777777" w:rsidR="00D25419" w:rsidRPr="00C96268" w:rsidRDefault="00D25419" w:rsidP="0018113C">
            <w:pPr>
              <w:jc w:val="both"/>
              <w:rPr>
                <w:rFonts w:ascii="Times New Roman" w:hAnsi="Times New Roman" w:cs="Times New Roman"/>
                <w:sz w:val="20"/>
                <w:szCs w:val="20"/>
              </w:rPr>
            </w:pPr>
            <w:r w:rsidRPr="00C96268">
              <w:rPr>
                <w:rFonts w:ascii="Times New Roman" w:hAnsi="Times New Roman" w:cs="Times New Roman"/>
                <w:sz w:val="20"/>
                <w:szCs w:val="20"/>
              </w:rPr>
              <w:t>Jednak jest to podatek minimalny, którego celem jest przeciwdziałanie erozji dochodu podlegającego opodatkowaniu. Jest on integralnym elementem systemu opodatkowania CIT. W szczególności podlega odliczeniu od kwoty CIT w zeznaniu rocznym (w takim przypadku rozliczeniu podlega różnica – nie wyodrębnia się tych dwóch rodzajów podatków). W przypadku braku CIT, podatek ten podlega zapłacie jako podatek minimalny (wtedy taki podatek będzie wykazywany jako obowiązkowe obciążenie wyniku finansowego). Powinna tu obowiązywać spójna zasada dla podatków minimalnych i przepisów anty-abuzywnych - klasyczny CIT oraz jego anty-abuzywne „uzupełnienia” powinny być rozpatrywane łącznie - jako podatki kwalifikowane.</w:t>
            </w:r>
          </w:p>
        </w:tc>
      </w:tr>
      <w:tr w:rsidR="00D25419" w:rsidRPr="00C96268" w14:paraId="00CCF5CC" w14:textId="77777777" w:rsidTr="0018113C">
        <w:tc>
          <w:tcPr>
            <w:tcW w:w="1945" w:type="dxa"/>
          </w:tcPr>
          <w:p w14:paraId="4B849972"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Podatek minimalny</w:t>
            </w:r>
          </w:p>
        </w:tc>
        <w:tc>
          <w:tcPr>
            <w:tcW w:w="1636" w:type="dxa"/>
          </w:tcPr>
          <w:p w14:paraId="38FF96D6"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24ca</w:t>
            </w:r>
          </w:p>
        </w:tc>
        <w:tc>
          <w:tcPr>
            <w:tcW w:w="6767" w:type="dxa"/>
          </w:tcPr>
          <w:p w14:paraId="404A6336" w14:textId="77777777" w:rsidR="00D25419" w:rsidRPr="00C96268" w:rsidRDefault="00D25419" w:rsidP="0018113C">
            <w:pPr>
              <w:jc w:val="both"/>
              <w:rPr>
                <w:rFonts w:ascii="Times New Roman" w:hAnsi="Times New Roman" w:cs="Times New Roman"/>
                <w:sz w:val="20"/>
                <w:szCs w:val="20"/>
              </w:rPr>
            </w:pPr>
            <w:r w:rsidRPr="00C96268">
              <w:rPr>
                <w:rFonts w:ascii="Times New Roman" w:hAnsi="Times New Roman" w:cs="Times New Roman"/>
                <w:sz w:val="20"/>
                <w:szCs w:val="20"/>
              </w:rPr>
              <w:t>Podstawę opodatkowania stanowi suma 1.5% wartości przychodów i określonych kosztów o charakterze pasywnym (a nie dochodu / zysku). Jednak, podobnie jak we wcześniejszych przypadkach jest to podatek minimalny, którego celem jest przeciwdziałanie erozji dochodu podlegającego opodatkowaniu. Jest on pobierany w ramach integralnego systemu opodatkowania CIT – w szczególności kwotę podatku minimalnego pomniejsza się o kwotę CIT pobieraną na zasadach ogólnych. Stąd, powinien zaliczać się do podatków kwalifikowanych.</w:t>
            </w:r>
          </w:p>
        </w:tc>
      </w:tr>
      <w:tr w:rsidR="00D25419" w:rsidRPr="00C96268" w14:paraId="17D2B51D" w14:textId="77777777" w:rsidTr="0018113C">
        <w:tc>
          <w:tcPr>
            <w:tcW w:w="1945" w:type="dxa"/>
          </w:tcPr>
          <w:p w14:paraId="51FE4B28"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shd w:val="clear" w:color="auto" w:fill="FFFFFF"/>
              </w:rPr>
              <w:t>IP Box (podatek od kwalifikowanego dochodu z kwalifikowanych praw własności intelektualnej)</w:t>
            </w:r>
          </w:p>
        </w:tc>
        <w:tc>
          <w:tcPr>
            <w:tcW w:w="1636" w:type="dxa"/>
          </w:tcPr>
          <w:p w14:paraId="23961247"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24d</w:t>
            </w:r>
          </w:p>
        </w:tc>
        <w:tc>
          <w:tcPr>
            <w:tcW w:w="6767" w:type="dxa"/>
          </w:tcPr>
          <w:p w14:paraId="4F47FD71" w14:textId="77777777" w:rsidR="00D25419" w:rsidRPr="00C96268" w:rsidRDefault="00D25419" w:rsidP="0018113C">
            <w:pPr>
              <w:jc w:val="both"/>
              <w:rPr>
                <w:rFonts w:ascii="Times New Roman" w:hAnsi="Times New Roman" w:cs="Times New Roman"/>
                <w:sz w:val="20"/>
                <w:szCs w:val="20"/>
              </w:rPr>
            </w:pPr>
            <w:r w:rsidRPr="00C96268">
              <w:rPr>
                <w:rFonts w:ascii="Times New Roman" w:hAnsi="Times New Roman" w:cs="Times New Roman"/>
                <w:sz w:val="20"/>
                <w:szCs w:val="20"/>
              </w:rPr>
              <w:t>Kluczowym elementem podstawy opodatkowania jest dochód z określonych praw, przy czym obowiązuje odrębna stawka (5%). Ponadto, podatek ten składa się na obowiązkowe obciążenie wyniku finansowego. Klasyfikacja jako podatek kwalifikowany jest zatem uzasadniona.</w:t>
            </w:r>
          </w:p>
        </w:tc>
      </w:tr>
      <w:tr w:rsidR="00D25419" w:rsidRPr="00C96268" w14:paraId="64C02CCD" w14:textId="77777777" w:rsidTr="0018113C">
        <w:tc>
          <w:tcPr>
            <w:tcW w:w="1945" w:type="dxa"/>
          </w:tcPr>
          <w:p w14:paraId="097AE3F1"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Exit tax (podatek od dochodów od niezrealizowanych zysków)</w:t>
            </w:r>
          </w:p>
        </w:tc>
        <w:tc>
          <w:tcPr>
            <w:tcW w:w="1636" w:type="dxa"/>
          </w:tcPr>
          <w:p w14:paraId="4A875630"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24f</w:t>
            </w:r>
          </w:p>
        </w:tc>
        <w:tc>
          <w:tcPr>
            <w:tcW w:w="6767" w:type="dxa"/>
          </w:tcPr>
          <w:p w14:paraId="45024DC6" w14:textId="77777777" w:rsidR="00D25419" w:rsidRPr="00C96268" w:rsidRDefault="00D25419" w:rsidP="0018113C">
            <w:pPr>
              <w:pStyle w:val="Akapitzlist"/>
              <w:numPr>
                <w:ilvl w:val="0"/>
                <w:numId w:val="142"/>
              </w:numPr>
              <w:ind w:left="318" w:hanging="284"/>
              <w:jc w:val="both"/>
              <w:rPr>
                <w:rFonts w:ascii="Times New Roman" w:hAnsi="Times New Roman" w:cs="Times New Roman"/>
                <w:sz w:val="20"/>
                <w:szCs w:val="20"/>
                <w:shd w:val="clear" w:color="auto" w:fill="FFFFFF"/>
              </w:rPr>
            </w:pPr>
            <w:r w:rsidRPr="00C96268">
              <w:rPr>
                <w:rFonts w:ascii="Times New Roman" w:hAnsi="Times New Roman" w:cs="Times New Roman"/>
                <w:sz w:val="20"/>
                <w:szCs w:val="20"/>
                <w:shd w:val="clear" w:color="auto" w:fill="FFFFFF"/>
              </w:rPr>
              <w:t xml:space="preserve">Dochód z niezrealizowanych zysków stanowi nadwyżka wartości rynkowej składnika majątku (ustalanej na dzień jego przeniesienia albo na dzień poprzedzający dzień zmiany rezydencji podatkowej) ponad jego wartość podatkową. Różnica pomiędzy wartością rynkową a podatkową stanowi swojego rodzaju dochód, dodatkowo opodatkowany. </w:t>
            </w:r>
          </w:p>
          <w:p w14:paraId="046E72B6" w14:textId="77777777" w:rsidR="00D25419" w:rsidRPr="00C96268" w:rsidRDefault="00D25419" w:rsidP="0018113C">
            <w:pPr>
              <w:pStyle w:val="Akapitzlist"/>
              <w:numPr>
                <w:ilvl w:val="0"/>
                <w:numId w:val="142"/>
              </w:numPr>
              <w:ind w:left="318" w:hanging="284"/>
              <w:jc w:val="both"/>
              <w:rPr>
                <w:rFonts w:ascii="Times New Roman" w:hAnsi="Times New Roman" w:cs="Times New Roman"/>
                <w:sz w:val="20"/>
                <w:szCs w:val="20"/>
              </w:rPr>
            </w:pPr>
            <w:r w:rsidRPr="00C96268">
              <w:rPr>
                <w:rFonts w:ascii="Times New Roman" w:hAnsi="Times New Roman" w:cs="Times New Roman"/>
                <w:sz w:val="20"/>
                <w:szCs w:val="20"/>
              </w:rPr>
              <w:t xml:space="preserve">Jest wykazywany w odrębnym zeznaniu niż CIT i płatny do 7.go dnia kolejnego miesiąca. </w:t>
            </w:r>
            <w:r w:rsidRPr="00C96268">
              <w:rPr>
                <w:rFonts w:ascii="Times New Roman" w:hAnsi="Times New Roman" w:cs="Times New Roman"/>
                <w:sz w:val="20"/>
                <w:szCs w:val="20"/>
                <w:shd w:val="clear" w:color="auto" w:fill="FFFFFF"/>
              </w:rPr>
              <w:t xml:space="preserve">Mimo odrębności zeznania jest to jednak przepis anty-abuzywny, </w:t>
            </w:r>
            <w:r w:rsidRPr="00C96268">
              <w:rPr>
                <w:rFonts w:ascii="Times New Roman" w:hAnsi="Times New Roman" w:cs="Times New Roman"/>
                <w:sz w:val="20"/>
                <w:szCs w:val="20"/>
              </w:rPr>
              <w:t xml:space="preserve">którego celem jest przeciwdziałanie erozji dochodu podlegającego opodatkowaniu w ramach integralnego systemu opodatkowania CIT. Stąd, </w:t>
            </w:r>
            <w:r w:rsidRPr="00C96268">
              <w:rPr>
                <w:rFonts w:ascii="Times New Roman" w:hAnsi="Times New Roman" w:cs="Times New Roman"/>
                <w:i/>
                <w:iCs/>
                <w:sz w:val="20"/>
                <w:szCs w:val="20"/>
              </w:rPr>
              <w:t>exit tax</w:t>
            </w:r>
            <w:r w:rsidRPr="00C96268">
              <w:rPr>
                <w:rFonts w:ascii="Times New Roman" w:hAnsi="Times New Roman" w:cs="Times New Roman"/>
                <w:sz w:val="20"/>
                <w:szCs w:val="20"/>
              </w:rPr>
              <w:t xml:space="preserve"> powinien zaliczać się do podatków kwalifikowanych.</w:t>
            </w:r>
          </w:p>
          <w:p w14:paraId="1C335210" w14:textId="77777777" w:rsidR="00D25419" w:rsidRPr="00C96268" w:rsidRDefault="00D25419" w:rsidP="0018113C">
            <w:pPr>
              <w:pStyle w:val="Akapitzlist"/>
              <w:numPr>
                <w:ilvl w:val="0"/>
                <w:numId w:val="142"/>
              </w:numPr>
              <w:ind w:left="318" w:hanging="284"/>
              <w:jc w:val="both"/>
              <w:rPr>
                <w:rFonts w:ascii="Times New Roman" w:hAnsi="Times New Roman" w:cs="Times New Roman"/>
                <w:sz w:val="20"/>
                <w:szCs w:val="20"/>
              </w:rPr>
            </w:pPr>
            <w:r w:rsidRPr="00C96268">
              <w:rPr>
                <w:rFonts w:ascii="Times New Roman" w:hAnsi="Times New Roman" w:cs="Times New Roman"/>
                <w:sz w:val="20"/>
                <w:szCs w:val="20"/>
              </w:rPr>
              <w:t>Z perspektywy rachunkowej stanowi on podatek dochodowy (jako typ podatku anty-abuzywnego / zapewniającego minimalne opodatkowanie).</w:t>
            </w:r>
          </w:p>
          <w:p w14:paraId="77DFEE26" w14:textId="77777777" w:rsidR="00D25419" w:rsidRPr="00C96268" w:rsidRDefault="00D25419" w:rsidP="0018113C">
            <w:pPr>
              <w:ind w:left="34"/>
              <w:jc w:val="both"/>
              <w:rPr>
                <w:rFonts w:ascii="Times New Roman" w:hAnsi="Times New Roman" w:cs="Times New Roman"/>
                <w:sz w:val="20"/>
                <w:szCs w:val="20"/>
              </w:rPr>
            </w:pPr>
          </w:p>
        </w:tc>
      </w:tr>
    </w:tbl>
    <w:p w14:paraId="4358C951"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79 [Katalog podatków niestanowiących podatków kwalifikowanych]</w:t>
      </w:r>
    </w:p>
    <w:p w14:paraId="40300A82" w14:textId="77777777" w:rsidR="00D25419" w:rsidRPr="00C96268" w:rsidRDefault="00D25419" w:rsidP="00D25419">
      <w:pPr>
        <w:spacing w:after="120"/>
        <w:jc w:val="both"/>
        <w:rPr>
          <w:rFonts w:ascii="Times New Roman" w:hAnsi="Times New Roman" w:cs="Times New Roman"/>
          <w:bCs/>
          <w:i/>
          <w:iCs/>
          <w:color w:val="2E74B5" w:themeColor="accent1" w:themeShade="BF"/>
          <w:sz w:val="24"/>
          <w:szCs w:val="24"/>
        </w:rPr>
      </w:pPr>
      <w:r w:rsidRPr="00C96268">
        <w:rPr>
          <w:rFonts w:ascii="Times New Roman" w:hAnsi="Times New Roman" w:cs="Times New Roman"/>
          <w:bCs/>
          <w:i/>
          <w:iCs/>
          <w:color w:val="2E74B5" w:themeColor="accent1" w:themeShade="BF"/>
          <w:sz w:val="24"/>
          <w:szCs w:val="24"/>
        </w:rPr>
        <w:t>(i.) Kwestie ogólne</w:t>
      </w:r>
    </w:p>
    <w:p w14:paraId="0E0FEE27" w14:textId="77777777" w:rsidR="00D25419" w:rsidRPr="00C96268" w:rsidRDefault="00D25419" w:rsidP="00D25419">
      <w:pPr>
        <w:spacing w:after="120"/>
        <w:jc w:val="both"/>
        <w:rPr>
          <w:rFonts w:ascii="Times New Roman" w:hAnsi="Times New Roman" w:cs="Times New Roman"/>
          <w:sz w:val="24"/>
          <w:szCs w:val="24"/>
        </w:rPr>
      </w:pPr>
      <w:r w:rsidRPr="00C96268">
        <w:rPr>
          <w:rFonts w:ascii="Times New Roman" w:hAnsi="Times New Roman" w:cs="Times New Roman"/>
          <w:bCs/>
          <w:sz w:val="24"/>
          <w:szCs w:val="24"/>
        </w:rPr>
        <w:t xml:space="preserve">Pomimo że podatki kwalifikowane zostały zdefiniowane szeroko, niektóre podatki zostały wprost wyłączone z tej definicji. Regulacja ta stanowi implementację art. 20.2 i 20.3 Dyrektywy. </w:t>
      </w:r>
    </w:p>
    <w:p w14:paraId="1430083E" w14:textId="77777777" w:rsidR="00D25419" w:rsidRPr="00C96268" w:rsidRDefault="00D25419" w:rsidP="00D25419">
      <w:pPr>
        <w:spacing w:after="120"/>
        <w:jc w:val="both"/>
        <w:rPr>
          <w:rFonts w:ascii="Times New Roman" w:hAnsi="Times New Roman" w:cs="Times New Roman"/>
          <w:b/>
          <w:bCs/>
          <w:sz w:val="24"/>
          <w:szCs w:val="24"/>
        </w:rPr>
      </w:pPr>
      <w:r w:rsidRPr="00C96268">
        <w:rPr>
          <w:rFonts w:ascii="Times New Roman" w:hAnsi="Times New Roman" w:cs="Times New Roman"/>
          <w:bCs/>
          <w:sz w:val="24"/>
          <w:szCs w:val="24"/>
        </w:rPr>
        <w:t>Podatki wyłączone zasadniczo dzielą się na dwie kategorie – podatki wyrównawcze i podatki podlegające zwrotowi.</w:t>
      </w:r>
    </w:p>
    <w:p w14:paraId="11B8DD3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Ponieważ podatki kwalifikowane stanowią podstawowy element kalkulacji podatków wyrównawczych, uznanie podatków wyrównawczych za kwalifikowane skutkowałoby błędem w obliczeniach. Z tego względu nie uznaje się za podatek kwalifikowany globalnego podatku wyrównawczego lub kwalifikowanego zagranicznego podatku wyrównawczego, naliczonego przez jednostki dominujące, krajowego podatku wyrównawczego lub kwalifikowanego krajowego podatku wyrównawczego oraz podatku wyrównawczego od niedostatecznie opodatkowanych zysków lub podatku wyrównawczego obliczanego na podstawie kwalifikowanej zasady od niedostatecznie opodatkowanych zysków.</w:t>
      </w:r>
      <w:r w:rsidRPr="00C96268">
        <w:rPr>
          <w:rFonts w:ascii="Times New Roman" w:hAnsi="Times New Roman" w:cs="Times New Roman"/>
          <w:sz w:val="24"/>
          <w:szCs w:val="24"/>
        </w:rPr>
        <w:t xml:space="preserve"> </w:t>
      </w:r>
    </w:p>
    <w:p w14:paraId="7C0C0EC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Jeżeli za rok podatkowy dokonano wyboru w zakresie zysku ze zbycia lokalnych rzeczowych aktywów trwałych będących nieruchomościami, to do podatków kwalifikowanych nie zalicza się podatku naliczonego w odniesieniu do zysków (strat) ze zbycia lokalnych rzeczowych aktywów trwałych objętych tym wyborem.</w:t>
      </w:r>
    </w:p>
    <w:p w14:paraId="75A0BDA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Kolejne wyłączenie jest dokonywane w zakresie, w jakim dokonywana jest korekta z tytułu przychodów i zmian stanu rezerw zakładów ubezpieczeń. W skutek tej korekty kwoty obciążające ubezpieczających z tytułu kosztów podatkowych poniesione przez zakład ubezpieczeń w związku ze zwrotami na rzecz ubezpieczonego są wyłączone z obliczenia kwalifikowanego dochodu (straty). Zwroty na rzecz ubezpieczonych są traktowane jako dochód zakładu ubezpieczeń zgodnie ze standardami rachunkowości finansowej w sektorze ubezpieczeń, a zakład ubezpieczeniowy skutecznie eliminuje ten dochód z odpowiednim zobowiązaniem wobec ubezpieczonego. Jednocześnie, zobowiązanie jest zazwyczaj pomniejszane o kwotę wszelkich podatków poniesionych przez zakład ubezpieczeń w odniesieniu do tego dochodu. W konsekwencji, wydatek na podatek poniesiony przez zakład ubezpieczeń jest faktycznie zwracany przez posiadacza polisy. Koszty takie nie powinny więc być uwzględniane w podatkach kwalifikowanych zakładu ubezpieczeń.</w:t>
      </w:r>
    </w:p>
    <w:p w14:paraId="329911E1"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 podatków kwalifikowanych wyłącza się także wyłączony przypisany podatek. Podatki takie nie są uznawane za podatki kwalifikowane, ponieważ termin ich zwrotu jest pod kontrolą grupy, a tym samym są one podobne do depozytu. Wyłączenie to ma zastosowanie w zakresie w jakim zwrot podatku jest wypłacony lub zaliczony na poczet innych zobowiązań na rzecz określonych podmiotów, w określonych sytuacjach. W pozostałym zakresie zwracany lub zaliczany podatek stanowi podatek kwalifikowany.</w:t>
      </w:r>
    </w:p>
    <w:p w14:paraId="354FA69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kolejnych ustępach artykuł ten stanowi implementację art. 3 pkt 31 Dyrektywy (czyli artykułu zawierającego definicje pojęć stosowanych na gruncie Dyrektywy) i definiuje pojęcie wyłączonego przypisanego podatku jednostki składowej. Zasadniczo, podatki takie pozwalają spółce lub udziałowcowi ubiegać się o pełny lub częściowy zwrot podatku dochodowego od osób prawnych zapłaconego wcześniej przez spółkę lub zaliczenie go na poczet innych zobowiązań, gdy taki opodatkowany dochód jest następnie wypłacany udziałowcowi w formie dywidendy.</w:t>
      </w:r>
    </w:p>
    <w:p w14:paraId="4BB72ED2"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Wyłączony przypisany podatek to podatek inny niż kwalifikowany przypisany podatek. Definicja kwalifikowanego przypisanego podatku zawiera bardzo szczegółowe wymogi dotyczące opodatkowania odbiorców dywidend, aby zapewnić, że zwrot podatku lub zaliczenie na poczet innych zobowiązań u odbiorców dywidend jest mechanizmem zapewniającym jednorazowe opodatkowanie tego samego dochodu (a nie skutkuje brakiem opodatkowania).</w:t>
      </w:r>
    </w:p>
    <w:p w14:paraId="4D8C161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Ponieważ wyłączony przypisany podatek jest zwracany, a odbiorca dywidendy nie podlega opodatkowaniu od wypłaconego dochodu, z założenia nie jest to docelowy podatek. Ostatecznym rezultatem takich systemów podatkowych jest to, że dochód spółki w ogóle nie podlega opodatkowaniu w rękach spółki lub akcjonariuszy (udziałowców). Zgodnie z ustawą taki wyłączony przypisany podatek nie stanowi więc podatków kwalifikowanych. </w:t>
      </w:r>
    </w:p>
    <w:p w14:paraId="1237539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Definicja ta obejmuje również podatek, który spełniałby definicję kwalifikowanego przypisanego podatku, jednak rzeczywisty właściciel podlega w odniesieniu do wypłaty nominalnej stawce podatkowej niższej niż stawka minimalna lub jest osobą fizyczną, która nie podlega opodatkowaniu od dywidend jako zwykłego dochodu. Jednocześnie, podatki nałożone na odbiorcę dywidendy i potrącone przez spółkę wypłacającą dywidendę przy wypłacie tej dywidendy nie są wyłączonym przypisanym podatkiem, nawet jeśli część lub całość tego podatku zostanie ostatecznie zwrócona przez organ podatkowy. Jest tak, ponieważ są one nakładane na akcjonariusza (udziałowca) w momencie wypłaty dywidendy i zmniejszają kwotę netto otrzymaną przez akcjonariusza. Jeśli taki potrącony podatek jest zwracany akcjonariuszowi (udziałowcowi), jest to zwrot podatku, który został pierwotnie przez niego zapłacony.</w:t>
      </w:r>
    </w:p>
    <w:p w14:paraId="6F8F3B72" w14:textId="77777777" w:rsidR="00D25419" w:rsidRPr="00C96268" w:rsidRDefault="00D25419" w:rsidP="00D25419">
      <w:pPr>
        <w:spacing w:after="120"/>
        <w:jc w:val="both"/>
        <w:rPr>
          <w:rFonts w:ascii="Times New Roman" w:hAnsi="Times New Roman" w:cs="Times New Roman"/>
          <w:sz w:val="24"/>
          <w:szCs w:val="24"/>
        </w:rPr>
      </w:pPr>
      <w:r w:rsidRPr="00C96268">
        <w:rPr>
          <w:rFonts w:ascii="Times New Roman" w:hAnsi="Times New Roman" w:cs="Times New Roman"/>
          <w:sz w:val="24"/>
          <w:szCs w:val="24"/>
        </w:rPr>
        <w:t>Artykuł ten</w:t>
      </w:r>
      <w:r w:rsidRPr="00C96268">
        <w:rPr>
          <w:rFonts w:ascii="Times New Roman" w:hAnsi="Times New Roman" w:cs="Times New Roman"/>
          <w:b/>
          <w:bCs/>
          <w:sz w:val="24"/>
          <w:szCs w:val="24"/>
        </w:rPr>
        <w:t xml:space="preserve"> </w:t>
      </w:r>
      <w:r w:rsidRPr="00C96268">
        <w:rPr>
          <w:rFonts w:ascii="Times New Roman" w:hAnsi="Times New Roman" w:cs="Times New Roman"/>
          <w:sz w:val="24"/>
          <w:szCs w:val="24"/>
        </w:rPr>
        <w:t>precyzuje warunki uznania podatku za kwalifikowany przypisany podatek jednostki składowej.</w:t>
      </w:r>
      <w:r w:rsidRPr="00C96268">
        <w:rPr>
          <w:rFonts w:ascii="Times New Roman" w:hAnsi="Times New Roman" w:cs="Times New Roman"/>
          <w:b/>
          <w:bCs/>
          <w:sz w:val="24"/>
          <w:szCs w:val="24"/>
        </w:rPr>
        <w:t xml:space="preserve"> </w:t>
      </w:r>
      <w:r w:rsidRPr="00C96268">
        <w:rPr>
          <w:rFonts w:ascii="Times New Roman" w:hAnsi="Times New Roman" w:cs="Times New Roman"/>
          <w:sz w:val="24"/>
          <w:szCs w:val="24"/>
        </w:rPr>
        <w:t>Wymienia on cztery grupy podmiotów, na rzecz których musi zostać dokonany zwrot podatku lub jego zaliczenie na poczet innych zobowiązań, aby były one uznane za kwalifikowany przypisany podatek. Są to:</w:t>
      </w:r>
    </w:p>
    <w:p w14:paraId="64E871F5" w14:textId="77777777" w:rsidR="00D25419" w:rsidRPr="00C96268" w:rsidRDefault="00D25419" w:rsidP="00D25419">
      <w:pPr>
        <w:pStyle w:val="Akapitzlist"/>
        <w:numPr>
          <w:ilvl w:val="0"/>
          <w:numId w:val="110"/>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beneficjent rzeczywisty dywidendy, </w:t>
      </w:r>
    </w:p>
    <w:p w14:paraId="4468B36C" w14:textId="77777777" w:rsidR="00D25419" w:rsidRPr="00C96268" w:rsidRDefault="00D25419" w:rsidP="00D25419">
      <w:pPr>
        <w:pStyle w:val="Akapitzlist"/>
        <w:numPr>
          <w:ilvl w:val="0"/>
          <w:numId w:val="110"/>
        </w:num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jednostka rządowa, organizacja międzynarodowa, organizacja nienastawiona na zysk, fundusz emerytalny będące rezydentem jurysdykcji, w której zostały utworzone i  posiadają zarząd, </w:t>
      </w:r>
    </w:p>
    <w:p w14:paraId="7FB813E4" w14:textId="77777777" w:rsidR="00D25419" w:rsidRPr="00C96268" w:rsidRDefault="00D25419" w:rsidP="00D25419">
      <w:pPr>
        <w:pStyle w:val="Akapitzlist"/>
        <w:numPr>
          <w:ilvl w:val="0"/>
          <w:numId w:val="110"/>
        </w:numPr>
        <w:spacing w:after="120"/>
        <w:jc w:val="both"/>
        <w:rPr>
          <w:rFonts w:ascii="Times New Roman" w:hAnsi="Times New Roman" w:cs="Times New Roman"/>
          <w:sz w:val="24"/>
          <w:szCs w:val="24"/>
        </w:rPr>
      </w:pPr>
      <w:r w:rsidRPr="00C96268">
        <w:rPr>
          <w:rFonts w:ascii="Times New Roman" w:hAnsi="Times New Roman" w:cs="Times New Roman"/>
          <w:sz w:val="24"/>
          <w:szCs w:val="24"/>
        </w:rPr>
        <w:t>jednostka inwestycyjna będącej rezydentem jurysdykcji, w której została utworzona i podlega nadzorowi, jeżeli jednostka ta nie wchodzi w skład grupy międzynarodowej lub grupy krajowej lub</w:t>
      </w:r>
    </w:p>
    <w:p w14:paraId="53E013FA" w14:textId="77777777" w:rsidR="00D25419" w:rsidRPr="00C96268" w:rsidRDefault="00D25419" w:rsidP="00D25419">
      <w:pPr>
        <w:pStyle w:val="Akapitzlist"/>
        <w:numPr>
          <w:ilvl w:val="0"/>
          <w:numId w:val="110"/>
        </w:numPr>
        <w:spacing w:after="120"/>
        <w:jc w:val="both"/>
        <w:rPr>
          <w:rFonts w:ascii="Times New Roman" w:hAnsi="Times New Roman" w:cs="Times New Roman"/>
          <w:sz w:val="24"/>
          <w:szCs w:val="24"/>
        </w:rPr>
      </w:pPr>
      <w:r w:rsidRPr="00C96268">
        <w:rPr>
          <w:rFonts w:ascii="Times New Roman" w:hAnsi="Times New Roman" w:cs="Times New Roman"/>
          <w:sz w:val="24"/>
          <w:szCs w:val="24"/>
        </w:rPr>
        <w:t>zakładu ubezpieczeń na życie będącego rezydentem jurysdykcji, w której jest zlokalizowany.</w:t>
      </w:r>
    </w:p>
    <w:p w14:paraId="566B4B4A" w14:textId="77777777" w:rsidR="00D25419" w:rsidRPr="00C96268" w:rsidRDefault="00D25419" w:rsidP="00D25419">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Podkreślenia wymaga, że w przypadku podmiotów z pkt 1 i 4 konieczne jest spełnienie dodatkowych warunków, opisanych odpowiednio w każdym punkcie. </w:t>
      </w:r>
    </w:p>
    <w:p w14:paraId="6D343E2E"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Jednym z takich warunków w przypadku beneficjenta rzeczywistego dywidendy jest to, że podlega on opodatkowaniu według stawki nominalnej nie niższej niż minimalna stawka podatku. J</w:t>
      </w:r>
      <w:r w:rsidRPr="00C96268">
        <w:rPr>
          <w:rFonts w:ascii="Times New Roman" w:hAnsi="Times New Roman" w:cs="Times New Roman"/>
          <w:bCs/>
          <w:sz w:val="24"/>
          <w:szCs w:val="24"/>
        </w:rPr>
        <w:t xml:space="preserve">eżeli w danej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obowiązuje struktura stawek progresywnych, to stawką nominalną jest najniższa stawka mająca zastosowanie do beneficjenta rzeczywistego. Ponadto, jednym z warunków jest także, że beneficjent rzeczywisty dywidendy jest osobą fizyczną i rezydentem podatkowym w </w:t>
      </w:r>
      <w:r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której ta osoba fizyczna podlega opodatkowaniu według stawki nominalnej co najmniej równej standardowej stawce podatkowej mającej zastosowanie do zwykłego dochodu. Odniesienie do opodatkowania jako zwykłego dochodu ma na celu zapewnienie, że dywidenda nie podlega niskim stawkom podatku mającym zastosowanie wyłącznie do dywidend i innych dochodów pasywnych. </w:t>
      </w:r>
    </w:p>
    <w:p w14:paraId="084264E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Dywidendy wypłacane zakładom ubezpieczeń na życie, które są traktowane w zakresie tych dywidend podobnie do funduszy emerytalnych, nie muszą spełniać warunku opodatkowania stawką minimalną, aby podatek od nich zapłacony był traktowany jako kwalifikowany przypisany podatek. </w:t>
      </w:r>
    </w:p>
    <w:p w14:paraId="76266F19" w14:textId="43C5422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Dywidendy, o których mowa w  pkt 2 i 3 nie muszą natomiast podlegać opodatkowaniu, aby system spełniał kryteria kwalifikowanego przypisanego podatku.</w:t>
      </w:r>
    </w:p>
    <w:p w14:paraId="3B810938" w14:textId="77777777" w:rsidR="00D25419" w:rsidRPr="00C96268" w:rsidRDefault="00D25419" w:rsidP="00D724B9">
      <w:pPr>
        <w:spacing w:before="240" w:after="120"/>
        <w:jc w:val="both"/>
        <w:rPr>
          <w:rFonts w:ascii="Times New Roman" w:hAnsi="Times New Roman" w:cs="Times New Roman"/>
          <w:bCs/>
          <w:i/>
          <w:iCs/>
          <w:color w:val="2E74B5" w:themeColor="accent1" w:themeShade="BF"/>
          <w:sz w:val="24"/>
          <w:szCs w:val="24"/>
        </w:rPr>
      </w:pPr>
      <w:r w:rsidRPr="00C96268">
        <w:rPr>
          <w:rFonts w:ascii="Times New Roman" w:hAnsi="Times New Roman" w:cs="Times New Roman"/>
          <w:bCs/>
          <w:i/>
          <w:iCs/>
          <w:color w:val="2E74B5" w:themeColor="accent1" w:themeShade="BF"/>
          <w:sz w:val="24"/>
          <w:szCs w:val="24"/>
        </w:rPr>
        <w:t>(ii.) Podatki obowiązujące w Polsce, które nie są uznawane za podatki kwalifikowane</w:t>
      </w:r>
    </w:p>
    <w:p w14:paraId="604B7BF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Ustawa nie wymienia wprost podatków obowiązujących w Polsce, które nie są uznawane za podatki kwalifikowane na potrzeby opodatkowania wyrównawczego. Niemniej, biorąc pod uwagę Zasady GloBE i treść art. 78 projektu ustawy, należy uznać, że poszczególne podatki przewidziane w innych ustawach niż CIT nie wykazują przeważających cech podatku kwalifikowanego (jako przede wszystkim podatku od dochodu jednostki składowej). Dotyczy to w szczególności:</w:t>
      </w:r>
    </w:p>
    <w:p w14:paraId="4AE08029" w14:textId="77777777" w:rsidR="00D25419" w:rsidRPr="00C96268" w:rsidRDefault="00D25419" w:rsidP="00D25419">
      <w:pPr>
        <w:pStyle w:val="Akapitzlist"/>
        <w:numPr>
          <w:ilvl w:val="0"/>
          <w:numId w:val="147"/>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podatków pośrednich,</w:t>
      </w:r>
    </w:p>
    <w:p w14:paraId="21A18A46" w14:textId="77777777" w:rsidR="00D25419" w:rsidRPr="00C96268" w:rsidRDefault="00D25419" w:rsidP="00D25419">
      <w:pPr>
        <w:pStyle w:val="Akapitzlist"/>
        <w:numPr>
          <w:ilvl w:val="0"/>
          <w:numId w:val="147"/>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PIT,</w:t>
      </w:r>
    </w:p>
    <w:p w14:paraId="4D42700D" w14:textId="77777777" w:rsidR="00D25419" w:rsidRPr="00C96268" w:rsidRDefault="00D25419" w:rsidP="00D25419">
      <w:pPr>
        <w:pStyle w:val="Akapitzlist"/>
        <w:numPr>
          <w:ilvl w:val="0"/>
          <w:numId w:val="147"/>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podatku od nieruchomości,</w:t>
      </w:r>
    </w:p>
    <w:p w14:paraId="08D18DA6" w14:textId="77777777" w:rsidR="00D25419" w:rsidRPr="00C96268" w:rsidRDefault="00D25419" w:rsidP="00D25419">
      <w:pPr>
        <w:pStyle w:val="Akapitzlist"/>
        <w:numPr>
          <w:ilvl w:val="0"/>
          <w:numId w:val="147"/>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podatku od sprzedaży detalicznej,</w:t>
      </w:r>
    </w:p>
    <w:p w14:paraId="6A33D47F" w14:textId="77777777" w:rsidR="00D25419" w:rsidRPr="00C96268" w:rsidRDefault="00D25419" w:rsidP="00D25419">
      <w:pPr>
        <w:pStyle w:val="Akapitzlist"/>
        <w:numPr>
          <w:ilvl w:val="0"/>
          <w:numId w:val="147"/>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podatku od niektórych instytucji finansowych.</w:t>
      </w:r>
    </w:p>
    <w:p w14:paraId="616BF901" w14:textId="27697A98"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Zwięzłe uzasadnienie dotyczące poszczególnych podatków przedstawione jest w tabeli poniżej.</w:t>
      </w:r>
    </w:p>
    <w:tbl>
      <w:tblPr>
        <w:tblStyle w:val="Tabela-Siatka"/>
        <w:tblW w:w="10348" w:type="dxa"/>
        <w:tblInd w:w="-572" w:type="dxa"/>
        <w:tblLook w:val="04A0" w:firstRow="1" w:lastRow="0" w:firstColumn="1" w:lastColumn="0" w:noHBand="0" w:noVBand="1"/>
      </w:tblPr>
      <w:tblGrid>
        <w:gridCol w:w="1985"/>
        <w:gridCol w:w="2525"/>
        <w:gridCol w:w="5838"/>
      </w:tblGrid>
      <w:tr w:rsidR="00D25419" w:rsidRPr="00C96268" w14:paraId="52C85586" w14:textId="77777777" w:rsidTr="0018113C">
        <w:tc>
          <w:tcPr>
            <w:tcW w:w="1985" w:type="dxa"/>
            <w:shd w:val="clear" w:color="auto" w:fill="D9D9D9" w:themeFill="background1" w:themeFillShade="D9"/>
          </w:tcPr>
          <w:p w14:paraId="063C98A6" w14:textId="77777777" w:rsidR="00D25419" w:rsidRPr="00C96268" w:rsidRDefault="00D25419" w:rsidP="0018113C">
            <w:pPr>
              <w:rPr>
                <w:rFonts w:ascii="Times New Roman" w:hAnsi="Times New Roman" w:cs="Times New Roman"/>
                <w:b/>
                <w:bCs/>
                <w:sz w:val="20"/>
                <w:szCs w:val="20"/>
              </w:rPr>
            </w:pPr>
            <w:r w:rsidRPr="00C96268">
              <w:rPr>
                <w:rFonts w:ascii="Times New Roman" w:hAnsi="Times New Roman" w:cs="Times New Roman"/>
                <w:b/>
                <w:bCs/>
                <w:sz w:val="20"/>
                <w:szCs w:val="20"/>
              </w:rPr>
              <w:t>Podatek</w:t>
            </w:r>
          </w:p>
        </w:tc>
        <w:tc>
          <w:tcPr>
            <w:tcW w:w="2525" w:type="dxa"/>
            <w:shd w:val="clear" w:color="auto" w:fill="D9D9D9" w:themeFill="background1" w:themeFillShade="D9"/>
          </w:tcPr>
          <w:p w14:paraId="5DB8C064" w14:textId="77777777" w:rsidR="00D25419" w:rsidRPr="00C96268" w:rsidRDefault="00D25419" w:rsidP="0018113C">
            <w:pPr>
              <w:rPr>
                <w:rFonts w:ascii="Times New Roman" w:hAnsi="Times New Roman" w:cs="Times New Roman"/>
                <w:b/>
                <w:bCs/>
                <w:sz w:val="20"/>
                <w:szCs w:val="20"/>
              </w:rPr>
            </w:pPr>
            <w:r w:rsidRPr="00C96268">
              <w:rPr>
                <w:rFonts w:ascii="Times New Roman" w:hAnsi="Times New Roman" w:cs="Times New Roman"/>
                <w:b/>
                <w:bCs/>
                <w:sz w:val="20"/>
                <w:szCs w:val="20"/>
              </w:rPr>
              <w:t>Ustawa</w:t>
            </w:r>
          </w:p>
        </w:tc>
        <w:tc>
          <w:tcPr>
            <w:tcW w:w="5838" w:type="dxa"/>
            <w:shd w:val="clear" w:color="auto" w:fill="D9D9D9" w:themeFill="background1" w:themeFillShade="D9"/>
          </w:tcPr>
          <w:p w14:paraId="13B99CFD" w14:textId="77777777" w:rsidR="00D25419" w:rsidRPr="00C96268" w:rsidRDefault="00D25419" w:rsidP="0018113C">
            <w:pPr>
              <w:rPr>
                <w:rFonts w:ascii="Times New Roman" w:hAnsi="Times New Roman" w:cs="Times New Roman"/>
                <w:b/>
                <w:bCs/>
                <w:sz w:val="20"/>
                <w:szCs w:val="20"/>
              </w:rPr>
            </w:pPr>
            <w:r w:rsidRPr="00C96268">
              <w:rPr>
                <w:rFonts w:ascii="Times New Roman" w:hAnsi="Times New Roman" w:cs="Times New Roman"/>
                <w:b/>
                <w:bCs/>
                <w:sz w:val="20"/>
                <w:szCs w:val="20"/>
              </w:rPr>
              <w:t>Uzasadnienie</w:t>
            </w:r>
          </w:p>
        </w:tc>
      </w:tr>
      <w:tr w:rsidR="00D25419" w:rsidRPr="00C96268" w14:paraId="13C3D237" w14:textId="77777777" w:rsidTr="0018113C">
        <w:tc>
          <w:tcPr>
            <w:tcW w:w="1985" w:type="dxa"/>
          </w:tcPr>
          <w:p w14:paraId="6A85D7AF" w14:textId="77777777" w:rsidR="00D25419" w:rsidRPr="00C96268" w:rsidRDefault="00D25419" w:rsidP="0018113C">
            <w:pPr>
              <w:pStyle w:val="Akapitzlist"/>
              <w:numPr>
                <w:ilvl w:val="1"/>
                <w:numId w:val="145"/>
              </w:numPr>
              <w:ind w:left="452" w:hanging="283"/>
              <w:rPr>
                <w:rFonts w:ascii="Times New Roman" w:hAnsi="Times New Roman" w:cs="Times New Roman"/>
                <w:sz w:val="20"/>
                <w:szCs w:val="20"/>
              </w:rPr>
            </w:pPr>
            <w:r w:rsidRPr="00C96268">
              <w:rPr>
                <w:rFonts w:ascii="Times New Roman" w:hAnsi="Times New Roman" w:cs="Times New Roman"/>
                <w:sz w:val="20"/>
                <w:szCs w:val="20"/>
              </w:rPr>
              <w:t>VAT</w:t>
            </w:r>
          </w:p>
          <w:p w14:paraId="2BB044E5" w14:textId="77777777" w:rsidR="00D25419" w:rsidRPr="00C96268" w:rsidRDefault="00D25419" w:rsidP="0018113C">
            <w:pPr>
              <w:pStyle w:val="Akapitzlist"/>
              <w:numPr>
                <w:ilvl w:val="1"/>
                <w:numId w:val="145"/>
              </w:numPr>
              <w:ind w:left="452" w:hanging="283"/>
              <w:rPr>
                <w:rFonts w:ascii="Times New Roman" w:hAnsi="Times New Roman" w:cs="Times New Roman"/>
                <w:sz w:val="20"/>
                <w:szCs w:val="20"/>
              </w:rPr>
            </w:pPr>
            <w:r w:rsidRPr="00C96268">
              <w:rPr>
                <w:rFonts w:ascii="Times New Roman" w:hAnsi="Times New Roman" w:cs="Times New Roman"/>
                <w:sz w:val="20"/>
                <w:szCs w:val="20"/>
              </w:rPr>
              <w:t>akcyza</w:t>
            </w:r>
          </w:p>
          <w:p w14:paraId="244FC362" w14:textId="77777777" w:rsidR="00D25419" w:rsidRPr="00C96268" w:rsidRDefault="00D25419" w:rsidP="0018113C">
            <w:pPr>
              <w:pStyle w:val="Akapitzlist"/>
              <w:numPr>
                <w:ilvl w:val="1"/>
                <w:numId w:val="145"/>
              </w:numPr>
              <w:ind w:left="452" w:hanging="283"/>
              <w:rPr>
                <w:rFonts w:ascii="Times New Roman" w:hAnsi="Times New Roman" w:cs="Times New Roman"/>
                <w:sz w:val="20"/>
                <w:szCs w:val="20"/>
              </w:rPr>
            </w:pPr>
            <w:r w:rsidRPr="00C96268">
              <w:rPr>
                <w:rFonts w:ascii="Times New Roman" w:hAnsi="Times New Roman" w:cs="Times New Roman"/>
                <w:sz w:val="20"/>
                <w:szCs w:val="20"/>
              </w:rPr>
              <w:t>PCC – inny niż od umowy spółki</w:t>
            </w:r>
          </w:p>
          <w:p w14:paraId="2307574D" w14:textId="77777777" w:rsidR="00D25419" w:rsidRPr="00C96268" w:rsidRDefault="00D25419" w:rsidP="0018113C">
            <w:pPr>
              <w:pStyle w:val="Akapitzlist"/>
              <w:numPr>
                <w:ilvl w:val="1"/>
                <w:numId w:val="145"/>
              </w:numPr>
              <w:ind w:left="452" w:hanging="283"/>
              <w:rPr>
                <w:rFonts w:ascii="Times New Roman" w:hAnsi="Times New Roman" w:cs="Times New Roman"/>
                <w:sz w:val="20"/>
                <w:szCs w:val="20"/>
              </w:rPr>
            </w:pPr>
            <w:r w:rsidRPr="00C96268">
              <w:rPr>
                <w:rFonts w:ascii="Times New Roman" w:hAnsi="Times New Roman" w:cs="Times New Roman"/>
                <w:sz w:val="20"/>
                <w:szCs w:val="20"/>
              </w:rPr>
              <w:t>PIT</w:t>
            </w:r>
          </w:p>
          <w:p w14:paraId="6BACF07F" w14:textId="77777777" w:rsidR="00D25419" w:rsidRPr="00C96268" w:rsidRDefault="00D25419" w:rsidP="0018113C">
            <w:pPr>
              <w:pStyle w:val="Akapitzlist"/>
              <w:numPr>
                <w:ilvl w:val="1"/>
                <w:numId w:val="145"/>
              </w:numPr>
              <w:ind w:left="452" w:hanging="283"/>
              <w:rPr>
                <w:rFonts w:ascii="Times New Roman" w:hAnsi="Times New Roman" w:cs="Times New Roman"/>
                <w:sz w:val="20"/>
                <w:szCs w:val="20"/>
              </w:rPr>
            </w:pPr>
            <w:r w:rsidRPr="00C96268">
              <w:rPr>
                <w:rFonts w:ascii="Times New Roman" w:hAnsi="Times New Roman" w:cs="Times New Roman"/>
                <w:sz w:val="20"/>
                <w:szCs w:val="20"/>
              </w:rPr>
              <w:t>podatek od nieruchomości</w:t>
            </w:r>
          </w:p>
          <w:p w14:paraId="64933BEF" w14:textId="77777777" w:rsidR="00D25419" w:rsidRPr="00C96268" w:rsidRDefault="00D25419" w:rsidP="0018113C">
            <w:pPr>
              <w:rPr>
                <w:rFonts w:ascii="Times New Roman" w:hAnsi="Times New Roman" w:cs="Times New Roman"/>
                <w:sz w:val="20"/>
                <w:szCs w:val="20"/>
              </w:rPr>
            </w:pPr>
          </w:p>
        </w:tc>
        <w:tc>
          <w:tcPr>
            <w:tcW w:w="2525" w:type="dxa"/>
          </w:tcPr>
          <w:p w14:paraId="7F6F2D24"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Ustawa z dnia 11 marca 2004 r. o podatku od towarów i usług, Ustawa z dnia 6 grudnia 2008 r. o podatku akcyzowym, Ustawa z dnia 9 września 2000 r. o podatku od czynności cywilnoprawnych (ustawa PCC), Ustawa z dnia 26 lipca 1991 r. o podatku dochodowym od osób fizycznych, Ustawa z dnia 12 stycznia 1991 r. o podatkach i opłatach lokalnych</w:t>
            </w:r>
          </w:p>
        </w:tc>
        <w:tc>
          <w:tcPr>
            <w:tcW w:w="5838" w:type="dxa"/>
          </w:tcPr>
          <w:p w14:paraId="6723BECE"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Podatki wymienione wprost w Komentarzu jako </w:t>
            </w:r>
            <w:r w:rsidRPr="00C96268">
              <w:rPr>
                <w:rFonts w:ascii="Times New Roman" w:hAnsi="Times New Roman" w:cs="Times New Roman"/>
                <w:b/>
                <w:bCs/>
                <w:sz w:val="20"/>
                <w:szCs w:val="20"/>
              </w:rPr>
              <w:t xml:space="preserve">niestanowiące podatków kwalifikowanych </w:t>
            </w:r>
            <w:r w:rsidRPr="00C96268">
              <w:rPr>
                <w:rFonts w:ascii="Times New Roman" w:hAnsi="Times New Roman" w:cs="Times New Roman"/>
                <w:sz w:val="20"/>
                <w:szCs w:val="20"/>
              </w:rPr>
              <w:t xml:space="preserve">[Komentarz; 4.2.1; 36] </w:t>
            </w:r>
          </w:p>
          <w:p w14:paraId="615BC112" w14:textId="77777777" w:rsidR="00D25419" w:rsidRPr="00C96268" w:rsidRDefault="00D25419" w:rsidP="0018113C">
            <w:pPr>
              <w:tabs>
                <w:tab w:val="left" w:pos="1239"/>
              </w:tabs>
              <w:jc w:val="both"/>
              <w:rPr>
                <w:rFonts w:ascii="Times New Roman" w:hAnsi="Times New Roman" w:cs="Times New Roman"/>
                <w:sz w:val="20"/>
                <w:szCs w:val="20"/>
              </w:rPr>
            </w:pPr>
            <w:r w:rsidRPr="00C96268">
              <w:rPr>
                <w:rFonts w:ascii="Times New Roman" w:hAnsi="Times New Roman" w:cs="Times New Roman"/>
                <w:sz w:val="20"/>
                <w:szCs w:val="20"/>
              </w:rPr>
              <w:t>Chociaż definicja podatków kwalifikowanych jest szersza niż tylko podatki dochodowe, szereg powszechnie występujących podatków nie jest uwzględnionych w definicji. Następujące rodzaje podatków generalnie nie mieszczą się w definicji podatków kwalifikowanych:</w:t>
            </w:r>
          </w:p>
          <w:p w14:paraId="180AC062" w14:textId="77777777" w:rsidR="00D25419" w:rsidRPr="00C96268" w:rsidRDefault="00D25419" w:rsidP="0018113C">
            <w:pPr>
              <w:pStyle w:val="Akapitzlist"/>
              <w:widowControl w:val="0"/>
              <w:numPr>
                <w:ilvl w:val="0"/>
                <w:numId w:val="146"/>
              </w:numPr>
              <w:tabs>
                <w:tab w:val="left" w:pos="1239"/>
              </w:tabs>
              <w:jc w:val="both"/>
              <w:rPr>
                <w:rFonts w:ascii="Times New Roman" w:hAnsi="Times New Roman" w:cs="Times New Roman"/>
                <w:sz w:val="20"/>
                <w:szCs w:val="20"/>
              </w:rPr>
            </w:pPr>
            <w:r w:rsidRPr="00C96268">
              <w:rPr>
                <w:rFonts w:ascii="Times New Roman" w:hAnsi="Times New Roman" w:cs="Times New Roman"/>
                <w:sz w:val="20"/>
                <w:szCs w:val="20"/>
              </w:rPr>
              <w:t>Podatki konsumpcyjne, takie jak podatki od sprzedaży i podatki od wartości dodanej (VAT), nie są podatkami kwalifikowanymi według zasad GloBE. Takie podatki są obliczane w odniesieniu do wynagrodzenia za określoną dostawę i nie są podatkami od dochodu netto lub kapitału własnego podatnika;</w:t>
            </w:r>
          </w:p>
          <w:p w14:paraId="6F833834" w14:textId="77777777" w:rsidR="00D25419" w:rsidRPr="00C96268" w:rsidRDefault="00D25419" w:rsidP="0018113C">
            <w:pPr>
              <w:pStyle w:val="Akapitzlist"/>
              <w:widowControl w:val="0"/>
              <w:numPr>
                <w:ilvl w:val="0"/>
                <w:numId w:val="146"/>
              </w:numPr>
              <w:tabs>
                <w:tab w:val="left" w:pos="1239"/>
              </w:tabs>
              <w:jc w:val="both"/>
              <w:rPr>
                <w:rFonts w:ascii="Times New Roman" w:hAnsi="Times New Roman" w:cs="Times New Roman"/>
                <w:sz w:val="20"/>
                <w:szCs w:val="20"/>
              </w:rPr>
            </w:pPr>
            <w:r w:rsidRPr="00C96268">
              <w:rPr>
                <w:rFonts w:ascii="Times New Roman" w:hAnsi="Times New Roman" w:cs="Times New Roman"/>
                <w:sz w:val="20"/>
                <w:szCs w:val="20"/>
              </w:rPr>
              <w:t xml:space="preserve">Podatki akcyzowe i inne podatki od nakładów produkcyjnych </w:t>
            </w:r>
          </w:p>
          <w:p w14:paraId="18102378" w14:textId="77777777" w:rsidR="00D25419" w:rsidRPr="00C96268" w:rsidRDefault="00D25419" w:rsidP="0018113C">
            <w:pPr>
              <w:pStyle w:val="Akapitzlist"/>
              <w:widowControl w:val="0"/>
              <w:numPr>
                <w:ilvl w:val="0"/>
                <w:numId w:val="146"/>
              </w:numPr>
              <w:tabs>
                <w:tab w:val="left" w:pos="1239"/>
              </w:tabs>
              <w:jc w:val="both"/>
              <w:rPr>
                <w:rFonts w:ascii="Times New Roman" w:hAnsi="Times New Roman" w:cs="Times New Roman"/>
                <w:sz w:val="20"/>
                <w:szCs w:val="20"/>
              </w:rPr>
            </w:pPr>
            <w:r w:rsidRPr="00C96268">
              <w:rPr>
                <w:rFonts w:ascii="Times New Roman" w:hAnsi="Times New Roman" w:cs="Times New Roman"/>
                <w:sz w:val="20"/>
                <w:szCs w:val="20"/>
              </w:rPr>
              <w:t>Podatki od usług cyfrowych;</w:t>
            </w:r>
          </w:p>
          <w:p w14:paraId="3E2D80BF" w14:textId="77777777" w:rsidR="00D25419" w:rsidRPr="00C96268" w:rsidRDefault="00D25419" w:rsidP="0018113C">
            <w:pPr>
              <w:pStyle w:val="Akapitzlist"/>
              <w:widowControl w:val="0"/>
              <w:numPr>
                <w:ilvl w:val="0"/>
                <w:numId w:val="146"/>
              </w:numPr>
              <w:tabs>
                <w:tab w:val="left" w:pos="1239"/>
              </w:tabs>
              <w:jc w:val="both"/>
              <w:rPr>
                <w:rFonts w:ascii="Times New Roman" w:hAnsi="Times New Roman" w:cs="Times New Roman"/>
                <w:sz w:val="20"/>
                <w:szCs w:val="20"/>
              </w:rPr>
            </w:pPr>
            <w:r w:rsidRPr="00C96268">
              <w:rPr>
                <w:rFonts w:ascii="Times New Roman" w:hAnsi="Times New Roman" w:cs="Times New Roman"/>
                <w:sz w:val="20"/>
                <w:szCs w:val="20"/>
              </w:rPr>
              <w:t>Opłaty skarbowe, podatki ad valorem i inne podatki, które są nakładane na konkretną transakcję;</w:t>
            </w:r>
          </w:p>
          <w:p w14:paraId="72B0E42B" w14:textId="77777777" w:rsidR="00D25419" w:rsidRPr="00C96268" w:rsidRDefault="00D25419" w:rsidP="0018113C">
            <w:pPr>
              <w:pStyle w:val="Akapitzlist"/>
              <w:widowControl w:val="0"/>
              <w:numPr>
                <w:ilvl w:val="0"/>
                <w:numId w:val="146"/>
              </w:numPr>
              <w:tabs>
                <w:tab w:val="left" w:pos="1239"/>
              </w:tabs>
              <w:jc w:val="both"/>
              <w:rPr>
                <w:rFonts w:ascii="Times New Roman" w:hAnsi="Times New Roman" w:cs="Times New Roman"/>
                <w:sz w:val="20"/>
                <w:szCs w:val="20"/>
              </w:rPr>
            </w:pPr>
            <w:r w:rsidRPr="00C96268">
              <w:rPr>
                <w:rFonts w:ascii="Times New Roman" w:hAnsi="Times New Roman" w:cs="Times New Roman"/>
                <w:sz w:val="20"/>
                <w:szCs w:val="20"/>
              </w:rPr>
              <w:t>Podatki od wynagrodzeń i inne podatki związane z zatrudnieniem, jak również składki na ubezpieczenie społeczne;</w:t>
            </w:r>
          </w:p>
          <w:p w14:paraId="072E3C16" w14:textId="77777777" w:rsidR="00D25419" w:rsidRPr="00C96268" w:rsidRDefault="00D25419" w:rsidP="0018113C">
            <w:pPr>
              <w:pStyle w:val="Akapitzlist"/>
              <w:widowControl w:val="0"/>
              <w:numPr>
                <w:ilvl w:val="0"/>
                <w:numId w:val="146"/>
              </w:numPr>
              <w:shd w:val="clear" w:color="auto" w:fill="FFFFFF"/>
              <w:tabs>
                <w:tab w:val="left" w:pos="1239"/>
              </w:tabs>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Podatki majątkowe oparte na własności określonych przedmiotów lub kategorii majątku nie są podatkami kwalifikowanymi. Podatki od nieruchomości są oparte na oszacowanej wartości nieruchomości, często bez względu na to, czy nieruchomość jest przedmiotem zobowiązania. </w:t>
            </w:r>
          </w:p>
        </w:tc>
      </w:tr>
      <w:tr w:rsidR="00D25419" w:rsidRPr="00C96268" w14:paraId="3161F19C" w14:textId="77777777" w:rsidTr="0018113C">
        <w:tc>
          <w:tcPr>
            <w:tcW w:w="1985" w:type="dxa"/>
          </w:tcPr>
          <w:p w14:paraId="5A6440A0"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 xml:space="preserve">PCC od podwyższenia kapitału zakładowego lub od zatrzymanych zysków </w:t>
            </w:r>
          </w:p>
        </w:tc>
        <w:tc>
          <w:tcPr>
            <w:tcW w:w="2525" w:type="dxa"/>
          </w:tcPr>
          <w:p w14:paraId="53102040"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Ustawa PCC</w:t>
            </w:r>
          </w:p>
        </w:tc>
        <w:tc>
          <w:tcPr>
            <w:tcW w:w="5838" w:type="dxa"/>
          </w:tcPr>
          <w:p w14:paraId="2CB22732" w14:textId="530087C0" w:rsidR="00D25419" w:rsidRPr="00C96268" w:rsidRDefault="00D25419" w:rsidP="0018113C">
            <w:pPr>
              <w:pStyle w:val="Default"/>
              <w:spacing w:after="120"/>
              <w:jc w:val="both"/>
              <w:rPr>
                <w:rFonts w:ascii="Times New Roman" w:hAnsi="Times New Roman" w:cs="Times New Roman"/>
                <w:color w:val="auto"/>
                <w:sz w:val="20"/>
                <w:szCs w:val="20"/>
              </w:rPr>
            </w:pPr>
            <w:r w:rsidRPr="00C96268">
              <w:rPr>
                <w:rFonts w:ascii="Times New Roman" w:hAnsi="Times New Roman" w:cs="Times New Roman"/>
                <w:sz w:val="20"/>
                <w:szCs w:val="20"/>
              </w:rPr>
              <w:t xml:space="preserve">Zgodnie z literalnym brzmieniem art. 78 ust. 1 pkt (i odpowiednimi przepisami Dyrektywy / </w:t>
            </w:r>
            <w:r w:rsidR="00D66B89" w:rsidRPr="00C96268">
              <w:rPr>
                <w:rFonts w:ascii="Times New Roman" w:hAnsi="Times New Roman" w:cs="Times New Roman"/>
                <w:sz w:val="20"/>
                <w:szCs w:val="20"/>
              </w:rPr>
              <w:t>Modelowych zasad</w:t>
            </w:r>
            <w:r w:rsidRPr="00C96268">
              <w:rPr>
                <w:rFonts w:ascii="Times New Roman" w:hAnsi="Times New Roman" w:cs="Times New Roman"/>
                <w:sz w:val="20"/>
                <w:szCs w:val="20"/>
              </w:rPr>
              <w:t>), podatkami kwalifikowanymi będą podatki naliczone z tytułu zatrzymanych zysków lub kapitału własnego (</w:t>
            </w:r>
            <w:r w:rsidRPr="00C96268">
              <w:rPr>
                <w:rFonts w:ascii="Times New Roman" w:hAnsi="Times New Roman" w:cs="Times New Roman"/>
                <w:i/>
                <w:iCs/>
                <w:sz w:val="20"/>
                <w:szCs w:val="20"/>
              </w:rPr>
              <w:t>taxes levied by reference to retained earnings and corporate equity</w:t>
            </w:r>
            <w:r w:rsidRPr="00C96268">
              <w:rPr>
                <w:rFonts w:ascii="Times New Roman" w:hAnsi="Times New Roman" w:cs="Times New Roman"/>
                <w:sz w:val="20"/>
                <w:szCs w:val="20"/>
              </w:rPr>
              <w:t xml:space="preserve">). Należy zatem rozważyć, czy takim podatkiem jest PCC od umowy spółki lub zmiany </w:t>
            </w:r>
            <w:r w:rsidRPr="00C96268">
              <w:rPr>
                <w:rFonts w:ascii="Times New Roman" w:hAnsi="Times New Roman" w:cs="Times New Roman"/>
                <w:color w:val="auto"/>
                <w:sz w:val="20"/>
                <w:szCs w:val="20"/>
              </w:rPr>
              <w:t>umowy spółki, o ile następuje zwiększenie kapitału zakładowego lub majątku spółki osobowej, tj. zgodnie z art. 1 ust. 3 pkt 1-3 ustawy PCC:</w:t>
            </w:r>
          </w:p>
          <w:p w14:paraId="49966AE0" w14:textId="77777777" w:rsidR="00D25419" w:rsidRPr="00C96268" w:rsidRDefault="00D25419" w:rsidP="0018113C">
            <w:pPr>
              <w:pStyle w:val="Akapitzlist"/>
              <w:numPr>
                <w:ilvl w:val="0"/>
                <w:numId w:val="144"/>
              </w:numPr>
              <w:shd w:val="clear" w:color="auto" w:fill="FFFFFF"/>
              <w:jc w:val="both"/>
              <w:rPr>
                <w:rFonts w:ascii="Times New Roman" w:eastAsia="Times New Roman" w:hAnsi="Times New Roman" w:cs="Times New Roman"/>
                <w:sz w:val="20"/>
                <w:szCs w:val="20"/>
                <w:lang w:eastAsia="pl-PL"/>
              </w:rPr>
            </w:pPr>
            <w:r w:rsidRPr="00C96268">
              <w:rPr>
                <w:rFonts w:ascii="Times New Roman" w:eastAsia="Times New Roman" w:hAnsi="Times New Roman" w:cs="Times New Roman"/>
                <w:sz w:val="20"/>
                <w:szCs w:val="20"/>
                <w:lang w:eastAsia="pl-PL"/>
              </w:rPr>
              <w:t>przy spółce osobowej - wniesienie lub podwyższenie wkładu, którego wartość powoduje zwiększenie majątku spółki, pożyczkę udzieloną spółce przez wspólnika, dopłaty oraz oddanie przez wspólnika spółce rzeczy lub praw majątkowych do nieodpłatnego używania;</w:t>
            </w:r>
          </w:p>
          <w:p w14:paraId="2A8EF8AE" w14:textId="77777777" w:rsidR="00D25419" w:rsidRPr="00C96268" w:rsidRDefault="00D25419" w:rsidP="0018113C">
            <w:pPr>
              <w:pStyle w:val="Akapitzlist"/>
              <w:numPr>
                <w:ilvl w:val="0"/>
                <w:numId w:val="144"/>
              </w:numPr>
              <w:shd w:val="clear" w:color="auto" w:fill="FFFFFF"/>
              <w:jc w:val="both"/>
              <w:rPr>
                <w:rFonts w:ascii="Times New Roman" w:eastAsia="Times New Roman" w:hAnsi="Times New Roman" w:cs="Times New Roman"/>
                <w:sz w:val="20"/>
                <w:szCs w:val="20"/>
                <w:lang w:eastAsia="pl-PL"/>
              </w:rPr>
            </w:pPr>
            <w:r w:rsidRPr="00C96268">
              <w:rPr>
                <w:rFonts w:ascii="Times New Roman" w:eastAsia="Times New Roman" w:hAnsi="Times New Roman" w:cs="Times New Roman"/>
                <w:sz w:val="20"/>
                <w:szCs w:val="20"/>
                <w:lang w:eastAsia="pl-PL"/>
              </w:rPr>
              <w:t>przy spółce kapitałowej - podwyższenie kapitału zakładowego z wkładów lub ze środków spółki oraz dopłaty;</w:t>
            </w:r>
          </w:p>
          <w:p w14:paraId="49E6F4DD" w14:textId="77777777" w:rsidR="00D25419" w:rsidRPr="00C96268" w:rsidRDefault="00D25419" w:rsidP="0018113C">
            <w:pPr>
              <w:pStyle w:val="Akapitzlist"/>
              <w:numPr>
                <w:ilvl w:val="0"/>
                <w:numId w:val="144"/>
              </w:numPr>
              <w:shd w:val="clear" w:color="auto" w:fill="FFFFFF"/>
              <w:spacing w:after="120"/>
              <w:ind w:left="714" w:hanging="357"/>
              <w:jc w:val="both"/>
              <w:rPr>
                <w:rFonts w:ascii="Times New Roman" w:eastAsia="Times New Roman" w:hAnsi="Times New Roman" w:cs="Times New Roman"/>
                <w:sz w:val="20"/>
                <w:szCs w:val="20"/>
                <w:lang w:eastAsia="pl-PL"/>
              </w:rPr>
            </w:pPr>
            <w:r w:rsidRPr="00C96268">
              <w:rPr>
                <w:rFonts w:ascii="Times New Roman" w:eastAsia="Times New Roman" w:hAnsi="Times New Roman" w:cs="Times New Roman"/>
                <w:sz w:val="20"/>
                <w:szCs w:val="20"/>
                <w:lang w:eastAsia="pl-PL"/>
              </w:rPr>
              <w:t>przekształcenie lub łączenie spółek, jeżeli ich wynikiem jest zwiększenie majątku spółki osobowej lub podwyższenie kapitału zakładowego spółki kapitałowej.</w:t>
            </w:r>
          </w:p>
          <w:p w14:paraId="3C4CB154" w14:textId="77777777" w:rsidR="00D25419" w:rsidRPr="00C96268" w:rsidRDefault="00D25419" w:rsidP="0018113C">
            <w:pPr>
              <w:widowControl w:val="0"/>
              <w:tabs>
                <w:tab w:val="left" w:pos="1239"/>
              </w:tabs>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Jednak zgodnie z Komentarzem, </w:t>
            </w:r>
            <w:r w:rsidRPr="00C96268">
              <w:rPr>
                <w:rFonts w:ascii="Times New Roman" w:hAnsi="Times New Roman" w:cs="Times New Roman"/>
                <w:sz w:val="20"/>
                <w:szCs w:val="20"/>
                <w:u w:val="single"/>
              </w:rPr>
              <w:t>podatki od poszczególnych transakcji nie stanowią podatków kwalifikowanych</w:t>
            </w:r>
            <w:r w:rsidRPr="00C96268">
              <w:rPr>
                <w:rFonts w:ascii="Times New Roman" w:hAnsi="Times New Roman" w:cs="Times New Roman"/>
                <w:sz w:val="20"/>
                <w:szCs w:val="20"/>
              </w:rPr>
              <w:t xml:space="preserve"> [Komentarz; 4.2.1; 36 lit. d]. </w:t>
            </w:r>
          </w:p>
          <w:p w14:paraId="653BC4B2" w14:textId="77777777" w:rsidR="00D25419" w:rsidRPr="00C96268" w:rsidRDefault="00D25419" w:rsidP="0018113C">
            <w:pPr>
              <w:widowControl w:val="0"/>
              <w:tabs>
                <w:tab w:val="left" w:pos="1239"/>
              </w:tabs>
              <w:spacing w:after="120"/>
              <w:jc w:val="both"/>
              <w:rPr>
                <w:rFonts w:ascii="Times New Roman" w:hAnsi="Times New Roman" w:cs="Times New Roman"/>
                <w:sz w:val="20"/>
                <w:szCs w:val="20"/>
              </w:rPr>
            </w:pPr>
            <w:r w:rsidRPr="00C96268">
              <w:rPr>
                <w:rFonts w:ascii="Times New Roman" w:hAnsi="Times New Roman" w:cs="Times New Roman"/>
                <w:sz w:val="20"/>
                <w:szCs w:val="20"/>
              </w:rPr>
              <w:t>Ponadto, z punktu widzenia rachunkowości jest to podatek kosztowy. O ile nie jest to przesądzające, to nie stanowi również argumentu za uznaniem PCC od umowy spółki za podatek kwalifikowany.</w:t>
            </w:r>
          </w:p>
          <w:p w14:paraId="40F5D10F" w14:textId="77777777" w:rsidR="00D25419" w:rsidRPr="00C96268" w:rsidRDefault="00D25419" w:rsidP="0018113C">
            <w:pPr>
              <w:shd w:val="clear" w:color="auto" w:fill="FFFFFF"/>
              <w:jc w:val="both"/>
              <w:rPr>
                <w:rFonts w:ascii="Times New Roman" w:hAnsi="Times New Roman" w:cs="Times New Roman"/>
                <w:sz w:val="20"/>
                <w:szCs w:val="20"/>
              </w:rPr>
            </w:pPr>
            <w:r w:rsidRPr="00C96268">
              <w:rPr>
                <w:rFonts w:ascii="Times New Roman" w:hAnsi="Times New Roman" w:cs="Times New Roman"/>
                <w:sz w:val="20"/>
                <w:szCs w:val="20"/>
              </w:rPr>
              <w:t>Zatem, brak jest wystarczających podstaw do zaliczenia PCC od umowy spółki / zmian umowy spółki do podatków kwalifikowanych.</w:t>
            </w:r>
          </w:p>
        </w:tc>
      </w:tr>
      <w:tr w:rsidR="00D25419" w:rsidRPr="00C96268" w14:paraId="1818660E" w14:textId="77777777" w:rsidTr="0018113C">
        <w:tc>
          <w:tcPr>
            <w:tcW w:w="1985" w:type="dxa"/>
          </w:tcPr>
          <w:p w14:paraId="157EBA40"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Podatek od sprzedaży detalicznej (PSD)</w:t>
            </w:r>
          </w:p>
        </w:tc>
        <w:tc>
          <w:tcPr>
            <w:tcW w:w="2525" w:type="dxa"/>
          </w:tcPr>
          <w:p w14:paraId="39BBF527"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Ustawa z dnia 6 lipca 2016 r. o podatku od sprzedaży detalicznej</w:t>
            </w:r>
          </w:p>
        </w:tc>
        <w:tc>
          <w:tcPr>
            <w:tcW w:w="5838" w:type="dxa"/>
            <w:shd w:val="clear" w:color="auto" w:fill="auto"/>
          </w:tcPr>
          <w:p w14:paraId="7AB8B314"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Podstawę opodatkowania stanowi osiągnięta w danym miesiącu nadwyżka </w:t>
            </w:r>
            <w:r w:rsidRPr="00C96268">
              <w:rPr>
                <w:rFonts w:ascii="Times New Roman" w:hAnsi="Times New Roman" w:cs="Times New Roman"/>
                <w:sz w:val="20"/>
                <w:szCs w:val="20"/>
                <w:u w:val="single"/>
              </w:rPr>
              <w:t>przychodów</w:t>
            </w:r>
            <w:r w:rsidRPr="00C96268">
              <w:rPr>
                <w:rFonts w:ascii="Times New Roman" w:hAnsi="Times New Roman" w:cs="Times New Roman"/>
                <w:sz w:val="20"/>
                <w:szCs w:val="20"/>
              </w:rPr>
              <w:t xml:space="preserve"> ze sprzedaży detalicznej ponad kwotę 17 mln zł.</w:t>
            </w:r>
          </w:p>
          <w:p w14:paraId="1ABB0546" w14:textId="0B2541B5"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Mając na uwadze sposób ustalenia podatku, po pierwsze, </w:t>
            </w:r>
            <w:r w:rsidRPr="00C96268">
              <w:rPr>
                <w:rFonts w:ascii="Times New Roman" w:hAnsi="Times New Roman" w:cs="Times New Roman"/>
                <w:b/>
                <w:bCs/>
                <w:sz w:val="20"/>
                <w:szCs w:val="20"/>
              </w:rPr>
              <w:t>PSD nie kwalifikuje się jako „podatki nakładane z tytułu dochodu lub zysku jednostki składowej”</w:t>
            </w:r>
            <w:r w:rsidRPr="00C96268">
              <w:rPr>
                <w:rFonts w:ascii="Times New Roman" w:hAnsi="Times New Roman" w:cs="Times New Roman"/>
                <w:sz w:val="20"/>
                <w:szCs w:val="20"/>
              </w:rPr>
              <w:t xml:space="preserve"> (art. 78 ust. 1 pkt 1 lit. a projektu ustawy) ze względu na to, że jest to podatek od przychodu, a nie dochodu (</w:t>
            </w:r>
            <w:r w:rsidRPr="00C96268">
              <w:rPr>
                <w:rFonts w:ascii="Times New Roman" w:hAnsi="Times New Roman" w:cs="Times New Roman"/>
                <w:i/>
                <w:iCs/>
                <w:sz w:val="20"/>
                <w:szCs w:val="20"/>
              </w:rPr>
              <w:t>net income</w:t>
            </w:r>
            <w:r w:rsidRPr="00C96268">
              <w:rPr>
                <w:rFonts w:ascii="Times New Roman" w:hAnsi="Times New Roman" w:cs="Times New Roman"/>
                <w:sz w:val="20"/>
                <w:szCs w:val="20"/>
              </w:rPr>
              <w:t xml:space="preserve">). Komentarz do </w:t>
            </w:r>
            <w:r w:rsidR="00595132" w:rsidRPr="00C96268">
              <w:rPr>
                <w:rFonts w:ascii="Times New Roman" w:hAnsi="Times New Roman" w:cs="Times New Roman"/>
                <w:sz w:val="20"/>
                <w:szCs w:val="20"/>
              </w:rPr>
              <w:t>Modelowych zasad</w:t>
            </w:r>
            <w:r w:rsidRPr="00C96268">
              <w:rPr>
                <w:rFonts w:ascii="Times New Roman" w:hAnsi="Times New Roman" w:cs="Times New Roman"/>
                <w:sz w:val="20"/>
                <w:szCs w:val="20"/>
              </w:rPr>
              <w:t xml:space="preserve"> wprost wskazuje, że podatki od przychodu nie klasyfikują się do litery (a).</w:t>
            </w:r>
          </w:p>
          <w:p w14:paraId="13C5FD6A"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Para 27 do art. 4.2 Komentarza Skonsolidowanego:</w:t>
            </w:r>
          </w:p>
          <w:p w14:paraId="2D977AB7" w14:textId="77777777" w:rsidR="00D25419" w:rsidRPr="00C96268" w:rsidRDefault="00D25419" w:rsidP="0018113C">
            <w:pPr>
              <w:spacing w:after="120"/>
              <w:jc w:val="both"/>
              <w:rPr>
                <w:rFonts w:ascii="Times New Roman" w:hAnsi="Times New Roman" w:cs="Times New Roman"/>
                <w:i/>
                <w:iCs/>
                <w:sz w:val="20"/>
                <w:szCs w:val="20"/>
              </w:rPr>
            </w:pPr>
            <w:r w:rsidRPr="00C96268">
              <w:rPr>
                <w:rFonts w:ascii="Times New Roman" w:hAnsi="Times New Roman" w:cs="Times New Roman"/>
                <w:i/>
                <w:iCs/>
                <w:sz w:val="20"/>
                <w:szCs w:val="20"/>
              </w:rPr>
              <w:t xml:space="preserve">Podatek nałożony na </w:t>
            </w:r>
            <w:r w:rsidRPr="00C96268">
              <w:rPr>
                <w:rFonts w:ascii="Times New Roman" w:hAnsi="Times New Roman" w:cs="Times New Roman"/>
                <w:i/>
                <w:iCs/>
                <w:sz w:val="20"/>
                <w:szCs w:val="20"/>
                <w:u w:val="single"/>
              </w:rPr>
              <w:t xml:space="preserve">przychód </w:t>
            </w:r>
            <w:r w:rsidRPr="00C96268">
              <w:rPr>
                <w:rFonts w:ascii="Times New Roman" w:hAnsi="Times New Roman" w:cs="Times New Roman"/>
                <w:i/>
                <w:iCs/>
                <w:sz w:val="20"/>
                <w:szCs w:val="20"/>
              </w:rPr>
              <w:t xml:space="preserve">bez żadnych odliczeń kosztów </w:t>
            </w:r>
            <w:r w:rsidRPr="00C96268">
              <w:rPr>
                <w:rFonts w:ascii="Times New Roman" w:hAnsi="Times New Roman" w:cs="Times New Roman"/>
                <w:i/>
                <w:iCs/>
                <w:sz w:val="20"/>
                <w:szCs w:val="20"/>
                <w:u w:val="single"/>
              </w:rPr>
              <w:t>(tj. podatek od obrotu)</w:t>
            </w:r>
            <w:r w:rsidRPr="00C96268">
              <w:rPr>
                <w:rFonts w:ascii="Times New Roman" w:hAnsi="Times New Roman" w:cs="Times New Roman"/>
                <w:i/>
                <w:iCs/>
                <w:sz w:val="20"/>
                <w:szCs w:val="20"/>
              </w:rPr>
              <w:t xml:space="preserve"> nie będzie uważany za podatek dochodowy. Konstrukcja i merytoryczny charakter takich podatków obrotowych jest generalnie bardziej podobna do podatków konsumpcyjnych lub podatków od sprzedaży. Definicja podatku kwalifikowanego nie obejmuje podatku od przychodu (bez odliczeń), chyba że taki podatek jest nałożony w miejsce podatku dochodowego, jak omówiono poniżej w związku z artykułem 4.2.1(c).</w:t>
            </w:r>
          </w:p>
          <w:p w14:paraId="274B8298"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Jednocześnie, </w:t>
            </w:r>
            <w:r w:rsidRPr="00C96268">
              <w:rPr>
                <w:rFonts w:ascii="Times New Roman" w:hAnsi="Times New Roman" w:cs="Times New Roman"/>
                <w:b/>
                <w:bCs/>
                <w:sz w:val="20"/>
                <w:szCs w:val="20"/>
              </w:rPr>
              <w:t>PSD nie spełnia definicji z art. 78 ust. 1 pkt 2 („podatki nakładane w miejsce podatku dochodowego”)</w:t>
            </w:r>
            <w:r w:rsidRPr="00C96268">
              <w:rPr>
                <w:rFonts w:ascii="Times New Roman" w:hAnsi="Times New Roman" w:cs="Times New Roman"/>
                <w:sz w:val="20"/>
                <w:szCs w:val="20"/>
              </w:rPr>
              <w:t xml:space="preserve">. W tym zakresie Komentarz wskazuje z jednej strony, że koncepcja takich podatków (nakładanych „w miejsce”) obejmuje również podatki, które są nakładane na alternatywnej podstawie, tj. innej niż dochód netto [Komentarz 4.2.1; par. 32]. Jednak, chociaż PSD nie spełnia kluczowej przesłanki -  nie został nałożony w miejsce podatku dochodowego. PSD funkcjonuje bowiem obok systemu CIT, a nie zamiast niego (przedsiębiorstwa płacą PSD i CIT razem). </w:t>
            </w:r>
          </w:p>
          <w:p w14:paraId="16DDB8F8"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OECD wprost odwołuje się do takiego przypadku:</w:t>
            </w:r>
          </w:p>
          <w:p w14:paraId="530DBAF7" w14:textId="77777777" w:rsidR="00D25419" w:rsidRPr="00C96268" w:rsidRDefault="00D25419" w:rsidP="0018113C">
            <w:pPr>
              <w:tabs>
                <w:tab w:val="left" w:pos="1272"/>
              </w:tabs>
              <w:ind w:left="203"/>
              <w:jc w:val="both"/>
              <w:rPr>
                <w:rFonts w:ascii="Times New Roman" w:hAnsi="Times New Roman" w:cs="Times New Roman"/>
                <w:i/>
                <w:iCs/>
                <w:sz w:val="20"/>
                <w:szCs w:val="20"/>
              </w:rPr>
            </w:pPr>
            <w:r w:rsidRPr="00C96268">
              <w:rPr>
                <w:rFonts w:ascii="Times New Roman" w:hAnsi="Times New Roman" w:cs="Times New Roman"/>
                <w:i/>
                <w:iCs/>
                <w:sz w:val="20"/>
                <w:szCs w:val="20"/>
              </w:rPr>
              <w:t xml:space="preserve">Podatek, który jest nałożony na zasadzie alternatywnej, który ma zastosowanie dodatkowo, a nie jako substytut ogólnie obowiązującego podatku dochodowego zgodnie z prawem danej jurysdykcji, nie podlegałby testowi „zamiast” dla podatków kwalifikowanych. </w:t>
            </w:r>
            <w:r w:rsidRPr="00C96268">
              <w:rPr>
                <w:rFonts w:ascii="Times New Roman" w:hAnsi="Times New Roman" w:cs="Times New Roman"/>
                <w:sz w:val="20"/>
                <w:szCs w:val="20"/>
              </w:rPr>
              <w:t>[Komentarz 4.2.1; par. 32]</w:t>
            </w:r>
          </w:p>
          <w:p w14:paraId="50CA6A66" w14:textId="77777777" w:rsidR="00D25419" w:rsidRPr="00C96268" w:rsidRDefault="00D25419" w:rsidP="0018113C">
            <w:pPr>
              <w:tabs>
                <w:tab w:val="left" w:pos="1272"/>
              </w:tabs>
              <w:ind w:left="203"/>
              <w:jc w:val="both"/>
              <w:rPr>
                <w:rFonts w:ascii="Times New Roman" w:hAnsi="Times New Roman" w:cs="Times New Roman"/>
                <w:i/>
                <w:iCs/>
                <w:sz w:val="20"/>
                <w:szCs w:val="20"/>
              </w:rPr>
            </w:pPr>
          </w:p>
          <w:p w14:paraId="0060AEA3" w14:textId="77777777" w:rsidR="00D25419" w:rsidRPr="00C96268" w:rsidRDefault="00D25419" w:rsidP="0018113C">
            <w:pPr>
              <w:tabs>
                <w:tab w:val="left" w:pos="1272"/>
              </w:tabs>
              <w:spacing w:after="120"/>
              <w:jc w:val="both"/>
              <w:rPr>
                <w:rFonts w:ascii="Times New Roman" w:hAnsi="Times New Roman" w:cs="Times New Roman"/>
                <w:sz w:val="20"/>
                <w:szCs w:val="20"/>
              </w:rPr>
            </w:pPr>
            <w:r w:rsidRPr="00C96268">
              <w:rPr>
                <w:rFonts w:ascii="Times New Roman" w:hAnsi="Times New Roman" w:cs="Times New Roman"/>
                <w:sz w:val="20"/>
                <w:szCs w:val="20"/>
              </w:rPr>
              <w:t>Ponadto, w świetle Komentarza z podatków kwalifikowanych wykluczone są wprost podatki cyfrowe, jako podatki od przychodu z pewnego rodzaju działalności, które są konstrukcyjnie podobne do PSD. [Komentarz 4.2.1; par. 36]</w:t>
            </w:r>
          </w:p>
        </w:tc>
      </w:tr>
      <w:tr w:rsidR="00D25419" w:rsidRPr="00C96268" w14:paraId="7EB6678B" w14:textId="77777777" w:rsidTr="0018113C">
        <w:tc>
          <w:tcPr>
            <w:tcW w:w="1985" w:type="dxa"/>
          </w:tcPr>
          <w:p w14:paraId="7B0FDB76"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Podatek od niektórych instytucji finansowych</w:t>
            </w:r>
          </w:p>
        </w:tc>
        <w:tc>
          <w:tcPr>
            <w:tcW w:w="2525" w:type="dxa"/>
          </w:tcPr>
          <w:p w14:paraId="2A6324CD"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 xml:space="preserve">Ustawa z dnia 15 stycznia 2016 r. o podatku od niektórych instytucji finansowych </w:t>
            </w:r>
          </w:p>
        </w:tc>
        <w:tc>
          <w:tcPr>
            <w:tcW w:w="5838" w:type="dxa"/>
          </w:tcPr>
          <w:p w14:paraId="38879DEC" w14:textId="77777777" w:rsidR="00D25419" w:rsidRPr="00C96268" w:rsidRDefault="00D25419" w:rsidP="0018113C">
            <w:pPr>
              <w:spacing w:after="120"/>
              <w:jc w:val="both"/>
              <w:rPr>
                <w:rFonts w:ascii="Times New Roman" w:hAnsi="Times New Roman" w:cs="Times New Roman"/>
                <w:color w:val="333333"/>
                <w:sz w:val="20"/>
                <w:szCs w:val="20"/>
                <w:shd w:val="clear" w:color="auto" w:fill="FFFFFF"/>
              </w:rPr>
            </w:pPr>
            <w:r w:rsidRPr="00C96268">
              <w:rPr>
                <w:rFonts w:ascii="Times New Roman" w:hAnsi="Times New Roman" w:cs="Times New Roman"/>
                <w:bCs/>
                <w:sz w:val="20"/>
                <w:szCs w:val="20"/>
              </w:rPr>
              <w:t xml:space="preserve">Podstawą opodatkowania jest nadwyżka wartości aktywów instytucji finansowych ponad określone wartości. </w:t>
            </w:r>
            <w:r w:rsidRPr="00C96268">
              <w:rPr>
                <w:rFonts w:ascii="Times New Roman" w:hAnsi="Times New Roman" w:cs="Times New Roman"/>
                <w:sz w:val="20"/>
                <w:szCs w:val="20"/>
                <w:shd w:val="clear" w:color="auto" w:fill="FFFFFF"/>
              </w:rPr>
              <w:t>Podatek wynosi 0,0366% podstawy opodatkowania miesięcznie.</w:t>
            </w:r>
          </w:p>
          <w:p w14:paraId="45C22B38"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Po pierwsze, podatek od niektórych instytucji finansowych nie kwalifikuje się </w:t>
            </w:r>
            <w:r w:rsidRPr="00C96268">
              <w:rPr>
                <w:rFonts w:ascii="Times New Roman" w:hAnsi="Times New Roman" w:cs="Times New Roman"/>
                <w:b/>
                <w:bCs/>
                <w:sz w:val="20"/>
                <w:szCs w:val="20"/>
              </w:rPr>
              <w:t>jako „podatki nakładane z tytułu dochodu lub zysku jednostki składowej”</w:t>
            </w:r>
            <w:r w:rsidRPr="00C96268">
              <w:rPr>
                <w:rFonts w:ascii="Times New Roman" w:hAnsi="Times New Roman" w:cs="Times New Roman"/>
                <w:sz w:val="20"/>
                <w:szCs w:val="20"/>
              </w:rPr>
              <w:t xml:space="preserve"> (art. 78 ust. 1 pkt 1 lit. a projektu ustawy) ze względu na to, że nie jest to podatek od dochodu (</w:t>
            </w:r>
            <w:r w:rsidRPr="00C96268">
              <w:rPr>
                <w:rFonts w:ascii="Times New Roman" w:hAnsi="Times New Roman" w:cs="Times New Roman"/>
                <w:i/>
                <w:iCs/>
                <w:sz w:val="20"/>
                <w:szCs w:val="20"/>
              </w:rPr>
              <w:t>net income</w:t>
            </w:r>
            <w:r w:rsidRPr="00C96268">
              <w:rPr>
                <w:rFonts w:ascii="Times New Roman" w:hAnsi="Times New Roman" w:cs="Times New Roman"/>
                <w:sz w:val="20"/>
                <w:szCs w:val="20"/>
              </w:rPr>
              <w:t xml:space="preserve">). </w:t>
            </w:r>
          </w:p>
          <w:p w14:paraId="4500DDEF"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bCs/>
                <w:sz w:val="20"/>
                <w:szCs w:val="20"/>
              </w:rPr>
              <w:t xml:space="preserve">Zgodnie z Komentarzem [4.2.1; 28] podatki lub </w:t>
            </w:r>
            <w:r w:rsidRPr="00C96268">
              <w:rPr>
                <w:rFonts w:ascii="Times New Roman" w:hAnsi="Times New Roman" w:cs="Times New Roman"/>
                <w:b/>
                <w:sz w:val="20"/>
                <w:szCs w:val="20"/>
              </w:rPr>
              <w:t xml:space="preserve">dodatkowe obciążenia nałożone na </w:t>
            </w:r>
            <w:r w:rsidRPr="00C96268">
              <w:rPr>
                <w:rFonts w:ascii="Times New Roman" w:hAnsi="Times New Roman" w:cs="Times New Roman"/>
                <w:b/>
                <w:sz w:val="20"/>
                <w:szCs w:val="20"/>
                <w:u w:val="single"/>
              </w:rPr>
              <w:t>dochód / zysk netto</w:t>
            </w:r>
            <w:r w:rsidRPr="00C96268">
              <w:rPr>
                <w:rFonts w:ascii="Times New Roman" w:hAnsi="Times New Roman" w:cs="Times New Roman"/>
                <w:b/>
                <w:sz w:val="20"/>
                <w:szCs w:val="20"/>
              </w:rPr>
              <w:t xml:space="preserve"> z określonych rodzajów działalności, takich jak bankowość lub poszukiwanie i wydobycie ropy naftowej i gazu</w:t>
            </w:r>
            <w:r w:rsidRPr="00C96268">
              <w:rPr>
                <w:rFonts w:ascii="Times New Roman" w:hAnsi="Times New Roman" w:cs="Times New Roman"/>
                <w:bCs/>
                <w:sz w:val="20"/>
                <w:szCs w:val="20"/>
              </w:rPr>
              <w:t xml:space="preserve">, będą również objęte ogólną definicją podatku kwalifikowanego niezależnie od tego czy mają zastosowanie jako dodatek do ogólnie obowiązującego podatku dochodowego. </w:t>
            </w:r>
            <w:r w:rsidRPr="00C96268">
              <w:rPr>
                <w:rFonts w:ascii="Times New Roman" w:hAnsi="Times New Roman" w:cs="Times New Roman"/>
                <w:sz w:val="20"/>
                <w:szCs w:val="20"/>
              </w:rPr>
              <w:t>W świetle przepisów i Komentarza, akcent jest położony na dochód lub zysk netto. Z</w:t>
            </w:r>
            <w:r w:rsidRPr="00C96268">
              <w:rPr>
                <w:rFonts w:ascii="Times New Roman" w:hAnsi="Times New Roman" w:cs="Times New Roman"/>
                <w:bCs/>
                <w:sz w:val="20"/>
                <w:szCs w:val="20"/>
              </w:rPr>
              <w:t xml:space="preserve">godnie natomiast z par. 36 pkt d. Komentarza, podatki </w:t>
            </w:r>
            <w:r w:rsidRPr="00C96268">
              <w:rPr>
                <w:rFonts w:ascii="Times New Roman" w:eastAsia="ArialMT" w:hAnsi="Times New Roman" w:cs="Times New Roman"/>
                <w:i/>
                <w:iCs/>
                <w:sz w:val="20"/>
                <w:szCs w:val="20"/>
              </w:rPr>
              <w:t>ad valorem</w:t>
            </w:r>
            <w:r w:rsidRPr="00C96268">
              <w:rPr>
                <w:rFonts w:ascii="Times New Roman" w:eastAsia="ArialMT" w:hAnsi="Times New Roman" w:cs="Times New Roman"/>
                <w:sz w:val="20"/>
                <w:szCs w:val="20"/>
              </w:rPr>
              <w:t xml:space="preserve"> nie stanowią podatków kwalifikowanych. </w:t>
            </w:r>
            <w:r w:rsidRPr="00C96268">
              <w:rPr>
                <w:rFonts w:ascii="Times New Roman" w:hAnsi="Times New Roman" w:cs="Times New Roman"/>
                <w:b/>
                <w:bCs/>
                <w:sz w:val="20"/>
                <w:szCs w:val="20"/>
              </w:rPr>
              <w:t>Nie ma zatem wystarczających podstaw, aby uznać omawiany podatek (uzależniony od wartości aktywów) za podatek kwalifikowany</w:t>
            </w:r>
            <w:r w:rsidRPr="00C96268">
              <w:rPr>
                <w:rFonts w:ascii="Times New Roman" w:hAnsi="Times New Roman" w:cs="Times New Roman"/>
                <w:sz w:val="20"/>
                <w:szCs w:val="20"/>
              </w:rPr>
              <w:t>. Nie można również argumentować, że tego typu podatek uzupełnia ściśle klasyczny CIT / domyka integralność systemu opodatkowania CIT, tak jak środki anty-abuzywne zawarte w ustawie CIT.</w:t>
            </w:r>
          </w:p>
          <w:p w14:paraId="4D4EE474" w14:textId="77777777" w:rsidR="00D25419" w:rsidRPr="00C96268" w:rsidRDefault="00D25419" w:rsidP="0018113C">
            <w:pPr>
              <w:spacing w:after="120"/>
              <w:jc w:val="both"/>
              <w:rPr>
                <w:rFonts w:ascii="Times New Roman" w:hAnsi="Times New Roman" w:cs="Times New Roman"/>
                <w:b/>
                <w:bCs/>
                <w:sz w:val="20"/>
                <w:szCs w:val="20"/>
              </w:rPr>
            </w:pPr>
            <w:r w:rsidRPr="00C96268">
              <w:rPr>
                <w:rFonts w:ascii="Times New Roman" w:hAnsi="Times New Roman" w:cs="Times New Roman"/>
                <w:sz w:val="20"/>
                <w:szCs w:val="20"/>
              </w:rPr>
              <w:t xml:space="preserve">Po drugie, podobnie do PSD podatek od niektórych instytucji finansowych </w:t>
            </w:r>
            <w:r w:rsidRPr="00C96268">
              <w:rPr>
                <w:rFonts w:ascii="Times New Roman" w:hAnsi="Times New Roman" w:cs="Times New Roman"/>
                <w:b/>
                <w:bCs/>
                <w:sz w:val="20"/>
                <w:szCs w:val="20"/>
              </w:rPr>
              <w:t>funkcjonuje obok CIT, a nie zamiast niego</w:t>
            </w:r>
            <w:r w:rsidRPr="00C96268">
              <w:rPr>
                <w:rFonts w:ascii="Times New Roman" w:hAnsi="Times New Roman" w:cs="Times New Roman"/>
                <w:sz w:val="20"/>
                <w:szCs w:val="20"/>
              </w:rPr>
              <w:t>, co powoduje, że nie ma podstaw, aby zakwalifikować go jako podatek kwalifikowany na gruncie art. 78 ust. 1 pkt 2</w:t>
            </w:r>
            <w:r w:rsidRPr="00C96268">
              <w:rPr>
                <w:rFonts w:ascii="Times New Roman" w:hAnsi="Times New Roman" w:cs="Times New Roman"/>
                <w:b/>
                <w:bCs/>
                <w:sz w:val="20"/>
                <w:szCs w:val="20"/>
              </w:rPr>
              <w:t xml:space="preserve"> („podatki nakładane w miejsce podatku dochodowego”).</w:t>
            </w:r>
          </w:p>
          <w:p w14:paraId="669F0CAE" w14:textId="77777777" w:rsidR="00D25419" w:rsidRPr="00C96268" w:rsidRDefault="00D25419" w:rsidP="0018113C">
            <w:pPr>
              <w:spacing w:after="120"/>
              <w:jc w:val="both"/>
              <w:rPr>
                <w:rFonts w:ascii="Times New Roman" w:hAnsi="Times New Roman" w:cs="Times New Roman"/>
                <w:sz w:val="20"/>
                <w:szCs w:val="20"/>
              </w:rPr>
            </w:pPr>
            <w:r w:rsidRPr="00C96268">
              <w:rPr>
                <w:rFonts w:ascii="Times New Roman" w:hAnsi="Times New Roman" w:cs="Times New Roman"/>
                <w:sz w:val="20"/>
                <w:szCs w:val="20"/>
              </w:rPr>
              <w:t xml:space="preserve">Art. 78 ust. 1 pkt 3 wskazuje ponadto na </w:t>
            </w:r>
            <w:r w:rsidRPr="00C96268">
              <w:rPr>
                <w:rFonts w:ascii="Times New Roman" w:hAnsi="Times New Roman" w:cs="Times New Roman"/>
                <w:b/>
                <w:bCs/>
                <w:sz w:val="20"/>
                <w:szCs w:val="20"/>
              </w:rPr>
              <w:t>podatki nałożone w związku z zatrzymanymi zyskami albo kapitałem własnym. Podatek od niektórych instytucji finansowych odnosi się natomiast do aktywów (do nadwyżki ponad pewne sumy, z wyłączeniami), a nie odnosi się do pasywów czy rezerw ani kapitałów własnych</w:t>
            </w:r>
            <w:r w:rsidRPr="00C96268">
              <w:rPr>
                <w:rFonts w:ascii="Times New Roman" w:hAnsi="Times New Roman" w:cs="Times New Roman"/>
                <w:sz w:val="20"/>
                <w:szCs w:val="20"/>
              </w:rPr>
              <w:t>.</w:t>
            </w:r>
          </w:p>
        </w:tc>
      </w:tr>
      <w:tr w:rsidR="00D25419" w:rsidRPr="00C96268" w14:paraId="42A6FE62" w14:textId="77777777" w:rsidTr="0018113C">
        <w:tc>
          <w:tcPr>
            <w:tcW w:w="1985" w:type="dxa"/>
          </w:tcPr>
          <w:p w14:paraId="36AF34C3"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Podatek tonażowy</w:t>
            </w:r>
          </w:p>
        </w:tc>
        <w:tc>
          <w:tcPr>
            <w:tcW w:w="2525" w:type="dxa"/>
          </w:tcPr>
          <w:p w14:paraId="7A87DAA7"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Ustawa z dnia 24 sierpnia 2006 r. o podatku tonażowym</w:t>
            </w:r>
          </w:p>
        </w:tc>
        <w:tc>
          <w:tcPr>
            <w:tcW w:w="5838" w:type="dxa"/>
          </w:tcPr>
          <w:p w14:paraId="48DC3340" w14:textId="77777777" w:rsidR="00D25419" w:rsidRPr="00C96268" w:rsidRDefault="00D25419" w:rsidP="0018113C">
            <w:pPr>
              <w:rPr>
                <w:rFonts w:ascii="Times New Roman" w:hAnsi="Times New Roman" w:cs="Times New Roman"/>
                <w:sz w:val="20"/>
                <w:szCs w:val="20"/>
              </w:rPr>
            </w:pPr>
            <w:r w:rsidRPr="00C96268">
              <w:rPr>
                <w:rFonts w:ascii="Times New Roman" w:hAnsi="Times New Roman" w:cs="Times New Roman"/>
                <w:sz w:val="20"/>
                <w:szCs w:val="20"/>
              </w:rPr>
              <w:t>n/d</w:t>
            </w:r>
          </w:p>
        </w:tc>
      </w:tr>
      <w:tr w:rsidR="00D25419" w:rsidRPr="00C96268" w14:paraId="7275FF77" w14:textId="77777777" w:rsidTr="0018113C">
        <w:tc>
          <w:tcPr>
            <w:tcW w:w="1985" w:type="dxa"/>
          </w:tcPr>
          <w:p w14:paraId="1B79D12B" w14:textId="77777777" w:rsidR="00D25419" w:rsidRPr="00C96268" w:rsidRDefault="00D25419" w:rsidP="0018113C">
            <w:pPr>
              <w:shd w:val="clear" w:color="auto" w:fill="FFFFFF"/>
              <w:spacing w:before="100" w:beforeAutospacing="1" w:after="24"/>
              <w:rPr>
                <w:rFonts w:ascii="Times New Roman" w:eastAsia="Times New Roman" w:hAnsi="Times New Roman" w:cs="Times New Roman"/>
                <w:sz w:val="20"/>
                <w:szCs w:val="20"/>
                <w:lang w:eastAsia="pl-PL"/>
              </w:rPr>
            </w:pPr>
            <w:r w:rsidRPr="00C96268">
              <w:rPr>
                <w:rFonts w:ascii="Times New Roman" w:hAnsi="Times New Roman" w:cs="Times New Roman"/>
                <w:sz w:val="20"/>
                <w:szCs w:val="20"/>
              </w:rPr>
              <w:t>Podatek od wydobycia niektórych kopalin</w:t>
            </w:r>
          </w:p>
        </w:tc>
        <w:tc>
          <w:tcPr>
            <w:tcW w:w="2525" w:type="dxa"/>
          </w:tcPr>
          <w:p w14:paraId="2B5A10C0" w14:textId="77777777" w:rsidR="00D25419" w:rsidRPr="00C96268" w:rsidRDefault="00D25419" w:rsidP="0018113C">
            <w:pPr>
              <w:shd w:val="clear" w:color="auto" w:fill="FFFFFF"/>
              <w:spacing w:after="100" w:afterAutospacing="1"/>
              <w:outlineLvl w:val="1"/>
              <w:rPr>
                <w:rFonts w:ascii="Times New Roman" w:eastAsia="Times New Roman" w:hAnsi="Times New Roman" w:cs="Times New Roman"/>
                <w:sz w:val="20"/>
                <w:szCs w:val="20"/>
                <w:lang w:eastAsia="pl-PL"/>
              </w:rPr>
            </w:pPr>
            <w:r w:rsidRPr="00C96268">
              <w:rPr>
                <w:rFonts w:ascii="Times New Roman" w:eastAsia="Times New Roman" w:hAnsi="Times New Roman" w:cs="Times New Roman"/>
                <w:sz w:val="20"/>
                <w:szCs w:val="20"/>
                <w:lang w:eastAsia="pl-PL"/>
              </w:rPr>
              <w:t>Ustawa z dnia 2 marca 2012 r. o podatku od wydobycia niektórych kopalin</w:t>
            </w:r>
          </w:p>
        </w:tc>
        <w:tc>
          <w:tcPr>
            <w:tcW w:w="5838" w:type="dxa"/>
          </w:tcPr>
          <w:p w14:paraId="39415D15" w14:textId="77777777" w:rsidR="00D25419" w:rsidRPr="00C96268" w:rsidRDefault="00D25419" w:rsidP="0018113C">
            <w:pPr>
              <w:jc w:val="both"/>
              <w:rPr>
                <w:rFonts w:ascii="Times New Roman" w:hAnsi="Times New Roman" w:cs="Times New Roman"/>
                <w:sz w:val="20"/>
                <w:szCs w:val="20"/>
                <w:shd w:val="clear" w:color="auto" w:fill="FFFFFF"/>
              </w:rPr>
            </w:pPr>
            <w:r w:rsidRPr="00C96268">
              <w:rPr>
                <w:rFonts w:ascii="Times New Roman" w:hAnsi="Times New Roman" w:cs="Times New Roman"/>
                <w:sz w:val="20"/>
                <w:szCs w:val="20"/>
                <w:shd w:val="clear" w:color="auto" w:fill="FFFFFF"/>
              </w:rPr>
              <w:t>Podstawa opodatkowania uzależniona jest od ilości miedzi lub srebra w wyprodukowanym koncentracie / urobku rudy miedzi oraz od wartości wydobytej ropy naftowej i gazu ziemnego.</w:t>
            </w:r>
          </w:p>
          <w:p w14:paraId="1B9CC579" w14:textId="77777777" w:rsidR="00D25419" w:rsidRPr="00C96268" w:rsidRDefault="00D25419" w:rsidP="0018113C">
            <w:pPr>
              <w:jc w:val="both"/>
              <w:rPr>
                <w:rFonts w:ascii="Times New Roman" w:hAnsi="Times New Roman" w:cs="Times New Roman"/>
                <w:sz w:val="20"/>
                <w:szCs w:val="20"/>
                <w:shd w:val="clear" w:color="auto" w:fill="FFFFFF"/>
              </w:rPr>
            </w:pPr>
          </w:p>
          <w:p w14:paraId="68507A70" w14:textId="77777777" w:rsidR="00D25419" w:rsidRPr="00C96268" w:rsidRDefault="00D25419" w:rsidP="0018113C">
            <w:pPr>
              <w:jc w:val="both"/>
              <w:rPr>
                <w:rFonts w:ascii="Times New Roman" w:hAnsi="Times New Roman" w:cs="Times New Roman"/>
                <w:bCs/>
                <w:sz w:val="20"/>
                <w:szCs w:val="20"/>
                <w:shd w:val="clear" w:color="auto" w:fill="FFFFFF"/>
              </w:rPr>
            </w:pPr>
            <w:r w:rsidRPr="00C96268">
              <w:rPr>
                <w:rFonts w:ascii="Times New Roman" w:hAnsi="Times New Roman" w:cs="Times New Roman"/>
                <w:bCs/>
                <w:sz w:val="20"/>
                <w:szCs w:val="20"/>
              </w:rPr>
              <w:t>Zgodnie z Komentarzem [4.2.1; 28] mogą zostać uznane za podatki kwalifikowane podatki lub dodatkowe obciążenia nałożone na dochód / zysk netto z określonych rodzajów działalności, takich jak bankowość lub poszukiwanie i wydobycie ropy naftowej i gazu. W omawianym przypadku jest to tymczasem podatek od określonych ilości / wartości wydobycia.</w:t>
            </w:r>
          </w:p>
        </w:tc>
      </w:tr>
    </w:tbl>
    <w:p w14:paraId="33D65DD6" w14:textId="77777777" w:rsidR="00D25419" w:rsidRPr="00C96268" w:rsidRDefault="00D25419" w:rsidP="00D25419">
      <w:pPr>
        <w:spacing w:after="120"/>
        <w:jc w:val="both"/>
        <w:rPr>
          <w:rFonts w:ascii="Times New Roman" w:hAnsi="Times New Roman" w:cs="Times New Roman"/>
          <w:bCs/>
        </w:rPr>
      </w:pPr>
    </w:p>
    <w:p w14:paraId="41DA99E8" w14:textId="77777777" w:rsidR="00D25419" w:rsidRPr="00C96268" w:rsidRDefault="00D25419" w:rsidP="00D25419">
      <w:pPr>
        <w:pStyle w:val="Nagwek3"/>
        <w:rPr>
          <w:rFonts w:ascii="Times New Roman" w:hAnsi="Times New Roman" w:cs="Times New Roman"/>
          <w:sz w:val="24"/>
        </w:rPr>
      </w:pPr>
      <w:r w:rsidRPr="00C96268">
        <w:rPr>
          <w:rFonts w:ascii="Times New Roman" w:hAnsi="Times New Roman" w:cs="Times New Roman"/>
          <w:sz w:val="24"/>
        </w:rPr>
        <w:t>Rozdział 2 – Skorygowane podatki kwalifikowane</w:t>
      </w:r>
    </w:p>
    <w:p w14:paraId="7A4F37D6" w14:textId="77777777" w:rsidR="00D25419" w:rsidRPr="00C96268" w:rsidRDefault="00D25419" w:rsidP="00D25419">
      <w:pPr>
        <w:pStyle w:val="Nagwek4"/>
        <w:rPr>
          <w:rFonts w:ascii="Times New Roman" w:hAnsi="Times New Roman" w:cs="Times New Roman"/>
          <w:sz w:val="24"/>
          <w:szCs w:val="24"/>
        </w:rPr>
      </w:pPr>
      <w:r w:rsidRPr="00C96268">
        <w:rPr>
          <w:rFonts w:ascii="Times New Roman" w:hAnsi="Times New Roman" w:cs="Times New Roman"/>
          <w:sz w:val="24"/>
          <w:szCs w:val="24"/>
        </w:rPr>
        <w:t>Oddział 1 – Przepisy ogólne</w:t>
      </w:r>
    </w:p>
    <w:p w14:paraId="4C1E15C9"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80 [Obliczenie skorygowanych podatków kwalifikowanych – zasady ogólne] </w:t>
      </w:r>
    </w:p>
    <w:p w14:paraId="3936A267"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Art. 80 ust. 1</w:t>
      </w:r>
      <w:r w:rsidRPr="00C96268">
        <w:rPr>
          <w:rFonts w:ascii="Times New Roman" w:hAnsi="Times New Roman" w:cs="Times New Roman"/>
          <w:bCs/>
          <w:sz w:val="24"/>
          <w:szCs w:val="24"/>
        </w:rPr>
        <w:t xml:space="preserve"> implementuje art. 21.1 Dyrektywy. Definiuje on kluczowe pojęcie skorygowanych podatków kwalifikowanych. Jak zostało wskazane, punktem wyjścia dla skorygowanych podatków kwalifikowanych jest suma ujętych w księgach kwot z tytułu podatku dochodowego w części bieżącej, z wyłączeniem kwot podatków innych niż podatki kwalifikowane. Następnie ustęp pierwszy tego artykułu określa ogólny mechanizm koniecznych dostosowań takiej sumy dla określenia sumy skorygowanych podatków kwalifikowanych. Ustęp ten przewiduje odnoszące się do podatków kwalifikowanych odpowiednie zwiększenia (omówione w art. 81) i zmniejszenia (omówione w art. 82).</w:t>
      </w:r>
    </w:p>
    <w:p w14:paraId="00010FD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Dodatkowo, w pkt 3 i pkt 4 ustęp ten nakazuje uwzględnienie w skorygowanych podatkach kwalifikowanych skutków wyboru w zakresie kwalifikowanych udziałów własnościowych, nakazując uwzględnienie zwiększeń i zmniejszeń z tytułu takich udziałów i z tytułu kwalifikowanych pośrednich aktywów podatkowych oraz korzyści związanych z rozliczeniem zysku lub straty zgodnie z zasadami wyboru w zakresie kwalifikowanych udziałów własnościowych. </w:t>
      </w:r>
    </w:p>
    <w:p w14:paraId="43C9EE25"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pkt 5 nakazano natomiast uwzględnienie zwiększenia z tytułu całkowitej korekty podatku odroczonego ustalonej dla jednostki zgodnie z przepisami kolejnych oddziałów.</w:t>
      </w:r>
    </w:p>
    <w:p w14:paraId="34C1D404"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Ponadto, ustęp ten przewiduje uwzględnienie w kwocie skorygowanych podatków kwalifikowanych kwot z tytułu podatków kwalifikowanych ujętych w kapitale własnym lub w innych całkowitych dochodach w części, w jakiej odnoszą się do kwot uwzględnionych w kwalifikowanym dochodzie (stracie) i podlegają opodatkowaniu na podstawie przepisów podatkowych obowiązujących na terytorium Rzeczypospolitej Polskiej albo w innej niż Rzeczpospolita Polska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lokalizacji tej jednostki. </w:t>
      </w:r>
    </w:p>
    <w:p w14:paraId="0AEF653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Przykładowo, kwoty takie są uwzględniane, gdy jednostka składowa podlega opodatkowaniu od zysków i strat, które zostały uwzględnione w innych całkowitych dochodach zgodnie z metodą przeszacowania rzeczowych aktywów trwałych. Gdy taki zysk zostanie uwzględniony w wyliczeniu kwalifikowanego dochodu (straty), związany z nim wzrost podatku objętego konsolidacją zostanie uwzględniony zgodnie z niniejszym paragrafem. I odwrotnie, gdy strata powstaje w ten sam sposób, zmniejszenie powiązanych podatków kwalifikowanych zmniejszy podatki kwalifikowane zgodnie z niniejszym paragrafem.</w:t>
      </w:r>
    </w:p>
    <w:p w14:paraId="1D0B8917" w14:textId="77777777" w:rsidR="00D25419" w:rsidRPr="00C96268" w:rsidRDefault="00D25419" w:rsidP="00D25419">
      <w:pPr>
        <w:pStyle w:val="USTustnpkodeksu"/>
        <w:spacing w:after="120" w:line="252" w:lineRule="auto"/>
        <w:ind w:firstLine="0"/>
        <w:rPr>
          <w:rFonts w:ascii="Times New Roman" w:hAnsi="Times New Roman" w:cs="Times New Roman"/>
          <w:bCs w:val="0"/>
          <w:szCs w:val="24"/>
        </w:rPr>
      </w:pPr>
      <w:r w:rsidRPr="00C96268">
        <w:rPr>
          <w:rFonts w:ascii="Times New Roman" w:hAnsi="Times New Roman" w:cs="Times New Roman"/>
          <w:bCs w:val="0"/>
          <w:szCs w:val="24"/>
        </w:rPr>
        <w:t xml:space="preserve">Sposób określenia skorygowanych podatków kwalifikowanych dookreślają również Wytyczne Administracyjne z grudnia 2023. Określają one zasady postępowania, gdy okres rozliczeniowy stosowany dla celów rachunkowych nie pokrywa się z okresem rozliczeniowym dla celów podatkowych. </w:t>
      </w:r>
    </w:p>
    <w:p w14:paraId="5E96E61C"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5E06A732"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Jednostka składowa zamyka swoje księgi rachunkowe na dzień 31 grudnia. Na mocy znajdujących zastosowanie do tej jednostki przepisów podatkowych jest jednak ona zobowiązana do stosowania dla celów podatkowych okresu rozliczeniowego kończącego się 30 kwietnia.</w:t>
      </w:r>
    </w:p>
    <w:p w14:paraId="40492000" w14:textId="77777777" w:rsidR="00D25419" w:rsidRPr="00C96268" w:rsidRDefault="00D25419" w:rsidP="00D25419">
      <w:pPr>
        <w:pStyle w:val="USTustnpkodeksu"/>
        <w:spacing w:after="120" w:line="252" w:lineRule="auto"/>
        <w:ind w:firstLine="0"/>
        <w:rPr>
          <w:rFonts w:ascii="Times New Roman" w:hAnsi="Times New Roman" w:cs="Times New Roman"/>
          <w:bCs w:val="0"/>
          <w:szCs w:val="24"/>
        </w:rPr>
      </w:pPr>
      <w:r w:rsidRPr="00C96268">
        <w:rPr>
          <w:rFonts w:ascii="Times New Roman" w:hAnsi="Times New Roman" w:cs="Times New Roman"/>
          <w:bCs w:val="0"/>
          <w:szCs w:val="24"/>
        </w:rPr>
        <w:t xml:space="preserve">W takich sytuacjach przy sporządzaniu skonsolidowanego sprawozdania finansowego zastosowanie mogą znaleźć różne sposoby uwzględniania tych różnic. </w:t>
      </w:r>
    </w:p>
    <w:p w14:paraId="505D7CF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W celu zapewnienia jednolitego podejścia w zakresie obliczania skorygowanych podatków kwalifikowanych jednostki składowej, dla uwzględnienia różnic między dniem kończącym rok podatkowy w podatkach dochodowych oraz dniem kończącym rok obrotowy stosuje się zasady przyjęte przy sporządzaniu skonsolidowanego sprawozdania finansowego. W razie braku skonsolidowanego sprawozdania finansowego odwołuje się</w:t>
      </w:r>
      <w:r w:rsidRPr="00C96268">
        <w:rPr>
          <w:rFonts w:ascii="Times New Roman" w:hAnsi="Times New Roman" w:cs="Times New Roman"/>
          <w:bCs/>
          <w:sz w:val="24"/>
          <w:szCs w:val="24"/>
        </w:rPr>
        <w:t xml:space="preserve"> do</w:t>
      </w:r>
      <w:r w:rsidRPr="00C96268">
        <w:rPr>
          <w:rFonts w:ascii="Times New Roman" w:hAnsi="Times New Roman" w:cs="Times New Roman"/>
          <w:sz w:val="24"/>
          <w:szCs w:val="24"/>
        </w:rPr>
        <w:t xml:space="preserve"> innego sprawozdania finansowego wykorzystywanego do określania księgowego dochodu lub straty jednostki. Analogiczne podejście należy przyjąć w odniesieniu do określania skorygowanych podatków kwalifikowanych jednostek joint venture oraz grupy joint venture, jeśli stosowany przez nich okres rozliczeniowy dla celów rachunkowych i podatkowych nie obejmuje tego samego przedziału czasu.</w:t>
      </w:r>
    </w:p>
    <w:p w14:paraId="2D90B959"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81 [Zwiększenia podatków kwalifikowanych]</w:t>
      </w:r>
    </w:p>
    <w:p w14:paraId="2423511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artykule tym zaimplementowano art. 21.2 Dyrektywy. Przewidziano zwiększenia podatków kwalifikowanych, ponieważ zakres pozycji określonych w sprawozdaniu finansowym jako podatki dochodowe może być węższy niż pozycje objęte definicją podatków kwalifikowanych. Istnieją cztery rodzaje korekt wymaganych zgodnie z tym ustępem. </w:t>
      </w:r>
    </w:p>
    <w:p w14:paraId="79EABD50" w14:textId="2117DBC8"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 pierwsze, definicja podatków kwalifikowanych jest zasadniczo szersza niż zakres podatków, które kwalifikują się jako podatki dochodowe zgodnie z zasadami rachunkowości finansowej. W związku z tym, niektóre podatki mogą nie być ujmowane jako koszt z tytułu podatku dochodowego w sprawozdaniach finansowych jednostki składowej. Zamiast tego mogą one zostać ujęte w kosztach przy obliczaniu zysku </w:t>
      </w:r>
      <w:r w:rsidR="003000E9" w:rsidRPr="00C96268">
        <w:rPr>
          <w:rFonts w:ascii="Times New Roman" w:hAnsi="Times New Roman" w:cs="Times New Roman"/>
          <w:bCs/>
          <w:sz w:val="24"/>
          <w:szCs w:val="24"/>
        </w:rPr>
        <w:t>(</w:t>
      </w:r>
      <w:r w:rsidRPr="00C96268">
        <w:rPr>
          <w:rFonts w:ascii="Times New Roman" w:hAnsi="Times New Roman" w:cs="Times New Roman"/>
          <w:bCs/>
          <w:sz w:val="24"/>
          <w:szCs w:val="24"/>
        </w:rPr>
        <w:t>straty</w:t>
      </w:r>
      <w:r w:rsidR="003000E9" w:rsidRPr="00C96268">
        <w:rPr>
          <w:rFonts w:ascii="Times New Roman" w:hAnsi="Times New Roman" w:cs="Times New Roman"/>
          <w:bCs/>
          <w:sz w:val="24"/>
          <w:szCs w:val="24"/>
        </w:rPr>
        <w:t>) netto</w:t>
      </w:r>
      <w:r w:rsidRPr="00C96268">
        <w:rPr>
          <w:rFonts w:ascii="Times New Roman" w:hAnsi="Times New Roman" w:cs="Times New Roman"/>
          <w:bCs/>
          <w:sz w:val="24"/>
          <w:szCs w:val="24"/>
        </w:rPr>
        <w:t xml:space="preserve">. W związku z tym, dla określenia skorygowanych podatków kwalifikowanych konieczne jest dodanie z powrotem wszelkich naliczonych zobowiązań z tytułu podatku dochodowego, które zostały wykazane w sprawozdaniu finansowym jako zwykły koszt, a nie jako podatek dochodowy. </w:t>
      </w:r>
      <w:r w:rsidR="003000E9" w:rsidRPr="00C96268">
        <w:rPr>
          <w:rFonts w:ascii="Times New Roman" w:hAnsi="Times New Roman" w:cs="Times New Roman"/>
          <w:bCs/>
          <w:sz w:val="24"/>
          <w:szCs w:val="24"/>
        </w:rPr>
        <w:t>Odpowiednio o kwotę takich podatków koryguje się księgowy dochód (stratę) netto w celu obliczenia kwalifikowanego dochodu (straty) netto  – chodzi o korektę z tytułu obciążenia podatkowego netto</w:t>
      </w:r>
      <w:r w:rsidRPr="00C96268">
        <w:rPr>
          <w:rFonts w:ascii="Times New Roman" w:hAnsi="Times New Roman" w:cs="Times New Roman"/>
          <w:bCs/>
          <w:sz w:val="24"/>
          <w:szCs w:val="24"/>
        </w:rPr>
        <w:t>.</w:t>
      </w:r>
    </w:p>
    <w:p w14:paraId="3D6D9DB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 drugie, konieczne jest dodanie kwoty aktywa z tytułu kwalifikowanej straty, które powstaje gdy dokonano wyboru w zakresie kwalifikowanej straty, omówionym bardziej szczegółowo poniżej. Wybór ten przewiduje stosowanie aktywa z tytułu kwalifikowanej straty w celu określenia całkowitej korekty podatku odroczonego, w miejsce stosowania zmodyfikowanych zasad rachunkowości. Aktywa z tytułu kwalifikowanej straty są wykorzystywane, gdy kwalifikowany dochód został osiągnięty za rok podatkowym następującym po roku podatkowym, w którym poniesiono kwalifikowaną stratę. Zwiększają wówczas podatki kwalifikowane uwzględniane w celu obliczenia efektywnej stawki podatkowej dla danej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za rok podatkowy, w którym wykorzystano to aktywo. </w:t>
      </w:r>
    </w:p>
    <w:p w14:paraId="31489F32"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 trzecie, dodaje się kwotę podatków kwalifikowanych zapłaconych w odniesieniu do niepewnych pozycji podatkowych, ale tylko w zakresie kwoty, która została wcześniej potraktowana jako zmniejszenie podatków kwalifikowanych. Jak omówiono bardziej szczegółowo poniżej, gdy podatek jest naliczony w odniesieniu do niepewnych pozycji podatkowych, kwota ta nie jest uwzględniana w skorygowanych podatkach kwalifikowanych. Dopiero gdy kwota ta zostanie zapłacona zasadne jest jej uwzględnieniu w skorygowanych podatkach kwalifikowanych. </w:t>
      </w:r>
    </w:p>
    <w:p w14:paraId="4A10049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Finalnie, podatki kwalifikowane zwiększa się o kwotę odliczenia podatku lub zwrotu podatku z tytułu kwalifikowanej zwrotnej ulgi lub kwalifikowanej zbywalnej ulgi, która została ujęta w księgach jako zmniejszenie podatku dochodowego w części bieżącej. Ulgi te traktuje się jako pozycję dochodu przy obliczeniu kwalifikowanego dochodu (straty). W przypadku takiego odliczenia podatku lub jego zwrotu kwota, która została zaksięgowana jako zmniejszenie bieżącego obciążenia podatkowego w księgach rachunkowych jednostki składowej jest odwracana w roku podatkowym, w którym zaksięgowano bieżące obciążenie podatkowe. Zapobiega to zaniżeniu efektywnej stawki podatkowej dla danej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w wyniku obniżenia podatków kwalifikowanych. Ustawa przewiduje odpowiadającą korektę księgowego dochodu lub straty netto, która traktuje kwotę kwalifikowanej zwrotnej ulgi lub kwalifikowanej zbywalnej ulgi jako dochód za rok, w którym powstało prawo do takiego odliczenia lub zwrotu.</w:t>
      </w:r>
    </w:p>
    <w:p w14:paraId="638D4DB4"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82 [Zmniejszenia podatków kwalifikowanych]</w:t>
      </w:r>
    </w:p>
    <w:p w14:paraId="3EEAD05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Artykuł ten</w:t>
      </w:r>
      <w:r w:rsidRPr="00C96268">
        <w:rPr>
          <w:rFonts w:ascii="Times New Roman" w:hAnsi="Times New Roman" w:cs="Times New Roman"/>
          <w:b/>
          <w:bCs/>
          <w:sz w:val="24"/>
          <w:szCs w:val="24"/>
        </w:rPr>
        <w:t xml:space="preserve"> </w:t>
      </w:r>
      <w:r w:rsidRPr="00C96268">
        <w:rPr>
          <w:rFonts w:ascii="Times New Roman" w:hAnsi="Times New Roman" w:cs="Times New Roman"/>
          <w:bCs/>
          <w:sz w:val="24"/>
          <w:szCs w:val="24"/>
        </w:rPr>
        <w:t>implementuje art. 21.3 Dyrektywy i ma na celu zapewnienie, że obliczenia przeprowadzane dla celów efektywnej stawki podatkowej jednostki składowej odzwierciedlają tylko podatki, które powstają w odniesieniu do kwalifikowanego dochodu (straty) i które mają zostać zapłacone w ciągu trzech lat.</w:t>
      </w:r>
    </w:p>
    <w:p w14:paraId="5147DDFE"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 pierwsze, z kalkulacji skorygowanych podatków kwalifikowanych usuwa się kwotę podatków kwalifikowanych naliczonych w odniesieniu do dochodu wyłączonego z obliczenia kwalifikowanego dochodu (straty). Jeżeli pozycja dochodu nie jest uwzględniona w wyliczeniu kwalifikowanego dochodu (straty), podatki związane z tą pozycją nie będą uwzględniane w wyliczeniu efektywnej stawki podatkowej. Może mieć to miejsce w szczególności w przypadku podatków naliczonych w związku z dywidendami czy określonym dochodem z tytułu żeglugi międzynarodowej. Jeżeli wyłączeniu podlega cała kwota pozycji dochodu, wyłączone podatki muszą być ustalone na tej samej podstawie, bez względu na jakiekolwiek powiązane koszty. Przykładowo, oznacza to, że w przypadku podatku u źródła od wyłączonej dywidendy cały podatek u źródła nie jest traktowany jako skorygowany podatek kwalifikowany. Wyłączenie tych podatków ze skorygowanych podatków kwalifikowanych jednej jednostki nie oznacza, że podatki te na pewno znikną całkowicie z kalkulacji podatku wyrównawczego. Nie stanie się tak, jeśli zgodnie z ustawą zostały one przypisane do innej jednostki składowej. Przykładowo, podatki kwalifikowane wynikające z dywidend lub innych wypłat od innej jednostki składowej zostają usunięte ze skorygowanych podatków kwalifikowanych jednostki składowej, która otrzymała wypłatę i naliczyła koszt podatkowy, jednak są one alokowane i uwzględnione w skorygowanych podatkach kwalifikowanych jednostki składowej, która dokonała wypłaty.</w:t>
      </w:r>
    </w:p>
    <w:p w14:paraId="4D1C362F"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Ponadto, litera b pkt 1 nakazuje odjęcie kwoty bieżącego obciążenia podatkowego, która odnosi się do niepewnej pozycji podatkowej. Biorąc pod uwagę charakter takich rozliczeń międzyokresowych, zmiany tych kwot nie mogą być uwzględnione w skorygowanych podatkach kwalifikowanych, dopóki kwota nie zostanie faktycznie zapłacona.</w:t>
      </w:r>
    </w:p>
    <w:p w14:paraId="4E578BE7"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Litera c przewiduje natomiast zmniejszenie o kwotę podatku dochodowego w części bieżącej, którego zapłaty nie przewiduje się w okresie trzech lat od zakończenia roku podatkowego (zgodnie z przepisami obowiązującymi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lokalizacji jednostki). Punkt ten ma zastosowanie w odniesieniu do kwot bieżącego obciążenia podatkowego, w związku z czym korekty po złożeniu wniosku, takie jak dodatkowe zobowiązanie podatkowe wynikające z późniejszej kontroli, nie będą objęte zakresem tego paragrafu (ponieważ takie kwoty nie są uwzględniane w bieżącym obciążeniu podatkowym).</w:t>
      </w:r>
    </w:p>
    <w:p w14:paraId="0F9F0D2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Końcowo, litera d przewiduje odpowiednie zmniejszenie w zakresie podatku dochodowego w części bieżącej należnego w związku z przychodem wyłączonym na podstawie art. 62, w części przypadającej na ten przychód.  </w:t>
      </w:r>
    </w:p>
    <w:p w14:paraId="63C8BB7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Punkt drugi i trzeci tego ustępu (wraz z dalszymi regulacjami szczegółowymi) reguluje kwestie ulg. Niekwalifikowana zwrotna ulga i niekwalifikowana zbywalna ulga może być traktowana, dla celów rachunkowości finansowej, jako dochód jednostki składowej. Jednakże dla celów ustawy, ulgi takie są wyłączone z obliczeń kwalifikowanego dochodu (straty) i są traktowane jako zmniejszenie obciążenia podatkowego jednostki składowej. Punkt ten uzupełnia zatem działanie regulacji w zakresie kalkulacji kwalifikowanego dochodu (straty) poprzez zapewnienie, że każda niekwalifikowana zwrotna ulga lub niekwalifikowana zbywalna ulga jest traktowana w kalkulacji efektywnej stawki podatkowej jako zmniejszenie bieżącego obciążenia podatkowego, a nie jako dodatkowa pozycja dochodu. </w:t>
      </w:r>
    </w:p>
    <w:p w14:paraId="26CD3281"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Skorygowane podatki kwalifikowane ulegają także zmniejszeniu o:</w:t>
      </w:r>
    </w:p>
    <w:p w14:paraId="29174A05"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a) kwotę ulg podatkowych (innych niż kwalifikowane zwrotne ulgi lub kwalifikowane zbywalne ulgi), które zmniejszają zobowiązanie jednostki składowej z tytułu podatków kwalifikowanych, </w:t>
      </w:r>
    </w:p>
    <w:p w14:paraId="7D7F5C6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b) każdą kwotę uprzednio uwzględnionych podatków kwalifikowanych, która została zwrócona na rzecz jednostki składowej (w tym zwrot, który jest stosowany jako odliczenie w stosunku do innego zobowiązania z tytułu podatku kwalifikowanego), w zakresie, w jakim ulga podatkowa lub zwrot nie zostały już potraktowane jako korekta bieżącego obciążenia podatkowego w sprawozdaniu finansowym. </w:t>
      </w:r>
    </w:p>
    <w:p w14:paraId="1A0903A2"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Zgodnie z tymi punktami skorygowane podatki kwalifikowane są zmniejszane za rok podatkowy, w którym zwrot podatku (lub możliwość późniejszego zaliczenia na poczet innych zobowiązań) jest naliczany na kontach finansowych. </w:t>
      </w:r>
    </w:p>
    <w:p w14:paraId="66DD2F72" w14:textId="77777777" w:rsidR="00D25419" w:rsidRPr="00C96268" w:rsidRDefault="00D25419" w:rsidP="00D25419">
      <w:pPr>
        <w:spacing w:after="120"/>
        <w:jc w:val="both"/>
        <w:rPr>
          <w:rFonts w:ascii="Times New Roman" w:hAnsi="Times New Roman" w:cs="Times New Roman"/>
          <w:bCs/>
          <w:sz w:val="24"/>
          <w:szCs w:val="24"/>
        </w:rPr>
      </w:pPr>
      <w:bookmarkStart w:id="47" w:name="_Hlk163722541"/>
      <w:r w:rsidRPr="00C96268">
        <w:rPr>
          <w:rFonts w:ascii="Times New Roman" w:hAnsi="Times New Roman" w:cs="Times New Roman"/>
          <w:bCs/>
          <w:sz w:val="24"/>
          <w:szCs w:val="24"/>
        </w:rPr>
        <w:t xml:space="preserve">W przypadku zwrotu podatków uwzględnionych w kalkulacji podatków kwalifikowanych w poprzednich okresach, punkt ten będzie miał więc zastosowanie wyłącznie, gdy zwrot (lub zaliczenie na poczet innych zobowiązań) nie stanowi korekty zobowiązania jednostki składowej z tytułu podatków kwalifikowanych za poprzedni rok podatkowy w rozumieniu dalszego oddziału tego rozdziału, który reguluje korekty skorygowanych podatków kwalifikowanych w przypadku zwrotu podatku i wymaga korekty skorygowanych podatków kwalifikowanych za poprzedni rok podatkowy, gdy zwrot wynosi 1 milion EUR lub więcej. </w:t>
      </w:r>
      <w:bookmarkEnd w:id="47"/>
      <w:r w:rsidRPr="00C96268">
        <w:rPr>
          <w:rFonts w:ascii="Times New Roman" w:hAnsi="Times New Roman" w:cs="Times New Roman"/>
          <w:bCs/>
          <w:sz w:val="24"/>
          <w:szCs w:val="24"/>
        </w:rPr>
        <w:t xml:space="preserve">Będzie on miał natomiast zastosowanie, kiedy zwrot następuje do innej jednostki składowej niż ta, które oryginalnie poniosła ciężar podatku, lub kiedy </w:t>
      </w:r>
      <w:r w:rsidRPr="00C96268">
        <w:rPr>
          <w:rFonts w:ascii="Times New Roman" w:hAnsi="Times New Roman" w:cs="Times New Roman"/>
          <w:sz w:val="24"/>
          <w:szCs w:val="24"/>
        </w:rPr>
        <w:t>jurysdykcja</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zapewnia zwrot (lub zaliczenie na poczet innych zobowiązań) podatków na kapitale, które to podatki zostały uwzględnione:</w:t>
      </w:r>
    </w:p>
    <w:p w14:paraId="4E722133" w14:textId="77777777" w:rsidR="00D25419" w:rsidRPr="00C96268" w:rsidRDefault="00D25419" w:rsidP="00D25419">
      <w:pPr>
        <w:pStyle w:val="Akapitzlist"/>
        <w:numPr>
          <w:ilvl w:val="0"/>
          <w:numId w:val="115"/>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jako podatki kwalifikowane, i jednocześnie</w:t>
      </w:r>
    </w:p>
    <w:p w14:paraId="0B7073E1" w14:textId="77777777" w:rsidR="00D25419" w:rsidRPr="00C96268" w:rsidRDefault="00D25419" w:rsidP="00D25419">
      <w:pPr>
        <w:pStyle w:val="Akapitzlist"/>
        <w:numPr>
          <w:ilvl w:val="0"/>
          <w:numId w:val="115"/>
        </w:num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jako koszt w księgach, a ich zwrot (lub zaliczenie) odpowiednio jako przychód w roku zwrotu (lub zaliczenia).</w:t>
      </w:r>
    </w:p>
    <w:p w14:paraId="741A23C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Ust. 2 tego artykułu stanowi implementację pkt 2 Wytycznych administracyjnych z lipca 2023 r. w zakresie rozliczania niekwalifikowanej zwrotnej ulgi oraz ulg innych niż kwalifikowana zwrotna ulga, kwalifikowana zbywalna ulga oraz niekwalifikowana zbywalna ulga. </w:t>
      </w:r>
    </w:p>
    <w:p w14:paraId="29DA729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odniesieniu do niekwalifikowanej zbywalnej ulgi ustęp ten rozróżnia w pkt 1 zasady jej rozliczania w zależności od tego czy prawo do tej ulgi zostało objęte przez tę jednostkę po raz pierwszy na podstawie przepisów obowiązujących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jej lokalizacji (zasady sprecyzowane w literze a) czy zostało nabyte przez tę jednostkę od innej osoby (zasady sprecyzowane w literze b). </w:t>
      </w:r>
    </w:p>
    <w:p w14:paraId="3C6BC03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Zgodnie z ust. 2 pkt 1 lit a jeżeli prawo do tej ulgi zostało objęte przez tę jednostkę po raz pierwszy na podstawie przepisów obowiązujących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jej lokalizacji, to jednostka ta dokonuje zmniejszenia podatków kwalifikowanych, o którym mowa w ust. 1 pkt 3 tego artykułu w kwocie odpowiadającej </w:t>
      </w:r>
      <w:r w:rsidRPr="00C96268">
        <w:rPr>
          <w:rFonts w:ascii="Times New Roman" w:hAnsi="Times New Roman" w:cs="Times New Roman"/>
          <w:b/>
          <w:sz w:val="24"/>
          <w:szCs w:val="24"/>
        </w:rPr>
        <w:t>sumie</w:t>
      </w:r>
      <w:r w:rsidRPr="00C96268">
        <w:rPr>
          <w:rFonts w:ascii="Times New Roman" w:hAnsi="Times New Roman" w:cs="Times New Roman"/>
          <w:bCs/>
          <w:sz w:val="24"/>
          <w:szCs w:val="24"/>
        </w:rPr>
        <w:t xml:space="preserve"> (i) kwoty dokonanego z tytułu tej ulgi zwrotu lub odliczenia zaliczonego na poczet własnych zobowiązań podatkowych należnych za rok przyjęty dla celów podatku dochodowego tej jednostki, jeżeli rok ten kończy się w trakcie roku podatkowego przyjętego dla celów ustawy oraz (ii) kwoty otrzymanej w trakcie roku podatkowego w zamian za niewykorzystany zwrot oraz odliczenie z tytułu tej ulgi. </w:t>
      </w:r>
    </w:p>
    <w:p w14:paraId="0CBA976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Natomiast, w przypadku nabycia takiego prawa do ulgi przez tę jednostkę od innej osoby, zgodnie z ust. 2 pkt 1 lit. b, jednostka ta dokonuje zmniejszenia podatków kwalifikowanych, o którym mowa w ust. 1 pkt 3 tego artykułu w kwocie odpowiadającej (i) nadwyżce kwoty całkowitego zwrotu oraz odliczenia z tytułu tej ulgi nad jej ceną nabycia, proporcjonalnie do kwoty zwrotu oraz odliczenia z tytułu tej ulgi zaliczonego na poczet własnych zobowiązań podatkowych należnych za rok przyjęty dla celów podatku dochodowego tej jednostki, jeżeli rok ten kończy się w trakcie roku podatkowego przyjętego dla celów ustawy, </w:t>
      </w:r>
      <w:r w:rsidRPr="00C96268">
        <w:rPr>
          <w:rFonts w:ascii="Times New Roman" w:hAnsi="Times New Roman" w:cs="Times New Roman"/>
          <w:b/>
          <w:sz w:val="24"/>
          <w:szCs w:val="24"/>
        </w:rPr>
        <w:t>lub</w:t>
      </w:r>
      <w:r w:rsidRPr="00C96268">
        <w:rPr>
          <w:rFonts w:ascii="Times New Roman" w:hAnsi="Times New Roman" w:cs="Times New Roman"/>
          <w:bCs/>
          <w:sz w:val="24"/>
          <w:szCs w:val="24"/>
        </w:rPr>
        <w:t xml:space="preserve"> (ii) zyskowi ze sprzedaży tej ulgi, jaki jednostka osiągnęła w roku podatkowym, jeżeli strata osiągnięta z takiego zbycia innej takiej ulgi zostanie uwzględniona w sposób wskazany w art. 66 ust. 3.</w:t>
      </w:r>
    </w:p>
    <w:p w14:paraId="6D4F7A46"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Zgodnie z pkt 2 tego ustępu, w zakresie ulg innych niż kwalifikowana zwrotna ulga, kwalifikowana zbywalna ulga oraz niekwalifikowana zbywalna ulga, zmniejszeń, o których mowa w ust. 1 pkt 3, jednostka składowa dokonuje w kwocie równej dokonanego z tytułu takiej ulgi zwrotu lub odliczenia zaliczonego na poczet własnych zobowiązań podatkowych należnych za rok przyjęty dla celów podatku dochodowego tej jednostki, jeżeli rok ten kończy się w trakcie roku podatkowego przyjętego dla celów ustawy</w:t>
      </w:r>
    </w:p>
    <w:p w14:paraId="1D12B52F"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83 [Ujęcie kwalifikowanych pośrednich aktywów podatkowych]</w:t>
      </w:r>
    </w:p>
    <w:p w14:paraId="71BD995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Artykuł 83 stanowi implementację pkt 2.9 Wytycznych administracyjnych z lutego 2023 r. w zakresie zasad ujmowania kwalifikowanych pośrednich aktywów podatkowych uzyskanych w związku z posiadanymi przez jednostkę składową kwalifikowanymi udziałami własnościowymi, o których mowa w regulacjach w zakresie kwalifikowanego dochodu (straty). </w:t>
      </w:r>
    </w:p>
    <w:p w14:paraId="11AFE96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Ust. 1 tego artykułu rozróżnia zasady uwzględniania kwoty kwalifikowanych pośrednich aktywów podatkowych w zależności od tego czy kwalifikowana kwota zwrotu (odpowiednio zdefiniowana dalej w tym artykule) jest większa czy mniejsza od kwoty inwestycji (zdefiniowanej we wcześniejszych artykułach na potrzeby kwalifikowanych udziałów własnościowych). Jeżeli jest ona mniejsza lub równa tej kwocie inwestycji, to zgodnie z lit. a tego punktu kwota kwalifikowanych pośrednich aktywów podatkowych zwiększa podatki kwalifikowane, w zakresie w jakim te kwalifikowane pośrednie aktywa podatkowe są wykazywane w księgach tej jednostki jako zmniejszające obciążenie z tytułu podatku dochodowego. Jeżeli jest ona większa, to zgodnie z lit. b tego punktu kwota kwalifikowanych pośrednich aktywów podatkowych zmniejsza podatki kwalifikowane.</w:t>
      </w:r>
    </w:p>
    <w:p w14:paraId="249A161F"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Jednocześnie, zgodnie z ust. 2, kwota uwzględniona w obliczeniu skorygowanych podatków kwalifikowanych, o którym mowa w ust. 1 na podstawie pkt 2 ust. 1 jest ograniczona przez wysokość kwoty uwzględnionej na podstawie pkt 1 tego ustępu – nie uwzględnia się nadwyżki kwoty, o której mowa w ust. 1 pkt 2 ponad kwotę uwzględnioną na podstawie ust. 1 pkt 1.</w:t>
      </w:r>
    </w:p>
    <w:p w14:paraId="464F66D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Natomiast ust. 3 tego artykułu ogranicza jego stosowanie wskazując, że regulacje ust. 1 nie mają zastosowania jeżeli jednostka posiadająca kwalifikowane udziały własnościowe stosuje proporcjonalną metodę amortyzacji inwestycji dla celów rachunkowych albo dla celów ustawy. W takim przypadku kwalifikowana kwota zwrotu pomniejsza kwotę inwestycji proporcjonalnie do przewidywanego udziału ulg podatkowych. Ustęp ten odpowiednio definiuje przewidywany udział ulg podatkowych, wskazując że jest to stosunek w jakim pozostają kwalifikowane pośrednie aktywa podatkowe uzyskane w danym roku podatkowym do przewidywanej całkowitej kwoty kwalifikowanych pośrednich aktywów podatkowych w przewidywanym okresie trwania inwestycji.</w:t>
      </w:r>
    </w:p>
    <w:p w14:paraId="6F296686"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Ust. 4 definiuje pojęcie kwalifikowanej kwoty zwrotu, enumeratywnie wyliczając pozycję, których suma stanowi tę kwotę. Zgodnie z pkt 1 są to więc kwoty ulg podatkowych oraz iloczyn straty podatkowej jednostki transparentnej podatkowo, w której dokonano inwestycji i standardowej stawki podatku dochodowego jednostki dokonującej inwestycji, jeżeli kwoty te wynikają z działalności jednostki transparentnej podatkowo, w której dokonano inwestycji i są rozliczne przez jednostkę dokonującą inwestycji. Są to także, zgodnie z pkt 2 i 3, kwoty wszelkich wypłat do jednostki dokonującej inwestycji, w tym zwrot kapitału oraz zysk ze sprzedaży części lub wszystkich kwalifikowanych udziałów własnościowych.</w:t>
      </w:r>
    </w:p>
    <w:p w14:paraId="224F1EC3" w14:textId="77777777" w:rsidR="00D25419" w:rsidRPr="00C96268" w:rsidRDefault="00D25419" w:rsidP="00D25419">
      <w:pPr>
        <w:pStyle w:val="Nagwek5"/>
        <w:spacing w:before="120"/>
        <w:rPr>
          <w:rFonts w:ascii="Times New Roman" w:hAnsi="Times New Roman" w:cs="Times New Roman"/>
          <w:sz w:val="24"/>
          <w:szCs w:val="24"/>
        </w:rPr>
      </w:pPr>
      <w:r w:rsidRPr="00C96268">
        <w:rPr>
          <w:rFonts w:ascii="Times New Roman" w:hAnsi="Times New Roman" w:cs="Times New Roman"/>
          <w:sz w:val="24"/>
          <w:szCs w:val="24"/>
        </w:rPr>
        <w:t xml:space="preserve">Art. 84 [Rozliczenie korzyści z zysku lub straty z kwalifikowanych udziałów własnościowych] </w:t>
      </w:r>
    </w:p>
    <w:p w14:paraId="505BF0E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Artykuł ten dopełnia regulacje określające zasady uwzględniania zysku lub straty z kwalifikowanych udziałów własnościowych w kalkulacji kwalifikowanego dochodu (straty). Zgodnie z tym artykułem wszelkie korzyści podatkowe oraz podatek dochodowy w części bieżącej i odroczonej powstałe w skutek rozliczenia tego zysku lub straty uwzględnia się dla celów obliczenia skorygowanych podatków kwalifikowanych.</w:t>
      </w:r>
    </w:p>
    <w:p w14:paraId="72350A54" w14:textId="77777777" w:rsidR="00D25419" w:rsidRPr="00C96268" w:rsidRDefault="00D25419" w:rsidP="00D25419">
      <w:pPr>
        <w:pStyle w:val="Nagwek4"/>
        <w:rPr>
          <w:rFonts w:ascii="Times New Roman" w:hAnsi="Times New Roman" w:cs="Times New Roman"/>
          <w:sz w:val="24"/>
          <w:szCs w:val="24"/>
        </w:rPr>
      </w:pPr>
      <w:r w:rsidRPr="00C96268">
        <w:rPr>
          <w:rFonts w:ascii="Times New Roman" w:hAnsi="Times New Roman" w:cs="Times New Roman"/>
          <w:sz w:val="24"/>
          <w:szCs w:val="24"/>
        </w:rPr>
        <w:t>Oddział 2 - Całkowita kwota korekty podatku odroczonego</w:t>
      </w:r>
    </w:p>
    <w:p w14:paraId="77DA3EDC" w14:textId="77777777" w:rsidR="00D25419" w:rsidRPr="00C96268" w:rsidRDefault="00D25419" w:rsidP="00D25419">
      <w:pPr>
        <w:pStyle w:val="Nagwek5"/>
        <w:spacing w:before="120"/>
        <w:rPr>
          <w:rFonts w:ascii="Times New Roman" w:hAnsi="Times New Roman" w:cs="Times New Roman"/>
          <w:sz w:val="24"/>
          <w:szCs w:val="24"/>
        </w:rPr>
      </w:pPr>
      <w:r w:rsidRPr="00C96268">
        <w:rPr>
          <w:rFonts w:ascii="Times New Roman" w:hAnsi="Times New Roman" w:cs="Times New Roman"/>
          <w:sz w:val="24"/>
          <w:szCs w:val="24"/>
        </w:rPr>
        <w:t xml:space="preserve">Art. 85 [Całkowita kwota korekty podatku odroczonego] </w:t>
      </w:r>
    </w:p>
    <w:p w14:paraId="0AAA71F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Art. 85</w:t>
      </w:r>
      <w:r w:rsidRPr="00C96268">
        <w:rPr>
          <w:rFonts w:ascii="Times New Roman" w:hAnsi="Times New Roman" w:cs="Times New Roman"/>
          <w:bCs/>
          <w:sz w:val="24"/>
          <w:szCs w:val="24"/>
        </w:rPr>
        <w:t xml:space="preserve"> implementuje art. 22.2 Dyrektywy. Artykuł ten zapewnia mechanizm pozwalający uwzględnić różnice przejściowe, które powstają w przypadku ujęcia dochodu lub straty w innym roku dla celów rachunkowości finansowej niż dla celów prawa podatkowego. Określa on całkowitą kwotę korekty podatku odroczonego jednostki składowej, która jest kwotą dodawaną do jej skorygowanych podatków kwalifikowanych. Punktem wyjścia dla całkowitej kwoty korekty podatku odroczonego jest kwota obciążenia z tytułu podatku dochodowego w części odroczonej ujęta w księgach rachunkowych jednostki składowej, jeżeli mająca zastosowanie stawka podatku jest niższa od stawki minimalnej lub, w każdym innym przypadku, kwota takiego obciążenia z tytułu podatku dochodowego w części odroczonej przeliczona według stawki minimalnej. Obciążenie z tytułu podatku dochodowego w części odroczonej za rok obrotowy obejmuje zmianę netto stanu aktywów i rezerw z tego tytułu pomiędzy początkiem a końcem roku obrotowego. Takie aktywa są ujmowane jako ujemne obciążenie podatkowe (tj. korzyść z tytułu podatku dochodowego), natomiast rezerwy z tytułu podatku dochodowego w części odroczonej są ujmowane jako obciążenie podatkowe. </w:t>
      </w:r>
    </w:p>
    <w:p w14:paraId="47E3B85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Przekształcenia obciążenia z tytułu podatku dochodowego w części odroczonej można dokonać albo osobno dla poszczególnych pozycji, albo łącznie dla wszystkich pozycji wykazanych według tej samej stawki. Jeżeli składnik aktywów lub rezerwa z tytułu podatku dochodowego w części odroczonej ulegnie odwróceniu, zostanie on odwrócony w tej samej kwocie i stawce, w jakiej został zarejestrowany. Odwrócenie rezerwy z tytułu podatku dochodowego w części odroczonej stanowi ujemny koszt, natomiast odwrócenie aktywa z tego tytułu jest równoznaczne z obciążeniem. Obowiązującą stawką podatku jest ta, według której została ujęta pozycja podatku odroczonego.</w:t>
      </w:r>
    </w:p>
    <w:p w14:paraId="06231196"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Wytyczne z lutego 2023 r.</w:t>
      </w:r>
      <w:r w:rsidRPr="00C96268">
        <w:rPr>
          <w:rStyle w:val="Odwoanieprzypisudolnego"/>
          <w:rFonts w:ascii="Times New Roman" w:hAnsi="Times New Roman" w:cs="Times New Roman"/>
          <w:bCs/>
          <w:sz w:val="24"/>
          <w:szCs w:val="24"/>
        </w:rPr>
        <w:footnoteReference w:id="142"/>
      </w:r>
      <w:r w:rsidRPr="00C96268">
        <w:rPr>
          <w:rFonts w:ascii="Times New Roman" w:hAnsi="Times New Roman" w:cs="Times New Roman"/>
          <w:bCs/>
          <w:sz w:val="24"/>
          <w:szCs w:val="24"/>
        </w:rPr>
        <w:t xml:space="preserve"> wyjaśniają potencjalne wątpliwości, które mogą powstać w zakresie obliczania całkowitej kwoty korekty podatku odroczonego dla jednostki składowej. </w:t>
      </w:r>
    </w:p>
    <w:p w14:paraId="0A665B45"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Zgodnie z Zasadami GloBE, kwalifikowany dochód (stratę) jednostki składowej oraz jej podatki kwalifikowane należy ustalać na podstawie standardu rachunkowości zastosowanego przy sporządzeniu skonsolidowanego sprawozdania finansowego grupy. Stosownie więc do Zasad GloBE, kwalifikowany dochód (strata) jest obliczany na podstawie księgowego dochodu (straty) netto, określonego na podstawie standardu rachunkowości zastosowanego przy sporządzeniu skonsolidowanego sprawozdania finansowego grupy. Jednocześnie, wprowadzono wyjątek od ogólnej zasady poprzez umożliwienie, w określonych okolicznościach, obliczenia kwalifikowanego dochodu (straty) jednostki składowej na podstawie księgowego dochodu (straty) netto, określonego na podstawie innego akceptowalnego lub zatwierdzonego standardu rachunkowości, używanego do prowadzenia ksiąg rachunkowych jednostki.</w:t>
      </w:r>
    </w:p>
    <w:p w14:paraId="13C82D4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Skorygowane podatki kwalifikowane jednostki składowej oblicza się jako sumę podatków kwalifikowanych ujętych w księgowym dochodzie (stracie) netto tej jednostki. Dla celów obliczenia skorygowanych podatków kwalifikowanych dla jednostki składowej należy uwzględnić ten sam standard rachunkowości, który jest używany do ustalenia kwalifikowanego dochodu (straty) danej jednostki. </w:t>
      </w:r>
    </w:p>
    <w:p w14:paraId="017CB92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świetle powyższego, w przypadku ustalania kwalifikowanego dochodu (straty) jednostki składowej na podstawie księgowego dochodu (straty) netto, określonego  na podstawie standardu używanego do prowadzenia jej ksiąg (zamiast standardu zastosowanego przy sporządzeniu skonsolidowanego sprawozdania grupy), mogą powstać wątpliwości co do sposobu obliczania całkowitej kwoty korekty podatku odroczonego. Wątpliwości te sprowadzają się do odpowiedzi na pytanie, czy w sytuacji, w której kwalifikowany dochód (strata) danej jednostki jest ustalany na podstawie danych z jej własnych ksiąg rachunkowych, istnieje możliwość ujęcia - dla celów obliczenia całkowitej kwoty korekty podatku odroczonego - jej obciążenia z tytułu odroczonego podatku dochodowego, ujętego w skonsolidowanym sprawozdaniu finansowym grupy.</w:t>
      </w:r>
    </w:p>
    <w:p w14:paraId="28D80342"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 Wytycznych z lutego 2023 r. wskazano, że niektóre grupy międzynarodowe ujmują obciążenia z tytułu odroczonego podatku dochodowego jednostek składowych w księgach używanych do sporządzenia skonsolidowanego sprawozdania finansowego grupy zamiast ujęcia ich w księgach poszczególnych jednostek. Gdyby przyjąć, że, dla celów ustalenia całkowitej kwoty korekty podatku odroczonego można uwzględnić wyłącznie kwoty podatku odroczonego ujęte w księgach poszczególnych jednostek, takie grupy nie miałyby możliwości ujęcia kwot podatku odroczonego, odnoszącego się do kwalifikowanego dochodu (straty), dla celów obliczenia efektywnej stawki podatkowej.</w:t>
      </w:r>
    </w:p>
    <w:p w14:paraId="0201B8A6"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Wytyczne z lutego 2023 r. wyjaśniają, że tego artykułu nie należy interpretować jako nakazującego uwzględnienie wyłącznie kwot ujętych z tego tytułu w księgach jednostki składowej dla celów obliczenia całkowitej kwoty korekty podatku odroczonego. Skutkiem takiego ograniczenia byłaby różna podstawa obliczanie licznika i mianownika w efektywnej stawce podatkowej. Dlatego też, jeśli w księgach rachunkowych danej jednostki nie ujęto jej obciążenia z tytułu odroczonego podatku dochodowego (ze względu na wewnętrzną praktykę grupy lub ze względu na standard użyty do przygotowania ksiąg jednostki), dla celów obliczenia całkowitej kwoty korekty podatku odroczonego jednostki uwzględnia się jej odroczony podatek dochodowy, ujęty w skonsolidowanym sprawozdaniu finansowym grupy. </w:t>
      </w:r>
    </w:p>
    <w:p w14:paraId="171563B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Zgodnie z Wytycznymi z lutego 2023 r., obciążenia z tytułu odroczonego podatku dochodowego, ujęte w księgach rachunkowych jednostki składowej oraz jej obciążenia z tytułu odroczonego podatku dochodowego, ujęte wyłącznie w skonsolidowanym sprawozdaniu finansowym grupy, podlegają uwzględnieniu dla celów obliczenia całkowitej kwoty korekty podatku odroczonego jednostki oraz jej skorygowanych podatków kwalifikowanych. Zasadę tę stosuje się również w przypadku jednostki składowej, która oblicza swój księgowy dochód (stratę) netto na podstawie danych z jej własnych ksiąg rachunkowych.</w:t>
      </w:r>
    </w:p>
    <w:p w14:paraId="2A9FA73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przypadku, gdy w księgach rachunkowych jednostki nie uwzględniono jej odroczonego podatku dochodowego zgodnie z akceptowalnym lub zatwierdzonym standardem rachunkowości, używanym do przygotowania jej ksiąg, jej obciążenia z tytułu odroczonego podatku dochodowego, ujęte w skonsolidowanym sprawozdaniu finansowym grupy (inne niż te związane z zaksięgowaniem zakupu w związku z procesem przejęcia działalności lub w związku z wyłączonymi pozycjami przychodów lub kosztów) podlegają uwzględnieniu dla celów obliczenia całkowitej kwoty korekty podatku odroczonego jednostki oraz jej skorygowanych podatków kwalifikowanych.  </w:t>
      </w:r>
    </w:p>
    <w:p w14:paraId="49DF74A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Licznik (skorygowane podatki kwalifikowane) i mianownik (kwalifikowany dochód lub strata) dla obliczenia efektywnej stawki podatkowej należy ustalać konsekwentnie, stosując ten sam standard rachunkowości. Obciążenia z tytułu odroczonego podatku dochodowego, brane pod uwagę w ramach tej zasady, to obciążenia związane z różnicami przejściowymi pomiędzy standardem rachunkowości, stosowanym do ustalenia kwalifikowanego dochodu (straty), a standardem użytym do ustalenia krajowego dochodu do opodatkowania. Wszelkie obciążenia z tytułu odroczonego podatku dochodowego w odniesieniu do jednostki składowej są uwzględniane wyłącznie zgodnie z tą zasadą w zakresie, w jakim obciążenia te odnoszą się do kwot uwzględnionych w kalkulacji kwalifikowanego dochodu (straty).        </w:t>
      </w:r>
    </w:p>
    <w:p w14:paraId="1C8B6102"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86 [Wyłączenia z całkowitej korekty podatku odroczonego] </w:t>
      </w:r>
    </w:p>
    <w:p w14:paraId="2A155136"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sz w:val="24"/>
          <w:szCs w:val="24"/>
        </w:rPr>
        <w:t xml:space="preserve">Art. 86 </w:t>
      </w:r>
      <w:r w:rsidRPr="00C96268">
        <w:rPr>
          <w:rFonts w:ascii="Times New Roman" w:hAnsi="Times New Roman" w:cs="Times New Roman"/>
          <w:bCs/>
          <w:sz w:val="24"/>
          <w:szCs w:val="24"/>
        </w:rPr>
        <w:t xml:space="preserve">implementuje art. 22.5 Dyrektywy zawierający wyłączenia z kwoty całkowitej korekty podatku odroczonego. </w:t>
      </w:r>
    </w:p>
    <w:p w14:paraId="0ED9430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Przede wszystkim, z całkowitej korekty podatku odroczonego wyłączono ujęte w księgach kwoty podatku dochodowego w części odroczonej w odniesieniu do enumeratywnie wyliczonych pozycji. </w:t>
      </w:r>
    </w:p>
    <w:p w14:paraId="3FED6F82" w14:textId="77777777" w:rsidR="00D25419" w:rsidRPr="00C96268" w:rsidRDefault="00D25419" w:rsidP="00D25419">
      <w:pPr>
        <w:pStyle w:val="Akapitzlist"/>
        <w:numPr>
          <w:ilvl w:val="0"/>
          <w:numId w:val="35"/>
        </w:numPr>
        <w:spacing w:after="120"/>
        <w:ind w:left="714"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 pierwsze, kwotę obciążenia z tytułu odroczonego podatku dochodowego w odniesieniu do wszelkich pozycji wyłączonych z obliczenia kwalifikowanego dochodu (straty). Jeżeli jednostka składowa generuje składnik aktywów z tytułu odroczonego podatku dochodowego w odniesieniu do dochodu wyłączonego z obliczenia kwalifikowanego dochodu (straty), takiego składnika aktywów z tytułu odroczonego podatku dochodowego nie można konsekwentnie później wykorzystać do zwiększenia kwoty skorygowanych podatków kwalifikowanych. </w:t>
      </w:r>
    </w:p>
    <w:p w14:paraId="12DBB3C2" w14:textId="77777777" w:rsidR="00D25419" w:rsidRPr="00C96268" w:rsidRDefault="00D25419" w:rsidP="00D25419">
      <w:pPr>
        <w:pStyle w:val="Akapitzlist"/>
        <w:numPr>
          <w:ilvl w:val="0"/>
          <w:numId w:val="35"/>
        </w:numPr>
        <w:spacing w:after="120"/>
        <w:ind w:left="714"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Po drugie, wyłączeniu podlegają obciążenia z tytułu odroczonego podatku dochodowego związanego z niedozwolonymi i niewykorzystanymi rozliczeniami międzyokresowymi, których to definicje zawarto odpowiednio w ustępie drugim i trzecim tego artykułu. Głównym powodem wykluczenia takich kwot do czasu ich zapłaty jest niepewność co do tego, czy takie kwoty zostaną faktycznie zapłacone (w przypadku niedozwolonego rozliczenia międzyokresowego) lub kiedy kwoty zostaną zapłacone (w przypadku niewykorzystanego rozliczenia międzyokresowego).</w:t>
      </w:r>
    </w:p>
    <w:p w14:paraId="118BD1AD" w14:textId="77777777" w:rsidR="00D25419" w:rsidRPr="00C96268" w:rsidRDefault="00D25419" w:rsidP="00D25419">
      <w:pPr>
        <w:pStyle w:val="Akapitzlist"/>
        <w:numPr>
          <w:ilvl w:val="0"/>
          <w:numId w:val="35"/>
        </w:numPr>
        <w:spacing w:after="120"/>
        <w:ind w:left="714"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Kolejno, wyłączeniu podlegają kwoty obciążenia z tytułu odroczonego podatku dochodowego, które wynikają ze zmiany obowiązującej krajowej stawki podatku. Kwota ta jest wyłączona, ponieważ kwoty naliczone z tego tytułu stanowią po prostu zmiany w kwotach już naliczonych i nie powinny być brane pod uwagę jako dodatkowe podatki objęte umową w roku podatkowym. Przykładowo, jeśli w sprawozdaniu finansowym pojawi się dodatkowy koszt odroczonego podatku dochodowego, ponieważ stawka podatku wzrosła z 10% do 15%, kwoty tej nie należy dodawać do podatków kwalifikowanych, ponieważ nie ma ona związku z kwalifikowanym dochodem (stratą) w bieżącym roku podatkowym. Art. 88 zawiera zasady regulujące sposób uwzględniania zmian krajowych stawek podatku na potrzeby ustawy w celu zapewnienia odpowiedniego zaliczenia zapłaconego podatku.  </w:t>
      </w:r>
    </w:p>
    <w:p w14:paraId="3BF7962A" w14:textId="77777777" w:rsidR="00D25419" w:rsidRPr="00C96268" w:rsidRDefault="00D25419" w:rsidP="00D25419">
      <w:pPr>
        <w:pStyle w:val="Akapitzlist"/>
        <w:numPr>
          <w:ilvl w:val="0"/>
          <w:numId w:val="35"/>
        </w:numPr>
        <w:spacing w:after="120"/>
        <w:ind w:left="714" w:hanging="357"/>
        <w:contextualSpacing w:val="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Końcowo, wyłączeniu podlegają kwoty podatku dochodowego w części odroczonej w związku z powstaniem ulg podatkowych oraz obciążenie z tytułu odroczonego podatku dochodowego w związku z wykorzystaniem ulg podatkowych. </w:t>
      </w:r>
    </w:p>
    <w:p w14:paraId="2448AB91"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Ulga podatkowa, o której mowa powyżej, obejmuje ulgi podatkowe przyznane w danej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w związku ze zobowiązaniem podatkowym nałożonym w innej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lub nałożonym na zyski wypłacone przez inny podmiot (np. zagraniczne ulgi podatkowe).</w:t>
      </w:r>
    </w:p>
    <w:p w14:paraId="12EA9925"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Ponieważ zastosowanie ulg podatkowych jest wyłączone z kwoty całkowitej korekty podatku odroczonego, wszelkie zmiany w obciążeniu z tytułu odroczonego podatku dochodowego z nich wynikające są wyłączone z obliczenia kwoty skorygowanych podatków kwalifikowanych.</w:t>
      </w:r>
    </w:p>
    <w:p w14:paraId="4D01CE26"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Jednocześnie, ze względu na to, że aktywa z tytułu odroczonego podatku dochodowego wynikające z zastosowania ulg podatkowych są wyłączone z całkowitej kwoty korekty z tytułu odroczonego podatku dochodowego i nie obniżą skorygowanych podatków kwalifikowanych, zastosowanie ulg podatkowych nie powinno skutkować koniecznością obliczenia dodatkowego podatku wyrównawczego.</w:t>
      </w:r>
    </w:p>
    <w:p w14:paraId="594E5A0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Dodatkowo, </w:t>
      </w:r>
      <w:r w:rsidRPr="00C96268">
        <w:rPr>
          <w:rFonts w:ascii="Times New Roman" w:hAnsi="Times New Roman" w:cs="Times New Roman"/>
          <w:b/>
          <w:bCs/>
          <w:sz w:val="24"/>
          <w:szCs w:val="24"/>
        </w:rPr>
        <w:t>w pkt 2</w:t>
      </w:r>
      <w:r w:rsidRPr="00C96268">
        <w:rPr>
          <w:rFonts w:ascii="Times New Roman" w:hAnsi="Times New Roman" w:cs="Times New Roman"/>
          <w:bCs/>
          <w:sz w:val="24"/>
          <w:szCs w:val="24"/>
        </w:rPr>
        <w:t xml:space="preserve"> ust. 1 dokonano implementacji art. 22.5 Dyrektywy. Aby zapobiec zniekształceniom, wykluczono korekty wyceny lub korekty ujmowania księgowego w odniesieniu do aktywów z tytułu odroczonego podatku dochodowego. Ponieważ utworzenie aktywów z tytułu odroczonego podatku dochodowego zmniejsza skorygowane podatki kwalifikowane, konieczne jest zapewnienie, że składnik aktywów z tytułu odroczonego podatku dochodowego odnoszący się do krajowej straty podatkowej zostanie zarejestrowany dla celów ustawy w tym samym roku co ta strata. </w:t>
      </w:r>
    </w:p>
    <w:p w14:paraId="2DDF95CE"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Ust. 2 i 3</w:t>
      </w:r>
      <w:r w:rsidRPr="00C96268">
        <w:rPr>
          <w:rFonts w:ascii="Times New Roman" w:hAnsi="Times New Roman" w:cs="Times New Roman"/>
          <w:bCs/>
          <w:sz w:val="24"/>
          <w:szCs w:val="24"/>
        </w:rPr>
        <w:t xml:space="preserve"> art. 86 stanowią implementację art. 22.1 Dyrektywy (odpowiednio litery a i b). Ustęp 2 definiuje wskazane w art. 86 ust. 1 pkt 1 lit b niedozwolone rozliczenia międzyokresowe. Regulacje te mają na celu zapobieżenie uwzględnianiu w kwocie skorygowanego podatku kwalifikowanego rozliczeń międzyokresowych podatku dotyczących niepewnych pozycji podatkowych i wypłat dokonanych przez jednostkę składową.</w:t>
      </w:r>
    </w:p>
    <w:p w14:paraId="7582D79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Kwoty naliczone w związku z niepewnymi pozycjami podatkowymi są niedozwolone, ze względu na ustalenia jednostki, że podatki są nienależne oraz dużą niepewność co do tego, czy kwoty te zostaną finalnie zapłacone. Chociaż dokładne kryteria mogą się różnić w ramach akceptowalnych standardów rachunkowości finansowej, pozycje takie zazwyczaj wynikają z przyjęcia przez jednostkę składową stanowiska, że zapłata takiej kwoty jest mało prawdopodobna. Biorąc pod uwagę charakter takich rozliczeń międzyokresowych, do momentu faktycznej zapłaty kwoty te nie mogą być traktowane jako podatki kwalifikowane.</w:t>
      </w:r>
    </w:p>
    <w:p w14:paraId="37951724"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Podatki pobierane od wypłat, takie jak podatki u źródła i podatki od podstawy netto od dywidend, są zazwyczaj nakładane, gdy jednostka dokonuje wypłaty na rzecz swoich akcjonariuszy (udziałowców). Ponieważ to grupy zasadniczo decydują o terminie takich wypłat, zwiększenie na bieżąco skorygowanych podatków kwalifikowanych z tytułu naliczonych kwot podatku odroczonego byłoby niezgodne z założeniami ustawy.</w:t>
      </w:r>
    </w:p>
    <w:p w14:paraId="6DA599E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Ustęp 3 przewiduje także opcję uproszczenia ponownego ujmowania rezerw, o ile dokonano odpowiedniego wyboru. Ustęp ten umożliwia jednostce składowej wykluczenie z łącznej kwoty korekty podatku odroczonego wszelkich rezerw z tytułu odroczonego podatku dochodowego, których zapłaty nie przewiduje się w terminie 5 lat (tj. w terminie określonym w art. 89). Uproszczenie to pozwala na wyłączenie rezerw z tytułu odroczonego podatku dochodowego, które prawie na pewno będą wymagały ponownego ujęcia. Ogranicza to konieczność bieżącego monitorowania tych zobowiązań i ponownego obliczania podatku wyrównawczego kilka lat później.</w:t>
      </w:r>
    </w:p>
    <w:p w14:paraId="050E9E0C"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87 [Zwiększenia całkowitej korekty podatku odroczonego]</w:t>
      </w:r>
    </w:p>
    <w:p w14:paraId="1CD1E58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Art. 87</w:t>
      </w:r>
      <w:r w:rsidRPr="00C96268">
        <w:rPr>
          <w:rFonts w:ascii="Times New Roman" w:hAnsi="Times New Roman" w:cs="Times New Roman"/>
          <w:bCs/>
          <w:sz w:val="24"/>
          <w:szCs w:val="24"/>
        </w:rPr>
        <w:t xml:space="preserve"> ustawy stanowi implementację art. 22.3 Dyrektywy i określa on pozycje o jakie dokonuje się zwiększeń całkowitej korekty podatku odroczonego.</w:t>
      </w:r>
    </w:p>
    <w:p w14:paraId="3B5F94EF"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Zgodnie z pkt 1 tego artykułu całkowitą korektę podatku odroczonego zwiększa się o ujętą w księgach kwotę niedozwolonych rozliczeń międzyokresowych lub niewykorzystanych rozliczeń międzyokresowych, która została zapłacona w roku podatkowym. Natomiast zgodnie z pkt 2 art. 87 całkowitą korektę podatku odroczonego zwiększa się o ujętą w księgach kwotę rezerwy z tytułu podatku odroczonego ujętej ponownie zgodnie z art. 89, ustalonej w jednym z poprzednich lat podatkowych i rozwiązanej w roku podatkowym. </w:t>
      </w:r>
    </w:p>
    <w:p w14:paraId="5CE15855" w14:textId="2B134434"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Podkreślenia wymaga, że w obu przypadkach zwiększeń dokonuje się jedynie w zakresie</w:t>
      </w:r>
      <w:r w:rsidR="00AF4F44" w:rsidRPr="00C96268">
        <w:rPr>
          <w:rFonts w:ascii="Times New Roman" w:hAnsi="Times New Roman" w:cs="Times New Roman"/>
          <w:bCs/>
          <w:sz w:val="24"/>
          <w:szCs w:val="24"/>
        </w:rPr>
        <w:t>,</w:t>
      </w:r>
      <w:r w:rsidRPr="00C96268">
        <w:rPr>
          <w:rFonts w:ascii="Times New Roman" w:hAnsi="Times New Roman" w:cs="Times New Roman"/>
          <w:bCs/>
          <w:sz w:val="24"/>
          <w:szCs w:val="24"/>
        </w:rPr>
        <w:t xml:space="preserve"> w jakim kwoty te zostały ujęte w księgach jednostki składowej. </w:t>
      </w:r>
    </w:p>
    <w:p w14:paraId="4C06A7F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Pkt 1 tego artykułu jest konsekwencją wcześniejszego wyłączenia kwoty podatku dochodowego w części odroczonej w odniesieniu do niedozwolonych rozliczeń międzyokresowych i niewykorzystanych rozliczeń międzyokresowych. Pozycje te nie są ujmowane w całkowitej korekcie podatku odroczonego ze względu na ich niepewny charakter. Kiedy jednak zostają one zapłacone konieczne jest ich odpowiednie uwzględnienie, aby podatek taki został uwzględniony w kalkulacji na potrzeby ustawy. Analogicznie, w pkt 2 tego artykułu zapewniono odpowiednie uwzględnienie zapłaconej kwoty podatku odroczonego, także wyłączanej (ze względu na swój niepewny charakter) z kalkulacji dokonywanej na potrzeby ustawy do momentu jej zapłaty.</w:t>
      </w:r>
    </w:p>
    <w:p w14:paraId="3666AEEF"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 xml:space="preserve">Art. 88 [Zmniejszenia całkowitej korekty podatku odroczonego] </w:t>
      </w:r>
    </w:p>
    <w:p w14:paraId="1C51D88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Art. 88</w:t>
      </w:r>
      <w:r w:rsidRPr="00C96268">
        <w:rPr>
          <w:rFonts w:ascii="Times New Roman" w:hAnsi="Times New Roman" w:cs="Times New Roman"/>
          <w:bCs/>
          <w:sz w:val="24"/>
          <w:szCs w:val="24"/>
        </w:rPr>
        <w:t xml:space="preserve"> ustawy stanowi implementację art. 22.4, art. 22.5 lit c Dyrektywy oraz art. 22.6 Dyrektywy i określa on pozycje o jakie dokonuje się zmniejszeń całkowitej korekty podatku odroczonego oraz warunki, pod jakimi dokonuje się tych zmniejszeń. </w:t>
      </w:r>
    </w:p>
    <w:p w14:paraId="0AEB598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Pierwszą pozycją zmniejszającą całkowitą korektę podatku odroczonego jest hipotetyczna kwota z tytułu straty podatkowej, odpowiadająca wysokości składnika aktywów z tytułu odroczonego podatku dochodowego, który zostałby utworzony w przypadku, jednostki, która poniosła stratę podatkową. Jest to pozycja aktywa z tytułu odroczonego podatku dochodowego w przypadku kiedy aktywo z tytułu podatku odroczonego powinno zostać rozpoznane, ale nie zostało ze względu na niespełnienie rachunkowych kryteriów ujmowania. Zasada ta jest następstwem zasady, zgodnie z którą pomija się korekty wyceny lub księgowe ujęcie korekty. Regulacje te przewidują utworzenie aktywa z tytułu odroczonego podatku dochodowego dla celów ustawy w roku, w którym nastąpiła strata. Ponadto, utworzenie aktywa z tytułu odroczonego podatku dochodowego w kolejnych latach (kiedy spełnione zostaną kryteria ujęcia) jest ignorowane. Utworzenie aktywa jednocześnie ze stratą ma na celu zapewnienie, że nie wystąpi opodatkowanie wyrównawcze wyłącznie ze względu na niespełnienie rachunkowych kryteriów uznania straty.</w:t>
      </w:r>
    </w:p>
    <w:p w14:paraId="01D65E46"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17EB48D2"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W roku 1 jednostka składowa grupy A generuje kwalifikowaną stratę i stratę podatkową w rozumieniu krajowych przepisów podatkowych w wysokości 100. Składnik aktywów podatkowych nie jest tworzony dla celów rachunkowości finansowej, ponieważ nie zostały spełnione kryteria jego ujęcia (tj. nie ma prognozy przyszłych zysków). Stosowanie niniejszego punktu (c) skutkuje powstaniem aktywa z tytułu odroczonego podatku dochodowego w wysokości 15 w roku 1 (odpowiada ono aktywom z tytułu odroczonego podatku, które w przeciwnym razie byłyby rejestrowane według stawki minimalnej). W roku 2 jednostka składowa grupy A nie uzyskuje dochodu podlegającego opodatkowaniu ani kwalifikowanego dochodu. Istnieją jednak prognozy przyszłych zysków i aktywo z tytułu odroczonego podatku dochodowego wynoszące 15 jest rejestrowane w celach finansowych, ponieważ spełnione są kryteria ujęcia. Jednak zgodnie z zasadami dotyczącymi hipotetycznej kwoty z tytułu straty podatkowej nie jest to brane pod uwagę. W roku 3 jednostka składowa uzyskuje kwalifikowany dochód w wysokości 100 i przenosi na następny okres krajową stratę podatkową. W roku 3 stosuje się więc aktywo z tytułu odroczonego podatku dochodowego wynoszące 15.</w:t>
      </w:r>
    </w:p>
    <w:p w14:paraId="38556C45"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Drugą pozycją zmniejszającą całkowitą korektę podatku odroczonego jest kwota wynikająca </w:t>
      </w:r>
      <w:r w:rsidRPr="00C96268">
        <w:rPr>
          <w:rFonts w:ascii="Times New Roman" w:hAnsi="Times New Roman" w:cs="Times New Roman"/>
          <w:bCs/>
          <w:sz w:val="24"/>
          <w:szCs w:val="24"/>
        </w:rPr>
        <w:br/>
        <w:t xml:space="preserve">z przeliczenia kwalifikowanej straty, </w:t>
      </w:r>
      <w:r w:rsidRPr="00C96268">
        <w:rPr>
          <w:rFonts w:ascii="Times New Roman" w:hAnsi="Times New Roman" w:cs="Times New Roman"/>
          <w:bCs/>
          <w:iCs/>
          <w:sz w:val="24"/>
          <w:szCs w:val="24"/>
        </w:rPr>
        <w:t>odpowiadająca wysokości składnika aktywów z tytułu podatku odroczonego, który jest przypisany do kwalifikowanej straty za rok podatkowy jednostki składowej w wysokości odpowiadającej kwocie nadwyżki wartości tego składnika aktywów przeliczonego według minimalnej stawki podatkowej ponad wartość tego składnika ujętego według stawki niższej niż minimalna stawka podatkowa</w:t>
      </w:r>
      <w:r w:rsidRPr="00C96268">
        <w:rPr>
          <w:rFonts w:ascii="Times New Roman" w:hAnsi="Times New Roman" w:cs="Times New Roman"/>
          <w:bCs/>
          <w:sz w:val="24"/>
          <w:szCs w:val="24"/>
        </w:rPr>
        <w:t xml:space="preserve">. Zachowuje się przy tym podstawową zasadę, że kwalifikowana strata </w:t>
      </w:r>
      <w:r w:rsidRPr="00C96268">
        <w:rPr>
          <w:rFonts w:ascii="Times New Roman" w:hAnsi="Times New Roman" w:cs="Times New Roman"/>
          <w:bCs/>
          <w:sz w:val="24"/>
          <w:szCs w:val="24"/>
        </w:rPr>
        <w:br/>
        <w:t xml:space="preserve">w wysokości 1 PLN powinna zrównoważyć kwalifikowany dochód na poziomie 1 PLN. </w:t>
      </w:r>
    </w:p>
    <w:p w14:paraId="40276497"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424AC04F"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Jeśli składnik aktywów z tytułu odroczonego podatku dochodowego został wykazany według stawki 5%, kwalifikowana strata w wysokości 100 skutkuje aktywem z tytułu odroczonego podatku dochodowego w wysokości 5. W przypadku późniejszego osiągnięcia 100 dochodu, ten składnik aktywów z tytułu odroczonego podatku dochodowego jest odwracany i dodawany do podatków kwalifikowanych. W przypadku braku takiej regulacji pozwalającej na przeliczenie kwalifikowanej straty, wskutek uzyskania 100 dochodu naliczono by globalny podatek wyrównawczy w wysokości 10. Zezwolenie na przeliczenie kwalifikowanej straty według stawki minimalnej (tj. zwiększenie wartości rozpoznanego aktywa z tytułu odroczonego podatku dochodowego od 5 do 15 w odniesieniu do kwalifikowanej straty) zapobiega takiemu wynikowi i zapewnia, że strata 100 jest rozliczana ze 100 dochodu.</w:t>
      </w:r>
    </w:p>
    <w:p w14:paraId="48C06D2B" w14:textId="77777777" w:rsidR="00D25419" w:rsidRPr="00C96268" w:rsidRDefault="00D25419" w:rsidP="00D25419">
      <w:pPr>
        <w:spacing w:after="120"/>
        <w:jc w:val="both"/>
        <w:rPr>
          <w:rFonts w:ascii="Times New Roman" w:hAnsi="Times New Roman" w:cs="Times New Roman"/>
          <w:bCs/>
          <w:iCs/>
          <w:sz w:val="24"/>
          <w:szCs w:val="24"/>
        </w:rPr>
      </w:pPr>
      <w:r w:rsidRPr="00C96268">
        <w:rPr>
          <w:rFonts w:ascii="Times New Roman" w:hAnsi="Times New Roman" w:cs="Times New Roman"/>
          <w:bCs/>
          <w:iCs/>
          <w:sz w:val="24"/>
          <w:szCs w:val="24"/>
        </w:rPr>
        <w:t>Powyższe zasady dotyczące kwoty wynikającej z przeliczenia kwalifikowanej straty stosuje się, jeżeli podatnik wykaże, że składnik aktywów przeliczony według minimalnej stawki podatkowej za ten rok podatkowy można przypisać kwalifikowanej stracie.</w:t>
      </w:r>
    </w:p>
    <w:p w14:paraId="1928D5A1" w14:textId="77777777" w:rsidR="00D25419" w:rsidRPr="00C96268" w:rsidRDefault="00D25419" w:rsidP="00D25419">
      <w:pPr>
        <w:pStyle w:val="Nagwek5"/>
        <w:rPr>
          <w:rFonts w:ascii="Times New Roman" w:hAnsi="Times New Roman" w:cs="Times New Roman"/>
          <w:sz w:val="24"/>
          <w:szCs w:val="24"/>
        </w:rPr>
      </w:pPr>
      <w:r w:rsidRPr="00C96268">
        <w:rPr>
          <w:rFonts w:ascii="Times New Roman" w:hAnsi="Times New Roman" w:cs="Times New Roman"/>
          <w:sz w:val="24"/>
          <w:szCs w:val="24"/>
        </w:rPr>
        <w:t xml:space="preserve">Art. 89 [Ponowne ujęcie rezerwy] </w:t>
      </w:r>
    </w:p>
    <w:p w14:paraId="4E982E25" w14:textId="2B574BFE"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Art. 89</w:t>
      </w:r>
      <w:r w:rsidRPr="00C96268">
        <w:rPr>
          <w:rFonts w:ascii="Times New Roman" w:hAnsi="Times New Roman" w:cs="Times New Roman"/>
          <w:bCs/>
          <w:sz w:val="24"/>
          <w:szCs w:val="24"/>
        </w:rPr>
        <w:t xml:space="preserve"> projektu stanowi implementację art. 22 </w:t>
      </w:r>
      <w:r w:rsidR="00AF4F44" w:rsidRPr="00C96268">
        <w:rPr>
          <w:rFonts w:ascii="Times New Roman" w:hAnsi="Times New Roman" w:cs="Times New Roman"/>
          <w:bCs/>
          <w:sz w:val="24"/>
          <w:szCs w:val="24"/>
        </w:rPr>
        <w:t xml:space="preserve">ust. 7 i 8 </w:t>
      </w:r>
      <w:r w:rsidRPr="00C96268">
        <w:rPr>
          <w:rFonts w:ascii="Times New Roman" w:hAnsi="Times New Roman" w:cs="Times New Roman"/>
          <w:bCs/>
          <w:sz w:val="24"/>
          <w:szCs w:val="24"/>
        </w:rPr>
        <w:t>Dyrektywy. Określa on zasady ponownego ujęcia w księgach rezerw z tytułu odroczonego podatku dochodowego, które nie podlegają odwróceniu w terminie pięciu lat. Rezerwy takie podlegają rozwiązaniu w roku podatkowym, w którym zostały pierwotnie uwzględnione w łącznej kwocie korekty z tytułu odroczonego podatku dochodowego. Zasada ta nie ma jednak zastosowania od zwiększeń rezerw z tytułu podatku odroczonego określonych w ustępie trzecim tego artykułu.</w:t>
      </w:r>
    </w:p>
    <w:p w14:paraId="3F2F252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Celem tej regulacji jest zapewnienie, że co do zasady rezerwy z tytułu odroczonego podatku dochodowego są faktycznie rozliczane w wymaganym terminie (nie jest to wymagane jedynie w przypadku rezerw tworzonych w odniesieniu do kategorii enumeratywnie wymienionych w ust. 3). </w:t>
      </w:r>
    </w:p>
    <w:p w14:paraId="0EB1D9C3"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Każda taka pozycja powinna być sprawdzana w każdym roku podatkowym pod kątem konieczności ponownego ujęcia w księgach. </w:t>
      </w:r>
    </w:p>
    <w:p w14:paraId="57FBB9F9"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6F1A5EC5"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W roku 0 jednostka składowa rozpoznaje kwotę jako rezerwę z tytułu odroczonego podatku dochodowego i włącza tę kwotę do skorygowanych podatków kwalifikowanych. Kategoria dochodu, do której odnosi się ta rezerwa, nie została wymieniona w ustępie trzecim. Jeżeli rezerwa ta nie zostaje rozwiązana w piątym roku (czyli 5 lat podatkowych od roku kiedy kwota zastałą ujęta) podlega ponownemu ujęciu na podstawie tego ustępu. Odpowiednio, zobowiązanie z tytułu podatku wyrównawczego za rok 0 musi zostać przeliczone zgodnie z przepisami działu II.</w:t>
      </w:r>
      <w:r w:rsidRPr="003E7A67" w:rsidDel="00DF4F46">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 </w:t>
      </w:r>
    </w:p>
    <w:p w14:paraId="61B2992F"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Jak zostało wskazane, wyjątkiem od powyższej zasady są kwoty wymienione w ustępie trzecim. Kwoty te nie wymagają więc monitorowania na bieżąco pod kątem obowiązkowego ponownego ujęcia w księgach. Są to kwoty odnoszące się do różnic przejściowych, które są zazwyczaj powiązane z istotną działalnością w danej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lub są różnicami, które nie są podatne na manipulację. W związku z tym, aby zmniejszyć obciążenia związane z przestrzeganiem przepisów, uwzględniono te elementy niskiego ryzyka, które z czasem z pewnością ulegną odwróceniu, i których monitorowanie na bieżąco nie jest konieczne.</w:t>
      </w:r>
    </w:p>
    <w:p w14:paraId="1BAB9663" w14:textId="77777777" w:rsidR="00D25419" w:rsidRPr="00C96268" w:rsidRDefault="00D25419" w:rsidP="00D25419">
      <w:pPr>
        <w:pStyle w:val="Nagwek5"/>
        <w:rPr>
          <w:rFonts w:ascii="Times New Roman" w:hAnsi="Times New Roman" w:cs="Times New Roman"/>
          <w:sz w:val="24"/>
          <w:szCs w:val="24"/>
        </w:rPr>
      </w:pPr>
      <w:r w:rsidRPr="00C96268">
        <w:rPr>
          <w:rFonts w:ascii="Times New Roman" w:hAnsi="Times New Roman" w:cs="Times New Roman"/>
          <w:sz w:val="24"/>
          <w:szCs w:val="24"/>
        </w:rPr>
        <w:t xml:space="preserve">Art. 90 [Rozliczenie zastępczego aktywa z tytułu odroczonego podatku dochodowego] </w:t>
      </w:r>
    </w:p>
    <w:p w14:paraId="20B5268A" w14:textId="77777777" w:rsidR="00D25419" w:rsidRPr="00C96268" w:rsidRDefault="00D25419" w:rsidP="00D25419">
      <w:pPr>
        <w:jc w:val="both"/>
        <w:rPr>
          <w:rFonts w:ascii="Times New Roman" w:hAnsi="Times New Roman" w:cs="Times New Roman"/>
          <w:sz w:val="24"/>
          <w:szCs w:val="24"/>
        </w:rPr>
      </w:pPr>
      <w:r w:rsidRPr="00C96268">
        <w:rPr>
          <w:rFonts w:ascii="Times New Roman" w:hAnsi="Times New Roman" w:cs="Times New Roman"/>
          <w:sz w:val="24"/>
          <w:szCs w:val="24"/>
        </w:rPr>
        <w:t>Przepis art. 90 dotyczy specyficznych sytuacji, w których system podatkowy wymaga, aby strata podatkowa ze źródeł krajowych była kompensowana dochodem zagranicznej jednostki kontrolowanej przed uwzględnieniem jakichkolwiek kwot kredytu podatkowego w odniesieniu do tego dochodu. W takich przypadkach podatek zapłacony przez zagraniczną jednostkę kontrolowaną w jurysdykcji</w:t>
      </w:r>
      <w:r w:rsidRPr="00C96268" w:rsidDel="00A0237B">
        <w:rPr>
          <w:rFonts w:ascii="Times New Roman" w:hAnsi="Times New Roman" w:cs="Times New Roman"/>
          <w:sz w:val="24"/>
          <w:szCs w:val="24"/>
        </w:rPr>
        <w:t xml:space="preserve"> </w:t>
      </w:r>
      <w:r w:rsidRPr="00C96268">
        <w:rPr>
          <w:rFonts w:ascii="Times New Roman" w:hAnsi="Times New Roman" w:cs="Times New Roman"/>
          <w:sz w:val="24"/>
          <w:szCs w:val="24"/>
        </w:rPr>
        <w:t>jej lokalizacji, nie jest rozliczany z podatkiem dochodowym w jurysdykcji</w:t>
      </w:r>
      <w:r w:rsidRPr="00C96268" w:rsidDel="00A0237B">
        <w:rPr>
          <w:rFonts w:ascii="Times New Roman" w:hAnsi="Times New Roman" w:cs="Times New Roman"/>
          <w:sz w:val="24"/>
          <w:szCs w:val="24"/>
        </w:rPr>
        <w:t xml:space="preserve"> </w:t>
      </w:r>
      <w:r w:rsidRPr="00C96268">
        <w:rPr>
          <w:rFonts w:ascii="Times New Roman" w:hAnsi="Times New Roman" w:cs="Times New Roman"/>
          <w:sz w:val="24"/>
          <w:szCs w:val="24"/>
        </w:rPr>
        <w:t xml:space="preserve">właściciela zagranicznej jednostki kontrolowanej, lecz przenoszony na kolejne lata podatkowe do rozliczenia. W takim przypadku przy wyliczaniu efektywnej stawki podatkowej dla celów ustawy w kolejnych latach nie uwzględnia się wartości przeniesionego kredytu podatkowego wykorzystanego w kolejnych okresach rozliczeniowych. Wynika to faktu, iż w odniesieniu do tej kwoty kredytu podatkowego w roku poniesienia straty podatkowej ze źródeł krajowych nie tworzy się dla celów rachunkowych aktywa z tytułu odroczonego podatku dochodowego. W celu uzyskania funkcjonalnie równoważnych wyników, jak w przypadkach gdy kompensacja straty krajowej z dochodem zagranicznym nie jest wymagana, tworzy się tzw. „zastępcze” aktywo z tytułu odroczonego podatku dochodowego dla celów ustawy. </w:t>
      </w:r>
    </w:p>
    <w:p w14:paraId="6094360D" w14:textId="77777777" w:rsidR="00D25419" w:rsidRPr="00C96268" w:rsidRDefault="00D25419" w:rsidP="00D25419">
      <w:pPr>
        <w:jc w:val="both"/>
        <w:rPr>
          <w:rFonts w:ascii="Times New Roman" w:hAnsi="Times New Roman" w:cs="Times New Roman"/>
          <w:sz w:val="24"/>
          <w:szCs w:val="24"/>
        </w:rPr>
      </w:pPr>
      <w:r w:rsidRPr="00C96268">
        <w:rPr>
          <w:rFonts w:ascii="Times New Roman" w:hAnsi="Times New Roman" w:cs="Times New Roman"/>
          <w:sz w:val="24"/>
          <w:szCs w:val="24"/>
        </w:rPr>
        <w:t xml:space="preserve">W ramach ust. 2 zdefiniowano warunki, które powinny spełniać przepisy o zagranicznych spółkach kontrolowanych, aby możliwe było utworzenie zastępczego aktywa z tytułu odroczonego podatku dochodowego. Z kolei w ramach ust. 3 zawarto regulacje wprowadzające limit w ustalaniu wartości zastępczego aktywa z tytułu odroczonego podatku dochodowego. </w:t>
      </w:r>
    </w:p>
    <w:p w14:paraId="30EA7A39" w14:textId="77777777" w:rsidR="00D25419" w:rsidRPr="00C96268" w:rsidRDefault="00D25419" w:rsidP="00D25419">
      <w:pPr>
        <w:pStyle w:val="Nagwek5"/>
        <w:spacing w:before="120"/>
        <w:rPr>
          <w:rFonts w:ascii="Times New Roman" w:hAnsi="Times New Roman" w:cs="Times New Roman"/>
          <w:sz w:val="24"/>
          <w:szCs w:val="24"/>
        </w:rPr>
      </w:pPr>
      <w:r w:rsidRPr="00C96268">
        <w:rPr>
          <w:rFonts w:ascii="Times New Roman" w:hAnsi="Times New Roman" w:cs="Times New Roman"/>
          <w:sz w:val="24"/>
          <w:szCs w:val="24"/>
        </w:rPr>
        <w:t xml:space="preserve">Art. 91 [Ograniczenie stosowania w przypadku wyboru dotyczącego kwalifikowanej straty] </w:t>
      </w:r>
    </w:p>
    <w:p w14:paraId="2E5FACF5" w14:textId="77777777" w:rsidR="00D25419" w:rsidRPr="00C96268" w:rsidRDefault="00D25419" w:rsidP="00D25419">
      <w:pPr>
        <w:jc w:val="both"/>
        <w:rPr>
          <w:rFonts w:ascii="Times New Roman" w:hAnsi="Times New Roman" w:cs="Times New Roman"/>
          <w:sz w:val="24"/>
          <w:szCs w:val="24"/>
        </w:rPr>
      </w:pPr>
      <w:r w:rsidRPr="00C96268">
        <w:rPr>
          <w:rFonts w:ascii="Times New Roman" w:hAnsi="Times New Roman" w:cs="Times New Roman"/>
          <w:sz w:val="24"/>
          <w:szCs w:val="24"/>
        </w:rPr>
        <w:t>Artykuł ten wprowadza ograniczenie stosowania regulacji dotyczących całkowitej korekty podatku odroczonego. Zasad tych nie stosuje się do jednostek składowych zlokalizowanych w jurysdykcji, w odniesieniu do której dokonano wyboru dotyczącego kwalifikowanej straty, uregulowanego w kolejnych artykułach.</w:t>
      </w:r>
    </w:p>
    <w:p w14:paraId="277AFB16" w14:textId="77777777" w:rsidR="00D25419" w:rsidRPr="00C96268" w:rsidRDefault="00D25419" w:rsidP="00D25419">
      <w:pPr>
        <w:pStyle w:val="Nagwek4"/>
        <w:rPr>
          <w:rFonts w:ascii="Times New Roman" w:hAnsi="Times New Roman" w:cs="Times New Roman"/>
          <w:sz w:val="24"/>
          <w:szCs w:val="24"/>
        </w:rPr>
      </w:pPr>
      <w:r w:rsidRPr="00C96268">
        <w:rPr>
          <w:rFonts w:ascii="Times New Roman" w:hAnsi="Times New Roman" w:cs="Times New Roman"/>
          <w:sz w:val="24"/>
          <w:szCs w:val="24"/>
        </w:rPr>
        <w:t>Oddział 3 - Wybór dotyczący kwalifikowanej straty</w:t>
      </w:r>
    </w:p>
    <w:p w14:paraId="33FF4ACB" w14:textId="77777777" w:rsidR="00D25419" w:rsidRPr="00C96268" w:rsidRDefault="00D25419" w:rsidP="00D25419">
      <w:pPr>
        <w:pStyle w:val="Nagwek5"/>
        <w:spacing w:before="120"/>
        <w:rPr>
          <w:rFonts w:ascii="Times New Roman" w:hAnsi="Times New Roman" w:cs="Times New Roman"/>
          <w:sz w:val="24"/>
          <w:szCs w:val="24"/>
        </w:rPr>
      </w:pPr>
      <w:r w:rsidRPr="00C96268">
        <w:rPr>
          <w:rFonts w:ascii="Times New Roman" w:hAnsi="Times New Roman" w:cs="Times New Roman"/>
          <w:sz w:val="24"/>
          <w:szCs w:val="24"/>
        </w:rPr>
        <w:t xml:space="preserve">Art. 92 [Wybór dotyczący kwalifikowanej straty] </w:t>
      </w:r>
    </w:p>
    <w:p w14:paraId="63E51261"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 xml:space="preserve">Art. 92 </w:t>
      </w:r>
      <w:r w:rsidRPr="00C96268">
        <w:rPr>
          <w:rFonts w:ascii="Times New Roman" w:hAnsi="Times New Roman" w:cs="Times New Roman"/>
          <w:bCs/>
          <w:sz w:val="24"/>
          <w:szCs w:val="24"/>
        </w:rPr>
        <w:t xml:space="preserve">implementuje artykuł 23 Dyrektywy. Przewiduje on możliwość ustalenia, dla celów Systemu GloBE, specjalnych aktywów z tytułu odroczonego podatku dochodowego, jeżeli w danej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wystąpiła </w:t>
      </w:r>
      <w:r w:rsidRPr="00C96268">
        <w:rPr>
          <w:rFonts w:ascii="Times New Roman" w:hAnsi="Times New Roman" w:cs="Times New Roman"/>
          <w:b/>
          <w:sz w:val="24"/>
          <w:szCs w:val="24"/>
        </w:rPr>
        <w:t>jurysdykcyjna kwalifikowana strata netto</w:t>
      </w:r>
      <w:r w:rsidRPr="00C96268">
        <w:rPr>
          <w:rFonts w:ascii="Times New Roman" w:hAnsi="Times New Roman" w:cs="Times New Roman"/>
          <w:bCs/>
          <w:sz w:val="24"/>
          <w:szCs w:val="24"/>
        </w:rPr>
        <w:t xml:space="preserve">. </w:t>
      </w:r>
    </w:p>
    <w:p w14:paraId="65FEFBC3" w14:textId="4F0B1BED"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Stosowanie tej metody jest zależne od dokonania wyboru określanego jako </w:t>
      </w:r>
      <w:r w:rsidRPr="00C96268">
        <w:rPr>
          <w:rFonts w:ascii="Times New Roman" w:hAnsi="Times New Roman" w:cs="Times New Roman"/>
          <w:b/>
          <w:sz w:val="24"/>
          <w:szCs w:val="24"/>
        </w:rPr>
        <w:t>wybór dotyczący kwalifikowanej straty</w:t>
      </w:r>
      <w:r w:rsidRPr="00C96268">
        <w:rPr>
          <w:rFonts w:ascii="Times New Roman" w:hAnsi="Times New Roman" w:cs="Times New Roman"/>
          <w:bCs/>
          <w:sz w:val="24"/>
          <w:szCs w:val="24"/>
        </w:rPr>
        <w:t xml:space="preserve">. W przypadku dokonania takiego wyboru metoda opisana w tym artykule jest </w:t>
      </w:r>
      <w:r w:rsidRPr="00C96268">
        <w:rPr>
          <w:rFonts w:ascii="Times New Roman" w:hAnsi="Times New Roman" w:cs="Times New Roman"/>
          <w:b/>
          <w:sz w:val="24"/>
          <w:szCs w:val="24"/>
        </w:rPr>
        <w:t>stosowana w miejsce zasad związanych z całkowitą korektą podatku odroczonego</w:t>
      </w:r>
      <w:r w:rsidRPr="00C96268">
        <w:rPr>
          <w:rFonts w:ascii="Times New Roman" w:hAnsi="Times New Roman" w:cs="Times New Roman"/>
          <w:bCs/>
          <w:sz w:val="24"/>
          <w:szCs w:val="24"/>
        </w:rPr>
        <w:t>.</w:t>
      </w:r>
    </w:p>
    <w:p w14:paraId="020D509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Regulacja ta została przewidziana przede wszystkim jako uproszczenie w odniesieniu do </w:t>
      </w:r>
      <w:r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które nie nakładają podatku dochodowego od osób prawnych lub nakładają go według bardzo niskiej stawki. Jeżeli bowiem jednostka składowa jest </w:t>
      </w:r>
      <w:r w:rsidRPr="00C96268">
        <w:rPr>
          <w:rFonts w:ascii="Times New Roman" w:hAnsi="Times New Roman" w:cs="Times New Roman"/>
          <w:sz w:val="24"/>
          <w:szCs w:val="24"/>
        </w:rPr>
        <w:t>zlokalizowana</w:t>
      </w:r>
      <w:r w:rsidRPr="00C96268">
        <w:rPr>
          <w:rFonts w:ascii="Times New Roman" w:hAnsi="Times New Roman" w:cs="Times New Roman"/>
          <w:bCs/>
          <w:sz w:val="24"/>
          <w:szCs w:val="24"/>
        </w:rPr>
        <w:t xml:space="preserve"> w </w:t>
      </w:r>
      <w:r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która nie nakłada podatku CIT, jednostka ta nie tworzy żadnego aktywa z tytułu podatku odroczonego z tytułu poniesionych strat. Stąd, dokonanie omawianego wyboru zapewnia aktywo z tytułu podatku odroczonego w odniesieniu do strat, które w innym przypadku nie byłyby rozpoznane na potrzeby Systemu GloBE, co mogłoby doprowadzić do zwiększonego opodatkowania wyrównawczego.  </w:t>
      </w:r>
    </w:p>
    <w:p w14:paraId="53D98825" w14:textId="692BBA78" w:rsidR="00D25419" w:rsidRPr="00C96268" w:rsidRDefault="00D25419" w:rsidP="00D25419">
      <w:pPr>
        <w:spacing w:after="120"/>
        <w:jc w:val="both"/>
        <w:rPr>
          <w:rFonts w:ascii="Times New Roman" w:hAnsi="Times New Roman" w:cs="Times New Roman"/>
          <w:sz w:val="24"/>
          <w:szCs w:val="24"/>
        </w:rPr>
      </w:pPr>
      <w:r w:rsidRPr="00C96268">
        <w:rPr>
          <w:rFonts w:ascii="Times New Roman" w:hAnsi="Times New Roman" w:cs="Times New Roman"/>
          <w:sz w:val="24"/>
          <w:szCs w:val="24"/>
        </w:rPr>
        <w:t xml:space="preserve">Należy podkreślić, że omawiany wybór jest, co do zasady, </w:t>
      </w:r>
      <w:r w:rsidRPr="00C96268">
        <w:rPr>
          <w:rFonts w:ascii="Times New Roman" w:hAnsi="Times New Roman" w:cs="Times New Roman"/>
          <w:b/>
          <w:bCs/>
          <w:sz w:val="24"/>
          <w:szCs w:val="24"/>
        </w:rPr>
        <w:t>wyborem jurysdykcyjnym</w:t>
      </w:r>
      <w:r w:rsidRPr="00C96268">
        <w:rPr>
          <w:rFonts w:ascii="Times New Roman" w:hAnsi="Times New Roman" w:cs="Times New Roman"/>
          <w:sz w:val="24"/>
          <w:szCs w:val="24"/>
        </w:rPr>
        <w:t xml:space="preserve">. Tym samym, zgodnie z </w:t>
      </w:r>
      <w:r w:rsidRPr="00C96268">
        <w:rPr>
          <w:rFonts w:ascii="Times New Roman" w:hAnsi="Times New Roman" w:cs="Times New Roman"/>
          <w:b/>
          <w:bCs/>
          <w:sz w:val="24"/>
          <w:szCs w:val="24"/>
        </w:rPr>
        <w:t>ust. 2</w:t>
      </w:r>
      <w:r w:rsidRPr="00C96268">
        <w:rPr>
          <w:rFonts w:ascii="Times New Roman" w:hAnsi="Times New Roman" w:cs="Times New Roman"/>
          <w:sz w:val="24"/>
          <w:szCs w:val="24"/>
        </w:rPr>
        <w:t xml:space="preserve"> wyboru tego dokonuje się, zasadniczo, dla wszystkich jednostek składowych grupy zlokalizowanych w danej jurysdykcji. </w:t>
      </w:r>
      <w:r w:rsidRPr="00C96268">
        <w:rPr>
          <w:rFonts w:ascii="Times New Roman" w:hAnsi="Times New Roman" w:cs="Times New Roman"/>
          <w:bCs/>
          <w:sz w:val="24"/>
          <w:szCs w:val="24"/>
        </w:rPr>
        <w:t xml:space="preserve">Wyboru można dokonać w odniesieniu do dowolnej </w:t>
      </w:r>
      <w:r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za wyjątkiem </w:t>
      </w:r>
      <w:r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t>
      </w:r>
      <w:r w:rsidR="00E32DF6" w:rsidRPr="00C96268">
        <w:rPr>
          <w:rFonts w:ascii="Times New Roman" w:hAnsi="Times New Roman" w:cs="Times New Roman"/>
          <w:bCs/>
          <w:sz w:val="24"/>
          <w:szCs w:val="24"/>
        </w:rPr>
        <w:t>w</w:t>
      </w:r>
      <w:r w:rsidRPr="00C96268">
        <w:rPr>
          <w:rFonts w:ascii="Times New Roman" w:hAnsi="Times New Roman" w:cs="Times New Roman"/>
          <w:bCs/>
          <w:sz w:val="24"/>
          <w:szCs w:val="24"/>
        </w:rPr>
        <w:t xml:space="preserve"> której są </w:t>
      </w:r>
      <w:r w:rsidRPr="00C96268">
        <w:rPr>
          <w:rFonts w:ascii="Times New Roman" w:hAnsi="Times New Roman" w:cs="Times New Roman"/>
          <w:sz w:val="24"/>
          <w:szCs w:val="24"/>
        </w:rPr>
        <w:t>zlokalizowane</w:t>
      </w:r>
      <w:r w:rsidRPr="00C96268">
        <w:rPr>
          <w:rFonts w:ascii="Times New Roman" w:hAnsi="Times New Roman" w:cs="Times New Roman"/>
          <w:bCs/>
          <w:sz w:val="24"/>
          <w:szCs w:val="24"/>
        </w:rPr>
        <w:t xml:space="preserve"> jednostki składowe danej grupy </w:t>
      </w:r>
      <w:r w:rsidR="00E32DF6" w:rsidRPr="00C96268">
        <w:rPr>
          <w:rFonts w:ascii="Times New Roman" w:hAnsi="Times New Roman" w:cs="Times New Roman"/>
          <w:bCs/>
          <w:sz w:val="24"/>
          <w:szCs w:val="24"/>
        </w:rPr>
        <w:t xml:space="preserve"> objęte </w:t>
      </w:r>
      <w:r w:rsidRPr="00C96268">
        <w:rPr>
          <w:rFonts w:ascii="Times New Roman" w:hAnsi="Times New Roman" w:cs="Times New Roman"/>
          <w:bCs/>
          <w:sz w:val="24"/>
          <w:szCs w:val="24"/>
        </w:rPr>
        <w:t>system</w:t>
      </w:r>
      <w:r w:rsidR="00E32DF6" w:rsidRPr="00C96268">
        <w:rPr>
          <w:rFonts w:ascii="Times New Roman" w:hAnsi="Times New Roman" w:cs="Times New Roman"/>
          <w:bCs/>
          <w:sz w:val="24"/>
          <w:szCs w:val="24"/>
        </w:rPr>
        <w:t>em</w:t>
      </w:r>
      <w:r w:rsidRPr="00C96268">
        <w:rPr>
          <w:rFonts w:ascii="Times New Roman" w:hAnsi="Times New Roman" w:cs="Times New Roman"/>
          <w:bCs/>
          <w:sz w:val="24"/>
          <w:szCs w:val="24"/>
        </w:rPr>
        <w:t xml:space="preserve"> oparty</w:t>
      </w:r>
      <w:r w:rsidR="00E32DF6" w:rsidRPr="00C96268">
        <w:rPr>
          <w:rFonts w:ascii="Times New Roman" w:hAnsi="Times New Roman" w:cs="Times New Roman"/>
          <w:bCs/>
          <w:sz w:val="24"/>
          <w:szCs w:val="24"/>
        </w:rPr>
        <w:t>m</w:t>
      </w:r>
      <w:r w:rsidRPr="00C96268">
        <w:rPr>
          <w:rFonts w:ascii="Times New Roman" w:hAnsi="Times New Roman" w:cs="Times New Roman"/>
          <w:bCs/>
          <w:sz w:val="24"/>
          <w:szCs w:val="24"/>
        </w:rPr>
        <w:t xml:space="preserve"> na opodatkowaniu wypłaty zysku</w:t>
      </w:r>
      <w:r w:rsidR="00D429DE" w:rsidRPr="00C96268">
        <w:rPr>
          <w:rFonts w:ascii="Times New Roman" w:hAnsi="Times New Roman" w:cs="Times New Roman"/>
          <w:bCs/>
          <w:sz w:val="24"/>
          <w:szCs w:val="24"/>
        </w:rPr>
        <w:t>, o którym mowa w art. 115 ust. 1</w:t>
      </w:r>
      <w:r w:rsidRPr="00C96268">
        <w:rPr>
          <w:rFonts w:ascii="Times New Roman" w:hAnsi="Times New Roman" w:cs="Times New Roman"/>
          <w:bCs/>
          <w:sz w:val="24"/>
          <w:szCs w:val="24"/>
        </w:rPr>
        <w:t xml:space="preserve">. </w:t>
      </w:r>
    </w:p>
    <w:p w14:paraId="5B48E4B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Jeżeli dokonano wskazanego wyboru i wystąpiła jurysdykcyjna kwalifikowana strata netto, w świetle </w:t>
      </w:r>
      <w:r w:rsidRPr="00C96268">
        <w:rPr>
          <w:rFonts w:ascii="Times New Roman" w:hAnsi="Times New Roman" w:cs="Times New Roman"/>
          <w:b/>
          <w:sz w:val="24"/>
          <w:szCs w:val="24"/>
        </w:rPr>
        <w:t>ust. 1</w:t>
      </w:r>
      <w:r w:rsidRPr="00C96268">
        <w:rPr>
          <w:rFonts w:ascii="Times New Roman" w:hAnsi="Times New Roman" w:cs="Times New Roman"/>
          <w:bCs/>
          <w:sz w:val="24"/>
          <w:szCs w:val="24"/>
        </w:rPr>
        <w:t xml:space="preserve"> tworzy się – dla celów Systemu GloBE - aktywa z tytułu odroczonego podatku dochodowego (określane jako </w:t>
      </w:r>
      <w:r w:rsidRPr="00C96268">
        <w:rPr>
          <w:rFonts w:ascii="Times New Roman" w:hAnsi="Times New Roman" w:cs="Times New Roman"/>
          <w:b/>
          <w:sz w:val="24"/>
          <w:szCs w:val="24"/>
        </w:rPr>
        <w:t>aktywa od kwalifikowanej straty</w:t>
      </w:r>
      <w:r w:rsidRPr="00C96268">
        <w:rPr>
          <w:rFonts w:ascii="Times New Roman" w:hAnsi="Times New Roman" w:cs="Times New Roman"/>
          <w:bCs/>
          <w:sz w:val="24"/>
          <w:szCs w:val="24"/>
        </w:rPr>
        <w:t xml:space="preserve">). Wartość tych aktywów ustala się mnożąc wartość jurysdykcyjnej kwalifikowanej straty netto przez minimalną stawkę podatkową (15%). Aktywo to może zostać przeniesione na przyszłe lata i wykorzystane za każdy kolejny rok podatkowy, w którym występuje jurysdykcyjny kwalifikowany dochód netto. Zarazem, wykorzystana kwota aktywów od kwalifikowanej straty zwiększa podatki kwalifikowane. </w:t>
      </w:r>
    </w:p>
    <w:p w14:paraId="167BE35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Odpowiednio, uregulowano sytuację, w której wskazany wybór zostaje odwołany. Wymaga on, aby wszelkie pozostałe na podstawie tej regulacji aktywa od kwalifikowanej straty zostały zredukowane do zera, począwszy od roku, za który wybór ten został odwołany. Jest to wymagane, ponieważ w przypadku przywrócenia metody rozliczania całkowitej korekty podatku odroczonego, uwzględnia się historyczne aktywa i rezerwy z tytułu odroczonego podatku dochodowego (księgowane tak, jakby zostały obliczone zgodnie z zasadami ogólnymi za poprzednie lata podatkowe). Dalsze rozliczanie aktywa od kwalifikowanej straty mogłoby skutkować podwójną korzyścią z tytułu poniesionych strat.</w:t>
      </w:r>
    </w:p>
    <w:p w14:paraId="29CDD27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Końcowo,  zawarto przepisy szczególne, określający zasady dokonywania wyboru w przypadku restrukturyzacji oraz w odniesieniu do jednostki pośredniczącej, która jest jednostką dominującą najwyższego szczebla i która poniosła kwalifikowaną stratę. </w:t>
      </w:r>
    </w:p>
    <w:p w14:paraId="581089E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W przypadku restrukturyzacji grupy regulacja ta dotyczy aktywów od kwalifikowanej straty związanych z przejmowanymi jednostkami składowymi. Aktywa te podlegają rozliczeniu przez grupę restrukturyzowaną,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w odniesieniu do której dokonano wyboru. Jeżeli jednak w wyniku restrukturyzacji grupa nie posiada jednostek składowych w tej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to uznaje się, że nieodliczone aktywa od kwalifikowanej straty wynoszą dla tej grupy i w odniesieniu do tej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zero.</w:t>
      </w:r>
    </w:p>
    <w:p w14:paraId="0D875F3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Rozwiązanie w zakresie jednostki pośredniczącej będącej jednostka dominującą najwyższego szczebla ma na celu zapewnienie, że straty ponoszone przez akcjonariuszy (udziałowców) nie będą podwójnie liczone. Taka kwalifikowana strata pozostaje stratą jednostki dominującej najwyższego szczebla będącej jednostką pośredniczącą i może zostać wykorzystana wyłącznie do pokrycia przyszłych kwalifikowanych strat. Konsekwentnie, ponieważ inne jednostki składowe nie są uwzględniane przy obliczaniu kwalifikowanej straty takiej jednostki pośredniczącej, wyboru tego dokonuje się wyłącznie w odniesieniu do tej jednostki. Podkreślenia wymaga, że takiego wyboru i odpowiednio odrębnego określenia kwalifikowanych aktywów tej jednostki dokonuje się niezależnie od tego, czy analogicznego wyboru dokonano w odniesieniu do pozostałych jednostek </w:t>
      </w:r>
      <w:r w:rsidRPr="00C96268">
        <w:rPr>
          <w:rFonts w:ascii="Times New Roman" w:hAnsi="Times New Roman" w:cs="Times New Roman"/>
          <w:sz w:val="24"/>
          <w:szCs w:val="24"/>
        </w:rPr>
        <w:t>zlokalizowanych</w:t>
      </w:r>
      <w:r w:rsidRPr="00C96268">
        <w:rPr>
          <w:rFonts w:ascii="Times New Roman" w:hAnsi="Times New Roman" w:cs="Times New Roman"/>
          <w:bCs/>
          <w:sz w:val="24"/>
          <w:szCs w:val="24"/>
        </w:rPr>
        <w:t xml:space="preserve"> w danej </w:t>
      </w:r>
      <w:r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t>
      </w:r>
    </w:p>
    <w:p w14:paraId="1D5CF4A9" w14:textId="77777777" w:rsidR="00D25419" w:rsidRPr="00C96268" w:rsidRDefault="00D25419" w:rsidP="00D25419">
      <w:pPr>
        <w:pStyle w:val="Nagwek4"/>
        <w:rPr>
          <w:rFonts w:ascii="Times New Roman" w:hAnsi="Times New Roman" w:cs="Times New Roman"/>
          <w:sz w:val="24"/>
          <w:szCs w:val="24"/>
        </w:rPr>
      </w:pPr>
      <w:r w:rsidRPr="00C96268">
        <w:rPr>
          <w:rFonts w:ascii="Times New Roman" w:hAnsi="Times New Roman" w:cs="Times New Roman"/>
          <w:sz w:val="24"/>
          <w:szCs w:val="24"/>
        </w:rPr>
        <w:t>Oddział 4 – Przydzielenie podatków kwalifikowanych</w:t>
      </w:r>
    </w:p>
    <w:p w14:paraId="1222C0E7" w14:textId="77777777" w:rsidR="00D25419" w:rsidRPr="00C96268" w:rsidRDefault="00D25419" w:rsidP="00D25419">
      <w:pPr>
        <w:pStyle w:val="Nagwek5"/>
        <w:spacing w:before="240"/>
        <w:rPr>
          <w:rFonts w:ascii="Times New Roman" w:hAnsi="Times New Roman" w:cs="Times New Roman"/>
          <w:sz w:val="24"/>
          <w:szCs w:val="24"/>
        </w:rPr>
      </w:pPr>
      <w:r w:rsidRPr="00C96268">
        <w:rPr>
          <w:rFonts w:ascii="Times New Roman" w:hAnsi="Times New Roman" w:cs="Times New Roman"/>
          <w:sz w:val="24"/>
          <w:szCs w:val="24"/>
        </w:rPr>
        <w:t>Art. 93 [Przydzielenie podatków kwalifikowanych]</w:t>
      </w:r>
    </w:p>
    <w:p w14:paraId="5A4F18A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 xml:space="preserve">Art. 93 </w:t>
      </w:r>
      <w:r w:rsidRPr="00C96268">
        <w:rPr>
          <w:rFonts w:ascii="Times New Roman" w:hAnsi="Times New Roman" w:cs="Times New Roman"/>
          <w:bCs/>
          <w:sz w:val="24"/>
          <w:szCs w:val="24"/>
        </w:rPr>
        <w:t xml:space="preserve">projektu stanowi implementację art. 24.1–5 Dyrektywy i określa zasady przydzielenia (alokacji) kwoty podatków kwalifikowanych pomiędzy jednostką składową a inne podmioty. </w:t>
      </w:r>
    </w:p>
    <w:p w14:paraId="2771F4D2" w14:textId="77777777" w:rsidR="00D25419" w:rsidRPr="00C96268" w:rsidRDefault="00D25419" w:rsidP="00D25419">
      <w:pPr>
        <w:spacing w:after="120" w:line="256" w:lineRule="auto"/>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Alokacja podatków kwalifikowanych konieczna jest przede wszystkim kiedy są one nakładane na daną jednostkę składową w odniesieniu do dochodu uwzględnianego przez inną jednostkę składową lub są nakładane przez </w:t>
      </w:r>
      <w:r w:rsidRPr="00C96268">
        <w:rPr>
          <w:rFonts w:ascii="Times New Roman" w:hAnsi="Times New Roman" w:cs="Times New Roman"/>
          <w:sz w:val="24"/>
          <w:szCs w:val="24"/>
        </w:rPr>
        <w:t>jurysdykcję</w:t>
      </w:r>
      <w:r w:rsidRPr="00C96268" w:rsidDel="00A0237B">
        <w:rPr>
          <w:rFonts w:ascii="Times New Roman" w:eastAsia="Calibri" w:hAnsi="Times New Roman" w:cs="Times New Roman"/>
          <w:bCs/>
          <w:sz w:val="24"/>
          <w:szCs w:val="24"/>
        </w:rPr>
        <w:t xml:space="preserve"> </w:t>
      </w:r>
      <w:r w:rsidRPr="00C96268">
        <w:rPr>
          <w:rFonts w:ascii="Times New Roman" w:eastAsia="Calibri" w:hAnsi="Times New Roman" w:cs="Times New Roman"/>
          <w:bCs/>
          <w:sz w:val="24"/>
          <w:szCs w:val="24"/>
        </w:rPr>
        <w:t xml:space="preserve">inną niż </w:t>
      </w:r>
      <w:r w:rsidRPr="00C96268">
        <w:rPr>
          <w:rFonts w:ascii="Times New Roman" w:hAnsi="Times New Roman" w:cs="Times New Roman"/>
          <w:sz w:val="24"/>
          <w:szCs w:val="24"/>
        </w:rPr>
        <w:t>jurysdykcja</w:t>
      </w:r>
      <w:r w:rsidRPr="00C96268" w:rsidDel="00A0237B">
        <w:rPr>
          <w:rFonts w:ascii="Times New Roman" w:eastAsia="Calibri" w:hAnsi="Times New Roman" w:cs="Times New Roman"/>
          <w:bCs/>
          <w:sz w:val="24"/>
          <w:szCs w:val="24"/>
        </w:rPr>
        <w:t xml:space="preserve"> </w:t>
      </w:r>
      <w:r w:rsidRPr="00C96268">
        <w:rPr>
          <w:rFonts w:ascii="Times New Roman" w:eastAsia="Calibri" w:hAnsi="Times New Roman" w:cs="Times New Roman"/>
          <w:bCs/>
          <w:sz w:val="24"/>
          <w:szCs w:val="24"/>
        </w:rPr>
        <w:t xml:space="preserve">lokalizacji danej jednostki (np. podatki nakładane w ramach systemu zagranicznych jednostek kontrolowanych, czy podatku u źródła). Podobne zasady są wymagane również dla prawidłowej alokacji podatków kwalifikowanych pomiędzy centrale i ich zakłady oraz jednostki hybrydowe i ich właścicieli, a także w przypadku podatków nakładanych na dywidendy lub wypłaty o podobnym charakterze, innych niż podatki u źródła. </w:t>
      </w:r>
    </w:p>
    <w:p w14:paraId="59C9E591" w14:textId="77777777" w:rsidR="00D25419" w:rsidRPr="00C96268" w:rsidRDefault="00D25419" w:rsidP="00D25419">
      <w:pPr>
        <w:spacing w:after="120" w:line="256" w:lineRule="auto"/>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Podkreślenia wymaga, że zasady dotyczące alokacji podatków kwalifikowanych opierają się na tym samym schemacie co alokacja kwalifikowanego dochodu. Zatem, kiedy jednostka składowa uwzględnia dany dochód przy obliczaniu swojego kwalifikowanego dochodu (straty), podatki kwalifikowane odpowiadające temu dochodowi uwzględnia się w celu obliczenia efektywnej stawki podatkowej dla </w:t>
      </w:r>
      <w:r w:rsidRPr="00C96268">
        <w:rPr>
          <w:rFonts w:ascii="Times New Roman" w:hAnsi="Times New Roman" w:cs="Times New Roman"/>
          <w:sz w:val="24"/>
          <w:szCs w:val="24"/>
        </w:rPr>
        <w:t>jurysdykcji</w:t>
      </w:r>
      <w:r w:rsidRPr="00C96268">
        <w:rPr>
          <w:rFonts w:ascii="Times New Roman" w:eastAsia="Calibri" w:hAnsi="Times New Roman" w:cs="Times New Roman"/>
          <w:bCs/>
          <w:sz w:val="24"/>
          <w:szCs w:val="24"/>
        </w:rPr>
        <w:t xml:space="preserve">, w której jest zlokalizowana. Wprowadzana regulacja w kolejnych punktach </w:t>
      </w:r>
      <w:r w:rsidRPr="00C96268">
        <w:rPr>
          <w:rFonts w:ascii="Times New Roman" w:eastAsia="Calibri" w:hAnsi="Times New Roman" w:cs="Times New Roman"/>
          <w:b/>
          <w:sz w:val="24"/>
          <w:szCs w:val="24"/>
        </w:rPr>
        <w:t>ustępu 1</w:t>
      </w:r>
      <w:r w:rsidRPr="00C96268">
        <w:rPr>
          <w:rFonts w:ascii="Times New Roman" w:eastAsia="Calibri" w:hAnsi="Times New Roman" w:cs="Times New Roman"/>
          <w:bCs/>
          <w:sz w:val="24"/>
          <w:szCs w:val="24"/>
        </w:rPr>
        <w:t xml:space="preserve"> (1-5) wskazuje zatem metodologię postępowania przy przydzielaniu podatków kwalifikowanych między jednostkami grupy, celem ich przypisania do jednostki, która faktycznie uzyskała opodatkowany dochód.</w:t>
      </w:r>
    </w:p>
    <w:p w14:paraId="3178DE3E" w14:textId="77777777" w:rsidR="00D25419" w:rsidRPr="00C96268" w:rsidRDefault="00D25419" w:rsidP="00D25419">
      <w:pPr>
        <w:spacing w:after="120" w:line="256" w:lineRule="auto"/>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Podatki kwalifikowane w części odnoszącej się do kwalifikowanego dochodu (straty):</w:t>
      </w:r>
    </w:p>
    <w:p w14:paraId="04F2BFF4" w14:textId="77777777" w:rsidR="00D25419" w:rsidRPr="00C96268" w:rsidRDefault="00D25419" w:rsidP="00D25419">
      <w:pPr>
        <w:numPr>
          <w:ilvl w:val="0"/>
          <w:numId w:val="40"/>
        </w:numPr>
        <w:spacing w:line="256" w:lineRule="auto"/>
        <w:contextualSpacing/>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stałego zakładu (ujęte w księgach jednostki składowej, w szczególności centrali czy stałego zakładu) – przydzielane są odpowiednio do tego zakładu </w:t>
      </w:r>
      <w:r w:rsidRPr="00C96268">
        <w:rPr>
          <w:rFonts w:ascii="Times New Roman" w:eastAsia="Calibri" w:hAnsi="Times New Roman" w:cs="Times New Roman"/>
          <w:b/>
          <w:sz w:val="24"/>
          <w:szCs w:val="24"/>
        </w:rPr>
        <w:t>(pkt 1)</w:t>
      </w:r>
      <w:r w:rsidRPr="00C96268">
        <w:rPr>
          <w:rFonts w:ascii="Times New Roman" w:eastAsia="Calibri" w:hAnsi="Times New Roman" w:cs="Times New Roman"/>
          <w:bCs/>
          <w:sz w:val="24"/>
          <w:szCs w:val="24"/>
        </w:rPr>
        <w:t xml:space="preserve">; </w:t>
      </w:r>
    </w:p>
    <w:p w14:paraId="6FBA956E" w14:textId="77777777" w:rsidR="00D25419" w:rsidRPr="00C96268" w:rsidRDefault="00D25419" w:rsidP="00D25419">
      <w:pPr>
        <w:numPr>
          <w:ilvl w:val="0"/>
          <w:numId w:val="40"/>
        </w:numPr>
        <w:spacing w:after="120" w:line="256" w:lineRule="auto"/>
        <w:contextualSpacing/>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jednostki będącej właścicielem jednostki transparentnej podatkowo (ujęte w księgach tej jednostki) – przydzielane są odpowiednio temu właścicielowi </w:t>
      </w:r>
      <w:r w:rsidRPr="00C96268">
        <w:rPr>
          <w:rFonts w:ascii="Times New Roman" w:eastAsia="Calibri" w:hAnsi="Times New Roman" w:cs="Times New Roman"/>
          <w:b/>
          <w:sz w:val="24"/>
          <w:szCs w:val="24"/>
        </w:rPr>
        <w:t>(pkt 2)</w:t>
      </w:r>
      <w:r w:rsidRPr="00C96268">
        <w:rPr>
          <w:rFonts w:ascii="Times New Roman" w:eastAsia="Calibri" w:hAnsi="Times New Roman" w:cs="Times New Roman"/>
          <w:bCs/>
          <w:sz w:val="24"/>
          <w:szCs w:val="24"/>
        </w:rPr>
        <w:t>;</w:t>
      </w:r>
    </w:p>
    <w:p w14:paraId="64039A17" w14:textId="77777777" w:rsidR="00D25419" w:rsidRPr="00C96268" w:rsidRDefault="00D25419" w:rsidP="00D25419">
      <w:pPr>
        <w:numPr>
          <w:ilvl w:val="0"/>
          <w:numId w:val="40"/>
        </w:numPr>
        <w:spacing w:after="120" w:line="256" w:lineRule="auto"/>
        <w:contextualSpacing/>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jednostki składowej będącej zagraniczną jednostką kontrolowaną (CFC) (ujęte w księgach jednostki będącej właścicielem w jurysdykcji</w:t>
      </w:r>
      <w:r w:rsidRPr="00C96268" w:rsidDel="00A0237B">
        <w:rPr>
          <w:rFonts w:ascii="Times New Roman" w:eastAsia="Calibri" w:hAnsi="Times New Roman" w:cs="Times New Roman"/>
          <w:bCs/>
          <w:sz w:val="24"/>
          <w:szCs w:val="24"/>
        </w:rPr>
        <w:t xml:space="preserve"> </w:t>
      </w:r>
      <w:r w:rsidRPr="00C96268">
        <w:rPr>
          <w:rFonts w:ascii="Times New Roman" w:eastAsia="Calibri" w:hAnsi="Times New Roman" w:cs="Times New Roman"/>
          <w:bCs/>
          <w:sz w:val="24"/>
          <w:szCs w:val="24"/>
        </w:rPr>
        <w:t xml:space="preserve">jego lokalizacji) – przydzielane są odpowiednio takiej jednostce </w:t>
      </w:r>
      <w:r w:rsidRPr="00C96268">
        <w:rPr>
          <w:rFonts w:ascii="Times New Roman" w:eastAsia="Calibri" w:hAnsi="Times New Roman" w:cs="Times New Roman"/>
          <w:b/>
          <w:sz w:val="24"/>
          <w:szCs w:val="24"/>
        </w:rPr>
        <w:t>(pkt 3)</w:t>
      </w:r>
      <w:r w:rsidRPr="00C96268">
        <w:rPr>
          <w:rFonts w:ascii="Times New Roman" w:eastAsia="Calibri" w:hAnsi="Times New Roman" w:cs="Times New Roman"/>
          <w:bCs/>
          <w:sz w:val="24"/>
          <w:szCs w:val="24"/>
        </w:rPr>
        <w:t>;</w:t>
      </w:r>
    </w:p>
    <w:p w14:paraId="793B4B61" w14:textId="77777777" w:rsidR="00D25419" w:rsidRPr="00C96268" w:rsidRDefault="00D25419" w:rsidP="00D25419">
      <w:pPr>
        <w:numPr>
          <w:ilvl w:val="0"/>
          <w:numId w:val="40"/>
        </w:numPr>
        <w:spacing w:after="120" w:line="256" w:lineRule="auto"/>
        <w:contextualSpacing/>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jednostki hybrydowej (ujęte w księgach jednostki składowej będącej właścicielem) – przydzielane są odpowiednio tej jednostce </w:t>
      </w:r>
      <w:r w:rsidRPr="00C96268">
        <w:rPr>
          <w:rFonts w:ascii="Times New Roman" w:eastAsia="Calibri" w:hAnsi="Times New Roman" w:cs="Times New Roman"/>
          <w:b/>
          <w:sz w:val="24"/>
          <w:szCs w:val="24"/>
        </w:rPr>
        <w:t>(pkt 4)</w:t>
      </w:r>
      <w:r w:rsidRPr="00C96268">
        <w:rPr>
          <w:rFonts w:ascii="Times New Roman" w:eastAsia="Calibri" w:hAnsi="Times New Roman" w:cs="Times New Roman"/>
          <w:bCs/>
          <w:sz w:val="24"/>
          <w:szCs w:val="24"/>
        </w:rPr>
        <w:t>;</w:t>
      </w:r>
    </w:p>
    <w:p w14:paraId="72C7BF12" w14:textId="77777777" w:rsidR="00D25419" w:rsidRPr="00C96268" w:rsidRDefault="00D25419" w:rsidP="00D25419">
      <w:pPr>
        <w:numPr>
          <w:ilvl w:val="0"/>
          <w:numId w:val="40"/>
        </w:numPr>
        <w:spacing w:after="120" w:line="256" w:lineRule="auto"/>
        <w:contextualSpacing/>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jednostki składowej z tytułu dokonanych przez nią wypłat dywidend lub innych wypłat o podobnym charakterze (ujęte w księgach jednostki będącej bezpośrednim właścicielem) – przydzielane są takiej jednostce </w:t>
      </w:r>
      <w:r w:rsidRPr="00C96268">
        <w:rPr>
          <w:rFonts w:ascii="Times New Roman" w:eastAsia="Calibri" w:hAnsi="Times New Roman" w:cs="Times New Roman"/>
          <w:b/>
          <w:bCs/>
          <w:sz w:val="24"/>
          <w:szCs w:val="24"/>
        </w:rPr>
        <w:t>(pkt 5)</w:t>
      </w:r>
    </w:p>
    <w:p w14:paraId="73FA1909" w14:textId="77777777" w:rsidR="00D25419" w:rsidRPr="00C96268" w:rsidRDefault="00D25419" w:rsidP="00D25419">
      <w:pPr>
        <w:spacing w:before="240" w:after="120" w:line="256" w:lineRule="auto"/>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W zakresie omawianego ustępu 1 dodatkowego komentarza wymaga przypadek określony w pkt 5</w:t>
      </w:r>
      <w:r w:rsidRPr="00C96268">
        <w:rPr>
          <w:rFonts w:ascii="Times New Roman" w:eastAsia="Calibri" w:hAnsi="Times New Roman" w:cs="Times New Roman"/>
          <w:bCs/>
          <w:sz w:val="24"/>
          <w:szCs w:val="24"/>
          <w:vertAlign w:val="superscript"/>
        </w:rPr>
        <w:footnoteReference w:id="143"/>
      </w:r>
      <w:r w:rsidRPr="00C96268">
        <w:rPr>
          <w:rFonts w:ascii="Times New Roman" w:eastAsia="Calibri" w:hAnsi="Times New Roman" w:cs="Times New Roman"/>
          <w:bCs/>
          <w:sz w:val="24"/>
          <w:szCs w:val="24"/>
        </w:rPr>
        <w:t xml:space="preserve">, zgodnie z którym podatki kwalifikowane od dochodów z wypłacanych udziałowcom (z tyt. udziałów własnościowych) dywidend lub innych podobnych wypłat są alokowane w wypłacającej je jednostce składowej. Wymienione wypłaty obejmują podatek u źródła oraz podatki na zasadzie netto poniesione przez jednostki będące bezpośrednim właścicielem jednostki składowej. Co do zasady, podatki u źródła są nakładane i pobierane zgodnie z przepisami </w:t>
      </w:r>
      <w:r w:rsidRPr="00C96268">
        <w:rPr>
          <w:rFonts w:ascii="Times New Roman" w:hAnsi="Times New Roman" w:cs="Times New Roman"/>
          <w:sz w:val="24"/>
          <w:szCs w:val="24"/>
        </w:rPr>
        <w:t>jurysdykcji</w:t>
      </w:r>
      <w:r w:rsidRPr="00C96268" w:rsidDel="00A0237B">
        <w:rPr>
          <w:rFonts w:ascii="Times New Roman" w:eastAsia="Calibri" w:hAnsi="Times New Roman" w:cs="Times New Roman"/>
          <w:bCs/>
          <w:sz w:val="24"/>
          <w:szCs w:val="24"/>
        </w:rPr>
        <w:t xml:space="preserve"> </w:t>
      </w:r>
      <w:r w:rsidRPr="00C96268">
        <w:rPr>
          <w:rFonts w:ascii="Times New Roman" w:eastAsia="Calibri" w:hAnsi="Times New Roman" w:cs="Times New Roman"/>
          <w:bCs/>
          <w:sz w:val="24"/>
          <w:szCs w:val="24"/>
        </w:rPr>
        <w:t>lokalizacji jednostki wypłacającej, natomiast podatek dochodowy jest domeną (i obowiązkiem) właściciela jednostki składowej.</w:t>
      </w:r>
    </w:p>
    <w:p w14:paraId="5C9F6614" w14:textId="77777777" w:rsidR="00D25419" w:rsidRPr="00C96268" w:rsidRDefault="00D25419" w:rsidP="00D25419">
      <w:pPr>
        <w:spacing w:after="120" w:line="256" w:lineRule="auto"/>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Jako że powyższa zasada ma odpowiednie zastosowanie do podatków kwalifikowanych od każdego rodzaju wypłat z tytułu udziału (udziałów własnościowych) w wypłacającej jednostce składowej, objęte nią zostaną także podatki </w:t>
      </w:r>
      <w:r w:rsidRPr="00C96268">
        <w:rPr>
          <w:rFonts w:ascii="Times New Roman" w:eastAsia="Calibri" w:hAnsi="Times New Roman" w:cs="Times New Roman"/>
          <w:b/>
          <w:sz w:val="24"/>
          <w:szCs w:val="24"/>
        </w:rPr>
        <w:t>od wypłat niespełniających definicji dywidendy</w:t>
      </w:r>
      <w:r w:rsidRPr="00C96268">
        <w:rPr>
          <w:rFonts w:ascii="Times New Roman" w:eastAsia="Calibri" w:hAnsi="Times New Roman" w:cs="Times New Roman"/>
          <w:bCs/>
          <w:sz w:val="24"/>
          <w:szCs w:val="24"/>
        </w:rPr>
        <w:t xml:space="preserve"> do celów podatkowych w </w:t>
      </w:r>
      <w:r w:rsidRPr="00C96268">
        <w:rPr>
          <w:rFonts w:ascii="Times New Roman" w:hAnsi="Times New Roman" w:cs="Times New Roman"/>
          <w:sz w:val="24"/>
          <w:szCs w:val="24"/>
        </w:rPr>
        <w:t>jurysdykcji</w:t>
      </w:r>
      <w:r w:rsidRPr="00C96268" w:rsidDel="00A0237B">
        <w:rPr>
          <w:rFonts w:ascii="Times New Roman" w:eastAsia="Calibri" w:hAnsi="Times New Roman" w:cs="Times New Roman"/>
          <w:bCs/>
          <w:sz w:val="24"/>
          <w:szCs w:val="24"/>
        </w:rPr>
        <w:t xml:space="preserve"> </w:t>
      </w:r>
      <w:r w:rsidRPr="00C96268">
        <w:rPr>
          <w:rFonts w:ascii="Times New Roman" w:eastAsia="Calibri" w:hAnsi="Times New Roman" w:cs="Times New Roman"/>
          <w:bCs/>
          <w:sz w:val="24"/>
          <w:szCs w:val="24"/>
        </w:rPr>
        <w:t xml:space="preserve">lokalizacji otrzymującego - gdy ten udział jest traktowany w </w:t>
      </w:r>
      <w:r w:rsidRPr="00C96268">
        <w:rPr>
          <w:rFonts w:ascii="Times New Roman" w:hAnsi="Times New Roman" w:cs="Times New Roman"/>
          <w:sz w:val="24"/>
          <w:szCs w:val="24"/>
        </w:rPr>
        <w:t>jurysdykcji</w:t>
      </w:r>
      <w:r w:rsidRPr="00C96268" w:rsidDel="00A0237B">
        <w:rPr>
          <w:rFonts w:ascii="Times New Roman" w:eastAsia="Calibri" w:hAnsi="Times New Roman" w:cs="Times New Roman"/>
          <w:bCs/>
          <w:sz w:val="24"/>
          <w:szCs w:val="24"/>
        </w:rPr>
        <w:t xml:space="preserve"> </w:t>
      </w:r>
      <w:r w:rsidRPr="00C96268">
        <w:rPr>
          <w:rFonts w:ascii="Times New Roman" w:eastAsia="Calibri" w:hAnsi="Times New Roman" w:cs="Times New Roman"/>
          <w:bCs/>
          <w:sz w:val="24"/>
          <w:szCs w:val="24"/>
        </w:rPr>
        <w:t xml:space="preserve">jednostki nakładającej podatek jako udział kapitałowy do celów podatkowych jak i rachunkowych. </w:t>
      </w:r>
    </w:p>
    <w:p w14:paraId="6A1BF830" w14:textId="77777777" w:rsidR="00D25419" w:rsidRPr="00C96268" w:rsidRDefault="00D25419" w:rsidP="00D25419">
      <w:pPr>
        <w:spacing w:after="120" w:line="256" w:lineRule="auto"/>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Wspomniany przepis stosuje się również do podatków kwalifikowanych </w:t>
      </w:r>
      <w:r w:rsidRPr="00C96268">
        <w:rPr>
          <w:rFonts w:ascii="Times New Roman" w:eastAsia="Calibri" w:hAnsi="Times New Roman" w:cs="Times New Roman"/>
          <w:b/>
          <w:sz w:val="24"/>
          <w:szCs w:val="24"/>
        </w:rPr>
        <w:t>od domniemanych (zakładanych) wypłat</w:t>
      </w:r>
      <w:r w:rsidRPr="00C96268">
        <w:rPr>
          <w:rFonts w:ascii="Times New Roman" w:eastAsia="Calibri" w:hAnsi="Times New Roman" w:cs="Times New Roman"/>
          <w:bCs/>
          <w:sz w:val="24"/>
          <w:szCs w:val="24"/>
        </w:rPr>
        <w:t>, których ciężar spoczywa na właścicielach jednostki składowej. Obejmują one podatki (inne niż nakładane w ramach systemu zagranicznych jednostek kontrolowanych) obciążające udziałowca w związku z niewypłaconym zyskiem lub kapitałem jednostki, w której posiada udziały własnościowe, w tym uzgodnione dywidendy.</w:t>
      </w:r>
    </w:p>
    <w:p w14:paraId="4E0D2AFE" w14:textId="77777777" w:rsidR="00D25419" w:rsidRPr="00C96268" w:rsidRDefault="00D25419" w:rsidP="00D25419">
      <w:pPr>
        <w:spacing w:after="120" w:line="256" w:lineRule="auto"/>
        <w:jc w:val="both"/>
        <w:rPr>
          <w:rFonts w:ascii="Times New Roman" w:eastAsia="Calibri" w:hAnsi="Times New Roman" w:cs="Times New Roman"/>
          <w:bCs/>
          <w:sz w:val="24"/>
          <w:szCs w:val="24"/>
        </w:rPr>
      </w:pPr>
      <w:r w:rsidRPr="00C96268">
        <w:rPr>
          <w:rFonts w:ascii="Times New Roman" w:eastAsia="Calibri" w:hAnsi="Times New Roman" w:cs="Times New Roman"/>
          <w:bCs/>
          <w:sz w:val="24"/>
          <w:szCs w:val="24"/>
        </w:rPr>
        <w:t xml:space="preserve">W </w:t>
      </w:r>
      <w:r w:rsidRPr="00C96268">
        <w:rPr>
          <w:rFonts w:ascii="Times New Roman" w:eastAsia="Calibri" w:hAnsi="Times New Roman" w:cs="Times New Roman"/>
          <w:b/>
          <w:bCs/>
          <w:sz w:val="24"/>
          <w:szCs w:val="24"/>
        </w:rPr>
        <w:t>ust. 2</w:t>
      </w:r>
      <w:r w:rsidRPr="00C96268">
        <w:rPr>
          <w:rFonts w:ascii="Times New Roman" w:eastAsia="Calibri" w:hAnsi="Times New Roman" w:cs="Times New Roman"/>
          <w:bCs/>
          <w:sz w:val="24"/>
          <w:szCs w:val="24"/>
        </w:rPr>
        <w:t xml:space="preserve"> wyodrębniono definicję jednostki hybrydowej. Jest to jednostka traktowana jako nietransparentna podatkowo zgodnie z przepisami </w:t>
      </w:r>
      <w:r w:rsidRPr="00C96268">
        <w:rPr>
          <w:rFonts w:ascii="Times New Roman" w:hAnsi="Times New Roman" w:cs="Times New Roman"/>
          <w:sz w:val="24"/>
          <w:szCs w:val="24"/>
        </w:rPr>
        <w:t>jurysdykcji</w:t>
      </w:r>
      <w:r w:rsidRPr="00C96268">
        <w:rPr>
          <w:rFonts w:ascii="Times New Roman" w:eastAsia="Calibri" w:hAnsi="Times New Roman" w:cs="Times New Roman"/>
          <w:bCs/>
          <w:sz w:val="24"/>
          <w:szCs w:val="24"/>
        </w:rPr>
        <w:t xml:space="preserve">, w której jest zlokalizowana, oraz jako transparentna podatkowo zgodnie z przepisami </w:t>
      </w:r>
      <w:r w:rsidRPr="00C96268">
        <w:rPr>
          <w:rFonts w:ascii="Times New Roman" w:hAnsi="Times New Roman" w:cs="Times New Roman"/>
          <w:sz w:val="24"/>
          <w:szCs w:val="24"/>
        </w:rPr>
        <w:t>jurysdykcji</w:t>
      </w:r>
      <w:r w:rsidRPr="00C96268">
        <w:rPr>
          <w:rFonts w:ascii="Times New Roman" w:eastAsia="Calibri" w:hAnsi="Times New Roman" w:cs="Times New Roman"/>
          <w:bCs/>
          <w:sz w:val="24"/>
          <w:szCs w:val="24"/>
        </w:rPr>
        <w:t xml:space="preserve">, w której jest zlokalizowany jej właściciel. Podkreślenia wymaga, że definicja ta pozwala na uznanie jednostki za jednostkę hybrydową wyłącznie w stosunku do właścicieli, którzy traktują ją jako transparentną podatkowo.  </w:t>
      </w:r>
    </w:p>
    <w:p w14:paraId="6A373F24" w14:textId="77777777" w:rsidR="00D25419" w:rsidRPr="00C96268" w:rsidRDefault="00D25419" w:rsidP="00D25419">
      <w:pPr>
        <w:pStyle w:val="Nagwek5"/>
        <w:jc w:val="both"/>
        <w:rPr>
          <w:rFonts w:ascii="Times New Roman" w:hAnsi="Times New Roman" w:cs="Times New Roman"/>
          <w:sz w:val="24"/>
          <w:szCs w:val="24"/>
        </w:rPr>
      </w:pPr>
      <w:r w:rsidRPr="00C96268">
        <w:rPr>
          <w:rFonts w:ascii="Times New Roman" w:hAnsi="Times New Roman" w:cs="Times New Roman"/>
          <w:sz w:val="24"/>
          <w:szCs w:val="24"/>
        </w:rPr>
        <w:t xml:space="preserve">Art. 94 [Podatki kwalifikowane od dochodu pasywnego ZJK] </w:t>
      </w:r>
    </w:p>
    <w:p w14:paraId="647E455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w:t>
      </w:r>
      <w:r w:rsidRPr="00C96268">
        <w:rPr>
          <w:rFonts w:ascii="Times New Roman" w:hAnsi="Times New Roman" w:cs="Times New Roman"/>
          <w:b/>
          <w:bCs/>
          <w:sz w:val="24"/>
          <w:szCs w:val="24"/>
        </w:rPr>
        <w:t xml:space="preserve"> art. 94</w:t>
      </w:r>
      <w:r w:rsidRPr="00C96268">
        <w:rPr>
          <w:rFonts w:ascii="Times New Roman" w:hAnsi="Times New Roman" w:cs="Times New Roman"/>
          <w:bCs/>
          <w:sz w:val="24"/>
          <w:szCs w:val="24"/>
        </w:rPr>
        <w:t xml:space="preserve"> dokonano implementacji ustępu szóstego art. 24 Dyrektywy oraz art. 7 Dyrektywy. Określa on zasady uwzględnienia w skorygowanych podatkach kwalifikowanych podatków kwalifikowanych od dochodu pasywnego alokowanych do danej jednostki. Ma ona na celu ograniczenie nadmiernego alokowania podatków od dochodu pasywnego od jednostki będącej właścicielem do ZJK. Zasada ta ma na celu zapewnienie, w odniesieniu do dochodu mobilnego, integralności przepisów dotyczących kalkulacji dokonywanych względem danej jurysdykcji. W przypadku braku tego artykułu, zasady alokacji do jednostki składowej podatków płaconych przez jednostki będące właścicielem w ramach systemu zagranicznych jednostek kontrolowanych lub w odniesieniu do jednostki hybrydowej, skutecznie łączyłyby podatki płacone przez właściciela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o wysokim poziomie opodatkowania z dochodem jednostki składowej </w:t>
      </w:r>
      <w:r w:rsidRPr="00C96268">
        <w:rPr>
          <w:rFonts w:ascii="Times New Roman" w:hAnsi="Times New Roman" w:cs="Times New Roman"/>
          <w:sz w:val="24"/>
          <w:szCs w:val="24"/>
        </w:rPr>
        <w:t>zlokalizowanej</w:t>
      </w:r>
      <w:r w:rsidRPr="00C96268">
        <w:rPr>
          <w:rFonts w:ascii="Times New Roman" w:hAnsi="Times New Roman" w:cs="Times New Roman"/>
          <w:bCs/>
          <w:sz w:val="24"/>
          <w:szCs w:val="24"/>
        </w:rPr>
        <w:t xml:space="preserve">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o niskim poziomie opodatkowania. Bez tej regulacji możliwe byłoby więc przenoszenia dochodów z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o wysokim poziomie opodatkowania do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o niskim poziomie opodatkowania, w celu zmniejszenia całkowitego zobowiązania podatkowego w ramach grupy (w tym zobowiązania z tytułu podatku wyrównawczego). </w:t>
      </w:r>
    </w:p>
    <w:p w14:paraId="5B37A8DF"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Pozostała, po zastosowaniu tej zasady, kwota podatków kwalifikowanych, które zostały naliczone przez jednostkę będącą właścicielem jednostki w związku z takim dochodem pasywnym, uwzględniana jest w jej podatkach kwalifikowanych. W praktyce zasada ta skutkować więc będzie ograniczeniem zaliczenia podatków kwalifikowanych związanych z takim dochodem pasywnym do kalkulacji efektywnej stawki podatkowej.  </w:t>
      </w:r>
    </w:p>
    <w:p w14:paraId="015653AC" w14:textId="77777777" w:rsidR="00D25419" w:rsidRPr="00C96268" w:rsidRDefault="00D25419" w:rsidP="00D25419">
      <w:pPr>
        <w:pStyle w:val="Nagwek5"/>
        <w:rPr>
          <w:rFonts w:ascii="Times New Roman" w:hAnsi="Times New Roman" w:cs="Times New Roman"/>
          <w:sz w:val="24"/>
          <w:szCs w:val="24"/>
        </w:rPr>
      </w:pPr>
      <w:r w:rsidRPr="00C96268">
        <w:rPr>
          <w:rFonts w:ascii="Times New Roman" w:hAnsi="Times New Roman" w:cs="Times New Roman"/>
          <w:sz w:val="24"/>
          <w:szCs w:val="24"/>
        </w:rPr>
        <w:t xml:space="preserve">Art. 95 [Alokacja podatków kwalifikowanych między zakładem a centralą]  </w:t>
      </w:r>
    </w:p>
    <w:p w14:paraId="67D4AD1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Art. 95</w:t>
      </w:r>
      <w:r w:rsidRPr="00C96268">
        <w:rPr>
          <w:rFonts w:ascii="Times New Roman" w:hAnsi="Times New Roman" w:cs="Times New Roman"/>
          <w:bCs/>
          <w:sz w:val="24"/>
          <w:szCs w:val="24"/>
        </w:rPr>
        <w:t xml:space="preserve"> stanowi implementację ustępu siódmego art. 24 Dyrektywy i określa szczegółowe zasady alokacji podatków kwalifikowanych, kiedy zgodnie z ustawą kwalifikowany dochód stałego zakładu traktowany jest jako kwalifikowany dochód centrali. Podatki takie stanowią wówczas podatki kwalifikowane centrali, jednak maksymalnie w kwocie odpowiadającej iloczynowi takiego dochodu zakładu i najwyższej nominalnej stawki podatku dochodowego od osób prawnych obowiązującej zgodnie z przepisami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lokalizacji centrali. Warunek, że stawka ta ma mieć zastosowanie do dochodu, który nie podlega zwolnieniu, wyłączeniu z opodatkowania, ulgom podatkowym ani innym preferencjom podatkowym stanowi rozwinięcie zastosowanego w Dyrektywie pojęcia stawki stosowanej do „zwykłego dochodu”. Zgodnie z Komentarzem stawka ta powinna być rozumiana zgodnie ze znaczeniem przyjętym w paragrafie 32 raportu OECD z 2015 r. na temat: Działanie 2: Neutralizacja skutków niedopasowań hybrydowych. Nie obejmuje to również stawek, które mają zastosowanie jedynie do określonych sektorów biznesowych (OECD, 2015).</w:t>
      </w:r>
    </w:p>
    <w:p w14:paraId="65017A16"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Sytuacja taka ma miejsce, gdy strata zakładu została potraktowana jako strata centrali na potrzeby ustawy. W większości przypadków,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zakładu nie będzie podatków (ze względu na to, że </w:t>
      </w:r>
      <w:r w:rsidRPr="00C96268">
        <w:rPr>
          <w:rFonts w:ascii="Times New Roman" w:hAnsi="Times New Roman" w:cs="Times New Roman"/>
          <w:sz w:val="24"/>
          <w:szCs w:val="24"/>
        </w:rPr>
        <w:t>jurysdykcja</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pozwala zakładowi na rozliczenie swojej straty lub, rzadziej, ponieważ zakład nie podlega podatkowi w danej </w:t>
      </w:r>
      <w:r w:rsidRPr="00C96268">
        <w:rPr>
          <w:rFonts w:ascii="Times New Roman" w:hAnsi="Times New Roman" w:cs="Times New Roman"/>
          <w:sz w:val="24"/>
          <w:szCs w:val="24"/>
        </w:rPr>
        <w:t>jurysdykcji</w:t>
      </w:r>
      <w:r w:rsidRPr="00C96268">
        <w:rPr>
          <w:rFonts w:ascii="Times New Roman" w:hAnsi="Times New Roman" w:cs="Times New Roman"/>
          <w:bCs/>
          <w:sz w:val="24"/>
          <w:szCs w:val="24"/>
        </w:rPr>
        <w:t xml:space="preserve">). W takim przypadku, jeżeli kwalifikowana strata zakładu jest traktowana jako wydatek centrali, każde aktywo z tytułu odroczonego podatku dochodowego utworzone w związku ze stratą podatkową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zakładu nie pomniejsza skorygowanych podatków kwalifikowanych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zakładu lub centrali. Odpowiednio, gdy aktywo z tytułu podatku odroczonego rozpoznane przez zakład zostaje wykorzystane w </w:t>
      </w:r>
      <w:r w:rsidRPr="00C96268">
        <w:rPr>
          <w:rFonts w:ascii="Times New Roman" w:hAnsi="Times New Roman" w:cs="Times New Roman"/>
          <w:sz w:val="24"/>
          <w:szCs w:val="24"/>
        </w:rPr>
        <w:t>jurysdykcji</w:t>
      </w:r>
      <w:r w:rsidRPr="00C96268" w:rsidDel="00A0237B">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zakładu, skorygowane podatki kwalifikowane w </w:t>
      </w:r>
      <w:r w:rsidRPr="00C96268">
        <w:rPr>
          <w:rFonts w:ascii="Times New Roman" w:hAnsi="Times New Roman" w:cs="Times New Roman"/>
          <w:sz w:val="24"/>
          <w:szCs w:val="24"/>
        </w:rPr>
        <w:t>jurysdykcji</w:t>
      </w:r>
      <w:r w:rsidRPr="00C96268" w:rsidDel="00123BDD">
        <w:rPr>
          <w:rFonts w:ascii="Times New Roman" w:hAnsi="Times New Roman" w:cs="Times New Roman"/>
          <w:bCs/>
          <w:sz w:val="24"/>
          <w:szCs w:val="24"/>
        </w:rPr>
        <w:t xml:space="preserve"> </w:t>
      </w:r>
      <w:r w:rsidRPr="00C96268">
        <w:rPr>
          <w:rFonts w:ascii="Times New Roman" w:hAnsi="Times New Roman" w:cs="Times New Roman"/>
          <w:bCs/>
          <w:sz w:val="24"/>
          <w:szCs w:val="24"/>
        </w:rPr>
        <w:t xml:space="preserve">zakładu lub centrali nie ulegają zwiększeniu. </w:t>
      </w:r>
    </w:p>
    <w:p w14:paraId="04B599C7"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Artykuł ten nie wyłącza jednak zastosowania pozostałych artykułów tego rozdziału do aktywa lub rezerwy z tytułu podatku odroczonego takiego zakładu.</w:t>
      </w:r>
    </w:p>
    <w:p w14:paraId="45D91D77" w14:textId="77777777" w:rsidR="00D25419" w:rsidRPr="00C96268" w:rsidRDefault="00D25419" w:rsidP="00D25419">
      <w:pPr>
        <w:pStyle w:val="Nagwek4"/>
        <w:rPr>
          <w:rFonts w:ascii="Times New Roman" w:hAnsi="Times New Roman" w:cs="Times New Roman"/>
          <w:sz w:val="24"/>
          <w:szCs w:val="24"/>
        </w:rPr>
      </w:pPr>
      <w:r w:rsidRPr="00C96268">
        <w:rPr>
          <w:rFonts w:ascii="Times New Roman" w:hAnsi="Times New Roman" w:cs="Times New Roman"/>
          <w:sz w:val="24"/>
          <w:szCs w:val="24"/>
        </w:rPr>
        <w:t>Oddział 5 - Korekty podatków kwalifikowanych po złożeniu zeznania i zmiany stawek podatkowych</w:t>
      </w:r>
    </w:p>
    <w:p w14:paraId="354C4495" w14:textId="77777777" w:rsidR="00D25419" w:rsidRPr="00C96268" w:rsidRDefault="00D25419" w:rsidP="00D25419">
      <w:pPr>
        <w:pStyle w:val="Nagwek5"/>
        <w:jc w:val="both"/>
        <w:rPr>
          <w:rFonts w:ascii="Times New Roman" w:hAnsi="Times New Roman" w:cs="Times New Roman"/>
          <w:sz w:val="24"/>
          <w:szCs w:val="24"/>
        </w:rPr>
      </w:pPr>
      <w:r w:rsidRPr="00C96268">
        <w:rPr>
          <w:rFonts w:ascii="Times New Roman" w:hAnsi="Times New Roman" w:cs="Times New Roman"/>
          <w:sz w:val="24"/>
          <w:szCs w:val="24"/>
        </w:rPr>
        <w:t>Art. 96 [Korekta podatków kwalifikowanych po złożeniu zeznania]</w:t>
      </w:r>
    </w:p>
    <w:p w14:paraId="49EFE69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
          <w:bCs/>
          <w:sz w:val="24"/>
          <w:szCs w:val="24"/>
        </w:rPr>
        <w:t xml:space="preserve">Art. 96 </w:t>
      </w:r>
      <w:r w:rsidRPr="00C96268">
        <w:rPr>
          <w:rFonts w:ascii="Times New Roman" w:hAnsi="Times New Roman" w:cs="Times New Roman"/>
          <w:bCs/>
          <w:sz w:val="24"/>
          <w:szCs w:val="24"/>
        </w:rPr>
        <w:t xml:space="preserve">stanowi implementację art. 25 ust. 1 i ust. 4 Dyrektywy i określa: </w:t>
      </w:r>
    </w:p>
    <w:p w14:paraId="136EF0C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(i) zasady uwzględniania w podatkach kwalifikowanych zmian ich wysokości, które nastąpiły po dacie złożenia zeznania, oraz </w:t>
      </w:r>
    </w:p>
    <w:p w14:paraId="2216B5D1"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(ii) obowiązek zmiany wysokości podatków kwalifikowanych za dany rok podatkowy w przypadku braku zapłaty podatku dochodowego w części bieżącej, który został uwzględniony w podatkach kwalifikowanych za lata poprzedzające. </w:t>
      </w:r>
    </w:p>
    <w:p w14:paraId="5C49D204" w14:textId="374A8E3C"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Ponadto, zgodnie z </w:t>
      </w:r>
      <w:r w:rsidR="00184330" w:rsidRPr="00C96268">
        <w:rPr>
          <w:rFonts w:ascii="Times New Roman" w:hAnsi="Times New Roman" w:cs="Times New Roman"/>
          <w:bCs/>
          <w:sz w:val="24"/>
          <w:szCs w:val="24"/>
        </w:rPr>
        <w:t>K</w:t>
      </w:r>
      <w:r w:rsidRPr="00C96268">
        <w:rPr>
          <w:rFonts w:ascii="Times New Roman" w:hAnsi="Times New Roman" w:cs="Times New Roman"/>
          <w:bCs/>
          <w:sz w:val="24"/>
          <w:szCs w:val="24"/>
        </w:rPr>
        <w:t xml:space="preserve">omentarzem, zasady dotyczące zmian w podatkach kwalifikowanych stosuje się  odpowiednio do określonych korekt w zakresie kwalifikowanego dochodu (straty). Aspekt ten został uwzględniony w ust. 2 tego artykułu. </w:t>
      </w:r>
    </w:p>
    <w:p w14:paraId="170ABB0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Odpowiednie określenie kwoty podatków kwalifikowanych uwzględnianej w kalkulacji podatku wyrównawczego jest kluczowe, ponieważ wpływa na poziom efektywnej stawki podatkowej, a tym samym decyduje o zaistnieniu obowiązku w podatku wyrównawczym i kwocie tego podatku.</w:t>
      </w:r>
    </w:p>
    <w:p w14:paraId="11B67BC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Zasady uwzględniania zmian w podatkach kwalifikowanych różnią się w zależności od tego czy dokonywana zmiana polega na ich podwyższeniu czy na obniżeniu. W pierwszym przypadku uwzględnia się ją w podatkach kwalifikowanych za dany rok podatkowy (bieżący rok dokonania korekty), w drugim – za poprzedzający rok podatkowy (lata podatkowe). Uwzględniając zmianę za poprzedzający rok podatkowy (lata podatkowe) uwzględnia się ją w podatkach kwalifikowanych, których zmiana ta dotyczy.</w:t>
      </w:r>
    </w:p>
    <w:p w14:paraId="20B8230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Uwzględnienie zmiany polegającej na podwyższeniu podatków kwalifikowanych w bieżącym roku podatkowym nie aż tak dokładne, jakim byłoby uwzględnienie jej w odpowiednich poprzedzających latach podatkowych. Zmiana ta nie umożliwia jednak uniknięcia podatku wyrównawczego, a uwzględnienie jej w bieżącym roku podatkowym jest znaczącym ułatwieniem administracyjnym. Ponadto, takie jej ujęcie nie skutkuje zwrotami zapłaconego podatku wyrównawczego.</w:t>
      </w:r>
    </w:p>
    <w:p w14:paraId="53251FF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Korekta polegająca na obniżeniu podatków kwalifikowanych musi być uwzględniana w roku, którego dotyczy, ponieważ może ona oznaczać, że podatek wyrównawczy za ten rok został zaniżony bądź (niezasadnie) w ogóle nie został obliczony. Korekta w roku bieżącym mogłaby nie odzwierciedlać unikniętego w ten sposób podatku wyrównawczego. Dlatego też, korekta polegająca na obniżeniu podatków kwalifikowanych skutkuje koniecznością ponownego obliczenia efektywnej stawki podatkowej i podatku wyrównawczego za rok, którego dotyczy. Ponowne ustalenie może zostać dokonane za poprzedzające lata podatkowe jedynie w zakresie, w jakim nie skutkuje zwrotem podatku wyrównawczego. Jeżeli skutkowałoby ono takim zwrotem, musi zostać uwzględnione w roku, w którym dokonano ponownego ustalenia. </w:t>
      </w:r>
    </w:p>
    <w:p w14:paraId="5248C8DC"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Wyjątkiem jest zmiana uznawana za nieistotne obniżenie podatków kwalifikowanych w rozumieniu ust. 1 pkt 1 lit a tego artykułu. Nieistotnym obniżeniem podatków kwalifikowanych jest łączne obniżenie podatków kwalifikowanych ustalonych w odniesieniu do danej jurysdykcji za rok podatkowy o mniej niż 1 mln EUR. Zmiana taka jest traktowana analogicznie od podwyższenia podatków kwalifikowanych, czyli jest uwzględniania w podatkach kwalifikowanych za dany rok podatkowy i uwzględniana na bieżąco przy obliczaniu efektywnej stawki podatkowej oraz podatku wyrównawczego. Wyjątek ten ma zastosowanie wyłącznie jeśli dokonano odpowiedniego wyboru w tym zakresie. Zgodnie z tym artykułem dokonanie wyboru i potraktowanie nieistotnego obniżenia podatków kwalifikowanych jako korekty podatków kwalifikowanych w roku, w którym dokonano ponownego ustalenia jest możliwe co roku.</w:t>
      </w:r>
    </w:p>
    <w:p w14:paraId="4D4E703F"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Jednocześnie, korekta błędu rachunkowego w określeniu kwalifikowanego dochodu (straty) za poprzedni rok podatkowy jest co do zasady uwzględniana w bieżącym roku podatkowym jako dodatkowy dochód lub wydatek. Jednak zgodnie z ustępem drugim tego artykułu, jeżeli błąd dotyczył dochodu podlegającego opodatkowaniu i skutkuje istotnym zmniejszeniem podatków kwalifikowanych za poprzedzający rok obrotowy, także korekta kwalifikowanego dochodu (straty) uwzględniana jest za ten poprzedzający rok (z zastrzeżeniem ograniczeń opisanych powyżej). Ma to na celu zapewnienie, że kwalifikowany dochód (strata) oraz podatki kwalifikowane z nim powiązane uwzględniono w obliczeniach efektywnej stawki podatkowej i podatku wyrównawczego za ten sam rok obrotowy (i uniknięto zniekształcenia wyniku). </w:t>
      </w:r>
    </w:p>
    <w:p w14:paraId="5534EFEF"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Kiedy więc korekta jest lub skutkuje istotnym obniżeniem podatków kwalifikowanych podatnik musi zrobić dwie rzeczy, aby określić podatek wyrównawczy za ten rok w odpowiedniej wysokości. </w:t>
      </w:r>
    </w:p>
    <w:p w14:paraId="6AE595DD"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 pierwsze, musi ustalić, czy błąd w obliczeniu podatku wynikał z błędu w obliczeniu dochodu podlegającego opodatkowaniu oraz czy wystąpił (odpowiadający temu błędowi) błąd w obliczeniu dochodu finansowego jednostki składowej. Jeżeli tak, w oparciu o tak skorygowane dane ponownie ustala się zarówno podatki, jak i kwalifikowany dochód (stratę) za poprzedni rok. </w:t>
      </w:r>
    </w:p>
    <w:p w14:paraId="04B32AA9"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 drugie, należy ponownie ustalić efektywną stawkę podatkową i jurysdykcyjny globalny podatek wyrównawczy</w:t>
      </w:r>
      <w:r w:rsidRPr="00C96268">
        <w:rPr>
          <w:rFonts w:ascii="Times New Roman" w:hAnsi="Times New Roman" w:cs="Times New Roman"/>
          <w:sz w:val="24"/>
          <w:szCs w:val="24"/>
          <w:vertAlign w:val="superscript"/>
        </w:rPr>
        <w:footnoteReference w:id="144"/>
      </w:r>
      <w:r w:rsidRPr="00C96268">
        <w:rPr>
          <w:rFonts w:ascii="Times New Roman" w:hAnsi="Times New Roman" w:cs="Times New Roman"/>
          <w:bCs/>
          <w:sz w:val="24"/>
          <w:szCs w:val="24"/>
        </w:rPr>
        <w:t xml:space="preserve"> za poprzedni rok w oparciu o ponownie ustalone podatki i, jeśli również skorygowany, kwalifikowany dochód (stratę). Jeżeli to ponowne ustalenie skutkuje naliczeniem dodatkowego podatku wyrównawczego, taki podatek jest uwzględniany w podatku wyrównawczym za rok podatkowy, w którym dokonano ponownego ustalenia. Sytuacja taka nie skutkuje obowiązkiem zmiany przez grupę informacji czy deklaracji podatkowych. </w:t>
      </w:r>
    </w:p>
    <w:p w14:paraId="6878541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Aktualność zachowuje jednak zasada, że ponowne ustalenie może zostać dokonane za poprzedzające lata podatkowe jedynie w zakresie, w jakim nie skutkuje zwrotem podatku wyrównawczego. Jeżeli skutkowałyby one takim zwrotem, odpowiednie korekty uwzględnia się w bieżącym roku podatkowym (tj. w roku, w którym dokonano ponownego ustalenia).  </w:t>
      </w:r>
    </w:p>
    <w:p w14:paraId="6B3F9148"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Powyższe zasady mają zastosowanie także, kiedy krajowa strata podatkowa zostaje przeniesiona na poprzedni rok podatkowy. Zwrot podatku za poprzedni rok podatkowy następuje wówczas w bieżącym roku podatkowy i stanowi zmniejszenie kwoty podatków kwalifikowanych za rok podatkowy, na który została przeniesiona strata. Jest to zmniejszenie podatków kwalifikowanych w rozumieniu powyższych zasad. </w:t>
      </w:r>
    </w:p>
    <w:p w14:paraId="00B57291"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Jeżeli więc taki zwrot podatków kwalifikowanych nie skutkuje nieistotnym obniżeniem podatków kwalifikowanych (lub nie dokonano odpowiedniego wyboru), wymaga on odpowiadającego mu ujęcia korekt odzwierciedlających przeniesienie krajowej straty podatkowej na lata poprzedzające, spójnego w skutkach z zasadami ujmowania krajowej straty podatkowej przenoszonej na przyszłe lata podatkowe. Przyjęto więc, że takie przeniesienie krajowej straty podatkowej na lata poprzedzające będzie skutkowało powstaniem aktywa z tytułu podatku odroczonego na tych samych zasadach, na jakich aktywo takie powstałoby zgodnie z ustawą, gdyby strata ta była ujęta jako strata przenoszona na przyszłe lata podatkowe. Odpowiednio, w roku w którym poniesiono stratę uwzględnia się  hipotetyczną kwotę z tytułu straty podatkowej, w kwocie równej kwocie aktywa z tytułu podatku odroczonego, które zostałoby ujęte w księgach w tym roku poniesienia straty, gdyby była ona przenoszona na przyszłe lata podatkowe (nie wyższej jednak niż kwota tej pomnożona przez minimalną stawkę podatkową).     </w:t>
      </w:r>
    </w:p>
    <w:p w14:paraId="4BF8DE72"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Poprzez zastosowanie opisanych w oddziale 2 zasad dotyczących całkowitej kwoty korekty podatku odroczonego, ujęcie tej hipotetycznej kwoty z tytułu straty podatkowej obniża skorygowane podatki kwalifikowane w roku podatkowym, w którym strata ta została poniesiona. Kwotę tę ujmuje się ponownie (jako odwróconą) w roku podatkowym, na który przeniesiono stratę i w konsekwencji zwiększa ona w tym roku skorygowane podatki kwalifikowane. Odpowiada to - dokonywanemu na gruncie analizowanego art. 96 - zmniejszeniu kwoty podatków kwalifikowanych w skutek uzyskanego zwrotu.</w:t>
      </w:r>
    </w:p>
    <w:p w14:paraId="257A96FB"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Jeżeli ponowne ujęcie hipotetycznej kwoty z tytułu straty podatkowej i zwrot podatku skutkuje wzrostem całkowitej kwoty podatków kwalifikowanych za poprzedzający rok podatkowy, zmianę tę uwzględnia się w bieżącym roku podatkowym, zgodnie z zasadami art. 96. Jednocześnie, w roku powstania takiej straty przenoszonej na poprzednie lata podatkowe (niezależnie od zasad dotyczących rozliczania takiej straty) zastosowanie mają zasady oddziału 6 dotyczące ujemnych skorygowanych podatków kwalifikowanych. </w:t>
      </w:r>
    </w:p>
    <w:p w14:paraId="6AFED8C6" w14:textId="77777777" w:rsidR="00D25419" w:rsidRPr="00C96268" w:rsidRDefault="00D25419" w:rsidP="00D25419">
      <w:pPr>
        <w:spacing w:after="240"/>
        <w:jc w:val="both"/>
        <w:rPr>
          <w:rFonts w:ascii="Times New Roman" w:hAnsi="Times New Roman" w:cs="Times New Roman"/>
          <w:bCs/>
          <w:sz w:val="24"/>
          <w:szCs w:val="24"/>
        </w:rPr>
      </w:pPr>
      <w:r w:rsidRPr="00C96268">
        <w:rPr>
          <w:rFonts w:ascii="Times New Roman" w:hAnsi="Times New Roman" w:cs="Times New Roman"/>
          <w:bCs/>
          <w:sz w:val="24"/>
          <w:szCs w:val="24"/>
        </w:rPr>
        <w:t>Art. 96 ust. 4 dotyczy natomiast braku zapłaty podatku dochodowego w części bieżącej w terminie 3 lat od zakończenia roku podatkowego, w kwocie przekraczającej 1 mln euro.</w:t>
      </w:r>
      <w:r w:rsidRPr="00C96268">
        <w:rPr>
          <w:rFonts w:ascii="Times New Roman" w:hAnsi="Times New Roman" w:cs="Times New Roman"/>
          <w:sz w:val="24"/>
          <w:szCs w:val="24"/>
        </w:rPr>
        <w:t xml:space="preserve"> </w:t>
      </w:r>
      <w:r w:rsidRPr="00C96268">
        <w:rPr>
          <w:rFonts w:ascii="Times New Roman" w:hAnsi="Times New Roman" w:cs="Times New Roman"/>
          <w:bCs/>
          <w:iCs/>
          <w:sz w:val="24"/>
          <w:szCs w:val="24"/>
        </w:rPr>
        <w:t>W takim przypadku efektywną stawkę podatkową oblicza się ponownie za rok podatkowy, w którym niezapłacona kwota podatku została uznana za podatek kwalifikowany wyłączając tę niezapłaconą kwotę ze skorygowanych podatków kwalifikowanych. Stąd, w takich przypadkach może powstać dodatkowy podatek wyrównawczy.</w:t>
      </w:r>
    </w:p>
    <w:p w14:paraId="4DCF099B" w14:textId="77777777" w:rsidR="00D25419" w:rsidRPr="00C96268" w:rsidRDefault="00D25419" w:rsidP="00D25419">
      <w:pPr>
        <w:pStyle w:val="Nagwek5"/>
        <w:rPr>
          <w:rFonts w:ascii="Times New Roman" w:hAnsi="Times New Roman" w:cs="Times New Roman"/>
          <w:sz w:val="24"/>
          <w:szCs w:val="24"/>
        </w:rPr>
      </w:pPr>
      <w:r w:rsidRPr="00C96268">
        <w:rPr>
          <w:rFonts w:ascii="Times New Roman" w:hAnsi="Times New Roman" w:cs="Times New Roman"/>
          <w:sz w:val="24"/>
          <w:szCs w:val="24"/>
        </w:rPr>
        <w:t xml:space="preserve">Art. 97 [Korekta aktywa lub rezerwy z tytułu podatku odroczonego]  </w:t>
      </w:r>
    </w:p>
    <w:p w14:paraId="1AB06BE2"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Artykuł ten stanowi implementację art. 25.2 i 25.3 Dyrektywy. Zwrot podatków kwalifikowanych za poprzedni rok musi zostać powiązany z odpowiednią korektą odzwierciedlającą przeniesienie krajowej straty podatkowej. Przeniesienie straty zgodnie z krajowym prawem podatkowym traktuje się jako powodującą utworzenie aktywa z tytułu odroczonego podatku dochodowego. Odpowiednio, za rok w którym powstała krajowa strata podatkowa ustala się hipotetyczne aktywo z tytułu odroczonego podatku dochodowego w kwocie, w której zostałoby ujęte w księgach, gdyby kwalifikowałoby się do przeniesienia i uwzględnienia w maksymalnej kwocie (równej iloczynowi straty w podatku dochodowym i minimalnej stawki podatkowej). Zasada ta nie ma zastosowania jeśli zwrot podatków jest nieistotny oraz jednostka raportująca dokonała odpowiedniego wyboru i uwzględniła taki zwrot podatków w bieżącym roku podatkowym.  </w:t>
      </w:r>
    </w:p>
    <w:p w14:paraId="7D277824"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Powyższa zasada ma na celu zapewnienie, że rozpoznanie aktywa z tytułu podatku odroczonego pomniejszy podatki kwalifikowane za rok podatkowy, w którym powstała strata. Aktywo to powinno być traktowane jako wykorzystane (i w konsekwencji zwiększać skorygowane podatki kwalifikowane) za rok podatkowy, do którego została przeniesiona strata w podatku dochodowym, jednocześnie z przeniesieniem zwrotu w podatkach kwalifikowanych. W zakresie, w jakim odwrócenie aktywa z tytułu odroczonego podatku dochodowego i zwrot podatku powodują wzrost podatków kwalifikowanych za poprzedni rok podatkowy, uwzględnia się je w bieżącym roku podatkowym. Podkreślenia wymaga, że w zakresie przeniesienia straty w podatku dochodowym, zasada dotycząca dodatkowego podatku wyrównawczego nadal ma zastosowanie w bieżącym roku podatkowym. Preferowanym mechanizmem pozwalającym na rozpoznanie odpowiednich i niezbędnych korekt, których należy dokonać w ujmowaniu kwalifikowanego dochodu (straty), jest utworzenie i odwrócenie hipotetycznego aktywa z tytułu odroczonego podatku dochodowego. Mechanizm ten pozwala zachować ogólną integralność podejścia księgowego dotyczącego odroczonego podatku dochodowego.</w:t>
      </w:r>
    </w:p>
    <w:p w14:paraId="6E39026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 xml:space="preserve">Na koniec należy zauważyć, że artykuł ten ma zastosowanie w przypadku zmiany kwoty podatków określonych dla danej </w:t>
      </w:r>
      <w:r w:rsidRPr="00C96268">
        <w:rPr>
          <w:rFonts w:ascii="Times New Roman" w:hAnsi="Times New Roman" w:cs="Times New Roman"/>
          <w:sz w:val="24"/>
          <w:szCs w:val="24"/>
        </w:rPr>
        <w:t>jurysdykcji</w:t>
      </w:r>
      <w:r w:rsidRPr="00C96268" w:rsidDel="00123BDD">
        <w:rPr>
          <w:rFonts w:ascii="Times New Roman" w:hAnsi="Times New Roman" w:cs="Times New Roman"/>
          <w:bCs/>
          <w:sz w:val="24"/>
          <w:szCs w:val="24"/>
        </w:rPr>
        <w:t xml:space="preserve"> </w:t>
      </w:r>
      <w:r w:rsidRPr="00C96268">
        <w:rPr>
          <w:rFonts w:ascii="Times New Roman" w:hAnsi="Times New Roman" w:cs="Times New Roman"/>
          <w:bCs/>
          <w:sz w:val="24"/>
          <w:szCs w:val="24"/>
        </w:rPr>
        <w:t>i nie dotyczy korekty zobowiązania grupy z tytułu podatku wyrównawczego dokonanej w wyniku badania zeznania podatkowego, skutkującego zmianami w zakresie stosowania ustawy.</w:t>
      </w:r>
    </w:p>
    <w:p w14:paraId="1C1CFC1D" w14:textId="77777777" w:rsidR="00D25419" w:rsidRPr="00C96268" w:rsidRDefault="00D25419" w:rsidP="00D25419">
      <w:pPr>
        <w:pStyle w:val="Nagwek4"/>
        <w:rPr>
          <w:rFonts w:ascii="Times New Roman" w:hAnsi="Times New Roman" w:cs="Times New Roman"/>
          <w:sz w:val="24"/>
          <w:szCs w:val="24"/>
        </w:rPr>
      </w:pPr>
      <w:r w:rsidRPr="00C96268">
        <w:rPr>
          <w:rFonts w:ascii="Times New Roman" w:hAnsi="Times New Roman" w:cs="Times New Roman"/>
          <w:sz w:val="24"/>
          <w:szCs w:val="24"/>
        </w:rPr>
        <w:t>Oddział 6 – Ujemne skorygowane podatki kwalifikowane</w:t>
      </w:r>
    </w:p>
    <w:p w14:paraId="1F0092EB" w14:textId="77777777" w:rsidR="00D25419" w:rsidRPr="00C96268" w:rsidRDefault="00D25419" w:rsidP="00D25419">
      <w:pPr>
        <w:pStyle w:val="Nagwek5"/>
        <w:spacing w:before="120"/>
        <w:rPr>
          <w:rFonts w:ascii="Times New Roman" w:hAnsi="Times New Roman" w:cs="Times New Roman"/>
          <w:sz w:val="24"/>
          <w:szCs w:val="24"/>
        </w:rPr>
      </w:pPr>
      <w:r w:rsidRPr="00C96268">
        <w:rPr>
          <w:rFonts w:ascii="Times New Roman" w:hAnsi="Times New Roman" w:cs="Times New Roman"/>
          <w:sz w:val="24"/>
          <w:szCs w:val="24"/>
        </w:rPr>
        <w:t xml:space="preserve">Art. 98 [Dodatkowy podatek wyrównawczy] </w:t>
      </w:r>
    </w:p>
    <w:p w14:paraId="7411058E" w14:textId="77777777" w:rsidR="00D25419" w:rsidRPr="00C96268" w:rsidRDefault="00D25419" w:rsidP="00D25419">
      <w:pPr>
        <w:spacing w:after="120"/>
        <w:jc w:val="both"/>
        <w:rPr>
          <w:rFonts w:ascii="Times New Roman" w:hAnsi="Times New Roman" w:cs="Times New Roman"/>
          <w:sz w:val="24"/>
          <w:szCs w:val="24"/>
        </w:rPr>
      </w:pPr>
      <w:r w:rsidRPr="00C96268">
        <w:rPr>
          <w:rFonts w:ascii="Times New Roman" w:hAnsi="Times New Roman" w:cs="Times New Roman"/>
          <w:sz w:val="24"/>
          <w:szCs w:val="24"/>
        </w:rPr>
        <w:t>Artykuł ten określa przypadki, w których oblicza się dodatkowy podatek wyrównawczy. Stanowi on implementację art. 22.4, art. 22.5 lit c i art. 22.6 Dyrektywy.</w:t>
      </w:r>
    </w:p>
    <w:p w14:paraId="4C0EFDAA"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sz w:val="24"/>
          <w:szCs w:val="24"/>
        </w:rPr>
        <w:t>Ustęp 1 tego artykułu</w:t>
      </w:r>
      <w:r w:rsidRPr="00C96268">
        <w:rPr>
          <w:rFonts w:ascii="Times New Roman" w:hAnsi="Times New Roman" w:cs="Times New Roman"/>
          <w:b/>
          <w:bCs/>
          <w:sz w:val="24"/>
          <w:szCs w:val="24"/>
        </w:rPr>
        <w:t xml:space="preserve"> </w:t>
      </w:r>
      <w:r w:rsidRPr="00C96268">
        <w:rPr>
          <w:rFonts w:ascii="Times New Roman" w:hAnsi="Times New Roman" w:cs="Times New Roman"/>
          <w:bCs/>
          <w:sz w:val="24"/>
          <w:szCs w:val="24"/>
        </w:rPr>
        <w:t xml:space="preserve">stanowi implementację art. 21.5 Dyrektywy. Jest to przepis szczególny, stosowany kiedy dla danej </w:t>
      </w:r>
      <w:r w:rsidRPr="00C96268">
        <w:rPr>
          <w:rFonts w:ascii="Times New Roman" w:hAnsi="Times New Roman" w:cs="Times New Roman"/>
          <w:sz w:val="24"/>
          <w:szCs w:val="24"/>
        </w:rPr>
        <w:t>jurysdykcji</w:t>
      </w:r>
      <w:r w:rsidRPr="00C96268" w:rsidDel="00123BDD">
        <w:rPr>
          <w:rFonts w:ascii="Times New Roman" w:hAnsi="Times New Roman" w:cs="Times New Roman"/>
          <w:bCs/>
          <w:sz w:val="24"/>
          <w:szCs w:val="24"/>
        </w:rPr>
        <w:t xml:space="preserve"> </w:t>
      </w:r>
      <w:r w:rsidRPr="00C96268">
        <w:rPr>
          <w:rFonts w:ascii="Times New Roman" w:hAnsi="Times New Roman" w:cs="Times New Roman"/>
          <w:bCs/>
          <w:sz w:val="24"/>
          <w:szCs w:val="24"/>
        </w:rPr>
        <w:t>nie występuje jurysdykcyjny kwalifikowany dochód oraz występuje ujemna kwota skorygowanych podatków kwalifikowanych.</w:t>
      </w:r>
    </w:p>
    <w:p w14:paraId="76263DF1" w14:textId="77777777" w:rsidR="00D25419" w:rsidRPr="00C96268" w:rsidRDefault="00D25419" w:rsidP="00D25419">
      <w:pPr>
        <w:pStyle w:val="ARTartustawynprozporzdzenia"/>
        <w:spacing w:line="259" w:lineRule="auto"/>
        <w:ind w:firstLine="0"/>
        <w:rPr>
          <w:rFonts w:ascii="Times New Roman" w:hAnsi="Times New Roman" w:cs="Times New Roman"/>
          <w:szCs w:val="24"/>
        </w:rPr>
      </w:pPr>
      <w:r w:rsidRPr="00C96268">
        <w:rPr>
          <w:rFonts w:ascii="Times New Roman" w:hAnsi="Times New Roman" w:cs="Times New Roman"/>
          <w:szCs w:val="24"/>
        </w:rPr>
        <w:t>Zgodnie z tym przepisem oblicza się dodatkowy podatek wyrównawczy, gdy za rok podatkowy nie występuje w odniesieniu do danej jurysdykcji</w:t>
      </w:r>
      <w:r w:rsidRPr="00C96268" w:rsidDel="00123BDD">
        <w:rPr>
          <w:rFonts w:ascii="Times New Roman" w:hAnsi="Times New Roman" w:cs="Times New Roman"/>
          <w:szCs w:val="24"/>
        </w:rPr>
        <w:t xml:space="preserve"> </w:t>
      </w:r>
      <w:r w:rsidRPr="00C96268">
        <w:rPr>
          <w:rFonts w:ascii="Times New Roman" w:hAnsi="Times New Roman" w:cs="Times New Roman"/>
          <w:szCs w:val="24"/>
        </w:rPr>
        <w:t>jurysdykcyjny kwalifikowany dochód netto, a kwota skorygowanych podatków kwalifikowanych ustalona dla tej jurysdykcji</w:t>
      </w:r>
      <w:r w:rsidRPr="00C96268" w:rsidDel="00123BDD">
        <w:rPr>
          <w:rFonts w:ascii="Times New Roman" w:hAnsi="Times New Roman" w:cs="Times New Roman"/>
          <w:szCs w:val="24"/>
        </w:rPr>
        <w:t xml:space="preserve"> </w:t>
      </w:r>
      <w:r w:rsidRPr="00C96268">
        <w:rPr>
          <w:rFonts w:ascii="Times New Roman" w:hAnsi="Times New Roman" w:cs="Times New Roman"/>
          <w:szCs w:val="24"/>
        </w:rPr>
        <w:t>jest:</w:t>
      </w:r>
    </w:p>
    <w:p w14:paraId="342348ED" w14:textId="77777777" w:rsidR="00D25419" w:rsidRPr="00C96268" w:rsidRDefault="00D25419" w:rsidP="00D25419">
      <w:pPr>
        <w:pStyle w:val="PKTpunkt"/>
        <w:spacing w:line="259" w:lineRule="auto"/>
        <w:rPr>
          <w:rFonts w:ascii="Times New Roman" w:hAnsi="Times New Roman" w:cs="Times New Roman"/>
          <w:szCs w:val="24"/>
        </w:rPr>
      </w:pPr>
      <w:r w:rsidRPr="00C96268">
        <w:rPr>
          <w:rFonts w:ascii="Times New Roman" w:hAnsi="Times New Roman" w:cs="Times New Roman"/>
          <w:szCs w:val="24"/>
        </w:rPr>
        <w:t xml:space="preserve">1) </w:t>
      </w:r>
      <w:r w:rsidRPr="00C96268">
        <w:rPr>
          <w:rFonts w:ascii="Times New Roman" w:hAnsi="Times New Roman" w:cs="Times New Roman"/>
          <w:szCs w:val="24"/>
        </w:rPr>
        <w:tab/>
        <w:t>ujemna oraz </w:t>
      </w:r>
    </w:p>
    <w:p w14:paraId="48B18809" w14:textId="77777777" w:rsidR="00D25419" w:rsidRPr="00C96268" w:rsidRDefault="00D25419" w:rsidP="00D25419">
      <w:pPr>
        <w:pStyle w:val="PKTpunkt"/>
        <w:spacing w:after="240" w:line="259" w:lineRule="auto"/>
        <w:rPr>
          <w:rFonts w:ascii="Times New Roman" w:hAnsi="Times New Roman" w:cs="Times New Roman"/>
          <w:szCs w:val="24"/>
        </w:rPr>
      </w:pPr>
      <w:r w:rsidRPr="00C96268">
        <w:rPr>
          <w:rFonts w:ascii="Times New Roman" w:hAnsi="Times New Roman" w:cs="Times New Roman"/>
          <w:szCs w:val="24"/>
        </w:rPr>
        <w:t xml:space="preserve">2) </w:t>
      </w:r>
      <w:r w:rsidRPr="00C96268">
        <w:rPr>
          <w:rFonts w:ascii="Times New Roman" w:hAnsi="Times New Roman" w:cs="Times New Roman"/>
          <w:szCs w:val="24"/>
        </w:rPr>
        <w:tab/>
        <w:t>mniejsza niż kwota równa kwalifikowanej stracie netto pomnożonej przez minimalną stawkę podatkową (oczekiwane skorygowane podatki kwalifikowane).</w:t>
      </w:r>
    </w:p>
    <w:p w14:paraId="5DBC963D" w14:textId="77777777" w:rsidR="00D25419" w:rsidRPr="00C96268" w:rsidRDefault="00D25419" w:rsidP="00D25419">
      <w:pPr>
        <w:jc w:val="both"/>
        <w:rPr>
          <w:rFonts w:ascii="Times New Roman" w:hAnsi="Times New Roman" w:cs="Times New Roman"/>
          <w:sz w:val="24"/>
          <w:szCs w:val="24"/>
        </w:rPr>
      </w:pPr>
      <w:r w:rsidRPr="00C96268">
        <w:rPr>
          <w:rFonts w:ascii="Times New Roman" w:hAnsi="Times New Roman" w:cs="Times New Roman"/>
          <w:sz w:val="24"/>
          <w:szCs w:val="24"/>
        </w:rPr>
        <w:t>„Oczekiwane skorygowane podatki kwalifikowane” to - tak jak wskazuje definicja w nawiasie - kwota równa jurysdykcyjnej kwalifikowanej stracie netto pomnożonej przez minimalną stawkę podatkową. Jest to zatem, sytuacja, gdy per saldo jednostki składowe z danej jurysdykcji</w:t>
      </w:r>
      <w:r w:rsidRPr="00C96268" w:rsidDel="00123BDD">
        <w:rPr>
          <w:rFonts w:ascii="Times New Roman" w:hAnsi="Times New Roman" w:cs="Times New Roman"/>
          <w:sz w:val="24"/>
          <w:szCs w:val="24"/>
        </w:rPr>
        <w:t xml:space="preserve"> </w:t>
      </w:r>
      <w:r w:rsidRPr="00C96268">
        <w:rPr>
          <w:rFonts w:ascii="Times New Roman" w:hAnsi="Times New Roman" w:cs="Times New Roman"/>
          <w:sz w:val="24"/>
          <w:szCs w:val="24"/>
        </w:rPr>
        <w:t>osiągnęły łącznie stratę. Oczekiwane skorygowane podatki kwalifikowane to kwota tej straty pomnożona przez 15%.</w:t>
      </w:r>
    </w:p>
    <w:p w14:paraId="26DC7B40" w14:textId="77777777" w:rsidR="00D25419" w:rsidRPr="00C96268" w:rsidRDefault="00D25419" w:rsidP="00D25419">
      <w:pPr>
        <w:spacing w:after="120"/>
        <w:jc w:val="both"/>
        <w:rPr>
          <w:rFonts w:ascii="Times New Roman" w:hAnsi="Times New Roman" w:cs="Times New Roman"/>
          <w:bCs/>
          <w:sz w:val="24"/>
          <w:szCs w:val="24"/>
        </w:rPr>
      </w:pPr>
      <w:r w:rsidRPr="00C96268">
        <w:rPr>
          <w:rFonts w:ascii="Times New Roman" w:hAnsi="Times New Roman" w:cs="Times New Roman"/>
          <w:bCs/>
          <w:sz w:val="24"/>
          <w:szCs w:val="24"/>
        </w:rPr>
        <w:t>Typowym, ale nie jedynym przypadkiem zastosowania tego ustępu jest sytuacja, kiedy strata podatkowa w podatku dochodowym jest większa od kwoty kwalifikowanej straty. Przykłady pozycji, które mogą powodować tego rodzaju nadmierne straty, obejmują hipotetyczne odliczenia odsetek lub odliczenia przekraczające koszty ekonomiczne (tzw. nadmierne odliczenie). W takich przypadkach przyjęcie straty w podatku dochodowym jako podstawy ustalenia całkowitej kwoty korekty podatku odroczonego i brak regulacji art. 76 podważyłoby integralność ustawy. Po uwzględnieniu regulacji art. 76 wykorzystanie aktywa z tytułu odroczonego podatku dochodowego do nieopodatkowania dochodu w przyszłych latach nie powoduje niekorzystnych skutków na gruncie ustawy.</w:t>
      </w:r>
    </w:p>
    <w:p w14:paraId="73711EF6"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55BDC5F7"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W jurysdykcji</w:t>
      </w:r>
      <w:r w:rsidRPr="003E7A67" w:rsidDel="00123BDD">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A kwalifikowana strata wynosi (100). Maksymalna kwota aktywa z tytułu odroczonego podatku dochodowego wygenerowanego w danym roku dla celów ustawy w jurysdykcji</w:t>
      </w:r>
      <w:r w:rsidRPr="003E7A67" w:rsidDel="00123BDD">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 xml:space="preserve">A powinna więc wynosić 15 (tj. kwalifikowana strata pomnożona przez stawkę minimalną). Kwota ta jest opisana w </w:t>
      </w:r>
      <w:r w:rsidRPr="003E7A67">
        <w:rPr>
          <w:rFonts w:asciiTheme="minorHAnsi" w:hAnsiTheme="minorHAnsi" w:cstheme="minorHAnsi"/>
          <w:b/>
          <w:i/>
          <w:iCs/>
          <w:sz w:val="22"/>
          <w:szCs w:val="22"/>
        </w:rPr>
        <w:t>art. 76</w:t>
      </w:r>
      <w:r w:rsidRPr="003E7A67">
        <w:rPr>
          <w:rFonts w:asciiTheme="minorHAnsi" w:hAnsiTheme="minorHAnsi" w:cstheme="minorHAnsi"/>
          <w:bCs w:val="0"/>
          <w:i/>
          <w:iCs/>
          <w:sz w:val="22"/>
          <w:szCs w:val="22"/>
        </w:rPr>
        <w:t xml:space="preserve"> jako "oczekiwane skorygowane podatki kwalifikowane". </w:t>
      </w:r>
    </w:p>
    <w:p w14:paraId="6C6085A5"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Strata poniesiona na gruncie podatku dochodowego w jurysdykcji</w:t>
      </w:r>
      <w:r w:rsidRPr="003E7A67" w:rsidDel="00123BDD">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A przekracza kwalifikowaną stratę i wynosi (150), a różnica ta wynika z trwałych różnic między podstawą opodatkowania w podatku dochodowym a podstawą opodatkowania dla celów ustawy. Aktywo z tytułu odroczonego podatku dochodowego określone od tej straty wynosiłoby więc 22,5.</w:t>
      </w:r>
    </w:p>
    <w:p w14:paraId="4DF400E1" w14:textId="77777777" w:rsidR="00D25419" w:rsidRPr="003E7A67" w:rsidRDefault="00D25419" w:rsidP="00D25419">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Całkowita korekta podatku odroczonego określona zgodnie z oddziałem 3 będzie więc wyższa od oczekiwanych skorygowanych podatków kwalifikowanych. Różnica ta będzie więc podlegała opodatkowaniu dodatkowym podatkiem wyrównawczym według minimalnej stawki na podstawie art. 76. Dodatkowy podatek wyrównawczy będzie tym samym wynosił 7,5 (50*15%).</w:t>
      </w:r>
    </w:p>
    <w:p w14:paraId="24D28DFC" w14:textId="77777777" w:rsidR="00D25419" w:rsidRPr="00633318" w:rsidRDefault="00D25419" w:rsidP="00D25419">
      <w:pPr>
        <w:pStyle w:val="Nagwek5"/>
        <w:spacing w:before="240"/>
        <w:rPr>
          <w:rFonts w:ascii="Times New Roman" w:hAnsi="Times New Roman" w:cs="Times New Roman"/>
          <w:sz w:val="24"/>
          <w:szCs w:val="24"/>
        </w:rPr>
      </w:pPr>
      <w:bookmarkStart w:id="48" w:name="_Hlk164412463"/>
      <w:r w:rsidRPr="00633318">
        <w:rPr>
          <w:rFonts w:ascii="Times New Roman" w:hAnsi="Times New Roman" w:cs="Times New Roman"/>
          <w:sz w:val="24"/>
          <w:szCs w:val="24"/>
        </w:rPr>
        <w:t>Art. 99 [Saldo ujemnych podatków]</w:t>
      </w:r>
    </w:p>
    <w:p w14:paraId="3C9DB2A5" w14:textId="77777777" w:rsidR="00D25419" w:rsidRPr="00633318" w:rsidRDefault="00D25419" w:rsidP="00D25419">
      <w:pPr>
        <w:spacing w:after="120"/>
        <w:jc w:val="both"/>
        <w:rPr>
          <w:rFonts w:ascii="Times New Roman" w:hAnsi="Times New Roman" w:cs="Times New Roman"/>
          <w:bCs/>
          <w:color w:val="2E74B5" w:themeColor="accent1" w:themeShade="BF"/>
          <w:sz w:val="24"/>
          <w:szCs w:val="24"/>
        </w:rPr>
      </w:pPr>
      <w:r w:rsidRPr="00633318">
        <w:rPr>
          <w:rFonts w:ascii="Times New Roman" w:hAnsi="Times New Roman" w:cs="Times New Roman"/>
          <w:bCs/>
          <w:sz w:val="24"/>
          <w:szCs w:val="24"/>
        </w:rPr>
        <w:t>Artykuł ten stanowi implementację wyjaśnień OECD w zakresie zasad tworzenia i ujmowania salda ujemnych podatków (</w:t>
      </w:r>
      <w:r w:rsidRPr="00633318">
        <w:rPr>
          <w:rFonts w:ascii="Times New Roman" w:hAnsi="Times New Roman" w:cs="Times New Roman"/>
          <w:i/>
          <w:iCs/>
          <w:sz w:val="24"/>
          <w:szCs w:val="24"/>
        </w:rPr>
        <w:t>Excess Negative Tax Expense Carry-forward)</w:t>
      </w:r>
      <w:r w:rsidRPr="00633318">
        <w:rPr>
          <w:rFonts w:ascii="Times New Roman" w:hAnsi="Times New Roman" w:cs="Times New Roman"/>
          <w:bCs/>
          <w:sz w:val="24"/>
          <w:szCs w:val="24"/>
        </w:rPr>
        <w:t>, zawartych w punkcie 2.7 Wytycznych z lutego 2023 r.</w:t>
      </w:r>
    </w:p>
    <w:p w14:paraId="08DB4354" w14:textId="77777777" w:rsidR="00D25419" w:rsidRPr="00633318" w:rsidRDefault="00D25419" w:rsidP="00D25419">
      <w:pPr>
        <w:spacing w:after="120"/>
        <w:jc w:val="both"/>
        <w:rPr>
          <w:rFonts w:ascii="Times New Roman" w:hAnsi="Times New Roman" w:cs="Times New Roman"/>
          <w:bCs/>
          <w:color w:val="2E74B5" w:themeColor="accent1" w:themeShade="BF"/>
          <w:sz w:val="24"/>
          <w:szCs w:val="24"/>
        </w:rPr>
      </w:pPr>
      <w:r w:rsidRPr="00633318">
        <w:rPr>
          <w:rFonts w:ascii="Times New Roman" w:hAnsi="Times New Roman" w:cs="Times New Roman"/>
          <w:bCs/>
          <w:sz w:val="24"/>
          <w:szCs w:val="24"/>
        </w:rPr>
        <w:t>Artykuł ten określa m.in. kiedy występuje saldo ujemnych podatków, jakie są zasady obliczania kwoty salda ujemnych podatków, ich wpływ na kwotę podatków kwalifikowanych w danym roku podatkowym i w kolejnych latach podatkowych. Ponadto, określa on zasady uwzględniania salda ujemnych podatków w przypadku restrukturyzacji.</w:t>
      </w:r>
      <w:bookmarkEnd w:id="48"/>
    </w:p>
    <w:p w14:paraId="3C786E3C" w14:textId="77777777" w:rsidR="00E62BA1" w:rsidRPr="00633318" w:rsidRDefault="00E62BA1" w:rsidP="00E62BA1">
      <w:pPr>
        <w:keepNext/>
        <w:keepLines/>
        <w:spacing w:before="240" w:after="240"/>
        <w:outlineLvl w:val="1"/>
        <w:rPr>
          <w:rFonts w:ascii="Times New Roman" w:eastAsia="Times New Roman" w:hAnsi="Times New Roman" w:cs="Times New Roman"/>
          <w:color w:val="2E74B5"/>
          <w:sz w:val="24"/>
          <w:szCs w:val="24"/>
        </w:rPr>
      </w:pPr>
      <w:r w:rsidRPr="00633318">
        <w:rPr>
          <w:rFonts w:ascii="Times New Roman" w:eastAsia="Times New Roman" w:hAnsi="Times New Roman" w:cs="Times New Roman"/>
          <w:color w:val="2E74B5"/>
          <w:sz w:val="24"/>
          <w:szCs w:val="24"/>
        </w:rPr>
        <w:t>DZIAŁ VII. Substrat majątkowo-osobowy</w:t>
      </w:r>
    </w:p>
    <w:p w14:paraId="7329B61B" w14:textId="6179C22D" w:rsidR="00E62BA1" w:rsidRPr="00633318" w:rsidRDefault="00E62BA1" w:rsidP="00E62BA1">
      <w:pPr>
        <w:jc w:val="both"/>
        <w:rPr>
          <w:rFonts w:ascii="Times New Roman" w:eastAsia="Calibri" w:hAnsi="Times New Roman" w:cs="Times New Roman"/>
          <w:iCs/>
          <w:sz w:val="24"/>
          <w:szCs w:val="24"/>
        </w:rPr>
      </w:pPr>
      <w:r w:rsidRPr="00633318">
        <w:rPr>
          <w:rFonts w:ascii="Times New Roman" w:eastAsia="Calibri" w:hAnsi="Times New Roman" w:cs="Times New Roman"/>
          <w:b/>
          <w:bCs/>
          <w:iCs/>
          <w:sz w:val="24"/>
          <w:szCs w:val="24"/>
        </w:rPr>
        <w:t xml:space="preserve">Przepisy art. 100, 101 i 102 </w:t>
      </w:r>
      <w:r w:rsidR="00D8650E" w:rsidRPr="00633318">
        <w:rPr>
          <w:rFonts w:ascii="Times New Roman" w:eastAsia="Calibri" w:hAnsi="Times New Roman" w:cs="Times New Roman"/>
          <w:b/>
          <w:bCs/>
          <w:iCs/>
          <w:sz w:val="24"/>
          <w:szCs w:val="24"/>
        </w:rPr>
        <w:t xml:space="preserve">ustawy </w:t>
      </w:r>
      <w:r w:rsidRPr="00633318">
        <w:rPr>
          <w:rFonts w:ascii="Times New Roman" w:eastAsia="Calibri" w:hAnsi="Times New Roman" w:cs="Times New Roman"/>
          <w:iCs/>
          <w:sz w:val="24"/>
          <w:szCs w:val="24"/>
        </w:rPr>
        <w:t xml:space="preserve">stanowią implementację art. 28 Dyrektywy, a także m.in. odzwierciedlenie dyspozycji wynikających z Wytycznych z lipca 2023 r. Regulacje te określają zasady i warunki obliczania substratu majątkowo-osobowego </w:t>
      </w:r>
      <w:r w:rsidRPr="00633318">
        <w:rPr>
          <w:rFonts w:ascii="Times New Roman" w:eastAsia="Calibri" w:hAnsi="Times New Roman" w:cs="Times New Roman"/>
          <w:b/>
          <w:bCs/>
          <w:iCs/>
          <w:sz w:val="24"/>
          <w:szCs w:val="24"/>
        </w:rPr>
        <w:t>(substrat)</w:t>
      </w:r>
      <w:r w:rsidRPr="00633318">
        <w:rPr>
          <w:rFonts w:ascii="Times New Roman" w:eastAsia="Calibri" w:hAnsi="Times New Roman" w:cs="Times New Roman"/>
          <w:iCs/>
          <w:sz w:val="24"/>
          <w:szCs w:val="24"/>
        </w:rPr>
        <w:t xml:space="preserve"> uwzględnianego w celu ustalenia, w </w:t>
      </w:r>
      <w:r w:rsidR="00123BDD" w:rsidRPr="00633318">
        <w:rPr>
          <w:rFonts w:ascii="Times New Roman" w:eastAsia="Calibri" w:hAnsi="Times New Roman" w:cs="Times New Roman"/>
          <w:iCs/>
          <w:sz w:val="24"/>
          <w:szCs w:val="24"/>
        </w:rPr>
        <w:t>jurysdykcji</w:t>
      </w:r>
      <w:r w:rsidRPr="00633318">
        <w:rPr>
          <w:rFonts w:ascii="Times New Roman" w:eastAsia="Calibri" w:hAnsi="Times New Roman" w:cs="Times New Roman"/>
          <w:iCs/>
          <w:sz w:val="24"/>
          <w:szCs w:val="24"/>
        </w:rPr>
        <w:t xml:space="preserve">, </w:t>
      </w:r>
      <w:r w:rsidR="00C3199C" w:rsidRPr="00633318">
        <w:rPr>
          <w:rFonts w:ascii="Times New Roman" w:eastAsia="Calibri" w:hAnsi="Times New Roman" w:cs="Times New Roman"/>
          <w:iCs/>
          <w:sz w:val="24"/>
          <w:szCs w:val="24"/>
        </w:rPr>
        <w:t xml:space="preserve">dla </w:t>
      </w:r>
      <w:r w:rsidR="00123BDD" w:rsidRPr="00633318">
        <w:rPr>
          <w:rFonts w:ascii="Times New Roman" w:eastAsia="Calibri" w:hAnsi="Times New Roman" w:cs="Times New Roman"/>
          <w:iCs/>
          <w:sz w:val="24"/>
          <w:szCs w:val="24"/>
        </w:rPr>
        <w:t xml:space="preserve">której </w:t>
      </w:r>
      <w:r w:rsidRPr="00633318">
        <w:rPr>
          <w:rFonts w:ascii="Times New Roman" w:eastAsia="Calibri" w:hAnsi="Times New Roman" w:cs="Times New Roman"/>
          <w:iCs/>
          <w:sz w:val="24"/>
          <w:szCs w:val="24"/>
        </w:rPr>
        <w:t>minimalna efektywna stawka podatkowa jest niższa od 15%, nadwyżki zysku (o której mowa w art. 13 ust. 1 pkt 2</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vertAlign w:val="superscript"/>
        </w:rPr>
        <w:footnoteReference w:id="145"/>
      </w:r>
      <w:r w:rsidRPr="00633318">
        <w:rPr>
          <w:rFonts w:ascii="Times New Roman" w:eastAsia="Calibri" w:hAnsi="Times New Roman" w:cs="Times New Roman"/>
          <w:iCs/>
          <w:sz w:val="24"/>
          <w:szCs w:val="24"/>
        </w:rPr>
        <w:t>.</w:t>
      </w:r>
    </w:p>
    <w:p w14:paraId="223C207F" w14:textId="118E3FAE" w:rsidR="00E62BA1" w:rsidRPr="00633318" w:rsidRDefault="00E62BA1" w:rsidP="000F5B35">
      <w:pPr>
        <w:jc w:val="both"/>
        <w:rPr>
          <w:rFonts w:ascii="Times New Roman" w:eastAsia="Calibri" w:hAnsi="Times New Roman" w:cs="Times New Roman"/>
          <w:iCs/>
          <w:sz w:val="24"/>
          <w:szCs w:val="24"/>
        </w:rPr>
      </w:pPr>
      <w:bookmarkStart w:id="49" w:name="_Hlk163668376"/>
      <w:r w:rsidRPr="00633318">
        <w:rPr>
          <w:rFonts w:ascii="Times New Roman" w:eastAsia="Calibri" w:hAnsi="Times New Roman" w:cs="Times New Roman"/>
          <w:iCs/>
          <w:sz w:val="24"/>
          <w:szCs w:val="24"/>
        </w:rPr>
        <w:t>Wspomniana nadwyżka zysku stanowi różnicę między jurysdykcyjnym kwalifikowanym dochodem netto a substratem majątkowo-osobowym jednostek</w:t>
      </w:r>
      <w:r w:rsidR="00D8650E" w:rsidRPr="00633318">
        <w:rPr>
          <w:rFonts w:ascii="Times New Roman" w:eastAsia="Calibri" w:hAnsi="Times New Roman" w:cs="Times New Roman"/>
          <w:iCs/>
          <w:sz w:val="24"/>
          <w:szCs w:val="24"/>
        </w:rPr>
        <w:t xml:space="preserve"> składowych</w:t>
      </w:r>
      <w:r w:rsidRPr="00633318">
        <w:rPr>
          <w:rFonts w:ascii="Times New Roman" w:eastAsia="Calibri" w:hAnsi="Times New Roman" w:cs="Times New Roman"/>
          <w:iCs/>
          <w:sz w:val="24"/>
          <w:szCs w:val="24"/>
        </w:rPr>
        <w:t xml:space="preserve"> w </w:t>
      </w:r>
      <w:r w:rsidR="00123BDD" w:rsidRPr="00633318">
        <w:rPr>
          <w:rFonts w:ascii="Times New Roman" w:eastAsia="Calibri" w:hAnsi="Times New Roman" w:cs="Times New Roman"/>
          <w:iCs/>
          <w:sz w:val="24"/>
          <w:szCs w:val="24"/>
        </w:rPr>
        <w:t>danej jurysdykcji</w:t>
      </w:r>
      <w:r w:rsidRPr="00633318">
        <w:rPr>
          <w:rFonts w:ascii="Times New Roman" w:eastAsia="Calibri" w:hAnsi="Times New Roman" w:cs="Times New Roman"/>
          <w:iCs/>
          <w:sz w:val="24"/>
          <w:szCs w:val="24"/>
        </w:rPr>
        <w:t xml:space="preserve">. W pojęciu substrat mieści się natomiast zagregowana suma kwot wyłączeń z tytułu płac i z tytułu rzeczowych aktywów trwałych dla każdej jednostki </w:t>
      </w:r>
      <w:r w:rsidR="00D8650E" w:rsidRPr="00633318">
        <w:rPr>
          <w:rFonts w:ascii="Times New Roman" w:eastAsia="Calibri" w:hAnsi="Times New Roman" w:cs="Times New Roman"/>
          <w:iCs/>
          <w:sz w:val="24"/>
          <w:szCs w:val="24"/>
        </w:rPr>
        <w:t xml:space="preserve">składowej, </w:t>
      </w:r>
      <w:r w:rsidRPr="00633318">
        <w:rPr>
          <w:rFonts w:ascii="Times New Roman" w:eastAsia="Calibri" w:hAnsi="Times New Roman" w:cs="Times New Roman"/>
          <w:iCs/>
          <w:sz w:val="24"/>
          <w:szCs w:val="24"/>
        </w:rPr>
        <w:t xml:space="preserve">wchodzącej w skład grupy w </w:t>
      </w:r>
      <w:r w:rsidR="00123BDD" w:rsidRPr="00633318">
        <w:rPr>
          <w:rFonts w:ascii="Times New Roman" w:eastAsia="Calibri" w:hAnsi="Times New Roman" w:cs="Times New Roman"/>
          <w:iCs/>
          <w:sz w:val="24"/>
          <w:szCs w:val="24"/>
        </w:rPr>
        <w:t>danej jurysdykcji</w:t>
      </w:r>
      <w:r w:rsidRPr="00633318">
        <w:rPr>
          <w:rFonts w:ascii="Times New Roman" w:eastAsia="Calibri" w:hAnsi="Times New Roman" w:cs="Times New Roman"/>
          <w:iCs/>
          <w:sz w:val="24"/>
          <w:szCs w:val="24"/>
        </w:rPr>
        <w:t>. W przypadku zatem, gdy wartość wyłączenia substratu przekracza jurysdykcyjny kwalifikowany dochód netto za rok podatkowy, nie wystąpi nadwyżka zysku (patrz wzór z art. 13</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xml:space="preserve">) w </w:t>
      </w:r>
      <w:r w:rsidR="00123BDD" w:rsidRPr="00633318">
        <w:rPr>
          <w:rFonts w:ascii="Times New Roman" w:eastAsia="Calibri" w:hAnsi="Times New Roman" w:cs="Times New Roman"/>
          <w:iCs/>
          <w:sz w:val="24"/>
          <w:szCs w:val="24"/>
        </w:rPr>
        <w:t>danej jurysdykcji</w:t>
      </w:r>
      <w:r w:rsidR="00123BDD" w:rsidRPr="00633318" w:rsidDel="00123BDD">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i w konsekwencji nie powstanie obowiązek obliczenia globalnego podatku wyrównawczego za ten rok</w:t>
      </w:r>
      <w:r w:rsidRPr="00633318">
        <w:rPr>
          <w:rFonts w:ascii="Times New Roman" w:eastAsia="Calibri" w:hAnsi="Times New Roman" w:cs="Times New Roman"/>
          <w:iCs/>
          <w:sz w:val="24"/>
          <w:szCs w:val="24"/>
          <w:vertAlign w:val="superscript"/>
        </w:rPr>
        <w:footnoteReference w:id="146"/>
      </w:r>
      <w:r w:rsidRPr="00633318">
        <w:rPr>
          <w:rFonts w:ascii="Times New Roman" w:eastAsia="Calibri" w:hAnsi="Times New Roman" w:cs="Times New Roman"/>
          <w:iCs/>
          <w:sz w:val="24"/>
          <w:szCs w:val="24"/>
        </w:rPr>
        <w:t>.</w:t>
      </w:r>
    </w:p>
    <w:bookmarkEnd w:id="49"/>
    <w:p w14:paraId="77B7772F" w14:textId="18723E2C"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Należy zwrócić uwagę, że grupa międzynarodowa (w jej imieniu także wyznaczona jednostka krajowa, czy wyznaczona jednostka raportująca) rokrocznie decyduje odnośnie</w:t>
      </w:r>
      <w:r w:rsidR="00D8650E" w:rsidRPr="00633318">
        <w:rPr>
          <w:rFonts w:ascii="Times New Roman" w:eastAsia="Calibri" w:hAnsi="Times New Roman" w:cs="Times New Roman"/>
          <w:iCs/>
          <w:sz w:val="24"/>
          <w:szCs w:val="24"/>
        </w:rPr>
        <w:t xml:space="preserve"> do</w:t>
      </w:r>
      <w:r w:rsidRPr="00633318">
        <w:rPr>
          <w:rFonts w:ascii="Times New Roman" w:eastAsia="Calibri" w:hAnsi="Times New Roman" w:cs="Times New Roman"/>
          <w:iCs/>
          <w:sz w:val="24"/>
          <w:szCs w:val="24"/>
        </w:rPr>
        <w:t xml:space="preserve"> stosowania </w:t>
      </w:r>
      <w:r w:rsidR="00D8650E" w:rsidRPr="00633318">
        <w:rPr>
          <w:rFonts w:ascii="Times New Roman" w:eastAsia="Calibri" w:hAnsi="Times New Roman" w:cs="Times New Roman"/>
          <w:iCs/>
          <w:sz w:val="24"/>
          <w:szCs w:val="24"/>
        </w:rPr>
        <w:t>(</w:t>
      </w:r>
      <w:r w:rsidR="00083502" w:rsidRPr="00633318">
        <w:rPr>
          <w:rFonts w:ascii="Times New Roman" w:eastAsia="Calibri" w:hAnsi="Times New Roman" w:cs="Times New Roman"/>
          <w:iCs/>
          <w:sz w:val="24"/>
          <w:szCs w:val="24"/>
        </w:rPr>
        <w:t>w trybie wyboru</w:t>
      </w:r>
      <w:r w:rsidRPr="00633318">
        <w:rPr>
          <w:rFonts w:ascii="Times New Roman" w:eastAsia="Calibri" w:hAnsi="Times New Roman" w:cs="Times New Roman"/>
          <w:iCs/>
          <w:sz w:val="24"/>
          <w:szCs w:val="24"/>
        </w:rPr>
        <w:t xml:space="preserve">) wyłączenia substratu majątkowo-osobowego. Odstąpienie od skorzystania z takiego prawa może nastąpić w szczególności w przypadku uznania, że procedura związana z obliczeniem kwoty wyłączenia w </w:t>
      </w:r>
      <w:r w:rsidR="00123BDD" w:rsidRPr="00633318">
        <w:rPr>
          <w:rFonts w:ascii="Times New Roman" w:eastAsia="Calibri" w:hAnsi="Times New Roman" w:cs="Times New Roman"/>
          <w:iCs/>
          <w:sz w:val="24"/>
          <w:szCs w:val="24"/>
        </w:rPr>
        <w:t>danej jurysdykcji</w:t>
      </w:r>
      <w:r w:rsidRPr="00633318">
        <w:rPr>
          <w:rFonts w:ascii="Times New Roman" w:eastAsia="Calibri" w:hAnsi="Times New Roman" w:cs="Times New Roman"/>
          <w:iCs/>
          <w:sz w:val="24"/>
          <w:szCs w:val="24"/>
        </w:rPr>
        <w:t xml:space="preserve">, przewyższałaby potencjalne korzyści wynikające z takiego wyłączenia. Jest to w związku z tym „kwota” fakultatywna. W kolejnym roku grupa międzynarodowa dokonuje ponownie wyboru w niniejszym zakresie, zaś wybór niestosowania wyłączenia substratu za rok podatkowy powinien zostać wskazany w </w:t>
      </w:r>
      <w:r w:rsidR="007A49D5" w:rsidRPr="00633318">
        <w:rPr>
          <w:rFonts w:ascii="Times New Roman" w:eastAsia="Calibri" w:hAnsi="Times New Roman" w:cs="Times New Roman"/>
          <w:iCs/>
          <w:sz w:val="24"/>
          <w:szCs w:val="24"/>
        </w:rPr>
        <w:t>I</w:t>
      </w:r>
      <w:r w:rsidRPr="00633318">
        <w:rPr>
          <w:rFonts w:ascii="Times New Roman" w:eastAsia="Calibri" w:hAnsi="Times New Roman" w:cs="Times New Roman"/>
          <w:iCs/>
          <w:sz w:val="24"/>
          <w:szCs w:val="24"/>
        </w:rPr>
        <w:t xml:space="preserve">nformacji GloBE składanej za taki rok. </w:t>
      </w:r>
    </w:p>
    <w:p w14:paraId="5464381D" w14:textId="2392447C"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Należy dodatkowo podkreślić, że decyzja co do skorzystania z wyłączenia substratu może nie obejmować maksymalnej (pełnej) kwoty kwalifikowanych kosztów płac (o których mowa w art. 100 pkt 2</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czy kwalifikowanych rzeczowych aktywów trwałych (o których mowa w art. 100 pkt 3</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choćby odliczenie przysługiwało w maksymalnej ich wartości. Oznacza to pewną dowolność przysługującą grupie realizującą się w prawie ograniczenia się w ramach substratu do jedynie podzbioru całkowitej kwoty podlegającej wyłączeniu. Inną kwestią są okoliczności, w których takie koszty czy aktywa będzie można wziąć pod uwagę przy wyliczaniu substratu jedynie w ograniczonym zakresie (o czym szerzej traktuje uzasadnienie do art. 101</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xml:space="preserve">). </w:t>
      </w:r>
    </w:p>
    <w:p w14:paraId="23C99C0F" w14:textId="77777777" w:rsidR="00E62BA1" w:rsidRPr="00633318" w:rsidRDefault="00E62BA1" w:rsidP="000F5B35">
      <w:pPr>
        <w:keepNext/>
        <w:keepLines/>
        <w:spacing w:before="40" w:after="120"/>
        <w:outlineLvl w:val="4"/>
        <w:rPr>
          <w:rFonts w:ascii="Times New Roman" w:eastAsia="Times New Roman" w:hAnsi="Times New Roman" w:cs="Times New Roman"/>
          <w:i/>
          <w:color w:val="2E74B5"/>
          <w:sz w:val="24"/>
          <w:szCs w:val="24"/>
        </w:rPr>
      </w:pPr>
      <w:r w:rsidRPr="00633318">
        <w:rPr>
          <w:rFonts w:ascii="Times New Roman" w:eastAsia="Times New Roman" w:hAnsi="Times New Roman" w:cs="Times New Roman"/>
          <w:i/>
          <w:color w:val="2E74B5"/>
          <w:sz w:val="24"/>
          <w:szCs w:val="24"/>
        </w:rPr>
        <w:t xml:space="preserve">Art. </w:t>
      </w:r>
      <w:r w:rsidRPr="00633318">
        <w:rPr>
          <w:rFonts w:ascii="Times New Roman" w:eastAsia="Times New Roman" w:hAnsi="Times New Roman" w:cs="Times New Roman"/>
          <w:i/>
          <w:color w:val="5B9BD5" w:themeColor="accent1"/>
          <w:sz w:val="24"/>
          <w:szCs w:val="24"/>
        </w:rPr>
        <w:t>100</w:t>
      </w:r>
      <w:r w:rsidRPr="00633318">
        <w:rPr>
          <w:rFonts w:ascii="Times New Roman" w:eastAsia="Times New Roman" w:hAnsi="Times New Roman" w:cs="Times New Roman"/>
          <w:i/>
          <w:color w:val="2E74B5"/>
          <w:sz w:val="24"/>
          <w:szCs w:val="24"/>
        </w:rPr>
        <w:t xml:space="preserve"> [Definicje dotyczące substratu majątkowo-osobowego]</w:t>
      </w:r>
    </w:p>
    <w:p w14:paraId="0874B808" w14:textId="46EF8D6A"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Na substrat majątkowo-osobowy składają się dwa komponenty, tj. wyłączenie z tytułu kosztów płac oraz z tytułu rzeczowych aktywów trwałych. Przepisy art. 100</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xml:space="preserve"> (implementującego art. 28</w:t>
      </w:r>
      <w:r w:rsidR="0078103D" w:rsidRPr="00633318">
        <w:rPr>
          <w:rFonts w:ascii="Times New Roman" w:eastAsia="Calibri" w:hAnsi="Times New Roman" w:cs="Times New Roman"/>
          <w:iCs/>
          <w:sz w:val="24"/>
          <w:szCs w:val="24"/>
        </w:rPr>
        <w:t>.1</w:t>
      </w:r>
      <w:r w:rsidRPr="00633318">
        <w:rPr>
          <w:rFonts w:ascii="Times New Roman" w:eastAsia="Calibri" w:hAnsi="Times New Roman" w:cs="Times New Roman"/>
          <w:iCs/>
          <w:sz w:val="24"/>
          <w:szCs w:val="24"/>
        </w:rPr>
        <w:t xml:space="preserve"> Dyrektywy) wprowadzają na potrzeby stosowania tego mechanizmu definicje: kwalifikowanych pracowników </w:t>
      </w:r>
      <w:r w:rsidRPr="00633318">
        <w:rPr>
          <w:rFonts w:ascii="Times New Roman" w:eastAsia="Calibri" w:hAnsi="Times New Roman" w:cs="Times New Roman"/>
          <w:b/>
          <w:bCs/>
          <w:iCs/>
          <w:sz w:val="24"/>
          <w:szCs w:val="24"/>
        </w:rPr>
        <w:t>(pkt 1)</w:t>
      </w:r>
      <w:r w:rsidRPr="00633318">
        <w:rPr>
          <w:rFonts w:ascii="Times New Roman" w:eastAsia="Calibri" w:hAnsi="Times New Roman" w:cs="Times New Roman"/>
          <w:iCs/>
          <w:sz w:val="24"/>
          <w:szCs w:val="24"/>
        </w:rPr>
        <w:t>, kwalifikowanych kosztów płac</w:t>
      </w:r>
      <w:r w:rsidRPr="00633318">
        <w:rPr>
          <w:rFonts w:ascii="Times New Roman" w:eastAsia="Calibri" w:hAnsi="Times New Roman" w:cs="Times New Roman"/>
          <w:iCs/>
          <w:color w:val="FF0000"/>
          <w:sz w:val="24"/>
          <w:szCs w:val="24"/>
        </w:rPr>
        <w:t xml:space="preserve"> </w:t>
      </w:r>
      <w:r w:rsidRPr="00633318">
        <w:rPr>
          <w:rFonts w:ascii="Times New Roman" w:eastAsia="Calibri" w:hAnsi="Times New Roman" w:cs="Times New Roman"/>
          <w:b/>
          <w:bCs/>
          <w:iCs/>
          <w:sz w:val="24"/>
          <w:szCs w:val="24"/>
        </w:rPr>
        <w:t>(pkt 2)</w:t>
      </w:r>
      <w:r w:rsidRPr="00633318">
        <w:rPr>
          <w:rFonts w:ascii="Times New Roman" w:eastAsia="Calibri" w:hAnsi="Times New Roman" w:cs="Times New Roman"/>
          <w:iCs/>
          <w:sz w:val="24"/>
          <w:szCs w:val="24"/>
        </w:rPr>
        <w:t xml:space="preserve"> i kwalifikowanych rzeczowych aktywów trwałych </w:t>
      </w:r>
      <w:r w:rsidRPr="00633318">
        <w:rPr>
          <w:rFonts w:ascii="Times New Roman" w:eastAsia="Calibri" w:hAnsi="Times New Roman" w:cs="Times New Roman"/>
          <w:b/>
          <w:bCs/>
          <w:iCs/>
          <w:sz w:val="24"/>
          <w:szCs w:val="24"/>
        </w:rPr>
        <w:t>(pkt 3)</w:t>
      </w:r>
      <w:r w:rsidRPr="00633318">
        <w:rPr>
          <w:rFonts w:ascii="Times New Roman" w:eastAsia="Calibri" w:hAnsi="Times New Roman" w:cs="Times New Roman"/>
          <w:iCs/>
          <w:sz w:val="24"/>
          <w:szCs w:val="24"/>
        </w:rPr>
        <w:t>.</w:t>
      </w:r>
    </w:p>
    <w:p w14:paraId="00C4B073" w14:textId="77777777"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b/>
          <w:bCs/>
          <w:iCs/>
          <w:sz w:val="24"/>
          <w:szCs w:val="24"/>
        </w:rPr>
        <w:t>Definicja kwalifikowanych pracowników (pkt 1)</w:t>
      </w:r>
      <w:r w:rsidRPr="00633318">
        <w:rPr>
          <w:rFonts w:ascii="Times New Roman" w:eastAsia="Calibri" w:hAnsi="Times New Roman" w:cs="Times New Roman"/>
          <w:iCs/>
          <w:sz w:val="24"/>
          <w:szCs w:val="24"/>
        </w:rPr>
        <w:t xml:space="preserve"> obejmuje pracowników jednostki składowej grupy bez względu na wymiar świadczonej pracy (tj. wielkość etatu), jak również niezależnych zleceniobiorców (wykonawców/kontrahentów, samozatrudnionych) uczestniczących w podstawowej działalności operacyjnej grupy (to warunek konieczny), podlegających kierownictwu i kontroli jednostek składowych takiej grupy. Dla celów substratu niezależni zleceniobiorcy to osoby fizyczne (jednak nie będą nimi pracownicy kontrahenta jednostki składowej dostarczającego towary czy świadczącego usługi na jej rzecz). </w:t>
      </w:r>
    </w:p>
    <w:p w14:paraId="14B1DF55" w14:textId="11BBF9D1"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Przyjęta konstrukcja jest zgodna z mechanizmem raportowania według krajów (Działanie 13 BEPS dla celów CbCR)</w:t>
      </w:r>
      <w:r w:rsidRPr="00633318">
        <w:rPr>
          <w:rFonts w:ascii="Times New Roman" w:eastAsia="Calibri" w:hAnsi="Times New Roman" w:cs="Times New Roman"/>
          <w:iCs/>
          <w:sz w:val="24"/>
          <w:szCs w:val="24"/>
          <w:vertAlign w:val="superscript"/>
        </w:rPr>
        <w:footnoteReference w:id="147"/>
      </w:r>
      <w:r w:rsidRPr="00633318">
        <w:rPr>
          <w:rFonts w:ascii="Times New Roman" w:eastAsia="Calibri" w:hAnsi="Times New Roman" w:cs="Times New Roman"/>
          <w:iCs/>
          <w:sz w:val="24"/>
          <w:szCs w:val="24"/>
        </w:rPr>
        <w:t xml:space="preserve">. W szczególności, liczba pracowników jest obliczana jako całkowita liczba pracowników w przeliczeniu na etaty i może być podawana na koniec roku, w oparciu o średni poziom zatrudnienia w danym roku lub na innej podstawie (stosowanej jednak konsekwentnie we wszystkich </w:t>
      </w:r>
      <w:r w:rsidR="00554B05" w:rsidRPr="00633318">
        <w:rPr>
          <w:rFonts w:ascii="Times New Roman" w:hAnsi="Times New Roman" w:cs="Times New Roman"/>
          <w:sz w:val="24"/>
          <w:szCs w:val="24"/>
        </w:rPr>
        <w:t>jurysdykcjach</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w każdym roku, pod warunkiem, że podstawa taka pozwala na ocenę całkowitej liczby pracowników w przeliczeniu na etaty). Dopuszczalne jest również rozsądne zaokrąglenie, o ile nie spowoduje to istotnego zniekształcenia rozkładu liczby pracowników w różnych </w:t>
      </w:r>
      <w:r w:rsidR="00554B05" w:rsidRPr="00633318">
        <w:rPr>
          <w:rFonts w:ascii="Times New Roman" w:hAnsi="Times New Roman" w:cs="Times New Roman"/>
          <w:sz w:val="24"/>
          <w:szCs w:val="24"/>
        </w:rPr>
        <w:t>jurysdykcjach</w:t>
      </w:r>
      <w:r w:rsidRPr="00633318">
        <w:rPr>
          <w:rFonts w:ascii="Times New Roman" w:eastAsia="Calibri" w:hAnsi="Times New Roman" w:cs="Times New Roman"/>
          <w:iCs/>
          <w:sz w:val="24"/>
          <w:szCs w:val="24"/>
        </w:rPr>
        <w:t xml:space="preserve">. </w:t>
      </w:r>
    </w:p>
    <w:p w14:paraId="06D17229" w14:textId="7BAE4552" w:rsidR="00E62BA1" w:rsidRPr="00633318" w:rsidRDefault="00E62BA1" w:rsidP="000F5B35">
      <w:pPr>
        <w:jc w:val="both"/>
        <w:rPr>
          <w:rFonts w:ascii="Times New Roman" w:eastAsia="Calibri" w:hAnsi="Times New Roman" w:cs="Times New Roman"/>
          <w:b/>
          <w:i/>
          <w:iCs/>
          <w:sz w:val="24"/>
          <w:szCs w:val="24"/>
        </w:rPr>
      </w:pPr>
      <w:r w:rsidRPr="00633318">
        <w:rPr>
          <w:rFonts w:ascii="Times New Roman" w:eastAsia="Calibri" w:hAnsi="Times New Roman" w:cs="Times New Roman"/>
          <w:iCs/>
          <w:sz w:val="24"/>
          <w:szCs w:val="24"/>
        </w:rPr>
        <w:t xml:space="preserve">Kluczową okolicznością przy określaniu zakresu podmiotowego kwalifikowanych pracowników jest miejsce wykonywania przez nich pracy w roku podatkowym. Wyłączenie substratu majątkowo-osobowego w aspekcie pracownika jest bowiem obliczane, co do zasady, na podstawie czasu pracy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lokalizacji jednostki składowej grupy będącej pracodawcą lub właściciela takiej jednostki.</w:t>
      </w:r>
      <w:r w:rsidRPr="00633318">
        <w:rPr>
          <w:rFonts w:ascii="Times New Roman" w:eastAsia="Calibri" w:hAnsi="Times New Roman" w:cs="Times New Roman"/>
          <w:iCs/>
          <w:color w:val="0070C0"/>
          <w:sz w:val="24"/>
          <w:szCs w:val="24"/>
        </w:rPr>
        <w:t xml:space="preserve"> </w:t>
      </w:r>
      <w:r w:rsidRPr="00633318">
        <w:rPr>
          <w:rFonts w:ascii="Times New Roman" w:eastAsia="Calibri" w:hAnsi="Times New Roman" w:cs="Times New Roman"/>
          <w:iCs/>
          <w:sz w:val="24"/>
          <w:szCs w:val="24"/>
        </w:rPr>
        <w:t xml:space="preserve">Jednocześnie, zgodnie z Wytycznymi z lipca 2023 r. przewidziane zostały zasady traktowania jedynie okresowego wykonywania pracy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pracodawcy na przestrzeni roku podatkowego (patrz komentarz do art. 101</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w:t>
      </w:r>
    </w:p>
    <w:p w14:paraId="2C15494D" w14:textId="3AB982A7"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b/>
          <w:bCs/>
          <w:iCs/>
          <w:sz w:val="24"/>
          <w:szCs w:val="24"/>
        </w:rPr>
        <w:t>Definicja kwalifikowanych kosztów płac</w:t>
      </w:r>
      <w:r w:rsidRPr="00633318">
        <w:rPr>
          <w:rFonts w:ascii="Times New Roman" w:eastAsia="Calibri" w:hAnsi="Times New Roman" w:cs="Times New Roman"/>
          <w:iCs/>
          <w:sz w:val="24"/>
          <w:szCs w:val="24"/>
        </w:rPr>
        <w:t xml:space="preserve"> </w:t>
      </w:r>
      <w:r w:rsidRPr="00633318">
        <w:rPr>
          <w:rFonts w:ascii="Times New Roman" w:eastAsia="Calibri" w:hAnsi="Times New Roman" w:cs="Times New Roman"/>
          <w:b/>
          <w:bCs/>
          <w:iCs/>
          <w:sz w:val="24"/>
          <w:szCs w:val="24"/>
        </w:rPr>
        <w:t>(pkt 2)</w:t>
      </w:r>
      <w:r w:rsidRPr="00633318">
        <w:rPr>
          <w:rFonts w:ascii="Times New Roman" w:eastAsia="Calibri" w:hAnsi="Times New Roman" w:cs="Times New Roman"/>
          <w:iCs/>
          <w:sz w:val="24"/>
          <w:szCs w:val="24"/>
        </w:rPr>
        <w:t xml:space="preserve"> prezentuje szerokie rozumienie tego pojęcia jako obejmującego wszelkie (łączne) wydatki za rok podatkowy na pokrycie kosztów związanych z zatrudnieniem kwalifikowanych pracowników, w tym kosztów wynagrodzeń (także w formie akcji) </w:t>
      </w:r>
      <w:r w:rsidRPr="00633318">
        <w:rPr>
          <w:rFonts w:ascii="Times New Roman" w:hAnsi="Times New Roman" w:cs="Times New Roman"/>
          <w:sz w:val="24"/>
          <w:szCs w:val="24"/>
        </w:rPr>
        <w:t>i innych</w:t>
      </w:r>
      <w:r w:rsidRPr="00633318">
        <w:rPr>
          <w:rFonts w:ascii="Times New Roman" w:eastAsia="Calibri" w:hAnsi="Times New Roman" w:cs="Times New Roman"/>
          <w:iCs/>
          <w:sz w:val="24"/>
          <w:szCs w:val="24"/>
        </w:rPr>
        <w:t xml:space="preserve"> stanowiących dla pracownika bezpośrednie odrębne świadczenie indywidualne (osobiste) z tytułu ubezpieczenia zdrowotnego, czy składek emerytalnych, ale również obciążających pracodawcę</w:t>
      </w:r>
      <w:r w:rsidR="00D8650E"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związanych z zatrudnieniem podatków i składek na ubezpieczenie społeczne. Wyjątki dotyczące określonych rodzajów wydatków w ramach obliczenia kwoty wyłączenia substratu przewidziane zostały w art. 101 ust. 3</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xml:space="preserve"> (patrz komentarz do art. 101</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xml:space="preserve">). </w:t>
      </w:r>
    </w:p>
    <w:p w14:paraId="47A9EC39" w14:textId="5C5EAAAB"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Należy dodatkowo zauważyć, że uwzględnione w ramach kwalifikowanych kosztów płac </w:t>
      </w:r>
      <w:r w:rsidRPr="00633318">
        <w:rPr>
          <w:rFonts w:ascii="Times New Roman" w:eastAsia="Calibri" w:hAnsi="Times New Roman" w:cs="Times New Roman"/>
          <w:b/>
          <w:bCs/>
          <w:iCs/>
          <w:sz w:val="24"/>
          <w:szCs w:val="24"/>
        </w:rPr>
        <w:t>wynagrodzenie w formie akcji</w:t>
      </w:r>
      <w:r w:rsidRPr="00633318">
        <w:rPr>
          <w:rFonts w:ascii="Times New Roman" w:eastAsia="Calibri" w:hAnsi="Times New Roman" w:cs="Times New Roman"/>
          <w:iCs/>
          <w:sz w:val="24"/>
          <w:szCs w:val="24"/>
        </w:rPr>
        <w:t xml:space="preserve"> (na co wskazano wyżej) stanowić będzie kwotę ujętą w księgach rachunkowych wykorzystywanych na potrzeby określenia substratu. Przy czym, nie znajdzie w tym przypadku zastosowania wybór dokonany na podstawie art. 57</w:t>
      </w:r>
      <w:r w:rsidR="00D8650E"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vertAlign w:val="superscript"/>
        </w:rPr>
        <w:footnoteReference w:id="148"/>
      </w:r>
      <w:r w:rsidRPr="00633318">
        <w:rPr>
          <w:rFonts w:ascii="Times New Roman" w:eastAsia="Calibri" w:hAnsi="Times New Roman" w:cs="Times New Roman"/>
          <w:iCs/>
          <w:sz w:val="24"/>
          <w:szCs w:val="24"/>
        </w:rPr>
        <w:t xml:space="preserve"> (patrz uzasadnienie do tego przepisu).</w:t>
      </w:r>
    </w:p>
    <w:p w14:paraId="5CD80F59" w14:textId="67A6603C"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b/>
          <w:bCs/>
          <w:iCs/>
          <w:sz w:val="24"/>
          <w:szCs w:val="24"/>
        </w:rPr>
        <w:t>Definicja kwalifikowanych rzeczowych aktywów trwałych</w:t>
      </w:r>
      <w:r w:rsidRPr="00633318">
        <w:rPr>
          <w:rFonts w:ascii="Times New Roman" w:eastAsia="Calibri" w:hAnsi="Times New Roman" w:cs="Times New Roman"/>
          <w:iCs/>
          <w:sz w:val="24"/>
          <w:szCs w:val="24"/>
        </w:rPr>
        <w:t xml:space="preserve"> </w:t>
      </w:r>
      <w:r w:rsidRPr="00633318">
        <w:rPr>
          <w:rFonts w:ascii="Times New Roman" w:eastAsia="Calibri" w:hAnsi="Times New Roman" w:cs="Times New Roman"/>
          <w:b/>
          <w:bCs/>
          <w:iCs/>
          <w:sz w:val="24"/>
          <w:szCs w:val="24"/>
        </w:rPr>
        <w:t>(pkt 3)</w:t>
      </w:r>
      <w:r w:rsidRPr="00633318">
        <w:rPr>
          <w:rFonts w:ascii="Times New Roman" w:eastAsia="Calibri" w:hAnsi="Times New Roman" w:cs="Times New Roman"/>
          <w:iCs/>
          <w:sz w:val="24"/>
          <w:szCs w:val="24"/>
        </w:rPr>
        <w:t xml:space="preserve"> obejmuje (co do zasady znajdujące się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lokalizacji jednostki składowej):</w:t>
      </w:r>
    </w:p>
    <w:p w14:paraId="67D1BA2C" w14:textId="77777777" w:rsidR="00E62BA1" w:rsidRPr="00633318" w:rsidRDefault="00E62BA1" w:rsidP="00B6504F">
      <w:pPr>
        <w:numPr>
          <w:ilvl w:val="0"/>
          <w:numId w:val="46"/>
        </w:numPr>
        <w:ind w:left="714" w:hanging="357"/>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składniki rzeczowych aktywów trwałych i prawa leasingobiorcy do korzystania z nich </w:t>
      </w:r>
      <w:r w:rsidRPr="00633318">
        <w:rPr>
          <w:rFonts w:ascii="Times New Roman" w:eastAsia="Calibri" w:hAnsi="Times New Roman" w:cs="Times New Roman"/>
          <w:b/>
          <w:bCs/>
          <w:iCs/>
          <w:sz w:val="24"/>
          <w:szCs w:val="24"/>
        </w:rPr>
        <w:t>(lit. a i c)</w:t>
      </w:r>
    </w:p>
    <w:p w14:paraId="73E018F3" w14:textId="77777777" w:rsidR="00E62BA1" w:rsidRPr="00633318" w:rsidRDefault="00E62BA1" w:rsidP="00B6504F">
      <w:pPr>
        <w:numPr>
          <w:ilvl w:val="0"/>
          <w:numId w:val="46"/>
        </w:numPr>
        <w:ind w:left="714" w:hanging="357"/>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zasoby naturalne </w:t>
      </w:r>
      <w:r w:rsidRPr="00633318">
        <w:rPr>
          <w:rFonts w:ascii="Times New Roman" w:eastAsia="Calibri" w:hAnsi="Times New Roman" w:cs="Times New Roman"/>
          <w:b/>
          <w:bCs/>
          <w:iCs/>
          <w:sz w:val="24"/>
          <w:szCs w:val="24"/>
        </w:rPr>
        <w:t>(lit. b)</w:t>
      </w:r>
      <w:r w:rsidRPr="00633318">
        <w:rPr>
          <w:rFonts w:ascii="Times New Roman" w:eastAsia="Calibri" w:hAnsi="Times New Roman" w:cs="Times New Roman"/>
          <w:iCs/>
          <w:sz w:val="24"/>
          <w:szCs w:val="24"/>
        </w:rPr>
        <w:t>, a także</w:t>
      </w:r>
    </w:p>
    <w:p w14:paraId="772A22DA" w14:textId="2CDD64BF" w:rsidR="00E62BA1" w:rsidRPr="00633318" w:rsidRDefault="00E62BA1" w:rsidP="00B6504F">
      <w:pPr>
        <w:numPr>
          <w:ilvl w:val="0"/>
          <w:numId w:val="46"/>
        </w:numPr>
        <w:ind w:left="714" w:hanging="357"/>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prawa przyznane przez organy </w:t>
      </w:r>
      <w:r w:rsidR="00006AC9" w:rsidRPr="00633318">
        <w:rPr>
          <w:rFonts w:ascii="Times New Roman" w:eastAsia="Calibri" w:hAnsi="Times New Roman" w:cs="Times New Roman"/>
          <w:iCs/>
          <w:sz w:val="24"/>
          <w:szCs w:val="24"/>
        </w:rPr>
        <w:t xml:space="preserve"> danej jurysdykcji</w:t>
      </w:r>
      <w:r w:rsidRPr="00633318">
        <w:rPr>
          <w:rFonts w:ascii="Times New Roman" w:eastAsia="Calibri" w:hAnsi="Times New Roman" w:cs="Times New Roman"/>
          <w:iCs/>
          <w:sz w:val="24"/>
          <w:szCs w:val="24"/>
        </w:rPr>
        <w:t xml:space="preserve"> (określone w koncesjach, decyzjach administracyjnych lub innych podobnych aktach administracyjnych) dot. użytkowania aktywów (w tym nieruchomości) lub eksploatacji zasobów naturalnych, których uzyskanie wymaga dokonania znaczących inwestycji w rzeczowe aktywa trwałe </w:t>
      </w:r>
      <w:r w:rsidRPr="00633318">
        <w:rPr>
          <w:rFonts w:ascii="Times New Roman" w:eastAsia="Calibri" w:hAnsi="Times New Roman" w:cs="Times New Roman"/>
          <w:b/>
          <w:bCs/>
          <w:iCs/>
          <w:sz w:val="24"/>
          <w:szCs w:val="24"/>
        </w:rPr>
        <w:t>(lit. d)</w:t>
      </w:r>
      <w:r w:rsidRPr="00633318">
        <w:rPr>
          <w:rFonts w:ascii="Times New Roman" w:eastAsia="Calibri" w:hAnsi="Times New Roman" w:cs="Times New Roman"/>
          <w:iCs/>
          <w:sz w:val="24"/>
          <w:szCs w:val="24"/>
        </w:rPr>
        <w:t>.</w:t>
      </w:r>
    </w:p>
    <w:p w14:paraId="2687F9B6" w14:textId="1001CAA6" w:rsidR="00E62BA1" w:rsidRPr="00633318" w:rsidRDefault="00E62BA1" w:rsidP="000F5B35">
      <w:pPr>
        <w:jc w:val="both"/>
        <w:rPr>
          <w:rFonts w:ascii="Times New Roman" w:eastAsia="Calibri" w:hAnsi="Times New Roman" w:cs="Times New Roman"/>
          <w:iCs/>
          <w:color w:val="000000"/>
          <w:sz w:val="24"/>
          <w:szCs w:val="24"/>
        </w:rPr>
      </w:pPr>
      <w:r w:rsidRPr="00633318">
        <w:rPr>
          <w:rFonts w:ascii="Times New Roman" w:eastAsia="Calibri" w:hAnsi="Times New Roman" w:cs="Times New Roman"/>
          <w:iCs/>
          <w:color w:val="000000"/>
          <w:sz w:val="24"/>
          <w:szCs w:val="24"/>
        </w:rPr>
        <w:t xml:space="preserve">Należy podkreślić, że ujęcie w ramach definicji wszystkich znajdujących w </w:t>
      </w:r>
      <w:r w:rsidR="00554B05" w:rsidRPr="00633318">
        <w:rPr>
          <w:rFonts w:ascii="Times New Roman" w:eastAsia="Calibri" w:hAnsi="Times New Roman" w:cs="Times New Roman"/>
          <w:iCs/>
          <w:color w:val="000000"/>
          <w:sz w:val="24"/>
          <w:szCs w:val="24"/>
        </w:rPr>
        <w:t xml:space="preserve">danej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color w:val="000000"/>
          <w:sz w:val="24"/>
          <w:szCs w:val="24"/>
        </w:rPr>
        <w:t xml:space="preserve"> </w:t>
      </w:r>
      <w:r w:rsidRPr="00633318">
        <w:rPr>
          <w:rFonts w:ascii="Times New Roman" w:eastAsia="Calibri" w:hAnsi="Times New Roman" w:cs="Times New Roman"/>
          <w:iCs/>
          <w:color w:val="000000"/>
          <w:sz w:val="24"/>
          <w:szCs w:val="24"/>
        </w:rPr>
        <w:t>rzeczowych aktywów trwałych pozwala na zobrazowanie faktycznej działalności przedsiębiorstwa.</w:t>
      </w:r>
    </w:p>
    <w:p w14:paraId="49837FFA" w14:textId="77777777" w:rsidR="00E62BA1" w:rsidRPr="00633318" w:rsidRDefault="00E62BA1" w:rsidP="000F5B35">
      <w:pPr>
        <w:jc w:val="both"/>
        <w:rPr>
          <w:rFonts w:ascii="Times New Roman" w:eastAsia="Calibri" w:hAnsi="Times New Roman" w:cs="Times New Roman"/>
          <w:iCs/>
          <w:color w:val="000000"/>
          <w:sz w:val="24"/>
          <w:szCs w:val="24"/>
        </w:rPr>
      </w:pPr>
      <w:r w:rsidRPr="00633318">
        <w:rPr>
          <w:rFonts w:ascii="Times New Roman" w:eastAsia="Calibri" w:hAnsi="Times New Roman" w:cs="Times New Roman"/>
          <w:iCs/>
          <w:color w:val="000000"/>
          <w:sz w:val="24"/>
          <w:szCs w:val="24"/>
        </w:rPr>
        <w:t xml:space="preserve">Natomiast prawa, o których mowa w </w:t>
      </w:r>
      <w:r w:rsidRPr="00633318">
        <w:rPr>
          <w:rFonts w:ascii="Times New Roman" w:eastAsia="Calibri" w:hAnsi="Times New Roman" w:cs="Times New Roman"/>
          <w:b/>
          <w:bCs/>
          <w:iCs/>
          <w:color w:val="000000"/>
          <w:sz w:val="24"/>
          <w:szCs w:val="24"/>
        </w:rPr>
        <w:t>lit. d</w:t>
      </w:r>
      <w:r w:rsidRPr="00633318">
        <w:rPr>
          <w:rFonts w:ascii="Times New Roman" w:eastAsia="Calibri" w:hAnsi="Times New Roman" w:cs="Times New Roman"/>
          <w:iCs/>
          <w:color w:val="000000"/>
          <w:sz w:val="24"/>
          <w:szCs w:val="24"/>
        </w:rPr>
        <w:t xml:space="preserve">, w zakresie, w jakim dotyczą korzystania (użytkowania) z nieruchomości lub eksploatacji zasobów naturalnych (w tym złóż ropy naftowej, gazu ziemnego, złóż mineralnych), będących własnością rządu, stanowią składową definicji kwalifikowanych rzeczowych aktywów trwałych dla celów substratu, niezależnie od tego, czy są ujmowane lub traktowane jako aktywa niematerialne w sprawozdaniu finansowym (chyba, że jednostka składowa traktuje dane prawo jako odrębne od prawa do korzystania z nieruchomości, tj. np. jako odrębną umowę o świadczenie usług, co nie wchodzi w zakres definicji). </w:t>
      </w:r>
    </w:p>
    <w:p w14:paraId="54D170E3" w14:textId="346D64B4" w:rsidR="00E62BA1" w:rsidRPr="00633318" w:rsidRDefault="00E62BA1" w:rsidP="000F5B35">
      <w:pPr>
        <w:jc w:val="both"/>
        <w:rPr>
          <w:rFonts w:ascii="Times New Roman" w:eastAsia="Calibri" w:hAnsi="Times New Roman" w:cs="Times New Roman"/>
          <w:iCs/>
          <w:color w:val="000000"/>
          <w:sz w:val="24"/>
          <w:szCs w:val="24"/>
        </w:rPr>
      </w:pPr>
      <w:r w:rsidRPr="00633318">
        <w:rPr>
          <w:rFonts w:ascii="Times New Roman" w:eastAsia="Calibri" w:hAnsi="Times New Roman" w:cs="Times New Roman"/>
          <w:iCs/>
          <w:color w:val="000000"/>
          <w:sz w:val="24"/>
          <w:szCs w:val="24"/>
        </w:rPr>
        <w:t xml:space="preserve">W kontekście uwzględnienia w niniejszym przepisie leasingu z perspektywy praw przysługujących </w:t>
      </w:r>
      <w:r w:rsidRPr="00633318">
        <w:rPr>
          <w:rFonts w:ascii="Times New Roman" w:eastAsia="Calibri" w:hAnsi="Times New Roman" w:cs="Times New Roman"/>
          <w:b/>
          <w:bCs/>
          <w:iCs/>
          <w:color w:val="000000"/>
          <w:sz w:val="24"/>
          <w:szCs w:val="24"/>
        </w:rPr>
        <w:t>korzystającemu (leasingobiorcy)</w:t>
      </w:r>
      <w:r w:rsidRPr="00633318">
        <w:rPr>
          <w:rFonts w:ascii="Times New Roman" w:eastAsia="Calibri" w:hAnsi="Times New Roman" w:cs="Times New Roman"/>
          <w:iCs/>
          <w:color w:val="000000"/>
          <w:sz w:val="24"/>
          <w:szCs w:val="24"/>
        </w:rPr>
        <w:t xml:space="preserve"> </w:t>
      </w:r>
      <w:r w:rsidRPr="00633318">
        <w:rPr>
          <w:rFonts w:ascii="Times New Roman" w:eastAsia="Calibri" w:hAnsi="Times New Roman" w:cs="Times New Roman"/>
          <w:b/>
          <w:bCs/>
          <w:iCs/>
          <w:color w:val="000000"/>
          <w:sz w:val="24"/>
          <w:szCs w:val="24"/>
        </w:rPr>
        <w:t>(lit. c)</w:t>
      </w:r>
      <w:r w:rsidRPr="00633318">
        <w:rPr>
          <w:rFonts w:ascii="Times New Roman" w:eastAsia="Calibri" w:hAnsi="Times New Roman" w:cs="Times New Roman"/>
          <w:iCs/>
          <w:color w:val="000000"/>
          <w:sz w:val="24"/>
          <w:szCs w:val="24"/>
        </w:rPr>
        <w:t xml:space="preserve"> wymaga zauważenia, że zrównanie zdarzeń zakupu aktywa trwałego z jego użytkowaniem neutralizuje </w:t>
      </w:r>
      <w:r w:rsidRPr="00633318">
        <w:rPr>
          <w:rFonts w:ascii="Times New Roman" w:eastAsia="Calibri" w:hAnsi="Times New Roman" w:cs="Times New Roman"/>
          <w:i/>
          <w:color w:val="000000"/>
          <w:sz w:val="24"/>
          <w:szCs w:val="24"/>
        </w:rPr>
        <w:t>de facto</w:t>
      </w:r>
      <w:r w:rsidRPr="00633318">
        <w:rPr>
          <w:rFonts w:ascii="Times New Roman" w:eastAsia="Calibri" w:hAnsi="Times New Roman" w:cs="Times New Roman"/>
          <w:iCs/>
          <w:color w:val="000000"/>
          <w:sz w:val="24"/>
          <w:szCs w:val="24"/>
        </w:rPr>
        <w:t xml:space="preserve"> różnice w sytuacji właściciela takiego aktywa i podmiotu leasingującego (używającego) taki środek (patrz uzasadnienie do art. 101</w:t>
      </w:r>
      <w:r w:rsidR="00D8650E" w:rsidRPr="00633318">
        <w:rPr>
          <w:rFonts w:ascii="Times New Roman" w:eastAsia="Calibri" w:hAnsi="Times New Roman" w:cs="Times New Roman"/>
          <w:iCs/>
          <w:color w:val="000000"/>
          <w:sz w:val="24"/>
          <w:szCs w:val="24"/>
        </w:rPr>
        <w:t xml:space="preserve"> ustawy</w:t>
      </w:r>
      <w:r w:rsidRPr="00633318">
        <w:rPr>
          <w:rFonts w:ascii="Times New Roman" w:eastAsia="Calibri" w:hAnsi="Times New Roman" w:cs="Times New Roman"/>
          <w:iCs/>
          <w:color w:val="000000"/>
          <w:sz w:val="24"/>
          <w:szCs w:val="24"/>
        </w:rPr>
        <w:t xml:space="preserve">). </w:t>
      </w:r>
    </w:p>
    <w:p w14:paraId="01E490DB" w14:textId="5F080F03" w:rsidR="00E62BA1" w:rsidRPr="00633318" w:rsidRDefault="00E62BA1" w:rsidP="000F5B35">
      <w:pPr>
        <w:keepNext/>
        <w:keepLines/>
        <w:spacing w:before="40" w:after="120"/>
        <w:jc w:val="both"/>
        <w:outlineLvl w:val="4"/>
        <w:rPr>
          <w:rFonts w:ascii="Times New Roman" w:eastAsia="Times New Roman" w:hAnsi="Times New Roman" w:cs="Times New Roman"/>
          <w:i/>
          <w:color w:val="2E74B5"/>
          <w:sz w:val="24"/>
          <w:szCs w:val="24"/>
        </w:rPr>
      </w:pPr>
      <w:bookmarkStart w:id="52" w:name="_Hlk163664660"/>
      <w:r w:rsidRPr="00633318">
        <w:rPr>
          <w:rFonts w:ascii="Times New Roman" w:eastAsia="Times New Roman" w:hAnsi="Times New Roman" w:cs="Times New Roman"/>
          <w:i/>
          <w:color w:val="2E74B5"/>
          <w:sz w:val="24"/>
          <w:szCs w:val="24"/>
        </w:rPr>
        <w:t xml:space="preserve">Art. 101 [Mechanizm wyliczenia substratu majątkowo-osobowego, w tym </w:t>
      </w:r>
      <w:r w:rsidRPr="00633318">
        <w:rPr>
          <w:rFonts w:ascii="Times New Roman" w:eastAsia="Times New Roman" w:hAnsi="Times New Roman" w:cs="Times New Roman"/>
          <w:bCs/>
          <w:i/>
          <w:iCs/>
          <w:color w:val="2E74B5"/>
          <w:sz w:val="24"/>
          <w:szCs w:val="24"/>
        </w:rPr>
        <w:t xml:space="preserve">w przypadku czasowego (w roku podatkowym):  - wykonywania czynności przez kwalifikowanych pracowników na rzecz grupy w </w:t>
      </w:r>
      <w:r w:rsidR="00554B05" w:rsidRPr="00633318">
        <w:rPr>
          <w:rFonts w:ascii="Times New Roman" w:eastAsia="Times New Roman" w:hAnsi="Times New Roman" w:cs="Times New Roman"/>
          <w:bCs/>
          <w:i/>
          <w:iCs/>
          <w:color w:val="2E74B5"/>
          <w:sz w:val="24"/>
          <w:szCs w:val="24"/>
        </w:rPr>
        <w:t>danej jurysdykcji</w:t>
      </w:r>
      <w:r w:rsidRPr="00633318">
        <w:rPr>
          <w:rFonts w:ascii="Times New Roman" w:eastAsia="Times New Roman" w:hAnsi="Times New Roman" w:cs="Times New Roman"/>
          <w:bCs/>
          <w:i/>
          <w:iCs/>
          <w:color w:val="2E74B5"/>
          <w:sz w:val="24"/>
          <w:szCs w:val="24"/>
        </w:rPr>
        <w:t xml:space="preserve">, -  zlokalizowania kwalifikowanych rzeczowych aktywów trwałych w </w:t>
      </w:r>
      <w:r w:rsidR="00554B05" w:rsidRPr="00633318">
        <w:rPr>
          <w:rFonts w:ascii="Times New Roman" w:eastAsia="Times New Roman" w:hAnsi="Times New Roman" w:cs="Times New Roman"/>
          <w:bCs/>
          <w:i/>
          <w:iCs/>
          <w:color w:val="2E74B5"/>
          <w:sz w:val="24"/>
          <w:szCs w:val="24"/>
        </w:rPr>
        <w:t>danej jurysdykcji</w:t>
      </w:r>
      <w:r w:rsidRPr="00633318">
        <w:rPr>
          <w:rFonts w:ascii="Times New Roman" w:eastAsia="Times New Roman" w:hAnsi="Times New Roman" w:cs="Times New Roman"/>
          <w:i/>
          <w:color w:val="2E74B5"/>
          <w:sz w:val="24"/>
          <w:szCs w:val="24"/>
        </w:rPr>
        <w:t>]</w:t>
      </w:r>
    </w:p>
    <w:bookmarkEnd w:id="52"/>
    <w:p w14:paraId="3895D39D" w14:textId="7E1FC41B"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bCs/>
          <w:iCs/>
          <w:sz w:val="24"/>
          <w:szCs w:val="24"/>
        </w:rPr>
        <w:t>Przepisy art. 101</w:t>
      </w:r>
      <w:r w:rsidR="00D8650E" w:rsidRPr="00633318">
        <w:rPr>
          <w:rFonts w:ascii="Times New Roman" w:eastAsia="Calibri" w:hAnsi="Times New Roman" w:cs="Times New Roman"/>
          <w:bCs/>
          <w:iCs/>
          <w:sz w:val="24"/>
          <w:szCs w:val="24"/>
        </w:rPr>
        <w:t xml:space="preserve"> ustawy</w:t>
      </w:r>
      <w:r w:rsidRPr="00633318">
        <w:rPr>
          <w:rFonts w:ascii="Times New Roman" w:eastAsia="Calibri" w:hAnsi="Times New Roman" w:cs="Times New Roman"/>
          <w:bCs/>
          <w:iCs/>
          <w:sz w:val="24"/>
          <w:szCs w:val="24"/>
        </w:rPr>
        <w:t xml:space="preserve"> (implementującego art. 28</w:t>
      </w:r>
      <w:r w:rsidR="0078103D" w:rsidRPr="00633318">
        <w:rPr>
          <w:rFonts w:ascii="Times New Roman" w:eastAsia="Calibri" w:hAnsi="Times New Roman" w:cs="Times New Roman"/>
          <w:bCs/>
          <w:iCs/>
          <w:sz w:val="24"/>
          <w:szCs w:val="24"/>
        </w:rPr>
        <w:t>.2 – 28.5, 28.8 oraz 28.9</w:t>
      </w:r>
      <w:r w:rsidRPr="00633318">
        <w:rPr>
          <w:rFonts w:ascii="Times New Roman" w:eastAsia="Calibri" w:hAnsi="Times New Roman" w:cs="Times New Roman"/>
          <w:bCs/>
          <w:iCs/>
          <w:sz w:val="24"/>
          <w:szCs w:val="24"/>
        </w:rPr>
        <w:t xml:space="preserve"> Dyrektywy) wprowadzają właściwy mechanizm wyliczania </w:t>
      </w:r>
      <w:r w:rsidRPr="00633318">
        <w:rPr>
          <w:rFonts w:ascii="Times New Roman" w:eastAsia="Calibri" w:hAnsi="Times New Roman" w:cs="Times New Roman"/>
          <w:iCs/>
          <w:sz w:val="24"/>
          <w:szCs w:val="24"/>
        </w:rPr>
        <w:t>substratu majątkowo-osobowego, poprzez:</w:t>
      </w:r>
    </w:p>
    <w:p w14:paraId="66E3EE66" w14:textId="77777777" w:rsidR="00E62BA1" w:rsidRPr="00633318" w:rsidRDefault="00E62BA1" w:rsidP="009E73F7">
      <w:pPr>
        <w:pStyle w:val="Akapitzlist"/>
        <w:numPr>
          <w:ilvl w:val="0"/>
          <w:numId w:val="124"/>
        </w:num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określenie zasad ustalania jego wartości,</w:t>
      </w:r>
    </w:p>
    <w:p w14:paraId="513DB105" w14:textId="08CA8DE7" w:rsidR="00E62BA1" w:rsidRPr="00633318" w:rsidRDefault="00E62BA1" w:rsidP="009E73F7">
      <w:pPr>
        <w:pStyle w:val="Akapitzlist"/>
        <w:numPr>
          <w:ilvl w:val="0"/>
          <w:numId w:val="123"/>
        </w:num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uwzględnienie przy tym kontekstu czasowości wykonywania pracy przez kwalifikowanych pracowników, czy zlokalizowania kwalifikowanych aktywów trwałych </w:t>
      </w:r>
      <w:r w:rsidRPr="00633318">
        <w:rPr>
          <w:rFonts w:ascii="Times New Roman" w:eastAsia="Calibri" w:hAnsi="Times New Roman" w:cs="Times New Roman"/>
          <w:bCs/>
          <w:iCs/>
          <w:sz w:val="24"/>
          <w:szCs w:val="24"/>
        </w:rPr>
        <w:t xml:space="preserve">w roku podatkowym w </w:t>
      </w:r>
      <w:r w:rsidR="00554B05" w:rsidRPr="00633318">
        <w:rPr>
          <w:rFonts w:ascii="Times New Roman" w:eastAsia="Calibri" w:hAnsi="Times New Roman" w:cs="Times New Roman"/>
          <w:bCs/>
          <w:iCs/>
          <w:sz w:val="24"/>
          <w:szCs w:val="24"/>
        </w:rPr>
        <w:t>jurysdykcji</w:t>
      </w:r>
      <w:r w:rsidR="00554B05" w:rsidRPr="00633318" w:rsidDel="00554B05">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 xml:space="preserve">jednostki składowej </w:t>
      </w:r>
      <w:r w:rsidRPr="00633318">
        <w:rPr>
          <w:rFonts w:ascii="Times New Roman" w:eastAsia="Calibri" w:hAnsi="Times New Roman" w:cs="Times New Roman"/>
          <w:b/>
          <w:iCs/>
          <w:sz w:val="24"/>
          <w:szCs w:val="24"/>
        </w:rPr>
        <w:t>(ust. 4 oraz 8)</w:t>
      </w:r>
      <w:r w:rsidRPr="00633318">
        <w:rPr>
          <w:rFonts w:ascii="Times New Roman" w:eastAsia="Calibri" w:hAnsi="Times New Roman" w:cs="Times New Roman"/>
          <w:bCs/>
          <w:iCs/>
          <w:sz w:val="24"/>
          <w:szCs w:val="24"/>
        </w:rPr>
        <w:t>,</w:t>
      </w:r>
    </w:p>
    <w:p w14:paraId="46BCF138" w14:textId="4A16DCF5" w:rsidR="00E62BA1" w:rsidRPr="00633318" w:rsidRDefault="00E62BA1" w:rsidP="009E73F7">
      <w:pPr>
        <w:pStyle w:val="Akapitzlist"/>
        <w:numPr>
          <w:ilvl w:val="0"/>
          <w:numId w:val="123"/>
        </w:num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wskazanie limitu przysługującego odliczenia</w:t>
      </w:r>
      <w:r w:rsidR="00D8650E" w:rsidRPr="00633318">
        <w:rPr>
          <w:rFonts w:ascii="Times New Roman" w:eastAsia="Calibri" w:hAnsi="Times New Roman" w:cs="Times New Roman"/>
          <w:iCs/>
          <w:sz w:val="24"/>
          <w:szCs w:val="24"/>
        </w:rPr>
        <w:t xml:space="preserve"> oraz</w:t>
      </w:r>
      <w:r w:rsidRPr="00633318">
        <w:rPr>
          <w:rFonts w:ascii="Times New Roman" w:eastAsia="Calibri" w:hAnsi="Times New Roman" w:cs="Times New Roman"/>
          <w:iCs/>
          <w:sz w:val="24"/>
          <w:szCs w:val="24"/>
        </w:rPr>
        <w:t xml:space="preserve"> </w:t>
      </w:r>
    </w:p>
    <w:p w14:paraId="597EDA78" w14:textId="446EADD5" w:rsidR="00E62BA1" w:rsidRPr="00633318" w:rsidRDefault="00E62BA1" w:rsidP="009E73F7">
      <w:pPr>
        <w:pStyle w:val="Akapitzlist"/>
        <w:numPr>
          <w:ilvl w:val="0"/>
          <w:numId w:val="123"/>
        </w:num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określenie wyłączeń podmiotowych z substratu.</w:t>
      </w:r>
    </w:p>
    <w:p w14:paraId="7290015C" w14:textId="650F91EE" w:rsidR="00E62BA1" w:rsidRPr="00633318" w:rsidRDefault="00E62BA1" w:rsidP="000F5B35">
      <w:pPr>
        <w:jc w:val="both"/>
        <w:rPr>
          <w:rFonts w:ascii="Times New Roman" w:eastAsia="Calibri" w:hAnsi="Times New Roman" w:cs="Times New Roman"/>
          <w:bCs/>
          <w:iCs/>
          <w:sz w:val="24"/>
          <w:szCs w:val="24"/>
        </w:rPr>
      </w:pPr>
      <w:r w:rsidRPr="00633318">
        <w:rPr>
          <w:rFonts w:ascii="Times New Roman" w:eastAsia="Calibri" w:hAnsi="Times New Roman" w:cs="Times New Roman"/>
          <w:b/>
          <w:iCs/>
          <w:sz w:val="24"/>
          <w:szCs w:val="24"/>
        </w:rPr>
        <w:t>Ust. 1</w:t>
      </w:r>
      <w:r w:rsidRPr="00633318">
        <w:rPr>
          <w:rFonts w:ascii="Times New Roman" w:eastAsia="Calibri" w:hAnsi="Times New Roman" w:cs="Times New Roman"/>
          <w:bCs/>
          <w:iCs/>
          <w:sz w:val="24"/>
          <w:szCs w:val="24"/>
        </w:rPr>
        <w:t xml:space="preserve"> pozostający w związku</w:t>
      </w:r>
      <w:r w:rsidRPr="00633318">
        <w:rPr>
          <w:rFonts w:ascii="Times New Roman" w:eastAsia="Calibri" w:hAnsi="Times New Roman" w:cs="Times New Roman"/>
          <w:b/>
          <w:iCs/>
          <w:sz w:val="24"/>
          <w:szCs w:val="24"/>
        </w:rPr>
        <w:t xml:space="preserve"> </w:t>
      </w:r>
      <w:r w:rsidRPr="00633318">
        <w:rPr>
          <w:rFonts w:ascii="Times New Roman" w:eastAsia="Calibri" w:hAnsi="Times New Roman" w:cs="Times New Roman"/>
          <w:bCs/>
          <w:iCs/>
          <w:sz w:val="24"/>
          <w:szCs w:val="24"/>
        </w:rPr>
        <w:t>z ust. 2 (implementujący art. 28</w:t>
      </w:r>
      <w:r w:rsidR="0078103D" w:rsidRPr="00633318">
        <w:rPr>
          <w:rFonts w:ascii="Times New Roman" w:eastAsia="Calibri" w:hAnsi="Times New Roman" w:cs="Times New Roman"/>
          <w:bCs/>
          <w:iCs/>
          <w:sz w:val="24"/>
          <w:szCs w:val="24"/>
        </w:rPr>
        <w:t>.2</w:t>
      </w:r>
      <w:r w:rsidRPr="00633318">
        <w:rPr>
          <w:rFonts w:ascii="Times New Roman" w:eastAsia="Calibri" w:hAnsi="Times New Roman" w:cs="Times New Roman"/>
          <w:bCs/>
          <w:iCs/>
          <w:sz w:val="24"/>
          <w:szCs w:val="24"/>
        </w:rPr>
        <w:t xml:space="preserve"> Dyrektywy) konstruuje swego rodzaju definicję pojęcia substratu jako sumy </w:t>
      </w:r>
      <w:r w:rsidR="00913FD9" w:rsidRPr="00633318">
        <w:rPr>
          <w:rFonts w:ascii="Times New Roman" w:eastAsia="Calibri" w:hAnsi="Times New Roman" w:cs="Times New Roman"/>
          <w:bCs/>
          <w:iCs/>
          <w:sz w:val="24"/>
          <w:szCs w:val="24"/>
        </w:rPr>
        <w:t>dwóch</w:t>
      </w:r>
      <w:r w:rsidRPr="00633318">
        <w:rPr>
          <w:rFonts w:ascii="Times New Roman" w:eastAsia="Calibri" w:hAnsi="Times New Roman" w:cs="Times New Roman"/>
          <w:bCs/>
          <w:iCs/>
          <w:sz w:val="24"/>
          <w:szCs w:val="24"/>
        </w:rPr>
        <w:t xml:space="preserve"> rodzajów wyłączeń wszystkich jednostek składowych w </w:t>
      </w:r>
      <w:r w:rsidR="00554B05" w:rsidRPr="00633318">
        <w:rPr>
          <w:rFonts w:ascii="Times New Roman" w:eastAsia="Calibri" w:hAnsi="Times New Roman" w:cs="Times New Roman"/>
          <w:bCs/>
          <w:iCs/>
          <w:sz w:val="24"/>
          <w:szCs w:val="24"/>
        </w:rPr>
        <w:t xml:space="preserve">danej </w:t>
      </w:r>
      <w:r w:rsidR="00554B05" w:rsidRPr="00633318">
        <w:rPr>
          <w:rFonts w:ascii="Times New Roman" w:hAnsi="Times New Roman" w:cs="Times New Roman"/>
          <w:sz w:val="24"/>
          <w:szCs w:val="24"/>
        </w:rPr>
        <w:t>jurysdykcji</w:t>
      </w:r>
      <w:r w:rsidRPr="00633318">
        <w:rPr>
          <w:rFonts w:ascii="Times New Roman" w:eastAsia="Calibri" w:hAnsi="Times New Roman" w:cs="Times New Roman"/>
          <w:bCs/>
          <w:iCs/>
          <w:sz w:val="24"/>
          <w:szCs w:val="24"/>
        </w:rPr>
        <w:t>: wyłączeń z tytułu płac i wyłączeń z tytułu rzeczowych aktywów trwałych.</w:t>
      </w:r>
    </w:p>
    <w:p w14:paraId="19912979" w14:textId="22463C34"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Jednocześnie, na co wskazuje </w:t>
      </w:r>
      <w:r w:rsidRPr="00633318">
        <w:rPr>
          <w:rFonts w:ascii="Times New Roman" w:eastAsia="Calibri" w:hAnsi="Times New Roman" w:cs="Times New Roman"/>
          <w:b/>
          <w:bCs/>
          <w:iCs/>
          <w:sz w:val="24"/>
          <w:szCs w:val="24"/>
        </w:rPr>
        <w:t>ust. 2</w:t>
      </w:r>
      <w:r w:rsidRPr="00633318">
        <w:rPr>
          <w:rFonts w:ascii="Times New Roman" w:eastAsia="Calibri" w:hAnsi="Times New Roman" w:cs="Times New Roman"/>
          <w:iCs/>
          <w:sz w:val="24"/>
          <w:szCs w:val="24"/>
        </w:rPr>
        <w:t>, cała regulacja ust. 1 dotycząca wyłączenia z tytułu substratu majątkowo-osobowego znajduje zastosowanie wyłącznie dla roku, co do którego nie dokonano wyboru o niestosowaniu takiego wyłączenia.</w:t>
      </w:r>
    </w:p>
    <w:p w14:paraId="70F0D4F4" w14:textId="7F3AD45E"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Zgodnie z brzmieniem </w:t>
      </w:r>
      <w:r w:rsidRPr="00633318">
        <w:rPr>
          <w:rFonts w:ascii="Times New Roman" w:eastAsia="Calibri" w:hAnsi="Times New Roman" w:cs="Times New Roman"/>
          <w:b/>
          <w:bCs/>
          <w:iCs/>
          <w:sz w:val="24"/>
          <w:szCs w:val="24"/>
        </w:rPr>
        <w:t>ustępów 3 i 5</w:t>
      </w:r>
      <w:r w:rsidRPr="00633318">
        <w:rPr>
          <w:rFonts w:ascii="Times New Roman" w:eastAsia="Calibri" w:hAnsi="Times New Roman" w:cs="Times New Roman"/>
          <w:iCs/>
          <w:sz w:val="24"/>
          <w:szCs w:val="24"/>
        </w:rPr>
        <w:t xml:space="preserve"> (implementujących art. 28</w:t>
      </w:r>
      <w:r w:rsidR="0078103D" w:rsidRPr="00633318">
        <w:rPr>
          <w:rFonts w:ascii="Times New Roman" w:eastAsia="Calibri" w:hAnsi="Times New Roman" w:cs="Times New Roman"/>
          <w:iCs/>
          <w:sz w:val="24"/>
          <w:szCs w:val="24"/>
        </w:rPr>
        <w:t>.3 i 28.4</w:t>
      </w:r>
      <w:r w:rsidRPr="00633318">
        <w:rPr>
          <w:rFonts w:ascii="Times New Roman" w:eastAsia="Calibri" w:hAnsi="Times New Roman" w:cs="Times New Roman"/>
          <w:iCs/>
          <w:sz w:val="24"/>
          <w:szCs w:val="24"/>
        </w:rPr>
        <w:t xml:space="preserve"> Dyrektywy) </w:t>
      </w:r>
      <w:r w:rsidRPr="00633318">
        <w:rPr>
          <w:rFonts w:ascii="Times New Roman" w:eastAsia="Calibri" w:hAnsi="Times New Roman" w:cs="Times New Roman"/>
          <w:b/>
          <w:bCs/>
          <w:iCs/>
          <w:sz w:val="24"/>
          <w:szCs w:val="24"/>
        </w:rPr>
        <w:t>kwota wyłączeń</w:t>
      </w:r>
      <w:r w:rsidRPr="00633318">
        <w:rPr>
          <w:rFonts w:ascii="Times New Roman" w:eastAsia="Calibri" w:hAnsi="Times New Roman" w:cs="Times New Roman"/>
          <w:iCs/>
          <w:sz w:val="24"/>
          <w:szCs w:val="24"/>
        </w:rPr>
        <w:t xml:space="preserve">, o których mowa w przepisach ust. 1 (odpowiednio w pkt 1 i 2), dla jednostki składowej za rok podatkowy, </w:t>
      </w:r>
      <w:r w:rsidRPr="00633318">
        <w:rPr>
          <w:rFonts w:ascii="Times New Roman" w:eastAsia="Calibri" w:hAnsi="Times New Roman" w:cs="Times New Roman"/>
          <w:b/>
          <w:bCs/>
          <w:iCs/>
          <w:sz w:val="24"/>
          <w:szCs w:val="24"/>
        </w:rPr>
        <w:t>kształtuje się następująco:</w:t>
      </w:r>
    </w:p>
    <w:p w14:paraId="62269837" w14:textId="7B8066C3"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b/>
          <w:bCs/>
          <w:iCs/>
          <w:sz w:val="24"/>
          <w:szCs w:val="24"/>
        </w:rPr>
        <w:t xml:space="preserve">Ust. 3:  </w:t>
      </w:r>
      <w:r w:rsidRPr="00633318">
        <w:rPr>
          <w:rFonts w:ascii="Times New Roman" w:eastAsia="Calibri" w:hAnsi="Times New Roman" w:cs="Times New Roman"/>
          <w:iCs/>
          <w:sz w:val="24"/>
          <w:szCs w:val="24"/>
        </w:rPr>
        <w:t xml:space="preserve">Kwota wyłączenia z </w:t>
      </w:r>
      <w:r w:rsidRPr="00633318">
        <w:rPr>
          <w:rFonts w:ascii="Times New Roman" w:eastAsia="Calibri" w:hAnsi="Times New Roman" w:cs="Times New Roman"/>
          <w:b/>
          <w:bCs/>
          <w:iCs/>
          <w:sz w:val="24"/>
          <w:szCs w:val="24"/>
        </w:rPr>
        <w:t>tytułu płac</w:t>
      </w:r>
      <w:r w:rsidRPr="00633318">
        <w:rPr>
          <w:rFonts w:ascii="Times New Roman" w:eastAsia="Calibri" w:hAnsi="Times New Roman" w:cs="Times New Roman"/>
          <w:iCs/>
          <w:sz w:val="24"/>
          <w:szCs w:val="24"/>
        </w:rPr>
        <w:t xml:space="preserve">, dla jednostki składowej za rok podatkowy nie może przekroczyć </w:t>
      </w:r>
      <w:r w:rsidRPr="00633318">
        <w:rPr>
          <w:rFonts w:ascii="Times New Roman" w:eastAsia="Calibri" w:hAnsi="Times New Roman" w:cs="Times New Roman"/>
          <w:b/>
          <w:bCs/>
          <w:iCs/>
          <w:sz w:val="24"/>
          <w:szCs w:val="24"/>
        </w:rPr>
        <w:t>5% (w pierwszych latach obowiązywania: większego %),</w:t>
      </w:r>
      <w:r w:rsidRPr="00633318">
        <w:rPr>
          <w:rFonts w:ascii="Times New Roman" w:eastAsia="Calibri" w:hAnsi="Times New Roman" w:cs="Times New Roman"/>
          <w:iCs/>
          <w:sz w:val="24"/>
          <w:szCs w:val="24"/>
        </w:rPr>
        <w:t xml:space="preserve"> ponoszonych przez tę jednostkę i wykazanych w jej księgach, kwalifikowanych kosztów płac kwalifikowanych pracowników wykonujących czynności, odpowiednio na rzecz jej grupy międzynarodowej lub grupy krajowej,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lokalizacji tej jednostki składowej, z jednoczesnym wyłączeniem takich kosztów, które:</w:t>
      </w:r>
    </w:p>
    <w:p w14:paraId="7DAA4E51" w14:textId="77777777" w:rsidR="00E62BA1" w:rsidRPr="00633318" w:rsidRDefault="00E62BA1" w:rsidP="00EA7321">
      <w:pPr>
        <w:numPr>
          <w:ilvl w:val="0"/>
          <w:numId w:val="50"/>
        </w:numPr>
        <w:ind w:left="709" w:hanging="425"/>
        <w:contextualSpacing/>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zostały ujęte w wartości bilansowej kwalifikowanych rzeczowych aktywów trwałych albo</w:t>
      </w:r>
    </w:p>
    <w:p w14:paraId="098B7F8D" w14:textId="77777777" w:rsidR="00E62BA1" w:rsidRPr="00633318" w:rsidRDefault="00E62BA1" w:rsidP="00EA7321">
      <w:pPr>
        <w:numPr>
          <w:ilvl w:val="0"/>
          <w:numId w:val="50"/>
        </w:numPr>
        <w:ind w:left="709" w:hanging="425"/>
        <w:contextualSpacing/>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można przypisać do dochodu z działalności w zakresie żeglugi międzynarodowej oraz z działalności dodatkowej w zakresie żeglugi międzynarodowej.</w:t>
      </w:r>
    </w:p>
    <w:p w14:paraId="47A8FD18" w14:textId="77777777" w:rsidR="00E62BA1" w:rsidRPr="00633318" w:rsidRDefault="00E62BA1" w:rsidP="000F5B35">
      <w:pPr>
        <w:spacing w:before="240"/>
        <w:jc w:val="both"/>
        <w:rPr>
          <w:rFonts w:ascii="Times New Roman" w:eastAsia="Calibri" w:hAnsi="Times New Roman" w:cs="Times New Roman"/>
          <w:bCs/>
          <w:iCs/>
          <w:sz w:val="24"/>
          <w:szCs w:val="24"/>
        </w:rPr>
      </w:pPr>
      <w:r w:rsidRPr="00633318">
        <w:rPr>
          <w:rFonts w:ascii="Times New Roman" w:eastAsia="Calibri" w:hAnsi="Times New Roman" w:cs="Times New Roman"/>
          <w:b/>
          <w:iCs/>
          <w:sz w:val="24"/>
          <w:szCs w:val="24"/>
        </w:rPr>
        <w:t>Ust. 5:</w:t>
      </w:r>
      <w:r w:rsidRPr="00633318">
        <w:rPr>
          <w:rFonts w:ascii="Times New Roman" w:hAnsi="Times New Roman" w:cs="Times New Roman"/>
          <w:sz w:val="24"/>
          <w:szCs w:val="24"/>
        </w:rPr>
        <w:t xml:space="preserve"> </w:t>
      </w:r>
      <w:r w:rsidRPr="00633318">
        <w:rPr>
          <w:rFonts w:ascii="Times New Roman" w:eastAsia="Calibri" w:hAnsi="Times New Roman" w:cs="Times New Roman"/>
          <w:bCs/>
          <w:iCs/>
          <w:sz w:val="24"/>
          <w:szCs w:val="24"/>
        </w:rPr>
        <w:t xml:space="preserve">Kwota wyłączenia z tytułu </w:t>
      </w:r>
      <w:r w:rsidRPr="00633318">
        <w:rPr>
          <w:rFonts w:ascii="Times New Roman" w:eastAsia="Calibri" w:hAnsi="Times New Roman" w:cs="Times New Roman"/>
          <w:b/>
          <w:iCs/>
          <w:sz w:val="24"/>
          <w:szCs w:val="24"/>
        </w:rPr>
        <w:t>rzeczowych aktywów trwałych</w:t>
      </w:r>
      <w:r w:rsidRPr="00633318">
        <w:rPr>
          <w:rFonts w:ascii="Times New Roman" w:eastAsia="Calibri" w:hAnsi="Times New Roman" w:cs="Times New Roman"/>
          <w:bCs/>
          <w:iCs/>
          <w:sz w:val="24"/>
          <w:szCs w:val="24"/>
        </w:rPr>
        <w:t xml:space="preserve">, o której mowa w ust. 1 pkt 2, dla jednostki składowej za rok podatkowy nie może przekroczyć </w:t>
      </w:r>
      <w:r w:rsidRPr="00633318">
        <w:rPr>
          <w:rFonts w:ascii="Times New Roman" w:eastAsia="Calibri" w:hAnsi="Times New Roman" w:cs="Times New Roman"/>
          <w:b/>
          <w:iCs/>
          <w:sz w:val="24"/>
          <w:szCs w:val="24"/>
        </w:rPr>
        <w:t>5% (w pierwszych latach obowiązywania: większego %)</w:t>
      </w:r>
      <w:r w:rsidRPr="00633318">
        <w:rPr>
          <w:rFonts w:ascii="Times New Roman" w:eastAsia="Calibri" w:hAnsi="Times New Roman" w:cs="Times New Roman"/>
          <w:bCs/>
          <w:iCs/>
          <w:sz w:val="24"/>
          <w:szCs w:val="24"/>
        </w:rPr>
        <w:t>, wartości bilansowej netto rzeczowych aktywów trwałych tej jednostki, z wyłączeniem:</w:t>
      </w:r>
    </w:p>
    <w:p w14:paraId="39025663" w14:textId="47008BE6" w:rsidR="00E62BA1" w:rsidRPr="00633318" w:rsidRDefault="00E62BA1" w:rsidP="009E73F7">
      <w:pPr>
        <w:pStyle w:val="Akapitzlist"/>
        <w:numPr>
          <w:ilvl w:val="0"/>
          <w:numId w:val="124"/>
        </w:num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gruntów i budynków przeznaczonych do sprzedaży, dzierżawy, najmu, leasingu lub umowy o podobnym charakterze albo inwestycji (inwestycja w grunt – nabycie wyłącznie w celu zbycia z zyskiem);</w:t>
      </w:r>
    </w:p>
    <w:p w14:paraId="29B8F78C" w14:textId="77777777" w:rsidR="00E62BA1" w:rsidRPr="00633318" w:rsidRDefault="00E62BA1" w:rsidP="009E73F7">
      <w:pPr>
        <w:pStyle w:val="Akapitzlist"/>
        <w:numPr>
          <w:ilvl w:val="0"/>
          <w:numId w:val="124"/>
        </w:numPr>
        <w:jc w:val="both"/>
        <w:rPr>
          <w:rFonts w:ascii="Times New Roman" w:eastAsia="Calibri" w:hAnsi="Times New Roman" w:cs="Times New Roman"/>
          <w:iCs/>
          <w:sz w:val="24"/>
          <w:szCs w:val="24"/>
        </w:rPr>
      </w:pPr>
      <w:r w:rsidRPr="00633318">
        <w:rPr>
          <w:rFonts w:ascii="Times New Roman" w:eastAsia="Calibri" w:hAnsi="Times New Roman" w:cs="Times New Roman"/>
          <w:bCs/>
          <w:iCs/>
          <w:sz w:val="24"/>
          <w:szCs w:val="24"/>
        </w:rPr>
        <w:t>rzeczowych aktywów trwałych wykorzystywanych w celu osiągnięcia dochodu z działalności w zakresie żeglugi międzynarodowej oraz z działalności dodatkowej w zakresie żeglugi międzynarodowej.</w:t>
      </w:r>
    </w:p>
    <w:p w14:paraId="37FD78B2" w14:textId="215E313A" w:rsidR="00E62BA1" w:rsidRPr="00633318" w:rsidRDefault="00E62BA1" w:rsidP="000F5B35">
      <w:pPr>
        <w:spacing w:before="24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Należy podkreślić, że wprowadzone ograniczenia w kalkulacji substratu mają zapobiec ryzyku sztucznego generowania przez grupę zwiększonego wyłączenia, w szczególności poprzez nabywanie w </w:t>
      </w:r>
      <w:r w:rsidR="00554B05" w:rsidRPr="00633318">
        <w:rPr>
          <w:rFonts w:ascii="Times New Roman" w:eastAsia="Calibri" w:hAnsi="Times New Roman" w:cs="Times New Roman"/>
          <w:iCs/>
          <w:sz w:val="24"/>
          <w:szCs w:val="24"/>
        </w:rPr>
        <w:t xml:space="preserve">danej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nieruchomości inwestycyjnych. Dotyczy to przede wszystkim budynków i gruntów przeznaczonych pod wynajem, czy utrzymywanych celem zwiększenia wartości kapitału (z zastrzeżeniem jednak nieruchomości zamieszkałych przez właścicieli</w:t>
      </w:r>
      <w:r w:rsidR="00D8650E"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wykorzystywanych w produkcji lub dostawie towarów i usług). Jednocześnie, jako że wiele standardów rachunkowości na dzień dzisiejszy przewiduje ujmowanie takich aktywów oddzielnie, zasada ta nie powinna podnieść kosztów wdrożenia w przedsiębiorstwach.</w:t>
      </w:r>
    </w:p>
    <w:p w14:paraId="120C1F68" w14:textId="08185A34" w:rsidR="00E62BA1" w:rsidRPr="00633318" w:rsidRDefault="00D8650E"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Natomiast, o</w:t>
      </w:r>
      <w:r w:rsidR="00E62BA1" w:rsidRPr="00633318">
        <w:rPr>
          <w:rFonts w:ascii="Times New Roman" w:eastAsia="Calibri" w:hAnsi="Times New Roman" w:cs="Times New Roman"/>
          <w:iCs/>
          <w:sz w:val="24"/>
          <w:szCs w:val="24"/>
        </w:rPr>
        <w:t>dnośnie</w:t>
      </w:r>
      <w:r w:rsidRPr="00633318">
        <w:rPr>
          <w:rFonts w:ascii="Times New Roman" w:eastAsia="Calibri" w:hAnsi="Times New Roman" w:cs="Times New Roman"/>
          <w:iCs/>
          <w:sz w:val="24"/>
          <w:szCs w:val="24"/>
        </w:rPr>
        <w:t xml:space="preserve"> do</w:t>
      </w:r>
      <w:r w:rsidR="00E62BA1" w:rsidRPr="00633318">
        <w:rPr>
          <w:rFonts w:ascii="Times New Roman" w:eastAsia="Calibri" w:hAnsi="Times New Roman" w:cs="Times New Roman"/>
          <w:iCs/>
          <w:sz w:val="24"/>
          <w:szCs w:val="24"/>
        </w:rPr>
        <w:t xml:space="preserve"> aspektu wyłączeń (kwalifikowanych kosztów płac jak i kwalifikowanych rzeczowych aktywów trwałych) związanych z osiągnięciem generalnie dochodu z tytułu żeglugi międzynarodowej</w:t>
      </w:r>
      <w:r w:rsidRPr="00633318">
        <w:rPr>
          <w:rFonts w:ascii="Times New Roman" w:eastAsia="Calibri" w:hAnsi="Times New Roman" w:cs="Times New Roman"/>
          <w:iCs/>
          <w:sz w:val="24"/>
          <w:szCs w:val="24"/>
        </w:rPr>
        <w:t>,</w:t>
      </w:r>
      <w:r w:rsidR="00E62BA1" w:rsidRPr="00633318">
        <w:rPr>
          <w:rFonts w:ascii="Times New Roman" w:eastAsia="Calibri" w:hAnsi="Times New Roman" w:cs="Times New Roman"/>
          <w:iCs/>
          <w:sz w:val="24"/>
          <w:szCs w:val="24"/>
        </w:rPr>
        <w:t xml:space="preserve"> należy podkreślić, że w pojęciu tym zawiera się dochód z działalności w zakresie żeglugi międzynarodowej oraz z działalności dodatkowej w zakresie żeglugi międzynarodowej (art. 67</w:t>
      </w:r>
      <w:r w:rsidRPr="00633318">
        <w:rPr>
          <w:rFonts w:ascii="Times New Roman" w:eastAsia="Calibri" w:hAnsi="Times New Roman" w:cs="Times New Roman"/>
          <w:iCs/>
          <w:sz w:val="24"/>
          <w:szCs w:val="24"/>
        </w:rPr>
        <w:t xml:space="preserve"> ustawy</w:t>
      </w:r>
      <w:r w:rsidR="00E62BA1" w:rsidRPr="00633318">
        <w:rPr>
          <w:rFonts w:ascii="Times New Roman" w:eastAsia="Calibri" w:hAnsi="Times New Roman" w:cs="Times New Roman"/>
          <w:iCs/>
          <w:sz w:val="24"/>
          <w:szCs w:val="24"/>
        </w:rPr>
        <w:t>). W wyliczeniu kwoty wyłączenia uwzględniana zaś będzie</w:t>
      </w:r>
      <w:r w:rsidR="00E62BA1" w:rsidRPr="00633318">
        <w:rPr>
          <w:rFonts w:ascii="Times New Roman" w:eastAsia="Calibri" w:hAnsi="Times New Roman" w:cs="Times New Roman"/>
          <w:iCs/>
          <w:sz w:val="24"/>
          <w:szCs w:val="24"/>
          <w:vertAlign w:val="superscript"/>
        </w:rPr>
        <w:footnoteReference w:id="149"/>
      </w:r>
      <w:r w:rsidR="00E62BA1" w:rsidRPr="00633318">
        <w:rPr>
          <w:rFonts w:ascii="Times New Roman" w:eastAsia="Calibri" w:hAnsi="Times New Roman" w:cs="Times New Roman"/>
          <w:iCs/>
          <w:sz w:val="24"/>
          <w:szCs w:val="24"/>
        </w:rPr>
        <w:t xml:space="preserve"> zarówno wartość kosztów płac jak i wartość bilansowa kwalifikowanych rzeczowych aktywów trwałych, którą można przypisać nadwyżce dochodu jednostki w grupie ponad limit dochodu z działalności dodatkowej w zakresie żeglugi międzynarodowej (art. 68</w:t>
      </w:r>
      <w:r w:rsidRPr="00633318">
        <w:rPr>
          <w:rFonts w:ascii="Times New Roman" w:eastAsia="Calibri" w:hAnsi="Times New Roman" w:cs="Times New Roman"/>
          <w:iCs/>
          <w:sz w:val="24"/>
          <w:szCs w:val="24"/>
        </w:rPr>
        <w:t xml:space="preserve"> ustawy</w:t>
      </w:r>
      <w:r w:rsidR="00E62BA1" w:rsidRPr="00633318">
        <w:rPr>
          <w:rFonts w:ascii="Times New Roman" w:eastAsia="Calibri" w:hAnsi="Times New Roman" w:cs="Times New Roman"/>
          <w:iCs/>
          <w:sz w:val="24"/>
          <w:szCs w:val="24"/>
        </w:rPr>
        <w:t xml:space="preserve">). </w:t>
      </w:r>
    </w:p>
    <w:p w14:paraId="761D8AFB" w14:textId="065333C7" w:rsidR="00E62BA1" w:rsidRPr="00633318" w:rsidRDefault="00E62BA1" w:rsidP="000F5B35">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Wyłączenie z tytułu płac jest obliczane, co do zasady, w oparciu o czas wykonywania przez pracownika czynności (pracy)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lokalizacji jednostki składowej grupy będącej pracodawcą (lub właścicielem takiej jednostki), albo zlokalizowania (w tym, okresu użytkowania) aktywów trwałych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lokalizacji właściciela lub ich korzystającego (leasingobiorcy). Chodzi zatem o koszty zatrudnienia (w tym wynagrodzeń) ponoszone przez pracodawcę z tyt. pracy wykonywanej przez kwalifikowanego pracownika, jak również kwalifikowane rzeczowe aktywa trwałe znajdujące się (użytkowane)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ich właściciela.</w:t>
      </w:r>
    </w:p>
    <w:p w14:paraId="6669B3D8" w14:textId="4AA0BBC1" w:rsidR="00E62BA1" w:rsidRPr="00633318" w:rsidRDefault="00E62BA1" w:rsidP="000F5B35">
      <w:pPr>
        <w:jc w:val="both"/>
        <w:rPr>
          <w:rFonts w:ascii="Times New Roman" w:eastAsia="Calibri" w:hAnsi="Times New Roman" w:cs="Times New Roman"/>
          <w:bCs/>
          <w:iCs/>
          <w:sz w:val="24"/>
          <w:szCs w:val="24"/>
        </w:rPr>
      </w:pPr>
      <w:r w:rsidRPr="00633318">
        <w:rPr>
          <w:rFonts w:ascii="Times New Roman" w:eastAsia="Calibri" w:hAnsi="Times New Roman" w:cs="Times New Roman"/>
          <w:b/>
          <w:iCs/>
          <w:sz w:val="24"/>
          <w:szCs w:val="24"/>
        </w:rPr>
        <w:t>Ustępy 6</w:t>
      </w:r>
      <w:r w:rsidRPr="00633318">
        <w:rPr>
          <w:rFonts w:ascii="Times New Roman" w:eastAsia="Calibri" w:hAnsi="Times New Roman" w:cs="Times New Roman"/>
          <w:bCs/>
          <w:iCs/>
          <w:sz w:val="24"/>
          <w:szCs w:val="24"/>
        </w:rPr>
        <w:t xml:space="preserve"> </w:t>
      </w:r>
      <w:r w:rsidRPr="00633318">
        <w:rPr>
          <w:rFonts w:ascii="Times New Roman" w:eastAsia="Calibri" w:hAnsi="Times New Roman" w:cs="Times New Roman"/>
          <w:b/>
          <w:iCs/>
          <w:sz w:val="24"/>
          <w:szCs w:val="24"/>
        </w:rPr>
        <w:t>oraz 11</w:t>
      </w:r>
      <w:r w:rsidRPr="00633318">
        <w:rPr>
          <w:rFonts w:ascii="Times New Roman" w:eastAsia="Calibri" w:hAnsi="Times New Roman" w:cs="Times New Roman"/>
          <w:bCs/>
          <w:iCs/>
          <w:sz w:val="24"/>
          <w:szCs w:val="24"/>
        </w:rPr>
        <w:t xml:space="preserve"> (implementujące art. 28</w:t>
      </w:r>
      <w:r w:rsidR="0078103D" w:rsidRPr="00633318">
        <w:rPr>
          <w:rFonts w:ascii="Times New Roman" w:eastAsia="Calibri" w:hAnsi="Times New Roman" w:cs="Times New Roman"/>
          <w:bCs/>
          <w:iCs/>
          <w:sz w:val="24"/>
          <w:szCs w:val="24"/>
        </w:rPr>
        <w:t>.5</w:t>
      </w:r>
      <w:r w:rsidRPr="00633318">
        <w:rPr>
          <w:rFonts w:ascii="Times New Roman" w:eastAsia="Calibri" w:hAnsi="Times New Roman" w:cs="Times New Roman"/>
          <w:bCs/>
          <w:iCs/>
          <w:sz w:val="24"/>
          <w:szCs w:val="24"/>
        </w:rPr>
        <w:t xml:space="preserve"> Dyrektywy) składają się na </w:t>
      </w:r>
      <w:r w:rsidRPr="00633318">
        <w:rPr>
          <w:rFonts w:ascii="Times New Roman" w:eastAsia="Calibri" w:hAnsi="Times New Roman" w:cs="Times New Roman"/>
          <w:b/>
          <w:iCs/>
          <w:sz w:val="24"/>
          <w:szCs w:val="24"/>
        </w:rPr>
        <w:t>definicję wartości bilansowej netto kwalifikowanych rzeczowych aktywów trwałych</w:t>
      </w:r>
      <w:r w:rsidR="00EA7321" w:rsidRPr="00633318">
        <w:rPr>
          <w:rFonts w:ascii="Times New Roman" w:eastAsia="Calibri" w:hAnsi="Times New Roman" w:cs="Times New Roman"/>
          <w:bCs/>
          <w:iCs/>
          <w:sz w:val="24"/>
          <w:szCs w:val="24"/>
        </w:rPr>
        <w:t>.</w:t>
      </w:r>
      <w:r w:rsidRPr="00633318">
        <w:rPr>
          <w:rFonts w:ascii="Times New Roman" w:eastAsia="Calibri" w:hAnsi="Times New Roman" w:cs="Times New Roman"/>
          <w:bCs/>
          <w:iCs/>
          <w:sz w:val="24"/>
          <w:szCs w:val="24"/>
        </w:rPr>
        <w:t xml:space="preserve"> </w:t>
      </w:r>
      <w:r w:rsidR="00EA7321" w:rsidRPr="00633318">
        <w:rPr>
          <w:rFonts w:ascii="Times New Roman" w:eastAsia="Calibri" w:hAnsi="Times New Roman" w:cs="Times New Roman"/>
          <w:bCs/>
          <w:iCs/>
          <w:sz w:val="24"/>
          <w:szCs w:val="24"/>
        </w:rPr>
        <w:t>Jest to</w:t>
      </w:r>
      <w:r w:rsidRPr="00633318">
        <w:rPr>
          <w:rFonts w:ascii="Times New Roman" w:eastAsia="Calibri" w:hAnsi="Times New Roman" w:cs="Times New Roman"/>
          <w:bCs/>
          <w:iCs/>
          <w:sz w:val="24"/>
          <w:szCs w:val="24"/>
        </w:rPr>
        <w:t xml:space="preserve"> połowa sumy wartości  kwalifikowanych rzeczowych aktywów trwałych na początek i koniec okresu sprawozdawczego (pierwszy i ostatni dzień roku podatkowego), wykazaną dla celów sporządzenia skonsolidowanego sprawozdania finansowego (tj. po uwzględnieniu korekt konsolidacyjnych z tytułu, w szczególności,  wyłączenia transakcji wewnątrz grupy), po dokonaniu pomniejszeń (o odpisy amortyzacyjne, odpisy umorzeniowe, odpisy z tytułu zmniejszenia lub utraty wartości) i po podwyższeniu o kwotę kapitalizacji (koszty wynagrodzeń, o których mowa w ust. 3 pkt 1). Mowa więc</w:t>
      </w:r>
      <w:r w:rsidR="00CF13AF" w:rsidRPr="00633318">
        <w:rPr>
          <w:rFonts w:ascii="Times New Roman" w:eastAsia="Calibri" w:hAnsi="Times New Roman" w:cs="Times New Roman"/>
          <w:bCs/>
          <w:iCs/>
          <w:sz w:val="24"/>
          <w:szCs w:val="24"/>
        </w:rPr>
        <w:t>,</w:t>
      </w:r>
      <w:r w:rsidRPr="00633318">
        <w:rPr>
          <w:rFonts w:ascii="Times New Roman" w:eastAsia="Calibri" w:hAnsi="Times New Roman" w:cs="Times New Roman"/>
          <w:bCs/>
          <w:iCs/>
          <w:sz w:val="24"/>
          <w:szCs w:val="24"/>
        </w:rPr>
        <w:t xml:space="preserve"> efektywnie, o wartościach z bilansu otwarcia i zamknięcia roku obrotowego.</w:t>
      </w:r>
    </w:p>
    <w:p w14:paraId="00255EA2" w14:textId="0158F0CD" w:rsidR="00E62BA1" w:rsidRPr="00633318" w:rsidRDefault="00E62BA1" w:rsidP="000F5B35">
      <w:pPr>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Odnosząc się dodatkowo do wątpliwości powstałych na gruncie zasadności uwzględniania przy obliczaniu wartości bilansowej kwalifikowanych rzeczowych aktywów trwałych </w:t>
      </w:r>
      <w:r w:rsidRPr="00633318">
        <w:rPr>
          <w:rFonts w:ascii="Times New Roman" w:eastAsia="Calibri" w:hAnsi="Times New Roman" w:cs="Times New Roman"/>
          <w:bCs/>
          <w:iCs/>
          <w:sz w:val="24"/>
          <w:szCs w:val="24"/>
          <w:u w:val="single"/>
        </w:rPr>
        <w:t>odpisów aktualizujących z tytułu utraty wartości i odwrócenia takich odpisów</w:t>
      </w:r>
      <w:r w:rsidRPr="00633318">
        <w:rPr>
          <w:rFonts w:ascii="Times New Roman" w:eastAsia="Calibri" w:hAnsi="Times New Roman" w:cs="Times New Roman"/>
          <w:bCs/>
          <w:iCs/>
          <w:sz w:val="24"/>
          <w:szCs w:val="24"/>
        </w:rPr>
        <w:t>, odpowiedź jest twierdząca. Przy czym, w przypadku ujęcia odpisu z tytułu utraty wartości kwalifikowanego rzeczowego aktywa trwałego (zgodnie ze standardem stosowanym przy sporządzaniu skonsolidowanego sprawozdania finansowego), jego wartość bilansowa zostanie odpowiednio pomniejszona na koniec okresu sprawozdawczego. Natomiast</w:t>
      </w:r>
      <w:r w:rsidR="00CF13AF" w:rsidRPr="00633318">
        <w:rPr>
          <w:rFonts w:ascii="Times New Roman" w:eastAsia="Calibri" w:hAnsi="Times New Roman" w:cs="Times New Roman"/>
          <w:bCs/>
          <w:iCs/>
          <w:sz w:val="24"/>
          <w:szCs w:val="24"/>
        </w:rPr>
        <w:t>,</w:t>
      </w:r>
      <w:r w:rsidRPr="00633318">
        <w:rPr>
          <w:rFonts w:ascii="Times New Roman" w:eastAsia="Calibri" w:hAnsi="Times New Roman" w:cs="Times New Roman"/>
          <w:bCs/>
          <w:iCs/>
          <w:sz w:val="24"/>
          <w:szCs w:val="24"/>
        </w:rPr>
        <w:t xml:space="preserve"> w przypadku odwrócenia takiego odpisu aktualizującego, wartość bilansowa kwalifikowanego rzeczowego aktywa trwałego ulegnie zwiększeniu analogicznie, tj. na koniec okresu sprawozdawczego. Jednocześnie, odwrócenie nie może zwiększyć wartości bilansowej danego kwalifikowanego rzeczowego aktywa trwałego, ponad tę wartość która byłaby ustalona, gdyby w latach poprzedzających nie dokonano wspomnianego odpisu aktualizującego.</w:t>
      </w:r>
    </w:p>
    <w:p w14:paraId="4C1AA89C" w14:textId="1CA0620E" w:rsidR="00EA7321" w:rsidRPr="00633318" w:rsidRDefault="00EA7321" w:rsidP="000F5B35">
      <w:pPr>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Należy podkreślić, że wskazana definicja stosowana dla potrzeby substratu majątkowo-osobowego jest odrębna od podobnej definicji stosowanej na potrzeby UTPR i początkowego okresu działalności grupy. Ta pierwsza wynika z art. 28.5 Dyrektywy (ang. </w:t>
      </w:r>
      <w:r w:rsidRPr="00633318">
        <w:rPr>
          <w:rFonts w:ascii="Times New Roman" w:eastAsia="Calibri" w:hAnsi="Times New Roman" w:cs="Times New Roman"/>
          <w:bCs/>
          <w:i/>
          <w:sz w:val="24"/>
          <w:szCs w:val="24"/>
        </w:rPr>
        <w:t>carrying value of eligible tangible assets</w:t>
      </w:r>
      <w:r w:rsidRPr="00633318">
        <w:rPr>
          <w:rFonts w:ascii="Times New Roman" w:eastAsia="Calibri" w:hAnsi="Times New Roman" w:cs="Times New Roman"/>
          <w:bCs/>
          <w:iCs/>
          <w:sz w:val="24"/>
          <w:szCs w:val="24"/>
        </w:rPr>
        <w:t>), a druga wynika z art. 3.29 Dyrektywy (</w:t>
      </w:r>
      <w:r w:rsidRPr="00633318">
        <w:rPr>
          <w:rFonts w:ascii="Times New Roman" w:eastAsia="Calibri" w:hAnsi="Times New Roman" w:cs="Times New Roman"/>
          <w:bCs/>
          <w:i/>
          <w:sz w:val="24"/>
          <w:szCs w:val="24"/>
        </w:rPr>
        <w:t>ang. net book value of tangible assets</w:t>
      </w:r>
      <w:r w:rsidRPr="00633318">
        <w:rPr>
          <w:rFonts w:ascii="Times New Roman" w:eastAsia="Calibri" w:hAnsi="Times New Roman" w:cs="Times New Roman"/>
          <w:bCs/>
          <w:iCs/>
          <w:sz w:val="24"/>
          <w:szCs w:val="24"/>
        </w:rPr>
        <w:t>). Aspekty dotyczące UTPR nie mają wpływu na rozumienie wartości bilansowej netto kwalifikowanych rzeczowych aktywów trwałych na potrzeby substratu.</w:t>
      </w:r>
    </w:p>
    <w:p w14:paraId="34AC1550" w14:textId="0EFB6715" w:rsidR="00E62BA1" w:rsidRPr="00633318" w:rsidRDefault="00EA7321" w:rsidP="000F5B35">
      <w:pPr>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Ponadto, w</w:t>
      </w:r>
      <w:r w:rsidR="00E62BA1" w:rsidRPr="00633318">
        <w:rPr>
          <w:rFonts w:ascii="Times New Roman" w:eastAsia="Calibri" w:hAnsi="Times New Roman" w:cs="Times New Roman"/>
          <w:bCs/>
          <w:iCs/>
          <w:sz w:val="24"/>
          <w:szCs w:val="24"/>
        </w:rPr>
        <w:t xml:space="preserve"> świetle </w:t>
      </w:r>
      <w:r w:rsidR="00E62BA1" w:rsidRPr="00633318">
        <w:rPr>
          <w:rFonts w:ascii="Times New Roman" w:eastAsia="Calibri" w:hAnsi="Times New Roman" w:cs="Times New Roman"/>
          <w:b/>
          <w:iCs/>
          <w:sz w:val="24"/>
          <w:szCs w:val="24"/>
        </w:rPr>
        <w:t>ust. 7</w:t>
      </w:r>
      <w:r w:rsidR="00E62BA1" w:rsidRPr="00633318">
        <w:rPr>
          <w:rFonts w:ascii="Times New Roman" w:eastAsia="Calibri" w:hAnsi="Times New Roman" w:cs="Times New Roman"/>
          <w:bCs/>
          <w:iCs/>
          <w:sz w:val="24"/>
          <w:szCs w:val="24"/>
        </w:rPr>
        <w:t xml:space="preserve">, w przypadku składnika aktywów (lub prawa) nabytego lub sprzedanego (bądź wycofanego) w trakcie roku podatkowego, jego wartość bilansowa netto będzie </w:t>
      </w:r>
      <w:r w:rsidR="00CF13AF" w:rsidRPr="00633318">
        <w:rPr>
          <w:rFonts w:ascii="Times New Roman" w:eastAsia="Calibri" w:hAnsi="Times New Roman" w:cs="Times New Roman"/>
          <w:bCs/>
          <w:iCs/>
          <w:sz w:val="24"/>
          <w:szCs w:val="24"/>
        </w:rPr>
        <w:t>wynosiła</w:t>
      </w:r>
      <w:r w:rsidR="00E62BA1" w:rsidRPr="00633318">
        <w:rPr>
          <w:rFonts w:ascii="Times New Roman" w:eastAsia="Calibri" w:hAnsi="Times New Roman" w:cs="Times New Roman"/>
          <w:bCs/>
          <w:iCs/>
          <w:sz w:val="24"/>
          <w:szCs w:val="24"/>
        </w:rPr>
        <w:t xml:space="preserve">, odpowiednio na początku lub na końcu roku: zero. Ponieważ jednak zerowa wartość bilansowa jest uwzględniana przy obliczaniu średniej, wyłączenie substratu dla takich aktywów będzie oparte na połowie wartości bilansowej takiego składnika na koniec lub na początek roku. </w:t>
      </w:r>
    </w:p>
    <w:p w14:paraId="48BA7B33" w14:textId="77777777" w:rsidR="00E62BA1" w:rsidRPr="00633318" w:rsidRDefault="00E62BA1" w:rsidP="00B329F1">
      <w:pPr>
        <w:spacing w:before="240"/>
        <w:jc w:val="both"/>
        <w:rPr>
          <w:rFonts w:ascii="Times New Roman" w:eastAsia="Calibri" w:hAnsi="Times New Roman" w:cs="Times New Roman"/>
          <w:i/>
          <w:iCs/>
          <w:sz w:val="24"/>
          <w:szCs w:val="24"/>
        </w:rPr>
      </w:pPr>
      <w:r w:rsidRPr="00633318">
        <w:rPr>
          <w:rFonts w:ascii="Times New Roman" w:eastAsia="Calibri" w:hAnsi="Times New Roman" w:cs="Times New Roman"/>
          <w:b/>
          <w:iCs/>
          <w:sz w:val="24"/>
          <w:szCs w:val="24"/>
        </w:rPr>
        <w:t xml:space="preserve">Ustępy 4 oraz 8 </w:t>
      </w:r>
    </w:p>
    <w:p w14:paraId="35153349" w14:textId="6FEBD9AD"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W kontekście brzmienia ww. przepisów art. 100 i 101</w:t>
      </w:r>
      <w:r w:rsidR="00CF13AF"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 xml:space="preserve">, a także w świetle dyspozycji wynikających z Wytycznych z lipca 2023 r. należało dodatkowo uwzględnić sytuacje, w których ponoszone kwalifikowane koszty płac odnoszą się do kwalifikowanych pracowników wykonujących czynności (pracę), w roku podatkowym, przez określony czas poza </w:t>
      </w:r>
      <w:r w:rsidR="00554B05" w:rsidRPr="00633318">
        <w:rPr>
          <w:rFonts w:ascii="Times New Roman" w:hAnsi="Times New Roman" w:cs="Times New Roman"/>
          <w:sz w:val="24"/>
          <w:szCs w:val="24"/>
        </w:rPr>
        <w:t>jurysdykcją</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pracodawcy będącego jednostką składową grupy. Podobnie konieczne było uregulowanie przypadków, w których kwalifikowane rzeczowe aktywa trwałe, w roku podatkowym, jedynie przez określony czas zlokalizowane są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właściciela lub leasingobiorcy takiego składnika, będącego jednostką grupy, jak również sytuacji, gdy nie można określić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położenia danego aktywa, czy znajduje się ono w kilku </w:t>
      </w:r>
      <w:r w:rsidR="00554B05" w:rsidRPr="00633318">
        <w:rPr>
          <w:rFonts w:ascii="Times New Roman" w:hAnsi="Times New Roman" w:cs="Times New Roman"/>
          <w:sz w:val="24"/>
          <w:szCs w:val="24"/>
        </w:rPr>
        <w:t>jurysdykcjach</w:t>
      </w:r>
      <w:r w:rsidRPr="00633318">
        <w:rPr>
          <w:rFonts w:ascii="Times New Roman" w:eastAsia="Calibri" w:hAnsi="Times New Roman" w:cs="Times New Roman"/>
          <w:iCs/>
          <w:sz w:val="24"/>
          <w:szCs w:val="24"/>
        </w:rPr>
        <w:t>, w różnych okresach w trakcie roku podatkowego. Wprowadzona została zatem swego rodzaju instrukcja postępowania, którą odzwierciedlono w przepisach at. 101 ust. 4 oraz 8</w:t>
      </w:r>
      <w:r w:rsidR="00CF13AF"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w:t>
      </w:r>
    </w:p>
    <w:p w14:paraId="095D569B" w14:textId="460AB084"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Dla zobrazowania przykładowych sytuacji </w:t>
      </w:r>
      <w:r w:rsidRPr="00633318">
        <w:rPr>
          <w:rFonts w:ascii="Times New Roman" w:eastAsia="Calibri" w:hAnsi="Times New Roman" w:cs="Times New Roman"/>
          <w:iCs/>
          <w:sz w:val="24"/>
          <w:szCs w:val="24"/>
          <w:u w:val="single"/>
        </w:rPr>
        <w:t>kwalifikowanego pracownika</w:t>
      </w:r>
      <w:r w:rsidRPr="00633318">
        <w:rPr>
          <w:rFonts w:ascii="Times New Roman" w:eastAsia="Calibri" w:hAnsi="Times New Roman" w:cs="Times New Roman"/>
          <w:iCs/>
          <w:sz w:val="24"/>
          <w:szCs w:val="24"/>
        </w:rPr>
        <w:t xml:space="preserve"> (o którym mowa w art. 100 pkt 1</w:t>
      </w:r>
      <w:r w:rsidR="00CF13AF"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w:t>
      </w:r>
      <w:r w:rsidR="00CF13AF"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u w:val="single"/>
        </w:rPr>
        <w:t>wykonującego czynności (pracę</w:t>
      </w:r>
      <w:r w:rsidRPr="00633318">
        <w:rPr>
          <w:rFonts w:ascii="Times New Roman" w:eastAsia="Calibri" w:hAnsi="Times New Roman" w:cs="Times New Roman"/>
          <w:iCs/>
          <w:sz w:val="24"/>
          <w:szCs w:val="24"/>
        </w:rPr>
        <w:t xml:space="preserve">, czynności służbowe) </w:t>
      </w:r>
      <w:r w:rsidRPr="00633318">
        <w:rPr>
          <w:rFonts w:ascii="Times New Roman" w:eastAsia="Calibri" w:hAnsi="Times New Roman" w:cs="Times New Roman"/>
          <w:iCs/>
          <w:sz w:val="24"/>
          <w:szCs w:val="24"/>
          <w:u w:val="single"/>
        </w:rPr>
        <w:t xml:space="preserve">częściowo poza </w:t>
      </w:r>
      <w:r w:rsidR="00554B05" w:rsidRPr="00633318">
        <w:rPr>
          <w:rFonts w:ascii="Times New Roman" w:eastAsia="Calibri" w:hAnsi="Times New Roman" w:cs="Times New Roman"/>
          <w:iCs/>
          <w:sz w:val="24"/>
          <w:szCs w:val="24"/>
          <w:u w:val="single"/>
        </w:rPr>
        <w:t>jurysdykcją</w:t>
      </w:r>
      <w:r w:rsidR="00554B05" w:rsidRPr="00633318" w:rsidDel="00554B05">
        <w:rPr>
          <w:rFonts w:ascii="Times New Roman" w:eastAsia="Calibri" w:hAnsi="Times New Roman" w:cs="Times New Roman"/>
          <w:iCs/>
          <w:sz w:val="24"/>
          <w:szCs w:val="24"/>
          <w:u w:val="single"/>
        </w:rPr>
        <w:t xml:space="preserve"> </w:t>
      </w:r>
      <w:r w:rsidRPr="00633318">
        <w:rPr>
          <w:rFonts w:ascii="Times New Roman" w:eastAsia="Calibri" w:hAnsi="Times New Roman" w:cs="Times New Roman"/>
          <w:iCs/>
          <w:sz w:val="24"/>
          <w:szCs w:val="24"/>
          <w:u w:val="single"/>
        </w:rPr>
        <w:t>pracodawcy</w:t>
      </w:r>
      <w:r w:rsidR="00CF13AF"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można wskazać: </w:t>
      </w:r>
    </w:p>
    <w:p w14:paraId="5CD03F0A" w14:textId="01E3978A"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świadczenie pracy w formie zdalnej (w pełnym lub niepełnym wymiarze), zobowiązanie przez pracodawcę do wykonywania czynności poza </w:t>
      </w:r>
      <w:r w:rsidR="00554B05" w:rsidRPr="00633318">
        <w:rPr>
          <w:rFonts w:ascii="Times New Roman" w:eastAsia="Calibri" w:hAnsi="Times New Roman" w:cs="Times New Roman"/>
          <w:iCs/>
          <w:sz w:val="24"/>
          <w:szCs w:val="24"/>
        </w:rPr>
        <w:t>jurysdykcją</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w ramach obowiązków służbowych (kontakty z klientami, dostawcami w innych </w:t>
      </w:r>
      <w:r w:rsidR="00554B05" w:rsidRPr="00633318">
        <w:rPr>
          <w:rFonts w:ascii="Times New Roman" w:eastAsia="Calibri" w:hAnsi="Times New Roman" w:cs="Times New Roman"/>
          <w:iCs/>
          <w:sz w:val="24"/>
          <w:szCs w:val="24"/>
        </w:rPr>
        <w:t>jurysdykcjach</w:t>
      </w:r>
      <w:r w:rsidRPr="00633318">
        <w:rPr>
          <w:rFonts w:ascii="Times New Roman" w:eastAsia="Calibri" w:hAnsi="Times New Roman" w:cs="Times New Roman"/>
          <w:iCs/>
          <w:sz w:val="24"/>
          <w:szCs w:val="24"/>
        </w:rPr>
        <w:t>), oddelegowanie do innej jednostki wchodzącej w skład grupy lub podmiotu spoza grupy, służbowe podróże międzynarodowe (międzynarodowa branża transportowa), czy wykonywanie pracy na wodach międzynarodowych lub w przestrzeni kosmicznej.</w:t>
      </w:r>
    </w:p>
    <w:p w14:paraId="3C0F4E75" w14:textId="1339484D"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Natomiast dla zobrazowania przykładowych sytuacji</w:t>
      </w:r>
      <w:r w:rsidRPr="00633318">
        <w:rPr>
          <w:rFonts w:ascii="Times New Roman" w:eastAsia="Calibri" w:hAnsi="Times New Roman" w:cs="Times New Roman"/>
          <w:iCs/>
          <w:sz w:val="24"/>
          <w:szCs w:val="24"/>
          <w:u w:val="single"/>
        </w:rPr>
        <w:t xml:space="preserve"> kwalifikowanych rzeczowych</w:t>
      </w:r>
      <w:r w:rsidRPr="00633318">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u w:val="single"/>
        </w:rPr>
        <w:t>aktywów trwałych</w:t>
      </w:r>
      <w:r w:rsidRPr="00633318">
        <w:rPr>
          <w:rFonts w:ascii="Times New Roman" w:eastAsia="Calibri" w:hAnsi="Times New Roman" w:cs="Times New Roman"/>
          <w:iCs/>
          <w:sz w:val="24"/>
          <w:szCs w:val="24"/>
        </w:rPr>
        <w:t xml:space="preserve"> (o których mowa w art. 100  pkt 3</w:t>
      </w:r>
      <w:r w:rsidR="00CF13AF" w:rsidRPr="00633318">
        <w:rPr>
          <w:rFonts w:ascii="Times New Roman" w:eastAsia="Calibri" w:hAnsi="Times New Roman" w:cs="Times New Roman"/>
          <w:iCs/>
          <w:sz w:val="24"/>
          <w:szCs w:val="24"/>
        </w:rPr>
        <w:t xml:space="preserve"> ustawy</w:t>
      </w:r>
      <w:r w:rsidRPr="00633318">
        <w:rPr>
          <w:rFonts w:ascii="Times New Roman" w:eastAsia="Calibri" w:hAnsi="Times New Roman" w:cs="Times New Roman"/>
          <w:iCs/>
          <w:sz w:val="24"/>
          <w:szCs w:val="24"/>
        </w:rPr>
        <w:t>)</w:t>
      </w:r>
      <w:r w:rsidR="00CF13AF"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u w:val="single"/>
        </w:rPr>
        <w:t xml:space="preserve">zlokalizowanych częściowo poza </w:t>
      </w:r>
      <w:r w:rsidR="00554B05" w:rsidRPr="00633318">
        <w:rPr>
          <w:rFonts w:ascii="Times New Roman" w:eastAsia="Calibri" w:hAnsi="Times New Roman" w:cs="Times New Roman"/>
          <w:iCs/>
          <w:sz w:val="24"/>
          <w:szCs w:val="24"/>
          <w:u w:val="single"/>
        </w:rPr>
        <w:t>jurysdykcją</w:t>
      </w:r>
      <w:r w:rsidR="00554B05" w:rsidRPr="00633318" w:rsidDel="00554B05">
        <w:rPr>
          <w:rFonts w:ascii="Times New Roman" w:eastAsia="Calibri" w:hAnsi="Times New Roman" w:cs="Times New Roman"/>
          <w:iCs/>
          <w:sz w:val="24"/>
          <w:szCs w:val="24"/>
          <w:u w:val="single"/>
        </w:rPr>
        <w:t xml:space="preserve"> </w:t>
      </w:r>
      <w:r w:rsidRPr="00633318">
        <w:rPr>
          <w:rFonts w:ascii="Times New Roman" w:eastAsia="Calibri" w:hAnsi="Times New Roman" w:cs="Times New Roman"/>
          <w:iCs/>
          <w:sz w:val="24"/>
          <w:szCs w:val="24"/>
          <w:u w:val="single"/>
        </w:rPr>
        <w:t>lokalizacji ich właściciela (korzystającego)</w:t>
      </w:r>
      <w:r w:rsidR="00CF13AF"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będącego jednostką składową można wskazać:</w:t>
      </w:r>
    </w:p>
    <w:p w14:paraId="3241A098" w14:textId="7185E67B"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wykorzystywanie na arenie międzynarodowej jako główny element danej sfery biznesu, w szczególności w przemyśle transportowym (samolot, statek), wykorzystywanie w transporcie międzynarodowym, lub poza </w:t>
      </w:r>
      <w:r w:rsidR="00554B05" w:rsidRPr="00633318">
        <w:rPr>
          <w:rFonts w:ascii="Times New Roman" w:hAnsi="Times New Roman" w:cs="Times New Roman"/>
          <w:sz w:val="24"/>
          <w:szCs w:val="24"/>
        </w:rPr>
        <w:t>jurysdykcją</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lokalizacji właściciela jednak bez wjazdu do </w:t>
      </w:r>
      <w:r w:rsidR="00554B05" w:rsidRPr="00633318">
        <w:rPr>
          <w:rFonts w:ascii="Times New Roman" w:eastAsia="Calibri" w:hAnsi="Times New Roman" w:cs="Times New Roman"/>
          <w:iCs/>
          <w:sz w:val="24"/>
          <w:szCs w:val="24"/>
        </w:rPr>
        <w:t xml:space="preserve">innej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(satelita wystrzelony w </w:t>
      </w:r>
      <w:r w:rsidR="00554B05" w:rsidRPr="00633318">
        <w:rPr>
          <w:rFonts w:ascii="Times New Roman" w:hAnsi="Times New Roman" w:cs="Times New Roman"/>
          <w:sz w:val="24"/>
          <w:szCs w:val="24"/>
        </w:rPr>
        <w:t>jurysdykcji</w:t>
      </w:r>
      <w:r w:rsidR="00554B05" w:rsidRPr="00633318" w:rsidDel="00554B05">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lokalizacji właściciela jednostki), jednoczesne znajdowanie się w kilku </w:t>
      </w:r>
      <w:r w:rsidR="00554B05" w:rsidRPr="00633318">
        <w:rPr>
          <w:rFonts w:ascii="Times New Roman" w:eastAsia="Calibri" w:hAnsi="Times New Roman" w:cs="Times New Roman"/>
          <w:iCs/>
          <w:sz w:val="24"/>
          <w:szCs w:val="24"/>
        </w:rPr>
        <w:t>jurysdykcjach</w:t>
      </w:r>
      <w:r w:rsidRPr="00633318">
        <w:rPr>
          <w:rFonts w:ascii="Times New Roman" w:eastAsia="Calibri" w:hAnsi="Times New Roman" w:cs="Times New Roman"/>
          <w:iCs/>
          <w:sz w:val="24"/>
          <w:szCs w:val="24"/>
        </w:rPr>
        <w:t xml:space="preserve">, w tym częściowo poza jakąkolwiek jurysdykcją (kabel biegnący przez wody międzynarodowe), czy przemieszczanie między </w:t>
      </w:r>
      <w:r w:rsidR="00DA5234" w:rsidRPr="00633318">
        <w:rPr>
          <w:rFonts w:ascii="Times New Roman" w:hAnsi="Times New Roman" w:cs="Times New Roman"/>
          <w:sz w:val="24"/>
          <w:szCs w:val="24"/>
        </w:rPr>
        <w:t>jurysdykcjami</w:t>
      </w:r>
      <w:r w:rsidR="00DA5234" w:rsidRPr="00633318" w:rsidDel="00DA5234">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w celach niezwiązanych z transportem (sprzęt rolniczy używany w sąsiednich </w:t>
      </w:r>
      <w:r w:rsidR="00DA5234" w:rsidRPr="00633318">
        <w:rPr>
          <w:rFonts w:ascii="Times New Roman" w:hAnsi="Times New Roman" w:cs="Times New Roman"/>
          <w:sz w:val="24"/>
          <w:szCs w:val="24"/>
        </w:rPr>
        <w:t>jurysdykcjach</w:t>
      </w:r>
      <w:r w:rsidRPr="00633318">
        <w:rPr>
          <w:rFonts w:ascii="Times New Roman" w:eastAsia="Calibri" w:hAnsi="Times New Roman" w:cs="Times New Roman"/>
          <w:iCs/>
          <w:sz w:val="24"/>
          <w:szCs w:val="24"/>
        </w:rPr>
        <w:t>).</w:t>
      </w:r>
    </w:p>
    <w:p w14:paraId="1ABAA2A4" w14:textId="2EFCCB75"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Przepisy </w:t>
      </w:r>
      <w:r w:rsidRPr="00633318">
        <w:rPr>
          <w:rFonts w:ascii="Times New Roman" w:eastAsia="Calibri" w:hAnsi="Times New Roman" w:cs="Times New Roman"/>
          <w:b/>
          <w:bCs/>
          <w:iCs/>
          <w:sz w:val="24"/>
          <w:szCs w:val="24"/>
        </w:rPr>
        <w:t>ustępów 4 oraz 8</w:t>
      </w:r>
      <w:r w:rsidRPr="00633318">
        <w:rPr>
          <w:rFonts w:ascii="Times New Roman" w:eastAsia="Calibri" w:hAnsi="Times New Roman" w:cs="Times New Roman"/>
          <w:iCs/>
          <w:sz w:val="24"/>
          <w:szCs w:val="24"/>
        </w:rPr>
        <w:t xml:space="preserve"> </w:t>
      </w:r>
      <w:r w:rsidRPr="00633318">
        <w:rPr>
          <w:rFonts w:ascii="Times New Roman" w:eastAsia="Calibri" w:hAnsi="Times New Roman" w:cs="Times New Roman"/>
          <w:sz w:val="24"/>
          <w:szCs w:val="24"/>
        </w:rPr>
        <w:t>określają zasady postępowania przy obliczeniu substratu majątkowo-osobowego zarówno w przypadku</w:t>
      </w:r>
      <w:r w:rsidR="00CF13AF"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gdy wykonywanie przez kwalifikowanych pracowników czynności (pracy) na rzecz grupy, bądź zlokalizowanie kwalifikowanych rzeczowych aktywów trwałych, koncentruje się w roku podatkowym wyłącznie w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sz w:val="24"/>
          <w:szCs w:val="24"/>
        </w:rPr>
        <w:t xml:space="preserve"> </w:t>
      </w:r>
      <w:r w:rsidRPr="00633318">
        <w:rPr>
          <w:rFonts w:ascii="Times New Roman" w:eastAsia="Calibri" w:hAnsi="Times New Roman" w:cs="Times New Roman"/>
          <w:sz w:val="24"/>
          <w:szCs w:val="24"/>
        </w:rPr>
        <w:t>lokalizacji jednostki składowej, ale również gdy wspomniane okoliczności dotyczą, w trakcie takiego roku podatkowego, więcej niż jedne</w:t>
      </w:r>
      <w:r w:rsidR="00DA5234" w:rsidRPr="00633318">
        <w:rPr>
          <w:rFonts w:ascii="Times New Roman" w:eastAsia="Calibri" w:hAnsi="Times New Roman" w:cs="Times New Roman"/>
          <w:sz w:val="24"/>
          <w:szCs w:val="24"/>
        </w:rPr>
        <w:t>j</w:t>
      </w:r>
      <w:r w:rsidRPr="00633318">
        <w:rPr>
          <w:rFonts w:ascii="Times New Roman" w:eastAsia="Calibri" w:hAnsi="Times New Roman" w:cs="Times New Roman"/>
          <w:color w:val="FF0000"/>
          <w:sz w:val="24"/>
          <w:szCs w:val="24"/>
        </w:rPr>
        <w:t xml:space="preserve"> </w:t>
      </w:r>
      <w:r w:rsidR="00DA5234" w:rsidRPr="00633318">
        <w:rPr>
          <w:rFonts w:ascii="Times New Roman" w:hAnsi="Times New Roman" w:cs="Times New Roman"/>
          <w:sz w:val="24"/>
          <w:szCs w:val="24"/>
        </w:rPr>
        <w:t>jurysdykcji</w:t>
      </w:r>
      <w:r w:rsidRPr="00633318">
        <w:rPr>
          <w:rFonts w:ascii="Times New Roman" w:eastAsia="Calibri" w:hAnsi="Times New Roman" w:cs="Times New Roman"/>
          <w:sz w:val="24"/>
          <w:szCs w:val="24"/>
        </w:rPr>
        <w:t xml:space="preserve">. </w:t>
      </w:r>
    </w:p>
    <w:p w14:paraId="04FE22A2" w14:textId="3DA77B98" w:rsidR="00E62BA1"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Wymienione ustępy wprowadzają zatem </w:t>
      </w:r>
      <w:r w:rsidRPr="00633318">
        <w:rPr>
          <w:rFonts w:ascii="Times New Roman" w:eastAsia="Calibri" w:hAnsi="Times New Roman" w:cs="Times New Roman"/>
          <w:b/>
          <w:bCs/>
          <w:iCs/>
          <w:sz w:val="24"/>
          <w:szCs w:val="24"/>
        </w:rPr>
        <w:t>mechanizm</w:t>
      </w:r>
      <w:r w:rsidRPr="00633318">
        <w:rPr>
          <w:rFonts w:ascii="Times New Roman" w:eastAsia="Calibri" w:hAnsi="Times New Roman" w:cs="Times New Roman"/>
          <w:iCs/>
          <w:sz w:val="24"/>
          <w:szCs w:val="24"/>
        </w:rPr>
        <w:t xml:space="preserve"> służący dokonywaniu odpowiedniej </w:t>
      </w:r>
      <w:r w:rsidRPr="00633318">
        <w:rPr>
          <w:rFonts w:ascii="Times New Roman" w:eastAsia="Calibri" w:hAnsi="Times New Roman" w:cs="Times New Roman"/>
          <w:b/>
          <w:bCs/>
          <w:iCs/>
          <w:sz w:val="24"/>
          <w:szCs w:val="24"/>
        </w:rPr>
        <w:t>alokacji</w:t>
      </w:r>
      <w:r w:rsidRPr="00633318">
        <w:rPr>
          <w:rFonts w:ascii="Times New Roman" w:eastAsia="Calibri" w:hAnsi="Times New Roman" w:cs="Times New Roman"/>
          <w:iCs/>
          <w:sz w:val="24"/>
          <w:szCs w:val="24"/>
        </w:rPr>
        <w:t xml:space="preserve"> </w:t>
      </w:r>
      <w:r w:rsidRPr="00633318">
        <w:rPr>
          <w:rFonts w:ascii="Times New Roman" w:eastAsia="Calibri" w:hAnsi="Times New Roman" w:cs="Times New Roman"/>
          <w:b/>
          <w:bCs/>
          <w:iCs/>
          <w:sz w:val="24"/>
          <w:szCs w:val="24"/>
        </w:rPr>
        <w:t xml:space="preserve">(przydziału) </w:t>
      </w:r>
      <w:r w:rsidRPr="00633318">
        <w:rPr>
          <w:rFonts w:ascii="Times New Roman" w:eastAsia="Calibri" w:hAnsi="Times New Roman" w:cs="Times New Roman"/>
          <w:iCs/>
          <w:sz w:val="24"/>
          <w:szCs w:val="24"/>
        </w:rPr>
        <w:t xml:space="preserve">wyłączenia z tytułu </w:t>
      </w:r>
      <w:r w:rsidRPr="00633318">
        <w:rPr>
          <w:rFonts w:ascii="Times New Roman" w:eastAsia="Calibri" w:hAnsi="Times New Roman" w:cs="Times New Roman"/>
          <w:b/>
          <w:bCs/>
          <w:iCs/>
          <w:sz w:val="24"/>
          <w:szCs w:val="24"/>
        </w:rPr>
        <w:t>substratu majątkowo-osobowego</w:t>
      </w:r>
      <w:r w:rsidRPr="00633318">
        <w:rPr>
          <w:rFonts w:ascii="Times New Roman" w:eastAsia="Calibri" w:hAnsi="Times New Roman" w:cs="Times New Roman"/>
          <w:iCs/>
          <w:sz w:val="24"/>
          <w:szCs w:val="24"/>
        </w:rPr>
        <w:t xml:space="preserve"> w odniesieniu do kwalifikowanych pracowników wykonujących czynności (pracę) częściowo poza </w:t>
      </w:r>
      <w:r w:rsidR="00DA5234" w:rsidRPr="00633318">
        <w:rPr>
          <w:rFonts w:ascii="Times New Roman" w:hAnsi="Times New Roman" w:cs="Times New Roman"/>
          <w:sz w:val="24"/>
          <w:szCs w:val="24"/>
        </w:rPr>
        <w:t>jurysdykcją</w:t>
      </w:r>
      <w:r w:rsidR="00DA5234" w:rsidRPr="00633318" w:rsidDel="00DA5234">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pracodawcy, jak i analogicznie zlokalizowanych poza </w:t>
      </w:r>
      <w:r w:rsidR="00DA5234" w:rsidRPr="00633318">
        <w:rPr>
          <w:rFonts w:ascii="Times New Roman" w:hAnsi="Times New Roman" w:cs="Times New Roman"/>
          <w:sz w:val="24"/>
          <w:szCs w:val="24"/>
        </w:rPr>
        <w:t>jurysdykcją</w:t>
      </w:r>
      <w:r w:rsidR="00DA5234" w:rsidRPr="00633318" w:rsidDel="00DA5234">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xml:space="preserve">właściciela kwalifikowanych rzeczowych aktywów trwałych, przez określoną (nierzadko znaczną) część roku podatkowego. Celem regulacji jest uchwycenie istotnej działalności w </w:t>
      </w:r>
      <w:r w:rsidR="00DA5234" w:rsidRPr="00633318">
        <w:rPr>
          <w:rFonts w:ascii="Times New Roman" w:eastAsia="Calibri" w:hAnsi="Times New Roman" w:cs="Times New Roman"/>
          <w:iCs/>
          <w:sz w:val="24"/>
          <w:szCs w:val="24"/>
        </w:rPr>
        <w:t xml:space="preserve">danej </w:t>
      </w:r>
      <w:r w:rsidR="00DA5234" w:rsidRPr="00633318">
        <w:rPr>
          <w:rFonts w:ascii="Times New Roman" w:hAnsi="Times New Roman" w:cs="Times New Roman"/>
          <w:sz w:val="24"/>
          <w:szCs w:val="24"/>
        </w:rPr>
        <w:t>jurysdykcji</w:t>
      </w:r>
      <w:r w:rsidRPr="00633318">
        <w:rPr>
          <w:rFonts w:ascii="Times New Roman" w:eastAsia="Calibri" w:hAnsi="Times New Roman" w:cs="Times New Roman"/>
          <w:iCs/>
          <w:sz w:val="24"/>
          <w:szCs w:val="24"/>
        </w:rPr>
        <w:t xml:space="preserve">, a także zapobieżenie pełnej dowolności w tym zakresie, mogącej prowadzić do nieuzasadnionych wyłączeń przy jakimkolwiek okresie pozostawania w </w:t>
      </w:r>
      <w:r w:rsidR="00DA5234" w:rsidRPr="00633318">
        <w:rPr>
          <w:rFonts w:ascii="Times New Roman" w:eastAsia="Calibri" w:hAnsi="Times New Roman" w:cs="Times New Roman"/>
          <w:iCs/>
          <w:sz w:val="24"/>
          <w:szCs w:val="24"/>
        </w:rPr>
        <w:t>danej jurysdykcji</w:t>
      </w:r>
      <w:r w:rsidR="00DA5234" w:rsidRPr="00633318" w:rsidDel="00DA5234">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 czy to w roli pracownika formalnie zatrudnionego przez jednostkę składową, czy aktywa podlegającego właścicielowi.</w:t>
      </w:r>
    </w:p>
    <w:p w14:paraId="41439049" w14:textId="77777777" w:rsidR="00B329F1" w:rsidRPr="00633318" w:rsidRDefault="00B329F1" w:rsidP="000F5B35">
      <w:pPr>
        <w:spacing w:after="120"/>
        <w:jc w:val="both"/>
        <w:rPr>
          <w:rFonts w:ascii="Times New Roman" w:eastAsia="Calibri" w:hAnsi="Times New Roman" w:cs="Times New Roman"/>
          <w:iCs/>
          <w:sz w:val="24"/>
          <w:szCs w:val="24"/>
        </w:rPr>
      </w:pPr>
    </w:p>
    <w:p w14:paraId="2483450B" w14:textId="77777777" w:rsidR="00E62BA1" w:rsidRPr="00633318" w:rsidRDefault="00E62BA1" w:rsidP="00B329F1">
      <w:pPr>
        <w:spacing w:before="480" w:after="120"/>
        <w:jc w:val="both"/>
        <w:rPr>
          <w:rFonts w:ascii="Times New Roman" w:eastAsia="Calibri" w:hAnsi="Times New Roman" w:cs="Times New Roman"/>
          <w:i/>
          <w:iCs/>
          <w:sz w:val="24"/>
          <w:szCs w:val="24"/>
          <w:u w:val="single"/>
        </w:rPr>
      </w:pPr>
      <w:r w:rsidRPr="00633318">
        <w:rPr>
          <w:rFonts w:ascii="Times New Roman" w:eastAsia="Calibri" w:hAnsi="Times New Roman" w:cs="Times New Roman"/>
          <w:i/>
          <w:iCs/>
          <w:sz w:val="24"/>
          <w:szCs w:val="24"/>
          <w:u w:val="single"/>
        </w:rPr>
        <w:t>W odniesieniu do czynności wykonywanych przez kwalifikowanych pracowników</w:t>
      </w:r>
    </w:p>
    <w:p w14:paraId="5AFC8692" w14:textId="359348C6" w:rsidR="00E62BA1" w:rsidRPr="00633318" w:rsidRDefault="00E62BA1" w:rsidP="000F5B35">
      <w:p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iCs/>
          <w:sz w:val="24"/>
          <w:szCs w:val="24"/>
        </w:rPr>
        <w:t xml:space="preserve">Stosownie do zasady określonej w art. 101 </w:t>
      </w:r>
      <w:r w:rsidRPr="00633318">
        <w:rPr>
          <w:rFonts w:ascii="Times New Roman" w:eastAsia="Calibri" w:hAnsi="Times New Roman" w:cs="Times New Roman"/>
          <w:b/>
          <w:bCs/>
          <w:iCs/>
          <w:sz w:val="24"/>
          <w:szCs w:val="24"/>
        </w:rPr>
        <w:t>ust.</w:t>
      </w:r>
      <w:bookmarkStart w:id="53" w:name="_Hlk163690234"/>
      <w:r w:rsidRPr="00633318">
        <w:rPr>
          <w:rFonts w:ascii="Times New Roman" w:eastAsia="Calibri" w:hAnsi="Times New Roman" w:cs="Times New Roman"/>
          <w:b/>
          <w:bCs/>
          <w:iCs/>
          <w:sz w:val="24"/>
          <w:szCs w:val="24"/>
        </w:rPr>
        <w:t xml:space="preserve"> 4 </w:t>
      </w:r>
      <w:r w:rsidR="00CF13AF" w:rsidRPr="00633318">
        <w:rPr>
          <w:rFonts w:ascii="Times New Roman" w:eastAsia="Calibri" w:hAnsi="Times New Roman" w:cs="Times New Roman"/>
          <w:iCs/>
          <w:sz w:val="24"/>
          <w:szCs w:val="24"/>
        </w:rPr>
        <w:t xml:space="preserve">ustawy </w:t>
      </w:r>
      <w:r w:rsidRPr="00633318">
        <w:rPr>
          <w:rFonts w:ascii="Times New Roman" w:eastAsia="Calibri" w:hAnsi="Times New Roman" w:cs="Times New Roman"/>
          <w:bCs/>
          <w:iCs/>
          <w:sz w:val="24"/>
          <w:szCs w:val="24"/>
        </w:rPr>
        <w:t xml:space="preserve">dla celów obliczenia substratu w części (dotyczącej płac – z ust. 1 pkt 1), w przypadku kwalifikowanego pracownika jednostki składowej wykonującego w roku podatkowym czynności </w:t>
      </w:r>
      <w:r w:rsidRPr="00633318">
        <w:rPr>
          <w:rFonts w:ascii="Times New Roman" w:eastAsia="Calibri" w:hAnsi="Times New Roman" w:cs="Times New Roman"/>
          <w:b/>
          <w:iCs/>
          <w:sz w:val="24"/>
          <w:szCs w:val="24"/>
        </w:rPr>
        <w:t xml:space="preserve">wyłącznie w </w:t>
      </w:r>
      <w:r w:rsidR="00DA5234" w:rsidRPr="00633318">
        <w:rPr>
          <w:rFonts w:ascii="Times New Roman" w:eastAsia="Calibri" w:hAnsi="Times New Roman" w:cs="Times New Roman"/>
          <w:b/>
          <w:iCs/>
          <w:sz w:val="24"/>
          <w:szCs w:val="24"/>
        </w:rPr>
        <w:t>jurysdykcji</w:t>
      </w:r>
      <w:r w:rsidR="00DA5234" w:rsidRPr="00633318" w:rsidDel="00DA5234">
        <w:rPr>
          <w:rFonts w:ascii="Times New Roman" w:eastAsia="Calibri" w:hAnsi="Times New Roman" w:cs="Times New Roman"/>
          <w:b/>
          <w:iCs/>
          <w:sz w:val="24"/>
          <w:szCs w:val="24"/>
        </w:rPr>
        <w:t xml:space="preserve"> </w:t>
      </w:r>
      <w:r w:rsidRPr="00633318">
        <w:rPr>
          <w:rFonts w:ascii="Times New Roman" w:eastAsia="Calibri" w:hAnsi="Times New Roman" w:cs="Times New Roman"/>
          <w:b/>
          <w:iCs/>
          <w:sz w:val="24"/>
          <w:szCs w:val="24"/>
        </w:rPr>
        <w:t>lokalizacji jednostki składowej</w:t>
      </w:r>
      <w:r w:rsidRPr="00633318">
        <w:rPr>
          <w:rFonts w:ascii="Times New Roman" w:eastAsia="Calibri" w:hAnsi="Times New Roman" w:cs="Times New Roman"/>
          <w:bCs/>
          <w:iCs/>
          <w:sz w:val="24"/>
          <w:szCs w:val="24"/>
        </w:rPr>
        <w:t xml:space="preserve">, jednostka ta może, uwzględnić kwalifikowane koszty płac tego pracownika w pełnej ich wysokości.   </w:t>
      </w:r>
    </w:p>
    <w:p w14:paraId="24C36522" w14:textId="0C642860" w:rsidR="00E62BA1" w:rsidRPr="00633318" w:rsidRDefault="00E62BA1" w:rsidP="000F5B35">
      <w:p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Jednocześnie, zgodnie z tym ustępem, w sytuacji, gdy kwalifikowany pracownik jednostki składowej wykonuje w roku podatkowym czynności </w:t>
      </w:r>
      <w:r w:rsidRPr="00633318">
        <w:rPr>
          <w:rFonts w:ascii="Times New Roman" w:eastAsia="Calibri" w:hAnsi="Times New Roman" w:cs="Times New Roman"/>
          <w:b/>
          <w:iCs/>
          <w:sz w:val="24"/>
          <w:szCs w:val="24"/>
        </w:rPr>
        <w:t>zarówno w </w:t>
      </w:r>
      <w:r w:rsidR="00DA5234" w:rsidRPr="00633318">
        <w:rPr>
          <w:rFonts w:ascii="Times New Roman" w:eastAsia="Calibri" w:hAnsi="Times New Roman" w:cs="Times New Roman"/>
          <w:b/>
          <w:iCs/>
          <w:sz w:val="24"/>
          <w:szCs w:val="24"/>
        </w:rPr>
        <w:t>jurysdykcji</w:t>
      </w:r>
      <w:r w:rsidR="00DA5234" w:rsidRPr="00633318" w:rsidDel="00DA5234">
        <w:rPr>
          <w:rFonts w:ascii="Times New Roman" w:eastAsia="Calibri" w:hAnsi="Times New Roman" w:cs="Times New Roman"/>
          <w:b/>
          <w:iCs/>
          <w:sz w:val="24"/>
          <w:szCs w:val="24"/>
        </w:rPr>
        <w:t xml:space="preserve"> </w:t>
      </w:r>
      <w:r w:rsidRPr="00633318">
        <w:rPr>
          <w:rFonts w:ascii="Times New Roman" w:eastAsia="Calibri" w:hAnsi="Times New Roman" w:cs="Times New Roman"/>
          <w:b/>
          <w:iCs/>
          <w:sz w:val="24"/>
          <w:szCs w:val="24"/>
        </w:rPr>
        <w:t>lokalizacji tej jednostki, jak i poza t</w:t>
      </w:r>
      <w:r w:rsidR="00DA5234" w:rsidRPr="00633318">
        <w:rPr>
          <w:rFonts w:ascii="Times New Roman" w:eastAsia="Calibri" w:hAnsi="Times New Roman" w:cs="Times New Roman"/>
          <w:b/>
          <w:iCs/>
          <w:sz w:val="24"/>
          <w:szCs w:val="24"/>
        </w:rPr>
        <w:t>ą</w:t>
      </w:r>
      <w:r w:rsidRPr="00633318">
        <w:rPr>
          <w:rFonts w:ascii="Times New Roman" w:eastAsia="Calibri" w:hAnsi="Times New Roman" w:cs="Times New Roman"/>
          <w:b/>
          <w:iCs/>
          <w:sz w:val="24"/>
          <w:szCs w:val="24"/>
        </w:rPr>
        <w:t xml:space="preserve"> </w:t>
      </w:r>
      <w:r w:rsidR="00DA5234" w:rsidRPr="00633318">
        <w:rPr>
          <w:rFonts w:ascii="Times New Roman" w:eastAsia="Calibri" w:hAnsi="Times New Roman" w:cs="Times New Roman"/>
          <w:b/>
          <w:iCs/>
          <w:sz w:val="24"/>
          <w:szCs w:val="24"/>
        </w:rPr>
        <w:t>jurysdykcją</w:t>
      </w:r>
      <w:r w:rsidRPr="00633318">
        <w:rPr>
          <w:rFonts w:ascii="Times New Roman" w:eastAsia="Calibri" w:hAnsi="Times New Roman" w:cs="Times New Roman"/>
          <w:bCs/>
          <w:iCs/>
          <w:sz w:val="24"/>
          <w:szCs w:val="24"/>
        </w:rPr>
        <w:t>, jednostka ta może uwzględnić:</w:t>
      </w:r>
    </w:p>
    <w:p w14:paraId="770B97E0" w14:textId="796DAC36" w:rsidR="00E62BA1" w:rsidRPr="00633318" w:rsidRDefault="00E62BA1" w:rsidP="009E73F7">
      <w:pPr>
        <w:numPr>
          <w:ilvl w:val="0"/>
          <w:numId w:val="120"/>
        </w:num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pełną wysokość kwalifikowanych kosztów płac tego pracownika - w przypadku, gdy łączny czas wykonywania tych czynności poza </w:t>
      </w:r>
      <w:r w:rsidR="00DA5234" w:rsidRPr="00633318">
        <w:rPr>
          <w:rFonts w:ascii="Times New Roman" w:hAnsi="Times New Roman" w:cs="Times New Roman"/>
          <w:sz w:val="24"/>
          <w:szCs w:val="24"/>
        </w:rPr>
        <w:t xml:space="preserve">jurysdykcją </w:t>
      </w:r>
      <w:r w:rsidRPr="00633318">
        <w:rPr>
          <w:rFonts w:ascii="Times New Roman" w:eastAsia="Calibri" w:hAnsi="Times New Roman" w:cs="Times New Roman"/>
          <w:bCs/>
          <w:iCs/>
          <w:sz w:val="24"/>
          <w:szCs w:val="24"/>
        </w:rPr>
        <w:t xml:space="preserve">lokalizacji tej jednostki składowej jest krótszy niż 50% ogólnego czasu pracy tego kwalifikowanego pracownika </w:t>
      </w:r>
      <w:r w:rsidRPr="00633318">
        <w:rPr>
          <w:rFonts w:ascii="Times New Roman" w:eastAsia="Calibri" w:hAnsi="Times New Roman" w:cs="Times New Roman"/>
          <w:b/>
          <w:iCs/>
          <w:sz w:val="24"/>
          <w:szCs w:val="24"/>
        </w:rPr>
        <w:t>(pkt 1)</w:t>
      </w:r>
      <w:r w:rsidRPr="00633318">
        <w:rPr>
          <w:rFonts w:ascii="Times New Roman" w:eastAsia="Calibri" w:hAnsi="Times New Roman" w:cs="Times New Roman"/>
          <w:bCs/>
          <w:iCs/>
          <w:sz w:val="24"/>
          <w:szCs w:val="24"/>
        </w:rPr>
        <w:t xml:space="preserve">; </w:t>
      </w:r>
    </w:p>
    <w:p w14:paraId="12CE5401" w14:textId="68FAF710" w:rsidR="00E62BA1" w:rsidRPr="00633318" w:rsidRDefault="00E62BA1" w:rsidP="009E73F7">
      <w:pPr>
        <w:numPr>
          <w:ilvl w:val="0"/>
          <w:numId w:val="120"/>
        </w:num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część kwalifikowanych kosztów płac tego pracownika odpowiadającą proporcji, w jakiej czas wykonywania przez niego czynności w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 xml:space="preserve">lokalizacji tej jednostki składowej pozostaje do ogólnego czasu pracy tego kwalifikowanego pracownika - w przypadku, gdy łączny czas wykonywania tych czynności poza </w:t>
      </w:r>
      <w:r w:rsidR="00DA5234" w:rsidRPr="00633318">
        <w:rPr>
          <w:rFonts w:ascii="Times New Roman" w:hAnsi="Times New Roman" w:cs="Times New Roman"/>
          <w:sz w:val="24"/>
          <w:szCs w:val="24"/>
        </w:rPr>
        <w:t>jurysdykcją</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 xml:space="preserve">lokalizacji danej jednostki składowej wynosi więcej niż 50% jego całkowitego czasu pracy </w:t>
      </w:r>
      <w:r w:rsidRPr="00633318">
        <w:rPr>
          <w:rFonts w:ascii="Times New Roman" w:eastAsia="Calibri" w:hAnsi="Times New Roman" w:cs="Times New Roman"/>
          <w:b/>
          <w:iCs/>
          <w:sz w:val="24"/>
          <w:szCs w:val="24"/>
        </w:rPr>
        <w:t>(pkt</w:t>
      </w:r>
      <w:r w:rsidR="00887625">
        <w:rPr>
          <w:rFonts w:ascii="Times New Roman" w:eastAsia="Calibri" w:hAnsi="Times New Roman" w:cs="Times New Roman"/>
          <w:b/>
          <w:iCs/>
          <w:sz w:val="24"/>
          <w:szCs w:val="24"/>
        </w:rPr>
        <w:t> </w:t>
      </w:r>
      <w:r w:rsidRPr="00633318">
        <w:rPr>
          <w:rFonts w:ascii="Times New Roman" w:eastAsia="Calibri" w:hAnsi="Times New Roman" w:cs="Times New Roman"/>
          <w:b/>
          <w:iCs/>
          <w:sz w:val="24"/>
          <w:szCs w:val="24"/>
        </w:rPr>
        <w:t>2)</w:t>
      </w:r>
      <w:r w:rsidRPr="00633318">
        <w:rPr>
          <w:rFonts w:ascii="Times New Roman" w:eastAsia="Calibri" w:hAnsi="Times New Roman" w:cs="Times New Roman"/>
          <w:bCs/>
          <w:iCs/>
          <w:sz w:val="24"/>
          <w:szCs w:val="24"/>
        </w:rPr>
        <w:t xml:space="preserve">. </w:t>
      </w:r>
    </w:p>
    <w:bookmarkEnd w:id="53"/>
    <w:p w14:paraId="107965EF" w14:textId="77777777" w:rsidR="00E62BA1" w:rsidRPr="00633318" w:rsidRDefault="00E62BA1" w:rsidP="000F5B35">
      <w:pPr>
        <w:spacing w:after="120"/>
        <w:jc w:val="both"/>
        <w:rPr>
          <w:rFonts w:ascii="Times New Roman" w:eastAsia="Calibri" w:hAnsi="Times New Roman" w:cs="Times New Roman"/>
          <w:i/>
          <w:iCs/>
          <w:sz w:val="24"/>
          <w:szCs w:val="24"/>
          <w:u w:val="single"/>
        </w:rPr>
      </w:pPr>
      <w:r w:rsidRPr="00633318">
        <w:rPr>
          <w:rFonts w:ascii="Times New Roman" w:eastAsia="Calibri" w:hAnsi="Times New Roman" w:cs="Times New Roman"/>
          <w:i/>
          <w:iCs/>
          <w:sz w:val="24"/>
          <w:szCs w:val="24"/>
          <w:u w:val="single"/>
        </w:rPr>
        <w:t>W odniesieniu do lokalizacji kwalifikowanych rzeczowych aktywów trwałych</w:t>
      </w:r>
    </w:p>
    <w:p w14:paraId="1C4844D0" w14:textId="476F8B77" w:rsidR="00E62BA1" w:rsidRPr="00633318" w:rsidRDefault="00E62BA1" w:rsidP="000F5B35">
      <w:p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Stosownie do brzmienia </w:t>
      </w:r>
      <w:r w:rsidRPr="00633318">
        <w:rPr>
          <w:rFonts w:ascii="Times New Roman" w:eastAsia="Calibri" w:hAnsi="Times New Roman" w:cs="Times New Roman"/>
          <w:b/>
          <w:bCs/>
          <w:iCs/>
          <w:sz w:val="24"/>
          <w:szCs w:val="24"/>
        </w:rPr>
        <w:t xml:space="preserve">ust. 8 </w:t>
      </w:r>
      <w:r w:rsidRPr="00633318">
        <w:rPr>
          <w:rFonts w:ascii="Times New Roman" w:eastAsia="Calibri" w:hAnsi="Times New Roman" w:cs="Times New Roman"/>
          <w:bCs/>
          <w:iCs/>
          <w:sz w:val="24"/>
          <w:szCs w:val="24"/>
        </w:rPr>
        <w:t>dla celów obliczenia substratu w części (dotyczącej rzeczowych aktywów trwałych – z ust. 1 pkt 2), wyłączenie odnoszące się do rzeczowych aktywów trwałych znajduje zastosowanie do:</w:t>
      </w:r>
    </w:p>
    <w:p w14:paraId="1B84A1E0" w14:textId="62401DCF" w:rsidR="00E62BA1" w:rsidRPr="00633318" w:rsidRDefault="00E62BA1" w:rsidP="009E73F7">
      <w:pPr>
        <w:numPr>
          <w:ilvl w:val="0"/>
          <w:numId w:val="122"/>
        </w:num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całej kwoty obliczonej zgodnie z ust. 6 w odniesieniu do danego kwalifikowanego rzeczowego aktywa trwałego – w przypadku, gdy przez cały rok podatkowy znajdowało się ono wyłącznie w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lokalizacji jednostki składowej albo poza t</w:t>
      </w:r>
      <w:r w:rsidR="00DA5234" w:rsidRPr="00633318">
        <w:rPr>
          <w:rFonts w:ascii="Times New Roman" w:eastAsia="Calibri" w:hAnsi="Times New Roman" w:cs="Times New Roman"/>
          <w:bCs/>
          <w:iCs/>
          <w:sz w:val="24"/>
          <w:szCs w:val="24"/>
        </w:rPr>
        <w:t>ą</w:t>
      </w:r>
      <w:r w:rsidRPr="00633318">
        <w:rPr>
          <w:rFonts w:ascii="Times New Roman" w:eastAsia="Calibri" w:hAnsi="Times New Roman" w:cs="Times New Roman"/>
          <w:bCs/>
          <w:iCs/>
          <w:sz w:val="24"/>
          <w:szCs w:val="24"/>
        </w:rPr>
        <w:t xml:space="preserve"> </w:t>
      </w:r>
      <w:r w:rsidR="00DA5234" w:rsidRPr="00633318">
        <w:rPr>
          <w:rFonts w:ascii="Times New Roman" w:hAnsi="Times New Roman" w:cs="Times New Roman"/>
          <w:sz w:val="24"/>
          <w:szCs w:val="24"/>
        </w:rPr>
        <w:t>jurysdykcją</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 xml:space="preserve">przez okres krótszy niż 50% okresu jego używania w tym roku podatkowym </w:t>
      </w:r>
      <w:r w:rsidRPr="00633318">
        <w:rPr>
          <w:rFonts w:ascii="Times New Roman" w:eastAsia="Calibri" w:hAnsi="Times New Roman" w:cs="Times New Roman"/>
          <w:b/>
          <w:iCs/>
          <w:sz w:val="24"/>
          <w:szCs w:val="24"/>
        </w:rPr>
        <w:t>(pkt 1)</w:t>
      </w:r>
      <w:r w:rsidRPr="00633318">
        <w:rPr>
          <w:rFonts w:ascii="Times New Roman" w:eastAsia="Calibri" w:hAnsi="Times New Roman" w:cs="Times New Roman"/>
          <w:bCs/>
          <w:iCs/>
          <w:sz w:val="24"/>
          <w:szCs w:val="24"/>
        </w:rPr>
        <w:t xml:space="preserve">; </w:t>
      </w:r>
    </w:p>
    <w:p w14:paraId="4A42DEB3" w14:textId="1A84918C" w:rsidR="00E62BA1" w:rsidRPr="00633318" w:rsidRDefault="00E62BA1" w:rsidP="009E73F7">
      <w:pPr>
        <w:numPr>
          <w:ilvl w:val="0"/>
          <w:numId w:val="122"/>
        </w:num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części kwoty obliczonej zgodnie z ust. 6 w odniesieniu do danego kwalifikowanego rzeczowego aktywa trwałego odpowiadającej proporcji, w jakiej czas jego używania w roku podatkowym w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 xml:space="preserve">lokalizacji pozostaje do całkowitego czasu jego używania w tym roku podatkowym – w przypadku, gdy znajdowało się ono poza </w:t>
      </w:r>
      <w:r w:rsidR="00DA5234" w:rsidRPr="00633318">
        <w:rPr>
          <w:rFonts w:ascii="Times New Roman" w:hAnsi="Times New Roman" w:cs="Times New Roman"/>
          <w:sz w:val="24"/>
          <w:szCs w:val="24"/>
        </w:rPr>
        <w:t>jurysdykcją</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 xml:space="preserve">lokalizacji jednostki składowej przez więcej niż 50% okresu jego używania w danym roku podatkowym </w:t>
      </w:r>
      <w:r w:rsidRPr="00633318">
        <w:rPr>
          <w:rFonts w:ascii="Times New Roman" w:eastAsia="Calibri" w:hAnsi="Times New Roman" w:cs="Times New Roman"/>
          <w:b/>
          <w:iCs/>
          <w:sz w:val="24"/>
          <w:szCs w:val="24"/>
        </w:rPr>
        <w:t>(pkt 2)</w:t>
      </w:r>
      <w:r w:rsidRPr="00633318">
        <w:rPr>
          <w:rFonts w:ascii="Times New Roman" w:eastAsia="Calibri" w:hAnsi="Times New Roman" w:cs="Times New Roman"/>
          <w:bCs/>
          <w:iCs/>
          <w:sz w:val="24"/>
          <w:szCs w:val="24"/>
        </w:rPr>
        <w:t xml:space="preserve">. </w:t>
      </w:r>
    </w:p>
    <w:p w14:paraId="02664815" w14:textId="77777777" w:rsidR="00E62BA1" w:rsidRPr="00633318" w:rsidRDefault="00E62BA1" w:rsidP="000F5B35">
      <w:p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Przepisy </w:t>
      </w:r>
      <w:r w:rsidRPr="00633318">
        <w:rPr>
          <w:rFonts w:ascii="Times New Roman" w:eastAsia="Calibri" w:hAnsi="Times New Roman" w:cs="Times New Roman"/>
          <w:b/>
          <w:iCs/>
          <w:sz w:val="24"/>
          <w:szCs w:val="24"/>
        </w:rPr>
        <w:t>ustępów 9-10</w:t>
      </w:r>
      <w:r w:rsidRPr="00633318">
        <w:rPr>
          <w:rFonts w:ascii="Times New Roman" w:eastAsia="Calibri" w:hAnsi="Times New Roman" w:cs="Times New Roman"/>
          <w:bCs/>
          <w:iCs/>
          <w:sz w:val="24"/>
          <w:szCs w:val="24"/>
        </w:rPr>
        <w:t xml:space="preserve"> odnoszą się z kolei do aktywów trwałych podlegających leasingowi (zarówno operacyjnemu jak i finansowemu).</w:t>
      </w:r>
    </w:p>
    <w:p w14:paraId="28E7F2F2" w14:textId="77777777" w:rsidR="00E62BA1" w:rsidRPr="00633318" w:rsidRDefault="00E62BA1" w:rsidP="000F5B35">
      <w:p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Zgodnie z Wytycznymi z lipca 2023 r., w celu wyznaczenia zakresu leasingu finansowego stosuje się standard rachunkowości stosowany w celu sporządzenia skonsolidowanego sprawozdania grupy, a w przypadku krajowego podatku wyrównawczego – zwykle na podstawie wynikającego z ustawy o rachunkowości. Efektem klasyfikacji jako leasing finansowy będzie, co do zasady, zaliczenie przedmiotu leasingu do aktywów trwałych korzystającego – np. art. 3 ust. 4 ustawy o rachunkowości.</w:t>
      </w:r>
    </w:p>
    <w:p w14:paraId="655FF2EC" w14:textId="3F130A61" w:rsidR="00E62BA1" w:rsidRPr="00633318" w:rsidRDefault="00E62BA1" w:rsidP="000F5B35">
      <w:pPr>
        <w:spacing w:after="120"/>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W takim przypadku, przedmiot leasingu będzie mógł być zaliczony do substratu wyłącznie korzystającego, ponieważ to u niego jest on wykazany jako aktywo trwałe. To korzystający, faktycznie używa danego przedmiotu i zasadnym jest aby do niego przypisać substancję biznesową. Finansujący, który wykazuje np. w Polsce przedmiot leasingu jako aktywo finansowe z tytułu należności (krótko</w:t>
      </w:r>
      <w:r w:rsidR="00CF13AF" w:rsidRPr="00633318">
        <w:rPr>
          <w:rFonts w:ascii="Times New Roman" w:eastAsia="Calibri" w:hAnsi="Times New Roman" w:cs="Times New Roman"/>
          <w:bCs/>
          <w:iCs/>
          <w:sz w:val="24"/>
          <w:szCs w:val="24"/>
        </w:rPr>
        <w:t>-</w:t>
      </w:r>
      <w:r w:rsidRPr="00633318">
        <w:rPr>
          <w:rFonts w:ascii="Times New Roman" w:eastAsia="Calibri" w:hAnsi="Times New Roman" w:cs="Times New Roman"/>
          <w:bCs/>
          <w:iCs/>
          <w:sz w:val="24"/>
          <w:szCs w:val="24"/>
        </w:rPr>
        <w:t xml:space="preserve"> lub długoterminowe) nie może zaliczyć go do substratu. Jest to spójne z zasadą wyłączenia z art. 101 ust. 5</w:t>
      </w:r>
      <w:r w:rsidR="00CF13AF" w:rsidRPr="00633318">
        <w:rPr>
          <w:rFonts w:ascii="Times New Roman" w:eastAsia="Calibri" w:hAnsi="Times New Roman" w:cs="Times New Roman"/>
          <w:bCs/>
          <w:iCs/>
          <w:sz w:val="24"/>
          <w:szCs w:val="24"/>
        </w:rPr>
        <w:t xml:space="preserve"> ustawy</w:t>
      </w:r>
      <w:r w:rsidRPr="00633318">
        <w:rPr>
          <w:rFonts w:ascii="Times New Roman" w:eastAsia="Calibri" w:hAnsi="Times New Roman" w:cs="Times New Roman"/>
          <w:bCs/>
          <w:iCs/>
          <w:sz w:val="24"/>
          <w:szCs w:val="24"/>
        </w:rPr>
        <w:t>, które wyłącza z substratu grunty i budynki przeznaczone do najmu czy leasingu.</w:t>
      </w:r>
    </w:p>
    <w:p w14:paraId="2CF743BE" w14:textId="6AD0702A"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bCs/>
          <w:iCs/>
          <w:sz w:val="24"/>
          <w:szCs w:val="24"/>
        </w:rPr>
        <w:t xml:space="preserve">W przypadku leasingu operacyjnego, </w:t>
      </w:r>
      <w:r w:rsidRPr="00633318">
        <w:rPr>
          <w:rFonts w:ascii="Times New Roman" w:eastAsia="Calibri" w:hAnsi="Times New Roman" w:cs="Times New Roman"/>
          <w:iCs/>
          <w:sz w:val="24"/>
          <w:szCs w:val="24"/>
        </w:rPr>
        <w:t>aktywa stanowiące przedmiot leasingu są nadal wykazywane w księgach finansującego przy jednoczesnym ujmowaniu przez niego opłat leasingowych jako przychodu i kosztów ponoszonych w związku</w:t>
      </w:r>
      <w:r w:rsidR="00CF13AF" w:rsidRPr="00633318">
        <w:rPr>
          <w:rFonts w:ascii="Times New Roman" w:eastAsia="Calibri" w:hAnsi="Times New Roman" w:cs="Times New Roman"/>
          <w:iCs/>
          <w:sz w:val="24"/>
          <w:szCs w:val="24"/>
        </w:rPr>
        <w:t xml:space="preserve"> z</w:t>
      </w:r>
      <w:r w:rsidRPr="00633318">
        <w:rPr>
          <w:rFonts w:ascii="Times New Roman" w:eastAsia="Calibri" w:hAnsi="Times New Roman" w:cs="Times New Roman"/>
          <w:iCs/>
          <w:sz w:val="24"/>
          <w:szCs w:val="24"/>
        </w:rPr>
        <w:t xml:space="preserve"> uzyskaniem przychodu z leasingu (w tym amortyzacji od przedmiotu</w:t>
      </w:r>
      <w:r w:rsidR="00CF13AF" w:rsidRPr="00633318">
        <w:rPr>
          <w:rFonts w:ascii="Times New Roman" w:eastAsia="Calibri" w:hAnsi="Times New Roman" w:cs="Times New Roman"/>
          <w:iCs/>
          <w:sz w:val="24"/>
          <w:szCs w:val="24"/>
        </w:rPr>
        <w:t xml:space="preserve"> leasingu</w:t>
      </w:r>
      <w:r w:rsidRPr="00633318">
        <w:rPr>
          <w:rFonts w:ascii="Times New Roman" w:eastAsia="Calibri" w:hAnsi="Times New Roman" w:cs="Times New Roman"/>
          <w:iCs/>
          <w:sz w:val="24"/>
          <w:szCs w:val="24"/>
        </w:rPr>
        <w:t xml:space="preserve">). Jeśli chodzi o leasing operacyjny, Wytyczne z lipca 2023 r. w dosyć specyficzny sposób wskazują, że wynajmowane (leasingowane) aktywa mogą być uwzględniane przez finansującego na potrzeby wyliczenia substratu w części, w jakiej ich wartość bilansowa przewyższa wartość bilansową składników aktywów z tytułu prawa leasingobiorcy do użytkowania, pod warunkiem jednak, że aktywa takie znajdują się w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iCs/>
          <w:sz w:val="24"/>
          <w:szCs w:val="24"/>
        </w:rPr>
        <w:t xml:space="preserve"> </w:t>
      </w:r>
      <w:r w:rsidRPr="00633318">
        <w:rPr>
          <w:rFonts w:ascii="Times New Roman" w:eastAsia="Calibri" w:hAnsi="Times New Roman" w:cs="Times New Roman"/>
          <w:iCs/>
          <w:sz w:val="24"/>
          <w:szCs w:val="24"/>
        </w:rPr>
        <w:t>leasingodawcy. Tym samym</w:t>
      </w:r>
      <w:r w:rsidR="00CF13AF"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leasingodawca nie może ubiegać się o substrat odnośnie wartości rzeczowego aktywa trwałego, które jest uwzględnione w wyliczeniu substratu przez leasingobiorcę. W prostych słowach, każdy (finansujący i korzystający) może odliczyć aktywo trwałe będące przedmiotem leasingu jednie w części, w której nie ujął jej w księgach ktoś inny. W praktyce takie wyjątkowe prawo do podwójnego zaliczenia tego samego przedmiotu leasingu, wystąpi rzadko i jest silnie zależne od właściwego standardu </w:t>
      </w:r>
      <w:r w:rsidR="00CF13AF" w:rsidRPr="00633318">
        <w:rPr>
          <w:rFonts w:ascii="Times New Roman" w:eastAsia="Calibri" w:hAnsi="Times New Roman" w:cs="Times New Roman"/>
          <w:iCs/>
          <w:sz w:val="24"/>
          <w:szCs w:val="24"/>
        </w:rPr>
        <w:t xml:space="preserve">rachunkowości </w:t>
      </w:r>
      <w:r w:rsidRPr="00633318">
        <w:rPr>
          <w:rFonts w:ascii="Times New Roman" w:eastAsia="Calibri" w:hAnsi="Times New Roman" w:cs="Times New Roman"/>
          <w:iCs/>
          <w:sz w:val="24"/>
          <w:szCs w:val="24"/>
        </w:rPr>
        <w:t>i tego czy na gruncie leasingu operacyjnego, dany przedmiot można w ogóle zakwalifikować w części jako aktywo trwałe.</w:t>
      </w:r>
    </w:p>
    <w:p w14:paraId="24EE9B1B" w14:textId="77777777" w:rsidR="00E62BA1" w:rsidRPr="00633318" w:rsidRDefault="00E62BA1" w:rsidP="000F5B35">
      <w:pPr>
        <w:spacing w:after="120"/>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Jeżeli jednak takie częściowe odliczenie jest możliwe, i w przypadku, gdyby finansujący oddał w leasing znaczną część kwalifikowanego rzeczowego aktywa trwałego (np. nieruchomość), pozostawiając jednocześnie pozostałą jego część na własny użytek (np. leasing parkingu budynku centrali lub niektórych pięter), wówczas wartość bilansowa takiego składnika powinna zostać rozdzielona stosownie (i w proporcji) do sposobu jego wykorzystania. </w:t>
      </w:r>
    </w:p>
    <w:p w14:paraId="70C10E6E" w14:textId="155744D9" w:rsidR="00E62BA1" w:rsidRPr="00633318" w:rsidRDefault="00E62BA1" w:rsidP="000F5B35">
      <w:pPr>
        <w:jc w:val="both"/>
        <w:rPr>
          <w:rFonts w:ascii="Times New Roman" w:eastAsia="Calibri" w:hAnsi="Times New Roman" w:cs="Times New Roman"/>
          <w:bCs/>
          <w:iCs/>
          <w:sz w:val="24"/>
          <w:szCs w:val="24"/>
        </w:rPr>
      </w:pPr>
      <w:r w:rsidRPr="00633318">
        <w:rPr>
          <w:rFonts w:ascii="Times New Roman" w:eastAsia="Calibri" w:hAnsi="Times New Roman" w:cs="Times New Roman"/>
          <w:b/>
          <w:bCs/>
          <w:iCs/>
          <w:sz w:val="24"/>
          <w:szCs w:val="24"/>
        </w:rPr>
        <w:t>Ust. 12</w:t>
      </w:r>
      <w:r w:rsidRPr="00633318">
        <w:rPr>
          <w:rFonts w:ascii="Times New Roman" w:eastAsia="Calibri" w:hAnsi="Times New Roman" w:cs="Times New Roman"/>
          <w:bCs/>
          <w:iCs/>
          <w:sz w:val="24"/>
          <w:szCs w:val="24"/>
        </w:rPr>
        <w:t xml:space="preserve"> potwierdza zasadę wynikającą z art. 13 ust. 1 pkt 2</w:t>
      </w:r>
      <w:r w:rsidR="00CF13AF" w:rsidRPr="00633318">
        <w:rPr>
          <w:rFonts w:ascii="Times New Roman" w:eastAsia="Calibri" w:hAnsi="Times New Roman" w:cs="Times New Roman"/>
          <w:bCs/>
          <w:iCs/>
          <w:sz w:val="24"/>
          <w:szCs w:val="24"/>
        </w:rPr>
        <w:t xml:space="preserve"> ustawy</w:t>
      </w:r>
      <w:r w:rsidRPr="00633318">
        <w:rPr>
          <w:rFonts w:ascii="Times New Roman" w:eastAsia="Calibri" w:hAnsi="Times New Roman" w:cs="Times New Roman"/>
          <w:bCs/>
          <w:iCs/>
          <w:sz w:val="24"/>
          <w:szCs w:val="24"/>
        </w:rPr>
        <w:t xml:space="preserve"> (na co wskazywano we wstępie niniejszego Działu)</w:t>
      </w:r>
      <w:r w:rsidR="00CF13AF" w:rsidRPr="00633318">
        <w:rPr>
          <w:rFonts w:ascii="Times New Roman" w:eastAsia="Calibri" w:hAnsi="Times New Roman" w:cs="Times New Roman"/>
          <w:bCs/>
          <w:iCs/>
          <w:sz w:val="24"/>
          <w:szCs w:val="24"/>
        </w:rPr>
        <w:t>,</w:t>
      </w:r>
      <w:r w:rsidRPr="00633318">
        <w:rPr>
          <w:rFonts w:ascii="Times New Roman" w:eastAsia="Calibri" w:hAnsi="Times New Roman" w:cs="Times New Roman"/>
          <w:bCs/>
          <w:iCs/>
          <w:sz w:val="24"/>
          <w:szCs w:val="24"/>
        </w:rPr>
        <w:t xml:space="preserve"> zgodnie z którą odliczenie (wyłączenie) substratu majątkowo-osobowego w </w:t>
      </w:r>
      <w:r w:rsidR="00DA5234" w:rsidRPr="00633318">
        <w:rPr>
          <w:rFonts w:ascii="Times New Roman" w:eastAsia="Calibri" w:hAnsi="Times New Roman" w:cs="Times New Roman"/>
          <w:bCs/>
          <w:iCs/>
          <w:sz w:val="24"/>
          <w:szCs w:val="24"/>
        </w:rPr>
        <w:t xml:space="preserve">danej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za rok podatkowy, nie może przekroczyć kwalifikowanego jurysdykcyjnego dochodu netto za ten rok. W przypadku bowiem przewyższenia wspomnianego dochodu nie powstałaby nadwyżka zysku, a zatem nie zostałby spełniony podstawowy element wzoru do obliczenia jurysdykcyjnego globalnego podatku wyrównawczego. Co ważne, nieodliczon</w:t>
      </w:r>
      <w:r w:rsidR="009A2EDD" w:rsidRPr="00633318">
        <w:rPr>
          <w:rFonts w:ascii="Times New Roman" w:eastAsia="Calibri" w:hAnsi="Times New Roman" w:cs="Times New Roman"/>
          <w:bCs/>
          <w:iCs/>
          <w:sz w:val="24"/>
          <w:szCs w:val="24"/>
        </w:rPr>
        <w:t>y</w:t>
      </w:r>
      <w:r w:rsidRPr="00633318">
        <w:rPr>
          <w:rFonts w:ascii="Times New Roman" w:eastAsia="Calibri" w:hAnsi="Times New Roman" w:cs="Times New Roman"/>
          <w:bCs/>
          <w:iCs/>
          <w:sz w:val="24"/>
          <w:szCs w:val="24"/>
        </w:rPr>
        <w:t xml:space="preserve"> za rok podatkowy substrat nie podlega odliczeniu w innych latach podatkowych, co oznacza, że substrat nie może zostać przeniesion</w:t>
      </w:r>
      <w:r w:rsidR="009A2EDD" w:rsidRPr="00633318">
        <w:rPr>
          <w:rFonts w:ascii="Times New Roman" w:eastAsia="Calibri" w:hAnsi="Times New Roman" w:cs="Times New Roman"/>
          <w:bCs/>
          <w:iCs/>
          <w:sz w:val="24"/>
          <w:szCs w:val="24"/>
        </w:rPr>
        <w:t>y</w:t>
      </w:r>
      <w:r w:rsidRPr="00633318">
        <w:rPr>
          <w:rFonts w:ascii="Times New Roman" w:eastAsia="Calibri" w:hAnsi="Times New Roman" w:cs="Times New Roman"/>
          <w:bCs/>
          <w:iCs/>
          <w:sz w:val="24"/>
          <w:szCs w:val="24"/>
        </w:rPr>
        <w:t xml:space="preserve"> na kolejny rok podatkowy lub wstecznie, w celu obniżenia kwoty dochodu za inny rok podatkowy. Nie podlega również odliczeniu od kwalifikowanych jurysdykcyjnych dochodów netto liczonych w odniesieniu do </w:t>
      </w:r>
      <w:r w:rsidR="00DA5234" w:rsidRPr="00633318">
        <w:rPr>
          <w:rFonts w:ascii="Times New Roman" w:eastAsia="Calibri" w:hAnsi="Times New Roman" w:cs="Times New Roman"/>
          <w:bCs/>
          <w:iCs/>
          <w:sz w:val="24"/>
          <w:szCs w:val="24"/>
        </w:rPr>
        <w:t xml:space="preserve">innej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bCs/>
          <w:iCs/>
          <w:sz w:val="24"/>
          <w:szCs w:val="24"/>
        </w:rPr>
        <w:t xml:space="preserve"> </w:t>
      </w:r>
      <w:r w:rsidRPr="00633318">
        <w:rPr>
          <w:rFonts w:ascii="Times New Roman" w:eastAsia="Calibri" w:hAnsi="Times New Roman" w:cs="Times New Roman"/>
          <w:bCs/>
          <w:iCs/>
          <w:sz w:val="24"/>
          <w:szCs w:val="24"/>
        </w:rPr>
        <w:t xml:space="preserve">(innych </w:t>
      </w:r>
      <w:r w:rsidR="00DA5234" w:rsidRPr="00633318">
        <w:rPr>
          <w:rFonts w:ascii="Times New Roman" w:hAnsi="Times New Roman" w:cs="Times New Roman"/>
          <w:sz w:val="24"/>
          <w:szCs w:val="24"/>
        </w:rPr>
        <w:t>jurysdykcji</w:t>
      </w:r>
      <w:r w:rsidRPr="00633318">
        <w:rPr>
          <w:rFonts w:ascii="Times New Roman" w:eastAsia="Calibri" w:hAnsi="Times New Roman" w:cs="Times New Roman"/>
          <w:bCs/>
          <w:iCs/>
          <w:sz w:val="24"/>
          <w:szCs w:val="24"/>
        </w:rPr>
        <w:t xml:space="preserve">) niż </w:t>
      </w:r>
      <w:r w:rsidR="00DA5234" w:rsidRPr="00633318">
        <w:rPr>
          <w:rFonts w:ascii="Times New Roman" w:eastAsia="Calibri" w:hAnsi="Times New Roman" w:cs="Times New Roman"/>
          <w:bCs/>
          <w:iCs/>
          <w:sz w:val="24"/>
          <w:szCs w:val="24"/>
        </w:rPr>
        <w:t xml:space="preserve">Rzeczpospolita </w:t>
      </w:r>
      <w:r w:rsidRPr="00633318">
        <w:rPr>
          <w:rFonts w:ascii="Times New Roman" w:eastAsia="Calibri" w:hAnsi="Times New Roman" w:cs="Times New Roman"/>
          <w:bCs/>
          <w:iCs/>
          <w:sz w:val="24"/>
          <w:szCs w:val="24"/>
        </w:rPr>
        <w:t>Polska.</w:t>
      </w:r>
    </w:p>
    <w:p w14:paraId="395397EF" w14:textId="1D5A4FAE" w:rsidR="00E62BA1" w:rsidRPr="00633318" w:rsidRDefault="00E62BA1" w:rsidP="000F5B35">
      <w:pPr>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 xml:space="preserve">Zgodnie z </w:t>
      </w:r>
      <w:r w:rsidRPr="00633318">
        <w:rPr>
          <w:rFonts w:ascii="Times New Roman" w:eastAsia="Calibri" w:hAnsi="Times New Roman" w:cs="Times New Roman"/>
          <w:b/>
          <w:bCs/>
          <w:iCs/>
          <w:sz w:val="24"/>
          <w:szCs w:val="24"/>
        </w:rPr>
        <w:t>ust. 13</w:t>
      </w:r>
      <w:r w:rsidRPr="00633318">
        <w:rPr>
          <w:rFonts w:ascii="Times New Roman" w:eastAsia="Calibri" w:hAnsi="Times New Roman" w:cs="Times New Roman"/>
          <w:bCs/>
          <w:iCs/>
          <w:sz w:val="24"/>
          <w:szCs w:val="24"/>
        </w:rPr>
        <w:t xml:space="preserve"> (implementującym art. 28</w:t>
      </w:r>
      <w:r w:rsidR="0078103D" w:rsidRPr="00633318">
        <w:rPr>
          <w:rFonts w:ascii="Times New Roman" w:eastAsia="Calibri" w:hAnsi="Times New Roman" w:cs="Times New Roman"/>
          <w:bCs/>
          <w:iCs/>
          <w:sz w:val="24"/>
          <w:szCs w:val="24"/>
        </w:rPr>
        <w:t>.8 i 28.9</w:t>
      </w:r>
      <w:r w:rsidRPr="00633318">
        <w:rPr>
          <w:rFonts w:ascii="Times New Roman" w:eastAsia="Calibri" w:hAnsi="Times New Roman" w:cs="Times New Roman"/>
          <w:bCs/>
          <w:iCs/>
          <w:sz w:val="24"/>
          <w:szCs w:val="24"/>
        </w:rPr>
        <w:t xml:space="preserve"> Dyrektywy)</w:t>
      </w:r>
      <w:r w:rsidR="00CF13AF" w:rsidRPr="00633318">
        <w:rPr>
          <w:rFonts w:ascii="Times New Roman" w:eastAsia="Calibri" w:hAnsi="Times New Roman" w:cs="Times New Roman"/>
          <w:bCs/>
          <w:iCs/>
          <w:sz w:val="24"/>
          <w:szCs w:val="24"/>
        </w:rPr>
        <w:t>,</w:t>
      </w:r>
      <w:r w:rsidRPr="00633318">
        <w:rPr>
          <w:rFonts w:ascii="Times New Roman" w:eastAsia="Calibri" w:hAnsi="Times New Roman" w:cs="Times New Roman"/>
          <w:bCs/>
          <w:iCs/>
          <w:sz w:val="24"/>
          <w:szCs w:val="24"/>
        </w:rPr>
        <w:t xml:space="preserve"> w substra</w:t>
      </w:r>
      <w:r w:rsidR="009A2EDD" w:rsidRPr="00633318">
        <w:rPr>
          <w:rFonts w:ascii="Times New Roman" w:eastAsia="Calibri" w:hAnsi="Times New Roman" w:cs="Times New Roman"/>
          <w:bCs/>
          <w:iCs/>
          <w:sz w:val="24"/>
          <w:szCs w:val="24"/>
        </w:rPr>
        <w:t>cie</w:t>
      </w:r>
      <w:r w:rsidRPr="00633318">
        <w:rPr>
          <w:rFonts w:ascii="Times New Roman" w:eastAsia="Calibri" w:hAnsi="Times New Roman" w:cs="Times New Roman"/>
          <w:bCs/>
          <w:iCs/>
          <w:sz w:val="24"/>
          <w:szCs w:val="24"/>
        </w:rPr>
        <w:t xml:space="preserve"> nie uwzględnia się kwalifikowanych kosztów zatrudnienia (w tym wynagrodzeń) oraz kwalifikowanych rzeczowych aktywów trwałych jednostek składowych będących:</w:t>
      </w:r>
    </w:p>
    <w:p w14:paraId="56F87CF8" w14:textId="77777777" w:rsidR="00E62BA1" w:rsidRPr="00633318" w:rsidRDefault="00E62BA1" w:rsidP="00B6504F">
      <w:pPr>
        <w:numPr>
          <w:ilvl w:val="0"/>
          <w:numId w:val="49"/>
        </w:numPr>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jednostkami inwestycyjnymi</w:t>
      </w:r>
    </w:p>
    <w:p w14:paraId="15DF2B6F" w14:textId="77777777" w:rsidR="00E62BA1" w:rsidRPr="00633318" w:rsidRDefault="00E62BA1" w:rsidP="00B6504F">
      <w:pPr>
        <w:numPr>
          <w:ilvl w:val="0"/>
          <w:numId w:val="49"/>
        </w:numPr>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ubezpieczeniowymi jednostkami inwestycyjnymi</w:t>
      </w:r>
    </w:p>
    <w:p w14:paraId="2D920609" w14:textId="77777777" w:rsidR="00E62BA1" w:rsidRPr="00633318" w:rsidRDefault="00E62BA1" w:rsidP="00B6504F">
      <w:pPr>
        <w:numPr>
          <w:ilvl w:val="0"/>
          <w:numId w:val="49"/>
        </w:numPr>
        <w:jc w:val="both"/>
        <w:rPr>
          <w:rFonts w:ascii="Times New Roman" w:eastAsia="Calibri" w:hAnsi="Times New Roman" w:cs="Times New Roman"/>
          <w:bCs/>
          <w:iCs/>
          <w:sz w:val="24"/>
          <w:szCs w:val="24"/>
        </w:rPr>
      </w:pPr>
      <w:r w:rsidRPr="00633318">
        <w:rPr>
          <w:rFonts w:ascii="Times New Roman" w:eastAsia="Calibri" w:hAnsi="Times New Roman" w:cs="Times New Roman"/>
          <w:bCs/>
          <w:iCs/>
          <w:sz w:val="24"/>
          <w:szCs w:val="24"/>
        </w:rPr>
        <w:t>bezpaństwowymi jednostkami składowymi.</w:t>
      </w:r>
    </w:p>
    <w:p w14:paraId="55FE5066" w14:textId="1936B424" w:rsidR="00E62BA1" w:rsidRPr="00633318" w:rsidRDefault="00E62BA1" w:rsidP="000F5B35">
      <w:pPr>
        <w:keepNext/>
        <w:keepLines/>
        <w:spacing w:before="40" w:after="120"/>
        <w:jc w:val="both"/>
        <w:outlineLvl w:val="4"/>
        <w:rPr>
          <w:rFonts w:ascii="Times New Roman" w:eastAsia="Times New Roman" w:hAnsi="Times New Roman" w:cs="Times New Roman"/>
          <w:i/>
          <w:color w:val="2E74B5"/>
          <w:sz w:val="24"/>
          <w:szCs w:val="24"/>
        </w:rPr>
      </w:pPr>
      <w:r w:rsidRPr="00633318">
        <w:rPr>
          <w:rFonts w:ascii="Times New Roman" w:eastAsia="Times New Roman" w:hAnsi="Times New Roman" w:cs="Times New Roman"/>
          <w:i/>
          <w:color w:val="2E74B5"/>
          <w:sz w:val="24"/>
          <w:szCs w:val="24"/>
        </w:rPr>
        <w:t xml:space="preserve">Art. 102 [Mechanizm stosowania substratu majątkowo-osobowego </w:t>
      </w:r>
      <w:r w:rsidRPr="00633318">
        <w:rPr>
          <w:rFonts w:ascii="Times New Roman" w:eastAsia="Times New Roman" w:hAnsi="Times New Roman" w:cs="Times New Roman"/>
          <w:bCs/>
          <w:i/>
          <w:iCs/>
          <w:color w:val="2E74B5"/>
          <w:sz w:val="24"/>
          <w:szCs w:val="24"/>
        </w:rPr>
        <w:t>w przypadku</w:t>
      </w:r>
      <w:r w:rsidR="00CF13AF" w:rsidRPr="00633318">
        <w:rPr>
          <w:rFonts w:ascii="Times New Roman" w:eastAsia="Times New Roman" w:hAnsi="Times New Roman" w:cs="Times New Roman"/>
          <w:bCs/>
          <w:i/>
          <w:iCs/>
          <w:color w:val="2E74B5"/>
          <w:sz w:val="24"/>
          <w:szCs w:val="24"/>
        </w:rPr>
        <w:t>,</w:t>
      </w:r>
      <w:r w:rsidRPr="00633318">
        <w:rPr>
          <w:rFonts w:ascii="Times New Roman" w:eastAsia="Times New Roman" w:hAnsi="Times New Roman" w:cs="Times New Roman"/>
          <w:bCs/>
          <w:i/>
          <w:iCs/>
          <w:color w:val="2E74B5"/>
          <w:sz w:val="24"/>
          <w:szCs w:val="24"/>
        </w:rPr>
        <w:t xml:space="preserve"> gdy jednostką składową grupy jest stały zakład lub jednostka pośrednicząca</w:t>
      </w:r>
      <w:r w:rsidRPr="00633318">
        <w:rPr>
          <w:rFonts w:ascii="Times New Roman" w:eastAsia="Times New Roman" w:hAnsi="Times New Roman" w:cs="Times New Roman"/>
          <w:i/>
          <w:color w:val="2E74B5"/>
          <w:sz w:val="24"/>
          <w:szCs w:val="24"/>
        </w:rPr>
        <w:t>]</w:t>
      </w:r>
    </w:p>
    <w:p w14:paraId="185F3DB0" w14:textId="79229CCD"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Przepisy art. 102 </w:t>
      </w:r>
      <w:r w:rsidR="00CF13AF" w:rsidRPr="00633318">
        <w:rPr>
          <w:rFonts w:ascii="Times New Roman" w:eastAsia="Calibri" w:hAnsi="Times New Roman" w:cs="Times New Roman"/>
          <w:sz w:val="24"/>
          <w:szCs w:val="24"/>
        </w:rPr>
        <w:t xml:space="preserve">ustawy </w:t>
      </w:r>
      <w:r w:rsidRPr="00633318">
        <w:rPr>
          <w:rFonts w:ascii="Times New Roman" w:eastAsia="Calibri" w:hAnsi="Times New Roman" w:cs="Times New Roman"/>
          <w:sz w:val="24"/>
          <w:szCs w:val="24"/>
        </w:rPr>
        <w:t xml:space="preserve">określają zasady rozpoznawania kwalifikowanych kosztów płac oraz kwalifikowanych rzeczowych aktywów trwałych na potrzeby ustalenia kwoty substratu majątkowo-osobowego oraz sposób ich przydziału w okolicznościach, gdy jednostką składową grupy międzynarodowej jest </w:t>
      </w:r>
      <w:r w:rsidRPr="00633318">
        <w:rPr>
          <w:rFonts w:ascii="Times New Roman" w:eastAsia="Calibri" w:hAnsi="Times New Roman" w:cs="Times New Roman"/>
          <w:b/>
          <w:bCs/>
          <w:sz w:val="24"/>
          <w:szCs w:val="24"/>
        </w:rPr>
        <w:t>stały zakład</w:t>
      </w:r>
      <w:r w:rsidRPr="00633318">
        <w:rPr>
          <w:rFonts w:ascii="Times New Roman" w:eastAsia="Calibri" w:hAnsi="Times New Roman" w:cs="Times New Roman"/>
          <w:sz w:val="24"/>
          <w:szCs w:val="24"/>
        </w:rPr>
        <w:t xml:space="preserve"> (art. 102 ust. 1 i 2</w:t>
      </w:r>
      <w:r w:rsidR="00CF13AF" w:rsidRPr="00633318">
        <w:rPr>
          <w:rFonts w:ascii="Times New Roman" w:eastAsia="Calibri" w:hAnsi="Times New Roman" w:cs="Times New Roman"/>
          <w:sz w:val="24"/>
          <w:szCs w:val="24"/>
        </w:rPr>
        <w:t xml:space="preserve"> ustawy</w:t>
      </w:r>
      <w:r w:rsidRPr="00633318">
        <w:rPr>
          <w:rFonts w:ascii="Times New Roman" w:eastAsia="Calibri" w:hAnsi="Times New Roman" w:cs="Times New Roman"/>
          <w:sz w:val="24"/>
          <w:szCs w:val="24"/>
        </w:rPr>
        <w:t>)</w:t>
      </w:r>
      <w:r w:rsidRPr="00633318">
        <w:rPr>
          <w:rFonts w:ascii="Times New Roman" w:eastAsia="Calibri" w:hAnsi="Times New Roman" w:cs="Times New Roman"/>
          <w:b/>
          <w:bCs/>
          <w:sz w:val="24"/>
          <w:szCs w:val="24"/>
        </w:rPr>
        <w:t xml:space="preserve"> </w:t>
      </w:r>
      <w:r w:rsidRPr="00633318">
        <w:rPr>
          <w:rFonts w:ascii="Times New Roman" w:eastAsia="Calibri" w:hAnsi="Times New Roman" w:cs="Times New Roman"/>
          <w:sz w:val="24"/>
          <w:szCs w:val="24"/>
        </w:rPr>
        <w:t>lub</w:t>
      </w:r>
      <w:r w:rsidRPr="00633318">
        <w:rPr>
          <w:rFonts w:ascii="Times New Roman" w:eastAsia="Calibri" w:hAnsi="Times New Roman" w:cs="Times New Roman"/>
          <w:b/>
          <w:bCs/>
          <w:sz w:val="24"/>
          <w:szCs w:val="24"/>
        </w:rPr>
        <w:t xml:space="preserve"> jednostka pośrednicząca</w:t>
      </w:r>
      <w:r w:rsidRPr="00633318">
        <w:rPr>
          <w:rFonts w:ascii="Times New Roman" w:eastAsia="Calibri" w:hAnsi="Times New Roman" w:cs="Times New Roman"/>
          <w:sz w:val="24"/>
          <w:szCs w:val="24"/>
        </w:rPr>
        <w:t xml:space="preserve"> (art. 102 ust. 3 </w:t>
      </w:r>
      <w:r w:rsidR="00CF13AF"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5</w:t>
      </w:r>
      <w:r w:rsidR="00CF13AF" w:rsidRPr="00633318">
        <w:rPr>
          <w:rFonts w:ascii="Times New Roman" w:eastAsia="Calibri" w:hAnsi="Times New Roman" w:cs="Times New Roman"/>
          <w:sz w:val="24"/>
          <w:szCs w:val="24"/>
        </w:rPr>
        <w:t xml:space="preserve"> ustawy</w:t>
      </w:r>
      <w:r w:rsidRPr="00633318">
        <w:rPr>
          <w:rFonts w:ascii="Times New Roman" w:eastAsia="Calibri" w:hAnsi="Times New Roman" w:cs="Times New Roman"/>
          <w:sz w:val="24"/>
          <w:szCs w:val="24"/>
        </w:rPr>
        <w:t>).</w:t>
      </w:r>
    </w:p>
    <w:p w14:paraId="18CE3A3E" w14:textId="2594BE26"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Zgodnie z </w:t>
      </w:r>
      <w:r w:rsidRPr="00633318">
        <w:rPr>
          <w:rFonts w:ascii="Times New Roman" w:eastAsia="Calibri" w:hAnsi="Times New Roman" w:cs="Times New Roman"/>
          <w:b/>
          <w:bCs/>
          <w:sz w:val="24"/>
          <w:szCs w:val="24"/>
        </w:rPr>
        <w:t>ust. 1</w:t>
      </w:r>
      <w:r w:rsidRPr="00633318">
        <w:rPr>
          <w:rFonts w:ascii="Times New Roman" w:eastAsia="Calibri" w:hAnsi="Times New Roman" w:cs="Times New Roman"/>
          <w:sz w:val="24"/>
          <w:szCs w:val="24"/>
        </w:rPr>
        <w:t xml:space="preserve"> (</w:t>
      </w:r>
      <w:r w:rsidRPr="00633318">
        <w:rPr>
          <w:rFonts w:ascii="Times New Roman" w:eastAsia="Calibri" w:hAnsi="Times New Roman" w:cs="Times New Roman"/>
          <w:bCs/>
          <w:iCs/>
          <w:sz w:val="24"/>
          <w:szCs w:val="24"/>
        </w:rPr>
        <w:t>implementującym art. 28</w:t>
      </w:r>
      <w:r w:rsidR="0078103D" w:rsidRPr="00633318">
        <w:rPr>
          <w:rFonts w:ascii="Times New Roman" w:eastAsia="Calibri" w:hAnsi="Times New Roman" w:cs="Times New Roman"/>
          <w:bCs/>
          <w:iCs/>
          <w:sz w:val="24"/>
          <w:szCs w:val="24"/>
        </w:rPr>
        <w:t>.6</w:t>
      </w:r>
      <w:r w:rsidRPr="00633318">
        <w:rPr>
          <w:rFonts w:ascii="Times New Roman" w:eastAsia="Calibri" w:hAnsi="Times New Roman" w:cs="Times New Roman"/>
          <w:bCs/>
          <w:iCs/>
          <w:sz w:val="24"/>
          <w:szCs w:val="24"/>
        </w:rPr>
        <w:t xml:space="preserve"> Dyrektywy</w:t>
      </w:r>
      <w:r w:rsidRPr="00633318">
        <w:rPr>
          <w:rFonts w:ascii="Times New Roman" w:eastAsia="Calibri" w:hAnsi="Times New Roman" w:cs="Times New Roman"/>
          <w:sz w:val="24"/>
          <w:szCs w:val="24"/>
        </w:rPr>
        <w:t>)</w:t>
      </w:r>
      <w:r w:rsidR="00CF13AF"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w przypadku jednostki składowej będącej </w:t>
      </w:r>
      <w:r w:rsidRPr="00633318">
        <w:rPr>
          <w:rFonts w:ascii="Times New Roman" w:eastAsia="Calibri" w:hAnsi="Times New Roman" w:cs="Times New Roman"/>
          <w:b/>
          <w:bCs/>
          <w:sz w:val="24"/>
          <w:szCs w:val="24"/>
        </w:rPr>
        <w:t>stałym zakładem</w:t>
      </w:r>
      <w:r w:rsidRPr="00633318">
        <w:rPr>
          <w:rFonts w:ascii="Times New Roman" w:eastAsia="Calibri" w:hAnsi="Times New Roman" w:cs="Times New Roman"/>
          <w:sz w:val="24"/>
          <w:szCs w:val="24"/>
        </w:rPr>
        <w:t>:</w:t>
      </w:r>
    </w:p>
    <w:p w14:paraId="3A9D23EE" w14:textId="2CAF9869" w:rsidR="00E62BA1" w:rsidRPr="00633318" w:rsidRDefault="00E62BA1" w:rsidP="00B6504F">
      <w:pPr>
        <w:numPr>
          <w:ilvl w:val="0"/>
          <w:numId w:val="47"/>
        </w:num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kwalifikowane koszty płac kwalifikowanych pracowników ponoszone przez taki zakład i stanowiące jego „własność” kwalifikowane rzeczowe aktywa trwałe ustala się na podstawie kwot ujętych w jego księgowym dochodzie (stracie) netto, o którym mowa w art. 70 </w:t>
      </w:r>
      <w:r w:rsidR="001D1E1F" w:rsidRPr="00633318">
        <w:rPr>
          <w:rFonts w:ascii="Times New Roman" w:eastAsia="Calibri" w:hAnsi="Times New Roman" w:cs="Times New Roman"/>
          <w:sz w:val="24"/>
          <w:szCs w:val="24"/>
        </w:rPr>
        <w:t>i art. 71</w:t>
      </w:r>
      <w:r w:rsidRPr="00633318">
        <w:rPr>
          <w:rFonts w:ascii="Times New Roman" w:eastAsia="Calibri" w:hAnsi="Times New Roman" w:cs="Times New Roman"/>
          <w:sz w:val="24"/>
          <w:szCs w:val="24"/>
        </w:rPr>
        <w:t xml:space="preserve"> (wynikającym ze sprawozdania finansowego zakładu i odpowiednio skorygowanym) </w:t>
      </w:r>
      <w:r w:rsidRPr="00633318">
        <w:rPr>
          <w:rFonts w:ascii="Times New Roman" w:eastAsia="Calibri" w:hAnsi="Times New Roman" w:cs="Times New Roman"/>
          <w:b/>
          <w:bCs/>
          <w:sz w:val="24"/>
          <w:szCs w:val="24"/>
        </w:rPr>
        <w:t>(pkt 1)</w:t>
      </w:r>
      <w:r w:rsidRPr="00633318">
        <w:rPr>
          <w:rFonts w:ascii="Times New Roman" w:eastAsia="Calibri" w:hAnsi="Times New Roman" w:cs="Times New Roman"/>
          <w:sz w:val="24"/>
          <w:szCs w:val="24"/>
        </w:rPr>
        <w:t xml:space="preserve">; </w:t>
      </w:r>
    </w:p>
    <w:p w14:paraId="39783F46" w14:textId="08987E97" w:rsidR="00E62BA1" w:rsidRPr="00633318" w:rsidRDefault="00E62BA1" w:rsidP="00B6504F">
      <w:pPr>
        <w:numPr>
          <w:ilvl w:val="0"/>
          <w:numId w:val="47"/>
        </w:num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kwalifikowane koszty płac są ponoszone, a kwalifikowane rzeczowe aktywa trwałe znajdują się (tu warunek) w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sz w:val="24"/>
          <w:szCs w:val="24"/>
        </w:rPr>
        <w:t xml:space="preserve"> </w:t>
      </w:r>
      <w:r w:rsidRPr="00633318">
        <w:rPr>
          <w:rFonts w:ascii="Times New Roman" w:eastAsia="Calibri" w:hAnsi="Times New Roman" w:cs="Times New Roman"/>
          <w:sz w:val="24"/>
          <w:szCs w:val="24"/>
        </w:rPr>
        <w:t xml:space="preserve">lokalizacji tego zakładu </w:t>
      </w:r>
      <w:r w:rsidRPr="00633318">
        <w:rPr>
          <w:rFonts w:ascii="Times New Roman" w:eastAsia="Calibri" w:hAnsi="Times New Roman" w:cs="Times New Roman"/>
          <w:b/>
          <w:bCs/>
          <w:sz w:val="24"/>
          <w:szCs w:val="24"/>
        </w:rPr>
        <w:t>(pkt 2)</w:t>
      </w:r>
      <w:r w:rsidRPr="00633318">
        <w:rPr>
          <w:rFonts w:ascii="Times New Roman" w:eastAsia="Calibri" w:hAnsi="Times New Roman" w:cs="Times New Roman"/>
          <w:sz w:val="24"/>
          <w:szCs w:val="24"/>
        </w:rPr>
        <w:t>;</w:t>
      </w:r>
    </w:p>
    <w:p w14:paraId="552023CA" w14:textId="3FE66F04" w:rsidR="00E62BA1" w:rsidRPr="00633318" w:rsidRDefault="00E62BA1" w:rsidP="00B6504F">
      <w:pPr>
        <w:numPr>
          <w:ilvl w:val="0"/>
          <w:numId w:val="47"/>
        </w:num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kwoty wyłączeń, o których mowa w art. 101 ust. 1</w:t>
      </w:r>
      <w:r w:rsidR="00CF13AF" w:rsidRPr="00633318">
        <w:rPr>
          <w:rFonts w:ascii="Times New Roman" w:eastAsia="Calibri" w:hAnsi="Times New Roman" w:cs="Times New Roman"/>
          <w:sz w:val="24"/>
          <w:szCs w:val="24"/>
        </w:rPr>
        <w:t xml:space="preserve"> ustawy</w:t>
      </w:r>
      <w:r w:rsidRPr="00633318">
        <w:rPr>
          <w:rFonts w:ascii="Times New Roman" w:eastAsia="Calibri" w:hAnsi="Times New Roman" w:cs="Times New Roman"/>
          <w:sz w:val="24"/>
          <w:szCs w:val="24"/>
        </w:rPr>
        <w:t xml:space="preserve"> </w:t>
      </w:r>
      <w:r w:rsidRPr="00633318">
        <w:rPr>
          <w:rFonts w:ascii="Times New Roman" w:eastAsia="Calibri" w:hAnsi="Times New Roman" w:cs="Times New Roman"/>
          <w:bCs/>
          <w:sz w:val="24"/>
          <w:szCs w:val="24"/>
        </w:rPr>
        <w:t xml:space="preserve">oblicza się bez uwzględnienia kwalifikowanych kosztów płac oraz kwalifikowanych rzeczowych aktywów trwałych w takiej części </w:t>
      </w:r>
      <w:r w:rsidRPr="00633318">
        <w:rPr>
          <w:rFonts w:ascii="Times New Roman" w:eastAsia="Calibri" w:hAnsi="Times New Roman" w:cs="Times New Roman"/>
          <w:sz w:val="24"/>
          <w:szCs w:val="24"/>
        </w:rPr>
        <w:t xml:space="preserve">(w proporcji), w jakiej dochód stałego zakładu został wyłączony z obliczenia kwalifikowanego dochodu (straty) na podstawie art. </w:t>
      </w:r>
      <w:r w:rsidR="00CF13AF" w:rsidRPr="00633318">
        <w:rPr>
          <w:rFonts w:ascii="Times New Roman" w:eastAsia="Calibri" w:hAnsi="Times New Roman" w:cs="Times New Roman"/>
          <w:sz w:val="24"/>
          <w:szCs w:val="24"/>
        </w:rPr>
        <w:t>74 i art. 113 ust. 5 ustawy</w:t>
      </w:r>
      <w:r w:rsidRPr="00633318">
        <w:rPr>
          <w:rFonts w:ascii="Times New Roman" w:eastAsia="Calibri" w:hAnsi="Times New Roman" w:cs="Times New Roman"/>
          <w:sz w:val="24"/>
          <w:szCs w:val="24"/>
        </w:rPr>
        <w:t xml:space="preserve">. Jest to gwarancja, że takie koszty i aktywa wykorzystywane na potrzeby dochodu wyłączonego z kwalifikowanego dochodu, nie będą brane pod uwagę w ramach dochodu włączonego do kwalifikowanego dochodu </w:t>
      </w:r>
      <w:r w:rsidRPr="00633318">
        <w:rPr>
          <w:rFonts w:ascii="Times New Roman" w:eastAsia="Calibri" w:hAnsi="Times New Roman" w:cs="Times New Roman"/>
          <w:b/>
          <w:bCs/>
          <w:sz w:val="24"/>
          <w:szCs w:val="24"/>
        </w:rPr>
        <w:t>(pkt 3)</w:t>
      </w:r>
      <w:r w:rsidRPr="00633318">
        <w:rPr>
          <w:rFonts w:ascii="Times New Roman" w:eastAsia="Calibri" w:hAnsi="Times New Roman" w:cs="Times New Roman"/>
          <w:sz w:val="24"/>
          <w:szCs w:val="24"/>
        </w:rPr>
        <w:t>.</w:t>
      </w:r>
    </w:p>
    <w:p w14:paraId="4D09E189" w14:textId="063DC0C0"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Zgodnie z </w:t>
      </w:r>
      <w:r w:rsidRPr="00633318">
        <w:rPr>
          <w:rFonts w:ascii="Times New Roman" w:eastAsia="Calibri" w:hAnsi="Times New Roman" w:cs="Times New Roman"/>
          <w:b/>
          <w:bCs/>
          <w:sz w:val="24"/>
          <w:szCs w:val="24"/>
        </w:rPr>
        <w:t>ust. 2</w:t>
      </w:r>
      <w:r w:rsidR="00CF13AF"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kwalifikowane koszty płac i kwalifikowane rzeczowe aktywa trwałe przypisane do stałego zakładu nie są uwzględniane w kwocie takich kosztów i aktywów jego centrali (co gwarantuje, że koszty takie nie są brane pod uwagę </w:t>
      </w:r>
      <w:r w:rsidR="00CF13AF" w:rsidRPr="00633318">
        <w:rPr>
          <w:rFonts w:ascii="Times New Roman" w:eastAsia="Calibri" w:hAnsi="Times New Roman" w:cs="Times New Roman"/>
          <w:sz w:val="24"/>
          <w:szCs w:val="24"/>
        </w:rPr>
        <w:t>dwu</w:t>
      </w:r>
      <w:r w:rsidRPr="00633318">
        <w:rPr>
          <w:rFonts w:ascii="Times New Roman" w:eastAsia="Calibri" w:hAnsi="Times New Roman" w:cs="Times New Roman"/>
          <w:sz w:val="24"/>
          <w:szCs w:val="24"/>
        </w:rPr>
        <w:t>krotnie dla celów obliczenia substratu, tj. przez zakład i centralę).</w:t>
      </w:r>
    </w:p>
    <w:p w14:paraId="0F1E26DB" w14:textId="77777777" w:rsidR="00E62BA1" w:rsidRPr="00633318" w:rsidRDefault="00E62BA1" w:rsidP="000F5B35">
      <w:pPr>
        <w:spacing w:after="120"/>
        <w:jc w:val="both"/>
        <w:rPr>
          <w:rFonts w:ascii="Times New Roman" w:eastAsia="Calibri" w:hAnsi="Times New Roman" w:cs="Times New Roman"/>
          <w:sz w:val="24"/>
          <w:szCs w:val="24"/>
          <w:lang w:eastAsia="pl-PL"/>
        </w:rPr>
      </w:pPr>
      <w:r w:rsidRPr="00633318">
        <w:rPr>
          <w:rFonts w:ascii="Times New Roman" w:eastAsia="Calibri" w:hAnsi="Times New Roman" w:cs="Times New Roman"/>
          <w:sz w:val="24"/>
          <w:szCs w:val="24"/>
          <w:lang w:eastAsia="pl-PL"/>
        </w:rPr>
        <w:t>Ponadto, kwalifikowane koszty płac i kwalifikowane rzeczowe aktywa trwałe należy skorygować do wartości, które zostałyby przypisane do stałego zakładu zgodnie z umową podatkową lub krajowym prawem podatkowym.</w:t>
      </w:r>
    </w:p>
    <w:p w14:paraId="12C54A1F" w14:textId="3F53CC9C"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b/>
          <w:bCs/>
          <w:sz w:val="24"/>
          <w:szCs w:val="24"/>
        </w:rPr>
        <w:t>Ustępy 3 -5</w:t>
      </w:r>
      <w:r w:rsidRPr="00633318">
        <w:rPr>
          <w:rFonts w:ascii="Times New Roman" w:eastAsia="Calibri" w:hAnsi="Times New Roman" w:cs="Times New Roman"/>
          <w:sz w:val="24"/>
          <w:szCs w:val="24"/>
        </w:rPr>
        <w:t xml:space="preserve"> konstruują zasady (podmiotowo jak i przedmiotowo) przydziału kwalifikowanych kosztów płac oraz kwalifikowanych rzeczowych aktywów trwałych w przypadku</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gdy jednostką składową jest </w:t>
      </w:r>
      <w:r w:rsidRPr="00633318">
        <w:rPr>
          <w:rFonts w:ascii="Times New Roman" w:eastAsia="Calibri" w:hAnsi="Times New Roman" w:cs="Times New Roman"/>
          <w:b/>
          <w:bCs/>
          <w:sz w:val="24"/>
          <w:szCs w:val="24"/>
        </w:rPr>
        <w:t>jednostka pośrednicząca</w:t>
      </w:r>
      <w:r w:rsidRPr="00633318">
        <w:rPr>
          <w:rFonts w:ascii="Times New Roman" w:eastAsia="Calibri" w:hAnsi="Times New Roman" w:cs="Times New Roman"/>
          <w:sz w:val="24"/>
          <w:szCs w:val="24"/>
        </w:rPr>
        <w:t>.</w:t>
      </w:r>
    </w:p>
    <w:p w14:paraId="35B94155" w14:textId="0CDD614E"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Zgodnie z </w:t>
      </w:r>
      <w:r w:rsidRPr="00633318">
        <w:rPr>
          <w:rFonts w:ascii="Times New Roman" w:eastAsia="Calibri" w:hAnsi="Times New Roman" w:cs="Times New Roman"/>
          <w:b/>
          <w:bCs/>
          <w:sz w:val="24"/>
          <w:szCs w:val="24"/>
        </w:rPr>
        <w:t>ust. 3</w:t>
      </w:r>
      <w:r w:rsidRPr="00633318">
        <w:rPr>
          <w:rFonts w:ascii="Times New Roman" w:eastAsia="Calibri" w:hAnsi="Times New Roman" w:cs="Times New Roman"/>
          <w:sz w:val="24"/>
          <w:szCs w:val="24"/>
        </w:rPr>
        <w:t xml:space="preserve"> (implementującym</w:t>
      </w:r>
      <w:r w:rsidR="008B225D" w:rsidRPr="00633318">
        <w:rPr>
          <w:rFonts w:ascii="Times New Roman" w:eastAsia="Calibri" w:hAnsi="Times New Roman" w:cs="Times New Roman"/>
          <w:sz w:val="24"/>
          <w:szCs w:val="24"/>
        </w:rPr>
        <w:t xml:space="preserve"> </w:t>
      </w:r>
      <w:r w:rsidRPr="00633318">
        <w:rPr>
          <w:rFonts w:ascii="Times New Roman" w:eastAsia="Calibri" w:hAnsi="Times New Roman" w:cs="Times New Roman"/>
          <w:sz w:val="24"/>
          <w:szCs w:val="24"/>
        </w:rPr>
        <w:t>art. 28</w:t>
      </w:r>
      <w:r w:rsidR="008B225D" w:rsidRPr="00633318">
        <w:rPr>
          <w:rFonts w:ascii="Times New Roman" w:eastAsia="Calibri" w:hAnsi="Times New Roman" w:cs="Times New Roman"/>
          <w:sz w:val="24"/>
          <w:szCs w:val="24"/>
        </w:rPr>
        <w:t>.7</w:t>
      </w:r>
      <w:r w:rsidRPr="00633318">
        <w:rPr>
          <w:rFonts w:ascii="Times New Roman" w:eastAsia="Calibri" w:hAnsi="Times New Roman" w:cs="Times New Roman"/>
          <w:sz w:val="24"/>
          <w:szCs w:val="24"/>
        </w:rPr>
        <w:t xml:space="preserve"> Dyrektywy)</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ponoszone przez taką jednostkę kwalifikowane koszty płac kwalifikowanych pracowników jak i stanowiące jej własność kwalifikowane rzeczowe aktywa trwałe, których nie przypisano do stałego zakładu (zgodnie z ust. 1) </w:t>
      </w:r>
      <w:r w:rsidRPr="00633318">
        <w:rPr>
          <w:rFonts w:ascii="Times New Roman" w:eastAsia="Calibri" w:hAnsi="Times New Roman" w:cs="Times New Roman"/>
          <w:b/>
          <w:bCs/>
          <w:sz w:val="24"/>
          <w:szCs w:val="24"/>
        </w:rPr>
        <w:t>przydziela się</w:t>
      </w:r>
      <w:r w:rsidRPr="00633318">
        <w:rPr>
          <w:rFonts w:ascii="Times New Roman" w:eastAsia="Calibri" w:hAnsi="Times New Roman" w:cs="Times New Roman"/>
          <w:sz w:val="24"/>
          <w:szCs w:val="24"/>
        </w:rPr>
        <w:t xml:space="preserve"> (analogicznie jak w przypadku przypisania dochodu zgodnie z art. 73 - oddział 3 rozdziału 2 działu </w:t>
      </w:r>
      <w:r w:rsidR="00B34095" w:rsidRPr="00633318">
        <w:rPr>
          <w:rFonts w:ascii="Times New Roman" w:eastAsia="Calibri" w:hAnsi="Times New Roman" w:cs="Times New Roman"/>
          <w:sz w:val="24"/>
          <w:szCs w:val="24"/>
        </w:rPr>
        <w:t>V</w:t>
      </w:r>
      <w:r w:rsidRPr="00633318">
        <w:rPr>
          <w:rFonts w:ascii="Times New Roman" w:eastAsia="Calibri" w:hAnsi="Times New Roman" w:cs="Times New Roman"/>
          <w:sz w:val="24"/>
          <w:szCs w:val="24"/>
        </w:rPr>
        <w:t xml:space="preserve">): </w:t>
      </w:r>
    </w:p>
    <w:p w14:paraId="1F0C2AF4" w14:textId="77777777" w:rsidR="00E62BA1" w:rsidRPr="00633318" w:rsidRDefault="00E62BA1" w:rsidP="00B6504F">
      <w:pPr>
        <w:numPr>
          <w:ilvl w:val="0"/>
          <w:numId w:val="48"/>
        </w:num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jednostce pośredniczącej jeżeli jest jednostką dominującą najwyższego szczebla </w:t>
      </w:r>
      <w:r w:rsidRPr="00633318">
        <w:rPr>
          <w:rFonts w:ascii="Times New Roman" w:eastAsia="Calibri" w:hAnsi="Times New Roman" w:cs="Times New Roman"/>
          <w:b/>
          <w:bCs/>
          <w:sz w:val="24"/>
          <w:szCs w:val="24"/>
        </w:rPr>
        <w:t>(pkt 1)</w:t>
      </w:r>
      <w:r w:rsidRPr="00633318">
        <w:rPr>
          <w:rFonts w:ascii="Times New Roman" w:eastAsia="Calibri" w:hAnsi="Times New Roman" w:cs="Times New Roman"/>
          <w:sz w:val="24"/>
          <w:szCs w:val="24"/>
        </w:rPr>
        <w:t xml:space="preserve"> albo</w:t>
      </w:r>
    </w:p>
    <w:p w14:paraId="30D89AA6" w14:textId="77777777" w:rsidR="00E62BA1" w:rsidRPr="00633318" w:rsidRDefault="00E62BA1" w:rsidP="00B6504F">
      <w:pPr>
        <w:numPr>
          <w:ilvl w:val="0"/>
          <w:numId w:val="48"/>
        </w:numPr>
        <w:jc w:val="both"/>
        <w:rPr>
          <w:rFonts w:ascii="Times New Roman" w:eastAsia="Calibri" w:hAnsi="Times New Roman" w:cs="Times New Roman"/>
          <w:b/>
          <w:bCs/>
          <w:sz w:val="24"/>
          <w:szCs w:val="24"/>
        </w:rPr>
      </w:pPr>
      <w:r w:rsidRPr="00633318">
        <w:rPr>
          <w:rFonts w:ascii="Times New Roman" w:eastAsia="Calibri" w:hAnsi="Times New Roman" w:cs="Times New Roman"/>
          <w:sz w:val="24"/>
          <w:szCs w:val="24"/>
        </w:rPr>
        <w:t xml:space="preserve">osobom będącym właścicielami jednostki pośredniczącej – w pozostałych przypadkach </w:t>
      </w:r>
      <w:r w:rsidRPr="00633318">
        <w:rPr>
          <w:rFonts w:ascii="Times New Roman" w:eastAsia="Calibri" w:hAnsi="Times New Roman" w:cs="Times New Roman"/>
          <w:b/>
          <w:bCs/>
          <w:sz w:val="24"/>
          <w:szCs w:val="24"/>
        </w:rPr>
        <w:t>(pkt 2)</w:t>
      </w:r>
      <w:r w:rsidRPr="00633318">
        <w:rPr>
          <w:rFonts w:ascii="Times New Roman" w:eastAsia="Calibri" w:hAnsi="Times New Roman" w:cs="Times New Roman"/>
          <w:sz w:val="24"/>
          <w:szCs w:val="24"/>
        </w:rPr>
        <w:t>.</w:t>
      </w:r>
    </w:p>
    <w:p w14:paraId="00B19B24" w14:textId="58F203F7"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b/>
          <w:bCs/>
          <w:sz w:val="24"/>
          <w:szCs w:val="24"/>
        </w:rPr>
        <w:t xml:space="preserve">Ust. </w:t>
      </w:r>
      <w:r w:rsidR="008535F5" w:rsidRPr="00633318">
        <w:rPr>
          <w:rFonts w:ascii="Times New Roman" w:eastAsia="Calibri" w:hAnsi="Times New Roman" w:cs="Times New Roman"/>
          <w:b/>
          <w:bCs/>
          <w:sz w:val="24"/>
          <w:szCs w:val="24"/>
        </w:rPr>
        <w:t>3</w:t>
      </w:r>
      <w:r w:rsidRPr="00633318">
        <w:rPr>
          <w:rFonts w:ascii="Times New Roman" w:eastAsia="Calibri" w:hAnsi="Times New Roman" w:cs="Times New Roman"/>
          <w:sz w:val="24"/>
          <w:szCs w:val="24"/>
        </w:rPr>
        <w:t xml:space="preserve"> doprecyzowuje sposób przydziału wspomnianych kosztów i aktywów, określonym w tym ustępie podmiotom, wskazując, że:</w:t>
      </w:r>
    </w:p>
    <w:p w14:paraId="38995679" w14:textId="3794ACEC" w:rsidR="00E62BA1" w:rsidRPr="00633318" w:rsidRDefault="00E62BA1" w:rsidP="009E73F7">
      <w:pPr>
        <w:pStyle w:val="Akapitzlist"/>
        <w:numPr>
          <w:ilvl w:val="0"/>
          <w:numId w:val="121"/>
        </w:num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w przypadku jednostki pośredniczącej</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będącej jednostką dominującą najwyższego szczebla (ust. 3 pkt 1) - następuje to po pomniejszeniu proporcjonalnie do dochodu wyłączonego z obliczenia kwalifikowanego dochodu takiej jednostki pośredniczącej zgodnie z art. 102 ust. 1 i 2</w:t>
      </w:r>
      <w:r w:rsidR="00447611" w:rsidRPr="00633318">
        <w:rPr>
          <w:rFonts w:ascii="Times New Roman" w:eastAsia="Calibri" w:hAnsi="Times New Roman" w:cs="Times New Roman"/>
          <w:sz w:val="24"/>
          <w:szCs w:val="24"/>
        </w:rPr>
        <w:t xml:space="preserve"> ustawy</w:t>
      </w:r>
      <w:r w:rsidRPr="00633318">
        <w:rPr>
          <w:rFonts w:ascii="Times New Roman" w:eastAsia="Calibri" w:hAnsi="Times New Roman" w:cs="Times New Roman"/>
          <w:sz w:val="24"/>
          <w:szCs w:val="24"/>
        </w:rPr>
        <w:t xml:space="preserve"> (innymi słowy</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kwota kosztów i aktywów związanych z dochodem wyłączonym nie jest alokowana do jednostki dominującej najwyższego szczebla i tym samy</w:t>
      </w:r>
      <w:r w:rsidR="00447611" w:rsidRPr="00633318">
        <w:rPr>
          <w:rFonts w:ascii="Times New Roman" w:eastAsia="Calibri" w:hAnsi="Times New Roman" w:cs="Times New Roman"/>
          <w:sz w:val="24"/>
          <w:szCs w:val="24"/>
        </w:rPr>
        <w:t>m</w:t>
      </w:r>
      <w:r w:rsidRPr="00633318">
        <w:rPr>
          <w:rFonts w:ascii="Times New Roman" w:eastAsia="Calibri" w:hAnsi="Times New Roman" w:cs="Times New Roman"/>
          <w:sz w:val="24"/>
          <w:szCs w:val="24"/>
        </w:rPr>
        <w:t xml:space="preserve"> jest wyłączona z obliczenia wyłączenia substratu) </w:t>
      </w:r>
      <w:r w:rsidRPr="00633318">
        <w:rPr>
          <w:rFonts w:ascii="Times New Roman" w:eastAsia="Calibri" w:hAnsi="Times New Roman" w:cs="Times New Roman"/>
          <w:b/>
          <w:bCs/>
          <w:sz w:val="24"/>
          <w:szCs w:val="24"/>
        </w:rPr>
        <w:t>(pkt 1)</w:t>
      </w:r>
    </w:p>
    <w:p w14:paraId="6D9721BE" w14:textId="325F3F9B" w:rsidR="00E62BA1" w:rsidRPr="00633318" w:rsidRDefault="00E62BA1" w:rsidP="009E73F7">
      <w:pPr>
        <w:pStyle w:val="Akapitzlist"/>
        <w:numPr>
          <w:ilvl w:val="0"/>
          <w:numId w:val="121"/>
        </w:num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w przypadku jednostek</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będącym właścicielami jednostki pośredniczącej (ust. 3 pkt 2) – następuje to proporcjonalnie do ich udziału własnościowego w takiej jednostce</w:t>
      </w:r>
      <w:r w:rsidRPr="00633318">
        <w:rPr>
          <w:rFonts w:ascii="Times New Roman" w:eastAsia="Calibri" w:hAnsi="Times New Roman" w:cs="Times New Roman"/>
          <w:b/>
          <w:bCs/>
          <w:sz w:val="24"/>
          <w:szCs w:val="24"/>
        </w:rPr>
        <w:t xml:space="preserve"> (pkt</w:t>
      </w:r>
      <w:r w:rsidR="00887625">
        <w:rPr>
          <w:rFonts w:ascii="Times New Roman" w:eastAsia="Calibri" w:hAnsi="Times New Roman" w:cs="Times New Roman"/>
          <w:b/>
          <w:bCs/>
          <w:sz w:val="24"/>
          <w:szCs w:val="24"/>
        </w:rPr>
        <w:t> </w:t>
      </w:r>
      <w:r w:rsidRPr="00633318">
        <w:rPr>
          <w:rFonts w:ascii="Times New Roman" w:eastAsia="Calibri" w:hAnsi="Times New Roman" w:cs="Times New Roman"/>
          <w:b/>
          <w:bCs/>
          <w:sz w:val="24"/>
          <w:szCs w:val="24"/>
        </w:rPr>
        <w:t>2)</w:t>
      </w:r>
    </w:p>
    <w:p w14:paraId="59F66DC2" w14:textId="0B17FA00"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 xml:space="preserve">− pod warunkiem (zawartym w każdym z wymienionych punktów ust. 4), że kwalifikowani pracownicy oraz kwalifikowane rzeczowe aktywa trwałe jednostki pośredniczącej, odpowiednio, wykonują czynności oraz znajdują się w </w:t>
      </w:r>
      <w:r w:rsidR="00DA5234" w:rsidRPr="00633318">
        <w:rPr>
          <w:rFonts w:ascii="Times New Roman" w:hAnsi="Times New Roman" w:cs="Times New Roman"/>
          <w:sz w:val="24"/>
          <w:szCs w:val="24"/>
        </w:rPr>
        <w:t>jurysdykcji</w:t>
      </w:r>
      <w:r w:rsidR="00DA5234" w:rsidRPr="00633318" w:rsidDel="00DA5234">
        <w:rPr>
          <w:rFonts w:ascii="Times New Roman" w:eastAsia="Calibri" w:hAnsi="Times New Roman" w:cs="Times New Roman"/>
          <w:sz w:val="24"/>
          <w:szCs w:val="24"/>
        </w:rPr>
        <w:t xml:space="preserve"> </w:t>
      </w:r>
      <w:r w:rsidRPr="00633318">
        <w:rPr>
          <w:rFonts w:ascii="Times New Roman" w:eastAsia="Calibri" w:hAnsi="Times New Roman" w:cs="Times New Roman"/>
          <w:sz w:val="24"/>
          <w:szCs w:val="24"/>
        </w:rPr>
        <w:t>lokalizacji tej jednostki pośredniczącej (jak w pkt</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1) bądź osób będących właścicielami jednostki pośredniczącej (jak w pkt</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2). </w:t>
      </w:r>
    </w:p>
    <w:p w14:paraId="5DDD8F81" w14:textId="780D531A" w:rsidR="00E62BA1" w:rsidRPr="00633318" w:rsidRDefault="00E62BA1" w:rsidP="000F5B35">
      <w:p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Dodatkowego uzupełnienia wymaga zagadnienie traktowania kwalifikowanych kosztów płac i kwalifikowanych rzeczowych aktywów trwałych w okolicznościach dokonania przez jednostkę dominującą najwyższego szczebla (jednostkę dominującą najwyższego szczebla</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będącą jednostką pośredniczącą) wypłaty dywidendy podlegającej odliczeniu (w ramach systemu odliczanej dywidendy), która zmniejsza kwalifikowany dochód (stratę). W takiej sytuacji następuje proporcjonalne pomniejszenie wspomnianych kosztów płac i aktywów takiej jednostki. Redukcja będzie równa łącznej wartości jej kwalifikowanych kosztów płac i wartości bilansowej kwalifikowanych rzeczowych aktywów trwałych (w tym wszelkich kwalifikowanych kosztów wynagrodzeń i wartości bilansowej kwalifikowanych aktywów przydzielonych stałemu zakładowi), pomnożonej przez stosunek kwalifikowanego dochodu (straty) jednostki dominującej najwyższego szczebla (jednostki dominującej najwyższego szczebla</w:t>
      </w:r>
      <w:r w:rsidR="00447611" w:rsidRPr="00633318">
        <w:rPr>
          <w:rFonts w:ascii="Times New Roman" w:eastAsia="Calibri" w:hAnsi="Times New Roman" w:cs="Times New Roman"/>
          <w:sz w:val="24"/>
          <w:szCs w:val="24"/>
        </w:rPr>
        <w:t>,</w:t>
      </w:r>
      <w:r w:rsidRPr="00633318">
        <w:rPr>
          <w:rFonts w:ascii="Times New Roman" w:eastAsia="Calibri" w:hAnsi="Times New Roman" w:cs="Times New Roman"/>
          <w:sz w:val="24"/>
          <w:szCs w:val="24"/>
        </w:rPr>
        <w:t xml:space="preserve"> będącej jednostką pośredniczącą) wyłączonego (w wyniku systemu dywidend podlegających odliczeniu), do całkowitego kwalifikowanego dochodu (straty) takiej jednostki przed wspomnianym wyłączeniem. Oznacza to tym samym, że kwalifikowane koszty płac i kwalifikowane rzeczowe aktywa trwałe w zakresie, w jakim przypisuje się je dochodowi wyłączonemu na podstawie przepisów o systemie odliczanej dywidendy, nie będą uwzględniane w ramach kalkulacji substratu. W przypadku niedokonania powyższych pomniejszeń wyłączenie dochodu ze względu na substrat byłoby nieproporcjonalnie wysokie w zestawieniu z kwotą kwalifikowanego dochodu (straty) w </w:t>
      </w:r>
      <w:r w:rsidR="00DA5234" w:rsidRPr="00633318">
        <w:rPr>
          <w:rFonts w:ascii="Times New Roman" w:eastAsia="Calibri" w:hAnsi="Times New Roman" w:cs="Times New Roman"/>
          <w:sz w:val="24"/>
          <w:szCs w:val="24"/>
        </w:rPr>
        <w:t xml:space="preserve">danej </w:t>
      </w:r>
      <w:r w:rsidR="00DA5234" w:rsidRPr="00633318">
        <w:rPr>
          <w:rFonts w:ascii="Times New Roman" w:hAnsi="Times New Roman" w:cs="Times New Roman"/>
          <w:sz w:val="24"/>
          <w:szCs w:val="24"/>
        </w:rPr>
        <w:t>jurysdykcji</w:t>
      </w:r>
      <w:r w:rsidRPr="00633318">
        <w:rPr>
          <w:rFonts w:ascii="Times New Roman" w:eastAsia="Calibri" w:hAnsi="Times New Roman" w:cs="Times New Roman"/>
          <w:sz w:val="24"/>
          <w:szCs w:val="24"/>
        </w:rPr>
        <w:t xml:space="preserve">. </w:t>
      </w:r>
    </w:p>
    <w:p w14:paraId="1F3478AE" w14:textId="2238177D" w:rsidR="0040274E" w:rsidRPr="00633318" w:rsidRDefault="00E62BA1" w:rsidP="000416A5">
      <w:pPr>
        <w:jc w:val="both"/>
        <w:rPr>
          <w:rFonts w:ascii="Times New Roman" w:hAnsi="Times New Roman" w:cs="Times New Roman"/>
          <w:sz w:val="24"/>
          <w:szCs w:val="24"/>
        </w:rPr>
      </w:pPr>
      <w:r w:rsidRPr="00633318">
        <w:rPr>
          <w:rFonts w:ascii="Times New Roman" w:eastAsia="Calibri" w:hAnsi="Times New Roman" w:cs="Times New Roman"/>
          <w:b/>
          <w:bCs/>
          <w:sz w:val="24"/>
          <w:szCs w:val="24"/>
        </w:rPr>
        <w:t xml:space="preserve">Ust. </w:t>
      </w:r>
      <w:r w:rsidR="008535F5" w:rsidRPr="00633318">
        <w:rPr>
          <w:rFonts w:ascii="Times New Roman" w:eastAsia="Calibri" w:hAnsi="Times New Roman" w:cs="Times New Roman"/>
          <w:b/>
          <w:bCs/>
          <w:sz w:val="24"/>
          <w:szCs w:val="24"/>
        </w:rPr>
        <w:t>4</w:t>
      </w:r>
      <w:r w:rsidRPr="00633318">
        <w:rPr>
          <w:rFonts w:ascii="Times New Roman" w:eastAsia="Calibri" w:hAnsi="Times New Roman" w:cs="Times New Roman"/>
          <w:b/>
          <w:bCs/>
          <w:sz w:val="24"/>
          <w:szCs w:val="24"/>
        </w:rPr>
        <w:t xml:space="preserve"> </w:t>
      </w:r>
      <w:r w:rsidRPr="00633318">
        <w:rPr>
          <w:rFonts w:ascii="Times New Roman" w:eastAsia="Calibri" w:hAnsi="Times New Roman" w:cs="Times New Roman"/>
          <w:sz w:val="24"/>
          <w:szCs w:val="24"/>
        </w:rPr>
        <w:t>(implementujący art. 28</w:t>
      </w:r>
      <w:r w:rsidR="008B225D" w:rsidRPr="00633318">
        <w:rPr>
          <w:rFonts w:ascii="Times New Roman" w:eastAsia="Calibri" w:hAnsi="Times New Roman" w:cs="Times New Roman"/>
          <w:sz w:val="24"/>
          <w:szCs w:val="24"/>
        </w:rPr>
        <w:t>.7</w:t>
      </w:r>
      <w:r w:rsidRPr="00633318">
        <w:rPr>
          <w:rFonts w:ascii="Times New Roman" w:eastAsia="Calibri" w:hAnsi="Times New Roman" w:cs="Times New Roman"/>
          <w:sz w:val="24"/>
          <w:szCs w:val="24"/>
        </w:rPr>
        <w:t xml:space="preserve"> Dyrektywy) wskazuje, że inne niż wymienione i przypisane zgodnie z niniejszym artykułem koszty kwalifikowane lub kwalifikowane rzeczowe aktywa trwałe jednostki pośredniczącej podlegają wyłączeniu z obliczenia substratu majątkowo-osobowego.</w:t>
      </w:r>
    </w:p>
    <w:p w14:paraId="28905A60" w14:textId="2884E16B" w:rsidR="00E92463" w:rsidRPr="00633318" w:rsidRDefault="00E92463" w:rsidP="000F5B35">
      <w:pPr>
        <w:pStyle w:val="Nagwek2"/>
        <w:rPr>
          <w:rFonts w:ascii="Times New Roman" w:hAnsi="Times New Roman" w:cs="Times New Roman"/>
          <w:sz w:val="24"/>
          <w:szCs w:val="24"/>
        </w:rPr>
      </w:pPr>
      <w:r w:rsidRPr="00633318">
        <w:rPr>
          <w:rFonts w:ascii="Times New Roman" w:hAnsi="Times New Roman" w:cs="Times New Roman"/>
          <w:sz w:val="24"/>
          <w:szCs w:val="24"/>
        </w:rPr>
        <w:t>DZIAŁ VI</w:t>
      </w:r>
      <w:r w:rsidR="00DE5699" w:rsidRPr="00633318">
        <w:rPr>
          <w:rFonts w:ascii="Times New Roman" w:hAnsi="Times New Roman" w:cs="Times New Roman"/>
          <w:sz w:val="24"/>
          <w:szCs w:val="24"/>
        </w:rPr>
        <w:t>II</w:t>
      </w:r>
      <w:r w:rsidR="00CA1C3D" w:rsidRPr="00633318">
        <w:rPr>
          <w:rFonts w:ascii="Times New Roman" w:hAnsi="Times New Roman" w:cs="Times New Roman"/>
          <w:sz w:val="24"/>
          <w:szCs w:val="24"/>
        </w:rPr>
        <w:t>.</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Restrukturyzacje i struktury holdingowe</w:t>
      </w:r>
    </w:p>
    <w:p w14:paraId="125DCF9D" w14:textId="0A028C0A" w:rsidR="00AA4E10" w:rsidRPr="00633318" w:rsidRDefault="00AA4E10" w:rsidP="000F5B35">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w:t>
      </w:r>
      <w:r w:rsidR="0040274E" w:rsidRPr="00633318">
        <w:rPr>
          <w:rFonts w:ascii="Times New Roman" w:hAnsi="Times New Roman" w:cs="Times New Roman"/>
          <w:bCs/>
          <w:sz w:val="24"/>
          <w:szCs w:val="24"/>
        </w:rPr>
        <w:t>dziale VI</w:t>
      </w:r>
      <w:r w:rsidRPr="00633318">
        <w:rPr>
          <w:rFonts w:ascii="Times New Roman" w:hAnsi="Times New Roman" w:cs="Times New Roman"/>
          <w:bCs/>
          <w:sz w:val="24"/>
          <w:szCs w:val="24"/>
        </w:rPr>
        <w:t xml:space="preserve"> zawarte zostały szczególne regulacje precyzujące stosowanie </w:t>
      </w:r>
      <w:r w:rsidR="00CB2EF5" w:rsidRPr="00633318">
        <w:rPr>
          <w:rFonts w:ascii="Times New Roman" w:hAnsi="Times New Roman" w:cs="Times New Roman"/>
          <w:bCs/>
          <w:sz w:val="24"/>
          <w:szCs w:val="24"/>
        </w:rPr>
        <w:t xml:space="preserve">przepisów </w:t>
      </w:r>
      <w:r w:rsidR="0001639E" w:rsidRPr="00633318">
        <w:rPr>
          <w:rFonts w:ascii="Times New Roman" w:hAnsi="Times New Roman" w:cs="Times New Roman"/>
          <w:bCs/>
          <w:sz w:val="24"/>
          <w:szCs w:val="24"/>
        </w:rPr>
        <w:t>ustawy</w:t>
      </w:r>
      <w:r w:rsidRPr="00633318">
        <w:rPr>
          <w:rFonts w:ascii="Times New Roman" w:hAnsi="Times New Roman" w:cs="Times New Roman"/>
          <w:bCs/>
          <w:sz w:val="24"/>
          <w:szCs w:val="24"/>
        </w:rPr>
        <w:t xml:space="preserve"> </w:t>
      </w:r>
      <w:r w:rsidR="00D349ED" w:rsidRPr="00633318">
        <w:rPr>
          <w:rFonts w:ascii="Times New Roman" w:hAnsi="Times New Roman" w:cs="Times New Roman"/>
          <w:bCs/>
          <w:sz w:val="24"/>
          <w:szCs w:val="24"/>
        </w:rPr>
        <w:br/>
      </w:r>
      <w:r w:rsidRPr="00633318">
        <w:rPr>
          <w:rFonts w:ascii="Times New Roman" w:hAnsi="Times New Roman" w:cs="Times New Roman"/>
          <w:bCs/>
          <w:sz w:val="24"/>
          <w:szCs w:val="24"/>
        </w:rPr>
        <w:t>w przypadku restrukturyzacji przedsiębiorstw i struktur holdingowych</w:t>
      </w:r>
      <w:r w:rsidR="0001639E" w:rsidRPr="00633318">
        <w:rPr>
          <w:rFonts w:ascii="Times New Roman" w:hAnsi="Times New Roman" w:cs="Times New Roman"/>
          <w:bCs/>
          <w:sz w:val="24"/>
          <w:szCs w:val="24"/>
        </w:rPr>
        <w:t xml:space="preserve">, </w:t>
      </w:r>
      <w:r w:rsidR="00115C60" w:rsidRPr="00633318">
        <w:rPr>
          <w:rFonts w:ascii="Times New Roman" w:hAnsi="Times New Roman" w:cs="Times New Roman"/>
          <w:bCs/>
          <w:sz w:val="24"/>
          <w:szCs w:val="24"/>
        </w:rPr>
        <w:t xml:space="preserve">zbycia udziałów, </w:t>
      </w:r>
      <w:r w:rsidR="0001639E" w:rsidRPr="00633318">
        <w:rPr>
          <w:rFonts w:ascii="Times New Roman" w:hAnsi="Times New Roman" w:cs="Times New Roman"/>
          <w:bCs/>
          <w:sz w:val="24"/>
          <w:szCs w:val="24"/>
        </w:rPr>
        <w:t xml:space="preserve">zbycia aktywów i </w:t>
      </w:r>
      <w:r w:rsidR="003212E2" w:rsidRPr="00633318">
        <w:rPr>
          <w:rFonts w:ascii="Times New Roman" w:hAnsi="Times New Roman" w:cs="Times New Roman"/>
          <w:bCs/>
          <w:sz w:val="24"/>
          <w:szCs w:val="24"/>
        </w:rPr>
        <w:t>zobowiązań,</w:t>
      </w:r>
      <w:r w:rsidRPr="00633318">
        <w:rPr>
          <w:rFonts w:ascii="Times New Roman" w:hAnsi="Times New Roman" w:cs="Times New Roman"/>
          <w:bCs/>
          <w:sz w:val="24"/>
          <w:szCs w:val="24"/>
        </w:rPr>
        <w:t xml:space="preserve"> a także regulacje dotyczące grup o kilku jednostkach dominujących.</w:t>
      </w:r>
    </w:p>
    <w:p w14:paraId="33F268B7" w14:textId="79926418" w:rsidR="00AA4E10" w:rsidRPr="00633318" w:rsidRDefault="00AA4E10" w:rsidP="000F5B35">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Przepisy tego </w:t>
      </w:r>
      <w:r w:rsidR="00EF5D25" w:rsidRPr="00633318">
        <w:rPr>
          <w:rFonts w:ascii="Times New Roman" w:hAnsi="Times New Roman" w:cs="Times New Roman"/>
          <w:bCs/>
          <w:sz w:val="24"/>
          <w:szCs w:val="24"/>
        </w:rPr>
        <w:t xml:space="preserve">działu </w:t>
      </w:r>
      <w:r w:rsidRPr="00633318">
        <w:rPr>
          <w:rFonts w:ascii="Times New Roman" w:hAnsi="Times New Roman" w:cs="Times New Roman"/>
          <w:bCs/>
          <w:sz w:val="24"/>
          <w:szCs w:val="24"/>
        </w:rPr>
        <w:t>zawierają</w:t>
      </w:r>
      <w:r w:rsidR="0001639E" w:rsidRPr="00633318">
        <w:rPr>
          <w:rFonts w:ascii="Times New Roman" w:hAnsi="Times New Roman" w:cs="Times New Roman"/>
          <w:bCs/>
          <w:sz w:val="24"/>
          <w:szCs w:val="24"/>
        </w:rPr>
        <w:t xml:space="preserve"> m.in.</w:t>
      </w:r>
      <w:r w:rsidRPr="00633318">
        <w:rPr>
          <w:rFonts w:ascii="Times New Roman" w:hAnsi="Times New Roman" w:cs="Times New Roman"/>
          <w:bCs/>
          <w:sz w:val="24"/>
          <w:szCs w:val="24"/>
        </w:rPr>
        <w:t xml:space="preserve"> definicje </w:t>
      </w:r>
      <w:r w:rsidR="00115C60" w:rsidRPr="00633318">
        <w:rPr>
          <w:rFonts w:ascii="Times New Roman" w:hAnsi="Times New Roman" w:cs="Times New Roman"/>
          <w:bCs/>
          <w:sz w:val="24"/>
          <w:szCs w:val="24"/>
        </w:rPr>
        <w:t xml:space="preserve">specyficznych </w:t>
      </w:r>
      <w:r w:rsidRPr="00633318">
        <w:rPr>
          <w:rFonts w:ascii="Times New Roman" w:hAnsi="Times New Roman" w:cs="Times New Roman"/>
          <w:bCs/>
          <w:sz w:val="24"/>
          <w:szCs w:val="24"/>
        </w:rPr>
        <w:t xml:space="preserve">pojęć </w:t>
      </w:r>
      <w:r w:rsidR="00115C60" w:rsidRPr="00633318">
        <w:rPr>
          <w:rFonts w:ascii="Times New Roman" w:hAnsi="Times New Roman" w:cs="Times New Roman"/>
          <w:bCs/>
          <w:sz w:val="24"/>
          <w:szCs w:val="24"/>
        </w:rPr>
        <w:t>stosowanych na potrzeby zasad GloBE</w:t>
      </w:r>
      <w:r w:rsidRPr="00633318">
        <w:rPr>
          <w:rFonts w:ascii="Times New Roman" w:hAnsi="Times New Roman" w:cs="Times New Roman"/>
          <w:bCs/>
          <w:sz w:val="24"/>
          <w:szCs w:val="24"/>
        </w:rPr>
        <w:t>, zasady ustalania wysokości skonsolidowanych przychodów grupy w przypadku operacji restrukturyzacyjnych, sposób ustalania wysokości kwalifikowanego dochodu lub straty i innych kwalifikowanych kosztów (wartości)</w:t>
      </w:r>
      <w:r w:rsidR="0001639E" w:rsidRPr="00633318">
        <w:rPr>
          <w:rFonts w:ascii="Times New Roman" w:hAnsi="Times New Roman" w:cs="Times New Roman"/>
          <w:bCs/>
          <w:sz w:val="24"/>
          <w:szCs w:val="24"/>
        </w:rPr>
        <w:t>, a także regulacje dokonujące niezbędnych modyfikacji zasad ogólnych obowiązujących grupy o kilku jednostkach dominujących</w:t>
      </w:r>
      <w:r w:rsidRPr="00633318">
        <w:rPr>
          <w:rFonts w:ascii="Times New Roman" w:hAnsi="Times New Roman" w:cs="Times New Roman"/>
          <w:bCs/>
          <w:sz w:val="24"/>
          <w:szCs w:val="24"/>
        </w:rPr>
        <w:t>.</w:t>
      </w:r>
    </w:p>
    <w:p w14:paraId="69A7BA31" w14:textId="0C20AF52" w:rsidR="00EF5D25" w:rsidRPr="00633318" w:rsidRDefault="00EF5D25" w:rsidP="000F5B35">
      <w:pPr>
        <w:pStyle w:val="Nagwek3"/>
        <w:spacing w:before="240"/>
        <w:rPr>
          <w:rFonts w:ascii="Times New Roman" w:hAnsi="Times New Roman" w:cs="Times New Roman"/>
          <w:sz w:val="24"/>
        </w:rPr>
      </w:pPr>
      <w:r w:rsidRPr="00633318">
        <w:rPr>
          <w:rFonts w:ascii="Times New Roman" w:hAnsi="Times New Roman" w:cs="Times New Roman"/>
          <w:sz w:val="24"/>
        </w:rPr>
        <w:t>Minimalny przychód grupowy grup połączonych i podzielonych</w:t>
      </w:r>
    </w:p>
    <w:p w14:paraId="2A23C545" w14:textId="61EED87E" w:rsidR="000A4DA9" w:rsidRPr="00633318" w:rsidRDefault="000A4DA9" w:rsidP="000F5B35">
      <w:pPr>
        <w:rPr>
          <w:rFonts w:ascii="Times New Roman" w:hAnsi="Times New Roman" w:cs="Times New Roman"/>
          <w:sz w:val="24"/>
          <w:szCs w:val="24"/>
        </w:rPr>
      </w:pPr>
      <w:r w:rsidRPr="00633318">
        <w:rPr>
          <w:rFonts w:ascii="Times New Roman" w:hAnsi="Times New Roman" w:cs="Times New Roman"/>
          <w:sz w:val="24"/>
          <w:szCs w:val="24"/>
        </w:rPr>
        <w:t>Przepisy w zakresie minimalnego przychodu grupowego dla grup połączonych i podzielonych zawarte są w art. 4, jednak ze względów przejrzystości ujęto je w niniejszej części uzasadnienia.</w:t>
      </w:r>
    </w:p>
    <w:p w14:paraId="66C6402A" w14:textId="107FBB0D" w:rsidR="0009007E" w:rsidRPr="00633318" w:rsidRDefault="0009007E" w:rsidP="000F5B35">
      <w:pPr>
        <w:rPr>
          <w:rFonts w:ascii="Times New Roman" w:hAnsi="Times New Roman" w:cs="Times New Roman"/>
          <w:i/>
          <w:iCs/>
          <w:sz w:val="24"/>
          <w:szCs w:val="24"/>
        </w:rPr>
      </w:pPr>
      <w:r w:rsidRPr="00633318">
        <w:rPr>
          <w:rFonts w:ascii="Times New Roman" w:hAnsi="Times New Roman" w:cs="Times New Roman"/>
          <w:i/>
          <w:iCs/>
          <w:sz w:val="24"/>
          <w:szCs w:val="24"/>
        </w:rPr>
        <w:t>Definicja połączonej i podzielonej grupy</w:t>
      </w:r>
    </w:p>
    <w:p w14:paraId="3A24B235" w14:textId="7611332D" w:rsidR="0009007E" w:rsidRPr="00633318" w:rsidRDefault="0009007E" w:rsidP="000F5B35">
      <w:pPr>
        <w:spacing w:after="120"/>
        <w:jc w:val="both"/>
        <w:rPr>
          <w:rFonts w:ascii="Times New Roman" w:hAnsi="Times New Roman" w:cs="Times New Roman"/>
          <w:sz w:val="24"/>
          <w:szCs w:val="24"/>
        </w:rPr>
      </w:pPr>
      <w:r w:rsidRPr="00633318">
        <w:rPr>
          <w:rFonts w:ascii="Times New Roman" w:hAnsi="Times New Roman" w:cs="Times New Roman"/>
          <w:bCs/>
          <w:sz w:val="24"/>
          <w:szCs w:val="24"/>
        </w:rPr>
        <w:t xml:space="preserve">W </w:t>
      </w:r>
      <w:r w:rsidRPr="00633318">
        <w:rPr>
          <w:rFonts w:ascii="Times New Roman" w:hAnsi="Times New Roman" w:cs="Times New Roman"/>
          <w:b/>
          <w:sz w:val="24"/>
          <w:szCs w:val="24"/>
        </w:rPr>
        <w:t>art. 2 ust. 8</w:t>
      </w:r>
      <w:r w:rsidRPr="00633318">
        <w:rPr>
          <w:rFonts w:ascii="Times New Roman" w:hAnsi="Times New Roman" w:cs="Times New Roman"/>
          <w:bCs/>
          <w:sz w:val="24"/>
          <w:szCs w:val="24"/>
        </w:rPr>
        <w:t xml:space="preserve"> sformułowana została definicja „połączonej grupy”, co stanowi implementację art.33</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1 lit a Dyrektywy. Zgodnie z tym przepisem „połączona grupa” oznacza grupę</w:t>
      </w:r>
      <w:r w:rsidRPr="00633318">
        <w:rPr>
          <w:rFonts w:ascii="Times New Roman" w:hAnsi="Times New Roman" w:cs="Times New Roman"/>
          <w:sz w:val="24"/>
          <w:szCs w:val="24"/>
        </w:rPr>
        <w:t xml:space="preserve">, która powstała w ramach porozumienia, w wyniku którego: </w:t>
      </w:r>
    </w:p>
    <w:p w14:paraId="2CD56390" w14:textId="77777777" w:rsidR="0009007E" w:rsidRPr="00633318" w:rsidRDefault="0009007E" w:rsidP="000F5B35">
      <w:pPr>
        <w:spacing w:after="120"/>
        <w:ind w:left="705" w:hanging="705"/>
        <w:jc w:val="both"/>
        <w:rPr>
          <w:rFonts w:ascii="Times New Roman" w:hAnsi="Times New Roman" w:cs="Times New Roman"/>
          <w:bCs/>
          <w:sz w:val="24"/>
          <w:szCs w:val="24"/>
        </w:rPr>
      </w:pPr>
      <w:r w:rsidRPr="00633318">
        <w:rPr>
          <w:rFonts w:ascii="Times New Roman" w:hAnsi="Times New Roman" w:cs="Times New Roman"/>
          <w:bCs/>
          <w:sz w:val="24"/>
          <w:szCs w:val="24"/>
        </w:rPr>
        <w:t>a)</w:t>
      </w:r>
      <w:r w:rsidRPr="00633318">
        <w:rPr>
          <w:rFonts w:ascii="Times New Roman" w:hAnsi="Times New Roman" w:cs="Times New Roman"/>
          <w:bCs/>
          <w:sz w:val="24"/>
          <w:szCs w:val="24"/>
        </w:rPr>
        <w:tab/>
        <w:t>wszystkie lub prawie wszystkie jednostki składowe co najmniej dwóch odrębnych grup stają się jednostkami składowymi jednej grupy, lub</w:t>
      </w:r>
    </w:p>
    <w:p w14:paraId="115949A8" w14:textId="77777777" w:rsidR="0009007E" w:rsidRPr="00633318" w:rsidRDefault="0009007E" w:rsidP="000F5B35">
      <w:pPr>
        <w:spacing w:after="120"/>
        <w:ind w:left="705" w:hanging="705"/>
        <w:jc w:val="both"/>
        <w:rPr>
          <w:rFonts w:ascii="Times New Roman" w:hAnsi="Times New Roman" w:cs="Times New Roman"/>
          <w:bCs/>
          <w:sz w:val="24"/>
          <w:szCs w:val="24"/>
        </w:rPr>
      </w:pPr>
      <w:r w:rsidRPr="00633318">
        <w:rPr>
          <w:rFonts w:ascii="Times New Roman" w:hAnsi="Times New Roman" w:cs="Times New Roman"/>
          <w:bCs/>
          <w:sz w:val="24"/>
          <w:szCs w:val="24"/>
        </w:rPr>
        <w:t>b)</w:t>
      </w:r>
      <w:r w:rsidRPr="00633318">
        <w:rPr>
          <w:rFonts w:ascii="Times New Roman" w:hAnsi="Times New Roman" w:cs="Times New Roman"/>
          <w:bCs/>
          <w:sz w:val="24"/>
          <w:szCs w:val="24"/>
        </w:rPr>
        <w:tab/>
        <w:t>co najmniej dwie jednostki, które nie należą do żadnej grupy stają się jednostkami składowymi jednej nowej grupy, lub</w:t>
      </w:r>
    </w:p>
    <w:p w14:paraId="296B6A4E" w14:textId="77777777" w:rsidR="0009007E" w:rsidRPr="00633318" w:rsidRDefault="0009007E" w:rsidP="000F5B35">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c) </w:t>
      </w:r>
      <w:r w:rsidRPr="00633318">
        <w:rPr>
          <w:rFonts w:ascii="Times New Roman" w:hAnsi="Times New Roman" w:cs="Times New Roman"/>
          <w:bCs/>
          <w:sz w:val="24"/>
          <w:szCs w:val="24"/>
        </w:rPr>
        <w:tab/>
        <w:t>jednostka, która nie należy do żadnej grupy, staje się jednostką składową istniejącej grupy.</w:t>
      </w:r>
    </w:p>
    <w:p w14:paraId="18D9F5A0" w14:textId="77777777" w:rsidR="0009007E" w:rsidRPr="00633318" w:rsidRDefault="0009007E" w:rsidP="000F5B35">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Definicja ta odwołuje się do porozumienia skutkującego połączeniem, przy czym pojęcie „połączenia” jest w tym przypadku rozumiane szerzej niż jego powszechne znaczenie. Jest ono jednak stosowane wyłącznie do celów określenia minimalnego przychodu grupowego takiej połączonej grupy i określenia, czy i kiedy taka połączona grupa podlega przepisom ustawy. Odnosi się ono do każdej transakcji fuzji lub przejęcia, w wyniku której wszystkie lub zasadniczo wszystkie jednostki składowe z dwóch lub więcej grup znajdą się pod wspólną kontrolą (tworząc jedną grupę w rozumieniu przepisów ustawy), przy czym nie ma znaczenia forma transakcji połączenia. Przykładowo, połączona grupa może powstać, gdy grupa jest nabywana przez inną grupę lub gdy dwie odrębne grupy znajdują się pod kontrolą nowej jednostki dominującej najwyższego szczebla. </w:t>
      </w:r>
    </w:p>
    <w:p w14:paraId="7CB0B2F1" w14:textId="405BA154" w:rsidR="0009007E" w:rsidRPr="00633318" w:rsidRDefault="0009007E" w:rsidP="000F5B35">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Przy ustalaniu, czy dane porozumienie skutkuje powstaniem połączonej grupy, w każdym przypadku należy wziąć pod uwagę pojęcie grupy zdefiniowane w art. 2 pkt 6 projektu. Oznacza to, że połączona grupa nie powstanie w przypadku nabycia przez fundusz inwestycyjny dwóch grup, ponieważ nie wymaga to sporządzania przez ten fundusz skonsolidowanego sprawozdania finansowego (metoda konsolidacji pełnej) obejmującego obie grupy, tj. aktywa, zobowiązania, przychody, koszty i środki pieniężne i ich przepływy w odniesieniu do jednostek danej grupy wciąż są wykazywane w ramach różnych skonsolidowanych sprawozdań finansowych.</w:t>
      </w:r>
    </w:p>
    <w:p w14:paraId="21CDD41E" w14:textId="02BBA52E" w:rsidR="0009007E" w:rsidRPr="00633318" w:rsidRDefault="0009007E" w:rsidP="000F5B35">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definicją zawartą w lit. a wymaga się, aby w przypadku połączenia dwóch grup </w:t>
      </w:r>
      <w:r w:rsidRPr="00633318">
        <w:rPr>
          <w:rFonts w:ascii="Times New Roman" w:hAnsi="Times New Roman" w:cs="Times New Roman"/>
          <w:bCs/>
          <w:i/>
          <w:iCs/>
          <w:sz w:val="24"/>
          <w:szCs w:val="24"/>
        </w:rPr>
        <w:t>„</w:t>
      </w:r>
      <w:r w:rsidRPr="00633318">
        <w:rPr>
          <w:rFonts w:ascii="Times New Roman" w:hAnsi="Times New Roman" w:cs="Times New Roman"/>
          <w:bCs/>
          <w:sz w:val="24"/>
          <w:szCs w:val="24"/>
        </w:rPr>
        <w:t>wszystkie lub zasadniczo wszystkie” jednostki składowe tych odrębnych grup stały się członkami połączonej grupy. Nie będzie miała więc ona zastosowania, gdy grupa sprzedaje wszystkie jednostki składowe, które tworzą dany segment biznesowy grupy, chyba że segment taki reprezentuje praktycznie całą działalność grupy sprzedającej.</w:t>
      </w:r>
    </w:p>
    <w:p w14:paraId="704F5372" w14:textId="77777777" w:rsidR="0009007E" w:rsidRPr="003E7A67" w:rsidRDefault="0009007E" w:rsidP="0009007E">
      <w:pPr>
        <w:rPr>
          <w:i/>
          <w:iCs/>
        </w:rPr>
      </w:pPr>
      <w:r w:rsidRPr="003E7A67">
        <w:rPr>
          <w:i/>
          <w:iCs/>
        </w:rPr>
        <w:t>Połączenie grup</w:t>
      </w:r>
    </w:p>
    <w:bookmarkStart w:id="54" w:name="_Hlk152172386"/>
    <w:p w14:paraId="2E41205F"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58272" behindDoc="0" locked="0" layoutInCell="1" allowOverlap="1" wp14:anchorId="79CD1F79" wp14:editId="4D3D5FA7">
                <wp:simplePos x="0" y="0"/>
                <wp:positionH relativeFrom="column">
                  <wp:posOffset>2625279</wp:posOffset>
                </wp:positionH>
                <wp:positionV relativeFrom="paragraph">
                  <wp:posOffset>267698</wp:posOffset>
                </wp:positionV>
                <wp:extent cx="243840" cy="906780"/>
                <wp:effectExtent l="0" t="0" r="41910" b="26670"/>
                <wp:wrapNone/>
                <wp:docPr id="53" name="Nawias klamrowy zamykający 53"/>
                <wp:cNvGraphicFramePr/>
                <a:graphic xmlns:a="http://schemas.openxmlformats.org/drawingml/2006/main">
                  <a:graphicData uri="http://schemas.microsoft.com/office/word/2010/wordprocessingShape">
                    <wps:wsp>
                      <wps:cNvSpPr/>
                      <wps:spPr>
                        <a:xfrm>
                          <a:off x="0" y="0"/>
                          <a:ext cx="243840" cy="906780"/>
                        </a:xfrm>
                        <a:prstGeom prst="rightBrace">
                          <a:avLst>
                            <a:gd name="adj1" fmla="val 23550"/>
                            <a:gd name="adj2" fmla="val 5095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92B4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53" o:spid="_x0000_s1026" type="#_x0000_t88" style="position:absolute;margin-left:206.7pt;margin-top:21.1pt;width:19.2pt;height:71.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" adj="1368,11006" strokecolor="#5b9bd5 [3204]" strokeweight=".5pt">
                <v:stroke joinstyle="miter"/>
              </v:shape>
            </w:pict>
          </mc:Fallback>
        </mc:AlternateContent>
      </w:r>
      <w:r w:rsidRPr="003E7A67">
        <w:rPr>
          <w:i/>
          <w:iCs/>
          <w:noProof/>
          <w:lang w:eastAsia="pl-PL"/>
        </w:rPr>
        <mc:AlternateContent>
          <mc:Choice Requires="wps">
            <w:drawing>
              <wp:anchor distT="0" distB="0" distL="114300" distR="114300" simplePos="0" relativeHeight="251918336" behindDoc="0" locked="0" layoutInCell="1" allowOverlap="1" wp14:anchorId="468B611C" wp14:editId="6C194809">
                <wp:simplePos x="0" y="0"/>
                <wp:positionH relativeFrom="column">
                  <wp:posOffset>1581150</wp:posOffset>
                </wp:positionH>
                <wp:positionV relativeFrom="paragraph">
                  <wp:posOffset>635</wp:posOffset>
                </wp:positionV>
                <wp:extent cx="840740" cy="636270"/>
                <wp:effectExtent l="0" t="0" r="16510" b="11430"/>
                <wp:wrapNone/>
                <wp:docPr id="34" name="Owal 34"/>
                <wp:cNvGraphicFramePr/>
                <a:graphic xmlns:a="http://schemas.openxmlformats.org/drawingml/2006/main">
                  <a:graphicData uri="http://schemas.microsoft.com/office/word/2010/wordprocessingShape">
                    <wps:wsp>
                      <wps:cNvSpPr/>
                      <wps:spPr>
                        <a:xfrm>
                          <a:off x="0" y="0"/>
                          <a:ext cx="840740" cy="63627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6127656C" w14:textId="77777777" w:rsidR="0009007E" w:rsidRDefault="0009007E" w:rsidP="0009007E">
                            <w:pPr>
                              <w:jc w:val="center"/>
                            </w:pPr>
                            <w:r>
                              <w:t>Grupa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B611C" id="Owal 34" o:spid="_x0000_s1026" style="position:absolute;margin-left:124.5pt;margin-top:.05pt;width:66.2pt;height:5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14:paraId="6127656C" w14:textId="77777777" w:rsidR="0009007E" w:rsidRDefault="0009007E" w:rsidP="0009007E">
                      <w:pPr>
                        <w:jc w:val="center"/>
                      </w:pPr>
                      <w:r>
                        <w:t>Grupa A</w:t>
                      </w:r>
                    </w:p>
                  </w:txbxContent>
                </v:textbox>
              </v:oval>
            </w:pict>
          </mc:Fallback>
        </mc:AlternateContent>
      </w:r>
    </w:p>
    <w:p w14:paraId="13839BFB" w14:textId="77777777" w:rsidR="0009007E" w:rsidRPr="003E7A67" w:rsidRDefault="0009007E" w:rsidP="0009007E">
      <w:r w:rsidRPr="003E7A67">
        <w:rPr>
          <w:i/>
          <w:iCs/>
          <w:noProof/>
          <w:lang w:eastAsia="pl-PL"/>
        </w:rPr>
        <mc:AlternateContent>
          <mc:Choice Requires="wps">
            <w:drawing>
              <wp:anchor distT="0" distB="0" distL="114300" distR="114300" simplePos="0" relativeHeight="251920384" behindDoc="0" locked="0" layoutInCell="1" allowOverlap="1" wp14:anchorId="20ED6B72" wp14:editId="4F3FB6BA">
                <wp:simplePos x="0" y="0"/>
                <wp:positionH relativeFrom="column">
                  <wp:posOffset>3066728</wp:posOffset>
                </wp:positionH>
                <wp:positionV relativeFrom="paragraph">
                  <wp:posOffset>94343</wp:posOffset>
                </wp:positionV>
                <wp:extent cx="841248" cy="687197"/>
                <wp:effectExtent l="0" t="0" r="16510" b="17780"/>
                <wp:wrapNone/>
                <wp:docPr id="36" name="Owal 36"/>
                <wp:cNvGraphicFramePr/>
                <a:graphic xmlns:a="http://schemas.openxmlformats.org/drawingml/2006/main">
                  <a:graphicData uri="http://schemas.microsoft.com/office/word/2010/wordprocessingShape">
                    <wps:wsp>
                      <wps:cNvSpPr/>
                      <wps:spPr>
                        <a:xfrm>
                          <a:off x="0" y="0"/>
                          <a:ext cx="841248" cy="687197"/>
                        </a:xfrm>
                        <a:prstGeom prst="ellipse">
                          <a:avLst/>
                        </a:prstGeom>
                        <a:ln/>
                      </wps:spPr>
                      <wps:style>
                        <a:lnRef idx="1">
                          <a:schemeClr val="accent4"/>
                        </a:lnRef>
                        <a:fillRef idx="2">
                          <a:schemeClr val="accent4"/>
                        </a:fillRef>
                        <a:effectRef idx="1">
                          <a:schemeClr val="accent4"/>
                        </a:effectRef>
                        <a:fontRef idx="minor">
                          <a:schemeClr val="dk1"/>
                        </a:fontRef>
                      </wps:style>
                      <wps:txbx>
                        <w:txbxContent>
                          <w:p w14:paraId="3F6AD8F2" w14:textId="77777777" w:rsidR="0009007E" w:rsidRDefault="0009007E" w:rsidP="0009007E">
                            <w:pPr>
                              <w:jc w:val="center"/>
                            </w:pPr>
                            <w:r>
                              <w:t>Grupa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D6B72" id="Owal 36" o:spid="_x0000_s1027" style="position:absolute;margin-left:241.45pt;margin-top:7.45pt;width:66.25pt;height:54.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" fillcolor="#ffd555 [2167]" strokecolor="#ffc000 [3207]" strokeweight=".5pt">
                <v:fill color2="#ffcc31 [2615]" rotate="t" colors="0 #ffdd9c;.5 #ffd78e;1 #ffd479" focus="100%" type="gradient">
                  <o:fill v:ext="view" type="gradientUnscaled"/>
                </v:fill>
                <v:stroke joinstyle="miter"/>
                <v:textbox>
                  <w:txbxContent>
                    <w:p w14:paraId="3F6AD8F2" w14:textId="77777777" w:rsidR="0009007E" w:rsidRDefault="0009007E" w:rsidP="0009007E">
                      <w:pPr>
                        <w:jc w:val="center"/>
                      </w:pPr>
                      <w:r>
                        <w:t>Grupa AB</w:t>
                      </w:r>
                    </w:p>
                  </w:txbxContent>
                </v:textbox>
              </v:oval>
            </w:pict>
          </mc:Fallback>
        </mc:AlternateContent>
      </w:r>
    </w:p>
    <w:p w14:paraId="3B0399E4" w14:textId="77777777" w:rsidR="0009007E" w:rsidRPr="003E7A67" w:rsidRDefault="0009007E" w:rsidP="0009007E">
      <w:pPr>
        <w:spacing w:after="120"/>
        <w:jc w:val="both"/>
        <w:rPr>
          <w:rFonts w:cstheme="minorHAnsi"/>
          <w:bCs/>
          <w:i/>
        </w:rPr>
      </w:pPr>
      <w:r w:rsidRPr="003E7A67">
        <w:rPr>
          <w:i/>
          <w:iCs/>
          <w:noProof/>
          <w:lang w:eastAsia="pl-PL"/>
        </w:rPr>
        <mc:AlternateContent>
          <mc:Choice Requires="wps">
            <w:drawing>
              <wp:anchor distT="0" distB="0" distL="114300" distR="114300" simplePos="0" relativeHeight="251919360" behindDoc="0" locked="0" layoutInCell="1" allowOverlap="1" wp14:anchorId="5A51CDE4" wp14:editId="0F54993E">
                <wp:simplePos x="0" y="0"/>
                <wp:positionH relativeFrom="column">
                  <wp:posOffset>1576705</wp:posOffset>
                </wp:positionH>
                <wp:positionV relativeFrom="paragraph">
                  <wp:posOffset>242875</wp:posOffset>
                </wp:positionV>
                <wp:extent cx="848564" cy="628549"/>
                <wp:effectExtent l="0" t="0" r="27940" b="19685"/>
                <wp:wrapNone/>
                <wp:docPr id="37" name="Owal 37"/>
                <wp:cNvGraphicFramePr/>
                <a:graphic xmlns:a="http://schemas.openxmlformats.org/drawingml/2006/main">
                  <a:graphicData uri="http://schemas.microsoft.com/office/word/2010/wordprocessingShape">
                    <wps:wsp>
                      <wps:cNvSpPr/>
                      <wps:spPr>
                        <a:xfrm>
                          <a:off x="0" y="0"/>
                          <a:ext cx="848564" cy="628549"/>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0111874C" w14:textId="77777777" w:rsidR="0009007E" w:rsidRDefault="0009007E" w:rsidP="0009007E">
                            <w:pPr>
                              <w:jc w:val="center"/>
                            </w:pPr>
                            <w:r>
                              <w:t>Grupa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1CDE4" id="Owal 37" o:spid="_x0000_s1028" style="position:absolute;left:0;text-align:left;margin-left:124.15pt;margin-top:19.1pt;width:66.8pt;height:4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" fillcolor="#65a0d7 [3028]" strokecolor="#5b9bd5 [3204]" strokeweight=".5pt">
                <v:fill color2="#5898d4 [3172]" rotate="t" colors="0 #71a6db;.5 #559bdb;1 #438ac9" focus="100%" type="gradient">
                  <o:fill v:ext="view" type="gradientUnscaled"/>
                </v:fill>
                <v:stroke joinstyle="miter"/>
                <v:textbox>
                  <w:txbxContent>
                    <w:p w14:paraId="0111874C" w14:textId="77777777" w:rsidR="0009007E" w:rsidRDefault="0009007E" w:rsidP="0009007E">
                      <w:pPr>
                        <w:jc w:val="center"/>
                      </w:pPr>
                      <w:r>
                        <w:t>Grupa B</w:t>
                      </w:r>
                    </w:p>
                  </w:txbxContent>
                </v:textbox>
              </v:oval>
            </w:pict>
          </mc:Fallback>
        </mc:AlternateContent>
      </w:r>
    </w:p>
    <w:bookmarkEnd w:id="54"/>
    <w:p w14:paraId="14339207" w14:textId="77777777" w:rsidR="0009007E" w:rsidRPr="003E7A67" w:rsidRDefault="0009007E" w:rsidP="0009007E">
      <w:pPr>
        <w:spacing w:after="120"/>
        <w:jc w:val="both"/>
        <w:rPr>
          <w:rFonts w:cstheme="minorHAnsi"/>
          <w:bCs/>
        </w:rPr>
      </w:pPr>
    </w:p>
    <w:p w14:paraId="1975D3FD" w14:textId="77777777" w:rsidR="0009007E" w:rsidRPr="003E7A67" w:rsidRDefault="0009007E" w:rsidP="0009007E">
      <w:pPr>
        <w:spacing w:after="120"/>
        <w:jc w:val="both"/>
        <w:rPr>
          <w:rFonts w:cstheme="minorHAnsi"/>
          <w:bCs/>
        </w:rPr>
      </w:pPr>
    </w:p>
    <w:p w14:paraId="58524249" w14:textId="77777777" w:rsidR="0009007E" w:rsidRPr="003E7A67" w:rsidRDefault="0009007E" w:rsidP="0009007E">
      <w:pPr>
        <w:spacing w:after="120"/>
        <w:jc w:val="both"/>
        <w:rPr>
          <w:rFonts w:cstheme="minorHAnsi"/>
          <w:bCs/>
        </w:rPr>
      </w:pPr>
    </w:p>
    <w:p w14:paraId="214A6A31" w14:textId="789E7D58"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Definicja z lit. b i lit. c odnosi się w szczególności do przypadków, kiedy nienależąca do żadnej grupy jednostka nabywa udziały lub prawa w innej nienależącej do żadnej grupy jednostce, wskutek czego jednostki te po raz pierwszy wchodzą w skład grupy, jak również do przypadków, kiedy nienależąca do żadnej grupy jednostka zyskuje kontrolę nad istniejącą grupą oraz gdy grupa nabywa udziały lub prawa w jednostce niebędącej częścią innej grupy.</w:t>
      </w:r>
    </w:p>
    <w:p w14:paraId="3ED8A75A" w14:textId="77777777" w:rsidR="0009007E" w:rsidRPr="003E7A67" w:rsidRDefault="0009007E" w:rsidP="0009007E">
      <w:pPr>
        <w:spacing w:after="0"/>
        <w:rPr>
          <w:i/>
          <w:iCs/>
        </w:rPr>
      </w:pPr>
      <w:r w:rsidRPr="003E7A67">
        <w:rPr>
          <w:i/>
          <w:iCs/>
        </w:rPr>
        <w:t>Jednostka nabywa jednostkę</w:t>
      </w:r>
    </w:p>
    <w:p w14:paraId="18990176" w14:textId="77777777" w:rsidR="0009007E" w:rsidRPr="003E7A67" w:rsidRDefault="0009007E" w:rsidP="0009007E">
      <w:r w:rsidRPr="003E7A67">
        <w:rPr>
          <w:i/>
          <w:iCs/>
          <w:noProof/>
          <w:lang w:eastAsia="pl-PL"/>
        </w:rPr>
        <mc:AlternateContent>
          <mc:Choice Requires="wps">
            <w:drawing>
              <wp:anchor distT="0" distB="0" distL="114300" distR="114300" simplePos="0" relativeHeight="251967488" behindDoc="1" locked="0" layoutInCell="1" allowOverlap="1" wp14:anchorId="3B87AB34" wp14:editId="5EBFAEE6">
                <wp:simplePos x="0" y="0"/>
                <wp:positionH relativeFrom="margin">
                  <wp:posOffset>3319780</wp:posOffset>
                </wp:positionH>
                <wp:positionV relativeFrom="paragraph">
                  <wp:posOffset>81280</wp:posOffset>
                </wp:positionV>
                <wp:extent cx="1835785" cy="1746885"/>
                <wp:effectExtent l="0" t="0" r="12065" b="24765"/>
                <wp:wrapNone/>
                <wp:docPr id="45" name="Owal 45"/>
                <wp:cNvGraphicFramePr/>
                <a:graphic xmlns:a="http://schemas.openxmlformats.org/drawingml/2006/main">
                  <a:graphicData uri="http://schemas.microsoft.com/office/word/2010/wordprocessingShape">
                    <wps:wsp>
                      <wps:cNvSpPr/>
                      <wps:spPr>
                        <a:xfrm>
                          <a:off x="0" y="0"/>
                          <a:ext cx="1835785" cy="1746885"/>
                        </a:xfrm>
                        <a:prstGeom prst="ellipse">
                          <a:avLst/>
                        </a:prstGeom>
                        <a:noFill/>
                        <a:ln/>
                      </wps:spPr>
                      <wps:style>
                        <a:lnRef idx="2">
                          <a:schemeClr val="accent4"/>
                        </a:lnRef>
                        <a:fillRef idx="1">
                          <a:schemeClr val="lt1"/>
                        </a:fillRef>
                        <a:effectRef idx="0">
                          <a:schemeClr val="accent4"/>
                        </a:effectRef>
                        <a:fontRef idx="minor">
                          <a:schemeClr val="dk1"/>
                        </a:fontRef>
                      </wps:style>
                      <wps:txbx>
                        <w:txbxContent>
                          <w:p w14:paraId="188017BF" w14:textId="77777777" w:rsidR="0009007E" w:rsidRPr="00123BBC" w:rsidRDefault="0009007E" w:rsidP="0009007E">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7AB34" id="Owal 45" o:spid="_x0000_s1029" style="position:absolute;margin-left:261.4pt;margin-top:6.4pt;width:144.55pt;height:137.5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" filled="f" strokecolor="#ffc000 [3207]" strokeweight="1pt">
                <v:stroke joinstyle="miter"/>
                <v:textbox>
                  <w:txbxContent>
                    <w:p w14:paraId="188017BF" w14:textId="77777777" w:rsidR="0009007E" w:rsidRPr="00123BBC" w:rsidRDefault="0009007E" w:rsidP="0009007E">
                      <w:pPr>
                        <w:jc w:val="center"/>
                      </w:pPr>
                    </w:p>
                  </w:txbxContent>
                </v:textbox>
                <w10:wrap anchorx="margin"/>
              </v:oval>
            </w:pict>
          </mc:Fallback>
        </mc:AlternateContent>
      </w:r>
      <w:r w:rsidRPr="003E7A67">
        <w:rPr>
          <w:rFonts w:cstheme="minorHAnsi"/>
          <w:bCs/>
          <w:noProof/>
          <w:lang w:eastAsia="pl-PL"/>
        </w:rPr>
        <mc:AlternateContent>
          <mc:Choice Requires="wps">
            <w:drawing>
              <wp:anchor distT="0" distB="0" distL="114300" distR="114300" simplePos="0" relativeHeight="251962368" behindDoc="0" locked="0" layoutInCell="1" allowOverlap="1" wp14:anchorId="7AA5928E" wp14:editId="3CF44C18">
                <wp:simplePos x="0" y="0"/>
                <wp:positionH relativeFrom="margin">
                  <wp:posOffset>4049689</wp:posOffset>
                </wp:positionH>
                <wp:positionV relativeFrom="paragraph">
                  <wp:posOffset>194955</wp:posOffset>
                </wp:positionV>
                <wp:extent cx="589280" cy="295275"/>
                <wp:effectExtent l="0" t="0" r="1270" b="9525"/>
                <wp:wrapNone/>
                <wp:docPr id="252" name="Prostokąt 252"/>
                <wp:cNvGraphicFramePr/>
                <a:graphic xmlns:a="http://schemas.openxmlformats.org/drawingml/2006/main">
                  <a:graphicData uri="http://schemas.microsoft.com/office/word/2010/wordprocessingShape">
                    <wps:wsp>
                      <wps:cNvSpPr/>
                      <wps:spPr>
                        <a:xfrm>
                          <a:off x="0" y="0"/>
                          <a:ext cx="589280" cy="295275"/>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51BC984" w14:textId="77777777" w:rsidR="0009007E" w:rsidRDefault="0009007E" w:rsidP="0009007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5928E" id="Prostokąt 252" o:spid="_x0000_s1030" style="position:absolute;margin-left:318.85pt;margin-top:15.35pt;width:46.4pt;height:23.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" fillcolor="#4472c4 [3208]" stroked="f">
                <v:fill opacity="32896f"/>
                <v:textbox>
                  <w:txbxContent>
                    <w:p w14:paraId="051BC984" w14:textId="77777777" w:rsidR="0009007E" w:rsidRDefault="0009007E" w:rsidP="0009007E">
                      <w:pPr>
                        <w:jc w:val="center"/>
                      </w:pPr>
                      <w:r>
                        <w:t>A</w:t>
                      </w:r>
                    </w:p>
                  </w:txbxContent>
                </v:textbox>
                <w10:wrap anchorx="margin"/>
              </v:rect>
            </w:pict>
          </mc:Fallback>
        </mc:AlternateContent>
      </w:r>
      <w:r w:rsidRPr="003E7A67">
        <w:rPr>
          <w:rFonts w:cstheme="minorHAnsi"/>
          <w:bCs/>
          <w:noProof/>
          <w:lang w:eastAsia="pl-PL"/>
        </w:rPr>
        <mc:AlternateContent>
          <mc:Choice Requires="wps">
            <w:drawing>
              <wp:anchor distT="0" distB="0" distL="114300" distR="114300" simplePos="0" relativeHeight="251969536" behindDoc="0" locked="0" layoutInCell="1" allowOverlap="1" wp14:anchorId="03180DF6" wp14:editId="4CDC56A8">
                <wp:simplePos x="0" y="0"/>
                <wp:positionH relativeFrom="margin">
                  <wp:posOffset>1762125</wp:posOffset>
                </wp:positionH>
                <wp:positionV relativeFrom="paragraph">
                  <wp:posOffset>104140</wp:posOffset>
                </wp:positionV>
                <wp:extent cx="589280" cy="295275"/>
                <wp:effectExtent l="0" t="0" r="20320" b="28575"/>
                <wp:wrapNone/>
                <wp:docPr id="54" name="Prostokąt 54"/>
                <wp:cNvGraphicFramePr/>
                <a:graphic xmlns:a="http://schemas.openxmlformats.org/drawingml/2006/main">
                  <a:graphicData uri="http://schemas.microsoft.com/office/word/2010/wordprocessingShape">
                    <wps:wsp>
                      <wps:cNvSpPr/>
                      <wps:spPr>
                        <a:xfrm>
                          <a:off x="0" y="0"/>
                          <a:ext cx="589280" cy="2952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160E84BD" w14:textId="77777777" w:rsidR="0009007E" w:rsidRDefault="0009007E" w:rsidP="0009007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80DF6" id="Prostokąt 54" o:spid="_x0000_s1031" style="position:absolute;margin-left:138.75pt;margin-top:8.2pt;width:46.4pt;height:23.2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" fillcolor="#65a0d7 [3028]" strokecolor="#5b9bd5 [3204]" strokeweight=".5pt">
                <v:fill color2="#5898d4 [3172]" rotate="t" colors="0 #71a6db;.5 #559bdb;1 #438ac9" focus="100%" type="gradient">
                  <o:fill v:ext="view" type="gradientUnscaled"/>
                </v:fill>
                <v:textbox>
                  <w:txbxContent>
                    <w:p w14:paraId="160E84BD" w14:textId="77777777" w:rsidR="0009007E" w:rsidRDefault="0009007E" w:rsidP="0009007E">
                      <w:pPr>
                        <w:jc w:val="center"/>
                      </w:pPr>
                      <w:r>
                        <w:t>A</w:t>
                      </w:r>
                    </w:p>
                  </w:txbxContent>
                </v:textbox>
                <w10:wrap anchorx="margin"/>
              </v:rect>
            </w:pict>
          </mc:Fallback>
        </mc:AlternateContent>
      </w:r>
      <w:r w:rsidRPr="003E7A67">
        <w:rPr>
          <w:rFonts w:cstheme="minorHAnsi"/>
          <w:bCs/>
          <w:noProof/>
          <w:lang w:eastAsia="pl-PL"/>
        </w:rPr>
        <mc:AlternateContent>
          <mc:Choice Requires="wps">
            <w:drawing>
              <wp:anchor distT="0" distB="0" distL="114300" distR="114300" simplePos="0" relativeHeight="251961344" behindDoc="0" locked="0" layoutInCell="1" allowOverlap="1" wp14:anchorId="3BF53F07" wp14:editId="4A7FD1C6">
                <wp:simplePos x="0" y="0"/>
                <wp:positionH relativeFrom="column">
                  <wp:posOffset>2629535</wp:posOffset>
                </wp:positionH>
                <wp:positionV relativeFrom="paragraph">
                  <wp:posOffset>208280</wp:posOffset>
                </wp:positionV>
                <wp:extent cx="243840" cy="906780"/>
                <wp:effectExtent l="0" t="0" r="41910" b="26670"/>
                <wp:wrapNone/>
                <wp:docPr id="253" name="Nawias klamrowy zamykający 253"/>
                <wp:cNvGraphicFramePr/>
                <a:graphic xmlns:a="http://schemas.openxmlformats.org/drawingml/2006/main">
                  <a:graphicData uri="http://schemas.microsoft.com/office/word/2010/wordprocessingShape">
                    <wps:wsp>
                      <wps:cNvSpPr/>
                      <wps:spPr>
                        <a:xfrm>
                          <a:off x="0" y="0"/>
                          <a:ext cx="243840" cy="906780"/>
                        </a:xfrm>
                        <a:prstGeom prst="rightBrace">
                          <a:avLst>
                            <a:gd name="adj1" fmla="val 23550"/>
                            <a:gd name="adj2" fmla="val 5095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D7FF" id="Nawias klamrowy zamykający 253" o:spid="_x0000_s1026" type="#_x0000_t88" style="position:absolute;margin-left:207.05pt;margin-top:16.4pt;width:19.2pt;height:71.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" adj="1368,11006" strokecolor="#5b9bd5 [3204]" strokeweight=".5pt">
                <v:stroke joinstyle="miter"/>
              </v:shape>
            </w:pict>
          </mc:Fallback>
        </mc:AlternateContent>
      </w:r>
      <w:r w:rsidRPr="003E7A67">
        <w:tab/>
      </w:r>
    </w:p>
    <w:p w14:paraId="40D9D692" w14:textId="77777777" w:rsidR="0009007E" w:rsidRPr="003E7A67" w:rsidRDefault="0009007E" w:rsidP="0009007E">
      <w:r w:rsidRPr="003E7A67">
        <w:rPr>
          <w:noProof/>
          <w:lang w:eastAsia="pl-PL"/>
        </w:rPr>
        <mc:AlternateContent>
          <mc:Choice Requires="wps">
            <w:drawing>
              <wp:anchor distT="0" distB="0" distL="114300" distR="114300" simplePos="0" relativeHeight="251965440" behindDoc="0" locked="0" layoutInCell="1" allowOverlap="1" wp14:anchorId="249F77CA" wp14:editId="14C35894">
                <wp:simplePos x="0" y="0"/>
                <wp:positionH relativeFrom="column">
                  <wp:posOffset>4343161</wp:posOffset>
                </wp:positionH>
                <wp:positionV relativeFrom="paragraph">
                  <wp:posOffset>168161</wp:posOffset>
                </wp:positionV>
                <wp:extent cx="5938" cy="421574"/>
                <wp:effectExtent l="0" t="0" r="32385" b="36195"/>
                <wp:wrapNone/>
                <wp:docPr id="254" name="Łącznik prosty 254"/>
                <wp:cNvGraphicFramePr/>
                <a:graphic xmlns:a="http://schemas.openxmlformats.org/drawingml/2006/main">
                  <a:graphicData uri="http://schemas.microsoft.com/office/word/2010/wordprocessingShape">
                    <wps:wsp>
                      <wps:cNvCnPr/>
                      <wps:spPr>
                        <a:xfrm>
                          <a:off x="0" y="0"/>
                          <a:ext cx="5938" cy="4215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A61EC" id="Łącznik prosty 254"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3.25pt" to="342.4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" strokecolor="#5b9bd5 [3204]" strokeweight=".5pt">
                <v:stroke joinstyle="miter"/>
              </v:line>
            </w:pict>
          </mc:Fallback>
        </mc:AlternateContent>
      </w:r>
      <w:r w:rsidRPr="003E7A67">
        <w:rPr>
          <w:noProof/>
          <w:lang w:eastAsia="pl-PL"/>
        </w:rPr>
        <mc:AlternateContent>
          <mc:Choice Requires="wps">
            <w:drawing>
              <wp:anchor distT="0" distB="0" distL="114300" distR="114300" simplePos="0" relativeHeight="251966464" behindDoc="1" locked="0" layoutInCell="1" allowOverlap="1" wp14:anchorId="2529D13A" wp14:editId="504C5F08">
                <wp:simplePos x="0" y="0"/>
                <wp:positionH relativeFrom="column">
                  <wp:posOffset>3472180</wp:posOffset>
                </wp:positionH>
                <wp:positionV relativeFrom="paragraph">
                  <wp:posOffset>51435</wp:posOffset>
                </wp:positionV>
                <wp:extent cx="971550" cy="504825"/>
                <wp:effectExtent l="0" t="0" r="0" b="0"/>
                <wp:wrapNone/>
                <wp:docPr id="255" name="Pole tekstowe 255"/>
                <wp:cNvGraphicFramePr/>
                <a:graphic xmlns:a="http://schemas.openxmlformats.org/drawingml/2006/main">
                  <a:graphicData uri="http://schemas.microsoft.com/office/word/2010/wordprocessingShape">
                    <wps:wsp>
                      <wps:cNvSpPr txBox="1"/>
                      <wps:spPr>
                        <a:xfrm>
                          <a:off x="0" y="0"/>
                          <a:ext cx="971550" cy="504825"/>
                        </a:xfrm>
                        <a:prstGeom prst="rect">
                          <a:avLst/>
                        </a:prstGeom>
                        <a:noFill/>
                        <a:ln w="6350">
                          <a:noFill/>
                        </a:ln>
                      </wps:spPr>
                      <wps:txbx>
                        <w:txbxContent>
                          <w:p w14:paraId="46071632" w14:textId="77777777" w:rsidR="0009007E" w:rsidRPr="00BD2258" w:rsidRDefault="0009007E" w:rsidP="0009007E">
                            <w:pPr>
                              <w:rPr>
                                <w:i/>
                                <w:iCs/>
                                <w:sz w:val="20"/>
                                <w:szCs w:val="20"/>
                              </w:rPr>
                            </w:pPr>
                            <w:r w:rsidRPr="00BD2258">
                              <w:rPr>
                                <w:i/>
                                <w:iCs/>
                                <w:sz w:val="20"/>
                                <w:szCs w:val="20"/>
                              </w:rPr>
                              <w:t>udział konsolidujący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29D13A" id="_x0000_t202" coordsize="21600,21600" o:spt="202" path="m,l,21600r21600,l21600,xe">
                <v:stroke joinstyle="miter"/>
                <v:path gradientshapeok="t" o:connecttype="rect"/>
              </v:shapetype>
              <v:shape id="Pole tekstowe 255" o:spid="_x0000_s1032" type="#_x0000_t202" style="position:absolute;margin-left:273.4pt;margin-top:4.05pt;width:76.5pt;height:39.75pt;z-index:-25135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" filled="f" stroked="f" strokeweight=".5pt">
                <v:textbox>
                  <w:txbxContent>
                    <w:p w14:paraId="46071632" w14:textId="77777777" w:rsidR="0009007E" w:rsidRPr="00BD2258" w:rsidRDefault="0009007E" w:rsidP="0009007E">
                      <w:pPr>
                        <w:rPr>
                          <w:i/>
                          <w:iCs/>
                          <w:sz w:val="20"/>
                          <w:szCs w:val="20"/>
                        </w:rPr>
                      </w:pPr>
                      <w:r w:rsidRPr="00BD2258">
                        <w:rPr>
                          <w:i/>
                          <w:iCs/>
                          <w:sz w:val="20"/>
                          <w:szCs w:val="20"/>
                        </w:rPr>
                        <w:t>udział konsolidujący</w:t>
                      </w:r>
                    </w:p>
                  </w:txbxContent>
                </v:textbox>
              </v:shape>
            </w:pict>
          </mc:Fallback>
        </mc:AlternateContent>
      </w:r>
      <w:r w:rsidRPr="003E7A67">
        <w:tab/>
      </w:r>
      <w:r w:rsidRPr="003E7A67">
        <w:tab/>
      </w:r>
    </w:p>
    <w:p w14:paraId="00097C8E" w14:textId="77777777" w:rsidR="0009007E" w:rsidRPr="003E7A67" w:rsidRDefault="0009007E" w:rsidP="0009007E">
      <w:pPr>
        <w:tabs>
          <w:tab w:val="left" w:pos="6285"/>
        </w:tabs>
      </w:pPr>
      <w:r w:rsidRPr="003E7A67">
        <w:tab/>
      </w:r>
    </w:p>
    <w:p w14:paraId="06FBFB14" w14:textId="77777777" w:rsidR="0009007E" w:rsidRPr="003E7A67" w:rsidRDefault="0009007E" w:rsidP="0009007E">
      <w:pPr>
        <w:rPr>
          <w:i/>
          <w:iCs/>
        </w:rPr>
      </w:pPr>
      <w:r w:rsidRPr="003E7A67">
        <w:rPr>
          <w:rFonts w:cstheme="minorHAnsi"/>
          <w:bCs/>
          <w:noProof/>
          <w:lang w:eastAsia="pl-PL"/>
        </w:rPr>
        <mc:AlternateContent>
          <mc:Choice Requires="wps">
            <w:drawing>
              <wp:anchor distT="0" distB="0" distL="114300" distR="114300" simplePos="0" relativeHeight="251963392" behindDoc="0" locked="0" layoutInCell="1" allowOverlap="1" wp14:anchorId="1CE6A241" wp14:editId="56EB641D">
                <wp:simplePos x="0" y="0"/>
                <wp:positionH relativeFrom="margin">
                  <wp:posOffset>4053205</wp:posOffset>
                </wp:positionH>
                <wp:positionV relativeFrom="paragraph">
                  <wp:posOffset>6803</wp:posOffset>
                </wp:positionV>
                <wp:extent cx="601980" cy="276225"/>
                <wp:effectExtent l="0" t="0" r="1270" b="9525"/>
                <wp:wrapNone/>
                <wp:docPr id="256" name="Prostokąt 256"/>
                <wp:cNvGraphicFramePr/>
                <a:graphic xmlns:a="http://schemas.openxmlformats.org/drawingml/2006/main">
                  <a:graphicData uri="http://schemas.microsoft.com/office/word/2010/wordprocessingShape">
                    <wps:wsp>
                      <wps:cNvSpPr/>
                      <wps:spPr>
                        <a:xfrm>
                          <a:off x="0" y="0"/>
                          <a:ext cx="601980" cy="27622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8EB61F5" w14:textId="77777777" w:rsidR="0009007E" w:rsidRDefault="0009007E" w:rsidP="0009007E">
                            <w:pPr>
                              <w:jc w:val="center"/>
                            </w:pPr>
                            <w:r>
                              <w:t>B</w:t>
                            </w:r>
                          </w:p>
                          <w:p w14:paraId="1919B173"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6A241" id="Prostokąt 256" o:spid="_x0000_s1033" style="position:absolute;margin-left:319.15pt;margin-top:.55pt;width:47.4pt;height:21.7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" fillcolor="#70ad47 [3209]" stroked="f">
                <v:fill opacity="32896f"/>
                <v:textbox>
                  <w:txbxContent>
                    <w:p w14:paraId="18EB61F5" w14:textId="77777777" w:rsidR="0009007E" w:rsidRDefault="0009007E" w:rsidP="0009007E">
                      <w:pPr>
                        <w:jc w:val="center"/>
                      </w:pPr>
                      <w:r>
                        <w:t>B</w:t>
                      </w:r>
                    </w:p>
                    <w:p w14:paraId="1919B173" w14:textId="77777777" w:rsidR="0009007E" w:rsidRDefault="0009007E" w:rsidP="0009007E">
                      <w:pPr>
                        <w:jc w:val="center"/>
                      </w:pPr>
                    </w:p>
                  </w:txbxContent>
                </v:textbox>
                <w10:wrap anchorx="margin"/>
              </v:rect>
            </w:pict>
          </mc:Fallback>
        </mc:AlternateContent>
      </w:r>
      <w:r w:rsidRPr="003E7A67">
        <w:rPr>
          <w:rFonts w:cstheme="minorHAnsi"/>
          <w:bCs/>
          <w:noProof/>
          <w:lang w:eastAsia="pl-PL"/>
        </w:rPr>
        <mc:AlternateContent>
          <mc:Choice Requires="wps">
            <w:drawing>
              <wp:anchor distT="0" distB="0" distL="114300" distR="114300" simplePos="0" relativeHeight="251968512" behindDoc="0" locked="0" layoutInCell="1" allowOverlap="1" wp14:anchorId="1F6C97D6" wp14:editId="2409A46A">
                <wp:simplePos x="0" y="0"/>
                <wp:positionH relativeFrom="margin">
                  <wp:posOffset>1762125</wp:posOffset>
                </wp:positionH>
                <wp:positionV relativeFrom="paragraph">
                  <wp:posOffset>94615</wp:posOffset>
                </wp:positionV>
                <wp:extent cx="601980" cy="276225"/>
                <wp:effectExtent l="0" t="0" r="26670" b="28575"/>
                <wp:wrapNone/>
                <wp:docPr id="52" name="Prostokąt 52"/>
                <wp:cNvGraphicFramePr/>
                <a:graphic xmlns:a="http://schemas.openxmlformats.org/drawingml/2006/main">
                  <a:graphicData uri="http://schemas.microsoft.com/office/word/2010/wordprocessingShape">
                    <wps:wsp>
                      <wps:cNvSpPr/>
                      <wps:spPr>
                        <a:xfrm>
                          <a:off x="0" y="0"/>
                          <a:ext cx="601980" cy="2762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9B93A29" w14:textId="77777777" w:rsidR="0009007E" w:rsidRDefault="0009007E" w:rsidP="0009007E">
                            <w:pPr>
                              <w:jc w:val="center"/>
                            </w:pPr>
                            <w:r>
                              <w:t>B</w:t>
                            </w:r>
                          </w:p>
                          <w:p w14:paraId="21F8DEE9"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97D6" id="Prostokąt 52" o:spid="_x0000_s1034" style="position:absolute;margin-left:138.75pt;margin-top:7.45pt;width:47.4pt;height:21.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" fillcolor="#9ecb81 [2169]" strokecolor="#70ad47 [3209]" strokeweight=".5pt">
                <v:fill color2="#8ac066 [2617]" rotate="t" colors="0 #b5d5a7;.5 #aace99;1 #9cca86" focus="100%" type="gradient">
                  <o:fill v:ext="view" type="gradientUnscaled"/>
                </v:fill>
                <v:textbox>
                  <w:txbxContent>
                    <w:p w14:paraId="09B93A29" w14:textId="77777777" w:rsidR="0009007E" w:rsidRDefault="0009007E" w:rsidP="0009007E">
                      <w:pPr>
                        <w:jc w:val="center"/>
                      </w:pPr>
                      <w:r>
                        <w:t>B</w:t>
                      </w:r>
                    </w:p>
                    <w:p w14:paraId="21F8DEE9" w14:textId="77777777" w:rsidR="0009007E" w:rsidRDefault="0009007E" w:rsidP="0009007E">
                      <w:pPr>
                        <w:jc w:val="center"/>
                      </w:pPr>
                    </w:p>
                  </w:txbxContent>
                </v:textbox>
                <w10:wrap anchorx="margin"/>
              </v:rect>
            </w:pict>
          </mc:Fallback>
        </mc:AlternateContent>
      </w:r>
    </w:p>
    <w:p w14:paraId="0BDBD72E" w14:textId="77777777" w:rsidR="0009007E" w:rsidRPr="003E7A67" w:rsidRDefault="0009007E" w:rsidP="0009007E">
      <w:pPr>
        <w:rPr>
          <w:i/>
          <w:iCs/>
        </w:rPr>
      </w:pPr>
      <w:r w:rsidRPr="003E7A67">
        <w:rPr>
          <w:noProof/>
          <w:lang w:eastAsia="pl-PL"/>
        </w:rPr>
        <mc:AlternateContent>
          <mc:Choice Requires="wps">
            <w:drawing>
              <wp:anchor distT="0" distB="0" distL="114300" distR="114300" simplePos="0" relativeHeight="251964416" behindDoc="0" locked="0" layoutInCell="1" allowOverlap="1" wp14:anchorId="20F54EC7" wp14:editId="7DDBDAB7">
                <wp:simplePos x="0" y="0"/>
                <wp:positionH relativeFrom="column">
                  <wp:posOffset>3978910</wp:posOffset>
                </wp:positionH>
                <wp:positionV relativeFrom="paragraph">
                  <wp:posOffset>74690</wp:posOffset>
                </wp:positionV>
                <wp:extent cx="762000" cy="280187"/>
                <wp:effectExtent l="0" t="0" r="25400" b="24765"/>
                <wp:wrapNone/>
                <wp:docPr id="257" name="Pole tekstowe 257"/>
                <wp:cNvGraphicFramePr/>
                <a:graphic xmlns:a="http://schemas.openxmlformats.org/drawingml/2006/main">
                  <a:graphicData uri="http://schemas.microsoft.com/office/word/2010/wordprocessingShape">
                    <wps:wsp>
                      <wps:cNvSpPr txBox="1"/>
                      <wps:spPr>
                        <a:xfrm>
                          <a:off x="0" y="0"/>
                          <a:ext cx="762000" cy="280187"/>
                        </a:xfrm>
                        <a:prstGeom prst="rect">
                          <a:avLst/>
                        </a:prstGeom>
                        <a:noFill/>
                        <a:ln w="6350">
                          <a:solidFill>
                            <a:schemeClr val="bg1"/>
                          </a:solidFill>
                        </a:ln>
                      </wps:spPr>
                      <wps:txbx>
                        <w:txbxContent>
                          <w:p w14:paraId="638C43F8" w14:textId="77777777" w:rsidR="0009007E" w:rsidRPr="00C9001F" w:rsidRDefault="0009007E" w:rsidP="0009007E">
                            <w:pPr>
                              <w:rPr>
                                <w:b/>
                                <w:bCs/>
                              </w:rPr>
                            </w:pPr>
                            <w:r w:rsidRPr="00C9001F">
                              <w:rPr>
                                <w:b/>
                                <w:bCs/>
                              </w:rPr>
                              <w:t>Grupa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4EC7" id="Pole tekstowe 257" o:spid="_x0000_s1035" type="#_x0000_t202" style="position:absolute;margin-left:313.3pt;margin-top:5.9pt;width:60pt;height:2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" filled="f" strokecolor="white [3212]" strokeweight=".5pt">
                <v:textbox>
                  <w:txbxContent>
                    <w:p w14:paraId="638C43F8" w14:textId="77777777" w:rsidR="0009007E" w:rsidRPr="00C9001F" w:rsidRDefault="0009007E" w:rsidP="0009007E">
                      <w:pPr>
                        <w:rPr>
                          <w:b/>
                          <w:bCs/>
                        </w:rPr>
                      </w:pPr>
                      <w:r w:rsidRPr="00C9001F">
                        <w:rPr>
                          <w:b/>
                          <w:bCs/>
                        </w:rPr>
                        <w:t>Grupa AB</w:t>
                      </w:r>
                    </w:p>
                  </w:txbxContent>
                </v:textbox>
              </v:shape>
            </w:pict>
          </mc:Fallback>
        </mc:AlternateContent>
      </w:r>
    </w:p>
    <w:p w14:paraId="7FE886B8" w14:textId="77777777" w:rsidR="0009007E" w:rsidRPr="003E7A67" w:rsidRDefault="0009007E" w:rsidP="0009007E">
      <w:pPr>
        <w:rPr>
          <w:i/>
          <w:iCs/>
        </w:rPr>
      </w:pPr>
      <w:r w:rsidRPr="003E7A67">
        <w:rPr>
          <w:i/>
          <w:iCs/>
          <w:noProof/>
          <w:lang w:eastAsia="pl-PL"/>
        </w:rPr>
        <mc:AlternateContent>
          <mc:Choice Requires="wps">
            <w:drawing>
              <wp:anchor distT="0" distB="0" distL="114300" distR="114300" simplePos="0" relativeHeight="251922432" behindDoc="0" locked="0" layoutInCell="1" allowOverlap="1" wp14:anchorId="7662A80C" wp14:editId="41D5C115">
                <wp:simplePos x="0" y="0"/>
                <wp:positionH relativeFrom="margin">
                  <wp:posOffset>3314700</wp:posOffset>
                </wp:positionH>
                <wp:positionV relativeFrom="paragraph">
                  <wp:posOffset>5080</wp:posOffset>
                </wp:positionV>
                <wp:extent cx="1835785" cy="1746885"/>
                <wp:effectExtent l="0" t="0" r="12065" b="24765"/>
                <wp:wrapSquare wrapText="bothSides"/>
                <wp:docPr id="210" name="Owal 210"/>
                <wp:cNvGraphicFramePr/>
                <a:graphic xmlns:a="http://schemas.openxmlformats.org/drawingml/2006/main">
                  <a:graphicData uri="http://schemas.microsoft.com/office/word/2010/wordprocessingShape">
                    <wps:wsp>
                      <wps:cNvSpPr/>
                      <wps:spPr>
                        <a:xfrm>
                          <a:off x="0" y="0"/>
                          <a:ext cx="1835785" cy="1746885"/>
                        </a:xfrm>
                        <a:prstGeom prst="ellipse">
                          <a:avLst/>
                        </a:prstGeom>
                        <a:noFill/>
                        <a:ln/>
                      </wps:spPr>
                      <wps:style>
                        <a:lnRef idx="2">
                          <a:schemeClr val="accent4"/>
                        </a:lnRef>
                        <a:fillRef idx="1">
                          <a:schemeClr val="lt1"/>
                        </a:fillRef>
                        <a:effectRef idx="0">
                          <a:schemeClr val="accent4"/>
                        </a:effectRef>
                        <a:fontRef idx="minor">
                          <a:schemeClr val="dk1"/>
                        </a:fontRef>
                      </wps:style>
                      <wps:txbx>
                        <w:txbxContent>
                          <w:p w14:paraId="17186B32" w14:textId="77777777" w:rsidR="0009007E" w:rsidRPr="00123BBC" w:rsidRDefault="0009007E" w:rsidP="0009007E">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2A80C" id="Owal 210" o:spid="_x0000_s1036" style="position:absolute;margin-left:261pt;margin-top:.4pt;width:144.55pt;height:137.5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" filled="f" strokecolor="#ffc000 [3207]" strokeweight="1pt">
                <v:stroke joinstyle="miter"/>
                <v:textbox>
                  <w:txbxContent>
                    <w:p w14:paraId="17186B32" w14:textId="77777777" w:rsidR="0009007E" w:rsidRPr="00123BBC" w:rsidRDefault="0009007E" w:rsidP="0009007E">
                      <w:pPr>
                        <w:jc w:val="center"/>
                      </w:pPr>
                    </w:p>
                  </w:txbxContent>
                </v:textbox>
                <w10:wrap type="square" anchorx="margin"/>
              </v:oval>
            </w:pict>
          </mc:Fallback>
        </mc:AlternateContent>
      </w:r>
      <w:r w:rsidRPr="003E7A67">
        <w:rPr>
          <w:rFonts w:cstheme="minorHAnsi"/>
          <w:bCs/>
          <w:noProof/>
          <w:lang w:eastAsia="pl-PL"/>
        </w:rPr>
        <mc:AlternateContent>
          <mc:Choice Requires="wps">
            <w:drawing>
              <wp:anchor distT="0" distB="0" distL="114300" distR="114300" simplePos="0" relativeHeight="251926528" behindDoc="0" locked="0" layoutInCell="1" allowOverlap="1" wp14:anchorId="405D0BAF" wp14:editId="4C96163C">
                <wp:simplePos x="0" y="0"/>
                <wp:positionH relativeFrom="margin">
                  <wp:posOffset>4056329</wp:posOffset>
                </wp:positionH>
                <wp:positionV relativeFrom="paragraph">
                  <wp:posOffset>211378</wp:posOffset>
                </wp:positionV>
                <wp:extent cx="612444" cy="278181"/>
                <wp:effectExtent l="0" t="0" r="0" b="7620"/>
                <wp:wrapNone/>
                <wp:docPr id="213" name="Prostokąt 213"/>
                <wp:cNvGraphicFramePr/>
                <a:graphic xmlns:a="http://schemas.openxmlformats.org/drawingml/2006/main">
                  <a:graphicData uri="http://schemas.microsoft.com/office/word/2010/wordprocessingShape">
                    <wps:wsp>
                      <wps:cNvSpPr/>
                      <wps:spPr>
                        <a:xfrm>
                          <a:off x="0" y="0"/>
                          <a:ext cx="612444" cy="27818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D5186F" w14:textId="77777777" w:rsidR="0009007E" w:rsidRDefault="0009007E" w:rsidP="0009007E">
                            <w:pPr>
                              <w:jc w:val="center"/>
                            </w:pPr>
                            <w:r w:rsidRPr="006B60A8">
                              <w:rPr>
                                <w:i/>
                                <w:iCs/>
                              </w:rPr>
                              <w:t>A</w:t>
                            </w:r>
                            <w:r w:rsidRPr="0051059C">
                              <w:rPr>
                                <w:noProof/>
                                <w:lang w:eastAsia="pl-PL"/>
                              </w:rPr>
                              <w:drawing>
                                <wp:inline distT="0" distB="0" distL="0" distR="0" wp14:anchorId="435EB645" wp14:editId="238343F8">
                                  <wp:extent cx="3175" cy="1511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 cy="151130"/>
                                          </a:xfrm>
                                          <a:prstGeom prst="rect">
                                            <a:avLst/>
                                          </a:prstGeom>
                                          <a:noFill/>
                                          <a:ln>
                                            <a:noFill/>
                                          </a:ln>
                                        </pic:spPr>
                                      </pic:pic>
                                    </a:graphicData>
                                  </a:graphic>
                                </wp:inline>
                              </w:drawing>
                            </w:r>
                          </w:p>
                          <w:p w14:paraId="701727CC"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0BAF" id="Prostokąt 213" o:spid="_x0000_s1037" style="position:absolute;margin-left:319.4pt;margin-top:16.65pt;width:48.2pt;height:21.9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" fillcolor="#70ad47 [3209]" stroked="f">
                <v:fill opacity="32896f"/>
                <v:textbox>
                  <w:txbxContent>
                    <w:p w14:paraId="1ED5186F" w14:textId="77777777" w:rsidR="0009007E" w:rsidRDefault="0009007E" w:rsidP="0009007E">
                      <w:pPr>
                        <w:jc w:val="center"/>
                      </w:pPr>
                      <w:r w:rsidRPr="006B60A8">
                        <w:rPr>
                          <w:i/>
                          <w:iCs/>
                        </w:rPr>
                        <w:t>A</w:t>
                      </w:r>
                      <w:r w:rsidRPr="0051059C">
                        <w:rPr>
                          <w:noProof/>
                          <w:lang w:eastAsia="pl-PL"/>
                        </w:rPr>
                        <w:drawing>
                          <wp:inline distT="0" distB="0" distL="0" distR="0" wp14:anchorId="435EB645" wp14:editId="238343F8">
                            <wp:extent cx="3175" cy="1511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 cy="151130"/>
                                    </a:xfrm>
                                    <a:prstGeom prst="rect">
                                      <a:avLst/>
                                    </a:prstGeom>
                                    <a:noFill/>
                                    <a:ln>
                                      <a:noFill/>
                                    </a:ln>
                                  </pic:spPr>
                                </pic:pic>
                              </a:graphicData>
                            </a:graphic>
                          </wp:inline>
                        </w:drawing>
                      </w:r>
                    </w:p>
                    <w:p w14:paraId="701727CC" w14:textId="77777777" w:rsidR="0009007E" w:rsidRDefault="0009007E" w:rsidP="0009007E">
                      <w:pPr>
                        <w:jc w:val="center"/>
                      </w:pPr>
                    </w:p>
                  </w:txbxContent>
                </v:textbox>
                <w10:wrap anchorx="margin"/>
              </v:rect>
            </w:pict>
          </mc:Fallback>
        </mc:AlternateContent>
      </w:r>
      <w:r w:rsidRPr="003E7A67">
        <w:rPr>
          <w:i/>
          <w:iCs/>
        </w:rPr>
        <w:t>Jednostka nabywa grupę</w:t>
      </w:r>
    </w:p>
    <w:p w14:paraId="16853B22" w14:textId="77777777" w:rsidR="0009007E" w:rsidRPr="003E7A67" w:rsidRDefault="0009007E" w:rsidP="0009007E">
      <w:pPr>
        <w:rPr>
          <w:i/>
          <w:iCs/>
        </w:rPr>
      </w:pPr>
      <w:r w:rsidRPr="003E7A67">
        <w:rPr>
          <w:rFonts w:cstheme="minorHAnsi"/>
          <w:bCs/>
          <w:noProof/>
          <w:lang w:eastAsia="pl-PL"/>
        </w:rPr>
        <mc:AlternateContent>
          <mc:Choice Requires="wps">
            <w:drawing>
              <wp:anchor distT="0" distB="0" distL="114300" distR="114300" simplePos="0" relativeHeight="251959296" behindDoc="0" locked="0" layoutInCell="1" allowOverlap="1" wp14:anchorId="34DFD796" wp14:editId="0A5E5C87">
                <wp:simplePos x="0" y="0"/>
                <wp:positionH relativeFrom="column">
                  <wp:posOffset>2637790</wp:posOffset>
                </wp:positionH>
                <wp:positionV relativeFrom="paragraph">
                  <wp:posOffset>6985</wp:posOffset>
                </wp:positionV>
                <wp:extent cx="243840" cy="906780"/>
                <wp:effectExtent l="0" t="0" r="41910" b="26670"/>
                <wp:wrapNone/>
                <wp:docPr id="55" name="Nawias klamrowy zamykający 55"/>
                <wp:cNvGraphicFramePr/>
                <a:graphic xmlns:a="http://schemas.openxmlformats.org/drawingml/2006/main">
                  <a:graphicData uri="http://schemas.microsoft.com/office/word/2010/wordprocessingShape">
                    <wps:wsp>
                      <wps:cNvSpPr/>
                      <wps:spPr>
                        <a:xfrm>
                          <a:off x="0" y="0"/>
                          <a:ext cx="243840" cy="906780"/>
                        </a:xfrm>
                        <a:prstGeom prst="rightBrace">
                          <a:avLst>
                            <a:gd name="adj1" fmla="val 23550"/>
                            <a:gd name="adj2" fmla="val 5095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91A4" id="Nawias klamrowy zamykający 55" o:spid="_x0000_s1026" type="#_x0000_t88" style="position:absolute;margin-left:207.7pt;margin-top:.55pt;width:19.2pt;height:71.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" adj="1368,11006" strokecolor="#5b9bd5 [3204]" strokeweight=".5pt">
                <v:stroke joinstyle="miter"/>
              </v:shape>
            </w:pict>
          </mc:Fallback>
        </mc:AlternateContent>
      </w:r>
      <w:r w:rsidRPr="003E7A67">
        <w:rPr>
          <w:rFonts w:cstheme="minorHAnsi"/>
          <w:bCs/>
          <w:noProof/>
          <w:lang w:eastAsia="pl-PL"/>
        </w:rPr>
        <mc:AlternateContent>
          <mc:Choice Requires="wps">
            <w:drawing>
              <wp:anchor distT="0" distB="0" distL="114300" distR="114300" simplePos="0" relativeHeight="251921408" behindDoc="0" locked="0" layoutInCell="1" allowOverlap="1" wp14:anchorId="61106203" wp14:editId="4C8CE50E">
                <wp:simplePos x="0" y="0"/>
                <wp:positionH relativeFrom="margin">
                  <wp:posOffset>1713230</wp:posOffset>
                </wp:positionH>
                <wp:positionV relativeFrom="paragraph">
                  <wp:posOffset>2540</wp:posOffset>
                </wp:positionV>
                <wp:extent cx="612444" cy="278181"/>
                <wp:effectExtent l="0" t="0" r="16510" b="26670"/>
                <wp:wrapNone/>
                <wp:docPr id="205" name="Prostokąt 205"/>
                <wp:cNvGraphicFramePr/>
                <a:graphic xmlns:a="http://schemas.openxmlformats.org/drawingml/2006/main">
                  <a:graphicData uri="http://schemas.microsoft.com/office/word/2010/wordprocessingShape">
                    <wps:wsp>
                      <wps:cNvSpPr/>
                      <wps:spPr>
                        <a:xfrm>
                          <a:off x="0" y="0"/>
                          <a:ext cx="612444" cy="278181"/>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DD33ED5" w14:textId="77777777" w:rsidR="0009007E" w:rsidRDefault="0009007E" w:rsidP="0009007E">
                            <w:pPr>
                              <w:jc w:val="center"/>
                            </w:pPr>
                            <w:r>
                              <w:t>A</w:t>
                            </w:r>
                            <w:r w:rsidRPr="0051059C">
                              <w:rPr>
                                <w:noProof/>
                                <w:lang w:eastAsia="pl-PL"/>
                              </w:rPr>
                              <w:drawing>
                                <wp:inline distT="0" distB="0" distL="0" distR="0" wp14:anchorId="2515489B" wp14:editId="3C8F1E1A">
                                  <wp:extent cx="3175" cy="15113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 cy="151130"/>
                                          </a:xfrm>
                                          <a:prstGeom prst="rect">
                                            <a:avLst/>
                                          </a:prstGeom>
                                          <a:noFill/>
                                          <a:ln>
                                            <a:noFill/>
                                          </a:ln>
                                        </pic:spPr>
                                      </pic:pic>
                                    </a:graphicData>
                                  </a:graphic>
                                </wp:inline>
                              </w:drawing>
                            </w:r>
                          </w:p>
                          <w:p w14:paraId="2C1E64FF"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06203" id="Prostokąt 205" o:spid="_x0000_s1038" style="position:absolute;margin-left:134.9pt;margin-top:.2pt;width:48.2pt;height:21.9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" fillcolor="#9ecb81 [2169]" strokecolor="#70ad47 [3209]" strokeweight=".5pt">
                <v:fill color2="#8ac066 [2617]" rotate="t" colors="0 #b5d5a7;.5 #aace99;1 #9cca86" focus="100%" type="gradient">
                  <o:fill v:ext="view" type="gradientUnscaled"/>
                </v:fill>
                <v:textbox>
                  <w:txbxContent>
                    <w:p w14:paraId="7DD33ED5" w14:textId="77777777" w:rsidR="0009007E" w:rsidRDefault="0009007E" w:rsidP="0009007E">
                      <w:pPr>
                        <w:jc w:val="center"/>
                      </w:pPr>
                      <w:r>
                        <w:t>A</w:t>
                      </w:r>
                      <w:r w:rsidRPr="0051059C">
                        <w:rPr>
                          <w:noProof/>
                          <w:lang w:eastAsia="pl-PL"/>
                        </w:rPr>
                        <w:drawing>
                          <wp:inline distT="0" distB="0" distL="0" distR="0" wp14:anchorId="2515489B" wp14:editId="3C8F1E1A">
                            <wp:extent cx="3175" cy="15113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 cy="151130"/>
                                    </a:xfrm>
                                    <a:prstGeom prst="rect">
                                      <a:avLst/>
                                    </a:prstGeom>
                                    <a:noFill/>
                                    <a:ln>
                                      <a:noFill/>
                                    </a:ln>
                                  </pic:spPr>
                                </pic:pic>
                              </a:graphicData>
                            </a:graphic>
                          </wp:inline>
                        </w:drawing>
                      </w:r>
                    </w:p>
                    <w:p w14:paraId="2C1E64FF" w14:textId="77777777" w:rsidR="0009007E" w:rsidRDefault="0009007E" w:rsidP="0009007E">
                      <w:pPr>
                        <w:jc w:val="center"/>
                      </w:pPr>
                    </w:p>
                  </w:txbxContent>
                </v:textbox>
                <w10:wrap anchorx="margin"/>
              </v:rect>
            </w:pict>
          </mc:Fallback>
        </mc:AlternateContent>
      </w:r>
      <w:r w:rsidRPr="003E7A67">
        <w:rPr>
          <w:rFonts w:cstheme="minorHAnsi"/>
          <w:bCs/>
          <w:noProof/>
          <w:lang w:eastAsia="pl-PL"/>
        </w:rPr>
        <mc:AlternateContent>
          <mc:Choice Requires="wps">
            <w:drawing>
              <wp:anchor distT="0" distB="0" distL="114300" distR="114300" simplePos="0" relativeHeight="251927552" behindDoc="0" locked="0" layoutInCell="1" allowOverlap="1" wp14:anchorId="543C2D5D" wp14:editId="23A53C7A">
                <wp:simplePos x="0" y="0"/>
                <wp:positionH relativeFrom="column">
                  <wp:posOffset>4359834</wp:posOffset>
                </wp:positionH>
                <wp:positionV relativeFrom="paragraph">
                  <wp:posOffset>203048</wp:posOffset>
                </wp:positionV>
                <wp:extent cx="0" cy="445592"/>
                <wp:effectExtent l="0" t="0" r="38100" b="31115"/>
                <wp:wrapNone/>
                <wp:docPr id="215" name="Łącznik prosty 215"/>
                <wp:cNvGraphicFramePr/>
                <a:graphic xmlns:a="http://schemas.openxmlformats.org/drawingml/2006/main">
                  <a:graphicData uri="http://schemas.microsoft.com/office/word/2010/wordprocessingShape">
                    <wps:wsp>
                      <wps:cNvCnPr/>
                      <wps:spPr>
                        <a:xfrm flipH="1">
                          <a:off x="0" y="0"/>
                          <a:ext cx="0" cy="4455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F6C78" id="Łącznik prosty 215"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3pt,16pt" to="343.3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" strokecolor="black [3200]" strokeweight=".5pt">
                <v:stroke joinstyle="miter"/>
              </v:line>
            </w:pict>
          </mc:Fallback>
        </mc:AlternateContent>
      </w:r>
      <w:r w:rsidRPr="003E7A67">
        <w:rPr>
          <w:rFonts w:cstheme="minorHAnsi"/>
          <w:bCs/>
          <w:noProof/>
          <w:lang w:eastAsia="pl-PL"/>
        </w:rPr>
        <mc:AlternateContent>
          <mc:Choice Requires="wps">
            <w:drawing>
              <wp:anchor distT="45720" distB="45720" distL="114300" distR="114300" simplePos="0" relativeHeight="251928576" behindDoc="0" locked="0" layoutInCell="1" allowOverlap="1" wp14:anchorId="150DD92F" wp14:editId="4F5190C7">
                <wp:simplePos x="0" y="0"/>
                <wp:positionH relativeFrom="column">
                  <wp:posOffset>3475634</wp:posOffset>
                </wp:positionH>
                <wp:positionV relativeFrom="paragraph">
                  <wp:posOffset>238481</wp:posOffset>
                </wp:positionV>
                <wp:extent cx="935990" cy="474980"/>
                <wp:effectExtent l="0" t="0" r="0" b="1270"/>
                <wp:wrapSquare wrapText="bothSides"/>
                <wp:docPr id="2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74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82A356" w14:textId="77777777" w:rsidR="0009007E" w:rsidRPr="006B60A8" w:rsidRDefault="0009007E" w:rsidP="0009007E">
                            <w:pPr>
                              <w:spacing w:after="0"/>
                              <w:rPr>
                                <w:i/>
                                <w:iCs/>
                                <w:sz w:val="20"/>
                                <w:szCs w:val="20"/>
                              </w:rPr>
                            </w:pPr>
                            <w:r w:rsidRPr="006B60A8">
                              <w:rPr>
                                <w:i/>
                                <w:iCs/>
                                <w:sz w:val="20"/>
                                <w:szCs w:val="20"/>
                              </w:rPr>
                              <w:t xml:space="preserve">Udział </w:t>
                            </w:r>
                          </w:p>
                          <w:p w14:paraId="03C0F68F" w14:textId="77777777" w:rsidR="0009007E" w:rsidRPr="006B60A8" w:rsidRDefault="0009007E" w:rsidP="0009007E">
                            <w:pPr>
                              <w:spacing w:after="0"/>
                              <w:rPr>
                                <w:i/>
                                <w:iCs/>
                                <w:sz w:val="20"/>
                                <w:szCs w:val="20"/>
                              </w:rPr>
                            </w:pPr>
                            <w:r w:rsidRPr="006B60A8">
                              <w:rPr>
                                <w:i/>
                                <w:iCs/>
                                <w:sz w:val="20"/>
                                <w:szCs w:val="20"/>
                              </w:rPr>
                              <w:t>konsolidujący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DD92F" id="Pole tekstowe 2" o:spid="_x0000_s1039" type="#_x0000_t202" style="position:absolute;margin-left:273.65pt;margin-top:18.8pt;width:73.7pt;height:37.4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" filled="f" stroked="f">
                <v:textbox>
                  <w:txbxContent>
                    <w:p w14:paraId="5982A356" w14:textId="77777777" w:rsidR="0009007E" w:rsidRPr="006B60A8" w:rsidRDefault="0009007E" w:rsidP="0009007E">
                      <w:pPr>
                        <w:spacing w:after="0"/>
                        <w:rPr>
                          <w:i/>
                          <w:iCs/>
                          <w:sz w:val="20"/>
                          <w:szCs w:val="20"/>
                        </w:rPr>
                      </w:pPr>
                      <w:r w:rsidRPr="006B60A8">
                        <w:rPr>
                          <w:i/>
                          <w:iCs/>
                          <w:sz w:val="20"/>
                          <w:szCs w:val="20"/>
                        </w:rPr>
                        <w:t xml:space="preserve">Udział </w:t>
                      </w:r>
                    </w:p>
                    <w:p w14:paraId="03C0F68F" w14:textId="77777777" w:rsidR="0009007E" w:rsidRPr="006B60A8" w:rsidRDefault="0009007E" w:rsidP="0009007E">
                      <w:pPr>
                        <w:spacing w:after="0"/>
                        <w:rPr>
                          <w:i/>
                          <w:iCs/>
                          <w:sz w:val="20"/>
                          <w:szCs w:val="20"/>
                        </w:rPr>
                      </w:pPr>
                      <w:r w:rsidRPr="006B60A8">
                        <w:rPr>
                          <w:i/>
                          <w:iCs/>
                          <w:sz w:val="20"/>
                          <w:szCs w:val="20"/>
                        </w:rPr>
                        <w:t>konsolidujący</w:t>
                      </w:r>
                    </w:p>
                  </w:txbxContent>
                </v:textbox>
                <w10:wrap type="square"/>
              </v:shape>
            </w:pict>
          </mc:Fallback>
        </mc:AlternateContent>
      </w:r>
    </w:p>
    <w:p w14:paraId="103A3C54" w14:textId="77777777" w:rsidR="0009007E" w:rsidRPr="003E7A67" w:rsidRDefault="0009007E" w:rsidP="0009007E">
      <w:pPr>
        <w:rPr>
          <w:i/>
          <w:iCs/>
        </w:rPr>
      </w:pPr>
      <w:r w:rsidRPr="003E7A67">
        <w:rPr>
          <w:i/>
          <w:iCs/>
          <w:noProof/>
          <w:lang w:eastAsia="pl-PL"/>
        </w:rPr>
        <mc:AlternateContent>
          <mc:Choice Requires="wps">
            <w:drawing>
              <wp:anchor distT="0" distB="0" distL="114300" distR="114300" simplePos="0" relativeHeight="251923456" behindDoc="0" locked="0" layoutInCell="1" allowOverlap="1" wp14:anchorId="072BFEAF" wp14:editId="3DD631A0">
                <wp:simplePos x="0" y="0"/>
                <wp:positionH relativeFrom="column">
                  <wp:posOffset>1595755</wp:posOffset>
                </wp:positionH>
                <wp:positionV relativeFrom="paragraph">
                  <wp:posOffset>51435</wp:posOffset>
                </wp:positionV>
                <wp:extent cx="790042" cy="577901"/>
                <wp:effectExtent l="0" t="0" r="10160" b="12700"/>
                <wp:wrapNone/>
                <wp:docPr id="208" name="Owal 208"/>
                <wp:cNvGraphicFramePr/>
                <a:graphic xmlns:a="http://schemas.openxmlformats.org/drawingml/2006/main">
                  <a:graphicData uri="http://schemas.microsoft.com/office/word/2010/wordprocessingShape">
                    <wps:wsp>
                      <wps:cNvSpPr/>
                      <wps:spPr>
                        <a:xfrm>
                          <a:off x="0" y="0"/>
                          <a:ext cx="790042" cy="577901"/>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1CBF7709" w14:textId="77777777" w:rsidR="0009007E" w:rsidRDefault="0009007E" w:rsidP="0009007E">
                            <w:pPr>
                              <w:jc w:val="center"/>
                            </w:pPr>
                            <w:r>
                              <w:t>Grupa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BFEAF" id="Owal 208" o:spid="_x0000_s1040" style="position:absolute;margin-left:125.65pt;margin-top:4.05pt;width:62.2pt;height:4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" fillcolor="#65a0d7 [3028]" strokecolor="#5b9bd5 [3204]" strokeweight=".5pt">
                <v:fill color2="#5898d4 [3172]" rotate="t" colors="0 #71a6db;.5 #559bdb;1 #438ac9" focus="100%" type="gradient">
                  <o:fill v:ext="view" type="gradientUnscaled"/>
                </v:fill>
                <v:stroke joinstyle="miter"/>
                <v:textbox>
                  <w:txbxContent>
                    <w:p w14:paraId="1CBF7709" w14:textId="77777777" w:rsidR="0009007E" w:rsidRDefault="0009007E" w:rsidP="0009007E">
                      <w:pPr>
                        <w:jc w:val="center"/>
                      </w:pPr>
                      <w:r>
                        <w:t>Grupa B</w:t>
                      </w:r>
                    </w:p>
                  </w:txbxContent>
                </v:textbox>
              </v:oval>
            </w:pict>
          </mc:Fallback>
        </mc:AlternateContent>
      </w:r>
    </w:p>
    <w:p w14:paraId="2529261A" w14:textId="77777777" w:rsidR="0009007E" w:rsidRPr="003E7A67" w:rsidRDefault="0009007E" w:rsidP="0009007E">
      <w:pPr>
        <w:rPr>
          <w:i/>
          <w:iCs/>
        </w:rPr>
      </w:pPr>
      <w:r w:rsidRPr="003E7A67">
        <w:rPr>
          <w:i/>
          <w:iCs/>
          <w:noProof/>
          <w:lang w:eastAsia="pl-PL"/>
        </w:rPr>
        <mc:AlternateContent>
          <mc:Choice Requires="wps">
            <w:drawing>
              <wp:anchor distT="0" distB="0" distL="114300" distR="114300" simplePos="0" relativeHeight="251924480" behindDoc="0" locked="0" layoutInCell="1" allowOverlap="1" wp14:anchorId="5D3AADDA" wp14:editId="2F2C5F29">
                <wp:simplePos x="0" y="0"/>
                <wp:positionH relativeFrom="column">
                  <wp:posOffset>3964813</wp:posOffset>
                </wp:positionH>
                <wp:positionV relativeFrom="paragraph">
                  <wp:posOffset>70942</wp:posOffset>
                </wp:positionV>
                <wp:extent cx="790042" cy="592531"/>
                <wp:effectExtent l="0" t="0" r="0" b="0"/>
                <wp:wrapNone/>
                <wp:docPr id="211" name="Owal 211"/>
                <wp:cNvGraphicFramePr/>
                <a:graphic xmlns:a="http://schemas.openxmlformats.org/drawingml/2006/main">
                  <a:graphicData uri="http://schemas.microsoft.com/office/word/2010/wordprocessingShape">
                    <wps:wsp>
                      <wps:cNvSpPr/>
                      <wps:spPr>
                        <a:xfrm>
                          <a:off x="0" y="0"/>
                          <a:ext cx="790042" cy="592531"/>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84658C0" w14:textId="77777777" w:rsidR="0009007E" w:rsidRPr="006B60A8" w:rsidRDefault="0009007E" w:rsidP="0009007E">
                            <w:pPr>
                              <w:jc w:val="center"/>
                              <w:rPr>
                                <w:i/>
                                <w:iCs/>
                              </w:rPr>
                            </w:pPr>
                            <w:r w:rsidRPr="006B60A8">
                              <w:rPr>
                                <w:i/>
                                <w:iCs/>
                              </w:rPr>
                              <w:t>Grupa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AADDA" id="Owal 211" o:spid="_x0000_s1041" style="position:absolute;margin-left:312.2pt;margin-top:5.6pt;width:62.2pt;height:46.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" fillcolor="#5b9bd5 [3204]" stroked="f">
                <v:fill opacity="32896f"/>
                <v:textbox>
                  <w:txbxContent>
                    <w:p w14:paraId="784658C0" w14:textId="77777777" w:rsidR="0009007E" w:rsidRPr="006B60A8" w:rsidRDefault="0009007E" w:rsidP="0009007E">
                      <w:pPr>
                        <w:jc w:val="center"/>
                        <w:rPr>
                          <w:i/>
                          <w:iCs/>
                        </w:rPr>
                      </w:pPr>
                      <w:r w:rsidRPr="006B60A8">
                        <w:rPr>
                          <w:i/>
                          <w:iCs/>
                        </w:rPr>
                        <w:t>Grupa B</w:t>
                      </w:r>
                    </w:p>
                  </w:txbxContent>
                </v:textbox>
              </v:oval>
            </w:pict>
          </mc:Fallback>
        </mc:AlternateContent>
      </w:r>
    </w:p>
    <w:p w14:paraId="36A78724" w14:textId="77777777" w:rsidR="0009007E" w:rsidRPr="003E7A67" w:rsidRDefault="0009007E" w:rsidP="0009007E">
      <w:pPr>
        <w:rPr>
          <w:i/>
          <w:iCs/>
        </w:rPr>
      </w:pPr>
    </w:p>
    <w:p w14:paraId="53F845CC" w14:textId="77777777" w:rsidR="0009007E" w:rsidRPr="003E7A67" w:rsidRDefault="0009007E" w:rsidP="0009007E">
      <w:pPr>
        <w:rPr>
          <w:i/>
          <w:iCs/>
        </w:rPr>
      </w:pPr>
      <w:r w:rsidRPr="003E7A67">
        <w:rPr>
          <w:rFonts w:cstheme="minorHAnsi"/>
          <w:bCs/>
          <w:noProof/>
          <w:lang w:eastAsia="pl-PL"/>
        </w:rPr>
        <mc:AlternateContent>
          <mc:Choice Requires="wps">
            <w:drawing>
              <wp:anchor distT="45720" distB="45720" distL="114300" distR="114300" simplePos="0" relativeHeight="251925504" behindDoc="0" locked="0" layoutInCell="1" allowOverlap="1" wp14:anchorId="544B6F00" wp14:editId="6CEE3B4C">
                <wp:simplePos x="0" y="0"/>
                <wp:positionH relativeFrom="margin">
                  <wp:posOffset>3891280</wp:posOffset>
                </wp:positionH>
                <wp:positionV relativeFrom="paragraph">
                  <wp:posOffset>47283</wp:posOffset>
                </wp:positionV>
                <wp:extent cx="758190" cy="335915"/>
                <wp:effectExtent l="0" t="0" r="0" b="6985"/>
                <wp:wrapSquare wrapText="bothSides"/>
                <wp:docPr id="2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3359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C7BEB4" w14:textId="77777777" w:rsidR="0009007E" w:rsidRPr="006B60A8" w:rsidRDefault="0009007E" w:rsidP="0009007E">
                            <w:pPr>
                              <w:spacing w:after="0"/>
                              <w:rPr>
                                <w:b/>
                                <w:bCs/>
                              </w:rPr>
                            </w:pPr>
                            <w:r w:rsidRPr="006B60A8">
                              <w:rPr>
                                <w:b/>
                                <w:bCs/>
                              </w:rPr>
                              <w:t>Grupa 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B6F00" id="_x0000_s1042" type="#_x0000_t202" style="position:absolute;margin-left:306.4pt;margin-top:3.7pt;width:59.7pt;height:26.4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" filled="f" stroked="f">
                <v:textbox>
                  <w:txbxContent>
                    <w:p w14:paraId="3DC7BEB4" w14:textId="77777777" w:rsidR="0009007E" w:rsidRPr="006B60A8" w:rsidRDefault="0009007E" w:rsidP="0009007E">
                      <w:pPr>
                        <w:spacing w:after="0"/>
                        <w:rPr>
                          <w:b/>
                          <w:bCs/>
                        </w:rPr>
                      </w:pPr>
                      <w:r w:rsidRPr="006B60A8">
                        <w:rPr>
                          <w:b/>
                          <w:bCs/>
                        </w:rPr>
                        <w:t>Grupa AB</w:t>
                      </w:r>
                    </w:p>
                  </w:txbxContent>
                </v:textbox>
                <w10:wrap type="square" anchorx="margin"/>
              </v:shape>
            </w:pict>
          </mc:Fallback>
        </mc:AlternateContent>
      </w:r>
    </w:p>
    <w:p w14:paraId="769A7527" w14:textId="77777777" w:rsidR="0009007E" w:rsidRPr="003E7A67" w:rsidRDefault="0009007E" w:rsidP="0009007E">
      <w:pPr>
        <w:rPr>
          <w:i/>
          <w:iCs/>
        </w:rPr>
      </w:pPr>
    </w:p>
    <w:p w14:paraId="1E8D5567" w14:textId="77777777" w:rsidR="0009007E" w:rsidRPr="003E7A67" w:rsidRDefault="0009007E" w:rsidP="0009007E">
      <w:pPr>
        <w:rPr>
          <w:i/>
          <w:iCs/>
        </w:rPr>
      </w:pPr>
    </w:p>
    <w:p w14:paraId="2F120A30" w14:textId="77777777" w:rsidR="0009007E" w:rsidRPr="003E7A67" w:rsidRDefault="0009007E" w:rsidP="0009007E">
      <w:pPr>
        <w:rPr>
          <w:i/>
          <w:iCs/>
        </w:rPr>
      </w:pPr>
      <w:r w:rsidRPr="003E7A67">
        <w:rPr>
          <w:i/>
          <w:iCs/>
          <w:noProof/>
          <w:lang w:eastAsia="pl-PL"/>
        </w:rPr>
        <mc:AlternateContent>
          <mc:Choice Requires="wps">
            <w:drawing>
              <wp:anchor distT="0" distB="0" distL="114300" distR="114300" simplePos="0" relativeHeight="251931648" behindDoc="0" locked="0" layoutInCell="1" allowOverlap="1" wp14:anchorId="0A65CCD2" wp14:editId="7E6F51A7">
                <wp:simplePos x="0" y="0"/>
                <wp:positionH relativeFrom="margin">
                  <wp:posOffset>3322955</wp:posOffset>
                </wp:positionH>
                <wp:positionV relativeFrom="paragraph">
                  <wp:posOffset>3175</wp:posOffset>
                </wp:positionV>
                <wp:extent cx="1835785" cy="1746885"/>
                <wp:effectExtent l="0" t="0" r="12065" b="24765"/>
                <wp:wrapSquare wrapText="bothSides"/>
                <wp:docPr id="225" name="Owal 225"/>
                <wp:cNvGraphicFramePr/>
                <a:graphic xmlns:a="http://schemas.openxmlformats.org/drawingml/2006/main">
                  <a:graphicData uri="http://schemas.microsoft.com/office/word/2010/wordprocessingShape">
                    <wps:wsp>
                      <wps:cNvSpPr/>
                      <wps:spPr>
                        <a:xfrm>
                          <a:off x="0" y="0"/>
                          <a:ext cx="1835785" cy="1746885"/>
                        </a:xfrm>
                        <a:prstGeom prst="ellipse">
                          <a:avLst/>
                        </a:prstGeom>
                        <a:noFill/>
                        <a:ln/>
                      </wps:spPr>
                      <wps:style>
                        <a:lnRef idx="2">
                          <a:schemeClr val="accent4"/>
                        </a:lnRef>
                        <a:fillRef idx="1">
                          <a:schemeClr val="lt1"/>
                        </a:fillRef>
                        <a:effectRef idx="0">
                          <a:schemeClr val="accent4"/>
                        </a:effectRef>
                        <a:fontRef idx="minor">
                          <a:schemeClr val="dk1"/>
                        </a:fontRef>
                      </wps:style>
                      <wps:txbx>
                        <w:txbxContent>
                          <w:p w14:paraId="32EBCA18" w14:textId="77777777" w:rsidR="0009007E" w:rsidRPr="00123BBC" w:rsidRDefault="0009007E" w:rsidP="0009007E">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5CCD2" id="Owal 225" o:spid="_x0000_s1043" style="position:absolute;margin-left:261.65pt;margin-top:.25pt;width:144.55pt;height:137.5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" filled="f" strokecolor="#ffc000 [3207]" strokeweight="1pt">
                <v:stroke joinstyle="miter"/>
                <v:textbox>
                  <w:txbxContent>
                    <w:p w14:paraId="32EBCA18" w14:textId="77777777" w:rsidR="0009007E" w:rsidRPr="00123BBC" w:rsidRDefault="0009007E" w:rsidP="0009007E">
                      <w:pPr>
                        <w:jc w:val="center"/>
                      </w:pPr>
                    </w:p>
                  </w:txbxContent>
                </v:textbox>
                <w10:wrap type="square" anchorx="margin"/>
              </v:oval>
            </w:pict>
          </mc:Fallback>
        </mc:AlternateContent>
      </w:r>
      <w:r w:rsidRPr="003E7A67">
        <w:rPr>
          <w:i/>
          <w:iCs/>
          <w:noProof/>
          <w:lang w:eastAsia="pl-PL"/>
        </w:rPr>
        <mc:AlternateContent>
          <mc:Choice Requires="wps">
            <w:drawing>
              <wp:anchor distT="0" distB="0" distL="114300" distR="114300" simplePos="0" relativeHeight="251932672" behindDoc="0" locked="0" layoutInCell="1" allowOverlap="1" wp14:anchorId="0F9C6ACF" wp14:editId="7EBA337A">
                <wp:simplePos x="0" y="0"/>
                <wp:positionH relativeFrom="column">
                  <wp:posOffset>4102583</wp:posOffset>
                </wp:positionH>
                <wp:positionV relativeFrom="paragraph">
                  <wp:posOffset>120447</wp:posOffset>
                </wp:positionV>
                <wp:extent cx="790042" cy="577901"/>
                <wp:effectExtent l="0" t="0" r="0" b="0"/>
                <wp:wrapNone/>
                <wp:docPr id="226" name="Owal 226"/>
                <wp:cNvGraphicFramePr/>
                <a:graphic xmlns:a="http://schemas.openxmlformats.org/drawingml/2006/main">
                  <a:graphicData uri="http://schemas.microsoft.com/office/word/2010/wordprocessingShape">
                    <wps:wsp>
                      <wps:cNvSpPr/>
                      <wps:spPr>
                        <a:xfrm>
                          <a:off x="0" y="0"/>
                          <a:ext cx="790042" cy="577901"/>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B4D83B" w14:textId="77777777" w:rsidR="0009007E" w:rsidRPr="006B60A8" w:rsidRDefault="0009007E" w:rsidP="0009007E">
                            <w:pPr>
                              <w:jc w:val="center"/>
                              <w:rPr>
                                <w:i/>
                                <w:iCs/>
                              </w:rPr>
                            </w:pPr>
                            <w:r w:rsidRPr="006B60A8">
                              <w:rPr>
                                <w:i/>
                                <w:iCs/>
                              </w:rPr>
                              <w:t>Grupa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C6ACF" id="Owal 226" o:spid="_x0000_s1044" style="position:absolute;margin-left:323.05pt;margin-top:9.5pt;width:62.2pt;height:4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" fillcolor="#70ad47 [3209]" stroked="f">
                <v:fill opacity="32896f"/>
                <v:textbox>
                  <w:txbxContent>
                    <w:p w14:paraId="1AB4D83B" w14:textId="77777777" w:rsidR="0009007E" w:rsidRPr="006B60A8" w:rsidRDefault="0009007E" w:rsidP="0009007E">
                      <w:pPr>
                        <w:jc w:val="center"/>
                        <w:rPr>
                          <w:i/>
                          <w:iCs/>
                        </w:rPr>
                      </w:pPr>
                      <w:r w:rsidRPr="006B60A8">
                        <w:rPr>
                          <w:i/>
                          <w:iCs/>
                        </w:rPr>
                        <w:t>Grupa A</w:t>
                      </w:r>
                    </w:p>
                  </w:txbxContent>
                </v:textbox>
              </v:oval>
            </w:pict>
          </mc:Fallback>
        </mc:AlternateContent>
      </w:r>
      <w:r w:rsidRPr="003E7A67">
        <w:rPr>
          <w:i/>
          <w:iCs/>
        </w:rPr>
        <w:t>Grupa nabywa jednostkę</w:t>
      </w:r>
    </w:p>
    <w:p w14:paraId="621DAF00"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60320" behindDoc="0" locked="0" layoutInCell="1" allowOverlap="1" wp14:anchorId="4855DCEF" wp14:editId="2109A25B">
                <wp:simplePos x="0" y="0"/>
                <wp:positionH relativeFrom="column">
                  <wp:posOffset>2637155</wp:posOffset>
                </wp:positionH>
                <wp:positionV relativeFrom="paragraph">
                  <wp:posOffset>235585</wp:posOffset>
                </wp:positionV>
                <wp:extent cx="243840" cy="906780"/>
                <wp:effectExtent l="0" t="0" r="41910" b="26670"/>
                <wp:wrapNone/>
                <wp:docPr id="56" name="Nawias klamrowy zamykający 56"/>
                <wp:cNvGraphicFramePr/>
                <a:graphic xmlns:a="http://schemas.openxmlformats.org/drawingml/2006/main">
                  <a:graphicData uri="http://schemas.microsoft.com/office/word/2010/wordprocessingShape">
                    <wps:wsp>
                      <wps:cNvSpPr/>
                      <wps:spPr>
                        <a:xfrm>
                          <a:off x="0" y="0"/>
                          <a:ext cx="243840" cy="906780"/>
                        </a:xfrm>
                        <a:prstGeom prst="rightBrace">
                          <a:avLst>
                            <a:gd name="adj1" fmla="val 23550"/>
                            <a:gd name="adj2" fmla="val 5095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FA61" id="Nawias klamrowy zamykający 56" o:spid="_x0000_s1026" type="#_x0000_t88" style="position:absolute;margin-left:207.65pt;margin-top:18.55pt;width:19.2pt;height:71.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" adj="1368,11006" strokecolor="#5b9bd5 [3204]" strokeweight=".5pt">
                <v:stroke joinstyle="miter"/>
              </v:shape>
            </w:pict>
          </mc:Fallback>
        </mc:AlternateContent>
      </w:r>
      <w:r w:rsidRPr="003E7A67">
        <w:rPr>
          <w:i/>
          <w:iCs/>
          <w:noProof/>
          <w:lang w:eastAsia="pl-PL"/>
        </w:rPr>
        <mc:AlternateContent>
          <mc:Choice Requires="wps">
            <w:drawing>
              <wp:anchor distT="0" distB="0" distL="114300" distR="114300" simplePos="0" relativeHeight="251929600" behindDoc="0" locked="0" layoutInCell="1" allowOverlap="1" wp14:anchorId="09A63542" wp14:editId="4855E14B">
                <wp:simplePos x="0" y="0"/>
                <wp:positionH relativeFrom="column">
                  <wp:posOffset>1594485</wp:posOffset>
                </wp:positionH>
                <wp:positionV relativeFrom="paragraph">
                  <wp:posOffset>194310</wp:posOffset>
                </wp:positionV>
                <wp:extent cx="790042" cy="577901"/>
                <wp:effectExtent l="0" t="0" r="10160" b="12700"/>
                <wp:wrapNone/>
                <wp:docPr id="219" name="Owal 219"/>
                <wp:cNvGraphicFramePr/>
                <a:graphic xmlns:a="http://schemas.openxmlformats.org/drawingml/2006/main">
                  <a:graphicData uri="http://schemas.microsoft.com/office/word/2010/wordprocessingShape">
                    <wps:wsp>
                      <wps:cNvSpPr/>
                      <wps:spPr>
                        <a:xfrm>
                          <a:off x="0" y="0"/>
                          <a:ext cx="790042" cy="577901"/>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26D81D49" w14:textId="77777777" w:rsidR="0009007E" w:rsidRDefault="0009007E" w:rsidP="0009007E">
                            <w:pPr>
                              <w:jc w:val="center"/>
                            </w:pPr>
                            <w:r>
                              <w:t>Grupa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63542" id="Owal 219" o:spid="_x0000_s1045" style="position:absolute;margin-left:125.55pt;margin-top:15.3pt;width:62.2pt;height:4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" fillcolor="#9ecb81 [2169]" strokecolor="#70ad47 [3209]" strokeweight=".5pt">
                <v:fill color2="#8ac066 [2617]" rotate="t" colors="0 #b5d5a7;.5 #aace99;1 #9cca86" focus="100%" type="gradient">
                  <o:fill v:ext="view" type="gradientUnscaled"/>
                </v:fill>
                <v:stroke joinstyle="miter"/>
                <v:textbox>
                  <w:txbxContent>
                    <w:p w14:paraId="26D81D49" w14:textId="77777777" w:rsidR="0009007E" w:rsidRDefault="0009007E" w:rsidP="0009007E">
                      <w:pPr>
                        <w:jc w:val="center"/>
                      </w:pPr>
                      <w:r>
                        <w:t>Grupa A</w:t>
                      </w:r>
                    </w:p>
                  </w:txbxContent>
                </v:textbox>
              </v:oval>
            </w:pict>
          </mc:Fallback>
        </mc:AlternateContent>
      </w:r>
    </w:p>
    <w:p w14:paraId="27CF6B7E" w14:textId="77777777" w:rsidR="0009007E" w:rsidRPr="003E7A67" w:rsidRDefault="0009007E" w:rsidP="0009007E">
      <w:r w:rsidRPr="003E7A67">
        <w:rPr>
          <w:rFonts w:cstheme="minorHAnsi"/>
          <w:bCs/>
          <w:noProof/>
          <w:lang w:eastAsia="pl-PL"/>
        </w:rPr>
        <mc:AlternateContent>
          <mc:Choice Requires="wps">
            <w:drawing>
              <wp:anchor distT="45720" distB="45720" distL="114300" distR="114300" simplePos="0" relativeHeight="251936768" behindDoc="0" locked="0" layoutInCell="1" allowOverlap="1" wp14:anchorId="21B0DC8E" wp14:editId="1909F30E">
                <wp:simplePos x="0" y="0"/>
                <wp:positionH relativeFrom="column">
                  <wp:posOffset>3588385</wp:posOffset>
                </wp:positionH>
                <wp:positionV relativeFrom="paragraph">
                  <wp:posOffset>123190</wp:posOffset>
                </wp:positionV>
                <wp:extent cx="935990" cy="474980"/>
                <wp:effectExtent l="0" t="0" r="0" b="1270"/>
                <wp:wrapSquare wrapText="bothSides"/>
                <wp:docPr id="2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74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E848CB" w14:textId="77777777" w:rsidR="0009007E" w:rsidRPr="006B60A8" w:rsidRDefault="0009007E" w:rsidP="0009007E">
                            <w:pPr>
                              <w:spacing w:after="0"/>
                              <w:rPr>
                                <w:i/>
                                <w:iCs/>
                                <w:sz w:val="20"/>
                                <w:szCs w:val="20"/>
                              </w:rPr>
                            </w:pPr>
                            <w:r w:rsidRPr="006B60A8">
                              <w:rPr>
                                <w:i/>
                                <w:iCs/>
                                <w:sz w:val="20"/>
                                <w:szCs w:val="20"/>
                              </w:rPr>
                              <w:t xml:space="preserve">Udział </w:t>
                            </w:r>
                          </w:p>
                          <w:p w14:paraId="293D7455" w14:textId="77777777" w:rsidR="0009007E" w:rsidRPr="006B60A8" w:rsidRDefault="0009007E" w:rsidP="0009007E">
                            <w:pPr>
                              <w:spacing w:after="0"/>
                              <w:rPr>
                                <w:i/>
                                <w:iCs/>
                                <w:sz w:val="20"/>
                                <w:szCs w:val="20"/>
                              </w:rPr>
                            </w:pPr>
                            <w:r w:rsidRPr="006B60A8">
                              <w:rPr>
                                <w:i/>
                                <w:iCs/>
                                <w:sz w:val="20"/>
                                <w:szCs w:val="20"/>
                              </w:rPr>
                              <w:t>konsolidujący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0DC8E" id="_x0000_s1046" type="#_x0000_t202" style="position:absolute;margin-left:282.55pt;margin-top:9.7pt;width:73.7pt;height:37.4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" filled="f" stroked="f">
                <v:textbox>
                  <w:txbxContent>
                    <w:p w14:paraId="4BE848CB" w14:textId="77777777" w:rsidR="0009007E" w:rsidRPr="006B60A8" w:rsidRDefault="0009007E" w:rsidP="0009007E">
                      <w:pPr>
                        <w:spacing w:after="0"/>
                        <w:rPr>
                          <w:i/>
                          <w:iCs/>
                          <w:sz w:val="20"/>
                          <w:szCs w:val="20"/>
                        </w:rPr>
                      </w:pPr>
                      <w:r w:rsidRPr="006B60A8">
                        <w:rPr>
                          <w:i/>
                          <w:iCs/>
                          <w:sz w:val="20"/>
                          <w:szCs w:val="20"/>
                        </w:rPr>
                        <w:t xml:space="preserve">Udział </w:t>
                      </w:r>
                    </w:p>
                    <w:p w14:paraId="293D7455" w14:textId="77777777" w:rsidR="0009007E" w:rsidRPr="006B60A8" w:rsidRDefault="0009007E" w:rsidP="0009007E">
                      <w:pPr>
                        <w:spacing w:after="0"/>
                        <w:rPr>
                          <w:i/>
                          <w:iCs/>
                          <w:sz w:val="20"/>
                          <w:szCs w:val="20"/>
                        </w:rPr>
                      </w:pPr>
                      <w:r w:rsidRPr="006B60A8">
                        <w:rPr>
                          <w:i/>
                          <w:iCs/>
                          <w:sz w:val="20"/>
                          <w:szCs w:val="20"/>
                        </w:rPr>
                        <w:t>konsolidujący</w:t>
                      </w:r>
                    </w:p>
                  </w:txbxContent>
                </v:textbox>
                <w10:wrap type="square"/>
              </v:shape>
            </w:pict>
          </mc:Fallback>
        </mc:AlternateContent>
      </w:r>
      <w:r w:rsidRPr="003E7A67">
        <w:rPr>
          <w:rFonts w:cstheme="minorHAnsi"/>
          <w:bCs/>
          <w:noProof/>
          <w:lang w:eastAsia="pl-PL"/>
        </w:rPr>
        <mc:AlternateContent>
          <mc:Choice Requires="wps">
            <w:drawing>
              <wp:anchor distT="0" distB="0" distL="114300" distR="114300" simplePos="0" relativeHeight="251935744" behindDoc="0" locked="0" layoutInCell="1" allowOverlap="1" wp14:anchorId="2DBE0DCB" wp14:editId="6F23F6F1">
                <wp:simplePos x="0" y="0"/>
                <wp:positionH relativeFrom="column">
                  <wp:posOffset>4520743</wp:posOffset>
                </wp:positionH>
                <wp:positionV relativeFrom="paragraph">
                  <wp:posOffset>112725</wp:posOffset>
                </wp:positionV>
                <wp:extent cx="7340" cy="474955"/>
                <wp:effectExtent l="0" t="0" r="31115" b="20955"/>
                <wp:wrapNone/>
                <wp:docPr id="229" name="Łącznik prosty 229"/>
                <wp:cNvGraphicFramePr/>
                <a:graphic xmlns:a="http://schemas.openxmlformats.org/drawingml/2006/main">
                  <a:graphicData uri="http://schemas.microsoft.com/office/word/2010/wordprocessingShape">
                    <wps:wsp>
                      <wps:cNvCnPr/>
                      <wps:spPr>
                        <a:xfrm flipH="1">
                          <a:off x="0" y="0"/>
                          <a:ext cx="7340" cy="474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E657E" id="Łącznik prosty 229"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95pt,8.9pt" to="356.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" strokecolor="black [3200]" strokeweight=".5pt">
                <v:stroke joinstyle="miter"/>
              </v:line>
            </w:pict>
          </mc:Fallback>
        </mc:AlternateContent>
      </w:r>
    </w:p>
    <w:p w14:paraId="5B5B881B"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30624" behindDoc="0" locked="0" layoutInCell="1" allowOverlap="1" wp14:anchorId="51C55F5B" wp14:editId="1BE7FDCD">
                <wp:simplePos x="0" y="0"/>
                <wp:positionH relativeFrom="margin">
                  <wp:posOffset>1691005</wp:posOffset>
                </wp:positionH>
                <wp:positionV relativeFrom="paragraph">
                  <wp:posOffset>276860</wp:posOffset>
                </wp:positionV>
                <wp:extent cx="633095" cy="282575"/>
                <wp:effectExtent l="0" t="0" r="14605" b="22225"/>
                <wp:wrapNone/>
                <wp:docPr id="222" name="Prostokąt 222"/>
                <wp:cNvGraphicFramePr/>
                <a:graphic xmlns:a="http://schemas.openxmlformats.org/drawingml/2006/main">
                  <a:graphicData uri="http://schemas.microsoft.com/office/word/2010/wordprocessingShape">
                    <wps:wsp>
                      <wps:cNvSpPr/>
                      <wps:spPr>
                        <a:xfrm>
                          <a:off x="0" y="0"/>
                          <a:ext cx="633095" cy="2825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35A49987" w14:textId="77777777" w:rsidR="0009007E" w:rsidRDefault="0009007E" w:rsidP="0009007E">
                            <w:pPr>
                              <w:jc w:val="center"/>
                            </w:pPr>
                            <w:r>
                              <w:t>B</w:t>
                            </w:r>
                          </w:p>
                          <w:p w14:paraId="06A28FD0"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55F5B" id="Prostokąt 222" o:spid="_x0000_s1047" style="position:absolute;margin-left:133.15pt;margin-top:21.8pt;width:49.85pt;height:22.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" fillcolor="#65a0d7 [3028]" strokecolor="#5b9bd5 [3204]" strokeweight=".5pt">
                <v:fill color2="#5898d4 [3172]" rotate="t" colors="0 #71a6db;.5 #559bdb;1 #438ac9" focus="100%" type="gradient">
                  <o:fill v:ext="view" type="gradientUnscaled"/>
                </v:fill>
                <v:textbox>
                  <w:txbxContent>
                    <w:p w14:paraId="35A49987" w14:textId="77777777" w:rsidR="0009007E" w:rsidRDefault="0009007E" w:rsidP="0009007E">
                      <w:pPr>
                        <w:jc w:val="center"/>
                      </w:pPr>
                      <w:r>
                        <w:t>B</w:t>
                      </w:r>
                    </w:p>
                    <w:p w14:paraId="06A28FD0" w14:textId="77777777" w:rsidR="0009007E" w:rsidRDefault="0009007E" w:rsidP="0009007E">
                      <w:pPr>
                        <w:jc w:val="center"/>
                      </w:pPr>
                    </w:p>
                  </w:txbxContent>
                </v:textbox>
                <w10:wrap anchorx="margin"/>
              </v:rect>
            </w:pict>
          </mc:Fallback>
        </mc:AlternateContent>
      </w:r>
    </w:p>
    <w:p w14:paraId="61814AA6"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33696" behindDoc="0" locked="0" layoutInCell="1" allowOverlap="1" wp14:anchorId="2E006FD9" wp14:editId="61CFB185">
                <wp:simplePos x="0" y="0"/>
                <wp:positionH relativeFrom="margin">
                  <wp:posOffset>4211625</wp:posOffset>
                </wp:positionH>
                <wp:positionV relativeFrom="paragraph">
                  <wp:posOffset>1803</wp:posOffset>
                </wp:positionV>
                <wp:extent cx="633095" cy="282575"/>
                <wp:effectExtent l="0" t="0" r="0" b="3175"/>
                <wp:wrapNone/>
                <wp:docPr id="227" name="Prostokąt 227"/>
                <wp:cNvGraphicFramePr/>
                <a:graphic xmlns:a="http://schemas.openxmlformats.org/drawingml/2006/main">
                  <a:graphicData uri="http://schemas.microsoft.com/office/word/2010/wordprocessingShape">
                    <wps:wsp>
                      <wps:cNvSpPr/>
                      <wps:spPr>
                        <a:xfrm>
                          <a:off x="0" y="0"/>
                          <a:ext cx="633095" cy="282575"/>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573C1C8" w14:textId="77777777" w:rsidR="0009007E" w:rsidRPr="006B60A8" w:rsidRDefault="0009007E" w:rsidP="0009007E">
                            <w:pPr>
                              <w:jc w:val="center"/>
                              <w:rPr>
                                <w:i/>
                                <w:iCs/>
                              </w:rPr>
                            </w:pPr>
                            <w:r w:rsidRPr="006B60A8">
                              <w:rPr>
                                <w:i/>
                                <w:iCs/>
                              </w:rPr>
                              <w:t>B</w:t>
                            </w:r>
                          </w:p>
                          <w:p w14:paraId="64DDD75E"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06FD9" id="Prostokąt 227" o:spid="_x0000_s1048" style="position:absolute;margin-left:331.6pt;margin-top:.15pt;width:49.85pt;height:22.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" fillcolor="#4472c4 [3208]" stroked="f">
                <v:fill opacity="32896f"/>
                <v:textbox>
                  <w:txbxContent>
                    <w:p w14:paraId="2573C1C8" w14:textId="77777777" w:rsidR="0009007E" w:rsidRPr="006B60A8" w:rsidRDefault="0009007E" w:rsidP="0009007E">
                      <w:pPr>
                        <w:jc w:val="center"/>
                        <w:rPr>
                          <w:i/>
                          <w:iCs/>
                        </w:rPr>
                      </w:pPr>
                      <w:r w:rsidRPr="006B60A8">
                        <w:rPr>
                          <w:i/>
                          <w:iCs/>
                        </w:rPr>
                        <w:t>B</w:t>
                      </w:r>
                    </w:p>
                    <w:p w14:paraId="64DDD75E" w14:textId="77777777" w:rsidR="0009007E" w:rsidRDefault="0009007E" w:rsidP="0009007E">
                      <w:pPr>
                        <w:jc w:val="center"/>
                      </w:pPr>
                    </w:p>
                  </w:txbxContent>
                </v:textbox>
                <w10:wrap anchorx="margin"/>
              </v:rect>
            </w:pict>
          </mc:Fallback>
        </mc:AlternateContent>
      </w:r>
    </w:p>
    <w:p w14:paraId="3819B026" w14:textId="77777777" w:rsidR="0009007E" w:rsidRPr="003E7A67" w:rsidRDefault="0009007E" w:rsidP="0009007E">
      <w:r w:rsidRPr="003E7A67">
        <w:rPr>
          <w:rFonts w:cstheme="minorHAnsi"/>
          <w:bCs/>
          <w:noProof/>
          <w:lang w:eastAsia="pl-PL"/>
        </w:rPr>
        <mc:AlternateContent>
          <mc:Choice Requires="wps">
            <w:drawing>
              <wp:anchor distT="45720" distB="45720" distL="114300" distR="114300" simplePos="0" relativeHeight="251934720" behindDoc="0" locked="0" layoutInCell="1" allowOverlap="1" wp14:anchorId="77DA2569" wp14:editId="06DA3525">
                <wp:simplePos x="0" y="0"/>
                <wp:positionH relativeFrom="margin">
                  <wp:posOffset>3956025</wp:posOffset>
                </wp:positionH>
                <wp:positionV relativeFrom="paragraph">
                  <wp:posOffset>38201</wp:posOffset>
                </wp:positionV>
                <wp:extent cx="758190" cy="335915"/>
                <wp:effectExtent l="0" t="0" r="0" b="6985"/>
                <wp:wrapSquare wrapText="bothSides"/>
                <wp:docPr id="2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3359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9C1674" w14:textId="77777777" w:rsidR="0009007E" w:rsidRPr="006B60A8" w:rsidRDefault="0009007E" w:rsidP="0009007E">
                            <w:pPr>
                              <w:spacing w:after="0"/>
                              <w:rPr>
                                <w:b/>
                                <w:bCs/>
                              </w:rPr>
                            </w:pPr>
                            <w:r w:rsidRPr="006B60A8">
                              <w:rPr>
                                <w:b/>
                                <w:bCs/>
                              </w:rPr>
                              <w:t>Grupa 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A2569" id="_x0000_s1049" type="#_x0000_t202" style="position:absolute;margin-left:311.5pt;margin-top:3pt;width:59.7pt;height:26.4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" filled="f" stroked="f">
                <v:textbox>
                  <w:txbxContent>
                    <w:p w14:paraId="2D9C1674" w14:textId="77777777" w:rsidR="0009007E" w:rsidRPr="006B60A8" w:rsidRDefault="0009007E" w:rsidP="0009007E">
                      <w:pPr>
                        <w:spacing w:after="0"/>
                        <w:rPr>
                          <w:b/>
                          <w:bCs/>
                        </w:rPr>
                      </w:pPr>
                      <w:r w:rsidRPr="006B60A8">
                        <w:rPr>
                          <w:b/>
                          <w:bCs/>
                        </w:rPr>
                        <w:t>Grupa AB</w:t>
                      </w:r>
                    </w:p>
                  </w:txbxContent>
                </v:textbox>
                <w10:wrap type="square" anchorx="margin"/>
              </v:shape>
            </w:pict>
          </mc:Fallback>
        </mc:AlternateContent>
      </w:r>
    </w:p>
    <w:p w14:paraId="4C878695" w14:textId="77777777" w:rsidR="0009007E" w:rsidRPr="003E7A67" w:rsidRDefault="0009007E" w:rsidP="0009007E">
      <w:pPr>
        <w:spacing w:after="120"/>
        <w:jc w:val="both"/>
        <w:rPr>
          <w:rFonts w:cstheme="minorHAnsi"/>
          <w:bCs/>
        </w:rPr>
      </w:pPr>
    </w:p>
    <w:p w14:paraId="0642E7BC" w14:textId="77777777"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Ponadto, opisany w literze c przypadek, w którym jednostka, która nie należy do żadnej grupy, staje się jednostką składową istniejącej grupy ma również zastosowanie, gdy w ramach tego samego porozumienia:</w:t>
      </w:r>
    </w:p>
    <w:p w14:paraId="4FC0D676" w14:textId="77777777" w:rsidR="0009007E" w:rsidRPr="00633318" w:rsidRDefault="0009007E" w:rsidP="00B6504F">
      <w:pPr>
        <w:pStyle w:val="Akapitzlist"/>
        <w:numPr>
          <w:ilvl w:val="0"/>
          <w:numId w:val="43"/>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dwie grupy (lub więcej) łączą się z jedną jednostką, </w:t>
      </w:r>
    </w:p>
    <w:p w14:paraId="33F04B6E" w14:textId="77777777" w:rsidR="0009007E" w:rsidRPr="00633318" w:rsidRDefault="0009007E" w:rsidP="00B6504F">
      <w:pPr>
        <w:pStyle w:val="Akapitzlist"/>
        <w:numPr>
          <w:ilvl w:val="0"/>
          <w:numId w:val="43"/>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jedna grupa łączy się z dwoma (lub więcej) jednostkami, oraz </w:t>
      </w:r>
    </w:p>
    <w:p w14:paraId="248A7748" w14:textId="77777777" w:rsidR="0009007E" w:rsidRPr="00633318" w:rsidRDefault="0009007E" w:rsidP="00B6504F">
      <w:pPr>
        <w:pStyle w:val="Akapitzlist"/>
        <w:numPr>
          <w:ilvl w:val="0"/>
          <w:numId w:val="43"/>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dwie (lub więcej) grupy łączą się z dwoma (lub więcej) jednostkami. </w:t>
      </w:r>
    </w:p>
    <w:p w14:paraId="6F0EC119" w14:textId="608BFDE2"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Jednocześnie, definicja ta obejmuje zarówno sytuacje, kiedy jednostka nienależąca do żadnej grupy jest „nabywana” przez inną jednostkę lub grupę jak i sytuacje, kiedy jednostka nienależąca do grupy „nabywa” inną jednostkę nienależącą do żadnej grupy lub jednostka „nabywa” grupę.</w:t>
      </w:r>
    </w:p>
    <w:p w14:paraId="2412C1E9" w14:textId="1993C41C"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Pkt 2</w:t>
      </w:r>
      <w:r w:rsidRPr="00633318">
        <w:rPr>
          <w:rFonts w:ascii="Times New Roman" w:hAnsi="Times New Roman" w:cs="Times New Roman"/>
          <w:bCs/>
          <w:sz w:val="24"/>
          <w:szCs w:val="24"/>
        </w:rPr>
        <w:t xml:space="preserve"> implementuje art. 33</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1 lit b Dyrektywy i definiuje z kolei „podzieloną grupę”. Pojęcie to oznacza grupę, która powstała w ramach porozumienia, w wyniku którego jednostki składowe jednej grupy stają się jednostkami składowymi co najmniej dwóch grup, niepodlegającymi konsolidacji dokonywanej przez tę samą jednostkę dominującą najwyższego szczebla.</w:t>
      </w:r>
    </w:p>
    <w:p w14:paraId="7EA5DBC9" w14:textId="77777777"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Podziałem grupy jest każde porozumienie, na mocy którego jednostki składowe jednej grupy zostają rozdzielone na dwie (lub więcej) samodzielne grupy i przestają być konsolidowane metodą pełną przez tą samą jednostkę dominującą najwyższego szczebla, ale są konsolidowane metodą pełną przez dwie (lub więcej) jednostki dominujące najwyższego szczebla, należące od dnia podziału do różnych grup.</w:t>
      </w:r>
    </w:p>
    <w:p w14:paraId="3BEDAD8C" w14:textId="30F49249"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Tak jak w przypadku połączonej grupy, to czy grupa jest podzielona na dwie lub więcej grup zależy od tego, czy każdy wyodrębniony zbiór jednostek spełnia definicję grupy z art. 2 </w:t>
      </w:r>
      <w:r w:rsidR="00A16FDB" w:rsidRPr="00633318">
        <w:rPr>
          <w:rFonts w:ascii="Times New Roman" w:hAnsi="Times New Roman" w:cs="Times New Roman"/>
          <w:bCs/>
          <w:sz w:val="24"/>
          <w:szCs w:val="24"/>
        </w:rPr>
        <w:t xml:space="preserve">ust. 1 </w:t>
      </w:r>
      <w:r w:rsidRPr="00633318">
        <w:rPr>
          <w:rFonts w:ascii="Times New Roman" w:hAnsi="Times New Roman" w:cs="Times New Roman"/>
          <w:bCs/>
          <w:sz w:val="24"/>
          <w:szCs w:val="24"/>
        </w:rPr>
        <w:t>pkt 6 (w tym od tego, czy jest konsolidowany metodą pełną w jednym skonsolidowanym sprawozdaniu finansowym).</w:t>
      </w:r>
      <w:r w:rsidRPr="00633318">
        <w:rPr>
          <w:rFonts w:ascii="Times New Roman" w:hAnsi="Times New Roman" w:cs="Times New Roman"/>
          <w:sz w:val="24"/>
          <w:szCs w:val="24"/>
        </w:rPr>
        <w:t xml:space="preserve"> </w:t>
      </w:r>
      <w:r w:rsidRPr="00633318">
        <w:rPr>
          <w:rFonts w:ascii="Times New Roman" w:hAnsi="Times New Roman" w:cs="Times New Roman"/>
          <w:bCs/>
          <w:sz w:val="24"/>
          <w:szCs w:val="24"/>
        </w:rPr>
        <w:t>Definicja podzielonej grupy nie będzie więc obejmować sprzedaży udziału konsolidującego w jednej jednostce.</w:t>
      </w:r>
    </w:p>
    <w:p w14:paraId="2827B3B2" w14:textId="2430881A"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Co do zasady, zbycie pojedynczej jednostki składowej nie stanowi podziału grupy, ponieważ po zbyciu jednostka taka stałaby się jednostką samodzielną, a nie grupą. Jeżeli jednak zbywana jednostka składowa posiada zakład w </w:t>
      </w:r>
      <w:r w:rsidR="00DA5234" w:rsidRPr="00633318">
        <w:rPr>
          <w:rFonts w:ascii="Times New Roman" w:hAnsi="Times New Roman" w:cs="Times New Roman"/>
          <w:bCs/>
          <w:sz w:val="24"/>
          <w:szCs w:val="24"/>
        </w:rPr>
        <w:t xml:space="preserve">innej </w:t>
      </w:r>
      <w:r w:rsidR="00DA5234" w:rsidRPr="00633318">
        <w:rPr>
          <w:rFonts w:ascii="Times New Roman" w:hAnsi="Times New Roman" w:cs="Times New Roman"/>
          <w:sz w:val="24"/>
          <w:szCs w:val="24"/>
        </w:rPr>
        <w:t>jurysdykcji</w:t>
      </w:r>
      <w:r w:rsidRPr="00633318">
        <w:rPr>
          <w:rFonts w:ascii="Times New Roman" w:hAnsi="Times New Roman" w:cs="Times New Roman"/>
          <w:bCs/>
          <w:sz w:val="24"/>
          <w:szCs w:val="24"/>
        </w:rPr>
        <w:t xml:space="preserve">, to taka jednostka i jej zakład są uznawane za grupę zgodnie z art. 2 </w:t>
      </w:r>
      <w:r w:rsidR="00A16FDB" w:rsidRPr="00633318">
        <w:rPr>
          <w:rFonts w:ascii="Times New Roman" w:hAnsi="Times New Roman" w:cs="Times New Roman"/>
          <w:bCs/>
          <w:sz w:val="24"/>
          <w:szCs w:val="24"/>
        </w:rPr>
        <w:t xml:space="preserve">ust. 1 </w:t>
      </w:r>
      <w:r w:rsidRPr="00633318">
        <w:rPr>
          <w:rFonts w:ascii="Times New Roman" w:hAnsi="Times New Roman" w:cs="Times New Roman"/>
          <w:bCs/>
          <w:sz w:val="24"/>
          <w:szCs w:val="24"/>
        </w:rPr>
        <w:t xml:space="preserve">pkt 6 ustawy (a zatem nowa grupa istnieje także dla celów art. 4 ust. 8). </w:t>
      </w:r>
    </w:p>
    <w:p w14:paraId="1625735B" w14:textId="77777777" w:rsidR="0009007E" w:rsidRPr="00633318" w:rsidRDefault="0009007E" w:rsidP="0009007E">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Definicja ta nie obejmuje jednak sytuacji, w których grupa „zbywa” jedną lub więcej jednostek składowych, a nabywcą jest inna grupa. W takich przypadkach zbywane jednostki dołączają do istniejącej grupy, a nie tworzą nową. Jednocześnie jednak, sprzedaż jednej lub większej liczby jednostek składowych grupy na rzecz innej grupy może wchodzić w zakres definicji połączonej grupy w odniesieniu do grupy przejmującej, przykładowo gdy sprzedaż tych jednostek stanowiła praktycznie całą działalność grupy sprzedającej.</w:t>
      </w:r>
    </w:p>
    <w:p w14:paraId="6696455C" w14:textId="3AB476A1" w:rsidR="000416A5" w:rsidRPr="003E7A67" w:rsidRDefault="0009007E" w:rsidP="00191592">
      <w:pPr>
        <w:spacing w:after="120"/>
        <w:jc w:val="both"/>
        <w:rPr>
          <w:i/>
          <w:iCs/>
        </w:rPr>
      </w:pPr>
      <w:r w:rsidRPr="003E7A67">
        <w:rPr>
          <w:i/>
          <w:iCs/>
        </w:rPr>
        <w:t>Podział grupy:</w:t>
      </w:r>
    </w:p>
    <w:p w14:paraId="49BF705B" w14:textId="1FED1DA0" w:rsidR="0009007E" w:rsidRPr="003E7A67" w:rsidRDefault="0009007E" w:rsidP="00191592">
      <w:pPr>
        <w:spacing w:after="120"/>
        <w:jc w:val="both"/>
        <w:rPr>
          <w:i/>
          <w:iCs/>
        </w:rPr>
      </w:pPr>
      <w:r w:rsidRPr="003E7A67">
        <w:rPr>
          <w:noProof/>
          <w:lang w:eastAsia="pl-PL"/>
        </w:rPr>
        <mc:AlternateContent>
          <mc:Choice Requires="wps">
            <w:drawing>
              <wp:anchor distT="0" distB="0" distL="114300" distR="114300" simplePos="0" relativeHeight="251956224" behindDoc="0" locked="0" layoutInCell="1" allowOverlap="1" wp14:anchorId="7C3573A0" wp14:editId="29A1C141">
                <wp:simplePos x="0" y="0"/>
                <wp:positionH relativeFrom="column">
                  <wp:posOffset>2630805</wp:posOffset>
                </wp:positionH>
                <wp:positionV relativeFrom="paragraph">
                  <wp:posOffset>34290</wp:posOffset>
                </wp:positionV>
                <wp:extent cx="1367155" cy="3429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1367155" cy="342900"/>
                        </a:xfrm>
                        <a:prstGeom prst="rect">
                          <a:avLst/>
                        </a:prstGeom>
                        <a:noFill/>
                        <a:ln w="6350">
                          <a:noFill/>
                        </a:ln>
                      </wps:spPr>
                      <wps:txbx>
                        <w:txbxContent>
                          <w:p w14:paraId="581629CB" w14:textId="77777777" w:rsidR="0009007E" w:rsidRPr="00617568" w:rsidRDefault="0009007E" w:rsidP="0009007E">
                            <w:pPr>
                              <w:rPr>
                                <w:b/>
                                <w:bCs/>
                              </w:rPr>
                            </w:pPr>
                            <w:r w:rsidRPr="00617568">
                              <w:rPr>
                                <w:b/>
                                <w:bCs/>
                              </w:rPr>
                              <w:t>Podzielona grupa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573A0" id="_x0000_s1050" type="#_x0000_t202" style="position:absolute;left:0;text-align:left;margin-left:207.15pt;margin-top:2.7pt;width:107.65pt;height:27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4Gw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" filled="f" stroked="f" strokeweight=".5pt">
                <v:textbox>
                  <w:txbxContent>
                    <w:p w14:paraId="581629CB" w14:textId="77777777" w:rsidR="0009007E" w:rsidRPr="00617568" w:rsidRDefault="0009007E" w:rsidP="0009007E">
                      <w:pPr>
                        <w:rPr>
                          <w:b/>
                          <w:bCs/>
                        </w:rPr>
                      </w:pPr>
                      <w:r w:rsidRPr="00617568">
                        <w:rPr>
                          <w:b/>
                          <w:bCs/>
                        </w:rPr>
                        <w:t>Podzielona grupa A</w:t>
                      </w:r>
                    </w:p>
                  </w:txbxContent>
                </v:textbox>
              </v:shape>
            </w:pict>
          </mc:Fallback>
        </mc:AlternateContent>
      </w:r>
      <w:r w:rsidRPr="003E7A67">
        <w:rPr>
          <w:rFonts w:cstheme="minorHAnsi"/>
          <w:bCs/>
          <w:noProof/>
          <w:lang w:eastAsia="pl-PL"/>
        </w:rPr>
        <mc:AlternateContent>
          <mc:Choice Requires="wps">
            <w:drawing>
              <wp:anchor distT="0" distB="0" distL="114300" distR="114300" simplePos="0" relativeHeight="251940864" behindDoc="0" locked="0" layoutInCell="1" allowOverlap="1" wp14:anchorId="3D7FA578" wp14:editId="64FBB1AD">
                <wp:simplePos x="0" y="0"/>
                <wp:positionH relativeFrom="margin">
                  <wp:posOffset>2628900</wp:posOffset>
                </wp:positionH>
                <wp:positionV relativeFrom="paragraph">
                  <wp:posOffset>264795</wp:posOffset>
                </wp:positionV>
                <wp:extent cx="1367155" cy="338455"/>
                <wp:effectExtent l="0" t="0" r="23495" b="23495"/>
                <wp:wrapNone/>
                <wp:docPr id="5" name="Prostokąt 5"/>
                <wp:cNvGraphicFramePr/>
                <a:graphic xmlns:a="http://schemas.openxmlformats.org/drawingml/2006/main">
                  <a:graphicData uri="http://schemas.microsoft.com/office/word/2010/wordprocessingShape">
                    <wps:wsp>
                      <wps:cNvSpPr/>
                      <wps:spPr>
                        <a:xfrm>
                          <a:off x="0" y="0"/>
                          <a:ext cx="1367155" cy="33845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654E3FCA" w14:textId="77777777" w:rsidR="0009007E" w:rsidRPr="00617568" w:rsidRDefault="0009007E" w:rsidP="0009007E">
                            <w:pPr>
                              <w:spacing w:after="0" w:line="240" w:lineRule="auto"/>
                              <w:jc w:val="center"/>
                              <w:rPr>
                                <w:sz w:val="16"/>
                                <w:szCs w:val="16"/>
                              </w:rPr>
                            </w:pPr>
                            <w:r w:rsidRPr="00617568">
                              <w:rPr>
                                <w:sz w:val="16"/>
                                <w:szCs w:val="16"/>
                              </w:rPr>
                              <w:t>jednostka dominująca najwyższego szczebla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FA578" id="Prostokąt 5" o:spid="_x0000_s1051" style="position:absolute;left:0;text-align:left;margin-left:207pt;margin-top:20.85pt;width:107.65pt;height:26.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" fillcolor="#65a0d7 [3028]" strokecolor="#5b9bd5 [3204]" strokeweight=".5pt">
                <v:fill color2="#5898d4 [3172]" rotate="t" colors="0 #71a6db;.5 #559bdb;1 #438ac9" focus="100%" type="gradient">
                  <o:fill v:ext="view" type="gradientUnscaled"/>
                </v:fill>
                <v:textbox>
                  <w:txbxContent>
                    <w:p w14:paraId="654E3FCA" w14:textId="77777777" w:rsidR="0009007E" w:rsidRPr="00617568" w:rsidRDefault="0009007E" w:rsidP="0009007E">
                      <w:pPr>
                        <w:spacing w:after="0" w:line="240" w:lineRule="auto"/>
                        <w:jc w:val="center"/>
                        <w:rPr>
                          <w:sz w:val="16"/>
                          <w:szCs w:val="16"/>
                        </w:rPr>
                      </w:pPr>
                      <w:r w:rsidRPr="00617568">
                        <w:rPr>
                          <w:sz w:val="16"/>
                          <w:szCs w:val="16"/>
                        </w:rPr>
                        <w:t>jednostka dominująca najwyższego szczebla</w:t>
                      </w:r>
                    </w:p>
                  </w:txbxContent>
                </v:textbox>
                <w10:wrap anchorx="margin"/>
              </v:rect>
            </w:pict>
          </mc:Fallback>
        </mc:AlternateContent>
      </w:r>
    </w:p>
    <w:p w14:paraId="5046203C" w14:textId="77777777" w:rsidR="0009007E" w:rsidRPr="003E7A67" w:rsidRDefault="0009007E" w:rsidP="0009007E">
      <w:r w:rsidRPr="003E7A67">
        <w:t xml:space="preserve">  </w:t>
      </w:r>
      <w:r w:rsidRPr="003E7A67">
        <w:tab/>
      </w:r>
      <w:r w:rsidRPr="003E7A67">
        <w:tab/>
      </w:r>
      <w:r w:rsidRPr="003E7A67">
        <w:tab/>
      </w:r>
    </w:p>
    <w:p w14:paraId="2D4F7B16"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52128" behindDoc="0" locked="0" layoutInCell="1" allowOverlap="1" wp14:anchorId="26DC25D2" wp14:editId="66A3B94F">
                <wp:simplePos x="0" y="0"/>
                <wp:positionH relativeFrom="column">
                  <wp:posOffset>3314700</wp:posOffset>
                </wp:positionH>
                <wp:positionV relativeFrom="paragraph">
                  <wp:posOffset>31750</wp:posOffset>
                </wp:positionV>
                <wp:extent cx="0" cy="118745"/>
                <wp:effectExtent l="0" t="0" r="38100" b="33655"/>
                <wp:wrapNone/>
                <wp:docPr id="4" name="Łącznik prosty 4"/>
                <wp:cNvGraphicFramePr/>
                <a:graphic xmlns:a="http://schemas.openxmlformats.org/drawingml/2006/main">
                  <a:graphicData uri="http://schemas.microsoft.com/office/word/2010/wordprocessingShape">
                    <wps:wsp>
                      <wps:cNvCnPr/>
                      <wps:spPr>
                        <a:xfrm>
                          <a:off x="0" y="0"/>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43EE7" id="Łącznik prosty 4"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61pt,2.5pt" to="2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" strokecolor="#5b9bd5 [3204]" strokeweight=".5pt">
                <v:stroke joinstyle="miter"/>
              </v:line>
            </w:pict>
          </mc:Fallback>
        </mc:AlternateContent>
      </w:r>
      <w:r w:rsidRPr="003E7A67">
        <w:rPr>
          <w:rFonts w:cstheme="minorHAnsi"/>
          <w:bCs/>
          <w:noProof/>
          <w:lang w:eastAsia="pl-PL"/>
        </w:rPr>
        <mc:AlternateContent>
          <mc:Choice Requires="wps">
            <w:drawing>
              <wp:anchor distT="0" distB="0" distL="114300" distR="114300" simplePos="0" relativeHeight="251949056" behindDoc="0" locked="0" layoutInCell="1" allowOverlap="1" wp14:anchorId="32090B9A" wp14:editId="200EEF1C">
                <wp:simplePos x="0" y="0"/>
                <wp:positionH relativeFrom="column">
                  <wp:posOffset>1714500</wp:posOffset>
                </wp:positionH>
                <wp:positionV relativeFrom="paragraph">
                  <wp:posOffset>31750</wp:posOffset>
                </wp:positionV>
                <wp:extent cx="0" cy="2402840"/>
                <wp:effectExtent l="0" t="0" r="38100" b="35560"/>
                <wp:wrapNone/>
                <wp:docPr id="6" name="Łącznik prosty 6"/>
                <wp:cNvGraphicFramePr/>
                <a:graphic xmlns:a="http://schemas.openxmlformats.org/drawingml/2006/main">
                  <a:graphicData uri="http://schemas.microsoft.com/office/word/2010/wordprocessingShape">
                    <wps:wsp>
                      <wps:cNvCnPr/>
                      <wps:spPr>
                        <a:xfrm>
                          <a:off x="0" y="0"/>
                          <a:ext cx="0" cy="240284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69D5B27" id="Łącznik prosty 6"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35pt,2.5pt" to="135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" strokecolor="#a5a5a5 [3206]">
                <v:stroke dashstyle="dash"/>
              </v:line>
            </w:pict>
          </mc:Fallback>
        </mc:AlternateContent>
      </w:r>
      <w:r w:rsidRPr="003E7A67">
        <w:rPr>
          <w:rFonts w:cstheme="minorHAnsi"/>
          <w:bCs/>
          <w:noProof/>
          <w:lang w:eastAsia="pl-PL"/>
        </w:rPr>
        <mc:AlternateContent>
          <mc:Choice Requires="wps">
            <w:drawing>
              <wp:anchor distT="0" distB="0" distL="114300" distR="114300" simplePos="0" relativeHeight="251941888" behindDoc="0" locked="0" layoutInCell="1" allowOverlap="1" wp14:anchorId="77F7C8AE" wp14:editId="77DAAE4C">
                <wp:simplePos x="0" y="0"/>
                <wp:positionH relativeFrom="margin">
                  <wp:posOffset>2626995</wp:posOffset>
                </wp:positionH>
                <wp:positionV relativeFrom="paragraph">
                  <wp:posOffset>151765</wp:posOffset>
                </wp:positionV>
                <wp:extent cx="1367155" cy="338455"/>
                <wp:effectExtent l="0" t="0" r="23495" b="23495"/>
                <wp:wrapNone/>
                <wp:docPr id="11" name="Prostokąt 11"/>
                <wp:cNvGraphicFramePr/>
                <a:graphic xmlns:a="http://schemas.openxmlformats.org/drawingml/2006/main">
                  <a:graphicData uri="http://schemas.microsoft.com/office/word/2010/wordprocessingShape">
                    <wps:wsp>
                      <wps:cNvSpPr/>
                      <wps:spPr>
                        <a:xfrm>
                          <a:off x="0" y="0"/>
                          <a:ext cx="1367155" cy="33845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5F20992" w14:textId="77777777" w:rsidR="0009007E" w:rsidRPr="00617568" w:rsidRDefault="0009007E" w:rsidP="0009007E">
                            <w:pPr>
                              <w:jc w:val="center"/>
                              <w:rPr>
                                <w:sz w:val="16"/>
                                <w:szCs w:val="16"/>
                              </w:rPr>
                            </w:pPr>
                            <w:r w:rsidRPr="00617568">
                              <w:rPr>
                                <w:sz w:val="16"/>
                                <w:szCs w:val="16"/>
                              </w:rPr>
                              <w:t>jednostka składowa B</w:t>
                            </w:r>
                            <w:r>
                              <w:rPr>
                                <w:sz w:val="16"/>
                                <w:szCs w:val="16"/>
                              </w:rPr>
                              <w:t>1</w:t>
                            </w:r>
                          </w:p>
                          <w:p w14:paraId="3165C9B5"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7C8AE" id="Prostokąt 11" o:spid="_x0000_s1052" style="position:absolute;margin-left:206.85pt;margin-top:11.95pt;width:107.65pt;height:26.6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" fillcolor="#65a0d7 [3028]" strokecolor="#5b9bd5 [3204]" strokeweight=".5pt">
                <v:fill color2="#5898d4 [3172]" rotate="t" colors="0 #71a6db;.5 #559bdb;1 #438ac9" focus="100%" type="gradient">
                  <o:fill v:ext="view" type="gradientUnscaled"/>
                </v:fill>
                <v:textbox>
                  <w:txbxContent>
                    <w:p w14:paraId="05F20992" w14:textId="77777777" w:rsidR="0009007E" w:rsidRPr="00617568" w:rsidRDefault="0009007E" w:rsidP="0009007E">
                      <w:pPr>
                        <w:jc w:val="center"/>
                        <w:rPr>
                          <w:sz w:val="16"/>
                          <w:szCs w:val="16"/>
                        </w:rPr>
                      </w:pPr>
                      <w:r w:rsidRPr="00617568">
                        <w:rPr>
                          <w:sz w:val="16"/>
                          <w:szCs w:val="16"/>
                        </w:rPr>
                        <w:t>jednostka składowa B</w:t>
                      </w:r>
                      <w:r>
                        <w:rPr>
                          <w:sz w:val="16"/>
                          <w:szCs w:val="16"/>
                        </w:rPr>
                        <w:t>1</w:t>
                      </w:r>
                    </w:p>
                    <w:p w14:paraId="3165C9B5" w14:textId="77777777" w:rsidR="0009007E" w:rsidRDefault="0009007E" w:rsidP="0009007E">
                      <w:pPr>
                        <w:jc w:val="center"/>
                      </w:pPr>
                    </w:p>
                  </w:txbxContent>
                </v:textbox>
                <w10:wrap anchorx="margin"/>
              </v:rect>
            </w:pict>
          </mc:Fallback>
        </mc:AlternateContent>
      </w:r>
      <w:r w:rsidRPr="003E7A67">
        <w:rPr>
          <w:rFonts w:cstheme="minorHAnsi"/>
          <w:bCs/>
          <w:noProof/>
          <w:lang w:eastAsia="pl-PL"/>
        </w:rPr>
        <mc:AlternateContent>
          <mc:Choice Requires="wps">
            <w:drawing>
              <wp:anchor distT="0" distB="0" distL="114300" distR="114300" simplePos="0" relativeHeight="251937792" behindDoc="0" locked="0" layoutInCell="1" allowOverlap="1" wp14:anchorId="1B5D99D0" wp14:editId="70E2924E">
                <wp:simplePos x="0" y="0"/>
                <wp:positionH relativeFrom="margin">
                  <wp:posOffset>1905</wp:posOffset>
                </wp:positionH>
                <wp:positionV relativeFrom="paragraph">
                  <wp:posOffset>31751</wp:posOffset>
                </wp:positionV>
                <wp:extent cx="1600200" cy="574040"/>
                <wp:effectExtent l="0" t="0" r="19050" b="16510"/>
                <wp:wrapNone/>
                <wp:docPr id="7" name="Prostokąt 7"/>
                <wp:cNvGraphicFramePr/>
                <a:graphic xmlns:a="http://schemas.openxmlformats.org/drawingml/2006/main">
                  <a:graphicData uri="http://schemas.microsoft.com/office/word/2010/wordprocessingShape">
                    <wps:wsp>
                      <wps:cNvSpPr/>
                      <wps:spPr>
                        <a:xfrm>
                          <a:off x="0" y="0"/>
                          <a:ext cx="1600200" cy="57404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8F7E9EA" w14:textId="77777777" w:rsidR="0009007E" w:rsidRDefault="0009007E" w:rsidP="0009007E">
                            <w:pPr>
                              <w:jc w:val="center"/>
                            </w:pPr>
                            <w:r>
                              <w:t>jednostka dominująca najwyższego szczebla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99D0" id="Prostokąt 7" o:spid="_x0000_s1053" style="position:absolute;margin-left:.15pt;margin-top:2.5pt;width:126pt;height:45.2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" fillcolor="#65a0d7 [3028]" strokecolor="#5b9bd5 [3204]" strokeweight=".5pt">
                <v:fill color2="#5898d4 [3172]" rotate="t" colors="0 #71a6db;.5 #559bdb;1 #438ac9" focus="100%" type="gradient">
                  <o:fill v:ext="view" type="gradientUnscaled"/>
                </v:fill>
                <v:textbox>
                  <w:txbxContent>
                    <w:p w14:paraId="28F7E9EA" w14:textId="77777777" w:rsidR="0009007E" w:rsidRDefault="0009007E" w:rsidP="0009007E">
                      <w:pPr>
                        <w:jc w:val="center"/>
                      </w:pPr>
                      <w:r>
                        <w:t>jednostka dominująca najwyższego szczebla</w:t>
                      </w:r>
                    </w:p>
                  </w:txbxContent>
                </v:textbox>
                <w10:wrap anchorx="margin"/>
              </v:rect>
            </w:pict>
          </mc:Fallback>
        </mc:AlternateContent>
      </w:r>
      <w:r w:rsidRPr="003E7A67">
        <w:tab/>
      </w:r>
      <w:r w:rsidRPr="003E7A67">
        <w:tab/>
      </w:r>
      <w:r w:rsidRPr="003E7A67">
        <w:tab/>
      </w:r>
      <w:r w:rsidRPr="003E7A67">
        <w:tab/>
      </w:r>
      <w:r w:rsidRPr="003E7A67">
        <w:tab/>
      </w:r>
    </w:p>
    <w:p w14:paraId="5D31B3F0"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53152" behindDoc="0" locked="0" layoutInCell="1" allowOverlap="1" wp14:anchorId="3F13C10F" wp14:editId="73E226B3">
                <wp:simplePos x="0" y="0"/>
                <wp:positionH relativeFrom="column">
                  <wp:posOffset>3316605</wp:posOffset>
                </wp:positionH>
                <wp:positionV relativeFrom="paragraph">
                  <wp:posOffset>203200</wp:posOffset>
                </wp:positionV>
                <wp:extent cx="0" cy="112395"/>
                <wp:effectExtent l="0" t="0" r="38100" b="20955"/>
                <wp:wrapNone/>
                <wp:docPr id="9" name="Łącznik prosty 9"/>
                <wp:cNvGraphicFramePr/>
                <a:graphic xmlns:a="http://schemas.openxmlformats.org/drawingml/2006/main">
                  <a:graphicData uri="http://schemas.microsoft.com/office/word/2010/wordprocessingShape">
                    <wps:wsp>
                      <wps:cNvCnPr/>
                      <wps:spPr>
                        <a:xfrm>
                          <a:off x="0" y="0"/>
                          <a:ext cx="0" cy="112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09ABF" id="Łącznik prosty 9"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261.15pt,16pt" to="26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" strokecolor="#5b9bd5 [3204]" strokeweight=".5pt">
                <v:stroke joinstyle="miter"/>
              </v:line>
            </w:pict>
          </mc:Fallback>
        </mc:AlternateContent>
      </w:r>
      <w:r w:rsidRPr="003E7A67">
        <w:rPr>
          <w:rFonts w:cstheme="minorHAnsi"/>
          <w:bCs/>
          <w:noProof/>
          <w:lang w:eastAsia="pl-PL"/>
        </w:rPr>
        <mc:AlternateContent>
          <mc:Choice Requires="wps">
            <w:drawing>
              <wp:anchor distT="0" distB="0" distL="114300" distR="114300" simplePos="0" relativeHeight="251950080" behindDoc="0" locked="0" layoutInCell="1" allowOverlap="1" wp14:anchorId="45F3A174" wp14:editId="2E85C5DE">
                <wp:simplePos x="0" y="0"/>
                <wp:positionH relativeFrom="column">
                  <wp:posOffset>1830705</wp:posOffset>
                </wp:positionH>
                <wp:positionV relativeFrom="paragraph">
                  <wp:posOffset>91440</wp:posOffset>
                </wp:positionV>
                <wp:extent cx="569595" cy="802005"/>
                <wp:effectExtent l="0" t="38100" r="59055" b="17145"/>
                <wp:wrapNone/>
                <wp:docPr id="22" name="Łącznik prosty ze strzałką 22"/>
                <wp:cNvGraphicFramePr/>
                <a:graphic xmlns:a="http://schemas.openxmlformats.org/drawingml/2006/main">
                  <a:graphicData uri="http://schemas.microsoft.com/office/word/2010/wordprocessingShape">
                    <wps:wsp>
                      <wps:cNvCnPr/>
                      <wps:spPr>
                        <a:xfrm flipV="1">
                          <a:off x="0" y="0"/>
                          <a:ext cx="569595" cy="80200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A67556" id="_x0000_t32" coordsize="21600,21600" o:spt="32" o:oned="t" path="m,l21600,21600e" filled="f">
                <v:path arrowok="t" fillok="f" o:connecttype="none"/>
                <o:lock v:ext="edit" shapetype="t"/>
              </v:shapetype>
              <v:shape id="Łącznik prosty ze strzałką 22" o:spid="_x0000_s1026" type="#_x0000_t32" style="position:absolute;margin-left:144.15pt;margin-top:7.2pt;width:44.85pt;height:63.15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" strokecolor="#70ad47 [3209]" strokeweight=".5pt">
                <v:stroke endarrow="block" joinstyle="miter"/>
              </v:shape>
            </w:pict>
          </mc:Fallback>
        </mc:AlternateContent>
      </w:r>
      <w:r w:rsidRPr="003E7A67">
        <w:tab/>
      </w:r>
      <w:r w:rsidRPr="003E7A67">
        <w:tab/>
      </w:r>
      <w:r w:rsidRPr="003E7A67">
        <w:tab/>
      </w:r>
      <w:r w:rsidRPr="003E7A67">
        <w:tab/>
      </w:r>
    </w:p>
    <w:p w14:paraId="56D0D9D3"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47008" behindDoc="0" locked="0" layoutInCell="1" allowOverlap="1" wp14:anchorId="5D04B09C" wp14:editId="17F83E25">
                <wp:simplePos x="0" y="0"/>
                <wp:positionH relativeFrom="column">
                  <wp:posOffset>800100</wp:posOffset>
                </wp:positionH>
                <wp:positionV relativeFrom="paragraph">
                  <wp:posOffset>32385</wp:posOffset>
                </wp:positionV>
                <wp:extent cx="0" cy="334010"/>
                <wp:effectExtent l="0" t="0" r="38100" b="27940"/>
                <wp:wrapNone/>
                <wp:docPr id="16" name="Łącznik prosty 16"/>
                <wp:cNvGraphicFramePr/>
                <a:graphic xmlns:a="http://schemas.openxmlformats.org/drawingml/2006/main">
                  <a:graphicData uri="http://schemas.microsoft.com/office/word/2010/wordprocessingShape">
                    <wps:wsp>
                      <wps:cNvCnPr/>
                      <wps:spPr>
                        <a:xfrm>
                          <a:off x="0" y="0"/>
                          <a:ext cx="0" cy="334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378F0C" id="Łącznik prosty 16"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63pt,2.55pt" to="6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" strokecolor="#5b9bd5 [3204]" strokeweight=".5pt">
                <v:stroke joinstyle="miter"/>
              </v:line>
            </w:pict>
          </mc:Fallback>
        </mc:AlternateContent>
      </w:r>
      <w:r w:rsidRPr="003E7A67">
        <w:rPr>
          <w:rFonts w:cstheme="minorHAnsi"/>
          <w:bCs/>
          <w:noProof/>
          <w:lang w:eastAsia="pl-PL"/>
        </w:rPr>
        <mc:AlternateContent>
          <mc:Choice Requires="wps">
            <w:drawing>
              <wp:anchor distT="0" distB="0" distL="114300" distR="114300" simplePos="0" relativeHeight="251942912" behindDoc="0" locked="0" layoutInCell="1" allowOverlap="1" wp14:anchorId="2974D361" wp14:editId="01DE0416">
                <wp:simplePos x="0" y="0"/>
                <wp:positionH relativeFrom="margin">
                  <wp:posOffset>2622550</wp:posOffset>
                </wp:positionH>
                <wp:positionV relativeFrom="paragraph">
                  <wp:posOffset>29210</wp:posOffset>
                </wp:positionV>
                <wp:extent cx="1367155" cy="338455"/>
                <wp:effectExtent l="0" t="0" r="23495" b="23495"/>
                <wp:wrapNone/>
                <wp:docPr id="12" name="Prostokąt 12"/>
                <wp:cNvGraphicFramePr/>
                <a:graphic xmlns:a="http://schemas.openxmlformats.org/drawingml/2006/main">
                  <a:graphicData uri="http://schemas.microsoft.com/office/word/2010/wordprocessingShape">
                    <wps:wsp>
                      <wps:cNvSpPr/>
                      <wps:spPr>
                        <a:xfrm>
                          <a:off x="0" y="0"/>
                          <a:ext cx="1367155" cy="33845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49D58296" w14:textId="77777777" w:rsidR="0009007E" w:rsidRPr="00617568" w:rsidRDefault="0009007E" w:rsidP="0009007E">
                            <w:pPr>
                              <w:jc w:val="center"/>
                              <w:rPr>
                                <w:sz w:val="16"/>
                                <w:szCs w:val="16"/>
                              </w:rPr>
                            </w:pPr>
                            <w:r w:rsidRPr="00617568">
                              <w:rPr>
                                <w:sz w:val="16"/>
                                <w:szCs w:val="16"/>
                              </w:rPr>
                              <w:t xml:space="preserve">jednostka składowa </w:t>
                            </w:r>
                            <w:r>
                              <w:rPr>
                                <w:sz w:val="16"/>
                                <w:szCs w:val="16"/>
                              </w:rPr>
                              <w:t>C1</w:t>
                            </w:r>
                          </w:p>
                          <w:p w14:paraId="1EFF8066"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4D361" id="Prostokąt 12" o:spid="_x0000_s1054" style="position:absolute;margin-left:206.5pt;margin-top:2.3pt;width:107.65pt;height:26.6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" fillcolor="#65a0d7 [3028]" strokecolor="#5b9bd5 [3204]" strokeweight=".5pt">
                <v:fill color2="#5898d4 [3172]" rotate="t" colors="0 #71a6db;.5 #559bdb;1 #438ac9" focus="100%" type="gradient">
                  <o:fill v:ext="view" type="gradientUnscaled"/>
                </v:fill>
                <v:textbox>
                  <w:txbxContent>
                    <w:p w14:paraId="49D58296" w14:textId="77777777" w:rsidR="0009007E" w:rsidRPr="00617568" w:rsidRDefault="0009007E" w:rsidP="0009007E">
                      <w:pPr>
                        <w:jc w:val="center"/>
                        <w:rPr>
                          <w:sz w:val="16"/>
                          <w:szCs w:val="16"/>
                        </w:rPr>
                      </w:pPr>
                      <w:r w:rsidRPr="00617568">
                        <w:rPr>
                          <w:sz w:val="16"/>
                          <w:szCs w:val="16"/>
                        </w:rPr>
                        <w:t xml:space="preserve">jednostka składowa </w:t>
                      </w:r>
                      <w:r>
                        <w:rPr>
                          <w:sz w:val="16"/>
                          <w:szCs w:val="16"/>
                        </w:rPr>
                        <w:t>C1</w:t>
                      </w:r>
                    </w:p>
                    <w:p w14:paraId="1EFF8066" w14:textId="77777777" w:rsidR="0009007E" w:rsidRDefault="0009007E" w:rsidP="0009007E">
                      <w:pPr>
                        <w:jc w:val="center"/>
                      </w:pPr>
                    </w:p>
                  </w:txbxContent>
                </v:textbox>
                <w10:wrap anchorx="margin"/>
              </v:rect>
            </w:pict>
          </mc:Fallback>
        </mc:AlternateContent>
      </w:r>
      <w:r w:rsidRPr="003E7A67">
        <w:tab/>
      </w:r>
      <w:r w:rsidRPr="003E7A67">
        <w:tab/>
      </w:r>
      <w:r w:rsidRPr="003E7A67">
        <w:tab/>
      </w:r>
      <w:r w:rsidRPr="003E7A67">
        <w:tab/>
      </w:r>
      <w:r w:rsidRPr="003E7A67">
        <w:tab/>
      </w:r>
    </w:p>
    <w:p w14:paraId="2541531D" w14:textId="77777777"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39840" behindDoc="0" locked="0" layoutInCell="1" allowOverlap="1" wp14:anchorId="3D4F7D49" wp14:editId="2D862354">
                <wp:simplePos x="0" y="0"/>
                <wp:positionH relativeFrom="margin">
                  <wp:posOffset>-4445</wp:posOffset>
                </wp:positionH>
                <wp:positionV relativeFrom="paragraph">
                  <wp:posOffset>81279</wp:posOffset>
                </wp:positionV>
                <wp:extent cx="1600200" cy="582295"/>
                <wp:effectExtent l="0" t="0" r="19050" b="27305"/>
                <wp:wrapNone/>
                <wp:docPr id="10" name="Prostokąt 10"/>
                <wp:cNvGraphicFramePr/>
                <a:graphic xmlns:a="http://schemas.openxmlformats.org/drawingml/2006/main">
                  <a:graphicData uri="http://schemas.microsoft.com/office/word/2010/wordprocessingShape">
                    <wps:wsp>
                      <wps:cNvSpPr/>
                      <wps:spPr>
                        <a:xfrm>
                          <a:off x="0" y="0"/>
                          <a:ext cx="1600200" cy="58229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4AED7C9B" w14:textId="77777777" w:rsidR="0009007E" w:rsidRDefault="0009007E" w:rsidP="0009007E">
                            <w:pPr>
                              <w:jc w:val="center"/>
                            </w:pPr>
                            <w:r>
                              <w:t>jednostka składowa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7D49" id="Prostokąt 10" o:spid="_x0000_s1055" style="position:absolute;margin-left:-.35pt;margin-top:6.4pt;width:126pt;height:45.8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" fillcolor="#65a0d7 [3028]" strokecolor="#5b9bd5 [3204]" strokeweight=".5pt">
                <v:fill color2="#5898d4 [3172]" rotate="t" colors="0 #71a6db;.5 #559bdb;1 #438ac9" focus="100%" type="gradient">
                  <o:fill v:ext="view" type="gradientUnscaled"/>
                </v:fill>
                <v:textbox>
                  <w:txbxContent>
                    <w:p w14:paraId="4AED7C9B" w14:textId="77777777" w:rsidR="0009007E" w:rsidRDefault="0009007E" w:rsidP="0009007E">
                      <w:pPr>
                        <w:jc w:val="center"/>
                      </w:pPr>
                      <w:r>
                        <w:t>jednostka składowa B</w:t>
                      </w:r>
                    </w:p>
                  </w:txbxContent>
                </v:textbox>
                <w10:wrap anchorx="margin"/>
              </v:rect>
            </w:pict>
          </mc:Fallback>
        </mc:AlternateContent>
      </w:r>
      <w:r w:rsidRPr="003E7A67">
        <w:t xml:space="preserve"> </w:t>
      </w:r>
      <w:r w:rsidRPr="003E7A67">
        <w:tab/>
      </w:r>
      <w:r w:rsidRPr="003E7A67">
        <w:tab/>
      </w:r>
      <w:r w:rsidRPr="003E7A67">
        <w:tab/>
      </w:r>
      <w:r w:rsidRPr="003E7A67">
        <w:tab/>
      </w:r>
      <w:r w:rsidRPr="003E7A67">
        <w:tab/>
      </w:r>
    </w:p>
    <w:p w14:paraId="561E42BF" w14:textId="77777777" w:rsidR="0009007E" w:rsidRPr="003E7A67" w:rsidRDefault="0009007E" w:rsidP="0009007E">
      <w:r w:rsidRPr="003E7A67">
        <w:rPr>
          <w:noProof/>
          <w:lang w:eastAsia="pl-PL"/>
        </w:rPr>
        <mc:AlternateContent>
          <mc:Choice Requires="wps">
            <w:drawing>
              <wp:anchor distT="0" distB="0" distL="114300" distR="114300" simplePos="0" relativeHeight="251957248" behindDoc="0" locked="0" layoutInCell="1" allowOverlap="1" wp14:anchorId="0E0614C7" wp14:editId="1A57BFCE">
                <wp:simplePos x="0" y="0"/>
                <wp:positionH relativeFrom="column">
                  <wp:posOffset>2628900</wp:posOffset>
                </wp:positionH>
                <wp:positionV relativeFrom="paragraph">
                  <wp:posOffset>40005</wp:posOffset>
                </wp:positionV>
                <wp:extent cx="1367155" cy="342900"/>
                <wp:effectExtent l="0" t="0" r="0" b="0"/>
                <wp:wrapNone/>
                <wp:docPr id="13" name="Pole tekstowe 13"/>
                <wp:cNvGraphicFramePr/>
                <a:graphic xmlns:a="http://schemas.openxmlformats.org/drawingml/2006/main">
                  <a:graphicData uri="http://schemas.microsoft.com/office/word/2010/wordprocessingShape">
                    <wps:wsp>
                      <wps:cNvSpPr txBox="1"/>
                      <wps:spPr>
                        <a:xfrm>
                          <a:off x="0" y="0"/>
                          <a:ext cx="1367155" cy="342900"/>
                        </a:xfrm>
                        <a:prstGeom prst="rect">
                          <a:avLst/>
                        </a:prstGeom>
                        <a:noFill/>
                        <a:ln w="6350">
                          <a:noFill/>
                        </a:ln>
                      </wps:spPr>
                      <wps:txbx>
                        <w:txbxContent>
                          <w:p w14:paraId="13D21EF4" w14:textId="77777777" w:rsidR="0009007E" w:rsidRPr="00617568" w:rsidRDefault="0009007E" w:rsidP="0009007E">
                            <w:pPr>
                              <w:rPr>
                                <w:b/>
                                <w:bCs/>
                              </w:rPr>
                            </w:pPr>
                            <w:r w:rsidRPr="00617568">
                              <w:rPr>
                                <w:b/>
                                <w:bCs/>
                              </w:rPr>
                              <w:t xml:space="preserve">Podzielona grupa </w:t>
                            </w: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614C7" id="Pole tekstowe 13" o:spid="_x0000_s1056" type="#_x0000_t202" style="position:absolute;margin-left:207pt;margin-top:3.15pt;width:107.65pt;height:27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" filled="f" stroked="f" strokeweight=".5pt">
                <v:textbox>
                  <w:txbxContent>
                    <w:p w14:paraId="13D21EF4" w14:textId="77777777" w:rsidR="0009007E" w:rsidRPr="00617568" w:rsidRDefault="0009007E" w:rsidP="0009007E">
                      <w:pPr>
                        <w:rPr>
                          <w:b/>
                          <w:bCs/>
                        </w:rPr>
                      </w:pPr>
                      <w:r w:rsidRPr="00617568">
                        <w:rPr>
                          <w:b/>
                          <w:bCs/>
                        </w:rPr>
                        <w:t xml:space="preserve">Podzielona grupa </w:t>
                      </w:r>
                      <w:r>
                        <w:rPr>
                          <w:b/>
                          <w:bCs/>
                        </w:rPr>
                        <w:t>B</w:t>
                      </w:r>
                    </w:p>
                  </w:txbxContent>
                </v:textbox>
              </v:shape>
            </w:pict>
          </mc:Fallback>
        </mc:AlternateContent>
      </w:r>
      <w:r w:rsidRPr="003E7A67">
        <w:rPr>
          <w:rFonts w:cstheme="minorHAnsi"/>
          <w:bCs/>
          <w:noProof/>
          <w:lang w:eastAsia="pl-PL"/>
        </w:rPr>
        <mc:AlternateContent>
          <mc:Choice Requires="wps">
            <w:drawing>
              <wp:anchor distT="0" distB="0" distL="114300" distR="114300" simplePos="0" relativeHeight="251951104" behindDoc="0" locked="0" layoutInCell="1" allowOverlap="1" wp14:anchorId="33660D71" wp14:editId="6D1E6617">
                <wp:simplePos x="0" y="0"/>
                <wp:positionH relativeFrom="column">
                  <wp:posOffset>1830705</wp:posOffset>
                </wp:positionH>
                <wp:positionV relativeFrom="paragraph">
                  <wp:posOffset>151130</wp:posOffset>
                </wp:positionV>
                <wp:extent cx="569595" cy="683895"/>
                <wp:effectExtent l="0" t="0" r="59055" b="59055"/>
                <wp:wrapNone/>
                <wp:docPr id="14" name="Łącznik prosty ze strzałką 14"/>
                <wp:cNvGraphicFramePr/>
                <a:graphic xmlns:a="http://schemas.openxmlformats.org/drawingml/2006/main">
                  <a:graphicData uri="http://schemas.microsoft.com/office/word/2010/wordprocessingShape">
                    <wps:wsp>
                      <wps:cNvCnPr/>
                      <wps:spPr>
                        <a:xfrm>
                          <a:off x="0" y="0"/>
                          <a:ext cx="569595" cy="683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F72BA" id="Łącznik prosty ze strzałką 14" o:spid="_x0000_s1026" type="#_x0000_t32" style="position:absolute;margin-left:144.15pt;margin-top:11.9pt;width:44.85pt;height:53.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" strokecolor="#5b9bd5 [3204]" strokeweight=".5pt">
                <v:stroke endarrow="block" joinstyle="miter"/>
              </v:shape>
            </w:pict>
          </mc:Fallback>
        </mc:AlternateContent>
      </w:r>
      <w:r w:rsidRPr="003E7A67">
        <w:rPr>
          <w:rFonts w:cstheme="minorHAnsi"/>
          <w:bCs/>
          <w:noProof/>
          <w:lang w:eastAsia="pl-PL"/>
        </w:rPr>
        <mc:AlternateContent>
          <mc:Choice Requires="wps">
            <w:drawing>
              <wp:anchor distT="0" distB="0" distL="114300" distR="114300" simplePos="0" relativeHeight="251943936" behindDoc="0" locked="0" layoutInCell="1" allowOverlap="1" wp14:anchorId="423F697B" wp14:editId="15BE6788">
                <wp:simplePos x="0" y="0"/>
                <wp:positionH relativeFrom="margin">
                  <wp:posOffset>2622550</wp:posOffset>
                </wp:positionH>
                <wp:positionV relativeFrom="paragraph">
                  <wp:posOffset>264795</wp:posOffset>
                </wp:positionV>
                <wp:extent cx="1367155" cy="338455"/>
                <wp:effectExtent l="0" t="0" r="23495" b="23495"/>
                <wp:wrapNone/>
                <wp:docPr id="17" name="Prostokąt 17"/>
                <wp:cNvGraphicFramePr/>
                <a:graphic xmlns:a="http://schemas.openxmlformats.org/drawingml/2006/main">
                  <a:graphicData uri="http://schemas.microsoft.com/office/word/2010/wordprocessingShape">
                    <wps:wsp>
                      <wps:cNvSpPr/>
                      <wps:spPr>
                        <a:xfrm>
                          <a:off x="0" y="0"/>
                          <a:ext cx="1367155" cy="33845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7EFA258B" w14:textId="77777777" w:rsidR="0009007E" w:rsidRPr="00617568" w:rsidRDefault="0009007E" w:rsidP="0009007E">
                            <w:pPr>
                              <w:spacing w:after="0" w:line="240" w:lineRule="auto"/>
                              <w:jc w:val="center"/>
                              <w:rPr>
                                <w:sz w:val="16"/>
                                <w:szCs w:val="16"/>
                              </w:rPr>
                            </w:pPr>
                            <w:r w:rsidRPr="00617568">
                              <w:rPr>
                                <w:sz w:val="16"/>
                                <w:szCs w:val="16"/>
                              </w:rPr>
                              <w:t>jednostka dominująca najwyższego szczebla</w:t>
                            </w:r>
                          </w:p>
                          <w:p w14:paraId="5D7F3A75"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F697B" id="Prostokąt 17" o:spid="_x0000_s1057" style="position:absolute;margin-left:206.5pt;margin-top:20.85pt;width:107.65pt;height:26.6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" fillcolor="#65a0d7 [3028]" strokecolor="#5b9bd5 [3204]" strokeweight=".5pt">
                <v:fill color2="#5898d4 [3172]" rotate="t" colors="0 #71a6db;.5 #559bdb;1 #438ac9" focus="100%" type="gradient">
                  <o:fill v:ext="view" type="gradientUnscaled"/>
                </v:fill>
                <v:textbox>
                  <w:txbxContent>
                    <w:p w14:paraId="7EFA258B" w14:textId="77777777" w:rsidR="0009007E" w:rsidRPr="00617568" w:rsidRDefault="0009007E" w:rsidP="0009007E">
                      <w:pPr>
                        <w:spacing w:after="0" w:line="240" w:lineRule="auto"/>
                        <w:jc w:val="center"/>
                        <w:rPr>
                          <w:sz w:val="16"/>
                          <w:szCs w:val="16"/>
                        </w:rPr>
                      </w:pPr>
                      <w:r w:rsidRPr="00617568">
                        <w:rPr>
                          <w:sz w:val="16"/>
                          <w:szCs w:val="16"/>
                        </w:rPr>
                        <w:t>jednostka dominująca najwyższego szczebla</w:t>
                      </w:r>
                    </w:p>
                    <w:p w14:paraId="5D7F3A75" w14:textId="77777777" w:rsidR="0009007E" w:rsidRDefault="0009007E" w:rsidP="0009007E">
                      <w:pPr>
                        <w:jc w:val="center"/>
                      </w:pPr>
                    </w:p>
                  </w:txbxContent>
                </v:textbox>
                <w10:wrap anchorx="margin"/>
              </v:rect>
            </w:pict>
          </mc:Fallback>
        </mc:AlternateContent>
      </w:r>
      <w:r w:rsidRPr="003E7A67">
        <w:tab/>
      </w:r>
      <w:r w:rsidRPr="003E7A67">
        <w:tab/>
      </w:r>
      <w:r w:rsidRPr="003E7A67">
        <w:tab/>
      </w:r>
      <w:r w:rsidRPr="003E7A67">
        <w:tab/>
      </w:r>
      <w:r w:rsidRPr="003E7A67">
        <w:tab/>
      </w:r>
    </w:p>
    <w:p w14:paraId="0F378CF6" w14:textId="739A1181" w:rsidR="0009007E" w:rsidRPr="003E7A67" w:rsidRDefault="0009007E" w:rsidP="0009007E">
      <w:r w:rsidRPr="003E7A67">
        <w:rPr>
          <w:rFonts w:cstheme="minorHAnsi"/>
          <w:bCs/>
          <w:noProof/>
          <w:lang w:eastAsia="pl-PL"/>
        </w:rPr>
        <mc:AlternateContent>
          <mc:Choice Requires="wps">
            <w:drawing>
              <wp:anchor distT="0" distB="0" distL="114300" distR="114300" simplePos="0" relativeHeight="251955200" behindDoc="0" locked="0" layoutInCell="1" allowOverlap="1" wp14:anchorId="449689B3" wp14:editId="5E2D61D5">
                <wp:simplePos x="0" y="0"/>
                <wp:positionH relativeFrom="column">
                  <wp:posOffset>3316605</wp:posOffset>
                </wp:positionH>
                <wp:positionV relativeFrom="paragraph">
                  <wp:posOffset>775335</wp:posOffset>
                </wp:positionV>
                <wp:extent cx="0" cy="125095"/>
                <wp:effectExtent l="0" t="0" r="38100" b="27305"/>
                <wp:wrapNone/>
                <wp:docPr id="18" name="Łącznik prosty 18"/>
                <wp:cNvGraphicFramePr/>
                <a:graphic xmlns:a="http://schemas.openxmlformats.org/drawingml/2006/main">
                  <a:graphicData uri="http://schemas.microsoft.com/office/word/2010/wordprocessingShape">
                    <wps:wsp>
                      <wps:cNvCnPr/>
                      <wps:spPr>
                        <a:xfrm>
                          <a:off x="0" y="0"/>
                          <a:ext cx="0" cy="125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43672" id="Łącznik prosty 18"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261.15pt,61.05pt" to="261.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" strokecolor="#5b9bd5 [3204]" strokeweight=".5pt">
                <v:stroke joinstyle="miter"/>
              </v:line>
            </w:pict>
          </mc:Fallback>
        </mc:AlternateContent>
      </w:r>
      <w:r w:rsidRPr="003E7A67">
        <w:rPr>
          <w:rFonts w:cstheme="minorHAnsi"/>
          <w:bCs/>
          <w:noProof/>
          <w:lang w:eastAsia="pl-PL"/>
        </w:rPr>
        <mc:AlternateContent>
          <mc:Choice Requires="wps">
            <w:drawing>
              <wp:anchor distT="0" distB="0" distL="114300" distR="114300" simplePos="0" relativeHeight="251954176" behindDoc="0" locked="0" layoutInCell="1" allowOverlap="1" wp14:anchorId="0E0EFF00" wp14:editId="70595593">
                <wp:simplePos x="0" y="0"/>
                <wp:positionH relativeFrom="column">
                  <wp:posOffset>3316605</wp:posOffset>
                </wp:positionH>
                <wp:positionV relativeFrom="paragraph">
                  <wp:posOffset>318135</wp:posOffset>
                </wp:positionV>
                <wp:extent cx="0" cy="118745"/>
                <wp:effectExtent l="0" t="0" r="38100" b="33655"/>
                <wp:wrapNone/>
                <wp:docPr id="46" name="Łącznik prosty 46"/>
                <wp:cNvGraphicFramePr/>
                <a:graphic xmlns:a="http://schemas.openxmlformats.org/drawingml/2006/main">
                  <a:graphicData uri="http://schemas.microsoft.com/office/word/2010/wordprocessingShape">
                    <wps:wsp>
                      <wps:cNvCnPr/>
                      <wps:spPr>
                        <a:xfrm>
                          <a:off x="0" y="0"/>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DD256" id="Łącznik prosty 46"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261.15pt,25.05pt" to="261.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" strokecolor="#5b9bd5 [3204]" strokeweight=".5pt">
                <v:stroke joinstyle="miter"/>
              </v:line>
            </w:pict>
          </mc:Fallback>
        </mc:AlternateContent>
      </w:r>
      <w:r w:rsidRPr="003E7A67">
        <w:rPr>
          <w:rFonts w:cstheme="minorHAnsi"/>
          <w:bCs/>
          <w:noProof/>
          <w:lang w:eastAsia="pl-PL"/>
        </w:rPr>
        <mc:AlternateContent>
          <mc:Choice Requires="wps">
            <w:drawing>
              <wp:anchor distT="0" distB="0" distL="114300" distR="114300" simplePos="0" relativeHeight="251938816" behindDoc="0" locked="0" layoutInCell="1" allowOverlap="1" wp14:anchorId="2E34D98C" wp14:editId="3C8A8E20">
                <wp:simplePos x="0" y="0"/>
                <wp:positionH relativeFrom="margin">
                  <wp:posOffset>1905</wp:posOffset>
                </wp:positionH>
                <wp:positionV relativeFrom="paragraph">
                  <wp:posOffset>436880</wp:posOffset>
                </wp:positionV>
                <wp:extent cx="1598295" cy="569595"/>
                <wp:effectExtent l="0" t="0" r="20955" b="20955"/>
                <wp:wrapNone/>
                <wp:docPr id="47" name="Prostokąt 47"/>
                <wp:cNvGraphicFramePr/>
                <a:graphic xmlns:a="http://schemas.openxmlformats.org/drawingml/2006/main">
                  <a:graphicData uri="http://schemas.microsoft.com/office/word/2010/wordprocessingShape">
                    <wps:wsp>
                      <wps:cNvSpPr/>
                      <wps:spPr>
                        <a:xfrm>
                          <a:off x="0" y="0"/>
                          <a:ext cx="1598295" cy="56959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74F2892C" w14:textId="77777777" w:rsidR="0009007E" w:rsidRDefault="0009007E" w:rsidP="0009007E">
                            <w:pPr>
                              <w:jc w:val="center"/>
                            </w:pPr>
                            <w:r>
                              <w:t>jednostka składowa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D98C" id="Prostokąt 47" o:spid="_x0000_s1058" style="position:absolute;margin-left:.15pt;margin-top:34.4pt;width:125.85pt;height:44.8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" fillcolor="#65a0d7 [3028]" strokecolor="#5b9bd5 [3204]" strokeweight=".5pt">
                <v:fill color2="#5898d4 [3172]" rotate="t" colors="0 #71a6db;.5 #559bdb;1 #438ac9" focus="100%" type="gradient">
                  <o:fill v:ext="view" type="gradientUnscaled"/>
                </v:fill>
                <v:textbox>
                  <w:txbxContent>
                    <w:p w14:paraId="74F2892C" w14:textId="77777777" w:rsidR="0009007E" w:rsidRDefault="0009007E" w:rsidP="0009007E">
                      <w:pPr>
                        <w:jc w:val="center"/>
                      </w:pPr>
                      <w:r>
                        <w:t>jednostka składowa C</w:t>
                      </w:r>
                    </w:p>
                  </w:txbxContent>
                </v:textbox>
                <w10:wrap anchorx="margin"/>
              </v:rect>
            </w:pict>
          </mc:Fallback>
        </mc:AlternateContent>
      </w:r>
      <w:r w:rsidRPr="003E7A67">
        <w:rPr>
          <w:rFonts w:cstheme="minorHAnsi"/>
          <w:bCs/>
          <w:noProof/>
          <w:lang w:eastAsia="pl-PL"/>
        </w:rPr>
        <mc:AlternateContent>
          <mc:Choice Requires="wps">
            <w:drawing>
              <wp:anchor distT="0" distB="0" distL="114300" distR="114300" simplePos="0" relativeHeight="251948032" behindDoc="0" locked="0" layoutInCell="1" allowOverlap="1" wp14:anchorId="2A7B394B" wp14:editId="5451B9A7">
                <wp:simplePos x="0" y="0"/>
                <wp:positionH relativeFrom="column">
                  <wp:posOffset>802005</wp:posOffset>
                </wp:positionH>
                <wp:positionV relativeFrom="paragraph">
                  <wp:posOffset>92075</wp:posOffset>
                </wp:positionV>
                <wp:extent cx="0" cy="344805"/>
                <wp:effectExtent l="0" t="0" r="38100" b="36195"/>
                <wp:wrapNone/>
                <wp:docPr id="48" name="Łącznik prosty 48"/>
                <wp:cNvGraphicFramePr/>
                <a:graphic xmlns:a="http://schemas.openxmlformats.org/drawingml/2006/main">
                  <a:graphicData uri="http://schemas.microsoft.com/office/word/2010/wordprocessingShape">
                    <wps:wsp>
                      <wps:cNvCnPr/>
                      <wps:spPr>
                        <a:xfrm>
                          <a:off x="0" y="0"/>
                          <a:ext cx="0" cy="344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81A06" id="Łącznik prosty 48"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63.15pt,7.25pt" to="63.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" strokecolor="#5b9bd5 [3204]" strokeweight=".5pt">
                <v:stroke joinstyle="miter"/>
              </v:line>
            </w:pict>
          </mc:Fallback>
        </mc:AlternateContent>
      </w:r>
      <w:r w:rsidRPr="003E7A67">
        <w:rPr>
          <w:rFonts w:cstheme="minorHAnsi"/>
          <w:bCs/>
          <w:noProof/>
          <w:lang w:eastAsia="pl-PL"/>
        </w:rPr>
        <mc:AlternateContent>
          <mc:Choice Requires="wps">
            <w:drawing>
              <wp:anchor distT="0" distB="0" distL="114300" distR="114300" simplePos="0" relativeHeight="251945984" behindDoc="0" locked="0" layoutInCell="1" allowOverlap="1" wp14:anchorId="5E4C197A" wp14:editId="287A470C">
                <wp:simplePos x="0" y="0"/>
                <wp:positionH relativeFrom="margin">
                  <wp:posOffset>2630805</wp:posOffset>
                </wp:positionH>
                <wp:positionV relativeFrom="paragraph">
                  <wp:posOffset>902335</wp:posOffset>
                </wp:positionV>
                <wp:extent cx="1367155" cy="338455"/>
                <wp:effectExtent l="0" t="0" r="23495" b="23495"/>
                <wp:wrapNone/>
                <wp:docPr id="50" name="Prostokąt 50"/>
                <wp:cNvGraphicFramePr/>
                <a:graphic xmlns:a="http://schemas.openxmlformats.org/drawingml/2006/main">
                  <a:graphicData uri="http://schemas.microsoft.com/office/word/2010/wordprocessingShape">
                    <wps:wsp>
                      <wps:cNvSpPr/>
                      <wps:spPr>
                        <a:xfrm>
                          <a:off x="0" y="0"/>
                          <a:ext cx="1367155" cy="33845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178541B1" w14:textId="77777777" w:rsidR="0009007E" w:rsidRPr="00617568" w:rsidRDefault="0009007E" w:rsidP="0009007E">
                            <w:pPr>
                              <w:jc w:val="center"/>
                              <w:rPr>
                                <w:sz w:val="16"/>
                                <w:szCs w:val="16"/>
                              </w:rPr>
                            </w:pPr>
                            <w:r w:rsidRPr="00617568">
                              <w:rPr>
                                <w:sz w:val="16"/>
                                <w:szCs w:val="16"/>
                              </w:rPr>
                              <w:t xml:space="preserve">jednostka składowa </w:t>
                            </w:r>
                            <w:r>
                              <w:rPr>
                                <w:sz w:val="16"/>
                                <w:szCs w:val="16"/>
                              </w:rPr>
                              <w:t>C2</w:t>
                            </w:r>
                          </w:p>
                          <w:p w14:paraId="6E35DB92"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C197A" id="Prostokąt 50" o:spid="_x0000_s1059" style="position:absolute;margin-left:207.15pt;margin-top:71.05pt;width:107.65pt;height:26.6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" fillcolor="#65a0d7 [3028]" strokecolor="#5b9bd5 [3204]" strokeweight=".5pt">
                <v:fill color2="#5898d4 [3172]" rotate="t" colors="0 #71a6db;.5 #559bdb;1 #438ac9" focus="100%" type="gradient">
                  <o:fill v:ext="view" type="gradientUnscaled"/>
                </v:fill>
                <v:textbox>
                  <w:txbxContent>
                    <w:p w14:paraId="178541B1" w14:textId="77777777" w:rsidR="0009007E" w:rsidRPr="00617568" w:rsidRDefault="0009007E" w:rsidP="0009007E">
                      <w:pPr>
                        <w:jc w:val="center"/>
                        <w:rPr>
                          <w:sz w:val="16"/>
                          <w:szCs w:val="16"/>
                        </w:rPr>
                      </w:pPr>
                      <w:r w:rsidRPr="00617568">
                        <w:rPr>
                          <w:sz w:val="16"/>
                          <w:szCs w:val="16"/>
                        </w:rPr>
                        <w:t xml:space="preserve">jednostka składowa </w:t>
                      </w:r>
                      <w:r>
                        <w:rPr>
                          <w:sz w:val="16"/>
                          <w:szCs w:val="16"/>
                        </w:rPr>
                        <w:t>C2</w:t>
                      </w:r>
                    </w:p>
                    <w:p w14:paraId="6E35DB92" w14:textId="77777777" w:rsidR="0009007E" w:rsidRDefault="0009007E" w:rsidP="0009007E">
                      <w:pPr>
                        <w:jc w:val="center"/>
                      </w:pPr>
                    </w:p>
                  </w:txbxContent>
                </v:textbox>
                <w10:wrap anchorx="margin"/>
              </v:rect>
            </w:pict>
          </mc:Fallback>
        </mc:AlternateContent>
      </w:r>
      <w:r w:rsidRPr="003E7A67">
        <w:rPr>
          <w:rFonts w:cstheme="minorHAnsi"/>
          <w:bCs/>
          <w:noProof/>
          <w:lang w:eastAsia="pl-PL"/>
        </w:rPr>
        <mc:AlternateContent>
          <mc:Choice Requires="wps">
            <w:drawing>
              <wp:anchor distT="0" distB="0" distL="114300" distR="114300" simplePos="0" relativeHeight="251944960" behindDoc="0" locked="0" layoutInCell="1" allowOverlap="1" wp14:anchorId="76045625" wp14:editId="1F69D1E3">
                <wp:simplePos x="0" y="0"/>
                <wp:positionH relativeFrom="margin">
                  <wp:posOffset>2630805</wp:posOffset>
                </wp:positionH>
                <wp:positionV relativeFrom="paragraph">
                  <wp:posOffset>434975</wp:posOffset>
                </wp:positionV>
                <wp:extent cx="1367155" cy="338455"/>
                <wp:effectExtent l="0" t="0" r="23495" b="23495"/>
                <wp:wrapNone/>
                <wp:docPr id="51" name="Prostokąt 51"/>
                <wp:cNvGraphicFramePr/>
                <a:graphic xmlns:a="http://schemas.openxmlformats.org/drawingml/2006/main">
                  <a:graphicData uri="http://schemas.microsoft.com/office/word/2010/wordprocessingShape">
                    <wps:wsp>
                      <wps:cNvSpPr/>
                      <wps:spPr>
                        <a:xfrm>
                          <a:off x="0" y="0"/>
                          <a:ext cx="1367155" cy="33845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33559B1" w14:textId="77777777" w:rsidR="0009007E" w:rsidRPr="00617568" w:rsidRDefault="0009007E" w:rsidP="0009007E">
                            <w:pPr>
                              <w:jc w:val="center"/>
                              <w:rPr>
                                <w:sz w:val="16"/>
                                <w:szCs w:val="16"/>
                              </w:rPr>
                            </w:pPr>
                            <w:r w:rsidRPr="00617568">
                              <w:rPr>
                                <w:sz w:val="16"/>
                                <w:szCs w:val="16"/>
                              </w:rPr>
                              <w:t>jednostka składowa B</w:t>
                            </w:r>
                            <w:r>
                              <w:rPr>
                                <w:sz w:val="16"/>
                                <w:szCs w:val="16"/>
                              </w:rPr>
                              <w:t>2</w:t>
                            </w:r>
                          </w:p>
                          <w:p w14:paraId="50BE9346" w14:textId="77777777" w:rsidR="0009007E" w:rsidRDefault="0009007E" w:rsidP="000900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45625" id="Prostokąt 51" o:spid="_x0000_s1060" style="position:absolute;margin-left:207.15pt;margin-top:34.25pt;width:107.65pt;height:26.6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" fillcolor="#65a0d7 [3028]" strokecolor="#5b9bd5 [3204]" strokeweight=".5pt">
                <v:fill color2="#5898d4 [3172]" rotate="t" colors="0 #71a6db;.5 #559bdb;1 #438ac9" focus="100%" type="gradient">
                  <o:fill v:ext="view" type="gradientUnscaled"/>
                </v:fill>
                <v:textbox>
                  <w:txbxContent>
                    <w:p w14:paraId="233559B1" w14:textId="77777777" w:rsidR="0009007E" w:rsidRPr="00617568" w:rsidRDefault="0009007E" w:rsidP="0009007E">
                      <w:pPr>
                        <w:jc w:val="center"/>
                        <w:rPr>
                          <w:sz w:val="16"/>
                          <w:szCs w:val="16"/>
                        </w:rPr>
                      </w:pPr>
                      <w:r w:rsidRPr="00617568">
                        <w:rPr>
                          <w:sz w:val="16"/>
                          <w:szCs w:val="16"/>
                        </w:rPr>
                        <w:t>jednostka składowa B</w:t>
                      </w:r>
                      <w:r>
                        <w:rPr>
                          <w:sz w:val="16"/>
                          <w:szCs w:val="16"/>
                        </w:rPr>
                        <w:t>2</w:t>
                      </w:r>
                    </w:p>
                    <w:p w14:paraId="50BE9346" w14:textId="77777777" w:rsidR="0009007E" w:rsidRDefault="0009007E" w:rsidP="0009007E">
                      <w:pPr>
                        <w:jc w:val="center"/>
                      </w:pPr>
                    </w:p>
                  </w:txbxContent>
                </v:textbox>
                <w10:wrap anchorx="margin"/>
              </v:rect>
            </w:pict>
          </mc:Fallback>
        </mc:AlternateContent>
      </w:r>
    </w:p>
    <w:p w14:paraId="6BD44ECC" w14:textId="77777777" w:rsidR="00FE681A" w:rsidRPr="003E7A67" w:rsidRDefault="00FE681A" w:rsidP="00FE681A"/>
    <w:p w14:paraId="0A112020" w14:textId="77777777" w:rsidR="00FE681A" w:rsidRPr="003E7A67" w:rsidRDefault="00FE681A" w:rsidP="00FE681A"/>
    <w:p w14:paraId="74CB2074" w14:textId="77777777" w:rsidR="00FE681A" w:rsidRPr="003E7A67" w:rsidRDefault="00FE681A" w:rsidP="00FE681A"/>
    <w:p w14:paraId="07BE8EA0" w14:textId="77777777" w:rsidR="003E7A67" w:rsidRDefault="003E7A67" w:rsidP="00EF5D25">
      <w:pPr>
        <w:keepNext/>
        <w:keepLines/>
        <w:spacing w:before="40" w:after="120"/>
        <w:outlineLvl w:val="4"/>
        <w:rPr>
          <w:rFonts w:ascii="Calibri" w:eastAsiaTheme="majorEastAsia" w:hAnsi="Calibri" w:cstheme="majorBidi"/>
          <w:i/>
          <w:color w:val="2E74B5" w:themeColor="accent1" w:themeShade="BF"/>
        </w:rPr>
      </w:pPr>
    </w:p>
    <w:p w14:paraId="6064279B" w14:textId="1DE57B79" w:rsidR="00EF5D25" w:rsidRPr="00633318" w:rsidRDefault="001828C3" w:rsidP="00EF5D25">
      <w:pPr>
        <w:keepNext/>
        <w:keepLines/>
        <w:spacing w:before="40" w:after="120"/>
        <w:outlineLvl w:val="4"/>
        <w:rPr>
          <w:rFonts w:ascii="Times New Roman" w:eastAsiaTheme="majorEastAsia" w:hAnsi="Times New Roman" w:cs="Times New Roman"/>
          <w:i/>
          <w:color w:val="2E74B5" w:themeColor="accent1" w:themeShade="BF"/>
          <w:sz w:val="24"/>
          <w:szCs w:val="24"/>
        </w:rPr>
      </w:pPr>
      <w:r w:rsidRPr="00633318">
        <w:rPr>
          <w:rFonts w:ascii="Times New Roman" w:eastAsiaTheme="majorEastAsia" w:hAnsi="Times New Roman" w:cs="Times New Roman"/>
          <w:i/>
          <w:color w:val="2E74B5" w:themeColor="accent1" w:themeShade="BF"/>
          <w:sz w:val="24"/>
          <w:szCs w:val="24"/>
        </w:rPr>
        <w:t xml:space="preserve">Minimalny przychód grupowy w przypadku </w:t>
      </w:r>
      <w:r w:rsidR="0009007E" w:rsidRPr="00633318">
        <w:rPr>
          <w:rFonts w:ascii="Times New Roman" w:eastAsiaTheme="majorEastAsia" w:hAnsi="Times New Roman" w:cs="Times New Roman"/>
          <w:i/>
          <w:color w:val="2E74B5" w:themeColor="accent1" w:themeShade="BF"/>
          <w:sz w:val="24"/>
          <w:szCs w:val="24"/>
        </w:rPr>
        <w:t>połączonych</w:t>
      </w:r>
      <w:r w:rsidR="00B83632" w:rsidRPr="00633318">
        <w:rPr>
          <w:rFonts w:ascii="Times New Roman" w:eastAsiaTheme="majorEastAsia" w:hAnsi="Times New Roman" w:cs="Times New Roman"/>
          <w:i/>
          <w:color w:val="2E74B5" w:themeColor="accent1" w:themeShade="BF"/>
          <w:sz w:val="24"/>
          <w:szCs w:val="24"/>
        </w:rPr>
        <w:t xml:space="preserve"> grup</w:t>
      </w:r>
      <w:r w:rsidR="0009007E" w:rsidRPr="00633318">
        <w:rPr>
          <w:rFonts w:ascii="Times New Roman" w:eastAsiaTheme="majorEastAsia" w:hAnsi="Times New Roman" w:cs="Times New Roman"/>
          <w:i/>
          <w:color w:val="2E74B5" w:themeColor="accent1" w:themeShade="BF"/>
          <w:sz w:val="24"/>
          <w:szCs w:val="24"/>
        </w:rPr>
        <w:t xml:space="preserve"> </w:t>
      </w:r>
    </w:p>
    <w:p w14:paraId="5950DD4A" w14:textId="33C35582" w:rsidR="00A163F4" w:rsidRPr="00633318" w:rsidRDefault="006D484D" w:rsidP="008035B6">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 xml:space="preserve">Art. </w:t>
      </w:r>
      <w:r w:rsidR="00D810BA" w:rsidRPr="00633318">
        <w:rPr>
          <w:rFonts w:ascii="Times New Roman" w:hAnsi="Times New Roman" w:cs="Times New Roman"/>
          <w:b/>
          <w:sz w:val="24"/>
          <w:szCs w:val="24"/>
        </w:rPr>
        <w:t xml:space="preserve">4 ust. 6 </w:t>
      </w:r>
      <w:r w:rsidRPr="00633318">
        <w:rPr>
          <w:rFonts w:ascii="Times New Roman" w:hAnsi="Times New Roman" w:cs="Times New Roman"/>
          <w:bCs/>
          <w:sz w:val="24"/>
          <w:szCs w:val="24"/>
        </w:rPr>
        <w:t>ustawy reguluje sposób określania minimalnego przychodu</w:t>
      </w:r>
      <w:r w:rsidR="001344FF" w:rsidRPr="00633318">
        <w:rPr>
          <w:rFonts w:ascii="Times New Roman" w:hAnsi="Times New Roman" w:cs="Times New Roman"/>
          <w:bCs/>
          <w:sz w:val="24"/>
          <w:szCs w:val="24"/>
        </w:rPr>
        <w:t xml:space="preserve"> grupowego</w:t>
      </w:r>
      <w:r w:rsidRPr="00633318">
        <w:rPr>
          <w:rFonts w:ascii="Times New Roman" w:hAnsi="Times New Roman" w:cs="Times New Roman"/>
          <w:bCs/>
          <w:sz w:val="24"/>
          <w:szCs w:val="24"/>
        </w:rPr>
        <w:t xml:space="preserve"> połączonej grupy. </w:t>
      </w:r>
      <w:r w:rsidR="0020316C" w:rsidRPr="00633318">
        <w:rPr>
          <w:rFonts w:ascii="Times New Roman" w:hAnsi="Times New Roman" w:cs="Times New Roman"/>
          <w:bCs/>
          <w:sz w:val="24"/>
          <w:szCs w:val="24"/>
        </w:rPr>
        <w:t>Artykuł ten implementuje art. 33</w:t>
      </w:r>
      <w:r w:rsidR="008B225D" w:rsidRPr="00633318">
        <w:rPr>
          <w:rFonts w:ascii="Times New Roman" w:hAnsi="Times New Roman" w:cs="Times New Roman"/>
          <w:bCs/>
          <w:sz w:val="24"/>
          <w:szCs w:val="24"/>
        </w:rPr>
        <w:t>.</w:t>
      </w:r>
      <w:r w:rsidR="0020316C" w:rsidRPr="00633318">
        <w:rPr>
          <w:rFonts w:ascii="Times New Roman" w:hAnsi="Times New Roman" w:cs="Times New Roman"/>
          <w:bCs/>
          <w:sz w:val="24"/>
          <w:szCs w:val="24"/>
        </w:rPr>
        <w:t>1-</w:t>
      </w:r>
      <w:r w:rsidR="008B225D" w:rsidRPr="00633318">
        <w:rPr>
          <w:rFonts w:ascii="Times New Roman" w:hAnsi="Times New Roman" w:cs="Times New Roman"/>
          <w:bCs/>
          <w:sz w:val="24"/>
          <w:szCs w:val="24"/>
        </w:rPr>
        <w:t>33.</w:t>
      </w:r>
      <w:r w:rsidR="0020316C" w:rsidRPr="00633318">
        <w:rPr>
          <w:rFonts w:ascii="Times New Roman" w:hAnsi="Times New Roman" w:cs="Times New Roman"/>
          <w:bCs/>
          <w:sz w:val="24"/>
          <w:szCs w:val="24"/>
        </w:rPr>
        <w:t>3 Dyrektywy</w:t>
      </w:r>
      <w:r w:rsidR="008035B6" w:rsidRPr="00633318">
        <w:rPr>
          <w:rFonts w:ascii="Times New Roman" w:hAnsi="Times New Roman" w:cs="Times New Roman"/>
          <w:bCs/>
          <w:sz w:val="24"/>
          <w:szCs w:val="24"/>
        </w:rPr>
        <w:t xml:space="preserve">. </w:t>
      </w:r>
    </w:p>
    <w:p w14:paraId="4F025A54" w14:textId="3B8EA969" w:rsidR="008035B6" w:rsidRPr="00633318" w:rsidRDefault="00D810BA" w:rsidP="008035B6">
      <w:pPr>
        <w:spacing w:after="120"/>
        <w:jc w:val="both"/>
        <w:rPr>
          <w:rFonts w:ascii="Times New Roman" w:hAnsi="Times New Roman" w:cs="Times New Roman"/>
          <w:bCs/>
          <w:sz w:val="24"/>
          <w:szCs w:val="24"/>
        </w:rPr>
      </w:pPr>
      <w:bookmarkStart w:id="55" w:name="_Hlk156210078"/>
      <w:r w:rsidRPr="00633318">
        <w:rPr>
          <w:rFonts w:ascii="Times New Roman" w:hAnsi="Times New Roman" w:cs="Times New Roman"/>
          <w:bCs/>
          <w:sz w:val="24"/>
          <w:szCs w:val="24"/>
        </w:rPr>
        <w:t>W przypadku połączonej grupy obowiązuje również skonsolidowany próg przychodów w wysokości co najmniej 750 000 000 euro, zgodnie z ust. 2. Jednakże m</w:t>
      </w:r>
      <w:r w:rsidR="0020316C" w:rsidRPr="00633318">
        <w:rPr>
          <w:rFonts w:ascii="Times New Roman" w:hAnsi="Times New Roman" w:cs="Times New Roman"/>
          <w:bCs/>
          <w:sz w:val="24"/>
          <w:szCs w:val="24"/>
        </w:rPr>
        <w:t xml:space="preserve">ając na uwadze treść </w:t>
      </w:r>
      <w:r w:rsidRPr="00633318">
        <w:rPr>
          <w:rFonts w:ascii="Times New Roman" w:hAnsi="Times New Roman" w:cs="Times New Roman"/>
          <w:bCs/>
          <w:sz w:val="24"/>
          <w:szCs w:val="24"/>
        </w:rPr>
        <w:t>ust. 6</w:t>
      </w:r>
      <w:r w:rsidR="0020316C" w:rsidRPr="00633318">
        <w:rPr>
          <w:rFonts w:ascii="Times New Roman" w:hAnsi="Times New Roman" w:cs="Times New Roman"/>
          <w:bCs/>
          <w:sz w:val="24"/>
          <w:szCs w:val="24"/>
        </w:rPr>
        <w:t xml:space="preserve">, </w:t>
      </w:r>
      <w:r w:rsidR="008035B6" w:rsidRPr="00633318">
        <w:rPr>
          <w:rFonts w:ascii="Times New Roman" w:hAnsi="Times New Roman" w:cs="Times New Roman"/>
          <w:bCs/>
          <w:sz w:val="24"/>
          <w:szCs w:val="24"/>
        </w:rPr>
        <w:t>minimalny przychód grupowy połączonej grupy</w:t>
      </w:r>
      <w:r w:rsidRPr="00633318">
        <w:rPr>
          <w:rFonts w:ascii="Times New Roman" w:hAnsi="Times New Roman" w:cs="Times New Roman"/>
          <w:bCs/>
          <w:sz w:val="24"/>
          <w:szCs w:val="24"/>
        </w:rPr>
        <w:t xml:space="preserve"> ustala się w zależności, czy mówimy o okresie po połączeniu czy przed połączeniem, jak również zależnie od typu połączonej grupy, z którą mamy do czynienia (tj. czy połączyły się odrębne jednostki czy też np. grupa przejęła jednostkę). Mianowicie, minimalny przychód grupowy ustala się w oparciu o roczny przychód:</w:t>
      </w:r>
    </w:p>
    <w:p w14:paraId="28503457" w14:textId="7408244D" w:rsidR="008035B6" w:rsidRPr="00633318" w:rsidRDefault="008035B6" w:rsidP="00B6504F">
      <w:pPr>
        <w:pStyle w:val="Akapitzlist"/>
        <w:numPr>
          <w:ilvl w:val="3"/>
          <w:numId w:val="44"/>
        </w:numPr>
        <w:spacing w:after="120"/>
        <w:ind w:left="568" w:hanging="284"/>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wykazany </w:t>
      </w:r>
      <w:r w:rsidRPr="00633318">
        <w:rPr>
          <w:rFonts w:ascii="Times New Roman" w:hAnsi="Times New Roman" w:cs="Times New Roman"/>
          <w:b/>
          <w:sz w:val="24"/>
          <w:szCs w:val="24"/>
        </w:rPr>
        <w:t xml:space="preserve">w skonsolidowanym sprawozdaniu finansowym takiej połączonej grupy </w:t>
      </w:r>
      <w:r w:rsidRPr="00633318">
        <w:rPr>
          <w:rFonts w:ascii="Times New Roman" w:hAnsi="Times New Roman" w:cs="Times New Roman"/>
          <w:bCs/>
          <w:sz w:val="24"/>
          <w:szCs w:val="24"/>
        </w:rPr>
        <w:t>(</w:t>
      </w:r>
      <w:r w:rsidR="00A163F4" w:rsidRPr="00633318">
        <w:rPr>
          <w:rFonts w:ascii="Times New Roman" w:hAnsi="Times New Roman" w:cs="Times New Roman"/>
          <w:bCs/>
          <w:sz w:val="24"/>
          <w:szCs w:val="24"/>
        </w:rPr>
        <w:t>tj. za okres od dnia połączenia</w:t>
      </w:r>
      <w:r w:rsidRPr="00633318">
        <w:rPr>
          <w:rFonts w:ascii="Times New Roman" w:hAnsi="Times New Roman" w:cs="Times New Roman"/>
          <w:bCs/>
          <w:sz w:val="24"/>
          <w:szCs w:val="24"/>
        </w:rPr>
        <w:t>), albo</w:t>
      </w:r>
    </w:p>
    <w:bookmarkEnd w:id="55"/>
    <w:p w14:paraId="6704F19E" w14:textId="5C050F0D" w:rsidR="00565775" w:rsidRPr="00633318" w:rsidRDefault="008035B6" w:rsidP="00B6504F">
      <w:pPr>
        <w:pStyle w:val="Akapitzlist"/>
        <w:numPr>
          <w:ilvl w:val="3"/>
          <w:numId w:val="44"/>
        </w:numPr>
        <w:spacing w:after="120"/>
        <w:ind w:left="567" w:hanging="283"/>
        <w:jc w:val="both"/>
        <w:rPr>
          <w:rFonts w:ascii="Times New Roman" w:hAnsi="Times New Roman" w:cs="Times New Roman"/>
          <w:bCs/>
          <w:sz w:val="24"/>
          <w:szCs w:val="24"/>
        </w:rPr>
      </w:pPr>
      <w:r w:rsidRPr="00633318">
        <w:rPr>
          <w:rFonts w:ascii="Times New Roman" w:hAnsi="Times New Roman" w:cs="Times New Roman"/>
          <w:bCs/>
          <w:sz w:val="24"/>
          <w:szCs w:val="24"/>
        </w:rPr>
        <w:t xml:space="preserve">odpowiadający </w:t>
      </w:r>
      <w:r w:rsidRPr="00633318">
        <w:rPr>
          <w:rFonts w:ascii="Times New Roman" w:hAnsi="Times New Roman" w:cs="Times New Roman"/>
          <w:b/>
          <w:sz w:val="24"/>
          <w:szCs w:val="24"/>
        </w:rPr>
        <w:t>sumie rocznych przychodów</w:t>
      </w:r>
      <w:r w:rsidR="00B952E8" w:rsidRPr="00633318">
        <w:rPr>
          <w:rFonts w:ascii="Times New Roman" w:hAnsi="Times New Roman" w:cs="Times New Roman"/>
          <w:bCs/>
          <w:sz w:val="24"/>
          <w:szCs w:val="24"/>
        </w:rPr>
        <w:t xml:space="preserve"> odpowiednio jednostek i</w:t>
      </w:r>
      <w:r w:rsidR="00F55AC0" w:rsidRPr="00633318">
        <w:rPr>
          <w:rFonts w:ascii="Times New Roman" w:hAnsi="Times New Roman" w:cs="Times New Roman"/>
          <w:bCs/>
          <w:sz w:val="24"/>
          <w:szCs w:val="24"/>
        </w:rPr>
        <w:t>/</w:t>
      </w:r>
      <w:r w:rsidR="00B952E8" w:rsidRPr="00633318">
        <w:rPr>
          <w:rFonts w:ascii="Times New Roman" w:hAnsi="Times New Roman" w:cs="Times New Roman"/>
          <w:bCs/>
          <w:sz w:val="24"/>
          <w:szCs w:val="24"/>
        </w:rPr>
        <w:t>lub</w:t>
      </w:r>
      <w:r w:rsidRPr="00633318">
        <w:rPr>
          <w:rFonts w:ascii="Times New Roman" w:hAnsi="Times New Roman" w:cs="Times New Roman"/>
          <w:bCs/>
          <w:sz w:val="24"/>
          <w:szCs w:val="24"/>
        </w:rPr>
        <w:t xml:space="preserve"> grup uczestniczących w połączeniu, wykazanych w skonsolidowanym sprawozdaniu finansowym</w:t>
      </w:r>
      <w:r w:rsidR="00B952E8" w:rsidRPr="00633318">
        <w:rPr>
          <w:rFonts w:ascii="Times New Roman" w:hAnsi="Times New Roman" w:cs="Times New Roman"/>
          <w:bCs/>
          <w:sz w:val="24"/>
          <w:szCs w:val="24"/>
        </w:rPr>
        <w:t xml:space="preserve"> takiej jednostki i</w:t>
      </w:r>
      <w:r w:rsidR="00F55AC0" w:rsidRPr="00633318">
        <w:rPr>
          <w:rFonts w:ascii="Times New Roman" w:hAnsi="Times New Roman" w:cs="Times New Roman"/>
          <w:bCs/>
          <w:sz w:val="24"/>
          <w:szCs w:val="24"/>
        </w:rPr>
        <w:t>/</w:t>
      </w:r>
      <w:r w:rsidR="00B952E8" w:rsidRPr="00633318">
        <w:rPr>
          <w:rFonts w:ascii="Times New Roman" w:hAnsi="Times New Roman" w:cs="Times New Roman"/>
          <w:bCs/>
          <w:sz w:val="24"/>
          <w:szCs w:val="24"/>
        </w:rPr>
        <w:t>lub</w:t>
      </w:r>
      <w:r w:rsidRPr="00633318">
        <w:rPr>
          <w:rFonts w:ascii="Times New Roman" w:hAnsi="Times New Roman" w:cs="Times New Roman"/>
          <w:bCs/>
          <w:sz w:val="24"/>
          <w:szCs w:val="24"/>
        </w:rPr>
        <w:t xml:space="preserve"> grupy, </w:t>
      </w:r>
      <w:r w:rsidRPr="00633318">
        <w:rPr>
          <w:rFonts w:ascii="Times New Roman" w:hAnsi="Times New Roman" w:cs="Times New Roman"/>
          <w:b/>
          <w:sz w:val="24"/>
          <w:szCs w:val="24"/>
        </w:rPr>
        <w:t>ustalanych za rok podatkowy lub lata podatkowe poprzedzające rok, w którym nastąpiło połączenie grup</w:t>
      </w:r>
      <w:r w:rsidRPr="00633318">
        <w:rPr>
          <w:rFonts w:ascii="Times New Roman" w:hAnsi="Times New Roman" w:cs="Times New Roman"/>
          <w:bCs/>
          <w:sz w:val="24"/>
          <w:szCs w:val="24"/>
        </w:rPr>
        <w:t>.</w:t>
      </w:r>
    </w:p>
    <w:p w14:paraId="5B9A598A" w14:textId="25F9C1CD" w:rsidR="00565775" w:rsidRPr="00633318" w:rsidRDefault="007A546E" w:rsidP="007348D9">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odniesieniu do pkt 2 n</w:t>
      </w:r>
      <w:r w:rsidR="00565775" w:rsidRPr="00633318">
        <w:rPr>
          <w:rFonts w:ascii="Times New Roman" w:hAnsi="Times New Roman" w:cs="Times New Roman"/>
          <w:bCs/>
          <w:sz w:val="24"/>
          <w:szCs w:val="24"/>
        </w:rPr>
        <w:t>ależy podkreślić, że przychody grup przed połączeniem nie podlegają korek</w:t>
      </w:r>
      <w:r w:rsidRPr="00633318">
        <w:rPr>
          <w:rFonts w:ascii="Times New Roman" w:hAnsi="Times New Roman" w:cs="Times New Roman"/>
          <w:bCs/>
          <w:sz w:val="24"/>
          <w:szCs w:val="24"/>
        </w:rPr>
        <w:t>tom konsolidacyjnym</w:t>
      </w:r>
      <w:r w:rsidR="00565775" w:rsidRPr="00633318">
        <w:rPr>
          <w:rFonts w:ascii="Times New Roman" w:hAnsi="Times New Roman" w:cs="Times New Roman"/>
          <w:bCs/>
          <w:sz w:val="24"/>
          <w:szCs w:val="24"/>
        </w:rPr>
        <w:t xml:space="preserve"> </w:t>
      </w:r>
      <w:r w:rsidR="00FE623B" w:rsidRPr="00633318">
        <w:rPr>
          <w:rFonts w:ascii="Times New Roman" w:hAnsi="Times New Roman" w:cs="Times New Roman"/>
          <w:bCs/>
          <w:sz w:val="24"/>
          <w:szCs w:val="24"/>
        </w:rPr>
        <w:t>w zakresie</w:t>
      </w:r>
      <w:r w:rsidR="00565775" w:rsidRPr="00633318">
        <w:rPr>
          <w:rFonts w:ascii="Times New Roman" w:hAnsi="Times New Roman" w:cs="Times New Roman"/>
          <w:bCs/>
          <w:sz w:val="24"/>
          <w:szCs w:val="24"/>
        </w:rPr>
        <w:t xml:space="preserve"> transakcji</w:t>
      </w:r>
      <w:r w:rsidR="00FE623B" w:rsidRPr="00633318">
        <w:rPr>
          <w:rFonts w:ascii="Times New Roman" w:hAnsi="Times New Roman" w:cs="Times New Roman"/>
          <w:bCs/>
          <w:sz w:val="24"/>
          <w:szCs w:val="24"/>
        </w:rPr>
        <w:t xml:space="preserve"> </w:t>
      </w:r>
      <w:r w:rsidR="00565775" w:rsidRPr="00633318">
        <w:rPr>
          <w:rFonts w:ascii="Times New Roman" w:hAnsi="Times New Roman" w:cs="Times New Roman"/>
          <w:bCs/>
          <w:sz w:val="24"/>
          <w:szCs w:val="24"/>
        </w:rPr>
        <w:t>pomiędzy grupami</w:t>
      </w:r>
      <w:r w:rsidR="00FE623B" w:rsidRPr="00633318">
        <w:rPr>
          <w:rFonts w:ascii="Times New Roman" w:hAnsi="Times New Roman" w:cs="Times New Roman"/>
          <w:bCs/>
          <w:sz w:val="24"/>
          <w:szCs w:val="24"/>
        </w:rPr>
        <w:t>, które miały miejsce</w:t>
      </w:r>
      <w:r w:rsidR="00565775" w:rsidRPr="00633318">
        <w:rPr>
          <w:rFonts w:ascii="Times New Roman" w:hAnsi="Times New Roman" w:cs="Times New Roman"/>
          <w:bCs/>
          <w:sz w:val="24"/>
          <w:szCs w:val="24"/>
        </w:rPr>
        <w:t xml:space="preserve"> w latach poprzedzających połączenie</w:t>
      </w:r>
      <w:r w:rsidRPr="00633318">
        <w:rPr>
          <w:rStyle w:val="Odwoanieprzypisudolnego"/>
          <w:rFonts w:ascii="Times New Roman" w:hAnsi="Times New Roman" w:cs="Times New Roman"/>
          <w:bCs/>
          <w:sz w:val="24"/>
          <w:szCs w:val="24"/>
        </w:rPr>
        <w:footnoteReference w:id="150"/>
      </w:r>
      <w:r w:rsidR="00565775" w:rsidRPr="00633318">
        <w:rPr>
          <w:rFonts w:ascii="Times New Roman" w:hAnsi="Times New Roman" w:cs="Times New Roman"/>
          <w:bCs/>
          <w:sz w:val="24"/>
          <w:szCs w:val="24"/>
        </w:rPr>
        <w:t xml:space="preserve">. </w:t>
      </w:r>
    </w:p>
    <w:p w14:paraId="5F165363" w14:textId="394E0D13" w:rsidR="001D1AF2" w:rsidRPr="00633318" w:rsidRDefault="001D1AF2" w:rsidP="001D1AF2">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Zasady określone dla </w:t>
      </w:r>
      <w:r w:rsidR="00E96938" w:rsidRPr="00633318">
        <w:rPr>
          <w:rFonts w:ascii="Times New Roman" w:hAnsi="Times New Roman" w:cs="Times New Roman"/>
          <w:bCs/>
          <w:sz w:val="24"/>
          <w:szCs w:val="24"/>
        </w:rPr>
        <w:t>ust. 8 pkt 1</w:t>
      </w:r>
      <w:r w:rsidRPr="00633318">
        <w:rPr>
          <w:rFonts w:ascii="Times New Roman" w:hAnsi="Times New Roman" w:cs="Times New Roman"/>
          <w:bCs/>
          <w:sz w:val="24"/>
          <w:szCs w:val="24"/>
        </w:rPr>
        <w:t xml:space="preserve"> dotyczą sytuacji, gdy dwie lub więcej grup łączy się w jedną grupę. Biorąc pod uwagę, że w poprzednich latach grupy były odrębne i nie miały jednego skonsolidowanego sprawozdania finansowego </w:t>
      </w:r>
      <w:r w:rsidR="00045B56" w:rsidRPr="00633318">
        <w:rPr>
          <w:rFonts w:ascii="Times New Roman" w:hAnsi="Times New Roman" w:cs="Times New Roman"/>
          <w:bCs/>
          <w:sz w:val="24"/>
          <w:szCs w:val="24"/>
        </w:rPr>
        <w:t>konieczne jest doprecyzowanie,</w:t>
      </w:r>
      <w:r w:rsidRPr="00633318">
        <w:rPr>
          <w:rFonts w:ascii="Times New Roman" w:hAnsi="Times New Roman" w:cs="Times New Roman"/>
          <w:bCs/>
          <w:sz w:val="24"/>
          <w:szCs w:val="24"/>
        </w:rPr>
        <w:t xml:space="preserve"> jak określić</w:t>
      </w:r>
      <w:r w:rsidR="008535F5" w:rsidRPr="00633318">
        <w:rPr>
          <w:rFonts w:ascii="Times New Roman" w:hAnsi="Times New Roman" w:cs="Times New Roman"/>
          <w:bCs/>
          <w:sz w:val="24"/>
          <w:szCs w:val="24"/>
        </w:rPr>
        <w:t xml:space="preserve"> w takich latach minimalny przychód grupowy</w:t>
      </w:r>
      <w:r w:rsidRPr="00633318">
        <w:rPr>
          <w:rFonts w:ascii="Times New Roman" w:hAnsi="Times New Roman" w:cs="Times New Roman"/>
          <w:bCs/>
          <w:sz w:val="24"/>
          <w:szCs w:val="24"/>
        </w:rPr>
        <w:t>.</w:t>
      </w:r>
    </w:p>
    <w:p w14:paraId="5243D1E9" w14:textId="7502EE69" w:rsidR="00182537" w:rsidRPr="00633318" w:rsidRDefault="00534AAB" w:rsidP="001D1AF2">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świetle</w:t>
      </w:r>
      <w:r w:rsidR="001D1AF2"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ust. 6</w:t>
      </w:r>
      <w:r w:rsidR="001D1AF2" w:rsidRPr="00633318">
        <w:rPr>
          <w:rFonts w:ascii="Times New Roman" w:hAnsi="Times New Roman" w:cs="Times New Roman"/>
          <w:bCs/>
          <w:sz w:val="24"/>
          <w:szCs w:val="24"/>
        </w:rPr>
        <w:t xml:space="preserve"> w takim przypadku</w:t>
      </w:r>
      <w:r w:rsidRPr="00633318">
        <w:rPr>
          <w:rFonts w:ascii="Times New Roman" w:hAnsi="Times New Roman" w:cs="Times New Roman"/>
          <w:bCs/>
          <w:sz w:val="24"/>
          <w:szCs w:val="24"/>
        </w:rPr>
        <w:t>, aby ocenić spełnienie warunku minimalnego przychodu grupowego</w:t>
      </w:r>
      <w:r w:rsidR="009A3576" w:rsidRPr="00633318">
        <w:rPr>
          <w:rFonts w:ascii="Times New Roman" w:hAnsi="Times New Roman" w:cs="Times New Roman"/>
          <w:bCs/>
          <w:sz w:val="24"/>
          <w:szCs w:val="24"/>
        </w:rPr>
        <w:t xml:space="preserve"> przed połączeniem,</w:t>
      </w:r>
      <w:r w:rsidR="001D1AF2"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roczny przychód ustala się w oparciu o </w:t>
      </w:r>
      <w:r w:rsidR="001D1AF2" w:rsidRPr="00633318">
        <w:rPr>
          <w:rFonts w:ascii="Times New Roman" w:hAnsi="Times New Roman" w:cs="Times New Roman"/>
          <w:bCs/>
          <w:sz w:val="24"/>
          <w:szCs w:val="24"/>
        </w:rPr>
        <w:t>sum</w:t>
      </w:r>
      <w:r w:rsidRPr="00633318">
        <w:rPr>
          <w:rFonts w:ascii="Times New Roman" w:hAnsi="Times New Roman" w:cs="Times New Roman"/>
          <w:bCs/>
          <w:sz w:val="24"/>
          <w:szCs w:val="24"/>
        </w:rPr>
        <w:t>ę</w:t>
      </w:r>
      <w:r w:rsidR="001D1AF2" w:rsidRPr="00633318">
        <w:rPr>
          <w:rFonts w:ascii="Times New Roman" w:hAnsi="Times New Roman" w:cs="Times New Roman"/>
          <w:bCs/>
          <w:sz w:val="24"/>
          <w:szCs w:val="24"/>
        </w:rPr>
        <w:t xml:space="preserve"> rocznych przychodów grup uczestniczących w połączeniu wykazanych w skonsolidowanym sprawozdaniu finansowym każdej </w:t>
      </w:r>
      <w:r w:rsidRPr="00633318">
        <w:rPr>
          <w:rFonts w:ascii="Times New Roman" w:hAnsi="Times New Roman" w:cs="Times New Roman"/>
          <w:bCs/>
          <w:sz w:val="24"/>
          <w:szCs w:val="24"/>
        </w:rPr>
        <w:t>takiej grupy</w:t>
      </w:r>
      <w:r w:rsidR="001D1AF2" w:rsidRPr="00633318">
        <w:rPr>
          <w:rFonts w:ascii="Times New Roman" w:hAnsi="Times New Roman" w:cs="Times New Roman"/>
          <w:bCs/>
          <w:sz w:val="24"/>
          <w:szCs w:val="24"/>
        </w:rPr>
        <w:t xml:space="preserve">. </w:t>
      </w:r>
    </w:p>
    <w:p w14:paraId="60A96C70" w14:textId="395BE744" w:rsidR="00FE623B" w:rsidRPr="003E7A67" w:rsidRDefault="00FE623B" w:rsidP="00760B5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2E31B7F7" w14:textId="6279406C" w:rsidR="001D1AF2" w:rsidRPr="003E7A67" w:rsidRDefault="001D1AF2" w:rsidP="00760B5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Grupa A i grupa B wykazały w swoich skonsolidowanych sprawozdaniach finansowych przychód roczny w wysokości:</w:t>
      </w:r>
    </w:p>
    <w:p w14:paraId="446B58CB" w14:textId="1225A1FA" w:rsidR="001D1AF2" w:rsidRPr="003E7A67" w:rsidRDefault="00760B57" w:rsidP="00760B5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282"/>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1) </w:t>
      </w:r>
      <w:r w:rsidR="001D1AF2" w:rsidRPr="003E7A67">
        <w:rPr>
          <w:rFonts w:asciiTheme="minorHAnsi" w:hAnsiTheme="minorHAnsi" w:cstheme="minorHAnsi"/>
          <w:bCs w:val="0"/>
          <w:i/>
          <w:iCs/>
          <w:sz w:val="22"/>
          <w:szCs w:val="22"/>
        </w:rPr>
        <w:t xml:space="preserve">w pierwszym analizowanym roku - 400 mln EUR każda, </w:t>
      </w:r>
    </w:p>
    <w:p w14:paraId="653A4A52" w14:textId="7414FECE" w:rsidR="001D1AF2" w:rsidRPr="003E7A67" w:rsidRDefault="00760B57" w:rsidP="00760B5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282"/>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2) </w:t>
      </w:r>
      <w:r w:rsidR="001D1AF2" w:rsidRPr="003E7A67">
        <w:rPr>
          <w:rFonts w:asciiTheme="minorHAnsi" w:hAnsiTheme="minorHAnsi" w:cstheme="minorHAnsi"/>
          <w:bCs w:val="0"/>
          <w:i/>
          <w:iCs/>
          <w:sz w:val="22"/>
          <w:szCs w:val="22"/>
        </w:rPr>
        <w:t xml:space="preserve">w drugim analizowanym roku </w:t>
      </w:r>
      <w:r w:rsidR="00045B56" w:rsidRPr="003E7A67">
        <w:rPr>
          <w:rFonts w:asciiTheme="minorHAnsi" w:hAnsiTheme="minorHAnsi" w:cstheme="minorHAnsi"/>
          <w:bCs w:val="0"/>
          <w:i/>
          <w:iCs/>
          <w:sz w:val="22"/>
          <w:szCs w:val="22"/>
        </w:rPr>
        <w:t>-</w:t>
      </w:r>
      <w:r w:rsidR="001D1AF2" w:rsidRPr="003E7A67">
        <w:rPr>
          <w:rFonts w:asciiTheme="minorHAnsi" w:hAnsiTheme="minorHAnsi" w:cstheme="minorHAnsi"/>
          <w:bCs w:val="0"/>
          <w:i/>
          <w:iCs/>
          <w:sz w:val="22"/>
          <w:szCs w:val="22"/>
        </w:rPr>
        <w:t xml:space="preserve"> 300 mln EUR każda, </w:t>
      </w:r>
    </w:p>
    <w:p w14:paraId="08421F2F" w14:textId="713976ED" w:rsidR="001D1AF2" w:rsidRPr="003E7A67" w:rsidRDefault="00760B57" w:rsidP="00760B5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282"/>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3) </w:t>
      </w:r>
      <w:r w:rsidR="001D1AF2" w:rsidRPr="003E7A67">
        <w:rPr>
          <w:rFonts w:asciiTheme="minorHAnsi" w:hAnsiTheme="minorHAnsi" w:cstheme="minorHAnsi"/>
          <w:bCs w:val="0"/>
          <w:i/>
          <w:iCs/>
          <w:sz w:val="22"/>
          <w:szCs w:val="22"/>
        </w:rPr>
        <w:t xml:space="preserve">w trzecim analizowanym roku - 300 mln EUR każda, </w:t>
      </w:r>
    </w:p>
    <w:p w14:paraId="2E0C71F3" w14:textId="1D9B972A" w:rsidR="00FE623B" w:rsidRPr="003E7A67" w:rsidRDefault="00760B57" w:rsidP="00760B5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282"/>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4) </w:t>
      </w:r>
      <w:r w:rsidR="001D1AF2" w:rsidRPr="003E7A67">
        <w:rPr>
          <w:rFonts w:asciiTheme="minorHAnsi" w:hAnsiTheme="minorHAnsi" w:cstheme="minorHAnsi"/>
          <w:bCs w:val="0"/>
          <w:i/>
          <w:iCs/>
          <w:sz w:val="22"/>
          <w:szCs w:val="22"/>
        </w:rPr>
        <w:t xml:space="preserve">w czwartym analizowanym roku </w:t>
      </w:r>
      <w:r w:rsidR="00A16FDB" w:rsidRPr="003E7A67">
        <w:rPr>
          <w:rFonts w:asciiTheme="minorHAnsi" w:hAnsiTheme="minorHAnsi" w:cstheme="minorHAnsi"/>
          <w:bCs w:val="0"/>
          <w:i/>
          <w:iCs/>
          <w:sz w:val="22"/>
          <w:szCs w:val="22"/>
        </w:rPr>
        <w:t>-</w:t>
      </w:r>
      <w:r w:rsidR="001D1AF2" w:rsidRPr="003E7A67">
        <w:rPr>
          <w:rFonts w:asciiTheme="minorHAnsi" w:hAnsiTheme="minorHAnsi" w:cstheme="minorHAnsi"/>
          <w:bCs w:val="0"/>
          <w:i/>
          <w:iCs/>
          <w:sz w:val="22"/>
          <w:szCs w:val="22"/>
        </w:rPr>
        <w:t xml:space="preserve"> 400 mln EUR każda. </w:t>
      </w:r>
    </w:p>
    <w:p w14:paraId="4BBCE200" w14:textId="482FAE9A" w:rsidR="001D1AF2" w:rsidRPr="003E7A67" w:rsidRDefault="001D1AF2" w:rsidP="00760B57">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W piątym roku grupa A i grupa B łączą się w grupę AB. W świetle tych </w:t>
      </w:r>
      <w:r w:rsidR="00045B56" w:rsidRPr="003E7A67">
        <w:rPr>
          <w:rFonts w:asciiTheme="minorHAnsi" w:hAnsiTheme="minorHAnsi" w:cstheme="minorHAnsi"/>
          <w:bCs w:val="0"/>
          <w:i/>
          <w:iCs/>
          <w:sz w:val="22"/>
          <w:szCs w:val="22"/>
        </w:rPr>
        <w:t>okoliczności</w:t>
      </w:r>
      <w:r w:rsidRPr="003E7A67">
        <w:rPr>
          <w:rFonts w:asciiTheme="minorHAnsi" w:hAnsiTheme="minorHAnsi" w:cstheme="minorHAnsi"/>
          <w:bCs w:val="0"/>
          <w:i/>
          <w:iCs/>
          <w:sz w:val="22"/>
          <w:szCs w:val="22"/>
        </w:rPr>
        <w:t xml:space="preserve"> przepisy ustawy mają zastosowanie do grupy AB w piątym roku (roku połączenia), ponieważ w dwóch z czterech poprzednich lat podatkowych suma rocznych przychodów w skonsolidowanych sprawozdaniach finansowych każdej z grup wyniosły 750 mln EUR lub więcej (tj. w pierwszym i czwartym roku łączne dochody wyniosły 800 mln EUR).</w:t>
      </w:r>
    </w:p>
    <w:p w14:paraId="2836F50A" w14:textId="3F96451B" w:rsidR="001D1AF2" w:rsidRPr="00633318" w:rsidRDefault="001D1AF2" w:rsidP="00182537">
      <w:pPr>
        <w:spacing w:before="240"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Jak zostało wskazane, definicja połączonej grupy obejmuje zarówno sytuacje, kiedy jednostka nienależąca do żadnej grupy jest </w:t>
      </w:r>
      <w:r w:rsidR="00E83303" w:rsidRPr="00633318">
        <w:rPr>
          <w:rFonts w:ascii="Times New Roman" w:hAnsi="Times New Roman" w:cs="Times New Roman"/>
          <w:bCs/>
          <w:sz w:val="24"/>
          <w:szCs w:val="24"/>
        </w:rPr>
        <w:t>„</w:t>
      </w:r>
      <w:r w:rsidRPr="00633318">
        <w:rPr>
          <w:rFonts w:ascii="Times New Roman" w:hAnsi="Times New Roman" w:cs="Times New Roman"/>
          <w:bCs/>
          <w:sz w:val="24"/>
          <w:szCs w:val="24"/>
        </w:rPr>
        <w:t>nabywana</w:t>
      </w:r>
      <w:r w:rsidR="00E83303"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przez inną jednostkę lub grupę jak i sytuacje, kiedy jednostka nienależąca do grupy </w:t>
      </w:r>
      <w:r w:rsidR="00E83303" w:rsidRPr="00633318">
        <w:rPr>
          <w:rFonts w:ascii="Times New Roman" w:hAnsi="Times New Roman" w:cs="Times New Roman"/>
          <w:bCs/>
          <w:sz w:val="24"/>
          <w:szCs w:val="24"/>
        </w:rPr>
        <w:t>„</w:t>
      </w:r>
      <w:r w:rsidRPr="00633318">
        <w:rPr>
          <w:rFonts w:ascii="Times New Roman" w:hAnsi="Times New Roman" w:cs="Times New Roman"/>
          <w:bCs/>
          <w:sz w:val="24"/>
          <w:szCs w:val="24"/>
        </w:rPr>
        <w:t>nabywa</w:t>
      </w:r>
      <w:r w:rsidR="00E83303"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inną jednostkę lub grupę. Niezależnie od braku skonsolidowanego sprawozdania finansowego za lata ubiegłe, przejęcie grupy, która podlegała już </w:t>
      </w:r>
      <w:r w:rsidR="00C9293C" w:rsidRPr="00633318">
        <w:rPr>
          <w:rFonts w:ascii="Times New Roman" w:hAnsi="Times New Roman" w:cs="Times New Roman"/>
          <w:bCs/>
          <w:sz w:val="24"/>
          <w:szCs w:val="24"/>
        </w:rPr>
        <w:t>S</w:t>
      </w:r>
      <w:r w:rsidRPr="00633318">
        <w:rPr>
          <w:rFonts w:ascii="Times New Roman" w:hAnsi="Times New Roman" w:cs="Times New Roman"/>
          <w:bCs/>
          <w:sz w:val="24"/>
          <w:szCs w:val="24"/>
        </w:rPr>
        <w:t>ystemowi G</w:t>
      </w:r>
      <w:r w:rsidR="00C0400D" w:rsidRPr="00633318">
        <w:rPr>
          <w:rFonts w:ascii="Times New Roman" w:hAnsi="Times New Roman" w:cs="Times New Roman"/>
          <w:bCs/>
          <w:sz w:val="24"/>
          <w:szCs w:val="24"/>
        </w:rPr>
        <w:t>lo</w:t>
      </w:r>
      <w:r w:rsidRPr="00633318">
        <w:rPr>
          <w:rFonts w:ascii="Times New Roman" w:hAnsi="Times New Roman" w:cs="Times New Roman"/>
          <w:bCs/>
          <w:sz w:val="24"/>
          <w:szCs w:val="24"/>
        </w:rPr>
        <w:t xml:space="preserve">BE przez jednostkę nienależącą dotychczas do żadnej grupy nie rozpoczyna ponownie czteroletniego okresu, o którym mowa w art. 2 projektu. </w:t>
      </w:r>
    </w:p>
    <w:p w14:paraId="7FCF59EE" w14:textId="2DEFCA24" w:rsidR="001D1AF2" w:rsidRPr="00633318" w:rsidRDefault="001D1AF2" w:rsidP="001D1AF2">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przypadku dwóch pojedynczych jednostek, które w wyniku połączenia tworzą grupę</w:t>
      </w:r>
      <w:r w:rsidR="000E5210" w:rsidRPr="00633318">
        <w:rPr>
          <w:rFonts w:ascii="Times New Roman" w:hAnsi="Times New Roman" w:cs="Times New Roman"/>
          <w:bCs/>
          <w:sz w:val="24"/>
          <w:szCs w:val="24"/>
        </w:rPr>
        <w:t xml:space="preserve"> (</w:t>
      </w:r>
      <w:r w:rsidR="00B83632" w:rsidRPr="00633318">
        <w:rPr>
          <w:rFonts w:ascii="Times New Roman" w:hAnsi="Times New Roman" w:cs="Times New Roman"/>
          <w:bCs/>
          <w:sz w:val="24"/>
          <w:szCs w:val="24"/>
        </w:rPr>
        <w:t>ust. 8 pkt 2</w:t>
      </w:r>
      <w:r w:rsidR="000E5210"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agregowane są przychody każdej jednostki wykazane w sprawozdaniu finansowym jednostki za poprzednie lata </w:t>
      </w:r>
      <w:r w:rsidR="00B83632" w:rsidRPr="00633318">
        <w:rPr>
          <w:rFonts w:ascii="Times New Roman" w:hAnsi="Times New Roman" w:cs="Times New Roman"/>
          <w:bCs/>
          <w:sz w:val="24"/>
          <w:szCs w:val="24"/>
        </w:rPr>
        <w:t>podatkowe</w:t>
      </w:r>
      <w:r w:rsidRPr="00633318">
        <w:rPr>
          <w:rFonts w:ascii="Times New Roman" w:hAnsi="Times New Roman" w:cs="Times New Roman"/>
          <w:bCs/>
          <w:sz w:val="24"/>
          <w:szCs w:val="24"/>
        </w:rPr>
        <w:t>. W przypadku jednostki, któr</w:t>
      </w:r>
      <w:r w:rsidR="00B83632" w:rsidRPr="00633318">
        <w:rPr>
          <w:rFonts w:ascii="Times New Roman" w:hAnsi="Times New Roman" w:cs="Times New Roman"/>
          <w:bCs/>
          <w:sz w:val="24"/>
          <w:szCs w:val="24"/>
        </w:rPr>
        <w:t>a</w:t>
      </w:r>
      <w:r w:rsidRPr="00633318">
        <w:rPr>
          <w:rFonts w:ascii="Times New Roman" w:hAnsi="Times New Roman" w:cs="Times New Roman"/>
          <w:bCs/>
          <w:sz w:val="24"/>
          <w:szCs w:val="24"/>
        </w:rPr>
        <w:t xml:space="preserve"> przystępuje do grupy</w:t>
      </w:r>
      <w:r w:rsidR="000E5210" w:rsidRPr="00633318">
        <w:rPr>
          <w:rFonts w:ascii="Times New Roman" w:hAnsi="Times New Roman" w:cs="Times New Roman"/>
          <w:bCs/>
          <w:sz w:val="24"/>
          <w:szCs w:val="24"/>
        </w:rPr>
        <w:t xml:space="preserve"> (</w:t>
      </w:r>
      <w:r w:rsidR="00B83632" w:rsidRPr="00633318">
        <w:rPr>
          <w:rFonts w:ascii="Times New Roman" w:hAnsi="Times New Roman" w:cs="Times New Roman"/>
          <w:bCs/>
          <w:sz w:val="24"/>
          <w:szCs w:val="24"/>
        </w:rPr>
        <w:t>ust. 8 pkt 3</w:t>
      </w:r>
      <w:r w:rsidR="000E5210"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należy </w:t>
      </w:r>
      <w:r w:rsidR="00B83632" w:rsidRPr="00633318">
        <w:rPr>
          <w:rFonts w:ascii="Times New Roman" w:hAnsi="Times New Roman" w:cs="Times New Roman"/>
          <w:bCs/>
          <w:sz w:val="24"/>
          <w:szCs w:val="24"/>
        </w:rPr>
        <w:t xml:space="preserve">zsumować </w:t>
      </w:r>
      <w:r w:rsidRPr="00633318">
        <w:rPr>
          <w:rFonts w:ascii="Times New Roman" w:hAnsi="Times New Roman" w:cs="Times New Roman"/>
          <w:bCs/>
          <w:sz w:val="24"/>
          <w:szCs w:val="24"/>
        </w:rPr>
        <w:t xml:space="preserve">przychody ujęte w sprawozdaniu finansowym tej jednostki za dany rok do skonsolidowanych przychodów grupy za ten sam rok. </w:t>
      </w:r>
    </w:p>
    <w:p w14:paraId="7A67352C" w14:textId="3D0A6A9E" w:rsidR="00FE623B" w:rsidRPr="003E7A67" w:rsidRDefault="00FE623B"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09BA5822" w14:textId="74E20257" w:rsidR="001D1AF2" w:rsidRPr="003E7A67" w:rsidRDefault="001D1AF2"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W czterech poprzedzających latach podatkowych jednostka A i jednostka B (</w:t>
      </w:r>
      <w:r w:rsidR="00645B57" w:rsidRPr="003E7A67">
        <w:rPr>
          <w:rFonts w:asciiTheme="minorHAnsi" w:hAnsiTheme="minorHAnsi" w:cstheme="minorHAnsi"/>
          <w:bCs w:val="0"/>
          <w:i/>
          <w:iCs/>
          <w:sz w:val="22"/>
          <w:szCs w:val="22"/>
        </w:rPr>
        <w:t>zlokalizowane</w:t>
      </w:r>
      <w:r w:rsidRPr="003E7A67">
        <w:rPr>
          <w:rFonts w:asciiTheme="minorHAnsi" w:hAnsiTheme="minorHAnsi" w:cstheme="minorHAnsi"/>
          <w:bCs w:val="0"/>
          <w:i/>
          <w:iCs/>
          <w:sz w:val="22"/>
          <w:szCs w:val="22"/>
        </w:rPr>
        <w:t xml:space="preserve"> </w:t>
      </w:r>
      <w:r w:rsidR="00B83632" w:rsidRPr="003E7A67">
        <w:rPr>
          <w:rFonts w:asciiTheme="minorHAnsi" w:hAnsiTheme="minorHAnsi" w:cstheme="minorHAnsi"/>
          <w:bCs w:val="0"/>
          <w:i/>
          <w:iCs/>
          <w:sz w:val="22"/>
          <w:szCs w:val="22"/>
        </w:rPr>
        <w:br/>
      </w:r>
      <w:r w:rsidRPr="003E7A67">
        <w:rPr>
          <w:rFonts w:asciiTheme="minorHAnsi" w:hAnsiTheme="minorHAnsi" w:cstheme="minorHAnsi"/>
          <w:bCs w:val="0"/>
          <w:i/>
          <w:iCs/>
          <w:sz w:val="22"/>
          <w:szCs w:val="22"/>
        </w:rPr>
        <w:t xml:space="preserve">w różnych </w:t>
      </w:r>
      <w:r w:rsidR="00DA5234" w:rsidRPr="003E7A67">
        <w:rPr>
          <w:rFonts w:asciiTheme="minorHAnsi" w:hAnsiTheme="minorHAnsi" w:cstheme="minorHAnsi"/>
          <w:bCs w:val="0"/>
          <w:i/>
          <w:iCs/>
          <w:sz w:val="22"/>
          <w:szCs w:val="22"/>
        </w:rPr>
        <w:t>jurysdykcjach</w:t>
      </w:r>
      <w:r w:rsidRPr="003E7A67">
        <w:rPr>
          <w:rFonts w:asciiTheme="minorHAnsi" w:hAnsiTheme="minorHAnsi" w:cstheme="minorHAnsi"/>
          <w:bCs w:val="0"/>
          <w:i/>
          <w:iCs/>
          <w:sz w:val="22"/>
          <w:szCs w:val="22"/>
        </w:rPr>
        <w:t xml:space="preserve">) były jednostkami nienależącymi do żadnej grupy. W każdym z tych lat jednostka A wykazała w sprawozdaniu finansowym przychody w wysokości 600 mln EUR, a jednostka B w wysokości 400 mln EUR. W piątym roku podatkowym jednostka A nabyła jednostkę B, tworząc grupę, która w skonsolidowanym sprawozdaniu finansowym za rok połączenia wykazała przychody w wysokości 1 miliard euro. Ponieważ łączne przychody tych jednostek osiągnęły próg 750 mln EUR w co najmniej dwóch z poprzednich 4 lat podatkowych, przepisy ustawy mają zastosowanie do takiej niedawno utworzonej grupy AB i jest ona zobowiązana do stosowania ustawy </w:t>
      </w:r>
      <w:r w:rsidR="000E5210" w:rsidRPr="003E7A67">
        <w:rPr>
          <w:rFonts w:asciiTheme="minorHAnsi" w:hAnsiTheme="minorHAnsi" w:cstheme="minorHAnsi"/>
          <w:bCs w:val="0"/>
          <w:i/>
          <w:iCs/>
          <w:sz w:val="22"/>
          <w:szCs w:val="22"/>
        </w:rPr>
        <w:t>za</w:t>
      </w:r>
      <w:r w:rsidRPr="003E7A67">
        <w:rPr>
          <w:rFonts w:asciiTheme="minorHAnsi" w:hAnsiTheme="minorHAnsi" w:cstheme="minorHAnsi"/>
          <w:bCs w:val="0"/>
          <w:i/>
          <w:iCs/>
          <w:sz w:val="22"/>
          <w:szCs w:val="22"/>
        </w:rPr>
        <w:t xml:space="preserve"> rok połączenia.</w:t>
      </w:r>
    </w:p>
    <w:p w14:paraId="656235E5" w14:textId="77777777" w:rsidR="00FB5F56" w:rsidRPr="003E7A67" w:rsidRDefault="00FB5F56" w:rsidP="007348D9">
      <w:pPr>
        <w:spacing w:after="120"/>
        <w:ind w:left="426"/>
        <w:jc w:val="both"/>
        <w:rPr>
          <w:rFonts w:cstheme="minorHAnsi"/>
          <w:bCs/>
        </w:rPr>
      </w:pPr>
    </w:p>
    <w:p w14:paraId="3841B735" w14:textId="767D482D" w:rsidR="00FE623B" w:rsidRPr="003E7A67" w:rsidRDefault="00FE623B"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67E679F5" w14:textId="3F46CDF9" w:rsidR="004D52BE" w:rsidRPr="003E7A67" w:rsidRDefault="001D1AF2"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Grupa A wykazała skonsolidowane przychody w wysokości 500 mln EUR w każdym z czterech poprzedzających lat </w:t>
      </w:r>
      <w:r w:rsidR="000E5210" w:rsidRPr="003E7A67">
        <w:rPr>
          <w:rFonts w:asciiTheme="minorHAnsi" w:hAnsiTheme="minorHAnsi" w:cstheme="minorHAnsi"/>
          <w:bCs w:val="0"/>
          <w:i/>
          <w:iCs/>
          <w:sz w:val="22"/>
          <w:szCs w:val="22"/>
        </w:rPr>
        <w:t>podatkowych</w:t>
      </w:r>
      <w:r w:rsidRPr="003E7A67">
        <w:rPr>
          <w:rFonts w:asciiTheme="minorHAnsi" w:hAnsiTheme="minorHAnsi" w:cstheme="minorHAnsi"/>
          <w:bCs w:val="0"/>
          <w:i/>
          <w:iCs/>
          <w:sz w:val="22"/>
          <w:szCs w:val="22"/>
        </w:rPr>
        <w:t xml:space="preserve">. W piątym roku </w:t>
      </w:r>
      <w:r w:rsidR="000E5210" w:rsidRPr="003E7A67">
        <w:rPr>
          <w:rFonts w:asciiTheme="minorHAnsi" w:hAnsiTheme="minorHAnsi" w:cstheme="minorHAnsi"/>
          <w:bCs w:val="0"/>
          <w:i/>
          <w:iCs/>
          <w:sz w:val="22"/>
          <w:szCs w:val="22"/>
        </w:rPr>
        <w:t>podatkowym</w:t>
      </w:r>
      <w:r w:rsidRPr="003E7A67">
        <w:rPr>
          <w:rFonts w:asciiTheme="minorHAnsi" w:hAnsiTheme="minorHAnsi" w:cstheme="minorHAnsi"/>
          <w:bCs w:val="0"/>
          <w:i/>
          <w:iCs/>
          <w:sz w:val="22"/>
          <w:szCs w:val="22"/>
        </w:rPr>
        <w:t xml:space="preserve"> grupa A nabyła jednostkę, która w każdym z czterech poprzedzających lat podatkowych wykazała przychody w wysokości 800 mln EUR. W piątym roku (roku połączenia) grupa A będzie podlegała przepisom ustawy, ponieważ zagregowane kwoty przychodu grupy oraz jednostki przekraczają próg 750 mln w co najmniej dwóch z czterech poprzedzających latach podatkowych. </w:t>
      </w:r>
    </w:p>
    <w:p w14:paraId="4261D4CB" w14:textId="77777777" w:rsidR="00FE623B" w:rsidRPr="003E7A67" w:rsidRDefault="00FE623B" w:rsidP="00FB4A31">
      <w:pPr>
        <w:spacing w:after="120"/>
        <w:jc w:val="both"/>
        <w:rPr>
          <w:rFonts w:cstheme="minorHAnsi"/>
          <w:bCs/>
        </w:rPr>
      </w:pPr>
    </w:p>
    <w:p w14:paraId="13B8E60F" w14:textId="6DADDBBA" w:rsidR="00FE623B" w:rsidRPr="003E7A67" w:rsidRDefault="00FE623B"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30DF1C6E" w14:textId="135B5E85" w:rsidR="00E83E30" w:rsidRPr="003E7A67" w:rsidRDefault="001D1AF2"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Grupa stosując</w:t>
      </w:r>
      <w:r w:rsidR="008535F5">
        <w:rPr>
          <w:rFonts w:asciiTheme="minorHAnsi" w:hAnsiTheme="minorHAnsi" w:cstheme="minorHAnsi"/>
          <w:bCs w:val="0"/>
          <w:i/>
          <w:iCs/>
          <w:sz w:val="22"/>
          <w:szCs w:val="22"/>
        </w:rPr>
        <w:t>a</w:t>
      </w:r>
      <w:r w:rsidRPr="003E7A67">
        <w:rPr>
          <w:rFonts w:asciiTheme="minorHAnsi" w:hAnsiTheme="minorHAnsi" w:cstheme="minorHAnsi"/>
          <w:bCs w:val="0"/>
          <w:i/>
          <w:iCs/>
          <w:sz w:val="22"/>
          <w:szCs w:val="22"/>
        </w:rPr>
        <w:t xml:space="preserve"> rok kalendarzowy jako rok podatkowy nabywa z dniem 1 stycznia 2023 r. jednostkę stosującą jako rok podatkowy okres obrotowy, który kończy się 30 września. Po przejęciu, grupa w dalszym ciągu przyjmuje rok kalendarzowy za swój rok podatkowy. W tym scenariuszu przychody jednostki przejmowanej za lata podatkowe kończące się 30 września 2022, 2021, 2020 i 2019 r</w:t>
      </w:r>
      <w:r w:rsidR="000E5210" w:rsidRPr="003E7A67">
        <w:rPr>
          <w:rFonts w:asciiTheme="minorHAnsi" w:hAnsiTheme="minorHAnsi" w:cstheme="minorHAnsi"/>
          <w:bCs w:val="0"/>
          <w:i/>
          <w:iCs/>
          <w:sz w:val="22"/>
          <w:szCs w:val="22"/>
        </w:rPr>
        <w:t>.</w:t>
      </w:r>
      <w:r w:rsidRPr="003E7A67">
        <w:rPr>
          <w:rFonts w:asciiTheme="minorHAnsi" w:hAnsiTheme="minorHAnsi" w:cstheme="minorHAnsi"/>
          <w:bCs w:val="0"/>
          <w:i/>
          <w:iCs/>
          <w:sz w:val="22"/>
          <w:szCs w:val="22"/>
        </w:rPr>
        <w:t xml:space="preserve"> łączy się z przychodami grupy za cztery poprzednie lata podatkowe zakończone 31 grudnia 2022, 2021, 2020 i 2019</w:t>
      </w:r>
      <w:r w:rsidR="000E5210" w:rsidRPr="003E7A67">
        <w:rPr>
          <w:rFonts w:asciiTheme="minorHAnsi" w:hAnsiTheme="minorHAnsi" w:cstheme="minorHAnsi"/>
          <w:bCs w:val="0"/>
          <w:i/>
          <w:iCs/>
          <w:sz w:val="22"/>
          <w:szCs w:val="22"/>
        </w:rPr>
        <w:t xml:space="preserve"> r</w:t>
      </w:r>
      <w:r w:rsidRPr="003E7A67">
        <w:rPr>
          <w:rFonts w:asciiTheme="minorHAnsi" w:hAnsiTheme="minorHAnsi" w:cstheme="minorHAnsi"/>
          <w:bCs w:val="0"/>
          <w:i/>
          <w:iCs/>
          <w:sz w:val="22"/>
          <w:szCs w:val="22"/>
        </w:rPr>
        <w:t>. Natomiast przychody jednostki za okres od 1 października 2022 r. do 31 grudnia 2022 r. (któr</w:t>
      </w:r>
      <w:r w:rsidR="000E5210" w:rsidRPr="003E7A67">
        <w:rPr>
          <w:rFonts w:asciiTheme="minorHAnsi" w:hAnsiTheme="minorHAnsi" w:cstheme="minorHAnsi"/>
          <w:bCs w:val="0"/>
          <w:i/>
          <w:iCs/>
          <w:sz w:val="22"/>
          <w:szCs w:val="22"/>
        </w:rPr>
        <w:t>e</w:t>
      </w:r>
      <w:r w:rsidRPr="003E7A67">
        <w:rPr>
          <w:rFonts w:asciiTheme="minorHAnsi" w:hAnsiTheme="minorHAnsi" w:cstheme="minorHAnsi"/>
          <w:bCs w:val="0"/>
          <w:i/>
          <w:iCs/>
          <w:sz w:val="22"/>
          <w:szCs w:val="22"/>
        </w:rPr>
        <w:t xml:space="preserve"> został</w:t>
      </w:r>
      <w:r w:rsidR="000E5210" w:rsidRPr="003E7A67">
        <w:rPr>
          <w:rFonts w:asciiTheme="minorHAnsi" w:hAnsiTheme="minorHAnsi" w:cstheme="minorHAnsi"/>
          <w:bCs w:val="0"/>
          <w:i/>
          <w:iCs/>
          <w:sz w:val="22"/>
          <w:szCs w:val="22"/>
        </w:rPr>
        <w:t>y</w:t>
      </w:r>
      <w:r w:rsidRPr="003E7A67">
        <w:rPr>
          <w:rFonts w:asciiTheme="minorHAnsi" w:hAnsiTheme="minorHAnsi" w:cstheme="minorHAnsi"/>
          <w:bCs w:val="0"/>
          <w:i/>
          <w:iCs/>
          <w:sz w:val="22"/>
          <w:szCs w:val="22"/>
        </w:rPr>
        <w:t>by uwzględnion</w:t>
      </w:r>
      <w:r w:rsidR="000E5210" w:rsidRPr="003E7A67">
        <w:rPr>
          <w:rFonts w:asciiTheme="minorHAnsi" w:hAnsiTheme="minorHAnsi" w:cstheme="minorHAnsi"/>
          <w:bCs w:val="0"/>
          <w:i/>
          <w:iCs/>
          <w:sz w:val="22"/>
          <w:szCs w:val="22"/>
        </w:rPr>
        <w:t>e</w:t>
      </w:r>
      <w:r w:rsidRPr="003E7A67">
        <w:rPr>
          <w:rFonts w:asciiTheme="minorHAnsi" w:hAnsiTheme="minorHAnsi" w:cstheme="minorHAnsi"/>
          <w:bCs w:val="0"/>
          <w:i/>
          <w:iCs/>
          <w:sz w:val="22"/>
          <w:szCs w:val="22"/>
        </w:rPr>
        <w:t xml:space="preserve"> w sprawozdani</w:t>
      </w:r>
      <w:r w:rsidR="000E5210" w:rsidRPr="003E7A67">
        <w:rPr>
          <w:rFonts w:asciiTheme="minorHAnsi" w:hAnsiTheme="minorHAnsi" w:cstheme="minorHAnsi"/>
          <w:bCs w:val="0"/>
          <w:i/>
          <w:iCs/>
          <w:sz w:val="22"/>
          <w:szCs w:val="22"/>
        </w:rPr>
        <w:t>u</w:t>
      </w:r>
      <w:r w:rsidRPr="003E7A67">
        <w:rPr>
          <w:rFonts w:asciiTheme="minorHAnsi" w:hAnsiTheme="minorHAnsi" w:cstheme="minorHAnsi"/>
          <w:bCs w:val="0"/>
          <w:i/>
          <w:iCs/>
          <w:sz w:val="22"/>
          <w:szCs w:val="22"/>
        </w:rPr>
        <w:t xml:space="preserve"> finansow</w:t>
      </w:r>
      <w:r w:rsidR="000E5210" w:rsidRPr="003E7A67">
        <w:rPr>
          <w:rFonts w:asciiTheme="minorHAnsi" w:hAnsiTheme="minorHAnsi" w:cstheme="minorHAnsi"/>
          <w:bCs w:val="0"/>
          <w:i/>
          <w:iCs/>
          <w:sz w:val="22"/>
          <w:szCs w:val="22"/>
        </w:rPr>
        <w:t>ym</w:t>
      </w:r>
      <w:r w:rsidRPr="003E7A67">
        <w:rPr>
          <w:rFonts w:asciiTheme="minorHAnsi" w:hAnsiTheme="minorHAnsi" w:cstheme="minorHAnsi"/>
          <w:bCs w:val="0"/>
          <w:i/>
          <w:iCs/>
          <w:sz w:val="22"/>
          <w:szCs w:val="22"/>
        </w:rPr>
        <w:t xml:space="preserve"> tej jednostki za rok następny, jeżeli nie zostałaby ona przejęta) nie są uwzględniane w celu określenia przychodów grupy za lata kalendarzowe 2022 lub 2023.</w:t>
      </w:r>
    </w:p>
    <w:p w14:paraId="0AF34DDA" w14:textId="35077E15" w:rsidR="00B83632" w:rsidRPr="00633318" w:rsidRDefault="00B83632" w:rsidP="00541B2C">
      <w:pPr>
        <w:spacing w:before="240" w:after="120"/>
        <w:jc w:val="both"/>
        <w:rPr>
          <w:rFonts w:ascii="Times New Roman" w:hAnsi="Times New Roman" w:cs="Times New Roman"/>
          <w:bCs/>
          <w:sz w:val="24"/>
          <w:szCs w:val="24"/>
        </w:rPr>
      </w:pPr>
      <w:r w:rsidRPr="00633318">
        <w:rPr>
          <w:rFonts w:ascii="Times New Roman" w:eastAsiaTheme="majorEastAsia" w:hAnsi="Times New Roman" w:cs="Times New Roman"/>
          <w:i/>
          <w:color w:val="2E74B5" w:themeColor="accent1" w:themeShade="BF"/>
          <w:sz w:val="24"/>
          <w:szCs w:val="24"/>
        </w:rPr>
        <w:t>Minimalny przychód grupowy w przypadku podzielonych grup</w:t>
      </w:r>
    </w:p>
    <w:p w14:paraId="2083DF4A" w14:textId="1ED66B1A" w:rsidR="00913956" w:rsidRPr="00633318" w:rsidRDefault="006D484D" w:rsidP="00913956">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 kolei w </w:t>
      </w:r>
      <w:r w:rsidR="00B83632" w:rsidRPr="00633318">
        <w:rPr>
          <w:rFonts w:ascii="Times New Roman" w:hAnsi="Times New Roman" w:cs="Times New Roman"/>
          <w:b/>
          <w:sz w:val="24"/>
          <w:szCs w:val="24"/>
        </w:rPr>
        <w:t>art. 4</w:t>
      </w:r>
      <w:r w:rsidR="00B83632" w:rsidRPr="00633318">
        <w:rPr>
          <w:rFonts w:ascii="Times New Roman" w:hAnsi="Times New Roman" w:cs="Times New Roman"/>
          <w:bCs/>
          <w:sz w:val="24"/>
          <w:szCs w:val="24"/>
        </w:rPr>
        <w:t xml:space="preserve"> </w:t>
      </w:r>
      <w:r w:rsidR="00B83632" w:rsidRPr="00633318">
        <w:rPr>
          <w:rFonts w:ascii="Times New Roman" w:hAnsi="Times New Roman" w:cs="Times New Roman"/>
          <w:b/>
          <w:sz w:val="24"/>
          <w:szCs w:val="24"/>
        </w:rPr>
        <w:t>ust. 7</w:t>
      </w:r>
      <w:r w:rsidRPr="00633318">
        <w:rPr>
          <w:rFonts w:ascii="Times New Roman" w:hAnsi="Times New Roman" w:cs="Times New Roman"/>
          <w:bCs/>
          <w:sz w:val="24"/>
          <w:szCs w:val="24"/>
        </w:rPr>
        <w:t xml:space="preserve"> uregulowany został sposób określania minimalnego przychodu </w:t>
      </w:r>
      <w:r w:rsidR="000514F6" w:rsidRPr="00633318">
        <w:rPr>
          <w:rFonts w:ascii="Times New Roman" w:hAnsi="Times New Roman" w:cs="Times New Roman"/>
          <w:bCs/>
          <w:sz w:val="24"/>
          <w:szCs w:val="24"/>
        </w:rPr>
        <w:t xml:space="preserve">grupowego </w:t>
      </w:r>
      <w:r w:rsidR="00541B2C" w:rsidRPr="00633318">
        <w:rPr>
          <w:rFonts w:ascii="Times New Roman" w:hAnsi="Times New Roman" w:cs="Times New Roman"/>
          <w:bCs/>
          <w:sz w:val="24"/>
          <w:szCs w:val="24"/>
        </w:rPr>
        <w:br/>
      </w:r>
      <w:r w:rsidRPr="00633318">
        <w:rPr>
          <w:rFonts w:ascii="Times New Roman" w:hAnsi="Times New Roman" w:cs="Times New Roman"/>
          <w:bCs/>
          <w:sz w:val="24"/>
          <w:szCs w:val="24"/>
        </w:rPr>
        <w:t xml:space="preserve">w przypadku podzielonej grupy. </w:t>
      </w:r>
      <w:r w:rsidR="000514F6" w:rsidRPr="00633318">
        <w:rPr>
          <w:rFonts w:ascii="Times New Roman" w:hAnsi="Times New Roman" w:cs="Times New Roman"/>
          <w:bCs/>
          <w:sz w:val="24"/>
          <w:szCs w:val="24"/>
        </w:rPr>
        <w:t>Artykuł ten implementuje art. 33</w:t>
      </w:r>
      <w:r w:rsidR="008B225D" w:rsidRPr="00633318">
        <w:rPr>
          <w:rFonts w:ascii="Times New Roman" w:hAnsi="Times New Roman" w:cs="Times New Roman"/>
          <w:bCs/>
          <w:sz w:val="24"/>
          <w:szCs w:val="24"/>
        </w:rPr>
        <w:t>.</w:t>
      </w:r>
      <w:r w:rsidR="000514F6" w:rsidRPr="00633318">
        <w:rPr>
          <w:rFonts w:ascii="Times New Roman" w:hAnsi="Times New Roman" w:cs="Times New Roman"/>
          <w:bCs/>
          <w:sz w:val="24"/>
          <w:szCs w:val="24"/>
        </w:rPr>
        <w:t>4 Dyrektywy.</w:t>
      </w:r>
      <w:r w:rsidR="00541B2C" w:rsidRPr="00633318">
        <w:rPr>
          <w:rFonts w:ascii="Times New Roman" w:hAnsi="Times New Roman" w:cs="Times New Roman"/>
          <w:bCs/>
          <w:sz w:val="24"/>
          <w:szCs w:val="24"/>
        </w:rPr>
        <w:t xml:space="preserve"> Tym samym, </w:t>
      </w:r>
      <w:r w:rsidR="00650154" w:rsidRPr="00633318">
        <w:rPr>
          <w:rFonts w:ascii="Times New Roman" w:hAnsi="Times New Roman" w:cs="Times New Roman"/>
          <w:bCs/>
          <w:sz w:val="24"/>
          <w:szCs w:val="24"/>
        </w:rPr>
        <w:br/>
      </w:r>
      <w:r w:rsidR="00B83632" w:rsidRPr="00633318">
        <w:rPr>
          <w:rFonts w:ascii="Times New Roman" w:hAnsi="Times New Roman" w:cs="Times New Roman"/>
          <w:bCs/>
          <w:sz w:val="24"/>
          <w:szCs w:val="24"/>
        </w:rPr>
        <w:t>ust. 7</w:t>
      </w:r>
      <w:r w:rsidR="00C043C7" w:rsidRPr="00633318">
        <w:rPr>
          <w:rFonts w:ascii="Times New Roman" w:hAnsi="Times New Roman" w:cs="Times New Roman"/>
          <w:bCs/>
          <w:sz w:val="24"/>
          <w:szCs w:val="24"/>
        </w:rPr>
        <w:t xml:space="preserve"> reguluje zasady stosowania minimalnego przychodu grupowego, kiedy grupa objęta zakresem przedmiotowym ustawy (tj. </w:t>
      </w:r>
      <w:r w:rsidR="00C9293C" w:rsidRPr="00633318">
        <w:rPr>
          <w:rFonts w:ascii="Times New Roman" w:hAnsi="Times New Roman" w:cs="Times New Roman"/>
          <w:bCs/>
          <w:sz w:val="24"/>
          <w:szCs w:val="24"/>
        </w:rPr>
        <w:t>S</w:t>
      </w:r>
      <w:r w:rsidR="00C043C7" w:rsidRPr="00633318">
        <w:rPr>
          <w:rFonts w:ascii="Times New Roman" w:hAnsi="Times New Roman" w:cs="Times New Roman"/>
          <w:bCs/>
          <w:sz w:val="24"/>
          <w:szCs w:val="24"/>
        </w:rPr>
        <w:t xml:space="preserve">ystemem GloBE) dzieli się na dwie lub więcej grup. </w:t>
      </w:r>
      <w:r w:rsidR="00913956" w:rsidRPr="00633318">
        <w:rPr>
          <w:rFonts w:ascii="Times New Roman" w:hAnsi="Times New Roman" w:cs="Times New Roman"/>
          <w:bCs/>
          <w:sz w:val="24"/>
          <w:szCs w:val="24"/>
        </w:rPr>
        <w:t>Należy podkreślić, że zasady te obowiązują odrębnie dla każdej z grup, które powstały lub pozostały po podziale (każda z nich stanowi podzieloną grupę).</w:t>
      </w:r>
    </w:p>
    <w:p w14:paraId="504D3B82" w14:textId="3345D2A9" w:rsidR="008B20F7" w:rsidRPr="00633318" w:rsidRDefault="006D484D" w:rsidP="008B20F7">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Zgodnie z tym przepisem</w:t>
      </w:r>
      <w:r w:rsidR="00BA76E2" w:rsidRPr="00633318">
        <w:rPr>
          <w:rFonts w:ascii="Times New Roman" w:hAnsi="Times New Roman" w:cs="Times New Roman"/>
          <w:bCs/>
          <w:sz w:val="24"/>
          <w:szCs w:val="24"/>
        </w:rPr>
        <w:t xml:space="preserve"> przepisy ustawy mają zastosowanie</w:t>
      </w:r>
      <w:r w:rsidRPr="00633318">
        <w:rPr>
          <w:rFonts w:ascii="Times New Roman" w:hAnsi="Times New Roman" w:cs="Times New Roman"/>
          <w:bCs/>
          <w:sz w:val="24"/>
          <w:szCs w:val="24"/>
        </w:rPr>
        <w:t xml:space="preserve"> </w:t>
      </w:r>
      <w:r w:rsidR="008B20F7" w:rsidRPr="00633318">
        <w:rPr>
          <w:rFonts w:ascii="Times New Roman" w:hAnsi="Times New Roman" w:cs="Times New Roman"/>
          <w:bCs/>
          <w:sz w:val="24"/>
          <w:szCs w:val="24"/>
        </w:rPr>
        <w:t xml:space="preserve">w przypadku </w:t>
      </w:r>
      <w:r w:rsidR="00BA76E2" w:rsidRPr="00633318">
        <w:rPr>
          <w:rFonts w:ascii="Times New Roman" w:hAnsi="Times New Roman" w:cs="Times New Roman"/>
          <w:bCs/>
          <w:sz w:val="24"/>
          <w:szCs w:val="24"/>
        </w:rPr>
        <w:t xml:space="preserve">każdej </w:t>
      </w:r>
      <w:r w:rsidR="008B20F7" w:rsidRPr="00633318">
        <w:rPr>
          <w:rFonts w:ascii="Times New Roman" w:hAnsi="Times New Roman" w:cs="Times New Roman"/>
          <w:bCs/>
          <w:sz w:val="24"/>
          <w:szCs w:val="24"/>
        </w:rPr>
        <w:t xml:space="preserve">takiej podzielonej grupy, </w:t>
      </w:r>
      <w:r w:rsidR="00BA76E2" w:rsidRPr="00633318">
        <w:rPr>
          <w:rFonts w:ascii="Times New Roman" w:hAnsi="Times New Roman" w:cs="Times New Roman"/>
          <w:bCs/>
          <w:sz w:val="24"/>
          <w:szCs w:val="24"/>
        </w:rPr>
        <w:t>która</w:t>
      </w:r>
      <w:r w:rsidR="00B83632" w:rsidRPr="00633318">
        <w:rPr>
          <w:rFonts w:ascii="Times New Roman" w:hAnsi="Times New Roman" w:cs="Times New Roman"/>
          <w:bCs/>
          <w:sz w:val="24"/>
          <w:szCs w:val="24"/>
        </w:rPr>
        <w:t xml:space="preserve"> osiągnęła </w:t>
      </w:r>
      <w:r w:rsidR="008B20F7" w:rsidRPr="00633318">
        <w:rPr>
          <w:rFonts w:ascii="Times New Roman" w:hAnsi="Times New Roman" w:cs="Times New Roman"/>
          <w:bCs/>
          <w:sz w:val="24"/>
          <w:szCs w:val="24"/>
        </w:rPr>
        <w:t xml:space="preserve"> minimaln</w:t>
      </w:r>
      <w:r w:rsidR="00B83632" w:rsidRPr="00633318">
        <w:rPr>
          <w:rFonts w:ascii="Times New Roman" w:hAnsi="Times New Roman" w:cs="Times New Roman"/>
          <w:bCs/>
          <w:sz w:val="24"/>
          <w:szCs w:val="24"/>
        </w:rPr>
        <w:t>y</w:t>
      </w:r>
      <w:r w:rsidR="008B20F7" w:rsidRPr="00633318">
        <w:rPr>
          <w:rFonts w:ascii="Times New Roman" w:hAnsi="Times New Roman" w:cs="Times New Roman"/>
          <w:bCs/>
          <w:sz w:val="24"/>
          <w:szCs w:val="24"/>
        </w:rPr>
        <w:t xml:space="preserve"> przych</w:t>
      </w:r>
      <w:r w:rsidR="00B83632" w:rsidRPr="00633318">
        <w:rPr>
          <w:rFonts w:ascii="Times New Roman" w:hAnsi="Times New Roman" w:cs="Times New Roman"/>
          <w:bCs/>
          <w:sz w:val="24"/>
          <w:szCs w:val="24"/>
        </w:rPr>
        <w:t>ód</w:t>
      </w:r>
      <w:r w:rsidR="008B20F7" w:rsidRPr="00633318">
        <w:rPr>
          <w:rFonts w:ascii="Times New Roman" w:hAnsi="Times New Roman" w:cs="Times New Roman"/>
          <w:bCs/>
          <w:sz w:val="24"/>
          <w:szCs w:val="24"/>
        </w:rPr>
        <w:t xml:space="preserve"> grupow</w:t>
      </w:r>
      <w:r w:rsidR="00B83632" w:rsidRPr="00633318">
        <w:rPr>
          <w:rFonts w:ascii="Times New Roman" w:hAnsi="Times New Roman" w:cs="Times New Roman"/>
          <w:bCs/>
          <w:sz w:val="24"/>
          <w:szCs w:val="24"/>
        </w:rPr>
        <w:t>y</w:t>
      </w:r>
      <w:r w:rsidR="008535F5" w:rsidRPr="00633318">
        <w:rPr>
          <w:rFonts w:ascii="Times New Roman" w:hAnsi="Times New Roman" w:cs="Times New Roman"/>
          <w:bCs/>
          <w:sz w:val="24"/>
          <w:szCs w:val="24"/>
        </w:rPr>
        <w:t xml:space="preserve"> </w:t>
      </w:r>
      <w:r w:rsidR="00BA76E2" w:rsidRPr="00633318">
        <w:rPr>
          <w:rFonts w:ascii="Times New Roman" w:hAnsi="Times New Roman" w:cs="Times New Roman"/>
          <w:bCs/>
          <w:sz w:val="24"/>
          <w:szCs w:val="24"/>
        </w:rPr>
        <w:t>(</w:t>
      </w:r>
      <w:r w:rsidR="00B83632" w:rsidRPr="00633318">
        <w:rPr>
          <w:rFonts w:ascii="Times New Roman" w:hAnsi="Times New Roman" w:cs="Times New Roman"/>
          <w:bCs/>
          <w:sz w:val="24"/>
          <w:szCs w:val="24"/>
        </w:rPr>
        <w:t xml:space="preserve">tj. roczny </w:t>
      </w:r>
      <w:r w:rsidR="00BA76E2" w:rsidRPr="00633318">
        <w:rPr>
          <w:rFonts w:ascii="Times New Roman" w:hAnsi="Times New Roman" w:cs="Times New Roman"/>
          <w:bCs/>
          <w:sz w:val="24"/>
          <w:szCs w:val="24"/>
        </w:rPr>
        <w:t xml:space="preserve">skonsolidowany </w:t>
      </w:r>
      <w:r w:rsidR="008B20F7" w:rsidRPr="00633318">
        <w:rPr>
          <w:rFonts w:ascii="Times New Roman" w:hAnsi="Times New Roman" w:cs="Times New Roman"/>
          <w:bCs/>
          <w:sz w:val="24"/>
          <w:szCs w:val="24"/>
        </w:rPr>
        <w:t>przychód w wysokości co najmniej 750 000 000 euro</w:t>
      </w:r>
      <w:r w:rsidR="00BA76E2" w:rsidRPr="00633318">
        <w:rPr>
          <w:rFonts w:ascii="Times New Roman" w:hAnsi="Times New Roman" w:cs="Times New Roman"/>
          <w:bCs/>
          <w:sz w:val="24"/>
          <w:szCs w:val="24"/>
        </w:rPr>
        <w:t>)</w:t>
      </w:r>
      <w:r w:rsidR="008B20F7" w:rsidRPr="00633318">
        <w:rPr>
          <w:rFonts w:ascii="Times New Roman" w:hAnsi="Times New Roman" w:cs="Times New Roman"/>
          <w:bCs/>
          <w:sz w:val="24"/>
          <w:szCs w:val="24"/>
        </w:rPr>
        <w:t>:</w:t>
      </w:r>
    </w:p>
    <w:p w14:paraId="3DF0C63D" w14:textId="6BF26B7F" w:rsidR="008B20F7" w:rsidRPr="00633318" w:rsidRDefault="008B20F7" w:rsidP="00B6504F">
      <w:pPr>
        <w:pStyle w:val="Akapitzlist"/>
        <w:numPr>
          <w:ilvl w:val="3"/>
          <w:numId w:val="45"/>
        </w:numPr>
        <w:spacing w:after="120"/>
        <w:ind w:left="709" w:hanging="283"/>
        <w:jc w:val="both"/>
        <w:rPr>
          <w:rFonts w:ascii="Times New Roman" w:hAnsi="Times New Roman" w:cs="Times New Roman"/>
          <w:bCs/>
          <w:sz w:val="24"/>
          <w:szCs w:val="24"/>
        </w:rPr>
      </w:pPr>
      <w:r w:rsidRPr="00633318">
        <w:rPr>
          <w:rFonts w:ascii="Times New Roman" w:hAnsi="Times New Roman" w:cs="Times New Roman"/>
          <w:b/>
          <w:sz w:val="24"/>
          <w:szCs w:val="24"/>
        </w:rPr>
        <w:t>za pierwszy rok podatkowy</w:t>
      </w:r>
      <w:r w:rsidRPr="00633318">
        <w:rPr>
          <w:rFonts w:ascii="Times New Roman" w:hAnsi="Times New Roman" w:cs="Times New Roman"/>
          <w:bCs/>
          <w:sz w:val="24"/>
          <w:szCs w:val="24"/>
        </w:rPr>
        <w:t xml:space="preserve"> następujący po podziale grupy, jeżeli podział grupy skutkuje rozpoczęciem nowego roku </w:t>
      </w:r>
      <w:r w:rsidR="00B83632" w:rsidRPr="00633318">
        <w:rPr>
          <w:rFonts w:ascii="Times New Roman" w:hAnsi="Times New Roman" w:cs="Times New Roman"/>
          <w:bCs/>
          <w:sz w:val="24"/>
          <w:szCs w:val="24"/>
        </w:rPr>
        <w:t>podatkowego</w:t>
      </w:r>
      <w:r w:rsidRPr="00633318">
        <w:rPr>
          <w:rFonts w:ascii="Times New Roman" w:hAnsi="Times New Roman" w:cs="Times New Roman"/>
          <w:bCs/>
          <w:sz w:val="24"/>
          <w:szCs w:val="24"/>
        </w:rPr>
        <w:t xml:space="preserve"> albo za rok podatkowy, w którym dokonano podziału grupy, jeżeli podział grupy nie skutkuje rozpoczęciem takiego nowego roku obrotowego </w:t>
      </w:r>
      <w:r w:rsidRPr="00633318">
        <w:rPr>
          <w:rFonts w:ascii="Times New Roman" w:hAnsi="Times New Roman" w:cs="Times New Roman"/>
          <w:b/>
          <w:sz w:val="24"/>
          <w:szCs w:val="24"/>
        </w:rPr>
        <w:t>lub</w:t>
      </w:r>
    </w:p>
    <w:p w14:paraId="58F1EE19" w14:textId="18AF6CAC" w:rsidR="008B20F7" w:rsidRPr="00633318" w:rsidRDefault="008B20F7" w:rsidP="00B6504F">
      <w:pPr>
        <w:pStyle w:val="Akapitzlist"/>
        <w:numPr>
          <w:ilvl w:val="3"/>
          <w:numId w:val="45"/>
        </w:numPr>
        <w:spacing w:after="120"/>
        <w:ind w:left="709" w:hanging="283"/>
        <w:jc w:val="both"/>
        <w:rPr>
          <w:rFonts w:ascii="Times New Roman" w:hAnsi="Times New Roman" w:cs="Times New Roman"/>
          <w:bCs/>
          <w:sz w:val="24"/>
          <w:szCs w:val="24"/>
        </w:rPr>
      </w:pPr>
      <w:r w:rsidRPr="00633318">
        <w:rPr>
          <w:rFonts w:ascii="Times New Roman" w:hAnsi="Times New Roman" w:cs="Times New Roman"/>
          <w:b/>
          <w:sz w:val="24"/>
          <w:szCs w:val="24"/>
        </w:rPr>
        <w:t>w co najmniej dwóch z czterech lat podatkowych</w:t>
      </w:r>
      <w:r w:rsidR="00350B49" w:rsidRPr="00633318">
        <w:rPr>
          <w:rFonts w:ascii="Times New Roman" w:hAnsi="Times New Roman" w:cs="Times New Roman"/>
          <w:b/>
          <w:sz w:val="24"/>
          <w:szCs w:val="24"/>
        </w:rPr>
        <w:t>, przy czym</w:t>
      </w:r>
      <w:r w:rsidR="00350B49" w:rsidRPr="00633318">
        <w:rPr>
          <w:rFonts w:ascii="Times New Roman" w:hAnsi="Times New Roman" w:cs="Times New Roman"/>
          <w:bCs/>
          <w:sz w:val="24"/>
          <w:szCs w:val="24"/>
        </w:rPr>
        <w:t xml:space="preserve"> </w:t>
      </w:r>
      <w:r w:rsidR="00350B49" w:rsidRPr="00633318">
        <w:rPr>
          <w:rFonts w:ascii="Times New Roman" w:hAnsi="Times New Roman" w:cs="Times New Roman"/>
          <w:b/>
          <w:sz w:val="24"/>
          <w:szCs w:val="24"/>
        </w:rPr>
        <w:t>lata te liczy się</w:t>
      </w:r>
      <w:r w:rsidRPr="00633318">
        <w:rPr>
          <w:rFonts w:ascii="Times New Roman" w:hAnsi="Times New Roman" w:cs="Times New Roman"/>
          <w:b/>
          <w:sz w:val="24"/>
          <w:szCs w:val="24"/>
        </w:rPr>
        <w:t xml:space="preserve"> począwszy od </w:t>
      </w:r>
      <w:r w:rsidR="00350B49" w:rsidRPr="00633318">
        <w:rPr>
          <w:rFonts w:ascii="Times New Roman" w:hAnsi="Times New Roman" w:cs="Times New Roman"/>
          <w:b/>
          <w:sz w:val="24"/>
          <w:szCs w:val="24"/>
        </w:rPr>
        <w:t xml:space="preserve">pierwszego </w:t>
      </w:r>
      <w:r w:rsidRPr="00633318">
        <w:rPr>
          <w:rFonts w:ascii="Times New Roman" w:hAnsi="Times New Roman" w:cs="Times New Roman"/>
          <w:b/>
          <w:sz w:val="24"/>
          <w:szCs w:val="24"/>
        </w:rPr>
        <w:t>roku podatkowego, o którym mowa w pkt 1</w:t>
      </w:r>
      <w:r w:rsidRPr="00633318">
        <w:rPr>
          <w:rFonts w:ascii="Times New Roman" w:hAnsi="Times New Roman" w:cs="Times New Roman"/>
          <w:bCs/>
          <w:sz w:val="24"/>
          <w:szCs w:val="24"/>
        </w:rPr>
        <w:t>.</w:t>
      </w:r>
    </w:p>
    <w:p w14:paraId="7A04CE77" w14:textId="340EBDF2" w:rsidR="006D484D" w:rsidRPr="00633318" w:rsidRDefault="00BA76E2" w:rsidP="008B20F7">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Ust. 7</w:t>
      </w:r>
      <w:r w:rsidR="00C043C7"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pkt 1 </w:t>
      </w:r>
      <w:r w:rsidR="00C043C7" w:rsidRPr="00633318">
        <w:rPr>
          <w:rFonts w:ascii="Times New Roman" w:hAnsi="Times New Roman" w:cs="Times New Roman"/>
          <w:bCs/>
          <w:sz w:val="24"/>
          <w:szCs w:val="24"/>
        </w:rPr>
        <w:t xml:space="preserve">stanowi </w:t>
      </w:r>
      <w:r w:rsidRPr="00633318">
        <w:rPr>
          <w:rFonts w:ascii="Times New Roman" w:hAnsi="Times New Roman" w:cs="Times New Roman"/>
          <w:bCs/>
          <w:sz w:val="24"/>
          <w:szCs w:val="24"/>
        </w:rPr>
        <w:t xml:space="preserve">zatem </w:t>
      </w:r>
      <w:r w:rsidR="00C043C7" w:rsidRPr="00633318">
        <w:rPr>
          <w:rFonts w:ascii="Times New Roman" w:hAnsi="Times New Roman" w:cs="Times New Roman"/>
          <w:b/>
          <w:sz w:val="24"/>
          <w:szCs w:val="24"/>
        </w:rPr>
        <w:t>odstępstwo od zasad</w:t>
      </w:r>
      <w:r w:rsidRPr="00633318">
        <w:rPr>
          <w:rFonts w:ascii="Times New Roman" w:hAnsi="Times New Roman" w:cs="Times New Roman"/>
          <w:b/>
          <w:sz w:val="24"/>
          <w:szCs w:val="24"/>
        </w:rPr>
        <w:t>y</w:t>
      </w:r>
      <w:r w:rsidR="00C043C7" w:rsidRPr="00633318">
        <w:rPr>
          <w:rFonts w:ascii="Times New Roman" w:hAnsi="Times New Roman" w:cs="Times New Roman"/>
          <w:b/>
          <w:sz w:val="24"/>
          <w:szCs w:val="24"/>
        </w:rPr>
        <w:t xml:space="preserve"> </w:t>
      </w:r>
      <w:r w:rsidRPr="00633318">
        <w:rPr>
          <w:rFonts w:ascii="Times New Roman" w:hAnsi="Times New Roman" w:cs="Times New Roman"/>
          <w:b/>
          <w:sz w:val="24"/>
          <w:szCs w:val="24"/>
        </w:rPr>
        <w:t xml:space="preserve">wyrażonej </w:t>
      </w:r>
      <w:r w:rsidR="00C043C7" w:rsidRPr="00633318">
        <w:rPr>
          <w:rFonts w:ascii="Times New Roman" w:hAnsi="Times New Roman" w:cs="Times New Roman"/>
          <w:b/>
          <w:sz w:val="24"/>
          <w:szCs w:val="24"/>
        </w:rPr>
        <w:t xml:space="preserve">w art. </w:t>
      </w:r>
      <w:r w:rsidRPr="00633318">
        <w:rPr>
          <w:rFonts w:ascii="Times New Roman" w:hAnsi="Times New Roman" w:cs="Times New Roman"/>
          <w:b/>
          <w:sz w:val="24"/>
          <w:szCs w:val="24"/>
        </w:rPr>
        <w:t xml:space="preserve">4 </w:t>
      </w:r>
      <w:r w:rsidR="00C043C7" w:rsidRPr="00633318">
        <w:rPr>
          <w:rFonts w:ascii="Times New Roman" w:hAnsi="Times New Roman" w:cs="Times New Roman"/>
          <w:b/>
          <w:sz w:val="24"/>
          <w:szCs w:val="24"/>
        </w:rPr>
        <w:t>ust. 1</w:t>
      </w:r>
      <w:r w:rsidRPr="00633318">
        <w:rPr>
          <w:rFonts w:ascii="Times New Roman" w:hAnsi="Times New Roman" w:cs="Times New Roman"/>
          <w:bCs/>
          <w:sz w:val="24"/>
          <w:szCs w:val="24"/>
        </w:rPr>
        <w:t>, tj. badania 2 lat z 4 letniego okresu, ponieważ w zakresie pierwszego roku następującego po podziale wystarczy spełnić warunek minimalnego przychodu grupowego za ten rok.</w:t>
      </w:r>
    </w:p>
    <w:p w14:paraId="7EE9A95F" w14:textId="38102C03" w:rsidR="00913956" w:rsidRPr="00633318" w:rsidRDefault="001D1AF2" w:rsidP="001D1AF2">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Taki dodatkowy warunek ma na celu zapewnienie, że </w:t>
      </w:r>
      <w:r w:rsidRPr="00633318">
        <w:rPr>
          <w:rFonts w:ascii="Times New Roman" w:hAnsi="Times New Roman" w:cs="Times New Roman"/>
          <w:b/>
          <w:sz w:val="24"/>
          <w:szCs w:val="24"/>
        </w:rPr>
        <w:t>każda grupa powstała w wyniku podziału grupy objętej zakresem</w:t>
      </w:r>
      <w:r w:rsidR="002F3F24" w:rsidRPr="00633318">
        <w:rPr>
          <w:rFonts w:ascii="Times New Roman" w:hAnsi="Times New Roman" w:cs="Times New Roman"/>
          <w:b/>
          <w:sz w:val="24"/>
          <w:szCs w:val="24"/>
        </w:rPr>
        <w:t xml:space="preserve"> </w:t>
      </w:r>
      <w:r w:rsidR="00AE4F00" w:rsidRPr="00633318">
        <w:rPr>
          <w:rFonts w:ascii="Times New Roman" w:hAnsi="Times New Roman" w:cs="Times New Roman"/>
          <w:b/>
          <w:sz w:val="24"/>
          <w:szCs w:val="24"/>
        </w:rPr>
        <w:t xml:space="preserve">Systemu </w:t>
      </w:r>
      <w:r w:rsidR="002F3F24" w:rsidRPr="00633318">
        <w:rPr>
          <w:rFonts w:ascii="Times New Roman" w:hAnsi="Times New Roman" w:cs="Times New Roman"/>
          <w:b/>
          <w:sz w:val="24"/>
          <w:szCs w:val="24"/>
        </w:rPr>
        <w:t>GloBE</w:t>
      </w:r>
      <w:r w:rsidRPr="00633318">
        <w:rPr>
          <w:rFonts w:ascii="Times New Roman" w:hAnsi="Times New Roman" w:cs="Times New Roman"/>
          <w:b/>
          <w:sz w:val="24"/>
          <w:szCs w:val="24"/>
        </w:rPr>
        <w:t xml:space="preserve">, która </w:t>
      </w:r>
      <w:r w:rsidR="00BA76E2" w:rsidRPr="00633318">
        <w:rPr>
          <w:rFonts w:ascii="Times New Roman" w:hAnsi="Times New Roman" w:cs="Times New Roman"/>
          <w:b/>
          <w:sz w:val="24"/>
          <w:szCs w:val="24"/>
        </w:rPr>
        <w:t xml:space="preserve">- już jako podzielona grupa - </w:t>
      </w:r>
      <w:r w:rsidRPr="00633318">
        <w:rPr>
          <w:rFonts w:ascii="Times New Roman" w:hAnsi="Times New Roman" w:cs="Times New Roman"/>
          <w:b/>
          <w:sz w:val="24"/>
          <w:szCs w:val="24"/>
        </w:rPr>
        <w:t xml:space="preserve">osiągnie próg 750 mln EUR </w:t>
      </w:r>
      <w:r w:rsidR="00F73EC1" w:rsidRPr="00633318">
        <w:rPr>
          <w:rFonts w:ascii="Times New Roman" w:hAnsi="Times New Roman" w:cs="Times New Roman"/>
          <w:b/>
          <w:sz w:val="24"/>
          <w:szCs w:val="24"/>
        </w:rPr>
        <w:t>za</w:t>
      </w:r>
      <w:r w:rsidRPr="00633318">
        <w:rPr>
          <w:rFonts w:ascii="Times New Roman" w:hAnsi="Times New Roman" w:cs="Times New Roman"/>
          <w:b/>
          <w:sz w:val="24"/>
          <w:szCs w:val="24"/>
        </w:rPr>
        <w:t xml:space="preserve"> rok podatkowy kończący się po podziale, </w:t>
      </w:r>
      <w:r w:rsidR="002F3F24" w:rsidRPr="00633318">
        <w:rPr>
          <w:rFonts w:ascii="Times New Roman" w:hAnsi="Times New Roman" w:cs="Times New Roman"/>
          <w:b/>
          <w:sz w:val="24"/>
          <w:szCs w:val="24"/>
        </w:rPr>
        <w:t>jest objęta zakresem p</w:t>
      </w:r>
      <w:r w:rsidR="00BA76E2" w:rsidRPr="00633318">
        <w:rPr>
          <w:rFonts w:ascii="Times New Roman" w:hAnsi="Times New Roman" w:cs="Times New Roman"/>
          <w:b/>
          <w:sz w:val="24"/>
          <w:szCs w:val="24"/>
        </w:rPr>
        <w:t>odmi</w:t>
      </w:r>
      <w:r w:rsidR="002F3F24" w:rsidRPr="00633318">
        <w:rPr>
          <w:rFonts w:ascii="Times New Roman" w:hAnsi="Times New Roman" w:cs="Times New Roman"/>
          <w:b/>
          <w:sz w:val="24"/>
          <w:szCs w:val="24"/>
        </w:rPr>
        <w:t>otowym</w:t>
      </w:r>
      <w:r w:rsidRPr="00633318">
        <w:rPr>
          <w:rFonts w:ascii="Times New Roman" w:hAnsi="Times New Roman" w:cs="Times New Roman"/>
          <w:b/>
          <w:sz w:val="24"/>
          <w:szCs w:val="24"/>
        </w:rPr>
        <w:t xml:space="preserve"> ustawy</w:t>
      </w:r>
      <w:r w:rsidRPr="00633318">
        <w:rPr>
          <w:rFonts w:ascii="Times New Roman" w:hAnsi="Times New Roman" w:cs="Times New Roman"/>
          <w:bCs/>
          <w:sz w:val="24"/>
          <w:szCs w:val="24"/>
        </w:rPr>
        <w:t>.</w:t>
      </w:r>
      <w:r w:rsidR="00913956" w:rsidRPr="00633318">
        <w:rPr>
          <w:rFonts w:ascii="Times New Roman" w:hAnsi="Times New Roman" w:cs="Times New Roman"/>
          <w:bCs/>
          <w:sz w:val="24"/>
          <w:szCs w:val="24"/>
        </w:rPr>
        <w:t xml:space="preserve"> Inaczej każda podzielona grupa wypadłaby z </w:t>
      </w:r>
      <w:r w:rsidR="00AE4F00" w:rsidRPr="00633318">
        <w:rPr>
          <w:rFonts w:ascii="Times New Roman" w:hAnsi="Times New Roman" w:cs="Times New Roman"/>
          <w:bCs/>
          <w:sz w:val="24"/>
          <w:szCs w:val="24"/>
        </w:rPr>
        <w:t xml:space="preserve">Systemu </w:t>
      </w:r>
      <w:r w:rsidR="00913956" w:rsidRPr="00633318">
        <w:rPr>
          <w:rFonts w:ascii="Times New Roman" w:hAnsi="Times New Roman" w:cs="Times New Roman"/>
          <w:bCs/>
          <w:sz w:val="24"/>
          <w:szCs w:val="24"/>
        </w:rPr>
        <w:t>GloBE wskutek podziału (w pierwszym roku funkcjonowania podzielonej grupy nie spełniałaby nigdy warunku 2 z 4 lat).</w:t>
      </w:r>
      <w:r w:rsidRPr="00633318">
        <w:rPr>
          <w:rFonts w:ascii="Times New Roman" w:hAnsi="Times New Roman" w:cs="Times New Roman"/>
          <w:bCs/>
          <w:sz w:val="24"/>
          <w:szCs w:val="24"/>
        </w:rPr>
        <w:t xml:space="preserve"> </w:t>
      </w:r>
    </w:p>
    <w:p w14:paraId="23EC5F82" w14:textId="2D310589" w:rsidR="00BD5726" w:rsidRPr="003E7A67" w:rsidRDefault="00BD5726"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2155A51A" w14:textId="5818E356" w:rsidR="00BD5726" w:rsidRPr="003E7A67" w:rsidRDefault="00083D1B"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Rok obrotowy grupy A jest taki sam jak rok kalendarzowy i kończy się 31 grudnia</w:t>
      </w:r>
      <w:r w:rsidR="00913956" w:rsidRPr="003E7A67">
        <w:rPr>
          <w:rFonts w:asciiTheme="minorHAnsi" w:hAnsiTheme="minorHAnsi" w:cstheme="minorHAnsi"/>
          <w:bCs w:val="0"/>
          <w:i/>
          <w:iCs/>
          <w:sz w:val="22"/>
          <w:szCs w:val="22"/>
        </w:rPr>
        <w:t xml:space="preserve"> 2025 r</w:t>
      </w:r>
      <w:r w:rsidRPr="003E7A67">
        <w:rPr>
          <w:rFonts w:asciiTheme="minorHAnsi" w:hAnsiTheme="minorHAnsi" w:cstheme="minorHAnsi"/>
          <w:bCs w:val="0"/>
          <w:i/>
          <w:iCs/>
          <w:sz w:val="22"/>
          <w:szCs w:val="22"/>
        </w:rPr>
        <w:t xml:space="preserve">. W trakcie roku obrotowego, </w:t>
      </w:r>
      <w:r w:rsidR="001D1AF2" w:rsidRPr="003E7A67">
        <w:rPr>
          <w:rFonts w:asciiTheme="minorHAnsi" w:hAnsiTheme="minorHAnsi" w:cstheme="minorHAnsi"/>
          <w:bCs w:val="0"/>
          <w:i/>
          <w:iCs/>
          <w:sz w:val="22"/>
          <w:szCs w:val="22"/>
        </w:rPr>
        <w:t xml:space="preserve">30 czerwca </w:t>
      </w:r>
      <w:r w:rsidR="00913956" w:rsidRPr="003E7A67">
        <w:rPr>
          <w:rFonts w:asciiTheme="minorHAnsi" w:hAnsiTheme="minorHAnsi" w:cstheme="minorHAnsi"/>
          <w:bCs w:val="0"/>
          <w:i/>
          <w:iCs/>
          <w:sz w:val="22"/>
          <w:szCs w:val="22"/>
        </w:rPr>
        <w:t xml:space="preserve">2025 </w:t>
      </w:r>
      <w:r w:rsidRPr="003E7A67">
        <w:rPr>
          <w:rFonts w:asciiTheme="minorHAnsi" w:hAnsiTheme="minorHAnsi" w:cstheme="minorHAnsi"/>
          <w:bCs w:val="0"/>
          <w:i/>
          <w:iCs/>
          <w:sz w:val="22"/>
          <w:szCs w:val="22"/>
        </w:rPr>
        <w:t>r.</w:t>
      </w:r>
      <w:r w:rsidR="001D1AF2" w:rsidRPr="003E7A67">
        <w:rPr>
          <w:rFonts w:asciiTheme="minorHAnsi" w:hAnsiTheme="minorHAnsi" w:cstheme="minorHAnsi"/>
          <w:bCs w:val="0"/>
          <w:i/>
          <w:iCs/>
          <w:sz w:val="22"/>
          <w:szCs w:val="22"/>
        </w:rPr>
        <w:t xml:space="preserve">, </w:t>
      </w:r>
      <w:r w:rsidR="00BD5726" w:rsidRPr="003E7A67">
        <w:rPr>
          <w:rFonts w:asciiTheme="minorHAnsi" w:hAnsiTheme="minorHAnsi" w:cstheme="minorHAnsi"/>
          <w:bCs w:val="0"/>
          <w:i/>
          <w:iCs/>
          <w:sz w:val="22"/>
          <w:szCs w:val="22"/>
        </w:rPr>
        <w:t xml:space="preserve">jednostka dominująca najwyższego szczebla </w:t>
      </w:r>
      <w:r w:rsidR="001D1AF2" w:rsidRPr="003E7A67">
        <w:rPr>
          <w:rFonts w:asciiTheme="minorHAnsi" w:hAnsiTheme="minorHAnsi" w:cstheme="minorHAnsi"/>
          <w:bCs w:val="0"/>
          <w:i/>
          <w:iCs/>
          <w:sz w:val="22"/>
          <w:szCs w:val="22"/>
        </w:rPr>
        <w:t>grup</w:t>
      </w:r>
      <w:r w:rsidR="00BD5726" w:rsidRPr="003E7A67">
        <w:rPr>
          <w:rFonts w:asciiTheme="minorHAnsi" w:hAnsiTheme="minorHAnsi" w:cstheme="minorHAnsi"/>
          <w:bCs w:val="0"/>
          <w:i/>
          <w:iCs/>
          <w:sz w:val="22"/>
          <w:szCs w:val="22"/>
        </w:rPr>
        <w:t>y</w:t>
      </w:r>
      <w:r w:rsidR="001D1AF2" w:rsidRPr="003E7A67">
        <w:rPr>
          <w:rFonts w:asciiTheme="minorHAnsi" w:hAnsiTheme="minorHAnsi" w:cstheme="minorHAnsi"/>
          <w:bCs w:val="0"/>
          <w:i/>
          <w:iCs/>
          <w:sz w:val="22"/>
          <w:szCs w:val="22"/>
        </w:rPr>
        <w:t xml:space="preserve"> A </w:t>
      </w:r>
      <w:r w:rsidR="00541B2C" w:rsidRPr="003E7A67">
        <w:rPr>
          <w:rFonts w:asciiTheme="minorHAnsi" w:hAnsiTheme="minorHAnsi" w:cstheme="minorHAnsi"/>
          <w:bCs w:val="0"/>
          <w:i/>
          <w:iCs/>
          <w:sz w:val="22"/>
          <w:szCs w:val="22"/>
        </w:rPr>
        <w:t>zbyła</w:t>
      </w:r>
      <w:r w:rsidR="001D1AF2" w:rsidRPr="003E7A67">
        <w:rPr>
          <w:rFonts w:asciiTheme="minorHAnsi" w:hAnsiTheme="minorHAnsi" w:cstheme="minorHAnsi"/>
          <w:bCs w:val="0"/>
          <w:i/>
          <w:iCs/>
          <w:sz w:val="22"/>
          <w:szCs w:val="22"/>
        </w:rPr>
        <w:t xml:space="preserve"> wszystkie udziały podgrupy B </w:t>
      </w:r>
      <w:r w:rsidR="00541B2C" w:rsidRPr="003E7A67">
        <w:rPr>
          <w:rFonts w:asciiTheme="minorHAnsi" w:hAnsiTheme="minorHAnsi" w:cstheme="minorHAnsi"/>
          <w:bCs w:val="0"/>
          <w:i/>
          <w:iCs/>
          <w:sz w:val="22"/>
          <w:szCs w:val="22"/>
        </w:rPr>
        <w:t xml:space="preserve">na rzecz </w:t>
      </w:r>
      <w:r w:rsidR="001D1AF2" w:rsidRPr="003E7A67">
        <w:rPr>
          <w:rFonts w:asciiTheme="minorHAnsi" w:hAnsiTheme="minorHAnsi" w:cstheme="minorHAnsi"/>
          <w:bCs w:val="0"/>
          <w:i/>
          <w:iCs/>
          <w:sz w:val="22"/>
          <w:szCs w:val="22"/>
        </w:rPr>
        <w:t>swoi</w:t>
      </w:r>
      <w:r w:rsidR="00541B2C" w:rsidRPr="003E7A67">
        <w:rPr>
          <w:rFonts w:asciiTheme="minorHAnsi" w:hAnsiTheme="minorHAnsi" w:cstheme="minorHAnsi"/>
          <w:bCs w:val="0"/>
          <w:i/>
          <w:iCs/>
          <w:sz w:val="22"/>
          <w:szCs w:val="22"/>
        </w:rPr>
        <w:t>ch</w:t>
      </w:r>
      <w:r w:rsidR="001D1AF2" w:rsidRPr="003E7A67">
        <w:rPr>
          <w:rFonts w:asciiTheme="minorHAnsi" w:hAnsiTheme="minorHAnsi" w:cstheme="minorHAnsi"/>
          <w:bCs w:val="0"/>
          <w:i/>
          <w:iCs/>
          <w:sz w:val="22"/>
          <w:szCs w:val="22"/>
        </w:rPr>
        <w:t xml:space="preserve"> udziałowc</w:t>
      </w:r>
      <w:r w:rsidR="00541B2C" w:rsidRPr="003E7A67">
        <w:rPr>
          <w:rFonts w:asciiTheme="minorHAnsi" w:hAnsiTheme="minorHAnsi" w:cstheme="minorHAnsi"/>
          <w:bCs w:val="0"/>
          <w:i/>
          <w:iCs/>
          <w:sz w:val="22"/>
          <w:szCs w:val="22"/>
        </w:rPr>
        <w:t>ów</w:t>
      </w:r>
      <w:r w:rsidR="001D1AF2" w:rsidRPr="003E7A67">
        <w:rPr>
          <w:rFonts w:asciiTheme="minorHAnsi" w:hAnsiTheme="minorHAnsi" w:cstheme="minorHAnsi"/>
          <w:bCs w:val="0"/>
          <w:i/>
          <w:iCs/>
          <w:sz w:val="22"/>
          <w:szCs w:val="22"/>
        </w:rPr>
        <w:t xml:space="preserve">. Stanowi to podział </w:t>
      </w:r>
      <w:r w:rsidR="00541B2C" w:rsidRPr="003E7A67">
        <w:rPr>
          <w:rFonts w:asciiTheme="minorHAnsi" w:hAnsiTheme="minorHAnsi" w:cstheme="minorHAnsi"/>
          <w:bCs w:val="0"/>
          <w:i/>
          <w:iCs/>
          <w:sz w:val="22"/>
          <w:szCs w:val="22"/>
        </w:rPr>
        <w:t xml:space="preserve">grupy </w:t>
      </w:r>
      <w:r w:rsidR="001D1AF2" w:rsidRPr="003E7A67">
        <w:rPr>
          <w:rFonts w:asciiTheme="minorHAnsi" w:hAnsiTheme="minorHAnsi" w:cstheme="minorHAnsi"/>
          <w:bCs w:val="0"/>
          <w:i/>
          <w:iCs/>
          <w:sz w:val="22"/>
          <w:szCs w:val="22"/>
        </w:rPr>
        <w:t xml:space="preserve">w rozumieniu </w:t>
      </w:r>
      <w:r w:rsidR="00913956" w:rsidRPr="003E7A67">
        <w:rPr>
          <w:rFonts w:asciiTheme="minorHAnsi" w:hAnsiTheme="minorHAnsi" w:cstheme="minorHAnsi"/>
          <w:b/>
          <w:i/>
          <w:iCs/>
          <w:sz w:val="22"/>
          <w:szCs w:val="22"/>
        </w:rPr>
        <w:t>art. 4 ust. 9</w:t>
      </w:r>
      <w:r w:rsidR="001D1AF2" w:rsidRPr="003E7A67">
        <w:rPr>
          <w:rFonts w:asciiTheme="minorHAnsi" w:hAnsiTheme="minorHAnsi" w:cstheme="minorHAnsi"/>
          <w:bCs w:val="0"/>
          <w:i/>
          <w:iCs/>
          <w:sz w:val="22"/>
          <w:szCs w:val="22"/>
        </w:rPr>
        <w:t xml:space="preserve"> </w:t>
      </w:r>
      <w:r w:rsidR="008E65B6" w:rsidRPr="003E7A67">
        <w:rPr>
          <w:rFonts w:asciiTheme="minorHAnsi" w:hAnsiTheme="minorHAnsi" w:cstheme="minorHAnsi"/>
          <w:bCs w:val="0"/>
          <w:i/>
          <w:iCs/>
          <w:sz w:val="22"/>
          <w:szCs w:val="22"/>
        </w:rPr>
        <w:t>ustawy</w:t>
      </w:r>
      <w:r w:rsidR="001D1AF2" w:rsidRPr="003E7A67">
        <w:rPr>
          <w:rFonts w:asciiTheme="minorHAnsi" w:hAnsiTheme="minorHAnsi" w:cstheme="minorHAnsi"/>
          <w:bCs w:val="0"/>
          <w:i/>
          <w:iCs/>
          <w:sz w:val="22"/>
          <w:szCs w:val="22"/>
        </w:rPr>
        <w:t xml:space="preserve"> i skutkuje on </w:t>
      </w:r>
      <w:r w:rsidR="00913956" w:rsidRPr="003E7A67">
        <w:rPr>
          <w:rFonts w:asciiTheme="minorHAnsi" w:hAnsiTheme="minorHAnsi" w:cstheme="minorHAnsi"/>
          <w:bCs w:val="0"/>
          <w:i/>
          <w:iCs/>
          <w:sz w:val="22"/>
          <w:szCs w:val="22"/>
        </w:rPr>
        <w:t xml:space="preserve">powstaniem, z perspektywy Zasad GloBE, dwóch podzielonych grup - </w:t>
      </w:r>
      <w:r w:rsidR="001D1AF2" w:rsidRPr="003E7A67">
        <w:rPr>
          <w:rFonts w:asciiTheme="minorHAnsi" w:hAnsiTheme="minorHAnsi" w:cstheme="minorHAnsi"/>
          <w:bCs w:val="0"/>
          <w:i/>
          <w:iCs/>
          <w:sz w:val="22"/>
          <w:szCs w:val="22"/>
        </w:rPr>
        <w:t xml:space="preserve"> </w:t>
      </w:r>
      <w:r w:rsidR="00913956" w:rsidRPr="003E7A67">
        <w:rPr>
          <w:rFonts w:asciiTheme="minorHAnsi" w:hAnsiTheme="minorHAnsi" w:cstheme="minorHAnsi"/>
          <w:bCs w:val="0"/>
          <w:i/>
          <w:iCs/>
          <w:sz w:val="22"/>
          <w:szCs w:val="22"/>
        </w:rPr>
        <w:t xml:space="preserve">nowej </w:t>
      </w:r>
      <w:r w:rsidR="001D1AF2" w:rsidRPr="003E7A67">
        <w:rPr>
          <w:rFonts w:asciiTheme="minorHAnsi" w:hAnsiTheme="minorHAnsi" w:cstheme="minorHAnsi"/>
          <w:bCs w:val="0"/>
          <w:i/>
          <w:iCs/>
          <w:sz w:val="22"/>
          <w:szCs w:val="22"/>
        </w:rPr>
        <w:t>grupy B</w:t>
      </w:r>
      <w:r w:rsidR="00913956" w:rsidRPr="003E7A67">
        <w:rPr>
          <w:rFonts w:asciiTheme="minorHAnsi" w:hAnsiTheme="minorHAnsi" w:cstheme="minorHAnsi"/>
          <w:bCs w:val="0"/>
          <w:i/>
          <w:iCs/>
          <w:sz w:val="22"/>
          <w:szCs w:val="22"/>
        </w:rPr>
        <w:t xml:space="preserve"> i grupy A, która „pozostała” po podziale</w:t>
      </w:r>
      <w:r w:rsidR="001D1AF2" w:rsidRPr="003E7A67">
        <w:rPr>
          <w:rFonts w:asciiTheme="minorHAnsi" w:hAnsiTheme="minorHAnsi" w:cstheme="minorHAnsi"/>
          <w:bCs w:val="0"/>
          <w:i/>
          <w:iCs/>
          <w:sz w:val="22"/>
          <w:szCs w:val="22"/>
        </w:rPr>
        <w:t>.</w:t>
      </w:r>
    </w:p>
    <w:p w14:paraId="42D125F2" w14:textId="5D5AC105" w:rsidR="00BD5726" w:rsidRPr="003E7A67" w:rsidRDefault="00913956"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Na potrzeby niniejszego przykładu zakłada się, że p</w:t>
      </w:r>
      <w:r w:rsidR="00083D1B" w:rsidRPr="003E7A67">
        <w:rPr>
          <w:rFonts w:asciiTheme="minorHAnsi" w:hAnsiTheme="minorHAnsi" w:cstheme="minorHAnsi"/>
          <w:bCs w:val="0"/>
          <w:i/>
          <w:iCs/>
          <w:sz w:val="22"/>
          <w:szCs w:val="22"/>
        </w:rPr>
        <w:t xml:space="preserve">odział nie skutkował rozpoczęciem nowego roku </w:t>
      </w:r>
      <w:r w:rsidRPr="003E7A67">
        <w:rPr>
          <w:rFonts w:asciiTheme="minorHAnsi" w:hAnsiTheme="minorHAnsi" w:cstheme="minorHAnsi"/>
          <w:bCs w:val="0"/>
          <w:i/>
          <w:iCs/>
          <w:sz w:val="22"/>
          <w:szCs w:val="22"/>
        </w:rPr>
        <w:t xml:space="preserve">podatkowego </w:t>
      </w:r>
      <w:r w:rsidR="00083D1B" w:rsidRPr="003E7A67">
        <w:rPr>
          <w:rFonts w:asciiTheme="minorHAnsi" w:hAnsiTheme="minorHAnsi" w:cstheme="minorHAnsi"/>
          <w:bCs w:val="0"/>
          <w:i/>
          <w:iCs/>
          <w:sz w:val="22"/>
          <w:szCs w:val="22"/>
        </w:rPr>
        <w:t xml:space="preserve">dla grupy A. </w:t>
      </w:r>
      <w:r w:rsidR="001D1AF2" w:rsidRPr="003E7A67">
        <w:rPr>
          <w:rFonts w:asciiTheme="minorHAnsi" w:hAnsiTheme="minorHAnsi" w:cstheme="minorHAnsi"/>
          <w:bCs w:val="0"/>
          <w:i/>
          <w:iCs/>
          <w:sz w:val="22"/>
          <w:szCs w:val="22"/>
        </w:rPr>
        <w:t xml:space="preserve">Zgodnie z </w:t>
      </w:r>
      <w:r w:rsidRPr="003E7A67">
        <w:rPr>
          <w:rFonts w:asciiTheme="minorHAnsi" w:hAnsiTheme="minorHAnsi" w:cstheme="minorHAnsi"/>
          <w:b/>
          <w:i/>
          <w:iCs/>
          <w:sz w:val="22"/>
          <w:szCs w:val="22"/>
        </w:rPr>
        <w:t>ust. 7</w:t>
      </w:r>
      <w:r w:rsidR="001D1AF2" w:rsidRPr="003E7A67">
        <w:rPr>
          <w:rFonts w:asciiTheme="minorHAnsi" w:hAnsiTheme="minorHAnsi" w:cstheme="minorHAnsi"/>
          <w:bCs w:val="0"/>
          <w:i/>
          <w:iCs/>
          <w:sz w:val="22"/>
          <w:szCs w:val="22"/>
        </w:rPr>
        <w:t>, grupa A określi</w:t>
      </w:r>
      <w:r w:rsidR="00C57ACD" w:rsidRPr="003E7A67">
        <w:rPr>
          <w:rFonts w:asciiTheme="minorHAnsi" w:hAnsiTheme="minorHAnsi" w:cstheme="minorHAnsi"/>
          <w:bCs w:val="0"/>
          <w:i/>
          <w:iCs/>
          <w:sz w:val="22"/>
          <w:szCs w:val="22"/>
        </w:rPr>
        <w:t>,</w:t>
      </w:r>
      <w:r w:rsidR="001D1AF2" w:rsidRPr="003E7A67">
        <w:rPr>
          <w:rFonts w:asciiTheme="minorHAnsi" w:hAnsiTheme="minorHAnsi" w:cstheme="minorHAnsi"/>
          <w:bCs w:val="0"/>
          <w:i/>
          <w:iCs/>
          <w:sz w:val="22"/>
          <w:szCs w:val="22"/>
        </w:rPr>
        <w:t xml:space="preserve"> czy podlega przepisom ustawy na podstawie </w:t>
      </w:r>
      <w:r w:rsidR="00C57ACD" w:rsidRPr="003E7A67">
        <w:rPr>
          <w:rFonts w:asciiTheme="minorHAnsi" w:hAnsiTheme="minorHAnsi" w:cstheme="minorHAnsi"/>
          <w:bCs w:val="0"/>
          <w:i/>
          <w:iCs/>
          <w:sz w:val="22"/>
          <w:szCs w:val="22"/>
        </w:rPr>
        <w:t>przychodów wykazanych</w:t>
      </w:r>
      <w:r w:rsidR="001D1AF2" w:rsidRPr="003E7A67">
        <w:rPr>
          <w:rFonts w:asciiTheme="minorHAnsi" w:hAnsiTheme="minorHAnsi" w:cstheme="minorHAnsi"/>
          <w:bCs w:val="0"/>
          <w:i/>
          <w:iCs/>
          <w:sz w:val="22"/>
          <w:szCs w:val="22"/>
        </w:rPr>
        <w:t xml:space="preserve"> w skonsolidowanym sprawozdaniu finansowym sporządzonym </w:t>
      </w:r>
      <w:r w:rsidR="001D1AF2" w:rsidRPr="003E7A67">
        <w:rPr>
          <w:rFonts w:asciiTheme="minorHAnsi" w:hAnsiTheme="minorHAnsi" w:cstheme="minorHAnsi"/>
          <w:b/>
          <w:i/>
          <w:iCs/>
          <w:sz w:val="22"/>
          <w:szCs w:val="22"/>
        </w:rPr>
        <w:t>za rok podziału</w:t>
      </w:r>
      <w:r w:rsidR="008E65B6" w:rsidRPr="003E7A67">
        <w:rPr>
          <w:rFonts w:asciiTheme="minorHAnsi" w:hAnsiTheme="minorHAnsi" w:cstheme="minorHAnsi"/>
          <w:b/>
          <w:i/>
          <w:iCs/>
          <w:sz w:val="22"/>
          <w:szCs w:val="22"/>
        </w:rPr>
        <w:t>, tj. za rok trwający od 1 stycznia do 31 grudnia 2024 r.</w:t>
      </w:r>
      <w:r w:rsidR="001D1AF2" w:rsidRPr="003E7A67">
        <w:rPr>
          <w:rFonts w:asciiTheme="minorHAnsi" w:hAnsiTheme="minorHAnsi" w:cstheme="minorHAnsi"/>
          <w:bCs w:val="0"/>
          <w:i/>
          <w:iCs/>
          <w:sz w:val="22"/>
          <w:szCs w:val="22"/>
        </w:rPr>
        <w:t xml:space="preserve"> (na podstawie drugiej alternatywy </w:t>
      </w:r>
      <w:r w:rsidRPr="003E7A67">
        <w:rPr>
          <w:rFonts w:asciiTheme="minorHAnsi" w:hAnsiTheme="minorHAnsi" w:cstheme="minorHAnsi"/>
          <w:bCs w:val="0"/>
          <w:i/>
          <w:iCs/>
          <w:sz w:val="22"/>
          <w:szCs w:val="22"/>
        </w:rPr>
        <w:t>zawartej</w:t>
      </w:r>
      <w:r w:rsidR="001D1AF2" w:rsidRPr="003E7A67">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w ust. 7 pkt 1</w:t>
      </w:r>
      <w:r w:rsidR="001D1AF2" w:rsidRPr="003E7A67">
        <w:rPr>
          <w:rFonts w:asciiTheme="minorHAnsi" w:hAnsiTheme="minorHAnsi" w:cstheme="minorHAnsi"/>
          <w:bCs w:val="0"/>
          <w:i/>
          <w:iCs/>
          <w:sz w:val="22"/>
          <w:szCs w:val="22"/>
        </w:rPr>
        <w:t xml:space="preserve">). </w:t>
      </w:r>
    </w:p>
    <w:p w14:paraId="5B17E749" w14:textId="2C2D432F" w:rsidR="00BD5726" w:rsidRPr="003E7A67" w:rsidRDefault="00913956"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Na potrzeby niniejszego przykładu zakłada się,</w:t>
      </w:r>
      <w:r w:rsidR="008535F5">
        <w:rPr>
          <w:rFonts w:asciiTheme="minorHAnsi" w:hAnsiTheme="minorHAnsi" w:cstheme="minorHAnsi"/>
          <w:bCs w:val="0"/>
          <w:i/>
          <w:iCs/>
          <w:sz w:val="22"/>
          <w:szCs w:val="22"/>
        </w:rPr>
        <w:t xml:space="preserve"> </w:t>
      </w:r>
      <w:r w:rsidRPr="003E7A67">
        <w:rPr>
          <w:rFonts w:asciiTheme="minorHAnsi" w:hAnsiTheme="minorHAnsi" w:cstheme="minorHAnsi"/>
          <w:bCs w:val="0"/>
          <w:i/>
          <w:iCs/>
          <w:sz w:val="22"/>
          <w:szCs w:val="22"/>
        </w:rPr>
        <w:t>że p</w:t>
      </w:r>
      <w:r w:rsidR="008E65B6" w:rsidRPr="003E7A67">
        <w:rPr>
          <w:rFonts w:asciiTheme="minorHAnsi" w:hAnsiTheme="minorHAnsi" w:cstheme="minorHAnsi"/>
          <w:bCs w:val="0"/>
          <w:i/>
          <w:iCs/>
          <w:sz w:val="22"/>
          <w:szCs w:val="22"/>
        </w:rPr>
        <w:t xml:space="preserve">odział </w:t>
      </w:r>
      <w:r w:rsidRPr="003E7A67">
        <w:rPr>
          <w:rFonts w:asciiTheme="minorHAnsi" w:hAnsiTheme="minorHAnsi" w:cstheme="minorHAnsi"/>
          <w:bCs w:val="0"/>
          <w:i/>
          <w:iCs/>
          <w:sz w:val="22"/>
          <w:szCs w:val="22"/>
        </w:rPr>
        <w:t xml:space="preserve">skutkował </w:t>
      </w:r>
      <w:r w:rsidR="00083D1B" w:rsidRPr="003E7A67">
        <w:rPr>
          <w:rFonts w:asciiTheme="minorHAnsi" w:hAnsiTheme="minorHAnsi" w:cstheme="minorHAnsi"/>
          <w:bCs w:val="0"/>
          <w:i/>
          <w:iCs/>
          <w:sz w:val="22"/>
          <w:szCs w:val="22"/>
        </w:rPr>
        <w:t xml:space="preserve">natomiast </w:t>
      </w:r>
      <w:r w:rsidR="008E65B6" w:rsidRPr="003E7A67">
        <w:rPr>
          <w:rFonts w:asciiTheme="minorHAnsi" w:hAnsiTheme="minorHAnsi" w:cstheme="minorHAnsi"/>
          <w:bCs w:val="0"/>
          <w:i/>
          <w:iCs/>
          <w:sz w:val="22"/>
          <w:szCs w:val="22"/>
        </w:rPr>
        <w:t>rozpoczęciem nowego roku</w:t>
      </w:r>
      <w:r w:rsidRPr="003E7A67">
        <w:rPr>
          <w:rFonts w:asciiTheme="minorHAnsi" w:hAnsiTheme="minorHAnsi" w:cstheme="minorHAnsi"/>
          <w:bCs w:val="0"/>
          <w:i/>
          <w:iCs/>
          <w:sz w:val="22"/>
          <w:szCs w:val="22"/>
        </w:rPr>
        <w:t xml:space="preserve"> podatkowego</w:t>
      </w:r>
      <w:r w:rsidR="008E65B6" w:rsidRPr="003E7A67">
        <w:rPr>
          <w:rFonts w:asciiTheme="minorHAnsi" w:hAnsiTheme="minorHAnsi" w:cstheme="minorHAnsi"/>
          <w:bCs w:val="0"/>
          <w:i/>
          <w:iCs/>
          <w:sz w:val="22"/>
          <w:szCs w:val="22"/>
        </w:rPr>
        <w:t xml:space="preserve"> dla G</w:t>
      </w:r>
      <w:r w:rsidR="001D1AF2" w:rsidRPr="003E7A67">
        <w:rPr>
          <w:rFonts w:asciiTheme="minorHAnsi" w:hAnsiTheme="minorHAnsi" w:cstheme="minorHAnsi"/>
          <w:bCs w:val="0"/>
          <w:i/>
          <w:iCs/>
          <w:sz w:val="22"/>
          <w:szCs w:val="22"/>
        </w:rPr>
        <w:t>rup</w:t>
      </w:r>
      <w:r w:rsidR="008E65B6" w:rsidRPr="003E7A67">
        <w:rPr>
          <w:rFonts w:asciiTheme="minorHAnsi" w:hAnsiTheme="minorHAnsi" w:cstheme="minorHAnsi"/>
          <w:bCs w:val="0"/>
          <w:i/>
          <w:iCs/>
          <w:sz w:val="22"/>
          <w:szCs w:val="22"/>
        </w:rPr>
        <w:t>y</w:t>
      </w:r>
      <w:r w:rsidR="001D1AF2" w:rsidRPr="003E7A67">
        <w:rPr>
          <w:rFonts w:asciiTheme="minorHAnsi" w:hAnsiTheme="minorHAnsi" w:cstheme="minorHAnsi"/>
          <w:bCs w:val="0"/>
          <w:i/>
          <w:iCs/>
          <w:sz w:val="22"/>
          <w:szCs w:val="22"/>
        </w:rPr>
        <w:t xml:space="preserve"> B</w:t>
      </w:r>
      <w:r w:rsidR="00B97652" w:rsidRPr="003E7A67">
        <w:rPr>
          <w:rFonts w:asciiTheme="minorHAnsi" w:hAnsiTheme="minorHAnsi" w:cstheme="minorHAnsi"/>
          <w:bCs w:val="0"/>
          <w:i/>
          <w:iCs/>
          <w:sz w:val="22"/>
          <w:szCs w:val="22"/>
        </w:rPr>
        <w:t xml:space="preserve"> (rok kalendarzowy)</w:t>
      </w:r>
      <w:r w:rsidR="008E65B6" w:rsidRPr="003E7A67">
        <w:rPr>
          <w:rFonts w:asciiTheme="minorHAnsi" w:hAnsiTheme="minorHAnsi" w:cstheme="minorHAnsi"/>
          <w:bCs w:val="0"/>
          <w:i/>
          <w:iCs/>
          <w:sz w:val="22"/>
          <w:szCs w:val="22"/>
        </w:rPr>
        <w:t>. Grupa ta</w:t>
      </w:r>
      <w:r w:rsidR="001D1AF2" w:rsidRPr="003E7A67">
        <w:rPr>
          <w:rFonts w:asciiTheme="minorHAnsi" w:hAnsiTheme="minorHAnsi" w:cstheme="minorHAnsi"/>
          <w:bCs w:val="0"/>
          <w:i/>
          <w:iCs/>
          <w:sz w:val="22"/>
          <w:szCs w:val="22"/>
        </w:rPr>
        <w:t xml:space="preserve"> określi</w:t>
      </w:r>
      <w:r w:rsidR="00C57ACD" w:rsidRPr="003E7A67">
        <w:rPr>
          <w:rFonts w:asciiTheme="minorHAnsi" w:hAnsiTheme="minorHAnsi" w:cstheme="minorHAnsi"/>
          <w:bCs w:val="0"/>
          <w:i/>
          <w:iCs/>
          <w:sz w:val="22"/>
          <w:szCs w:val="22"/>
        </w:rPr>
        <w:t>,</w:t>
      </w:r>
      <w:r w:rsidR="001D1AF2" w:rsidRPr="003E7A67">
        <w:rPr>
          <w:rFonts w:asciiTheme="minorHAnsi" w:hAnsiTheme="minorHAnsi" w:cstheme="minorHAnsi"/>
          <w:bCs w:val="0"/>
          <w:i/>
          <w:iCs/>
          <w:sz w:val="22"/>
          <w:szCs w:val="22"/>
        </w:rPr>
        <w:t xml:space="preserve"> czy podlega przepisom ustawy na podstawie </w:t>
      </w:r>
      <w:r w:rsidR="00C57ACD" w:rsidRPr="003E7A67">
        <w:rPr>
          <w:rFonts w:asciiTheme="minorHAnsi" w:hAnsiTheme="minorHAnsi" w:cstheme="minorHAnsi"/>
          <w:bCs w:val="0"/>
          <w:i/>
          <w:iCs/>
          <w:sz w:val="22"/>
          <w:szCs w:val="22"/>
        </w:rPr>
        <w:t>przychodów wykazanych</w:t>
      </w:r>
      <w:r w:rsidR="001D1AF2" w:rsidRPr="003E7A67">
        <w:rPr>
          <w:rFonts w:asciiTheme="minorHAnsi" w:hAnsiTheme="minorHAnsi" w:cstheme="minorHAnsi"/>
          <w:bCs w:val="0"/>
          <w:i/>
          <w:iCs/>
          <w:sz w:val="22"/>
          <w:szCs w:val="22"/>
        </w:rPr>
        <w:t xml:space="preserve"> w skonsolidowanym sprawozdaniu finansowym sporządzonym </w:t>
      </w:r>
      <w:r w:rsidR="001D1AF2" w:rsidRPr="003E7A67">
        <w:rPr>
          <w:rFonts w:asciiTheme="minorHAnsi" w:hAnsiTheme="minorHAnsi" w:cstheme="minorHAnsi"/>
          <w:b/>
          <w:i/>
          <w:iCs/>
          <w:sz w:val="22"/>
          <w:szCs w:val="22"/>
        </w:rPr>
        <w:t>za pierwszy rok następujący po podziale grupy</w:t>
      </w:r>
      <w:r w:rsidR="001D1AF2" w:rsidRPr="003E7A67">
        <w:rPr>
          <w:rFonts w:asciiTheme="minorHAnsi" w:hAnsiTheme="minorHAnsi" w:cstheme="minorHAnsi"/>
          <w:bCs w:val="0"/>
          <w:i/>
          <w:iCs/>
          <w:sz w:val="22"/>
          <w:szCs w:val="22"/>
        </w:rPr>
        <w:t xml:space="preserve"> (na podstawie pierwszej alternatywy </w:t>
      </w:r>
      <w:r w:rsidRPr="003E7A67">
        <w:rPr>
          <w:rFonts w:asciiTheme="minorHAnsi" w:hAnsiTheme="minorHAnsi" w:cstheme="minorHAnsi"/>
          <w:bCs w:val="0"/>
          <w:i/>
          <w:iCs/>
          <w:sz w:val="22"/>
          <w:szCs w:val="22"/>
        </w:rPr>
        <w:t xml:space="preserve">w </w:t>
      </w:r>
      <w:r w:rsidRPr="003E7A67">
        <w:rPr>
          <w:rFonts w:asciiTheme="minorHAnsi" w:hAnsiTheme="minorHAnsi" w:cstheme="minorHAnsi"/>
          <w:b/>
          <w:i/>
          <w:iCs/>
          <w:sz w:val="22"/>
          <w:szCs w:val="22"/>
        </w:rPr>
        <w:t>ust. 7 pkt 1</w:t>
      </w:r>
      <w:r w:rsidR="001D1AF2" w:rsidRPr="003E7A67">
        <w:rPr>
          <w:rFonts w:asciiTheme="minorHAnsi" w:hAnsiTheme="minorHAnsi" w:cstheme="minorHAnsi"/>
          <w:bCs w:val="0"/>
          <w:i/>
          <w:iCs/>
          <w:sz w:val="22"/>
          <w:szCs w:val="22"/>
        </w:rPr>
        <w:t>)</w:t>
      </w:r>
      <w:r w:rsidR="00B97652" w:rsidRPr="003E7A67">
        <w:rPr>
          <w:rFonts w:asciiTheme="minorHAnsi" w:hAnsiTheme="minorHAnsi" w:cstheme="minorHAnsi"/>
          <w:bCs w:val="0"/>
          <w:i/>
          <w:iCs/>
          <w:sz w:val="22"/>
          <w:szCs w:val="22"/>
        </w:rPr>
        <w:t>, tj. za rok kalendarzowy 2024 r</w:t>
      </w:r>
      <w:r w:rsidR="008E65B6" w:rsidRPr="003E7A67">
        <w:rPr>
          <w:rFonts w:asciiTheme="minorHAnsi" w:hAnsiTheme="minorHAnsi" w:cstheme="minorHAnsi"/>
          <w:bCs w:val="0"/>
          <w:i/>
          <w:iCs/>
          <w:sz w:val="22"/>
          <w:szCs w:val="22"/>
        </w:rPr>
        <w:t xml:space="preserve">. </w:t>
      </w:r>
    </w:p>
    <w:p w14:paraId="370202CA" w14:textId="1755BA1F" w:rsidR="001D1AF2" w:rsidRPr="003E7A67" w:rsidRDefault="001D1AF2"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W takim przypadku</w:t>
      </w:r>
      <w:r w:rsidR="00B97652" w:rsidRPr="003E7A67">
        <w:rPr>
          <w:rFonts w:asciiTheme="minorHAnsi" w:hAnsiTheme="minorHAnsi" w:cstheme="minorHAnsi"/>
          <w:bCs w:val="0"/>
          <w:i/>
          <w:iCs/>
          <w:sz w:val="22"/>
          <w:szCs w:val="22"/>
        </w:rPr>
        <w:t xml:space="preserve"> jednak</w:t>
      </w:r>
      <w:r w:rsidRPr="003E7A67">
        <w:rPr>
          <w:rFonts w:asciiTheme="minorHAnsi" w:hAnsiTheme="minorHAnsi" w:cstheme="minorHAnsi"/>
          <w:bCs w:val="0"/>
          <w:i/>
          <w:iCs/>
          <w:sz w:val="22"/>
          <w:szCs w:val="22"/>
        </w:rPr>
        <w:t xml:space="preserve">, ponieważ pierwszy badany rok </w:t>
      </w:r>
      <w:r w:rsidR="00B97652" w:rsidRPr="003E7A67">
        <w:rPr>
          <w:rFonts w:asciiTheme="minorHAnsi" w:hAnsiTheme="minorHAnsi" w:cstheme="minorHAnsi"/>
          <w:bCs w:val="0"/>
          <w:i/>
          <w:iCs/>
          <w:sz w:val="22"/>
          <w:szCs w:val="22"/>
        </w:rPr>
        <w:t xml:space="preserve">podatkowy </w:t>
      </w:r>
      <w:r w:rsidRPr="003E7A67">
        <w:rPr>
          <w:rFonts w:asciiTheme="minorHAnsi" w:hAnsiTheme="minorHAnsi" w:cstheme="minorHAnsi"/>
          <w:bCs w:val="0"/>
          <w:i/>
          <w:iCs/>
          <w:sz w:val="22"/>
          <w:szCs w:val="22"/>
        </w:rPr>
        <w:t>grupy B składałby się z okresu innego niż 12 miesięcy</w:t>
      </w:r>
      <w:r w:rsidR="00B97652" w:rsidRPr="003E7A67">
        <w:rPr>
          <w:rFonts w:asciiTheme="minorHAnsi" w:hAnsiTheme="minorHAnsi" w:cstheme="minorHAnsi"/>
          <w:bCs w:val="0"/>
          <w:i/>
          <w:iCs/>
          <w:sz w:val="22"/>
          <w:szCs w:val="22"/>
        </w:rPr>
        <w:t xml:space="preserve"> (tj. 6 miesięcy)</w:t>
      </w:r>
      <w:r w:rsidRPr="003E7A67">
        <w:rPr>
          <w:rFonts w:asciiTheme="minorHAnsi" w:hAnsiTheme="minorHAnsi" w:cstheme="minorHAnsi"/>
          <w:bCs w:val="0"/>
          <w:i/>
          <w:iCs/>
          <w:sz w:val="22"/>
          <w:szCs w:val="22"/>
        </w:rPr>
        <w:t xml:space="preserve">, próg 750 mln EUR wymaga proporcjonalnego dostosowania na podstawie </w:t>
      </w:r>
      <w:r w:rsidRPr="003E7A67">
        <w:rPr>
          <w:rFonts w:asciiTheme="minorHAnsi" w:hAnsiTheme="minorHAnsi" w:cstheme="minorHAnsi"/>
          <w:b/>
          <w:i/>
          <w:iCs/>
          <w:sz w:val="22"/>
          <w:szCs w:val="22"/>
        </w:rPr>
        <w:t xml:space="preserve">art. </w:t>
      </w:r>
      <w:r w:rsidR="00B97652" w:rsidRPr="003E7A67">
        <w:rPr>
          <w:rFonts w:asciiTheme="minorHAnsi" w:hAnsiTheme="minorHAnsi" w:cstheme="minorHAnsi"/>
          <w:b/>
          <w:i/>
          <w:iCs/>
          <w:sz w:val="22"/>
          <w:szCs w:val="22"/>
        </w:rPr>
        <w:t>4</w:t>
      </w:r>
      <w:r w:rsidRPr="003E7A67">
        <w:rPr>
          <w:rFonts w:asciiTheme="minorHAnsi" w:hAnsiTheme="minorHAnsi" w:cstheme="minorHAnsi"/>
          <w:b/>
          <w:i/>
          <w:iCs/>
          <w:sz w:val="22"/>
          <w:szCs w:val="22"/>
        </w:rPr>
        <w:t xml:space="preserve"> ust. 5</w:t>
      </w:r>
      <w:r w:rsidRPr="003E7A67">
        <w:rPr>
          <w:rFonts w:asciiTheme="minorHAnsi" w:hAnsiTheme="minorHAnsi" w:cstheme="minorHAnsi"/>
          <w:bCs w:val="0"/>
          <w:i/>
          <w:iCs/>
          <w:sz w:val="22"/>
          <w:szCs w:val="22"/>
        </w:rPr>
        <w:t xml:space="preserve"> </w:t>
      </w:r>
      <w:r w:rsidR="00BD5726" w:rsidRPr="003E7A67">
        <w:rPr>
          <w:rFonts w:asciiTheme="minorHAnsi" w:hAnsiTheme="minorHAnsi" w:cstheme="minorHAnsi"/>
          <w:bCs w:val="0"/>
          <w:i/>
          <w:iCs/>
          <w:sz w:val="22"/>
          <w:szCs w:val="22"/>
        </w:rPr>
        <w:t>ustawy</w:t>
      </w:r>
      <w:r w:rsidRPr="003E7A67">
        <w:rPr>
          <w:rFonts w:asciiTheme="minorHAnsi" w:hAnsiTheme="minorHAnsi" w:cstheme="minorHAnsi"/>
          <w:bCs w:val="0"/>
          <w:i/>
          <w:iCs/>
          <w:sz w:val="22"/>
          <w:szCs w:val="22"/>
        </w:rPr>
        <w:t xml:space="preserve">. </w:t>
      </w:r>
    </w:p>
    <w:p w14:paraId="5C83852B" w14:textId="79D28DBD" w:rsidR="007348D9" w:rsidRPr="00633318" w:rsidRDefault="00B97652" w:rsidP="00083D1B">
      <w:pPr>
        <w:spacing w:before="240" w:after="120"/>
        <w:jc w:val="both"/>
        <w:rPr>
          <w:rFonts w:ascii="Times New Roman" w:hAnsi="Times New Roman" w:cs="Times New Roman"/>
          <w:bCs/>
          <w:sz w:val="24"/>
          <w:szCs w:val="24"/>
        </w:rPr>
      </w:pPr>
      <w:r w:rsidRPr="00633318">
        <w:rPr>
          <w:rFonts w:ascii="Times New Roman" w:hAnsi="Times New Roman" w:cs="Times New Roman"/>
          <w:bCs/>
          <w:sz w:val="24"/>
          <w:szCs w:val="24"/>
        </w:rPr>
        <w:t>Ust. 7</w:t>
      </w:r>
      <w:r w:rsidR="00083D1B" w:rsidRPr="00633318">
        <w:rPr>
          <w:rFonts w:ascii="Times New Roman" w:hAnsi="Times New Roman" w:cs="Times New Roman"/>
          <w:bCs/>
          <w:sz w:val="24"/>
          <w:szCs w:val="24"/>
        </w:rPr>
        <w:t xml:space="preserve"> </w:t>
      </w:r>
      <w:r w:rsidR="00083D1B" w:rsidRPr="00633318">
        <w:rPr>
          <w:rFonts w:ascii="Times New Roman" w:hAnsi="Times New Roman" w:cs="Times New Roman"/>
          <w:b/>
          <w:sz w:val="24"/>
          <w:szCs w:val="24"/>
        </w:rPr>
        <w:t>pkt 2</w:t>
      </w:r>
      <w:r w:rsidR="00F55AC0" w:rsidRPr="00633318">
        <w:rPr>
          <w:rFonts w:ascii="Times New Roman" w:hAnsi="Times New Roman" w:cs="Times New Roman"/>
          <w:bCs/>
          <w:sz w:val="24"/>
          <w:szCs w:val="24"/>
        </w:rPr>
        <w:t xml:space="preserve"> </w:t>
      </w:r>
      <w:r w:rsidR="007348D9" w:rsidRPr="00633318">
        <w:rPr>
          <w:rFonts w:ascii="Times New Roman" w:hAnsi="Times New Roman" w:cs="Times New Roman"/>
          <w:bCs/>
          <w:sz w:val="24"/>
          <w:szCs w:val="24"/>
        </w:rPr>
        <w:t xml:space="preserve">określa natomiast zasady postępowania </w:t>
      </w:r>
      <w:r w:rsidR="007348D9" w:rsidRPr="00633318">
        <w:rPr>
          <w:rFonts w:ascii="Times New Roman" w:hAnsi="Times New Roman" w:cs="Times New Roman"/>
          <w:b/>
          <w:sz w:val="24"/>
          <w:szCs w:val="24"/>
        </w:rPr>
        <w:t>w trzech</w:t>
      </w:r>
      <w:r w:rsidR="00083D1B" w:rsidRPr="00633318">
        <w:rPr>
          <w:rFonts w:ascii="Times New Roman" w:hAnsi="Times New Roman" w:cs="Times New Roman"/>
          <w:b/>
          <w:sz w:val="24"/>
          <w:szCs w:val="24"/>
        </w:rPr>
        <w:t xml:space="preserve"> kolejnych</w:t>
      </w:r>
      <w:r w:rsidR="007348D9" w:rsidRPr="00633318">
        <w:rPr>
          <w:rFonts w:ascii="Times New Roman" w:hAnsi="Times New Roman" w:cs="Times New Roman"/>
          <w:b/>
          <w:sz w:val="24"/>
          <w:szCs w:val="24"/>
        </w:rPr>
        <w:t xml:space="preserve"> latach podatkowych</w:t>
      </w:r>
      <w:r w:rsidR="007348D9" w:rsidRPr="00633318">
        <w:rPr>
          <w:rFonts w:ascii="Times New Roman" w:hAnsi="Times New Roman" w:cs="Times New Roman"/>
          <w:bCs/>
          <w:sz w:val="24"/>
          <w:szCs w:val="24"/>
        </w:rPr>
        <w:t xml:space="preserve"> następujących bezpośrednio po roku, o którym mowa w </w:t>
      </w:r>
      <w:r w:rsidR="005C4AC0" w:rsidRPr="00633318">
        <w:rPr>
          <w:rFonts w:ascii="Times New Roman" w:hAnsi="Times New Roman" w:cs="Times New Roman"/>
          <w:bCs/>
          <w:sz w:val="24"/>
          <w:szCs w:val="24"/>
        </w:rPr>
        <w:t>pkt 1</w:t>
      </w:r>
      <w:r w:rsidR="007348D9" w:rsidRPr="00633318">
        <w:rPr>
          <w:rFonts w:ascii="Times New Roman" w:hAnsi="Times New Roman" w:cs="Times New Roman"/>
          <w:bCs/>
          <w:sz w:val="24"/>
          <w:szCs w:val="24"/>
        </w:rPr>
        <w:t xml:space="preserve"> (tj. </w:t>
      </w:r>
      <w:r w:rsidR="005C4AC0" w:rsidRPr="00633318">
        <w:rPr>
          <w:rFonts w:ascii="Times New Roman" w:hAnsi="Times New Roman" w:cs="Times New Roman"/>
          <w:bCs/>
          <w:sz w:val="24"/>
          <w:szCs w:val="24"/>
        </w:rPr>
        <w:t xml:space="preserve">zasadniczo </w:t>
      </w:r>
      <w:r w:rsidR="007348D9" w:rsidRPr="00633318">
        <w:rPr>
          <w:rFonts w:ascii="Times New Roman" w:hAnsi="Times New Roman" w:cs="Times New Roman"/>
          <w:bCs/>
          <w:sz w:val="24"/>
          <w:szCs w:val="24"/>
        </w:rPr>
        <w:t xml:space="preserve">po roku podatkowym kończącym się po podziale). W tym okresie przepisy ustawy będą miały zastosowanie do </w:t>
      </w:r>
      <w:r w:rsidR="00083D1B" w:rsidRPr="00633318">
        <w:rPr>
          <w:rFonts w:ascii="Times New Roman" w:hAnsi="Times New Roman" w:cs="Times New Roman"/>
          <w:bCs/>
          <w:sz w:val="24"/>
          <w:szCs w:val="24"/>
        </w:rPr>
        <w:t xml:space="preserve">podzielonej </w:t>
      </w:r>
      <w:r w:rsidR="007348D9" w:rsidRPr="00633318">
        <w:rPr>
          <w:rFonts w:ascii="Times New Roman" w:hAnsi="Times New Roman" w:cs="Times New Roman"/>
          <w:bCs/>
          <w:sz w:val="24"/>
          <w:szCs w:val="24"/>
        </w:rPr>
        <w:t xml:space="preserve">grupy </w:t>
      </w:r>
      <w:r w:rsidR="00F73EC1" w:rsidRPr="00633318">
        <w:rPr>
          <w:rFonts w:ascii="Times New Roman" w:hAnsi="Times New Roman" w:cs="Times New Roman"/>
          <w:bCs/>
          <w:sz w:val="24"/>
          <w:szCs w:val="24"/>
        </w:rPr>
        <w:t>za</w:t>
      </w:r>
      <w:r w:rsidR="007348D9" w:rsidRPr="00633318">
        <w:rPr>
          <w:rFonts w:ascii="Times New Roman" w:hAnsi="Times New Roman" w:cs="Times New Roman"/>
          <w:bCs/>
          <w:sz w:val="24"/>
          <w:szCs w:val="24"/>
        </w:rPr>
        <w:t xml:space="preserve"> rok podatkowy, je</w:t>
      </w:r>
      <w:r w:rsidR="00083D1B" w:rsidRPr="00633318">
        <w:rPr>
          <w:rFonts w:ascii="Times New Roman" w:hAnsi="Times New Roman" w:cs="Times New Roman"/>
          <w:bCs/>
          <w:sz w:val="24"/>
          <w:szCs w:val="24"/>
        </w:rPr>
        <w:t>że</w:t>
      </w:r>
      <w:r w:rsidR="007348D9" w:rsidRPr="00633318">
        <w:rPr>
          <w:rFonts w:ascii="Times New Roman" w:hAnsi="Times New Roman" w:cs="Times New Roman"/>
          <w:bCs/>
          <w:sz w:val="24"/>
          <w:szCs w:val="24"/>
        </w:rPr>
        <w:t xml:space="preserve">li osiągnie próg 750 mln EUR rocznego </w:t>
      </w:r>
      <w:r w:rsidRPr="00633318">
        <w:rPr>
          <w:rFonts w:ascii="Times New Roman" w:hAnsi="Times New Roman" w:cs="Times New Roman"/>
          <w:bCs/>
          <w:sz w:val="24"/>
          <w:szCs w:val="24"/>
        </w:rPr>
        <w:t xml:space="preserve">skonsolidowanego </w:t>
      </w:r>
      <w:r w:rsidR="007348D9" w:rsidRPr="00633318">
        <w:rPr>
          <w:rFonts w:ascii="Times New Roman" w:hAnsi="Times New Roman" w:cs="Times New Roman"/>
          <w:bCs/>
          <w:sz w:val="24"/>
          <w:szCs w:val="24"/>
        </w:rPr>
        <w:t xml:space="preserve">przychodu w dwóch z czterech lat podatkowych </w:t>
      </w:r>
      <w:r w:rsidR="00083D1B" w:rsidRPr="00633318">
        <w:rPr>
          <w:rFonts w:ascii="Times New Roman" w:hAnsi="Times New Roman" w:cs="Times New Roman"/>
          <w:sz w:val="24"/>
          <w:szCs w:val="24"/>
        </w:rPr>
        <w:t>liczonych począwszy od roku podatkowego, o którym mowa w pkt 1</w:t>
      </w:r>
      <w:r w:rsidR="007348D9" w:rsidRPr="00633318">
        <w:rPr>
          <w:rFonts w:ascii="Times New Roman" w:hAnsi="Times New Roman" w:cs="Times New Roman"/>
          <w:bCs/>
          <w:sz w:val="24"/>
          <w:szCs w:val="24"/>
        </w:rPr>
        <w:t>.</w:t>
      </w:r>
      <w:r w:rsidR="005C4AC0" w:rsidRPr="00633318">
        <w:rPr>
          <w:rFonts w:ascii="Times New Roman" w:hAnsi="Times New Roman" w:cs="Times New Roman"/>
          <w:bCs/>
          <w:sz w:val="24"/>
          <w:szCs w:val="24"/>
        </w:rPr>
        <w:t xml:space="preserve"> Tym samym, </w:t>
      </w:r>
      <w:r w:rsidR="008535F5" w:rsidRPr="00633318">
        <w:rPr>
          <w:rFonts w:ascii="Times New Roman" w:hAnsi="Times New Roman" w:cs="Times New Roman"/>
          <w:bCs/>
          <w:sz w:val="24"/>
          <w:szCs w:val="24"/>
        </w:rPr>
        <w:t>d</w:t>
      </w:r>
      <w:r w:rsidR="005C4AC0" w:rsidRPr="00633318">
        <w:rPr>
          <w:rFonts w:ascii="Times New Roman" w:hAnsi="Times New Roman" w:cs="Times New Roman"/>
          <w:bCs/>
          <w:sz w:val="24"/>
          <w:szCs w:val="24"/>
        </w:rPr>
        <w:t>o testu dwóch z czterech lat wlicza się „pierwszy rok” (tj. zasadniczo rok podatkowy kończący się po podziale).</w:t>
      </w:r>
    </w:p>
    <w:p w14:paraId="4ACE9C45" w14:textId="77777777" w:rsidR="00A16FDB" w:rsidRPr="00633318" w:rsidRDefault="00A16FDB" w:rsidP="00A16FDB">
      <w:pPr>
        <w:pStyle w:val="Nagwek3"/>
        <w:spacing w:before="240"/>
        <w:rPr>
          <w:rFonts w:ascii="Times New Roman" w:hAnsi="Times New Roman" w:cs="Times New Roman"/>
          <w:sz w:val="24"/>
        </w:rPr>
      </w:pPr>
      <w:bookmarkStart w:id="56" w:name="_Hlk150190960"/>
      <w:r w:rsidRPr="00633318">
        <w:rPr>
          <w:rFonts w:ascii="Times New Roman" w:hAnsi="Times New Roman" w:cs="Times New Roman"/>
          <w:sz w:val="24"/>
        </w:rPr>
        <w:t>Rozdział 1 – Zbycie lub nabycie udziałów w jednostce</w:t>
      </w:r>
    </w:p>
    <w:p w14:paraId="734DE4D8" w14:textId="4F879F3C"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Założeniem innych działów ustawy jest, że przez cały rok obrotowy grupę międzynarodową lub krajową tworzą te same jednostki składowe. Jednakże, jeżeli w trakcie roku podatkowego dochodzi do nabycia lub zbycia udziałów własnościowych w jednostce składowej, dla zapewnienia rozliczenia takich działań i ich kwalifikacji zbieżnych z </w:t>
      </w:r>
      <w:r w:rsidR="0053129C" w:rsidRPr="00633318">
        <w:rPr>
          <w:rFonts w:ascii="Times New Roman" w:hAnsi="Times New Roman" w:cs="Times New Roman"/>
          <w:bCs/>
          <w:sz w:val="24"/>
          <w:szCs w:val="24"/>
        </w:rPr>
        <w:t>Z</w:t>
      </w:r>
      <w:r w:rsidRPr="00633318">
        <w:rPr>
          <w:rFonts w:ascii="Times New Roman" w:hAnsi="Times New Roman" w:cs="Times New Roman"/>
          <w:bCs/>
          <w:sz w:val="24"/>
          <w:szCs w:val="24"/>
        </w:rPr>
        <w:t xml:space="preserve">asadami GloBE, konieczne jest zastosowanie przepisów szczególnych rozdziału 3 działu VI. Przepisy te mają zastosowanie za rok podatkowy, w którym następuje zbycie i nabycie udziałów oraz za kolejne lata (w odniesieniu np. do zasad ujmowania rezerw z tytułu podatku odroczonego przez jednostkę zbywaną i grupę nabywającą). </w:t>
      </w:r>
    </w:p>
    <w:p w14:paraId="0E51343F"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odniesieniu do jednostki składowej, której udziały są przedmiotem transakcji, określenia wymagają w szczególności zasady podziału pomiędzy grupy przychodów i kosztów tej jednostki, w tym jej podatków kwalifikowanych.</w:t>
      </w:r>
    </w:p>
    <w:p w14:paraId="5C4E1F70" w14:textId="77777777" w:rsidR="00A16FDB" w:rsidRPr="00633318" w:rsidRDefault="00A16FDB" w:rsidP="00A16FDB">
      <w:pPr>
        <w:keepNext/>
        <w:keepLines/>
        <w:spacing w:before="40" w:after="120"/>
        <w:outlineLvl w:val="4"/>
        <w:rPr>
          <w:rFonts w:ascii="Times New Roman" w:eastAsiaTheme="majorEastAsia" w:hAnsi="Times New Roman" w:cs="Times New Roman"/>
          <w:i/>
          <w:color w:val="2E74B5" w:themeColor="accent1" w:themeShade="BF"/>
          <w:sz w:val="24"/>
          <w:szCs w:val="24"/>
        </w:rPr>
      </w:pPr>
      <w:bookmarkStart w:id="57" w:name="_Hlk150191101"/>
      <w:bookmarkEnd w:id="56"/>
      <w:r w:rsidRPr="00633318">
        <w:rPr>
          <w:rFonts w:ascii="Times New Roman" w:eastAsiaTheme="majorEastAsia" w:hAnsi="Times New Roman" w:cs="Times New Roman"/>
          <w:i/>
          <w:color w:val="2E74B5" w:themeColor="accent1" w:themeShade="BF"/>
          <w:sz w:val="24"/>
          <w:szCs w:val="24"/>
        </w:rPr>
        <w:t>Art. 103 [Status jednostki składowej, w której zbyto udziały]</w:t>
      </w:r>
    </w:p>
    <w:p w14:paraId="3C1901A0" w14:textId="1E5995BB" w:rsidR="00A16FDB" w:rsidRPr="00633318" w:rsidRDefault="00A16FDB" w:rsidP="00A16FDB">
      <w:pPr>
        <w:spacing w:after="120"/>
        <w:jc w:val="both"/>
        <w:rPr>
          <w:rFonts w:ascii="Times New Roman" w:hAnsi="Times New Roman" w:cs="Times New Roman"/>
          <w:bCs/>
          <w:sz w:val="24"/>
          <w:szCs w:val="24"/>
        </w:rPr>
      </w:pPr>
      <w:bookmarkStart w:id="58" w:name="_Hlk163658543"/>
      <w:bookmarkEnd w:id="57"/>
      <w:r w:rsidRPr="00633318">
        <w:rPr>
          <w:rFonts w:ascii="Times New Roman" w:hAnsi="Times New Roman" w:cs="Times New Roman"/>
          <w:b/>
          <w:sz w:val="24"/>
          <w:szCs w:val="24"/>
        </w:rPr>
        <w:t>Art. 103</w:t>
      </w:r>
      <w:r w:rsidRPr="00633318">
        <w:rPr>
          <w:rFonts w:ascii="Times New Roman" w:hAnsi="Times New Roman" w:cs="Times New Roman"/>
          <w:bCs/>
          <w:sz w:val="24"/>
          <w:szCs w:val="24"/>
        </w:rPr>
        <w:t xml:space="preserve"> stanowi implementację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1 Dyrektywy. W świetle art. 103, </w:t>
      </w:r>
      <w:r w:rsidR="008064D7" w:rsidRPr="00633318">
        <w:rPr>
          <w:rFonts w:ascii="Times New Roman" w:hAnsi="Times New Roman" w:cs="Times New Roman"/>
          <w:bCs/>
          <w:sz w:val="24"/>
          <w:szCs w:val="24"/>
        </w:rPr>
        <w:t>w przypadku</w:t>
      </w:r>
      <w:r w:rsidRPr="00633318">
        <w:rPr>
          <w:rFonts w:ascii="Times New Roman" w:hAnsi="Times New Roman" w:cs="Times New Roman"/>
          <w:bCs/>
          <w:sz w:val="24"/>
          <w:szCs w:val="24"/>
        </w:rPr>
        <w:t xml:space="preserve"> zbycia lub nabycia udziałów własnościowych w danej jednostce składowej</w:t>
      </w:r>
      <w:r w:rsidR="008064D7" w:rsidRPr="00633318">
        <w:rPr>
          <w:rFonts w:ascii="Times New Roman" w:hAnsi="Times New Roman" w:cs="Times New Roman"/>
          <w:bCs/>
          <w:sz w:val="24"/>
          <w:szCs w:val="24"/>
        </w:rPr>
        <w:t xml:space="preserve"> w danym roku podatkowym</w:t>
      </w:r>
      <w:r w:rsidRPr="00633318">
        <w:rPr>
          <w:rFonts w:ascii="Times New Roman" w:hAnsi="Times New Roman" w:cs="Times New Roman"/>
          <w:bCs/>
          <w:sz w:val="24"/>
          <w:szCs w:val="24"/>
        </w:rPr>
        <w:t xml:space="preserve">,  jednostkę tę (lub jednostkę od niej zależną) uznaje się za jednostkę składową grupy nabywającej lub grupy zbywającej, jeżeli część aktywów, zobowiązań, przychodów, kosztów i przepływów pieniężnych tej jednostki podlega konsolidacji pełnej w sporządzonym za ten rok skonsolidowanym sprawozdaniu grupy.  </w:t>
      </w:r>
    </w:p>
    <w:p w14:paraId="26602D38"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Regulacja ta odnosi się do każdej jednostki składowej, która w wyniku zbycia i nabycia udziałów przestała być jednostką składową jednej grupy i zaczęła być jednostką składową innej grupy. Nie jest jednocześnie konieczne, aby było to zbycie i nabycie bezpośrednich udziałów własnościowych w tej jednostce składowej. Regulacje te będą miały zastosowanie do danej jednostki także wtedy, kiedy transakcja taka dotyczyła udziałów np. w „spółce matce” czy „spółce babce” takiej jednostki. Warunkiem jest, by w wyniku tej transakcji dana jednostka podlegała za rok transakcji konsolidacji pełnej także w innej grupie niż dotychczas. Nie jest więc przy tym konieczne, aby podlegała konsolidacji pełnej za cały rok – wystarczające jest, że grupa uwzględnia jakąkolwiek część aktywów, zobowiązań, dochodów, kosztów i przepływów pieniężnych tej jednostki w swoim sprawozdaniu finansowym, a jednostka ta jest traktowana jako jednostka składowa grupy za rok transakcji.</w:t>
      </w:r>
    </w:p>
    <w:bookmarkEnd w:id="58"/>
    <w:p w14:paraId="52B38BDE"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praktyce, jeżeli grupa zbywa udział konsolidujący w jednostce składowej w trakcie roku, prawdopodobnie część jej przychodów i kosztów zostanie uwzględniona w skonsolidowanym sprawozdaniu finansowym tej grupy uwzględniając okres, w którym jednostka ta była jednostką składową grupy. Jednocześnie, grupa nabywająca udziały najprawdopodobniej uwzględni w swoim skonsolidowanym sprawozdaniu finansowym wszystkie aktywa i zobowiązania tej jednostki składowej, a przychody, koszty i przepływy pieniężne uwzględni również z uwzględnieniem okresu, w którym jednostka byłą jednostką składową grupy. Jednak, dla zapewnienia spójności systemu, w kolejnych artykułach przewidziano m.in. zasady rozdziału wymienionych elementów pomiędzy grupy za rok transakcji.</w:t>
      </w:r>
    </w:p>
    <w:p w14:paraId="4D09AB46" w14:textId="77777777" w:rsidR="00A16FDB" w:rsidRPr="00633318" w:rsidRDefault="00A16FDB" w:rsidP="00A16FDB">
      <w:pPr>
        <w:pStyle w:val="Nagwek5"/>
        <w:spacing w:before="240"/>
        <w:rPr>
          <w:rFonts w:ascii="Times New Roman" w:hAnsi="Times New Roman" w:cs="Times New Roman"/>
          <w:bCs/>
          <w:sz w:val="24"/>
          <w:szCs w:val="24"/>
        </w:rPr>
      </w:pPr>
      <w:r w:rsidRPr="00633318">
        <w:rPr>
          <w:rFonts w:ascii="Times New Roman" w:hAnsi="Times New Roman" w:cs="Times New Roman"/>
          <w:bCs/>
          <w:sz w:val="24"/>
          <w:szCs w:val="24"/>
        </w:rPr>
        <w:t>Art. 104 [Zbycie udziałów – skutki na gruncie Zasad GloBE]</w:t>
      </w:r>
    </w:p>
    <w:p w14:paraId="06FC7E4A"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eastAsiaTheme="majorEastAsia" w:hAnsi="Times New Roman" w:cs="Times New Roman"/>
          <w:i/>
          <w:sz w:val="24"/>
          <w:szCs w:val="24"/>
        </w:rPr>
        <w:t xml:space="preserve">Art. 104 ust. 1 </w:t>
      </w:r>
    </w:p>
    <w:p w14:paraId="1F8598E7" w14:textId="197CB6FD"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Art. 104 ust. 1 pkt 1</w:t>
      </w:r>
      <w:r w:rsidRPr="00633318">
        <w:rPr>
          <w:rFonts w:ascii="Times New Roman" w:hAnsi="Times New Roman" w:cs="Times New Roman"/>
          <w:bCs/>
          <w:sz w:val="24"/>
          <w:szCs w:val="24"/>
        </w:rPr>
        <w:t xml:space="preserve"> implementuje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2 Dyrektywy. Zgodnie z tym przepisem za rok podatkowy, w którym nastąpiło nabycie lub zbycie jednostki składowej grupa zbywająca i nabywająca (tj. właściwi podatnicy należący do tych grup) uwzględniają wyłącznie księgowy dochód (stratę) netto oraz skorygowane podatki kwalifikowane tej jednostki, które są ujęte w skonsolidowanym sprawozdaniu takiej grupy.</w:t>
      </w:r>
    </w:p>
    <w:p w14:paraId="63479C59"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Ponadto, wyłączenie z tytułu substratu majątkowo-osobowego oblicza się dla jednostki składowej poprzez zsumowanie właściwego odsetka kwalifikowalnych kosztów wynagrodzeń i wartości bilansowej kwalifikowanych rzeczowych aktywów trwałych. Odpowiednio, w </w:t>
      </w:r>
      <w:r w:rsidRPr="00633318">
        <w:rPr>
          <w:rFonts w:ascii="Times New Roman" w:hAnsi="Times New Roman" w:cs="Times New Roman"/>
          <w:b/>
          <w:sz w:val="24"/>
          <w:szCs w:val="24"/>
        </w:rPr>
        <w:t>art. 104 ust. 1 pkt 2</w:t>
      </w:r>
      <w:r w:rsidRPr="00633318">
        <w:rPr>
          <w:rFonts w:ascii="Times New Roman" w:hAnsi="Times New Roman" w:cs="Times New Roman"/>
          <w:bCs/>
          <w:sz w:val="24"/>
          <w:szCs w:val="24"/>
        </w:rPr>
        <w:t xml:space="preserve"> określono zasady uwzględniania tych wartości przez podatników z grupy zbywającej i grupy nabywającej. Bez tych zasad podatnicy z obu tych grup mogliby uwzględniać wartości z okresu, w którym jednostka nie była jednostką składową danej grupy, tym samym w sposób sztuczny powielając efekt podatkowy jednokrotnie poniesionych wydatków i kosztów. </w:t>
      </w:r>
    </w:p>
    <w:p w14:paraId="4D45F8A5" w14:textId="504C0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Litera a) implementuje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4 Dyrektywy i reguluje zasady dotyczące kwalifikowanych kosztów wynagrodzeń. Mianowicie, przy określaniu substratu majątkowo-osobowego uwzględnia się jedynie koszty wykazane w skonsolidowanym sprawozdaniu finansowym grupy. W konsekwencji, podatnik danej grupy bierze pod uwagę jedynie te kwalifikowane koszty wynagrodzeń, które zostały poniesione w trakcie okresu, w którym jednostka była jednostką składową tej grupy, i których ekonomiczny ciężar ponosi ta grupa. </w:t>
      </w:r>
    </w:p>
    <w:p w14:paraId="1060A484" w14:textId="04706363"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Analogicznie, zgodnie z literą b), która implementuje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5 Dyrektywy, wartość bilansową kwalifikowanych rzeczowych aktywów trwałych dostosowuje się proporcjonalnie do okresu, w którym jednostka byłą jednostką składową grupy i dopiero taką dostosowaną wartość uwzględnia się przy określaniu substratu majątkowo-osobowego. W świetle Komentarza, wartość bilansowa kwalifikowalnych aktywów trwałych jest ustalana w oparciu o kwotę ujętą na potrzeby sporządzenia skonsolidowanego sprawozdania grupy, przy uwzględnieniu wszelkich korekt konsolidacyjnych ceny zakupu lub kosztów wytworzenia, które można przypisać przejęciu.</w:t>
      </w:r>
      <w:r w:rsidRPr="00633318">
        <w:rPr>
          <w:rStyle w:val="Odwoanieprzypisudolnego"/>
          <w:rFonts w:ascii="Times New Roman" w:hAnsi="Times New Roman" w:cs="Times New Roman"/>
          <w:bCs/>
          <w:sz w:val="24"/>
          <w:szCs w:val="24"/>
        </w:rPr>
        <w:footnoteReference w:id="151"/>
      </w:r>
      <w:r w:rsidRPr="00633318">
        <w:rPr>
          <w:rFonts w:ascii="Times New Roman" w:hAnsi="Times New Roman" w:cs="Times New Roman"/>
          <w:bCs/>
          <w:sz w:val="24"/>
          <w:szCs w:val="24"/>
        </w:rPr>
        <w:t xml:space="preserve"> </w:t>
      </w:r>
    </w:p>
    <w:p w14:paraId="669415DF"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eastAsiaTheme="majorEastAsia" w:hAnsi="Times New Roman" w:cs="Times New Roman"/>
          <w:i/>
          <w:sz w:val="24"/>
          <w:szCs w:val="24"/>
        </w:rPr>
        <w:t xml:space="preserve">Art. 104 ust. 2 </w:t>
      </w:r>
    </w:p>
    <w:p w14:paraId="5A17F582"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Art. 104 ust. 2 odwołuje się do mechanizmu ponownego ujęcia rezerw w ramach całkowitej korekty podatków odroczonych, tj. do art. 89. W szczególności, podatnik należący do grupy zbywającej ujmuje na potrzeby korekty, o której mowa w art. 89, jako rozwiązane rezerwy z tytułu podatku odroczonego jednostki zbywanej, które zostały uprzednio uwzględnione w jej całkowitej kwocie korekty z tytułu podatku odroczonego. Natomiast podatnik należący do grupy nabywającej ujmuje ponownie te rezerwy jako powstające w tym roku podatkowym, przy czym wszelkie późniejsze obniżenia podatków kwalifikowanych na podstawie art. 89 ust. 2 ustawy uwzględnia się za rok, w którym zostaje ponownie ujęta kwota tej rezerwy.</w:t>
      </w:r>
    </w:p>
    <w:p w14:paraId="643272D6" w14:textId="3D2A1AA8"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Przepis ten implementuje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7 Dyrektywy. Założeniem jest zwolnienie grupy zbywającej z konieczności ponownego ujęcia kwot rezerwy z tytułu podatku odroczonego, które nie ulegają odwróceniu (w drodze płatności lub w inny sposób) w ciągu pięcioletniego okresu wymaganego przez art. 89. Z tego względu wszelkie rezerwy z tytułu odroczonego podatku dochodowego jednostki składowej są traktowane jako odwrócone z momentem, z którym jednostka przestaje być jednostką składową.</w:t>
      </w:r>
    </w:p>
    <w:p w14:paraId="7E6C6A2F"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Odpowiednio, pięcioletni okres, o którym mowa w art. 89, rozpoczyna się (po raz pierwszy lub ponownie) kiedy jednostka staje się jednostką składową nowej grupy. Rozpoczęcie tego okresu w nowej grupie ma na celu ograniczenie obciążeń administracyjnych, które powstałyby w przypadku, gdyby rezerwy z tytułu odroczonego podatku dochodowego podlegały odwróceniu według terminów wynikających z art. 89 dla grupy zbywającej. Zatem jednostka składowa, która opuszcza jedną i przystępuje do drugiej grupy, nie będzie zobowiązana ze względu na tę zmianę do ponownego ujmowania rezerwy z tytułu odroczonego podatku dochodowego na podstawie art. 89 i rozpocznie (w momencie przyłączenia się do drugiej grupy) nowy pięcioletni okres zgodnie z tym artykułem dla wszystkich swoich rezerw z tytułu podatku odroczonego. </w:t>
      </w:r>
    </w:p>
    <w:p w14:paraId="2032833D"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Przepis ten nie ma zastosowania do kategorii wskazanych w art. 89 ust. 3 (np. koszty badań i rozwoju), ponieważ są one w ogóle wyłączone z mechanizmu ponownego ujęcia rezerw.</w:t>
      </w:r>
    </w:p>
    <w:p w14:paraId="4CE17FDE"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Ponadto, w świetle Komentarza należy zaznaczyć, że aktywa i rezerwy z tytułu odroczonego podatku dochodowego powstające w wyniku nabycia jednostki składowej zasadniczo nie są uwzględniane na potrzeby Systemu GloBE, ponieważ korekty wartości bilansowej aktywów i zobowiązań związane z nabyciem nie są uwzględniane dla określenia kwalifikowanego dochodu (straty), z zastrzeżeniem określonych w ustawie wyjątków. Aktywa i rezerwy z tytułu odroczonego podatku dochodowego uwzględniane na potrzeby Systemu GloBE odnoszą się co do zasady do aktywów i rezerw, które istniały przed dniem dołączenia przez tą jednostkę składową do grupy, czyli przed przejęciem tego aktywa lub rezerwy. [Komentarz, 6.2.1; 59].</w:t>
      </w:r>
      <w:r w:rsidRPr="00633318">
        <w:rPr>
          <w:rStyle w:val="Odwoanieprzypisudolnego"/>
          <w:rFonts w:ascii="Times New Roman" w:hAnsi="Times New Roman" w:cs="Times New Roman"/>
          <w:bCs/>
          <w:sz w:val="24"/>
          <w:szCs w:val="24"/>
        </w:rPr>
        <w:footnoteReference w:id="152"/>
      </w:r>
    </w:p>
    <w:p w14:paraId="01F35725" w14:textId="77777777" w:rsidR="00A16FDB" w:rsidRPr="00633318" w:rsidRDefault="00A16FDB" w:rsidP="00A16FDB">
      <w:pPr>
        <w:spacing w:after="120"/>
        <w:jc w:val="both"/>
        <w:rPr>
          <w:rFonts w:ascii="Times New Roman" w:hAnsi="Times New Roman" w:cs="Times New Roman"/>
          <w:bCs/>
          <w:i/>
          <w:iCs/>
          <w:sz w:val="24"/>
          <w:szCs w:val="24"/>
        </w:rPr>
      </w:pPr>
      <w:r w:rsidRPr="00633318">
        <w:rPr>
          <w:rFonts w:ascii="Times New Roman" w:hAnsi="Times New Roman" w:cs="Times New Roman"/>
          <w:bCs/>
          <w:i/>
          <w:iCs/>
          <w:sz w:val="24"/>
          <w:szCs w:val="24"/>
        </w:rPr>
        <w:t>Art. 104 ust. 3 pkt 1</w:t>
      </w:r>
    </w:p>
    <w:p w14:paraId="6F62E4B4"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art. 104 ust. 3 podatnik należący do grupy nabywającej ustala kwalifikowany dochód (stratę) oraz skorygowane podatki kwalifikowane tej jednostki za rok podatkowy, w którym nastąpiło nabycie lub zbycie udziałów, oraz za kolejne lata na podstawie </w:t>
      </w:r>
      <w:r w:rsidRPr="00633318">
        <w:rPr>
          <w:rFonts w:ascii="Times New Roman" w:hAnsi="Times New Roman" w:cs="Times New Roman"/>
          <w:sz w:val="24"/>
          <w:szCs w:val="24"/>
        </w:rPr>
        <w:t>wartości aktywów i zobowiązań ujętej w skonsolidowanym sprawozdaniu finansowym grupy zbywającej bezpośrednio przed dniem zbycia jednostki</w:t>
      </w:r>
      <w:r w:rsidRPr="00633318">
        <w:rPr>
          <w:rFonts w:ascii="Times New Roman" w:hAnsi="Times New Roman" w:cs="Times New Roman"/>
          <w:bCs/>
          <w:sz w:val="24"/>
          <w:szCs w:val="24"/>
        </w:rPr>
        <w:t>.</w:t>
      </w:r>
    </w:p>
    <w:p w14:paraId="3FECCB6C" w14:textId="79786A54"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Przepis ten implementuje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3 Dyrektywy. W świetle tego przepisu, grupa nabywająca traktuje aktywa nabywanej jednostki dla celów Systemu GloBE jako mające taką samą wartość bilansową, jaką miały przed transakcją (tj. według kosztu historycznego). Inaczej mówiąc, przejęcie udziałów konsolidujących w jednostce nie powoduje żadnej zmiany wartości bilansowej aktywów i zobowiązań jednostki przejmowanej dla celów Systemu GloBE. Ponadto wszelkie korekty wartości bilansowej wartości niematerialnych i prawnych powstałe w wyniku przejęcia, takie jak wartość firmy, nie są brane pod uwagę przy obliczaniu kwalifikowanego dochodu (straty). </w:t>
      </w:r>
    </w:p>
    <w:p w14:paraId="7A44CCB7"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Zasada ta jest zgodna z zakazem uwzględniania korekt konsolidacyjnych związanych z nabyciem udziałów w jednostce dla celów określenia kwalifikowanego dochodu (straty) i ma zastosowanie niezależnie od tego, czy udział konsolidacyjny został nabyty przed lub po dacie wejścia w życie ustawy. Kiedy standard rachunkowości finansowej stosowany przez jednostkę dominującą najwyższego szczebla przy sporządzaniu skonsolidowanego sprawozdania finansowego pozwala na rozpoznanie takich korekt w księgach nabytej jednostki, jednostka ta może uwzględnić tą wartość bilansową, jeżeli nabycie nastąpiło przed 1 grudnia 2021 r., a grupa nie posiada wystarczających informacji, aby określić kwalifikowany dochód (stratę) z rozsądną dokładnością w oparciu o wartość nabytych aktywów i zobowiązań sprzed korekty. W takim przypadku jednostka ta musi jednak uwzględnić także wszelkie rezerwy i aktywa z tytułu podatku odroczonego powstałe w związku z nabyciem dla celów określenia kwalifikowanego dochodu (straty) i podatków kwalifikowanych.[Komentarz, 6.2.1; 51]</w:t>
      </w:r>
    </w:p>
    <w:p w14:paraId="4710A0C3" w14:textId="77777777" w:rsidR="00887625" w:rsidRDefault="00887625" w:rsidP="00A16FDB">
      <w:pPr>
        <w:spacing w:after="120"/>
        <w:jc w:val="both"/>
        <w:rPr>
          <w:rFonts w:ascii="Times New Roman" w:hAnsi="Times New Roman" w:cs="Times New Roman"/>
          <w:bCs/>
          <w:i/>
          <w:iCs/>
          <w:sz w:val="24"/>
          <w:szCs w:val="24"/>
        </w:rPr>
      </w:pPr>
    </w:p>
    <w:p w14:paraId="3C6E8A8E" w14:textId="50EA4973" w:rsidR="00A16FDB" w:rsidRPr="00633318" w:rsidRDefault="00A16FDB" w:rsidP="00A16FDB">
      <w:pPr>
        <w:spacing w:after="120"/>
        <w:jc w:val="both"/>
        <w:rPr>
          <w:rFonts w:ascii="Times New Roman" w:hAnsi="Times New Roman" w:cs="Times New Roman"/>
          <w:i/>
          <w:iCs/>
          <w:sz w:val="24"/>
          <w:szCs w:val="24"/>
        </w:rPr>
      </w:pPr>
      <w:r w:rsidRPr="00633318">
        <w:rPr>
          <w:rFonts w:ascii="Times New Roman" w:hAnsi="Times New Roman" w:cs="Times New Roman"/>
          <w:bCs/>
          <w:i/>
          <w:iCs/>
          <w:sz w:val="24"/>
          <w:szCs w:val="24"/>
        </w:rPr>
        <w:t>Art. 104 ust. 3 pkt 2</w:t>
      </w:r>
      <w:r w:rsidRPr="00633318">
        <w:rPr>
          <w:rFonts w:ascii="Times New Roman" w:hAnsi="Times New Roman" w:cs="Times New Roman"/>
          <w:i/>
          <w:iCs/>
          <w:sz w:val="24"/>
          <w:szCs w:val="24"/>
        </w:rPr>
        <w:t xml:space="preserve"> </w:t>
      </w:r>
    </w:p>
    <w:p w14:paraId="77C65003" w14:textId="152A3193" w:rsidR="00A16FDB" w:rsidRPr="00633318" w:rsidRDefault="00A16FDB" w:rsidP="00A16FDB">
      <w:pPr>
        <w:spacing w:after="120"/>
        <w:jc w:val="both"/>
        <w:rPr>
          <w:rFonts w:ascii="Times New Roman" w:hAnsi="Times New Roman" w:cs="Times New Roman"/>
          <w:sz w:val="24"/>
          <w:szCs w:val="24"/>
        </w:rPr>
      </w:pPr>
      <w:r w:rsidRPr="00633318">
        <w:rPr>
          <w:rFonts w:ascii="Times New Roman" w:hAnsi="Times New Roman" w:cs="Times New Roman"/>
          <w:bCs/>
          <w:sz w:val="24"/>
          <w:szCs w:val="24"/>
        </w:rPr>
        <w:t xml:space="preserve">Art. 104 ust. 3 pkt 2 </w:t>
      </w:r>
      <w:r w:rsidRPr="00633318">
        <w:rPr>
          <w:rFonts w:ascii="Times New Roman" w:hAnsi="Times New Roman" w:cs="Times New Roman"/>
          <w:sz w:val="24"/>
          <w:szCs w:val="24"/>
        </w:rPr>
        <w:t>stanowi implementację art. 34</w:t>
      </w:r>
      <w:r w:rsidR="008B225D" w:rsidRPr="00633318">
        <w:rPr>
          <w:rFonts w:ascii="Times New Roman" w:hAnsi="Times New Roman" w:cs="Times New Roman"/>
          <w:sz w:val="24"/>
          <w:szCs w:val="24"/>
        </w:rPr>
        <w:t>.</w:t>
      </w:r>
      <w:r w:rsidRPr="00633318">
        <w:rPr>
          <w:rFonts w:ascii="Times New Roman" w:hAnsi="Times New Roman" w:cs="Times New Roman"/>
          <w:sz w:val="24"/>
          <w:szCs w:val="24"/>
        </w:rPr>
        <w:t xml:space="preserve">6 Dyrektywy. </w:t>
      </w:r>
    </w:p>
    <w:p w14:paraId="0DF8688C"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Zgodnie z tym przepisem podatnik należący do grupy nabywającej uwzględnia aktywa z tytułu podatku odroczonego i rezerwy z tytułu podatku odroczonego jednostki nabywanej, z wyjątkiem kwalifikowanych aktywów, o których mowa w art. 92, w taki sposób i w takim zakresie, jakby grupa nabywająca kontrolowała jednostkę zbywaną w momencie powstania takich aktywów i rezerw.</w:t>
      </w:r>
    </w:p>
    <w:p w14:paraId="0DCF743E" w14:textId="1ACF2BC2" w:rsidR="00A16FDB" w:rsidRPr="00633318" w:rsidRDefault="00A16FDB" w:rsidP="00A16FDB">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Wyjątkiem od tej zasady jest składnik aktywów z tytułu odroczonego podatku dochodowego w przypadku kwalifikowanej straty. Aktywa i rezerwy z tytułu „zwykłego” podatku odroczonego powstają w odniesieniu do poszczególnych jednostek składowych i są odpowiednio rozliczane lub wykazywane w sprawozdaniu finansowym. Przekładają się one na całkowitą kwotę podatku odroczonego jednostki składowej. Z drugiej strony, kwalifikowana strata powstaje w związku z wyborem, o którym mowa w art. 92 i w odniesieniu do </w:t>
      </w:r>
      <w:r w:rsidR="00DA5234" w:rsidRPr="00633318">
        <w:rPr>
          <w:rFonts w:ascii="Times New Roman" w:hAnsi="Times New Roman" w:cs="Times New Roman"/>
          <w:sz w:val="24"/>
          <w:szCs w:val="24"/>
        </w:rPr>
        <w:t>określonej jurysdykcji</w:t>
      </w:r>
      <w:r w:rsidRPr="00633318">
        <w:rPr>
          <w:rFonts w:ascii="Times New Roman" w:hAnsi="Times New Roman" w:cs="Times New Roman"/>
          <w:sz w:val="24"/>
          <w:szCs w:val="24"/>
        </w:rPr>
        <w:t xml:space="preserve">, ale nie figuruje w sprawozdaniu finansowym jednostki składowej ani w skonsolidowanym sprawozdaniu finansowym. Ponieważ kwalifikowane aktywa, o których mowa w art. 92, powstają w związku z kwalifikowaną stratą w </w:t>
      </w:r>
      <w:r w:rsidR="00DA5234" w:rsidRPr="00633318">
        <w:rPr>
          <w:rFonts w:ascii="Times New Roman" w:hAnsi="Times New Roman" w:cs="Times New Roman"/>
          <w:sz w:val="24"/>
          <w:szCs w:val="24"/>
        </w:rPr>
        <w:t>określonej jurysdykcji</w:t>
      </w:r>
      <w:r w:rsidRPr="00633318">
        <w:rPr>
          <w:rFonts w:ascii="Times New Roman" w:hAnsi="Times New Roman" w:cs="Times New Roman"/>
          <w:sz w:val="24"/>
          <w:szCs w:val="24"/>
        </w:rPr>
        <w:t xml:space="preserve">, uważa się ją za wartość przypisaną do </w:t>
      </w:r>
      <w:r w:rsidR="00DA5234" w:rsidRPr="00633318">
        <w:rPr>
          <w:rFonts w:ascii="Times New Roman" w:hAnsi="Times New Roman" w:cs="Times New Roman"/>
          <w:sz w:val="24"/>
          <w:szCs w:val="24"/>
        </w:rPr>
        <w:t>danej jurysdykcji</w:t>
      </w:r>
      <w:r w:rsidR="00DA5234" w:rsidRPr="00633318" w:rsidDel="00DA5234">
        <w:rPr>
          <w:rFonts w:ascii="Times New Roman" w:hAnsi="Times New Roman" w:cs="Times New Roman"/>
          <w:sz w:val="24"/>
          <w:szCs w:val="24"/>
        </w:rPr>
        <w:t xml:space="preserve"> </w:t>
      </w:r>
      <w:r w:rsidRPr="00633318">
        <w:rPr>
          <w:rFonts w:ascii="Times New Roman" w:hAnsi="Times New Roman" w:cs="Times New Roman"/>
          <w:sz w:val="24"/>
          <w:szCs w:val="24"/>
        </w:rPr>
        <w:t xml:space="preserve">w ramach rozliczeń grupy, a nie wartość przypisaną do konkretnej jednostki składowej z </w:t>
      </w:r>
      <w:r w:rsidR="00DA5234" w:rsidRPr="00633318">
        <w:rPr>
          <w:rFonts w:ascii="Times New Roman" w:hAnsi="Times New Roman" w:cs="Times New Roman"/>
          <w:sz w:val="24"/>
          <w:szCs w:val="24"/>
        </w:rPr>
        <w:t>tej jurysdykcji</w:t>
      </w:r>
      <w:r w:rsidRPr="00633318">
        <w:rPr>
          <w:rFonts w:ascii="Times New Roman" w:hAnsi="Times New Roman" w:cs="Times New Roman"/>
          <w:sz w:val="24"/>
          <w:szCs w:val="24"/>
        </w:rPr>
        <w:t xml:space="preserve">. Wartość taka nie może więc zostać przeniesiona do innej grupy. [Komentarz, 6.2.1; 56] </w:t>
      </w:r>
    </w:p>
    <w:p w14:paraId="6AAB1688" w14:textId="77777777" w:rsidR="00A16FDB" w:rsidRPr="00633318" w:rsidRDefault="00A16FDB" w:rsidP="00A16FDB">
      <w:pPr>
        <w:pStyle w:val="Nagwek5"/>
        <w:rPr>
          <w:rFonts w:ascii="Times New Roman" w:hAnsi="Times New Roman" w:cs="Times New Roman"/>
          <w:bCs/>
          <w:sz w:val="24"/>
          <w:szCs w:val="24"/>
        </w:rPr>
      </w:pPr>
      <w:r w:rsidRPr="00633318">
        <w:rPr>
          <w:rFonts w:ascii="Times New Roman" w:hAnsi="Times New Roman" w:cs="Times New Roman"/>
          <w:sz w:val="24"/>
          <w:szCs w:val="24"/>
        </w:rPr>
        <w:t>Art. 105 [Obowiązki jednostki dominującej należącej za dany rok do dwóch grup]</w:t>
      </w:r>
    </w:p>
    <w:p w14:paraId="408C5F76" w14:textId="5DD0B0AD"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Art. 105</w:t>
      </w:r>
      <w:r w:rsidRPr="00633318">
        <w:rPr>
          <w:rFonts w:ascii="Times New Roman" w:hAnsi="Times New Roman" w:cs="Times New Roman"/>
          <w:bCs/>
          <w:sz w:val="24"/>
          <w:szCs w:val="24"/>
        </w:rPr>
        <w:t xml:space="preserve"> stanowi implementację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8 Dyrektywy. Przepis ten reguluje sytuację, w której zbycie lub nabycie udziałów dotyczy jednostki, która w roku podatkowym była jednostką dominującą należącą do co najmniej dwóch grup międzynarodowych lub grup krajowych. </w:t>
      </w:r>
    </w:p>
    <w:p w14:paraId="6436F59A" w14:textId="18CE80C1"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Taka jednostka dominująca jest zobowiązana do wypełnienia obowiązków podatnika odrębnie dla każdej z grup, tj. m.in. odrębnego obliczenia globalnego podatku wyrównawczego. Elementem kalkulacji tego podatku jest jurysdykcyjny kwalifikowany dochód (strata) i efektywna stawka podatkowa, obliczona – w odniesieniu do poszczególnych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 dla każdej z grup. Końcowym rezultatem jest natomiast ustalenie udziałowego globalnego podatku wyrównawczego, zgodnie z przepisami działu II. </w:t>
      </w:r>
    </w:p>
    <w:p w14:paraId="2B78F694"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To, czy taka jednostka dominująca jest podatnikiem globalnego podatku wyrównawczego należy ustalić odrębnie w odniesieniu do każdej grupy. W zależności bowiem od struktury danej grupy ta sama jednostka dominująca może spełniać lub nie warunki określone w art. 10. </w:t>
      </w:r>
    </w:p>
    <w:p w14:paraId="5A98593D" w14:textId="77777777" w:rsidR="00A16FDB" w:rsidRPr="00633318" w:rsidRDefault="00A16FDB" w:rsidP="00A16FDB">
      <w:pPr>
        <w:pStyle w:val="Nagwek5"/>
        <w:rPr>
          <w:rFonts w:ascii="Times New Roman" w:hAnsi="Times New Roman" w:cs="Times New Roman"/>
          <w:sz w:val="24"/>
          <w:szCs w:val="24"/>
        </w:rPr>
      </w:pPr>
      <w:r w:rsidRPr="00633318">
        <w:rPr>
          <w:rFonts w:ascii="Times New Roman" w:hAnsi="Times New Roman" w:cs="Times New Roman"/>
          <w:sz w:val="24"/>
          <w:szCs w:val="24"/>
        </w:rPr>
        <w:t>Art. 106 [Zbycie udziałów traktowane jako zbycie aktywów i zobowiązań]</w:t>
      </w:r>
    </w:p>
    <w:p w14:paraId="21A47252" w14:textId="51E230D3"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A</w:t>
      </w:r>
      <w:r w:rsidRPr="00633318">
        <w:rPr>
          <w:rFonts w:ascii="Times New Roman" w:hAnsi="Times New Roman" w:cs="Times New Roman"/>
          <w:b/>
          <w:sz w:val="24"/>
          <w:szCs w:val="24"/>
        </w:rPr>
        <w:t>rt. 106</w:t>
      </w:r>
      <w:r w:rsidRPr="00633318">
        <w:rPr>
          <w:rFonts w:ascii="Times New Roman" w:hAnsi="Times New Roman" w:cs="Times New Roman"/>
          <w:bCs/>
          <w:sz w:val="24"/>
          <w:szCs w:val="24"/>
        </w:rPr>
        <w:t xml:space="preserve"> stanowi implementację art. 34</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9 Dyrektywy i przewiduje wyjątek od zasad opisanych w art. 103-105 ustawy.</w:t>
      </w:r>
    </w:p>
    <w:p w14:paraId="3CC2829D" w14:textId="168169E4"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w:t>
      </w:r>
      <w:r w:rsidRPr="00633318">
        <w:rPr>
          <w:rFonts w:ascii="Times New Roman" w:hAnsi="Times New Roman" w:cs="Times New Roman"/>
          <w:b/>
          <w:sz w:val="24"/>
          <w:szCs w:val="24"/>
        </w:rPr>
        <w:t>ust. 1</w:t>
      </w:r>
      <w:r w:rsidRPr="00633318">
        <w:rPr>
          <w:rFonts w:ascii="Times New Roman" w:hAnsi="Times New Roman" w:cs="Times New Roman"/>
          <w:bCs/>
          <w:sz w:val="24"/>
          <w:szCs w:val="24"/>
        </w:rPr>
        <w:t xml:space="preserve"> określona została sytuacja, w której przepisów rozdziału 1 się nie stosuje. Przepisów tych nie stosuje się wówczas, kiedy </w:t>
      </w:r>
      <w:bookmarkStart w:id="59" w:name="_Hlk150182262"/>
      <w:r w:rsidR="00DA5234" w:rsidRPr="00633318">
        <w:rPr>
          <w:rFonts w:ascii="Times New Roman" w:hAnsi="Times New Roman" w:cs="Times New Roman"/>
          <w:sz w:val="24"/>
          <w:szCs w:val="24"/>
        </w:rPr>
        <w:t>jurysdykcja</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lokalizacji jednostki, w której nabywany jest udział konsolidujący:</w:t>
      </w:r>
    </w:p>
    <w:p w14:paraId="0D199E2D" w14:textId="13DF3390" w:rsidR="00A16FDB" w:rsidRPr="00633318" w:rsidRDefault="00A16FDB" w:rsidP="002C7467">
      <w:pPr>
        <w:pStyle w:val="Akapitzlist"/>
        <w:numPr>
          <w:ilvl w:val="3"/>
          <w:numId w:val="71"/>
        </w:numPr>
        <w:spacing w:after="120"/>
        <w:ind w:left="567" w:hanging="283"/>
        <w:jc w:val="both"/>
        <w:rPr>
          <w:rFonts w:ascii="Times New Roman" w:hAnsi="Times New Roman" w:cs="Times New Roman"/>
          <w:bCs/>
          <w:sz w:val="24"/>
          <w:szCs w:val="24"/>
        </w:rPr>
      </w:pPr>
      <w:r w:rsidRPr="00633318">
        <w:rPr>
          <w:rFonts w:ascii="Times New Roman" w:hAnsi="Times New Roman" w:cs="Times New Roman"/>
          <w:bCs/>
          <w:sz w:val="24"/>
          <w:szCs w:val="24"/>
        </w:rPr>
        <w:t>traktuje nabycie lub zbycie takiego udziału konsolidującego, dla celów podatku kwalifikowanego, w taki sam lub podobny sposób jak nabycie lub zbycie aktywów i zobowiązań</w:t>
      </w:r>
      <w:bookmarkEnd w:id="59"/>
      <w:r w:rsidRPr="00633318">
        <w:rPr>
          <w:rFonts w:ascii="Times New Roman" w:hAnsi="Times New Roman" w:cs="Times New Roman"/>
          <w:bCs/>
          <w:sz w:val="24"/>
          <w:szCs w:val="24"/>
        </w:rPr>
        <w:t xml:space="preserve"> oraz </w:t>
      </w:r>
    </w:p>
    <w:p w14:paraId="2AD5CF5C" w14:textId="77777777" w:rsidR="00A16FDB" w:rsidRPr="00633318" w:rsidRDefault="00A16FDB" w:rsidP="002C7467">
      <w:pPr>
        <w:pStyle w:val="Akapitzlist"/>
        <w:numPr>
          <w:ilvl w:val="3"/>
          <w:numId w:val="71"/>
        </w:numPr>
        <w:spacing w:after="120"/>
        <w:ind w:left="567" w:hanging="283"/>
        <w:jc w:val="both"/>
        <w:rPr>
          <w:rFonts w:ascii="Times New Roman" w:hAnsi="Times New Roman" w:cs="Times New Roman"/>
          <w:bCs/>
          <w:sz w:val="24"/>
          <w:szCs w:val="24"/>
        </w:rPr>
      </w:pPr>
      <w:r w:rsidRPr="00633318">
        <w:rPr>
          <w:rFonts w:ascii="Times New Roman" w:hAnsi="Times New Roman" w:cs="Times New Roman"/>
          <w:bCs/>
          <w:sz w:val="24"/>
          <w:szCs w:val="24"/>
        </w:rPr>
        <w:t>nakłada na jednostkę zbywającą ten udział podatek kwalifikowany w oparciu o różnicę między wynagrodzeniem zapłaconym w zamian za ten udział albo wartością godziwą odpowiadających mu aktywów i zobowiązań a ich wartością podatkową.</w:t>
      </w:r>
    </w:p>
    <w:p w14:paraId="6780B9F0" w14:textId="68F25E05"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Jeżeli </w:t>
      </w:r>
      <w:r w:rsidR="00DA5234" w:rsidRPr="00633318">
        <w:rPr>
          <w:rFonts w:ascii="Times New Roman" w:hAnsi="Times New Roman" w:cs="Times New Roman"/>
          <w:sz w:val="24"/>
          <w:szCs w:val="24"/>
        </w:rPr>
        <w:t>jurysdykcja</w:t>
      </w:r>
      <w:r w:rsidRPr="00633318">
        <w:rPr>
          <w:rFonts w:ascii="Times New Roman" w:hAnsi="Times New Roman" w:cs="Times New Roman"/>
          <w:bCs/>
          <w:sz w:val="24"/>
          <w:szCs w:val="24"/>
        </w:rPr>
        <w:t>, w któr</w:t>
      </w:r>
      <w:r w:rsidR="00DA5234" w:rsidRPr="00633318">
        <w:rPr>
          <w:rFonts w:ascii="Times New Roman" w:hAnsi="Times New Roman" w:cs="Times New Roman"/>
          <w:bCs/>
          <w:sz w:val="24"/>
          <w:szCs w:val="24"/>
        </w:rPr>
        <w:t>ej</w:t>
      </w:r>
      <w:r w:rsidRPr="00633318">
        <w:rPr>
          <w:rFonts w:ascii="Times New Roman" w:hAnsi="Times New Roman" w:cs="Times New Roman"/>
          <w:bCs/>
          <w:sz w:val="24"/>
          <w:szCs w:val="24"/>
        </w:rPr>
        <w:t xml:space="preserve"> jest </w:t>
      </w:r>
      <w:r w:rsidRPr="00633318">
        <w:rPr>
          <w:rFonts w:ascii="Times New Roman" w:hAnsi="Times New Roman" w:cs="Times New Roman"/>
          <w:sz w:val="24"/>
          <w:szCs w:val="24"/>
        </w:rPr>
        <w:t>zlokalizowana</w:t>
      </w:r>
      <w:r w:rsidRPr="00633318">
        <w:rPr>
          <w:rFonts w:ascii="Times New Roman" w:hAnsi="Times New Roman" w:cs="Times New Roman"/>
          <w:bCs/>
          <w:sz w:val="24"/>
          <w:szCs w:val="24"/>
        </w:rPr>
        <w:t xml:space="preserve"> jednostka, w której nabywany jest udział konsolidujący traktuje dla celów podatku kwalifikowanego nabycie lub zbycie takiego udziału konsolidującego w taki sam lub w podobny sposób jak nabycie lub zbycie aktywów i zobowiązań, to do takiego nabycia lub zbycia stosuje się przepisy rozdziału 2 działu II.</w:t>
      </w:r>
    </w:p>
    <w:p w14:paraId="506A0AE5" w14:textId="3724C514"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przypadku jednostki transparentnej podatkowo za </w:t>
      </w:r>
      <w:r w:rsidR="00DA5234" w:rsidRPr="00633318">
        <w:rPr>
          <w:rFonts w:ascii="Times New Roman" w:hAnsi="Times New Roman" w:cs="Times New Roman"/>
          <w:sz w:val="24"/>
          <w:szCs w:val="24"/>
        </w:rPr>
        <w:t>jurysdykcję</w:t>
      </w:r>
      <w:r w:rsidRPr="00633318">
        <w:rPr>
          <w:rFonts w:ascii="Times New Roman" w:hAnsi="Times New Roman" w:cs="Times New Roman"/>
          <w:bCs/>
          <w:sz w:val="24"/>
          <w:szCs w:val="24"/>
        </w:rPr>
        <w:t>, o któr</w:t>
      </w:r>
      <w:r w:rsidR="00DA5234" w:rsidRPr="00633318">
        <w:rPr>
          <w:rFonts w:ascii="Times New Roman" w:hAnsi="Times New Roman" w:cs="Times New Roman"/>
          <w:bCs/>
          <w:sz w:val="24"/>
          <w:szCs w:val="24"/>
        </w:rPr>
        <w:t>ej</w:t>
      </w:r>
      <w:r w:rsidRPr="00633318">
        <w:rPr>
          <w:rFonts w:ascii="Times New Roman" w:hAnsi="Times New Roman" w:cs="Times New Roman"/>
          <w:bCs/>
          <w:sz w:val="24"/>
          <w:szCs w:val="24"/>
        </w:rPr>
        <w:t xml:space="preserve"> mowa w ust. 1, uważa się t</w:t>
      </w:r>
      <w:r w:rsidR="00DA5234" w:rsidRPr="00633318">
        <w:rPr>
          <w:rFonts w:ascii="Times New Roman" w:hAnsi="Times New Roman" w:cs="Times New Roman"/>
          <w:bCs/>
          <w:sz w:val="24"/>
          <w:szCs w:val="24"/>
        </w:rPr>
        <w:t>ę</w:t>
      </w:r>
      <w:r w:rsidRPr="00633318">
        <w:rPr>
          <w:rFonts w:ascii="Times New Roman" w:hAnsi="Times New Roman" w:cs="Times New Roman"/>
          <w:bCs/>
          <w:sz w:val="24"/>
          <w:szCs w:val="24"/>
        </w:rPr>
        <w:t xml:space="preserve"> </w:t>
      </w:r>
      <w:r w:rsidR="00DA5234" w:rsidRPr="00633318">
        <w:rPr>
          <w:rFonts w:ascii="Times New Roman" w:hAnsi="Times New Roman" w:cs="Times New Roman"/>
          <w:sz w:val="24"/>
          <w:szCs w:val="24"/>
        </w:rPr>
        <w:t>jurysdykcję</w:t>
      </w:r>
      <w:r w:rsidRPr="00633318">
        <w:rPr>
          <w:rFonts w:ascii="Times New Roman" w:hAnsi="Times New Roman" w:cs="Times New Roman"/>
          <w:bCs/>
          <w:sz w:val="24"/>
          <w:szCs w:val="24"/>
        </w:rPr>
        <w:t>, w któr</w:t>
      </w:r>
      <w:r w:rsidR="00DA5234" w:rsidRPr="00633318">
        <w:rPr>
          <w:rFonts w:ascii="Times New Roman" w:hAnsi="Times New Roman" w:cs="Times New Roman"/>
          <w:bCs/>
          <w:sz w:val="24"/>
          <w:szCs w:val="24"/>
        </w:rPr>
        <w:t>ej</w:t>
      </w:r>
      <w:r w:rsidRPr="00633318">
        <w:rPr>
          <w:rFonts w:ascii="Times New Roman" w:hAnsi="Times New Roman" w:cs="Times New Roman"/>
          <w:bCs/>
          <w:sz w:val="24"/>
          <w:szCs w:val="24"/>
        </w:rPr>
        <w:t xml:space="preserve"> znajdują się aktywa tej jednostki.</w:t>
      </w:r>
    </w:p>
    <w:p w14:paraId="0F30E3D0" w14:textId="0EE12A7C"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Powyższe przepisy mają na celu zapewnienie spójnego traktowania nabywania i zbywania aktywów i zobowiązań dla celów ustawy, niezależnie od formy, w jakiej transakcja zostaje przeprowadzona. Jeżeli do transakcji ma zastosowanie ten przepis, sprzedającego traktuje się z jednej strony jako sprzedającego udziały własnościowe, a zysk lub strata na tej sprzedaży są wyłączone z księgowego dochodu (straty) netto jako wyłączone zyski (straty) kapitałowe (w </w:t>
      </w:r>
      <w:r w:rsidR="00DA5234" w:rsidRPr="00633318">
        <w:rPr>
          <w:rFonts w:ascii="Times New Roman" w:hAnsi="Times New Roman" w:cs="Times New Roman"/>
          <w:sz w:val="24"/>
          <w:szCs w:val="24"/>
        </w:rPr>
        <w:t>jurysdykcji</w:t>
      </w:r>
      <w:r w:rsidRPr="00633318">
        <w:rPr>
          <w:rFonts w:ascii="Times New Roman" w:hAnsi="Times New Roman" w:cs="Times New Roman"/>
          <w:bCs/>
          <w:sz w:val="24"/>
          <w:szCs w:val="24"/>
        </w:rPr>
        <w:t xml:space="preserve">, w </w:t>
      </w:r>
      <w:r w:rsidR="00DA5234" w:rsidRPr="00633318">
        <w:rPr>
          <w:rFonts w:ascii="Times New Roman" w:hAnsi="Times New Roman" w:cs="Times New Roman"/>
          <w:bCs/>
          <w:sz w:val="24"/>
          <w:szCs w:val="24"/>
        </w:rPr>
        <w:t xml:space="preserve">której </w:t>
      </w:r>
      <w:r w:rsidRPr="00633318">
        <w:rPr>
          <w:rFonts w:ascii="Times New Roman" w:hAnsi="Times New Roman" w:cs="Times New Roman"/>
          <w:sz w:val="24"/>
          <w:szCs w:val="24"/>
        </w:rPr>
        <w:t xml:space="preserve">zlokalizowany jest </w:t>
      </w:r>
      <w:r w:rsidRPr="00633318">
        <w:rPr>
          <w:rFonts w:ascii="Times New Roman" w:hAnsi="Times New Roman" w:cs="Times New Roman"/>
          <w:bCs/>
          <w:sz w:val="24"/>
          <w:szCs w:val="24"/>
        </w:rPr>
        <w:t xml:space="preserve">sprzedający). Jednocześnie, jednostka, której udziały są sprzedawane, jest traktowana jako sprzedająca swoje aktywa i zobowiązania w zamian za wynagrodzenie otrzymane przez sprzedającego udziały, a transakcja ta jest traktowana jako zbycie aktywów i zobowiązań, o którym mowa w rozdziale 2. </w:t>
      </w:r>
    </w:p>
    <w:p w14:paraId="61A05643"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roku podatkowym, w którym nastąpiła taka transakcja, zysk lub stratę oraz podatki kwalifikowane z takiej sprzedaży uwzględnia się:</w:t>
      </w:r>
    </w:p>
    <w:p w14:paraId="5F1A2EEA" w14:textId="77777777" w:rsidR="00A16FDB" w:rsidRPr="00633318" w:rsidRDefault="00A16FDB" w:rsidP="009E73F7">
      <w:pPr>
        <w:pStyle w:val="Akapitzlist"/>
        <w:numPr>
          <w:ilvl w:val="0"/>
          <w:numId w:val="116"/>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przy obliczaniu kwalifikowanego dochodu (straty) oraz skorygowanych podatków kwalifikowanych jednostki składowej, której udziały są zbywane, oraz </w:t>
      </w:r>
    </w:p>
    <w:p w14:paraId="0A86BA67" w14:textId="77777777" w:rsidR="00A16FDB" w:rsidRPr="00633318" w:rsidRDefault="00A16FDB" w:rsidP="009E73F7">
      <w:pPr>
        <w:pStyle w:val="Akapitzlist"/>
        <w:numPr>
          <w:ilvl w:val="0"/>
          <w:numId w:val="116"/>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na potrzeby określenia efektywnej stawki podatkowej przez dotychczasową grupę. </w:t>
      </w:r>
    </w:p>
    <w:p w14:paraId="6DA9AA67" w14:textId="46ECFF48"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rezultacie, zysk lub strata ze sprzedaży aktywów i zobowiązań jednostki są uwzględniane w obliczeniu efektywnej stawki podatkowej dotychczasowej grupy, dla </w:t>
      </w:r>
      <w:r w:rsidR="00DA5234" w:rsidRPr="00633318">
        <w:rPr>
          <w:rFonts w:ascii="Times New Roman" w:hAnsi="Times New Roman" w:cs="Times New Roman"/>
          <w:sz w:val="24"/>
          <w:szCs w:val="24"/>
        </w:rPr>
        <w:t>jurysdykcji</w:t>
      </w:r>
      <w:r w:rsidRPr="00633318">
        <w:rPr>
          <w:rFonts w:ascii="Times New Roman" w:hAnsi="Times New Roman" w:cs="Times New Roman"/>
          <w:bCs/>
          <w:sz w:val="24"/>
          <w:szCs w:val="24"/>
        </w:rPr>
        <w:t xml:space="preserve">, </w:t>
      </w:r>
      <w:r w:rsidR="00DA5234" w:rsidRPr="00633318">
        <w:rPr>
          <w:rFonts w:ascii="Times New Roman" w:hAnsi="Times New Roman" w:cs="Times New Roman"/>
          <w:bCs/>
          <w:sz w:val="24"/>
          <w:szCs w:val="24"/>
        </w:rPr>
        <w:t xml:space="preserve">która </w:t>
      </w:r>
      <w:r w:rsidRPr="00633318">
        <w:rPr>
          <w:rFonts w:ascii="Times New Roman" w:hAnsi="Times New Roman" w:cs="Times New Roman"/>
          <w:bCs/>
          <w:sz w:val="24"/>
          <w:szCs w:val="24"/>
        </w:rPr>
        <w:t xml:space="preserve">traktuje transakcję jako taką sprzedaż (a nie dla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lokalizacji jednostki sprzedającej udziały własnościowe).</w:t>
      </w:r>
    </w:p>
    <w:p w14:paraId="0BA2A284" w14:textId="77777777" w:rsidR="00A16FDB" w:rsidRPr="00633318" w:rsidRDefault="00A16FDB" w:rsidP="000416A5">
      <w:pPr>
        <w:pStyle w:val="Nagwek3"/>
        <w:spacing w:before="240"/>
        <w:rPr>
          <w:rFonts w:ascii="Times New Roman" w:hAnsi="Times New Roman" w:cs="Times New Roman"/>
          <w:sz w:val="24"/>
        </w:rPr>
      </w:pPr>
      <w:r w:rsidRPr="00633318">
        <w:rPr>
          <w:rFonts w:ascii="Times New Roman" w:hAnsi="Times New Roman" w:cs="Times New Roman"/>
          <w:sz w:val="24"/>
        </w:rPr>
        <w:t>Rozdział 2 – Zbycie aktywów i zobowiązań, w tym w ramach reorganizacji</w:t>
      </w:r>
    </w:p>
    <w:p w14:paraId="79415BB8" w14:textId="77777777" w:rsidR="00A16FDB" w:rsidRPr="00633318" w:rsidRDefault="00A16FDB" w:rsidP="00A16FDB">
      <w:pPr>
        <w:pStyle w:val="Nagwek5"/>
        <w:rPr>
          <w:rFonts w:ascii="Times New Roman" w:hAnsi="Times New Roman" w:cs="Times New Roman"/>
          <w:sz w:val="24"/>
          <w:szCs w:val="24"/>
        </w:rPr>
      </w:pPr>
      <w:r w:rsidRPr="00633318">
        <w:rPr>
          <w:rFonts w:ascii="Times New Roman" w:hAnsi="Times New Roman" w:cs="Times New Roman"/>
          <w:sz w:val="24"/>
          <w:szCs w:val="24"/>
        </w:rPr>
        <w:t>Art. 107 [Definicja reorganizacji]</w:t>
      </w:r>
    </w:p>
    <w:p w14:paraId="5B68A3C5" w14:textId="17CCD942"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 xml:space="preserve">Art. 107 </w:t>
      </w:r>
      <w:r w:rsidRPr="00633318">
        <w:rPr>
          <w:rFonts w:ascii="Times New Roman" w:hAnsi="Times New Roman" w:cs="Times New Roman"/>
          <w:bCs/>
          <w:sz w:val="24"/>
          <w:szCs w:val="24"/>
        </w:rPr>
        <w:t>stanowi implementację art. 35</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1 lit a Dyrektywy i definiuje „reorganizację”, która oznacza zbycie aktywów i zobowiązań jednostki, w tym w wyniku przekształcenia, połączenia, podziału, likwidacji jednostek, dokonanych na podstawie odrębnych przepisów (w tym przypadku chodzi zatem m.in. o połączenie lub podział samych jednostek, a nie połączenie lub podział grup). Spełnione przy tym muszą być łącznie </w:t>
      </w:r>
      <w:r w:rsidR="005F70C7" w:rsidRPr="00633318">
        <w:rPr>
          <w:rFonts w:ascii="Times New Roman" w:hAnsi="Times New Roman" w:cs="Times New Roman"/>
          <w:bCs/>
          <w:sz w:val="24"/>
          <w:szCs w:val="24"/>
        </w:rPr>
        <w:t>trzy</w:t>
      </w:r>
      <w:r w:rsidRPr="00633318">
        <w:rPr>
          <w:rFonts w:ascii="Times New Roman" w:hAnsi="Times New Roman" w:cs="Times New Roman"/>
          <w:bCs/>
          <w:sz w:val="24"/>
          <w:szCs w:val="24"/>
        </w:rPr>
        <w:t xml:space="preserve"> następujące warunki:</w:t>
      </w:r>
    </w:p>
    <w:p w14:paraId="585F9535" w14:textId="28B771D9" w:rsidR="00A16FDB" w:rsidRPr="00633318" w:rsidRDefault="00A16FDB" w:rsidP="002C7467">
      <w:pPr>
        <w:pStyle w:val="Akapitzlist"/>
        <w:numPr>
          <w:ilvl w:val="3"/>
          <w:numId w:val="79"/>
        </w:numPr>
        <w:spacing w:after="120"/>
        <w:ind w:left="709"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wynagrodzenie za zbycie stanowią, w całości lub w znacznej części, udziały w kapitale nabywającej jednostki składowej lub jednostki/osoby powiązanej z taką jednostką (w rozumieniu art. 5 ust. 8 Modelowej </w:t>
      </w:r>
      <w:r w:rsidR="00ED3A9E" w:rsidRPr="00633318">
        <w:rPr>
          <w:rFonts w:ascii="Times New Roman" w:hAnsi="Times New Roman" w:cs="Times New Roman"/>
          <w:bCs/>
          <w:sz w:val="24"/>
          <w:szCs w:val="24"/>
        </w:rPr>
        <w:t>k</w:t>
      </w:r>
      <w:r w:rsidRPr="00633318">
        <w:rPr>
          <w:rFonts w:ascii="Times New Roman" w:hAnsi="Times New Roman" w:cs="Times New Roman"/>
          <w:bCs/>
          <w:sz w:val="24"/>
          <w:szCs w:val="24"/>
        </w:rPr>
        <w:t>onwencji OECD) lub, w przypadku likwidacji, wynagrodzenie otrzymywane w związku z unicestwieniem udziałów w kapitale likwidowanej jednostki , a w przypadku braku wynagrodzenia ze zbycia, brak ten wynika z tego, że emisja udziału w kapitale pozbawiona byłaby znaczenia gospodarczego,</w:t>
      </w:r>
    </w:p>
    <w:p w14:paraId="65EBE785" w14:textId="77777777" w:rsidR="00A16FDB" w:rsidRPr="00633318" w:rsidRDefault="00A16FDB" w:rsidP="002C7467">
      <w:pPr>
        <w:pStyle w:val="Akapitzlist"/>
        <w:numPr>
          <w:ilvl w:val="3"/>
          <w:numId w:val="79"/>
        </w:numPr>
        <w:spacing w:after="120"/>
        <w:ind w:left="709" w:hanging="425"/>
        <w:jc w:val="both"/>
        <w:rPr>
          <w:rFonts w:ascii="Times New Roman" w:hAnsi="Times New Roman" w:cs="Times New Roman"/>
          <w:bCs/>
          <w:sz w:val="24"/>
          <w:szCs w:val="24"/>
        </w:rPr>
      </w:pPr>
      <w:r w:rsidRPr="00633318">
        <w:rPr>
          <w:rFonts w:ascii="Times New Roman" w:hAnsi="Times New Roman" w:cs="Times New Roman"/>
          <w:bCs/>
          <w:sz w:val="24"/>
          <w:szCs w:val="24"/>
        </w:rPr>
        <w:t>zysk (strata) zbywającej jednostki składowej z tytułu tych aktywów i zobowiązań nie podlega, w całości lub w części, opodatkowaniu podatkiem dochodowym,</w:t>
      </w:r>
    </w:p>
    <w:p w14:paraId="261DCE48" w14:textId="20976681" w:rsidR="00A16FDB" w:rsidRPr="00633318" w:rsidRDefault="00A16FDB" w:rsidP="002C7467">
      <w:pPr>
        <w:pStyle w:val="Akapitzlist"/>
        <w:numPr>
          <w:ilvl w:val="3"/>
          <w:numId w:val="79"/>
        </w:numPr>
        <w:spacing w:after="120"/>
        <w:ind w:left="709"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przepisy podatkowe </w:t>
      </w:r>
      <w:r w:rsidR="00DA5234" w:rsidRPr="00633318">
        <w:rPr>
          <w:rFonts w:ascii="Times New Roman" w:hAnsi="Times New Roman" w:cs="Times New Roman"/>
          <w:sz w:val="24"/>
          <w:szCs w:val="24"/>
        </w:rPr>
        <w:t>jurysdykcji</w:t>
      </w:r>
      <w:r w:rsidRPr="00633318">
        <w:rPr>
          <w:rFonts w:ascii="Times New Roman" w:hAnsi="Times New Roman" w:cs="Times New Roman"/>
          <w:bCs/>
          <w:sz w:val="24"/>
          <w:szCs w:val="24"/>
        </w:rPr>
        <w:t xml:space="preserve">, w </w:t>
      </w:r>
      <w:r w:rsidR="00DA5234" w:rsidRPr="00633318">
        <w:rPr>
          <w:rFonts w:ascii="Times New Roman" w:hAnsi="Times New Roman" w:cs="Times New Roman"/>
          <w:bCs/>
          <w:sz w:val="24"/>
          <w:szCs w:val="24"/>
        </w:rPr>
        <w:t xml:space="preserve">której </w:t>
      </w:r>
      <w:r w:rsidR="005F70C7" w:rsidRPr="00633318">
        <w:rPr>
          <w:rFonts w:ascii="Times New Roman" w:hAnsi="Times New Roman" w:cs="Times New Roman"/>
          <w:bCs/>
          <w:sz w:val="24"/>
          <w:szCs w:val="24"/>
        </w:rPr>
        <w:t>jest zlokalizowana</w:t>
      </w:r>
      <w:r w:rsidRPr="00633318">
        <w:rPr>
          <w:rFonts w:ascii="Times New Roman" w:hAnsi="Times New Roman" w:cs="Times New Roman"/>
          <w:bCs/>
          <w:sz w:val="24"/>
          <w:szCs w:val="24"/>
        </w:rPr>
        <w:t xml:space="preserve"> nabywająca jednostka składowa przewidują, że dochód tej jednostki podlegający opodatkowaniu podatkiem dochodowym, obliczany z tytułu zbycia nabytych aktywów i zobowiązań lub z innego tytułu, dla którego oblicza się taki dochód, będzie uwzględniał podatkową wartość tych aktywów i zobowiązań wynikającą z ksiąg zbywającej jednostki składowej, skorygowaną o niekwalifikowany zysk (stratę) z tytułu tego zbycia.</w:t>
      </w:r>
    </w:p>
    <w:p w14:paraId="607F6863"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Definicja ta obejmuje szeroki zakres transakcji restrukturyzacyjnych, które - o ile spełnią warunki przewidziane tym przepisem - będą kwalifikowane jako reorganizacja na gruncie ustawy. Reorganizacją w rozumieniu ustawy będzie więc zarówno przekształcenie jak i przeniesienie aktywów i zobowiązań w ramach połączeń, podziałów, likwidacji czy transakcji podobnych. Przekształceniem jest zmiana formy jednostki (np. przekształcenie spółki osobowej w spółkę kapitałową). Definicja obejmuje także np. wniesienie majątku do kapitału istniejącej jednostki, kiedy jednostka ta nie emituje nowych lub dodatkowych udziałów własnościowych w zamian za wniesiony majątek, ponieważ transakcja nie skutkuje zmianą struktury własnościowej jednostki i wydanie dodatkowych udziałów własnościowych byłoby pozbawione sensu.</w:t>
      </w:r>
    </w:p>
    <w:p w14:paraId="12D47BB4" w14:textId="6785C8C1"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Aby transakcja została zakwalifikowana jako reorganizacja, wynagrodzeniem za przeniesienie aktywów i zobowiązań muszą być w całości lub w znacznej części udziały własnościowe wyemitowane przez przejmującą aktywa lub zobowiązania jednostkę składową lub przez inną osobę powiązaną z tą jednostką. Osobą</w:t>
      </w:r>
      <w:r w:rsidR="00F32517"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powiązaną</w:t>
      </w:r>
      <w:r w:rsidR="00F32517" w:rsidRPr="00633318">
        <w:rPr>
          <w:rFonts w:ascii="Times New Roman" w:hAnsi="Times New Roman" w:cs="Times New Roman"/>
          <w:bCs/>
          <w:sz w:val="24"/>
          <w:szCs w:val="24"/>
        </w:rPr>
        <w:t xml:space="preserve">, w tym przypadku, </w:t>
      </w:r>
      <w:r w:rsidRPr="00633318">
        <w:rPr>
          <w:rFonts w:ascii="Times New Roman" w:hAnsi="Times New Roman" w:cs="Times New Roman"/>
          <w:bCs/>
          <w:sz w:val="24"/>
          <w:szCs w:val="24"/>
        </w:rPr>
        <w:t>rozpatruje się na gruncie z art. 5(8) Modelowej</w:t>
      </w:r>
      <w:r w:rsidR="00ED3A9E" w:rsidRPr="00633318">
        <w:rPr>
          <w:rFonts w:ascii="Times New Roman" w:hAnsi="Times New Roman" w:cs="Times New Roman"/>
          <w:bCs/>
          <w:sz w:val="24"/>
          <w:szCs w:val="24"/>
        </w:rPr>
        <w:t xml:space="preserve"> konwencji OECD</w:t>
      </w:r>
      <w:r w:rsidR="00F32517"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Jednakże w przypadku likwidacji, wynagrodzenie może być związane z unicestwieniem udziałów w kapitale takiej likwidowanej jednostki</w:t>
      </w:r>
      <w:r w:rsidR="00E264D1" w:rsidRPr="00633318">
        <w:rPr>
          <w:rFonts w:ascii="Times New Roman" w:hAnsi="Times New Roman" w:cs="Times New Roman"/>
          <w:bCs/>
          <w:sz w:val="24"/>
          <w:szCs w:val="24"/>
        </w:rPr>
        <w:t xml:space="preserve"> (ang. </w:t>
      </w:r>
      <w:r w:rsidR="00E264D1" w:rsidRPr="00633318">
        <w:rPr>
          <w:rFonts w:ascii="Times New Roman" w:hAnsi="Times New Roman" w:cs="Times New Roman"/>
          <w:bCs/>
          <w:i/>
          <w:iCs/>
          <w:sz w:val="24"/>
          <w:szCs w:val="24"/>
        </w:rPr>
        <w:t>cancellation of equity interests of the target</w:t>
      </w:r>
      <w:r w:rsidR="00E264D1"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w:t>
      </w:r>
    </w:p>
    <w:p w14:paraId="7C9A64C8"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Wreszcie, definicja reorganizacji nie nakłada żadnych wymagań co do osoby/jednostki, której wydawane są wyemitowane udziały w kapitale. Na przykład reorganizacją będzie także transakcja, w której udziały w kapitale wydawane są (jako część tego samego porozumienia) bezpośredniemu lub pośredniemu właścicielowi jednostki składowej, której aktywa i zobowiązania są nabywane.</w:t>
      </w:r>
    </w:p>
    <w:p w14:paraId="4A1935EE" w14:textId="129E5A75"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Ponadto, transakcja będzie uznana za reorganizację w rozumieniu ustawy</w:t>
      </w:r>
      <w:r w:rsidR="005F70C7"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tylko jeżeli przepisy podatkowe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lokalizacji nabywającej jednostki składowej wymagają od niej przyjęcia na potrzeby podatku dochodowego wartości podatkowej aktywów oraz tej samej kwoty zobowiązań jakie były przyjęte przez zbywającą (przenoszącą) jednostkę składową (skorygowanych o wszelkie niekwalifikowane zyski (straty) wynikające z tego zbycia lub przejęcia – </w:t>
      </w:r>
      <w:r w:rsidRPr="00633318">
        <w:rPr>
          <w:rFonts w:ascii="Times New Roman" w:hAnsi="Times New Roman" w:cs="Times New Roman"/>
          <w:bCs/>
          <w:i/>
          <w:iCs/>
          <w:sz w:val="24"/>
          <w:szCs w:val="24"/>
        </w:rPr>
        <w:t>por. dalsza część uzasadnienia</w:t>
      </w:r>
      <w:r w:rsidRPr="00633318">
        <w:rPr>
          <w:rFonts w:ascii="Times New Roman" w:hAnsi="Times New Roman" w:cs="Times New Roman"/>
          <w:bCs/>
          <w:sz w:val="24"/>
          <w:szCs w:val="24"/>
        </w:rPr>
        <w:t xml:space="preserve">). Zachowanie podstawy opodatkowania aktywów i zobowiązań jednostki zbywającej powoduje, że zysk (strata) na nabytych aktywach i zobowiązaniach nie będzie trwale nieopodatkowany, a jedynie zostanie odroczony moment jej opodatkowania. </w:t>
      </w:r>
    </w:p>
    <w:p w14:paraId="4436CD3E"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Dalsze artykuły 108-110 określają zasady uznawania zysku (straty) w związku z:</w:t>
      </w:r>
    </w:p>
    <w:p w14:paraId="056C9EF1" w14:textId="77777777" w:rsidR="00A16FDB" w:rsidRPr="00633318" w:rsidRDefault="00A16FDB" w:rsidP="009E73F7">
      <w:pPr>
        <w:pStyle w:val="Akapitzlist"/>
        <w:numPr>
          <w:ilvl w:val="0"/>
          <w:numId w:val="117"/>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nabyciem aktywów i zobowiązań w ramach transakcji niestanowiącej reorganizacji w rozumieniu ustawy, oraz </w:t>
      </w:r>
    </w:p>
    <w:p w14:paraId="331A27BE" w14:textId="77777777" w:rsidR="00A16FDB" w:rsidRPr="00633318" w:rsidRDefault="00A16FDB" w:rsidP="009E73F7">
      <w:pPr>
        <w:pStyle w:val="Akapitzlist"/>
        <w:numPr>
          <w:ilvl w:val="0"/>
          <w:numId w:val="117"/>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zbyciem aktywów i zobowiązań w ramach reorganizacji, </w:t>
      </w:r>
    </w:p>
    <w:p w14:paraId="0D73739A" w14:textId="77777777" w:rsidR="00A16FDB" w:rsidRPr="00633318" w:rsidRDefault="00A16FDB" w:rsidP="009E73F7">
      <w:pPr>
        <w:pStyle w:val="Akapitzlist"/>
        <w:numPr>
          <w:ilvl w:val="0"/>
          <w:numId w:val="117"/>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reorganizacją, kiedy zysk (strata) sprzedającego podlega opodatkowaniu (w całości lub w części).</w:t>
      </w:r>
    </w:p>
    <w:p w14:paraId="21268AAD" w14:textId="77777777" w:rsidR="00A16FDB" w:rsidRPr="00633318" w:rsidRDefault="00A16FDB" w:rsidP="00A16FDB">
      <w:pPr>
        <w:keepNext/>
        <w:keepLines/>
        <w:spacing w:before="240" w:after="120"/>
        <w:outlineLvl w:val="4"/>
        <w:rPr>
          <w:rFonts w:ascii="Times New Roman" w:eastAsiaTheme="majorEastAsia" w:hAnsi="Times New Roman" w:cs="Times New Roman"/>
          <w:i/>
          <w:color w:val="2E74B5" w:themeColor="accent1" w:themeShade="BF"/>
          <w:sz w:val="24"/>
          <w:szCs w:val="24"/>
        </w:rPr>
      </w:pPr>
      <w:r w:rsidRPr="00633318">
        <w:rPr>
          <w:rFonts w:ascii="Times New Roman" w:eastAsiaTheme="majorEastAsia" w:hAnsi="Times New Roman" w:cs="Times New Roman"/>
          <w:i/>
          <w:color w:val="2E74B5" w:themeColor="accent1" w:themeShade="BF"/>
          <w:sz w:val="24"/>
          <w:szCs w:val="24"/>
        </w:rPr>
        <w:t>Art. 108 [Zbycie aktywów i zobowiązań inne niż w ramach reorganizacji]</w:t>
      </w:r>
    </w:p>
    <w:p w14:paraId="5EA2DD5F"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w:t>
      </w:r>
      <w:r w:rsidRPr="00633318">
        <w:rPr>
          <w:rFonts w:ascii="Times New Roman" w:hAnsi="Times New Roman" w:cs="Times New Roman"/>
          <w:b/>
          <w:sz w:val="24"/>
          <w:szCs w:val="24"/>
        </w:rPr>
        <w:t>art. 108</w:t>
      </w:r>
      <w:r w:rsidRPr="00633318">
        <w:rPr>
          <w:rFonts w:ascii="Times New Roman" w:hAnsi="Times New Roman" w:cs="Times New Roman"/>
          <w:bCs/>
          <w:sz w:val="24"/>
          <w:szCs w:val="24"/>
        </w:rPr>
        <w:t xml:space="preserve"> określony został sposób obliczania </w:t>
      </w:r>
      <w:bookmarkStart w:id="60" w:name="_Hlk150191689"/>
      <w:r w:rsidRPr="00633318">
        <w:rPr>
          <w:rFonts w:ascii="Times New Roman" w:hAnsi="Times New Roman" w:cs="Times New Roman"/>
          <w:bCs/>
          <w:sz w:val="24"/>
          <w:szCs w:val="24"/>
        </w:rPr>
        <w:t>kwalifikowanego dochodu (straty) przez jednostkę składową, która zbywa swoje aktywa lub zobowiązania</w:t>
      </w:r>
      <w:bookmarkEnd w:id="60"/>
      <w:r w:rsidRPr="00633318">
        <w:rPr>
          <w:rFonts w:ascii="Times New Roman" w:hAnsi="Times New Roman" w:cs="Times New Roman"/>
          <w:bCs/>
          <w:sz w:val="24"/>
          <w:szCs w:val="24"/>
        </w:rPr>
        <w:t xml:space="preserve"> </w:t>
      </w:r>
      <w:r w:rsidRPr="00633318">
        <w:rPr>
          <w:rFonts w:ascii="Times New Roman" w:hAnsi="Times New Roman" w:cs="Times New Roman"/>
          <w:b/>
          <w:sz w:val="24"/>
          <w:szCs w:val="24"/>
        </w:rPr>
        <w:t>w inny sposób niż w drodze reorganizacji</w:t>
      </w:r>
      <w:r w:rsidRPr="00633318">
        <w:rPr>
          <w:rFonts w:ascii="Times New Roman" w:hAnsi="Times New Roman" w:cs="Times New Roman"/>
          <w:bCs/>
          <w:sz w:val="24"/>
          <w:szCs w:val="24"/>
        </w:rPr>
        <w:t xml:space="preserve">. Zgodnie art. 108 pkt 1 taka jednostka, przy obliczaniu kwalifikowanego dochodu (straty) </w:t>
      </w:r>
      <w:r w:rsidRPr="00633318">
        <w:rPr>
          <w:rFonts w:ascii="Times New Roman" w:hAnsi="Times New Roman" w:cs="Times New Roman"/>
          <w:b/>
          <w:sz w:val="24"/>
          <w:szCs w:val="24"/>
        </w:rPr>
        <w:t>uwzględnia zysk (stratę) wynikający z takiego zbycia</w:t>
      </w:r>
      <w:r w:rsidRPr="00633318">
        <w:rPr>
          <w:rFonts w:ascii="Times New Roman" w:hAnsi="Times New Roman" w:cs="Times New Roman"/>
          <w:bCs/>
          <w:sz w:val="24"/>
          <w:szCs w:val="24"/>
        </w:rPr>
        <w:t>. Stanowi to zatem zasadę ogólną dla „zwykłego” zbycia aktywów lub zobowiązań.</w:t>
      </w:r>
    </w:p>
    <w:p w14:paraId="29136D24"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świetle Wytycznych z lutego 2023 r.</w:t>
      </w:r>
      <w:r w:rsidRPr="00633318">
        <w:rPr>
          <w:rStyle w:val="Odwoanieprzypisudolnego"/>
          <w:rFonts w:ascii="Times New Roman" w:hAnsi="Times New Roman" w:cs="Times New Roman"/>
          <w:bCs/>
          <w:sz w:val="24"/>
          <w:szCs w:val="24"/>
        </w:rPr>
        <w:footnoteReference w:id="153"/>
      </w:r>
      <w:r w:rsidRPr="00633318">
        <w:rPr>
          <w:rFonts w:ascii="Times New Roman" w:hAnsi="Times New Roman" w:cs="Times New Roman"/>
          <w:bCs/>
          <w:sz w:val="24"/>
          <w:szCs w:val="24"/>
        </w:rPr>
        <w:t xml:space="preserve"> podkreślenia wymaga, że zysk (strata) powstałe dla jednostki składowej dokonującej zbycia aktywów lub zobowiązań powinny być w każdym przypadku określane zgodnie z zasadą ceny rynkowej, wynikającej z przepisów rozdziału 1 działu V. Tym samym na potrzeby ustalania kwalifikowanego dochodu (straty) z danej transakcji jednostka składowa dokonująca zbycia zobligowana jest dokonać wyceny transakcji i zarejestrować jej skutki na warunkach, jakie byłyby ustalone między niezależnymi jednostkami w porównywalnych transakcjach i w porównywalnych okolicznościach. </w:t>
      </w:r>
    </w:p>
    <w:p w14:paraId="694EB992" w14:textId="20B45674"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 kolei w </w:t>
      </w:r>
      <w:r w:rsidRPr="00633318">
        <w:rPr>
          <w:rFonts w:ascii="Times New Roman" w:hAnsi="Times New Roman" w:cs="Times New Roman"/>
          <w:b/>
          <w:sz w:val="24"/>
          <w:szCs w:val="24"/>
        </w:rPr>
        <w:t>pkt 2</w:t>
      </w:r>
      <w:r w:rsidRPr="00633318">
        <w:rPr>
          <w:rFonts w:ascii="Times New Roman" w:hAnsi="Times New Roman" w:cs="Times New Roman"/>
          <w:bCs/>
          <w:sz w:val="24"/>
          <w:szCs w:val="24"/>
        </w:rPr>
        <w:t xml:space="preserve"> tego artykułu wskazany został sposób ustalania kwalifikowanego dochodu (straty) przez jednostkę składową, która nabywa aktywa i zobowiązania. Taka jednostka ustala kwalifikowany dochód (stratę) z tytułu nabytych aktywów i zobowiązań na podstawie ich wartości </w:t>
      </w:r>
      <w:r w:rsidR="00596CE8" w:rsidRPr="00633318">
        <w:rPr>
          <w:rFonts w:ascii="Times New Roman" w:hAnsi="Times New Roman" w:cs="Times New Roman"/>
          <w:bCs/>
          <w:sz w:val="24"/>
          <w:szCs w:val="24"/>
        </w:rPr>
        <w:t>bilansowej</w:t>
      </w:r>
      <w:r w:rsidRPr="00633318">
        <w:rPr>
          <w:rFonts w:ascii="Times New Roman" w:hAnsi="Times New Roman" w:cs="Times New Roman"/>
          <w:bCs/>
          <w:sz w:val="24"/>
          <w:szCs w:val="24"/>
        </w:rPr>
        <w:t xml:space="preserve"> przyjętej przez tę jednostkę i ustalonej zgodnie ze standardem rachunkowości stosowanym przy sporządzaniu skonsolidowanego sprawozdania finansowego jednostki dominującej najwyższego szczebla (tj. na podstawie nowo ustalonej wskutek transakcji wartości </w:t>
      </w:r>
      <w:r w:rsidR="00596CE8" w:rsidRPr="00633318">
        <w:rPr>
          <w:rFonts w:ascii="Times New Roman" w:hAnsi="Times New Roman" w:cs="Times New Roman"/>
          <w:bCs/>
          <w:sz w:val="24"/>
          <w:szCs w:val="24"/>
        </w:rPr>
        <w:t>bilansowej</w:t>
      </w:r>
      <w:r w:rsidRPr="00633318">
        <w:rPr>
          <w:rFonts w:ascii="Times New Roman" w:hAnsi="Times New Roman" w:cs="Times New Roman"/>
          <w:bCs/>
          <w:sz w:val="24"/>
          <w:szCs w:val="24"/>
        </w:rPr>
        <w:t>).</w:t>
      </w:r>
    </w:p>
    <w:p w14:paraId="0C31F86C" w14:textId="77777777" w:rsidR="00A16FDB" w:rsidRPr="00633318" w:rsidRDefault="00A16FDB" w:rsidP="00A16FDB">
      <w:pPr>
        <w:pStyle w:val="Nagwek5"/>
        <w:rPr>
          <w:rFonts w:ascii="Times New Roman" w:hAnsi="Times New Roman" w:cs="Times New Roman"/>
          <w:sz w:val="24"/>
          <w:szCs w:val="24"/>
        </w:rPr>
      </w:pPr>
      <w:r w:rsidRPr="00633318">
        <w:rPr>
          <w:rFonts w:ascii="Times New Roman" w:hAnsi="Times New Roman" w:cs="Times New Roman"/>
          <w:sz w:val="24"/>
          <w:szCs w:val="24"/>
        </w:rPr>
        <w:t>Art. 109 [Zbycie aktywów lub zobowiązań w ramach reorganizacji]</w:t>
      </w:r>
    </w:p>
    <w:p w14:paraId="74140DAA" w14:textId="0A4D52F0"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Art. 109</w:t>
      </w:r>
      <w:r w:rsidRPr="00633318">
        <w:rPr>
          <w:rFonts w:ascii="Times New Roman" w:hAnsi="Times New Roman" w:cs="Times New Roman"/>
          <w:bCs/>
          <w:sz w:val="24"/>
          <w:szCs w:val="24"/>
        </w:rPr>
        <w:t xml:space="preserve"> stanowi implementację art. 35</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3 i </w:t>
      </w:r>
      <w:r w:rsidR="008B225D" w:rsidRPr="00633318">
        <w:rPr>
          <w:rFonts w:ascii="Times New Roman" w:hAnsi="Times New Roman" w:cs="Times New Roman"/>
          <w:bCs/>
          <w:sz w:val="24"/>
          <w:szCs w:val="24"/>
        </w:rPr>
        <w:t>35.</w:t>
      </w:r>
      <w:r w:rsidRPr="00633318">
        <w:rPr>
          <w:rFonts w:ascii="Times New Roman" w:hAnsi="Times New Roman" w:cs="Times New Roman"/>
          <w:bCs/>
          <w:sz w:val="24"/>
          <w:szCs w:val="24"/>
        </w:rPr>
        <w:t xml:space="preserve">4 Dyrektywy oraz dotyczy zysku (straty) osiągniętego z reorganizacji. Nabycie lub zbycie aktywów i zobowiązań w ramach reorganizacji uregulowano analogicznie do zasad przewidzianych w typowych lokalnych przepisach podatkowych, uwzględniając odroczenie opodatkowania zysku osiągniętego z reorganizacji. To, czy transakcja zostanie zakwalifikowana jako reorganizacja w rozumieniu ustawy zależy m.in. od zasad opodatkowania obowiązujących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lokalizacji jednostek uczestniczących w transakcji. </w:t>
      </w:r>
    </w:p>
    <w:p w14:paraId="405D2912" w14:textId="14D038A1"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przypadku transakcji stanowiącej reorganizację w rozumieniu art. 107 zbywająca jednostka składowa nie rozpoznaje </w:t>
      </w:r>
      <w:r w:rsidR="009F63F4"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na potrzeby</w:t>
      </w:r>
      <w:r w:rsidR="009F63F4" w:rsidRPr="00633318">
        <w:rPr>
          <w:rFonts w:ascii="Times New Roman" w:hAnsi="Times New Roman" w:cs="Times New Roman"/>
          <w:bCs/>
          <w:sz w:val="24"/>
          <w:szCs w:val="24"/>
        </w:rPr>
        <w:t xml:space="preserve"> obliczenia</w:t>
      </w:r>
      <w:r w:rsidRPr="00633318">
        <w:rPr>
          <w:rFonts w:ascii="Times New Roman" w:hAnsi="Times New Roman" w:cs="Times New Roman"/>
          <w:bCs/>
          <w:sz w:val="24"/>
          <w:szCs w:val="24"/>
        </w:rPr>
        <w:t xml:space="preserve"> kwalifikowanego dochodu (straty) </w:t>
      </w:r>
      <w:r w:rsidR="009F63F4"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zysku </w:t>
      </w:r>
      <w:r w:rsidR="009F63F4" w:rsidRPr="00633318">
        <w:rPr>
          <w:rFonts w:ascii="Times New Roman" w:hAnsi="Times New Roman" w:cs="Times New Roman"/>
          <w:bCs/>
          <w:sz w:val="24"/>
          <w:szCs w:val="24"/>
        </w:rPr>
        <w:t xml:space="preserve">lub </w:t>
      </w:r>
      <w:r w:rsidRPr="00633318">
        <w:rPr>
          <w:rFonts w:ascii="Times New Roman" w:hAnsi="Times New Roman" w:cs="Times New Roman"/>
          <w:bCs/>
          <w:sz w:val="24"/>
          <w:szCs w:val="24"/>
        </w:rPr>
        <w:t xml:space="preserve">straty ze zbycia aktywów i zobowiązań, natomiast </w:t>
      </w:r>
      <w:r w:rsidR="009F63F4" w:rsidRPr="00633318">
        <w:rPr>
          <w:rFonts w:ascii="Times New Roman" w:hAnsi="Times New Roman" w:cs="Times New Roman"/>
          <w:bCs/>
          <w:sz w:val="24"/>
          <w:szCs w:val="24"/>
        </w:rPr>
        <w:t>„</w:t>
      </w:r>
      <w:r w:rsidRPr="00633318">
        <w:rPr>
          <w:rFonts w:ascii="Times New Roman" w:hAnsi="Times New Roman" w:cs="Times New Roman"/>
          <w:bCs/>
          <w:sz w:val="24"/>
          <w:szCs w:val="24"/>
        </w:rPr>
        <w:t>przyszły</w:t>
      </w:r>
      <w:r w:rsidR="009F63F4"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zysk lub strata jednostki nabywającej </w:t>
      </w:r>
      <w:r w:rsidR="009F63F4" w:rsidRPr="00633318">
        <w:rPr>
          <w:rFonts w:ascii="Times New Roman" w:hAnsi="Times New Roman" w:cs="Times New Roman"/>
          <w:bCs/>
          <w:sz w:val="24"/>
          <w:szCs w:val="24"/>
        </w:rPr>
        <w:t xml:space="preserve">są </w:t>
      </w:r>
      <w:r w:rsidRPr="00633318">
        <w:rPr>
          <w:rFonts w:ascii="Times New Roman" w:hAnsi="Times New Roman" w:cs="Times New Roman"/>
          <w:bCs/>
          <w:sz w:val="24"/>
          <w:szCs w:val="24"/>
        </w:rPr>
        <w:t>ustalan</w:t>
      </w:r>
      <w:r w:rsidR="009F63F4" w:rsidRPr="00633318">
        <w:rPr>
          <w:rFonts w:ascii="Times New Roman" w:hAnsi="Times New Roman" w:cs="Times New Roman"/>
          <w:bCs/>
          <w:sz w:val="24"/>
          <w:szCs w:val="24"/>
        </w:rPr>
        <w:t>e</w:t>
      </w:r>
      <w:r w:rsidRPr="00633318">
        <w:rPr>
          <w:rFonts w:ascii="Times New Roman" w:hAnsi="Times New Roman" w:cs="Times New Roman"/>
          <w:bCs/>
          <w:sz w:val="24"/>
          <w:szCs w:val="24"/>
        </w:rPr>
        <w:t xml:space="preserve"> na podstawie wartości </w:t>
      </w:r>
      <w:r w:rsidR="00596CE8" w:rsidRPr="00633318">
        <w:rPr>
          <w:rFonts w:ascii="Times New Roman" w:hAnsi="Times New Roman" w:cs="Times New Roman"/>
          <w:bCs/>
          <w:sz w:val="24"/>
          <w:szCs w:val="24"/>
        </w:rPr>
        <w:t>bilansowej</w:t>
      </w:r>
      <w:r w:rsidRPr="00633318">
        <w:rPr>
          <w:rFonts w:ascii="Times New Roman" w:hAnsi="Times New Roman" w:cs="Times New Roman"/>
          <w:bCs/>
          <w:sz w:val="24"/>
          <w:szCs w:val="24"/>
        </w:rPr>
        <w:t xml:space="preserve"> nabytych aktywów i zobowiązań przyjęt</w:t>
      </w:r>
      <w:r w:rsidR="00ED0CCE" w:rsidRPr="00633318">
        <w:rPr>
          <w:rFonts w:ascii="Times New Roman" w:hAnsi="Times New Roman" w:cs="Times New Roman"/>
          <w:bCs/>
          <w:sz w:val="24"/>
          <w:szCs w:val="24"/>
        </w:rPr>
        <w:t>ej</w:t>
      </w:r>
      <w:r w:rsidRPr="00633318">
        <w:rPr>
          <w:rFonts w:ascii="Times New Roman" w:hAnsi="Times New Roman" w:cs="Times New Roman"/>
          <w:bCs/>
          <w:sz w:val="24"/>
          <w:szCs w:val="24"/>
        </w:rPr>
        <w:t xml:space="preserve"> przez jednostkę zbywającą, tj. na zasadzie kontynuacji wyceny. Nabywająca jednostka składowa musi prowadzić dokumentację księgową tych wartości, uzasadniającą kalkulacj</w:t>
      </w:r>
      <w:r w:rsidR="00ED0CCE" w:rsidRPr="00633318">
        <w:rPr>
          <w:rFonts w:ascii="Times New Roman" w:hAnsi="Times New Roman" w:cs="Times New Roman"/>
          <w:bCs/>
          <w:sz w:val="24"/>
          <w:szCs w:val="24"/>
        </w:rPr>
        <w:t>ę</w:t>
      </w:r>
      <w:r w:rsidRPr="00633318">
        <w:rPr>
          <w:rFonts w:ascii="Times New Roman" w:hAnsi="Times New Roman" w:cs="Times New Roman"/>
          <w:bCs/>
          <w:sz w:val="24"/>
          <w:szCs w:val="24"/>
        </w:rPr>
        <w:t xml:space="preserve"> kwalifikowanego dochodu (straty).</w:t>
      </w:r>
    </w:p>
    <w:p w14:paraId="50FD6A2F" w14:textId="13193C14"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Szczególnego traktowania wymaga jednak sytuacja, </w:t>
      </w:r>
      <w:r w:rsidR="00ED0CCE" w:rsidRPr="00633318">
        <w:rPr>
          <w:rFonts w:ascii="Times New Roman" w:hAnsi="Times New Roman" w:cs="Times New Roman"/>
          <w:bCs/>
          <w:sz w:val="24"/>
          <w:szCs w:val="24"/>
        </w:rPr>
        <w:t xml:space="preserve">gdy </w:t>
      </w:r>
      <w:r w:rsidRPr="00633318">
        <w:rPr>
          <w:rFonts w:ascii="Times New Roman" w:hAnsi="Times New Roman" w:cs="Times New Roman"/>
          <w:bCs/>
          <w:sz w:val="24"/>
          <w:szCs w:val="24"/>
        </w:rPr>
        <w:t>w następstwie zbycia aktywów i zobowiązań dokonanego w ramach reorganizacji w zbywającej jednostce składowej powstaje tzw.</w:t>
      </w:r>
      <w:r w:rsidR="00ED0CCE"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niekwalifikowany zysk (strata). Ma to miejsce np.</w:t>
      </w:r>
      <w:r w:rsidR="00ED0CCE"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gdy istnieje ograniczenie kwoty wynagrodzenia o charakterze niekapitałowym, które można zapłacić, aby transakcja kwalifikowała się jako niepodlegająca opodatkowaniu.  Na przykład, co do zasady dana operacja (np. połączenie) jest neutralna na gruncie lokalnego prawa podatkowego, ale może być opodatkowana w określonym zakresie (np. z tytułu dopłat gotówkowych przekraczających określony próg).</w:t>
      </w:r>
    </w:p>
    <w:p w14:paraId="24DF7454"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takim przypadku, zgodnie z art. 109 ust. 1 pkt 1 jednostka ta uwzględnia zysk (stratę) z tytułu tego zbycia w kwalifikowanym dochodzie (stracie), </w:t>
      </w:r>
      <w:r w:rsidRPr="00633318">
        <w:rPr>
          <w:rFonts w:ascii="Times New Roman" w:hAnsi="Times New Roman" w:cs="Times New Roman"/>
          <w:b/>
          <w:sz w:val="24"/>
          <w:szCs w:val="24"/>
        </w:rPr>
        <w:t>do wysokości tego niekwalifikowanego zysku (straty)</w:t>
      </w:r>
      <w:r w:rsidRPr="00633318">
        <w:rPr>
          <w:rFonts w:ascii="Times New Roman" w:hAnsi="Times New Roman" w:cs="Times New Roman"/>
          <w:bCs/>
          <w:sz w:val="24"/>
          <w:szCs w:val="24"/>
        </w:rPr>
        <w:t xml:space="preserve">. </w:t>
      </w:r>
    </w:p>
    <w:p w14:paraId="2B7E7988" w14:textId="27795B4D"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Niekwalifikowany zysk (strat</w:t>
      </w:r>
      <w:r w:rsidR="00ED0CCE" w:rsidRPr="00633318">
        <w:rPr>
          <w:rFonts w:ascii="Times New Roman" w:hAnsi="Times New Roman" w:cs="Times New Roman"/>
          <w:bCs/>
          <w:sz w:val="24"/>
          <w:szCs w:val="24"/>
        </w:rPr>
        <w:t>ę</w:t>
      </w:r>
      <w:r w:rsidRPr="00633318">
        <w:rPr>
          <w:rFonts w:ascii="Times New Roman" w:hAnsi="Times New Roman" w:cs="Times New Roman"/>
          <w:bCs/>
          <w:sz w:val="24"/>
          <w:szCs w:val="24"/>
        </w:rPr>
        <w:t>) uwzględnia się jednak tylko w wysokości nieprzekraczające</w:t>
      </w:r>
      <w:r w:rsidR="00ED0CCE" w:rsidRPr="00633318">
        <w:rPr>
          <w:rFonts w:ascii="Times New Roman" w:hAnsi="Times New Roman" w:cs="Times New Roman"/>
          <w:bCs/>
          <w:sz w:val="24"/>
          <w:szCs w:val="24"/>
        </w:rPr>
        <w:t>j</w:t>
      </w:r>
      <w:r w:rsidRPr="00633318">
        <w:rPr>
          <w:rFonts w:ascii="Times New Roman" w:hAnsi="Times New Roman" w:cs="Times New Roman"/>
          <w:bCs/>
          <w:sz w:val="24"/>
          <w:szCs w:val="24"/>
        </w:rPr>
        <w:t xml:space="preserve"> odpowiedniego zysku (straty) ujętego w księgach. Wynika to z tego, że zysk (strata) netto są punktem wyjściowym do obliczenia kwalifikowanego dochodu (straty). Stąd, niekwalifikowany zysk (stratę) określa się jako mniejszą z kwot zysku (straty) wykazanego w sprawozdaniu finansowym lub podlegającego opodatkowaniu zysku (straty) powstałego w wyniku reorganizacji. </w:t>
      </w:r>
    </w:p>
    <w:p w14:paraId="2E092708" w14:textId="75B06B04"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 kolei, zgodnie z art. 109 ust. 1 pkt 2 nabywająca te aktywa i zobowiązania jednostka składowa oblicza kwalifikowany dochód (stratę) na podstawie wartości </w:t>
      </w:r>
      <w:r w:rsidR="00596CE8" w:rsidRPr="00633318">
        <w:rPr>
          <w:rFonts w:ascii="Times New Roman" w:hAnsi="Times New Roman" w:cs="Times New Roman"/>
          <w:bCs/>
          <w:sz w:val="24"/>
          <w:szCs w:val="24"/>
        </w:rPr>
        <w:t>bilansow</w:t>
      </w:r>
      <w:r w:rsidRPr="00633318">
        <w:rPr>
          <w:rFonts w:ascii="Times New Roman" w:hAnsi="Times New Roman" w:cs="Times New Roman"/>
          <w:bCs/>
          <w:sz w:val="24"/>
          <w:szCs w:val="24"/>
        </w:rPr>
        <w:t xml:space="preserve">ej </w:t>
      </w:r>
      <w:r w:rsidR="00711380" w:rsidRPr="00633318">
        <w:rPr>
          <w:rFonts w:ascii="Times New Roman" w:hAnsi="Times New Roman" w:cs="Times New Roman"/>
          <w:bCs/>
          <w:sz w:val="24"/>
          <w:szCs w:val="24"/>
        </w:rPr>
        <w:t>ustalonej zgodnie z zasadą kontynuacji wyceny</w:t>
      </w:r>
      <w:r w:rsidRPr="00633318">
        <w:rPr>
          <w:rFonts w:ascii="Times New Roman" w:hAnsi="Times New Roman" w:cs="Times New Roman"/>
          <w:bCs/>
          <w:sz w:val="24"/>
          <w:szCs w:val="24"/>
        </w:rPr>
        <w:t xml:space="preserve">, </w:t>
      </w:r>
      <w:r w:rsidR="00711380" w:rsidRPr="00633318">
        <w:rPr>
          <w:rFonts w:ascii="Times New Roman" w:hAnsi="Times New Roman" w:cs="Times New Roman"/>
          <w:bCs/>
          <w:sz w:val="24"/>
          <w:szCs w:val="24"/>
        </w:rPr>
        <w:t xml:space="preserve">jednakże </w:t>
      </w:r>
      <w:r w:rsidRPr="00633318">
        <w:rPr>
          <w:rFonts w:ascii="Times New Roman" w:hAnsi="Times New Roman" w:cs="Times New Roman"/>
          <w:bCs/>
          <w:sz w:val="24"/>
          <w:szCs w:val="24"/>
        </w:rPr>
        <w:t xml:space="preserve">z uwzględnieniem korekty dokonanej zgodnie z przepisami podatkowymi właściwymi ze względu na lokalizację tej jednostki, w związku z powstaniem tego niekwalifikowanego zysku (straty). Zatem, nabywająca jednostka składowa zwiększy lub obniży wartość </w:t>
      </w:r>
      <w:r w:rsidR="00596CE8" w:rsidRPr="00633318">
        <w:rPr>
          <w:rFonts w:ascii="Times New Roman" w:hAnsi="Times New Roman" w:cs="Times New Roman"/>
          <w:bCs/>
          <w:sz w:val="24"/>
          <w:szCs w:val="24"/>
        </w:rPr>
        <w:t>bilansow</w:t>
      </w:r>
      <w:r w:rsidRPr="00633318">
        <w:rPr>
          <w:rFonts w:ascii="Times New Roman" w:hAnsi="Times New Roman" w:cs="Times New Roman"/>
          <w:bCs/>
          <w:sz w:val="24"/>
          <w:szCs w:val="24"/>
        </w:rPr>
        <w:t>ą nabytych aktywów oraz zobowiązań, w zakresie odzwierciedlającym niekwalifikowany zysk (stratę).</w:t>
      </w:r>
    </w:p>
    <w:p w14:paraId="302B2278"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Zasady te mają zastosowanie zarówno do transakcji krajowych, jak i transgranicznych, które kwalifikują się jako reorganizacje na gruncie ustawy. Ponadto, art. 109 nie wymaga, aby zbywająca jednostka składowa i nabywająca jednostka składowa należały do tej samej grupy i ma zastosowanie niezależnie od tego, czy kontrahentem transakcji jest jednostka wchodząca w skład grupy podlegającej Systemowi GloBE.</w:t>
      </w:r>
    </w:p>
    <w:p w14:paraId="01D610CB" w14:textId="77777777" w:rsidR="00A16FDB" w:rsidRPr="00633318" w:rsidRDefault="00A16FDB" w:rsidP="00A16FDB">
      <w:pPr>
        <w:pStyle w:val="Nagwek5"/>
        <w:rPr>
          <w:rFonts w:ascii="Times New Roman" w:hAnsi="Times New Roman" w:cs="Times New Roman"/>
          <w:sz w:val="24"/>
          <w:szCs w:val="24"/>
        </w:rPr>
      </w:pPr>
      <w:r w:rsidRPr="00633318">
        <w:rPr>
          <w:rFonts w:ascii="Times New Roman" w:hAnsi="Times New Roman" w:cs="Times New Roman"/>
          <w:sz w:val="24"/>
          <w:szCs w:val="24"/>
        </w:rPr>
        <w:t>Art. 110 [Korekta wartości aktywów i zobowiązań do wartości godziwej]</w:t>
      </w:r>
    </w:p>
    <w:p w14:paraId="0C4EDBE5" w14:textId="53736FA4"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Art. 110</w:t>
      </w:r>
      <w:r w:rsidRPr="00633318">
        <w:rPr>
          <w:rFonts w:ascii="Times New Roman" w:hAnsi="Times New Roman" w:cs="Times New Roman"/>
          <w:bCs/>
          <w:sz w:val="24"/>
          <w:szCs w:val="24"/>
        </w:rPr>
        <w:t xml:space="preserve"> stanowi implementację art. 35.5 Dyrektywy. Dotyczy on sytuacji, w której – w związku z określonym zdarzeniem – </w:t>
      </w:r>
      <w:bookmarkStart w:id="61" w:name="_Hlk150195471"/>
      <w:r w:rsidRPr="00633318">
        <w:rPr>
          <w:rFonts w:ascii="Times New Roman" w:hAnsi="Times New Roman" w:cs="Times New Roman"/>
          <w:bCs/>
          <w:sz w:val="24"/>
          <w:szCs w:val="24"/>
        </w:rPr>
        <w:t xml:space="preserve">jednostka składowa </w:t>
      </w:r>
      <w:bookmarkEnd w:id="61"/>
      <w:r w:rsidRPr="00633318">
        <w:rPr>
          <w:rFonts w:ascii="Times New Roman" w:hAnsi="Times New Roman" w:cs="Times New Roman"/>
          <w:bCs/>
          <w:sz w:val="24"/>
          <w:szCs w:val="24"/>
        </w:rPr>
        <w:t xml:space="preserve">grupy, zgodnie z przepisami obowiązującymi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jej lokalizacji, ma prawo lub jest obowiązana do skorygowania dla celów podatku kwalifikowanego wartości </w:t>
      </w:r>
      <w:bookmarkStart w:id="62" w:name="_Hlk150194345"/>
      <w:r w:rsidRPr="00633318">
        <w:rPr>
          <w:rFonts w:ascii="Times New Roman" w:hAnsi="Times New Roman" w:cs="Times New Roman"/>
          <w:bCs/>
          <w:sz w:val="24"/>
          <w:szCs w:val="24"/>
        </w:rPr>
        <w:t>aktywów i zobowiązań do wartości godziwej</w:t>
      </w:r>
      <w:bookmarkEnd w:id="62"/>
      <w:r w:rsidRPr="00633318">
        <w:rPr>
          <w:rFonts w:ascii="Times New Roman" w:hAnsi="Times New Roman" w:cs="Times New Roman"/>
          <w:bCs/>
          <w:sz w:val="24"/>
          <w:szCs w:val="24"/>
        </w:rPr>
        <w:t xml:space="preserve">. W świetle Komentarza może to mieć miejsce np., gdy jednostka składowa podlega opodatkowaniu podatkiem od niezrealizowanych zysków z powodu reorganizacji transgranicznej lub zmiany w rezydencji podatkowej podmiotu czy w momencie przyłączenia się lub opuszczania podatkowej grupy kapitałowej. Nie dotyczy to natomiast zwykłej sprzedaży aktywów (np. sprzedaży zapasów) przez jednostkę składową lub np. korekty cen transferowych. </w:t>
      </w:r>
    </w:p>
    <w:p w14:paraId="485690BF"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odniesieniu do takich sytuacji regulacje art. 100 mają na celu dostosowanie skutków transakcji na gruncie Zasad GloBE ze skutkami powstałymi na mocy lokalnych regulacji podatku dochodowego. </w:t>
      </w:r>
    </w:p>
    <w:p w14:paraId="3BFBD4D5" w14:textId="5DDB82BF"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przypadku dokonania wyboru, o którym mowa w tym artykule, kwalifikowany dochód (stratę) tej jednostki ustala się w sposób szczególny. Zgodnie z </w:t>
      </w:r>
      <w:r w:rsidRPr="00633318">
        <w:rPr>
          <w:rFonts w:ascii="Times New Roman" w:hAnsi="Times New Roman" w:cs="Times New Roman"/>
          <w:b/>
          <w:sz w:val="24"/>
          <w:szCs w:val="24"/>
        </w:rPr>
        <w:t>ust. 2</w:t>
      </w:r>
      <w:r w:rsidRPr="00633318">
        <w:rPr>
          <w:rFonts w:ascii="Times New Roman" w:hAnsi="Times New Roman" w:cs="Times New Roman"/>
          <w:bCs/>
          <w:sz w:val="24"/>
          <w:szCs w:val="24"/>
        </w:rPr>
        <w:t xml:space="preserve">, jednostka ta przy obliczaniu kwalifikowanego dochodu (straty) uwzględnia kwotę zysku (straty) odpowiadającą </w:t>
      </w:r>
      <w:r w:rsidRPr="00633318">
        <w:rPr>
          <w:rFonts w:ascii="Times New Roman" w:hAnsi="Times New Roman" w:cs="Times New Roman"/>
          <w:b/>
          <w:sz w:val="24"/>
          <w:szCs w:val="24"/>
        </w:rPr>
        <w:t xml:space="preserve">różnicy między wartością </w:t>
      </w:r>
      <w:r w:rsidR="00596CE8" w:rsidRPr="00633318">
        <w:rPr>
          <w:rFonts w:ascii="Times New Roman" w:hAnsi="Times New Roman" w:cs="Times New Roman"/>
          <w:b/>
          <w:sz w:val="24"/>
          <w:szCs w:val="24"/>
        </w:rPr>
        <w:t>bilansową</w:t>
      </w:r>
      <w:r w:rsidRPr="00633318">
        <w:rPr>
          <w:rFonts w:ascii="Times New Roman" w:hAnsi="Times New Roman" w:cs="Times New Roman"/>
          <w:b/>
          <w:sz w:val="24"/>
          <w:szCs w:val="24"/>
        </w:rPr>
        <w:t xml:space="preserve"> poszczególnych składników aktywów i zobowiązań, ustaloną bezpośrednio przed wskazanym zdarzeniem, a wartością godziwą tych składników ustaloną bezpośrednio po tym zdarzeniu</w:t>
      </w:r>
      <w:r w:rsidRPr="00633318">
        <w:rPr>
          <w:rFonts w:ascii="Times New Roman" w:hAnsi="Times New Roman" w:cs="Times New Roman"/>
          <w:bCs/>
          <w:sz w:val="24"/>
          <w:szCs w:val="24"/>
        </w:rPr>
        <w:t xml:space="preserve">, zgodnie ze standardem rachunkowości stosowanym dla sporządzenia skonsolidowanego sprawozdania finansowego. </w:t>
      </w:r>
    </w:p>
    <w:p w14:paraId="4720B7AF"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Ponieważ zdarzenie takie może nastąpić w związku z reorganizacją, mógł też wystąpić niekwalifikowany zysk (strata). W takim przypadku, kwota zysku wskazana w ust. 2 (odpowiednia różnica) jest zmniejszana o kwotę wszelkich zysków  już poprzednio uwzględnionych w kwalifikowanym dochodzie (stracie) jako niekwalifikowalny zysk. W przypadku strat, odpowiednie kwoty zwiększa się w miejsce pomniejszenia. Regulacja ta zapobiega powielaniu zysków i strat, które zostały już uwzględnione w obliczeniach kwalifikowanego dochodu (straty) zgodnie z wcześniejszymi przepisami. </w:t>
      </w:r>
    </w:p>
    <w:p w14:paraId="4D339947"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w:t>
      </w:r>
      <w:r w:rsidRPr="00633318">
        <w:rPr>
          <w:rFonts w:ascii="Times New Roman" w:hAnsi="Times New Roman" w:cs="Times New Roman"/>
          <w:b/>
          <w:sz w:val="24"/>
          <w:szCs w:val="24"/>
        </w:rPr>
        <w:t>ust. 3</w:t>
      </w:r>
      <w:r w:rsidRPr="00633318">
        <w:rPr>
          <w:rFonts w:ascii="Times New Roman" w:hAnsi="Times New Roman" w:cs="Times New Roman"/>
          <w:bCs/>
          <w:sz w:val="24"/>
          <w:szCs w:val="24"/>
        </w:rPr>
        <w:t xml:space="preserve"> uwzględnienie kwoty takiego zysku (straty) w kwalifikowanym dochodzie (stracie) następuje:</w:t>
      </w:r>
    </w:p>
    <w:p w14:paraId="4F8C176D" w14:textId="77777777" w:rsidR="00A16FDB" w:rsidRPr="00633318" w:rsidRDefault="00A16FDB" w:rsidP="002C7467">
      <w:pPr>
        <w:pStyle w:val="Akapitzlist"/>
        <w:numPr>
          <w:ilvl w:val="0"/>
          <w:numId w:val="72"/>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pełnej wysokości za rok podatkowy, w którym wystąpiło zdarzenie będące podstawą korekty wartości aktywów i zobowiązań do wartości godziwej, albo</w:t>
      </w:r>
    </w:p>
    <w:p w14:paraId="4C6B9A3F" w14:textId="77777777" w:rsidR="00A16FDB" w:rsidRPr="00633318" w:rsidRDefault="00A16FDB" w:rsidP="002C7467">
      <w:pPr>
        <w:pStyle w:val="Akapitzlist"/>
        <w:numPr>
          <w:ilvl w:val="0"/>
          <w:numId w:val="72"/>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za rok podatkowy, w którym wystąpiło zdarzenie będące podstawą korekty wartości aktywów i zobowiązań do wartości godziwej oraz w kolejno następujących po sobie czterech latach podatkowych, w kwocie odpowiadającej 1/5 tej kwoty (zysku (straty) w każdym z tych lat.</w:t>
      </w:r>
    </w:p>
    <w:p w14:paraId="57094112"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tym drugim przypadku, stosownie do </w:t>
      </w:r>
      <w:r w:rsidRPr="00633318">
        <w:rPr>
          <w:rFonts w:ascii="Times New Roman" w:hAnsi="Times New Roman" w:cs="Times New Roman"/>
          <w:b/>
          <w:sz w:val="24"/>
          <w:szCs w:val="24"/>
        </w:rPr>
        <w:t>ust. 4</w:t>
      </w:r>
      <w:r w:rsidRPr="00633318">
        <w:rPr>
          <w:rFonts w:ascii="Times New Roman" w:hAnsi="Times New Roman" w:cs="Times New Roman"/>
          <w:bCs/>
          <w:sz w:val="24"/>
          <w:szCs w:val="24"/>
        </w:rPr>
        <w:t>, jeżeli jednostka przestaje być jednostką składową grupy międzynarodowej lub grupy krajowej w którymkolwiek z tych 5 lat podatkowych, nierozliczona w kwalifikowanym dochodzie (stracie) tej jednostki kwota zysku (straty) podlega rozliczeniu w tym roku podatkowym, w którym przestaje być jednostką składową grupy międzynarodowej lub grupy krajowej.</w:t>
      </w:r>
    </w:p>
    <w:p w14:paraId="191235BE" w14:textId="77777777" w:rsidR="00A16FDB" w:rsidRPr="00633318" w:rsidRDefault="00A16FDB" w:rsidP="00A16FDB">
      <w:pPr>
        <w:spacing w:after="120"/>
        <w:jc w:val="both"/>
        <w:rPr>
          <w:rFonts w:ascii="Times New Roman" w:hAnsi="Times New Roman" w:cs="Times New Roman"/>
          <w:sz w:val="24"/>
          <w:szCs w:val="24"/>
        </w:rPr>
      </w:pPr>
      <w:r w:rsidRPr="00633318">
        <w:rPr>
          <w:rFonts w:ascii="Times New Roman" w:hAnsi="Times New Roman" w:cs="Times New Roman"/>
          <w:bCs/>
          <w:sz w:val="24"/>
          <w:szCs w:val="24"/>
        </w:rPr>
        <w:t>Zgodnie z ust. 5 jednostka składowa, która</w:t>
      </w:r>
      <w:r w:rsidRPr="00633318">
        <w:rPr>
          <w:rFonts w:ascii="Times New Roman" w:hAnsi="Times New Roman" w:cs="Times New Roman"/>
          <w:sz w:val="24"/>
          <w:szCs w:val="24"/>
        </w:rPr>
        <w:t xml:space="preserve"> </w:t>
      </w:r>
      <w:r w:rsidRPr="00633318">
        <w:rPr>
          <w:rFonts w:ascii="Times New Roman" w:hAnsi="Times New Roman" w:cs="Times New Roman"/>
          <w:bCs/>
          <w:sz w:val="24"/>
          <w:szCs w:val="24"/>
        </w:rPr>
        <w:t xml:space="preserve">zgodnie z omawianym wyborem i w związku z określonym zdarzeniem skorygowała dla celów kwalifikowanego dochodu (straty) wartości poszczególnych aktywów i zobowiązań do wartości godziwej, wartość tę uwzględnia dla celów obliczenia kwalifikowanego dochodu (straty) w latach podatkowych następujących po roku, w którym zdarzenie to wystąpiło. </w:t>
      </w:r>
      <w:r w:rsidRPr="00633318">
        <w:rPr>
          <w:rFonts w:ascii="Times New Roman" w:hAnsi="Times New Roman" w:cs="Times New Roman"/>
          <w:sz w:val="24"/>
          <w:szCs w:val="24"/>
        </w:rPr>
        <w:t>Wartość godziwa, o której mowa w tym ustępie, to wartość godziwa aktywów ustalona zgodnie ze standardami rachunkowości finansowej stosowanymi do sporządzenia skonsolidowanego sprawozdania grupy.</w:t>
      </w:r>
    </w:p>
    <w:p w14:paraId="6AA48A92" w14:textId="397D38C1" w:rsidR="00A16FDB" w:rsidRPr="00633318" w:rsidRDefault="000637CF" w:rsidP="00A16FDB">
      <w:pPr>
        <w:pStyle w:val="Nagwek3"/>
        <w:spacing w:before="240"/>
        <w:rPr>
          <w:rFonts w:ascii="Times New Roman" w:eastAsia="Times New Roman" w:hAnsi="Times New Roman" w:cs="Times New Roman"/>
          <w:sz w:val="24"/>
        </w:rPr>
      </w:pPr>
      <w:r w:rsidRPr="00633318">
        <w:rPr>
          <w:rFonts w:ascii="Times New Roman" w:eastAsia="Times New Roman" w:hAnsi="Times New Roman" w:cs="Times New Roman"/>
          <w:sz w:val="24"/>
        </w:rPr>
        <w:br w:type="column"/>
      </w:r>
      <w:r w:rsidR="00A16FDB" w:rsidRPr="00633318">
        <w:rPr>
          <w:rFonts w:ascii="Times New Roman" w:eastAsia="Times New Roman" w:hAnsi="Times New Roman" w:cs="Times New Roman"/>
          <w:sz w:val="24"/>
        </w:rPr>
        <w:t>Rozdział 3 – Grupy o kilku jednostkach dominujących</w:t>
      </w:r>
    </w:p>
    <w:p w14:paraId="4564E6FE" w14:textId="77777777" w:rsidR="00A16FDB" w:rsidRPr="00633318" w:rsidRDefault="00A16FDB" w:rsidP="00A16FDB">
      <w:pPr>
        <w:keepNext/>
        <w:keepLines/>
        <w:spacing w:before="40" w:after="120"/>
        <w:outlineLvl w:val="4"/>
        <w:rPr>
          <w:rFonts w:ascii="Times New Roman" w:eastAsia="Times New Roman" w:hAnsi="Times New Roman" w:cs="Times New Roman"/>
          <w:i/>
          <w:color w:val="2E74B5"/>
          <w:sz w:val="24"/>
          <w:szCs w:val="24"/>
        </w:rPr>
      </w:pPr>
      <w:r w:rsidRPr="00633318">
        <w:rPr>
          <w:rFonts w:ascii="Times New Roman" w:eastAsia="Times New Roman" w:hAnsi="Times New Roman" w:cs="Times New Roman"/>
          <w:i/>
          <w:color w:val="2E74B5"/>
          <w:sz w:val="24"/>
          <w:szCs w:val="24"/>
        </w:rPr>
        <w:t>Art. 111 [Jednostki składowe co najmniej dwóch odrębnych grup - definicje]</w:t>
      </w:r>
    </w:p>
    <w:p w14:paraId="4AFE83F3"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Art. 111</w:t>
      </w:r>
      <w:r w:rsidRPr="00633318">
        <w:rPr>
          <w:rFonts w:ascii="Times New Roman" w:hAnsi="Times New Roman" w:cs="Times New Roman"/>
          <w:bCs/>
          <w:sz w:val="24"/>
          <w:szCs w:val="24"/>
        </w:rPr>
        <w:t xml:space="preserve"> stanowi implementację art. 37 Dyrektywy. </w:t>
      </w:r>
    </w:p>
    <w:p w14:paraId="2118EDC7" w14:textId="6DB85555"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w:t>
      </w:r>
      <w:r w:rsidRPr="00633318">
        <w:rPr>
          <w:rFonts w:ascii="Times New Roman" w:hAnsi="Times New Roman" w:cs="Times New Roman"/>
          <w:b/>
          <w:sz w:val="24"/>
          <w:szCs w:val="24"/>
        </w:rPr>
        <w:t>ust. 1</w:t>
      </w:r>
      <w:r w:rsidRPr="00633318">
        <w:rPr>
          <w:rFonts w:ascii="Times New Roman" w:hAnsi="Times New Roman" w:cs="Times New Roman"/>
          <w:bCs/>
          <w:sz w:val="24"/>
          <w:szCs w:val="24"/>
        </w:rPr>
        <w:t xml:space="preserve"> zaimplementowany został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1 lit a Dyrektywy i zdefiniowana została „grupa o kilku jednostkach dominujących”. Wyrażenie to oznacza co najmniej dwie odrębne grupy, których jednostki dominujące najwyższego szczebla zawierają porozumienie będące niżej zdefiniowaną „strukturą łączoną” lub „strukturą podwójnie notowaną”. Może ono mieć aspekt transgraniczny (obejmować co najmniej jedną jednostkę lub stały zakład połączonej grupy </w:t>
      </w:r>
      <w:r w:rsidRPr="00633318">
        <w:rPr>
          <w:rFonts w:ascii="Times New Roman" w:hAnsi="Times New Roman" w:cs="Times New Roman"/>
          <w:sz w:val="24"/>
          <w:szCs w:val="24"/>
        </w:rPr>
        <w:t>zlokalizowane</w:t>
      </w:r>
      <w:r w:rsidRPr="00633318">
        <w:rPr>
          <w:rFonts w:ascii="Times New Roman" w:hAnsi="Times New Roman" w:cs="Times New Roman"/>
          <w:bCs/>
          <w:sz w:val="24"/>
          <w:szCs w:val="24"/>
        </w:rPr>
        <w:t xml:space="preserve"> w </w:t>
      </w:r>
      <w:r w:rsidR="00DA5234" w:rsidRPr="00633318">
        <w:rPr>
          <w:rFonts w:ascii="Times New Roman" w:hAnsi="Times New Roman" w:cs="Times New Roman"/>
          <w:bCs/>
          <w:sz w:val="24"/>
          <w:szCs w:val="24"/>
        </w:rPr>
        <w:t xml:space="preserve">innej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niż </w:t>
      </w:r>
      <w:r w:rsidR="00DA5234" w:rsidRPr="00633318">
        <w:rPr>
          <w:rFonts w:ascii="Times New Roman" w:hAnsi="Times New Roman" w:cs="Times New Roman"/>
          <w:sz w:val="24"/>
          <w:szCs w:val="24"/>
        </w:rPr>
        <w:t>jurysdykcja</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lokalizacji pozostałych jednostek składowych tej grupy) albo może obejmować tylko grupy krajowe.</w:t>
      </w:r>
    </w:p>
    <w:p w14:paraId="54669F5E" w14:textId="73D0FF30"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Przepis ten dotyczy sytuacji, w której dwie grupy (lub więcej) sporządza</w:t>
      </w:r>
      <w:r w:rsidR="008064D7" w:rsidRPr="00633318">
        <w:rPr>
          <w:rFonts w:ascii="Times New Roman" w:hAnsi="Times New Roman" w:cs="Times New Roman"/>
          <w:bCs/>
          <w:sz w:val="24"/>
          <w:szCs w:val="24"/>
        </w:rPr>
        <w:t>ją</w:t>
      </w:r>
      <w:r w:rsidRPr="00633318">
        <w:rPr>
          <w:rFonts w:ascii="Times New Roman" w:hAnsi="Times New Roman" w:cs="Times New Roman"/>
          <w:bCs/>
          <w:sz w:val="24"/>
          <w:szCs w:val="24"/>
        </w:rPr>
        <w:t xml:space="preserve"> skonsolidowane sprawozdanie finansowe, w którym wyniki finansowe tych grup są prezentowane jako pojedyncza jednostka gospodarcza, a wynika to z zawarcia przez jednostki dominujące najwyższego szczebla porozumienia o strukturze łączonej (zdefiniowanej w ust. 2) lub strukturze podwójnie notowanej (zdefiniowanej w ust. 3). </w:t>
      </w:r>
    </w:p>
    <w:p w14:paraId="7FFCBC33"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Grupy takie określane są łącznie jako grupy o kilku jednostkach dominujących. Celem jest zapewnienie, że Zasady GloBE będą miały zastosowanie do tych struktur w taki sam sposób, w jaki miałyby zastosowanie do grupy o jednej jednostce dominującej. Dokonuje się to poprzez modyfikację zasad obliczania globalnego podatku wyrównawczego uwzględniającą wszystkie jednostki składowe grupy o kilku jednostkach dominujących. </w:t>
      </w:r>
    </w:p>
    <w:p w14:paraId="1DCCF5AD" w14:textId="33DACDF9"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Odpowiednio, to czy jednostka stanowi jednostkę składową takie</w:t>
      </w:r>
      <w:r w:rsidR="008064D7" w:rsidRPr="00633318">
        <w:rPr>
          <w:rFonts w:ascii="Times New Roman" w:hAnsi="Times New Roman" w:cs="Times New Roman"/>
          <w:bCs/>
          <w:sz w:val="24"/>
          <w:szCs w:val="24"/>
        </w:rPr>
        <w:t>j</w:t>
      </w:r>
      <w:r w:rsidRPr="00633318">
        <w:rPr>
          <w:rFonts w:ascii="Times New Roman" w:hAnsi="Times New Roman" w:cs="Times New Roman"/>
          <w:bCs/>
          <w:sz w:val="24"/>
          <w:szCs w:val="24"/>
        </w:rPr>
        <w:t xml:space="preserve"> grupy o kilku jednostkach dominujących określa się w oparciu o sumę udziałów własnościowych posiadanych przez każdą z grup tworzących taką grupę o kilku jednostkach dominujących. Przykładowo dwie odrębne grupy mogą posiadać po 50% udziałów własnościowych jednostki. W takim przypadku jednostka byłaby traktowana jako joint venture przez każdą grupę indywidualnie. Jednak kiedy jednostki dominujące najwyższego szczebla każdej z grup są częścią struktury łączonej lub struktury podwójnie notowanej, takie joint venture staje się jednostką składową grupy o kilku jednostkach dominujących.</w:t>
      </w:r>
    </w:p>
    <w:p w14:paraId="5AF9BF25"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Zdefiniowana w </w:t>
      </w:r>
      <w:r w:rsidRPr="00633318">
        <w:rPr>
          <w:rFonts w:ascii="Times New Roman" w:hAnsi="Times New Roman" w:cs="Times New Roman"/>
          <w:b/>
          <w:sz w:val="24"/>
          <w:szCs w:val="24"/>
        </w:rPr>
        <w:t>ust. 2</w:t>
      </w:r>
      <w:r w:rsidRPr="00633318">
        <w:rPr>
          <w:rFonts w:ascii="Times New Roman" w:hAnsi="Times New Roman" w:cs="Times New Roman"/>
          <w:bCs/>
          <w:sz w:val="24"/>
          <w:szCs w:val="24"/>
        </w:rPr>
        <w:t xml:space="preserve"> „struktura łączona” oznacza porozumienie zawarte przez co najmniej dwie jednostki dominujące najwyższego szczebla odrębnych grup międzynarodowych lub grup krajowych, zgodnie z którym:</w:t>
      </w:r>
    </w:p>
    <w:p w14:paraId="3A26CB5A" w14:textId="77777777" w:rsidR="00A16FDB" w:rsidRPr="00633318" w:rsidRDefault="00A16FDB" w:rsidP="002C7467">
      <w:pPr>
        <w:pStyle w:val="Akapitzlist"/>
        <w:numPr>
          <w:ilvl w:val="2"/>
          <w:numId w:val="70"/>
        </w:numPr>
        <w:spacing w:after="120"/>
        <w:ind w:left="567" w:hanging="425"/>
        <w:jc w:val="both"/>
        <w:rPr>
          <w:rFonts w:ascii="Times New Roman" w:hAnsi="Times New Roman" w:cs="Times New Roman"/>
          <w:bCs/>
          <w:sz w:val="24"/>
          <w:szCs w:val="24"/>
        </w:rPr>
      </w:pPr>
      <w:r w:rsidRPr="00633318">
        <w:rPr>
          <w:rFonts w:ascii="Times New Roman" w:hAnsi="Times New Roman" w:cs="Times New Roman"/>
          <w:bCs/>
          <w:sz w:val="24"/>
          <w:szCs w:val="24"/>
        </w:rPr>
        <w:t>co najmniej 50 % udziałów własnościowych w tych jednostkach nie można odrębnie zbywać lub przenosić ich własności w innej formie, ze względu na formę ich własności, ograniczenia dotyczące przenoszenia praw ich własności lub inne warunki, oraz które to udziały, w przypadku kiedy są notowane na rynku kapitałowym, są notowane po tej samej cenie, oraz</w:t>
      </w:r>
    </w:p>
    <w:p w14:paraId="7D541E86" w14:textId="53AE95C3" w:rsidR="00A16FDB" w:rsidRPr="00633318" w:rsidRDefault="00A16FDB" w:rsidP="002C7467">
      <w:pPr>
        <w:pStyle w:val="Akapitzlist"/>
        <w:numPr>
          <w:ilvl w:val="2"/>
          <w:numId w:val="70"/>
        </w:numPr>
        <w:spacing w:after="120"/>
        <w:ind w:left="567"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jedna z jednostek dominujących najwyższego szczebla sporządza skonsolidowane sprawozdanie finansowe dla wszystkich jednostek należących do tych grup, w którym ujmuje się łącznie jako dotyczące jednej jednostki gospodarczej aktywa, zobowiązania, przychody, koszty i przepływy pieniężne i które obowiązkowo podlega audytowi zewnętrznemu, zgodnie z przepisami obowiązującymi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lokalizacji jednostki sporządzającej to sprawozdanie.</w:t>
      </w:r>
    </w:p>
    <w:p w14:paraId="1F23EAED"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 kolei zdefiniowana w </w:t>
      </w:r>
      <w:r w:rsidRPr="00633318">
        <w:rPr>
          <w:rFonts w:ascii="Times New Roman" w:hAnsi="Times New Roman" w:cs="Times New Roman"/>
          <w:b/>
          <w:sz w:val="24"/>
          <w:szCs w:val="24"/>
        </w:rPr>
        <w:t>ust. 3</w:t>
      </w:r>
      <w:r w:rsidRPr="00633318">
        <w:rPr>
          <w:rFonts w:ascii="Times New Roman" w:hAnsi="Times New Roman" w:cs="Times New Roman"/>
          <w:bCs/>
          <w:sz w:val="24"/>
          <w:szCs w:val="24"/>
        </w:rPr>
        <w:t xml:space="preserve"> „struktura podwójnie notowana” oznacza porozumienie zawarte przez co najmniej dwie jednostki dominujące najwyższego szczebla odrębnych grup międzynarodowych lub grup krajowych, zgodnie z którym łącznie spełnione są warunki:</w:t>
      </w:r>
    </w:p>
    <w:p w14:paraId="3FF83D78" w14:textId="77777777" w:rsidR="00A16FDB" w:rsidRPr="00633318" w:rsidRDefault="00A16FDB" w:rsidP="002C7467">
      <w:pPr>
        <w:pStyle w:val="Akapitzlist"/>
        <w:numPr>
          <w:ilvl w:val="2"/>
          <w:numId w:val="69"/>
        </w:numPr>
        <w:spacing w:after="120"/>
        <w:ind w:left="567"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te jednostki dominujące najwyższego szczebla podejmują się, na podstawie umowy, wspólnego prowadzenia działalności, </w:t>
      </w:r>
    </w:p>
    <w:p w14:paraId="315B075A" w14:textId="77777777" w:rsidR="00A16FDB" w:rsidRPr="00633318" w:rsidRDefault="00A16FDB" w:rsidP="002C7467">
      <w:pPr>
        <w:pStyle w:val="Akapitzlist"/>
        <w:numPr>
          <w:ilvl w:val="2"/>
          <w:numId w:val="69"/>
        </w:numPr>
        <w:spacing w:after="120"/>
        <w:ind w:left="567" w:hanging="425"/>
        <w:jc w:val="both"/>
        <w:rPr>
          <w:rFonts w:ascii="Times New Roman" w:hAnsi="Times New Roman" w:cs="Times New Roman"/>
          <w:bCs/>
          <w:sz w:val="24"/>
          <w:szCs w:val="24"/>
        </w:rPr>
      </w:pPr>
      <w:r w:rsidRPr="00633318">
        <w:rPr>
          <w:rFonts w:ascii="Times New Roman" w:hAnsi="Times New Roman" w:cs="Times New Roman"/>
          <w:bCs/>
          <w:sz w:val="24"/>
          <w:szCs w:val="24"/>
        </w:rPr>
        <w:t>jednostki te dokonują wypłat z tytułu dywidend, oraz z tytułu likwidacji, na rzecz swoich wspólników (właścicieli) na podstawie stałego wskaźnika, określonego w tym porozumieniu,</w:t>
      </w:r>
    </w:p>
    <w:p w14:paraId="0C35CA9C" w14:textId="77777777" w:rsidR="00A16FDB" w:rsidRPr="00633318" w:rsidRDefault="00A16FDB" w:rsidP="002C7467">
      <w:pPr>
        <w:pStyle w:val="Akapitzlist"/>
        <w:numPr>
          <w:ilvl w:val="2"/>
          <w:numId w:val="69"/>
        </w:numPr>
        <w:spacing w:after="120"/>
        <w:ind w:left="567" w:hanging="425"/>
        <w:jc w:val="both"/>
        <w:rPr>
          <w:rFonts w:ascii="Times New Roman" w:hAnsi="Times New Roman" w:cs="Times New Roman"/>
          <w:bCs/>
          <w:sz w:val="24"/>
          <w:szCs w:val="24"/>
        </w:rPr>
      </w:pPr>
      <w:r w:rsidRPr="00633318">
        <w:rPr>
          <w:rFonts w:ascii="Times New Roman" w:hAnsi="Times New Roman" w:cs="Times New Roman"/>
          <w:bCs/>
          <w:sz w:val="24"/>
          <w:szCs w:val="24"/>
        </w:rPr>
        <w:t>działalnością tych jednostek zarządza się tak jakby była to działalność jednej jednostki, przy zachowaniu jednak odrębnej ich osobowości prawnej,</w:t>
      </w:r>
    </w:p>
    <w:p w14:paraId="06AA7E05" w14:textId="77777777" w:rsidR="00A16FDB" w:rsidRPr="00633318" w:rsidRDefault="00A16FDB" w:rsidP="002C7467">
      <w:pPr>
        <w:pStyle w:val="Akapitzlist"/>
        <w:numPr>
          <w:ilvl w:val="2"/>
          <w:numId w:val="69"/>
        </w:numPr>
        <w:spacing w:after="120"/>
        <w:ind w:left="567" w:hanging="425"/>
        <w:jc w:val="both"/>
        <w:rPr>
          <w:rFonts w:ascii="Times New Roman" w:hAnsi="Times New Roman" w:cs="Times New Roman"/>
          <w:bCs/>
          <w:sz w:val="24"/>
          <w:szCs w:val="24"/>
        </w:rPr>
      </w:pPr>
      <w:r w:rsidRPr="00633318">
        <w:rPr>
          <w:rFonts w:ascii="Times New Roman" w:hAnsi="Times New Roman" w:cs="Times New Roman"/>
          <w:bCs/>
          <w:sz w:val="24"/>
          <w:szCs w:val="24"/>
        </w:rPr>
        <w:t>udziały własnościowe tych jednostek są notowane na rynku kapitałowym i mogą być przedmiotem niezależnego obrotu lub przeniesienia, niezależnie od siebie, na różnych rynkach kapitałowych,</w:t>
      </w:r>
    </w:p>
    <w:p w14:paraId="55B133E5" w14:textId="6BB44BA7" w:rsidR="00A16FDB" w:rsidRPr="00633318" w:rsidRDefault="00A16FDB" w:rsidP="002C7467">
      <w:pPr>
        <w:pStyle w:val="Akapitzlist"/>
        <w:numPr>
          <w:ilvl w:val="2"/>
          <w:numId w:val="69"/>
        </w:numPr>
        <w:spacing w:after="120"/>
        <w:ind w:left="567"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jedna z jednostek dominujących najwyższego szczebla sporządza skonsolidowane sprawozdanie finansowe dla wszystkich jednostek należących do tych grup, w którym ujmuje się łącznie jako dotyczące jednej jednostki gospodarczej aktywa, zobowiązania, przychody, koszty i przepływy pieniężne i które obowiązkowo podlegają audytowi zewnętrznemu, zgodnie z przepisami obowiązującymi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lokalizacji jednostki sporządzającej to sprawozdanie. </w:t>
      </w:r>
    </w:p>
    <w:p w14:paraId="0A20CD3C" w14:textId="34BBA9CE"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Ust. 2 i 3 implementują odpowiednio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1 lit b i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1 lit c Dyrektywy. </w:t>
      </w:r>
    </w:p>
    <w:p w14:paraId="276E1FA2"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Struktura łączona to porozumienie, w ramach którego 50% lub więcej udziałów własnościowych w jednostkach dominujących najwyższego szczebla jest „łączone” razem tak, jakby stanowiły udziały własnościowe pojedynczej jednostki. Taka własność (łączona poprzez formę własności, ograniczenia co do przeniesienia lub inne warunki) uniemożliwia ich niezależne przeniesienie lub niezależny obrót. Jeżeli takie łączone udziały własnościowe są notowane na giełdzie papierów wartościowych, są one notowane na tej giełdzie po jednej cenie. Definicja struktury łączonej wymaga również, aby jedna jednostka dominująca najwyższego szczebla sporządzała skonsolidowane sprawozdanie finansowe, w którym aktywa, zobowiązania, przychody, koszty i przepływy pieniężne jednostek z każdej grupy prezentowane są łącznie jako pojedyncza jednostka gospodarcza.</w:t>
      </w:r>
    </w:p>
    <w:p w14:paraId="46C06377"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Drugim porozumieniem objętym definicją grupy o kilku jednostkach dominujących jest struktura podwójnie notowana. Porozumienie notowane na dwóch giełdach to porozumienie, w ramach którego dwie lub więcej jednostek dominujących najwyższego szczebla łączy przedsiębiorstwa w drodze umowy, zamiast przekazywać je we własność i pod kontrolę jednej jednostki.</w:t>
      </w:r>
    </w:p>
    <w:p w14:paraId="5DB4AF5C" w14:textId="7777777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ramach struktury podwójnie notowanej każda jednostka dominująca najwyższego szczebla dokonuje wypłat na rzecz swoich właścicieli w oparciu o stały współczynnik (na podstawie umowy, takiej jak porozumienie wyrównujące), a działalność połączonych grup jest zarządzane zbiorowo, tak jakby były realizowane przez jeden podmiot gospodarczy. Podobnie jak w przypadku struktury łączonej, struktura podwójnie notowana wymaga, aby jedna jednostka dominująca najwyższego szczebla przygotowywała skonsolidowane sprawozdanie finansowe, w którym aktywa, zobowiązania, przychody, koszty i przepływy pieniężne wszystkich jednostek każdej z grup prezentowane są łącznie jako jednostki tworzące jedną jednostkę gospodarczą. Jednak w odróżnieniu do struktury łączonej, udziały własnościowe w jednostkach dominujących najwyższego szczebla struktury podwójnie notowanej są niezależnie wyceniane oraz są przedmiotem obrotu lub transferu niezależnie na różnych rynkach kapitałowych.</w:t>
      </w:r>
    </w:p>
    <w:p w14:paraId="77B8422C" w14:textId="7EC7427F" w:rsidR="00A16FDB" w:rsidRPr="00633318" w:rsidRDefault="00A16FDB" w:rsidP="00A16FDB">
      <w:pPr>
        <w:jc w:val="both"/>
        <w:rPr>
          <w:rFonts w:ascii="Times New Roman" w:hAnsi="Times New Roman" w:cs="Times New Roman"/>
          <w:sz w:val="24"/>
          <w:szCs w:val="24"/>
        </w:rPr>
      </w:pPr>
      <w:r w:rsidRPr="00633318">
        <w:rPr>
          <w:rFonts w:ascii="Times New Roman" w:hAnsi="Times New Roman" w:cs="Times New Roman"/>
          <w:sz w:val="24"/>
          <w:szCs w:val="24"/>
        </w:rPr>
        <w:t xml:space="preserve">Zgodnie z tymi definicjami zarówno w przypadku struktury łączonej, jak i struktury podwójnie notowanej wymogiem jest, aby skonsolidowane sprawozdania finansowe podlegały audytowi zewnętrznemu zgodnie z systemem regulacyjnym. Wymóg ten jest spełniony, gdy jednostka dominująca najwyższego rzędu sporządza skonsolidowane sprawozdanie finansowe zgodnie z akceptowalnym standardem rachunkowości, jeżeli wymaga on, aby takie skonsolidowane sprawozdanie finansowe rzetelnie przedstawiało sytuację finansową i wyniki jednostek oraz podlegało audytowi przeprowadzanemu przez zewnętrznego audytora zgodnie ze standardami audytu wydanymi przez odpowiedni organ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sz w:val="24"/>
          <w:szCs w:val="24"/>
        </w:rPr>
        <w:t xml:space="preserve"> </w:t>
      </w:r>
      <w:r w:rsidRPr="00633318">
        <w:rPr>
          <w:rFonts w:ascii="Times New Roman" w:hAnsi="Times New Roman" w:cs="Times New Roman"/>
          <w:sz w:val="24"/>
          <w:szCs w:val="24"/>
        </w:rPr>
        <w:t>lokalizacji jednostki dominującej najwyższego szczebla.</w:t>
      </w:r>
    </w:p>
    <w:p w14:paraId="72CF8572" w14:textId="145A33B3"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w:t>
      </w:r>
      <w:r w:rsidRPr="00633318">
        <w:rPr>
          <w:rFonts w:ascii="Times New Roman" w:hAnsi="Times New Roman" w:cs="Times New Roman"/>
          <w:b/>
          <w:sz w:val="24"/>
          <w:szCs w:val="24"/>
        </w:rPr>
        <w:t>ust. 4</w:t>
      </w:r>
      <w:r w:rsidRPr="00633318">
        <w:rPr>
          <w:rFonts w:ascii="Times New Roman" w:hAnsi="Times New Roman" w:cs="Times New Roman"/>
          <w:bCs/>
          <w:sz w:val="24"/>
          <w:szCs w:val="24"/>
        </w:rPr>
        <w:t xml:space="preserve"> tego artykułu (implementującym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3 Dyrektywy ) skonsolidowane sprawozdanie finansowe grupy o kilku jednostkach dominujących to sprawozdanie, o którym mowa w definicji struktury łączonej lub struktury podwójnie notowanej. Ponadto, zgodnie z </w:t>
      </w:r>
      <w:r w:rsidRPr="00633318">
        <w:rPr>
          <w:rFonts w:ascii="Times New Roman" w:hAnsi="Times New Roman" w:cs="Times New Roman"/>
          <w:b/>
          <w:sz w:val="24"/>
          <w:szCs w:val="24"/>
        </w:rPr>
        <w:t>ust. 5</w:t>
      </w:r>
      <w:r w:rsidRPr="00633318">
        <w:rPr>
          <w:rFonts w:ascii="Times New Roman" w:hAnsi="Times New Roman" w:cs="Times New Roman"/>
          <w:bCs/>
          <w:sz w:val="24"/>
          <w:szCs w:val="24"/>
        </w:rPr>
        <w:t xml:space="preserve"> ilekroć w ramach tego rozdziału pojawia się odniesienie do standardu rachunkowości jednostki dominującej najwyższego szczebla, wówczas należy uznać, że jest to standard rachunkowości stosowany przez grupę o kilku jednostkach dominujących dla sporządzenia połączonego skonsolidowanego sprawozdania finansowego.</w:t>
      </w:r>
    </w:p>
    <w:p w14:paraId="1E3F632C" w14:textId="77777777" w:rsidR="00A16FDB" w:rsidRPr="00633318" w:rsidRDefault="00A16FDB" w:rsidP="00A16FDB">
      <w:pPr>
        <w:pStyle w:val="Nagwek5"/>
        <w:rPr>
          <w:rFonts w:ascii="Times New Roman" w:hAnsi="Times New Roman" w:cs="Times New Roman"/>
          <w:sz w:val="24"/>
          <w:szCs w:val="24"/>
        </w:rPr>
      </w:pPr>
      <w:r w:rsidRPr="00633318">
        <w:rPr>
          <w:rFonts w:ascii="Times New Roman" w:hAnsi="Times New Roman" w:cs="Times New Roman"/>
          <w:sz w:val="24"/>
          <w:szCs w:val="24"/>
        </w:rPr>
        <w:t>Art. 112 [Traktowanie grupy o kilku jednostkach dominujących na gruncie Zasad GloBE]</w:t>
      </w:r>
    </w:p>
    <w:p w14:paraId="00CC5319" w14:textId="13F4EAB3"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Art. 112 stanowi implementację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2 </w:t>
      </w:r>
      <w:r w:rsidR="008B225D" w:rsidRPr="00633318">
        <w:rPr>
          <w:rFonts w:ascii="Times New Roman" w:hAnsi="Times New Roman" w:cs="Times New Roman"/>
          <w:bCs/>
          <w:sz w:val="24"/>
          <w:szCs w:val="24"/>
        </w:rPr>
        <w:t>oraz</w:t>
      </w:r>
      <w:r w:rsidRPr="00633318">
        <w:rPr>
          <w:rFonts w:ascii="Times New Roman" w:hAnsi="Times New Roman" w:cs="Times New Roman"/>
          <w:bCs/>
          <w:sz w:val="24"/>
          <w:szCs w:val="24"/>
        </w:rPr>
        <w:t xml:space="preserve"> </w:t>
      </w:r>
      <w:r w:rsidR="008B225D" w:rsidRPr="00633318">
        <w:rPr>
          <w:rFonts w:ascii="Times New Roman" w:hAnsi="Times New Roman" w:cs="Times New Roman"/>
          <w:bCs/>
          <w:sz w:val="24"/>
          <w:szCs w:val="24"/>
        </w:rPr>
        <w:t>art. 37.</w:t>
      </w:r>
      <w:r w:rsidRPr="00633318">
        <w:rPr>
          <w:rFonts w:ascii="Times New Roman" w:hAnsi="Times New Roman" w:cs="Times New Roman"/>
          <w:bCs/>
          <w:sz w:val="24"/>
          <w:szCs w:val="24"/>
        </w:rPr>
        <w:t xml:space="preserve">4-7 Dyrektywy. </w:t>
      </w:r>
    </w:p>
    <w:p w14:paraId="399C9DD4" w14:textId="61E0AB8B"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w:t>
      </w:r>
      <w:r w:rsidRPr="00633318">
        <w:rPr>
          <w:rFonts w:ascii="Times New Roman" w:hAnsi="Times New Roman" w:cs="Times New Roman"/>
          <w:b/>
          <w:sz w:val="24"/>
          <w:szCs w:val="24"/>
        </w:rPr>
        <w:t xml:space="preserve">ust. </w:t>
      </w:r>
      <w:r w:rsidR="00E34C4F" w:rsidRPr="00633318">
        <w:rPr>
          <w:rFonts w:ascii="Times New Roman" w:hAnsi="Times New Roman" w:cs="Times New Roman"/>
          <w:b/>
          <w:sz w:val="24"/>
          <w:szCs w:val="24"/>
        </w:rPr>
        <w:t>1</w:t>
      </w:r>
      <w:r w:rsidR="00E34C4F"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jednostka</w:t>
      </w:r>
      <w:r w:rsidR="00E34C4F" w:rsidRPr="00633318">
        <w:rPr>
          <w:rFonts w:ascii="Times New Roman" w:hAnsi="Times New Roman" w:cs="Times New Roman"/>
          <w:bCs/>
          <w:sz w:val="24"/>
          <w:szCs w:val="24"/>
        </w:rPr>
        <w:t xml:space="preserve"> składowa</w:t>
      </w:r>
      <w:r w:rsidRPr="00633318">
        <w:rPr>
          <w:rFonts w:ascii="Times New Roman" w:hAnsi="Times New Roman" w:cs="Times New Roman"/>
          <w:bCs/>
          <w:sz w:val="24"/>
          <w:szCs w:val="24"/>
        </w:rPr>
        <w:t xml:space="preserve"> (inna niż jednostka wyłączona) jest jednostką składową grupy o kilku jednostkach dominujących, jeżeli podlega ona konsolidacji pełnej w skonsolidowanym sprawozdaniu finansowym takiej grupy lub jej udział konsolidujący znajduje się w posiadaniu jednostek takiej grupy. Celem tego </w:t>
      </w:r>
      <w:r w:rsidR="00E34C4F" w:rsidRPr="00633318">
        <w:rPr>
          <w:rFonts w:ascii="Times New Roman" w:hAnsi="Times New Roman" w:cs="Times New Roman"/>
          <w:bCs/>
          <w:sz w:val="24"/>
          <w:szCs w:val="24"/>
        </w:rPr>
        <w:t xml:space="preserve">przepisu </w:t>
      </w:r>
      <w:r w:rsidRPr="00633318">
        <w:rPr>
          <w:rFonts w:ascii="Times New Roman" w:hAnsi="Times New Roman" w:cs="Times New Roman"/>
          <w:bCs/>
          <w:sz w:val="24"/>
          <w:szCs w:val="24"/>
        </w:rPr>
        <w:t>jest</w:t>
      </w:r>
      <w:r w:rsidR="00E34C4F" w:rsidRPr="00633318">
        <w:rPr>
          <w:rFonts w:ascii="Times New Roman" w:hAnsi="Times New Roman" w:cs="Times New Roman"/>
          <w:bCs/>
          <w:sz w:val="24"/>
          <w:szCs w:val="24"/>
        </w:rPr>
        <w:t xml:space="preserve"> m.in.</w:t>
      </w:r>
      <w:r w:rsidRPr="00633318">
        <w:rPr>
          <w:rFonts w:ascii="Times New Roman" w:hAnsi="Times New Roman" w:cs="Times New Roman"/>
          <w:bCs/>
          <w:sz w:val="24"/>
          <w:szCs w:val="24"/>
        </w:rPr>
        <w:t xml:space="preserve"> objęcie definicją jednostki składowej także tych jednostek, które nie spełniałyby definicji, kiedy każda z grup tworzących grupę o kilku jednostkach dominujących podlegałaby weryfikacji udziałów konsolidujących oddzielnie, jednak są konsolidowane metodą pełną w skonsolidowanym sprawozdaniu grupy o kilku jednostkach dominujących. Przykładowo grupa 1 i grupa 2 razem tworzą grupę o kilku jednostkach dominujących. Jednostka dominująca najwyższego szczebla każdej z grup posiada 50% udziałów własnościowych w jednostce. Gdyby każdą grupę potraktować jako odrębną całość, wyniki finansowe jednostki byłyby wykazywane metodą praw własności, w związku z czym jednostka zostałaby potraktowana jako joint venture. Ponieważ grupy traktowane są łącznie, posiadają one łącznie udział konsolidujący w tej jednostce i jest ona jednostką składową takiej grupy o kilku jednostkach dominujących. </w:t>
      </w:r>
    </w:p>
    <w:p w14:paraId="485FAD40" w14:textId="2796F52D"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 xml:space="preserve">Ust. </w:t>
      </w:r>
      <w:r w:rsidR="00E34C4F" w:rsidRPr="00633318">
        <w:rPr>
          <w:rFonts w:ascii="Times New Roman" w:hAnsi="Times New Roman" w:cs="Times New Roman"/>
          <w:b/>
          <w:sz w:val="24"/>
          <w:szCs w:val="24"/>
        </w:rPr>
        <w:t>2</w:t>
      </w:r>
      <w:r w:rsidR="00E34C4F"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(implementujący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4 Dyrektywy) rozstrzyga, że jednostki dominujące najwyższego szczebla grup tworzących grupę o kilku jednostkach dominujących są uważane za jednostki dominujące grupy o kilku jednostkach dominujących. Zostało to doprecyzowane dla potwierdzenia, że w tych przypadkach istnieje więcej niż jedna jednostka dominująca najwyższego szczebla. Ponadto, także IPE i POPE odrębnych grup traktuje się jako odpowiednie jednostki dominujące grupy o kilku jednostkach dominujących.</w:t>
      </w:r>
    </w:p>
    <w:p w14:paraId="19865063" w14:textId="28BA2B32"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 świetle </w:t>
      </w:r>
      <w:r w:rsidRPr="00633318">
        <w:rPr>
          <w:rFonts w:ascii="Times New Roman" w:hAnsi="Times New Roman" w:cs="Times New Roman"/>
          <w:b/>
          <w:sz w:val="24"/>
          <w:szCs w:val="24"/>
        </w:rPr>
        <w:t xml:space="preserve">ust. </w:t>
      </w:r>
      <w:r w:rsidR="00E34C4F" w:rsidRPr="00633318">
        <w:rPr>
          <w:rFonts w:ascii="Times New Roman" w:hAnsi="Times New Roman" w:cs="Times New Roman"/>
          <w:b/>
          <w:sz w:val="24"/>
          <w:szCs w:val="24"/>
        </w:rPr>
        <w:t>3</w:t>
      </w:r>
      <w:r w:rsidR="00E34C4F"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(stanowiącym implementację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5 Dyrektywy) jednostki dominujące grupy o kilku jednostkach dominujących (</w:t>
      </w:r>
      <w:r w:rsidRPr="00633318">
        <w:rPr>
          <w:rFonts w:ascii="Times New Roman" w:hAnsi="Times New Roman" w:cs="Times New Roman"/>
          <w:sz w:val="24"/>
          <w:szCs w:val="24"/>
        </w:rPr>
        <w:t>zlokalizowane</w:t>
      </w:r>
      <w:r w:rsidRPr="00633318">
        <w:rPr>
          <w:rFonts w:ascii="Times New Roman" w:hAnsi="Times New Roman" w:cs="Times New Roman"/>
          <w:bCs/>
          <w:sz w:val="24"/>
          <w:szCs w:val="24"/>
        </w:rPr>
        <w:t xml:space="preserve"> na terytorium Rzeczypospolitej Polskiej) są podatnikami globalnego podatku wyrównawczego i obliczają udziałowy globalny podatek wyrównawczy w odniesieniu do jednostek składowych grupy o kilku jednostkach dominujących. Oznacza to, że każda taka jednostka ma obowiązek obliczenia i zapłaty globalnego podatku wyrównawczego w ramach zasad ogólnych. Tym samym, zasady określone w art. 15 stosowane są także w przypadku grupy o kilku jednostkach dominujących.   </w:t>
      </w:r>
    </w:p>
    <w:p w14:paraId="50C69B2A" w14:textId="13F70CF2"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Jednakże przy ustalaniu, czy dana jednostka jest jednostką dominując</w:t>
      </w:r>
      <w:r w:rsidR="000A0E6D" w:rsidRPr="00633318">
        <w:rPr>
          <w:rFonts w:ascii="Times New Roman" w:hAnsi="Times New Roman" w:cs="Times New Roman"/>
          <w:bCs/>
          <w:sz w:val="24"/>
          <w:szCs w:val="24"/>
        </w:rPr>
        <w:t>ą</w:t>
      </w:r>
      <w:r w:rsidRPr="00633318">
        <w:rPr>
          <w:rFonts w:ascii="Times New Roman" w:hAnsi="Times New Roman" w:cs="Times New Roman"/>
          <w:bCs/>
          <w:sz w:val="24"/>
          <w:szCs w:val="24"/>
        </w:rPr>
        <w:t xml:space="preserve"> w częściowym posiadaniu bierze się pod uwagę udziały własnościowe każdej z jednostek dominujących najwyższego szczebla tej grupy o kilku jednostkach dominujących.</w:t>
      </w:r>
    </w:p>
    <w:p w14:paraId="704C8C21" w14:textId="77777777" w:rsidR="000637CF" w:rsidRPr="00633318" w:rsidRDefault="000637CF" w:rsidP="00A16FDB">
      <w:pPr>
        <w:spacing w:after="120"/>
        <w:jc w:val="both"/>
        <w:rPr>
          <w:rFonts w:ascii="Times New Roman" w:hAnsi="Times New Roman" w:cs="Times New Roman"/>
          <w:bCs/>
          <w:sz w:val="24"/>
          <w:szCs w:val="24"/>
        </w:rPr>
      </w:pPr>
    </w:p>
    <w:p w14:paraId="6E3B72BF" w14:textId="3A2DF3E1" w:rsidR="00A16FDB" w:rsidRPr="003E7A67" w:rsidRDefault="00A16FDB"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79ADF714" w14:textId="77777777" w:rsidR="00A16FDB" w:rsidRPr="003E7A67" w:rsidRDefault="00A16FDB"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Grupa 1 posiada 60% udziałów własnościowych jednostki ACo, podczas gdy pozostała 40% należy do grupy 2. Obie grupy stanowią część jednej grupy o kilku jednostkach dominujących. ACo jest właścicielem całości udziałów własnościowych w nisko opodatkowanej jednostce składowej. Gdyby każdą grupę oceniano oddzielnie, spółka ACo byłaby jednostką dominującą w częściowym posiadaniu, ponieważ ponad 20% jej udziałów własnościowych jest posiadane przez jednostki niewchodzące w skład grupy 1. Jednakże, biorąc pod uwagę, że grupę 1 i grupę 2 uważa się za grupę o kilku jednostkach dominujących, to 100% udziałów własnościowych tej jednostki posiadane jest przez jednostki składowe jednej grupy i ACo nie spełnia definicji jednostki dominującej w częściowym posiadaniu. W tym przypadku jednostka dominująca najwyższego szczebla z grupy 1 i grupy 2 oblicza udziałowy globalny podatek wyrównawczy w oparciu o swój udział własnościowy (odpowiednio 60% i 40%).</w:t>
      </w:r>
    </w:p>
    <w:p w14:paraId="21ECB779" w14:textId="7415F971" w:rsidR="00A16FDB" w:rsidRPr="00633318" w:rsidRDefault="00A16FDB" w:rsidP="00A16FDB">
      <w:pPr>
        <w:spacing w:before="240"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ust. </w:t>
      </w:r>
      <w:r w:rsidR="00E34C4F" w:rsidRPr="00633318">
        <w:rPr>
          <w:rFonts w:ascii="Times New Roman" w:hAnsi="Times New Roman" w:cs="Times New Roman"/>
          <w:bCs/>
          <w:sz w:val="24"/>
          <w:szCs w:val="24"/>
        </w:rPr>
        <w:t>4</w:t>
      </w:r>
      <w:r w:rsidRPr="00633318">
        <w:rPr>
          <w:rFonts w:ascii="Times New Roman" w:hAnsi="Times New Roman" w:cs="Times New Roman"/>
          <w:bCs/>
          <w:sz w:val="24"/>
          <w:szCs w:val="24"/>
        </w:rPr>
        <w:t>, implementującym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6 Dyrektywy, wszystkie jednostki wchodzące w skład grupy o kilku jednostkach dominujących są zobowiązane do stosowania działu IV (UTPR) w odniesieniu do wszystkich nisko opodatkowanych jednostek składowych tej grupy. Oznacza to, że całkowita kwota podatku wyrównawczego od niedostatecznie opodatkowanych zysków, o której mowa w art. 35 jest obliczana dla całej grupy o kilku jednostkach dominujących, przy uwzględnieniu jednostek składowych każdej z grup tworzących taką grupę o kilku jednostkach dominujących. Dana jednostka jest więc zobowiązana do obliczenia podatku wyrównawczego od niedostatecznie opodatkowanych zysków w odniesieniu do jednostek, które nie byłyby jednostkami składowymi jej grupy gdyby nie zawarte porozumienie.</w:t>
      </w:r>
    </w:p>
    <w:p w14:paraId="11476484" w14:textId="0AE7CA67" w:rsidR="00A16FDB" w:rsidRPr="00633318" w:rsidRDefault="00A16FDB" w:rsidP="00A16FDB">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Wreszcie w </w:t>
      </w:r>
      <w:r w:rsidRPr="00633318">
        <w:rPr>
          <w:rFonts w:ascii="Times New Roman" w:hAnsi="Times New Roman" w:cs="Times New Roman"/>
          <w:b/>
          <w:sz w:val="24"/>
          <w:szCs w:val="24"/>
        </w:rPr>
        <w:t xml:space="preserve">ust. </w:t>
      </w:r>
      <w:r w:rsidR="00E34C4F" w:rsidRPr="00633318">
        <w:rPr>
          <w:rFonts w:ascii="Times New Roman" w:hAnsi="Times New Roman" w:cs="Times New Roman"/>
          <w:b/>
          <w:sz w:val="24"/>
          <w:szCs w:val="24"/>
        </w:rPr>
        <w:t>5</w:t>
      </w:r>
      <w:r w:rsidR="00E34C4F"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(stanowiącym implementację art. 37</w:t>
      </w:r>
      <w:r w:rsidR="008B225D" w:rsidRPr="00633318">
        <w:rPr>
          <w:rFonts w:ascii="Times New Roman" w:hAnsi="Times New Roman" w:cs="Times New Roman"/>
          <w:bCs/>
          <w:sz w:val="24"/>
          <w:szCs w:val="24"/>
        </w:rPr>
        <w:t>.</w:t>
      </w:r>
      <w:r w:rsidRPr="00633318">
        <w:rPr>
          <w:rFonts w:ascii="Times New Roman" w:hAnsi="Times New Roman" w:cs="Times New Roman"/>
          <w:bCs/>
          <w:sz w:val="24"/>
          <w:szCs w:val="24"/>
        </w:rPr>
        <w:t>7 Dyrektywy) wyjaśniono, że wszystkie jednostki dominujące najwyższego szczebla mają obowiązek złożenia Informacji GloBE, przy czym obowiązek ten może zrealizować odpowiednia wyznaczona jednostka, a także jedna z jednostek dominujących najwyższego szczebla w przypadku spełnienia odpowiednich procedur opisanych w przepisach administracyjnych</w:t>
      </w:r>
      <w:r w:rsidR="000A0E6D" w:rsidRPr="00633318">
        <w:rPr>
          <w:rFonts w:ascii="Times New Roman" w:hAnsi="Times New Roman" w:cs="Times New Roman"/>
          <w:bCs/>
          <w:sz w:val="24"/>
          <w:szCs w:val="24"/>
        </w:rPr>
        <w:t xml:space="preserve"> (złożenia zawiadomienia)</w:t>
      </w:r>
      <w:r w:rsidRPr="00633318">
        <w:rPr>
          <w:rFonts w:ascii="Times New Roman" w:hAnsi="Times New Roman" w:cs="Times New Roman"/>
          <w:bCs/>
          <w:sz w:val="24"/>
          <w:szCs w:val="24"/>
        </w:rPr>
        <w:t>. Jednocześnie, Informacja GloBE obejmuje dane każdej grupy tworzącej grupę o kilku jednostkach dominujących, przy czym dane wymagane w informacji prezentowane są tak, jakby wszystkie grupy stanowiły jedną grupę. Są to jedyne zmiany wprowadzone w zakresie obowiązków związanych ze składaniem Informacji GloBE. W pozostałym zakresie obowiązują zasady ogólne.</w:t>
      </w:r>
    </w:p>
    <w:p w14:paraId="68391321" w14:textId="6A0B72E9" w:rsidR="00C4081A" w:rsidRPr="00633318" w:rsidRDefault="00C4081A" w:rsidP="00C4081A">
      <w:pPr>
        <w:pStyle w:val="Nagwek2"/>
        <w:spacing w:before="480"/>
        <w:rPr>
          <w:rFonts w:ascii="Times New Roman" w:hAnsi="Times New Roman" w:cs="Times New Roman"/>
          <w:sz w:val="24"/>
          <w:szCs w:val="24"/>
        </w:rPr>
      </w:pPr>
      <w:bookmarkStart w:id="63" w:name="_Hlk163742343"/>
      <w:r w:rsidRPr="00633318">
        <w:rPr>
          <w:rFonts w:ascii="Times New Roman" w:hAnsi="Times New Roman" w:cs="Times New Roman"/>
          <w:sz w:val="24"/>
          <w:szCs w:val="24"/>
        </w:rPr>
        <w:t xml:space="preserve">DZIAŁ </w:t>
      </w:r>
      <w:r w:rsidR="00AE4F00" w:rsidRPr="00633318">
        <w:rPr>
          <w:rFonts w:ascii="Times New Roman" w:hAnsi="Times New Roman" w:cs="Times New Roman"/>
          <w:sz w:val="24"/>
          <w:szCs w:val="24"/>
        </w:rPr>
        <w:t>IX</w:t>
      </w:r>
      <w:r w:rsidRPr="00633318">
        <w:rPr>
          <w:rFonts w:ascii="Times New Roman" w:hAnsi="Times New Roman" w:cs="Times New Roman"/>
          <w:sz w:val="24"/>
          <w:szCs w:val="24"/>
        </w:rPr>
        <w:t>. Szczególne systemy opodatkowania dochodu</w:t>
      </w:r>
    </w:p>
    <w:p w14:paraId="709FCD93" w14:textId="77777777" w:rsidR="00C4081A" w:rsidRPr="00633318" w:rsidRDefault="00C4081A" w:rsidP="00C4081A">
      <w:pPr>
        <w:pStyle w:val="Nagwek3"/>
        <w:jc w:val="both"/>
        <w:rPr>
          <w:rFonts w:ascii="Times New Roman" w:hAnsi="Times New Roman" w:cs="Times New Roman"/>
          <w:sz w:val="24"/>
        </w:rPr>
      </w:pPr>
      <w:r w:rsidRPr="00633318">
        <w:rPr>
          <w:rFonts w:ascii="Times New Roman" w:hAnsi="Times New Roman" w:cs="Times New Roman"/>
          <w:sz w:val="24"/>
        </w:rPr>
        <w:t xml:space="preserve">Rozdział 1 – Szczególne zasady ustalania kwalifikowanego dochodu (straty) jednostki dominującej najwyższego szczebla </w:t>
      </w:r>
    </w:p>
    <w:p w14:paraId="3D9E7285" w14:textId="77777777" w:rsidR="00C4081A" w:rsidRPr="00633318" w:rsidRDefault="00C4081A" w:rsidP="00C4081A">
      <w:pPr>
        <w:pStyle w:val="Nagwek5"/>
        <w:rPr>
          <w:rFonts w:ascii="Times New Roman" w:hAnsi="Times New Roman" w:cs="Times New Roman"/>
          <w:sz w:val="24"/>
          <w:szCs w:val="24"/>
        </w:rPr>
      </w:pPr>
      <w:r w:rsidRPr="00633318">
        <w:rPr>
          <w:rFonts w:ascii="Times New Roman" w:hAnsi="Times New Roman" w:cs="Times New Roman"/>
          <w:sz w:val="24"/>
          <w:szCs w:val="24"/>
        </w:rPr>
        <w:t>Art. 113 [Pomniejszanie kwalifikowanego dochodu jednostki pośredniczącej będącej UPE]</w:t>
      </w:r>
    </w:p>
    <w:p w14:paraId="029C245F" w14:textId="77777777" w:rsidR="00C4081A" w:rsidRPr="00633318" w:rsidRDefault="00C4081A" w:rsidP="00C4081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Art. 113 określa szczególne zasady ustalania kwalifikowanego dochodu (straty) jednostki pośredniczącej będącej jednostką dominującą najwyższego szczebla.</w:t>
      </w:r>
    </w:p>
    <w:p w14:paraId="3B2C1200" w14:textId="12740133" w:rsidR="00C4081A" w:rsidRPr="00633318" w:rsidRDefault="00C4081A" w:rsidP="00C4081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Jednostką pośredniczącą, zgodnie z definicją z art. 3 ust. 2 ustawy, jest zasadniczo jednostka składowa w zakresie, w jakim jest jednostką przejrzystą podatkowo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sz w:val="24"/>
          <w:szCs w:val="24"/>
        </w:rPr>
        <w:t xml:space="preserve"> </w:t>
      </w:r>
      <w:r w:rsidRPr="00633318">
        <w:rPr>
          <w:rFonts w:ascii="Times New Roman" w:hAnsi="Times New Roman" w:cs="Times New Roman"/>
          <w:sz w:val="24"/>
          <w:szCs w:val="24"/>
        </w:rPr>
        <w:t xml:space="preserve">jej utworzenia. Przykładowo,  na gruncie przepisów ustawy jednostką pośredniczącą będzie spółka jawna, która nie uzyskała statusu podatnika CIT z uwagi na złożenie informacji, o której mowa w art. 1 ust. 3 pkt 1a lit. a-c ustawy </w:t>
      </w:r>
      <w:r w:rsidR="000A0E6D" w:rsidRPr="00633318">
        <w:rPr>
          <w:rFonts w:ascii="Times New Roman" w:hAnsi="Times New Roman" w:cs="Times New Roman"/>
          <w:sz w:val="24"/>
          <w:szCs w:val="24"/>
        </w:rPr>
        <w:t>CIT</w:t>
      </w:r>
      <w:r w:rsidRPr="00633318">
        <w:rPr>
          <w:rFonts w:ascii="Times New Roman" w:hAnsi="Times New Roman" w:cs="Times New Roman"/>
          <w:sz w:val="24"/>
          <w:szCs w:val="24"/>
        </w:rPr>
        <w:t>. Zakłada się, że przypadki, w których jednostki dominujące najwyższego szczebla</w:t>
      </w:r>
      <w:bookmarkStart w:id="64" w:name="_Hlk162265196"/>
      <w:r w:rsidRPr="00633318">
        <w:rPr>
          <w:rFonts w:ascii="Times New Roman" w:hAnsi="Times New Roman" w:cs="Times New Roman"/>
          <w:sz w:val="24"/>
          <w:szCs w:val="24"/>
        </w:rPr>
        <w:t xml:space="preserve"> zlokalizowane na terytorium Rzeczypospolitej Polskiej </w:t>
      </w:r>
      <w:bookmarkEnd w:id="64"/>
      <w:r w:rsidRPr="00633318">
        <w:rPr>
          <w:rFonts w:ascii="Times New Roman" w:hAnsi="Times New Roman" w:cs="Times New Roman"/>
          <w:sz w:val="24"/>
          <w:szCs w:val="24"/>
        </w:rPr>
        <w:t xml:space="preserve">będą przejrzyste podatkowo w powyższym rozumieniu, będą w praktyce bardzo rzadkie. Gdyby takie przypadki wystąpiły, zgodnie z art. 113 ustawy będą obowiązywać szczególne zasady ustalania kwalifikowanego dochodu (straty) – w uproszczeniu, kwalifikowany dochód takiej jednostki będzie pomniejszać się o kwalifikowany dochód przypadający na jej właścicieli spoza grupy, jeżeli są oni opodatkowani w określonym czasie na odpowiednim poziomie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sz w:val="24"/>
          <w:szCs w:val="24"/>
        </w:rPr>
        <w:t xml:space="preserve"> </w:t>
      </w:r>
      <w:r w:rsidRPr="00633318">
        <w:rPr>
          <w:rFonts w:ascii="Times New Roman" w:hAnsi="Times New Roman" w:cs="Times New Roman"/>
          <w:sz w:val="24"/>
          <w:szCs w:val="24"/>
        </w:rPr>
        <w:t>swojej lokalizacji.</w:t>
      </w:r>
    </w:p>
    <w:bookmarkEnd w:id="63"/>
    <w:p w14:paraId="24BB5A67" w14:textId="77777777"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Art. 113 ust. 1 odnosi się do kwalifikowanego dochodu jednostki pośredniczącej, będącej jednostką dominującą najwyższego szczebla. W pierwszej kolejności to przepisy działu V ustawy wskazują, co jest uznawane za kwalifikowany dochód (stratę). Punktem wyjściowym, zgodnie z zasadami ogólnymi, jest zatem księgowy dochód (strata) netto omawianej jednostki dominującej, po odpowiednim zastosowaniu korekt i przydziałów, o których mowa w rozdziale 1 działu V.</w:t>
      </w:r>
    </w:p>
    <w:p w14:paraId="4287E813" w14:textId="77777777"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Natomiast, art. 113 ust. 1 umożliwia pomniejszenie – ustalonego w powyższy sposób – kwalifikowanego dochodu jednostki pośredniczącej, będącej jednostką dominującą najwyższego szczebla, o kwalifikowany dochód przypisywany właścicielowi udziałów własnościowych w tej jednostce zgodnie z odpowiednim standardem rachunkowości. Jako że mowa jest o jednostce dominującej najwyższego szczebla, chodzi o właścicieli spoza grupy</w:t>
      </w:r>
      <w:r w:rsidRPr="00633318">
        <w:rPr>
          <w:rStyle w:val="Odwoanieprzypisudolnego"/>
          <w:rFonts w:ascii="Times New Roman" w:hAnsi="Times New Roman" w:cs="Times New Roman"/>
          <w:sz w:val="24"/>
          <w:szCs w:val="24"/>
        </w:rPr>
        <w:footnoteReference w:id="154"/>
      </w:r>
      <w:r w:rsidRPr="00633318">
        <w:rPr>
          <w:rFonts w:ascii="Times New Roman" w:hAnsi="Times New Roman" w:cs="Times New Roman"/>
          <w:sz w:val="24"/>
          <w:szCs w:val="24"/>
        </w:rPr>
        <w:t>.</w:t>
      </w:r>
    </w:p>
    <w:p w14:paraId="72DF05C1" w14:textId="77777777"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Pomniejszenie jest dokonywane w przypadku wykazania przez jednostkę pośredniczącą, że: </w:t>
      </w:r>
    </w:p>
    <w:p w14:paraId="70ECA9AF" w14:textId="77777777" w:rsidR="00C4081A" w:rsidRPr="00633318" w:rsidRDefault="00C4081A" w:rsidP="009E73F7">
      <w:pPr>
        <w:pStyle w:val="Akapitzlist"/>
        <w:numPr>
          <w:ilvl w:val="0"/>
          <w:numId w:val="128"/>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właściciel udziałów własnościowych podlega opodatkowaniu od przypisywanego dochodu w jego roku podatkowym, który kończy się nie później niż 12 miesięcy od zakończenia roku podatkowego grupy, do której należy jednostka pośrednicząca: </w:t>
      </w:r>
    </w:p>
    <w:p w14:paraId="4236800E" w14:textId="77777777" w:rsidR="00C4081A" w:rsidRPr="00633318" w:rsidRDefault="00C4081A" w:rsidP="009E73F7">
      <w:pPr>
        <w:pStyle w:val="Akapitzlist"/>
        <w:numPr>
          <w:ilvl w:val="1"/>
          <w:numId w:val="129"/>
        </w:numPr>
        <w:spacing w:after="120"/>
        <w:jc w:val="both"/>
        <w:rPr>
          <w:rFonts w:ascii="Times New Roman" w:hAnsi="Times New Roman" w:cs="Times New Roman"/>
          <w:sz w:val="24"/>
          <w:szCs w:val="24"/>
        </w:rPr>
      </w:pPr>
      <w:r w:rsidRPr="00633318">
        <w:rPr>
          <w:rFonts w:ascii="Times New Roman" w:hAnsi="Times New Roman" w:cs="Times New Roman"/>
          <w:sz w:val="24"/>
          <w:szCs w:val="24"/>
        </w:rPr>
        <w:t>według stawki nominalnej równej albo wyższej niż minimalna stawka podatkowa lub</w:t>
      </w:r>
    </w:p>
    <w:p w14:paraId="3FDB7F10" w14:textId="77777777" w:rsidR="00C4081A" w:rsidRPr="00633318" w:rsidRDefault="00C4081A" w:rsidP="009E73F7">
      <w:pPr>
        <w:pStyle w:val="Akapitzlist"/>
        <w:numPr>
          <w:ilvl w:val="1"/>
          <w:numId w:val="129"/>
        </w:numPr>
        <w:spacing w:after="120"/>
        <w:jc w:val="both"/>
        <w:rPr>
          <w:rFonts w:ascii="Times New Roman" w:hAnsi="Times New Roman" w:cs="Times New Roman"/>
          <w:sz w:val="24"/>
          <w:szCs w:val="24"/>
        </w:rPr>
      </w:pPr>
      <w:r w:rsidRPr="00633318">
        <w:rPr>
          <w:rFonts w:ascii="Times New Roman" w:hAnsi="Times New Roman" w:cs="Times New Roman"/>
          <w:sz w:val="24"/>
          <w:szCs w:val="24"/>
        </w:rPr>
        <w:t>można zasadnie oczekiwać, że łączna kwota skorygowanych podatków kwalifikowanych jednostki pośredniczącej i podatków zapłaconych przez właściciela od takiego dochodu jest nie niższa niż kwota iloczynu tego dochodu i minimalnej stawki podatkowej lub</w:t>
      </w:r>
    </w:p>
    <w:p w14:paraId="62A66AD1" w14:textId="0371D015" w:rsidR="00C4081A" w:rsidRPr="00633318" w:rsidRDefault="00C4081A" w:rsidP="009E73F7">
      <w:pPr>
        <w:pStyle w:val="Akapitzlist"/>
        <w:numPr>
          <w:ilvl w:val="0"/>
          <w:numId w:val="128"/>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właściciel posiada nie więcej niż 5 % udziałów własnościowych, dających prawo do zysków lub aktywów jednostki pośredniczącej, jest rezydentem podatkowym w </w:t>
      </w:r>
      <w:r w:rsidR="00DA5234" w:rsidRPr="00633318">
        <w:rPr>
          <w:rFonts w:ascii="Times New Roman" w:hAnsi="Times New Roman" w:cs="Times New Roman"/>
          <w:sz w:val="24"/>
          <w:szCs w:val="24"/>
        </w:rPr>
        <w:t>jurysdykcji</w:t>
      </w:r>
      <w:r w:rsidR="00DA5234" w:rsidRPr="00633318" w:rsidDel="00DA5234">
        <w:rPr>
          <w:rFonts w:ascii="Times New Roman" w:hAnsi="Times New Roman" w:cs="Times New Roman"/>
          <w:sz w:val="24"/>
          <w:szCs w:val="24"/>
        </w:rPr>
        <w:t xml:space="preserve"> </w:t>
      </w:r>
      <w:r w:rsidRPr="00633318">
        <w:rPr>
          <w:rFonts w:ascii="Times New Roman" w:hAnsi="Times New Roman" w:cs="Times New Roman"/>
          <w:sz w:val="24"/>
          <w:szCs w:val="24"/>
        </w:rPr>
        <w:t xml:space="preserve">lokalizacji jednostki oraz jest osobą fizyczną, </w:t>
      </w:r>
      <w:r w:rsidR="00A60166" w:rsidRPr="00633318">
        <w:rPr>
          <w:rFonts w:ascii="Times New Roman" w:hAnsi="Times New Roman" w:cs="Times New Roman"/>
          <w:sz w:val="24"/>
          <w:szCs w:val="24"/>
        </w:rPr>
        <w:t xml:space="preserve">jednostką </w:t>
      </w:r>
      <w:r w:rsidRPr="00633318">
        <w:rPr>
          <w:rFonts w:ascii="Times New Roman" w:hAnsi="Times New Roman" w:cs="Times New Roman"/>
          <w:sz w:val="24"/>
          <w:szCs w:val="24"/>
        </w:rPr>
        <w:t>rządow</w:t>
      </w:r>
      <w:r w:rsidR="00A60166" w:rsidRPr="00633318">
        <w:rPr>
          <w:rFonts w:ascii="Times New Roman" w:hAnsi="Times New Roman" w:cs="Times New Roman"/>
          <w:sz w:val="24"/>
          <w:szCs w:val="24"/>
        </w:rPr>
        <w:t>ą</w:t>
      </w:r>
      <w:r w:rsidRPr="00633318">
        <w:rPr>
          <w:rFonts w:ascii="Times New Roman" w:hAnsi="Times New Roman" w:cs="Times New Roman"/>
          <w:sz w:val="24"/>
          <w:szCs w:val="24"/>
        </w:rPr>
        <w:t>, organizacją międzynarodową, organizacją nienastawioną na zysk albo funduszem emerytalnym.</w:t>
      </w:r>
    </w:p>
    <w:p w14:paraId="255CC43F" w14:textId="1D3C4531" w:rsidR="00C4081A" w:rsidRPr="00633318" w:rsidRDefault="00C4081A" w:rsidP="000416A5">
      <w:pPr>
        <w:pStyle w:val="PKTpunkt"/>
        <w:spacing w:after="120" w:line="259" w:lineRule="auto"/>
        <w:ind w:left="0" w:firstLine="0"/>
        <w:rPr>
          <w:rFonts w:ascii="Times New Roman" w:hAnsi="Times New Roman" w:cs="Times New Roman"/>
          <w:szCs w:val="24"/>
        </w:rPr>
      </w:pPr>
      <w:r w:rsidRPr="00633318">
        <w:rPr>
          <w:rFonts w:ascii="Times New Roman" w:hAnsi="Times New Roman" w:cs="Times New Roman"/>
          <w:szCs w:val="24"/>
        </w:rPr>
        <w:t>Odnosząc się do pierwszej z w</w:t>
      </w:r>
      <w:r w:rsidR="00ED1FEA" w:rsidRPr="00633318">
        <w:rPr>
          <w:rFonts w:ascii="Times New Roman" w:hAnsi="Times New Roman" w:cs="Times New Roman"/>
          <w:szCs w:val="24"/>
        </w:rPr>
        <w:t>w.</w:t>
      </w:r>
      <w:r w:rsidRPr="00633318">
        <w:rPr>
          <w:rFonts w:ascii="Times New Roman" w:hAnsi="Times New Roman" w:cs="Times New Roman"/>
          <w:szCs w:val="24"/>
        </w:rPr>
        <w:t xml:space="preserve"> przesłanek pomniejszenia kwalifikowanego dochodu jednostki pośredniczącej (tj. opodatkowanie jej właściciela) należy wskazać, że, dla spełnienia tej przesłanki nie jest konieczne zapłacenie podatku. Wystarczy, że przypadający na właściciela jednostki pośredniczącej, będącej jednostką dominującą najwyższego szczebla, udział w jej kwalifikowanym dochodzie jest ujęty w podlegającym opodatkowaniu dochodzie właściciela za rok podatkowy, który kończy się nie później niż 12 miesięcy od zakończenia roku podatkowego grupy [Komentarz, 7.1.1; 9] </w:t>
      </w:r>
    </w:p>
    <w:p w14:paraId="72E16313" w14:textId="0B2DE5A4" w:rsidR="00C4081A" w:rsidRPr="00633318" w:rsidRDefault="00C4081A" w:rsidP="000416A5">
      <w:pPr>
        <w:pStyle w:val="PKTpunkt"/>
        <w:spacing w:after="120" w:line="259" w:lineRule="auto"/>
        <w:ind w:left="0" w:firstLine="0"/>
        <w:rPr>
          <w:rFonts w:ascii="Times New Roman" w:hAnsi="Times New Roman" w:cs="Times New Roman"/>
          <w:szCs w:val="24"/>
        </w:rPr>
      </w:pPr>
      <w:r w:rsidRPr="00633318">
        <w:rPr>
          <w:rFonts w:ascii="Times New Roman" w:hAnsi="Times New Roman" w:cs="Times New Roman"/>
          <w:szCs w:val="24"/>
        </w:rPr>
        <w:t xml:space="preserve">Uznaje się, że właściciel podlega opodatkowaniu od przypisywanego dochodu jednostki pośredniczącej, jeżeli dochód jest ujmowany (i) w podlegającym opodatkowaniu dochodzie właściciela zgodnie z </w:t>
      </w:r>
      <w:r w:rsidR="008F1B9A" w:rsidRPr="00633318">
        <w:rPr>
          <w:rFonts w:ascii="Times New Roman" w:hAnsi="Times New Roman" w:cs="Times New Roman"/>
          <w:szCs w:val="24"/>
        </w:rPr>
        <w:t>jurysdykcją</w:t>
      </w:r>
      <w:r w:rsidR="008F1B9A" w:rsidRPr="00633318" w:rsidDel="008F1B9A">
        <w:rPr>
          <w:rFonts w:ascii="Times New Roman" w:hAnsi="Times New Roman" w:cs="Times New Roman"/>
          <w:szCs w:val="24"/>
        </w:rPr>
        <w:t xml:space="preserve"> </w:t>
      </w:r>
      <w:r w:rsidRPr="00633318">
        <w:rPr>
          <w:rFonts w:ascii="Times New Roman" w:hAnsi="Times New Roman" w:cs="Times New Roman"/>
          <w:szCs w:val="24"/>
        </w:rPr>
        <w:t>jego rezydencji podatkowej albo (ii) w podlegającym opodatkowaniu dochodzie stałego zakładu właściciela [Komentarz, 7.1.1; 10].</w:t>
      </w:r>
    </w:p>
    <w:p w14:paraId="4BA2C6F7" w14:textId="2C372E90" w:rsidR="00C4081A" w:rsidRPr="00633318" w:rsidRDefault="00C4081A" w:rsidP="000416A5">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Do spełnienia w</w:t>
      </w:r>
      <w:r w:rsidR="00ED1FEA" w:rsidRPr="00633318">
        <w:rPr>
          <w:rFonts w:ascii="Times New Roman" w:hAnsi="Times New Roman" w:cs="Times New Roman"/>
          <w:szCs w:val="24"/>
        </w:rPr>
        <w:t>w.</w:t>
      </w:r>
      <w:r w:rsidRPr="00633318">
        <w:rPr>
          <w:rFonts w:ascii="Times New Roman" w:hAnsi="Times New Roman" w:cs="Times New Roman"/>
          <w:szCs w:val="24"/>
        </w:rPr>
        <w:t xml:space="preserve"> przesłanki konieczne jest podleganie przez właściciela opodatkowaniu od całości przypisywanego dochodu (jednostki pośredniczącej będącej jednostką dominującą najwyższego szczebla) na określonym poziomie. W tym zakresie wystarczające jest spełnienie jednego z warunków wskazanych w ust. 1 lit. a) lub b). </w:t>
      </w:r>
    </w:p>
    <w:p w14:paraId="3EB7BD55" w14:textId="77777777" w:rsidR="00C4081A" w:rsidRPr="00633318" w:rsidRDefault="00C4081A" w:rsidP="000416A5">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 xml:space="preserve">W kontekście warunku opodatkowania właściciela stawką nie niższą niż minimalna uznaje się, że właściciel podlega opodatkowaniu od całości przypisywanego dochodu nawet jeżeli w jego dochodzie do opodatkowania ujmowane są koszty lub straty związane z inną inwestycją lub działalnością gospodarczą. Za nominalną stawkę podatkową uznaje się ustawową stawkę stosowaną do opodatkowania przypisywanego dochodu jednostki pośredniczącej, będącej jednostką dominującą najwyższego szczebla. Jeśli właściciel podlega stopniowanym stawkom, za nominalną stawkę jest uznawana najwyższa stawka znajdująca zastosowanie przy założeniu, że udział właściciela jest jego jedynym dochodem do opodatkowania [Komentarz, 7.1.1; 12]. </w:t>
      </w:r>
    </w:p>
    <w:p w14:paraId="29E74A49" w14:textId="5C0201E8" w:rsidR="00C4081A" w:rsidRPr="00633318" w:rsidRDefault="00C4081A" w:rsidP="000416A5">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Z kolei, odnosząc się do warunku w zakresie łącznej kwoty podatków jednostki pośredniczącej i jej właściciela należy zauważyć, że ocena czy „można zasadnie oczekiwać”, że ta łączna kwota podatków zapłaconych będzie równa lub wyższa od kwoty podatków obliczonych według stawki minimalnej, powinna być dokonywana na podstawie wszystkich faktów i okoliczności. Na grupie spoczywa ciężar dowodowy w zakresie wykazania zasadności w</w:t>
      </w:r>
      <w:r w:rsidR="00ED1FEA" w:rsidRPr="00633318">
        <w:rPr>
          <w:rFonts w:ascii="Times New Roman" w:hAnsi="Times New Roman" w:cs="Times New Roman"/>
          <w:szCs w:val="24"/>
        </w:rPr>
        <w:t>w.</w:t>
      </w:r>
      <w:r w:rsidRPr="00633318">
        <w:rPr>
          <w:rFonts w:ascii="Times New Roman" w:hAnsi="Times New Roman" w:cs="Times New Roman"/>
          <w:szCs w:val="24"/>
        </w:rPr>
        <w:t xml:space="preserve"> oczekiwania [Komentarz, 7.1.1; 14]. </w:t>
      </w:r>
    </w:p>
    <w:p w14:paraId="29199548" w14:textId="77777777" w:rsidR="00C4081A" w:rsidRPr="00633318" w:rsidRDefault="00C4081A" w:rsidP="000416A5">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 xml:space="preserve">Ponadto, należy wskazać, że przy ustalaniu kwoty zapłaconych podatków bierze się pod uwagę kwotę podatków zapłaconych przez </w:t>
      </w:r>
      <w:bookmarkStart w:id="65" w:name="_Hlk163409965"/>
      <w:r w:rsidRPr="00633318">
        <w:rPr>
          <w:rFonts w:ascii="Times New Roman" w:hAnsi="Times New Roman" w:cs="Times New Roman"/>
          <w:szCs w:val="24"/>
        </w:rPr>
        <w:t xml:space="preserve">jednostkę pośredniczącą, będącą jednostką dominującą najwyższego szczebla </w:t>
      </w:r>
      <w:bookmarkEnd w:id="65"/>
      <w:r w:rsidRPr="00633318">
        <w:rPr>
          <w:rFonts w:ascii="Times New Roman" w:hAnsi="Times New Roman" w:cs="Times New Roman"/>
          <w:szCs w:val="24"/>
        </w:rPr>
        <w:t xml:space="preserve">oraz przez inne jednostki, będące częścią struktury transparentnej podatkowo, jak również przez właściciela jednostki pośredniczącej od udziału w jej dochodzie. Wymagane jest, aby podatki zapłacone przez jednostkę pośredniczącą i inne jednostki, będące częścią </w:t>
      </w:r>
      <w:bookmarkStart w:id="66" w:name="_Hlk163417080"/>
      <w:r w:rsidRPr="00633318">
        <w:rPr>
          <w:rFonts w:ascii="Times New Roman" w:hAnsi="Times New Roman" w:cs="Times New Roman"/>
          <w:szCs w:val="24"/>
        </w:rPr>
        <w:t>struktury transparentnej podatkowo</w:t>
      </w:r>
      <w:bookmarkEnd w:id="66"/>
      <w:r w:rsidRPr="00633318">
        <w:rPr>
          <w:rFonts w:ascii="Times New Roman" w:hAnsi="Times New Roman" w:cs="Times New Roman"/>
          <w:szCs w:val="24"/>
        </w:rPr>
        <w:t>, były podatkami kwalifikowanymi, jak również, aby podatki zapłacone przez właścicieli jednostki pośredniczącej były podatkami od jej dochodu.</w:t>
      </w:r>
    </w:p>
    <w:p w14:paraId="5580BEED" w14:textId="77777777" w:rsidR="00C4081A" w:rsidRPr="00633318" w:rsidRDefault="00C4081A" w:rsidP="000416A5">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Druga przesłanka pomniejszenia kwalifikowanego dochodu jednostki pośredniczącej będącej jednostką dominującą najwyższego szczebla wprowadza „bezpieczną przystań” dla jednostek posiadanych przez niektórych mniejszościowych właścicieli, jako że ustalanie poziomu ich opodatkowania może stanowić nadmierne obciążenie administracyjne. Pomniejszenie kwalifikowanego dochodu przysługuje zatem wobec właścicieli udziałów własnościowych, które uprawniają do nie więcej niż 5% zysków i nie więcej niż 5% aktywów jednostki pośredniczącej. Dla przykładu, oznacza to, że udział własnościowy dający prawo do 51% zysków i 4% aktywów nie będzie udziałem mniejszościowym w znaczeniu tej przesłanki i tym samym nie będzie ona spełniona. Ponadto, do spełnienia tej przesłanki konieczne jest bezpośrednie posiadanie udziału własnościowego w jednostce pośredniczącej. Przesłanka ta dotyczy wyłącznie wybranych kategorii właścicieli, tj. osób fizycznych, jednostek rządowych, organizacji międzynarodowych, organizacji nienastawionej na zysk albo funduszy emerytalnych.</w:t>
      </w:r>
    </w:p>
    <w:p w14:paraId="472966C9" w14:textId="77777777" w:rsidR="00C4081A" w:rsidRPr="00633318" w:rsidRDefault="00C4081A" w:rsidP="000416A5">
      <w:pPr>
        <w:pStyle w:val="USTustnpkodeksu"/>
        <w:spacing w:after="120" w:line="259" w:lineRule="auto"/>
        <w:ind w:firstLine="0"/>
        <w:rPr>
          <w:rFonts w:ascii="Times New Roman" w:eastAsia="Times New Roman" w:hAnsi="Times New Roman" w:cs="Times New Roman"/>
          <w:szCs w:val="24"/>
        </w:rPr>
      </w:pPr>
      <w:r w:rsidRPr="00633318">
        <w:rPr>
          <w:rFonts w:ascii="Times New Roman" w:hAnsi="Times New Roman" w:cs="Times New Roman"/>
          <w:szCs w:val="24"/>
        </w:rPr>
        <w:t>Zgodnie z art. 1</w:t>
      </w:r>
      <w:bookmarkStart w:id="67" w:name="_Hlk163748256"/>
      <w:r w:rsidRPr="00633318">
        <w:rPr>
          <w:rFonts w:ascii="Times New Roman" w:hAnsi="Times New Roman" w:cs="Times New Roman"/>
          <w:szCs w:val="24"/>
        </w:rPr>
        <w:t>13</w:t>
      </w:r>
      <w:bookmarkEnd w:id="67"/>
      <w:r w:rsidRPr="00633318">
        <w:rPr>
          <w:rFonts w:ascii="Times New Roman" w:hAnsi="Times New Roman" w:cs="Times New Roman"/>
          <w:szCs w:val="24"/>
        </w:rPr>
        <w:t xml:space="preserve"> ust. 2, </w:t>
      </w:r>
      <w:r w:rsidRPr="00633318">
        <w:rPr>
          <w:rFonts w:ascii="Times New Roman" w:eastAsia="Times New Roman" w:hAnsi="Times New Roman" w:cs="Times New Roman"/>
          <w:szCs w:val="24"/>
        </w:rPr>
        <w:t>spełnienie warunków wskazanych w ust. 1 jest oceniane odrębnie w stosunku do każdego właściciela udziału własnościowego w jednostce pośredniczącej, będącej jednostką dominującą najwyższego szczebla.</w:t>
      </w:r>
    </w:p>
    <w:p w14:paraId="1A58FAF3" w14:textId="20051328" w:rsidR="00C4081A" w:rsidRPr="00633318" w:rsidRDefault="00C4081A" w:rsidP="000416A5">
      <w:pPr>
        <w:pStyle w:val="USTustnpkodeksu"/>
        <w:spacing w:after="120" w:line="259" w:lineRule="auto"/>
        <w:ind w:firstLine="0"/>
        <w:rPr>
          <w:rFonts w:ascii="Times New Roman" w:eastAsia="Times New Roman" w:hAnsi="Times New Roman" w:cs="Times New Roman"/>
          <w:szCs w:val="24"/>
        </w:rPr>
      </w:pPr>
      <w:r w:rsidRPr="00633318">
        <w:rPr>
          <w:rFonts w:ascii="Times New Roman" w:eastAsia="Times New Roman" w:hAnsi="Times New Roman" w:cs="Times New Roman"/>
          <w:szCs w:val="24"/>
        </w:rPr>
        <w:t>Ponadto, art. 113 ust. 3 umożliwia pomniejszenie – pod określonymi warunkami – kwalifikowanej straty jednostki pośredniczącej, będącej jednostką dominującą najwyższego szczebla, o kwotę kwalifikowanej straty, przypisywanej właścicielowi udziałów własnościowych w jednostce pośredniczącej zgodnie z odpowiednim standardem rachunkowości.</w:t>
      </w:r>
      <w:r w:rsidRPr="00633318">
        <w:rPr>
          <w:rFonts w:ascii="Times New Roman" w:hAnsi="Times New Roman" w:cs="Times New Roman"/>
          <w:szCs w:val="24"/>
        </w:rPr>
        <w:t xml:space="preserve"> </w:t>
      </w:r>
      <w:r w:rsidRPr="00633318">
        <w:rPr>
          <w:rFonts w:ascii="Times New Roman" w:eastAsia="Times New Roman" w:hAnsi="Times New Roman" w:cs="Times New Roman"/>
          <w:szCs w:val="24"/>
        </w:rPr>
        <w:t xml:space="preserve">Pomniejszenie jest dokonywane, jeżeli właściciel udziałów własnościowych, zgodnie z przepisami obowiązującymi w </w:t>
      </w:r>
      <w:r w:rsidR="008F1B9A" w:rsidRPr="00633318">
        <w:rPr>
          <w:rFonts w:ascii="Times New Roman" w:hAnsi="Times New Roman" w:cs="Times New Roman"/>
          <w:szCs w:val="24"/>
        </w:rPr>
        <w:t>jurysdykcji</w:t>
      </w:r>
      <w:r w:rsidR="008F1B9A" w:rsidRPr="00633318" w:rsidDel="008F1B9A">
        <w:rPr>
          <w:rFonts w:ascii="Times New Roman" w:eastAsia="Times New Roman" w:hAnsi="Times New Roman" w:cs="Times New Roman"/>
          <w:szCs w:val="24"/>
        </w:rPr>
        <w:t xml:space="preserve"> </w:t>
      </w:r>
      <w:r w:rsidRPr="00633318">
        <w:rPr>
          <w:rFonts w:ascii="Times New Roman" w:eastAsia="Times New Roman" w:hAnsi="Times New Roman" w:cs="Times New Roman"/>
          <w:szCs w:val="24"/>
        </w:rPr>
        <w:t>swojej rezydencji podatkowej</w:t>
      </w:r>
      <w:r w:rsidR="00ED1FEA" w:rsidRPr="00633318">
        <w:rPr>
          <w:rFonts w:ascii="Times New Roman" w:eastAsia="Times New Roman" w:hAnsi="Times New Roman" w:cs="Times New Roman"/>
          <w:szCs w:val="24"/>
        </w:rPr>
        <w:t xml:space="preserve"> </w:t>
      </w:r>
      <w:r w:rsidRPr="00633318">
        <w:rPr>
          <w:rFonts w:ascii="Times New Roman" w:eastAsia="Times New Roman" w:hAnsi="Times New Roman" w:cs="Times New Roman"/>
          <w:szCs w:val="24"/>
        </w:rPr>
        <w:t>/</w:t>
      </w:r>
      <w:r w:rsidR="00ED1FEA" w:rsidRPr="00633318">
        <w:rPr>
          <w:rFonts w:ascii="Times New Roman" w:eastAsia="Times New Roman" w:hAnsi="Times New Roman" w:cs="Times New Roman"/>
          <w:szCs w:val="24"/>
        </w:rPr>
        <w:t xml:space="preserve"> </w:t>
      </w:r>
      <w:r w:rsidRPr="00633318">
        <w:rPr>
          <w:rFonts w:ascii="Times New Roman" w:eastAsia="Times New Roman" w:hAnsi="Times New Roman" w:cs="Times New Roman"/>
          <w:szCs w:val="24"/>
        </w:rPr>
        <w:t>lokalizacji, jest uprawniony do odliczenia takiej straty od swojego dochodu, podlegającego opodatkowaniu.</w:t>
      </w:r>
    </w:p>
    <w:p w14:paraId="629FEC28" w14:textId="77777777" w:rsidR="00C4081A" w:rsidRPr="00633318" w:rsidRDefault="00C4081A" w:rsidP="000416A5">
      <w:pPr>
        <w:pStyle w:val="USTustnpkodeksu"/>
        <w:spacing w:after="120" w:line="259" w:lineRule="auto"/>
        <w:ind w:firstLine="0"/>
        <w:rPr>
          <w:rFonts w:ascii="Times New Roman" w:eastAsia="Times New Roman" w:hAnsi="Times New Roman" w:cs="Times New Roman"/>
          <w:szCs w:val="24"/>
        </w:rPr>
      </w:pPr>
      <w:r w:rsidRPr="00633318">
        <w:rPr>
          <w:rFonts w:ascii="Times New Roman" w:eastAsia="Times New Roman" w:hAnsi="Times New Roman" w:cs="Times New Roman"/>
          <w:szCs w:val="24"/>
        </w:rPr>
        <w:t>Na mocy art. 113 ust. 4, podatki kwalifikowane jednostki pośredniczącej, będącej jednostką dominującą najwyższego szczebla, są ustalane proporcjonalnie do kwoty kwalifikowanego dochodu pomniejszonego zgodnie z opisanymi zasadami. Nie pomniejsza się jednak proporcjonalnie skorygowanych podatków kwalifikowanych, które bada się na potrzeby warunków opodatkowania wskazanych w ust. 1 pkt 1 lit. b (bowiem istotą ust. 1 pkt 1 lit. b jest ocena łącznych skorygowanych podatków kwalifikowanych jednostki dominującej najwyższego szczebla i jej właściciela).</w:t>
      </w:r>
    </w:p>
    <w:p w14:paraId="2C3396FF" w14:textId="77777777" w:rsidR="00C4081A" w:rsidRPr="00633318" w:rsidRDefault="00C4081A" w:rsidP="000416A5">
      <w:pPr>
        <w:pStyle w:val="USTustnpkodeksu"/>
        <w:spacing w:after="120" w:line="259" w:lineRule="auto"/>
        <w:ind w:firstLine="0"/>
        <w:rPr>
          <w:rFonts w:ascii="Times New Roman" w:eastAsia="Times New Roman" w:hAnsi="Times New Roman" w:cs="Times New Roman"/>
          <w:szCs w:val="24"/>
        </w:rPr>
      </w:pPr>
      <w:r w:rsidRPr="00633318">
        <w:rPr>
          <w:rFonts w:ascii="Times New Roman" w:eastAsia="Times New Roman" w:hAnsi="Times New Roman" w:cs="Times New Roman"/>
          <w:szCs w:val="24"/>
        </w:rPr>
        <w:t xml:space="preserve">Stosownie do art. 113 ust. 5, przepisy ust. 1-4 stosuje się odpowiednio do stałego zakładu, za pośrednictwem którego prowadzi działalność w całości lub części: </w:t>
      </w:r>
    </w:p>
    <w:p w14:paraId="52346DA8" w14:textId="77777777" w:rsidR="00C4081A" w:rsidRPr="00633318" w:rsidRDefault="00C4081A" w:rsidP="002C7467">
      <w:pPr>
        <w:pStyle w:val="USTustnpkodeksu"/>
        <w:numPr>
          <w:ilvl w:val="0"/>
          <w:numId w:val="73"/>
        </w:numPr>
        <w:spacing w:after="120" w:line="259" w:lineRule="auto"/>
        <w:ind w:left="851" w:hanging="425"/>
        <w:rPr>
          <w:rFonts w:ascii="Times New Roman" w:eastAsia="Times New Roman" w:hAnsi="Times New Roman" w:cs="Times New Roman"/>
          <w:szCs w:val="24"/>
        </w:rPr>
      </w:pPr>
      <w:r w:rsidRPr="00633318">
        <w:rPr>
          <w:rFonts w:ascii="Times New Roman" w:eastAsia="Times New Roman" w:hAnsi="Times New Roman" w:cs="Times New Roman"/>
          <w:szCs w:val="24"/>
        </w:rPr>
        <w:t xml:space="preserve">jednostka pośrednicząca, będąca jednostką dominującą najwyższego szczebla, lub </w:t>
      </w:r>
    </w:p>
    <w:p w14:paraId="405FA8A3" w14:textId="77777777" w:rsidR="00C4081A" w:rsidRPr="00633318" w:rsidRDefault="00C4081A" w:rsidP="002C7467">
      <w:pPr>
        <w:pStyle w:val="USTustnpkodeksu"/>
        <w:numPr>
          <w:ilvl w:val="0"/>
          <w:numId w:val="73"/>
        </w:numPr>
        <w:spacing w:after="120" w:line="259" w:lineRule="auto"/>
        <w:ind w:left="851" w:hanging="425"/>
        <w:rPr>
          <w:rFonts w:ascii="Times New Roman" w:eastAsia="Times New Roman" w:hAnsi="Times New Roman" w:cs="Times New Roman"/>
          <w:szCs w:val="24"/>
        </w:rPr>
      </w:pPr>
      <w:r w:rsidRPr="00633318">
        <w:rPr>
          <w:rFonts w:ascii="Times New Roman" w:eastAsia="Times New Roman" w:hAnsi="Times New Roman" w:cs="Times New Roman"/>
          <w:szCs w:val="24"/>
        </w:rPr>
        <w:t>jednostka transparentna podatkowo, w której udziały własnościowe posiada bezpośrednio lub pośrednio - poprzez jednostki transparentne podatkowo - jednostka dominująca najwyższego szczebla.</w:t>
      </w:r>
    </w:p>
    <w:p w14:paraId="30D5508E" w14:textId="77777777" w:rsidR="00C4081A" w:rsidRPr="00633318" w:rsidRDefault="00C4081A" w:rsidP="000416A5">
      <w:pPr>
        <w:pStyle w:val="USTustnpkodeksu"/>
        <w:spacing w:after="120" w:line="259" w:lineRule="auto"/>
        <w:ind w:firstLine="0"/>
        <w:rPr>
          <w:rFonts w:ascii="Times New Roman" w:eastAsia="Times New Roman" w:hAnsi="Times New Roman" w:cs="Times New Roman"/>
          <w:szCs w:val="24"/>
        </w:rPr>
      </w:pPr>
      <w:r w:rsidRPr="00633318">
        <w:rPr>
          <w:rFonts w:ascii="Times New Roman" w:eastAsia="Times New Roman" w:hAnsi="Times New Roman" w:cs="Times New Roman"/>
          <w:szCs w:val="24"/>
        </w:rPr>
        <w:t xml:space="preserve">Na mocy art. </w:t>
      </w:r>
      <w:bookmarkStart w:id="68" w:name="_Hlk163746715"/>
      <w:r w:rsidRPr="00633318">
        <w:rPr>
          <w:rFonts w:ascii="Times New Roman" w:eastAsia="Times New Roman" w:hAnsi="Times New Roman" w:cs="Times New Roman"/>
          <w:szCs w:val="24"/>
        </w:rPr>
        <w:t>113</w:t>
      </w:r>
      <w:bookmarkEnd w:id="68"/>
      <w:r w:rsidRPr="00633318">
        <w:rPr>
          <w:rFonts w:ascii="Times New Roman" w:eastAsia="Times New Roman" w:hAnsi="Times New Roman" w:cs="Times New Roman"/>
          <w:szCs w:val="24"/>
        </w:rPr>
        <w:t xml:space="preserve"> ust. 5 ustawy, możliwe jest więc pomniejszenie – o dochód przypisywany do właścicieli wskazanych w art. 113 ust. 1 ustawy – dochodów określonych stałych zakładów, za </w:t>
      </w:r>
      <w:bookmarkStart w:id="69" w:name="_Hlk163416673"/>
      <w:r w:rsidRPr="00633318">
        <w:rPr>
          <w:rFonts w:ascii="Times New Roman" w:eastAsia="Times New Roman" w:hAnsi="Times New Roman" w:cs="Times New Roman"/>
          <w:szCs w:val="24"/>
        </w:rPr>
        <w:t>pośrednictwem</w:t>
      </w:r>
      <w:bookmarkEnd w:id="69"/>
      <w:r w:rsidRPr="00633318">
        <w:rPr>
          <w:rFonts w:ascii="Times New Roman" w:eastAsia="Times New Roman" w:hAnsi="Times New Roman" w:cs="Times New Roman"/>
          <w:szCs w:val="24"/>
        </w:rPr>
        <w:t xml:space="preserve"> których jednostka dominująca najwyższego szczebla i inne określone jednostki pośredniczące prowadzą swoją działalność, w całości lub części.</w:t>
      </w:r>
    </w:p>
    <w:p w14:paraId="02801B2D" w14:textId="77777777" w:rsidR="00C4081A" w:rsidRPr="00633318" w:rsidRDefault="00C4081A" w:rsidP="000416A5">
      <w:pPr>
        <w:pStyle w:val="USTustnpkodeksu"/>
        <w:spacing w:after="120" w:line="259" w:lineRule="auto"/>
        <w:ind w:firstLine="0"/>
        <w:rPr>
          <w:rFonts w:ascii="Times New Roman" w:eastAsia="Times New Roman" w:hAnsi="Times New Roman" w:cs="Times New Roman"/>
          <w:szCs w:val="24"/>
        </w:rPr>
      </w:pPr>
      <w:r w:rsidRPr="00633318">
        <w:rPr>
          <w:rFonts w:ascii="Times New Roman" w:eastAsia="Times New Roman" w:hAnsi="Times New Roman" w:cs="Times New Roman"/>
          <w:szCs w:val="24"/>
        </w:rPr>
        <w:t xml:space="preserve">Art. 113 ust. 5 pkt 1 ustawy dotyczy prostej sytuacji, w której działalność jednostki pośredniczącej, będącej jednostką dominującą najwyższego szczebla, jest prowadzona za pośrednictwem stałego zakładu. </w:t>
      </w:r>
    </w:p>
    <w:p w14:paraId="079F3AAF" w14:textId="77777777" w:rsidR="00C4081A" w:rsidRPr="00633318" w:rsidRDefault="00C4081A" w:rsidP="000416A5">
      <w:pPr>
        <w:pStyle w:val="USTustnpkodeksu"/>
        <w:spacing w:after="120" w:line="259" w:lineRule="auto"/>
        <w:ind w:firstLine="0"/>
        <w:rPr>
          <w:rFonts w:ascii="Times New Roman" w:eastAsia="Times New Roman" w:hAnsi="Times New Roman" w:cs="Times New Roman"/>
          <w:szCs w:val="24"/>
        </w:rPr>
      </w:pPr>
      <w:r w:rsidRPr="00633318">
        <w:rPr>
          <w:rFonts w:ascii="Times New Roman" w:eastAsia="Times New Roman" w:hAnsi="Times New Roman" w:cs="Times New Roman"/>
          <w:szCs w:val="24"/>
        </w:rPr>
        <w:t xml:space="preserve">Z kolei, </w:t>
      </w:r>
      <w:bookmarkStart w:id="70" w:name="_Hlk163462093"/>
      <w:r w:rsidRPr="00633318">
        <w:rPr>
          <w:rFonts w:ascii="Times New Roman" w:eastAsia="Times New Roman" w:hAnsi="Times New Roman" w:cs="Times New Roman"/>
          <w:szCs w:val="24"/>
        </w:rPr>
        <w:t>art. 113 ust. 5 pkt 2 ustawy dotyczy sytuacji, w której</w:t>
      </w:r>
      <w:r w:rsidRPr="00633318">
        <w:rPr>
          <w:rFonts w:ascii="Times New Roman" w:hAnsi="Times New Roman" w:cs="Times New Roman"/>
          <w:szCs w:val="24"/>
        </w:rPr>
        <w:t xml:space="preserve"> </w:t>
      </w:r>
      <w:r w:rsidRPr="00633318">
        <w:rPr>
          <w:rFonts w:ascii="Times New Roman" w:eastAsia="Times New Roman" w:hAnsi="Times New Roman" w:cs="Times New Roman"/>
          <w:szCs w:val="24"/>
        </w:rPr>
        <w:t>jednostka pośrednicząca, będąca jednostką dominującą najwyższego szczebla, bezpośrednio posiada udział własnościowy w jednostce transparentnej podatkowo,</w:t>
      </w:r>
      <w:bookmarkEnd w:id="70"/>
      <w:r w:rsidRPr="00633318">
        <w:rPr>
          <w:rFonts w:ascii="Times New Roman" w:eastAsia="Times New Roman" w:hAnsi="Times New Roman" w:cs="Times New Roman"/>
          <w:szCs w:val="24"/>
        </w:rPr>
        <w:t xml:space="preserve"> której działalność jest prowadzona za pośrednictwem stałego zakładu. Ponadto, art. 113 ust. 5 pkt 2 ustawy dotyczy sytuacji, w której jednostka pośrednicząca, będąca jednostką dominującą najwyższego szczebla, posiada udział własnościowy w jednostce transparentnej podatkowo i stałym zakładzie poprzez strukturę transparentną podatkowo (tj. poprzez „łańcuszek” jednostek transparentnych podatkowo).</w:t>
      </w:r>
    </w:p>
    <w:p w14:paraId="029AFAEF" w14:textId="48018AFE"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Finalnie, zgodnie natomiast z art. 113 ust. 6 ustawy, w odniesieniu do kwestii</w:t>
      </w:r>
      <w:r w:rsidR="00ED1FEA" w:rsidRPr="00633318">
        <w:rPr>
          <w:rFonts w:ascii="Times New Roman" w:hAnsi="Times New Roman" w:cs="Times New Roman"/>
          <w:sz w:val="24"/>
          <w:szCs w:val="24"/>
        </w:rPr>
        <w:t xml:space="preserve"> </w:t>
      </w:r>
      <w:r w:rsidRPr="00633318">
        <w:rPr>
          <w:rFonts w:ascii="Times New Roman" w:hAnsi="Times New Roman" w:cs="Times New Roman"/>
          <w:sz w:val="24"/>
          <w:szCs w:val="24"/>
        </w:rPr>
        <w:t>/</w:t>
      </w:r>
      <w:r w:rsidR="00ED1FEA" w:rsidRPr="00633318">
        <w:rPr>
          <w:rFonts w:ascii="Times New Roman" w:hAnsi="Times New Roman" w:cs="Times New Roman"/>
          <w:sz w:val="24"/>
          <w:szCs w:val="24"/>
        </w:rPr>
        <w:t xml:space="preserve"> </w:t>
      </w:r>
      <w:r w:rsidRPr="00633318">
        <w:rPr>
          <w:rFonts w:ascii="Times New Roman" w:hAnsi="Times New Roman" w:cs="Times New Roman"/>
          <w:sz w:val="24"/>
          <w:szCs w:val="24"/>
        </w:rPr>
        <w:t>zagadnień nieuregulowanych w niniejszym rozdziale odpowiednie zastosowanie znajdą przepisy działu II ustawy dotyczącego globalnego podatku wyrównawczego.</w:t>
      </w:r>
    </w:p>
    <w:p w14:paraId="0E996581" w14:textId="77777777" w:rsidR="00C4081A" w:rsidRPr="00633318" w:rsidRDefault="00C4081A" w:rsidP="00C4081A">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Art. 114 [Pomniejszanie kwalifikowanego dochodu UPE objętej system odliczanej dywidendy]</w:t>
      </w:r>
    </w:p>
    <w:p w14:paraId="2DD7C369" w14:textId="77777777" w:rsidR="00C4081A" w:rsidRPr="00633318" w:rsidRDefault="00C4081A" w:rsidP="000416A5">
      <w:pPr>
        <w:spacing w:after="120"/>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Zakres art. 114 dotyczy jednostki dominującej, która objęta jest systemem odliczanej dywidendy. Założenia funkcjonowania systemu odliczanej dywidendy polegają na zapewnieniu jednolitego</w:t>
      </w:r>
      <w:r w:rsidRPr="00633318">
        <w:rPr>
          <w:rFonts w:ascii="Times New Roman" w:eastAsia="Times New Roman" w:hAnsi="Times New Roman" w:cs="Times New Roman"/>
          <w:color w:val="000000"/>
          <w:sz w:val="24"/>
          <w:szCs w:val="24"/>
          <w:lang w:bidi="en-US"/>
        </w:rPr>
        <w:t xml:space="preserve"> </w:t>
      </w:r>
      <w:r w:rsidRPr="00633318">
        <w:rPr>
          <w:rFonts w:ascii="Times New Roman" w:eastAsia="Times New Roman" w:hAnsi="Times New Roman" w:cs="Times New Roman"/>
          <w:bCs/>
          <w:sz w:val="24"/>
          <w:szCs w:val="24"/>
          <w:lang w:eastAsia="pl-PL"/>
        </w:rPr>
        <w:t>poziomu opodatkowania poprzez możliwość odliczenia od dochodu jednostki zysków wypłacanych na rzecz jej właścicieli. Zasady mające zastosowanie do jednostek dominujących najwyższego szczebla podlegających systemowi odliczanej dywidendy są podobne do zasad dotyczących jednostek dominujących najwyższego szczebla będących jednostkami pośredniczącymi.</w:t>
      </w:r>
      <w:r w:rsidRPr="00633318">
        <w:rPr>
          <w:rStyle w:val="Odwoanieprzypisudolnego"/>
          <w:rFonts w:ascii="Times New Roman" w:eastAsia="Times New Roman" w:hAnsi="Times New Roman" w:cs="Times New Roman"/>
          <w:bCs/>
          <w:sz w:val="24"/>
          <w:szCs w:val="24"/>
          <w:lang w:eastAsia="pl-PL"/>
        </w:rPr>
        <w:footnoteReference w:id="155"/>
      </w:r>
      <w:r w:rsidRPr="00633318">
        <w:rPr>
          <w:rFonts w:ascii="Times New Roman" w:eastAsia="Times New Roman" w:hAnsi="Times New Roman" w:cs="Times New Roman"/>
          <w:bCs/>
          <w:sz w:val="24"/>
          <w:szCs w:val="24"/>
          <w:lang w:eastAsia="pl-PL"/>
        </w:rPr>
        <w:t xml:space="preserve"> </w:t>
      </w:r>
    </w:p>
    <w:p w14:paraId="497069E4" w14:textId="77777777" w:rsidR="00C4081A" w:rsidRPr="00633318" w:rsidRDefault="00C4081A" w:rsidP="000416A5">
      <w:pPr>
        <w:spacing w:after="120"/>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 xml:space="preserve">Zgodnie z art. 114 </w:t>
      </w:r>
      <w:r w:rsidRPr="00633318">
        <w:rPr>
          <w:rFonts w:ascii="Times New Roman" w:eastAsia="Times New Roman" w:hAnsi="Times New Roman" w:cs="Times New Roman"/>
          <w:b/>
          <w:sz w:val="24"/>
          <w:szCs w:val="24"/>
          <w:lang w:eastAsia="pl-PL"/>
        </w:rPr>
        <w:t>ust. 2</w:t>
      </w:r>
      <w:r w:rsidRPr="00633318">
        <w:rPr>
          <w:rFonts w:ascii="Times New Roman" w:eastAsia="Times New Roman" w:hAnsi="Times New Roman" w:cs="Times New Roman"/>
          <w:bCs/>
          <w:sz w:val="24"/>
          <w:szCs w:val="24"/>
          <w:lang w:eastAsia="pl-PL"/>
        </w:rPr>
        <w:t xml:space="preserve">, przez system odliczanej dywidendy rozumie się system podatkowy, w ramach którego przeciwdziała się podwójnemu opodatkowaniu poprzez odliczenie z podlegającego opodatkowaniu dochodu jednostki zysków wypłacanych właścicielom tej jednostki (lub poprzez zwolnienie spółdzielni z opodatkowania). Zgodnie z art. 114 </w:t>
      </w:r>
      <w:r w:rsidRPr="00633318">
        <w:rPr>
          <w:rFonts w:ascii="Times New Roman" w:eastAsia="Times New Roman" w:hAnsi="Times New Roman" w:cs="Times New Roman"/>
          <w:b/>
          <w:sz w:val="24"/>
          <w:szCs w:val="24"/>
          <w:lang w:eastAsia="pl-PL"/>
        </w:rPr>
        <w:t>ust. 3</w:t>
      </w:r>
      <w:r w:rsidRPr="00633318">
        <w:rPr>
          <w:rFonts w:ascii="Times New Roman" w:eastAsia="Times New Roman" w:hAnsi="Times New Roman" w:cs="Times New Roman"/>
          <w:bCs/>
          <w:sz w:val="24"/>
          <w:szCs w:val="24"/>
          <w:lang w:eastAsia="pl-PL"/>
        </w:rPr>
        <w:t>, dywidenda podlegająca odliczeniu w odniesieniu do jednostki składowej, która podlega systemowi odliczanej dywidendy definiowana jest jako:</w:t>
      </w:r>
    </w:p>
    <w:p w14:paraId="789B3E92" w14:textId="6EB5CCAE" w:rsidR="00C4081A" w:rsidRPr="00633318" w:rsidRDefault="00C4081A" w:rsidP="002C7467">
      <w:pPr>
        <w:pStyle w:val="Akapitzlist"/>
        <w:numPr>
          <w:ilvl w:val="0"/>
          <w:numId w:val="53"/>
        </w:numPr>
        <w:spacing w:after="120"/>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 xml:space="preserve">wypłata, na rzecz właściciela tej jednostki, zysków, które podlegają odliczeniu od  podlegającego opodatkowaniu dochodu tej jednostki, zgodnie z przepisami prawa </w:t>
      </w:r>
      <w:r w:rsidR="008F1B9A" w:rsidRPr="00633318">
        <w:rPr>
          <w:rFonts w:ascii="Times New Roman" w:hAnsi="Times New Roman" w:cs="Times New Roman"/>
          <w:sz w:val="24"/>
          <w:szCs w:val="24"/>
        </w:rPr>
        <w:t>jurysdykcji</w:t>
      </w:r>
      <w:r w:rsidR="008F1B9A" w:rsidRPr="00633318" w:rsidDel="008F1B9A">
        <w:rPr>
          <w:rFonts w:ascii="Times New Roman" w:eastAsia="Times New Roman" w:hAnsi="Times New Roman" w:cs="Times New Roman"/>
          <w:bCs/>
          <w:sz w:val="24"/>
          <w:szCs w:val="24"/>
          <w:lang w:eastAsia="pl-PL"/>
        </w:rPr>
        <w:t xml:space="preserve"> </w:t>
      </w:r>
      <w:r w:rsidRPr="00633318">
        <w:rPr>
          <w:rFonts w:ascii="Times New Roman" w:eastAsia="Times New Roman" w:hAnsi="Times New Roman" w:cs="Times New Roman"/>
          <w:bCs/>
          <w:sz w:val="24"/>
          <w:szCs w:val="24"/>
          <w:lang w:eastAsia="pl-PL"/>
        </w:rPr>
        <w:t>jej lokalizacji / rezydencji podatkowej  lub</w:t>
      </w:r>
    </w:p>
    <w:p w14:paraId="76BC52B5" w14:textId="77777777" w:rsidR="00C4081A" w:rsidRPr="00633318" w:rsidRDefault="00C4081A" w:rsidP="002C7467">
      <w:pPr>
        <w:pStyle w:val="Akapitzlist"/>
        <w:numPr>
          <w:ilvl w:val="0"/>
          <w:numId w:val="53"/>
        </w:numPr>
        <w:spacing w:after="120"/>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 xml:space="preserve">dywidenda patronacka na rzecz członków spółdzielni. </w:t>
      </w:r>
    </w:p>
    <w:p w14:paraId="31BDEAB5" w14:textId="541018F1" w:rsidR="00C4081A" w:rsidRPr="00633318" w:rsidRDefault="00C4081A" w:rsidP="000416A5">
      <w:pPr>
        <w:spacing w:after="120"/>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 xml:space="preserve">Z kolei, przez spółdzielnię, zgodnie z art. 114 </w:t>
      </w:r>
      <w:r w:rsidRPr="00633318">
        <w:rPr>
          <w:rFonts w:ascii="Times New Roman" w:eastAsia="Times New Roman" w:hAnsi="Times New Roman" w:cs="Times New Roman"/>
          <w:b/>
          <w:sz w:val="24"/>
          <w:szCs w:val="24"/>
          <w:lang w:eastAsia="pl-PL"/>
        </w:rPr>
        <w:t>ust. 4</w:t>
      </w:r>
      <w:r w:rsidR="00392BF7" w:rsidRPr="00633318">
        <w:rPr>
          <w:rFonts w:ascii="Times New Roman" w:eastAsia="Times New Roman" w:hAnsi="Times New Roman" w:cs="Times New Roman"/>
          <w:bCs/>
          <w:sz w:val="24"/>
          <w:szCs w:val="24"/>
          <w:lang w:eastAsia="pl-PL"/>
        </w:rPr>
        <w:t>,</w:t>
      </w:r>
      <w:r w:rsidRPr="00633318">
        <w:rPr>
          <w:rFonts w:ascii="Times New Roman" w:eastAsia="Times New Roman" w:hAnsi="Times New Roman" w:cs="Times New Roman"/>
          <w:bCs/>
          <w:sz w:val="24"/>
          <w:szCs w:val="24"/>
          <w:lang w:eastAsia="pl-PL"/>
        </w:rPr>
        <w:t xml:space="preserve"> rozumie się jednostkę wprowadzającą do obrotu lub nabywającą towary lub usługi w imieniu swoich członków i podlegającą w </w:t>
      </w:r>
      <w:r w:rsidR="008F1B9A" w:rsidRPr="00633318">
        <w:rPr>
          <w:rFonts w:ascii="Times New Roman" w:hAnsi="Times New Roman" w:cs="Times New Roman"/>
          <w:sz w:val="24"/>
          <w:szCs w:val="24"/>
        </w:rPr>
        <w:t>jurysdykcji</w:t>
      </w:r>
      <w:r w:rsidR="008F1B9A" w:rsidRPr="00633318" w:rsidDel="008F1B9A">
        <w:rPr>
          <w:rFonts w:ascii="Times New Roman" w:eastAsia="Times New Roman" w:hAnsi="Times New Roman" w:cs="Times New Roman"/>
          <w:bCs/>
          <w:sz w:val="24"/>
          <w:szCs w:val="24"/>
          <w:lang w:eastAsia="pl-PL"/>
        </w:rPr>
        <w:t xml:space="preserve"> </w:t>
      </w:r>
      <w:r w:rsidRPr="00633318">
        <w:rPr>
          <w:rFonts w:ascii="Times New Roman" w:eastAsia="Times New Roman" w:hAnsi="Times New Roman" w:cs="Times New Roman"/>
          <w:bCs/>
          <w:sz w:val="24"/>
          <w:szCs w:val="24"/>
          <w:lang w:eastAsia="pl-PL"/>
        </w:rPr>
        <w:t>jej lokalizacji/rezydencji podatkowej systemowi podatkowemu, który zapewniają neutralność podatkową w odniesieniu do takiej działalności.</w:t>
      </w:r>
    </w:p>
    <w:p w14:paraId="5DE1EC75" w14:textId="23A50567"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Art. 114 </w:t>
      </w:r>
      <w:r w:rsidRPr="00633318">
        <w:rPr>
          <w:rFonts w:ascii="Times New Roman" w:hAnsi="Times New Roman" w:cs="Times New Roman"/>
          <w:b/>
          <w:bCs/>
          <w:sz w:val="24"/>
          <w:szCs w:val="24"/>
        </w:rPr>
        <w:t>ust. 1</w:t>
      </w:r>
      <w:r w:rsidRPr="00633318">
        <w:rPr>
          <w:rFonts w:ascii="Times New Roman" w:hAnsi="Times New Roman" w:cs="Times New Roman"/>
          <w:sz w:val="24"/>
          <w:szCs w:val="24"/>
        </w:rPr>
        <w:t xml:space="preserve"> pozwala na pomniejszenie – pod określonymi warunkami – kwalifikowanego dochodu, obliczonego zgodnie z dział</w:t>
      </w:r>
      <w:r w:rsidR="005038B2" w:rsidRPr="00633318">
        <w:rPr>
          <w:rFonts w:ascii="Times New Roman" w:hAnsi="Times New Roman" w:cs="Times New Roman"/>
          <w:sz w:val="24"/>
          <w:szCs w:val="24"/>
        </w:rPr>
        <w:t>em</w:t>
      </w:r>
      <w:r w:rsidRPr="00633318">
        <w:rPr>
          <w:rFonts w:ascii="Times New Roman" w:hAnsi="Times New Roman" w:cs="Times New Roman"/>
          <w:sz w:val="24"/>
          <w:szCs w:val="24"/>
        </w:rPr>
        <w:t xml:space="preserve"> V, jednostki dominującej najwyższego szczebla podlegającej systemowi odliczanej dywidendy. Pomniejszenie to może zostać dokonane o nieprzekraczającą tego dochodu kwotę dywidendy podlegającej odliczeniu, wypłaconej nie później niż 12 miesięcy od zakończenia roku podatkowego tej jednostki. </w:t>
      </w:r>
    </w:p>
    <w:p w14:paraId="3F392204" w14:textId="77777777"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Jest ono możliwe pod warunkiem wykazania przez jednostkę spełnienia jednego z warunków wskazanych poniżej:</w:t>
      </w:r>
    </w:p>
    <w:p w14:paraId="0DDAC14F" w14:textId="77777777" w:rsidR="00C4081A" w:rsidRPr="00633318" w:rsidRDefault="00C4081A" w:rsidP="000416A5">
      <w:pPr>
        <w:spacing w:after="120"/>
        <w:ind w:left="851" w:hanging="284"/>
        <w:jc w:val="both"/>
        <w:rPr>
          <w:rFonts w:ascii="Times New Roman" w:hAnsi="Times New Roman" w:cs="Times New Roman"/>
          <w:bCs/>
          <w:sz w:val="24"/>
          <w:szCs w:val="24"/>
        </w:rPr>
      </w:pPr>
      <w:r w:rsidRPr="00633318">
        <w:rPr>
          <w:rFonts w:ascii="Times New Roman" w:hAnsi="Times New Roman" w:cs="Times New Roman"/>
          <w:bCs/>
          <w:sz w:val="24"/>
          <w:szCs w:val="24"/>
        </w:rPr>
        <w:t>1)</w:t>
      </w:r>
      <w:r w:rsidRPr="00633318">
        <w:rPr>
          <w:rFonts w:ascii="Times New Roman" w:hAnsi="Times New Roman" w:cs="Times New Roman"/>
          <w:bCs/>
          <w:sz w:val="24"/>
          <w:szCs w:val="24"/>
        </w:rPr>
        <w:tab/>
        <w:t>właściciel tej jednostki podlega opodatkowaniu z tytułu tej dywidendy za rok podatkowy, który kończy się nie później niż 12 miesięcy od zakończenia roku podatkowego grupy, do której należy ta jednostka:</w:t>
      </w:r>
    </w:p>
    <w:p w14:paraId="1C369C9D" w14:textId="77777777" w:rsidR="00C4081A" w:rsidRPr="00633318" w:rsidRDefault="00C4081A" w:rsidP="009E73F7">
      <w:pPr>
        <w:pStyle w:val="Akapitzlist"/>
        <w:numPr>
          <w:ilvl w:val="1"/>
          <w:numId w:val="130"/>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według stawki nominalnej równej albo wyższej niż minimalna stawka podatkowa lub</w:t>
      </w:r>
    </w:p>
    <w:p w14:paraId="7622ED40" w14:textId="77777777" w:rsidR="00C4081A" w:rsidRPr="00633318" w:rsidRDefault="00C4081A" w:rsidP="009E73F7">
      <w:pPr>
        <w:pStyle w:val="Akapitzlist"/>
        <w:numPr>
          <w:ilvl w:val="1"/>
          <w:numId w:val="130"/>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 uzasadniony sposób można oczekiwać, że łączna kwota skorygowanych podatków kwalifikowanych jednostki dominującej najwyższego szczebla i podatków zapłaconych przez otrzymującego taką dywidendę nie będzie niższa niż kwota iloczynu dochodu z tytułu dywidendy i minimalnej stawki podatkowej lub</w:t>
      </w:r>
    </w:p>
    <w:p w14:paraId="34F4B5A0" w14:textId="77777777" w:rsidR="00C4081A" w:rsidRPr="00633318" w:rsidRDefault="00C4081A" w:rsidP="009E73F7">
      <w:pPr>
        <w:pStyle w:val="Akapitzlist"/>
        <w:numPr>
          <w:ilvl w:val="1"/>
          <w:numId w:val="130"/>
        </w:num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otrzymującym taką dywidendę jest osoba fizyczną, a otrzymana dywidenda jest dywidendą patronacką od spółdzielni zaopatrującej (tj. takiej, która nabywa towary lub usługi i odsprzedaje je swoim członkom lub patronom) lub</w:t>
      </w:r>
    </w:p>
    <w:p w14:paraId="2AE87AE4" w14:textId="77777777" w:rsidR="00C4081A" w:rsidRPr="00633318" w:rsidRDefault="00C4081A" w:rsidP="000416A5">
      <w:pPr>
        <w:spacing w:after="120"/>
        <w:ind w:left="851" w:hanging="284"/>
        <w:jc w:val="both"/>
        <w:rPr>
          <w:rFonts w:ascii="Times New Roman" w:hAnsi="Times New Roman" w:cs="Times New Roman"/>
          <w:bCs/>
          <w:sz w:val="24"/>
          <w:szCs w:val="24"/>
        </w:rPr>
      </w:pPr>
      <w:r w:rsidRPr="00633318">
        <w:rPr>
          <w:rFonts w:ascii="Times New Roman" w:hAnsi="Times New Roman" w:cs="Times New Roman"/>
          <w:bCs/>
          <w:sz w:val="24"/>
          <w:szCs w:val="24"/>
        </w:rPr>
        <w:t>2)</w:t>
      </w:r>
      <w:r w:rsidRPr="00633318">
        <w:rPr>
          <w:rFonts w:ascii="Times New Roman" w:hAnsi="Times New Roman" w:cs="Times New Roman"/>
          <w:bCs/>
          <w:sz w:val="24"/>
          <w:szCs w:val="24"/>
        </w:rPr>
        <w:tab/>
        <w:t xml:space="preserve">otrzymującym taką dywidendę jest: </w:t>
      </w:r>
    </w:p>
    <w:p w14:paraId="33BF4669" w14:textId="1E3A5EAB" w:rsidR="00C4081A" w:rsidRPr="00633318" w:rsidRDefault="00C4081A" w:rsidP="009E73F7">
      <w:pPr>
        <w:pStyle w:val="Akapitzlist"/>
        <w:numPr>
          <w:ilvl w:val="1"/>
          <w:numId w:val="131"/>
        </w:numPr>
        <w:spacing w:after="120"/>
        <w:ind w:left="1418" w:hanging="284"/>
        <w:jc w:val="both"/>
        <w:rPr>
          <w:rFonts w:ascii="Times New Roman" w:hAnsi="Times New Roman" w:cs="Times New Roman"/>
          <w:bCs/>
          <w:sz w:val="24"/>
          <w:szCs w:val="24"/>
        </w:rPr>
      </w:pPr>
      <w:r w:rsidRPr="00633318">
        <w:rPr>
          <w:rFonts w:ascii="Times New Roman" w:hAnsi="Times New Roman" w:cs="Times New Roman"/>
          <w:bCs/>
          <w:sz w:val="24"/>
          <w:szCs w:val="24"/>
        </w:rPr>
        <w:t>osoba fizyczna, która jest rezydentem podatkowym w </w:t>
      </w:r>
      <w:r w:rsidR="008F1B9A" w:rsidRPr="00633318">
        <w:rPr>
          <w:rFonts w:ascii="Times New Roman" w:hAnsi="Times New Roman" w:cs="Times New Roman"/>
          <w:sz w:val="24"/>
          <w:szCs w:val="24"/>
        </w:rPr>
        <w:t>jurysdykcji</w:t>
      </w:r>
      <w:r w:rsidR="008F1B9A" w:rsidRPr="00633318" w:rsidDel="008F1B9A">
        <w:rPr>
          <w:rFonts w:ascii="Times New Roman" w:hAnsi="Times New Roman" w:cs="Times New Roman"/>
          <w:bCs/>
          <w:sz w:val="24"/>
          <w:szCs w:val="24"/>
        </w:rPr>
        <w:t xml:space="preserve"> </w:t>
      </w:r>
      <w:r w:rsidRPr="00633318">
        <w:rPr>
          <w:rFonts w:ascii="Times New Roman" w:hAnsi="Times New Roman" w:cs="Times New Roman"/>
          <w:bCs/>
          <w:sz w:val="24"/>
          <w:szCs w:val="24"/>
        </w:rPr>
        <w:t>lokalizacji tej jednostki oraz posiada nie więcej niż 5% udziałów własnościowych dających prawo do zysków i aktywów tej jednostki lub</w:t>
      </w:r>
    </w:p>
    <w:p w14:paraId="4BFCEBDB" w14:textId="348207A8" w:rsidR="00C4081A" w:rsidRPr="00633318" w:rsidRDefault="00C4081A" w:rsidP="009E73F7">
      <w:pPr>
        <w:pStyle w:val="Akapitzlist"/>
        <w:numPr>
          <w:ilvl w:val="1"/>
          <w:numId w:val="131"/>
        </w:numPr>
        <w:spacing w:after="120"/>
        <w:ind w:left="1418" w:hanging="284"/>
        <w:jc w:val="both"/>
        <w:rPr>
          <w:rFonts w:ascii="Times New Roman" w:hAnsi="Times New Roman" w:cs="Times New Roman"/>
          <w:bCs/>
          <w:sz w:val="24"/>
          <w:szCs w:val="24"/>
        </w:rPr>
      </w:pPr>
      <w:r w:rsidRPr="00633318">
        <w:rPr>
          <w:rFonts w:ascii="Times New Roman" w:hAnsi="Times New Roman" w:cs="Times New Roman"/>
          <w:bCs/>
          <w:sz w:val="24"/>
          <w:szCs w:val="24"/>
        </w:rPr>
        <w:t xml:space="preserve">fundusz emerytalny, o którym mowa w art. </w:t>
      </w:r>
      <w:r w:rsidR="001303F3" w:rsidRPr="00633318">
        <w:rPr>
          <w:rFonts w:ascii="Times New Roman" w:hAnsi="Times New Roman" w:cs="Times New Roman"/>
          <w:bCs/>
          <w:sz w:val="24"/>
          <w:szCs w:val="24"/>
        </w:rPr>
        <w:t>5 ust. 5 pkt 1</w:t>
      </w:r>
      <w:r w:rsidRPr="00633318">
        <w:rPr>
          <w:rFonts w:ascii="Times New Roman" w:hAnsi="Times New Roman" w:cs="Times New Roman"/>
          <w:bCs/>
          <w:sz w:val="24"/>
          <w:szCs w:val="24"/>
        </w:rPr>
        <w:t>, jednostka rządowa, organizacja międzynarodową albo organizacją nienastawioną na zysk będącym rezydentem podatkowym w </w:t>
      </w:r>
      <w:r w:rsidR="008F1B9A" w:rsidRPr="00633318">
        <w:rPr>
          <w:rFonts w:ascii="Times New Roman" w:hAnsi="Times New Roman" w:cs="Times New Roman"/>
          <w:sz w:val="24"/>
          <w:szCs w:val="24"/>
        </w:rPr>
        <w:t>jurysdykcji</w:t>
      </w:r>
      <w:r w:rsidR="008F1B9A" w:rsidRPr="00633318" w:rsidDel="008F1B9A">
        <w:rPr>
          <w:rFonts w:ascii="Times New Roman" w:hAnsi="Times New Roman" w:cs="Times New Roman"/>
          <w:bCs/>
          <w:sz w:val="24"/>
          <w:szCs w:val="24"/>
        </w:rPr>
        <w:t xml:space="preserve"> </w:t>
      </w:r>
      <w:r w:rsidRPr="00633318">
        <w:rPr>
          <w:rFonts w:ascii="Times New Roman" w:hAnsi="Times New Roman" w:cs="Times New Roman"/>
          <w:bCs/>
          <w:sz w:val="24"/>
          <w:szCs w:val="24"/>
        </w:rPr>
        <w:t>lokalizacji tej jednostki.</w:t>
      </w:r>
    </w:p>
    <w:p w14:paraId="40F115DD" w14:textId="77777777" w:rsidR="00C4081A" w:rsidRPr="00633318" w:rsidRDefault="00C4081A" w:rsidP="000416A5">
      <w:pPr>
        <w:suppressAutoHyphens/>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Należy zaznaczyć, że zastosowanie pierwszej przesłanki wskazanej w pkt 1 lit. b nie wymaga obliczenia efektywnej stawki opodatkowania. Dzieje się tak, bowiem warunki określone w niniejszym podpunkcie są uznawane za spełnione, jeżeli jednostka dominująca najwyższego szczebla wykaże, że można racjonalnie oczekiwać, iż podatek zapłacony w odniesieniu do jej dochodu będzie równy lub przekroczy zobowiązanie podatkowe z tytułu tego dochodu według stawki minimalnej [Komentarz, 7.2.1; 41]. </w:t>
      </w:r>
    </w:p>
    <w:p w14:paraId="7BE088F0" w14:textId="77777777" w:rsidR="00C4081A" w:rsidRPr="00633318" w:rsidRDefault="00C4081A" w:rsidP="000416A5">
      <w:pPr>
        <w:suppressAutoHyphens/>
        <w:autoSpaceDE w:val="0"/>
        <w:autoSpaceDN w:val="0"/>
        <w:adjustRightInd w:val="0"/>
        <w:spacing w:after="120"/>
        <w:jc w:val="both"/>
        <w:rPr>
          <w:rFonts w:ascii="Times New Roman" w:eastAsia="Times New Roman" w:hAnsi="Times New Roman" w:cs="Times New Roman"/>
          <w:bCs/>
          <w:sz w:val="24"/>
          <w:szCs w:val="24"/>
          <w:lang w:eastAsia="pl-PL"/>
        </w:rPr>
      </w:pPr>
      <w:r w:rsidRPr="00633318">
        <w:rPr>
          <w:rFonts w:ascii="Times New Roman" w:hAnsi="Times New Roman" w:cs="Times New Roman"/>
          <w:sz w:val="24"/>
          <w:szCs w:val="24"/>
        </w:rPr>
        <w:t xml:space="preserve">Zgodnie z </w:t>
      </w:r>
      <w:r w:rsidRPr="00633318">
        <w:rPr>
          <w:rFonts w:ascii="Times New Roman" w:hAnsi="Times New Roman" w:cs="Times New Roman"/>
          <w:b/>
          <w:bCs/>
          <w:sz w:val="24"/>
          <w:szCs w:val="24"/>
        </w:rPr>
        <w:t>ust. 6</w:t>
      </w:r>
      <w:r w:rsidRPr="00633318">
        <w:rPr>
          <w:rFonts w:ascii="Times New Roman" w:hAnsi="Times New Roman" w:cs="Times New Roman"/>
          <w:sz w:val="24"/>
          <w:szCs w:val="24"/>
        </w:rPr>
        <w:t xml:space="preserve"> spełnienie wyżej opisanych warunków oceniane jest </w:t>
      </w:r>
      <w:r w:rsidRPr="00633318">
        <w:rPr>
          <w:rFonts w:ascii="Times New Roman" w:eastAsia="Times New Roman" w:hAnsi="Times New Roman" w:cs="Times New Roman"/>
          <w:bCs/>
          <w:sz w:val="24"/>
          <w:szCs w:val="24"/>
          <w:lang w:eastAsia="pl-PL"/>
        </w:rPr>
        <w:t>odrębnie w odniesieniu do każdego właściciela jednostki dominującej najwyższego szczebla i otrzymującego dywidendę podlegającą odliczeniu.</w:t>
      </w:r>
    </w:p>
    <w:p w14:paraId="6FF24E3B" w14:textId="77777777"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Finalnie, na mocy art. 114 </w:t>
      </w:r>
      <w:r w:rsidRPr="00633318">
        <w:rPr>
          <w:rFonts w:ascii="Times New Roman" w:hAnsi="Times New Roman" w:cs="Times New Roman"/>
          <w:b/>
          <w:bCs/>
          <w:sz w:val="24"/>
          <w:szCs w:val="24"/>
        </w:rPr>
        <w:t>ust. 7</w:t>
      </w:r>
      <w:r w:rsidRPr="00633318">
        <w:rPr>
          <w:rFonts w:ascii="Times New Roman" w:hAnsi="Times New Roman" w:cs="Times New Roman"/>
          <w:sz w:val="24"/>
          <w:szCs w:val="24"/>
        </w:rPr>
        <w:t xml:space="preserve"> ustawy, podatki kwalifikowane jednostki dominującej najwyższego szczebla, inne niż podatki naliczone od dochodu od którego przysługiwało prawo do odliczenia dywidendy, ustala się proporcjonalnie do kwoty kwalifikowanego dochodu pomniejszonego zgodnie z ust. 1. Przepisu nie stosuje się jednak do obliczenia skorygowanych podatków kwalifikowanych, o których mowa w ust. 1 pkt 2 (tj. branych pod uwagę na potrzeby oceny spełnienia warunków).</w:t>
      </w:r>
    </w:p>
    <w:p w14:paraId="3DB00EC4" w14:textId="77777777" w:rsidR="00C4081A" w:rsidRPr="00633318" w:rsidRDefault="00C4081A"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natomiast z art. 114 </w:t>
      </w:r>
      <w:r w:rsidRPr="00633318">
        <w:rPr>
          <w:rFonts w:ascii="Times New Roman" w:hAnsi="Times New Roman" w:cs="Times New Roman"/>
          <w:b/>
          <w:bCs/>
          <w:sz w:val="24"/>
          <w:szCs w:val="24"/>
        </w:rPr>
        <w:t>ust. 8</w:t>
      </w:r>
      <w:r w:rsidRPr="00633318">
        <w:rPr>
          <w:rFonts w:ascii="Times New Roman" w:hAnsi="Times New Roman" w:cs="Times New Roman"/>
          <w:sz w:val="24"/>
          <w:szCs w:val="24"/>
        </w:rPr>
        <w:t xml:space="preserve">, dla zastosowania przepisów ust. 1-7 również do jednostki składowej innej niż jednostka dominująca najwyższego szczebla, o której mowa w ust. 1, spełnione musza zostać poniższe warunki: </w:t>
      </w:r>
    </w:p>
    <w:p w14:paraId="26334D3F" w14:textId="0119A85F" w:rsidR="00C4081A" w:rsidRPr="00633318" w:rsidRDefault="00C4081A" w:rsidP="000416A5">
      <w:pPr>
        <w:spacing w:after="120"/>
        <w:ind w:left="567" w:hanging="283"/>
        <w:jc w:val="both"/>
        <w:rPr>
          <w:rFonts w:ascii="Times New Roman" w:hAnsi="Times New Roman" w:cs="Times New Roman"/>
          <w:bCs/>
          <w:sz w:val="24"/>
          <w:szCs w:val="24"/>
        </w:rPr>
      </w:pPr>
      <w:r w:rsidRPr="00633318">
        <w:rPr>
          <w:rFonts w:ascii="Times New Roman" w:hAnsi="Times New Roman" w:cs="Times New Roman"/>
          <w:bCs/>
          <w:sz w:val="24"/>
          <w:szCs w:val="24"/>
        </w:rPr>
        <w:t xml:space="preserve">1) </w:t>
      </w:r>
      <w:r w:rsidRPr="00633318">
        <w:rPr>
          <w:rFonts w:ascii="Times New Roman" w:hAnsi="Times New Roman" w:cs="Times New Roman"/>
          <w:bCs/>
          <w:sz w:val="24"/>
          <w:szCs w:val="24"/>
        </w:rPr>
        <w:tab/>
        <w:t xml:space="preserve">jednostka ta jest </w:t>
      </w:r>
      <w:r w:rsidRPr="00633318">
        <w:rPr>
          <w:rFonts w:ascii="Times New Roman" w:hAnsi="Times New Roman" w:cs="Times New Roman"/>
          <w:sz w:val="24"/>
          <w:szCs w:val="24"/>
        </w:rPr>
        <w:t>zlokalizowana</w:t>
      </w:r>
      <w:r w:rsidRPr="00633318">
        <w:rPr>
          <w:rFonts w:ascii="Times New Roman" w:hAnsi="Times New Roman" w:cs="Times New Roman"/>
          <w:bCs/>
          <w:sz w:val="24"/>
          <w:szCs w:val="24"/>
        </w:rPr>
        <w:t xml:space="preserve"> w </w:t>
      </w:r>
      <w:r w:rsidR="008F1B9A" w:rsidRPr="00633318">
        <w:rPr>
          <w:rFonts w:ascii="Times New Roman" w:hAnsi="Times New Roman" w:cs="Times New Roman"/>
          <w:sz w:val="24"/>
          <w:szCs w:val="24"/>
        </w:rPr>
        <w:t>jurysdykcji</w:t>
      </w:r>
      <w:r w:rsidR="008F1B9A" w:rsidRPr="00633318" w:rsidDel="008F1B9A">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lokalizacji tej jednostki dominującej najwyższego szczebla; </w:t>
      </w:r>
    </w:p>
    <w:p w14:paraId="19272DC6" w14:textId="77777777" w:rsidR="00C4081A" w:rsidRPr="00633318" w:rsidRDefault="00C4081A" w:rsidP="000416A5">
      <w:pPr>
        <w:spacing w:after="120"/>
        <w:ind w:left="567" w:hanging="283"/>
        <w:jc w:val="both"/>
        <w:rPr>
          <w:rFonts w:ascii="Times New Roman" w:hAnsi="Times New Roman" w:cs="Times New Roman"/>
          <w:bCs/>
          <w:sz w:val="24"/>
          <w:szCs w:val="24"/>
        </w:rPr>
      </w:pPr>
      <w:r w:rsidRPr="00633318">
        <w:rPr>
          <w:rFonts w:ascii="Times New Roman" w:hAnsi="Times New Roman" w:cs="Times New Roman"/>
          <w:bCs/>
          <w:sz w:val="24"/>
          <w:szCs w:val="24"/>
        </w:rPr>
        <w:t xml:space="preserve">2) </w:t>
      </w:r>
      <w:r w:rsidRPr="00633318">
        <w:rPr>
          <w:rFonts w:ascii="Times New Roman" w:hAnsi="Times New Roman" w:cs="Times New Roman"/>
          <w:bCs/>
          <w:sz w:val="24"/>
          <w:szCs w:val="24"/>
        </w:rPr>
        <w:tab/>
        <w:t xml:space="preserve">ta jednostka dominująca najwyższego szczebla posiada udziały własnościowe w tej jednostce składowej bezpośrednio lub pośrednio przez inne jednostki składowe grupy; </w:t>
      </w:r>
    </w:p>
    <w:p w14:paraId="0F13CE23" w14:textId="77777777" w:rsidR="00C4081A" w:rsidRPr="00633318" w:rsidRDefault="00C4081A" w:rsidP="000416A5">
      <w:pPr>
        <w:spacing w:after="120"/>
        <w:ind w:left="567" w:hanging="283"/>
        <w:jc w:val="both"/>
        <w:rPr>
          <w:rFonts w:ascii="Times New Roman" w:hAnsi="Times New Roman" w:cs="Times New Roman"/>
          <w:bCs/>
          <w:sz w:val="24"/>
          <w:szCs w:val="24"/>
        </w:rPr>
      </w:pPr>
      <w:r w:rsidRPr="00633318">
        <w:rPr>
          <w:rFonts w:ascii="Times New Roman" w:hAnsi="Times New Roman" w:cs="Times New Roman"/>
          <w:bCs/>
          <w:sz w:val="24"/>
          <w:szCs w:val="24"/>
        </w:rPr>
        <w:t xml:space="preserve">3) </w:t>
      </w:r>
      <w:r w:rsidRPr="00633318">
        <w:rPr>
          <w:rFonts w:ascii="Times New Roman" w:hAnsi="Times New Roman" w:cs="Times New Roman"/>
          <w:bCs/>
          <w:sz w:val="24"/>
          <w:szCs w:val="24"/>
        </w:rPr>
        <w:tab/>
        <w:t>wszystkie te jednostki podlegają systemowi odliczanej dywidendy;</w:t>
      </w:r>
    </w:p>
    <w:p w14:paraId="05D7D9F4" w14:textId="77777777" w:rsidR="00C4081A" w:rsidRPr="00633318" w:rsidRDefault="00C4081A" w:rsidP="000416A5">
      <w:pPr>
        <w:spacing w:after="120"/>
        <w:ind w:left="567" w:hanging="283"/>
        <w:jc w:val="both"/>
        <w:rPr>
          <w:rFonts w:ascii="Times New Roman" w:hAnsi="Times New Roman" w:cs="Times New Roman"/>
          <w:bCs/>
          <w:sz w:val="24"/>
          <w:szCs w:val="24"/>
        </w:rPr>
      </w:pPr>
      <w:r w:rsidRPr="00633318">
        <w:rPr>
          <w:rFonts w:ascii="Times New Roman" w:hAnsi="Times New Roman" w:cs="Times New Roman"/>
          <w:bCs/>
          <w:sz w:val="24"/>
          <w:szCs w:val="24"/>
        </w:rPr>
        <w:t xml:space="preserve">4) </w:t>
      </w:r>
      <w:r w:rsidRPr="00633318">
        <w:rPr>
          <w:rFonts w:ascii="Times New Roman" w:hAnsi="Times New Roman" w:cs="Times New Roman"/>
          <w:bCs/>
          <w:sz w:val="24"/>
          <w:szCs w:val="24"/>
        </w:rPr>
        <w:tab/>
        <w:t>podlegająca pomniejszeniu kwota kwalifikowanego dochodu tej jednostki składowej została wypłacona przez jednostkę dominującą najwyższego szczebla na rzecz otrzymujących, którzy spełniają warunki określone w ust. 1.</w:t>
      </w:r>
    </w:p>
    <w:p w14:paraId="44D112D3" w14:textId="505CE39B" w:rsidR="00C4081A" w:rsidRPr="00633318" w:rsidRDefault="00C4081A" w:rsidP="000416A5">
      <w:pPr>
        <w:spacing w:after="120"/>
        <w:jc w:val="both"/>
        <w:rPr>
          <w:rFonts w:ascii="Times New Roman" w:hAnsi="Times New Roman" w:cs="Times New Roman"/>
          <w:sz w:val="24"/>
          <w:szCs w:val="24"/>
        </w:rPr>
      </w:pPr>
      <w:r w:rsidRPr="00633318">
        <w:rPr>
          <w:rFonts w:ascii="Times New Roman" w:eastAsia="Times New Roman" w:hAnsi="Times New Roman" w:cs="Times New Roman"/>
          <w:bCs/>
          <w:sz w:val="24"/>
          <w:szCs w:val="24"/>
          <w:lang w:eastAsia="pl-PL"/>
        </w:rPr>
        <w:t xml:space="preserve">Ponadto, na podstawie ust. 9, dla celów stosowania przepisów ust. 1 pkt 1 lit. a i b za dywidendę patronacką wypłaconą osobom </w:t>
      </w:r>
      <w:r w:rsidRPr="00633318">
        <w:rPr>
          <w:rFonts w:ascii="Times New Roman" w:eastAsia="Times New Roman" w:hAnsi="Times New Roman" w:cs="Times New Roman"/>
          <w:b/>
          <w:sz w:val="24"/>
          <w:szCs w:val="24"/>
          <w:lang w:eastAsia="pl-PL"/>
        </w:rPr>
        <w:t>innym niż osoby fizyczne</w:t>
      </w:r>
      <w:r w:rsidRPr="00633318">
        <w:rPr>
          <w:rFonts w:ascii="Times New Roman" w:eastAsia="Times New Roman" w:hAnsi="Times New Roman" w:cs="Times New Roman"/>
          <w:bCs/>
          <w:sz w:val="24"/>
          <w:szCs w:val="24"/>
          <w:lang w:eastAsia="pl-PL"/>
        </w:rPr>
        <w:t xml:space="preserve"> przez spółdzielnię zaopatrującą uznaje się za podlegającą opodatkowaniu podatkiem dochodowym u otrzymującego tę dywidendę, jeżeli zmniejsza ona koszty lub wydatki podlegające odliczeniu od dochodu (straty) podlegającego opodatkowaniu</w:t>
      </w:r>
      <w:r w:rsidRPr="00633318">
        <w:rPr>
          <w:rFonts w:ascii="Times New Roman" w:eastAsia="Calibri" w:hAnsi="Times New Roman" w:cs="Times New Roman"/>
          <w:sz w:val="24"/>
          <w:szCs w:val="24"/>
        </w:rPr>
        <w:t xml:space="preserve"> </w:t>
      </w:r>
      <w:r w:rsidRPr="00633318">
        <w:rPr>
          <w:rFonts w:ascii="Times New Roman" w:eastAsia="Times New Roman" w:hAnsi="Times New Roman" w:cs="Times New Roman"/>
          <w:bCs/>
          <w:sz w:val="24"/>
          <w:szCs w:val="24"/>
          <w:lang w:eastAsia="pl-PL"/>
        </w:rPr>
        <w:t xml:space="preserve">podatkiem dochodowym u otrzymującego tą dywidendę, zgodnie z przepisami obowiązującymi w </w:t>
      </w:r>
      <w:r w:rsidR="008F1B9A" w:rsidRPr="00633318">
        <w:rPr>
          <w:rFonts w:ascii="Times New Roman" w:hAnsi="Times New Roman" w:cs="Times New Roman"/>
          <w:sz w:val="24"/>
          <w:szCs w:val="24"/>
        </w:rPr>
        <w:t>jurysdykcji</w:t>
      </w:r>
      <w:r w:rsidR="008F1B9A" w:rsidRPr="00633318" w:rsidDel="008F1B9A">
        <w:rPr>
          <w:rFonts w:ascii="Times New Roman" w:eastAsia="Times New Roman" w:hAnsi="Times New Roman" w:cs="Times New Roman"/>
          <w:bCs/>
          <w:sz w:val="24"/>
          <w:szCs w:val="24"/>
          <w:lang w:eastAsia="pl-PL"/>
        </w:rPr>
        <w:t xml:space="preserve"> </w:t>
      </w:r>
      <w:r w:rsidRPr="00633318">
        <w:rPr>
          <w:rFonts w:ascii="Times New Roman" w:eastAsia="Times New Roman" w:hAnsi="Times New Roman" w:cs="Times New Roman"/>
          <w:bCs/>
          <w:sz w:val="24"/>
          <w:szCs w:val="24"/>
          <w:lang w:eastAsia="pl-PL"/>
        </w:rPr>
        <w:t>jego lokalizacji. Przepis ten dotyczy zatem innego przypadku niż wskazanego w ust. 1 pkt 1 lit. c, gdzie mowa o wypłacie dywidendy patronackiej osobom fizycznym.</w:t>
      </w:r>
    </w:p>
    <w:p w14:paraId="683BF562" w14:textId="77777777" w:rsidR="00E44FB3" w:rsidRPr="00633318" w:rsidRDefault="00E44FB3" w:rsidP="000416A5">
      <w:pPr>
        <w:pStyle w:val="Nagwek3"/>
        <w:spacing w:before="240"/>
        <w:rPr>
          <w:rFonts w:ascii="Times New Roman" w:hAnsi="Times New Roman" w:cs="Times New Roman"/>
          <w:sz w:val="24"/>
        </w:rPr>
      </w:pPr>
      <w:r w:rsidRPr="00633318">
        <w:rPr>
          <w:rFonts w:ascii="Times New Roman" w:hAnsi="Times New Roman" w:cs="Times New Roman"/>
          <w:sz w:val="24"/>
        </w:rPr>
        <w:t>Rozdział 2 – Systemy podatku od osób prawnych oparte na opodatkowaniu wypłaty zysków</w:t>
      </w:r>
    </w:p>
    <w:p w14:paraId="5F419CB9" w14:textId="77777777" w:rsidR="00E44FB3" w:rsidRPr="00633318" w:rsidRDefault="00E44FB3" w:rsidP="000416A5">
      <w:pPr>
        <w:jc w:val="both"/>
        <w:rPr>
          <w:rFonts w:ascii="Times New Roman" w:hAnsi="Times New Roman" w:cs="Times New Roman"/>
          <w:sz w:val="24"/>
          <w:szCs w:val="24"/>
        </w:rPr>
      </w:pPr>
      <w:bookmarkStart w:id="71" w:name="_Hlk159940878"/>
      <w:r w:rsidRPr="00633318">
        <w:rPr>
          <w:rFonts w:ascii="Times New Roman" w:hAnsi="Times New Roman" w:cs="Times New Roman"/>
          <w:sz w:val="24"/>
          <w:szCs w:val="24"/>
        </w:rPr>
        <w:t xml:space="preserve">Rozdział 2 wprowadza </w:t>
      </w:r>
      <w:bookmarkEnd w:id="71"/>
      <w:r w:rsidRPr="00633318">
        <w:rPr>
          <w:rFonts w:ascii="Times New Roman" w:hAnsi="Times New Roman" w:cs="Times New Roman"/>
          <w:sz w:val="24"/>
          <w:szCs w:val="24"/>
        </w:rPr>
        <w:t xml:space="preserve">szczególne regulacje umożliwiając włączenie do struktury Systemu GloBE systemów </w:t>
      </w:r>
      <w:bookmarkStart w:id="72" w:name="_Hlk159920679"/>
      <w:r w:rsidRPr="00633318">
        <w:rPr>
          <w:rFonts w:ascii="Times New Roman" w:hAnsi="Times New Roman" w:cs="Times New Roman"/>
          <w:sz w:val="24"/>
          <w:szCs w:val="24"/>
        </w:rPr>
        <w:t xml:space="preserve">opodatkowania </w:t>
      </w:r>
      <w:bookmarkStart w:id="73" w:name="_Hlk159940067"/>
      <w:r w:rsidRPr="00633318">
        <w:rPr>
          <w:rFonts w:ascii="Times New Roman" w:hAnsi="Times New Roman" w:cs="Times New Roman"/>
          <w:sz w:val="24"/>
          <w:szCs w:val="24"/>
        </w:rPr>
        <w:t>wypłaty zysków</w:t>
      </w:r>
      <w:bookmarkEnd w:id="72"/>
      <w:bookmarkEnd w:id="73"/>
      <w:r w:rsidRPr="00633318">
        <w:rPr>
          <w:rFonts w:ascii="Times New Roman" w:hAnsi="Times New Roman" w:cs="Times New Roman"/>
          <w:sz w:val="24"/>
          <w:szCs w:val="24"/>
        </w:rPr>
        <w:t xml:space="preserve">, w których podatek dochodowy jest nakładany przede wszystkim w przypadku wypłaty dywidendy lub </w:t>
      </w:r>
      <w:bookmarkStart w:id="74" w:name="_Hlk159935141"/>
      <w:r w:rsidRPr="00633318">
        <w:rPr>
          <w:rFonts w:ascii="Times New Roman" w:hAnsi="Times New Roman" w:cs="Times New Roman"/>
          <w:sz w:val="24"/>
          <w:szCs w:val="24"/>
        </w:rPr>
        <w:t xml:space="preserve">„domniemanej” </w:t>
      </w:r>
      <w:bookmarkEnd w:id="74"/>
      <w:r w:rsidRPr="00633318">
        <w:rPr>
          <w:rFonts w:ascii="Times New Roman" w:hAnsi="Times New Roman" w:cs="Times New Roman"/>
          <w:sz w:val="24"/>
          <w:szCs w:val="24"/>
        </w:rPr>
        <w:t xml:space="preserve">dywidendy. Stawki podatkowe, stosowane w ramach systemu opodatkowania wypłaty zysków, mogą być częstokroć wyższe od stawki minimalnej lub jej równe, co oznacza, że dochód nie podlega niskiemu opodatkowaniu w momencie ostatecznego podziału zysków. Niemniej jednak, w przypadku braku wypłaty zysków lub „domniemanej” wypłaty zysków, znaczna część dochodu nie podlega opodatkowaniu za rok jego osiągnięcia i wykazania w księgach. </w:t>
      </w:r>
    </w:p>
    <w:p w14:paraId="7326432A" w14:textId="7B6C7671" w:rsidR="00E44FB3" w:rsidRPr="00633318" w:rsidRDefault="00E44FB3" w:rsidP="000416A5">
      <w:pPr>
        <w:jc w:val="both"/>
        <w:rPr>
          <w:rFonts w:ascii="Times New Roman" w:hAnsi="Times New Roman" w:cs="Times New Roman"/>
          <w:sz w:val="24"/>
          <w:szCs w:val="24"/>
        </w:rPr>
      </w:pPr>
      <w:r w:rsidRPr="00633318">
        <w:rPr>
          <w:rFonts w:ascii="Times New Roman" w:hAnsi="Times New Roman" w:cs="Times New Roman"/>
          <w:sz w:val="24"/>
          <w:szCs w:val="24"/>
        </w:rPr>
        <w:t xml:space="preserve">Zatem, kwalifikowany dochód jednostki składowej prawdopodobnie podlegałby opodatkowaniu w ramach Systemu GloBE za te lata, w których nie nastąpiła </w:t>
      </w:r>
      <w:bookmarkStart w:id="75" w:name="_Hlk160095534"/>
      <w:r w:rsidRPr="00633318">
        <w:rPr>
          <w:rFonts w:ascii="Times New Roman" w:hAnsi="Times New Roman" w:cs="Times New Roman"/>
          <w:sz w:val="24"/>
          <w:szCs w:val="24"/>
        </w:rPr>
        <w:t>faktyczna lub „domniemana” wypłata zysków</w:t>
      </w:r>
      <w:bookmarkEnd w:id="75"/>
      <w:r w:rsidRPr="00633318">
        <w:rPr>
          <w:rFonts w:ascii="Times New Roman" w:hAnsi="Times New Roman" w:cs="Times New Roman"/>
          <w:sz w:val="24"/>
          <w:szCs w:val="24"/>
        </w:rPr>
        <w:t xml:space="preserve">, ponieważ skorygowane podatki kwalifikowane za te lata podatkowe byłyby bardzo niskie lub zerowe. Co więcej, w latach dokonywania wypłaty </w:t>
      </w:r>
      <w:bookmarkStart w:id="76" w:name="_Hlk160703522"/>
      <w:r w:rsidRPr="00633318">
        <w:rPr>
          <w:rFonts w:ascii="Times New Roman" w:hAnsi="Times New Roman" w:cs="Times New Roman"/>
          <w:sz w:val="24"/>
          <w:szCs w:val="24"/>
        </w:rPr>
        <w:t>zysków</w:t>
      </w:r>
      <w:bookmarkEnd w:id="76"/>
      <w:r w:rsidRPr="00633318">
        <w:rPr>
          <w:rFonts w:ascii="Times New Roman" w:hAnsi="Times New Roman" w:cs="Times New Roman"/>
          <w:sz w:val="24"/>
          <w:szCs w:val="24"/>
        </w:rPr>
        <w:t xml:space="preserve">, kwota zysków może nie mieć żadnego związku z kwalifikowanym dochodem powstałym w tych latach, co z kolei może skutkować niską lub nawet bardzo wysoką efektywną stawką podatkową. Dlatego też, w </w:t>
      </w:r>
      <w:r w:rsidR="00FC4C04" w:rsidRPr="00633318">
        <w:rPr>
          <w:rFonts w:ascii="Times New Roman" w:hAnsi="Times New Roman" w:cs="Times New Roman"/>
          <w:sz w:val="24"/>
          <w:szCs w:val="24"/>
        </w:rPr>
        <w:t>r</w:t>
      </w:r>
      <w:r w:rsidRPr="00633318">
        <w:rPr>
          <w:rFonts w:ascii="Times New Roman" w:hAnsi="Times New Roman" w:cs="Times New Roman"/>
          <w:sz w:val="24"/>
          <w:szCs w:val="24"/>
        </w:rPr>
        <w:t>ozdziale 2 wprowadza się szczególny mechanizm, którego celem, w uproszczeniu, jest umożliwienie uniknięcia konieczności zapłaty podatku w ramach Systemu GloBE w zakresie, w jakim wypłata zysków będzie dokonywana w ramach czteroletnich okresów</w:t>
      </w:r>
      <w:r w:rsidR="005038B2" w:rsidRPr="00633318">
        <w:rPr>
          <w:rFonts w:ascii="Times New Roman" w:hAnsi="Times New Roman" w:cs="Times New Roman"/>
          <w:sz w:val="24"/>
          <w:szCs w:val="24"/>
        </w:rPr>
        <w:t xml:space="preserve"> [Komentarz; 7.3; 52-53].</w:t>
      </w:r>
      <w:r w:rsidRPr="00633318">
        <w:rPr>
          <w:rFonts w:ascii="Times New Roman" w:hAnsi="Times New Roman" w:cs="Times New Roman"/>
          <w:sz w:val="24"/>
          <w:szCs w:val="24"/>
        </w:rPr>
        <w:t xml:space="preserve"> </w:t>
      </w:r>
    </w:p>
    <w:p w14:paraId="1DEB99EC" w14:textId="77777777" w:rsidR="00E44FB3" w:rsidRPr="00633318" w:rsidRDefault="00E44FB3" w:rsidP="000416A5">
      <w:pPr>
        <w:pStyle w:val="Nagwek5"/>
        <w:rPr>
          <w:rFonts w:ascii="Times New Roman" w:hAnsi="Times New Roman" w:cs="Times New Roman"/>
          <w:sz w:val="24"/>
          <w:szCs w:val="24"/>
        </w:rPr>
      </w:pPr>
      <w:r w:rsidRPr="00633318">
        <w:rPr>
          <w:rFonts w:ascii="Times New Roman" w:hAnsi="Times New Roman" w:cs="Times New Roman"/>
          <w:sz w:val="24"/>
          <w:szCs w:val="24"/>
        </w:rPr>
        <w:t>Art. 115 [Definicje]</w:t>
      </w:r>
    </w:p>
    <w:p w14:paraId="3379F1DC" w14:textId="5DDB94B8" w:rsidR="00E44FB3" w:rsidRPr="00633318" w:rsidRDefault="00E44FB3"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art. 115 ustawy przez system opodatkowania wypłaty zysku </w:t>
      </w:r>
      <w:r w:rsidR="008910FF" w:rsidRPr="00633318">
        <w:rPr>
          <w:rFonts w:ascii="Times New Roman" w:hAnsi="Times New Roman" w:cs="Times New Roman"/>
          <w:sz w:val="24"/>
          <w:szCs w:val="24"/>
        </w:rPr>
        <w:t xml:space="preserve">(kwalifikowany system opodatkowania wypłaty zysku) </w:t>
      </w:r>
      <w:r w:rsidRPr="00633318">
        <w:rPr>
          <w:rFonts w:ascii="Times New Roman" w:hAnsi="Times New Roman" w:cs="Times New Roman"/>
          <w:sz w:val="24"/>
          <w:szCs w:val="24"/>
        </w:rPr>
        <w:t xml:space="preserve">rozumie się system podatku dochodowego od osób prawnych, obowiązujący w </w:t>
      </w:r>
      <w:r w:rsidR="008F1B9A"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w </w:t>
      </w:r>
      <w:r w:rsidR="008F1B9A" w:rsidRPr="00633318">
        <w:rPr>
          <w:rFonts w:ascii="Times New Roman" w:hAnsi="Times New Roman" w:cs="Times New Roman"/>
          <w:sz w:val="24"/>
          <w:szCs w:val="24"/>
        </w:rPr>
        <w:t xml:space="preserve">której </w:t>
      </w:r>
      <w:r w:rsidRPr="00633318">
        <w:rPr>
          <w:rFonts w:ascii="Times New Roman" w:hAnsi="Times New Roman" w:cs="Times New Roman"/>
          <w:sz w:val="24"/>
          <w:szCs w:val="24"/>
        </w:rPr>
        <w:t xml:space="preserve">jest zlokalizowana jednostka składowa i który spełnia następujące warunki łącznie: </w:t>
      </w:r>
    </w:p>
    <w:p w14:paraId="68404AAE" w14:textId="77777777" w:rsidR="00E44FB3" w:rsidRPr="00633318" w:rsidRDefault="00E44FB3"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1) nakłada na tę jednostkę podatek dochodowy:</w:t>
      </w:r>
    </w:p>
    <w:p w14:paraId="057DD32D" w14:textId="0C0674B0" w:rsidR="00E44FB3" w:rsidRPr="00633318" w:rsidRDefault="00E44FB3" w:rsidP="009E73F7">
      <w:pPr>
        <w:pStyle w:val="Akapitzlist"/>
        <w:numPr>
          <w:ilvl w:val="1"/>
          <w:numId w:val="118"/>
        </w:numPr>
        <w:spacing w:after="120"/>
        <w:ind w:left="993" w:hanging="426"/>
        <w:jc w:val="both"/>
        <w:rPr>
          <w:rFonts w:ascii="Times New Roman" w:hAnsi="Times New Roman" w:cs="Times New Roman"/>
          <w:sz w:val="24"/>
          <w:szCs w:val="24"/>
        </w:rPr>
      </w:pPr>
      <w:r w:rsidRPr="00633318">
        <w:rPr>
          <w:rFonts w:ascii="Times New Roman" w:hAnsi="Times New Roman" w:cs="Times New Roman"/>
          <w:sz w:val="24"/>
          <w:szCs w:val="24"/>
        </w:rPr>
        <w:t>w związku z dokonaniem przez nią na rzecz jej wspólnik</w:t>
      </w:r>
      <w:r w:rsidR="00A3072D" w:rsidRPr="00633318">
        <w:rPr>
          <w:rFonts w:ascii="Times New Roman" w:hAnsi="Times New Roman" w:cs="Times New Roman"/>
          <w:sz w:val="24"/>
          <w:szCs w:val="24"/>
        </w:rPr>
        <w:t>ów</w:t>
      </w:r>
      <w:r w:rsidRPr="00633318">
        <w:rPr>
          <w:rFonts w:ascii="Times New Roman" w:hAnsi="Times New Roman" w:cs="Times New Roman"/>
          <w:sz w:val="24"/>
          <w:szCs w:val="24"/>
        </w:rPr>
        <w:t xml:space="preserve"> wypłaty zysków, płatności  równoważnych z wypłatą zysku lub poniesienia wydatków niezwiązanych z prowadzeniem działalności gospodarczej lub innych wydatków o podobnym charakterze;</w:t>
      </w:r>
    </w:p>
    <w:p w14:paraId="471B1048" w14:textId="77777777" w:rsidR="00E44FB3" w:rsidRPr="00633318" w:rsidRDefault="00E44FB3" w:rsidP="009E73F7">
      <w:pPr>
        <w:pStyle w:val="Akapitzlist"/>
        <w:numPr>
          <w:ilvl w:val="1"/>
          <w:numId w:val="118"/>
        </w:numPr>
        <w:spacing w:after="120"/>
        <w:ind w:left="993" w:hanging="426"/>
        <w:jc w:val="both"/>
        <w:rPr>
          <w:rFonts w:ascii="Times New Roman" w:hAnsi="Times New Roman" w:cs="Times New Roman"/>
          <w:sz w:val="24"/>
          <w:szCs w:val="24"/>
        </w:rPr>
      </w:pPr>
      <w:r w:rsidRPr="00633318">
        <w:rPr>
          <w:rFonts w:ascii="Times New Roman" w:hAnsi="Times New Roman" w:cs="Times New Roman"/>
          <w:sz w:val="24"/>
          <w:szCs w:val="24"/>
        </w:rPr>
        <w:t xml:space="preserve">nakłada podatek dochodowy według nominalnej stawki nie niższej niż minimalna stawka podatkowa; </w:t>
      </w:r>
    </w:p>
    <w:p w14:paraId="744C7711" w14:textId="4BE5509A" w:rsidR="00E44FB3" w:rsidRPr="00633318" w:rsidRDefault="00E44FB3"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2) obowiązywał w </w:t>
      </w:r>
      <w:r w:rsidR="008F1B9A" w:rsidRPr="00633318">
        <w:rPr>
          <w:rFonts w:ascii="Times New Roman" w:hAnsi="Times New Roman" w:cs="Times New Roman"/>
          <w:sz w:val="24"/>
          <w:szCs w:val="24"/>
        </w:rPr>
        <w:t>jurysdykcji</w:t>
      </w:r>
      <w:r w:rsidR="008F1B9A" w:rsidRPr="00633318" w:rsidDel="008F1B9A">
        <w:rPr>
          <w:rFonts w:ascii="Times New Roman" w:hAnsi="Times New Roman" w:cs="Times New Roman"/>
          <w:sz w:val="24"/>
          <w:szCs w:val="24"/>
        </w:rPr>
        <w:t xml:space="preserve"> </w:t>
      </w:r>
      <w:r w:rsidRPr="00633318">
        <w:rPr>
          <w:rFonts w:ascii="Times New Roman" w:hAnsi="Times New Roman" w:cs="Times New Roman"/>
          <w:sz w:val="24"/>
          <w:szCs w:val="24"/>
        </w:rPr>
        <w:t>lokalizacji tej jednostki składowej w dniu 1 lipca 2021 r. lub przed tą datą.</w:t>
      </w:r>
    </w:p>
    <w:p w14:paraId="3480AA02" w14:textId="0B08D905" w:rsidR="00E44FB3" w:rsidRPr="00633318" w:rsidRDefault="00E44FB3"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Należy zauważyć, że w praktyce, ze względu na ustanowione w </w:t>
      </w:r>
      <w:r w:rsidR="00E02EB1" w:rsidRPr="00633318">
        <w:rPr>
          <w:rFonts w:ascii="Times New Roman" w:hAnsi="Times New Roman" w:cs="Times New Roman"/>
          <w:sz w:val="24"/>
          <w:szCs w:val="24"/>
        </w:rPr>
        <w:t>r</w:t>
      </w:r>
      <w:r w:rsidRPr="00633318">
        <w:rPr>
          <w:rFonts w:ascii="Times New Roman" w:hAnsi="Times New Roman" w:cs="Times New Roman"/>
          <w:sz w:val="24"/>
          <w:szCs w:val="24"/>
        </w:rPr>
        <w:t xml:space="preserve">ozdziale 6b ustawy o podatku dochodowym wymogi wobec </w:t>
      </w:r>
      <w:bookmarkStart w:id="77" w:name="_Hlk160013705"/>
      <w:r w:rsidRPr="00633318">
        <w:rPr>
          <w:rFonts w:ascii="Times New Roman" w:hAnsi="Times New Roman" w:cs="Times New Roman"/>
          <w:sz w:val="24"/>
          <w:szCs w:val="24"/>
        </w:rPr>
        <w:t>podmiotów objętych ryczałtem od dochodów spółek</w:t>
      </w:r>
      <w:bookmarkEnd w:id="77"/>
      <w:r w:rsidRPr="00633318">
        <w:rPr>
          <w:rFonts w:ascii="Times New Roman" w:hAnsi="Times New Roman" w:cs="Times New Roman"/>
          <w:sz w:val="24"/>
          <w:szCs w:val="24"/>
        </w:rPr>
        <w:t>, podmioty te</w:t>
      </w:r>
      <w:r w:rsidR="008910FF" w:rsidRPr="00633318">
        <w:rPr>
          <w:rFonts w:ascii="Times New Roman" w:hAnsi="Times New Roman" w:cs="Times New Roman"/>
          <w:sz w:val="24"/>
          <w:szCs w:val="24"/>
        </w:rPr>
        <w:t xml:space="preserve"> (co do zasady)</w:t>
      </w:r>
      <w:r w:rsidRPr="00633318">
        <w:rPr>
          <w:rFonts w:ascii="Times New Roman" w:hAnsi="Times New Roman" w:cs="Times New Roman"/>
          <w:sz w:val="24"/>
          <w:szCs w:val="24"/>
        </w:rPr>
        <w:t xml:space="preserve"> nie będą podlegać przepisom </w:t>
      </w:r>
      <w:r w:rsidR="00A3072D" w:rsidRPr="00633318">
        <w:rPr>
          <w:rFonts w:ascii="Times New Roman" w:hAnsi="Times New Roman" w:cs="Times New Roman"/>
          <w:sz w:val="24"/>
          <w:szCs w:val="24"/>
        </w:rPr>
        <w:t xml:space="preserve">niniejszej </w:t>
      </w:r>
      <w:r w:rsidRPr="00633318">
        <w:rPr>
          <w:rFonts w:ascii="Times New Roman" w:hAnsi="Times New Roman" w:cs="Times New Roman"/>
          <w:sz w:val="24"/>
          <w:szCs w:val="24"/>
        </w:rPr>
        <w:t xml:space="preserve">ustawy. Zgodnie z ustawowymi wymogami, opodatkowaniu ryczałtem mogą podlegać wyłącznie podmioty o prostej strukturze własnościowej, </w:t>
      </w:r>
      <w:r w:rsidR="00A3072D" w:rsidRPr="00633318">
        <w:rPr>
          <w:rFonts w:ascii="Times New Roman" w:hAnsi="Times New Roman" w:cs="Times New Roman"/>
          <w:sz w:val="24"/>
          <w:szCs w:val="24"/>
        </w:rPr>
        <w:br/>
      </w:r>
      <w:r w:rsidRPr="00633318">
        <w:rPr>
          <w:rFonts w:ascii="Times New Roman" w:hAnsi="Times New Roman" w:cs="Times New Roman"/>
          <w:sz w:val="24"/>
          <w:szCs w:val="24"/>
        </w:rPr>
        <w:t xml:space="preserve">tj. takie, (i) których wspólnikami są wyłącznie osoby fizyczne oraz (ii) które nie posiadają udziałów (akcji) w kapitale innej spółki, tytułów uczestnictwa w funduszu inwestycyjnym lub w instytucji wspólnego inwestowania, ogółu praw i obowiązków w spółce niebędącej osobą prawną oraz innych praw majątkowych związanych z prawem do otrzymania świadczenia jako założyciel (fundator) lub beneficjent fundacji czy trustu. W konsekwencji, </w:t>
      </w:r>
      <w:bookmarkStart w:id="78" w:name="_Hlk160015793"/>
      <w:r w:rsidRPr="00633318">
        <w:rPr>
          <w:rFonts w:ascii="Times New Roman" w:hAnsi="Times New Roman" w:cs="Times New Roman"/>
          <w:sz w:val="24"/>
          <w:szCs w:val="24"/>
        </w:rPr>
        <w:t>w przypadku podmiotów objętych ryczałtem</w:t>
      </w:r>
      <w:bookmarkEnd w:id="78"/>
      <w:r w:rsidRPr="00633318">
        <w:rPr>
          <w:rFonts w:ascii="Times New Roman" w:hAnsi="Times New Roman" w:cs="Times New Roman"/>
          <w:sz w:val="24"/>
          <w:szCs w:val="24"/>
        </w:rPr>
        <w:t xml:space="preserve"> nie zostaną spełnione przesłanki definicji grupy w rozumieniu art. 2 ust. 1 pkt 6 lit. a ustawy. Definicja ta opiera się na „teście konsolidacji księgowej”, tj. wymogu konsolidacji pełnej przez jednostkę dominującą najwyższego szczebla.</w:t>
      </w:r>
    </w:p>
    <w:p w14:paraId="4706D8AE" w14:textId="77777777" w:rsidR="00E44FB3" w:rsidRPr="00633318" w:rsidRDefault="00E44FB3"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teorii, w przypadku podmiotów objętych ryczałtem możliwe jest spełnienie definicji grupy w rozumieniu art. 2 ust. 1 pkt 6 lit. b ustawy, tj. grupy obejmującej wyłącznie centralę, która nie wchodzi w skład innej grupy oraz jej stały zakład. Niemniej, jednocześnie trzeba wskazać, że przepisy ustawy mają zastosowanie do grupy spełniającej </w:t>
      </w:r>
      <w:bookmarkStart w:id="79" w:name="_Hlk160030743"/>
      <w:r w:rsidRPr="00633318">
        <w:rPr>
          <w:rFonts w:ascii="Times New Roman" w:hAnsi="Times New Roman" w:cs="Times New Roman"/>
          <w:sz w:val="24"/>
          <w:szCs w:val="24"/>
        </w:rPr>
        <w:t xml:space="preserve">kryterium minimalnego przychodu grupowego </w:t>
      </w:r>
      <w:bookmarkEnd w:id="79"/>
      <w:r w:rsidRPr="00633318">
        <w:rPr>
          <w:rFonts w:ascii="Times New Roman" w:hAnsi="Times New Roman" w:cs="Times New Roman"/>
          <w:sz w:val="24"/>
          <w:szCs w:val="24"/>
        </w:rPr>
        <w:t xml:space="preserve">w wysokości 750 m EUR rocznie. Stąd, można zakładać, że w praktyce nie będzie spotykać się przypadków, w których pojedyncza centrala wraz ze swoim zakładem będzie osiągać przychody w takiej wysokości. </w:t>
      </w:r>
    </w:p>
    <w:p w14:paraId="6CB36FC3" w14:textId="0DDBD652" w:rsidR="00E44FB3" w:rsidRPr="00633318" w:rsidRDefault="00E44FB3"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przypadku ewentualnego przyszłego rozszerzenia katalogu podmiotów, które mogą podlegać opodatkowaniu ryczałtem, poprzez np. wykreślenie zakazu posiadania udziałów w innych spółkach, będzie mogło dojść do sytuacji, w której ze względu na spełnienie przesłanki definicji grupy w rozumieniu art. 2 ust. 1 pkt 6 lit. a ustawy oraz kryterium minimalnego przychodu grupowego, grupa tworzona przez podmioty opodatkowane ryczałtem od dochodów spółek będzie potencjalnie podlegać Zasadom GloBE. W przypadku ewentualnych zmian, kluczową kwestią w zakresie potencjalnego objęcia Zasadami GloBE będzie spełnianie przez zmodyfikowany reżim warunków określonych w </w:t>
      </w:r>
      <w:bookmarkStart w:id="80" w:name="_Hlk160095149"/>
      <w:r w:rsidRPr="00633318">
        <w:rPr>
          <w:rFonts w:ascii="Times New Roman" w:hAnsi="Times New Roman" w:cs="Times New Roman"/>
          <w:sz w:val="24"/>
          <w:szCs w:val="24"/>
        </w:rPr>
        <w:t>art. 3</w:t>
      </w:r>
      <w:r w:rsidR="008B225D" w:rsidRPr="00633318">
        <w:rPr>
          <w:rFonts w:ascii="Times New Roman" w:hAnsi="Times New Roman" w:cs="Times New Roman"/>
          <w:sz w:val="24"/>
          <w:szCs w:val="24"/>
        </w:rPr>
        <w:t>.</w:t>
      </w:r>
      <w:r w:rsidRPr="00633318">
        <w:rPr>
          <w:rFonts w:ascii="Times New Roman" w:hAnsi="Times New Roman" w:cs="Times New Roman"/>
          <w:sz w:val="24"/>
          <w:szCs w:val="24"/>
        </w:rPr>
        <w:t>42 Dyrektywy</w:t>
      </w:r>
      <w:bookmarkEnd w:id="80"/>
      <w:r w:rsidRPr="00633318">
        <w:rPr>
          <w:rStyle w:val="Odwoanieprzypisudolnego"/>
          <w:rFonts w:ascii="Times New Roman" w:hAnsi="Times New Roman" w:cs="Times New Roman"/>
          <w:sz w:val="24"/>
          <w:szCs w:val="24"/>
        </w:rPr>
        <w:footnoteReference w:id="156"/>
      </w:r>
      <w:r w:rsidRPr="00633318">
        <w:rPr>
          <w:rFonts w:ascii="Times New Roman" w:hAnsi="Times New Roman" w:cs="Times New Roman"/>
          <w:sz w:val="24"/>
          <w:szCs w:val="24"/>
        </w:rPr>
        <w:t>.</w:t>
      </w:r>
    </w:p>
    <w:p w14:paraId="3AD382E7" w14:textId="77777777" w:rsidR="00E44FB3" w:rsidRPr="00633318" w:rsidRDefault="00E44FB3" w:rsidP="000416A5">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Co istotne, przepisy ustawy będą mieć natomiast zastosowanie w przypadku grup, w których </w:t>
      </w:r>
      <w:r w:rsidRPr="00633318">
        <w:rPr>
          <w:rFonts w:ascii="Times New Roman" w:hAnsi="Times New Roman" w:cs="Times New Roman"/>
          <w:b/>
          <w:bCs/>
          <w:sz w:val="24"/>
          <w:szCs w:val="24"/>
        </w:rPr>
        <w:t>jednostka dominująca zlokalizowana w Polsce będzie podatnikiem globalnego podatku wyrównawczego i na potrzeby obliczenia tego podatku będą uwzględniane ewentualne zagraniczne jednostki składowe grupy, które są objęte systemem opodatkowania wypłaty zysku (np. zlokalizowane w Estonii czy na Łotwie)</w:t>
      </w:r>
      <w:r w:rsidRPr="00633318">
        <w:rPr>
          <w:rFonts w:ascii="Times New Roman" w:hAnsi="Times New Roman" w:cs="Times New Roman"/>
          <w:sz w:val="24"/>
          <w:szCs w:val="24"/>
        </w:rPr>
        <w:t xml:space="preserve">. Niemniej jednak, w każdym przypadku należy zweryfikować spełnienie warunków (określonych w art. 115 ust. 2 ustawy) uznania danego reżimu za kwalifikowany system opodatkowania wypłaty zysku. </w:t>
      </w:r>
    </w:p>
    <w:p w14:paraId="5F51A385" w14:textId="37520427" w:rsidR="00E44FB3" w:rsidRPr="00633318" w:rsidRDefault="00E44FB3" w:rsidP="00E44FB3">
      <w:pPr>
        <w:pStyle w:val="Nagwek5"/>
        <w:jc w:val="both"/>
        <w:rPr>
          <w:rFonts w:ascii="Times New Roman" w:hAnsi="Times New Roman" w:cs="Times New Roman"/>
          <w:sz w:val="24"/>
          <w:szCs w:val="24"/>
        </w:rPr>
      </w:pPr>
      <w:r w:rsidRPr="00633318">
        <w:rPr>
          <w:rFonts w:ascii="Times New Roman" w:hAnsi="Times New Roman" w:cs="Times New Roman"/>
          <w:sz w:val="24"/>
          <w:szCs w:val="24"/>
        </w:rPr>
        <w:t xml:space="preserve">Art. 116 [Obliczenie ETR dla </w:t>
      </w:r>
      <w:r w:rsidR="00CA3713" w:rsidRPr="00633318">
        <w:rPr>
          <w:rFonts w:ascii="Times New Roman" w:hAnsi="Times New Roman" w:cs="Times New Roman"/>
          <w:sz w:val="24"/>
          <w:szCs w:val="24"/>
        </w:rPr>
        <w:t>jurysdykcji</w:t>
      </w:r>
      <w:r w:rsidR="00CA3713" w:rsidRPr="00633318" w:rsidDel="00CA3713">
        <w:rPr>
          <w:rFonts w:ascii="Times New Roman" w:hAnsi="Times New Roman" w:cs="Times New Roman"/>
          <w:sz w:val="24"/>
          <w:szCs w:val="24"/>
        </w:rPr>
        <w:t xml:space="preserve"> </w:t>
      </w:r>
      <w:r w:rsidRPr="00633318">
        <w:rPr>
          <w:rFonts w:ascii="Times New Roman" w:hAnsi="Times New Roman" w:cs="Times New Roman"/>
          <w:sz w:val="24"/>
          <w:szCs w:val="24"/>
        </w:rPr>
        <w:t>z systemem opodatkowania wypłaty zysku - podatek od hipotetycznej wypłaty zysku]</w:t>
      </w:r>
    </w:p>
    <w:p w14:paraId="59FB09B8" w14:textId="77777777" w:rsidR="00E44FB3" w:rsidRPr="00633318" w:rsidRDefault="00E44FB3" w:rsidP="00001C57">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Jak już uprzednio wskazano, w systemach </w:t>
      </w:r>
      <w:bookmarkStart w:id="81" w:name="_Hlk160721910"/>
      <w:r w:rsidRPr="00633318">
        <w:rPr>
          <w:rFonts w:ascii="Times New Roman" w:hAnsi="Times New Roman" w:cs="Times New Roman"/>
          <w:sz w:val="24"/>
          <w:szCs w:val="24"/>
        </w:rPr>
        <w:t xml:space="preserve">opodatkowania wypłaty zysków </w:t>
      </w:r>
      <w:bookmarkEnd w:id="81"/>
      <w:r w:rsidRPr="00633318">
        <w:rPr>
          <w:rFonts w:ascii="Times New Roman" w:hAnsi="Times New Roman" w:cs="Times New Roman"/>
          <w:sz w:val="24"/>
          <w:szCs w:val="24"/>
        </w:rPr>
        <w:t xml:space="preserve">podatek jest nakładany w przypadku wypłaty dywidendy lub „domniemanej” dywidendy. A zatem, w braku faktycznej lub „domniemanej” wypłaty zysków, skorygowane podatki kwalifikowane byłyby bardzo niskie lub zerowe, co z kolei skutkowałoby opodatkowaniem kwalifikowanego dochodu w ramach Systemu GloBE. Dlatego też, </w:t>
      </w:r>
      <w:r w:rsidRPr="00633318">
        <w:rPr>
          <w:rFonts w:ascii="Times New Roman" w:hAnsi="Times New Roman" w:cs="Times New Roman"/>
          <w:b/>
          <w:bCs/>
          <w:sz w:val="24"/>
          <w:szCs w:val="24"/>
        </w:rPr>
        <w:t>art. 116</w:t>
      </w:r>
      <w:r w:rsidRPr="00633318">
        <w:rPr>
          <w:rFonts w:ascii="Times New Roman" w:hAnsi="Times New Roman" w:cs="Times New Roman"/>
          <w:sz w:val="24"/>
          <w:szCs w:val="24"/>
        </w:rPr>
        <w:t xml:space="preserve"> ustawy wprowadza możliwość dokonania wyboru, który polega na </w:t>
      </w:r>
      <w:r w:rsidRPr="00633318">
        <w:rPr>
          <w:rFonts w:ascii="Times New Roman" w:hAnsi="Times New Roman" w:cs="Times New Roman"/>
          <w:b/>
          <w:bCs/>
          <w:sz w:val="24"/>
          <w:szCs w:val="24"/>
        </w:rPr>
        <w:t xml:space="preserve">zwiększeniu kwoty </w:t>
      </w:r>
      <w:bookmarkStart w:id="82" w:name="_Hlk160710254"/>
      <w:r w:rsidRPr="00633318">
        <w:rPr>
          <w:rFonts w:ascii="Times New Roman" w:hAnsi="Times New Roman" w:cs="Times New Roman"/>
          <w:b/>
          <w:bCs/>
          <w:sz w:val="24"/>
          <w:szCs w:val="24"/>
        </w:rPr>
        <w:t>skorygowanych podatków kwalifikowanych</w:t>
      </w:r>
      <w:r w:rsidRPr="00633318">
        <w:rPr>
          <w:rFonts w:ascii="Times New Roman" w:hAnsi="Times New Roman" w:cs="Times New Roman"/>
          <w:sz w:val="24"/>
          <w:szCs w:val="24"/>
        </w:rPr>
        <w:t xml:space="preserve"> </w:t>
      </w:r>
      <w:bookmarkEnd w:id="82"/>
      <w:r w:rsidRPr="00633318">
        <w:rPr>
          <w:rFonts w:ascii="Times New Roman" w:hAnsi="Times New Roman" w:cs="Times New Roman"/>
          <w:sz w:val="24"/>
          <w:szCs w:val="24"/>
        </w:rPr>
        <w:t xml:space="preserve">jednostek składowych, które są objęte systemem opodatkowania wypłaty zysków lub kwalifikowanym systemem opodatkowania wypłaty zysku, </w:t>
      </w:r>
      <w:r w:rsidRPr="00633318">
        <w:rPr>
          <w:rFonts w:ascii="Times New Roman" w:hAnsi="Times New Roman" w:cs="Times New Roman"/>
          <w:sz w:val="24"/>
          <w:szCs w:val="24"/>
        </w:rPr>
        <w:br/>
      </w:r>
      <w:r w:rsidRPr="00633318">
        <w:rPr>
          <w:rFonts w:ascii="Times New Roman" w:hAnsi="Times New Roman" w:cs="Times New Roman"/>
          <w:b/>
          <w:bCs/>
          <w:sz w:val="24"/>
          <w:szCs w:val="24"/>
        </w:rPr>
        <w:t>o tzw. podatek od hipotetycznej wypłaty zysku</w:t>
      </w:r>
      <w:r w:rsidRPr="00633318">
        <w:rPr>
          <w:rFonts w:ascii="Times New Roman" w:hAnsi="Times New Roman" w:cs="Times New Roman"/>
          <w:sz w:val="24"/>
          <w:szCs w:val="24"/>
        </w:rPr>
        <w:t>. Zastosowanie tego mechanizmu skutkuje uniknięciem opodatkowania podatkami wyrównawczymi w zakresie, w jakim – w  ramach okresów czterech lat podatkowych – będzie dokonywana wypłata zysków.</w:t>
      </w:r>
    </w:p>
    <w:p w14:paraId="0EB0C0F9" w14:textId="5C35BB22" w:rsidR="00E44FB3" w:rsidRPr="00633318" w:rsidRDefault="00E44FB3" w:rsidP="00001C57">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art. 116 </w:t>
      </w:r>
      <w:r w:rsidRPr="00633318">
        <w:rPr>
          <w:rFonts w:ascii="Times New Roman" w:hAnsi="Times New Roman" w:cs="Times New Roman"/>
          <w:b/>
          <w:bCs/>
          <w:sz w:val="24"/>
          <w:szCs w:val="24"/>
        </w:rPr>
        <w:t>ust. 1</w:t>
      </w:r>
      <w:r w:rsidRPr="00633318">
        <w:rPr>
          <w:rFonts w:ascii="Times New Roman" w:hAnsi="Times New Roman" w:cs="Times New Roman"/>
          <w:sz w:val="24"/>
          <w:szCs w:val="24"/>
        </w:rPr>
        <w:t xml:space="preserve"> ustawy, zgodnie z wyborem dokonanym przez upoważnioną jednostkę, przy obliczeniu efektywnej stawki podatkowej w odniesieniu do </w:t>
      </w:r>
      <w:r w:rsidR="008F1B9A" w:rsidRPr="00633318">
        <w:rPr>
          <w:rFonts w:ascii="Times New Roman" w:hAnsi="Times New Roman" w:cs="Times New Roman"/>
          <w:sz w:val="24"/>
          <w:szCs w:val="24"/>
        </w:rPr>
        <w:t>danej jurysdykcji</w:t>
      </w:r>
      <w:r w:rsidRPr="00633318">
        <w:rPr>
          <w:rFonts w:ascii="Times New Roman" w:hAnsi="Times New Roman" w:cs="Times New Roman"/>
          <w:sz w:val="24"/>
          <w:szCs w:val="24"/>
        </w:rPr>
        <w:t xml:space="preserve">, skorygowane podatki kwalifikowane - przypadające na wszystkie jednostki składowe zlokalizowane w </w:t>
      </w:r>
      <w:r w:rsidR="008F1B9A" w:rsidRPr="00633318">
        <w:rPr>
          <w:rFonts w:ascii="Times New Roman" w:hAnsi="Times New Roman" w:cs="Times New Roman"/>
          <w:sz w:val="24"/>
          <w:szCs w:val="24"/>
        </w:rPr>
        <w:t>tej jurysdykcji,</w:t>
      </w:r>
      <w:r w:rsidR="008F1B9A" w:rsidRPr="00633318" w:rsidDel="008F1B9A">
        <w:rPr>
          <w:rFonts w:ascii="Times New Roman" w:hAnsi="Times New Roman" w:cs="Times New Roman"/>
          <w:sz w:val="24"/>
          <w:szCs w:val="24"/>
        </w:rPr>
        <w:t xml:space="preserve"> </w:t>
      </w:r>
      <w:r w:rsidRPr="00633318">
        <w:rPr>
          <w:rFonts w:ascii="Times New Roman" w:hAnsi="Times New Roman" w:cs="Times New Roman"/>
          <w:sz w:val="24"/>
          <w:szCs w:val="24"/>
        </w:rPr>
        <w:t xml:space="preserve">objęte systemem opodatkowania wypłaty zysku </w:t>
      </w:r>
      <w:r w:rsidRPr="00633318">
        <w:rPr>
          <w:rFonts w:ascii="Times New Roman" w:hAnsi="Times New Roman" w:cs="Times New Roman"/>
          <w:b/>
          <w:bCs/>
          <w:sz w:val="24"/>
          <w:szCs w:val="24"/>
        </w:rPr>
        <w:t>powiększa się o podatek od hipotetycznej wypłaty zysku</w:t>
      </w:r>
      <w:r w:rsidRPr="00633318">
        <w:rPr>
          <w:rFonts w:ascii="Times New Roman" w:hAnsi="Times New Roman" w:cs="Times New Roman"/>
          <w:sz w:val="24"/>
          <w:szCs w:val="24"/>
        </w:rPr>
        <w:t>.</w:t>
      </w:r>
    </w:p>
    <w:p w14:paraId="2DE7BDDD" w14:textId="77777777" w:rsidR="00E44FB3" w:rsidRPr="00633318" w:rsidRDefault="00E44FB3" w:rsidP="00001C57">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Podatek od hipotetycznej wypłaty zysku jest zdefiniowany, zgodnie z </w:t>
      </w:r>
      <w:r w:rsidRPr="00633318">
        <w:rPr>
          <w:rFonts w:ascii="Times New Roman" w:hAnsi="Times New Roman" w:cs="Times New Roman"/>
          <w:b/>
          <w:bCs/>
          <w:sz w:val="24"/>
          <w:szCs w:val="24"/>
        </w:rPr>
        <w:t>ust. 2</w:t>
      </w:r>
      <w:r w:rsidRPr="00633318">
        <w:rPr>
          <w:rFonts w:ascii="Times New Roman" w:hAnsi="Times New Roman" w:cs="Times New Roman"/>
          <w:sz w:val="24"/>
          <w:szCs w:val="24"/>
        </w:rPr>
        <w:t xml:space="preserve">, jako niższa z następujących kwot: </w:t>
      </w:r>
    </w:p>
    <w:p w14:paraId="2E6BA3F9" w14:textId="7DBCAE89" w:rsidR="00E44FB3" w:rsidRPr="00633318" w:rsidRDefault="00E44FB3" w:rsidP="002C7467">
      <w:pPr>
        <w:pStyle w:val="Akapitzlist"/>
        <w:numPr>
          <w:ilvl w:val="1"/>
          <w:numId w:val="82"/>
        </w:numPr>
        <w:spacing w:after="120"/>
        <w:ind w:left="709" w:hanging="425"/>
        <w:jc w:val="both"/>
        <w:rPr>
          <w:rFonts w:ascii="Times New Roman" w:hAnsi="Times New Roman" w:cs="Times New Roman"/>
          <w:sz w:val="24"/>
          <w:szCs w:val="24"/>
        </w:rPr>
      </w:pPr>
      <w:r w:rsidRPr="00633318">
        <w:rPr>
          <w:rFonts w:ascii="Times New Roman" w:hAnsi="Times New Roman" w:cs="Times New Roman"/>
          <w:sz w:val="24"/>
          <w:szCs w:val="24"/>
        </w:rPr>
        <w:t>skorygowane podatki kwalifikowane obliczone w taki sposób, aby efektywna stawka podatkowa w odniesieniu do te</w:t>
      </w:r>
      <w:r w:rsidR="000C5879"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0C5879"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była równa minimalnej stawce podatkowej; </w:t>
      </w:r>
    </w:p>
    <w:p w14:paraId="727E5561" w14:textId="4A2F922B" w:rsidR="00E44FB3" w:rsidRPr="00633318" w:rsidRDefault="00E44FB3" w:rsidP="002C7467">
      <w:pPr>
        <w:pStyle w:val="Akapitzlist"/>
        <w:numPr>
          <w:ilvl w:val="1"/>
          <w:numId w:val="82"/>
        </w:numPr>
        <w:spacing w:after="120"/>
        <w:ind w:left="709" w:hanging="425"/>
        <w:jc w:val="both"/>
        <w:rPr>
          <w:rFonts w:ascii="Times New Roman" w:hAnsi="Times New Roman" w:cs="Times New Roman"/>
          <w:sz w:val="24"/>
          <w:szCs w:val="24"/>
        </w:rPr>
      </w:pPr>
      <w:r w:rsidRPr="00633318">
        <w:rPr>
          <w:rFonts w:ascii="Times New Roman" w:hAnsi="Times New Roman" w:cs="Times New Roman"/>
          <w:sz w:val="24"/>
          <w:szCs w:val="24"/>
        </w:rPr>
        <w:t xml:space="preserve">podatek dochodowy, który byłby należny gdyby wszystkie te jednostki składowe zlokalizowane w </w:t>
      </w:r>
      <w:r w:rsidR="009B1C43" w:rsidRPr="00633318">
        <w:rPr>
          <w:rFonts w:ascii="Times New Roman" w:hAnsi="Times New Roman" w:cs="Times New Roman"/>
          <w:sz w:val="24"/>
          <w:szCs w:val="24"/>
        </w:rPr>
        <w:t xml:space="preserve">tej jurysdykcji </w:t>
      </w:r>
      <w:r w:rsidRPr="00633318">
        <w:rPr>
          <w:rFonts w:ascii="Times New Roman" w:hAnsi="Times New Roman" w:cs="Times New Roman"/>
          <w:sz w:val="24"/>
          <w:szCs w:val="24"/>
        </w:rPr>
        <w:t xml:space="preserve">wypłaciły cały swój księgowy zysk netto osiągnięty za rok podatkowy (objęty systemem opodatkowania wypłaty zysku) do końca tego roku podatkowego. </w:t>
      </w:r>
    </w:p>
    <w:p w14:paraId="739E66D7" w14:textId="4381518F" w:rsidR="00E44FB3" w:rsidRPr="00633318" w:rsidRDefault="00E44FB3" w:rsidP="00001C57">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Zatem, kwota podatku od hipotetycznej wypłaty zysku, wskazana w </w:t>
      </w:r>
      <w:bookmarkStart w:id="83" w:name="_Hlk160790224"/>
      <w:bookmarkStart w:id="84" w:name="_Hlk160716828"/>
      <w:r w:rsidRPr="00633318">
        <w:rPr>
          <w:rFonts w:ascii="Times New Roman" w:hAnsi="Times New Roman" w:cs="Times New Roman"/>
          <w:sz w:val="24"/>
          <w:szCs w:val="24"/>
        </w:rPr>
        <w:t>art. 116 ust. 2 pkt 1 ustawy</w:t>
      </w:r>
      <w:bookmarkEnd w:id="83"/>
      <w:r w:rsidRPr="00633318">
        <w:rPr>
          <w:rFonts w:ascii="Times New Roman" w:hAnsi="Times New Roman" w:cs="Times New Roman"/>
          <w:sz w:val="24"/>
          <w:szCs w:val="24"/>
        </w:rPr>
        <w:t xml:space="preserve">, </w:t>
      </w:r>
      <w:bookmarkEnd w:id="84"/>
      <w:r w:rsidRPr="00633318">
        <w:rPr>
          <w:rFonts w:ascii="Times New Roman" w:hAnsi="Times New Roman" w:cs="Times New Roman"/>
          <w:sz w:val="24"/>
          <w:szCs w:val="24"/>
        </w:rPr>
        <w:t xml:space="preserve">to kwota o którą należy zwiększyć skorygowane podatki kwalifikowane, tak aby zrównać wysokość efektywnej stawki podatkowej z wysokością stawki minimalnej (tj. 15%). Z kolei, w świetle </w:t>
      </w:r>
      <w:bookmarkStart w:id="85" w:name="_Hlk160719649"/>
      <w:r w:rsidRPr="00633318">
        <w:rPr>
          <w:rFonts w:ascii="Times New Roman" w:hAnsi="Times New Roman" w:cs="Times New Roman"/>
          <w:sz w:val="24"/>
          <w:szCs w:val="24"/>
        </w:rPr>
        <w:t xml:space="preserve">art. 116 ust. 2 pkt 2 ustawy, </w:t>
      </w:r>
      <w:bookmarkEnd w:id="85"/>
      <w:r w:rsidRPr="00633318">
        <w:rPr>
          <w:rFonts w:ascii="Times New Roman" w:hAnsi="Times New Roman" w:cs="Times New Roman"/>
          <w:sz w:val="24"/>
          <w:szCs w:val="24"/>
        </w:rPr>
        <w:t xml:space="preserve">w przypadku, gdy kwalifikowany dochód jednostki składowej za dany rok podatkowy będzie wyższy od jej zysku netto (tj. kwoty zysku, która mogłaby być wypłacona i podlegać opodatkowaniu z tytułu wypłaty), </w:t>
      </w:r>
      <w:bookmarkStart w:id="86" w:name="_Hlk160720466"/>
      <w:r w:rsidRPr="00633318">
        <w:rPr>
          <w:rFonts w:ascii="Times New Roman" w:hAnsi="Times New Roman" w:cs="Times New Roman"/>
          <w:sz w:val="24"/>
          <w:szCs w:val="24"/>
        </w:rPr>
        <w:t>podatek od hipotetycznej wypłaty zysku</w:t>
      </w:r>
      <w:bookmarkEnd w:id="86"/>
      <w:r w:rsidRPr="00633318">
        <w:rPr>
          <w:rFonts w:ascii="Times New Roman" w:hAnsi="Times New Roman" w:cs="Times New Roman"/>
          <w:sz w:val="24"/>
          <w:szCs w:val="24"/>
        </w:rPr>
        <w:t xml:space="preserve"> będzie ograniczony do kwoty podatku, która byłaby należna w przypadku wypłaty całości zysku netto za dany rok podatkowy. Celem ograniczenia, które wynika z art. 116 ust. 2 pkt 2 ustawy, jest zapewnienie, aby kwota podatku od hipotetycznej wypłaty zysku nie przekroczyła kwoty podatku, która byłaby należna za dany rok podatkowy - w reżimie opodatkowania wypłaty zysków – w przypadku wypłaty całości zysku netto w roku jego osiągnięcia</w:t>
      </w:r>
      <w:r w:rsidR="005038B2" w:rsidRPr="00633318">
        <w:rPr>
          <w:rFonts w:ascii="Times New Roman" w:hAnsi="Times New Roman" w:cs="Times New Roman"/>
          <w:sz w:val="24"/>
          <w:szCs w:val="24"/>
        </w:rPr>
        <w:t xml:space="preserve"> [Komentarz; 7.3.2; 55-56].</w:t>
      </w:r>
      <w:r w:rsidRPr="00633318">
        <w:rPr>
          <w:rFonts w:ascii="Times New Roman" w:hAnsi="Times New Roman" w:cs="Times New Roman"/>
          <w:sz w:val="24"/>
          <w:szCs w:val="24"/>
        </w:rPr>
        <w:t xml:space="preserve"> </w:t>
      </w:r>
    </w:p>
    <w:p w14:paraId="1EDC4902" w14:textId="79E69513" w:rsidR="00E44FB3" w:rsidRPr="00633318" w:rsidRDefault="00E44FB3" w:rsidP="00E44FB3">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świetle art. 116 </w:t>
      </w:r>
      <w:r w:rsidRPr="00633318">
        <w:rPr>
          <w:rFonts w:ascii="Times New Roman" w:hAnsi="Times New Roman" w:cs="Times New Roman"/>
          <w:b/>
          <w:bCs/>
          <w:sz w:val="24"/>
          <w:szCs w:val="24"/>
        </w:rPr>
        <w:t>ust. 3</w:t>
      </w:r>
      <w:r w:rsidRPr="00633318">
        <w:rPr>
          <w:rFonts w:ascii="Times New Roman" w:hAnsi="Times New Roman" w:cs="Times New Roman"/>
          <w:sz w:val="24"/>
          <w:szCs w:val="24"/>
        </w:rPr>
        <w:t xml:space="preserve">, omawianego wyboru należy dokonać w odniesieniu do wszystkich jednostek składowych grupy zlokalizowanych w </w:t>
      </w:r>
      <w:r w:rsidR="009B1C43" w:rsidRPr="00633318">
        <w:rPr>
          <w:rFonts w:ascii="Times New Roman" w:hAnsi="Times New Roman" w:cs="Times New Roman"/>
          <w:sz w:val="24"/>
          <w:szCs w:val="24"/>
        </w:rPr>
        <w:t>danej jurysdykcji</w:t>
      </w:r>
      <w:r w:rsidRPr="00633318">
        <w:rPr>
          <w:rFonts w:ascii="Times New Roman" w:hAnsi="Times New Roman" w:cs="Times New Roman"/>
          <w:sz w:val="24"/>
          <w:szCs w:val="24"/>
        </w:rPr>
        <w:t xml:space="preserve">, jeżeli wszystkie te jednostki stosują system opodatkowania wypłaty zysku albo kwalifikowany system opodatkowania wypłaty zysku. Tym samym, jeżeli jakakolwiek jednostka grupy zlokalizowana w </w:t>
      </w:r>
      <w:r w:rsidR="009B1C43" w:rsidRPr="00633318">
        <w:rPr>
          <w:rFonts w:ascii="Times New Roman" w:hAnsi="Times New Roman" w:cs="Times New Roman"/>
          <w:sz w:val="24"/>
          <w:szCs w:val="24"/>
        </w:rPr>
        <w:t xml:space="preserve">danej jurysdykcji </w:t>
      </w:r>
      <w:r w:rsidRPr="00633318">
        <w:rPr>
          <w:rFonts w:ascii="Times New Roman" w:hAnsi="Times New Roman" w:cs="Times New Roman"/>
          <w:sz w:val="24"/>
          <w:szCs w:val="24"/>
        </w:rPr>
        <w:t>nie jest objęta takim systemem, dokonanie wskazanego wyboru i stosowanie szczególnych regulacji wynikających z art. 116-117 nie jest możliwe.</w:t>
      </w:r>
    </w:p>
    <w:p w14:paraId="0DB80526" w14:textId="79D24343" w:rsidR="005038B2" w:rsidRPr="00633318" w:rsidRDefault="005038B2" w:rsidP="005038B2">
      <w:pPr>
        <w:pStyle w:val="Nagwek5"/>
        <w:rPr>
          <w:rFonts w:ascii="Times New Roman" w:hAnsi="Times New Roman" w:cs="Times New Roman"/>
          <w:sz w:val="24"/>
          <w:szCs w:val="24"/>
        </w:rPr>
      </w:pPr>
      <w:r w:rsidRPr="00633318">
        <w:rPr>
          <w:rFonts w:ascii="Times New Roman" w:hAnsi="Times New Roman" w:cs="Times New Roman"/>
          <w:sz w:val="24"/>
          <w:szCs w:val="24"/>
        </w:rPr>
        <w:t xml:space="preserve">Art. 117 [Saldo </w:t>
      </w:r>
      <w:bookmarkStart w:id="87" w:name="_Hlk161063798"/>
      <w:r w:rsidRPr="00633318">
        <w:rPr>
          <w:rFonts w:ascii="Times New Roman" w:hAnsi="Times New Roman" w:cs="Times New Roman"/>
          <w:sz w:val="24"/>
          <w:szCs w:val="24"/>
        </w:rPr>
        <w:t>podatku od hipotetycznej wypłaty zysku</w:t>
      </w:r>
      <w:bookmarkEnd w:id="87"/>
      <w:r w:rsidRPr="00633318">
        <w:rPr>
          <w:rFonts w:ascii="Times New Roman" w:hAnsi="Times New Roman" w:cs="Times New Roman"/>
          <w:sz w:val="24"/>
          <w:szCs w:val="24"/>
        </w:rPr>
        <w:t>]</w:t>
      </w:r>
    </w:p>
    <w:p w14:paraId="03E991CB" w14:textId="6D7A53FA" w:rsidR="00E44FB3" w:rsidRPr="00633318" w:rsidRDefault="005038B2"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Art. 117 wprowadza pojęcie sald</w:t>
      </w:r>
      <w:r w:rsidR="00FC4C04" w:rsidRPr="00633318">
        <w:rPr>
          <w:rFonts w:ascii="Times New Roman" w:hAnsi="Times New Roman" w:cs="Times New Roman"/>
          <w:sz w:val="24"/>
          <w:szCs w:val="24"/>
        </w:rPr>
        <w:t>a</w:t>
      </w:r>
      <w:r w:rsidRPr="00633318">
        <w:rPr>
          <w:rFonts w:ascii="Times New Roman" w:hAnsi="Times New Roman" w:cs="Times New Roman"/>
          <w:sz w:val="24"/>
          <w:szCs w:val="24"/>
        </w:rPr>
        <w:t xml:space="preserve"> podatku od hipotetycznej wypłaty zysku, które umożliwia stosowanie omawianego szczególnego systemu w okresie 4-letnim. </w:t>
      </w:r>
      <w:r w:rsidR="00E44FB3" w:rsidRPr="00633318">
        <w:rPr>
          <w:rFonts w:ascii="Times New Roman" w:hAnsi="Times New Roman" w:cs="Times New Roman"/>
          <w:sz w:val="24"/>
          <w:szCs w:val="24"/>
        </w:rPr>
        <w:t xml:space="preserve">W świetle </w:t>
      </w:r>
      <w:r w:rsidR="00E44FB3" w:rsidRPr="00633318">
        <w:rPr>
          <w:rFonts w:ascii="Times New Roman" w:hAnsi="Times New Roman" w:cs="Times New Roman"/>
          <w:b/>
          <w:bCs/>
          <w:sz w:val="24"/>
          <w:szCs w:val="24"/>
        </w:rPr>
        <w:t xml:space="preserve">ust. </w:t>
      </w:r>
      <w:r w:rsidRPr="00633318">
        <w:rPr>
          <w:rFonts w:ascii="Times New Roman" w:hAnsi="Times New Roman" w:cs="Times New Roman"/>
          <w:b/>
          <w:bCs/>
          <w:sz w:val="24"/>
          <w:szCs w:val="24"/>
        </w:rPr>
        <w:t>1</w:t>
      </w:r>
      <w:r w:rsidR="00E44FB3" w:rsidRPr="00633318">
        <w:rPr>
          <w:rFonts w:ascii="Times New Roman" w:hAnsi="Times New Roman" w:cs="Times New Roman"/>
          <w:sz w:val="24"/>
          <w:szCs w:val="24"/>
        </w:rPr>
        <w:t xml:space="preserve">, w celu śledzenia zakresu, w jakim podatek od hipotetycznej wypłaty zysku jest kompensowany rzeczywistymi płatnościami podatku dochodowego w okresie 4 lat, należy prowadzić </w:t>
      </w:r>
      <w:bookmarkStart w:id="88" w:name="_Hlk160788665"/>
      <w:r w:rsidR="00E44FB3" w:rsidRPr="00633318">
        <w:rPr>
          <w:rFonts w:ascii="Times New Roman" w:hAnsi="Times New Roman" w:cs="Times New Roman"/>
          <w:b/>
          <w:bCs/>
          <w:sz w:val="24"/>
          <w:szCs w:val="24"/>
        </w:rPr>
        <w:t>saldo hipotetycznego podatku od wypłaty zysku</w:t>
      </w:r>
      <w:r w:rsidR="00E44FB3" w:rsidRPr="00633318">
        <w:rPr>
          <w:rFonts w:ascii="Times New Roman" w:hAnsi="Times New Roman" w:cs="Times New Roman"/>
          <w:sz w:val="24"/>
          <w:szCs w:val="24"/>
        </w:rPr>
        <w:t xml:space="preserve"> </w:t>
      </w:r>
      <w:bookmarkEnd w:id="88"/>
      <w:r w:rsidR="00E44FB3" w:rsidRPr="00633318">
        <w:rPr>
          <w:rFonts w:ascii="Times New Roman" w:hAnsi="Times New Roman" w:cs="Times New Roman"/>
          <w:sz w:val="24"/>
          <w:szCs w:val="24"/>
        </w:rPr>
        <w:t xml:space="preserve">dla każdego roku podatkowego, za który ma zastosowanie wybór dotyczący stosowania systemu opodatkowania wypłaty zysku. Takie saldo prowadzi się w odniesieniu do wszystkich jednostek z </w:t>
      </w:r>
      <w:r w:rsidR="009B1C43" w:rsidRPr="00633318">
        <w:rPr>
          <w:rFonts w:ascii="Times New Roman" w:hAnsi="Times New Roman" w:cs="Times New Roman"/>
          <w:sz w:val="24"/>
          <w:szCs w:val="24"/>
        </w:rPr>
        <w:t>danej jurysdykcji</w:t>
      </w:r>
      <w:r w:rsidR="00E44FB3" w:rsidRPr="00633318">
        <w:rPr>
          <w:rFonts w:ascii="Times New Roman" w:hAnsi="Times New Roman" w:cs="Times New Roman"/>
          <w:sz w:val="24"/>
          <w:szCs w:val="24"/>
        </w:rPr>
        <w:t xml:space="preserve">, co wynika również z art. 116 ust. 3 ustawy. </w:t>
      </w:r>
      <w:r w:rsidR="00FC4C04" w:rsidRPr="00633318">
        <w:rPr>
          <w:rFonts w:ascii="Times New Roman" w:hAnsi="Times New Roman" w:cs="Times New Roman"/>
          <w:sz w:val="24"/>
          <w:szCs w:val="24"/>
        </w:rPr>
        <w:t>Ponieważ za poszczególne lata prowadzone są odrębne salda (rozliczane równolegle), przepisy ustawy posługują się w tym zakresie formą mnogą („salda”)</w:t>
      </w:r>
    </w:p>
    <w:p w14:paraId="328AD7D6" w14:textId="2C1435DB" w:rsidR="00E44FB3" w:rsidRPr="00633318" w:rsidRDefault="00E44FB3" w:rsidP="00394B47">
      <w:pPr>
        <w:spacing w:after="120"/>
        <w:jc w:val="both"/>
        <w:rPr>
          <w:rFonts w:ascii="Times New Roman" w:hAnsi="Times New Roman" w:cs="Times New Roman"/>
          <w:sz w:val="24"/>
          <w:szCs w:val="24"/>
        </w:rPr>
      </w:pPr>
      <w:r w:rsidRPr="00633318">
        <w:rPr>
          <w:rFonts w:ascii="Times New Roman" w:hAnsi="Times New Roman" w:cs="Times New Roman"/>
          <w:b/>
          <w:bCs/>
          <w:sz w:val="24"/>
          <w:szCs w:val="24"/>
        </w:rPr>
        <w:t xml:space="preserve">Ust. </w:t>
      </w:r>
      <w:r w:rsidR="005038B2" w:rsidRPr="00633318">
        <w:rPr>
          <w:rFonts w:ascii="Times New Roman" w:hAnsi="Times New Roman" w:cs="Times New Roman"/>
          <w:b/>
          <w:bCs/>
          <w:sz w:val="24"/>
          <w:szCs w:val="24"/>
        </w:rPr>
        <w:t>1</w:t>
      </w:r>
      <w:r w:rsidRPr="00633318">
        <w:rPr>
          <w:rFonts w:ascii="Times New Roman" w:hAnsi="Times New Roman" w:cs="Times New Roman"/>
          <w:sz w:val="24"/>
          <w:szCs w:val="24"/>
        </w:rPr>
        <w:t xml:space="preserve"> stanowi, że wskazane sald</w:t>
      </w:r>
      <w:r w:rsidR="00FC4C04" w:rsidRPr="00633318">
        <w:rPr>
          <w:rFonts w:ascii="Times New Roman" w:hAnsi="Times New Roman" w:cs="Times New Roman"/>
          <w:sz w:val="24"/>
          <w:szCs w:val="24"/>
        </w:rPr>
        <w:t>a</w:t>
      </w:r>
      <w:r w:rsidRPr="00633318">
        <w:rPr>
          <w:rFonts w:ascii="Times New Roman" w:hAnsi="Times New Roman" w:cs="Times New Roman"/>
          <w:sz w:val="24"/>
          <w:szCs w:val="24"/>
        </w:rPr>
        <w:t xml:space="preserve">, za każdy rok stosowania omawianego wyboru, </w:t>
      </w:r>
      <w:r w:rsidR="005038B2" w:rsidRPr="00633318">
        <w:rPr>
          <w:rFonts w:ascii="Times New Roman" w:hAnsi="Times New Roman" w:cs="Times New Roman"/>
          <w:b/>
          <w:bCs/>
          <w:sz w:val="24"/>
          <w:szCs w:val="24"/>
        </w:rPr>
        <w:t>ustala</w:t>
      </w:r>
      <w:r w:rsidRPr="00633318">
        <w:rPr>
          <w:rFonts w:ascii="Times New Roman" w:hAnsi="Times New Roman" w:cs="Times New Roman"/>
          <w:b/>
          <w:bCs/>
          <w:sz w:val="24"/>
          <w:szCs w:val="24"/>
        </w:rPr>
        <w:t xml:space="preserve"> się w kwocie podatku od hipotetycznej wypłaty zysku</w:t>
      </w:r>
      <w:r w:rsidRPr="00633318">
        <w:rPr>
          <w:rFonts w:ascii="Times New Roman" w:hAnsi="Times New Roman" w:cs="Times New Roman"/>
          <w:sz w:val="24"/>
          <w:szCs w:val="24"/>
        </w:rPr>
        <w:t xml:space="preserve"> obliczonej za ten rok podatkowy. Następnie, zgodnie </w:t>
      </w:r>
      <w:r w:rsidR="005038B2" w:rsidRPr="00633318">
        <w:rPr>
          <w:rFonts w:ascii="Times New Roman" w:hAnsi="Times New Roman" w:cs="Times New Roman"/>
          <w:sz w:val="24"/>
          <w:szCs w:val="24"/>
        </w:rPr>
        <w:br/>
      </w:r>
      <w:r w:rsidRPr="00633318">
        <w:rPr>
          <w:rFonts w:ascii="Times New Roman" w:hAnsi="Times New Roman" w:cs="Times New Roman"/>
          <w:sz w:val="24"/>
          <w:szCs w:val="24"/>
        </w:rPr>
        <w:t xml:space="preserve">z </w:t>
      </w:r>
      <w:r w:rsidRPr="00633318">
        <w:rPr>
          <w:rFonts w:ascii="Times New Roman" w:hAnsi="Times New Roman" w:cs="Times New Roman"/>
          <w:b/>
          <w:bCs/>
          <w:sz w:val="24"/>
          <w:szCs w:val="24"/>
        </w:rPr>
        <w:t xml:space="preserve">ust. </w:t>
      </w:r>
      <w:r w:rsidR="005038B2" w:rsidRPr="00633318">
        <w:rPr>
          <w:rFonts w:ascii="Times New Roman" w:hAnsi="Times New Roman" w:cs="Times New Roman"/>
          <w:b/>
          <w:bCs/>
          <w:sz w:val="24"/>
          <w:szCs w:val="24"/>
        </w:rPr>
        <w:t>2</w:t>
      </w:r>
      <w:r w:rsidRPr="00633318">
        <w:rPr>
          <w:rFonts w:ascii="Times New Roman" w:hAnsi="Times New Roman" w:cs="Times New Roman"/>
          <w:sz w:val="24"/>
          <w:szCs w:val="24"/>
        </w:rPr>
        <w:t>, wskazane sald</w:t>
      </w:r>
      <w:r w:rsidR="00FC4C04" w:rsidRPr="00633318">
        <w:rPr>
          <w:rFonts w:ascii="Times New Roman" w:hAnsi="Times New Roman" w:cs="Times New Roman"/>
          <w:sz w:val="24"/>
          <w:szCs w:val="24"/>
        </w:rPr>
        <w:t>a</w:t>
      </w:r>
      <w:r w:rsidRPr="00633318">
        <w:rPr>
          <w:rFonts w:ascii="Times New Roman" w:hAnsi="Times New Roman" w:cs="Times New Roman"/>
          <w:sz w:val="24"/>
          <w:szCs w:val="24"/>
        </w:rPr>
        <w:t xml:space="preserve"> </w:t>
      </w:r>
      <w:r w:rsidRPr="00633318">
        <w:rPr>
          <w:rFonts w:ascii="Times New Roman" w:hAnsi="Times New Roman" w:cs="Times New Roman"/>
          <w:b/>
          <w:bCs/>
          <w:sz w:val="24"/>
          <w:szCs w:val="24"/>
        </w:rPr>
        <w:t>pomniejsza się o podatki zapłacone</w:t>
      </w:r>
      <w:r w:rsidRPr="00633318">
        <w:rPr>
          <w:rFonts w:ascii="Times New Roman" w:hAnsi="Times New Roman" w:cs="Times New Roman"/>
          <w:sz w:val="24"/>
          <w:szCs w:val="24"/>
        </w:rPr>
        <w:t xml:space="preserve"> przez jednostki składowe w trakcie pierwszego roku stosowania wyboru, jeżeli w tym roku wystąpiły faktyczne lub równoważne wypłaty zysku za ten rok, w szczególności w formie wypłaty zaliczek.</w:t>
      </w:r>
    </w:p>
    <w:p w14:paraId="18612F50" w14:textId="1E62DC71" w:rsidR="00E44FB3" w:rsidRPr="00633318" w:rsidRDefault="005038B2"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W kolejnym kroku, n</w:t>
      </w:r>
      <w:r w:rsidR="00E44FB3" w:rsidRPr="00633318">
        <w:rPr>
          <w:rFonts w:ascii="Times New Roman" w:hAnsi="Times New Roman" w:cs="Times New Roman"/>
          <w:sz w:val="24"/>
          <w:szCs w:val="24"/>
        </w:rPr>
        <w:t xml:space="preserve">a podstawie </w:t>
      </w:r>
      <w:r w:rsidR="00E44FB3" w:rsidRPr="00633318">
        <w:rPr>
          <w:rFonts w:ascii="Times New Roman" w:hAnsi="Times New Roman" w:cs="Times New Roman"/>
          <w:b/>
          <w:bCs/>
          <w:sz w:val="24"/>
          <w:szCs w:val="24"/>
        </w:rPr>
        <w:t xml:space="preserve">ust. </w:t>
      </w:r>
      <w:r w:rsidRPr="00633318">
        <w:rPr>
          <w:rFonts w:ascii="Times New Roman" w:hAnsi="Times New Roman" w:cs="Times New Roman"/>
          <w:b/>
          <w:bCs/>
          <w:sz w:val="24"/>
          <w:szCs w:val="24"/>
        </w:rPr>
        <w:t>3</w:t>
      </w:r>
      <w:r w:rsidR="00E44FB3" w:rsidRPr="00633318">
        <w:rPr>
          <w:rFonts w:ascii="Times New Roman" w:hAnsi="Times New Roman" w:cs="Times New Roman"/>
          <w:b/>
          <w:bCs/>
          <w:sz w:val="24"/>
          <w:szCs w:val="24"/>
        </w:rPr>
        <w:t xml:space="preserve"> </w:t>
      </w:r>
      <w:r w:rsidR="00E44FB3" w:rsidRPr="00633318">
        <w:rPr>
          <w:rFonts w:ascii="Times New Roman" w:hAnsi="Times New Roman" w:cs="Times New Roman"/>
          <w:sz w:val="24"/>
          <w:szCs w:val="24"/>
        </w:rPr>
        <w:t>ustawy sald</w:t>
      </w:r>
      <w:r w:rsidR="00FC4C04" w:rsidRPr="00633318">
        <w:rPr>
          <w:rFonts w:ascii="Times New Roman" w:hAnsi="Times New Roman" w:cs="Times New Roman"/>
          <w:sz w:val="24"/>
          <w:szCs w:val="24"/>
        </w:rPr>
        <w:t>a</w:t>
      </w:r>
      <w:r w:rsidR="00E44FB3" w:rsidRPr="00633318">
        <w:rPr>
          <w:rFonts w:ascii="Times New Roman" w:hAnsi="Times New Roman" w:cs="Times New Roman"/>
          <w:sz w:val="24"/>
          <w:szCs w:val="24"/>
        </w:rPr>
        <w:t xml:space="preserve">, pomniejsza się za każdy następny rok podatkowy, kolejno o: </w:t>
      </w:r>
    </w:p>
    <w:p w14:paraId="15DDACE8" w14:textId="77777777" w:rsidR="00E44FB3" w:rsidRPr="00633318" w:rsidRDefault="00E44FB3" w:rsidP="009E73F7">
      <w:pPr>
        <w:pStyle w:val="Akapitzlist"/>
        <w:numPr>
          <w:ilvl w:val="0"/>
          <w:numId w:val="119"/>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podatki dochodowe objęte systemem opodatkowania wypłaty zysku zapłacone przez jednostki składowe w trakcie roku podatkowego od faktycznych wypłat zysku lub wypłat równoważnych z wypłatami zysku za pierwszy rok wyboru; </w:t>
      </w:r>
    </w:p>
    <w:p w14:paraId="2F285EFE" w14:textId="51BBBD68" w:rsidR="00E44FB3" w:rsidRPr="00633318" w:rsidRDefault="00E44FB3" w:rsidP="009E73F7">
      <w:pPr>
        <w:pStyle w:val="Akapitzlist"/>
        <w:numPr>
          <w:ilvl w:val="0"/>
          <w:numId w:val="119"/>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kwotę równą iloczynowi kwalifikowanej straty netto dla </w:t>
      </w:r>
      <w:r w:rsidR="009B1C43" w:rsidRPr="00633318">
        <w:rPr>
          <w:rFonts w:ascii="Times New Roman" w:hAnsi="Times New Roman" w:cs="Times New Roman"/>
          <w:sz w:val="24"/>
          <w:szCs w:val="24"/>
        </w:rPr>
        <w:t xml:space="preserve">danej jurysdykcji </w:t>
      </w:r>
      <w:r w:rsidRPr="00633318">
        <w:rPr>
          <w:rFonts w:ascii="Times New Roman" w:hAnsi="Times New Roman" w:cs="Times New Roman"/>
          <w:sz w:val="24"/>
          <w:szCs w:val="24"/>
        </w:rPr>
        <w:t xml:space="preserve">oraz minimalnej stawki podatkowej, jeżeli strata ta nie została rozliczona za inny rok podatkowy; </w:t>
      </w:r>
    </w:p>
    <w:p w14:paraId="3DBE17AE" w14:textId="73278307" w:rsidR="00E44FB3" w:rsidRPr="00633318" w:rsidRDefault="00E44FB3" w:rsidP="009E73F7">
      <w:pPr>
        <w:pStyle w:val="Akapitzlist"/>
        <w:numPr>
          <w:ilvl w:val="0"/>
          <w:numId w:val="119"/>
        </w:numPr>
        <w:spacing w:after="120"/>
        <w:jc w:val="both"/>
        <w:rPr>
          <w:rFonts w:ascii="Times New Roman" w:hAnsi="Times New Roman" w:cs="Times New Roman"/>
          <w:sz w:val="24"/>
          <w:szCs w:val="24"/>
        </w:rPr>
      </w:pPr>
      <w:r w:rsidRPr="00633318">
        <w:rPr>
          <w:rFonts w:ascii="Times New Roman" w:hAnsi="Times New Roman" w:cs="Times New Roman"/>
          <w:sz w:val="24"/>
          <w:szCs w:val="24"/>
        </w:rPr>
        <w:t>kwotę salda przeniesioną z lat poprzednich, zgodnie z ust. 2.</w:t>
      </w:r>
    </w:p>
    <w:p w14:paraId="485570D7" w14:textId="699F4348" w:rsidR="00FA2198" w:rsidRPr="00633318" w:rsidRDefault="00FA2198"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w:t>
      </w:r>
      <w:r w:rsidRPr="00633318">
        <w:rPr>
          <w:rFonts w:ascii="Times New Roman" w:hAnsi="Times New Roman" w:cs="Times New Roman"/>
          <w:b/>
          <w:bCs/>
          <w:sz w:val="24"/>
          <w:szCs w:val="24"/>
        </w:rPr>
        <w:t xml:space="preserve">ust. </w:t>
      </w:r>
      <w:r w:rsidR="005038B2" w:rsidRPr="00633318">
        <w:rPr>
          <w:rFonts w:ascii="Times New Roman" w:hAnsi="Times New Roman" w:cs="Times New Roman"/>
          <w:b/>
          <w:bCs/>
          <w:sz w:val="24"/>
          <w:szCs w:val="24"/>
        </w:rPr>
        <w:t>4</w:t>
      </w:r>
      <w:r w:rsidRPr="00633318">
        <w:rPr>
          <w:rFonts w:ascii="Times New Roman" w:hAnsi="Times New Roman" w:cs="Times New Roman"/>
          <w:sz w:val="24"/>
          <w:szCs w:val="24"/>
        </w:rPr>
        <w:t xml:space="preserve">, jeżeli kwoty, o których mowa w ust. </w:t>
      </w:r>
      <w:r w:rsidR="005038B2" w:rsidRPr="00633318">
        <w:rPr>
          <w:rFonts w:ascii="Times New Roman" w:hAnsi="Times New Roman" w:cs="Times New Roman"/>
          <w:sz w:val="24"/>
          <w:szCs w:val="24"/>
        </w:rPr>
        <w:t>3</w:t>
      </w:r>
      <w:r w:rsidRPr="00633318">
        <w:rPr>
          <w:rFonts w:ascii="Times New Roman" w:hAnsi="Times New Roman" w:cs="Times New Roman"/>
          <w:sz w:val="24"/>
          <w:szCs w:val="24"/>
        </w:rPr>
        <w:t xml:space="preserve"> pkt 2 nie zostały wykorzystane w pełni do pomniejszenia salda za rok podatkowy, kwoty te przenosi się na kolejne lata podatkowe do rozliczenia. Z kolei, zgodnie z ust. </w:t>
      </w:r>
      <w:r w:rsidR="005038B2" w:rsidRPr="00633318">
        <w:rPr>
          <w:rFonts w:ascii="Times New Roman" w:hAnsi="Times New Roman" w:cs="Times New Roman"/>
          <w:sz w:val="24"/>
          <w:szCs w:val="24"/>
        </w:rPr>
        <w:t>5</w:t>
      </w:r>
      <w:r w:rsidRPr="00633318">
        <w:rPr>
          <w:rFonts w:ascii="Times New Roman" w:hAnsi="Times New Roman" w:cs="Times New Roman"/>
          <w:sz w:val="24"/>
          <w:szCs w:val="24"/>
        </w:rPr>
        <w:t xml:space="preserve">, </w:t>
      </w:r>
      <w:r w:rsidRPr="00633318">
        <w:rPr>
          <w:rFonts w:ascii="Times New Roman" w:hAnsi="Times New Roman" w:cs="Times New Roman"/>
          <w:b/>
          <w:bCs/>
          <w:sz w:val="24"/>
          <w:szCs w:val="24"/>
        </w:rPr>
        <w:t>jeżeli na ostatni dzień czwartego roku podatkowego następującego po roku podatkowym, w którym utworzono saldo, pozostała kwota nierozliczona</w:t>
      </w:r>
      <w:r w:rsidRPr="00633318">
        <w:rPr>
          <w:rFonts w:ascii="Times New Roman" w:hAnsi="Times New Roman" w:cs="Times New Roman"/>
          <w:sz w:val="24"/>
          <w:szCs w:val="24"/>
        </w:rPr>
        <w:t xml:space="preserve">, skorygowane podatki kwalifikowane ustalone dla roku podatkowego, za który utworzono to saldo, pomniejsza się o te nierozliczone kwoty oraz </w:t>
      </w:r>
      <w:r w:rsidRPr="00633318">
        <w:rPr>
          <w:rFonts w:ascii="Times New Roman" w:hAnsi="Times New Roman" w:cs="Times New Roman"/>
          <w:b/>
          <w:bCs/>
          <w:sz w:val="24"/>
          <w:szCs w:val="24"/>
        </w:rPr>
        <w:t xml:space="preserve">ponownie oblicza się za ten rok </w:t>
      </w:r>
      <w:bookmarkStart w:id="89" w:name="_Hlk161058138"/>
      <w:r w:rsidRPr="00633318">
        <w:rPr>
          <w:rFonts w:ascii="Times New Roman" w:hAnsi="Times New Roman" w:cs="Times New Roman"/>
          <w:b/>
          <w:bCs/>
          <w:sz w:val="24"/>
          <w:szCs w:val="24"/>
        </w:rPr>
        <w:t>efektywną stawkę podatkową oraz ustala się dodatkowy podatek wyrównawczy</w:t>
      </w:r>
      <w:bookmarkEnd w:id="89"/>
      <w:r w:rsidRPr="00633318">
        <w:rPr>
          <w:rFonts w:ascii="Times New Roman" w:hAnsi="Times New Roman" w:cs="Times New Roman"/>
          <w:sz w:val="24"/>
          <w:szCs w:val="24"/>
        </w:rPr>
        <w:t xml:space="preserve">. </w:t>
      </w:r>
    </w:p>
    <w:p w14:paraId="10D6B97B" w14:textId="1E6CCFC8" w:rsidR="00FA2198" w:rsidRPr="00633318" w:rsidRDefault="00DE5671"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Z</w:t>
      </w:r>
      <w:r w:rsidR="00FA2198" w:rsidRPr="00633318">
        <w:rPr>
          <w:rFonts w:ascii="Times New Roman" w:hAnsi="Times New Roman" w:cs="Times New Roman"/>
          <w:sz w:val="24"/>
          <w:szCs w:val="24"/>
        </w:rPr>
        <w:t xml:space="preserve">atem, na mocy ust. </w:t>
      </w:r>
      <w:r w:rsidR="005038B2" w:rsidRPr="00633318">
        <w:rPr>
          <w:rFonts w:ascii="Times New Roman" w:hAnsi="Times New Roman" w:cs="Times New Roman"/>
          <w:sz w:val="24"/>
          <w:szCs w:val="24"/>
        </w:rPr>
        <w:t>5</w:t>
      </w:r>
      <w:r w:rsidR="00FA2198" w:rsidRPr="00633318">
        <w:rPr>
          <w:rFonts w:ascii="Times New Roman" w:hAnsi="Times New Roman" w:cs="Times New Roman"/>
          <w:sz w:val="24"/>
          <w:szCs w:val="24"/>
        </w:rPr>
        <w:t xml:space="preserve">, jeśli do końca </w:t>
      </w:r>
      <w:bookmarkStart w:id="90" w:name="_Hlk161060896"/>
      <w:r w:rsidR="00FA2198" w:rsidRPr="00633318">
        <w:rPr>
          <w:rFonts w:ascii="Times New Roman" w:hAnsi="Times New Roman" w:cs="Times New Roman"/>
          <w:sz w:val="24"/>
          <w:szCs w:val="24"/>
        </w:rPr>
        <w:t xml:space="preserve">czwartego roku podatkowego, następującego po roku </w:t>
      </w:r>
      <w:bookmarkStart w:id="91" w:name="_Hlk161058544"/>
      <w:r w:rsidR="00FA2198" w:rsidRPr="00633318">
        <w:rPr>
          <w:rFonts w:ascii="Times New Roman" w:hAnsi="Times New Roman" w:cs="Times New Roman"/>
          <w:sz w:val="24"/>
          <w:szCs w:val="24"/>
        </w:rPr>
        <w:t>utworzenia salda,</w:t>
      </w:r>
      <w:bookmarkEnd w:id="90"/>
      <w:r w:rsidR="00FA2198" w:rsidRPr="00633318">
        <w:rPr>
          <w:rFonts w:ascii="Times New Roman" w:hAnsi="Times New Roman" w:cs="Times New Roman"/>
          <w:sz w:val="24"/>
          <w:szCs w:val="24"/>
        </w:rPr>
        <w:t xml:space="preserve"> </w:t>
      </w:r>
      <w:bookmarkEnd w:id="91"/>
      <w:r w:rsidR="00FA2198" w:rsidRPr="00633318">
        <w:rPr>
          <w:rFonts w:ascii="Times New Roman" w:hAnsi="Times New Roman" w:cs="Times New Roman"/>
          <w:sz w:val="24"/>
          <w:szCs w:val="24"/>
        </w:rPr>
        <w:t>saldo nie zostanie pomniejszone do zera</w:t>
      </w:r>
      <w:r w:rsidRPr="00633318">
        <w:rPr>
          <w:rFonts w:ascii="Times New Roman" w:hAnsi="Times New Roman" w:cs="Times New Roman"/>
          <w:sz w:val="24"/>
          <w:szCs w:val="24"/>
        </w:rPr>
        <w:t xml:space="preserve"> (tj. w okresie 4 lat nie zostaną wypłacone dywidendy lub równoważne wypłaty pozwalające na odpowiedni</w:t>
      </w:r>
      <w:r w:rsidR="00A12B58" w:rsidRPr="00633318">
        <w:rPr>
          <w:rFonts w:ascii="Times New Roman" w:hAnsi="Times New Roman" w:cs="Times New Roman"/>
          <w:sz w:val="24"/>
          <w:szCs w:val="24"/>
        </w:rPr>
        <w:t xml:space="preserve"> poziom</w:t>
      </w:r>
      <w:r w:rsidRPr="00633318">
        <w:rPr>
          <w:rFonts w:ascii="Times New Roman" w:hAnsi="Times New Roman" w:cs="Times New Roman"/>
          <w:sz w:val="24"/>
          <w:szCs w:val="24"/>
        </w:rPr>
        <w:t xml:space="preserve"> opodatkowanie)</w:t>
      </w:r>
      <w:r w:rsidR="00FA2198" w:rsidRPr="00633318">
        <w:rPr>
          <w:rFonts w:ascii="Times New Roman" w:hAnsi="Times New Roman" w:cs="Times New Roman"/>
          <w:sz w:val="24"/>
          <w:szCs w:val="24"/>
        </w:rPr>
        <w:t>, konieczn</w:t>
      </w:r>
      <w:r w:rsidRPr="00633318">
        <w:rPr>
          <w:rFonts w:ascii="Times New Roman" w:hAnsi="Times New Roman" w:cs="Times New Roman"/>
          <w:sz w:val="24"/>
          <w:szCs w:val="24"/>
        </w:rPr>
        <w:t>a</w:t>
      </w:r>
      <w:r w:rsidR="00FA2198" w:rsidRPr="00633318">
        <w:rPr>
          <w:rFonts w:ascii="Times New Roman" w:hAnsi="Times New Roman" w:cs="Times New Roman"/>
          <w:sz w:val="24"/>
          <w:szCs w:val="24"/>
        </w:rPr>
        <w:t xml:space="preserve"> będzie </w:t>
      </w:r>
      <w:r w:rsidRPr="00633318">
        <w:rPr>
          <w:rFonts w:ascii="Times New Roman" w:hAnsi="Times New Roman" w:cs="Times New Roman"/>
          <w:sz w:val="24"/>
          <w:szCs w:val="24"/>
        </w:rPr>
        <w:t>korekta</w:t>
      </w:r>
      <w:r w:rsidR="00FA2198" w:rsidRPr="00633318">
        <w:rPr>
          <w:rFonts w:ascii="Times New Roman" w:hAnsi="Times New Roman" w:cs="Times New Roman"/>
          <w:sz w:val="24"/>
          <w:szCs w:val="24"/>
        </w:rPr>
        <w:t xml:space="preserve"> skorygowanych podatków kwalifikowanych za rok utworzenia salda</w:t>
      </w:r>
      <w:r w:rsidRPr="00633318">
        <w:rPr>
          <w:rFonts w:ascii="Times New Roman" w:hAnsi="Times New Roman" w:cs="Times New Roman"/>
          <w:sz w:val="24"/>
          <w:szCs w:val="24"/>
        </w:rPr>
        <w:t>,</w:t>
      </w:r>
      <w:r w:rsidR="00FA2198" w:rsidRPr="00633318">
        <w:rPr>
          <w:rFonts w:ascii="Times New Roman" w:hAnsi="Times New Roman" w:cs="Times New Roman"/>
          <w:sz w:val="24"/>
          <w:szCs w:val="24"/>
        </w:rPr>
        <w:t xml:space="preserve"> a następnie ponowne obliczenie efektywnej stawki podatkowej oraz ustalenie dodatkowego podatku wyrównawczego. Korekty skorygowanych podatków kwalifikowanych dokonuje się poprzez ich zmniejszenie o nierozliczoną kwotę salda na ostatni dzień </w:t>
      </w:r>
      <w:bookmarkStart w:id="92" w:name="_Hlk161065743"/>
      <w:r w:rsidR="00FA2198" w:rsidRPr="00633318">
        <w:rPr>
          <w:rFonts w:ascii="Times New Roman" w:hAnsi="Times New Roman" w:cs="Times New Roman"/>
          <w:sz w:val="24"/>
          <w:szCs w:val="24"/>
        </w:rPr>
        <w:t>czwartego roku podatkowego po roku utworzenia salda</w:t>
      </w:r>
      <w:bookmarkEnd w:id="92"/>
      <w:r w:rsidR="005038B2" w:rsidRPr="00633318">
        <w:rPr>
          <w:rFonts w:ascii="Times New Roman" w:hAnsi="Times New Roman" w:cs="Times New Roman"/>
          <w:sz w:val="24"/>
          <w:szCs w:val="24"/>
        </w:rPr>
        <w:t xml:space="preserve"> [Komentarz; 7.3.5; 66]</w:t>
      </w:r>
      <w:r w:rsidR="00FA2198" w:rsidRPr="00633318">
        <w:rPr>
          <w:rFonts w:ascii="Times New Roman" w:hAnsi="Times New Roman" w:cs="Times New Roman"/>
          <w:sz w:val="24"/>
          <w:szCs w:val="24"/>
        </w:rPr>
        <w:t xml:space="preserve">. </w:t>
      </w:r>
    </w:p>
    <w:p w14:paraId="3F62CFBA" w14:textId="74906531" w:rsidR="00BB17DA" w:rsidRPr="00633318" w:rsidRDefault="00E44FB3"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Ponadto, u</w:t>
      </w:r>
      <w:r w:rsidR="0094276A" w:rsidRPr="00633318">
        <w:rPr>
          <w:rFonts w:ascii="Times New Roman" w:hAnsi="Times New Roman" w:cs="Times New Roman"/>
          <w:sz w:val="24"/>
          <w:szCs w:val="24"/>
        </w:rPr>
        <w:t>st. 4</w:t>
      </w:r>
      <w:r w:rsidRPr="00633318">
        <w:rPr>
          <w:rFonts w:ascii="Times New Roman" w:hAnsi="Times New Roman" w:cs="Times New Roman"/>
          <w:sz w:val="24"/>
          <w:szCs w:val="24"/>
        </w:rPr>
        <w:t xml:space="preserve"> określa skutki dla jednostki składowej, która była objęta omawianym wyborem  i mechanizmem rozliczeń, lecz  </w:t>
      </w:r>
      <w:r w:rsidR="0094276A" w:rsidRPr="00633318">
        <w:rPr>
          <w:rFonts w:ascii="Times New Roman" w:hAnsi="Times New Roman" w:cs="Times New Roman"/>
          <w:sz w:val="24"/>
          <w:szCs w:val="24"/>
        </w:rPr>
        <w:t>przesta</w:t>
      </w:r>
      <w:r w:rsidRPr="00633318">
        <w:rPr>
          <w:rFonts w:ascii="Times New Roman" w:hAnsi="Times New Roman" w:cs="Times New Roman"/>
          <w:sz w:val="24"/>
          <w:szCs w:val="24"/>
        </w:rPr>
        <w:t>ła</w:t>
      </w:r>
      <w:r w:rsidR="0094276A" w:rsidRPr="00633318">
        <w:rPr>
          <w:rFonts w:ascii="Times New Roman" w:hAnsi="Times New Roman" w:cs="Times New Roman"/>
          <w:sz w:val="24"/>
          <w:szCs w:val="24"/>
        </w:rPr>
        <w:t xml:space="preserve"> być jednostką składową grupy lub zasadniczo wszystkie jej aktywa zosta</w:t>
      </w:r>
      <w:r w:rsidRPr="00633318">
        <w:rPr>
          <w:rFonts w:ascii="Times New Roman" w:hAnsi="Times New Roman" w:cs="Times New Roman"/>
          <w:sz w:val="24"/>
          <w:szCs w:val="24"/>
        </w:rPr>
        <w:t>ły</w:t>
      </w:r>
      <w:r w:rsidR="0094276A" w:rsidRPr="00633318">
        <w:rPr>
          <w:rFonts w:ascii="Times New Roman" w:hAnsi="Times New Roman" w:cs="Times New Roman"/>
          <w:sz w:val="24"/>
          <w:szCs w:val="24"/>
        </w:rPr>
        <w:t xml:space="preserve"> przeniesione na rzecz osoby niebędącej jednostką składową tej grupy</w:t>
      </w:r>
      <w:r w:rsidRPr="00633318">
        <w:rPr>
          <w:rFonts w:ascii="Times New Roman" w:hAnsi="Times New Roman" w:cs="Times New Roman"/>
          <w:sz w:val="24"/>
          <w:szCs w:val="24"/>
        </w:rPr>
        <w:t>. W przypadku takiej jednostki, jeżeli odpowiednie</w:t>
      </w:r>
      <w:r w:rsidR="0094276A" w:rsidRPr="00633318">
        <w:rPr>
          <w:rFonts w:ascii="Times New Roman" w:hAnsi="Times New Roman" w:cs="Times New Roman"/>
          <w:sz w:val="24"/>
          <w:szCs w:val="24"/>
        </w:rPr>
        <w:t xml:space="preserve"> salda</w:t>
      </w:r>
      <w:r w:rsidRPr="00633318">
        <w:rPr>
          <w:rFonts w:ascii="Times New Roman" w:hAnsi="Times New Roman" w:cs="Times New Roman"/>
          <w:sz w:val="24"/>
          <w:szCs w:val="24"/>
        </w:rPr>
        <w:t xml:space="preserve"> </w:t>
      </w:r>
      <w:r w:rsidR="0094276A" w:rsidRPr="00633318">
        <w:rPr>
          <w:rFonts w:ascii="Times New Roman" w:hAnsi="Times New Roman" w:cs="Times New Roman"/>
          <w:sz w:val="24"/>
          <w:szCs w:val="24"/>
        </w:rPr>
        <w:t xml:space="preserve">utworzone w poprzednich latach podatkowych nie zostały rozliczone </w:t>
      </w:r>
      <w:r w:rsidRPr="00633318">
        <w:rPr>
          <w:rFonts w:ascii="Times New Roman" w:hAnsi="Times New Roman" w:cs="Times New Roman"/>
          <w:sz w:val="24"/>
          <w:szCs w:val="24"/>
        </w:rPr>
        <w:t>„do zera”</w:t>
      </w:r>
      <w:r w:rsidR="0094276A" w:rsidRPr="00633318">
        <w:rPr>
          <w:rFonts w:ascii="Times New Roman" w:hAnsi="Times New Roman" w:cs="Times New Roman"/>
          <w:sz w:val="24"/>
          <w:szCs w:val="24"/>
        </w:rPr>
        <w:t xml:space="preserve">, </w:t>
      </w:r>
      <w:r w:rsidR="0094276A" w:rsidRPr="00633318">
        <w:rPr>
          <w:rFonts w:ascii="Times New Roman" w:hAnsi="Times New Roman" w:cs="Times New Roman"/>
          <w:b/>
          <w:bCs/>
          <w:sz w:val="24"/>
          <w:szCs w:val="24"/>
        </w:rPr>
        <w:t>skorygowane podatki kwalifikowane</w:t>
      </w:r>
      <w:r w:rsidR="0094276A" w:rsidRPr="00633318">
        <w:rPr>
          <w:rFonts w:ascii="Times New Roman" w:hAnsi="Times New Roman" w:cs="Times New Roman"/>
          <w:sz w:val="24"/>
          <w:szCs w:val="24"/>
        </w:rPr>
        <w:t xml:space="preserve"> ustalone dla </w:t>
      </w:r>
      <w:r w:rsidR="00B12145" w:rsidRPr="00633318">
        <w:rPr>
          <w:rFonts w:ascii="Times New Roman" w:hAnsi="Times New Roman" w:cs="Times New Roman"/>
          <w:sz w:val="24"/>
          <w:szCs w:val="24"/>
        </w:rPr>
        <w:t>poprzednich</w:t>
      </w:r>
      <w:r w:rsidR="0094276A" w:rsidRPr="00633318">
        <w:rPr>
          <w:rFonts w:ascii="Times New Roman" w:hAnsi="Times New Roman" w:cs="Times New Roman"/>
          <w:sz w:val="24"/>
          <w:szCs w:val="24"/>
        </w:rPr>
        <w:t xml:space="preserve"> lat podatkowych, za które utworzono te salda, </w:t>
      </w:r>
      <w:r w:rsidR="0094276A" w:rsidRPr="00633318">
        <w:rPr>
          <w:rFonts w:ascii="Times New Roman" w:hAnsi="Times New Roman" w:cs="Times New Roman"/>
          <w:b/>
          <w:bCs/>
          <w:sz w:val="24"/>
          <w:szCs w:val="24"/>
        </w:rPr>
        <w:t>pomniejsza się o te nierozliczone kwoty</w:t>
      </w:r>
      <w:r w:rsidR="0094276A" w:rsidRPr="00633318">
        <w:rPr>
          <w:rFonts w:ascii="Times New Roman" w:hAnsi="Times New Roman" w:cs="Times New Roman"/>
          <w:sz w:val="24"/>
          <w:szCs w:val="24"/>
        </w:rPr>
        <w:t xml:space="preserve"> oraz ponownie oblicza się za te lata efektywną stawkę podatkową.</w:t>
      </w:r>
    </w:p>
    <w:p w14:paraId="346593B2" w14:textId="7A391705" w:rsidR="00B12145" w:rsidRPr="00633318" w:rsidRDefault="00B12145"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W powyższej sytuacji d</w:t>
      </w:r>
      <w:r w:rsidR="00E44FB3" w:rsidRPr="00633318">
        <w:rPr>
          <w:rFonts w:ascii="Times New Roman" w:hAnsi="Times New Roman" w:cs="Times New Roman"/>
          <w:sz w:val="24"/>
          <w:szCs w:val="24"/>
        </w:rPr>
        <w:t xml:space="preserve">la takiej jednostki </w:t>
      </w:r>
      <w:r w:rsidRPr="00633318">
        <w:rPr>
          <w:rFonts w:ascii="Times New Roman" w:hAnsi="Times New Roman" w:cs="Times New Roman"/>
          <w:sz w:val="24"/>
          <w:szCs w:val="24"/>
        </w:rPr>
        <w:t>u</w:t>
      </w:r>
      <w:r w:rsidR="00FA2198" w:rsidRPr="00633318">
        <w:rPr>
          <w:rFonts w:ascii="Times New Roman" w:hAnsi="Times New Roman" w:cs="Times New Roman"/>
          <w:sz w:val="24"/>
          <w:szCs w:val="24"/>
        </w:rPr>
        <w:t>stala się dodatkowy podatek wyrównawczy</w:t>
      </w:r>
      <w:r w:rsidRPr="00633318">
        <w:rPr>
          <w:rFonts w:ascii="Times New Roman" w:hAnsi="Times New Roman" w:cs="Times New Roman"/>
          <w:sz w:val="24"/>
          <w:szCs w:val="24"/>
        </w:rPr>
        <w:t>. Projekt ustawy, w ślad za Dyrektywą, przedstawia sposób ustalenia takiego podatku. Ponieważ</w:t>
      </w:r>
      <w:r w:rsidR="006A5B8D" w:rsidRPr="00633318">
        <w:rPr>
          <w:rFonts w:ascii="Times New Roman" w:hAnsi="Times New Roman" w:cs="Times New Roman"/>
          <w:sz w:val="24"/>
          <w:szCs w:val="24"/>
        </w:rPr>
        <w:t xml:space="preserve"> w tym przypadku</w:t>
      </w:r>
      <w:r w:rsidRPr="00633318">
        <w:rPr>
          <w:rFonts w:ascii="Times New Roman" w:hAnsi="Times New Roman" w:cs="Times New Roman"/>
          <w:sz w:val="24"/>
          <w:szCs w:val="24"/>
        </w:rPr>
        <w:t xml:space="preserve"> chodzi o jedną konkretną jednostkę, dodatkowy podatek wyrównawczy - liczony jurysdykcyjnie - mnoży się przez </w:t>
      </w:r>
      <w:r w:rsidR="006A5B8D" w:rsidRPr="00633318">
        <w:rPr>
          <w:rFonts w:ascii="Times New Roman" w:hAnsi="Times New Roman" w:cs="Times New Roman"/>
          <w:sz w:val="24"/>
          <w:szCs w:val="24"/>
        </w:rPr>
        <w:t>proporcję</w:t>
      </w:r>
      <w:r w:rsidRPr="00633318">
        <w:rPr>
          <w:rFonts w:ascii="Times New Roman" w:hAnsi="Times New Roman" w:cs="Times New Roman"/>
          <w:sz w:val="24"/>
          <w:szCs w:val="24"/>
        </w:rPr>
        <w:t xml:space="preserve"> kwalifikowanego dochodu tej jednostki odniesion</w:t>
      </w:r>
      <w:r w:rsidR="006A5B8D" w:rsidRPr="00633318">
        <w:rPr>
          <w:rFonts w:ascii="Times New Roman" w:hAnsi="Times New Roman" w:cs="Times New Roman"/>
          <w:sz w:val="24"/>
          <w:szCs w:val="24"/>
        </w:rPr>
        <w:t>ą</w:t>
      </w:r>
      <w:r w:rsidRPr="00633318">
        <w:rPr>
          <w:rFonts w:ascii="Times New Roman" w:hAnsi="Times New Roman" w:cs="Times New Roman"/>
          <w:sz w:val="24"/>
          <w:szCs w:val="24"/>
        </w:rPr>
        <w:t xml:space="preserve"> do dochodu dla </w:t>
      </w:r>
      <w:r w:rsidR="009B1C43" w:rsidRPr="00633318">
        <w:rPr>
          <w:rFonts w:ascii="Times New Roman" w:hAnsi="Times New Roman" w:cs="Times New Roman"/>
          <w:sz w:val="24"/>
          <w:szCs w:val="24"/>
        </w:rPr>
        <w:t xml:space="preserve">całej jurysdykcji </w:t>
      </w:r>
      <w:r w:rsidRPr="00633318">
        <w:rPr>
          <w:rFonts w:ascii="Times New Roman" w:hAnsi="Times New Roman" w:cs="Times New Roman"/>
          <w:sz w:val="24"/>
          <w:szCs w:val="24"/>
        </w:rPr>
        <w:t>(jurysdykcyjnego kwalifikowanego dochodu netto).</w:t>
      </w:r>
    </w:p>
    <w:p w14:paraId="7276CD7A" w14:textId="4B5D5640" w:rsidR="00B12145" w:rsidRPr="00633318" w:rsidRDefault="00B12145"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Ponieważ korekta może dotyczyć różnych lat, ust. 5 pkt 1 odnosi się do „</w:t>
      </w:r>
      <w:r w:rsidR="00F534B2" w:rsidRPr="00633318">
        <w:rPr>
          <w:rFonts w:ascii="Times New Roman" w:hAnsi="Times New Roman" w:cs="Times New Roman"/>
          <w:sz w:val="24"/>
          <w:szCs w:val="24"/>
        </w:rPr>
        <w:t>sumy</w:t>
      </w:r>
      <w:r w:rsidRPr="00633318">
        <w:rPr>
          <w:rFonts w:ascii="Times New Roman" w:hAnsi="Times New Roman" w:cs="Times New Roman"/>
          <w:sz w:val="24"/>
          <w:szCs w:val="24"/>
        </w:rPr>
        <w:t xml:space="preserve">” </w:t>
      </w:r>
      <w:r w:rsidR="006A5B8D" w:rsidRPr="00633318">
        <w:rPr>
          <w:rFonts w:ascii="Times New Roman" w:hAnsi="Times New Roman" w:cs="Times New Roman"/>
          <w:sz w:val="24"/>
          <w:szCs w:val="24"/>
        </w:rPr>
        <w:t xml:space="preserve">kwot </w:t>
      </w:r>
      <w:r w:rsidRPr="00633318">
        <w:rPr>
          <w:rFonts w:ascii="Times New Roman" w:hAnsi="Times New Roman" w:cs="Times New Roman"/>
          <w:sz w:val="24"/>
          <w:szCs w:val="24"/>
        </w:rPr>
        <w:t>dodatkowego podatku wyrównawczego (tj. sumy</w:t>
      </w:r>
      <w:r w:rsidR="00F534B2" w:rsidRPr="00633318">
        <w:rPr>
          <w:rFonts w:ascii="Times New Roman" w:hAnsi="Times New Roman" w:cs="Times New Roman"/>
          <w:sz w:val="24"/>
          <w:szCs w:val="24"/>
        </w:rPr>
        <w:t xml:space="preserve"> nadwyżek jurysdykcyjnego globalnego podatku wyrównawczego obliczonego ponownie z uwzględnieniem efektywnej stawki podatkowej ustalonej zgodnie z ust. 4 ponad jurysdykcyjny globalny podatek wyrównawczy za poprzednie lata podatkowe</w:t>
      </w:r>
      <w:r w:rsidRPr="00633318">
        <w:rPr>
          <w:rFonts w:ascii="Times New Roman" w:hAnsi="Times New Roman" w:cs="Times New Roman"/>
          <w:sz w:val="24"/>
          <w:szCs w:val="24"/>
        </w:rPr>
        <w:t>).</w:t>
      </w:r>
    </w:p>
    <w:p w14:paraId="79F3B19D" w14:textId="46FC17D1" w:rsidR="00FA2198" w:rsidRPr="00633318" w:rsidRDefault="006A5B8D"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Finalnie, </w:t>
      </w:r>
      <w:r w:rsidR="00FA2198" w:rsidRPr="00633318">
        <w:rPr>
          <w:rFonts w:ascii="Times New Roman" w:hAnsi="Times New Roman" w:cs="Times New Roman"/>
          <w:sz w:val="24"/>
          <w:szCs w:val="24"/>
        </w:rPr>
        <w:t>ust. 6</w:t>
      </w:r>
      <w:r w:rsidRPr="00633318">
        <w:rPr>
          <w:rFonts w:ascii="Times New Roman" w:hAnsi="Times New Roman" w:cs="Times New Roman"/>
          <w:sz w:val="24"/>
          <w:szCs w:val="24"/>
        </w:rPr>
        <w:t xml:space="preserve"> precyzuje dodatkowo sposób działania salda hipotetycznego podatku od wypłaty zysków. Mianowicie,</w:t>
      </w:r>
      <w:r w:rsidR="00FA2198" w:rsidRPr="00633318">
        <w:rPr>
          <w:rFonts w:ascii="Times New Roman" w:hAnsi="Times New Roman" w:cs="Times New Roman"/>
          <w:sz w:val="24"/>
          <w:szCs w:val="24"/>
        </w:rPr>
        <w:t xml:space="preserve"> podatków, które są płacone w trakcie roku podatkowego w związku z faktyczną lub równoważną wypłatą zysków</w:t>
      </w:r>
      <w:r w:rsidRPr="00633318">
        <w:rPr>
          <w:rFonts w:ascii="Times New Roman" w:hAnsi="Times New Roman" w:cs="Times New Roman"/>
          <w:sz w:val="24"/>
          <w:szCs w:val="24"/>
        </w:rPr>
        <w:t xml:space="preserve"> -</w:t>
      </w:r>
      <w:r w:rsidR="00FA2198" w:rsidRPr="00633318">
        <w:rPr>
          <w:rFonts w:ascii="Times New Roman" w:hAnsi="Times New Roman" w:cs="Times New Roman"/>
          <w:sz w:val="24"/>
          <w:szCs w:val="24"/>
        </w:rPr>
        <w:t xml:space="preserve"> w części, w jakiej zmniejszają one saldo</w:t>
      </w:r>
      <w:r w:rsidRPr="00633318">
        <w:rPr>
          <w:rFonts w:ascii="Times New Roman" w:hAnsi="Times New Roman" w:cs="Times New Roman"/>
          <w:sz w:val="24"/>
          <w:szCs w:val="24"/>
        </w:rPr>
        <w:t xml:space="preserve"> - </w:t>
      </w:r>
      <w:r w:rsidR="00FA2198" w:rsidRPr="00633318">
        <w:rPr>
          <w:rFonts w:ascii="Times New Roman" w:hAnsi="Times New Roman" w:cs="Times New Roman"/>
          <w:sz w:val="24"/>
          <w:szCs w:val="24"/>
        </w:rPr>
        <w:t>nie uwzględnia się w skorygowanych podatkach kwalifikowanych</w:t>
      </w:r>
      <w:r w:rsidRPr="00633318">
        <w:rPr>
          <w:rFonts w:ascii="Times New Roman" w:hAnsi="Times New Roman" w:cs="Times New Roman"/>
          <w:sz w:val="24"/>
          <w:szCs w:val="24"/>
        </w:rPr>
        <w:t xml:space="preserve"> za dany rok podatkowy</w:t>
      </w:r>
      <w:r w:rsidR="00FA2198" w:rsidRPr="00633318">
        <w:rPr>
          <w:rFonts w:ascii="Times New Roman" w:hAnsi="Times New Roman" w:cs="Times New Roman"/>
          <w:sz w:val="24"/>
          <w:szCs w:val="24"/>
        </w:rPr>
        <w:t>.</w:t>
      </w:r>
      <w:r w:rsidR="00A12B58" w:rsidRPr="00633318">
        <w:rPr>
          <w:rFonts w:ascii="Times New Roman" w:hAnsi="Times New Roman" w:cs="Times New Roman"/>
          <w:sz w:val="24"/>
          <w:szCs w:val="24"/>
        </w:rPr>
        <w:t xml:space="preserve"> Celem jest, aby danych podatków nie ujmować podwójnie na potrzeby Systemu GloBE.</w:t>
      </w:r>
    </w:p>
    <w:p w14:paraId="77142882" w14:textId="68FA0D59" w:rsidR="00596CE8" w:rsidRPr="00633318" w:rsidRDefault="00596CE8" w:rsidP="006A5B8D">
      <w:pPr>
        <w:pStyle w:val="Nagwek3"/>
        <w:spacing w:before="240"/>
        <w:jc w:val="both"/>
        <w:rPr>
          <w:rFonts w:ascii="Times New Roman" w:hAnsi="Times New Roman" w:cs="Times New Roman"/>
          <w:sz w:val="24"/>
        </w:rPr>
      </w:pPr>
      <w:r w:rsidRPr="00633318">
        <w:rPr>
          <w:rFonts w:ascii="Times New Roman" w:hAnsi="Times New Roman" w:cs="Times New Roman"/>
          <w:sz w:val="24"/>
        </w:rPr>
        <w:t>Rozdział 3 – Jednostki inwestycyjne</w:t>
      </w:r>
    </w:p>
    <w:p w14:paraId="5B62F86A" w14:textId="77777777" w:rsidR="00596CE8" w:rsidRPr="00633318" w:rsidRDefault="00596CE8" w:rsidP="006A5B8D">
      <w:pPr>
        <w:pStyle w:val="Nagwek4"/>
        <w:jc w:val="both"/>
        <w:rPr>
          <w:rFonts w:ascii="Times New Roman" w:hAnsi="Times New Roman" w:cs="Times New Roman"/>
          <w:sz w:val="24"/>
          <w:szCs w:val="24"/>
        </w:rPr>
      </w:pPr>
      <w:r w:rsidRPr="00633318">
        <w:rPr>
          <w:rFonts w:ascii="Times New Roman" w:hAnsi="Times New Roman" w:cs="Times New Roman"/>
          <w:sz w:val="24"/>
          <w:szCs w:val="24"/>
        </w:rPr>
        <w:t>Oddział 1 Jednostka inwestycyjna i ubezpieczeniowa jednostka inwestycyjna jako jednostka transparentna podatkowo</w:t>
      </w:r>
    </w:p>
    <w:p w14:paraId="7EE0D7A4" w14:textId="77777777" w:rsidR="00596CE8" w:rsidRPr="00633318" w:rsidRDefault="00596CE8" w:rsidP="006A5B8D">
      <w:pPr>
        <w:pStyle w:val="Nagwek5"/>
        <w:jc w:val="both"/>
        <w:rPr>
          <w:rFonts w:ascii="Times New Roman" w:hAnsi="Times New Roman" w:cs="Times New Roman"/>
          <w:sz w:val="24"/>
          <w:szCs w:val="24"/>
        </w:rPr>
      </w:pPr>
      <w:r w:rsidRPr="00633318">
        <w:rPr>
          <w:rFonts w:ascii="Times New Roman" w:hAnsi="Times New Roman" w:cs="Times New Roman"/>
          <w:sz w:val="24"/>
          <w:szCs w:val="24"/>
        </w:rPr>
        <w:t xml:space="preserve">Art. 118 </w:t>
      </w:r>
      <w:r w:rsidRPr="00633318">
        <w:rPr>
          <w:rFonts w:ascii="Times New Roman" w:eastAsia="Times New Roman" w:hAnsi="Times New Roman" w:cs="Times New Roman"/>
          <w:sz w:val="24"/>
          <w:szCs w:val="24"/>
          <w:lang w:eastAsia="pl-PL"/>
        </w:rPr>
        <w:t>[Wybór w zakresie traktowania jednostki inwestycyjnej jako transparentnej]</w:t>
      </w:r>
    </w:p>
    <w:p w14:paraId="12BDA651" w14:textId="7B351E3D" w:rsidR="00596CE8" w:rsidRPr="00633318" w:rsidRDefault="00596CE8" w:rsidP="00696BBC">
      <w:pPr>
        <w:spacing w:after="120"/>
        <w:jc w:val="both"/>
        <w:rPr>
          <w:rFonts w:ascii="Times New Roman" w:hAnsi="Times New Roman" w:cs="Times New Roman"/>
          <w:sz w:val="24"/>
          <w:szCs w:val="24"/>
          <w:lang w:eastAsia="pl-PL"/>
        </w:rPr>
      </w:pPr>
      <w:r w:rsidRPr="00633318">
        <w:rPr>
          <w:rFonts w:ascii="Times New Roman" w:hAnsi="Times New Roman" w:cs="Times New Roman"/>
          <w:sz w:val="24"/>
          <w:szCs w:val="24"/>
        </w:rPr>
        <w:t xml:space="preserve">Na gruncie art. 118 ust. 1 ustawy </w:t>
      </w:r>
      <w:r w:rsidR="00A3072D" w:rsidRPr="00633318">
        <w:rPr>
          <w:rFonts w:ascii="Times New Roman" w:hAnsi="Times New Roman" w:cs="Times New Roman"/>
          <w:sz w:val="24"/>
          <w:szCs w:val="24"/>
        </w:rPr>
        <w:t>możliwe jest dokonanie wyboru, zgodnie z którym</w:t>
      </w:r>
      <w:r w:rsidRPr="00633318">
        <w:rPr>
          <w:rFonts w:ascii="Times New Roman" w:hAnsi="Times New Roman" w:cs="Times New Roman"/>
          <w:bCs/>
          <w:sz w:val="24"/>
          <w:szCs w:val="24"/>
        </w:rPr>
        <w:t xml:space="preserve"> jednostkę składową będącą jednostką inwestycyjną traktuje się jako </w:t>
      </w:r>
      <w:r w:rsidRPr="00633318">
        <w:rPr>
          <w:rFonts w:ascii="Times New Roman" w:hAnsi="Times New Roman" w:cs="Times New Roman"/>
          <w:b/>
          <w:sz w:val="24"/>
          <w:szCs w:val="24"/>
        </w:rPr>
        <w:t>jednostkę transparentną podatkowo</w:t>
      </w:r>
      <w:r w:rsidRPr="00633318">
        <w:rPr>
          <w:rFonts w:ascii="Times New Roman" w:hAnsi="Times New Roman" w:cs="Times New Roman"/>
          <w:bCs/>
          <w:sz w:val="24"/>
          <w:szCs w:val="24"/>
        </w:rPr>
        <w:t xml:space="preserve">. Takie traktowanie pozwala na uwzględnienie odpowiedniej części kwalifikowanego dochodu (straty) jednostki inwestycyjnej jako kwalifikowanego dochodu (straty) jednostki będącej jej właścicielem. Traktuje się ją w ten sposób w przypadku, gdy </w:t>
      </w:r>
      <w:r w:rsidRPr="00633318">
        <w:rPr>
          <w:rFonts w:ascii="Times New Roman" w:hAnsi="Times New Roman" w:cs="Times New Roman"/>
          <w:b/>
          <w:sz w:val="24"/>
          <w:szCs w:val="24"/>
        </w:rPr>
        <w:t>jednostka będąca właścicielem tej jednostki</w:t>
      </w:r>
      <w:r w:rsidRPr="00633318">
        <w:rPr>
          <w:rFonts w:ascii="Times New Roman" w:hAnsi="Times New Roman" w:cs="Times New Roman"/>
          <w:bCs/>
          <w:sz w:val="24"/>
          <w:szCs w:val="24"/>
        </w:rPr>
        <w:t xml:space="preserve"> </w:t>
      </w:r>
      <w:r w:rsidRPr="00633318">
        <w:rPr>
          <w:rFonts w:ascii="Times New Roman" w:hAnsi="Times New Roman" w:cs="Times New Roman"/>
          <w:b/>
          <w:sz w:val="24"/>
          <w:szCs w:val="24"/>
        </w:rPr>
        <w:t>podlega opodatkowaniu</w:t>
      </w:r>
      <w:r w:rsidRPr="00633318">
        <w:rPr>
          <w:rFonts w:ascii="Times New Roman" w:hAnsi="Times New Roman" w:cs="Times New Roman"/>
          <w:bCs/>
          <w:sz w:val="24"/>
          <w:szCs w:val="24"/>
        </w:rPr>
        <w:t xml:space="preserve">, w </w:t>
      </w:r>
      <w:r w:rsidR="009B1C43" w:rsidRPr="00633318">
        <w:rPr>
          <w:rFonts w:ascii="Times New Roman" w:hAnsi="Times New Roman" w:cs="Times New Roman"/>
          <w:sz w:val="24"/>
          <w:szCs w:val="24"/>
        </w:rPr>
        <w:t xml:space="preserve">jurysdykcji </w:t>
      </w:r>
      <w:r w:rsidRPr="00633318">
        <w:rPr>
          <w:rFonts w:ascii="Times New Roman" w:hAnsi="Times New Roman" w:cs="Times New Roman"/>
          <w:bCs/>
          <w:sz w:val="24"/>
          <w:szCs w:val="24"/>
        </w:rPr>
        <w:t xml:space="preserve">lokalizacji, w oparciu </w:t>
      </w:r>
      <w:r w:rsidRPr="00633318">
        <w:rPr>
          <w:rFonts w:ascii="Times New Roman" w:hAnsi="Times New Roman" w:cs="Times New Roman"/>
          <w:b/>
          <w:sz w:val="24"/>
          <w:szCs w:val="24"/>
        </w:rPr>
        <w:t>o zmiany wartości rynkowej udziałów własnościowych w takiej jednostce albo w oparciu o podobny system zmian wartości godziwej</w:t>
      </w:r>
      <w:r w:rsidRPr="00633318">
        <w:rPr>
          <w:rFonts w:ascii="Times New Roman" w:hAnsi="Times New Roman" w:cs="Times New Roman"/>
          <w:bCs/>
          <w:sz w:val="24"/>
          <w:szCs w:val="24"/>
        </w:rPr>
        <w:t>, według nominalnej stawki podatkowej nie niższej niż minimalna stawka podatkowa.</w:t>
      </w:r>
    </w:p>
    <w:p w14:paraId="10A22F18" w14:textId="2E928A15" w:rsidR="00596CE8" w:rsidRPr="00633318" w:rsidRDefault="00596CE8" w:rsidP="00696BBC">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Wybór, o którym mowa w art. 118</w:t>
      </w:r>
      <w:r w:rsidR="00A3072D"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dotyczy też ubezpieczeniowej jednostki inwestycyjnej (zdefiniowanej w </w:t>
      </w:r>
      <w:r w:rsidRPr="00633318">
        <w:rPr>
          <w:rFonts w:ascii="Times New Roman" w:hAnsi="Times New Roman" w:cs="Times New Roman"/>
          <w:sz w:val="24"/>
          <w:szCs w:val="24"/>
        </w:rPr>
        <w:t>art. 2 ust. 1 pkt 42 projektu)</w:t>
      </w:r>
      <w:r w:rsidRPr="00633318">
        <w:rPr>
          <w:rFonts w:ascii="Times New Roman" w:hAnsi="Times New Roman" w:cs="Times New Roman"/>
          <w:bCs/>
          <w:sz w:val="24"/>
          <w:szCs w:val="24"/>
        </w:rPr>
        <w:t xml:space="preserve">. </w:t>
      </w:r>
    </w:p>
    <w:p w14:paraId="38F57201" w14:textId="77777777" w:rsidR="00596CE8" w:rsidRPr="00633318" w:rsidRDefault="00596CE8" w:rsidP="00394B47">
      <w:pPr>
        <w:spacing w:after="120"/>
        <w:jc w:val="both"/>
        <w:rPr>
          <w:rFonts w:ascii="Times New Roman" w:hAnsi="Times New Roman" w:cs="Times New Roman"/>
          <w:bCs/>
          <w:sz w:val="24"/>
          <w:szCs w:val="24"/>
        </w:rPr>
      </w:pPr>
      <w:r w:rsidRPr="00633318">
        <w:rPr>
          <w:rFonts w:ascii="Times New Roman" w:hAnsi="Times New Roman" w:cs="Times New Roman"/>
          <w:sz w:val="24"/>
          <w:szCs w:val="24"/>
        </w:rPr>
        <w:t xml:space="preserve">Zgodnie z ust. 2, przepis ten stosowany jest także w przypadku, gdy </w:t>
      </w:r>
      <w:r w:rsidRPr="00633318">
        <w:rPr>
          <w:rFonts w:ascii="Times New Roman" w:hAnsi="Times New Roman" w:cs="Times New Roman"/>
          <w:bCs/>
          <w:sz w:val="24"/>
          <w:szCs w:val="24"/>
        </w:rPr>
        <w:t xml:space="preserve">jednostka będąca właścicielem jednostki inwestycyjnej jest takim właścicielem pośrednio poprzez bezpośrednie udziały własnościowe w innych takich jednostkach. Musi być przy tym zachowany warunek, iż jednostka będąca właścicielem podlega opodatkowaniu w oparciu o zmiany wartości rynkowej udziałów własnościowych w takiej jednostce albo w oparciu o podobny system zmian wartości godziwej, w odniesieniu do swojego bezpośredniego udziału własnościowego w takich jednostkach. Ponadto, zgodnie z Wytycznymi Administracyjnymi z lutego 2023 r. wskazany wybór stosuje się również, jeżeli jednostka będąca właścicielem jest </w:t>
      </w:r>
      <w:r w:rsidRPr="00633318">
        <w:rPr>
          <w:rFonts w:ascii="Times New Roman" w:hAnsi="Times New Roman" w:cs="Times New Roman"/>
          <w:sz w:val="24"/>
          <w:szCs w:val="24"/>
        </w:rPr>
        <w:t>regulowanym zakładem ubezpieczeń wzajemnych.</w:t>
      </w:r>
    </w:p>
    <w:p w14:paraId="3B235260" w14:textId="26D2D712" w:rsidR="00596CE8" w:rsidRPr="00633318" w:rsidRDefault="00596CE8"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ust. 4, i w świetle Wytycznych Administracyjnych z lutego 2023 r., przez regulowany zakład ubezpieczeń wzajemnych rozumie się towarzystwo ubezpieczeń wzajemnych określone w art. 102 ustawy z dnia 11 września 2015 r. o działalności ubezpieczeniowej i reasekuracyjnej (Dz. U z 2023 r. poz. 656) albo podobny zakład ubezpieczeń, który ubezpiecza swoich członków na zasadzie wzajemności i działa zgodnie z przepisami obowiązującymi w </w:t>
      </w:r>
      <w:r w:rsidR="009B1C43" w:rsidRPr="00633318">
        <w:rPr>
          <w:rFonts w:ascii="Times New Roman" w:hAnsi="Times New Roman" w:cs="Times New Roman"/>
          <w:sz w:val="24"/>
          <w:szCs w:val="24"/>
        </w:rPr>
        <w:t xml:space="preserve">jurysdykcji </w:t>
      </w:r>
      <w:r w:rsidRPr="00633318">
        <w:rPr>
          <w:rFonts w:ascii="Times New Roman" w:hAnsi="Times New Roman" w:cs="Times New Roman"/>
          <w:sz w:val="24"/>
          <w:szCs w:val="24"/>
        </w:rPr>
        <w:t xml:space="preserve">swojej lokalizacji oraz podlega nadzorowi w </w:t>
      </w:r>
      <w:r w:rsidR="009B1C43" w:rsidRPr="00633318">
        <w:rPr>
          <w:rFonts w:ascii="Times New Roman" w:hAnsi="Times New Roman" w:cs="Times New Roman"/>
          <w:sz w:val="24"/>
          <w:szCs w:val="24"/>
        </w:rPr>
        <w:t>tej jurysdykcji</w:t>
      </w:r>
      <w:r w:rsidRPr="00633318">
        <w:rPr>
          <w:rFonts w:ascii="Times New Roman" w:hAnsi="Times New Roman" w:cs="Times New Roman"/>
          <w:sz w:val="24"/>
          <w:szCs w:val="24"/>
        </w:rPr>
        <w:t>.</w:t>
      </w:r>
    </w:p>
    <w:p w14:paraId="551C07B0" w14:textId="77777777" w:rsidR="00596CE8" w:rsidRPr="00633318" w:rsidRDefault="00596CE8" w:rsidP="00394B47">
      <w:pPr>
        <w:spacing w:after="120"/>
        <w:jc w:val="both"/>
        <w:rPr>
          <w:rFonts w:ascii="Times New Roman" w:hAnsi="Times New Roman" w:cs="Times New Roman"/>
          <w:sz w:val="24"/>
          <w:szCs w:val="24"/>
        </w:rPr>
      </w:pPr>
      <w:r w:rsidRPr="00633318">
        <w:rPr>
          <w:rFonts w:ascii="Times New Roman" w:hAnsi="Times New Roman" w:cs="Times New Roman"/>
          <w:sz w:val="24"/>
          <w:szCs w:val="24"/>
        </w:rPr>
        <w:t>W oparciu o ust. 5, w przypadku odwołania omawianego wyboru, punkt wyjścia do dalszych ustaleń kwalifikowanego dochodu (straty) stanowi wartość rynkowa składnika aktywów lub zobowiązań na początku roku odwołania. Wszelkie zyski lub straty wynikające ze zbycia składnika aktywów lub zobowiązań będących w posiadaniu jednostki inwestycyjnej lub ubezpieczeniowej jednostki inwestycyjnej ustala się w takim przypadku na podstawie wartości rynkowej składnika aktywów lub zobowiązań na pierwszy dzień roku podatkowego, w którym dokonano odwołania.</w:t>
      </w:r>
    </w:p>
    <w:p w14:paraId="2F5FCA79" w14:textId="77777777" w:rsidR="00596CE8" w:rsidRPr="00633318" w:rsidRDefault="00596CE8" w:rsidP="00596CE8">
      <w:pPr>
        <w:pStyle w:val="Nagwek4"/>
        <w:spacing w:before="240"/>
        <w:rPr>
          <w:rFonts w:ascii="Times New Roman" w:hAnsi="Times New Roman" w:cs="Times New Roman"/>
          <w:b/>
          <w:sz w:val="24"/>
          <w:szCs w:val="24"/>
        </w:rPr>
      </w:pPr>
      <w:r w:rsidRPr="00633318">
        <w:rPr>
          <w:rStyle w:val="Ppogrubienie"/>
          <w:rFonts w:ascii="Times New Roman" w:hAnsi="Times New Roman" w:cs="Times New Roman"/>
          <w:b w:val="0"/>
          <w:sz w:val="24"/>
          <w:szCs w:val="24"/>
        </w:rPr>
        <w:t>Oddział 2 Metoda opodatkowania wypłaty zysków</w:t>
      </w:r>
    </w:p>
    <w:p w14:paraId="08E74E24" w14:textId="77777777" w:rsidR="00596CE8" w:rsidRPr="00633318" w:rsidRDefault="00596CE8" w:rsidP="00596CE8">
      <w:pPr>
        <w:pStyle w:val="Nagwek5"/>
        <w:rPr>
          <w:rFonts w:ascii="Times New Roman" w:hAnsi="Times New Roman" w:cs="Times New Roman"/>
          <w:sz w:val="24"/>
          <w:szCs w:val="24"/>
        </w:rPr>
      </w:pPr>
      <w:bookmarkStart w:id="93" w:name="_Toc154576912"/>
      <w:r w:rsidRPr="00633318">
        <w:rPr>
          <w:rFonts w:ascii="Times New Roman" w:hAnsi="Times New Roman" w:cs="Times New Roman"/>
          <w:sz w:val="24"/>
          <w:szCs w:val="24"/>
        </w:rPr>
        <w:t>Art. 11</w:t>
      </w:r>
      <w:bookmarkEnd w:id="93"/>
      <w:r w:rsidRPr="00633318">
        <w:rPr>
          <w:rFonts w:ascii="Times New Roman" w:hAnsi="Times New Roman" w:cs="Times New Roman"/>
          <w:sz w:val="24"/>
          <w:szCs w:val="24"/>
        </w:rPr>
        <w:t>9 [Wybór metody opodatkowania wypłaty zysków - warunki]</w:t>
      </w:r>
    </w:p>
    <w:p w14:paraId="2CAD67D0" w14:textId="77777777" w:rsidR="00596CE8" w:rsidRPr="00633318" w:rsidRDefault="00596CE8" w:rsidP="00696BBC">
      <w:pPr>
        <w:suppressAutoHyphens/>
        <w:autoSpaceDE w:val="0"/>
        <w:autoSpaceDN w:val="0"/>
        <w:adjustRightInd w:val="0"/>
        <w:spacing w:after="120"/>
        <w:jc w:val="both"/>
        <w:rPr>
          <w:rFonts w:ascii="Times New Roman" w:eastAsia="Times New Roman" w:hAnsi="Times New Roman" w:cs="Times New Roman"/>
          <w:sz w:val="24"/>
          <w:szCs w:val="24"/>
          <w:lang w:eastAsia="pl-PL"/>
        </w:rPr>
      </w:pPr>
      <w:r w:rsidRPr="00633318">
        <w:rPr>
          <w:rFonts w:ascii="Times New Roman" w:hAnsi="Times New Roman" w:cs="Times New Roman"/>
          <w:sz w:val="24"/>
          <w:szCs w:val="24"/>
        </w:rPr>
        <w:t xml:space="preserve">Art. 119 ust. 1 wprowadza możliwość dokonania wyboru, zgodnie z którym </w:t>
      </w:r>
      <w:r w:rsidRPr="00633318">
        <w:rPr>
          <w:rFonts w:ascii="Times New Roman" w:eastAsia="Times New Roman" w:hAnsi="Times New Roman" w:cs="Times New Roman"/>
          <w:sz w:val="24"/>
          <w:szCs w:val="24"/>
          <w:lang w:eastAsia="pl-PL"/>
        </w:rPr>
        <w:t xml:space="preserve">jednostka będąca właścicielem jednostki inwestycyjnej lub ubezpieczeniowej jednostki inwestycyjnej stosuje tzw. metodę opodatkowania wypłaty zysków (zdefiniowaną w opisanym dalej art. 120). </w:t>
      </w:r>
    </w:p>
    <w:p w14:paraId="13745AE6" w14:textId="77777777" w:rsidR="00596CE8" w:rsidRPr="00633318" w:rsidRDefault="00596CE8" w:rsidP="00696BBC">
      <w:pPr>
        <w:suppressAutoHyphens/>
        <w:autoSpaceDE w:val="0"/>
        <w:autoSpaceDN w:val="0"/>
        <w:adjustRightInd w:val="0"/>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Dokonanie takiego wyboru jest możliwe pod dwoma warunkami. Metoda ta ma zastosowanie jeżeli:</w:t>
      </w:r>
    </w:p>
    <w:p w14:paraId="71CFF634" w14:textId="77777777" w:rsidR="00596CE8" w:rsidRPr="00633318" w:rsidRDefault="00596CE8" w:rsidP="00696BBC">
      <w:pPr>
        <w:spacing w:after="120"/>
        <w:ind w:left="567" w:hanging="283"/>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 xml:space="preserve">1) </w:t>
      </w:r>
      <w:r w:rsidRPr="00633318">
        <w:rPr>
          <w:rFonts w:ascii="Times New Roman" w:eastAsia="Times New Roman" w:hAnsi="Times New Roman" w:cs="Times New Roman"/>
          <w:bCs/>
          <w:sz w:val="24"/>
          <w:szCs w:val="24"/>
          <w:lang w:eastAsia="pl-PL"/>
        </w:rPr>
        <w:tab/>
      </w:r>
      <w:r w:rsidRPr="00633318">
        <w:rPr>
          <w:rFonts w:ascii="Times New Roman" w:eastAsia="Times New Roman" w:hAnsi="Times New Roman" w:cs="Times New Roman"/>
          <w:sz w:val="24"/>
          <w:szCs w:val="24"/>
          <w:lang w:eastAsia="pl-PL"/>
        </w:rPr>
        <w:t>jednostka będąca właścicielem</w:t>
      </w:r>
      <w:r w:rsidRPr="00633318">
        <w:rPr>
          <w:rFonts w:ascii="Times New Roman" w:eastAsia="Times New Roman" w:hAnsi="Times New Roman" w:cs="Times New Roman"/>
          <w:bCs/>
          <w:sz w:val="24"/>
          <w:szCs w:val="24"/>
          <w:lang w:eastAsia="pl-PL"/>
        </w:rPr>
        <w:t xml:space="preserve"> </w:t>
      </w:r>
      <w:r w:rsidRPr="00633318">
        <w:rPr>
          <w:rFonts w:ascii="Times New Roman" w:eastAsia="Times New Roman" w:hAnsi="Times New Roman" w:cs="Times New Roman"/>
          <w:b/>
          <w:sz w:val="24"/>
          <w:szCs w:val="24"/>
          <w:lang w:eastAsia="pl-PL"/>
        </w:rPr>
        <w:t>nie jest jednostką inwestycyjną lub ubezpieczeniową jednostką inwestycyjną</w:t>
      </w:r>
      <w:r w:rsidRPr="00633318">
        <w:rPr>
          <w:rFonts w:ascii="Times New Roman" w:eastAsia="Times New Roman" w:hAnsi="Times New Roman" w:cs="Times New Roman"/>
          <w:bCs/>
          <w:sz w:val="24"/>
          <w:szCs w:val="24"/>
          <w:lang w:eastAsia="pl-PL"/>
        </w:rPr>
        <w:t>, oraz </w:t>
      </w:r>
    </w:p>
    <w:p w14:paraId="52252220" w14:textId="77777777" w:rsidR="00596CE8" w:rsidRPr="00633318" w:rsidRDefault="00596CE8" w:rsidP="00696BBC">
      <w:pPr>
        <w:spacing w:after="120"/>
        <w:ind w:left="567" w:hanging="283"/>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 xml:space="preserve">2) </w:t>
      </w:r>
      <w:r w:rsidRPr="00633318">
        <w:rPr>
          <w:rFonts w:ascii="Times New Roman" w:eastAsia="Times New Roman" w:hAnsi="Times New Roman" w:cs="Times New Roman"/>
          <w:bCs/>
          <w:sz w:val="24"/>
          <w:szCs w:val="24"/>
          <w:lang w:eastAsia="pl-PL"/>
        </w:rPr>
        <w:tab/>
        <w:t xml:space="preserve">można w sposób uzasadniony oczekiwać, że </w:t>
      </w:r>
      <w:r w:rsidRPr="00633318">
        <w:rPr>
          <w:rFonts w:ascii="Times New Roman" w:eastAsia="Times New Roman" w:hAnsi="Times New Roman" w:cs="Times New Roman"/>
          <w:sz w:val="24"/>
          <w:szCs w:val="24"/>
          <w:lang w:eastAsia="pl-PL"/>
        </w:rPr>
        <w:t>jednostka będąca właścicielem</w:t>
      </w:r>
      <w:r w:rsidRPr="00633318">
        <w:rPr>
          <w:rFonts w:ascii="Times New Roman" w:eastAsia="Times New Roman" w:hAnsi="Times New Roman" w:cs="Times New Roman"/>
          <w:bCs/>
          <w:sz w:val="24"/>
          <w:szCs w:val="24"/>
          <w:lang w:eastAsia="pl-PL"/>
        </w:rPr>
        <w:t xml:space="preserve"> podlega opodatkowaniu z tytułu wypłat zysku oraz płatności równoważnych z wypłatą zysku jednostki inwestycyjnej</w:t>
      </w:r>
      <w:r w:rsidRPr="00633318">
        <w:rPr>
          <w:rFonts w:ascii="Times New Roman" w:eastAsia="Calibri" w:hAnsi="Times New Roman" w:cs="Times New Roman"/>
          <w:bCs/>
          <w:sz w:val="24"/>
          <w:szCs w:val="24"/>
        </w:rPr>
        <w:t xml:space="preserve"> </w:t>
      </w:r>
      <w:r w:rsidRPr="00633318">
        <w:rPr>
          <w:rFonts w:ascii="Times New Roman" w:eastAsia="Times New Roman" w:hAnsi="Times New Roman" w:cs="Times New Roman"/>
          <w:bCs/>
          <w:sz w:val="24"/>
          <w:szCs w:val="24"/>
          <w:lang w:eastAsia="pl-PL"/>
        </w:rPr>
        <w:t xml:space="preserve">lub ubezpieczeniowej jednostki inwestycyjnej </w:t>
      </w:r>
      <w:r w:rsidRPr="00633318">
        <w:rPr>
          <w:rFonts w:ascii="Times New Roman" w:eastAsia="Times New Roman" w:hAnsi="Times New Roman" w:cs="Times New Roman"/>
          <w:b/>
          <w:sz w:val="24"/>
          <w:szCs w:val="24"/>
          <w:lang w:eastAsia="pl-PL"/>
        </w:rPr>
        <w:t>według nominalnej stawki podatkowej nie niższej niż minimalna stawka podatkowa</w:t>
      </w:r>
      <w:r w:rsidRPr="00633318">
        <w:rPr>
          <w:rFonts w:ascii="Times New Roman" w:eastAsia="Times New Roman" w:hAnsi="Times New Roman" w:cs="Times New Roman"/>
          <w:bCs/>
          <w:sz w:val="24"/>
          <w:szCs w:val="24"/>
          <w:lang w:eastAsia="pl-PL"/>
        </w:rPr>
        <w:t>.</w:t>
      </w:r>
    </w:p>
    <w:p w14:paraId="759AFB91" w14:textId="77777777" w:rsidR="00596CE8" w:rsidRPr="00633318" w:rsidRDefault="00596CE8" w:rsidP="00696BBC">
      <w:pPr>
        <w:spacing w:after="120"/>
        <w:jc w:val="both"/>
        <w:rPr>
          <w:rFonts w:ascii="Times New Roman" w:hAnsi="Times New Roman" w:cs="Times New Roman"/>
          <w:sz w:val="24"/>
          <w:szCs w:val="24"/>
        </w:rPr>
      </w:pPr>
      <w:r w:rsidRPr="00633318">
        <w:rPr>
          <w:rFonts w:ascii="Times New Roman" w:hAnsi="Times New Roman" w:cs="Times New Roman"/>
          <w:sz w:val="24"/>
          <w:szCs w:val="24"/>
        </w:rPr>
        <w:t>Z kolei, art. 119 ust. 2 ustawy określa zasady spełnienia warunku, o którym mowa w ust. 1 pkt 2, w zakresie wysokości opodatkowania według nominalnej stawki podatkowej nie niższej niż minimalna stawka podatkowa. Obliczenia tego dokonuje się uwzględniając również podatki kwalifikowane naliczone przez jednostkę inwestycyjną lub ubezpieczeniową jednostką inwestycyjną, w części przypadającej na dokonane przez nią wypłaty - w przypadku, gdy zarówno jednostka będąca właścicielem takiej jednostki oraz ta jednostka podlegają opodatkowaniu z tytułu wypłat zysku i wypłat o podobnym charakterze.</w:t>
      </w:r>
    </w:p>
    <w:p w14:paraId="55B1D0A0" w14:textId="77777777" w:rsidR="00596CE8" w:rsidRPr="00633318" w:rsidRDefault="00596CE8" w:rsidP="00696BBC">
      <w:pPr>
        <w:spacing w:after="120"/>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 xml:space="preserve">Należy przy tym zaznaczyć, że oceny warunków wskazanych w ust. 1 dokonuje się </w:t>
      </w:r>
      <w:r w:rsidRPr="00633318">
        <w:rPr>
          <w:rFonts w:ascii="Times New Roman" w:eastAsia="Times New Roman" w:hAnsi="Times New Roman" w:cs="Times New Roman"/>
          <w:b/>
          <w:sz w:val="24"/>
          <w:szCs w:val="24"/>
          <w:lang w:eastAsia="pl-PL"/>
        </w:rPr>
        <w:t>odrębnie do poszczególnych jednostek będących właścicielami</w:t>
      </w:r>
      <w:r w:rsidRPr="00633318">
        <w:rPr>
          <w:rFonts w:ascii="Times New Roman" w:eastAsia="Times New Roman" w:hAnsi="Times New Roman" w:cs="Times New Roman"/>
          <w:bCs/>
          <w:sz w:val="24"/>
          <w:szCs w:val="24"/>
          <w:lang w:eastAsia="pl-PL"/>
        </w:rPr>
        <w:t xml:space="preserve"> dla których dokonano omawianego wyboru. Jednakże, w razie dokonania wyboru dla danej jednostki będącej właścicielem, przepis ten stosowany jest w odniesieniu do wszystkich jej udziałów własnościowych w jednostce inwestycyjnej lub ubezpieczeniowej jednostki inwestycyjnej.</w:t>
      </w:r>
    </w:p>
    <w:p w14:paraId="219D7A25" w14:textId="77777777" w:rsidR="00596CE8" w:rsidRPr="00633318" w:rsidRDefault="00596CE8" w:rsidP="00596CE8">
      <w:pPr>
        <w:pStyle w:val="Nagwek5"/>
        <w:rPr>
          <w:rFonts w:ascii="Times New Roman" w:hAnsi="Times New Roman" w:cs="Times New Roman"/>
          <w:sz w:val="24"/>
          <w:szCs w:val="24"/>
          <w:lang w:eastAsia="pl-PL"/>
        </w:rPr>
      </w:pPr>
      <w:bookmarkStart w:id="94" w:name="_Toc154576913"/>
      <w:r w:rsidRPr="00633318">
        <w:rPr>
          <w:rFonts w:ascii="Times New Roman" w:hAnsi="Times New Roman" w:cs="Times New Roman"/>
          <w:sz w:val="24"/>
          <w:szCs w:val="24"/>
          <w:lang w:eastAsia="pl-PL"/>
        </w:rPr>
        <w:t>Art. 1</w:t>
      </w:r>
      <w:bookmarkEnd w:id="94"/>
      <w:r w:rsidRPr="00633318">
        <w:rPr>
          <w:rFonts w:ascii="Times New Roman" w:hAnsi="Times New Roman" w:cs="Times New Roman"/>
          <w:sz w:val="24"/>
          <w:szCs w:val="24"/>
          <w:lang w:eastAsia="pl-PL"/>
        </w:rPr>
        <w:t>20 [Definicja metody opodatkowania zysków]</w:t>
      </w:r>
    </w:p>
    <w:p w14:paraId="3163A620" w14:textId="77777777" w:rsidR="00596CE8" w:rsidRPr="00633318" w:rsidRDefault="00596CE8" w:rsidP="00696BBC">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Art. 120 ust. 1 ustawy określa definicję metody opodatkowania zysków. Zgodnie ust. 1, przez metodę opodatkowania wypłaty zysków należy rozumieć metodę według której: </w:t>
      </w:r>
    </w:p>
    <w:p w14:paraId="56E8D471" w14:textId="77777777" w:rsidR="00596CE8" w:rsidRPr="00633318" w:rsidRDefault="00596CE8" w:rsidP="00696BBC">
      <w:pPr>
        <w:spacing w:after="120"/>
        <w:ind w:left="709"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1) </w:t>
      </w:r>
      <w:r w:rsidRPr="00633318">
        <w:rPr>
          <w:rFonts w:ascii="Times New Roman" w:hAnsi="Times New Roman" w:cs="Times New Roman"/>
          <w:bCs/>
          <w:sz w:val="24"/>
          <w:szCs w:val="24"/>
        </w:rPr>
        <w:tab/>
        <w:t xml:space="preserve">w kwalifikowanym dochodzie (stracie) jednostki będącej właścicielem jednostki inwestycyjnej lub ubezpieczeniowej jednostki inwestycyjnej, </w:t>
      </w:r>
      <w:r w:rsidRPr="00633318">
        <w:rPr>
          <w:rFonts w:ascii="Times New Roman" w:hAnsi="Times New Roman" w:cs="Times New Roman"/>
          <w:b/>
          <w:sz w:val="24"/>
          <w:szCs w:val="24"/>
        </w:rPr>
        <w:t>uwzględnia się dokonane i hipotetyczne wypłaty kwalifikowanego dochodu tej jednostki</w:t>
      </w:r>
      <w:r w:rsidRPr="00633318">
        <w:rPr>
          <w:rFonts w:ascii="Times New Roman" w:hAnsi="Times New Roman" w:cs="Times New Roman"/>
          <w:bCs/>
          <w:sz w:val="24"/>
          <w:szCs w:val="24"/>
        </w:rPr>
        <w:t xml:space="preserve"> na rzecz tego właściciela;</w:t>
      </w:r>
    </w:p>
    <w:p w14:paraId="3D2AE372" w14:textId="77777777" w:rsidR="00596CE8" w:rsidRPr="00633318" w:rsidRDefault="00596CE8" w:rsidP="00696BBC">
      <w:pPr>
        <w:spacing w:after="120"/>
        <w:ind w:left="709"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2) </w:t>
      </w:r>
      <w:r w:rsidRPr="00633318">
        <w:rPr>
          <w:rFonts w:ascii="Times New Roman" w:hAnsi="Times New Roman" w:cs="Times New Roman"/>
          <w:bCs/>
          <w:sz w:val="24"/>
          <w:szCs w:val="24"/>
        </w:rPr>
        <w:tab/>
        <w:t xml:space="preserve">w kwalifikowanym dochodzie i w skorygowanych podatkach kwalifikowanych właściciela jednostki będącej właścicielem jednostki inwestycyjnej lub ubezpieczeniowej jednostki inwestycyjnej, </w:t>
      </w:r>
      <w:r w:rsidRPr="00633318">
        <w:rPr>
          <w:rFonts w:ascii="Times New Roman" w:hAnsi="Times New Roman" w:cs="Times New Roman"/>
          <w:b/>
          <w:sz w:val="24"/>
          <w:szCs w:val="24"/>
        </w:rPr>
        <w:t>uwzględnia się kwotę naliczonych</w:t>
      </w:r>
      <w:r w:rsidRPr="00633318">
        <w:rPr>
          <w:rFonts w:ascii="Times New Roman" w:hAnsi="Times New Roman" w:cs="Times New Roman"/>
          <w:bCs/>
          <w:sz w:val="24"/>
          <w:szCs w:val="24"/>
        </w:rPr>
        <w:t xml:space="preserve"> - przez taką jednostkę inwestycyjną lub ubezpieczeniową jednostkę inwestycyjną - </w:t>
      </w:r>
      <w:r w:rsidRPr="00633318">
        <w:rPr>
          <w:rFonts w:ascii="Times New Roman" w:hAnsi="Times New Roman" w:cs="Times New Roman"/>
          <w:b/>
          <w:sz w:val="24"/>
          <w:szCs w:val="24"/>
        </w:rPr>
        <w:t>podatków kwalifikowanych, które podlegają zaliczeniu na poczet zobowiązania podatkowego właściciela tej jednostki</w:t>
      </w:r>
      <w:r w:rsidRPr="00633318">
        <w:rPr>
          <w:rFonts w:ascii="Times New Roman" w:hAnsi="Times New Roman" w:cs="Times New Roman"/>
          <w:bCs/>
          <w:sz w:val="24"/>
          <w:szCs w:val="24"/>
        </w:rPr>
        <w:t xml:space="preserve"> z tytułu wypłaty zysku  tej jednostki;</w:t>
      </w:r>
    </w:p>
    <w:p w14:paraId="31645193" w14:textId="77777777" w:rsidR="00596CE8" w:rsidRPr="00633318" w:rsidRDefault="00596CE8" w:rsidP="00696BBC">
      <w:pPr>
        <w:spacing w:after="120"/>
        <w:ind w:left="709" w:hanging="425"/>
        <w:jc w:val="both"/>
        <w:rPr>
          <w:rFonts w:ascii="Times New Roman" w:hAnsi="Times New Roman" w:cs="Times New Roman"/>
          <w:bCs/>
          <w:sz w:val="24"/>
          <w:szCs w:val="24"/>
        </w:rPr>
      </w:pPr>
      <w:r w:rsidRPr="00633318">
        <w:rPr>
          <w:rFonts w:ascii="Times New Roman" w:hAnsi="Times New Roman" w:cs="Times New Roman"/>
          <w:bCs/>
          <w:sz w:val="24"/>
          <w:szCs w:val="24"/>
        </w:rPr>
        <w:t xml:space="preserve">3) </w:t>
      </w:r>
      <w:r w:rsidRPr="00633318">
        <w:rPr>
          <w:rFonts w:ascii="Times New Roman" w:hAnsi="Times New Roman" w:cs="Times New Roman"/>
          <w:bCs/>
          <w:sz w:val="24"/>
          <w:szCs w:val="24"/>
        </w:rPr>
        <w:tab/>
        <w:t xml:space="preserve">ustala się kwalifikowany dochód jednostki inwestycyjnej lub ubezpieczeniowej jednostki inwestycyjnej, za rok podatkowy, w wysokości </w:t>
      </w:r>
      <w:r w:rsidRPr="00633318">
        <w:rPr>
          <w:rFonts w:ascii="Times New Roman" w:hAnsi="Times New Roman" w:cs="Times New Roman"/>
          <w:b/>
          <w:sz w:val="24"/>
          <w:szCs w:val="24"/>
        </w:rPr>
        <w:t>udziału właściciela tej jednostki w niewypłaconym kwalifikowanym dochodzie netto takiej jednostki</w:t>
      </w:r>
      <w:r w:rsidRPr="00633318">
        <w:rPr>
          <w:rFonts w:ascii="Times New Roman" w:hAnsi="Times New Roman" w:cs="Times New Roman"/>
          <w:bCs/>
          <w:sz w:val="24"/>
          <w:szCs w:val="24"/>
        </w:rPr>
        <w:t>, o którym mowa w art. 121, naliczonym w trzecim roku bezpośrednio poprzedzającym ten rok podatkowy.</w:t>
      </w:r>
    </w:p>
    <w:p w14:paraId="709A40FA" w14:textId="77777777" w:rsidR="00596CE8" w:rsidRPr="00633318" w:rsidRDefault="00596CE8" w:rsidP="00696BBC">
      <w:pPr>
        <w:spacing w:after="120"/>
        <w:jc w:val="both"/>
        <w:rPr>
          <w:rFonts w:ascii="Times New Roman" w:hAnsi="Times New Roman" w:cs="Times New Roman"/>
          <w:sz w:val="24"/>
          <w:szCs w:val="24"/>
        </w:rPr>
      </w:pPr>
      <w:r w:rsidRPr="00633318">
        <w:rPr>
          <w:rFonts w:ascii="Times New Roman" w:hAnsi="Times New Roman" w:cs="Times New Roman"/>
          <w:sz w:val="24"/>
          <w:szCs w:val="24"/>
        </w:rPr>
        <w:t>Ust. 2 określa zasady powstawania hipotetycznej wypłaty kwalifikowanego dochodu o której mowa w ust. 1 pkt 1. Zgodnie z tym przepisem, hipotetyczna wypłata kwalifikowanego dochodu powstaje w przypadku, gdy bezpośredni lub pośredni udział własnościowy w jednostce inwestycyjnej lub ubezpieczeniowej jednostce inwestycyjnej zostaje przeniesiony na jednostkę nienależącą do grupy. Odpowiada ona kwocie niewypłaconego kwalifikowanego dochodu netto, o którym mowa w art. 121 ust. 1, przypadającej na ten przeniesiony udział własnościowy.</w:t>
      </w:r>
    </w:p>
    <w:p w14:paraId="68BBA915" w14:textId="77777777" w:rsidR="00596CE8" w:rsidRPr="00633318" w:rsidRDefault="00596CE8" w:rsidP="00696BBC">
      <w:pPr>
        <w:pStyle w:val="Nagwek5"/>
        <w:rPr>
          <w:rFonts w:ascii="Times New Roman" w:hAnsi="Times New Roman" w:cs="Times New Roman"/>
          <w:sz w:val="24"/>
          <w:szCs w:val="24"/>
          <w:lang w:eastAsia="pl-PL"/>
        </w:rPr>
      </w:pPr>
      <w:r w:rsidRPr="00633318">
        <w:rPr>
          <w:rFonts w:ascii="Times New Roman" w:hAnsi="Times New Roman" w:cs="Times New Roman"/>
          <w:sz w:val="24"/>
          <w:szCs w:val="24"/>
          <w:lang w:eastAsia="pl-PL"/>
        </w:rPr>
        <w:t xml:space="preserve">Art. 121 </w:t>
      </w:r>
      <w:r w:rsidRPr="00633318">
        <w:rPr>
          <w:rFonts w:ascii="Times New Roman" w:hAnsi="Times New Roman" w:cs="Times New Roman"/>
          <w:sz w:val="24"/>
          <w:szCs w:val="24"/>
        </w:rPr>
        <w:t>[N</w:t>
      </w:r>
      <w:r w:rsidRPr="00633318">
        <w:rPr>
          <w:rFonts w:ascii="Times New Roman" w:eastAsia="Times New Roman" w:hAnsi="Times New Roman" w:cs="Times New Roman"/>
          <w:bCs/>
          <w:sz w:val="24"/>
          <w:szCs w:val="24"/>
          <w:lang w:eastAsia="pl-PL"/>
        </w:rPr>
        <w:t>iewypłacony kwalifikowany dochód netto]</w:t>
      </w:r>
    </w:p>
    <w:p w14:paraId="02528AFC" w14:textId="77777777" w:rsidR="00596CE8" w:rsidRPr="00633318" w:rsidRDefault="00596CE8" w:rsidP="00696BBC">
      <w:pPr>
        <w:suppressAutoHyphens/>
        <w:autoSpaceDE w:val="0"/>
        <w:autoSpaceDN w:val="0"/>
        <w:adjustRightInd w:val="0"/>
        <w:spacing w:after="120"/>
        <w:jc w:val="both"/>
        <w:rPr>
          <w:rFonts w:ascii="Times New Roman" w:eastAsia="Times New Roman" w:hAnsi="Times New Roman" w:cs="Times New Roman"/>
          <w:bCs/>
          <w:sz w:val="24"/>
          <w:szCs w:val="24"/>
          <w:lang w:eastAsia="pl-PL"/>
        </w:rPr>
      </w:pPr>
      <w:r w:rsidRPr="00633318">
        <w:rPr>
          <w:rFonts w:ascii="Times New Roman" w:hAnsi="Times New Roman" w:cs="Times New Roman"/>
          <w:sz w:val="24"/>
          <w:szCs w:val="24"/>
        </w:rPr>
        <w:t xml:space="preserve">Stosownie do art. 121 ust. 1, ustalany jest </w:t>
      </w:r>
      <w:r w:rsidRPr="00633318">
        <w:rPr>
          <w:rFonts w:ascii="Times New Roman" w:hAnsi="Times New Roman" w:cs="Times New Roman"/>
          <w:b/>
          <w:bCs/>
          <w:sz w:val="24"/>
          <w:szCs w:val="24"/>
        </w:rPr>
        <w:t>n</w:t>
      </w:r>
      <w:r w:rsidRPr="00633318">
        <w:rPr>
          <w:rFonts w:ascii="Times New Roman" w:eastAsia="Times New Roman" w:hAnsi="Times New Roman" w:cs="Times New Roman"/>
          <w:b/>
          <w:bCs/>
          <w:sz w:val="24"/>
          <w:szCs w:val="24"/>
          <w:lang w:eastAsia="pl-PL"/>
        </w:rPr>
        <w:t xml:space="preserve">iewypłacony kwalifikowany dochód netto </w:t>
      </w:r>
      <w:r w:rsidRPr="00633318">
        <w:rPr>
          <w:rFonts w:ascii="Times New Roman" w:eastAsia="Times New Roman" w:hAnsi="Times New Roman" w:cs="Times New Roman"/>
          <w:bCs/>
          <w:sz w:val="24"/>
          <w:szCs w:val="24"/>
          <w:lang w:eastAsia="pl-PL"/>
        </w:rPr>
        <w:t>jednostki inwestycyjnej lub ubezpieczeniowej jednostki inwestycyjnej, naliczony za trzeci rok podatkowy bezpośrednio poprzedzający dany rok podatkowy, za który dokonano wyboru. Stanowi on kwotę kwalifikowanego dochodu tej jednostki za rok podatkowy, pomniejszoną, nie więcej niż o kwotę tego dochodu, o:</w:t>
      </w:r>
    </w:p>
    <w:p w14:paraId="33AA9ECB" w14:textId="77777777" w:rsidR="00596CE8" w:rsidRPr="00633318" w:rsidRDefault="00596CE8" w:rsidP="00696BBC">
      <w:pPr>
        <w:spacing w:after="120"/>
        <w:ind w:left="709" w:hanging="425"/>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1)</w:t>
      </w:r>
      <w:r w:rsidRPr="00633318">
        <w:rPr>
          <w:rFonts w:ascii="Times New Roman" w:eastAsia="Times New Roman" w:hAnsi="Times New Roman" w:cs="Times New Roman"/>
          <w:bCs/>
          <w:sz w:val="24"/>
          <w:szCs w:val="24"/>
          <w:lang w:eastAsia="pl-PL"/>
        </w:rPr>
        <w:tab/>
      </w:r>
      <w:r w:rsidRPr="00633318">
        <w:rPr>
          <w:rFonts w:ascii="Times New Roman" w:eastAsia="Times New Roman" w:hAnsi="Times New Roman" w:cs="Times New Roman"/>
          <w:b/>
          <w:sz w:val="24"/>
          <w:szCs w:val="24"/>
          <w:lang w:eastAsia="pl-PL"/>
        </w:rPr>
        <w:t>podatki kwalifikowane</w:t>
      </w:r>
      <w:r w:rsidRPr="00633318">
        <w:rPr>
          <w:rFonts w:ascii="Times New Roman" w:eastAsia="Times New Roman" w:hAnsi="Times New Roman" w:cs="Times New Roman"/>
          <w:bCs/>
          <w:sz w:val="24"/>
          <w:szCs w:val="24"/>
          <w:lang w:eastAsia="pl-PL"/>
        </w:rPr>
        <w:t xml:space="preserve"> takiej jednostki;</w:t>
      </w:r>
    </w:p>
    <w:p w14:paraId="339AA2E6" w14:textId="77777777" w:rsidR="00596CE8" w:rsidRPr="00633318" w:rsidRDefault="00596CE8" w:rsidP="00696BBC">
      <w:pPr>
        <w:spacing w:after="120"/>
        <w:ind w:left="709" w:hanging="425"/>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2)</w:t>
      </w:r>
      <w:r w:rsidRPr="00633318">
        <w:rPr>
          <w:rFonts w:ascii="Times New Roman" w:eastAsia="Times New Roman" w:hAnsi="Times New Roman" w:cs="Times New Roman"/>
          <w:bCs/>
          <w:sz w:val="24"/>
          <w:szCs w:val="24"/>
          <w:lang w:eastAsia="pl-PL"/>
        </w:rPr>
        <w:tab/>
      </w:r>
      <w:r w:rsidRPr="00633318">
        <w:rPr>
          <w:rFonts w:ascii="Times New Roman" w:eastAsia="Times New Roman" w:hAnsi="Times New Roman" w:cs="Times New Roman"/>
          <w:b/>
          <w:sz w:val="24"/>
          <w:szCs w:val="24"/>
          <w:lang w:eastAsia="pl-PL"/>
        </w:rPr>
        <w:t>dokonane i hipotetyczne wypłaty</w:t>
      </w:r>
      <w:r w:rsidRPr="00633318">
        <w:rPr>
          <w:rFonts w:ascii="Times New Roman" w:eastAsia="Times New Roman" w:hAnsi="Times New Roman" w:cs="Times New Roman"/>
          <w:bCs/>
          <w:sz w:val="24"/>
          <w:szCs w:val="24"/>
          <w:lang w:eastAsia="pl-PL"/>
        </w:rPr>
        <w:t xml:space="preserve"> na rzecz jednostek będących właścicielem takiej jednostki oraz niebędących jednostkami inwestycyjnymi lub ubezpieczeniowymi jednostkami inwestycyjnymi, </w:t>
      </w:r>
      <w:r w:rsidRPr="00633318">
        <w:rPr>
          <w:rFonts w:ascii="Times New Roman" w:eastAsia="Times New Roman" w:hAnsi="Times New Roman" w:cs="Times New Roman"/>
          <w:b/>
          <w:sz w:val="24"/>
          <w:szCs w:val="24"/>
          <w:lang w:eastAsia="pl-PL"/>
        </w:rPr>
        <w:t>w okresie od pierwszego dnia trzeciego roku poprzedzającego rok podatkowy</w:t>
      </w:r>
      <w:r w:rsidRPr="00633318">
        <w:rPr>
          <w:rFonts w:ascii="Times New Roman" w:eastAsia="Times New Roman" w:hAnsi="Times New Roman" w:cs="Times New Roman"/>
          <w:bCs/>
          <w:sz w:val="24"/>
          <w:szCs w:val="24"/>
          <w:lang w:eastAsia="pl-PL"/>
        </w:rPr>
        <w:t xml:space="preserve"> do ostatniego dnia roku podatkowego, w którym udział własnościowy był posiadany;</w:t>
      </w:r>
    </w:p>
    <w:p w14:paraId="4E68112B" w14:textId="77777777" w:rsidR="00596CE8" w:rsidRPr="00633318" w:rsidRDefault="00596CE8" w:rsidP="00696BBC">
      <w:pPr>
        <w:spacing w:after="120"/>
        <w:ind w:left="709" w:hanging="425"/>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3)</w:t>
      </w:r>
      <w:r w:rsidRPr="00633318">
        <w:rPr>
          <w:rFonts w:ascii="Times New Roman" w:eastAsia="Times New Roman" w:hAnsi="Times New Roman" w:cs="Times New Roman"/>
          <w:bCs/>
          <w:sz w:val="24"/>
          <w:szCs w:val="24"/>
          <w:lang w:eastAsia="pl-PL"/>
        </w:rPr>
        <w:tab/>
      </w:r>
      <w:r w:rsidRPr="00633318">
        <w:rPr>
          <w:rFonts w:ascii="Times New Roman" w:eastAsia="Times New Roman" w:hAnsi="Times New Roman" w:cs="Times New Roman"/>
          <w:b/>
          <w:sz w:val="24"/>
          <w:szCs w:val="24"/>
          <w:lang w:eastAsia="pl-PL"/>
        </w:rPr>
        <w:t>kwalifikowane straty</w:t>
      </w:r>
      <w:r w:rsidRPr="00633318">
        <w:rPr>
          <w:rFonts w:ascii="Times New Roman" w:eastAsia="Times New Roman" w:hAnsi="Times New Roman" w:cs="Times New Roman"/>
          <w:bCs/>
          <w:sz w:val="24"/>
          <w:szCs w:val="24"/>
          <w:lang w:eastAsia="pl-PL"/>
        </w:rPr>
        <w:t xml:space="preserve"> takiej jednostki powstałe w okresie, o którym mowa w pkt 2;</w:t>
      </w:r>
    </w:p>
    <w:p w14:paraId="096780A2" w14:textId="77777777" w:rsidR="00596CE8" w:rsidRPr="00633318" w:rsidRDefault="00596CE8" w:rsidP="00696BBC">
      <w:pPr>
        <w:spacing w:after="120"/>
        <w:ind w:left="709" w:hanging="425"/>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4)</w:t>
      </w:r>
      <w:r w:rsidRPr="00633318">
        <w:rPr>
          <w:rFonts w:ascii="Times New Roman" w:eastAsia="Times New Roman" w:hAnsi="Times New Roman" w:cs="Times New Roman"/>
          <w:bCs/>
          <w:sz w:val="24"/>
          <w:szCs w:val="24"/>
          <w:lang w:eastAsia="pl-PL"/>
        </w:rPr>
        <w:tab/>
      </w:r>
      <w:r w:rsidRPr="00633318">
        <w:rPr>
          <w:rFonts w:ascii="Times New Roman" w:hAnsi="Times New Roman" w:cs="Times New Roman"/>
          <w:b/>
          <w:bCs/>
          <w:sz w:val="24"/>
          <w:szCs w:val="24"/>
        </w:rPr>
        <w:t>nadwyżkę kwalifikowanych strat, która pozostała po uprzednim obniżeniu niewypłaconego kwalifikowanego dochodu netto</w:t>
      </w:r>
      <w:r w:rsidRPr="00633318">
        <w:rPr>
          <w:rFonts w:ascii="Times New Roman" w:hAnsi="Times New Roman" w:cs="Times New Roman"/>
          <w:sz w:val="24"/>
          <w:szCs w:val="24"/>
        </w:rPr>
        <w:t xml:space="preserve"> tej jednostki za poprzedni rok podatkowy lub poprzednie lata podatkowe na zasadach.</w:t>
      </w:r>
    </w:p>
    <w:p w14:paraId="62BE6A71" w14:textId="77777777" w:rsidR="00596CE8" w:rsidRPr="00633318" w:rsidRDefault="00596CE8" w:rsidP="00696BBC">
      <w:pPr>
        <w:spacing w:after="120"/>
        <w:jc w:val="both"/>
        <w:rPr>
          <w:rFonts w:ascii="Times New Roman" w:eastAsia="Times New Roman" w:hAnsi="Times New Roman" w:cs="Times New Roman"/>
          <w:bCs/>
          <w:sz w:val="24"/>
          <w:szCs w:val="24"/>
          <w:lang w:eastAsia="pl-PL"/>
        </w:rPr>
      </w:pPr>
      <w:r w:rsidRPr="00633318">
        <w:rPr>
          <w:rFonts w:ascii="Times New Roman" w:eastAsia="Times New Roman" w:hAnsi="Times New Roman" w:cs="Times New Roman"/>
          <w:bCs/>
          <w:sz w:val="24"/>
          <w:szCs w:val="24"/>
          <w:lang w:eastAsia="pl-PL"/>
        </w:rPr>
        <w:t>W tym kontekście art. 121 ust. 3 ustawy stanowi dodatkowe zabezpieczenie przed podwójnym pomniejszeniem o te same kwoty. Zgodnie z tym przepisem, nie pomniejsza się niewypłaconego kwalifikowanego dochodu netto jednostki inwestycyjnej lub ubezpieczeniowej jednostki inwestycyjnej</w:t>
      </w:r>
      <w:r w:rsidRPr="00633318">
        <w:rPr>
          <w:rFonts w:ascii="Times New Roman" w:hAnsi="Times New Roman" w:cs="Times New Roman"/>
          <w:sz w:val="24"/>
          <w:szCs w:val="24"/>
        </w:rPr>
        <w:t xml:space="preserve"> </w:t>
      </w:r>
      <w:r w:rsidRPr="00633318">
        <w:rPr>
          <w:rFonts w:ascii="Times New Roman" w:eastAsia="Times New Roman" w:hAnsi="Times New Roman" w:cs="Times New Roman"/>
          <w:bCs/>
          <w:sz w:val="24"/>
          <w:szCs w:val="24"/>
          <w:lang w:eastAsia="pl-PL"/>
        </w:rPr>
        <w:t>o wskazane w ust. 1 pkt 2 i 3 wypłaty oraz kwalifikowane straty, które już pomniejszyły niewypłacony kwalifikowany dochód netto jednostki inwestycyjnej lub ubezpieczeniowej jednostki inwestycyjnej za poprzednie lata.</w:t>
      </w:r>
    </w:p>
    <w:p w14:paraId="3E06559B" w14:textId="77777777" w:rsidR="00596CE8" w:rsidRPr="00633318" w:rsidRDefault="00596CE8" w:rsidP="00696BBC">
      <w:pPr>
        <w:pStyle w:val="Nagwek5"/>
        <w:rPr>
          <w:rFonts w:ascii="Times New Roman" w:hAnsi="Times New Roman" w:cs="Times New Roman"/>
          <w:sz w:val="24"/>
          <w:szCs w:val="24"/>
        </w:rPr>
      </w:pPr>
      <w:r w:rsidRPr="00633318">
        <w:rPr>
          <w:rFonts w:ascii="Times New Roman" w:hAnsi="Times New Roman" w:cs="Times New Roman"/>
          <w:sz w:val="24"/>
          <w:szCs w:val="24"/>
        </w:rPr>
        <w:t>Art. 122 [Ustalenie globalnego podatku wyrównawczego dla metody opodatkowania wypłaty zysku]</w:t>
      </w:r>
    </w:p>
    <w:p w14:paraId="140EEC02" w14:textId="77777777" w:rsidR="00596CE8" w:rsidRPr="00633318" w:rsidRDefault="00596CE8" w:rsidP="00696BBC">
      <w:pPr>
        <w:spacing w:after="120"/>
        <w:jc w:val="both"/>
        <w:rPr>
          <w:rFonts w:ascii="Times New Roman" w:hAnsi="Times New Roman" w:cs="Times New Roman"/>
          <w:sz w:val="24"/>
          <w:szCs w:val="24"/>
        </w:rPr>
      </w:pPr>
      <w:r w:rsidRPr="00633318">
        <w:rPr>
          <w:rFonts w:ascii="Times New Roman" w:hAnsi="Times New Roman" w:cs="Times New Roman"/>
          <w:sz w:val="24"/>
          <w:szCs w:val="24"/>
        </w:rPr>
        <w:t>Art. 122 ust. 1 ustawy wyznacza jak obliczać jednostkowy globalny podatek wyrównawczy (lub jednostkowy krajowy podatek wyrównawczy) jednostki inwestycyjnej albo ubezpieczeniowej jednostki inwestycyjnej w przypadku metody opodatkowania wypłaty zysku.  Mianowicie, za taki jednostkowy podatek uznaje się iloczyn kwalifikowanego dochodu tej jednostki (tj. efektywnie udziału jednostki będącej właścicielem w niewypłaconym kwalifikowanym dochodzie netto) oraz stawki 15%.</w:t>
      </w:r>
    </w:p>
    <w:p w14:paraId="1B80D442" w14:textId="497EE08D" w:rsidR="00596CE8" w:rsidRPr="00633318" w:rsidRDefault="00596CE8" w:rsidP="00696BBC">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 kolei, w ust. 2 ustawy wpływa na zasady obliczania efektywnej stawki podatkowej. W świetle tego przepisu, kwalifikowany dochód (stratę) jednostki inwestycyjnej lub ubezpieczeniowej jednostki inwestycyjnej, jak również skorygowane podatki kwalifikowane przypisywane do takiego dochodu, wyłącza się z obliczania efektywnej stawki podatkowej dokonywanej zgodnie z przepisami działu II (tj. zarówno ETR dla </w:t>
      </w:r>
      <w:r w:rsidR="009B1C43" w:rsidRPr="00633318">
        <w:rPr>
          <w:rFonts w:ascii="Times New Roman" w:hAnsi="Times New Roman" w:cs="Times New Roman"/>
          <w:sz w:val="24"/>
          <w:szCs w:val="24"/>
        </w:rPr>
        <w:t>danej jurysdykcji</w:t>
      </w:r>
      <w:r w:rsidRPr="00633318">
        <w:rPr>
          <w:rFonts w:ascii="Times New Roman" w:hAnsi="Times New Roman" w:cs="Times New Roman"/>
          <w:sz w:val="24"/>
          <w:szCs w:val="24"/>
        </w:rPr>
        <w:t>, jak i efektywnej stawki podatkowej pozostałych jednostek inwestycyjnych obliczanego, zgodnie z przepisami rozdziału 2 działu II). Wyjątek stanowi kwota podatków kwalifikowanych, uwzględnianych po stronie jednostki będącej właścicielem zgodnie z art. 120 ust. 1 pkt 2.</w:t>
      </w:r>
    </w:p>
    <w:p w14:paraId="385B9F0D" w14:textId="77777777" w:rsidR="00596CE8" w:rsidRPr="00633318" w:rsidRDefault="00596CE8" w:rsidP="00696BBC">
      <w:pPr>
        <w:pStyle w:val="Nagwek5"/>
        <w:rPr>
          <w:rFonts w:ascii="Times New Roman" w:hAnsi="Times New Roman" w:cs="Times New Roman"/>
          <w:sz w:val="24"/>
          <w:szCs w:val="24"/>
        </w:rPr>
      </w:pPr>
      <w:bookmarkStart w:id="95" w:name="_Toc154576915"/>
      <w:r w:rsidRPr="00633318">
        <w:rPr>
          <w:rFonts w:ascii="Times New Roman" w:hAnsi="Times New Roman" w:cs="Times New Roman"/>
          <w:sz w:val="24"/>
          <w:szCs w:val="24"/>
        </w:rPr>
        <w:t xml:space="preserve">Art. </w:t>
      </w:r>
      <w:bookmarkEnd w:id="95"/>
      <w:r w:rsidRPr="00633318">
        <w:rPr>
          <w:rFonts w:ascii="Times New Roman" w:hAnsi="Times New Roman" w:cs="Times New Roman"/>
          <w:sz w:val="24"/>
          <w:szCs w:val="24"/>
        </w:rPr>
        <w:t>123 [Skutki odwołania wyboru]</w:t>
      </w:r>
    </w:p>
    <w:p w14:paraId="2DF17C9B" w14:textId="77777777" w:rsidR="00596CE8" w:rsidRPr="00633318" w:rsidRDefault="00596CE8" w:rsidP="00696BBC">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Na gruncie art. 123 ustawy, jeżeli wybór dotyczący metody opodatkowania wypłaty zysków zostanie odwołany, udział właściciela w niewypłaconym kwalifikowanym dochodzie netto, ustalony na koniec roku podatkowego poprzedzającego rok podatkowy, w którym dokonano odwołania, traktuje się jako kwalifikowany dochód jednostki inwestycyjnej lub ubezpieczeniowej jednostki inwestycyjnej za rok podatkowy. W takim przypadku, iloczyn takiego kwalifikowanego dochodu i stawki 15% traktuje się jako jednostkowy globalny podatek wyrównawczy (albo odpowiednio jednostkowy krajowy podatek wyrównawczy).</w:t>
      </w:r>
    </w:p>
    <w:p w14:paraId="1136523C" w14:textId="4552461D" w:rsidR="009F4D66" w:rsidRPr="00633318" w:rsidRDefault="009F4D66" w:rsidP="00596CE8">
      <w:pPr>
        <w:pStyle w:val="Nagwek2"/>
        <w:spacing w:before="360"/>
        <w:rPr>
          <w:rFonts w:ascii="Times New Roman" w:hAnsi="Times New Roman" w:cs="Times New Roman"/>
          <w:sz w:val="24"/>
          <w:szCs w:val="24"/>
        </w:rPr>
      </w:pPr>
      <w:r w:rsidRPr="00633318">
        <w:rPr>
          <w:rFonts w:ascii="Times New Roman" w:hAnsi="Times New Roman" w:cs="Times New Roman"/>
          <w:sz w:val="24"/>
          <w:szCs w:val="24"/>
        </w:rPr>
        <w:t xml:space="preserve">DZIAŁ </w:t>
      </w:r>
      <w:r w:rsidR="00DE5699" w:rsidRPr="00633318">
        <w:rPr>
          <w:rFonts w:ascii="Times New Roman" w:hAnsi="Times New Roman" w:cs="Times New Roman"/>
          <w:sz w:val="24"/>
          <w:szCs w:val="24"/>
        </w:rPr>
        <w:t>X</w:t>
      </w:r>
      <w:r w:rsidR="00CA1C3D"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r w:rsidR="00451512" w:rsidRPr="00633318">
        <w:rPr>
          <w:rFonts w:ascii="Times New Roman" w:hAnsi="Times New Roman" w:cs="Times New Roman"/>
          <w:sz w:val="24"/>
          <w:szCs w:val="24"/>
        </w:rPr>
        <w:t>Bezpieczne przystanie</w:t>
      </w:r>
      <w:r w:rsidRPr="00633318">
        <w:rPr>
          <w:rFonts w:ascii="Times New Roman" w:hAnsi="Times New Roman" w:cs="Times New Roman"/>
          <w:sz w:val="24"/>
          <w:szCs w:val="24"/>
        </w:rPr>
        <w:t xml:space="preserve"> i </w:t>
      </w:r>
      <w:r w:rsidR="00451512" w:rsidRPr="00633318">
        <w:rPr>
          <w:rFonts w:ascii="Times New Roman" w:hAnsi="Times New Roman" w:cs="Times New Roman"/>
          <w:sz w:val="24"/>
          <w:szCs w:val="24"/>
        </w:rPr>
        <w:t>przepisy szczególne w okresie początkowym</w:t>
      </w:r>
    </w:p>
    <w:p w14:paraId="11822F4E" w14:textId="2BFE98EC" w:rsidR="00E21164" w:rsidRPr="00633318" w:rsidRDefault="008A2D79" w:rsidP="004F179D">
      <w:pPr>
        <w:pStyle w:val="Nagwek3"/>
        <w:jc w:val="both"/>
        <w:rPr>
          <w:rFonts w:ascii="Times New Roman" w:hAnsi="Times New Roman" w:cs="Times New Roman"/>
          <w:sz w:val="24"/>
        </w:rPr>
      </w:pPr>
      <w:r w:rsidRPr="00633318">
        <w:rPr>
          <w:rFonts w:ascii="Times New Roman" w:hAnsi="Times New Roman" w:cs="Times New Roman"/>
          <w:sz w:val="24"/>
        </w:rPr>
        <w:t xml:space="preserve">Rozdział </w:t>
      </w:r>
      <w:r w:rsidR="00E21164" w:rsidRPr="00633318">
        <w:rPr>
          <w:rFonts w:ascii="Times New Roman" w:hAnsi="Times New Roman" w:cs="Times New Roman"/>
          <w:sz w:val="24"/>
        </w:rPr>
        <w:t xml:space="preserve">1 </w:t>
      </w:r>
      <w:r w:rsidR="003A6E9A" w:rsidRPr="00633318">
        <w:rPr>
          <w:rFonts w:ascii="Times New Roman" w:hAnsi="Times New Roman" w:cs="Times New Roman"/>
          <w:sz w:val="24"/>
        </w:rPr>
        <w:t>–</w:t>
      </w:r>
      <w:r w:rsidR="00E21164" w:rsidRPr="00633318">
        <w:rPr>
          <w:rFonts w:ascii="Times New Roman" w:hAnsi="Times New Roman" w:cs="Times New Roman"/>
          <w:sz w:val="24"/>
        </w:rPr>
        <w:t xml:space="preserve"> </w:t>
      </w:r>
      <w:r w:rsidR="00654C9A" w:rsidRPr="00633318">
        <w:rPr>
          <w:rFonts w:ascii="Times New Roman" w:hAnsi="Times New Roman" w:cs="Times New Roman"/>
          <w:sz w:val="24"/>
        </w:rPr>
        <w:t>Bezpieczne przystanie</w:t>
      </w:r>
    </w:p>
    <w:p w14:paraId="31613DDB" w14:textId="420E307C" w:rsidR="005C4B99" w:rsidRPr="00633318" w:rsidRDefault="005C4B99" w:rsidP="005C4B99">
      <w:pPr>
        <w:pStyle w:val="Nagwek5"/>
        <w:rPr>
          <w:rFonts w:ascii="Times New Roman" w:hAnsi="Times New Roman" w:cs="Times New Roman"/>
          <w:sz w:val="24"/>
          <w:szCs w:val="24"/>
        </w:rPr>
      </w:pPr>
      <w:r w:rsidRPr="00633318">
        <w:rPr>
          <w:rFonts w:ascii="Times New Roman" w:hAnsi="Times New Roman" w:cs="Times New Roman"/>
          <w:sz w:val="24"/>
          <w:szCs w:val="24"/>
        </w:rPr>
        <w:t xml:space="preserve">Art. </w:t>
      </w:r>
      <w:r w:rsidR="00654C9A" w:rsidRPr="00633318">
        <w:rPr>
          <w:rFonts w:ascii="Times New Roman" w:hAnsi="Times New Roman" w:cs="Times New Roman"/>
          <w:sz w:val="24"/>
          <w:szCs w:val="24"/>
        </w:rPr>
        <w:t>124</w:t>
      </w:r>
      <w:r w:rsidRPr="00633318">
        <w:rPr>
          <w:rFonts w:ascii="Times New Roman" w:hAnsi="Times New Roman" w:cs="Times New Roman"/>
          <w:sz w:val="24"/>
          <w:szCs w:val="24"/>
        </w:rPr>
        <w:t xml:space="preserve"> [Wyłączenie de minimis]</w:t>
      </w:r>
    </w:p>
    <w:p w14:paraId="7A8ED3F2" w14:textId="51AF9246" w:rsidR="005C4B99" w:rsidRPr="00633318" w:rsidRDefault="005C4B99" w:rsidP="005C4B99">
      <w:pPr>
        <w:spacing w:after="120"/>
        <w:jc w:val="both"/>
        <w:rPr>
          <w:rFonts w:ascii="Times New Roman" w:hAnsi="Times New Roman" w:cs="Times New Roman"/>
          <w:bCs/>
          <w:iCs/>
          <w:sz w:val="24"/>
          <w:szCs w:val="24"/>
        </w:rPr>
      </w:pPr>
      <w:r w:rsidRPr="00633318">
        <w:rPr>
          <w:rFonts w:ascii="Times New Roman" w:hAnsi="Times New Roman" w:cs="Times New Roman"/>
          <w:b/>
          <w:bCs/>
          <w:iCs/>
          <w:sz w:val="24"/>
          <w:szCs w:val="24"/>
        </w:rPr>
        <w:t xml:space="preserve">Art. </w:t>
      </w:r>
      <w:r w:rsidR="00654C9A" w:rsidRPr="00633318">
        <w:rPr>
          <w:rFonts w:ascii="Times New Roman" w:hAnsi="Times New Roman" w:cs="Times New Roman"/>
          <w:b/>
          <w:bCs/>
          <w:iCs/>
          <w:sz w:val="24"/>
          <w:szCs w:val="24"/>
        </w:rPr>
        <w:t>124</w:t>
      </w:r>
      <w:r w:rsidRPr="00633318">
        <w:rPr>
          <w:rFonts w:ascii="Times New Roman" w:hAnsi="Times New Roman" w:cs="Times New Roman"/>
          <w:b/>
          <w:bCs/>
          <w:iCs/>
          <w:sz w:val="24"/>
          <w:szCs w:val="24"/>
        </w:rPr>
        <w:t xml:space="preserve"> </w:t>
      </w:r>
      <w:r w:rsidRPr="00633318">
        <w:rPr>
          <w:rFonts w:ascii="Times New Roman" w:hAnsi="Times New Roman" w:cs="Times New Roman"/>
          <w:bCs/>
          <w:iCs/>
          <w:sz w:val="24"/>
          <w:szCs w:val="24"/>
        </w:rPr>
        <w:t xml:space="preserve">przewiduje wyłączenie </w:t>
      </w:r>
      <w:r w:rsidR="00654C9A" w:rsidRPr="00633318">
        <w:rPr>
          <w:rFonts w:ascii="Times New Roman" w:hAnsi="Times New Roman" w:cs="Times New Roman"/>
          <w:bCs/>
          <w:iCs/>
          <w:sz w:val="24"/>
          <w:szCs w:val="24"/>
        </w:rPr>
        <w:t>z obowiązku obliczania</w:t>
      </w:r>
      <w:r w:rsidRPr="00633318">
        <w:rPr>
          <w:rFonts w:ascii="Times New Roman" w:hAnsi="Times New Roman" w:cs="Times New Roman"/>
          <w:bCs/>
          <w:iCs/>
          <w:sz w:val="24"/>
          <w:szCs w:val="24"/>
        </w:rPr>
        <w:t xml:space="preserve"> globalnego podatku wyrównawczego</w:t>
      </w:r>
      <w:r w:rsidR="00654C9A" w:rsidRPr="00633318">
        <w:rPr>
          <w:rFonts w:ascii="Times New Roman" w:hAnsi="Times New Roman" w:cs="Times New Roman"/>
          <w:bCs/>
          <w:iCs/>
          <w:sz w:val="24"/>
          <w:szCs w:val="24"/>
        </w:rPr>
        <w:t xml:space="preserve"> lub krajowego podatku wyrównawczego</w:t>
      </w:r>
      <w:r w:rsidRPr="00633318">
        <w:rPr>
          <w:rFonts w:ascii="Times New Roman" w:hAnsi="Times New Roman" w:cs="Times New Roman"/>
          <w:bCs/>
          <w:iCs/>
          <w:sz w:val="24"/>
          <w:szCs w:val="24"/>
        </w:rPr>
        <w:t xml:space="preserve">, jeżeli w </w:t>
      </w:r>
      <w:r w:rsidR="009B1C43" w:rsidRPr="00633318">
        <w:rPr>
          <w:rFonts w:ascii="Times New Roman" w:hAnsi="Times New Roman" w:cs="Times New Roman"/>
          <w:bCs/>
          <w:iCs/>
          <w:sz w:val="24"/>
          <w:szCs w:val="24"/>
        </w:rPr>
        <w:t xml:space="preserve">danej </w:t>
      </w:r>
      <w:r w:rsidR="009B1C43" w:rsidRPr="00633318">
        <w:rPr>
          <w:rFonts w:ascii="Times New Roman" w:hAnsi="Times New Roman" w:cs="Times New Roman"/>
          <w:sz w:val="24"/>
          <w:szCs w:val="24"/>
        </w:rPr>
        <w:t xml:space="preserve">jurysdykcji </w:t>
      </w:r>
      <w:r w:rsidRPr="00633318">
        <w:rPr>
          <w:rFonts w:ascii="Times New Roman" w:hAnsi="Times New Roman" w:cs="Times New Roman"/>
          <w:bCs/>
          <w:iCs/>
          <w:sz w:val="24"/>
          <w:szCs w:val="24"/>
        </w:rPr>
        <w:t>nie są przekroczone określone progi kwotowe w odniesieniu do przychodu i dochodu (</w:t>
      </w:r>
      <w:r w:rsidR="00A828FE" w:rsidRPr="00633318">
        <w:rPr>
          <w:rFonts w:ascii="Times New Roman" w:hAnsi="Times New Roman" w:cs="Times New Roman"/>
          <w:bCs/>
          <w:iCs/>
          <w:sz w:val="24"/>
          <w:szCs w:val="24"/>
        </w:rPr>
        <w:t xml:space="preserve">wybór </w:t>
      </w:r>
      <w:r w:rsidRPr="00633318">
        <w:rPr>
          <w:rFonts w:ascii="Times New Roman" w:hAnsi="Times New Roman" w:cs="Times New Roman"/>
          <w:bCs/>
          <w:sz w:val="24"/>
          <w:szCs w:val="24"/>
        </w:rPr>
        <w:t>wyłączeni</w:t>
      </w:r>
      <w:r w:rsidR="00A828FE" w:rsidRPr="00633318">
        <w:rPr>
          <w:rFonts w:ascii="Times New Roman" w:hAnsi="Times New Roman" w:cs="Times New Roman"/>
          <w:bCs/>
          <w:sz w:val="24"/>
          <w:szCs w:val="24"/>
        </w:rPr>
        <w:t>a</w:t>
      </w:r>
      <w:r w:rsidRPr="00633318">
        <w:rPr>
          <w:rFonts w:ascii="Times New Roman" w:hAnsi="Times New Roman" w:cs="Times New Roman"/>
          <w:bCs/>
          <w:sz w:val="24"/>
          <w:szCs w:val="24"/>
        </w:rPr>
        <w:t xml:space="preserve"> </w:t>
      </w:r>
      <w:r w:rsidRPr="00633318">
        <w:rPr>
          <w:rFonts w:ascii="Times New Roman" w:hAnsi="Times New Roman" w:cs="Times New Roman"/>
          <w:bCs/>
          <w:i/>
          <w:iCs/>
          <w:sz w:val="24"/>
          <w:szCs w:val="24"/>
        </w:rPr>
        <w:t>de minimis</w:t>
      </w:r>
      <w:r w:rsidRPr="00633318">
        <w:rPr>
          <w:rFonts w:ascii="Times New Roman" w:hAnsi="Times New Roman" w:cs="Times New Roman"/>
          <w:bCs/>
          <w:iCs/>
          <w:sz w:val="24"/>
          <w:szCs w:val="24"/>
        </w:rPr>
        <w:t>).</w:t>
      </w:r>
      <w:r w:rsidR="00654C9A" w:rsidRPr="00633318">
        <w:rPr>
          <w:rFonts w:ascii="Times New Roman" w:hAnsi="Times New Roman" w:cs="Times New Roman"/>
          <w:bCs/>
          <w:iCs/>
          <w:sz w:val="24"/>
          <w:szCs w:val="24"/>
        </w:rPr>
        <w:t xml:space="preserve"> Wyłączenie to oznacza również brak obowiązku obliczania efektywnej stawki podatkowej.</w:t>
      </w:r>
      <w:r w:rsidRPr="00633318">
        <w:rPr>
          <w:rFonts w:ascii="Times New Roman" w:hAnsi="Times New Roman" w:cs="Times New Roman"/>
          <w:bCs/>
          <w:iCs/>
          <w:sz w:val="24"/>
          <w:szCs w:val="24"/>
        </w:rPr>
        <w:t xml:space="preserve"> Celem polityki leżącej u podstaw takiej regulacji jest uniknięcie komplikacji i obciążeń administracyjnych związanych z pełnym wyliczeniem efektywnej stawki podatkowej w przypadkach, gdy szacowana niewielka kwota podatku wyrównawczego nie wydaje się uzasadniać związanych z tym kosztów administracyjnych.</w:t>
      </w:r>
    </w:p>
    <w:p w14:paraId="5465DF80" w14:textId="34491D4F" w:rsidR="005C4B99" w:rsidRPr="00633318" w:rsidRDefault="005C4B99" w:rsidP="005C4B99">
      <w:pPr>
        <w:spacing w:after="120"/>
        <w:jc w:val="both"/>
        <w:rPr>
          <w:rFonts w:ascii="Times New Roman" w:hAnsi="Times New Roman" w:cs="Times New Roman"/>
          <w:bCs/>
          <w:iCs/>
          <w:sz w:val="24"/>
          <w:szCs w:val="24"/>
        </w:rPr>
      </w:pPr>
      <w:r w:rsidRPr="00633318">
        <w:rPr>
          <w:rFonts w:ascii="Times New Roman" w:hAnsi="Times New Roman" w:cs="Times New Roman"/>
          <w:bCs/>
          <w:iCs/>
          <w:sz w:val="24"/>
          <w:szCs w:val="24"/>
        </w:rPr>
        <w:t xml:space="preserve">Wyłączenie </w:t>
      </w:r>
      <w:r w:rsidRPr="00633318">
        <w:rPr>
          <w:rFonts w:ascii="Times New Roman" w:hAnsi="Times New Roman" w:cs="Times New Roman"/>
          <w:bCs/>
          <w:i/>
          <w:sz w:val="24"/>
          <w:szCs w:val="24"/>
        </w:rPr>
        <w:t>de minimis</w:t>
      </w:r>
      <w:r w:rsidRPr="00633318">
        <w:rPr>
          <w:rFonts w:ascii="Times New Roman" w:hAnsi="Times New Roman" w:cs="Times New Roman"/>
          <w:bCs/>
          <w:iCs/>
          <w:sz w:val="24"/>
          <w:szCs w:val="24"/>
        </w:rPr>
        <w:t xml:space="preserve"> stanowi wybór</w:t>
      </w:r>
      <w:r w:rsidR="00A828FE" w:rsidRPr="00633318">
        <w:rPr>
          <w:rFonts w:ascii="Times New Roman" w:hAnsi="Times New Roman" w:cs="Times New Roman"/>
          <w:bCs/>
          <w:iCs/>
          <w:sz w:val="24"/>
          <w:szCs w:val="24"/>
        </w:rPr>
        <w:t xml:space="preserve"> jurysdykcyjny</w:t>
      </w:r>
      <w:r w:rsidRPr="00633318">
        <w:rPr>
          <w:rFonts w:ascii="Times New Roman" w:hAnsi="Times New Roman" w:cs="Times New Roman"/>
          <w:bCs/>
          <w:iCs/>
          <w:sz w:val="24"/>
          <w:szCs w:val="24"/>
        </w:rPr>
        <w:t xml:space="preserve">. W przypadku dokonania takiego wyboru, </w:t>
      </w:r>
      <w:r w:rsidR="00654C9A" w:rsidRPr="00633318">
        <w:rPr>
          <w:rFonts w:ascii="Times New Roman" w:hAnsi="Times New Roman" w:cs="Times New Roman"/>
          <w:bCs/>
          <w:iCs/>
          <w:sz w:val="24"/>
          <w:szCs w:val="24"/>
        </w:rPr>
        <w:t>w świetle</w:t>
      </w:r>
      <w:r w:rsidRPr="00633318">
        <w:rPr>
          <w:rFonts w:ascii="Times New Roman" w:hAnsi="Times New Roman" w:cs="Times New Roman"/>
          <w:bCs/>
          <w:iCs/>
          <w:sz w:val="24"/>
          <w:szCs w:val="24"/>
        </w:rPr>
        <w:t xml:space="preserve"> </w:t>
      </w:r>
      <w:r w:rsidRPr="00633318">
        <w:rPr>
          <w:rFonts w:ascii="Times New Roman" w:hAnsi="Times New Roman" w:cs="Times New Roman"/>
          <w:b/>
          <w:iCs/>
          <w:sz w:val="24"/>
          <w:szCs w:val="24"/>
        </w:rPr>
        <w:t xml:space="preserve">art. </w:t>
      </w:r>
      <w:r w:rsidR="00654C9A" w:rsidRPr="00633318">
        <w:rPr>
          <w:rFonts w:ascii="Times New Roman" w:hAnsi="Times New Roman" w:cs="Times New Roman"/>
          <w:b/>
          <w:iCs/>
          <w:sz w:val="24"/>
          <w:szCs w:val="24"/>
        </w:rPr>
        <w:t>124</w:t>
      </w:r>
      <w:r w:rsidRPr="00633318">
        <w:rPr>
          <w:rFonts w:ascii="Times New Roman" w:hAnsi="Times New Roman" w:cs="Times New Roman"/>
          <w:b/>
          <w:iCs/>
          <w:sz w:val="24"/>
          <w:szCs w:val="24"/>
        </w:rPr>
        <w:t xml:space="preserve"> ust. 1</w:t>
      </w:r>
      <w:r w:rsidRPr="00633318">
        <w:rPr>
          <w:rFonts w:ascii="Times New Roman" w:hAnsi="Times New Roman" w:cs="Times New Roman"/>
          <w:bCs/>
          <w:iCs/>
          <w:sz w:val="24"/>
          <w:szCs w:val="24"/>
        </w:rPr>
        <w:t xml:space="preserve"> nie ustala się globalnego podatku wyrównawczego</w:t>
      </w:r>
      <w:r w:rsidR="00654C9A" w:rsidRPr="00633318">
        <w:rPr>
          <w:rFonts w:ascii="Times New Roman" w:hAnsi="Times New Roman" w:cs="Times New Roman"/>
          <w:bCs/>
          <w:iCs/>
          <w:sz w:val="24"/>
          <w:szCs w:val="24"/>
        </w:rPr>
        <w:t xml:space="preserve"> lub krajowego podatku wyrównawczego</w:t>
      </w:r>
      <w:r w:rsidRPr="00633318">
        <w:rPr>
          <w:rFonts w:ascii="Times New Roman" w:hAnsi="Times New Roman" w:cs="Times New Roman"/>
          <w:bCs/>
          <w:iCs/>
          <w:sz w:val="24"/>
          <w:szCs w:val="24"/>
        </w:rPr>
        <w:t xml:space="preserve"> </w:t>
      </w:r>
      <w:r w:rsidR="00654C9A" w:rsidRPr="00633318">
        <w:rPr>
          <w:rFonts w:ascii="Times New Roman" w:hAnsi="Times New Roman" w:cs="Times New Roman"/>
          <w:bCs/>
          <w:iCs/>
          <w:sz w:val="24"/>
          <w:szCs w:val="24"/>
        </w:rPr>
        <w:t>dla</w:t>
      </w:r>
      <w:r w:rsidRPr="00633318">
        <w:rPr>
          <w:rFonts w:ascii="Times New Roman" w:hAnsi="Times New Roman" w:cs="Times New Roman"/>
          <w:bCs/>
          <w:iCs/>
          <w:sz w:val="24"/>
          <w:szCs w:val="24"/>
        </w:rPr>
        <w:t xml:space="preserve"> jednostek składowych zlokalizowanych w </w:t>
      </w:r>
      <w:r w:rsidR="009B1C43" w:rsidRPr="00633318">
        <w:rPr>
          <w:rFonts w:ascii="Times New Roman" w:hAnsi="Times New Roman" w:cs="Times New Roman"/>
          <w:bCs/>
          <w:iCs/>
          <w:sz w:val="24"/>
          <w:szCs w:val="24"/>
        </w:rPr>
        <w:t xml:space="preserve">danej </w:t>
      </w:r>
      <w:r w:rsidR="009B1C43" w:rsidRPr="00633318">
        <w:rPr>
          <w:rFonts w:ascii="Times New Roman" w:hAnsi="Times New Roman" w:cs="Times New Roman"/>
          <w:sz w:val="24"/>
          <w:szCs w:val="24"/>
        </w:rPr>
        <w:t>jurysdykcji</w:t>
      </w:r>
      <w:r w:rsidRPr="00633318">
        <w:rPr>
          <w:rFonts w:ascii="Times New Roman" w:hAnsi="Times New Roman" w:cs="Times New Roman"/>
          <w:bCs/>
          <w:iCs/>
          <w:sz w:val="24"/>
          <w:szCs w:val="24"/>
        </w:rPr>
        <w:t>, za rok podatkowy, jeżeli za ten rok łącznie spełnione są określone warunki, tj.:</w:t>
      </w:r>
    </w:p>
    <w:p w14:paraId="633C239D" w14:textId="699622FC" w:rsidR="005C4B99" w:rsidRPr="00633318" w:rsidRDefault="005C4B99" w:rsidP="002C7467">
      <w:pPr>
        <w:pStyle w:val="Akapitzlist"/>
        <w:numPr>
          <w:ilvl w:val="0"/>
          <w:numId w:val="63"/>
        </w:numPr>
        <w:spacing w:after="120"/>
        <w:jc w:val="both"/>
        <w:rPr>
          <w:rFonts w:ascii="Times New Roman" w:hAnsi="Times New Roman" w:cs="Times New Roman"/>
          <w:bCs/>
          <w:iCs/>
          <w:sz w:val="24"/>
          <w:szCs w:val="24"/>
        </w:rPr>
      </w:pPr>
      <w:r w:rsidRPr="00633318">
        <w:rPr>
          <w:rFonts w:ascii="Times New Roman" w:hAnsi="Times New Roman" w:cs="Times New Roman"/>
          <w:b/>
          <w:iCs/>
          <w:sz w:val="24"/>
          <w:szCs w:val="24"/>
        </w:rPr>
        <w:t xml:space="preserve">średni </w:t>
      </w:r>
      <w:r w:rsidR="00654C9A" w:rsidRPr="00633318">
        <w:rPr>
          <w:rFonts w:ascii="Times New Roman" w:hAnsi="Times New Roman" w:cs="Times New Roman"/>
          <w:b/>
          <w:iCs/>
          <w:sz w:val="24"/>
          <w:szCs w:val="24"/>
        </w:rPr>
        <w:t xml:space="preserve">trzyletni </w:t>
      </w:r>
      <w:r w:rsidRPr="00633318">
        <w:rPr>
          <w:rFonts w:ascii="Times New Roman" w:hAnsi="Times New Roman" w:cs="Times New Roman"/>
          <w:b/>
          <w:iCs/>
          <w:sz w:val="24"/>
          <w:szCs w:val="24"/>
        </w:rPr>
        <w:t xml:space="preserve">kwalifikowany przychód </w:t>
      </w:r>
      <w:r w:rsidRPr="00633318">
        <w:rPr>
          <w:rFonts w:ascii="Times New Roman" w:hAnsi="Times New Roman" w:cs="Times New Roman"/>
          <w:bCs/>
          <w:iCs/>
          <w:sz w:val="24"/>
          <w:szCs w:val="24"/>
        </w:rPr>
        <w:t xml:space="preserve">wszystkich jednostek składowych </w:t>
      </w:r>
      <w:r w:rsidRPr="00633318">
        <w:rPr>
          <w:rFonts w:ascii="Times New Roman" w:hAnsi="Times New Roman" w:cs="Times New Roman"/>
          <w:iCs/>
          <w:sz w:val="24"/>
          <w:szCs w:val="24"/>
        </w:rPr>
        <w:t xml:space="preserve">zlokalizowanych </w:t>
      </w:r>
      <w:r w:rsidRPr="00633318">
        <w:rPr>
          <w:rFonts w:ascii="Times New Roman" w:hAnsi="Times New Roman" w:cs="Times New Roman"/>
          <w:bCs/>
          <w:iCs/>
          <w:sz w:val="24"/>
          <w:szCs w:val="24"/>
        </w:rPr>
        <w:t xml:space="preserve"> w </w:t>
      </w:r>
      <w:r w:rsidR="009B1C43" w:rsidRPr="00633318">
        <w:rPr>
          <w:rFonts w:ascii="Times New Roman" w:hAnsi="Times New Roman" w:cs="Times New Roman"/>
          <w:bCs/>
          <w:iCs/>
          <w:sz w:val="24"/>
          <w:szCs w:val="24"/>
        </w:rPr>
        <w:t xml:space="preserve">tej </w:t>
      </w:r>
      <w:r w:rsidR="009B1C43" w:rsidRPr="00633318">
        <w:rPr>
          <w:rFonts w:ascii="Times New Roman" w:hAnsi="Times New Roman" w:cs="Times New Roman"/>
          <w:sz w:val="24"/>
          <w:szCs w:val="24"/>
        </w:rPr>
        <w:t xml:space="preserve">jurysdykcji </w:t>
      </w:r>
      <w:r w:rsidRPr="00633318">
        <w:rPr>
          <w:rFonts w:ascii="Times New Roman" w:hAnsi="Times New Roman" w:cs="Times New Roman"/>
          <w:bCs/>
          <w:iCs/>
          <w:sz w:val="24"/>
          <w:szCs w:val="24"/>
        </w:rPr>
        <w:t xml:space="preserve">jest </w:t>
      </w:r>
      <w:r w:rsidRPr="00633318">
        <w:rPr>
          <w:rFonts w:ascii="Times New Roman" w:hAnsi="Times New Roman" w:cs="Times New Roman"/>
          <w:b/>
          <w:iCs/>
          <w:sz w:val="24"/>
          <w:szCs w:val="24"/>
        </w:rPr>
        <w:t>mniejszy niż 10 mln euro</w:t>
      </w:r>
      <w:r w:rsidRPr="00633318">
        <w:rPr>
          <w:rFonts w:ascii="Times New Roman" w:hAnsi="Times New Roman" w:cs="Times New Roman"/>
          <w:bCs/>
          <w:iCs/>
          <w:sz w:val="24"/>
          <w:szCs w:val="24"/>
        </w:rPr>
        <w:t>;</w:t>
      </w:r>
    </w:p>
    <w:p w14:paraId="152F3061" w14:textId="1DCCCB5C" w:rsidR="005C4B99" w:rsidRPr="00633318" w:rsidRDefault="005C4B99" w:rsidP="002C7467">
      <w:pPr>
        <w:pStyle w:val="Akapitzlist"/>
        <w:numPr>
          <w:ilvl w:val="0"/>
          <w:numId w:val="63"/>
        </w:numPr>
        <w:spacing w:after="120"/>
        <w:jc w:val="both"/>
        <w:rPr>
          <w:rFonts w:ascii="Times New Roman" w:hAnsi="Times New Roman" w:cs="Times New Roman"/>
          <w:bCs/>
          <w:iCs/>
          <w:sz w:val="24"/>
          <w:szCs w:val="24"/>
        </w:rPr>
      </w:pPr>
      <w:r w:rsidRPr="00633318">
        <w:rPr>
          <w:rFonts w:ascii="Times New Roman" w:hAnsi="Times New Roman" w:cs="Times New Roman"/>
          <w:b/>
          <w:iCs/>
          <w:sz w:val="24"/>
          <w:szCs w:val="24"/>
        </w:rPr>
        <w:t>średni</w:t>
      </w:r>
      <w:r w:rsidR="00654C9A" w:rsidRPr="00633318">
        <w:rPr>
          <w:rFonts w:ascii="Times New Roman" w:hAnsi="Times New Roman" w:cs="Times New Roman"/>
          <w:b/>
          <w:iCs/>
          <w:sz w:val="24"/>
          <w:szCs w:val="24"/>
        </w:rPr>
        <w:t xml:space="preserve"> trzyletni</w:t>
      </w:r>
      <w:r w:rsidRPr="00633318">
        <w:rPr>
          <w:rFonts w:ascii="Times New Roman" w:hAnsi="Times New Roman" w:cs="Times New Roman"/>
          <w:b/>
          <w:iCs/>
          <w:sz w:val="24"/>
          <w:szCs w:val="24"/>
        </w:rPr>
        <w:t xml:space="preserve"> jurysdykcyjny kwalifikowany dochód</w:t>
      </w:r>
      <w:r w:rsidRPr="00633318">
        <w:rPr>
          <w:rFonts w:ascii="Times New Roman" w:hAnsi="Times New Roman" w:cs="Times New Roman"/>
          <w:bCs/>
          <w:iCs/>
          <w:sz w:val="24"/>
          <w:szCs w:val="24"/>
        </w:rPr>
        <w:t xml:space="preserve"> wszystkich jednostek składowych </w:t>
      </w:r>
      <w:r w:rsidRPr="00633318">
        <w:rPr>
          <w:rFonts w:ascii="Times New Roman" w:hAnsi="Times New Roman" w:cs="Times New Roman"/>
          <w:iCs/>
          <w:sz w:val="24"/>
          <w:szCs w:val="24"/>
        </w:rPr>
        <w:t xml:space="preserve">zlokalizowanych </w:t>
      </w:r>
      <w:r w:rsidRPr="00633318">
        <w:rPr>
          <w:rFonts w:ascii="Times New Roman" w:hAnsi="Times New Roman" w:cs="Times New Roman"/>
          <w:bCs/>
          <w:iCs/>
          <w:sz w:val="24"/>
          <w:szCs w:val="24"/>
        </w:rPr>
        <w:t xml:space="preserve">w </w:t>
      </w:r>
      <w:r w:rsidR="009B1C43" w:rsidRPr="00633318">
        <w:rPr>
          <w:rFonts w:ascii="Times New Roman" w:hAnsi="Times New Roman" w:cs="Times New Roman"/>
          <w:bCs/>
          <w:iCs/>
          <w:sz w:val="24"/>
          <w:szCs w:val="24"/>
        </w:rPr>
        <w:t xml:space="preserve">tej </w:t>
      </w:r>
      <w:r w:rsidR="009B1C43" w:rsidRPr="00633318">
        <w:rPr>
          <w:rFonts w:ascii="Times New Roman" w:hAnsi="Times New Roman" w:cs="Times New Roman"/>
          <w:sz w:val="24"/>
          <w:szCs w:val="24"/>
        </w:rPr>
        <w:t xml:space="preserve">jurysdykcji </w:t>
      </w:r>
      <w:r w:rsidRPr="00633318">
        <w:rPr>
          <w:rFonts w:ascii="Times New Roman" w:hAnsi="Times New Roman" w:cs="Times New Roman"/>
          <w:bCs/>
          <w:iCs/>
          <w:sz w:val="24"/>
          <w:szCs w:val="24"/>
        </w:rPr>
        <w:t xml:space="preserve">wynosi </w:t>
      </w:r>
      <w:r w:rsidRPr="00633318">
        <w:rPr>
          <w:rFonts w:ascii="Times New Roman" w:hAnsi="Times New Roman" w:cs="Times New Roman"/>
          <w:b/>
          <w:iCs/>
          <w:sz w:val="24"/>
          <w:szCs w:val="24"/>
        </w:rPr>
        <w:t>mniej niż 1 mln euro</w:t>
      </w:r>
      <w:r w:rsidRPr="00633318">
        <w:rPr>
          <w:rFonts w:ascii="Times New Roman" w:hAnsi="Times New Roman" w:cs="Times New Roman"/>
          <w:bCs/>
          <w:iCs/>
          <w:sz w:val="24"/>
          <w:szCs w:val="24"/>
        </w:rPr>
        <w:t xml:space="preserve"> albo została osiągnięta średnia jurysdykcyjna kwalifikowana strata wszystkich takich jednostek.</w:t>
      </w:r>
    </w:p>
    <w:p w14:paraId="4E5FB3C2" w14:textId="73F62B26" w:rsidR="005C4B99" w:rsidRPr="00633318" w:rsidRDefault="005C4B99" w:rsidP="005C4B99">
      <w:pPr>
        <w:spacing w:after="120"/>
        <w:jc w:val="both"/>
        <w:rPr>
          <w:rFonts w:ascii="Times New Roman" w:hAnsi="Times New Roman" w:cs="Times New Roman"/>
          <w:bCs/>
          <w:iCs/>
          <w:sz w:val="24"/>
          <w:szCs w:val="24"/>
        </w:rPr>
      </w:pPr>
      <w:r w:rsidRPr="00633318">
        <w:rPr>
          <w:rFonts w:ascii="Times New Roman" w:hAnsi="Times New Roman" w:cs="Times New Roman"/>
          <w:b/>
          <w:iCs/>
          <w:sz w:val="24"/>
          <w:szCs w:val="24"/>
        </w:rPr>
        <w:t>Kwalifikowany przychód</w:t>
      </w:r>
      <w:r w:rsidRPr="00633318">
        <w:rPr>
          <w:rFonts w:ascii="Times New Roman" w:hAnsi="Times New Roman" w:cs="Times New Roman"/>
          <w:bCs/>
          <w:iCs/>
          <w:sz w:val="24"/>
          <w:szCs w:val="24"/>
        </w:rPr>
        <w:t xml:space="preserve"> jednostek składowych jest</w:t>
      </w:r>
      <w:r w:rsidR="00654C9A" w:rsidRPr="00633318">
        <w:rPr>
          <w:rFonts w:ascii="Times New Roman" w:hAnsi="Times New Roman" w:cs="Times New Roman"/>
          <w:bCs/>
          <w:iCs/>
          <w:sz w:val="24"/>
          <w:szCs w:val="24"/>
        </w:rPr>
        <w:t xml:space="preserve">, zgodnie z ust. </w:t>
      </w:r>
      <w:r w:rsidR="0025387A" w:rsidRPr="00633318">
        <w:rPr>
          <w:rFonts w:ascii="Times New Roman" w:hAnsi="Times New Roman" w:cs="Times New Roman"/>
          <w:bCs/>
          <w:iCs/>
          <w:sz w:val="24"/>
          <w:szCs w:val="24"/>
        </w:rPr>
        <w:t>6</w:t>
      </w:r>
      <w:r w:rsidR="00654C9A" w:rsidRPr="00633318">
        <w:rPr>
          <w:rFonts w:ascii="Times New Roman" w:hAnsi="Times New Roman" w:cs="Times New Roman"/>
          <w:bCs/>
          <w:iCs/>
          <w:sz w:val="24"/>
          <w:szCs w:val="24"/>
        </w:rPr>
        <w:t>,</w:t>
      </w:r>
      <w:r w:rsidRPr="00633318">
        <w:rPr>
          <w:rFonts w:ascii="Times New Roman" w:hAnsi="Times New Roman" w:cs="Times New Roman"/>
          <w:bCs/>
          <w:iCs/>
          <w:sz w:val="24"/>
          <w:szCs w:val="24"/>
        </w:rPr>
        <w:t xml:space="preserve"> sumą przychodów wszystkich jednostek składowych </w:t>
      </w:r>
      <w:r w:rsidRPr="00633318">
        <w:rPr>
          <w:rFonts w:ascii="Times New Roman" w:hAnsi="Times New Roman" w:cs="Times New Roman"/>
          <w:iCs/>
          <w:sz w:val="24"/>
          <w:szCs w:val="24"/>
        </w:rPr>
        <w:t>zlokalizowanych</w:t>
      </w:r>
      <w:r w:rsidRPr="00633318">
        <w:rPr>
          <w:rFonts w:ascii="Times New Roman" w:hAnsi="Times New Roman" w:cs="Times New Roman"/>
          <w:bCs/>
          <w:iCs/>
          <w:sz w:val="24"/>
          <w:szCs w:val="24"/>
        </w:rPr>
        <w:t xml:space="preserve"> w </w:t>
      </w:r>
      <w:r w:rsidR="009B1C43" w:rsidRPr="00633318">
        <w:rPr>
          <w:rFonts w:ascii="Times New Roman" w:hAnsi="Times New Roman" w:cs="Times New Roman"/>
          <w:bCs/>
          <w:iCs/>
          <w:sz w:val="24"/>
          <w:szCs w:val="24"/>
        </w:rPr>
        <w:t xml:space="preserve">danej </w:t>
      </w:r>
      <w:r w:rsidR="009B1C43" w:rsidRPr="00633318">
        <w:rPr>
          <w:rFonts w:ascii="Times New Roman" w:hAnsi="Times New Roman" w:cs="Times New Roman"/>
          <w:sz w:val="24"/>
          <w:szCs w:val="24"/>
        </w:rPr>
        <w:t>jurysdykcji</w:t>
      </w:r>
      <w:r w:rsidRPr="00633318">
        <w:rPr>
          <w:rFonts w:ascii="Times New Roman" w:hAnsi="Times New Roman" w:cs="Times New Roman"/>
          <w:bCs/>
          <w:iCs/>
          <w:sz w:val="24"/>
          <w:szCs w:val="24"/>
        </w:rPr>
        <w:t xml:space="preserve">, pomniejszoną lub powiększoną o wszelkie korekty dokonane zgodnie z </w:t>
      </w:r>
      <w:r w:rsidR="00654C9A" w:rsidRPr="00633318">
        <w:rPr>
          <w:rFonts w:ascii="Times New Roman" w:hAnsi="Times New Roman" w:cs="Times New Roman"/>
          <w:bCs/>
          <w:iCs/>
          <w:sz w:val="24"/>
          <w:szCs w:val="24"/>
        </w:rPr>
        <w:t>przepisami</w:t>
      </w:r>
      <w:r w:rsidRPr="00633318">
        <w:rPr>
          <w:rFonts w:ascii="Times New Roman" w:hAnsi="Times New Roman" w:cs="Times New Roman"/>
          <w:bCs/>
          <w:iCs/>
          <w:sz w:val="24"/>
          <w:szCs w:val="24"/>
        </w:rPr>
        <w:t xml:space="preserve"> działu V. Tym samym, korekty księgowego zysku (straty) netto specyficzne dla Systemu GloBE stosuje się w tym przypadku w odniesieniu do przychodu.</w:t>
      </w:r>
    </w:p>
    <w:p w14:paraId="5B4CEF00" w14:textId="5FD3314B" w:rsidR="00654C9A" w:rsidRPr="00633318" w:rsidRDefault="005C4B99" w:rsidP="005C4B99">
      <w:pPr>
        <w:spacing w:after="120"/>
        <w:jc w:val="both"/>
        <w:rPr>
          <w:rFonts w:ascii="Times New Roman" w:hAnsi="Times New Roman" w:cs="Times New Roman"/>
          <w:bCs/>
          <w:iCs/>
          <w:sz w:val="24"/>
          <w:szCs w:val="24"/>
        </w:rPr>
      </w:pPr>
      <w:r w:rsidRPr="00633318">
        <w:rPr>
          <w:rFonts w:ascii="Times New Roman" w:hAnsi="Times New Roman" w:cs="Times New Roman"/>
          <w:bCs/>
          <w:iCs/>
          <w:sz w:val="24"/>
          <w:szCs w:val="24"/>
        </w:rPr>
        <w:t xml:space="preserve">Natomiast </w:t>
      </w:r>
      <w:r w:rsidRPr="00633318">
        <w:rPr>
          <w:rFonts w:ascii="Times New Roman" w:hAnsi="Times New Roman" w:cs="Times New Roman"/>
          <w:b/>
          <w:iCs/>
          <w:sz w:val="24"/>
          <w:szCs w:val="24"/>
        </w:rPr>
        <w:t xml:space="preserve">średni </w:t>
      </w:r>
      <w:r w:rsidR="00654C9A" w:rsidRPr="00633318">
        <w:rPr>
          <w:rFonts w:ascii="Times New Roman" w:hAnsi="Times New Roman" w:cs="Times New Roman"/>
          <w:b/>
          <w:iCs/>
          <w:sz w:val="24"/>
          <w:szCs w:val="24"/>
        </w:rPr>
        <w:t xml:space="preserve">trzyletni </w:t>
      </w:r>
      <w:r w:rsidRPr="00633318">
        <w:rPr>
          <w:rFonts w:ascii="Times New Roman" w:hAnsi="Times New Roman" w:cs="Times New Roman"/>
          <w:b/>
          <w:iCs/>
          <w:sz w:val="24"/>
          <w:szCs w:val="24"/>
        </w:rPr>
        <w:t>kwalifikowany przychód</w:t>
      </w:r>
      <w:r w:rsidRPr="00633318">
        <w:rPr>
          <w:rFonts w:ascii="Times New Roman" w:hAnsi="Times New Roman" w:cs="Times New Roman"/>
          <w:bCs/>
          <w:iCs/>
          <w:sz w:val="24"/>
          <w:szCs w:val="24"/>
        </w:rPr>
        <w:t xml:space="preserve"> oznacza</w:t>
      </w:r>
      <w:r w:rsidR="0025387A" w:rsidRPr="00633318">
        <w:rPr>
          <w:rFonts w:ascii="Times New Roman" w:hAnsi="Times New Roman" w:cs="Times New Roman"/>
          <w:bCs/>
          <w:iCs/>
          <w:sz w:val="24"/>
          <w:szCs w:val="24"/>
        </w:rPr>
        <w:t>, zgodnie z ust. 2,</w:t>
      </w:r>
      <w:r w:rsidRPr="00633318">
        <w:rPr>
          <w:rFonts w:ascii="Times New Roman" w:hAnsi="Times New Roman" w:cs="Times New Roman"/>
          <w:bCs/>
          <w:iCs/>
          <w:sz w:val="24"/>
          <w:szCs w:val="24"/>
        </w:rPr>
        <w:t xml:space="preserve"> średnią arytmetyczną kwalifikowanego przychodu osiągniętego za rok podatkowy i dwa poprzednie lata podatkowe przez wszystkie jednostki składowe </w:t>
      </w:r>
      <w:r w:rsidRPr="00633318">
        <w:rPr>
          <w:rFonts w:ascii="Times New Roman" w:hAnsi="Times New Roman" w:cs="Times New Roman"/>
          <w:iCs/>
          <w:sz w:val="24"/>
          <w:szCs w:val="24"/>
        </w:rPr>
        <w:t xml:space="preserve">zlokalizowane </w:t>
      </w:r>
      <w:r w:rsidRPr="00633318">
        <w:rPr>
          <w:rFonts w:ascii="Times New Roman" w:hAnsi="Times New Roman" w:cs="Times New Roman"/>
          <w:bCs/>
          <w:iCs/>
          <w:sz w:val="24"/>
          <w:szCs w:val="24"/>
        </w:rPr>
        <w:t xml:space="preserve">w </w:t>
      </w:r>
      <w:r w:rsidR="009B1C43" w:rsidRPr="00633318">
        <w:rPr>
          <w:rFonts w:ascii="Times New Roman" w:hAnsi="Times New Roman" w:cs="Times New Roman"/>
          <w:bCs/>
          <w:iCs/>
          <w:sz w:val="24"/>
          <w:szCs w:val="24"/>
        </w:rPr>
        <w:t xml:space="preserve">danej </w:t>
      </w:r>
      <w:r w:rsidR="009B1C43" w:rsidRPr="00633318">
        <w:rPr>
          <w:rFonts w:ascii="Times New Roman" w:hAnsi="Times New Roman" w:cs="Times New Roman"/>
          <w:sz w:val="24"/>
          <w:szCs w:val="24"/>
        </w:rPr>
        <w:t>jurysdykcji</w:t>
      </w:r>
      <w:r w:rsidRPr="00633318">
        <w:rPr>
          <w:rFonts w:ascii="Times New Roman" w:hAnsi="Times New Roman" w:cs="Times New Roman"/>
          <w:bCs/>
          <w:iCs/>
          <w:sz w:val="24"/>
          <w:szCs w:val="24"/>
        </w:rPr>
        <w:t xml:space="preserve">. </w:t>
      </w:r>
    </w:p>
    <w:p w14:paraId="43E25634" w14:textId="3F32C580" w:rsidR="00654C9A" w:rsidRPr="00633318" w:rsidRDefault="00654C9A" w:rsidP="005C4B99">
      <w:pPr>
        <w:spacing w:after="120"/>
        <w:jc w:val="both"/>
        <w:rPr>
          <w:rFonts w:ascii="Times New Roman" w:hAnsi="Times New Roman" w:cs="Times New Roman"/>
          <w:bCs/>
          <w:iCs/>
          <w:sz w:val="24"/>
          <w:szCs w:val="24"/>
        </w:rPr>
      </w:pPr>
      <w:r w:rsidRPr="00633318">
        <w:rPr>
          <w:rFonts w:ascii="Times New Roman" w:hAnsi="Times New Roman" w:cs="Times New Roman"/>
          <w:b/>
          <w:iCs/>
          <w:sz w:val="24"/>
          <w:szCs w:val="24"/>
        </w:rPr>
        <w:t>Jurysdykcyjny kwalifikowany dochód</w:t>
      </w:r>
      <w:r w:rsidRPr="00633318">
        <w:rPr>
          <w:rFonts w:ascii="Times New Roman" w:hAnsi="Times New Roman" w:cs="Times New Roman"/>
          <w:bCs/>
          <w:iCs/>
          <w:sz w:val="24"/>
          <w:szCs w:val="24"/>
        </w:rPr>
        <w:t xml:space="preserve"> ma znaczenie przypisane mu w przepisach o globalnym podatku wyrównawczym</w:t>
      </w:r>
      <w:r w:rsidR="003A22DE" w:rsidRPr="00633318">
        <w:rPr>
          <w:rFonts w:ascii="Times New Roman" w:hAnsi="Times New Roman" w:cs="Times New Roman"/>
          <w:bCs/>
          <w:iCs/>
          <w:sz w:val="24"/>
          <w:szCs w:val="24"/>
        </w:rPr>
        <w:t xml:space="preserve"> (co do zasady j</w:t>
      </w:r>
      <w:r w:rsidR="003A22DE" w:rsidRPr="00633318">
        <w:rPr>
          <w:rFonts w:ascii="Times New Roman" w:hAnsi="Times New Roman" w:cs="Times New Roman"/>
          <w:iCs/>
          <w:sz w:val="24"/>
          <w:szCs w:val="24"/>
        </w:rPr>
        <w:t xml:space="preserve">est to kwota otrzymana przez zsumowanie kwalifikowanego dochodu i odjęcie kwalifikowanych strat wszystkich jednostek w </w:t>
      </w:r>
      <w:r w:rsidR="009B1C43" w:rsidRPr="00633318">
        <w:rPr>
          <w:rFonts w:ascii="Times New Roman" w:hAnsi="Times New Roman" w:cs="Times New Roman"/>
          <w:iCs/>
          <w:sz w:val="24"/>
          <w:szCs w:val="24"/>
        </w:rPr>
        <w:t xml:space="preserve">danej </w:t>
      </w:r>
      <w:r w:rsidR="009B1C43" w:rsidRPr="00633318">
        <w:rPr>
          <w:rFonts w:ascii="Times New Roman" w:hAnsi="Times New Roman" w:cs="Times New Roman"/>
          <w:sz w:val="24"/>
          <w:szCs w:val="24"/>
        </w:rPr>
        <w:t xml:space="preserve">jurysdykcji </w:t>
      </w:r>
      <w:r w:rsidR="003A22DE" w:rsidRPr="00633318">
        <w:rPr>
          <w:rFonts w:ascii="Times New Roman" w:hAnsi="Times New Roman" w:cs="Times New Roman"/>
          <w:iCs/>
          <w:sz w:val="24"/>
          <w:szCs w:val="24"/>
        </w:rPr>
        <w:t>za rok podatkowy).</w:t>
      </w:r>
    </w:p>
    <w:p w14:paraId="487FEDFF" w14:textId="173751DB" w:rsidR="005C4B99" w:rsidRPr="00633318" w:rsidRDefault="003A22DE" w:rsidP="005C4B99">
      <w:pPr>
        <w:spacing w:after="120"/>
        <w:jc w:val="both"/>
        <w:rPr>
          <w:rFonts w:ascii="Times New Roman" w:hAnsi="Times New Roman" w:cs="Times New Roman"/>
          <w:bCs/>
          <w:iCs/>
          <w:sz w:val="24"/>
          <w:szCs w:val="24"/>
        </w:rPr>
      </w:pPr>
      <w:r w:rsidRPr="00633318">
        <w:rPr>
          <w:rFonts w:ascii="Times New Roman" w:hAnsi="Times New Roman" w:cs="Times New Roman"/>
          <w:bCs/>
          <w:iCs/>
          <w:sz w:val="24"/>
          <w:szCs w:val="24"/>
        </w:rPr>
        <w:t>D</w:t>
      </w:r>
      <w:r w:rsidR="005C4B99" w:rsidRPr="00633318">
        <w:rPr>
          <w:rFonts w:ascii="Times New Roman" w:hAnsi="Times New Roman" w:cs="Times New Roman"/>
          <w:bCs/>
          <w:iCs/>
          <w:sz w:val="24"/>
          <w:szCs w:val="24"/>
        </w:rPr>
        <w:t xml:space="preserve">la </w:t>
      </w:r>
      <w:r w:rsidR="005C4B99" w:rsidRPr="00633318">
        <w:rPr>
          <w:rFonts w:ascii="Times New Roman" w:hAnsi="Times New Roman" w:cs="Times New Roman"/>
          <w:b/>
          <w:iCs/>
          <w:sz w:val="24"/>
          <w:szCs w:val="24"/>
        </w:rPr>
        <w:t>średniego</w:t>
      </w:r>
      <w:r w:rsidRPr="00633318">
        <w:rPr>
          <w:rFonts w:ascii="Times New Roman" w:hAnsi="Times New Roman" w:cs="Times New Roman"/>
          <w:b/>
          <w:iCs/>
          <w:sz w:val="24"/>
          <w:szCs w:val="24"/>
        </w:rPr>
        <w:t xml:space="preserve"> trzyletniego</w:t>
      </w:r>
      <w:r w:rsidR="005C4B99" w:rsidRPr="00633318">
        <w:rPr>
          <w:rFonts w:ascii="Times New Roman" w:hAnsi="Times New Roman" w:cs="Times New Roman"/>
          <w:b/>
          <w:iCs/>
          <w:sz w:val="24"/>
          <w:szCs w:val="24"/>
        </w:rPr>
        <w:t xml:space="preserve"> jurysdykcyjnego kwalifikowanego dochodu</w:t>
      </w:r>
      <w:r w:rsidR="005C4B99" w:rsidRPr="00633318">
        <w:rPr>
          <w:rFonts w:ascii="Times New Roman" w:hAnsi="Times New Roman" w:cs="Times New Roman"/>
          <w:bCs/>
          <w:iCs/>
          <w:sz w:val="24"/>
          <w:szCs w:val="24"/>
        </w:rPr>
        <w:t xml:space="preserve"> (straty)</w:t>
      </w:r>
      <w:r w:rsidRPr="00633318">
        <w:rPr>
          <w:rFonts w:ascii="Times New Roman" w:hAnsi="Times New Roman" w:cs="Times New Roman"/>
          <w:bCs/>
          <w:iCs/>
          <w:sz w:val="24"/>
          <w:szCs w:val="24"/>
        </w:rPr>
        <w:t xml:space="preserve"> obowiązują takie same zasady obliczania średniej – jest to średnia arytmetyczna za rok podatkowy i dwa poprzednie lata podatkowe. Niemniej, w tym zakresie ust. 3 precyzuje, jak liczyć średnią, jeżeli np. w dwóch latach trzyletniego okresu wystąpił jurysdykcyjny kwalifikowany dochód, a w jednym roku wystąpiła jurysdykcyjna kwalifikowana strata. W takim przypadku, na potrzeby obliczenia średniej sumę dochodów pomniejsza się o sumę strat.</w:t>
      </w:r>
    </w:p>
    <w:p w14:paraId="6EDA2547" w14:textId="19CF84F6" w:rsidR="005C4B99" w:rsidRPr="00633318" w:rsidRDefault="005C4B99" w:rsidP="005C4B99">
      <w:pPr>
        <w:spacing w:after="120"/>
        <w:jc w:val="both"/>
        <w:rPr>
          <w:rFonts w:ascii="Times New Roman" w:hAnsi="Times New Roman" w:cs="Times New Roman"/>
          <w:bCs/>
          <w:iCs/>
          <w:sz w:val="24"/>
          <w:szCs w:val="24"/>
        </w:rPr>
      </w:pPr>
      <w:r w:rsidRPr="00633318">
        <w:rPr>
          <w:rFonts w:ascii="Times New Roman" w:hAnsi="Times New Roman" w:cs="Times New Roman"/>
          <w:bCs/>
          <w:iCs/>
          <w:sz w:val="24"/>
          <w:szCs w:val="24"/>
        </w:rPr>
        <w:t xml:space="preserve">Aby uniknąć zniekształceń w obliczaniu średniej, ust. </w:t>
      </w:r>
      <w:r w:rsidR="003A22DE" w:rsidRPr="00633318">
        <w:rPr>
          <w:rFonts w:ascii="Times New Roman" w:hAnsi="Times New Roman" w:cs="Times New Roman"/>
          <w:bCs/>
          <w:iCs/>
          <w:sz w:val="24"/>
          <w:szCs w:val="24"/>
        </w:rPr>
        <w:t>4</w:t>
      </w:r>
      <w:r w:rsidRPr="00633318">
        <w:rPr>
          <w:rFonts w:ascii="Times New Roman" w:hAnsi="Times New Roman" w:cs="Times New Roman"/>
          <w:bCs/>
          <w:iCs/>
          <w:sz w:val="24"/>
          <w:szCs w:val="24"/>
        </w:rPr>
        <w:t xml:space="preserve"> przewiduje, że niektóre lata podatkowe są wyłączone z obliczania wskazanych średnich, jeżeli w danym roku podatkowym w </w:t>
      </w:r>
      <w:r w:rsidR="009B1C43" w:rsidRPr="00633318">
        <w:rPr>
          <w:rFonts w:ascii="Times New Roman" w:hAnsi="Times New Roman" w:cs="Times New Roman"/>
          <w:sz w:val="24"/>
          <w:szCs w:val="24"/>
        </w:rPr>
        <w:t xml:space="preserve">jurysdykcji </w:t>
      </w:r>
      <w:r w:rsidR="003A22DE" w:rsidRPr="00633318">
        <w:rPr>
          <w:rFonts w:ascii="Times New Roman" w:hAnsi="Times New Roman" w:cs="Times New Roman"/>
          <w:bCs/>
          <w:iCs/>
          <w:sz w:val="24"/>
          <w:szCs w:val="24"/>
        </w:rPr>
        <w:t>żadna jednostka składowa nie osiągnęła kwalifikowanego przychodu ani kwalifikowanego dochodu (straty).</w:t>
      </w:r>
    </w:p>
    <w:p w14:paraId="41D5063C" w14:textId="2818E13F" w:rsidR="005C4B99" w:rsidRPr="00633318" w:rsidRDefault="005C4B99" w:rsidP="005C4B99">
      <w:pPr>
        <w:spacing w:after="120"/>
        <w:jc w:val="both"/>
        <w:rPr>
          <w:rFonts w:ascii="Times New Roman" w:hAnsi="Times New Roman" w:cs="Times New Roman"/>
          <w:bCs/>
          <w:iCs/>
          <w:sz w:val="24"/>
          <w:szCs w:val="24"/>
        </w:rPr>
      </w:pPr>
      <w:r w:rsidRPr="00633318">
        <w:rPr>
          <w:rFonts w:ascii="Times New Roman" w:hAnsi="Times New Roman" w:cs="Times New Roman"/>
          <w:bCs/>
          <w:iCs/>
          <w:sz w:val="24"/>
          <w:szCs w:val="24"/>
        </w:rPr>
        <w:t xml:space="preserve">Ponadto, </w:t>
      </w:r>
      <w:r w:rsidR="003A22DE" w:rsidRPr="00633318">
        <w:rPr>
          <w:rFonts w:ascii="Times New Roman" w:hAnsi="Times New Roman" w:cs="Times New Roman"/>
          <w:bCs/>
          <w:iCs/>
          <w:sz w:val="24"/>
          <w:szCs w:val="24"/>
        </w:rPr>
        <w:t xml:space="preserve">zgodnie z ust. 5, </w:t>
      </w:r>
      <w:r w:rsidRPr="00633318">
        <w:rPr>
          <w:rFonts w:ascii="Times New Roman" w:hAnsi="Times New Roman" w:cs="Times New Roman"/>
          <w:bCs/>
          <w:iCs/>
          <w:sz w:val="24"/>
          <w:szCs w:val="24"/>
        </w:rPr>
        <w:t xml:space="preserve">w przypadku roku podatkowego innego niż 12 miesięcy, </w:t>
      </w:r>
      <w:r w:rsidR="003A22DE" w:rsidRPr="00633318">
        <w:rPr>
          <w:rFonts w:ascii="Times New Roman" w:hAnsi="Times New Roman" w:cs="Times New Roman"/>
          <w:bCs/>
          <w:iCs/>
          <w:sz w:val="24"/>
          <w:szCs w:val="24"/>
        </w:rPr>
        <w:t>progi kwotowe dostosowuje się proporcjonalnie do liczby miesięcy.</w:t>
      </w:r>
      <w:r w:rsidRPr="00633318">
        <w:rPr>
          <w:rFonts w:ascii="Times New Roman" w:hAnsi="Times New Roman" w:cs="Times New Roman"/>
          <w:bCs/>
          <w:iCs/>
          <w:sz w:val="24"/>
          <w:szCs w:val="24"/>
        </w:rPr>
        <w:t xml:space="preserve"> Mianowicie, w przypadku, gdy którykolwiek rok podatkowy objęty wyliczeniem średniej obejmuje okres inny niż 12 miesięcy, kwoty odpowiednich progów (10 mln euro i 1 mln euro) przelicza się wysokości 1/12 za każdy rozpoczęty miesiąc roku podatkowego. </w:t>
      </w:r>
    </w:p>
    <w:p w14:paraId="245D05F0" w14:textId="124CDD6E" w:rsidR="005C4B99" w:rsidRPr="00633318" w:rsidRDefault="005C4B99" w:rsidP="005C4B99">
      <w:pPr>
        <w:spacing w:after="120"/>
        <w:jc w:val="both"/>
        <w:rPr>
          <w:rFonts w:ascii="Times New Roman" w:hAnsi="Times New Roman" w:cs="Times New Roman"/>
          <w:bCs/>
          <w:iCs/>
          <w:sz w:val="24"/>
          <w:szCs w:val="24"/>
        </w:rPr>
      </w:pPr>
      <w:r w:rsidRPr="00633318">
        <w:rPr>
          <w:rFonts w:ascii="Times New Roman" w:hAnsi="Times New Roman" w:cs="Times New Roman"/>
          <w:bCs/>
          <w:iCs/>
          <w:sz w:val="24"/>
          <w:szCs w:val="24"/>
        </w:rPr>
        <w:t xml:space="preserve">Wyłączenie </w:t>
      </w:r>
      <w:r w:rsidRPr="00633318">
        <w:rPr>
          <w:rFonts w:ascii="Times New Roman" w:hAnsi="Times New Roman" w:cs="Times New Roman"/>
          <w:bCs/>
          <w:i/>
          <w:sz w:val="24"/>
          <w:szCs w:val="24"/>
        </w:rPr>
        <w:t>de minimis</w:t>
      </w:r>
      <w:r w:rsidRPr="00633318">
        <w:rPr>
          <w:rFonts w:ascii="Times New Roman" w:hAnsi="Times New Roman" w:cs="Times New Roman"/>
          <w:bCs/>
          <w:iCs/>
          <w:sz w:val="24"/>
          <w:szCs w:val="24"/>
        </w:rPr>
        <w:t xml:space="preserve"> nie ma zastosowania do </w:t>
      </w:r>
      <w:r w:rsidR="003A22DE" w:rsidRPr="00633318">
        <w:rPr>
          <w:rFonts w:ascii="Times New Roman" w:hAnsi="Times New Roman" w:cs="Times New Roman"/>
          <w:bCs/>
          <w:iCs/>
          <w:sz w:val="24"/>
          <w:szCs w:val="24"/>
        </w:rPr>
        <w:t xml:space="preserve">jednostek inwestycyjnych i </w:t>
      </w:r>
      <w:r w:rsidRPr="00633318">
        <w:rPr>
          <w:rFonts w:ascii="Times New Roman" w:hAnsi="Times New Roman" w:cs="Times New Roman"/>
          <w:bCs/>
          <w:iCs/>
          <w:sz w:val="24"/>
          <w:szCs w:val="24"/>
        </w:rPr>
        <w:t>bezpaństwowych jednostek składowych, a przychód tych jednostek oraz kwalifikowany jurysdykcyjny dochód (stratę) netto obliczony dla tych jednostek wyłącza się z obliczania wskazanych progów kwotowych (10 mln euro i 1 mln euro).</w:t>
      </w:r>
      <w:r w:rsidR="0053129C" w:rsidRPr="00633318">
        <w:rPr>
          <w:rFonts w:ascii="Times New Roman" w:hAnsi="Times New Roman" w:cs="Times New Roman"/>
          <w:bCs/>
          <w:iCs/>
          <w:sz w:val="24"/>
          <w:szCs w:val="24"/>
        </w:rPr>
        <w:t xml:space="preserve"> Oznacza to, po pierwsze, że w przypadku jurysdykcji, w której znajdują się wyłącznie jednostki inwestycyjne lub bezpaństwowe, nie można zastosować wyłączenia </w:t>
      </w:r>
      <w:r w:rsidR="0053129C" w:rsidRPr="00633318">
        <w:rPr>
          <w:rFonts w:ascii="Times New Roman" w:hAnsi="Times New Roman" w:cs="Times New Roman"/>
          <w:bCs/>
          <w:i/>
          <w:sz w:val="24"/>
          <w:szCs w:val="24"/>
        </w:rPr>
        <w:t>de minimis</w:t>
      </w:r>
      <w:r w:rsidR="0053129C" w:rsidRPr="00633318">
        <w:rPr>
          <w:rFonts w:ascii="Times New Roman" w:hAnsi="Times New Roman" w:cs="Times New Roman"/>
          <w:bCs/>
          <w:iCs/>
          <w:sz w:val="24"/>
          <w:szCs w:val="24"/>
        </w:rPr>
        <w:t>. Po drugie, jednostek tego typu nie uwzględnia się na potrzeby kwot, średnich lub progów, o których mowa  w art. 124.</w:t>
      </w:r>
    </w:p>
    <w:p w14:paraId="7C628AD0" w14:textId="492C9374" w:rsidR="00F07D2C" w:rsidRPr="00633318" w:rsidRDefault="00F07D2C" w:rsidP="00F07D2C">
      <w:pPr>
        <w:pStyle w:val="Nagwek5"/>
        <w:spacing w:after="240"/>
        <w:jc w:val="both"/>
        <w:rPr>
          <w:rFonts w:ascii="Times New Roman" w:hAnsi="Times New Roman" w:cs="Times New Roman"/>
          <w:sz w:val="24"/>
          <w:szCs w:val="24"/>
        </w:rPr>
      </w:pPr>
      <w:r w:rsidRPr="00633318">
        <w:rPr>
          <w:rFonts w:ascii="Times New Roman" w:hAnsi="Times New Roman" w:cs="Times New Roman"/>
          <w:sz w:val="24"/>
          <w:szCs w:val="24"/>
        </w:rPr>
        <w:t>Art. 125 [</w:t>
      </w:r>
      <w:bookmarkStart w:id="96" w:name="_Hlk164276174"/>
      <w:r w:rsidRPr="00633318">
        <w:rPr>
          <w:rFonts w:ascii="Times New Roman" w:hAnsi="Times New Roman" w:cs="Times New Roman"/>
          <w:sz w:val="24"/>
          <w:szCs w:val="24"/>
        </w:rPr>
        <w:t xml:space="preserve">Bezpieczna przystań dla polskich jednostek dominujących w odniesieniu do </w:t>
      </w:r>
      <w:r w:rsidR="009B1C43"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z QDMTT SH]</w:t>
      </w:r>
    </w:p>
    <w:bookmarkEnd w:id="96"/>
    <w:p w14:paraId="6B74588D" w14:textId="3F1C2880" w:rsidR="00F07D2C" w:rsidRPr="00633318" w:rsidRDefault="00F07D2C" w:rsidP="00F07D2C">
      <w:pPr>
        <w:pStyle w:val="ARTartustawynprozporzdzenia"/>
        <w:spacing w:line="259" w:lineRule="auto"/>
        <w:ind w:firstLine="0"/>
        <w:rPr>
          <w:rFonts w:ascii="Times New Roman" w:hAnsi="Times New Roman" w:cs="Times New Roman"/>
          <w:szCs w:val="24"/>
        </w:rPr>
      </w:pPr>
      <w:r w:rsidRPr="00633318">
        <w:rPr>
          <w:rFonts w:ascii="Times New Roman" w:hAnsi="Times New Roman" w:cs="Times New Roman"/>
          <w:b/>
          <w:bCs/>
          <w:szCs w:val="24"/>
        </w:rPr>
        <w:t>Art. 125</w:t>
      </w:r>
      <w:r w:rsidRPr="00633318">
        <w:rPr>
          <w:rFonts w:ascii="Times New Roman" w:hAnsi="Times New Roman" w:cs="Times New Roman"/>
          <w:szCs w:val="24"/>
        </w:rPr>
        <w:t xml:space="preserve"> </w:t>
      </w:r>
      <w:r w:rsidRPr="00633318">
        <w:rPr>
          <w:rFonts w:ascii="Times New Roman" w:hAnsi="Times New Roman" w:cs="Times New Roman"/>
          <w:bCs/>
          <w:szCs w:val="24"/>
        </w:rPr>
        <w:t>stanowi wdrożenie Wytycznych Administracyjnych</w:t>
      </w:r>
      <w:r w:rsidRPr="00633318">
        <w:rPr>
          <w:rFonts w:ascii="Times New Roman" w:hAnsi="Times New Roman" w:cs="Times New Roman"/>
          <w:szCs w:val="24"/>
        </w:rPr>
        <w:t xml:space="preserve"> w zakresie bezpiecznych przystani (</w:t>
      </w:r>
      <w:r w:rsidRPr="00633318">
        <w:rPr>
          <w:rFonts w:ascii="Times New Roman" w:hAnsi="Times New Roman" w:cs="Times New Roman"/>
          <w:i/>
          <w:iCs/>
          <w:szCs w:val="24"/>
        </w:rPr>
        <w:t>QDMTT safe harbour</w:t>
      </w:r>
      <w:r w:rsidRPr="00633318">
        <w:rPr>
          <w:rFonts w:ascii="Times New Roman" w:hAnsi="Times New Roman" w:cs="Times New Roman"/>
          <w:szCs w:val="24"/>
        </w:rPr>
        <w:t>) oraz art. 11</w:t>
      </w:r>
      <w:r w:rsidR="008B225D" w:rsidRPr="00633318">
        <w:rPr>
          <w:rFonts w:ascii="Times New Roman" w:hAnsi="Times New Roman" w:cs="Times New Roman"/>
          <w:szCs w:val="24"/>
        </w:rPr>
        <w:t>.</w:t>
      </w:r>
      <w:r w:rsidRPr="00633318">
        <w:rPr>
          <w:rFonts w:ascii="Times New Roman" w:hAnsi="Times New Roman" w:cs="Times New Roman"/>
          <w:szCs w:val="24"/>
        </w:rPr>
        <w:t>2 Dyrektywy.</w:t>
      </w:r>
    </w:p>
    <w:p w14:paraId="69761753" w14:textId="111C956F" w:rsidR="00F07D2C" w:rsidRPr="00633318" w:rsidRDefault="00F07D2C" w:rsidP="00F07D2C">
      <w:pPr>
        <w:pStyle w:val="ARTartustawynprozporzdzenia"/>
        <w:spacing w:after="120" w:line="259" w:lineRule="auto"/>
        <w:ind w:firstLine="0"/>
        <w:rPr>
          <w:rFonts w:ascii="Times New Roman" w:hAnsi="Times New Roman" w:cs="Times New Roman"/>
          <w:szCs w:val="24"/>
        </w:rPr>
      </w:pPr>
      <w:r w:rsidRPr="00633318">
        <w:rPr>
          <w:rFonts w:ascii="Times New Roman" w:hAnsi="Times New Roman" w:cs="Times New Roman"/>
          <w:szCs w:val="24"/>
        </w:rPr>
        <w:t>W szerokim sensie, z perspektywy Polski bezpieczna przystań może objąć:</w:t>
      </w:r>
    </w:p>
    <w:p w14:paraId="7269BFF6" w14:textId="15C9315F" w:rsidR="00F07D2C" w:rsidRPr="00633318" w:rsidRDefault="00F07D2C" w:rsidP="00B6504F">
      <w:pPr>
        <w:pStyle w:val="Akapitzlist"/>
        <w:numPr>
          <w:ilvl w:val="0"/>
          <w:numId w:val="39"/>
        </w:numPr>
        <w:jc w:val="both"/>
        <w:rPr>
          <w:rFonts w:ascii="Times New Roman" w:hAnsi="Times New Roman" w:cs="Times New Roman"/>
          <w:sz w:val="24"/>
          <w:szCs w:val="24"/>
        </w:rPr>
      </w:pPr>
      <w:r w:rsidRPr="00633318">
        <w:rPr>
          <w:rFonts w:ascii="Times New Roman" w:hAnsi="Times New Roman" w:cs="Times New Roman"/>
          <w:sz w:val="24"/>
          <w:szCs w:val="24"/>
        </w:rPr>
        <w:t>krajowy podatek wyrównawczy (wtedy płatność tego podatku w Polsce będzie wyłącza</w:t>
      </w:r>
      <w:r w:rsidR="0053129C" w:rsidRPr="00633318">
        <w:rPr>
          <w:rFonts w:ascii="Times New Roman" w:hAnsi="Times New Roman" w:cs="Times New Roman"/>
          <w:sz w:val="24"/>
          <w:szCs w:val="24"/>
        </w:rPr>
        <w:t>ć</w:t>
      </w:r>
      <w:r w:rsidRPr="00633318">
        <w:rPr>
          <w:rFonts w:ascii="Times New Roman" w:hAnsi="Times New Roman" w:cs="Times New Roman"/>
          <w:sz w:val="24"/>
          <w:szCs w:val="24"/>
        </w:rPr>
        <w:t xml:space="preserve">, pod pewnymi warunkami, obowiązek rozliczenia podatku wyrównawczego przez jednostkę dominującą najwyższego szczebla w </w:t>
      </w:r>
      <w:r w:rsidR="009B1C43" w:rsidRPr="00633318">
        <w:rPr>
          <w:rFonts w:ascii="Times New Roman" w:hAnsi="Times New Roman" w:cs="Times New Roman"/>
          <w:sz w:val="24"/>
          <w:szCs w:val="24"/>
        </w:rPr>
        <w:t xml:space="preserve">jurysdykcji </w:t>
      </w:r>
      <w:r w:rsidRPr="00633318">
        <w:rPr>
          <w:rFonts w:ascii="Times New Roman" w:hAnsi="Times New Roman" w:cs="Times New Roman"/>
          <w:sz w:val="24"/>
          <w:szCs w:val="24"/>
        </w:rPr>
        <w:t xml:space="preserve">swojej lokalizacji, </w:t>
      </w:r>
      <w:r w:rsidR="009B1C43" w:rsidRPr="00633318">
        <w:rPr>
          <w:rFonts w:ascii="Times New Roman" w:hAnsi="Times New Roman" w:cs="Times New Roman"/>
          <w:sz w:val="24"/>
          <w:szCs w:val="24"/>
        </w:rPr>
        <w:t xml:space="preserve">innej </w:t>
      </w:r>
      <w:r w:rsidRPr="00633318">
        <w:rPr>
          <w:rFonts w:ascii="Times New Roman" w:hAnsi="Times New Roman" w:cs="Times New Roman"/>
          <w:sz w:val="24"/>
          <w:szCs w:val="24"/>
        </w:rPr>
        <w:t xml:space="preserve">niż Rzeczpospolita Polska) – </w:t>
      </w:r>
      <w:r w:rsidRPr="00633318">
        <w:rPr>
          <w:rFonts w:ascii="Times New Roman" w:hAnsi="Times New Roman" w:cs="Times New Roman"/>
          <w:i/>
          <w:sz w:val="24"/>
          <w:szCs w:val="24"/>
        </w:rPr>
        <w:t xml:space="preserve">taka bezpieczna przystań oparta będzie na działaniu Wytycznych Administracyjnych i odpowiednich przepisów innych </w:t>
      </w:r>
      <w:r w:rsidR="009B1C43" w:rsidRPr="00633318">
        <w:rPr>
          <w:rFonts w:ascii="Times New Roman" w:hAnsi="Times New Roman" w:cs="Times New Roman"/>
          <w:i/>
          <w:sz w:val="24"/>
          <w:szCs w:val="24"/>
        </w:rPr>
        <w:t xml:space="preserve">jurysdykcji </w:t>
      </w:r>
      <w:r w:rsidRPr="00633318">
        <w:rPr>
          <w:rFonts w:ascii="Times New Roman" w:hAnsi="Times New Roman" w:cs="Times New Roman"/>
          <w:i/>
          <w:sz w:val="24"/>
          <w:szCs w:val="24"/>
        </w:rPr>
        <w:t xml:space="preserve">wdrażających </w:t>
      </w:r>
      <w:r w:rsidR="0053129C" w:rsidRPr="00633318">
        <w:rPr>
          <w:rFonts w:ascii="Times New Roman" w:hAnsi="Times New Roman" w:cs="Times New Roman"/>
          <w:i/>
          <w:sz w:val="24"/>
          <w:szCs w:val="24"/>
        </w:rPr>
        <w:t>Z</w:t>
      </w:r>
      <w:r w:rsidRPr="00633318">
        <w:rPr>
          <w:rFonts w:ascii="Times New Roman" w:hAnsi="Times New Roman" w:cs="Times New Roman"/>
          <w:i/>
          <w:sz w:val="24"/>
          <w:szCs w:val="24"/>
        </w:rPr>
        <w:t>asady GloBE</w:t>
      </w:r>
      <w:r w:rsidRPr="00633318">
        <w:rPr>
          <w:rFonts w:ascii="Times New Roman" w:hAnsi="Times New Roman" w:cs="Times New Roman"/>
          <w:sz w:val="24"/>
          <w:szCs w:val="24"/>
        </w:rPr>
        <w:t>,</w:t>
      </w:r>
    </w:p>
    <w:p w14:paraId="5DF64763" w14:textId="6277C41B" w:rsidR="00F07D2C" w:rsidRPr="00633318" w:rsidRDefault="00F07D2C" w:rsidP="00B6504F">
      <w:pPr>
        <w:pStyle w:val="Akapitzlist"/>
        <w:numPr>
          <w:ilvl w:val="0"/>
          <w:numId w:val="39"/>
        </w:numPr>
        <w:jc w:val="both"/>
        <w:rPr>
          <w:rFonts w:ascii="Times New Roman" w:hAnsi="Times New Roman" w:cs="Times New Roman"/>
          <w:sz w:val="24"/>
          <w:szCs w:val="24"/>
        </w:rPr>
      </w:pPr>
      <w:r w:rsidRPr="00633318">
        <w:rPr>
          <w:rFonts w:ascii="Times New Roman" w:hAnsi="Times New Roman" w:cs="Times New Roman"/>
          <w:sz w:val="24"/>
          <w:szCs w:val="24"/>
        </w:rPr>
        <w:t xml:space="preserve">kwalifikowany krajowy podatek wyrównawczy (w takiej sytuacji płatność tego podatku </w:t>
      </w:r>
      <w:r w:rsidRPr="00633318">
        <w:rPr>
          <w:rFonts w:ascii="Times New Roman" w:hAnsi="Times New Roman" w:cs="Times New Roman"/>
          <w:sz w:val="24"/>
          <w:szCs w:val="24"/>
        </w:rPr>
        <w:br/>
        <w:t xml:space="preserve">w </w:t>
      </w:r>
      <w:r w:rsidR="009B1C43" w:rsidRPr="00633318">
        <w:rPr>
          <w:rFonts w:ascii="Times New Roman" w:hAnsi="Times New Roman" w:cs="Times New Roman"/>
          <w:sz w:val="24"/>
          <w:szCs w:val="24"/>
        </w:rPr>
        <w:t xml:space="preserve">innej jurysdykcji </w:t>
      </w:r>
      <w:r w:rsidRPr="00633318">
        <w:rPr>
          <w:rFonts w:ascii="Times New Roman" w:hAnsi="Times New Roman" w:cs="Times New Roman"/>
          <w:sz w:val="24"/>
          <w:szCs w:val="24"/>
        </w:rPr>
        <w:t xml:space="preserve">będzie </w:t>
      </w:r>
      <w:r w:rsidR="0053129C" w:rsidRPr="00633318">
        <w:rPr>
          <w:rFonts w:ascii="Times New Roman" w:hAnsi="Times New Roman" w:cs="Times New Roman"/>
          <w:sz w:val="24"/>
          <w:szCs w:val="24"/>
        </w:rPr>
        <w:t>wyłączać</w:t>
      </w:r>
      <w:r w:rsidRPr="00633318">
        <w:rPr>
          <w:rFonts w:ascii="Times New Roman" w:hAnsi="Times New Roman" w:cs="Times New Roman"/>
          <w:sz w:val="24"/>
          <w:szCs w:val="24"/>
        </w:rPr>
        <w:t xml:space="preserve">, pod pewnymi warunkami, obowiązek obliczenia globalnego podatku wyrównawczego przez polską jednostkę dominującą w odniesieniu do swoich nisko opodatkowanych jednostek w </w:t>
      </w:r>
      <w:r w:rsidR="009B1C43" w:rsidRPr="00633318">
        <w:rPr>
          <w:rFonts w:ascii="Times New Roman" w:hAnsi="Times New Roman" w:cs="Times New Roman"/>
          <w:sz w:val="24"/>
          <w:szCs w:val="24"/>
        </w:rPr>
        <w:t>tej innej jurysdykcji</w:t>
      </w:r>
      <w:r w:rsidRPr="00633318">
        <w:rPr>
          <w:rFonts w:ascii="Times New Roman" w:hAnsi="Times New Roman" w:cs="Times New Roman"/>
          <w:sz w:val="24"/>
          <w:szCs w:val="24"/>
        </w:rPr>
        <w:t xml:space="preserve">) – </w:t>
      </w:r>
      <w:r w:rsidRPr="00633318">
        <w:rPr>
          <w:rFonts w:ascii="Times New Roman" w:hAnsi="Times New Roman" w:cs="Times New Roman"/>
          <w:i/>
          <w:sz w:val="24"/>
          <w:szCs w:val="24"/>
        </w:rPr>
        <w:t>taka bezpieczna przystań wynika z art. 125</w:t>
      </w:r>
      <w:r w:rsidRPr="00633318">
        <w:rPr>
          <w:rFonts w:ascii="Times New Roman" w:hAnsi="Times New Roman" w:cs="Times New Roman"/>
          <w:sz w:val="24"/>
          <w:szCs w:val="24"/>
        </w:rPr>
        <w:t>.</w:t>
      </w:r>
    </w:p>
    <w:p w14:paraId="4C1D8717" w14:textId="77777777" w:rsidR="00F07D2C" w:rsidRPr="00633318" w:rsidRDefault="00F07D2C" w:rsidP="00F07D2C">
      <w:pPr>
        <w:jc w:val="both"/>
        <w:rPr>
          <w:rFonts w:ascii="Times New Roman" w:hAnsi="Times New Roman" w:cs="Times New Roman"/>
          <w:sz w:val="24"/>
          <w:szCs w:val="24"/>
        </w:rPr>
      </w:pPr>
      <w:r w:rsidRPr="00633318">
        <w:rPr>
          <w:rFonts w:ascii="Times New Roman" w:hAnsi="Times New Roman" w:cs="Times New Roman"/>
          <w:sz w:val="24"/>
          <w:szCs w:val="24"/>
        </w:rPr>
        <w:t>Wytyczne Administracyjne OECD posługują się w tym zakresie jednym terminem (</w:t>
      </w:r>
      <w:r w:rsidRPr="00633318">
        <w:rPr>
          <w:rFonts w:ascii="Times New Roman" w:hAnsi="Times New Roman" w:cs="Times New Roman"/>
          <w:i/>
          <w:sz w:val="24"/>
          <w:szCs w:val="24"/>
        </w:rPr>
        <w:t>QDMTT safe harbour – QDMTT SH</w:t>
      </w:r>
      <w:r w:rsidRPr="00633318">
        <w:rPr>
          <w:rFonts w:ascii="Times New Roman" w:hAnsi="Times New Roman" w:cs="Times New Roman"/>
          <w:sz w:val="24"/>
          <w:szCs w:val="24"/>
        </w:rPr>
        <w:t>); niemniej na gruncie niniejszej ustawy konieczne jest rozróżnienie tych dwóch perspektyw.</w:t>
      </w:r>
    </w:p>
    <w:p w14:paraId="23D46D4D" w14:textId="6A430421" w:rsidR="00F07D2C" w:rsidRPr="00633318" w:rsidRDefault="00F07D2C" w:rsidP="00F07D2C">
      <w:pPr>
        <w:jc w:val="both"/>
        <w:rPr>
          <w:rFonts w:ascii="Times New Roman" w:hAnsi="Times New Roman" w:cs="Times New Roman"/>
          <w:sz w:val="24"/>
          <w:szCs w:val="24"/>
        </w:rPr>
      </w:pPr>
      <w:r w:rsidRPr="00633318">
        <w:rPr>
          <w:rFonts w:ascii="Times New Roman" w:hAnsi="Times New Roman" w:cs="Times New Roman"/>
          <w:sz w:val="24"/>
          <w:szCs w:val="24"/>
        </w:rPr>
        <w:t xml:space="preserve">Odnosząc się w pierwszej kolejności do krajowego podatku wyrównawczego, zgodnie z ogólnymi </w:t>
      </w:r>
      <w:r w:rsidR="0053129C" w:rsidRPr="00633318">
        <w:rPr>
          <w:rFonts w:ascii="Times New Roman" w:hAnsi="Times New Roman" w:cs="Times New Roman"/>
          <w:sz w:val="24"/>
          <w:szCs w:val="24"/>
        </w:rPr>
        <w:t>Z</w:t>
      </w:r>
      <w:r w:rsidRPr="00633318">
        <w:rPr>
          <w:rFonts w:ascii="Times New Roman" w:hAnsi="Times New Roman" w:cs="Times New Roman"/>
          <w:sz w:val="24"/>
          <w:szCs w:val="24"/>
        </w:rPr>
        <w:t xml:space="preserve">asadami GloBE, podatek ten może być, po pierwsze, odejmowany od podatku wyrównawczego należnego w </w:t>
      </w:r>
      <w:r w:rsidR="009B1C43" w:rsidRPr="00633318">
        <w:rPr>
          <w:rFonts w:ascii="Times New Roman" w:hAnsi="Times New Roman" w:cs="Times New Roman"/>
          <w:sz w:val="24"/>
          <w:szCs w:val="24"/>
        </w:rPr>
        <w:t xml:space="preserve">innej jurysdykcji uczestniczącej </w:t>
      </w:r>
      <w:r w:rsidRPr="00633318">
        <w:rPr>
          <w:rFonts w:ascii="Times New Roman" w:hAnsi="Times New Roman" w:cs="Times New Roman"/>
          <w:sz w:val="24"/>
          <w:szCs w:val="24"/>
        </w:rPr>
        <w:t xml:space="preserve">w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 xml:space="preserve">ystemie GloBE. Pierwszym dostępnym mechanizmem jest zatem pomniejszenie o ten podatek (ang. </w:t>
      </w:r>
      <w:r w:rsidRPr="00633318">
        <w:rPr>
          <w:rFonts w:ascii="Times New Roman" w:hAnsi="Times New Roman" w:cs="Times New Roman"/>
          <w:i/>
          <w:sz w:val="24"/>
          <w:szCs w:val="24"/>
        </w:rPr>
        <w:t>QDMTT credit</w:t>
      </w:r>
      <w:r w:rsidRPr="00633318">
        <w:rPr>
          <w:rFonts w:ascii="Times New Roman" w:hAnsi="Times New Roman" w:cs="Times New Roman"/>
          <w:sz w:val="24"/>
          <w:szCs w:val="24"/>
        </w:rPr>
        <w:t xml:space="preserve">). Pomniejszenie to będzie możliwe pod warunkiem, że polskie przepisy zostaną – z perspektywy </w:t>
      </w:r>
      <w:r w:rsidR="009B1C43" w:rsidRPr="00633318">
        <w:rPr>
          <w:rFonts w:ascii="Times New Roman" w:hAnsi="Times New Roman" w:cs="Times New Roman"/>
          <w:sz w:val="24"/>
          <w:szCs w:val="24"/>
        </w:rPr>
        <w:t xml:space="preserve">innej jurysdykcji </w:t>
      </w:r>
      <w:r w:rsidRPr="00633318">
        <w:rPr>
          <w:rFonts w:ascii="Times New Roman" w:hAnsi="Times New Roman" w:cs="Times New Roman"/>
          <w:sz w:val="24"/>
          <w:szCs w:val="24"/>
        </w:rPr>
        <w:t xml:space="preserve">– uznane za kwalifikowane w ramach OECD, tj. zgodne i spójne z </w:t>
      </w:r>
      <w:r w:rsidR="0053129C" w:rsidRPr="00633318">
        <w:rPr>
          <w:rFonts w:ascii="Times New Roman" w:hAnsi="Times New Roman" w:cs="Times New Roman"/>
          <w:sz w:val="24"/>
          <w:szCs w:val="24"/>
        </w:rPr>
        <w:t>Z</w:t>
      </w:r>
      <w:r w:rsidRPr="00633318">
        <w:rPr>
          <w:rFonts w:ascii="Times New Roman" w:hAnsi="Times New Roman" w:cs="Times New Roman"/>
          <w:sz w:val="24"/>
          <w:szCs w:val="24"/>
        </w:rPr>
        <w:t xml:space="preserve">asadami GloBE. Jednakże, co bardzo istotne, pod pewnymi warunkami może zadziałać wskazana wcześniej bezpieczna przystań. Oznacza to, że jeżeli jednostki z danej grupy międzynarodowej podlegają w Polsce opodatkowaniu krajowym podatkiem wyrównawczym, jednostka dominująca tej grupy – zlokalizowana w </w:t>
      </w:r>
      <w:r w:rsidR="009B1C43" w:rsidRPr="00633318">
        <w:rPr>
          <w:rFonts w:ascii="Times New Roman" w:hAnsi="Times New Roman" w:cs="Times New Roman"/>
          <w:sz w:val="24"/>
          <w:szCs w:val="24"/>
        </w:rPr>
        <w:t xml:space="preserve">innej jurysdykcji </w:t>
      </w:r>
      <w:r w:rsidRPr="00633318">
        <w:rPr>
          <w:rFonts w:ascii="Times New Roman" w:hAnsi="Times New Roman" w:cs="Times New Roman"/>
          <w:sz w:val="24"/>
          <w:szCs w:val="24"/>
        </w:rPr>
        <w:t xml:space="preserve">- może nie obliczać w odniesieniu </w:t>
      </w:r>
      <w:r w:rsidR="001C19BA" w:rsidRPr="00633318">
        <w:rPr>
          <w:rFonts w:ascii="Times New Roman" w:hAnsi="Times New Roman" w:cs="Times New Roman"/>
          <w:sz w:val="24"/>
          <w:szCs w:val="24"/>
        </w:rPr>
        <w:t xml:space="preserve">do </w:t>
      </w:r>
      <w:r w:rsidRPr="00633318">
        <w:rPr>
          <w:rFonts w:ascii="Times New Roman" w:hAnsi="Times New Roman" w:cs="Times New Roman"/>
          <w:sz w:val="24"/>
          <w:szCs w:val="24"/>
        </w:rPr>
        <w:t xml:space="preserve">swoich polskich jednostek składowych podatku wyrównawczego, według zasady włączenia dochodu do opodatkowania (IIR). W takim przypadku nie będzie zatem potrzeby odejmowania kwoty krajowego podatku wyrównawczego od zagranicznego podatku pobieranego w </w:t>
      </w:r>
      <w:r w:rsidR="009B1C43" w:rsidRPr="00633318">
        <w:rPr>
          <w:rFonts w:ascii="Times New Roman" w:hAnsi="Times New Roman" w:cs="Times New Roman"/>
          <w:sz w:val="24"/>
          <w:szCs w:val="24"/>
        </w:rPr>
        <w:t xml:space="preserve">jurysdykcji </w:t>
      </w:r>
      <w:r w:rsidRPr="00633318">
        <w:rPr>
          <w:rFonts w:ascii="Times New Roman" w:hAnsi="Times New Roman" w:cs="Times New Roman"/>
          <w:sz w:val="24"/>
          <w:szCs w:val="24"/>
        </w:rPr>
        <w:t xml:space="preserve">lokalizacji jednostki dominującej. Stosowanie takiej bezpiecznej przystani będzie możliwe zakładając, że przepisy ustawy w zakresie krajowego podatku wyrównawczego uzyskają tzw. status kwalifikowany na potrzeby bezpiecznej przystani QDMTT, w wyniku przeglądu dokonanego na szczeblu OECD, tzw. </w:t>
      </w:r>
      <w:r w:rsidRPr="00633318">
        <w:rPr>
          <w:rFonts w:ascii="Times New Roman" w:hAnsi="Times New Roman" w:cs="Times New Roman"/>
          <w:i/>
          <w:iCs/>
          <w:sz w:val="24"/>
          <w:szCs w:val="24"/>
        </w:rPr>
        <w:t>peer review</w:t>
      </w:r>
      <w:r w:rsidRPr="00633318">
        <w:rPr>
          <w:rFonts w:ascii="Times New Roman" w:hAnsi="Times New Roman" w:cs="Times New Roman"/>
          <w:sz w:val="24"/>
          <w:szCs w:val="24"/>
        </w:rPr>
        <w:t xml:space="preserve">. Należy przy tym zauważyć, że będą funkcjonować odrębne kwalifikowane statusy – po pierwsze, na potrzeby opisanego wcześniej pomniejszenia zagranicznego podatku należnego od jednostki dominującej o polski krajowy podatek wyrównawczy (czyli na potrzeby tzw. </w:t>
      </w:r>
      <w:r w:rsidRPr="00633318">
        <w:rPr>
          <w:rFonts w:ascii="Times New Roman" w:hAnsi="Times New Roman" w:cs="Times New Roman"/>
          <w:i/>
          <w:sz w:val="24"/>
          <w:szCs w:val="24"/>
        </w:rPr>
        <w:t>QDMTT credit</w:t>
      </w:r>
      <w:r w:rsidRPr="00633318">
        <w:rPr>
          <w:rFonts w:ascii="Times New Roman" w:hAnsi="Times New Roman" w:cs="Times New Roman"/>
          <w:sz w:val="24"/>
          <w:szCs w:val="24"/>
        </w:rPr>
        <w:t>), oraz po drugie – na potrzeby bezpiecznej przystani (</w:t>
      </w:r>
      <w:r w:rsidRPr="00633318">
        <w:rPr>
          <w:rFonts w:ascii="Times New Roman" w:hAnsi="Times New Roman" w:cs="Times New Roman"/>
          <w:i/>
          <w:sz w:val="24"/>
          <w:szCs w:val="24"/>
        </w:rPr>
        <w:t>QDMTT safe harbour</w:t>
      </w:r>
      <w:r w:rsidRPr="00633318">
        <w:rPr>
          <w:rFonts w:ascii="Times New Roman" w:hAnsi="Times New Roman" w:cs="Times New Roman"/>
          <w:sz w:val="24"/>
          <w:szCs w:val="24"/>
        </w:rPr>
        <w:t>).</w:t>
      </w:r>
    </w:p>
    <w:p w14:paraId="2771E4B0" w14:textId="48A080E6" w:rsidR="00F07D2C" w:rsidRPr="00633318" w:rsidRDefault="00F07D2C" w:rsidP="00F07D2C">
      <w:pPr>
        <w:pStyle w:val="Akapitzlist"/>
        <w:ind w:left="0"/>
        <w:jc w:val="both"/>
        <w:rPr>
          <w:rFonts w:ascii="Times New Roman" w:hAnsi="Times New Roman" w:cs="Times New Roman"/>
          <w:sz w:val="24"/>
          <w:szCs w:val="24"/>
        </w:rPr>
      </w:pPr>
      <w:r w:rsidRPr="00633318">
        <w:rPr>
          <w:rFonts w:ascii="Times New Roman" w:hAnsi="Times New Roman" w:cs="Times New Roman"/>
          <w:sz w:val="24"/>
          <w:szCs w:val="24"/>
        </w:rPr>
        <w:t xml:space="preserve">Natomiast, z innej perspektywy, jednostka dominująca najwyższego szczebla zlokalizowana w Polsce może zastosować pomniejszenie o kwalifikowany krajowy zagraniczny podatek wyrównawczy, bądź zastosować bezpieczną przystań w tym zakresie, w odniesieniu do swoich nisko opodatkowanych jednostek w </w:t>
      </w:r>
      <w:r w:rsidR="009B1C43" w:rsidRPr="00633318">
        <w:rPr>
          <w:rFonts w:ascii="Times New Roman" w:hAnsi="Times New Roman" w:cs="Times New Roman"/>
          <w:sz w:val="24"/>
          <w:szCs w:val="24"/>
        </w:rPr>
        <w:t>tej innej jurysdykcji</w:t>
      </w:r>
      <w:r w:rsidRPr="00633318">
        <w:rPr>
          <w:rFonts w:ascii="Times New Roman" w:hAnsi="Times New Roman" w:cs="Times New Roman"/>
          <w:sz w:val="24"/>
          <w:szCs w:val="24"/>
        </w:rPr>
        <w:t xml:space="preserve">. Omawiana bezpieczna przystań zadziała zatem także w przypadku polskich jednostek dominujących, które zgodnie z przepisami działu II, będą obliczać globalny podatek wyrównawczy w odniesieniu do swoich nisko opodatkowanych jednostek składowych zlokalizowanych w innych </w:t>
      </w:r>
      <w:r w:rsidR="009B1C43" w:rsidRPr="00633318">
        <w:rPr>
          <w:rFonts w:ascii="Times New Roman" w:hAnsi="Times New Roman" w:cs="Times New Roman"/>
          <w:sz w:val="24"/>
          <w:szCs w:val="24"/>
        </w:rPr>
        <w:t>jurysdykcjach</w:t>
      </w:r>
      <w:r w:rsidRPr="00633318">
        <w:rPr>
          <w:rFonts w:ascii="Times New Roman" w:hAnsi="Times New Roman" w:cs="Times New Roman"/>
          <w:sz w:val="24"/>
          <w:szCs w:val="24"/>
        </w:rPr>
        <w:t xml:space="preserve">. Art. 125 reguluje tylko taki przypadek, bowiem może odnosić się wyłącznie do jednostek dominujących zlokalizowanych na terytorium RP. </w:t>
      </w:r>
      <w:r w:rsidRPr="00633318">
        <w:rPr>
          <w:rFonts w:ascii="Times New Roman" w:hAnsi="Times New Roman" w:cs="Times New Roman"/>
          <w:bCs/>
          <w:sz w:val="24"/>
          <w:szCs w:val="24"/>
        </w:rPr>
        <w:t>Art. 125</w:t>
      </w:r>
      <w:r w:rsidRPr="00633318">
        <w:rPr>
          <w:rFonts w:ascii="Times New Roman" w:hAnsi="Times New Roman" w:cs="Times New Roman"/>
          <w:sz w:val="24"/>
          <w:szCs w:val="24"/>
        </w:rPr>
        <w:t xml:space="preserve"> dotyczy zatem jedynie </w:t>
      </w:r>
      <w:r w:rsidRPr="00633318">
        <w:rPr>
          <w:rFonts w:ascii="Times New Roman" w:hAnsi="Times New Roman" w:cs="Times New Roman"/>
          <w:b/>
          <w:bCs/>
          <w:sz w:val="24"/>
          <w:szCs w:val="24"/>
        </w:rPr>
        <w:t>bezpiecznej przystani w zakresie kwalifikowanego krajowego podatku wyrównawczego</w:t>
      </w:r>
      <w:r w:rsidRPr="00633318">
        <w:rPr>
          <w:rFonts w:ascii="Times New Roman" w:hAnsi="Times New Roman" w:cs="Times New Roman"/>
          <w:sz w:val="24"/>
          <w:szCs w:val="24"/>
        </w:rPr>
        <w:t xml:space="preserve">. </w:t>
      </w:r>
    </w:p>
    <w:p w14:paraId="575EF2E0" w14:textId="2805F55A" w:rsidR="00F07D2C" w:rsidRPr="00633318" w:rsidRDefault="00F07D2C" w:rsidP="00F07D2C">
      <w:pPr>
        <w:pStyle w:val="LITlitera"/>
        <w:spacing w:before="120" w:line="259" w:lineRule="auto"/>
        <w:ind w:left="0" w:firstLine="0"/>
        <w:rPr>
          <w:rFonts w:ascii="Times New Roman" w:hAnsi="Times New Roman" w:cs="Times New Roman"/>
          <w:szCs w:val="24"/>
        </w:rPr>
      </w:pPr>
      <w:r w:rsidRPr="00633318">
        <w:rPr>
          <w:rFonts w:ascii="Times New Roman" w:hAnsi="Times New Roman" w:cs="Times New Roman"/>
          <w:szCs w:val="24"/>
        </w:rPr>
        <w:t xml:space="preserve">W świetle </w:t>
      </w:r>
      <w:r w:rsidRPr="00633318">
        <w:rPr>
          <w:rFonts w:ascii="Times New Roman" w:hAnsi="Times New Roman" w:cs="Times New Roman"/>
          <w:bCs w:val="0"/>
          <w:szCs w:val="24"/>
        </w:rPr>
        <w:t>art. 125</w:t>
      </w:r>
      <w:r w:rsidRPr="00633318">
        <w:rPr>
          <w:rFonts w:ascii="Times New Roman" w:hAnsi="Times New Roman" w:cs="Times New Roman"/>
          <w:szCs w:val="24"/>
        </w:rPr>
        <w:t xml:space="preserve">, uprawniona jednostka może dokonać wyboru dotyczącego bezpiecznej przystani w zakresie kwalifikowanego krajowego podatku wyrównawczego, na podstawie którego nie oblicza się globalnego podatku wyrównawczego w odniesieniu do </w:t>
      </w:r>
      <w:bookmarkStart w:id="97" w:name="_Hlk170982229"/>
      <w:r w:rsidR="009B1C43" w:rsidRPr="00633318">
        <w:rPr>
          <w:rFonts w:ascii="Times New Roman" w:hAnsi="Times New Roman" w:cs="Times New Roman"/>
          <w:szCs w:val="24"/>
        </w:rPr>
        <w:t xml:space="preserve">jurysdykcji </w:t>
      </w:r>
      <w:bookmarkEnd w:id="97"/>
      <w:r w:rsidRPr="00633318">
        <w:rPr>
          <w:rFonts w:ascii="Times New Roman" w:hAnsi="Times New Roman" w:cs="Times New Roman"/>
          <w:szCs w:val="24"/>
        </w:rPr>
        <w:t xml:space="preserve">dla </w:t>
      </w:r>
      <w:r w:rsidR="009B1C43" w:rsidRPr="00633318">
        <w:rPr>
          <w:rFonts w:ascii="Times New Roman" w:hAnsi="Times New Roman" w:cs="Times New Roman"/>
          <w:szCs w:val="24"/>
        </w:rPr>
        <w:t xml:space="preserve">której </w:t>
      </w:r>
      <w:r w:rsidRPr="00633318">
        <w:rPr>
          <w:rFonts w:ascii="Times New Roman" w:hAnsi="Times New Roman" w:cs="Times New Roman"/>
          <w:szCs w:val="24"/>
        </w:rPr>
        <w:t xml:space="preserve">dokonano wyboru (w doniesieniu do jednostek w </w:t>
      </w:r>
      <w:r w:rsidR="009B1C43" w:rsidRPr="00633318">
        <w:rPr>
          <w:rFonts w:ascii="Times New Roman" w:hAnsi="Times New Roman" w:cs="Times New Roman"/>
          <w:szCs w:val="24"/>
        </w:rPr>
        <w:t>tej jurysdykcji</w:t>
      </w:r>
      <w:r w:rsidRPr="00633318">
        <w:rPr>
          <w:rFonts w:ascii="Times New Roman" w:hAnsi="Times New Roman" w:cs="Times New Roman"/>
          <w:szCs w:val="24"/>
        </w:rPr>
        <w:t xml:space="preserve">). Oznacza to również, że jednostka dominująca będąca podatnikiem nie ma obowiązku obliczania efektywnej stawki podatkowej dla </w:t>
      </w:r>
      <w:r w:rsidR="009B1C43" w:rsidRPr="00633318">
        <w:rPr>
          <w:rFonts w:ascii="Times New Roman" w:hAnsi="Times New Roman" w:cs="Times New Roman"/>
          <w:szCs w:val="24"/>
        </w:rPr>
        <w:t>tej jurysdykcji</w:t>
      </w:r>
      <w:r w:rsidRPr="00633318">
        <w:rPr>
          <w:rFonts w:ascii="Times New Roman" w:hAnsi="Times New Roman" w:cs="Times New Roman"/>
          <w:szCs w:val="24"/>
        </w:rPr>
        <w:t>.</w:t>
      </w:r>
    </w:p>
    <w:p w14:paraId="70986B64" w14:textId="74E891CB" w:rsidR="00F07D2C" w:rsidRPr="00633318" w:rsidRDefault="00F07D2C" w:rsidP="00F07D2C">
      <w:pPr>
        <w:pStyle w:val="LITlitera"/>
        <w:spacing w:before="120" w:line="259" w:lineRule="auto"/>
        <w:ind w:left="0" w:firstLine="0"/>
        <w:rPr>
          <w:rFonts w:ascii="Times New Roman" w:hAnsi="Times New Roman" w:cs="Times New Roman"/>
          <w:i/>
          <w:iCs/>
          <w:szCs w:val="24"/>
        </w:rPr>
      </w:pPr>
      <w:r w:rsidRPr="00633318">
        <w:rPr>
          <w:rFonts w:ascii="Times New Roman" w:hAnsi="Times New Roman" w:cs="Times New Roman"/>
          <w:szCs w:val="24"/>
        </w:rPr>
        <w:t xml:space="preserve">W praktyce polega to na tym, że polska jednostka dominująca najwyższego szczebla (polski podatnik globalnego podatku wyrównawczego) licząc swój globalny podatek wyrównawczy, nie bierze pod uwagę jednostek składowych i jednostek (także JV) z </w:t>
      </w:r>
      <w:r w:rsidR="009B1C43" w:rsidRPr="00633318">
        <w:rPr>
          <w:rFonts w:ascii="Times New Roman" w:hAnsi="Times New Roman" w:cs="Times New Roman"/>
          <w:szCs w:val="24"/>
        </w:rPr>
        <w:t>jurysdykcji</w:t>
      </w:r>
      <w:r w:rsidRPr="00633318">
        <w:rPr>
          <w:rFonts w:ascii="Times New Roman" w:hAnsi="Times New Roman" w:cs="Times New Roman"/>
          <w:szCs w:val="24"/>
        </w:rPr>
        <w:t xml:space="preserve">, dla </w:t>
      </w:r>
      <w:r w:rsidR="009B1C43" w:rsidRPr="00633318">
        <w:rPr>
          <w:rFonts w:ascii="Times New Roman" w:hAnsi="Times New Roman" w:cs="Times New Roman"/>
          <w:szCs w:val="24"/>
        </w:rPr>
        <w:t xml:space="preserve">której </w:t>
      </w:r>
      <w:r w:rsidRPr="00633318">
        <w:rPr>
          <w:rFonts w:ascii="Times New Roman" w:hAnsi="Times New Roman" w:cs="Times New Roman"/>
          <w:szCs w:val="24"/>
        </w:rPr>
        <w:t xml:space="preserve">wybrano </w:t>
      </w:r>
      <w:r w:rsidRPr="00633318">
        <w:rPr>
          <w:rFonts w:ascii="Times New Roman" w:hAnsi="Times New Roman" w:cs="Times New Roman"/>
          <w:i/>
          <w:iCs/>
          <w:szCs w:val="24"/>
        </w:rPr>
        <w:t>QDMTT safe harbour.</w:t>
      </w:r>
    </w:p>
    <w:p w14:paraId="225CCA60" w14:textId="49FE5358" w:rsidR="00F07D2C" w:rsidRPr="00633318" w:rsidRDefault="00F07D2C" w:rsidP="00F07D2C">
      <w:pPr>
        <w:pStyle w:val="LITlitera"/>
        <w:spacing w:before="120" w:line="259" w:lineRule="auto"/>
        <w:ind w:left="0" w:firstLine="0"/>
        <w:rPr>
          <w:rFonts w:ascii="Times New Roman" w:hAnsi="Times New Roman" w:cs="Times New Roman"/>
          <w:szCs w:val="24"/>
        </w:rPr>
      </w:pPr>
      <w:r w:rsidRPr="00633318">
        <w:rPr>
          <w:rFonts w:ascii="Times New Roman" w:hAnsi="Times New Roman" w:cs="Times New Roman"/>
          <w:szCs w:val="24"/>
        </w:rPr>
        <w:t xml:space="preserve">Wyboru stosowania omawianej bezpiecznej przystani dokonuje się w odniesieniu nie tyle co do </w:t>
      </w:r>
      <w:r w:rsidR="009B1C43" w:rsidRPr="00633318">
        <w:rPr>
          <w:rFonts w:ascii="Times New Roman" w:hAnsi="Times New Roman" w:cs="Times New Roman"/>
          <w:szCs w:val="24"/>
        </w:rPr>
        <w:t>danej jurysdykcji</w:t>
      </w:r>
      <w:r w:rsidRPr="00633318">
        <w:rPr>
          <w:rFonts w:ascii="Times New Roman" w:hAnsi="Times New Roman" w:cs="Times New Roman"/>
          <w:szCs w:val="24"/>
        </w:rPr>
        <w:t xml:space="preserve">, ale w rzeczywistości dla „podgrup” (kategorii jednostek) w </w:t>
      </w:r>
      <w:r w:rsidR="009B1C43" w:rsidRPr="00633318">
        <w:rPr>
          <w:rFonts w:ascii="Times New Roman" w:hAnsi="Times New Roman" w:cs="Times New Roman"/>
          <w:szCs w:val="24"/>
        </w:rPr>
        <w:t>danej jurysdykcji</w:t>
      </w:r>
      <w:r w:rsidRPr="00633318">
        <w:rPr>
          <w:rFonts w:ascii="Times New Roman" w:hAnsi="Times New Roman" w:cs="Times New Roman"/>
          <w:szCs w:val="24"/>
        </w:rPr>
        <w:t>.</w:t>
      </w:r>
    </w:p>
    <w:p w14:paraId="4CF98080" w14:textId="43A8D203" w:rsidR="003E7A67" w:rsidRPr="00633318" w:rsidRDefault="00F07D2C" w:rsidP="00FB4A31">
      <w:pPr>
        <w:pStyle w:val="LITlitera"/>
        <w:spacing w:before="120" w:after="120" w:line="259" w:lineRule="auto"/>
        <w:ind w:left="0" w:firstLine="0"/>
        <w:rPr>
          <w:rFonts w:ascii="Times New Roman" w:hAnsi="Times New Roman" w:cs="Times New Roman"/>
          <w:szCs w:val="24"/>
        </w:rPr>
      </w:pPr>
      <w:r w:rsidRPr="00633318">
        <w:rPr>
          <w:rFonts w:ascii="Times New Roman" w:hAnsi="Times New Roman" w:cs="Times New Roman"/>
          <w:szCs w:val="24"/>
        </w:rPr>
        <w:t>Wytyczne Administracyjne z lipca 2023</w:t>
      </w:r>
      <w:r w:rsidR="008F4C2E" w:rsidRPr="00633318">
        <w:rPr>
          <w:rFonts w:ascii="Times New Roman" w:hAnsi="Times New Roman" w:cs="Times New Roman"/>
          <w:szCs w:val="24"/>
        </w:rPr>
        <w:t xml:space="preserve"> r.</w:t>
      </w:r>
      <w:r w:rsidRPr="00633318">
        <w:rPr>
          <w:rFonts w:ascii="Times New Roman" w:hAnsi="Times New Roman" w:cs="Times New Roman"/>
          <w:szCs w:val="24"/>
        </w:rPr>
        <w:t xml:space="preserve"> dla </w:t>
      </w:r>
      <w:r w:rsidRPr="00633318">
        <w:rPr>
          <w:rFonts w:ascii="Times New Roman" w:hAnsi="Times New Roman" w:cs="Times New Roman"/>
          <w:i/>
          <w:iCs/>
          <w:szCs w:val="24"/>
        </w:rPr>
        <w:t>QDMTT safe harbour</w:t>
      </w:r>
      <w:r w:rsidRPr="00633318">
        <w:rPr>
          <w:rFonts w:ascii="Times New Roman" w:hAnsi="Times New Roman" w:cs="Times New Roman"/>
          <w:szCs w:val="24"/>
        </w:rPr>
        <w:t xml:space="preserve"> w paragrafach </w:t>
      </w:r>
      <w:r w:rsidR="001C19BA" w:rsidRPr="00633318">
        <w:rPr>
          <w:rFonts w:ascii="Times New Roman" w:hAnsi="Times New Roman" w:cs="Times New Roman"/>
          <w:szCs w:val="24"/>
        </w:rPr>
        <w:t>od</w:t>
      </w:r>
      <w:r w:rsidRPr="00633318">
        <w:rPr>
          <w:rFonts w:ascii="Times New Roman" w:hAnsi="Times New Roman" w:cs="Times New Roman"/>
          <w:szCs w:val="24"/>
        </w:rPr>
        <w:t xml:space="preserve"> 8 do 13 wskazują, w jaki sposób stosuje się omawianą bezpieczną przystań. Zgodnie z tymi wytycznymi, wyboru stosowania QDMTT dokonuje się oddzielnie dla zwykłych jednostek składowych i oddzielnie dla każdej z „podgrup” tworzonych przez jednostki o szczególnym charakterze (wyróżnionych jako takie w rozdziale 2 działu II). Mowa tutaj o jednostkach inwestycyjnych, ubezpieczeniowych jednostkach inwestycyjnych, jednostkach grupy joint venture i bezpaństwowych jednostkach składowych (przy czym dla tych ostatnich dla każdej oddzielnie).</w:t>
      </w:r>
    </w:p>
    <w:p w14:paraId="4CB358AE" w14:textId="77777777" w:rsidR="000637CF" w:rsidRPr="00633318" w:rsidRDefault="000637CF" w:rsidP="00FB4A31">
      <w:pPr>
        <w:pStyle w:val="LITlitera"/>
        <w:spacing w:before="120" w:after="120" w:line="259" w:lineRule="auto"/>
        <w:ind w:left="0" w:firstLine="0"/>
        <w:rPr>
          <w:rFonts w:ascii="Times New Roman" w:hAnsi="Times New Roman" w:cs="Times New Roman"/>
          <w:szCs w:val="24"/>
        </w:rPr>
      </w:pPr>
    </w:p>
    <w:p w14:paraId="2CBC4108" w14:textId="22396EB2" w:rsidR="00F07D2C" w:rsidRPr="003E7A67" w:rsidRDefault="00F07D2C"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 xml:space="preserve">Przykład </w:t>
      </w:r>
    </w:p>
    <w:p w14:paraId="2C515970" w14:textId="1F7CA5A2" w:rsidR="00F07D2C" w:rsidRPr="003E7A67" w:rsidRDefault="00F07D2C"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Polskie UPE posiada 3 jednostki składowe w </w:t>
      </w:r>
      <w:r w:rsidR="009B1C43"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„A” oraz ma udziały w joint venture i w jednostce zależnej joint venture zlokalizowanych w </w:t>
      </w:r>
      <w:r w:rsidR="009B1C43"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„A”. Wybór o stosowaniu bezpiecznej przystani dla </w:t>
      </w:r>
      <w:r w:rsidR="009B1C43"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„A” musi zostać dokonany oddzielnie dla 3 „zwykłych” jednostek składowych, a oddzielnie dla podgrupy joint venture składającej się z jednostki joint venture i jednostki zależnej joint venture. We wskazanym przykładzie, UPE może też wybrać stosowanie QDMTT SH tylko dla tych 3 jednostek składowych, a do obliczeń dla podgrupy joint venture stosować zasadę QDMTT credit.</w:t>
      </w:r>
    </w:p>
    <w:p w14:paraId="47E0DA9B" w14:textId="77777777" w:rsidR="00F07D2C" w:rsidRPr="00633318" w:rsidRDefault="00F07D2C" w:rsidP="00191592">
      <w:pPr>
        <w:pStyle w:val="LITlitera"/>
        <w:spacing w:before="240" w:line="259" w:lineRule="auto"/>
        <w:ind w:left="0" w:firstLine="0"/>
        <w:rPr>
          <w:rFonts w:ascii="Times New Roman" w:hAnsi="Times New Roman" w:cs="Times New Roman"/>
          <w:szCs w:val="24"/>
        </w:rPr>
      </w:pPr>
      <w:r w:rsidRPr="00633318">
        <w:rPr>
          <w:rFonts w:ascii="Times New Roman" w:hAnsi="Times New Roman" w:cs="Times New Roman"/>
          <w:szCs w:val="24"/>
        </w:rPr>
        <w:t>Biorąc powyższe pod uwagę, wszystkie wymogi dla wyboru stosowania opisywanej bezpiecznej przystani trzeba oceniać z perspektywy poszczególnych podgrup.</w:t>
      </w:r>
    </w:p>
    <w:p w14:paraId="182F39A3" w14:textId="668C29C5" w:rsidR="00F07D2C" w:rsidRPr="00633318" w:rsidRDefault="00F07D2C" w:rsidP="00F07D2C">
      <w:pPr>
        <w:pStyle w:val="LITlitera"/>
        <w:spacing w:before="120" w:line="259" w:lineRule="auto"/>
        <w:ind w:left="0" w:firstLine="0"/>
        <w:rPr>
          <w:rFonts w:ascii="Times New Roman" w:hAnsi="Times New Roman" w:cs="Times New Roman"/>
          <w:szCs w:val="24"/>
        </w:rPr>
      </w:pPr>
      <w:r w:rsidRPr="00633318">
        <w:rPr>
          <w:rFonts w:ascii="Times New Roman" w:hAnsi="Times New Roman" w:cs="Times New Roman"/>
          <w:szCs w:val="24"/>
        </w:rPr>
        <w:t xml:space="preserve">Wyboru stosowania </w:t>
      </w:r>
      <w:r w:rsidRPr="00633318">
        <w:rPr>
          <w:rFonts w:ascii="Times New Roman" w:hAnsi="Times New Roman" w:cs="Times New Roman"/>
          <w:i/>
          <w:iCs/>
          <w:szCs w:val="24"/>
        </w:rPr>
        <w:t>QDMTT safe harbour</w:t>
      </w:r>
      <w:r w:rsidRPr="00633318">
        <w:rPr>
          <w:rFonts w:ascii="Times New Roman" w:hAnsi="Times New Roman" w:cs="Times New Roman"/>
          <w:szCs w:val="24"/>
        </w:rPr>
        <w:t xml:space="preserve"> dokonuje się w odniesieniu do </w:t>
      </w:r>
      <w:r w:rsidR="009B1C43" w:rsidRPr="00633318">
        <w:rPr>
          <w:rFonts w:ascii="Times New Roman" w:hAnsi="Times New Roman" w:cs="Times New Roman"/>
          <w:szCs w:val="24"/>
        </w:rPr>
        <w:t xml:space="preserve">danej jurysdykcji innej </w:t>
      </w:r>
      <w:r w:rsidRPr="00633318">
        <w:rPr>
          <w:rFonts w:ascii="Times New Roman" w:hAnsi="Times New Roman" w:cs="Times New Roman"/>
          <w:szCs w:val="24"/>
        </w:rPr>
        <w:t xml:space="preserve">niż Rzeczpospolita Polska (w rzeczywistości dla podgrup w </w:t>
      </w:r>
      <w:r w:rsidR="009B1C43" w:rsidRPr="00633318">
        <w:rPr>
          <w:rFonts w:ascii="Times New Roman" w:hAnsi="Times New Roman" w:cs="Times New Roman"/>
          <w:szCs w:val="24"/>
        </w:rPr>
        <w:t xml:space="preserve">danej jurysdykcji </w:t>
      </w:r>
      <w:r w:rsidRPr="00633318">
        <w:rPr>
          <w:rFonts w:ascii="Times New Roman" w:hAnsi="Times New Roman" w:cs="Times New Roman"/>
          <w:szCs w:val="24"/>
        </w:rPr>
        <w:t>– co zostało opisane wcześniej), jeżeli:</w:t>
      </w:r>
    </w:p>
    <w:p w14:paraId="66C2E712" w14:textId="55026C39" w:rsidR="00F07D2C" w:rsidRPr="00633318" w:rsidRDefault="00F07D2C" w:rsidP="009E73F7">
      <w:pPr>
        <w:pStyle w:val="LITlitera"/>
        <w:numPr>
          <w:ilvl w:val="0"/>
          <w:numId w:val="127"/>
        </w:numPr>
        <w:spacing w:before="120" w:line="259" w:lineRule="auto"/>
        <w:rPr>
          <w:rFonts w:ascii="Times New Roman" w:hAnsi="Times New Roman" w:cs="Times New Roman"/>
          <w:szCs w:val="24"/>
        </w:rPr>
      </w:pPr>
      <w:r w:rsidRPr="00633318">
        <w:rPr>
          <w:rFonts w:ascii="Times New Roman" w:hAnsi="Times New Roman" w:cs="Times New Roman"/>
          <w:szCs w:val="24"/>
        </w:rPr>
        <w:t xml:space="preserve">wszystkie jednostki lub jednostki składowe zlokalizowane w </w:t>
      </w:r>
      <w:r w:rsidR="000E3AC9" w:rsidRPr="00633318">
        <w:rPr>
          <w:rFonts w:ascii="Times New Roman" w:hAnsi="Times New Roman" w:cs="Times New Roman"/>
          <w:szCs w:val="24"/>
        </w:rPr>
        <w:t xml:space="preserve">tej jurysdykcji </w:t>
      </w:r>
      <w:r w:rsidRPr="00633318">
        <w:rPr>
          <w:rFonts w:ascii="Times New Roman" w:hAnsi="Times New Roman" w:cs="Times New Roman"/>
          <w:szCs w:val="24"/>
        </w:rPr>
        <w:t>(oraz jednostki bezpaństwowe), dla których podatnik globalnego podatku wyrównawczego obliczałby efektywną stawkę podatkową, podlegają opodatkowaniu kwalifikowanym krajowym podatkiem wyrównawczym i podatek ten jest w całości wymagalny do zapłaty w rozumieniu przepisów o globalnym podatku wyrównawczym,</w:t>
      </w:r>
    </w:p>
    <w:p w14:paraId="5E279AF8" w14:textId="58D8A0DE" w:rsidR="00F07D2C" w:rsidRPr="00633318" w:rsidRDefault="000E3AC9" w:rsidP="009E73F7">
      <w:pPr>
        <w:pStyle w:val="LITlitera"/>
        <w:numPr>
          <w:ilvl w:val="0"/>
          <w:numId w:val="127"/>
        </w:numPr>
        <w:spacing w:before="120" w:line="259" w:lineRule="auto"/>
        <w:rPr>
          <w:rFonts w:ascii="Times New Roman" w:hAnsi="Times New Roman" w:cs="Times New Roman"/>
          <w:szCs w:val="24"/>
        </w:rPr>
      </w:pPr>
      <w:r w:rsidRPr="00633318">
        <w:rPr>
          <w:rFonts w:ascii="Times New Roman" w:hAnsi="Times New Roman" w:cs="Times New Roman"/>
          <w:szCs w:val="24"/>
        </w:rPr>
        <w:t xml:space="preserve">jurysdykcja </w:t>
      </w:r>
      <w:r w:rsidR="00F07D2C" w:rsidRPr="00633318">
        <w:rPr>
          <w:rFonts w:ascii="Times New Roman" w:hAnsi="Times New Roman" w:cs="Times New Roman"/>
          <w:szCs w:val="24"/>
        </w:rPr>
        <w:t xml:space="preserve">dla </w:t>
      </w:r>
      <w:r w:rsidRPr="00633318">
        <w:rPr>
          <w:rFonts w:ascii="Times New Roman" w:hAnsi="Times New Roman" w:cs="Times New Roman"/>
          <w:szCs w:val="24"/>
        </w:rPr>
        <w:t xml:space="preserve">której </w:t>
      </w:r>
      <w:r w:rsidR="00F07D2C" w:rsidRPr="00633318">
        <w:rPr>
          <w:rFonts w:ascii="Times New Roman" w:hAnsi="Times New Roman" w:cs="Times New Roman"/>
          <w:szCs w:val="24"/>
        </w:rPr>
        <w:t>wybór stosowania bezpiecznej przystani jest dokonywany, wskazan</w:t>
      </w:r>
      <w:r w:rsidR="001C19BA" w:rsidRPr="00633318">
        <w:rPr>
          <w:rFonts w:ascii="Times New Roman" w:hAnsi="Times New Roman" w:cs="Times New Roman"/>
          <w:szCs w:val="24"/>
        </w:rPr>
        <w:t>a</w:t>
      </w:r>
      <w:r w:rsidR="00F07D2C" w:rsidRPr="00633318">
        <w:rPr>
          <w:rFonts w:ascii="Times New Roman" w:hAnsi="Times New Roman" w:cs="Times New Roman"/>
          <w:szCs w:val="24"/>
        </w:rPr>
        <w:t xml:space="preserve"> jest we właściwym obwieszczeniu wydanym przez ministra właściwego do spraw finansów publicznych.</w:t>
      </w:r>
    </w:p>
    <w:p w14:paraId="3070F87B" w14:textId="5616AE40" w:rsidR="00F07D2C" w:rsidRPr="00633318" w:rsidRDefault="00F07D2C" w:rsidP="00F07D2C">
      <w:pPr>
        <w:pStyle w:val="LITlitera"/>
        <w:spacing w:before="120" w:line="259" w:lineRule="auto"/>
        <w:ind w:left="0" w:firstLine="0"/>
        <w:rPr>
          <w:rFonts w:ascii="Times New Roman" w:hAnsi="Times New Roman" w:cs="Times New Roman"/>
          <w:szCs w:val="24"/>
        </w:rPr>
      </w:pPr>
      <w:r w:rsidRPr="00633318">
        <w:rPr>
          <w:rFonts w:ascii="Times New Roman" w:hAnsi="Times New Roman" w:cs="Times New Roman"/>
          <w:szCs w:val="24"/>
        </w:rPr>
        <w:t xml:space="preserve">Pierwszy wymóg odnosi się nie tylko do „jednostek” grupy ale także do „jednostek składowych”, a więc ma szeroki zakres podmiotowy i jest to spójne z Wytycznymi Administracyjnymi, które pozwalają opodatkować QDMTT także bezpaństwowe jednostki składowe czy jednostki JV. Podatnik globalnego podatku wyrównawczego musi więc ocenić, czy w </w:t>
      </w:r>
      <w:r w:rsidR="000E3AC9" w:rsidRPr="00633318">
        <w:rPr>
          <w:rFonts w:ascii="Times New Roman" w:hAnsi="Times New Roman" w:cs="Times New Roman"/>
          <w:szCs w:val="24"/>
        </w:rPr>
        <w:t xml:space="preserve">danej jurysdykcji </w:t>
      </w:r>
      <w:r w:rsidRPr="00633318">
        <w:rPr>
          <w:rFonts w:ascii="Times New Roman" w:hAnsi="Times New Roman" w:cs="Times New Roman"/>
          <w:szCs w:val="24"/>
        </w:rPr>
        <w:t xml:space="preserve">wszystkie jednostki danej podgrupy, które byłyby normalnie przez </w:t>
      </w:r>
      <w:r w:rsidR="000E3AC9" w:rsidRPr="00633318">
        <w:rPr>
          <w:rFonts w:ascii="Times New Roman" w:hAnsi="Times New Roman" w:cs="Times New Roman"/>
          <w:szCs w:val="24"/>
        </w:rPr>
        <w:t xml:space="preserve">nią </w:t>
      </w:r>
      <w:r w:rsidRPr="00633318">
        <w:rPr>
          <w:rFonts w:ascii="Times New Roman" w:hAnsi="Times New Roman" w:cs="Times New Roman"/>
          <w:szCs w:val="24"/>
        </w:rPr>
        <w:t>uwzględniane w wyliczeniu globalnego podatku wyrównawczego, są objęte QDMTT. Po drugie, QDMTT, którym opodatkowane są wszystkie te jednostki, powinno być w całości wymagalne do zapłaty w rozumieniu przepisów o globalnym podatku wyrównawczym (</w:t>
      </w:r>
      <w:r w:rsidRPr="00633318">
        <w:rPr>
          <w:rFonts w:ascii="Times New Roman" w:hAnsi="Times New Roman" w:cs="Times New Roman"/>
          <w:i/>
          <w:iCs/>
          <w:szCs w:val="24"/>
        </w:rPr>
        <w:t>QDMTT payable</w:t>
      </w:r>
      <w:r w:rsidRPr="00633318">
        <w:rPr>
          <w:rFonts w:ascii="Times New Roman" w:hAnsi="Times New Roman" w:cs="Times New Roman"/>
          <w:szCs w:val="24"/>
        </w:rPr>
        <w:t>).</w:t>
      </w:r>
    </w:p>
    <w:p w14:paraId="78F95F19" w14:textId="72AF0D2F" w:rsidR="00F07D2C" w:rsidRPr="00633318" w:rsidRDefault="00F07D2C" w:rsidP="00191592">
      <w:pPr>
        <w:pStyle w:val="LITlitera"/>
        <w:spacing w:before="120" w:after="120" w:line="259" w:lineRule="auto"/>
        <w:ind w:left="0" w:firstLine="0"/>
        <w:rPr>
          <w:rFonts w:ascii="Times New Roman" w:hAnsi="Times New Roman" w:cs="Times New Roman"/>
          <w:szCs w:val="24"/>
        </w:rPr>
      </w:pPr>
      <w:r w:rsidRPr="00633318">
        <w:rPr>
          <w:rFonts w:ascii="Times New Roman" w:hAnsi="Times New Roman" w:cs="Times New Roman"/>
          <w:szCs w:val="24"/>
        </w:rPr>
        <w:t xml:space="preserve">Ostatni warunek odnosi się do tego by </w:t>
      </w:r>
      <w:r w:rsidR="000E3AC9" w:rsidRPr="00633318">
        <w:rPr>
          <w:rFonts w:ascii="Times New Roman" w:hAnsi="Times New Roman" w:cs="Times New Roman"/>
          <w:szCs w:val="24"/>
        </w:rPr>
        <w:t>jurysdykcja</w:t>
      </w:r>
      <w:r w:rsidRPr="00633318">
        <w:rPr>
          <w:rFonts w:ascii="Times New Roman" w:hAnsi="Times New Roman" w:cs="Times New Roman"/>
          <w:szCs w:val="24"/>
        </w:rPr>
        <w:t xml:space="preserve">, dla </w:t>
      </w:r>
      <w:r w:rsidR="000E3AC9" w:rsidRPr="00633318">
        <w:rPr>
          <w:rFonts w:ascii="Times New Roman" w:hAnsi="Times New Roman" w:cs="Times New Roman"/>
          <w:szCs w:val="24"/>
        </w:rPr>
        <w:t xml:space="preserve">której </w:t>
      </w:r>
      <w:r w:rsidRPr="00633318">
        <w:rPr>
          <w:rFonts w:ascii="Times New Roman" w:hAnsi="Times New Roman" w:cs="Times New Roman"/>
          <w:szCs w:val="24"/>
        </w:rPr>
        <w:t xml:space="preserve">dokonuje się wyboru, </w:t>
      </w:r>
      <w:r w:rsidR="000E3AC9" w:rsidRPr="00633318">
        <w:rPr>
          <w:rFonts w:ascii="Times New Roman" w:hAnsi="Times New Roman" w:cs="Times New Roman"/>
          <w:szCs w:val="24"/>
        </w:rPr>
        <w:t xml:space="preserve">była wskazana </w:t>
      </w:r>
      <w:r w:rsidRPr="00633318">
        <w:rPr>
          <w:rFonts w:ascii="Times New Roman" w:hAnsi="Times New Roman" w:cs="Times New Roman"/>
          <w:szCs w:val="24"/>
        </w:rPr>
        <w:t xml:space="preserve">we właściwym obwieszczeniu wydanym przez ministra właściwego do spraw finansów publicznych w sprawie bezpiecznych przystani dla kwalifikowanego krajowego podatku wyrównawczego innych </w:t>
      </w:r>
      <w:r w:rsidR="000E3AC9" w:rsidRPr="00633318">
        <w:rPr>
          <w:rFonts w:ascii="Times New Roman" w:hAnsi="Times New Roman" w:cs="Times New Roman"/>
          <w:szCs w:val="24"/>
        </w:rPr>
        <w:t>jurysdykcji</w:t>
      </w:r>
      <w:r w:rsidRPr="00633318">
        <w:rPr>
          <w:rFonts w:ascii="Times New Roman" w:hAnsi="Times New Roman" w:cs="Times New Roman"/>
          <w:szCs w:val="24"/>
        </w:rPr>
        <w:t>. Obwieszczenie to będzie wydawane w referencji do listy jurysdykcji posiadających status kwalifikowany dla swojego krajowego podatku wyrównawczego, która będzie wydawana przez OECD we współpracy z Inclusive Framework.</w:t>
      </w:r>
    </w:p>
    <w:p w14:paraId="23ED8CCF" w14:textId="033CEB3F" w:rsidR="00F07D2C" w:rsidRPr="003E7A67" w:rsidRDefault="00F07D2C"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11C228D0" w14:textId="679D59AC" w:rsidR="00F07D2C" w:rsidRPr="003E7A67" w:rsidRDefault="00F07D2C"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3E7A67">
        <w:rPr>
          <w:rFonts w:asciiTheme="minorHAnsi" w:hAnsiTheme="minorHAnsi" w:cstheme="minorHAnsi"/>
          <w:bCs w:val="0"/>
          <w:i/>
          <w:iCs/>
          <w:sz w:val="22"/>
          <w:szCs w:val="22"/>
        </w:rPr>
        <w:t xml:space="preserve">Polskie UPE posiada 3 jednostki składowe w </w:t>
      </w:r>
      <w:r w:rsidR="000E3AC9"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„A” oraz ma udziały w joint venture i w jednostce zależnej joint venture zlokalizowanych w </w:t>
      </w:r>
      <w:r w:rsidR="000E3AC9"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„A”. </w:t>
      </w:r>
      <w:r w:rsidR="000E3AC9" w:rsidRPr="003E7A67">
        <w:rPr>
          <w:rFonts w:asciiTheme="minorHAnsi" w:hAnsiTheme="minorHAnsi" w:cstheme="minorHAnsi"/>
          <w:bCs w:val="0"/>
          <w:i/>
          <w:iCs/>
          <w:sz w:val="22"/>
          <w:szCs w:val="22"/>
        </w:rPr>
        <w:t xml:space="preserve">Jurysdykcja </w:t>
      </w:r>
      <w:r w:rsidRPr="003E7A67">
        <w:rPr>
          <w:rFonts w:asciiTheme="minorHAnsi" w:hAnsiTheme="minorHAnsi" w:cstheme="minorHAnsi"/>
          <w:bCs w:val="0"/>
          <w:i/>
          <w:iCs/>
          <w:sz w:val="22"/>
          <w:szCs w:val="22"/>
        </w:rPr>
        <w:t xml:space="preserve">„A” posiada QDMTT SH wskazane we właściwym obwieszczeniu. QDMTT należne od 3 jednostek składowych jest wymagalne do zapłaty. 50% kwoty QDMTT od podgrupy joint venture nie jest wymagalne do zapłaty (grupa podważyła zasadność 50% tego podatku na gruncie konstytucyjnym w </w:t>
      </w:r>
      <w:r w:rsidR="000E3AC9"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 xml:space="preserve">„A”). Wybór o stosowaniu bezpiecznej przystani dla </w:t>
      </w:r>
      <w:r w:rsidR="000E3AC9" w:rsidRPr="003E7A67">
        <w:rPr>
          <w:rFonts w:asciiTheme="minorHAnsi" w:hAnsiTheme="minorHAnsi" w:cstheme="minorHAnsi"/>
          <w:bCs w:val="0"/>
          <w:i/>
          <w:iCs/>
          <w:sz w:val="22"/>
          <w:szCs w:val="22"/>
        </w:rPr>
        <w:t xml:space="preserve">jurysdykcji </w:t>
      </w:r>
      <w:r w:rsidRPr="003E7A67">
        <w:rPr>
          <w:rFonts w:asciiTheme="minorHAnsi" w:hAnsiTheme="minorHAnsi" w:cstheme="minorHAnsi"/>
          <w:bCs w:val="0"/>
          <w:i/>
          <w:iCs/>
          <w:sz w:val="22"/>
          <w:szCs w:val="22"/>
        </w:rPr>
        <w:t>„A” możliwy jest dla 3 jednostek składowych, a nie jest możliwy dla podgrupy joint venture składającej się z jednostki joint venture i jednostki zależnej joint venture. We wskazanym przykładzie, UPE może wybrać stosowanie QDMTT SH jedynie dla 3 jednostek składowych. Do obliczeń dla podgrupy joint venture musi zastosować zasadę QDMTT credit, przy czym zgodnie z zasadami obliczania globalnego podatku wyrównawczego, credit może być zastosowany jednie do części wymagalnej do zapłaty (50% w tym przykładzie), a pozostałe 50% nie obniży globalnego podatku wyrównawczego.</w:t>
      </w:r>
    </w:p>
    <w:p w14:paraId="65E931D2" w14:textId="0FFF6227" w:rsidR="00350E8E" w:rsidRPr="00633318" w:rsidRDefault="00350E8E" w:rsidP="00696BBC">
      <w:pPr>
        <w:pStyle w:val="Nagwek5"/>
        <w:spacing w:before="240"/>
        <w:jc w:val="both"/>
        <w:rPr>
          <w:rFonts w:ascii="Times New Roman" w:hAnsi="Times New Roman" w:cs="Times New Roman"/>
          <w:sz w:val="24"/>
          <w:szCs w:val="24"/>
        </w:rPr>
      </w:pPr>
      <w:r w:rsidRPr="00633318">
        <w:rPr>
          <w:rFonts w:ascii="Times New Roman" w:hAnsi="Times New Roman" w:cs="Times New Roman"/>
          <w:sz w:val="24"/>
          <w:szCs w:val="24"/>
        </w:rPr>
        <w:t>Art. 126 [</w:t>
      </w:r>
      <w:r w:rsidR="00696BBC" w:rsidRPr="00633318">
        <w:rPr>
          <w:rFonts w:ascii="Times New Roman" w:hAnsi="Times New Roman" w:cs="Times New Roman"/>
          <w:sz w:val="24"/>
          <w:szCs w:val="24"/>
        </w:rPr>
        <w:t>Z</w:t>
      </w:r>
      <w:r w:rsidRPr="00633318">
        <w:rPr>
          <w:rFonts w:ascii="Times New Roman" w:hAnsi="Times New Roman" w:cs="Times New Roman"/>
          <w:sz w:val="24"/>
          <w:szCs w:val="24"/>
        </w:rPr>
        <w:t>akres stosowania bezpiecznej przystani dla jednostek składowych osiągających wyniki finansowe o niskiej istotności]</w:t>
      </w:r>
    </w:p>
    <w:p w14:paraId="1B92EB7D" w14:textId="04020A71" w:rsidR="00350E8E" w:rsidRPr="00633318" w:rsidRDefault="00350E8E" w:rsidP="00350E8E">
      <w:pPr>
        <w:spacing w:after="120"/>
        <w:jc w:val="both"/>
        <w:rPr>
          <w:rFonts w:ascii="Times New Roman" w:hAnsi="Times New Roman" w:cs="Times New Roman"/>
          <w:sz w:val="24"/>
          <w:szCs w:val="24"/>
        </w:rPr>
      </w:pPr>
      <w:r w:rsidRPr="00633318">
        <w:rPr>
          <w:rFonts w:ascii="Times New Roman" w:hAnsi="Times New Roman" w:cs="Times New Roman"/>
          <w:bCs/>
          <w:sz w:val="24"/>
          <w:szCs w:val="24"/>
        </w:rPr>
        <w:t>Artykuł ten implementuje Wytyczne Administracyjne z grudnia 2023 r.</w:t>
      </w:r>
      <w:r w:rsidRPr="00633318">
        <w:rPr>
          <w:rFonts w:ascii="Times New Roman" w:hAnsi="Times New Roman" w:cs="Times New Roman"/>
          <w:b/>
          <w:sz w:val="24"/>
          <w:szCs w:val="24"/>
        </w:rPr>
        <w:t xml:space="preserve"> </w:t>
      </w:r>
      <w:r w:rsidRPr="00633318">
        <w:rPr>
          <w:rFonts w:ascii="Times New Roman" w:hAnsi="Times New Roman" w:cs="Times New Roman"/>
          <w:sz w:val="24"/>
          <w:szCs w:val="24"/>
        </w:rPr>
        <w:t>w zakresie uproszczeń kalkulacyjnych dla jednostek składowych osiągających wyniki finansowe o niskiej istotności (</w:t>
      </w:r>
      <w:r w:rsidRPr="00633318">
        <w:rPr>
          <w:rFonts w:ascii="Times New Roman" w:hAnsi="Times New Roman" w:cs="Times New Roman"/>
          <w:i/>
          <w:sz w:val="24"/>
          <w:szCs w:val="24"/>
        </w:rPr>
        <w:t>Non–Material Constituent Entities</w:t>
      </w:r>
      <w:r w:rsidRPr="00633318">
        <w:rPr>
          <w:rFonts w:ascii="Times New Roman" w:hAnsi="Times New Roman" w:cs="Times New Roman"/>
          <w:sz w:val="24"/>
          <w:szCs w:val="24"/>
        </w:rPr>
        <w:t xml:space="preserve">) w nawiązaniu do dokumentu OECD zakresie </w:t>
      </w:r>
      <w:r w:rsidR="002644E7" w:rsidRPr="00633318">
        <w:rPr>
          <w:rFonts w:ascii="Times New Roman" w:hAnsi="Times New Roman" w:cs="Times New Roman"/>
          <w:sz w:val="24"/>
          <w:szCs w:val="24"/>
        </w:rPr>
        <w:t>permanentnych</w:t>
      </w:r>
      <w:r w:rsidRPr="00633318">
        <w:rPr>
          <w:rFonts w:ascii="Times New Roman" w:hAnsi="Times New Roman" w:cs="Times New Roman"/>
          <w:sz w:val="24"/>
          <w:szCs w:val="24"/>
        </w:rPr>
        <w:t xml:space="preserve"> bezpiecznych przystani</w:t>
      </w:r>
      <w:r w:rsidRPr="00633318">
        <w:rPr>
          <w:rStyle w:val="Odwoanieprzypisudolnego"/>
          <w:rFonts w:ascii="Times New Roman" w:hAnsi="Times New Roman" w:cs="Times New Roman"/>
          <w:sz w:val="24"/>
          <w:szCs w:val="24"/>
        </w:rPr>
        <w:footnoteReference w:id="157"/>
      </w:r>
      <w:r w:rsidRPr="00633318">
        <w:rPr>
          <w:rFonts w:ascii="Times New Roman" w:hAnsi="Times New Roman" w:cs="Times New Roman"/>
          <w:sz w:val="24"/>
          <w:szCs w:val="24"/>
        </w:rPr>
        <w:t xml:space="preserve">. </w:t>
      </w:r>
    </w:p>
    <w:p w14:paraId="07D47B3E" w14:textId="22322B08" w:rsidR="00350E8E" w:rsidRPr="00633318" w:rsidRDefault="00350E8E" w:rsidP="00350E8E">
      <w:pPr>
        <w:spacing w:after="120"/>
        <w:jc w:val="both"/>
        <w:rPr>
          <w:rFonts w:ascii="Times New Roman" w:hAnsi="Times New Roman" w:cs="Times New Roman"/>
          <w:sz w:val="24"/>
          <w:szCs w:val="24"/>
        </w:rPr>
      </w:pPr>
      <w:r w:rsidRPr="00633318">
        <w:rPr>
          <w:rFonts w:ascii="Times New Roman" w:hAnsi="Times New Roman" w:cs="Times New Roman"/>
          <w:sz w:val="24"/>
          <w:szCs w:val="24"/>
        </w:rPr>
        <w:t>Wskazuje on zakres stosowania uproszczonej metody kalkulacji</w:t>
      </w:r>
      <w:r w:rsidR="002644E7" w:rsidRPr="00633318">
        <w:rPr>
          <w:rFonts w:ascii="Times New Roman" w:hAnsi="Times New Roman" w:cs="Times New Roman"/>
          <w:sz w:val="24"/>
          <w:szCs w:val="24"/>
        </w:rPr>
        <w:t xml:space="preserve"> (</w:t>
      </w:r>
      <w:r w:rsidR="002644E7" w:rsidRPr="00633318">
        <w:rPr>
          <w:rFonts w:ascii="Times New Roman" w:hAnsi="Times New Roman" w:cs="Times New Roman"/>
          <w:i/>
          <w:iCs/>
          <w:sz w:val="24"/>
          <w:szCs w:val="24"/>
        </w:rPr>
        <w:t>Simplified Calculations Safe harbour Framework</w:t>
      </w:r>
      <w:r w:rsidR="002644E7" w:rsidRPr="00633318">
        <w:rPr>
          <w:rStyle w:val="Odwoanieprzypisudolnego"/>
          <w:rFonts w:ascii="Times New Roman" w:hAnsi="Times New Roman" w:cs="Times New Roman"/>
          <w:i/>
          <w:iCs/>
          <w:sz w:val="24"/>
          <w:szCs w:val="24"/>
          <w:lang w:val="en-GB"/>
        </w:rPr>
        <w:footnoteReference w:id="158"/>
      </w:r>
      <w:r w:rsidR="002644E7" w:rsidRPr="00633318">
        <w:rPr>
          <w:rFonts w:ascii="Times New Roman" w:hAnsi="Times New Roman" w:cs="Times New Roman"/>
          <w:sz w:val="24"/>
          <w:szCs w:val="24"/>
        </w:rPr>
        <w:t>)</w:t>
      </w:r>
      <w:r w:rsidRPr="00633318">
        <w:rPr>
          <w:rFonts w:ascii="Times New Roman" w:hAnsi="Times New Roman" w:cs="Times New Roman"/>
          <w:sz w:val="24"/>
          <w:szCs w:val="24"/>
        </w:rPr>
        <w:t xml:space="preserve"> określonej w kolejnym artykule. Zgodnie z art. 126, taka uproszczona metoda kalkulacji dla jednostek składowych osiągających wyniki finansowe o niskiej istotności może być stosowana w celu sprawdzenia, czy</w:t>
      </w:r>
      <w:r w:rsidR="002A20BD" w:rsidRPr="00633318">
        <w:rPr>
          <w:rFonts w:ascii="Times New Roman" w:hAnsi="Times New Roman" w:cs="Times New Roman"/>
          <w:sz w:val="24"/>
          <w:szCs w:val="24"/>
        </w:rPr>
        <w:t xml:space="preserve"> dla </w:t>
      </w:r>
      <w:r w:rsidR="000E3AC9" w:rsidRPr="00633318">
        <w:rPr>
          <w:rFonts w:ascii="Times New Roman" w:hAnsi="Times New Roman" w:cs="Times New Roman"/>
          <w:sz w:val="24"/>
          <w:szCs w:val="24"/>
        </w:rPr>
        <w:t>danej jurysdykcji</w:t>
      </w:r>
      <w:r w:rsidR="002A20BD" w:rsidRPr="00633318">
        <w:rPr>
          <w:rFonts w:ascii="Times New Roman" w:hAnsi="Times New Roman" w:cs="Times New Roman"/>
          <w:sz w:val="24"/>
          <w:szCs w:val="24"/>
        </w:rPr>
        <w:t>:</w:t>
      </w:r>
    </w:p>
    <w:p w14:paraId="7D88B47D" w14:textId="77777777" w:rsidR="00350E8E" w:rsidRPr="00633318" w:rsidRDefault="00350E8E" w:rsidP="00350E8E">
      <w:pPr>
        <w:spacing w:after="120"/>
        <w:jc w:val="both"/>
        <w:rPr>
          <w:rFonts w:ascii="Times New Roman" w:hAnsi="Times New Roman" w:cs="Times New Roman"/>
          <w:sz w:val="24"/>
          <w:szCs w:val="24"/>
        </w:rPr>
      </w:pPr>
      <w:r w:rsidRPr="00633318">
        <w:rPr>
          <w:rFonts w:ascii="Times New Roman" w:hAnsi="Times New Roman" w:cs="Times New Roman"/>
          <w:sz w:val="24"/>
          <w:szCs w:val="24"/>
        </w:rPr>
        <w:t>1)</w:t>
      </w:r>
      <w:r w:rsidRPr="00633318">
        <w:rPr>
          <w:rFonts w:ascii="Times New Roman" w:hAnsi="Times New Roman" w:cs="Times New Roman"/>
          <w:sz w:val="24"/>
          <w:szCs w:val="24"/>
        </w:rPr>
        <w:tab/>
        <w:t>nadwyżka zysku wynosi więcej niż zero,</w:t>
      </w:r>
    </w:p>
    <w:p w14:paraId="00811DBE" w14:textId="7CEF504D" w:rsidR="00350E8E" w:rsidRPr="00633318" w:rsidRDefault="00350E8E" w:rsidP="00350E8E">
      <w:pPr>
        <w:spacing w:after="120"/>
        <w:jc w:val="both"/>
        <w:rPr>
          <w:rFonts w:ascii="Times New Roman" w:hAnsi="Times New Roman" w:cs="Times New Roman"/>
          <w:sz w:val="24"/>
          <w:szCs w:val="24"/>
        </w:rPr>
      </w:pPr>
      <w:r w:rsidRPr="00633318">
        <w:rPr>
          <w:rFonts w:ascii="Times New Roman" w:hAnsi="Times New Roman" w:cs="Times New Roman"/>
          <w:sz w:val="24"/>
          <w:szCs w:val="24"/>
        </w:rPr>
        <w:t>2)</w:t>
      </w:r>
      <w:r w:rsidRPr="00633318">
        <w:rPr>
          <w:rFonts w:ascii="Times New Roman" w:hAnsi="Times New Roman" w:cs="Times New Roman"/>
          <w:sz w:val="24"/>
          <w:szCs w:val="24"/>
        </w:rPr>
        <w:tab/>
      </w:r>
      <w:r w:rsidR="00A828FE" w:rsidRPr="00633318">
        <w:rPr>
          <w:rFonts w:ascii="Times New Roman" w:hAnsi="Times New Roman" w:cs="Times New Roman"/>
          <w:sz w:val="24"/>
          <w:szCs w:val="24"/>
        </w:rPr>
        <w:t>możliwy jest wybór</w:t>
      </w:r>
      <w:r w:rsidRPr="00633318">
        <w:rPr>
          <w:rFonts w:ascii="Times New Roman" w:hAnsi="Times New Roman" w:cs="Times New Roman"/>
          <w:sz w:val="24"/>
          <w:szCs w:val="24"/>
        </w:rPr>
        <w:t xml:space="preserve"> wyłączeni</w:t>
      </w:r>
      <w:r w:rsidR="00A828FE" w:rsidRPr="00633318">
        <w:rPr>
          <w:rFonts w:ascii="Times New Roman" w:hAnsi="Times New Roman" w:cs="Times New Roman"/>
          <w:sz w:val="24"/>
          <w:szCs w:val="24"/>
        </w:rPr>
        <w:t>a</w:t>
      </w:r>
      <w:r w:rsidRPr="00633318">
        <w:rPr>
          <w:rFonts w:ascii="Times New Roman" w:hAnsi="Times New Roman" w:cs="Times New Roman"/>
          <w:sz w:val="24"/>
          <w:szCs w:val="24"/>
        </w:rPr>
        <w:t xml:space="preserve"> </w:t>
      </w:r>
      <w:r w:rsidRPr="00633318">
        <w:rPr>
          <w:rFonts w:ascii="Times New Roman" w:hAnsi="Times New Roman" w:cs="Times New Roman"/>
          <w:i/>
          <w:iCs/>
          <w:sz w:val="24"/>
          <w:szCs w:val="24"/>
        </w:rPr>
        <w:t>de minimis</w:t>
      </w:r>
      <w:r w:rsidRPr="00633318">
        <w:rPr>
          <w:rFonts w:ascii="Times New Roman" w:hAnsi="Times New Roman" w:cs="Times New Roman"/>
          <w:sz w:val="24"/>
          <w:szCs w:val="24"/>
        </w:rPr>
        <w:t>,</w:t>
      </w:r>
    </w:p>
    <w:p w14:paraId="5325A2F3" w14:textId="3909F77E" w:rsidR="00350E8E" w:rsidRPr="00633318" w:rsidRDefault="00350E8E" w:rsidP="00350E8E">
      <w:pPr>
        <w:spacing w:after="120"/>
        <w:jc w:val="both"/>
        <w:rPr>
          <w:rFonts w:ascii="Times New Roman" w:hAnsi="Times New Roman" w:cs="Times New Roman"/>
          <w:sz w:val="24"/>
          <w:szCs w:val="24"/>
        </w:rPr>
      </w:pPr>
      <w:r w:rsidRPr="00633318">
        <w:rPr>
          <w:rFonts w:ascii="Times New Roman" w:hAnsi="Times New Roman" w:cs="Times New Roman"/>
          <w:sz w:val="24"/>
          <w:szCs w:val="24"/>
        </w:rPr>
        <w:t>3)</w:t>
      </w:r>
      <w:r w:rsidRPr="00633318">
        <w:rPr>
          <w:rFonts w:ascii="Times New Roman" w:hAnsi="Times New Roman" w:cs="Times New Roman"/>
          <w:sz w:val="24"/>
          <w:szCs w:val="24"/>
        </w:rPr>
        <w:tab/>
        <w:t>efektywna stawka podatkowa wynosi więcej niż 15%.</w:t>
      </w:r>
    </w:p>
    <w:p w14:paraId="5E59B717" w14:textId="68FAACC7" w:rsidR="008F6451" w:rsidRPr="00633318" w:rsidRDefault="008F6451" w:rsidP="00696BBC">
      <w:pPr>
        <w:pStyle w:val="Nagwek5"/>
        <w:spacing w:before="240"/>
        <w:jc w:val="both"/>
        <w:rPr>
          <w:rFonts w:ascii="Times New Roman" w:hAnsi="Times New Roman" w:cs="Times New Roman"/>
          <w:sz w:val="24"/>
          <w:szCs w:val="24"/>
        </w:rPr>
      </w:pPr>
      <w:r w:rsidRPr="00633318">
        <w:rPr>
          <w:rFonts w:ascii="Times New Roman" w:hAnsi="Times New Roman" w:cs="Times New Roman"/>
          <w:sz w:val="24"/>
          <w:szCs w:val="24"/>
        </w:rPr>
        <w:t>Art. 127 [</w:t>
      </w:r>
      <w:r w:rsidR="00696BBC" w:rsidRPr="00633318">
        <w:rPr>
          <w:rFonts w:ascii="Times New Roman" w:hAnsi="Times New Roman" w:cs="Times New Roman"/>
          <w:sz w:val="24"/>
          <w:szCs w:val="24"/>
        </w:rPr>
        <w:t>B</w:t>
      </w:r>
      <w:r w:rsidRPr="00633318">
        <w:rPr>
          <w:rFonts w:ascii="Times New Roman" w:hAnsi="Times New Roman" w:cs="Times New Roman"/>
          <w:sz w:val="24"/>
          <w:szCs w:val="24"/>
        </w:rPr>
        <w:t>ezpieczna przystań dla jednostek składowych osiągających wyniki finansowe o niskiej istotności]</w:t>
      </w:r>
    </w:p>
    <w:p w14:paraId="32D1D967" w14:textId="40ABB43E" w:rsidR="008F6451" w:rsidRPr="00633318" w:rsidRDefault="008F6451" w:rsidP="008F6451">
      <w:pPr>
        <w:spacing w:after="120"/>
        <w:jc w:val="both"/>
        <w:rPr>
          <w:rFonts w:ascii="Times New Roman" w:hAnsi="Times New Roman" w:cs="Times New Roman"/>
          <w:sz w:val="24"/>
          <w:szCs w:val="24"/>
        </w:rPr>
      </w:pPr>
      <w:r w:rsidRPr="00633318">
        <w:rPr>
          <w:rFonts w:ascii="Times New Roman" w:hAnsi="Times New Roman" w:cs="Times New Roman"/>
          <w:b/>
          <w:sz w:val="24"/>
          <w:szCs w:val="24"/>
        </w:rPr>
        <w:t>Art. 127</w:t>
      </w:r>
      <w:r w:rsidRPr="00633318">
        <w:rPr>
          <w:rFonts w:ascii="Times New Roman" w:hAnsi="Times New Roman" w:cs="Times New Roman"/>
          <w:sz w:val="24"/>
          <w:szCs w:val="24"/>
        </w:rPr>
        <w:t xml:space="preserve"> </w:t>
      </w:r>
      <w:r w:rsidR="00350E8E" w:rsidRPr="00633318">
        <w:rPr>
          <w:rFonts w:ascii="Times New Roman" w:hAnsi="Times New Roman" w:cs="Times New Roman"/>
          <w:sz w:val="24"/>
          <w:szCs w:val="24"/>
        </w:rPr>
        <w:t xml:space="preserve">stanowi dalszą implementację </w:t>
      </w:r>
      <w:r w:rsidRPr="00633318">
        <w:rPr>
          <w:rFonts w:ascii="Times New Roman" w:hAnsi="Times New Roman" w:cs="Times New Roman"/>
          <w:bCs/>
          <w:sz w:val="24"/>
          <w:szCs w:val="24"/>
        </w:rPr>
        <w:t>Wytyczn</w:t>
      </w:r>
      <w:r w:rsidR="00350E8E" w:rsidRPr="00633318">
        <w:rPr>
          <w:rFonts w:ascii="Times New Roman" w:hAnsi="Times New Roman" w:cs="Times New Roman"/>
          <w:bCs/>
          <w:sz w:val="24"/>
          <w:szCs w:val="24"/>
        </w:rPr>
        <w:t>ych</w:t>
      </w:r>
      <w:r w:rsidRPr="00633318">
        <w:rPr>
          <w:rFonts w:ascii="Times New Roman" w:hAnsi="Times New Roman" w:cs="Times New Roman"/>
          <w:bCs/>
          <w:sz w:val="24"/>
          <w:szCs w:val="24"/>
        </w:rPr>
        <w:t xml:space="preserve"> Administracyjn</w:t>
      </w:r>
      <w:r w:rsidR="00350E8E" w:rsidRPr="00633318">
        <w:rPr>
          <w:rFonts w:ascii="Times New Roman" w:hAnsi="Times New Roman" w:cs="Times New Roman"/>
          <w:bCs/>
          <w:sz w:val="24"/>
          <w:szCs w:val="24"/>
        </w:rPr>
        <w:t>ych</w:t>
      </w:r>
      <w:r w:rsidRPr="00633318">
        <w:rPr>
          <w:rFonts w:ascii="Times New Roman" w:hAnsi="Times New Roman" w:cs="Times New Roman"/>
          <w:bCs/>
          <w:sz w:val="24"/>
          <w:szCs w:val="24"/>
        </w:rPr>
        <w:t xml:space="preserve"> z grudnia 2023 r.</w:t>
      </w:r>
      <w:r w:rsidRPr="00633318">
        <w:rPr>
          <w:rFonts w:ascii="Times New Roman" w:hAnsi="Times New Roman" w:cs="Times New Roman"/>
          <w:b/>
          <w:sz w:val="24"/>
          <w:szCs w:val="24"/>
        </w:rPr>
        <w:t xml:space="preserve"> </w:t>
      </w:r>
      <w:r w:rsidRPr="00633318">
        <w:rPr>
          <w:rFonts w:ascii="Times New Roman" w:hAnsi="Times New Roman" w:cs="Times New Roman"/>
          <w:sz w:val="24"/>
          <w:szCs w:val="24"/>
        </w:rPr>
        <w:t>w zakresie uproszczeń kalkulacyjnych dla jednostek składowych osiągających wyniki finansowe o niskiej istotności (</w:t>
      </w:r>
      <w:r w:rsidRPr="00633318">
        <w:rPr>
          <w:rFonts w:ascii="Times New Roman" w:hAnsi="Times New Roman" w:cs="Times New Roman"/>
          <w:i/>
          <w:sz w:val="24"/>
          <w:szCs w:val="24"/>
        </w:rPr>
        <w:t>Non–Material Constituent Entities</w:t>
      </w:r>
      <w:r w:rsidRPr="00633318">
        <w:rPr>
          <w:rFonts w:ascii="Times New Roman" w:hAnsi="Times New Roman" w:cs="Times New Roman"/>
          <w:sz w:val="24"/>
          <w:szCs w:val="24"/>
        </w:rPr>
        <w:t>) w nawiązaniu do dokumentu OECD</w:t>
      </w:r>
      <w:r w:rsidR="00120DDD" w:rsidRPr="00633318">
        <w:rPr>
          <w:rFonts w:ascii="Times New Roman" w:hAnsi="Times New Roman" w:cs="Times New Roman"/>
          <w:sz w:val="24"/>
          <w:szCs w:val="24"/>
        </w:rPr>
        <w:t xml:space="preserve"> w</w:t>
      </w:r>
      <w:r w:rsidRPr="00633318">
        <w:rPr>
          <w:rFonts w:ascii="Times New Roman" w:hAnsi="Times New Roman" w:cs="Times New Roman"/>
          <w:sz w:val="24"/>
          <w:szCs w:val="24"/>
        </w:rPr>
        <w:t xml:space="preserve"> zakresie </w:t>
      </w:r>
      <w:r w:rsidR="002644E7" w:rsidRPr="00633318">
        <w:rPr>
          <w:rFonts w:ascii="Times New Roman" w:hAnsi="Times New Roman" w:cs="Times New Roman"/>
          <w:sz w:val="24"/>
          <w:szCs w:val="24"/>
        </w:rPr>
        <w:t>permanentnych</w:t>
      </w:r>
      <w:r w:rsidRPr="00633318">
        <w:rPr>
          <w:rFonts w:ascii="Times New Roman" w:hAnsi="Times New Roman" w:cs="Times New Roman"/>
          <w:sz w:val="24"/>
          <w:szCs w:val="24"/>
        </w:rPr>
        <w:t xml:space="preserve"> bezpiecznych przystani</w:t>
      </w:r>
      <w:r w:rsidRPr="00633318">
        <w:rPr>
          <w:rStyle w:val="Odwoanieprzypisudolnego"/>
          <w:rFonts w:ascii="Times New Roman" w:hAnsi="Times New Roman" w:cs="Times New Roman"/>
          <w:sz w:val="24"/>
          <w:szCs w:val="24"/>
        </w:rPr>
        <w:footnoteReference w:id="159"/>
      </w:r>
      <w:r w:rsidRPr="00633318">
        <w:rPr>
          <w:rFonts w:ascii="Times New Roman" w:hAnsi="Times New Roman" w:cs="Times New Roman"/>
          <w:sz w:val="24"/>
          <w:szCs w:val="24"/>
        </w:rPr>
        <w:t>.</w:t>
      </w:r>
    </w:p>
    <w:p w14:paraId="378E1B69" w14:textId="77777777" w:rsidR="008F6451" w:rsidRPr="00633318" w:rsidRDefault="008F6451" w:rsidP="008F6451">
      <w:pPr>
        <w:spacing w:after="120"/>
        <w:jc w:val="both"/>
        <w:rPr>
          <w:rFonts w:ascii="Times New Roman" w:hAnsi="Times New Roman" w:cs="Times New Roman"/>
          <w:sz w:val="24"/>
          <w:szCs w:val="24"/>
        </w:rPr>
      </w:pPr>
      <w:r w:rsidRPr="00633318">
        <w:rPr>
          <w:rFonts w:ascii="Times New Roman" w:hAnsi="Times New Roman" w:cs="Times New Roman"/>
          <w:sz w:val="24"/>
          <w:szCs w:val="24"/>
        </w:rPr>
        <w:t>Takie jednostki należą do grupy, zgodnie bowiem z definicją grupy, obejmuje ona nie tylko jednostki uwzględnione w skonsolidowanym sprawozdaniu grupy, ale również jednostki</w:t>
      </w:r>
      <w:r w:rsidRPr="00633318">
        <w:rPr>
          <w:rFonts w:ascii="Times New Roman" w:hAnsi="Times New Roman" w:cs="Times New Roman"/>
          <w:i/>
          <w:sz w:val="24"/>
          <w:szCs w:val="24"/>
        </w:rPr>
        <w:t xml:space="preserve"> </w:t>
      </w:r>
      <w:r w:rsidRPr="00633318">
        <w:rPr>
          <w:rFonts w:ascii="Times New Roman" w:hAnsi="Times New Roman" w:cs="Times New Roman"/>
          <w:sz w:val="24"/>
          <w:szCs w:val="24"/>
        </w:rPr>
        <w:t xml:space="preserve">nieuwzględnione w takim sprawozdaniu finansowego </w:t>
      </w:r>
      <w:r w:rsidRPr="00633318">
        <w:rPr>
          <w:rFonts w:ascii="Times New Roman" w:hAnsi="Times New Roman" w:cs="Times New Roman"/>
          <w:b/>
          <w:sz w:val="24"/>
          <w:szCs w:val="24"/>
        </w:rPr>
        <w:t>wyłącznie</w:t>
      </w:r>
      <w:r w:rsidRPr="00633318">
        <w:rPr>
          <w:rFonts w:ascii="Times New Roman" w:hAnsi="Times New Roman" w:cs="Times New Roman"/>
          <w:sz w:val="24"/>
          <w:szCs w:val="24"/>
        </w:rPr>
        <w:t xml:space="preserve"> ze względu na ich niewielki rozmiar lub nieistotność (a także ze względu na przeznaczenie do sprzedaży). Tego typu jednostki stanowią zatem również jednostki składowe.</w:t>
      </w:r>
    </w:p>
    <w:p w14:paraId="61BE6090" w14:textId="03E88B58" w:rsidR="008F6451" w:rsidRPr="00633318" w:rsidRDefault="008F6451" w:rsidP="008F6451">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Jednakże, z uwagi na niską istotność osiąganych przez nie wyników finansowych, celowa jest minimalizacja obciążeń administracyjnych w odniesieniu do tych jednostek. W ślad za Wytycznymi Administracyjnymi, na gruncie ustawy przyjęto zatem uproszczone rozwiązanie w zakresie kalkulacji niezbędnych dla określenia czy grupa może zastosować inną bezpieczną przystań. Uproszczone rozwiązanie jest zależne od dokonania wyboru, o którym mowa </w:t>
      </w:r>
      <w:r w:rsidRPr="00633318">
        <w:rPr>
          <w:rFonts w:ascii="Times New Roman" w:hAnsi="Times New Roman" w:cs="Times New Roman"/>
          <w:b/>
          <w:sz w:val="24"/>
          <w:szCs w:val="24"/>
        </w:rPr>
        <w:t>ust. 1</w:t>
      </w:r>
      <w:r w:rsidRPr="00633318">
        <w:rPr>
          <w:rFonts w:ascii="Times New Roman" w:hAnsi="Times New Roman" w:cs="Times New Roman"/>
          <w:sz w:val="24"/>
          <w:szCs w:val="24"/>
        </w:rPr>
        <w:t>. Taki wybór jest traktowany na gruncie GloBE jako rodzaj bezpiecznej przystani, jednakże nie obejmuje on zwolnienia z opodatkowania, lecz – jak wskazano – uproszczoną kalkulację.</w:t>
      </w:r>
    </w:p>
    <w:p w14:paraId="5F8B50D9" w14:textId="77777777" w:rsidR="008F6451" w:rsidRPr="00633318" w:rsidRDefault="008F6451" w:rsidP="008F6451">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 xml:space="preserve">W przypadku dokonania takiego wyboru, z uproszczonej metody kalkulacji można skorzystać dla jednostki składowej osiągającej wyniki finansowe o niskiej istotności, zdefiniowanej w </w:t>
      </w:r>
      <w:r w:rsidRPr="00633318">
        <w:rPr>
          <w:rFonts w:ascii="Times New Roman" w:hAnsi="Times New Roman" w:cs="Times New Roman"/>
          <w:b/>
          <w:szCs w:val="24"/>
        </w:rPr>
        <w:t>ust. 2</w:t>
      </w:r>
      <w:r w:rsidRPr="00633318">
        <w:rPr>
          <w:rFonts w:ascii="Times New Roman" w:hAnsi="Times New Roman" w:cs="Times New Roman"/>
          <w:szCs w:val="24"/>
        </w:rPr>
        <w:t xml:space="preserve">. Jest to jednostka składowa, wraz z jej stałymi zakładami, w odniesieniu do której spełnione są następujące warunki: </w:t>
      </w:r>
    </w:p>
    <w:p w14:paraId="7EA97B2E" w14:textId="0B365BB4" w:rsidR="008F6451" w:rsidRPr="00633318" w:rsidRDefault="008F6451" w:rsidP="008F6451">
      <w:pPr>
        <w:pStyle w:val="PKTpunkt"/>
        <w:spacing w:line="259" w:lineRule="auto"/>
        <w:rPr>
          <w:rFonts w:ascii="Times New Roman" w:hAnsi="Times New Roman" w:cs="Times New Roman"/>
          <w:szCs w:val="24"/>
        </w:rPr>
      </w:pPr>
      <w:r w:rsidRPr="00633318">
        <w:rPr>
          <w:rFonts w:ascii="Times New Roman" w:hAnsi="Times New Roman" w:cs="Times New Roman"/>
          <w:szCs w:val="24"/>
        </w:rPr>
        <w:t xml:space="preserve">1) </w:t>
      </w:r>
      <w:r w:rsidRPr="00633318">
        <w:rPr>
          <w:rFonts w:ascii="Times New Roman" w:hAnsi="Times New Roman" w:cs="Times New Roman"/>
          <w:szCs w:val="24"/>
        </w:rPr>
        <w:tab/>
        <w:t>jednostka ta nie jest uwzględniana, zgodnie z metodą konsolidacji pełnej, w skonsolidowanym sprawozdaniu jednostki dominującej najwyższego szczebla, o którym mowa w art. 2 ust. 1 pkt 3</w:t>
      </w:r>
      <w:r w:rsidR="001E2C9C" w:rsidRPr="00633318">
        <w:rPr>
          <w:rFonts w:ascii="Times New Roman" w:hAnsi="Times New Roman" w:cs="Times New Roman"/>
          <w:szCs w:val="24"/>
        </w:rPr>
        <w:t>8</w:t>
      </w:r>
      <w:r w:rsidRPr="00633318">
        <w:rPr>
          <w:rFonts w:ascii="Times New Roman" w:hAnsi="Times New Roman" w:cs="Times New Roman"/>
          <w:szCs w:val="24"/>
        </w:rPr>
        <w:t xml:space="preserve"> lit. a albo lit. c;</w:t>
      </w:r>
    </w:p>
    <w:p w14:paraId="46E7988F" w14:textId="79A98DEC" w:rsidR="008F6451" w:rsidRPr="00633318" w:rsidRDefault="008F6451" w:rsidP="008F6451">
      <w:pPr>
        <w:pStyle w:val="PKTpunkt"/>
        <w:spacing w:line="259" w:lineRule="auto"/>
        <w:rPr>
          <w:rFonts w:ascii="Times New Roman" w:hAnsi="Times New Roman" w:cs="Times New Roman"/>
          <w:szCs w:val="24"/>
        </w:rPr>
      </w:pPr>
      <w:r w:rsidRPr="00633318">
        <w:rPr>
          <w:rFonts w:ascii="Times New Roman" w:hAnsi="Times New Roman" w:cs="Times New Roman"/>
          <w:szCs w:val="24"/>
        </w:rPr>
        <w:t xml:space="preserve">2) </w:t>
      </w:r>
      <w:r w:rsidRPr="00633318">
        <w:rPr>
          <w:rFonts w:ascii="Times New Roman" w:hAnsi="Times New Roman" w:cs="Times New Roman"/>
          <w:szCs w:val="24"/>
        </w:rPr>
        <w:tab/>
        <w:t xml:space="preserve">skonsolidowane sprawozdanie jednostki dominującej najwyższego szczebla podlega obowiązkowo audytowi zewnętrznemu, zgodnie z przepisami obowiązującymi w </w:t>
      </w:r>
      <w:r w:rsidR="000E3AC9" w:rsidRPr="00633318">
        <w:rPr>
          <w:rFonts w:ascii="Times New Roman" w:hAnsi="Times New Roman" w:cs="Times New Roman"/>
          <w:szCs w:val="24"/>
        </w:rPr>
        <w:t xml:space="preserve">jurysdykcji </w:t>
      </w:r>
      <w:r w:rsidRPr="00633318">
        <w:rPr>
          <w:rFonts w:ascii="Times New Roman" w:hAnsi="Times New Roman" w:cs="Times New Roman"/>
          <w:szCs w:val="24"/>
        </w:rPr>
        <w:t>lokalizacji jednostki sporządzającej to sprawozdanie;</w:t>
      </w:r>
    </w:p>
    <w:p w14:paraId="3DD481BD" w14:textId="53832487" w:rsidR="008F6451" w:rsidRPr="00633318" w:rsidRDefault="008F6451" w:rsidP="008F6451">
      <w:pPr>
        <w:pStyle w:val="PKTpunkt"/>
        <w:spacing w:line="259" w:lineRule="auto"/>
        <w:rPr>
          <w:rFonts w:ascii="Times New Roman" w:hAnsi="Times New Roman" w:cs="Times New Roman"/>
          <w:szCs w:val="24"/>
        </w:rPr>
      </w:pPr>
      <w:r w:rsidRPr="00633318">
        <w:rPr>
          <w:rFonts w:ascii="Times New Roman" w:hAnsi="Times New Roman" w:cs="Times New Roman"/>
          <w:szCs w:val="24"/>
        </w:rPr>
        <w:t xml:space="preserve">3) </w:t>
      </w:r>
      <w:r w:rsidRPr="00633318">
        <w:rPr>
          <w:rFonts w:ascii="Times New Roman" w:hAnsi="Times New Roman" w:cs="Times New Roman"/>
          <w:szCs w:val="24"/>
        </w:rPr>
        <w:tab/>
        <w:t>w przypadku jednostki, której suma przychodów w rozumieniu przepisów C</w:t>
      </w:r>
      <w:r w:rsidR="00FB4A31" w:rsidRPr="00633318">
        <w:rPr>
          <w:rFonts w:ascii="Times New Roman" w:hAnsi="Times New Roman" w:cs="Times New Roman"/>
          <w:szCs w:val="24"/>
        </w:rPr>
        <w:t>b</w:t>
      </w:r>
      <w:r w:rsidRPr="00633318">
        <w:rPr>
          <w:rFonts w:ascii="Times New Roman" w:hAnsi="Times New Roman" w:cs="Times New Roman"/>
          <w:szCs w:val="24"/>
        </w:rPr>
        <w:t>CR przekracza 50 milionów EUR, księgi tej jednostki, używane do przygotowania informacji o grupie podmiotów, są prowadzone zgodnie z akceptowalnym standardem rachunkowości lub innym zatwierdzonym standardem rachunkowości.</w:t>
      </w:r>
    </w:p>
    <w:p w14:paraId="3067AFD2" w14:textId="26731DB5" w:rsidR="008F6451" w:rsidRPr="00633318" w:rsidRDefault="008F6451" w:rsidP="00FB4A31">
      <w:pPr>
        <w:pStyle w:val="USTustnpkodeksu"/>
        <w:spacing w:before="120" w:after="120" w:line="259" w:lineRule="auto"/>
        <w:ind w:firstLine="0"/>
        <w:rPr>
          <w:rFonts w:ascii="Times New Roman" w:hAnsi="Times New Roman" w:cs="Times New Roman"/>
          <w:szCs w:val="24"/>
        </w:rPr>
      </w:pPr>
      <w:r w:rsidRPr="00633318">
        <w:rPr>
          <w:rFonts w:ascii="Times New Roman" w:hAnsi="Times New Roman" w:cs="Times New Roman"/>
          <w:szCs w:val="24"/>
        </w:rPr>
        <w:t>Zarówno definicja tych jednostek, jak i uproszczona metoda kalkulacji kwot uwzględnianych dla celów innych bezpiecznych przystani odwołuje się do przepisów C</w:t>
      </w:r>
      <w:r w:rsidR="00FB4A31" w:rsidRPr="00633318">
        <w:rPr>
          <w:rFonts w:ascii="Times New Roman" w:hAnsi="Times New Roman" w:cs="Times New Roman"/>
          <w:szCs w:val="24"/>
        </w:rPr>
        <w:t>b</w:t>
      </w:r>
      <w:r w:rsidRPr="00633318">
        <w:rPr>
          <w:rFonts w:ascii="Times New Roman" w:hAnsi="Times New Roman" w:cs="Times New Roman"/>
          <w:szCs w:val="24"/>
        </w:rPr>
        <w:t xml:space="preserve">CR. Przez przepisy te rozumie się przepisy o wymianie informacji podatkowych obowiązujące w </w:t>
      </w:r>
      <w:r w:rsidR="000E3AC9" w:rsidRPr="00633318">
        <w:rPr>
          <w:rFonts w:ascii="Times New Roman" w:hAnsi="Times New Roman" w:cs="Times New Roman"/>
          <w:szCs w:val="24"/>
        </w:rPr>
        <w:t xml:space="preserve">jurysdykcji </w:t>
      </w:r>
      <w:r w:rsidRPr="00633318">
        <w:rPr>
          <w:rFonts w:ascii="Times New Roman" w:hAnsi="Times New Roman" w:cs="Times New Roman"/>
          <w:szCs w:val="24"/>
        </w:rPr>
        <w:t>lokalizacji jednostki dominującej najwyższego szczebla</w:t>
      </w:r>
      <w:r w:rsidR="002A20BD" w:rsidRPr="00633318">
        <w:rPr>
          <w:rFonts w:ascii="Times New Roman" w:hAnsi="Times New Roman" w:cs="Times New Roman"/>
          <w:szCs w:val="24"/>
        </w:rPr>
        <w:t xml:space="preserve"> albo w </w:t>
      </w:r>
      <w:r w:rsidR="000E3AC9" w:rsidRPr="00633318">
        <w:rPr>
          <w:rFonts w:ascii="Times New Roman" w:hAnsi="Times New Roman" w:cs="Times New Roman"/>
          <w:szCs w:val="24"/>
        </w:rPr>
        <w:t xml:space="preserve">jurysdykcji </w:t>
      </w:r>
      <w:r w:rsidR="002A20BD" w:rsidRPr="00633318">
        <w:rPr>
          <w:rFonts w:ascii="Times New Roman" w:hAnsi="Times New Roman" w:cs="Times New Roman"/>
          <w:szCs w:val="24"/>
        </w:rPr>
        <w:t xml:space="preserve">lokalizacji jednostki wyznaczonej, jeżeli informacja o grupie podmiotów nie jest składana w </w:t>
      </w:r>
      <w:r w:rsidR="000E3AC9" w:rsidRPr="00633318">
        <w:rPr>
          <w:rFonts w:ascii="Times New Roman" w:hAnsi="Times New Roman" w:cs="Times New Roman"/>
          <w:szCs w:val="24"/>
        </w:rPr>
        <w:t xml:space="preserve">jurysdykcji </w:t>
      </w:r>
      <w:r w:rsidR="002A20BD" w:rsidRPr="00633318">
        <w:rPr>
          <w:rFonts w:ascii="Times New Roman" w:hAnsi="Times New Roman" w:cs="Times New Roman"/>
          <w:szCs w:val="24"/>
        </w:rPr>
        <w:t>lokalizacji jednostki dominującej najwyższego szczebla</w:t>
      </w:r>
      <w:r w:rsidRPr="00633318">
        <w:rPr>
          <w:rFonts w:ascii="Times New Roman" w:hAnsi="Times New Roman" w:cs="Times New Roman"/>
          <w:szCs w:val="24"/>
        </w:rPr>
        <w:t xml:space="preserve"> (w przypadku </w:t>
      </w:r>
      <w:r w:rsidR="000E3AC9" w:rsidRPr="00633318">
        <w:rPr>
          <w:rFonts w:ascii="Times New Roman" w:hAnsi="Times New Roman" w:cs="Times New Roman"/>
          <w:szCs w:val="24"/>
        </w:rPr>
        <w:t xml:space="preserve">Rzeczypospolitej </w:t>
      </w:r>
      <w:r w:rsidRPr="00633318">
        <w:rPr>
          <w:rFonts w:ascii="Times New Roman" w:hAnsi="Times New Roman" w:cs="Times New Roman"/>
          <w:szCs w:val="24"/>
        </w:rPr>
        <w:t xml:space="preserve">Polski – przepisy ustawy z dnia 9 marca 2017 r. o wymianie informacji podatkowych z innymi państwami). </w:t>
      </w:r>
    </w:p>
    <w:p w14:paraId="14D0C835" w14:textId="77777777" w:rsidR="008F6451" w:rsidRPr="00633318" w:rsidRDefault="008F6451" w:rsidP="008F6451">
      <w:pPr>
        <w:pStyle w:val="USTustnpkodeksu"/>
        <w:spacing w:line="259" w:lineRule="auto"/>
        <w:ind w:firstLine="0"/>
        <w:rPr>
          <w:rFonts w:ascii="Times New Roman" w:hAnsi="Times New Roman" w:cs="Times New Roman"/>
          <w:szCs w:val="24"/>
        </w:rPr>
      </w:pPr>
      <w:r w:rsidRPr="00633318">
        <w:rPr>
          <w:rFonts w:ascii="Times New Roman" w:hAnsi="Times New Roman" w:cs="Times New Roman"/>
          <w:szCs w:val="24"/>
        </w:rPr>
        <w:t xml:space="preserve">Zgodnie z </w:t>
      </w:r>
      <w:r w:rsidRPr="00633318">
        <w:rPr>
          <w:rFonts w:ascii="Times New Roman" w:hAnsi="Times New Roman" w:cs="Times New Roman"/>
          <w:b/>
          <w:szCs w:val="24"/>
        </w:rPr>
        <w:t>ust. 1</w:t>
      </w:r>
      <w:r w:rsidRPr="00633318">
        <w:rPr>
          <w:rFonts w:ascii="Times New Roman" w:hAnsi="Times New Roman" w:cs="Times New Roman"/>
          <w:szCs w:val="24"/>
        </w:rPr>
        <w:t>, uproszczona metoda polega na tym, iż w przypadku omawianych jednostek, do celów wyliczeń o których mowa w art. 126:</w:t>
      </w:r>
    </w:p>
    <w:p w14:paraId="289D6695" w14:textId="09A03979" w:rsidR="008F6451" w:rsidRPr="00633318" w:rsidRDefault="008F6451" w:rsidP="008F6451">
      <w:pPr>
        <w:pStyle w:val="PKTpunkt"/>
        <w:spacing w:line="259" w:lineRule="auto"/>
        <w:rPr>
          <w:rFonts w:ascii="Times New Roman" w:hAnsi="Times New Roman" w:cs="Times New Roman"/>
          <w:szCs w:val="24"/>
        </w:rPr>
      </w:pPr>
      <w:r w:rsidRPr="00633318">
        <w:rPr>
          <w:rFonts w:ascii="Times New Roman" w:hAnsi="Times New Roman" w:cs="Times New Roman"/>
          <w:szCs w:val="24"/>
        </w:rPr>
        <w:t xml:space="preserve">1) </w:t>
      </w:r>
      <w:r w:rsidRPr="00633318">
        <w:rPr>
          <w:rFonts w:ascii="Times New Roman" w:hAnsi="Times New Roman" w:cs="Times New Roman"/>
          <w:szCs w:val="24"/>
        </w:rPr>
        <w:tab/>
        <w:t>kwalifikowany dochód ustala się w kwocie równej przychodom podlegając</w:t>
      </w:r>
      <w:r w:rsidR="00120DDD" w:rsidRPr="00633318">
        <w:rPr>
          <w:rFonts w:ascii="Times New Roman" w:hAnsi="Times New Roman" w:cs="Times New Roman"/>
          <w:szCs w:val="24"/>
        </w:rPr>
        <w:t>ym</w:t>
      </w:r>
      <w:r w:rsidRPr="00633318">
        <w:rPr>
          <w:rFonts w:ascii="Times New Roman" w:hAnsi="Times New Roman" w:cs="Times New Roman"/>
          <w:szCs w:val="24"/>
        </w:rPr>
        <w:t xml:space="preserve"> wykazaniu w informacji o grupie podmiotów;</w:t>
      </w:r>
    </w:p>
    <w:p w14:paraId="397526FD" w14:textId="77777777" w:rsidR="008F6451" w:rsidRPr="00633318" w:rsidRDefault="008F6451" w:rsidP="008F6451">
      <w:pPr>
        <w:pStyle w:val="PKTpunkt"/>
        <w:spacing w:line="259" w:lineRule="auto"/>
        <w:rPr>
          <w:rFonts w:ascii="Times New Roman" w:hAnsi="Times New Roman" w:cs="Times New Roman"/>
          <w:szCs w:val="24"/>
        </w:rPr>
      </w:pPr>
      <w:r w:rsidRPr="00633318">
        <w:rPr>
          <w:rFonts w:ascii="Times New Roman" w:hAnsi="Times New Roman" w:cs="Times New Roman"/>
          <w:szCs w:val="24"/>
        </w:rPr>
        <w:t xml:space="preserve">2) </w:t>
      </w:r>
      <w:r w:rsidRPr="00633318">
        <w:rPr>
          <w:rFonts w:ascii="Times New Roman" w:hAnsi="Times New Roman" w:cs="Times New Roman"/>
          <w:szCs w:val="24"/>
        </w:rPr>
        <w:tab/>
        <w:t xml:space="preserve">w tej samej kwocie ustala się kwalifikowany przychód; </w:t>
      </w:r>
    </w:p>
    <w:p w14:paraId="46955FDA" w14:textId="6FEF3F17" w:rsidR="002644E7" w:rsidRPr="00633318" w:rsidRDefault="008F6451" w:rsidP="00FB4A31">
      <w:pPr>
        <w:pStyle w:val="PKTpunkt"/>
        <w:spacing w:after="240" w:line="259" w:lineRule="auto"/>
        <w:rPr>
          <w:rFonts w:ascii="Times New Roman" w:hAnsi="Times New Roman" w:cs="Times New Roman"/>
          <w:szCs w:val="24"/>
        </w:rPr>
      </w:pPr>
      <w:r w:rsidRPr="00633318">
        <w:rPr>
          <w:rFonts w:ascii="Times New Roman" w:hAnsi="Times New Roman" w:cs="Times New Roman"/>
          <w:szCs w:val="24"/>
        </w:rPr>
        <w:t>3)</w:t>
      </w:r>
      <w:r w:rsidRPr="00633318">
        <w:rPr>
          <w:rFonts w:ascii="Times New Roman" w:hAnsi="Times New Roman" w:cs="Times New Roman"/>
          <w:szCs w:val="24"/>
        </w:rPr>
        <w:tab/>
        <w:t>skorygowane podatki kwalifikowane ustala się w kwocie podatku dochodowego podlegającej wykazaniu w informacji o grupie podmiotów.</w:t>
      </w:r>
    </w:p>
    <w:p w14:paraId="2AE609A8" w14:textId="1EC96DA3" w:rsidR="002644E7" w:rsidRPr="003E7A67" w:rsidRDefault="002644E7"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
          <w:sz w:val="22"/>
          <w:szCs w:val="22"/>
        </w:rPr>
      </w:pPr>
      <w:r w:rsidRPr="003E7A67">
        <w:rPr>
          <w:rFonts w:asciiTheme="minorHAnsi" w:hAnsiTheme="minorHAnsi" w:cstheme="minorHAnsi"/>
          <w:b/>
          <w:sz w:val="22"/>
          <w:szCs w:val="22"/>
        </w:rPr>
        <w:t>Przykład:</w:t>
      </w:r>
    </w:p>
    <w:p w14:paraId="53562CE7" w14:textId="0C0AD490" w:rsidR="00FB4A31" w:rsidRPr="001B320A" w:rsidRDefault="002644E7" w:rsidP="00FB4A31">
      <w:pPr>
        <w:pStyle w:val="USTustnpkodeksu"/>
        <w:pBdr>
          <w:top w:val="double" w:sz="6" w:space="1" w:color="5B9BD5" w:themeColor="accent1" w:shadow="1"/>
          <w:left w:val="double" w:sz="6" w:space="4" w:color="5B9BD5" w:themeColor="accent1" w:shadow="1"/>
          <w:bottom w:val="double" w:sz="6" w:space="1" w:color="5B9BD5" w:themeColor="accent1" w:shadow="1"/>
          <w:right w:val="double" w:sz="6" w:space="4" w:color="5B9BD5" w:themeColor="accent1" w:shadow="1"/>
        </w:pBdr>
        <w:spacing w:after="120" w:line="252" w:lineRule="auto"/>
        <w:ind w:left="426" w:firstLine="0"/>
        <w:rPr>
          <w:rFonts w:asciiTheme="minorHAnsi" w:hAnsiTheme="minorHAnsi" w:cstheme="minorHAnsi"/>
          <w:bCs w:val="0"/>
          <w:i/>
          <w:iCs/>
          <w:sz w:val="22"/>
          <w:szCs w:val="22"/>
        </w:rPr>
      </w:pPr>
      <w:r w:rsidRPr="00E34C4F">
        <w:rPr>
          <w:rFonts w:asciiTheme="minorHAnsi" w:hAnsiTheme="minorHAnsi" w:cstheme="minorHAnsi"/>
          <w:bCs w:val="0"/>
          <w:i/>
          <w:iCs/>
          <w:sz w:val="22"/>
          <w:szCs w:val="22"/>
        </w:rPr>
        <w:t xml:space="preserve">Polskie UPE w </w:t>
      </w:r>
      <w:r w:rsidR="000E3AC9" w:rsidRPr="00E34C4F">
        <w:rPr>
          <w:rFonts w:asciiTheme="minorHAnsi" w:hAnsiTheme="minorHAnsi" w:cstheme="minorHAnsi"/>
          <w:bCs w:val="0"/>
          <w:i/>
          <w:iCs/>
          <w:sz w:val="22"/>
          <w:szCs w:val="22"/>
        </w:rPr>
        <w:t xml:space="preserve">jurysdykcji </w:t>
      </w:r>
      <w:r w:rsidRPr="001B320A">
        <w:rPr>
          <w:rFonts w:asciiTheme="minorHAnsi" w:hAnsiTheme="minorHAnsi" w:cstheme="minorHAnsi"/>
          <w:bCs w:val="0"/>
          <w:i/>
          <w:iCs/>
          <w:sz w:val="22"/>
          <w:szCs w:val="22"/>
        </w:rPr>
        <w:t xml:space="preserve">„A” posiada 3 jednostki składowe oraz 2 jednostki składowe osiągające wyniki finansowe o niskiej istotności. UPE dokonuje wyboru </w:t>
      </w:r>
      <w:r w:rsidR="00E34C4F" w:rsidRPr="001B320A">
        <w:rPr>
          <w:rFonts w:asciiTheme="minorHAnsi" w:hAnsiTheme="minorHAnsi" w:cstheme="minorHAnsi"/>
          <w:i/>
          <w:iCs/>
          <w:sz w:val="22"/>
          <w:szCs w:val="22"/>
        </w:rPr>
        <w:t>bezpiecznej przystani dla jednostek składowych osiągających wyniki finansowe o niskiej istotności</w:t>
      </w:r>
      <w:r w:rsidRPr="001B320A">
        <w:rPr>
          <w:rFonts w:asciiTheme="minorHAnsi" w:hAnsiTheme="minorHAnsi" w:cstheme="minorHAnsi"/>
          <w:bCs w:val="0"/>
          <w:i/>
          <w:iCs/>
          <w:sz w:val="22"/>
          <w:szCs w:val="22"/>
        </w:rPr>
        <w:t xml:space="preserve">. Na potrzeby sprawdzenia czy dla </w:t>
      </w:r>
      <w:r w:rsidR="000E3AC9" w:rsidRPr="001B320A">
        <w:rPr>
          <w:rFonts w:asciiTheme="minorHAnsi" w:hAnsiTheme="minorHAnsi" w:cstheme="minorHAnsi"/>
          <w:bCs w:val="0"/>
          <w:i/>
          <w:iCs/>
          <w:sz w:val="22"/>
          <w:szCs w:val="22"/>
        </w:rPr>
        <w:t xml:space="preserve">jurysdykcji </w:t>
      </w:r>
      <w:r w:rsidRPr="001B320A">
        <w:rPr>
          <w:rFonts w:asciiTheme="minorHAnsi" w:hAnsiTheme="minorHAnsi" w:cstheme="minorHAnsi"/>
          <w:bCs w:val="0"/>
          <w:i/>
          <w:iCs/>
          <w:sz w:val="22"/>
          <w:szCs w:val="22"/>
        </w:rPr>
        <w:t xml:space="preserve">„A” </w:t>
      </w:r>
      <w:r w:rsidR="00323EE5" w:rsidRPr="001B320A">
        <w:rPr>
          <w:rFonts w:asciiTheme="minorHAnsi" w:hAnsiTheme="minorHAnsi" w:cstheme="minorHAnsi"/>
          <w:bCs w:val="0"/>
          <w:i/>
          <w:iCs/>
          <w:sz w:val="22"/>
          <w:szCs w:val="22"/>
        </w:rPr>
        <w:t xml:space="preserve">w ogóle </w:t>
      </w:r>
      <w:r w:rsidR="00E34C4F">
        <w:rPr>
          <w:rFonts w:asciiTheme="minorHAnsi" w:hAnsiTheme="minorHAnsi" w:cstheme="minorHAnsi"/>
          <w:bCs w:val="0"/>
          <w:i/>
          <w:iCs/>
          <w:sz w:val="22"/>
          <w:szCs w:val="22"/>
        </w:rPr>
        <w:t>oblicza się</w:t>
      </w:r>
      <w:r w:rsidRPr="00E34C4F">
        <w:rPr>
          <w:rFonts w:asciiTheme="minorHAnsi" w:hAnsiTheme="minorHAnsi" w:cstheme="minorHAnsi"/>
          <w:bCs w:val="0"/>
          <w:i/>
          <w:iCs/>
          <w:sz w:val="22"/>
          <w:szCs w:val="22"/>
        </w:rPr>
        <w:t xml:space="preserve"> globalny podatek wyrównawczy, zgodnie z </w:t>
      </w:r>
      <w:r w:rsidRPr="00E34C4F">
        <w:rPr>
          <w:rFonts w:asciiTheme="minorHAnsi" w:hAnsiTheme="minorHAnsi" w:cstheme="minorHAnsi"/>
          <w:b/>
          <w:i/>
          <w:iCs/>
          <w:sz w:val="22"/>
          <w:szCs w:val="22"/>
        </w:rPr>
        <w:t>art. 126</w:t>
      </w:r>
      <w:r w:rsidRPr="00E34C4F">
        <w:rPr>
          <w:rFonts w:asciiTheme="minorHAnsi" w:hAnsiTheme="minorHAnsi" w:cstheme="minorHAnsi"/>
          <w:bCs w:val="0"/>
          <w:i/>
          <w:iCs/>
          <w:sz w:val="22"/>
          <w:szCs w:val="22"/>
        </w:rPr>
        <w:t xml:space="preserve">, do wyliczenia wyłączenia de minimis dla 2 jednostek składowych osiągających wyniki finansowe o niskiej istotności stosuje </w:t>
      </w:r>
      <w:r w:rsidR="00E34C4F">
        <w:rPr>
          <w:rFonts w:asciiTheme="minorHAnsi" w:hAnsiTheme="minorHAnsi" w:cstheme="minorHAnsi"/>
          <w:bCs w:val="0"/>
          <w:i/>
          <w:iCs/>
          <w:sz w:val="22"/>
          <w:szCs w:val="22"/>
        </w:rPr>
        <w:t xml:space="preserve">się </w:t>
      </w:r>
      <w:r w:rsidRPr="00E34C4F">
        <w:rPr>
          <w:rFonts w:asciiTheme="minorHAnsi" w:hAnsiTheme="minorHAnsi" w:cstheme="minorHAnsi"/>
          <w:bCs w:val="0"/>
          <w:i/>
          <w:iCs/>
          <w:sz w:val="22"/>
          <w:szCs w:val="22"/>
        </w:rPr>
        <w:t>uproszczon</w:t>
      </w:r>
      <w:r w:rsidR="00323EE5" w:rsidRPr="00E34C4F">
        <w:rPr>
          <w:rFonts w:asciiTheme="minorHAnsi" w:hAnsiTheme="minorHAnsi" w:cstheme="minorHAnsi"/>
          <w:bCs w:val="0"/>
          <w:i/>
          <w:iCs/>
          <w:sz w:val="22"/>
          <w:szCs w:val="22"/>
        </w:rPr>
        <w:t>ą</w:t>
      </w:r>
      <w:r w:rsidRPr="00E34C4F">
        <w:rPr>
          <w:rFonts w:asciiTheme="minorHAnsi" w:hAnsiTheme="minorHAnsi" w:cstheme="minorHAnsi"/>
          <w:bCs w:val="0"/>
          <w:i/>
          <w:iCs/>
          <w:sz w:val="22"/>
          <w:szCs w:val="22"/>
        </w:rPr>
        <w:t xml:space="preserve"> kalkulację, a dla pozostały</w:t>
      </w:r>
      <w:r w:rsidR="00E34C4F">
        <w:rPr>
          <w:rFonts w:asciiTheme="minorHAnsi" w:hAnsiTheme="minorHAnsi" w:cstheme="minorHAnsi"/>
          <w:bCs w:val="0"/>
          <w:i/>
          <w:iCs/>
          <w:sz w:val="22"/>
          <w:szCs w:val="22"/>
        </w:rPr>
        <w:t>ch</w:t>
      </w:r>
      <w:r w:rsidRPr="00E34C4F">
        <w:rPr>
          <w:rFonts w:asciiTheme="minorHAnsi" w:hAnsiTheme="minorHAnsi" w:cstheme="minorHAnsi"/>
          <w:bCs w:val="0"/>
          <w:i/>
          <w:iCs/>
          <w:sz w:val="22"/>
          <w:szCs w:val="22"/>
        </w:rPr>
        <w:t xml:space="preserve"> 3 </w:t>
      </w:r>
      <w:r w:rsidR="00323EE5" w:rsidRPr="00E34C4F">
        <w:rPr>
          <w:rFonts w:asciiTheme="minorHAnsi" w:hAnsiTheme="minorHAnsi" w:cstheme="minorHAnsi"/>
          <w:bCs w:val="0"/>
          <w:i/>
          <w:iCs/>
          <w:sz w:val="22"/>
          <w:szCs w:val="22"/>
        </w:rPr>
        <w:t xml:space="preserve">jednostek składowych </w:t>
      </w:r>
      <w:r w:rsidRPr="001B320A">
        <w:rPr>
          <w:rFonts w:asciiTheme="minorHAnsi" w:hAnsiTheme="minorHAnsi" w:cstheme="minorHAnsi"/>
          <w:bCs w:val="0"/>
          <w:i/>
          <w:iCs/>
          <w:sz w:val="22"/>
          <w:szCs w:val="22"/>
        </w:rPr>
        <w:t xml:space="preserve">ogólne </w:t>
      </w:r>
      <w:r w:rsidR="00FB4A31" w:rsidRPr="001B320A">
        <w:rPr>
          <w:rFonts w:asciiTheme="minorHAnsi" w:hAnsiTheme="minorHAnsi" w:cstheme="minorHAnsi"/>
          <w:bCs w:val="0"/>
          <w:i/>
          <w:iCs/>
          <w:sz w:val="22"/>
          <w:szCs w:val="22"/>
        </w:rPr>
        <w:t>Z</w:t>
      </w:r>
      <w:r w:rsidRPr="001B320A">
        <w:rPr>
          <w:rFonts w:asciiTheme="minorHAnsi" w:hAnsiTheme="minorHAnsi" w:cstheme="minorHAnsi"/>
          <w:bCs w:val="0"/>
          <w:i/>
          <w:iCs/>
          <w:sz w:val="22"/>
          <w:szCs w:val="22"/>
        </w:rPr>
        <w:t>asady G</w:t>
      </w:r>
      <w:r w:rsidR="00696BBC" w:rsidRPr="001B320A">
        <w:rPr>
          <w:rFonts w:asciiTheme="minorHAnsi" w:hAnsiTheme="minorHAnsi" w:cstheme="minorHAnsi"/>
          <w:bCs w:val="0"/>
          <w:i/>
          <w:iCs/>
          <w:sz w:val="22"/>
          <w:szCs w:val="22"/>
        </w:rPr>
        <w:t>l</w:t>
      </w:r>
      <w:r w:rsidR="00FB4A31" w:rsidRPr="001B320A">
        <w:rPr>
          <w:rFonts w:asciiTheme="minorHAnsi" w:hAnsiTheme="minorHAnsi" w:cstheme="minorHAnsi"/>
          <w:bCs w:val="0"/>
          <w:i/>
          <w:iCs/>
          <w:sz w:val="22"/>
          <w:szCs w:val="22"/>
        </w:rPr>
        <w:t>o</w:t>
      </w:r>
      <w:r w:rsidRPr="001B320A">
        <w:rPr>
          <w:rFonts w:asciiTheme="minorHAnsi" w:hAnsiTheme="minorHAnsi" w:cstheme="minorHAnsi"/>
          <w:bCs w:val="0"/>
          <w:i/>
          <w:iCs/>
          <w:sz w:val="22"/>
          <w:szCs w:val="22"/>
        </w:rPr>
        <w:t>BE.</w:t>
      </w:r>
    </w:p>
    <w:p w14:paraId="406BEAF1" w14:textId="77777777" w:rsidR="00BA541D" w:rsidRPr="00633318" w:rsidRDefault="00BA541D" w:rsidP="00FB4A31">
      <w:pPr>
        <w:pStyle w:val="Nagwek3"/>
        <w:spacing w:before="240"/>
        <w:rPr>
          <w:rFonts w:ascii="Times New Roman" w:hAnsi="Times New Roman" w:cs="Times New Roman"/>
          <w:sz w:val="24"/>
        </w:rPr>
      </w:pPr>
      <w:r w:rsidRPr="00633318">
        <w:rPr>
          <w:rFonts w:ascii="Times New Roman" w:hAnsi="Times New Roman" w:cs="Times New Roman"/>
          <w:sz w:val="24"/>
        </w:rPr>
        <w:t>Rozdział 2 – Bezpieczne przystanie w początkowym okresie działalności grupy</w:t>
      </w:r>
    </w:p>
    <w:p w14:paraId="0720F247" w14:textId="77777777" w:rsidR="00BA541D" w:rsidRPr="00633318" w:rsidRDefault="00BA541D" w:rsidP="00BA541D">
      <w:pPr>
        <w:pStyle w:val="Nagwek5"/>
        <w:rPr>
          <w:rFonts w:ascii="Times New Roman" w:hAnsi="Times New Roman" w:cs="Times New Roman"/>
          <w:sz w:val="24"/>
          <w:szCs w:val="24"/>
        </w:rPr>
      </w:pPr>
      <w:r w:rsidRPr="00633318">
        <w:rPr>
          <w:rFonts w:ascii="Times New Roman" w:hAnsi="Times New Roman" w:cs="Times New Roman"/>
          <w:sz w:val="24"/>
          <w:szCs w:val="24"/>
        </w:rPr>
        <w:t>Art. 128 [Początkowy okres działalności grupy międzynarodowej – polska UPE]</w:t>
      </w:r>
    </w:p>
    <w:p w14:paraId="15FB2F4A" w14:textId="003490A2"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Art. 128</w:t>
      </w:r>
      <w:r w:rsidRPr="00633318">
        <w:rPr>
          <w:rFonts w:ascii="Times New Roman" w:hAnsi="Times New Roman" w:cs="Times New Roman"/>
          <w:bCs/>
          <w:sz w:val="24"/>
          <w:szCs w:val="24"/>
        </w:rPr>
        <w:t xml:space="preserve"> </w:t>
      </w:r>
      <w:r w:rsidRPr="00633318">
        <w:rPr>
          <w:rFonts w:ascii="Times New Roman" w:hAnsi="Times New Roman" w:cs="Times New Roman"/>
          <w:sz w:val="24"/>
          <w:szCs w:val="24"/>
        </w:rPr>
        <w:t>stanowi implementację art. 49 Dyrektywy.</w:t>
      </w:r>
      <w:r w:rsidRPr="00633318">
        <w:rPr>
          <w:rFonts w:ascii="Times New Roman" w:hAnsi="Times New Roman" w:cs="Times New Roman"/>
          <w:bCs/>
          <w:sz w:val="24"/>
          <w:szCs w:val="24"/>
        </w:rPr>
        <w:t xml:space="preserve"> </w:t>
      </w:r>
      <w:r w:rsidRPr="00633318">
        <w:rPr>
          <w:rFonts w:ascii="Times New Roman" w:hAnsi="Times New Roman" w:cs="Times New Roman"/>
          <w:sz w:val="24"/>
          <w:szCs w:val="24"/>
        </w:rPr>
        <w:t xml:space="preserve">Przepis ten wprowadza 5-letnią bezpieczną przystań, która wiąże się z </w:t>
      </w:r>
      <w:r w:rsidRPr="00633318">
        <w:rPr>
          <w:rFonts w:ascii="Times New Roman" w:hAnsi="Times New Roman" w:cs="Times New Roman"/>
          <w:b/>
          <w:bCs/>
          <w:sz w:val="24"/>
          <w:szCs w:val="24"/>
        </w:rPr>
        <w:t>brakiem opodatkowania globalnym podatkiem wyrównawczym jednostek dominujących najwyższego szczebla zlokalizowanych na terytorium Rzeczypospolitej Polskiej</w:t>
      </w:r>
      <w:r w:rsidRPr="00633318">
        <w:rPr>
          <w:rFonts w:ascii="Times New Roman" w:hAnsi="Times New Roman" w:cs="Times New Roman"/>
          <w:sz w:val="24"/>
          <w:szCs w:val="24"/>
        </w:rPr>
        <w:t xml:space="preserve">, które należą do grup międzynarodowych znajdujących się w </w:t>
      </w:r>
      <w:r w:rsidRPr="00633318">
        <w:rPr>
          <w:rFonts w:ascii="Times New Roman" w:hAnsi="Times New Roman" w:cs="Times New Roman"/>
          <w:b/>
          <w:bCs/>
          <w:sz w:val="24"/>
          <w:szCs w:val="24"/>
        </w:rPr>
        <w:t>początkowym okresie swojej działalności</w:t>
      </w:r>
      <w:r w:rsidRPr="00633318">
        <w:rPr>
          <w:rFonts w:ascii="Times New Roman" w:hAnsi="Times New Roman" w:cs="Times New Roman"/>
          <w:sz w:val="24"/>
          <w:szCs w:val="24"/>
        </w:rPr>
        <w:t xml:space="preserve">. Zwolnienie przysługuje </w:t>
      </w:r>
      <w:r w:rsidRPr="00633318">
        <w:rPr>
          <w:rFonts w:ascii="Times New Roman" w:hAnsi="Times New Roman" w:cs="Times New Roman"/>
          <w:bCs/>
          <w:sz w:val="24"/>
          <w:szCs w:val="24"/>
        </w:rPr>
        <w:t xml:space="preserve">w przypadku, gdy grupa prowadzi działalność w nie więcej niż sześciu </w:t>
      </w:r>
      <w:r w:rsidR="000E3AC9" w:rsidRPr="00633318">
        <w:rPr>
          <w:rFonts w:ascii="Times New Roman" w:hAnsi="Times New Roman" w:cs="Times New Roman"/>
          <w:bCs/>
          <w:sz w:val="24"/>
          <w:szCs w:val="24"/>
        </w:rPr>
        <w:t xml:space="preserve">jurysdykcjach </w:t>
      </w:r>
      <w:r w:rsidRPr="00633318">
        <w:rPr>
          <w:rFonts w:ascii="Times New Roman" w:hAnsi="Times New Roman" w:cs="Times New Roman"/>
          <w:bCs/>
          <w:sz w:val="24"/>
          <w:szCs w:val="24"/>
        </w:rPr>
        <w:t>oraz nie przekracza określonego progu wartości księgowej netto rzeczowych aktywów trwałych.</w:t>
      </w:r>
    </w:p>
    <w:p w14:paraId="6051E4C6" w14:textId="62C97BBF" w:rsidR="00BA541D" w:rsidRPr="00633318" w:rsidRDefault="00BA541D" w:rsidP="00BA541D">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 xml:space="preserve">Zatem, zgodnie z </w:t>
      </w:r>
      <w:r w:rsidRPr="00633318">
        <w:rPr>
          <w:rFonts w:ascii="Times New Roman" w:hAnsi="Times New Roman" w:cs="Times New Roman"/>
          <w:b/>
          <w:bCs w:val="0"/>
          <w:szCs w:val="24"/>
        </w:rPr>
        <w:t xml:space="preserve">ust. 1 pkt 1 </w:t>
      </w:r>
      <w:r w:rsidRPr="00633318">
        <w:rPr>
          <w:rFonts w:ascii="Times New Roman" w:hAnsi="Times New Roman" w:cs="Times New Roman"/>
          <w:szCs w:val="24"/>
        </w:rPr>
        <w:t>skorzystanie z omawianej bezpiecznej przystani jest możliwe</w:t>
      </w:r>
      <w:r w:rsidR="001D7772" w:rsidRPr="00633318">
        <w:rPr>
          <w:rFonts w:ascii="Times New Roman" w:hAnsi="Times New Roman" w:cs="Times New Roman"/>
          <w:szCs w:val="24"/>
        </w:rPr>
        <w:t xml:space="preserve"> nie dłużej niż</w:t>
      </w:r>
      <w:r w:rsidRPr="00633318">
        <w:rPr>
          <w:rFonts w:ascii="Times New Roman" w:hAnsi="Times New Roman" w:cs="Times New Roman"/>
          <w:szCs w:val="24"/>
        </w:rPr>
        <w:t xml:space="preserve"> za pierwsze 5 lat początkowego okresu grupy międzynarodowej, jeżeli </w:t>
      </w:r>
      <w:r w:rsidR="001D7772" w:rsidRPr="00633318">
        <w:rPr>
          <w:rFonts w:ascii="Times New Roman" w:hAnsi="Times New Roman" w:cs="Times New Roman"/>
          <w:szCs w:val="24"/>
        </w:rPr>
        <w:t>w poszczególnych latach tego 5-letniego okresu</w:t>
      </w:r>
      <w:r w:rsidRPr="00633318">
        <w:rPr>
          <w:rFonts w:ascii="Times New Roman" w:hAnsi="Times New Roman" w:cs="Times New Roman"/>
          <w:szCs w:val="24"/>
        </w:rPr>
        <w:t xml:space="preserve"> posiada jednostki składowe zlokalizowane </w:t>
      </w:r>
      <w:r w:rsidRPr="00633318">
        <w:rPr>
          <w:rFonts w:ascii="Times New Roman" w:hAnsi="Times New Roman" w:cs="Times New Roman"/>
          <w:b/>
          <w:bCs w:val="0"/>
          <w:szCs w:val="24"/>
        </w:rPr>
        <w:t xml:space="preserve">w nie więcej niż sześciu </w:t>
      </w:r>
      <w:r w:rsidR="000E3AC9" w:rsidRPr="00633318">
        <w:rPr>
          <w:rFonts w:ascii="Times New Roman" w:hAnsi="Times New Roman" w:cs="Times New Roman"/>
          <w:b/>
          <w:bCs w:val="0"/>
          <w:szCs w:val="24"/>
        </w:rPr>
        <w:t>jurysdykcjach</w:t>
      </w:r>
      <w:r w:rsidRPr="00633318">
        <w:rPr>
          <w:rFonts w:ascii="Times New Roman" w:hAnsi="Times New Roman" w:cs="Times New Roman"/>
          <w:szCs w:val="24"/>
        </w:rPr>
        <w:t xml:space="preserve">. Co istotne, na potrzeby ustalania liczby </w:t>
      </w:r>
      <w:r w:rsidR="000E3AC9" w:rsidRPr="00633318">
        <w:rPr>
          <w:rFonts w:ascii="Times New Roman" w:hAnsi="Times New Roman" w:cs="Times New Roman"/>
          <w:szCs w:val="24"/>
        </w:rPr>
        <w:t xml:space="preserve">jurysdykcji </w:t>
      </w:r>
      <w:r w:rsidRPr="00633318">
        <w:rPr>
          <w:rFonts w:ascii="Times New Roman" w:hAnsi="Times New Roman" w:cs="Times New Roman"/>
          <w:szCs w:val="24"/>
        </w:rPr>
        <w:t xml:space="preserve">uwzględnia się też </w:t>
      </w:r>
      <w:r w:rsidR="000E3AC9" w:rsidRPr="00633318">
        <w:rPr>
          <w:rFonts w:ascii="Times New Roman" w:hAnsi="Times New Roman" w:cs="Times New Roman"/>
          <w:szCs w:val="24"/>
        </w:rPr>
        <w:t xml:space="preserve">jurysdykcję </w:t>
      </w:r>
      <w:r w:rsidRPr="00633318">
        <w:rPr>
          <w:rFonts w:ascii="Times New Roman" w:hAnsi="Times New Roman" w:cs="Times New Roman"/>
          <w:szCs w:val="24"/>
        </w:rPr>
        <w:t>jednostki dominującej. Nie jest natomiast możliwe, aby doliczyć w tym zakresie bezpaństwowe jednostki składowe.</w:t>
      </w:r>
    </w:p>
    <w:p w14:paraId="40C2774A" w14:textId="292D5E3F"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Zgodnie z drugim warunkiem umożliwiającym skorzystanie z bezpiecznej przystani (</w:t>
      </w:r>
      <w:r w:rsidRPr="00633318">
        <w:rPr>
          <w:rFonts w:ascii="Times New Roman" w:hAnsi="Times New Roman" w:cs="Times New Roman"/>
          <w:b/>
          <w:bCs/>
          <w:sz w:val="24"/>
          <w:szCs w:val="24"/>
        </w:rPr>
        <w:t>ust. 1 pkt 2</w:t>
      </w:r>
      <w:r w:rsidRPr="00633318">
        <w:rPr>
          <w:rFonts w:ascii="Times New Roman" w:hAnsi="Times New Roman" w:cs="Times New Roman"/>
          <w:sz w:val="24"/>
          <w:szCs w:val="24"/>
        </w:rPr>
        <w:t xml:space="preserve">), </w:t>
      </w:r>
      <w:r w:rsidRPr="00633318">
        <w:rPr>
          <w:rFonts w:ascii="Times New Roman" w:hAnsi="Times New Roman" w:cs="Times New Roman"/>
          <w:b/>
          <w:bCs/>
          <w:sz w:val="24"/>
          <w:szCs w:val="24"/>
        </w:rPr>
        <w:t>suma wartości księgowej netto rzeczowych aktywów trwałych</w:t>
      </w:r>
      <w:r w:rsidRPr="00633318">
        <w:rPr>
          <w:rFonts w:ascii="Times New Roman" w:hAnsi="Times New Roman" w:cs="Times New Roman"/>
          <w:sz w:val="24"/>
          <w:szCs w:val="24"/>
        </w:rPr>
        <w:t xml:space="preserve"> jednostek składowych wchodzących w jej skład</w:t>
      </w:r>
      <w:r w:rsidR="001D7772" w:rsidRPr="00633318">
        <w:rPr>
          <w:rFonts w:ascii="Times New Roman" w:hAnsi="Times New Roman" w:cs="Times New Roman"/>
          <w:sz w:val="24"/>
          <w:szCs w:val="24"/>
        </w:rPr>
        <w:t>, za dany rok,</w:t>
      </w:r>
      <w:r w:rsidRPr="00633318">
        <w:rPr>
          <w:rFonts w:ascii="Times New Roman" w:hAnsi="Times New Roman" w:cs="Times New Roman"/>
          <w:sz w:val="24"/>
          <w:szCs w:val="24"/>
        </w:rPr>
        <w:t xml:space="preserve"> </w:t>
      </w:r>
      <w:r w:rsidRPr="00633318">
        <w:rPr>
          <w:rFonts w:ascii="Times New Roman" w:hAnsi="Times New Roman" w:cs="Times New Roman"/>
          <w:b/>
          <w:bCs/>
          <w:sz w:val="24"/>
          <w:szCs w:val="24"/>
        </w:rPr>
        <w:t>nie może przekraczać 50 000 000 EUR</w:t>
      </w:r>
      <w:r w:rsidRPr="00633318">
        <w:rPr>
          <w:rFonts w:ascii="Times New Roman" w:hAnsi="Times New Roman" w:cs="Times New Roman"/>
          <w:sz w:val="24"/>
          <w:szCs w:val="24"/>
        </w:rPr>
        <w:t>.</w:t>
      </w:r>
    </w:p>
    <w:p w14:paraId="7F673948" w14:textId="2C0DB77B"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świetle ust. 1 pkt 2, do powyższej sumy nie zalicza się jednak aktywów jednostek zlokalizowanych w </w:t>
      </w:r>
      <w:r w:rsidR="000E3AC9"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w </w:t>
      </w:r>
      <w:r w:rsidR="000E3AC9" w:rsidRPr="00633318">
        <w:rPr>
          <w:rFonts w:ascii="Times New Roman" w:hAnsi="Times New Roman" w:cs="Times New Roman"/>
          <w:sz w:val="24"/>
          <w:szCs w:val="24"/>
        </w:rPr>
        <w:t xml:space="preserve">której </w:t>
      </w:r>
      <w:r w:rsidRPr="00633318">
        <w:rPr>
          <w:rFonts w:ascii="Times New Roman" w:hAnsi="Times New Roman" w:cs="Times New Roman"/>
          <w:sz w:val="24"/>
          <w:szCs w:val="24"/>
        </w:rPr>
        <w:t xml:space="preserve">jednostki te posiadają najwyższą łączną wartość rzeczowych aktywów trwałych za rok podatkowy. Tym samym, wyłącza się </w:t>
      </w:r>
      <w:r w:rsidR="000E3AC9" w:rsidRPr="00633318">
        <w:rPr>
          <w:rFonts w:ascii="Times New Roman" w:hAnsi="Times New Roman" w:cs="Times New Roman"/>
          <w:sz w:val="24"/>
          <w:szCs w:val="24"/>
        </w:rPr>
        <w:t>jurysdykcję</w:t>
      </w:r>
      <w:r w:rsidRPr="00633318">
        <w:rPr>
          <w:rFonts w:ascii="Times New Roman" w:hAnsi="Times New Roman" w:cs="Times New Roman"/>
          <w:sz w:val="24"/>
          <w:szCs w:val="24"/>
        </w:rPr>
        <w:t xml:space="preserve">, gdzie wartość jest najwyższa (z reguły </w:t>
      </w:r>
      <w:r w:rsidR="000E3AC9" w:rsidRPr="00633318">
        <w:rPr>
          <w:rFonts w:ascii="Times New Roman" w:hAnsi="Times New Roman" w:cs="Times New Roman"/>
          <w:sz w:val="24"/>
          <w:szCs w:val="24"/>
        </w:rPr>
        <w:t xml:space="preserve">jurysdykcję </w:t>
      </w:r>
      <w:r w:rsidRPr="00633318">
        <w:rPr>
          <w:rFonts w:ascii="Times New Roman" w:hAnsi="Times New Roman" w:cs="Times New Roman"/>
          <w:sz w:val="24"/>
          <w:szCs w:val="24"/>
        </w:rPr>
        <w:t xml:space="preserve">UPE); bowiem obrazować to ma zasięg działalności międzynarodowej. Wskazana wartość jest ustalona w momencie pierwotnego objęcia grupy międzynarodowej zakresem regulacji GloBE (a w odniesieniu do Rzeczypospolitej Polskiej – zakresem przepisów ustawy). </w:t>
      </w:r>
    </w:p>
    <w:p w14:paraId="360D7279" w14:textId="669D2F58"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Ponadto, stosownie do </w:t>
      </w:r>
      <w:r w:rsidRPr="00633318">
        <w:rPr>
          <w:rFonts w:ascii="Times New Roman" w:hAnsi="Times New Roman" w:cs="Times New Roman"/>
          <w:b/>
          <w:sz w:val="24"/>
          <w:szCs w:val="24"/>
        </w:rPr>
        <w:t>ust. 3</w:t>
      </w:r>
      <w:r w:rsidRPr="00633318">
        <w:rPr>
          <w:rFonts w:ascii="Times New Roman" w:hAnsi="Times New Roman" w:cs="Times New Roman"/>
          <w:sz w:val="24"/>
          <w:szCs w:val="24"/>
        </w:rPr>
        <w:t xml:space="preserve"> do sumy wartości rzeczowych aktywów trwałych, o której mowa w ust. 1 pkt 2, nie zalicza się wartości aktywów jednostek inwestycyjnych i ubezpieczeniowych jednostek inwestycyjnych (podobnie jak ma to miejsce na gruncie UTPR). Ponadto, jednostki te nie są zaliczane dla celów określenia liczby </w:t>
      </w:r>
      <w:r w:rsidR="000E3AC9" w:rsidRPr="00633318">
        <w:rPr>
          <w:rFonts w:ascii="Times New Roman" w:hAnsi="Times New Roman" w:cs="Times New Roman"/>
          <w:sz w:val="24"/>
          <w:szCs w:val="24"/>
        </w:rPr>
        <w:t xml:space="preserve">jurysdykcji </w:t>
      </w:r>
      <w:r w:rsidRPr="00633318">
        <w:rPr>
          <w:rFonts w:ascii="Times New Roman" w:hAnsi="Times New Roman" w:cs="Times New Roman"/>
          <w:sz w:val="24"/>
          <w:szCs w:val="24"/>
        </w:rPr>
        <w:t>w kontekście warunku wskazanego w ust. 1 pkt 1. Analogiczne reguły będą miały zastosowanie w przypadku joint venture i ich jednostek zależnych. Jednostki te nie stanowią bowiem jednostek składowych grupy międzynarodowej [Komentarz, 9.3.2; 21].</w:t>
      </w:r>
    </w:p>
    <w:p w14:paraId="3CED546A" w14:textId="0D90538D" w:rsidR="00BA541D" w:rsidRPr="00633318" w:rsidRDefault="00BA541D" w:rsidP="00BA541D">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 xml:space="preserve">Należy podkreślić, że wskazana w art. 128 bezpieczna przystań dotyczy grup międzynarodowych, których jednostka dominująca jest zlokalizowana na terytorium RP – w takim bowiem przypadku globalny podatek wyrównawczy rozliczany jest w Polsce. Jednakże, jeżeli jednostka dominująca najwyższego szczebla jest jednostką wyłączoną, zasady bezpiecznej przystani stosuje się, zgodnie z </w:t>
      </w:r>
      <w:r w:rsidRPr="00633318">
        <w:rPr>
          <w:rFonts w:ascii="Times New Roman" w:hAnsi="Times New Roman" w:cs="Times New Roman"/>
          <w:b/>
          <w:szCs w:val="24"/>
        </w:rPr>
        <w:t>ust. 4</w:t>
      </w:r>
      <w:r w:rsidRPr="00633318">
        <w:rPr>
          <w:rFonts w:ascii="Times New Roman" w:hAnsi="Times New Roman" w:cs="Times New Roman"/>
          <w:szCs w:val="24"/>
        </w:rPr>
        <w:t xml:space="preserve">, odpowiednio do jednostki dominującej niższego szczebla zlokalizowanej na terytorium Rzeczypospolitej Polskiej. </w:t>
      </w:r>
    </w:p>
    <w:p w14:paraId="77CC32C8"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Wskazana bezpieczna przystań ma zastosowanie wyłącznie w okresie pierwszych, następujących bezpośrednio po sobie, pięciu latach podatkowych początkowego okresu działalności danej grupy. Co do zasady, zgodnie z </w:t>
      </w:r>
      <w:r w:rsidRPr="00633318">
        <w:rPr>
          <w:rFonts w:ascii="Times New Roman" w:hAnsi="Times New Roman" w:cs="Times New Roman"/>
          <w:b/>
          <w:sz w:val="24"/>
          <w:szCs w:val="24"/>
        </w:rPr>
        <w:t>ust. 5</w:t>
      </w:r>
      <w:r w:rsidRPr="00633318">
        <w:rPr>
          <w:rFonts w:ascii="Times New Roman" w:hAnsi="Times New Roman" w:cs="Times New Roman"/>
          <w:sz w:val="24"/>
          <w:szCs w:val="24"/>
        </w:rPr>
        <w:t xml:space="preserve"> okres ten jest liczony od pierwszego dnia roku podatkowego, w którym grupa ta została objęta zakresem Zasad GloBE, tj. w którym dana grupa międzynarodowa spełniła warunki w zakresie minimalnego grupowego przychodu, o którym mowa w art. 4. Natomiast w przypadku grup międzynarodowych, które spełniają te warunki z dniem wejścia ustawy w życie, a zarazem wchodzą w zakres Dyrektywy za rok podatkowy rozpoczęty po dniu 31 grudnia 2023 r.,  zgodnie z </w:t>
      </w:r>
      <w:r w:rsidRPr="00633318">
        <w:rPr>
          <w:rFonts w:ascii="Times New Roman" w:hAnsi="Times New Roman" w:cs="Times New Roman"/>
          <w:bCs/>
          <w:sz w:val="24"/>
          <w:szCs w:val="24"/>
        </w:rPr>
        <w:t>przepisami przejściowymi ustawy</w:t>
      </w:r>
      <w:r w:rsidRPr="00633318">
        <w:rPr>
          <w:rFonts w:ascii="Times New Roman" w:hAnsi="Times New Roman" w:cs="Times New Roman"/>
          <w:sz w:val="24"/>
          <w:szCs w:val="24"/>
        </w:rPr>
        <w:t xml:space="preserve"> wskazany pięcioletni okres liczy się mając na uwadze wcześniejszy termin wejścia w życie Dyrektywy. Tym samym, pięcioletni okres liczy się od pierwszego roku podatkowego rozpoczynającego się po dniu 31 grudnia 2023 r. </w:t>
      </w:r>
    </w:p>
    <w:p w14:paraId="6FC51F69" w14:textId="4940338D"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sz w:val="24"/>
          <w:szCs w:val="24"/>
        </w:rPr>
        <w:t xml:space="preserve">Finalnie, </w:t>
      </w:r>
      <w:r w:rsidRPr="00633318">
        <w:rPr>
          <w:rFonts w:ascii="Times New Roman" w:hAnsi="Times New Roman" w:cs="Times New Roman"/>
          <w:b/>
          <w:sz w:val="24"/>
          <w:szCs w:val="24"/>
        </w:rPr>
        <w:t xml:space="preserve">ust. </w:t>
      </w:r>
      <w:r w:rsidR="00A23C1A" w:rsidRPr="00633318">
        <w:rPr>
          <w:rFonts w:ascii="Times New Roman" w:hAnsi="Times New Roman" w:cs="Times New Roman"/>
          <w:b/>
          <w:sz w:val="24"/>
          <w:szCs w:val="24"/>
        </w:rPr>
        <w:t>6 i 7</w:t>
      </w:r>
      <w:r w:rsidRPr="00633318">
        <w:rPr>
          <w:rFonts w:ascii="Times New Roman" w:hAnsi="Times New Roman" w:cs="Times New Roman"/>
          <w:sz w:val="24"/>
          <w:szCs w:val="24"/>
        </w:rPr>
        <w:t xml:space="preserve"> nakłada</w:t>
      </w:r>
      <w:r w:rsidR="00A23C1A" w:rsidRPr="00633318">
        <w:rPr>
          <w:rFonts w:ascii="Times New Roman" w:hAnsi="Times New Roman" w:cs="Times New Roman"/>
          <w:sz w:val="24"/>
          <w:szCs w:val="24"/>
        </w:rPr>
        <w:t>ją</w:t>
      </w:r>
      <w:r w:rsidRPr="00633318">
        <w:rPr>
          <w:rFonts w:ascii="Times New Roman" w:hAnsi="Times New Roman" w:cs="Times New Roman"/>
          <w:sz w:val="24"/>
          <w:szCs w:val="24"/>
        </w:rPr>
        <w:t xml:space="preserve"> obowiązek na jednostki składowe grupy, zlokalizowane na terytorium Polski, do </w:t>
      </w:r>
      <w:r w:rsidR="00A23C1A" w:rsidRPr="00633318">
        <w:rPr>
          <w:rFonts w:ascii="Times New Roman" w:hAnsi="Times New Roman" w:cs="Times New Roman"/>
          <w:sz w:val="24"/>
          <w:szCs w:val="24"/>
        </w:rPr>
        <w:t>za</w:t>
      </w:r>
      <w:r w:rsidRPr="00633318">
        <w:rPr>
          <w:rFonts w:ascii="Times New Roman" w:hAnsi="Times New Roman" w:cs="Times New Roman"/>
          <w:sz w:val="24"/>
          <w:szCs w:val="24"/>
        </w:rPr>
        <w:t xml:space="preserve">wiadomienia właściwego urzędu skarbowego o rozpoczęciu </w:t>
      </w:r>
      <w:r w:rsidRPr="00633318">
        <w:rPr>
          <w:rFonts w:ascii="Times New Roman" w:hAnsi="Times New Roman" w:cs="Times New Roman"/>
          <w:bCs/>
          <w:sz w:val="24"/>
          <w:szCs w:val="24"/>
        </w:rPr>
        <w:t>początkowego okresu działalności grupy międzynarodowej, tj. o spełnieniu kryteriów uprawniających jednostkę dominującą najwyższego szczebla lub jednostkę dominującą niższego szczebla do skorzystania z omawianego zwolnienia. Obowiązek ten może zostać powierzony właściwej jednostce uprawnionej do złożenia Informacji GloBE lub zeznania lokalnego w oparciu o przepisy działu XI.</w:t>
      </w:r>
      <w:r w:rsidR="00E26494" w:rsidRPr="00633318">
        <w:rPr>
          <w:rFonts w:ascii="Times New Roman" w:hAnsi="Times New Roman" w:cs="Times New Roman"/>
          <w:bCs/>
          <w:sz w:val="24"/>
          <w:szCs w:val="24"/>
        </w:rPr>
        <w:t xml:space="preserve"> </w:t>
      </w:r>
      <w:r w:rsidR="00A23C1A" w:rsidRPr="00633318">
        <w:rPr>
          <w:rFonts w:ascii="Times New Roman" w:hAnsi="Times New Roman" w:cs="Times New Roman"/>
          <w:bCs/>
          <w:sz w:val="24"/>
          <w:szCs w:val="24"/>
        </w:rPr>
        <w:t xml:space="preserve">Zawiadomienie </w:t>
      </w:r>
      <w:r w:rsidR="00E26494" w:rsidRPr="00633318">
        <w:rPr>
          <w:rFonts w:ascii="Times New Roman" w:hAnsi="Times New Roman" w:cs="Times New Roman"/>
          <w:bCs/>
          <w:sz w:val="24"/>
          <w:szCs w:val="24"/>
        </w:rPr>
        <w:t xml:space="preserve">składa się w ustawowym terminie na złożenie Informacji GloBE, tj. </w:t>
      </w:r>
      <w:r w:rsidR="00E26494" w:rsidRPr="00633318">
        <w:rPr>
          <w:rFonts w:ascii="Times New Roman" w:hAnsi="Times New Roman" w:cs="Times New Roman"/>
          <w:sz w:val="24"/>
          <w:szCs w:val="24"/>
        </w:rPr>
        <w:t>w terminie do końca piętnastego miesiąca następującego po zakończeniu roku podatkowego, a w przypadku pierwszego roku podatkowego, o którym mowa w art. 130, do końca osiemnastego miesiąca następującego po zakończeniu tego roku.</w:t>
      </w:r>
    </w:p>
    <w:p w14:paraId="7852E99D" w14:textId="2E629254" w:rsidR="00BA541D" w:rsidRPr="00633318" w:rsidRDefault="00BA541D" w:rsidP="00BA541D">
      <w:pPr>
        <w:pStyle w:val="Nagwek5"/>
        <w:spacing w:before="240"/>
        <w:jc w:val="both"/>
        <w:rPr>
          <w:rFonts w:ascii="Times New Roman" w:hAnsi="Times New Roman" w:cs="Times New Roman"/>
          <w:sz w:val="24"/>
          <w:szCs w:val="24"/>
        </w:rPr>
      </w:pPr>
      <w:r w:rsidRPr="00633318">
        <w:rPr>
          <w:rFonts w:ascii="Times New Roman" w:hAnsi="Times New Roman" w:cs="Times New Roman"/>
          <w:sz w:val="24"/>
          <w:szCs w:val="24"/>
        </w:rPr>
        <w:t xml:space="preserve">Art. 129 [Początkowy okres działalności grupy międzynarodowej – </w:t>
      </w:r>
      <w:r w:rsidR="000275C9" w:rsidRPr="00633318">
        <w:rPr>
          <w:rFonts w:ascii="Times New Roman" w:hAnsi="Times New Roman" w:cs="Times New Roman"/>
          <w:sz w:val="24"/>
          <w:szCs w:val="24"/>
        </w:rPr>
        <w:t>zwolnienie z krajowego podatku wyrównawczego i podatku UTPR</w:t>
      </w:r>
      <w:r w:rsidRPr="00633318">
        <w:rPr>
          <w:rFonts w:ascii="Times New Roman" w:hAnsi="Times New Roman" w:cs="Times New Roman"/>
          <w:sz w:val="24"/>
          <w:szCs w:val="24"/>
        </w:rPr>
        <w:t xml:space="preserve"> oraz 5-letnie zwolnienie dla grup krajowych]</w:t>
      </w:r>
    </w:p>
    <w:p w14:paraId="1FD93096" w14:textId="1EE714D5"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b/>
          <w:sz w:val="24"/>
          <w:szCs w:val="24"/>
        </w:rPr>
        <w:t>Art. 129 ust. 1</w:t>
      </w:r>
      <w:r w:rsidRPr="00633318">
        <w:rPr>
          <w:rFonts w:ascii="Times New Roman" w:hAnsi="Times New Roman" w:cs="Times New Roman"/>
          <w:bCs/>
          <w:sz w:val="24"/>
          <w:szCs w:val="24"/>
        </w:rPr>
        <w:t xml:space="preserve"> odnosi się natomiast do </w:t>
      </w:r>
      <w:r w:rsidR="000275C9" w:rsidRPr="00633318">
        <w:rPr>
          <w:rFonts w:ascii="Times New Roman" w:hAnsi="Times New Roman" w:cs="Times New Roman"/>
          <w:bCs/>
          <w:sz w:val="24"/>
          <w:szCs w:val="24"/>
        </w:rPr>
        <w:t xml:space="preserve">jednostek składowych grup międzynarodowych, objętych krajowym podatkiem wyrównawczym lub podatkiem wyrównawczym </w:t>
      </w:r>
      <w:r w:rsidR="000275C9" w:rsidRPr="00633318">
        <w:rPr>
          <w:rFonts w:ascii="Times New Roman" w:hAnsi="Times New Roman" w:cs="Times New Roman"/>
          <w:sz w:val="24"/>
          <w:szCs w:val="24"/>
        </w:rPr>
        <w:t>od niedostatecznie opodatkowanych zysków</w:t>
      </w:r>
      <w:r w:rsidRPr="00633318">
        <w:rPr>
          <w:rFonts w:ascii="Times New Roman" w:hAnsi="Times New Roman" w:cs="Times New Roman"/>
          <w:sz w:val="24"/>
          <w:szCs w:val="24"/>
        </w:rPr>
        <w:t>.</w:t>
      </w:r>
      <w:r w:rsidRPr="00633318">
        <w:rPr>
          <w:rFonts w:ascii="Times New Roman" w:hAnsi="Times New Roman" w:cs="Times New Roman"/>
          <w:bCs/>
          <w:sz w:val="24"/>
          <w:szCs w:val="24"/>
        </w:rPr>
        <w:t xml:space="preserve"> </w:t>
      </w:r>
      <w:r w:rsidR="000275C9" w:rsidRPr="00633318">
        <w:rPr>
          <w:rFonts w:ascii="Times New Roman" w:hAnsi="Times New Roman" w:cs="Times New Roman"/>
          <w:bCs/>
          <w:sz w:val="24"/>
          <w:szCs w:val="24"/>
        </w:rPr>
        <w:t>Tym samym,</w:t>
      </w:r>
      <w:r w:rsidRPr="00633318">
        <w:rPr>
          <w:rFonts w:ascii="Times New Roman" w:hAnsi="Times New Roman" w:cs="Times New Roman"/>
          <w:bCs/>
          <w:sz w:val="24"/>
          <w:szCs w:val="24"/>
        </w:rPr>
        <w:t xml:space="preserve"> art. 129 ust. 1 wprowadza</w:t>
      </w:r>
      <w:r w:rsidRPr="00633318">
        <w:rPr>
          <w:rFonts w:ascii="Times New Roman" w:hAnsi="Times New Roman" w:cs="Times New Roman"/>
          <w:b/>
          <w:bCs/>
          <w:sz w:val="24"/>
          <w:szCs w:val="24"/>
        </w:rPr>
        <w:t xml:space="preserve"> równoległe zwolnienie dla krajowego podatku wyrównawczego i podatku </w:t>
      </w:r>
      <w:r w:rsidR="000275C9" w:rsidRPr="00633318">
        <w:rPr>
          <w:rFonts w:ascii="Times New Roman" w:hAnsi="Times New Roman" w:cs="Times New Roman"/>
          <w:b/>
          <w:bCs/>
          <w:sz w:val="24"/>
          <w:szCs w:val="24"/>
        </w:rPr>
        <w:t xml:space="preserve"> UTPR</w:t>
      </w:r>
      <w:r w:rsidR="003E7A67" w:rsidRPr="00633318">
        <w:rPr>
          <w:rFonts w:ascii="Times New Roman" w:hAnsi="Times New Roman" w:cs="Times New Roman"/>
          <w:b/>
          <w:bCs/>
          <w:sz w:val="24"/>
          <w:szCs w:val="24"/>
        </w:rPr>
        <w:t xml:space="preserve"> </w:t>
      </w:r>
      <w:r w:rsidRPr="00633318">
        <w:rPr>
          <w:rFonts w:ascii="Times New Roman" w:hAnsi="Times New Roman" w:cs="Times New Roman"/>
          <w:b/>
          <w:bCs/>
          <w:sz w:val="24"/>
          <w:szCs w:val="24"/>
        </w:rPr>
        <w:t xml:space="preserve">należnego od jednostek takiej grupy, zlokalizowanych na terytorium RP. </w:t>
      </w:r>
      <w:r w:rsidRPr="00633318">
        <w:rPr>
          <w:rFonts w:ascii="Times New Roman" w:hAnsi="Times New Roman" w:cs="Times New Roman"/>
          <w:bCs/>
          <w:sz w:val="24"/>
          <w:szCs w:val="24"/>
        </w:rPr>
        <w:t xml:space="preserve">Zatem, zgodnie z art. 129 ust. 1 nie oblicza się dwóch ww. podatków za pierwsze pięć lat podatkowych początkowego okresu działalności tej grupy, jeżeli w tym okresie </w:t>
      </w:r>
      <w:r w:rsidR="00B45C98" w:rsidRPr="00633318">
        <w:rPr>
          <w:rFonts w:ascii="Times New Roman" w:hAnsi="Times New Roman" w:cs="Times New Roman"/>
          <w:bCs/>
          <w:sz w:val="24"/>
          <w:szCs w:val="24"/>
        </w:rPr>
        <w:t>za poszczególne lata</w:t>
      </w:r>
      <w:r w:rsidRPr="00633318">
        <w:rPr>
          <w:rFonts w:ascii="Times New Roman" w:hAnsi="Times New Roman" w:cs="Times New Roman"/>
          <w:bCs/>
          <w:sz w:val="24"/>
          <w:szCs w:val="24"/>
        </w:rPr>
        <w:t xml:space="preserve"> spełnione są opisane wcześniej warunki wynikające z art. 128 ust. 1 (mniej niż 6 </w:t>
      </w:r>
      <w:r w:rsidR="000E3AC9" w:rsidRPr="00633318">
        <w:rPr>
          <w:rFonts w:ascii="Times New Roman" w:hAnsi="Times New Roman" w:cs="Times New Roman"/>
          <w:bCs/>
          <w:sz w:val="24"/>
          <w:szCs w:val="24"/>
        </w:rPr>
        <w:t xml:space="preserve">jurysdykcji </w:t>
      </w:r>
      <w:r w:rsidRPr="00633318">
        <w:rPr>
          <w:rFonts w:ascii="Times New Roman" w:hAnsi="Times New Roman" w:cs="Times New Roman"/>
          <w:bCs/>
          <w:sz w:val="24"/>
          <w:szCs w:val="24"/>
        </w:rPr>
        <w:t>i określony próg wartości aktywów).</w:t>
      </w:r>
    </w:p>
    <w:p w14:paraId="6A29AA67" w14:textId="4E60B452" w:rsidR="00BA541D" w:rsidRPr="00633318" w:rsidRDefault="00BA541D" w:rsidP="00BA541D">
      <w:pPr>
        <w:spacing w:after="120"/>
        <w:jc w:val="both"/>
        <w:rPr>
          <w:rFonts w:ascii="Times New Roman" w:hAnsi="Times New Roman" w:cs="Times New Roman"/>
          <w:b/>
          <w:bCs/>
          <w:sz w:val="24"/>
          <w:szCs w:val="24"/>
        </w:rPr>
      </w:pPr>
      <w:r w:rsidRPr="00633318">
        <w:rPr>
          <w:rFonts w:ascii="Times New Roman" w:hAnsi="Times New Roman" w:cs="Times New Roman"/>
          <w:bCs/>
          <w:sz w:val="24"/>
          <w:szCs w:val="24"/>
        </w:rPr>
        <w:t xml:space="preserve">Okres 5 lat liczy się na podobnych zasadach, </w:t>
      </w:r>
      <w:r w:rsidR="000275C9" w:rsidRPr="00633318">
        <w:rPr>
          <w:rFonts w:ascii="Times New Roman" w:hAnsi="Times New Roman" w:cs="Times New Roman"/>
          <w:bCs/>
          <w:sz w:val="24"/>
          <w:szCs w:val="24"/>
        </w:rPr>
        <w:t>jak w przypadku zwolnienia 5-letniego dla globalnego podatku wyrównawczego</w:t>
      </w:r>
      <w:r w:rsidRPr="00633318">
        <w:rPr>
          <w:rFonts w:ascii="Times New Roman" w:hAnsi="Times New Roman" w:cs="Times New Roman"/>
          <w:bCs/>
          <w:sz w:val="24"/>
          <w:szCs w:val="24"/>
        </w:rPr>
        <w:t>, uwzględniając również przepisy przejściowe (stąd, art. 128 ust. 5 stosuje się odpowiednio).</w:t>
      </w:r>
    </w:p>
    <w:p w14:paraId="1FD25672" w14:textId="3FDBB2AD"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b/>
          <w:sz w:val="24"/>
          <w:szCs w:val="24"/>
        </w:rPr>
        <w:t>Art. 129</w:t>
      </w:r>
      <w:r w:rsidRPr="00633318">
        <w:rPr>
          <w:rFonts w:ascii="Times New Roman" w:hAnsi="Times New Roman" w:cs="Times New Roman"/>
          <w:sz w:val="24"/>
          <w:szCs w:val="24"/>
        </w:rPr>
        <w:t xml:space="preserve"> </w:t>
      </w:r>
      <w:r w:rsidRPr="00633318">
        <w:rPr>
          <w:rFonts w:ascii="Times New Roman" w:hAnsi="Times New Roman" w:cs="Times New Roman"/>
          <w:b/>
          <w:bCs/>
          <w:sz w:val="24"/>
          <w:szCs w:val="24"/>
        </w:rPr>
        <w:t>ust. 2</w:t>
      </w:r>
      <w:r w:rsidRPr="00633318">
        <w:rPr>
          <w:rFonts w:ascii="Times New Roman" w:hAnsi="Times New Roman" w:cs="Times New Roman"/>
          <w:sz w:val="24"/>
          <w:szCs w:val="24"/>
        </w:rPr>
        <w:t xml:space="preserve"> przewiduje ponadto </w:t>
      </w:r>
      <w:r w:rsidRPr="00633318">
        <w:rPr>
          <w:rFonts w:ascii="Times New Roman" w:hAnsi="Times New Roman" w:cs="Times New Roman"/>
          <w:b/>
          <w:sz w:val="24"/>
          <w:szCs w:val="24"/>
        </w:rPr>
        <w:t>5-letnie zwolnienie dla grup krajowych</w:t>
      </w:r>
      <w:r w:rsidRPr="00633318">
        <w:rPr>
          <w:rFonts w:ascii="Times New Roman" w:hAnsi="Times New Roman" w:cs="Times New Roman"/>
          <w:sz w:val="24"/>
          <w:szCs w:val="24"/>
        </w:rPr>
        <w:t>. Zgodnie z tym przepisem, nie oblicza się krajowego podatku wyrównawczego należnego od jednostek grupy krajowej w okresie pierwszych pięciu lat podatkowych</w:t>
      </w:r>
      <w:r w:rsidR="00227BA7"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licząc od pierwszego dnia roku podatkowego, w którym przepisy ustawy stosuje się w odniesieniu do tej grupy. Przykładowo, w odniesieniu do grup krajowych, które spełnią warunek minimalnego przychodu grupowego na dzień 1 stycznia 2026 r., jednostki tych grup będą podlegać zwolnieniu z krajowego podatku wyrównawczego w latach 2026 </w:t>
      </w:r>
      <w:r w:rsidRPr="00633318">
        <w:rPr>
          <w:rFonts w:ascii="Times New Roman" w:eastAsia="Times New Roman" w:hAnsi="Times New Roman" w:cs="Times New Roman"/>
          <w:sz w:val="24"/>
          <w:szCs w:val="24"/>
          <w:lang w:eastAsia="pl-PL"/>
        </w:rPr>
        <w:t>–</w:t>
      </w:r>
      <w:r w:rsidRPr="00633318">
        <w:rPr>
          <w:rFonts w:ascii="Times New Roman" w:hAnsi="Times New Roman" w:cs="Times New Roman"/>
          <w:sz w:val="24"/>
          <w:szCs w:val="24"/>
        </w:rPr>
        <w:t xml:space="preserve"> 2030. Należy jednak mieć na uwadze przepisy przejściowe i wcześniejszy termin wejścia w życie Dyrektywy. Na podstawie przepisów przejściowych, jeżeli grupa krajowa weszła w zakres przepisów Dyrektywy już za rok rozpoczęty po 31 grudnia 2023 r., 5-letni okres liczy się od tego roku.</w:t>
      </w:r>
    </w:p>
    <w:p w14:paraId="634B131A" w14:textId="77777777" w:rsidR="00BA541D" w:rsidRPr="00633318" w:rsidRDefault="00BA541D" w:rsidP="00191592">
      <w:pPr>
        <w:pStyle w:val="Nagwek3"/>
        <w:spacing w:before="240"/>
        <w:rPr>
          <w:rFonts w:ascii="Times New Roman" w:hAnsi="Times New Roman" w:cs="Times New Roman"/>
          <w:sz w:val="24"/>
        </w:rPr>
      </w:pPr>
      <w:r w:rsidRPr="00633318">
        <w:rPr>
          <w:rFonts w:ascii="Times New Roman" w:hAnsi="Times New Roman" w:cs="Times New Roman"/>
          <w:sz w:val="24"/>
        </w:rPr>
        <w:t>Rozdział 3 – Przepisy szczególne w pierwszym roku podatkowym w zakresie podatku odroczonego</w:t>
      </w:r>
    </w:p>
    <w:p w14:paraId="5228B56B" w14:textId="77777777" w:rsidR="00BA541D" w:rsidRPr="00633318" w:rsidRDefault="00BA541D" w:rsidP="00BA541D">
      <w:pPr>
        <w:pStyle w:val="Nagwek5"/>
        <w:rPr>
          <w:rFonts w:ascii="Times New Roman" w:hAnsi="Times New Roman" w:cs="Times New Roman"/>
          <w:sz w:val="24"/>
          <w:szCs w:val="24"/>
        </w:rPr>
      </w:pPr>
      <w:r w:rsidRPr="00633318">
        <w:rPr>
          <w:rFonts w:ascii="Times New Roman" w:hAnsi="Times New Roman" w:cs="Times New Roman"/>
          <w:sz w:val="24"/>
          <w:szCs w:val="24"/>
        </w:rPr>
        <w:t>Art. 130 [Pierwszy rok podatkowy]</w:t>
      </w:r>
    </w:p>
    <w:p w14:paraId="7EC4B610" w14:textId="10E1D3C5" w:rsidR="00BA541D" w:rsidRPr="00633318" w:rsidRDefault="00BA541D" w:rsidP="00BA541D">
      <w:pPr>
        <w:rPr>
          <w:rFonts w:ascii="Times New Roman" w:hAnsi="Times New Roman" w:cs="Times New Roman"/>
          <w:i/>
          <w:iCs/>
          <w:sz w:val="24"/>
          <w:szCs w:val="24"/>
        </w:rPr>
      </w:pPr>
      <w:r w:rsidRPr="00633318">
        <w:rPr>
          <w:rFonts w:ascii="Times New Roman" w:hAnsi="Times New Roman" w:cs="Times New Roman"/>
          <w:i/>
          <w:iCs/>
          <w:sz w:val="24"/>
          <w:szCs w:val="24"/>
        </w:rPr>
        <w:t xml:space="preserve">Zasady wynikające z Dyrektywy / </w:t>
      </w:r>
      <w:r w:rsidR="00595132" w:rsidRPr="00633318">
        <w:rPr>
          <w:rFonts w:ascii="Times New Roman" w:hAnsi="Times New Roman" w:cs="Times New Roman"/>
          <w:i/>
          <w:iCs/>
          <w:sz w:val="24"/>
          <w:szCs w:val="24"/>
        </w:rPr>
        <w:t>Modelowych zasad</w:t>
      </w:r>
      <w:r w:rsidRPr="00633318">
        <w:rPr>
          <w:rFonts w:ascii="Times New Roman" w:hAnsi="Times New Roman" w:cs="Times New Roman"/>
          <w:i/>
          <w:iCs/>
          <w:sz w:val="24"/>
          <w:szCs w:val="24"/>
        </w:rPr>
        <w:t xml:space="preserve"> OECD</w:t>
      </w:r>
    </w:p>
    <w:p w14:paraId="5B898F1A"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b/>
          <w:sz w:val="24"/>
          <w:szCs w:val="24"/>
        </w:rPr>
        <w:t xml:space="preserve">Art. 130 </w:t>
      </w:r>
      <w:r w:rsidRPr="00633318">
        <w:rPr>
          <w:rFonts w:ascii="Times New Roman" w:hAnsi="Times New Roman" w:cs="Times New Roman"/>
          <w:sz w:val="24"/>
          <w:szCs w:val="24"/>
        </w:rPr>
        <w:t xml:space="preserve">ustawy implementuje </w:t>
      </w:r>
      <w:r w:rsidRPr="00633318">
        <w:rPr>
          <w:rFonts w:ascii="Times New Roman" w:hAnsi="Times New Roman" w:cs="Times New Roman"/>
          <w:b/>
          <w:sz w:val="24"/>
          <w:szCs w:val="24"/>
        </w:rPr>
        <w:t>art. 47 Dyrektywy</w:t>
      </w:r>
      <w:r w:rsidRPr="00633318">
        <w:rPr>
          <w:rFonts w:ascii="Times New Roman" w:hAnsi="Times New Roman" w:cs="Times New Roman"/>
          <w:sz w:val="24"/>
          <w:szCs w:val="24"/>
        </w:rPr>
        <w:t>.</w:t>
      </w:r>
    </w:p>
    <w:p w14:paraId="3E9B50F7" w14:textId="4FD61B38" w:rsidR="00682AD6"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b/>
          <w:bCs/>
          <w:sz w:val="24"/>
          <w:szCs w:val="24"/>
        </w:rPr>
        <w:t>Ust. 1</w:t>
      </w:r>
      <w:r w:rsidRPr="00633318">
        <w:rPr>
          <w:rFonts w:ascii="Times New Roman" w:hAnsi="Times New Roman" w:cs="Times New Roman"/>
          <w:bCs/>
          <w:sz w:val="24"/>
          <w:szCs w:val="24"/>
        </w:rPr>
        <w:t xml:space="preserve"> tego artykułu definiuje pierwszy rok podatkowy</w:t>
      </w:r>
      <w:r w:rsidR="00A50A24" w:rsidRPr="00633318">
        <w:rPr>
          <w:rFonts w:ascii="Times New Roman" w:hAnsi="Times New Roman" w:cs="Times New Roman"/>
          <w:bCs/>
          <w:sz w:val="24"/>
          <w:szCs w:val="24"/>
        </w:rPr>
        <w:t xml:space="preserve"> (ang. </w:t>
      </w:r>
      <w:r w:rsidR="00A50A24" w:rsidRPr="00633318">
        <w:rPr>
          <w:rFonts w:ascii="Times New Roman" w:hAnsi="Times New Roman" w:cs="Times New Roman"/>
          <w:bCs/>
          <w:i/>
          <w:iCs/>
          <w:sz w:val="24"/>
          <w:szCs w:val="24"/>
        </w:rPr>
        <w:t>transition year</w:t>
      </w:r>
      <w:r w:rsidR="00A50A24"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W świetle tego przepisu, pierwszym rokiem podatkowym w odniesieniu do </w:t>
      </w:r>
      <w:r w:rsidR="000E3AC9" w:rsidRPr="00633318">
        <w:rPr>
          <w:rFonts w:ascii="Times New Roman" w:hAnsi="Times New Roman" w:cs="Times New Roman"/>
          <w:bCs/>
          <w:sz w:val="24"/>
          <w:szCs w:val="24"/>
        </w:rPr>
        <w:t xml:space="preserve">danej jurysdykcji </w:t>
      </w:r>
      <w:r w:rsidRPr="00633318">
        <w:rPr>
          <w:rFonts w:ascii="Times New Roman" w:hAnsi="Times New Roman" w:cs="Times New Roman"/>
          <w:bCs/>
          <w:sz w:val="24"/>
          <w:szCs w:val="24"/>
        </w:rPr>
        <w:t xml:space="preserve">jest rok podatkowy, za który pierwszy raz stosuje się w odniesieniu do jednostek zlokalizowanych w </w:t>
      </w:r>
      <w:r w:rsidR="000E3AC9" w:rsidRPr="00633318">
        <w:rPr>
          <w:rFonts w:ascii="Times New Roman" w:hAnsi="Times New Roman" w:cs="Times New Roman"/>
          <w:bCs/>
          <w:sz w:val="24"/>
          <w:szCs w:val="24"/>
        </w:rPr>
        <w:t xml:space="preserve">tej jurysdykcji </w:t>
      </w:r>
      <w:r w:rsidR="00682AD6" w:rsidRPr="00633318">
        <w:rPr>
          <w:rFonts w:ascii="Times New Roman" w:hAnsi="Times New Roman" w:cs="Times New Roman"/>
          <w:bCs/>
          <w:sz w:val="24"/>
          <w:szCs w:val="24"/>
        </w:rPr>
        <w:t>Zasady GloBE. Przepis ten jest sformułowany w sposób ogólny, tj. mogą to być Zasady GloBE wyrażone przepisami ustawy o opodatkowaniu wyrównawczym lub analogiczne przepisy innych państw, tj.:</w:t>
      </w:r>
    </w:p>
    <w:p w14:paraId="4743CC0F" w14:textId="554E80A8" w:rsidR="00BA541D" w:rsidRPr="00633318" w:rsidRDefault="00BA541D" w:rsidP="009E73F7">
      <w:pPr>
        <w:pStyle w:val="Akapitzlist"/>
        <w:numPr>
          <w:ilvl w:val="0"/>
          <w:numId w:val="155"/>
        </w:numPr>
        <w:spacing w:after="120"/>
        <w:jc w:val="both"/>
        <w:rPr>
          <w:rFonts w:ascii="Times New Roman" w:hAnsi="Times New Roman" w:cs="Times New Roman"/>
          <w:sz w:val="24"/>
          <w:szCs w:val="24"/>
        </w:rPr>
      </w:pPr>
      <w:r w:rsidRPr="00633318">
        <w:rPr>
          <w:rFonts w:ascii="Times New Roman" w:hAnsi="Times New Roman" w:cs="Times New Roman"/>
          <w:bCs/>
          <w:sz w:val="24"/>
          <w:szCs w:val="24"/>
        </w:rPr>
        <w:t xml:space="preserve">przepisy działu II, III lub IV, </w:t>
      </w:r>
      <w:r w:rsidR="00682AD6" w:rsidRPr="00633318">
        <w:rPr>
          <w:rFonts w:ascii="Times New Roman" w:hAnsi="Times New Roman" w:cs="Times New Roman"/>
          <w:bCs/>
          <w:sz w:val="24"/>
          <w:szCs w:val="24"/>
        </w:rPr>
        <w:t>zgodnie z którymi</w:t>
      </w:r>
      <w:r w:rsidRPr="00633318">
        <w:rPr>
          <w:rFonts w:ascii="Times New Roman" w:hAnsi="Times New Roman" w:cs="Times New Roman"/>
          <w:bCs/>
          <w:sz w:val="24"/>
          <w:szCs w:val="24"/>
        </w:rPr>
        <w:t xml:space="preserve"> oblicza się globalny podatek wyrównawczy, krajowy podatek wyrównawczy lub podatek wyrównawczy od niedostatecznie opodatkowanych zysków</w:t>
      </w:r>
      <w:r w:rsidR="00682AD6" w:rsidRPr="00633318">
        <w:rPr>
          <w:rFonts w:ascii="Times New Roman" w:hAnsi="Times New Roman" w:cs="Times New Roman"/>
          <w:bCs/>
          <w:sz w:val="24"/>
          <w:szCs w:val="24"/>
        </w:rPr>
        <w:t>;</w:t>
      </w:r>
    </w:p>
    <w:p w14:paraId="3FAA9555" w14:textId="3F06970B" w:rsidR="00682AD6" w:rsidRPr="00633318" w:rsidRDefault="00682AD6" w:rsidP="009E73F7">
      <w:pPr>
        <w:pStyle w:val="Akapitzlist"/>
        <w:numPr>
          <w:ilvl w:val="0"/>
          <w:numId w:val="155"/>
        </w:numPr>
        <w:spacing w:after="120"/>
        <w:jc w:val="both"/>
        <w:rPr>
          <w:rFonts w:ascii="Times New Roman" w:hAnsi="Times New Roman" w:cs="Times New Roman"/>
          <w:sz w:val="24"/>
          <w:szCs w:val="24"/>
        </w:rPr>
      </w:pPr>
      <w:r w:rsidRPr="00633318">
        <w:rPr>
          <w:rFonts w:ascii="Times New Roman" w:hAnsi="Times New Roman" w:cs="Times New Roman"/>
          <w:bCs/>
          <w:sz w:val="24"/>
          <w:szCs w:val="24"/>
        </w:rPr>
        <w:t xml:space="preserve">przepisy </w:t>
      </w:r>
      <w:r w:rsidR="00A23C1A" w:rsidRPr="00633318">
        <w:rPr>
          <w:rFonts w:ascii="Times New Roman" w:hAnsi="Times New Roman" w:cs="Times New Roman"/>
          <w:bCs/>
          <w:sz w:val="24"/>
          <w:szCs w:val="24"/>
        </w:rPr>
        <w:t>innej jurysdykcji</w:t>
      </w:r>
      <w:r w:rsidRPr="00633318">
        <w:rPr>
          <w:rFonts w:ascii="Times New Roman" w:hAnsi="Times New Roman" w:cs="Times New Roman"/>
          <w:bCs/>
          <w:sz w:val="24"/>
          <w:szCs w:val="24"/>
        </w:rPr>
        <w:t>, zgodnie z którymi oblicza się kwalifikowany globalny podatek wyrównawczy, kwalifikowany krajowy podatek wyrównawczy lub stosuje się kwalifikowaną zasadę niedostatecznie opodatkowanych zysków (UTPR).</w:t>
      </w:r>
    </w:p>
    <w:p w14:paraId="0EF83FB5" w14:textId="27EA204D"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Przepis </w:t>
      </w:r>
      <w:r w:rsidRPr="00633318">
        <w:rPr>
          <w:rFonts w:ascii="Times New Roman" w:hAnsi="Times New Roman" w:cs="Times New Roman"/>
          <w:b/>
          <w:sz w:val="24"/>
          <w:szCs w:val="24"/>
        </w:rPr>
        <w:t>ust. 2</w:t>
      </w:r>
      <w:r w:rsidRPr="00633318">
        <w:rPr>
          <w:rFonts w:ascii="Times New Roman" w:hAnsi="Times New Roman" w:cs="Times New Roman"/>
          <w:sz w:val="24"/>
          <w:szCs w:val="24"/>
        </w:rPr>
        <w:t xml:space="preserve"> określa, w jakim zakresie uwzględnia się – za pierwszy rok podatkowy i dla celów wyliczenia efektywnej stawki podatkowej (obliczanej dla </w:t>
      </w:r>
      <w:r w:rsidR="00E677F8" w:rsidRPr="00633318">
        <w:rPr>
          <w:rFonts w:ascii="Times New Roman" w:hAnsi="Times New Roman" w:cs="Times New Roman"/>
          <w:sz w:val="24"/>
          <w:szCs w:val="24"/>
        </w:rPr>
        <w:t>danej jurysdykcji</w:t>
      </w:r>
      <w:r w:rsidRPr="00633318">
        <w:rPr>
          <w:rFonts w:ascii="Times New Roman" w:hAnsi="Times New Roman" w:cs="Times New Roman"/>
          <w:sz w:val="24"/>
          <w:szCs w:val="24"/>
        </w:rPr>
        <w:t>) – aktywa i rezerwy z tytułu podatku odroczonego jednostek składowych. Zamiast nakładania na grupy obowiązku dokonywania skomplikowanych obliczeń w zakresie całkowitej korekty podatku odroczonego, tak jakby jednostki składowe grupy podlegały przepisom ustawy w latach poprzednich, przyjęto uproszczone podejście. Podejście to ma również na celu zachowanie atrybutów podatkowych jednostek składowych (takich jak aktywa z tytułu straty) za lata przed objęciem tych jednostek Zasadami GloBE</w:t>
      </w:r>
      <w:r w:rsidR="00682AD6" w:rsidRPr="00633318">
        <w:rPr>
          <w:rFonts w:ascii="Times New Roman" w:hAnsi="Times New Roman" w:cs="Times New Roman"/>
          <w:sz w:val="24"/>
          <w:szCs w:val="24"/>
        </w:rPr>
        <w:t>, ujawnionych w księgach jednostki składowej na początku pierwszego roku podatkowego [Komentarz, 9.1.1; 5]</w:t>
      </w:r>
      <w:r w:rsidRPr="00633318">
        <w:rPr>
          <w:rFonts w:ascii="Times New Roman" w:hAnsi="Times New Roman" w:cs="Times New Roman"/>
          <w:sz w:val="24"/>
          <w:szCs w:val="24"/>
        </w:rPr>
        <w:t xml:space="preserve">. </w:t>
      </w:r>
    </w:p>
    <w:p w14:paraId="64B0B794" w14:textId="69E5DACC"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sz w:val="24"/>
          <w:szCs w:val="24"/>
        </w:rPr>
        <w:t xml:space="preserve">Zgodnie z przyjętym rozwiązaniem i w świetle ust. 2 pkt 1, </w:t>
      </w:r>
      <w:r w:rsidRPr="00633318">
        <w:rPr>
          <w:rFonts w:ascii="Times New Roman" w:hAnsi="Times New Roman" w:cs="Times New Roman"/>
          <w:bCs/>
          <w:sz w:val="24"/>
          <w:szCs w:val="24"/>
        </w:rPr>
        <w:t xml:space="preserve">uwzględnia się </w:t>
      </w:r>
      <w:r w:rsidRPr="00633318">
        <w:rPr>
          <w:rFonts w:ascii="Times New Roman" w:hAnsi="Times New Roman" w:cs="Times New Roman"/>
          <w:b/>
          <w:sz w:val="24"/>
          <w:szCs w:val="24"/>
        </w:rPr>
        <w:t>wszystkie aktywa i rezerwy z tytułu podatku odroczonego ujęte lub ujawnione w księgach rachunkowych</w:t>
      </w:r>
      <w:r w:rsidRPr="00633318">
        <w:rPr>
          <w:rFonts w:ascii="Times New Roman" w:hAnsi="Times New Roman" w:cs="Times New Roman"/>
          <w:bCs/>
          <w:sz w:val="24"/>
          <w:szCs w:val="24"/>
        </w:rPr>
        <w:t xml:space="preserve"> wszystkich jednostek składowych zlokalizowanych </w:t>
      </w:r>
      <w:r w:rsidRPr="00633318">
        <w:rPr>
          <w:rFonts w:ascii="Times New Roman" w:hAnsi="Times New Roman" w:cs="Times New Roman"/>
          <w:sz w:val="24"/>
          <w:szCs w:val="24"/>
        </w:rPr>
        <w:t xml:space="preserve">na terytorium </w:t>
      </w:r>
      <w:r w:rsidR="00E677F8" w:rsidRPr="00633318">
        <w:rPr>
          <w:rFonts w:ascii="Times New Roman" w:hAnsi="Times New Roman" w:cs="Times New Roman"/>
          <w:sz w:val="24"/>
          <w:szCs w:val="24"/>
        </w:rPr>
        <w:t xml:space="preserve">danej jurysdykcji </w:t>
      </w:r>
      <w:r w:rsidRPr="00633318">
        <w:rPr>
          <w:rFonts w:ascii="Times New Roman" w:hAnsi="Times New Roman" w:cs="Times New Roman"/>
          <w:sz w:val="24"/>
          <w:szCs w:val="24"/>
        </w:rPr>
        <w:t xml:space="preserve">(Rzeczypospolitej Polskiej lub </w:t>
      </w:r>
      <w:r w:rsidR="00E677F8" w:rsidRPr="00633318">
        <w:rPr>
          <w:rFonts w:ascii="Times New Roman" w:hAnsi="Times New Roman" w:cs="Times New Roman"/>
          <w:sz w:val="24"/>
          <w:szCs w:val="24"/>
        </w:rPr>
        <w:t>innej jurysdykcji</w:t>
      </w:r>
      <w:r w:rsidRPr="00633318">
        <w:rPr>
          <w:rFonts w:ascii="Times New Roman" w:hAnsi="Times New Roman" w:cs="Times New Roman"/>
          <w:sz w:val="24"/>
          <w:szCs w:val="24"/>
        </w:rPr>
        <w:t>).</w:t>
      </w:r>
      <w:r w:rsidRPr="00633318">
        <w:rPr>
          <w:rFonts w:ascii="Times New Roman" w:hAnsi="Times New Roman" w:cs="Times New Roman"/>
          <w:bCs/>
          <w:sz w:val="24"/>
          <w:szCs w:val="24"/>
        </w:rPr>
        <w:t xml:space="preserve"> </w:t>
      </w:r>
    </w:p>
    <w:p w14:paraId="6A7F84C6" w14:textId="77777777"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Stosownie do przepisu ust. 2 pkt 2, aktywa i rezerwy z tytułu podatku odroczonego są uwzględniane</w:t>
      </w:r>
      <w:r w:rsidRPr="00633318">
        <w:rPr>
          <w:rFonts w:ascii="Times New Roman" w:hAnsi="Times New Roman" w:cs="Times New Roman"/>
          <w:b/>
          <w:sz w:val="24"/>
          <w:szCs w:val="24"/>
        </w:rPr>
        <w:t xml:space="preserve"> według lokalnej stawki podatku dochodowego </w:t>
      </w:r>
      <w:r w:rsidRPr="00633318">
        <w:rPr>
          <w:rFonts w:ascii="Times New Roman" w:hAnsi="Times New Roman" w:cs="Times New Roman"/>
          <w:bCs/>
          <w:sz w:val="24"/>
          <w:szCs w:val="24"/>
        </w:rPr>
        <w:t>stosowanej przez jednostkę składową do ujmowania aktywów lub rezerw z tytułu podatku odroczonego</w:t>
      </w:r>
      <w:r w:rsidRPr="00633318">
        <w:rPr>
          <w:rFonts w:ascii="Times New Roman" w:hAnsi="Times New Roman" w:cs="Times New Roman"/>
          <w:b/>
          <w:sz w:val="24"/>
          <w:szCs w:val="24"/>
        </w:rPr>
        <w:t xml:space="preserve"> (jeżeli jednak lokalna stawka przekracza 15%, takie aktywa i rezerwy uwzględnia się według stawki 15%)</w:t>
      </w:r>
      <w:r w:rsidRPr="00633318">
        <w:rPr>
          <w:rFonts w:ascii="Times New Roman" w:hAnsi="Times New Roman" w:cs="Times New Roman"/>
          <w:bCs/>
          <w:sz w:val="24"/>
          <w:szCs w:val="24"/>
        </w:rPr>
        <w:t xml:space="preserve">. Niemniej, przepis ust. 3 umożliwia uwzględnienie składnika aktywów z tytułu podatku odroczonego ujętego według stawki wyższej od minimalnej stawki podatkowej, jeśli podatnik wykaże, że ten składnik można przypisać kwalifikowanej stracie. </w:t>
      </w:r>
    </w:p>
    <w:p w14:paraId="3915A23B" w14:textId="77777777" w:rsidR="00BA541D" w:rsidRPr="00633318" w:rsidRDefault="00BA541D" w:rsidP="00BA541D">
      <w:pPr>
        <w:pStyle w:val="paragraph"/>
        <w:spacing w:before="0" w:beforeAutospacing="0" w:after="120" w:afterAutospacing="0" w:line="259" w:lineRule="auto"/>
        <w:jc w:val="both"/>
        <w:textAlignment w:val="baseline"/>
      </w:pPr>
      <w:r w:rsidRPr="00633318">
        <w:rPr>
          <w:bCs/>
        </w:rPr>
        <w:t xml:space="preserve">Z kolei, stosownie do przepisu ust. 2 pkt 3, </w:t>
      </w:r>
      <w:r w:rsidRPr="00633318">
        <w:rPr>
          <w:b/>
        </w:rPr>
        <w:t>ewentualna korekta wyceny lub korekta ujęcia księgowego pozostaje bez wpływu na wartość aktywów z tytułu podatku odroczonego</w:t>
      </w:r>
      <w:r w:rsidRPr="00633318">
        <w:rPr>
          <w:bCs/>
        </w:rPr>
        <w:t>. Zgodnie z wyjaśnieniami Komisji Europejskiej, t</w:t>
      </w:r>
      <w:r w:rsidRPr="00633318">
        <w:rPr>
          <w:rStyle w:val="normaltextrun"/>
        </w:rPr>
        <w:t>aka korekta może wynikać np. z następujących okoliczności: </w:t>
      </w:r>
      <w:r w:rsidRPr="00633318">
        <w:rPr>
          <w:rStyle w:val="eop"/>
        </w:rPr>
        <w:t> </w:t>
      </w:r>
    </w:p>
    <w:p w14:paraId="0DFD8668" w14:textId="77777777" w:rsidR="00BA541D" w:rsidRPr="00633318" w:rsidRDefault="00BA541D" w:rsidP="009E73F7">
      <w:pPr>
        <w:pStyle w:val="paragraph"/>
        <w:numPr>
          <w:ilvl w:val="0"/>
          <w:numId w:val="132"/>
        </w:numPr>
        <w:spacing w:before="0" w:beforeAutospacing="0" w:after="0" w:afterAutospacing="0" w:line="259" w:lineRule="auto"/>
        <w:jc w:val="both"/>
        <w:textAlignment w:val="baseline"/>
      </w:pPr>
      <w:r w:rsidRPr="00633318">
        <w:rPr>
          <w:rStyle w:val="normaltextrun"/>
        </w:rPr>
        <w:t xml:space="preserve">brak rozpoznania straty z uwagi na spodziewany brak przyszłego dochodu [korekta wyceny / </w:t>
      </w:r>
      <w:r w:rsidRPr="00633318">
        <w:rPr>
          <w:rStyle w:val="normaltextrun"/>
          <w:i/>
          <w:iCs/>
        </w:rPr>
        <w:t>valuation adjustment</w:t>
      </w:r>
      <w:r w:rsidRPr="00633318">
        <w:rPr>
          <w:rStyle w:val="normaltextrun"/>
        </w:rPr>
        <w:t>], albo </w:t>
      </w:r>
      <w:r w:rsidRPr="00633318">
        <w:rPr>
          <w:rStyle w:val="eop"/>
        </w:rPr>
        <w:t> </w:t>
      </w:r>
    </w:p>
    <w:p w14:paraId="5219F682" w14:textId="77777777" w:rsidR="00BA541D" w:rsidRPr="00633318" w:rsidRDefault="00BA541D" w:rsidP="009E73F7">
      <w:pPr>
        <w:pStyle w:val="paragraph"/>
        <w:numPr>
          <w:ilvl w:val="0"/>
          <w:numId w:val="132"/>
        </w:numPr>
        <w:spacing w:before="0" w:beforeAutospacing="0" w:after="0" w:afterAutospacing="0" w:line="259" w:lineRule="auto"/>
        <w:jc w:val="both"/>
        <w:textAlignment w:val="baseline"/>
        <w:rPr>
          <w:rStyle w:val="eop"/>
        </w:rPr>
      </w:pPr>
      <w:r w:rsidRPr="00633318">
        <w:rPr>
          <w:rStyle w:val="normaltextrun"/>
        </w:rPr>
        <w:t xml:space="preserve">aktywo z tytułu podatku odroczonego (DTA) nie było wcześniej rozpoznane, ale wystąpiły nowe czynniki powodujące, że aktywo to może być ujęte w księgach [korekta ujęcia księgowego / </w:t>
      </w:r>
      <w:r w:rsidRPr="00633318">
        <w:rPr>
          <w:rStyle w:val="normaltextrun"/>
          <w:i/>
          <w:iCs/>
        </w:rPr>
        <w:t>recognition adjustment</w:t>
      </w:r>
      <w:r w:rsidRPr="00633318">
        <w:rPr>
          <w:rStyle w:val="normaltextrun"/>
        </w:rPr>
        <w:t>]. </w:t>
      </w:r>
      <w:r w:rsidRPr="00633318">
        <w:rPr>
          <w:rStyle w:val="eop"/>
        </w:rPr>
        <w:t> </w:t>
      </w:r>
    </w:p>
    <w:p w14:paraId="4912B1F1" w14:textId="77777777" w:rsidR="00BA541D" w:rsidRPr="00633318" w:rsidRDefault="00BA541D" w:rsidP="00BA541D">
      <w:pPr>
        <w:pStyle w:val="paragraph"/>
        <w:spacing w:before="0" w:beforeAutospacing="0" w:after="0" w:afterAutospacing="0" w:line="259" w:lineRule="auto"/>
        <w:ind w:left="1080"/>
        <w:jc w:val="both"/>
        <w:textAlignment w:val="baseline"/>
      </w:pPr>
    </w:p>
    <w:p w14:paraId="6D4146C9" w14:textId="77777777" w:rsidR="00BA541D" w:rsidRPr="00633318" w:rsidRDefault="00BA541D" w:rsidP="00BA541D">
      <w:pPr>
        <w:pStyle w:val="paragraph"/>
        <w:spacing w:before="0" w:beforeAutospacing="0" w:after="120" w:afterAutospacing="0" w:line="259" w:lineRule="auto"/>
        <w:jc w:val="both"/>
        <w:textAlignment w:val="baseline"/>
      </w:pPr>
      <w:r w:rsidRPr="00633318">
        <w:rPr>
          <w:rStyle w:val="normaltextrun"/>
        </w:rPr>
        <w:t>Na potrzeby stosowania Zasad GloBE wskazane korekty są ignorowane za pierwszy rok podatkowy.  Przykładowo, w księgach rachunkowych ujęto aktywo z tytułu podatku odroczonego (DTA) w wysokości 100, ale aktywo to mogłoby wynieść 200, gdyby nie było korekty wyceny (</w:t>
      </w:r>
      <w:r w:rsidRPr="00633318">
        <w:rPr>
          <w:rStyle w:val="normaltextrun"/>
          <w:i/>
          <w:iCs/>
        </w:rPr>
        <w:t>valuation adjustment</w:t>
      </w:r>
      <w:r w:rsidRPr="00633318">
        <w:rPr>
          <w:rStyle w:val="normaltextrun"/>
        </w:rPr>
        <w:t>).  W takim przypadku zgodnie z art. 47 Dyrektywy (i art. 130 projektu), aktywo (DTA), które należy ująć dla celów GloBE to 200. Korekta wyceny jest tym samym pomijana.</w:t>
      </w:r>
      <w:r w:rsidRPr="00633318">
        <w:rPr>
          <w:rStyle w:val="eop"/>
        </w:rPr>
        <w:t> </w:t>
      </w:r>
    </w:p>
    <w:p w14:paraId="7C457DDC" w14:textId="078D3AC7"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w:t>
      </w:r>
      <w:r w:rsidRPr="00633318">
        <w:rPr>
          <w:rFonts w:ascii="Times New Roman" w:hAnsi="Times New Roman" w:cs="Times New Roman"/>
          <w:b/>
          <w:bCs/>
          <w:sz w:val="24"/>
          <w:szCs w:val="24"/>
        </w:rPr>
        <w:t>ust. 4</w:t>
      </w:r>
      <w:r w:rsidRPr="00633318">
        <w:rPr>
          <w:rFonts w:ascii="Times New Roman" w:hAnsi="Times New Roman" w:cs="Times New Roman"/>
          <w:bCs/>
          <w:sz w:val="24"/>
          <w:szCs w:val="24"/>
        </w:rPr>
        <w:t xml:space="preserve"> dla celów wyliczenia efektywnej stawki podatkowej wyklucza się aktywa z tytułu podatku odroczonego, wynikające z pozycji wyłączonych z kwalifikowanego dochodu lub straty, w przypadku powstania tych aktywów w wyniku transakcji, która miała miejsce po 30 listopada 2021 r.</w:t>
      </w:r>
      <w:r w:rsidR="00D06A28" w:rsidRPr="00633318">
        <w:rPr>
          <w:rFonts w:ascii="Times New Roman" w:hAnsi="Times New Roman" w:cs="Times New Roman"/>
          <w:bCs/>
          <w:sz w:val="24"/>
          <w:szCs w:val="24"/>
        </w:rPr>
        <w:t xml:space="preserve"> Chodzi o pozycje wyłączone z kwalifikowanego dochodu (straty) zgodnie z Zasadami GloBE, np. nie uwzględnia się kosztu podatkowego, który przewyższa faktyczny koszt danego składnika aktywów </w:t>
      </w:r>
      <w:r w:rsidR="00D06A28" w:rsidRPr="00633318">
        <w:rPr>
          <w:rFonts w:ascii="Times New Roman" w:hAnsi="Times New Roman" w:cs="Times New Roman"/>
          <w:sz w:val="24"/>
          <w:szCs w:val="24"/>
        </w:rPr>
        <w:t>[Komentarz; 9.1.2; 8]</w:t>
      </w:r>
      <w:r w:rsidR="00D06A28" w:rsidRPr="00633318">
        <w:rPr>
          <w:rFonts w:ascii="Times New Roman" w:hAnsi="Times New Roman" w:cs="Times New Roman"/>
          <w:bCs/>
          <w:sz w:val="24"/>
          <w:szCs w:val="24"/>
        </w:rPr>
        <w:t>. Sam fakt, iż dana transakcja nie jest uwzględniana w kwalifikowanym dochodzie z uwagi na to, że ustawa lub Zasady GloBE jeszcze nie obowiązywały, nie sprawia, że jest to pozycja „wyłączona”. Dotyczy to szczególnych korekt i wyłączeń wskazanych w Dziale V.</w:t>
      </w:r>
    </w:p>
    <w:p w14:paraId="4E6DFC74" w14:textId="33612F01" w:rsidR="0033278B" w:rsidRPr="00633318" w:rsidRDefault="0033278B" w:rsidP="0033278B">
      <w:pPr>
        <w:tabs>
          <w:tab w:val="left" w:pos="1256"/>
        </w:tabs>
        <w:jc w:val="both"/>
        <w:rPr>
          <w:rFonts w:ascii="Times New Roman" w:hAnsi="Times New Roman" w:cs="Times New Roman"/>
          <w:sz w:val="24"/>
          <w:szCs w:val="24"/>
        </w:rPr>
      </w:pPr>
      <w:r w:rsidRPr="00633318">
        <w:rPr>
          <w:rFonts w:ascii="Times New Roman" w:hAnsi="Times New Roman" w:cs="Times New Roman"/>
          <w:sz w:val="24"/>
          <w:szCs w:val="24"/>
        </w:rPr>
        <w:t xml:space="preserve">Zastosowanie tej zasady ilustruje następujący przykład [Komentarz; 9.1.2; 9]. W grudniu 2021 r. </w:t>
      </w:r>
      <w:r w:rsidR="009C2B8D" w:rsidRPr="00633318">
        <w:rPr>
          <w:rFonts w:ascii="Times New Roman" w:hAnsi="Times New Roman" w:cs="Times New Roman"/>
          <w:sz w:val="24"/>
          <w:szCs w:val="24"/>
        </w:rPr>
        <w:t>jednostka składowa</w:t>
      </w:r>
      <w:r w:rsidRPr="00633318">
        <w:rPr>
          <w:rFonts w:ascii="Times New Roman" w:hAnsi="Times New Roman" w:cs="Times New Roman"/>
          <w:sz w:val="24"/>
          <w:szCs w:val="24"/>
        </w:rPr>
        <w:t xml:space="preserve"> nabywa składnik aktywów za 100. </w:t>
      </w:r>
      <w:r w:rsidR="009C2B8D" w:rsidRPr="00633318">
        <w:rPr>
          <w:rFonts w:ascii="Times New Roman" w:hAnsi="Times New Roman" w:cs="Times New Roman"/>
          <w:sz w:val="24"/>
          <w:szCs w:val="24"/>
        </w:rPr>
        <w:t>W j</w:t>
      </w:r>
      <w:r w:rsidRPr="00633318">
        <w:rPr>
          <w:rFonts w:ascii="Times New Roman" w:hAnsi="Times New Roman" w:cs="Times New Roman"/>
          <w:sz w:val="24"/>
          <w:szCs w:val="24"/>
        </w:rPr>
        <w:t>urysdykcj</w:t>
      </w:r>
      <w:r w:rsidR="009C2B8D" w:rsidRPr="00633318">
        <w:rPr>
          <w:rFonts w:ascii="Times New Roman" w:hAnsi="Times New Roman" w:cs="Times New Roman"/>
          <w:sz w:val="24"/>
          <w:szCs w:val="24"/>
        </w:rPr>
        <w:t>i</w:t>
      </w:r>
      <w:r w:rsidRPr="00633318">
        <w:rPr>
          <w:rFonts w:ascii="Times New Roman" w:hAnsi="Times New Roman" w:cs="Times New Roman"/>
          <w:sz w:val="24"/>
          <w:szCs w:val="24"/>
        </w:rPr>
        <w:t xml:space="preserve">, w której </w:t>
      </w:r>
      <w:r w:rsidR="009C2B8D" w:rsidRPr="00633318">
        <w:rPr>
          <w:rFonts w:ascii="Times New Roman" w:hAnsi="Times New Roman" w:cs="Times New Roman"/>
          <w:sz w:val="24"/>
          <w:szCs w:val="24"/>
        </w:rPr>
        <w:t>zlokalizowana jest ta jednostka składowa</w:t>
      </w:r>
      <w:r w:rsidRPr="00633318">
        <w:rPr>
          <w:rFonts w:ascii="Times New Roman" w:hAnsi="Times New Roman" w:cs="Times New Roman"/>
          <w:sz w:val="24"/>
          <w:szCs w:val="24"/>
        </w:rPr>
        <w:t xml:space="preserve">, </w:t>
      </w:r>
      <w:r w:rsidR="009C2B8D" w:rsidRPr="00633318">
        <w:rPr>
          <w:rFonts w:ascii="Times New Roman" w:hAnsi="Times New Roman" w:cs="Times New Roman"/>
          <w:sz w:val="24"/>
          <w:szCs w:val="24"/>
        </w:rPr>
        <w:t>obowiązuje stawka CIT w wysokości</w:t>
      </w:r>
      <w:r w:rsidRPr="00633318">
        <w:rPr>
          <w:rFonts w:ascii="Times New Roman" w:hAnsi="Times New Roman" w:cs="Times New Roman"/>
          <w:sz w:val="24"/>
          <w:szCs w:val="24"/>
        </w:rPr>
        <w:t xml:space="preserve"> 25%</w:t>
      </w:r>
      <w:r w:rsidR="009C2B8D" w:rsidRPr="00633318">
        <w:rPr>
          <w:rFonts w:ascii="Times New Roman" w:hAnsi="Times New Roman" w:cs="Times New Roman"/>
          <w:sz w:val="24"/>
          <w:szCs w:val="24"/>
        </w:rPr>
        <w:t>. Ponadto, możliwe jest</w:t>
      </w:r>
      <w:r w:rsidRPr="00633318">
        <w:rPr>
          <w:rFonts w:ascii="Times New Roman" w:hAnsi="Times New Roman" w:cs="Times New Roman"/>
          <w:sz w:val="24"/>
          <w:szCs w:val="24"/>
        </w:rPr>
        <w:t xml:space="preserve"> natychmiastow</w:t>
      </w:r>
      <w:r w:rsidR="009C2B8D" w:rsidRPr="00633318">
        <w:rPr>
          <w:rFonts w:ascii="Times New Roman" w:hAnsi="Times New Roman" w:cs="Times New Roman"/>
          <w:sz w:val="24"/>
          <w:szCs w:val="24"/>
        </w:rPr>
        <w:t>e</w:t>
      </w:r>
      <w:r w:rsidRPr="00633318">
        <w:rPr>
          <w:rFonts w:ascii="Times New Roman" w:hAnsi="Times New Roman" w:cs="Times New Roman"/>
          <w:sz w:val="24"/>
          <w:szCs w:val="24"/>
        </w:rPr>
        <w:t xml:space="preserve"> </w:t>
      </w:r>
      <w:r w:rsidR="009C2B8D" w:rsidRPr="00633318">
        <w:rPr>
          <w:rFonts w:ascii="Times New Roman" w:hAnsi="Times New Roman" w:cs="Times New Roman"/>
          <w:sz w:val="24"/>
          <w:szCs w:val="24"/>
        </w:rPr>
        <w:t>rozliczenie</w:t>
      </w:r>
      <w:r w:rsidRPr="00633318">
        <w:rPr>
          <w:rFonts w:ascii="Times New Roman" w:hAnsi="Times New Roman" w:cs="Times New Roman"/>
          <w:sz w:val="24"/>
          <w:szCs w:val="24"/>
        </w:rPr>
        <w:t xml:space="preserve"> składnika aktywów </w:t>
      </w:r>
      <w:r w:rsidR="009C2B8D" w:rsidRPr="00633318">
        <w:rPr>
          <w:rFonts w:ascii="Times New Roman" w:hAnsi="Times New Roman" w:cs="Times New Roman"/>
          <w:sz w:val="24"/>
          <w:szCs w:val="24"/>
        </w:rPr>
        <w:t xml:space="preserve">jako koszt podatkowy </w:t>
      </w:r>
      <w:r w:rsidRPr="00633318">
        <w:rPr>
          <w:rFonts w:ascii="Times New Roman" w:hAnsi="Times New Roman" w:cs="Times New Roman"/>
          <w:sz w:val="24"/>
          <w:szCs w:val="24"/>
        </w:rPr>
        <w:t xml:space="preserve">w 2021 r. oraz dodatkowo 300 </w:t>
      </w:r>
      <w:r w:rsidR="009C2B8D" w:rsidRPr="00633318">
        <w:rPr>
          <w:rFonts w:ascii="Times New Roman" w:hAnsi="Times New Roman" w:cs="Times New Roman"/>
          <w:sz w:val="24"/>
          <w:szCs w:val="24"/>
        </w:rPr>
        <w:t>kosztu podatkowego</w:t>
      </w:r>
      <w:r w:rsidRPr="00633318">
        <w:rPr>
          <w:rFonts w:ascii="Times New Roman" w:hAnsi="Times New Roman" w:cs="Times New Roman"/>
          <w:sz w:val="24"/>
          <w:szCs w:val="24"/>
        </w:rPr>
        <w:t xml:space="preserve"> w odniesieniu do tego składnika aktywów w ramach </w:t>
      </w:r>
      <w:r w:rsidR="009C2B8D" w:rsidRPr="00633318">
        <w:rPr>
          <w:rFonts w:ascii="Times New Roman" w:hAnsi="Times New Roman" w:cs="Times New Roman"/>
          <w:sz w:val="24"/>
          <w:szCs w:val="24"/>
        </w:rPr>
        <w:t>ulgi</w:t>
      </w:r>
      <w:r w:rsidRPr="00633318">
        <w:rPr>
          <w:rFonts w:ascii="Times New Roman" w:hAnsi="Times New Roman" w:cs="Times New Roman"/>
          <w:sz w:val="24"/>
          <w:szCs w:val="24"/>
        </w:rPr>
        <w:t xml:space="preserve"> podatkowej, która zostanie </w:t>
      </w:r>
      <w:r w:rsidR="009C2B8D" w:rsidRPr="00633318">
        <w:rPr>
          <w:rFonts w:ascii="Times New Roman" w:hAnsi="Times New Roman" w:cs="Times New Roman"/>
          <w:sz w:val="24"/>
          <w:szCs w:val="24"/>
        </w:rPr>
        <w:t>roz</w:t>
      </w:r>
      <w:r w:rsidRPr="00633318">
        <w:rPr>
          <w:rFonts w:ascii="Times New Roman" w:hAnsi="Times New Roman" w:cs="Times New Roman"/>
          <w:sz w:val="24"/>
          <w:szCs w:val="24"/>
        </w:rPr>
        <w:t>liczona w tym samym roku podatkowym. Po uwzględnieniu odliczeń w odniesieniu do tego składnika aktywów powstaje strata podatkowa w wysokości 300, na którą tworz</w:t>
      </w:r>
      <w:r w:rsidR="009C2B8D" w:rsidRPr="00633318">
        <w:rPr>
          <w:rFonts w:ascii="Times New Roman" w:hAnsi="Times New Roman" w:cs="Times New Roman"/>
          <w:sz w:val="24"/>
          <w:szCs w:val="24"/>
        </w:rPr>
        <w:t>y się</w:t>
      </w:r>
      <w:r w:rsidRPr="00633318">
        <w:rPr>
          <w:rFonts w:ascii="Times New Roman" w:hAnsi="Times New Roman" w:cs="Times New Roman"/>
          <w:sz w:val="24"/>
          <w:szCs w:val="24"/>
        </w:rPr>
        <w:t xml:space="preserve"> aktywo z tytułu podatku odroczonego. Ponieważ </w:t>
      </w:r>
      <w:r w:rsidR="009C2B8D" w:rsidRPr="00633318">
        <w:rPr>
          <w:rFonts w:ascii="Times New Roman" w:hAnsi="Times New Roman" w:cs="Times New Roman"/>
          <w:sz w:val="24"/>
          <w:szCs w:val="24"/>
        </w:rPr>
        <w:t xml:space="preserve">ww. </w:t>
      </w:r>
      <w:r w:rsidRPr="00633318">
        <w:rPr>
          <w:rFonts w:ascii="Times New Roman" w:hAnsi="Times New Roman" w:cs="Times New Roman"/>
          <w:sz w:val="24"/>
          <w:szCs w:val="24"/>
        </w:rPr>
        <w:t xml:space="preserve">aktywo w wysokości 300 ulega odwróceniu, nie jest ono uwzględniane w skorygowanym podatku kwalifikowanym zgodnie z </w:t>
      </w:r>
      <w:r w:rsidR="009C2B8D" w:rsidRPr="00633318">
        <w:rPr>
          <w:rFonts w:ascii="Times New Roman" w:hAnsi="Times New Roman" w:cs="Times New Roman"/>
          <w:sz w:val="24"/>
          <w:szCs w:val="24"/>
        </w:rPr>
        <w:t>opisaną zasadą</w:t>
      </w:r>
      <w:r w:rsidRPr="00633318">
        <w:rPr>
          <w:rFonts w:ascii="Times New Roman" w:hAnsi="Times New Roman" w:cs="Times New Roman"/>
          <w:sz w:val="24"/>
          <w:szCs w:val="24"/>
        </w:rPr>
        <w:t>.</w:t>
      </w:r>
    </w:p>
    <w:p w14:paraId="325509C3" w14:textId="24DCB893" w:rsidR="009C2B8D" w:rsidRPr="00633318" w:rsidRDefault="009C2B8D" w:rsidP="0033278B">
      <w:pPr>
        <w:tabs>
          <w:tab w:val="left" w:pos="1256"/>
        </w:tabs>
        <w:jc w:val="both"/>
        <w:rPr>
          <w:rFonts w:ascii="Times New Roman" w:hAnsi="Times New Roman" w:cs="Times New Roman"/>
          <w:sz w:val="24"/>
          <w:szCs w:val="24"/>
        </w:rPr>
      </w:pPr>
      <w:r w:rsidRPr="00633318">
        <w:rPr>
          <w:rFonts w:ascii="Times New Roman" w:hAnsi="Times New Roman" w:cs="Times New Roman"/>
          <w:sz w:val="24"/>
          <w:szCs w:val="24"/>
        </w:rPr>
        <w:t xml:space="preserve">W świetle Komentarza do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opisana zasada obejmuje transakcje (np. zbycia aktywa, w tym w ramach restrukturyzacji), w których danej czynności dokonano po 30 listopada 2021 r.; natomiast data dokonania rozliczenia podatkowego danej transakcji nie powinna być de</w:t>
      </w:r>
      <w:r w:rsidR="00D06A28" w:rsidRPr="00633318">
        <w:rPr>
          <w:rFonts w:ascii="Times New Roman" w:hAnsi="Times New Roman" w:cs="Times New Roman"/>
          <w:sz w:val="24"/>
          <w:szCs w:val="24"/>
        </w:rPr>
        <w:t>c</w:t>
      </w:r>
      <w:r w:rsidRPr="00633318">
        <w:rPr>
          <w:rFonts w:ascii="Times New Roman" w:hAnsi="Times New Roman" w:cs="Times New Roman"/>
          <w:sz w:val="24"/>
          <w:szCs w:val="24"/>
        </w:rPr>
        <w:t xml:space="preserve">ydująca. </w:t>
      </w:r>
    </w:p>
    <w:p w14:paraId="10FA500B" w14:textId="7DE3F06D" w:rsidR="00BA541D" w:rsidRPr="00633318" w:rsidRDefault="00BA541D" w:rsidP="00BA541D">
      <w:pPr>
        <w:pStyle w:val="ARTartustawynprozporzdzenia"/>
        <w:spacing w:after="120" w:line="259" w:lineRule="auto"/>
        <w:ind w:firstLine="0"/>
        <w:rPr>
          <w:rFonts w:ascii="Times New Roman" w:hAnsi="Times New Roman" w:cs="Times New Roman"/>
          <w:bCs/>
          <w:szCs w:val="24"/>
        </w:rPr>
      </w:pPr>
      <w:r w:rsidRPr="00633318">
        <w:rPr>
          <w:rFonts w:ascii="Times New Roman" w:hAnsi="Times New Roman" w:cs="Times New Roman"/>
          <w:bCs/>
          <w:szCs w:val="24"/>
        </w:rPr>
        <w:t xml:space="preserve">W świetle </w:t>
      </w:r>
      <w:r w:rsidRPr="00633318">
        <w:rPr>
          <w:rFonts w:ascii="Times New Roman" w:hAnsi="Times New Roman" w:cs="Times New Roman"/>
          <w:b/>
          <w:bCs/>
          <w:szCs w:val="24"/>
        </w:rPr>
        <w:t>ust. 5</w:t>
      </w:r>
      <w:r w:rsidRPr="00633318">
        <w:rPr>
          <w:rFonts w:ascii="Times New Roman" w:hAnsi="Times New Roman" w:cs="Times New Roman"/>
          <w:bCs/>
          <w:szCs w:val="24"/>
        </w:rPr>
        <w:t>, aktywa i rezerwy przyjęte do obliczenia efektywnej stawki podatkowej za pierwszy rok podatkowy uwzględnia się odpowiednio w kolejnych latach podatkowych, tj. stosuje się w tym zakresie zasadę kontynuacji.</w:t>
      </w:r>
    </w:p>
    <w:p w14:paraId="6DDD77DB" w14:textId="77777777" w:rsidR="00BA541D" w:rsidRPr="00633318" w:rsidRDefault="00BA541D" w:rsidP="00BA541D">
      <w:pPr>
        <w:spacing w:after="120"/>
        <w:jc w:val="both"/>
        <w:rPr>
          <w:rFonts w:ascii="Times New Roman" w:hAnsi="Times New Roman" w:cs="Times New Roman"/>
          <w:i/>
          <w:iCs/>
          <w:sz w:val="24"/>
          <w:szCs w:val="24"/>
        </w:rPr>
      </w:pPr>
      <w:bookmarkStart w:id="98" w:name="_Hlk164338745"/>
      <w:r w:rsidRPr="00633318">
        <w:rPr>
          <w:rFonts w:ascii="Times New Roman" w:hAnsi="Times New Roman" w:cs="Times New Roman"/>
          <w:i/>
          <w:iCs/>
          <w:sz w:val="24"/>
          <w:szCs w:val="24"/>
        </w:rPr>
        <w:t>Wytyczne w zakresie podatku odroczonego</w:t>
      </w:r>
    </w:p>
    <w:p w14:paraId="644BFFCC"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Wytyczne z lutego 2023 r.</w:t>
      </w:r>
      <w:r w:rsidRPr="00633318">
        <w:rPr>
          <w:rStyle w:val="Odwoanieprzypisudolnego"/>
          <w:rFonts w:ascii="Times New Roman" w:hAnsi="Times New Roman" w:cs="Times New Roman"/>
          <w:sz w:val="24"/>
          <w:szCs w:val="24"/>
        </w:rPr>
        <w:footnoteReference w:id="160"/>
      </w:r>
      <w:r w:rsidRPr="00633318">
        <w:rPr>
          <w:rFonts w:ascii="Times New Roman" w:hAnsi="Times New Roman" w:cs="Times New Roman"/>
          <w:sz w:val="24"/>
          <w:szCs w:val="24"/>
        </w:rPr>
        <w:t xml:space="preserve"> wyjaśniają potencjalne wątpliwości, które mogą powstać w zakresie uwzględniania (na podstawie art. 130 ust. 2 projektu) </w:t>
      </w:r>
      <w:bookmarkStart w:id="99" w:name="_Hlk156221814"/>
      <w:r w:rsidRPr="00633318">
        <w:rPr>
          <w:rFonts w:ascii="Times New Roman" w:hAnsi="Times New Roman" w:cs="Times New Roman"/>
          <w:sz w:val="24"/>
          <w:szCs w:val="24"/>
        </w:rPr>
        <w:t>aktywów z tytułu podatku odroczonego</w:t>
      </w:r>
      <w:bookmarkEnd w:id="99"/>
      <w:r w:rsidRPr="00633318">
        <w:rPr>
          <w:rFonts w:ascii="Times New Roman" w:hAnsi="Times New Roman" w:cs="Times New Roman"/>
          <w:sz w:val="24"/>
          <w:szCs w:val="24"/>
        </w:rPr>
        <w:t xml:space="preserve">, dotyczących </w:t>
      </w:r>
      <w:r w:rsidRPr="00633318">
        <w:rPr>
          <w:rFonts w:ascii="Times New Roman" w:hAnsi="Times New Roman" w:cs="Times New Roman"/>
          <w:b/>
          <w:bCs/>
          <w:sz w:val="24"/>
          <w:szCs w:val="24"/>
        </w:rPr>
        <w:t>ulg podatkowych, które zostały wykazane przed objęciem jednostki Zasadami GloBE</w:t>
      </w:r>
      <w:r w:rsidRPr="00633318">
        <w:rPr>
          <w:rFonts w:ascii="Times New Roman" w:hAnsi="Times New Roman" w:cs="Times New Roman"/>
          <w:sz w:val="24"/>
          <w:szCs w:val="24"/>
        </w:rPr>
        <w:t>.</w:t>
      </w:r>
    </w:p>
    <w:p w14:paraId="52A11D09"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Celem przepisu art. 130 ust. 2 projektu jest umożliwienie, aby utworzone wcześniej aktywa i rezerwy z tytułu podatku odroczonego zostały ujęte w kalkulacji skorygowanych podatków kwalifikowanych w celu zapobieżenia zniekształceniom w obliczaniu efektywnej stawki podatku za pierwszy rok podatkowy (tj. objęcia Zasadami GloBE).</w:t>
      </w:r>
    </w:p>
    <w:p w14:paraId="09E3B9A4" w14:textId="6540FC54"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sz w:val="24"/>
          <w:szCs w:val="24"/>
        </w:rPr>
        <w:t xml:space="preserve">Zgodnie z Komentarzem, art. 130 ust. 2 projektu wprowadza podstawę do ujęcia tych aktywów i rezerw w obliczeniu kwoty skorygowanych podatków kwalifikowanych stosownie do zasad, które zostały określone w dziale VI projektu (całkowita korekta podatku odroczonego). W/w </w:t>
      </w:r>
      <w:r w:rsidR="00682AD6" w:rsidRPr="00633318">
        <w:rPr>
          <w:rFonts w:ascii="Times New Roman" w:hAnsi="Times New Roman" w:cs="Times New Roman"/>
          <w:sz w:val="24"/>
          <w:szCs w:val="24"/>
        </w:rPr>
        <w:t>dział</w:t>
      </w:r>
      <w:r w:rsidRPr="00633318">
        <w:rPr>
          <w:rFonts w:ascii="Times New Roman" w:hAnsi="Times New Roman" w:cs="Times New Roman"/>
          <w:sz w:val="24"/>
          <w:szCs w:val="24"/>
        </w:rPr>
        <w:t xml:space="preserve"> </w:t>
      </w:r>
      <w:r w:rsidRPr="00633318">
        <w:rPr>
          <w:rFonts w:ascii="Times New Roman" w:hAnsi="Times New Roman" w:cs="Times New Roman"/>
          <w:bCs/>
          <w:sz w:val="24"/>
          <w:szCs w:val="24"/>
        </w:rPr>
        <w:t>wprowadza mechanizm pozwalający uwzględnić różnice przejściowe, powstające w przypadku ujęcia dochodu lub straty w innym roku dla celów rachunkowych i podatkowych</w:t>
      </w:r>
      <w:r w:rsidR="008F6451"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Mechanizm ten opiera się na zapisach podatku odroczonego, ujętych w księgach rachunkowych, po dokonaniu określonych korekt w celu zachowania integralności Zasad GloBE. Jedna z tych korekt, przewidziana w</w:t>
      </w:r>
      <w:r w:rsidRPr="00633318">
        <w:rPr>
          <w:rFonts w:ascii="Times New Roman" w:hAnsi="Times New Roman" w:cs="Times New Roman"/>
          <w:sz w:val="24"/>
          <w:szCs w:val="24"/>
        </w:rPr>
        <w:t xml:space="preserve"> </w:t>
      </w:r>
      <w:r w:rsidRPr="00633318">
        <w:rPr>
          <w:rFonts w:ascii="Times New Roman" w:hAnsi="Times New Roman" w:cs="Times New Roman"/>
          <w:bCs/>
          <w:sz w:val="24"/>
          <w:szCs w:val="24"/>
        </w:rPr>
        <w:t xml:space="preserve">art. </w:t>
      </w:r>
      <w:r w:rsidR="005C27F7" w:rsidRPr="00633318">
        <w:rPr>
          <w:rFonts w:ascii="Times New Roman" w:hAnsi="Times New Roman" w:cs="Times New Roman"/>
          <w:bCs/>
          <w:sz w:val="24"/>
          <w:szCs w:val="24"/>
        </w:rPr>
        <w:t>86</w:t>
      </w:r>
      <w:r w:rsidRPr="00633318">
        <w:rPr>
          <w:rFonts w:ascii="Times New Roman" w:hAnsi="Times New Roman" w:cs="Times New Roman"/>
          <w:bCs/>
          <w:sz w:val="24"/>
          <w:szCs w:val="24"/>
        </w:rPr>
        <w:t xml:space="preserve"> ust. 1 pkt 1 lit. e) projektu, przewiduje wyłączenie</w:t>
      </w:r>
      <w:r w:rsidRPr="00633318">
        <w:rPr>
          <w:rFonts w:ascii="Times New Roman" w:hAnsi="Times New Roman" w:cs="Times New Roman"/>
          <w:sz w:val="24"/>
          <w:szCs w:val="24"/>
        </w:rPr>
        <w:t xml:space="preserve"> </w:t>
      </w:r>
      <w:r w:rsidRPr="00633318">
        <w:rPr>
          <w:rFonts w:ascii="Times New Roman" w:hAnsi="Times New Roman" w:cs="Times New Roman"/>
          <w:bCs/>
          <w:sz w:val="24"/>
          <w:szCs w:val="24"/>
        </w:rPr>
        <w:t xml:space="preserve">kwoty podatku dochodowego w części odroczonej w odniesieniu do ulg podatkowych, innych niż kwalifikowane zwrotne ulgi. </w:t>
      </w:r>
    </w:p>
    <w:bookmarkEnd w:id="98"/>
    <w:p w14:paraId="0055741E" w14:textId="77777777"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Co do zasady, ulgą podatkową jest kwota, o którą podatnik może zmniejszyć należny podatek. </w:t>
      </w:r>
      <w:bookmarkStart w:id="100" w:name="_Hlk156233015"/>
      <w:r w:rsidRPr="00633318">
        <w:rPr>
          <w:rFonts w:ascii="Times New Roman" w:hAnsi="Times New Roman" w:cs="Times New Roman"/>
          <w:bCs/>
          <w:sz w:val="24"/>
          <w:szCs w:val="24"/>
        </w:rPr>
        <w:t xml:space="preserve">Aktywa z tytułu podatku odroczonego ujmuje się w księgach rachunkowych z tytułu przeniesienia niewykorzystanych ulg podatkowych na następny okres </w:t>
      </w:r>
      <w:bookmarkEnd w:id="100"/>
      <w:r w:rsidRPr="00633318">
        <w:rPr>
          <w:rFonts w:ascii="Times New Roman" w:hAnsi="Times New Roman" w:cs="Times New Roman"/>
          <w:bCs/>
          <w:sz w:val="24"/>
          <w:szCs w:val="24"/>
        </w:rPr>
        <w:t xml:space="preserve">w zakresie, w jakim jest prawdopodobne, że w przyszłości wystąpi zysk do opodatkowania, umożliwiający wykorzystanie tych ulg. Taka sytuacja może mieć miejsce, gdy zostaną przyznane ulgi podatkowe w związku z zagranicznym zobowiązaniem podatkowym (ulga umożliwiająca odliczenie podatku zapłaconego za granicą) lub w związku z poniesionymi wydatkami, które zmniejszą przyszłe zobowiązania podatkowe (ulga podatkowa na inwestycje).   </w:t>
      </w:r>
    </w:p>
    <w:p w14:paraId="69544477" w14:textId="6D91A99A"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bCs/>
          <w:sz w:val="24"/>
          <w:szCs w:val="24"/>
        </w:rPr>
        <w:t>Jak już powyżej wskazano, przepis</w:t>
      </w:r>
      <w:r w:rsidRPr="00633318">
        <w:rPr>
          <w:rFonts w:ascii="Times New Roman" w:hAnsi="Times New Roman" w:cs="Times New Roman"/>
          <w:sz w:val="24"/>
          <w:szCs w:val="24"/>
        </w:rPr>
        <w:t xml:space="preserve"> </w:t>
      </w:r>
      <w:bookmarkStart w:id="101" w:name="_Hlk156231386"/>
      <w:r w:rsidRPr="00633318">
        <w:rPr>
          <w:rFonts w:ascii="Times New Roman" w:hAnsi="Times New Roman" w:cs="Times New Roman"/>
          <w:bCs/>
          <w:sz w:val="24"/>
          <w:szCs w:val="24"/>
        </w:rPr>
        <w:t xml:space="preserve">art. 130 ust. 2 projektu </w:t>
      </w:r>
      <w:bookmarkEnd w:id="101"/>
      <w:r w:rsidRPr="00633318">
        <w:rPr>
          <w:rFonts w:ascii="Times New Roman" w:hAnsi="Times New Roman" w:cs="Times New Roman"/>
          <w:bCs/>
          <w:sz w:val="24"/>
          <w:szCs w:val="24"/>
        </w:rPr>
        <w:t xml:space="preserve">umożliwia grupie </w:t>
      </w:r>
      <w:r w:rsidRPr="00633318">
        <w:rPr>
          <w:rFonts w:ascii="Times New Roman" w:hAnsi="Times New Roman" w:cs="Times New Roman"/>
          <w:bCs/>
          <w:sz w:val="24"/>
          <w:szCs w:val="24"/>
          <w:u w:val="single"/>
        </w:rPr>
        <w:t>uwzględnienie wszystkich</w:t>
      </w:r>
      <w:r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u w:val="single"/>
        </w:rPr>
        <w:t>aktywów</w:t>
      </w:r>
      <w:r w:rsidRPr="00633318">
        <w:rPr>
          <w:rFonts w:ascii="Times New Roman" w:hAnsi="Times New Roman" w:cs="Times New Roman"/>
          <w:bCs/>
          <w:sz w:val="24"/>
          <w:szCs w:val="24"/>
        </w:rPr>
        <w:t xml:space="preserve"> i pasywów</w:t>
      </w:r>
      <w:r w:rsidRPr="00633318">
        <w:rPr>
          <w:rFonts w:ascii="Times New Roman" w:hAnsi="Times New Roman" w:cs="Times New Roman"/>
          <w:sz w:val="24"/>
          <w:szCs w:val="24"/>
        </w:rPr>
        <w:t xml:space="preserve"> </w:t>
      </w:r>
      <w:r w:rsidRPr="00633318">
        <w:rPr>
          <w:rFonts w:ascii="Times New Roman" w:hAnsi="Times New Roman" w:cs="Times New Roman"/>
          <w:bCs/>
          <w:sz w:val="24"/>
          <w:szCs w:val="24"/>
        </w:rPr>
        <w:t>z tytułu podatku odroczonego</w:t>
      </w:r>
      <w:r w:rsidRPr="00633318">
        <w:rPr>
          <w:rFonts w:ascii="Times New Roman" w:hAnsi="Times New Roman" w:cs="Times New Roman"/>
          <w:sz w:val="24"/>
          <w:szCs w:val="24"/>
        </w:rPr>
        <w:t xml:space="preserve">, ujętych lub ujawnionych w księgach wszystkich jednostek składowych zlokalizowanych w </w:t>
      </w:r>
      <w:r w:rsidR="00E677F8" w:rsidRPr="00633318">
        <w:rPr>
          <w:rFonts w:ascii="Times New Roman" w:hAnsi="Times New Roman" w:cs="Times New Roman"/>
          <w:sz w:val="24"/>
          <w:szCs w:val="24"/>
        </w:rPr>
        <w:t xml:space="preserve">RP </w:t>
      </w:r>
      <w:r w:rsidRPr="00633318">
        <w:rPr>
          <w:rFonts w:ascii="Times New Roman" w:hAnsi="Times New Roman" w:cs="Times New Roman"/>
          <w:sz w:val="24"/>
          <w:szCs w:val="24"/>
        </w:rPr>
        <w:t xml:space="preserve">lub w </w:t>
      </w:r>
      <w:r w:rsidR="00E677F8" w:rsidRPr="00633318">
        <w:rPr>
          <w:rFonts w:ascii="Times New Roman" w:hAnsi="Times New Roman" w:cs="Times New Roman"/>
          <w:sz w:val="24"/>
          <w:szCs w:val="24"/>
        </w:rPr>
        <w:t>innej jurysdykcji</w:t>
      </w:r>
      <w:r w:rsidRPr="00633318">
        <w:rPr>
          <w:rFonts w:ascii="Times New Roman" w:hAnsi="Times New Roman" w:cs="Times New Roman"/>
          <w:sz w:val="24"/>
          <w:szCs w:val="24"/>
        </w:rPr>
        <w:t xml:space="preserve">. Natomiast, zgodnie z przepisem art. </w:t>
      </w:r>
      <w:r w:rsidR="005C27F7" w:rsidRPr="00633318">
        <w:rPr>
          <w:rFonts w:ascii="Times New Roman" w:hAnsi="Times New Roman" w:cs="Times New Roman"/>
          <w:sz w:val="24"/>
          <w:szCs w:val="24"/>
        </w:rPr>
        <w:t>86</w:t>
      </w:r>
      <w:r w:rsidRPr="00633318">
        <w:rPr>
          <w:rFonts w:ascii="Times New Roman" w:hAnsi="Times New Roman" w:cs="Times New Roman"/>
          <w:sz w:val="24"/>
          <w:szCs w:val="24"/>
        </w:rPr>
        <w:t xml:space="preserve"> ust. 1 pkt 1 lit. e) projektu, dla celów obliczenia całkowitej kwoty korekty podatku odroczonego</w:t>
      </w:r>
      <w:r w:rsidRPr="00633318">
        <w:rPr>
          <w:rFonts w:ascii="Times New Roman" w:hAnsi="Times New Roman" w:cs="Times New Roman"/>
          <w:sz w:val="24"/>
          <w:szCs w:val="24"/>
          <w:u w:val="single"/>
        </w:rPr>
        <w:t xml:space="preserve"> nie ujmuje się</w:t>
      </w:r>
      <w:r w:rsidRPr="00633318">
        <w:rPr>
          <w:rFonts w:ascii="Times New Roman" w:hAnsi="Times New Roman" w:cs="Times New Roman"/>
          <w:sz w:val="24"/>
          <w:szCs w:val="24"/>
        </w:rPr>
        <w:t xml:space="preserve"> </w:t>
      </w:r>
      <w:bookmarkStart w:id="102" w:name="_Hlk156229935"/>
      <w:r w:rsidRPr="00633318">
        <w:rPr>
          <w:rFonts w:ascii="Times New Roman" w:hAnsi="Times New Roman" w:cs="Times New Roman"/>
          <w:sz w:val="24"/>
          <w:szCs w:val="24"/>
        </w:rPr>
        <w:t xml:space="preserve">kwoty podatku dochodowego w części odroczonej </w:t>
      </w:r>
      <w:r w:rsidRPr="00633318">
        <w:rPr>
          <w:rFonts w:ascii="Times New Roman" w:hAnsi="Times New Roman" w:cs="Times New Roman"/>
          <w:sz w:val="24"/>
          <w:szCs w:val="24"/>
          <w:u w:val="single"/>
        </w:rPr>
        <w:t>w odniesieniu do ulg podatkowych</w:t>
      </w:r>
      <w:r w:rsidRPr="00633318">
        <w:rPr>
          <w:rFonts w:ascii="Times New Roman" w:hAnsi="Times New Roman" w:cs="Times New Roman"/>
          <w:sz w:val="24"/>
          <w:szCs w:val="24"/>
        </w:rPr>
        <w:t xml:space="preserve">, innych niż kwalifikowane zwrotne ulgi. </w:t>
      </w:r>
      <w:bookmarkEnd w:id="102"/>
    </w:p>
    <w:p w14:paraId="60D37175" w14:textId="37A4D5F5"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 świetle powyższego, mogą powstać ewentualne wątpliwości, czy art. 130 ust. 2 projektu zezwala na uwzględnienie – dla celów wyliczenia efektywnej stawki podatkowej za pierwszy rok podatkowy i kolejne lata podatkowe – (powstałych przed pierwszym rokiem objęcia Zasadami GloBE)</w:t>
      </w:r>
      <w:bookmarkStart w:id="103" w:name="_Hlk156232764"/>
      <w:bookmarkStart w:id="104" w:name="_Hlk156306509"/>
      <w:r w:rsidRPr="00633318">
        <w:rPr>
          <w:rFonts w:ascii="Times New Roman" w:hAnsi="Times New Roman" w:cs="Times New Roman"/>
          <w:sz w:val="24"/>
          <w:szCs w:val="24"/>
        </w:rPr>
        <w:t xml:space="preserve"> aktywów z tytułu podatku odroczonego</w:t>
      </w:r>
      <w:bookmarkEnd w:id="103"/>
      <w:r w:rsidRPr="00633318">
        <w:rPr>
          <w:rFonts w:ascii="Times New Roman" w:hAnsi="Times New Roman" w:cs="Times New Roman"/>
          <w:sz w:val="24"/>
          <w:szCs w:val="24"/>
        </w:rPr>
        <w:t>, dotyczących ulg podatkowych</w:t>
      </w:r>
      <w:bookmarkEnd w:id="104"/>
      <w:r w:rsidRPr="00633318">
        <w:rPr>
          <w:rFonts w:ascii="Times New Roman" w:hAnsi="Times New Roman" w:cs="Times New Roman"/>
          <w:sz w:val="24"/>
          <w:szCs w:val="24"/>
        </w:rPr>
        <w:t xml:space="preserve">. </w:t>
      </w:r>
      <w:bookmarkStart w:id="105" w:name="_Hlk156232080"/>
      <w:r w:rsidRPr="00633318">
        <w:rPr>
          <w:rFonts w:ascii="Times New Roman" w:hAnsi="Times New Roman" w:cs="Times New Roman"/>
          <w:sz w:val="24"/>
          <w:szCs w:val="24"/>
        </w:rPr>
        <w:t xml:space="preserve">Wytyczne z lutego 2023 r. </w:t>
      </w:r>
      <w:bookmarkEnd w:id="105"/>
      <w:r w:rsidRPr="00633318">
        <w:rPr>
          <w:rFonts w:ascii="Times New Roman" w:hAnsi="Times New Roman" w:cs="Times New Roman"/>
          <w:sz w:val="24"/>
          <w:szCs w:val="24"/>
        </w:rPr>
        <w:t xml:space="preserve">odnoszą się do tych wątpliwości, jak również wątpliwości związanych z ewentualną koniecznością uwzględnienia – </w:t>
      </w:r>
      <w:bookmarkStart w:id="106" w:name="_Hlk156233175"/>
      <w:r w:rsidRPr="00633318">
        <w:rPr>
          <w:rFonts w:ascii="Times New Roman" w:hAnsi="Times New Roman" w:cs="Times New Roman"/>
          <w:sz w:val="24"/>
          <w:szCs w:val="24"/>
        </w:rPr>
        <w:t xml:space="preserve">dla celów obliczenia </w:t>
      </w:r>
      <w:bookmarkEnd w:id="106"/>
      <w:r w:rsidRPr="00633318">
        <w:rPr>
          <w:rFonts w:ascii="Times New Roman" w:hAnsi="Times New Roman" w:cs="Times New Roman"/>
          <w:sz w:val="24"/>
          <w:szCs w:val="24"/>
        </w:rPr>
        <w:t>kwoty (powstałych przed objęciem Zasadami GloBE) aktywów i pasywów z tytułu podatku odroczonego – pozostałych korekt wskazanych w oddziale dotyczącym całkowitej korekty podatku odroczonego. Wytyczne z lutego 2023 r. wskazują, że art. 1</w:t>
      </w:r>
      <w:r w:rsidR="005C27F7" w:rsidRPr="00633318">
        <w:rPr>
          <w:rFonts w:ascii="Times New Roman" w:hAnsi="Times New Roman" w:cs="Times New Roman"/>
          <w:sz w:val="24"/>
          <w:szCs w:val="24"/>
        </w:rPr>
        <w:t>3</w:t>
      </w:r>
      <w:r w:rsidRPr="00633318">
        <w:rPr>
          <w:rFonts w:ascii="Times New Roman" w:hAnsi="Times New Roman" w:cs="Times New Roman"/>
          <w:sz w:val="24"/>
          <w:szCs w:val="24"/>
        </w:rPr>
        <w:t xml:space="preserve">0 ust. 2 projektu nie ma na celu nałożenia na grupy obowiązku dokonywania skomplikowanych obliczeń przy przyjęciu hipotetycznego założenia, że jednostka składowa podlegała w poprzednich latach Zasadom GloBE. W Wytycznych z lutego 2023 r. wskazano, że brak jest istotnych powodów wykluczenia możliwości ujmowania w kalkulacji efektywnej stawki podatkowej określonych aktywów z tytułu podatku odroczonego. </w:t>
      </w:r>
    </w:p>
    <w:p w14:paraId="2AB470C5" w14:textId="298BA51D"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Aktywa z tytułu podatku odroczonego, dotyczące ulg podatkowych przenoszonych na następny okres, które zostały ujęte w księgach jednostek składowych w danej jurysdykcji podatkowej, powinny podlegać uwzględnieniu dla celów obliczenia efektywnej stawki podatkowej za pierwszy rok podatkowy (tj. rok objęcia Zasadami GloBE) i następne lata podatkowe. Przepis art. </w:t>
      </w:r>
      <w:r w:rsidR="005C27F7" w:rsidRPr="00633318">
        <w:rPr>
          <w:rFonts w:ascii="Times New Roman" w:hAnsi="Times New Roman" w:cs="Times New Roman"/>
          <w:sz w:val="24"/>
          <w:szCs w:val="24"/>
        </w:rPr>
        <w:t xml:space="preserve">86 </w:t>
      </w:r>
      <w:r w:rsidRPr="00633318">
        <w:rPr>
          <w:rFonts w:ascii="Times New Roman" w:hAnsi="Times New Roman" w:cs="Times New Roman"/>
          <w:sz w:val="24"/>
          <w:szCs w:val="24"/>
        </w:rPr>
        <w:t xml:space="preserve">ust. 1 pkt 1 lit. e) projektu nie znajduje zastosowania do w/w aktywów, które zostały utworzone w okresie poprzedzającym pierwszy rok podatkowy (tj. objęcie Zasadami GloBE). A zatem, </w:t>
      </w:r>
      <w:bookmarkStart w:id="107" w:name="_Hlk156296355"/>
      <w:r w:rsidRPr="00633318">
        <w:rPr>
          <w:rFonts w:ascii="Times New Roman" w:hAnsi="Times New Roman" w:cs="Times New Roman"/>
          <w:sz w:val="24"/>
          <w:szCs w:val="24"/>
        </w:rPr>
        <w:t>aktywa z tytułu podatku odroczonego, dotyczące</w:t>
      </w:r>
      <w:bookmarkStart w:id="108" w:name="_Hlk156297755"/>
      <w:r w:rsidRPr="00633318">
        <w:rPr>
          <w:rFonts w:ascii="Times New Roman" w:hAnsi="Times New Roman" w:cs="Times New Roman"/>
          <w:sz w:val="24"/>
          <w:szCs w:val="24"/>
        </w:rPr>
        <w:t xml:space="preserve"> przenoszonych ulg podatkowych, </w:t>
      </w:r>
      <w:bookmarkEnd w:id="107"/>
      <w:bookmarkEnd w:id="108"/>
      <w:r w:rsidRPr="00633318">
        <w:rPr>
          <w:rFonts w:ascii="Times New Roman" w:hAnsi="Times New Roman" w:cs="Times New Roman"/>
          <w:sz w:val="24"/>
          <w:szCs w:val="24"/>
        </w:rPr>
        <w:t>są uwzględniane, zgodnie z art. 1</w:t>
      </w:r>
      <w:r w:rsidR="005C27F7" w:rsidRPr="00633318">
        <w:rPr>
          <w:rFonts w:ascii="Times New Roman" w:hAnsi="Times New Roman" w:cs="Times New Roman"/>
          <w:sz w:val="24"/>
          <w:szCs w:val="24"/>
        </w:rPr>
        <w:t>3</w:t>
      </w:r>
      <w:r w:rsidRPr="00633318">
        <w:rPr>
          <w:rFonts w:ascii="Times New Roman" w:hAnsi="Times New Roman" w:cs="Times New Roman"/>
          <w:sz w:val="24"/>
          <w:szCs w:val="24"/>
        </w:rPr>
        <w:t xml:space="preserve">0 ust. 2 projektu, dla celów obliczenia skorygowanych podatków kwalifikowanych za pierwszy rok podatkowy i następne lata podatkowe zaś </w:t>
      </w:r>
      <w:bookmarkStart w:id="109" w:name="_Hlk156402592"/>
      <w:r w:rsidRPr="00633318">
        <w:rPr>
          <w:rFonts w:ascii="Times New Roman" w:hAnsi="Times New Roman" w:cs="Times New Roman"/>
          <w:sz w:val="24"/>
          <w:szCs w:val="24"/>
        </w:rPr>
        <w:t xml:space="preserve">przepis art. </w:t>
      </w:r>
      <w:r w:rsidR="005C27F7" w:rsidRPr="00633318">
        <w:rPr>
          <w:rFonts w:ascii="Times New Roman" w:hAnsi="Times New Roman" w:cs="Times New Roman"/>
          <w:sz w:val="24"/>
          <w:szCs w:val="24"/>
        </w:rPr>
        <w:t xml:space="preserve">86 </w:t>
      </w:r>
      <w:r w:rsidRPr="00633318">
        <w:rPr>
          <w:rFonts w:ascii="Times New Roman" w:hAnsi="Times New Roman" w:cs="Times New Roman"/>
          <w:sz w:val="24"/>
          <w:szCs w:val="24"/>
        </w:rPr>
        <w:t>ust. 1 pkt 1 lit. e) projektu nie znajduje do nich zastosowania.</w:t>
      </w:r>
      <w:bookmarkEnd w:id="109"/>
    </w:p>
    <w:p w14:paraId="6756F22E"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Co do stawki podatkowej, właściwej dla uwzględnienia w obliczeniu efektywnej stawki podatkowej, zgodnie z </w:t>
      </w:r>
      <w:bookmarkStart w:id="110" w:name="_Hlk156464953"/>
      <w:r w:rsidRPr="00633318">
        <w:rPr>
          <w:rFonts w:ascii="Times New Roman" w:hAnsi="Times New Roman" w:cs="Times New Roman"/>
          <w:sz w:val="24"/>
          <w:szCs w:val="24"/>
        </w:rPr>
        <w:t>art. 130 ust. 2 projektu</w:t>
      </w:r>
      <w:bookmarkEnd w:id="110"/>
      <w:r w:rsidRPr="00633318">
        <w:rPr>
          <w:rFonts w:ascii="Times New Roman" w:hAnsi="Times New Roman" w:cs="Times New Roman"/>
          <w:sz w:val="24"/>
          <w:szCs w:val="24"/>
        </w:rPr>
        <w:t xml:space="preserve">, aktywa z tytułu podatku odroczonego są ujmowane według właściwej krajowej stawki, jednak nie wyższej niż stawka minimalna (tj. 15%). Jeśli </w:t>
      </w:r>
      <w:bookmarkStart w:id="111" w:name="_Hlk156297189"/>
      <w:r w:rsidRPr="00633318">
        <w:rPr>
          <w:rFonts w:ascii="Times New Roman" w:hAnsi="Times New Roman" w:cs="Times New Roman"/>
          <w:sz w:val="24"/>
          <w:szCs w:val="24"/>
        </w:rPr>
        <w:t xml:space="preserve">aktywa z tytułu podatku odroczonego </w:t>
      </w:r>
      <w:bookmarkEnd w:id="111"/>
      <w:r w:rsidRPr="00633318">
        <w:rPr>
          <w:rFonts w:ascii="Times New Roman" w:hAnsi="Times New Roman" w:cs="Times New Roman"/>
          <w:sz w:val="24"/>
          <w:szCs w:val="24"/>
        </w:rPr>
        <w:t xml:space="preserve">są </w:t>
      </w:r>
      <w:bookmarkStart w:id="112" w:name="_Hlk156297016"/>
      <w:r w:rsidRPr="00633318">
        <w:rPr>
          <w:rFonts w:ascii="Times New Roman" w:hAnsi="Times New Roman" w:cs="Times New Roman"/>
          <w:sz w:val="24"/>
          <w:szCs w:val="24"/>
        </w:rPr>
        <w:t>obliczane na podstawie różnicy między księgową a podatkową wartością</w:t>
      </w:r>
      <w:bookmarkEnd w:id="112"/>
      <w:r w:rsidRPr="00633318">
        <w:rPr>
          <w:rFonts w:ascii="Times New Roman" w:hAnsi="Times New Roman" w:cs="Times New Roman"/>
          <w:sz w:val="24"/>
          <w:szCs w:val="24"/>
        </w:rPr>
        <w:t>, aktywa te można przeliczyć przez proste pomnożenie tej różnicy przez 15% zamiast stawki zastosowanej do utworzenia księgowego aktywa z tytułu podatku odroczonego. Podobnie, w przypadku aktywów z tytułu podatku odroczonego wynikających z przeniesienia straty na następny okres, aktywa te mogą być przeliczone poprzez pomnożenie przez 15% nierozliczonej części straty na początek pierwszego roku podatkowego. Jednak, może być trudno analogicznie przeliczać aktywa z tytułu podatku odroczonego z tytułu przeniesienia ulg podatkowych na następny okres, jako że aktywa te nie są obliczane na podstawie różnicy między księgową a podatkową wartością.</w:t>
      </w:r>
    </w:p>
    <w:p w14:paraId="0D95CCE5" w14:textId="77777777" w:rsidR="00BA541D" w:rsidRPr="00633318" w:rsidRDefault="00BA541D" w:rsidP="00BA541D">
      <w:pPr>
        <w:spacing w:after="120"/>
        <w:jc w:val="both"/>
        <w:rPr>
          <w:rFonts w:ascii="Times New Roman" w:hAnsi="Times New Roman" w:cs="Times New Roman"/>
          <w:sz w:val="24"/>
          <w:szCs w:val="24"/>
        </w:rPr>
      </w:pPr>
      <w:bookmarkStart w:id="113" w:name="_Hlk156305181"/>
      <w:r w:rsidRPr="00633318">
        <w:rPr>
          <w:rFonts w:ascii="Times New Roman" w:hAnsi="Times New Roman" w:cs="Times New Roman"/>
          <w:sz w:val="24"/>
          <w:szCs w:val="24"/>
        </w:rPr>
        <w:t xml:space="preserve">Aktywa z tytułu podatku odroczonego, </w:t>
      </w:r>
      <w:bookmarkEnd w:id="113"/>
      <w:r w:rsidRPr="00633318">
        <w:rPr>
          <w:rFonts w:ascii="Times New Roman" w:hAnsi="Times New Roman" w:cs="Times New Roman"/>
          <w:sz w:val="24"/>
          <w:szCs w:val="24"/>
        </w:rPr>
        <w:t xml:space="preserve">wynikające z </w:t>
      </w:r>
      <w:bookmarkStart w:id="114" w:name="_Hlk156302250"/>
      <w:r w:rsidRPr="00633318">
        <w:rPr>
          <w:rFonts w:ascii="Times New Roman" w:hAnsi="Times New Roman" w:cs="Times New Roman"/>
          <w:sz w:val="24"/>
          <w:szCs w:val="24"/>
        </w:rPr>
        <w:t xml:space="preserve">przeniesienia (na następny okres) </w:t>
      </w:r>
      <w:bookmarkEnd w:id="114"/>
      <w:r w:rsidRPr="00633318">
        <w:rPr>
          <w:rFonts w:ascii="Times New Roman" w:hAnsi="Times New Roman" w:cs="Times New Roman"/>
          <w:sz w:val="24"/>
          <w:szCs w:val="24"/>
        </w:rPr>
        <w:t>ulgi na zagraniczny podatek, bazują na kwocie podatku zapłaconego za granicą. Jednym ze sposobów przeliczenia tych aktywów może być określenie kwoty dochodu zagranicznego, od którego zapłacono (podlegający odliczeniu) podatek, a następnie pomnożenie tego dochodu przez 15% (zakładając, że stawka podatku była wyższa od minimalnej). Jednakże, śledzenie na przestrzeni wielu poprzednich lat ulg na zagraniczne podatki i związane z nimi zagraniczne dochody byłoby złożone i uciążliwe, szczególnie, jeśli dopuszczalne jest „krzyżowe” zaliczenie podatków od niektórych dochodów zagranicznych z podatkami od innych dochodów zagranicznych. Ponadto, przenoszona (na następny okres) ulga na zagraniczny podatek może wynikać z „pośredniej” ulgi podatkowej, przyznanej w odniesieniu do dochodów zagranicznej spółki kontrolowanej (CFC). W takim przypadku, ulga na zagraniczny podatek przypada na podatek zapłacony przez oddział od jego dochodów, przy czym przenoszona ulga obniży zobowiązanie podatkowe wspólnika CFC.</w:t>
      </w:r>
    </w:p>
    <w:p w14:paraId="46E21C2C"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Z kolei, kwota aktywów z tytułu podatku odroczonego, przypadających na inne przenoszone (na następne okresy) ulg może bazować również na kwalifikowanych wydatkach. W takim przypadku, aktywa z tytułu podatku odroczonego są wykazywane z tytułu niewykorzystanej kwoty ulgi, bez względu na ujętą wcześniej pozycję dochodu i obowiązującą stawkę podatku.</w:t>
      </w:r>
    </w:p>
    <w:p w14:paraId="6B5F998D" w14:textId="2032B192"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celu uproszczenia i ochrony integralności Zasad GloBE, jeśli obowiązująca </w:t>
      </w:r>
      <w:bookmarkStart w:id="115" w:name="_Hlk156308426"/>
      <w:r w:rsidRPr="00633318">
        <w:rPr>
          <w:rFonts w:ascii="Times New Roman" w:hAnsi="Times New Roman" w:cs="Times New Roman"/>
          <w:sz w:val="24"/>
          <w:szCs w:val="24"/>
        </w:rPr>
        <w:t xml:space="preserve">krajowa stawka podatku </w:t>
      </w:r>
      <w:bookmarkEnd w:id="115"/>
      <w:r w:rsidRPr="00633318">
        <w:rPr>
          <w:rFonts w:ascii="Times New Roman" w:hAnsi="Times New Roman" w:cs="Times New Roman"/>
          <w:sz w:val="24"/>
          <w:szCs w:val="24"/>
        </w:rPr>
        <w:t>jest równa lub wyższa od stawki minimalnej, istnieje możliwość zastosowania uproszczonego podejścia do przeliczania aktywów z tytułu podatku odroczonego, dotyczących ulg podatkowych. Przeliczenie wartości tych aktywów nie jest dopuszczalne, jeśli obowiązująca krajowa stawka jest niższa od minimalnej (tj. 15%). A zatem, kwota tych aktywów, uwzględniana dla celów art. 1</w:t>
      </w:r>
      <w:r w:rsidR="005C27F7" w:rsidRPr="00633318">
        <w:rPr>
          <w:rFonts w:ascii="Times New Roman" w:hAnsi="Times New Roman" w:cs="Times New Roman"/>
          <w:sz w:val="24"/>
          <w:szCs w:val="24"/>
        </w:rPr>
        <w:t>3</w:t>
      </w:r>
      <w:r w:rsidRPr="00633318">
        <w:rPr>
          <w:rFonts w:ascii="Times New Roman" w:hAnsi="Times New Roman" w:cs="Times New Roman"/>
          <w:sz w:val="24"/>
          <w:szCs w:val="24"/>
        </w:rPr>
        <w:t>0 ust. 2 projektu, jest równa wartości takich aktywów ujętych w księgach jeśli stawka użyta do ich ujęcia jest niższa od 15%. W pozostałych przypadkach (krajowa stawka równa/wyższa od stawki minimalnej), kwotę przeliczenia aktywów z tytułu podatku odroczonego, dotyczących ulg podatkowych, ustala się zgodnie z poniższym wzorem:</w:t>
      </w:r>
    </w:p>
    <w:p w14:paraId="4D92A0B2" w14:textId="77777777" w:rsidR="00BA541D" w:rsidRPr="003E7A67" w:rsidRDefault="00BA541D" w:rsidP="00BA541D">
      <w:pPr>
        <w:spacing w:after="120"/>
        <w:jc w:val="center"/>
        <w:rPr>
          <w:i/>
          <w:iCs/>
        </w:rPr>
      </w:pPr>
      <w:r w:rsidRPr="003E7A67">
        <w:rPr>
          <w:i/>
          <w:iCs/>
        </w:rPr>
        <w:t>aktywa z tytułu podatku odroczonego ujęte w księgach/obowiązująca krajowa stawka podatku</w:t>
      </w:r>
    </w:p>
    <w:p w14:paraId="0D2BAADA" w14:textId="77777777" w:rsidR="00BA541D" w:rsidRPr="003E7A67" w:rsidRDefault="00BA541D" w:rsidP="00BA541D">
      <w:pPr>
        <w:spacing w:after="120"/>
        <w:jc w:val="center"/>
        <w:rPr>
          <w:i/>
          <w:iCs/>
        </w:rPr>
      </w:pPr>
      <w:r w:rsidRPr="003E7A67">
        <w:rPr>
          <w:i/>
          <w:iCs/>
        </w:rPr>
        <w:t>X</w:t>
      </w:r>
    </w:p>
    <w:p w14:paraId="5F462D08" w14:textId="77777777" w:rsidR="00BA541D" w:rsidRPr="003E7A67" w:rsidRDefault="00BA541D" w:rsidP="00BA541D">
      <w:pPr>
        <w:spacing w:after="120"/>
        <w:jc w:val="center"/>
        <w:rPr>
          <w:i/>
          <w:iCs/>
        </w:rPr>
      </w:pPr>
      <w:r w:rsidRPr="003E7A67">
        <w:rPr>
          <w:i/>
          <w:iCs/>
        </w:rPr>
        <w:t>stawka minimalna (15%)</w:t>
      </w:r>
    </w:p>
    <w:p w14:paraId="223A82D2" w14:textId="579C5696"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Co do zasady, obowiązującą krajową stawką podatku jest stawka </w:t>
      </w:r>
      <w:bookmarkStart w:id="116" w:name="_Hlk156308619"/>
      <w:r w:rsidRPr="00633318">
        <w:rPr>
          <w:rFonts w:ascii="Times New Roman" w:hAnsi="Times New Roman" w:cs="Times New Roman"/>
          <w:sz w:val="24"/>
          <w:szCs w:val="24"/>
        </w:rPr>
        <w:t xml:space="preserve">mająca zastosowanie do jednostki składowej </w:t>
      </w:r>
      <w:bookmarkEnd w:id="116"/>
      <w:r w:rsidRPr="00633318">
        <w:rPr>
          <w:rFonts w:ascii="Times New Roman" w:hAnsi="Times New Roman" w:cs="Times New Roman"/>
          <w:sz w:val="24"/>
          <w:szCs w:val="24"/>
        </w:rPr>
        <w:t xml:space="preserve">w roku podatkowym, który poprzedza pierwszy rok podatkowy (tj. rok objęcia tej jednostki Zasadami GloBE). Jednak, jeśli stawka mająca zastosowanie do jednostki składowej zmieni się w kolejnym roku podatkowym, w/w wzór powinien zostać ponownie zastosowany do niewykorzystanej kwoty ulgi, wykazanej w księgach na początku tego roku podatkowego, w celu ustalenia skorygowanej kwoty aktywów dla celów Systemu GloBE. Zmiany wartości aktywów z tytułu podatku odroczonego, wynikającej z ponownego zastosowania wzoru przeliczenia, nie należy traktować jako obciążenia z tytułu podatku odroczonego, ujmowanego w obliczeniu skorygowanych podatków kwalifikowanych w roku ponownego zastosowania wzoru przeliczenia. Raczej, obciążenie z tytułu podatku odroczonego za ten rok i kolejne lata należy ustalić poprzez odniesienie do kwoty odwrócenia aktywów z tytułu podatku odroczonego po ponownym zastosowaniu wzoru. </w:t>
      </w:r>
    </w:p>
    <w:p w14:paraId="39B96FE1"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Zasadne jest przyjęcie, że ulgi podatkowe zostaną wykorzystane do zmniejszenia przyszłego zobowiązania podatkowego, które zostanie ustalone poprzez pomnożenie dochodu do opodatkowania przez obowiązującą krajową stawkę podatku. W uproszczonym podejściu, tę kwotę dochodu do opodatkowania uznaje się za odpowiedni wskaźnik do celów przeliczenia aktywów z tytułu podatku odroczonego w odniesieniu do przenoszonych (na następne okresy) ulg podatkowych. Zasadniczo, zgodnie ze wzorem, aktywa z tytułu podatku odroczonego dzieli się przez krajową stawkę podatkową w celu ustalenia kwoty dochodu do opodatkowania, który podlegnie obniżeniu w momencie wykorzystania ulgi podatkowej. Następnie, kwota tego dochodu podlega przemnożeniu przez stawkę minimalną. W ten sposób, przedmiotowy wzór gwarantuje, że ulga podatkowa, ujęta w obliczeniach skorygowanych podatków kwalifikowanych w odniesieniu do tego przyszłego dochodu, nie zmniejszy innego dochodu. </w:t>
      </w:r>
    </w:p>
    <w:p w14:paraId="1A05F06B"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 Wytycznych z lutego 2023 r. odniesiono się także do kwestii uwzględnienia – dla celów wyliczenia efektywnej stawki podatkowej za pierwszy rok podatkowy i kolejne lata podatkowe – aktywów z tytułu podatku odroczonego, dotyczących kwalifikowanych i niekwalifikowanych zwrotnych ulg podatkowych.</w:t>
      </w:r>
    </w:p>
    <w:p w14:paraId="70E4FF00" w14:textId="28CC776A"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w:t>
      </w:r>
      <w:r w:rsidR="005C27F7" w:rsidRPr="00633318">
        <w:rPr>
          <w:rFonts w:ascii="Times New Roman" w:hAnsi="Times New Roman" w:cs="Times New Roman"/>
          <w:sz w:val="24"/>
          <w:szCs w:val="24"/>
        </w:rPr>
        <w:t>z art. 65 ust. 1 projektu, korekta w zakresie kwalifikowanej zbywalnej ulgi polega na uwzględnieniu takiej ulgi, zgodnie z przepisami odpowiednio ust. 2 – 7, 11 i 12, a więc w określonych okolicznościach korekta poprzez uwzględnienie tej ulgi polega na zwiększeniu księgowego dochodu (straty) netto</w:t>
      </w:r>
      <w:r w:rsidRPr="00633318">
        <w:rPr>
          <w:rFonts w:ascii="Times New Roman" w:hAnsi="Times New Roman" w:cs="Times New Roman"/>
          <w:sz w:val="24"/>
          <w:szCs w:val="24"/>
        </w:rPr>
        <w:t xml:space="preserve">. Niemniej jednak, rozliczenie kwalifikowanej zwrotnej ulgi poprzez obniżenie należnego podatku za dany rok nie powoduje zmniejszenia podatków kwalifikowanych jednostki składowej. Z drugiej strony, przepis </w:t>
      </w:r>
      <w:r w:rsidR="005C27F7" w:rsidRPr="00633318">
        <w:rPr>
          <w:rFonts w:ascii="Times New Roman" w:hAnsi="Times New Roman" w:cs="Times New Roman"/>
          <w:sz w:val="24"/>
          <w:szCs w:val="24"/>
        </w:rPr>
        <w:t>art. 82 ust. 1 pkt 2 projektu stanowi, że podatki kwalifikowane zmniejsza się  o odliczenie lub zwrot podatku z tytułu niekwalifikowanej zwrotnej ulgi, w części, w jakiej to odliczenie lub ten zwrot nie zostały ujęte w księgach jako zmniejszenie podatku dochodowego w części bieżącej</w:t>
      </w:r>
      <w:r w:rsidRPr="00633318">
        <w:rPr>
          <w:rFonts w:ascii="Times New Roman" w:hAnsi="Times New Roman" w:cs="Times New Roman"/>
          <w:sz w:val="24"/>
          <w:szCs w:val="24"/>
        </w:rPr>
        <w:t>.</w:t>
      </w:r>
    </w:p>
    <w:p w14:paraId="1C17A3CE"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 przypadku zwrotnych ulg podatkowych, które zostały wykazane jako dochód w księgach podatkowych w dowolnym roku podatkowym poprzedzającym pierwszy rok podatkowy (tj. rok objęcia Zasadami GloBE), wprowadzanie takiego rozróżnienia (między kwalifikowanymi a niekwalifikowanymi zwrotnymi ulgami) może nie być konieczne ze względu na (wyjaśnione w poprzednich akapitach) korzystne traktowanie aktywów z tytułu podatku odroczonego, dotyczących innych ulg podatkowych podlegających przeniesieniu na przyszłe okresy.</w:t>
      </w:r>
    </w:p>
    <w:p w14:paraId="51F3D29A" w14:textId="36DED216" w:rsidR="00BA541D" w:rsidRPr="00633318" w:rsidRDefault="005C27F7"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sugerowanym podejściem, kwalifikowane i niekwalifikowane zwrotne ulgi powinny być tak </w:t>
      </w:r>
      <w:r w:rsidR="00BA541D" w:rsidRPr="00633318">
        <w:rPr>
          <w:rFonts w:ascii="Times New Roman" w:hAnsi="Times New Roman" w:cs="Times New Roman"/>
          <w:sz w:val="24"/>
          <w:szCs w:val="24"/>
        </w:rPr>
        <w:t xml:space="preserve">samo traktowane dla celów Systemu GloBE, tj. jako dochód a nie zmniejszenie podatku dochodowego w części bieżącej. Oprócz zwiększenia obciążeń administracyjnych i związanych z przestrzeganiem przepisów, alternatywne podejście, polegające na odmiennym traktowaniu kwalifikowanych i niekwalifikowanych zwrotnych ulg – zgodnie z </w:t>
      </w:r>
      <w:r w:rsidR="00205DEF" w:rsidRPr="00633318">
        <w:rPr>
          <w:rFonts w:ascii="Times New Roman" w:hAnsi="Times New Roman" w:cs="Times New Roman"/>
          <w:sz w:val="24"/>
          <w:szCs w:val="24"/>
        </w:rPr>
        <w:t xml:space="preserve">art. 65 ust. 1 i art. 82 ust. 1 pkt 2 </w:t>
      </w:r>
      <w:r w:rsidR="00BA541D" w:rsidRPr="00633318">
        <w:rPr>
          <w:rFonts w:ascii="Times New Roman" w:hAnsi="Times New Roman" w:cs="Times New Roman"/>
          <w:sz w:val="24"/>
          <w:szCs w:val="24"/>
        </w:rPr>
        <w:t>projektu – mogłoby prowadzić do nieoczekiwanych i niezamierzonych rezultatów. Dla przykładu, jednostka składowa której, przed objęciem Zasadami GloBE, przyznano bezzwrotne ulgi podatkowe, mogłaby wykazać aktywa z tytułu podatku odroczonego, dotyczące niewykorzystanych ulg podatkowych. Takie aktywa mogą zostać użyte do zwiększenia skorygowanych podatków kwalifikowanych jednostki składowej w nieokreślonej przyszłości zgodnie z przepisem przejściowym art. 1</w:t>
      </w:r>
      <w:r w:rsidR="00205DEF" w:rsidRPr="00633318">
        <w:rPr>
          <w:rFonts w:ascii="Times New Roman" w:hAnsi="Times New Roman" w:cs="Times New Roman"/>
          <w:sz w:val="24"/>
          <w:szCs w:val="24"/>
        </w:rPr>
        <w:t>3</w:t>
      </w:r>
      <w:r w:rsidR="00BA541D" w:rsidRPr="00633318">
        <w:rPr>
          <w:rFonts w:ascii="Times New Roman" w:hAnsi="Times New Roman" w:cs="Times New Roman"/>
          <w:sz w:val="24"/>
          <w:szCs w:val="24"/>
        </w:rPr>
        <w:t>0 ust. 2 projektu,</w:t>
      </w:r>
      <w:r w:rsidR="00A50A24" w:rsidRPr="00633318">
        <w:rPr>
          <w:rFonts w:ascii="Times New Roman" w:hAnsi="Times New Roman" w:cs="Times New Roman"/>
          <w:sz w:val="24"/>
          <w:szCs w:val="24"/>
        </w:rPr>
        <w:t xml:space="preserve"> </w:t>
      </w:r>
      <w:r w:rsidR="00BA541D" w:rsidRPr="00633318">
        <w:rPr>
          <w:rFonts w:ascii="Times New Roman" w:hAnsi="Times New Roman" w:cs="Times New Roman"/>
          <w:sz w:val="24"/>
          <w:szCs w:val="24"/>
        </w:rPr>
        <w:t xml:space="preserve">interpretowanym według przedstawionych powyżej zasad z Wytycznych z lutego 2023 r. Dla porównania, jeśli ulgi podatkowe są zwrotne ale nie spełniają definicji kwalifikowanych zwrotnych ulg i powinny być traktowane jako zmniejszenie podatku dochodowego w części bieżącej dla celów Systemu GloBE, niekwalifikowane zwrotne ulgi byłyby traktowane mniej korzystnie (w momencie objęcia jednostki Zasadami GloBE) niż bezzwrotne ulgi podatkowe na mocy przepisu przejściowego art. 130 ust. 2 projektu. </w:t>
      </w:r>
    </w:p>
    <w:p w14:paraId="11E343B3" w14:textId="1D2E7754"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 związku z powyższym, jeśli zastosowanie znajduje art. 1</w:t>
      </w:r>
      <w:r w:rsidR="00205DEF" w:rsidRPr="00633318">
        <w:rPr>
          <w:rFonts w:ascii="Times New Roman" w:hAnsi="Times New Roman" w:cs="Times New Roman"/>
          <w:sz w:val="24"/>
          <w:szCs w:val="24"/>
        </w:rPr>
        <w:t>3</w:t>
      </w:r>
      <w:r w:rsidRPr="00633318">
        <w:rPr>
          <w:rFonts w:ascii="Times New Roman" w:hAnsi="Times New Roman" w:cs="Times New Roman"/>
          <w:sz w:val="24"/>
          <w:szCs w:val="24"/>
        </w:rPr>
        <w:t xml:space="preserve">0 ust. 2 projektu, aktywa z tytułu podatku odroczonego, dotyczące przenoszonych ulg podatkowych, ujęte w księgach jednostki składowej, należy uwzględnić w pierwszym roku podatkowym (tj. objęcia Zasadami GloBE). Wartość takich aktywów powinna zostać przeliczona w przypadku, gdy obowiązująca krajowa stawka podatku jest wyższa od stawki minimalnej. Ponadto, rozliczenie wszelkich zwrotnych ulg podatkowych, przyznanych przed pierwszym rokiem podatkowym, nie powinno skutkować obniżeniem skorygowanych podatków kwalifikowanych, przy czym bez znaczenia jest ewentualne spełnienie przez ulgę definicji kwalifikowanej zwrotnej ulgi.  </w:t>
      </w:r>
    </w:p>
    <w:p w14:paraId="56A8F721" w14:textId="29FD137E" w:rsidR="00BA541D" w:rsidRPr="00633318" w:rsidRDefault="00BA541D" w:rsidP="00BA541D">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Dodatkowo, w Wytycznych z lutego 2023 r. wskazano, że, z wyjątkiem przypadku wskazanego w art. 1</w:t>
      </w:r>
      <w:r w:rsidR="00205DEF" w:rsidRPr="00633318">
        <w:rPr>
          <w:rFonts w:ascii="Times New Roman" w:hAnsi="Times New Roman" w:cs="Times New Roman"/>
          <w:bCs/>
          <w:sz w:val="24"/>
          <w:szCs w:val="24"/>
        </w:rPr>
        <w:t>3</w:t>
      </w:r>
      <w:r w:rsidRPr="00633318">
        <w:rPr>
          <w:rFonts w:ascii="Times New Roman" w:hAnsi="Times New Roman" w:cs="Times New Roman"/>
          <w:bCs/>
          <w:sz w:val="24"/>
          <w:szCs w:val="24"/>
        </w:rPr>
        <w:t>0 ust. 4 projektu, aktywa i pasywa „przenoszone” do Systemu GloBE na mocy art. 1</w:t>
      </w:r>
      <w:r w:rsidR="00205DEF" w:rsidRPr="00633318">
        <w:rPr>
          <w:rFonts w:ascii="Times New Roman" w:hAnsi="Times New Roman" w:cs="Times New Roman"/>
          <w:bCs/>
          <w:sz w:val="24"/>
          <w:szCs w:val="24"/>
        </w:rPr>
        <w:t>3</w:t>
      </w:r>
      <w:r w:rsidRPr="00633318">
        <w:rPr>
          <w:rFonts w:ascii="Times New Roman" w:hAnsi="Times New Roman" w:cs="Times New Roman"/>
          <w:bCs/>
          <w:sz w:val="24"/>
          <w:szCs w:val="24"/>
        </w:rPr>
        <w:t xml:space="preserve">0 ust. 2 projektu, nie podlegają żadnym korektom w zakresie obciążenia z tytułu podatku odroczonego na mocy </w:t>
      </w:r>
      <w:r w:rsidR="00205DEF" w:rsidRPr="00633318">
        <w:rPr>
          <w:rFonts w:ascii="Times New Roman" w:hAnsi="Times New Roman" w:cs="Times New Roman"/>
          <w:bCs/>
          <w:sz w:val="24"/>
          <w:szCs w:val="24"/>
        </w:rPr>
        <w:t>art. 86 ust. 1 pkt 1 lit. a-d oraz pkt 2</w:t>
      </w:r>
      <w:r w:rsidR="00A50A24"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projektu, jak również na mocy </w:t>
      </w:r>
      <w:r w:rsidR="00205DEF" w:rsidRPr="00633318">
        <w:rPr>
          <w:rFonts w:ascii="Times New Roman" w:hAnsi="Times New Roman" w:cs="Times New Roman"/>
          <w:bCs/>
          <w:sz w:val="24"/>
          <w:szCs w:val="24"/>
        </w:rPr>
        <w:t xml:space="preserve">art. 88 i 89 </w:t>
      </w:r>
      <w:r w:rsidRPr="00633318">
        <w:rPr>
          <w:rFonts w:ascii="Times New Roman" w:hAnsi="Times New Roman" w:cs="Times New Roman"/>
          <w:bCs/>
          <w:sz w:val="24"/>
          <w:szCs w:val="24"/>
        </w:rPr>
        <w:t>projektu. Zgodnie z art. 1</w:t>
      </w:r>
      <w:r w:rsidR="00205DEF" w:rsidRPr="00633318">
        <w:rPr>
          <w:rFonts w:ascii="Times New Roman" w:hAnsi="Times New Roman" w:cs="Times New Roman"/>
          <w:bCs/>
          <w:sz w:val="24"/>
          <w:szCs w:val="24"/>
        </w:rPr>
        <w:t>3</w:t>
      </w:r>
      <w:r w:rsidRPr="00633318">
        <w:rPr>
          <w:rFonts w:ascii="Times New Roman" w:hAnsi="Times New Roman" w:cs="Times New Roman"/>
          <w:bCs/>
          <w:sz w:val="24"/>
          <w:szCs w:val="24"/>
        </w:rPr>
        <w:t>0 ust. 2 projektu, aktywa i pasywa jednostki składowej na początku</w:t>
      </w:r>
      <w:r w:rsidRPr="00633318">
        <w:rPr>
          <w:rFonts w:ascii="Times New Roman" w:hAnsi="Times New Roman" w:cs="Times New Roman"/>
          <w:sz w:val="24"/>
          <w:szCs w:val="24"/>
        </w:rPr>
        <w:t xml:space="preserve"> </w:t>
      </w:r>
      <w:r w:rsidRPr="00633318">
        <w:rPr>
          <w:rFonts w:ascii="Times New Roman" w:hAnsi="Times New Roman" w:cs="Times New Roman"/>
          <w:bCs/>
          <w:sz w:val="24"/>
          <w:szCs w:val="24"/>
        </w:rPr>
        <w:t>pierwszego roku podatkowego (tj. objęcia Zasadami GloBE) powinny objąć wszystkie aktywa z tytułu podatku odroczonego, które nie zostały wykazane ze względu na brak spełnienia warunków.</w:t>
      </w:r>
    </w:p>
    <w:p w14:paraId="03E111BE" w14:textId="0DC2A0A6" w:rsidR="00227BA7" w:rsidRPr="00633318" w:rsidRDefault="00227BA7" w:rsidP="00926D65">
      <w:pPr>
        <w:pStyle w:val="Nagwek5"/>
        <w:spacing w:before="240"/>
        <w:jc w:val="both"/>
        <w:rPr>
          <w:rFonts w:ascii="Times New Roman" w:hAnsi="Times New Roman" w:cs="Times New Roman"/>
          <w:sz w:val="24"/>
          <w:szCs w:val="24"/>
        </w:rPr>
      </w:pPr>
      <w:r w:rsidRPr="00633318">
        <w:rPr>
          <w:rFonts w:ascii="Times New Roman" w:hAnsi="Times New Roman" w:cs="Times New Roman"/>
          <w:sz w:val="24"/>
          <w:szCs w:val="24"/>
        </w:rPr>
        <w:t xml:space="preserve">Art. 131 [Różne daty implementacji Zasad GloBE – ponowne wyznaczenie </w:t>
      </w:r>
      <w:r w:rsidR="00926D65" w:rsidRPr="00633318">
        <w:rPr>
          <w:rFonts w:ascii="Times New Roman" w:hAnsi="Times New Roman" w:cs="Times New Roman"/>
          <w:sz w:val="24"/>
          <w:szCs w:val="24"/>
        </w:rPr>
        <w:t>pierwszego roku podatkowego</w:t>
      </w:r>
      <w:r w:rsidRPr="00633318">
        <w:rPr>
          <w:rFonts w:ascii="Times New Roman" w:hAnsi="Times New Roman" w:cs="Times New Roman"/>
          <w:sz w:val="24"/>
          <w:szCs w:val="24"/>
        </w:rPr>
        <w:t>]</w:t>
      </w:r>
    </w:p>
    <w:p w14:paraId="09852746" w14:textId="07AD21A1" w:rsidR="00227BA7" w:rsidRPr="00633318" w:rsidRDefault="00227BA7" w:rsidP="00227BA7">
      <w:pPr>
        <w:pStyle w:val="ARTartustawynprozporzdzenia"/>
        <w:spacing w:line="259" w:lineRule="auto"/>
        <w:ind w:firstLine="0"/>
        <w:rPr>
          <w:rFonts w:ascii="Times New Roman" w:hAnsi="Times New Roman" w:cs="Times New Roman"/>
          <w:szCs w:val="24"/>
        </w:rPr>
      </w:pPr>
      <w:r w:rsidRPr="00633318">
        <w:rPr>
          <w:rFonts w:ascii="Times New Roman" w:hAnsi="Times New Roman" w:cs="Times New Roman"/>
          <w:b/>
          <w:szCs w:val="24"/>
        </w:rPr>
        <w:t>Art. 131</w:t>
      </w:r>
      <w:r w:rsidRPr="00633318">
        <w:rPr>
          <w:rFonts w:ascii="Times New Roman" w:hAnsi="Times New Roman" w:cs="Times New Roman"/>
          <w:szCs w:val="24"/>
        </w:rPr>
        <w:t xml:space="preserve"> implementuje </w:t>
      </w:r>
      <w:r w:rsidRPr="00633318">
        <w:rPr>
          <w:rFonts w:ascii="Times New Roman" w:hAnsi="Times New Roman" w:cs="Times New Roman"/>
          <w:b/>
          <w:szCs w:val="24"/>
        </w:rPr>
        <w:t>Wytyczne Administracyjne z lipca 2023 r.</w:t>
      </w:r>
      <w:r w:rsidRPr="00633318">
        <w:rPr>
          <w:rFonts w:ascii="Times New Roman" w:hAnsi="Times New Roman" w:cs="Times New Roman"/>
          <w:szCs w:val="24"/>
        </w:rPr>
        <w:t xml:space="preserve"> (pkt 4, par. 51) w zakresie </w:t>
      </w:r>
      <w:r w:rsidR="0085784B" w:rsidRPr="00633318">
        <w:rPr>
          <w:rFonts w:ascii="Times New Roman" w:hAnsi="Times New Roman" w:cs="Times New Roman"/>
          <w:szCs w:val="24"/>
        </w:rPr>
        <w:t>QDMTT</w:t>
      </w:r>
      <w:r w:rsidRPr="00633318">
        <w:rPr>
          <w:rFonts w:ascii="Times New Roman" w:hAnsi="Times New Roman" w:cs="Times New Roman"/>
          <w:szCs w:val="24"/>
        </w:rPr>
        <w:t>. Ustanawia on przepisy przejściowe dla przypadku, gdy jednostka dominująca oblicza</w:t>
      </w:r>
      <w:r w:rsidR="0085784B" w:rsidRPr="00633318">
        <w:rPr>
          <w:rFonts w:ascii="Times New Roman" w:hAnsi="Times New Roman" w:cs="Times New Roman"/>
          <w:szCs w:val="24"/>
        </w:rPr>
        <w:t xml:space="preserve"> kwalifikowany</w:t>
      </w:r>
      <w:r w:rsidRPr="00633318">
        <w:rPr>
          <w:rFonts w:ascii="Times New Roman" w:hAnsi="Times New Roman" w:cs="Times New Roman"/>
          <w:szCs w:val="24"/>
        </w:rPr>
        <w:t xml:space="preserve"> globalny podatek wyrównawczy po raz pierwszy za późniejszy rok podatkowy niż rok, za który pierwszy raz oblicza się </w:t>
      </w:r>
      <w:r w:rsidR="0085784B" w:rsidRPr="00633318">
        <w:rPr>
          <w:rFonts w:ascii="Times New Roman" w:hAnsi="Times New Roman" w:cs="Times New Roman"/>
          <w:szCs w:val="24"/>
        </w:rPr>
        <w:t>krajowy</w:t>
      </w:r>
      <w:r w:rsidRPr="00633318">
        <w:rPr>
          <w:rFonts w:ascii="Times New Roman" w:hAnsi="Times New Roman" w:cs="Times New Roman"/>
          <w:szCs w:val="24"/>
        </w:rPr>
        <w:t xml:space="preserve"> podatek wyrównawczy</w:t>
      </w:r>
      <w:r w:rsidR="0085784B" w:rsidRPr="00633318">
        <w:rPr>
          <w:rFonts w:ascii="Times New Roman" w:hAnsi="Times New Roman" w:cs="Times New Roman"/>
          <w:szCs w:val="24"/>
        </w:rPr>
        <w:t xml:space="preserve">. </w:t>
      </w:r>
      <w:r w:rsidRPr="00633318">
        <w:rPr>
          <w:rFonts w:ascii="Times New Roman" w:hAnsi="Times New Roman" w:cs="Times New Roman"/>
          <w:szCs w:val="24"/>
        </w:rPr>
        <w:t xml:space="preserve">W takiej sytuacji, dla celów obliczenia </w:t>
      </w:r>
      <w:r w:rsidR="0085784B" w:rsidRPr="00633318">
        <w:rPr>
          <w:rFonts w:ascii="Times New Roman" w:hAnsi="Times New Roman" w:cs="Times New Roman"/>
          <w:szCs w:val="24"/>
        </w:rPr>
        <w:t>krajowego podatku wyrównawczego</w:t>
      </w:r>
      <w:r w:rsidR="00E677F8" w:rsidRPr="00633318">
        <w:rPr>
          <w:rFonts w:ascii="Times New Roman" w:hAnsi="Times New Roman" w:cs="Times New Roman"/>
          <w:szCs w:val="24"/>
        </w:rPr>
        <w:t xml:space="preserve"> </w:t>
      </w:r>
      <w:r w:rsidRPr="00633318">
        <w:rPr>
          <w:rFonts w:ascii="Times New Roman" w:hAnsi="Times New Roman" w:cs="Times New Roman"/>
          <w:szCs w:val="24"/>
        </w:rPr>
        <w:t>wyznacza się ponownie pierwszy rok podatkowy (</w:t>
      </w:r>
      <w:r w:rsidRPr="00633318">
        <w:rPr>
          <w:rFonts w:ascii="Times New Roman" w:hAnsi="Times New Roman" w:cs="Times New Roman"/>
          <w:i/>
          <w:iCs/>
          <w:szCs w:val="24"/>
        </w:rPr>
        <w:t>transition year</w:t>
      </w:r>
      <w:r w:rsidRPr="00633318">
        <w:rPr>
          <w:rFonts w:ascii="Times New Roman" w:hAnsi="Times New Roman" w:cs="Times New Roman"/>
          <w:szCs w:val="24"/>
        </w:rPr>
        <w:t>), w którym obowiązują zasady przejściowe wskazane w ust. 2.</w:t>
      </w:r>
    </w:p>
    <w:p w14:paraId="54405C5B" w14:textId="77777777" w:rsidR="00227BA7" w:rsidRPr="00633318" w:rsidRDefault="00227BA7" w:rsidP="00227BA7">
      <w:pPr>
        <w:pStyle w:val="ARTartustawynprozporzdzenia"/>
        <w:spacing w:line="259" w:lineRule="auto"/>
        <w:ind w:firstLine="0"/>
        <w:rPr>
          <w:rFonts w:ascii="Times New Roman" w:hAnsi="Times New Roman" w:cs="Times New Roman"/>
          <w:szCs w:val="24"/>
        </w:rPr>
      </w:pPr>
      <w:r w:rsidRPr="00633318">
        <w:rPr>
          <w:rFonts w:ascii="Times New Roman" w:hAnsi="Times New Roman" w:cs="Times New Roman"/>
          <w:szCs w:val="24"/>
        </w:rPr>
        <w:t>Zgodnie z ust. 2 pkt 1-3, za taki ponownie wyznaczony pierwszy rok podatkowy „zeruje się” określone salda i rozliczenia wynikające z poprzednich lat, tj.</w:t>
      </w:r>
    </w:p>
    <w:p w14:paraId="4423E42D" w14:textId="77777777" w:rsidR="00227BA7" w:rsidRPr="00633318" w:rsidRDefault="00227BA7" w:rsidP="009E73F7">
      <w:pPr>
        <w:pStyle w:val="ARTartustawynprozporzdzenia"/>
        <w:numPr>
          <w:ilvl w:val="0"/>
          <w:numId w:val="133"/>
        </w:numPr>
        <w:spacing w:line="259" w:lineRule="auto"/>
        <w:rPr>
          <w:rFonts w:ascii="Times New Roman" w:hAnsi="Times New Roman" w:cs="Times New Roman"/>
          <w:szCs w:val="24"/>
        </w:rPr>
      </w:pPr>
      <w:r w:rsidRPr="00633318">
        <w:rPr>
          <w:rFonts w:ascii="Times New Roman" w:hAnsi="Times New Roman" w:cs="Times New Roman"/>
          <w:szCs w:val="24"/>
        </w:rPr>
        <w:t>saldo ujemnych skorygowanych podatków kwalifikowanych (</w:t>
      </w:r>
      <w:r w:rsidRPr="00633318">
        <w:rPr>
          <w:rFonts w:ascii="Times New Roman" w:hAnsi="Times New Roman" w:cs="Times New Roman"/>
          <w:i/>
          <w:iCs/>
          <w:szCs w:val="24"/>
        </w:rPr>
        <w:t>Excess Negative Tax Expense Carry-forward</w:t>
      </w:r>
      <w:r w:rsidRPr="00633318">
        <w:rPr>
          <w:rFonts w:ascii="Times New Roman" w:hAnsi="Times New Roman" w:cs="Times New Roman"/>
          <w:szCs w:val="24"/>
        </w:rPr>
        <w:t>),</w:t>
      </w:r>
    </w:p>
    <w:p w14:paraId="2FF57960" w14:textId="77777777" w:rsidR="00227BA7" w:rsidRPr="00633318" w:rsidRDefault="00227BA7" w:rsidP="009E73F7">
      <w:pPr>
        <w:pStyle w:val="ARTartustawynprozporzdzenia"/>
        <w:numPr>
          <w:ilvl w:val="0"/>
          <w:numId w:val="133"/>
        </w:numPr>
        <w:spacing w:line="259" w:lineRule="auto"/>
        <w:rPr>
          <w:rFonts w:ascii="Times New Roman" w:hAnsi="Times New Roman" w:cs="Times New Roman"/>
          <w:szCs w:val="24"/>
        </w:rPr>
      </w:pPr>
      <w:r w:rsidRPr="00633318">
        <w:rPr>
          <w:rFonts w:ascii="Times New Roman" w:hAnsi="Times New Roman" w:cs="Times New Roman"/>
          <w:szCs w:val="24"/>
        </w:rPr>
        <w:t>rozliczenia co do ponownego ujęcia rezerwy (</w:t>
      </w:r>
      <w:r w:rsidRPr="00633318">
        <w:rPr>
          <w:rFonts w:ascii="Times New Roman" w:hAnsi="Times New Roman" w:cs="Times New Roman"/>
          <w:i/>
          <w:iCs/>
          <w:szCs w:val="24"/>
        </w:rPr>
        <w:t>DTL recapture</w:t>
      </w:r>
      <w:r w:rsidRPr="00633318">
        <w:rPr>
          <w:rFonts w:ascii="Times New Roman" w:hAnsi="Times New Roman" w:cs="Times New Roman"/>
          <w:szCs w:val="24"/>
        </w:rPr>
        <w:t>) w ramach całkowitej korekty podatku odroczonego,</w:t>
      </w:r>
    </w:p>
    <w:p w14:paraId="773E2858" w14:textId="77777777" w:rsidR="00227BA7" w:rsidRPr="00633318" w:rsidRDefault="00227BA7" w:rsidP="009E73F7">
      <w:pPr>
        <w:pStyle w:val="ARTartustawynprozporzdzenia"/>
        <w:numPr>
          <w:ilvl w:val="0"/>
          <w:numId w:val="133"/>
        </w:numPr>
        <w:spacing w:line="259" w:lineRule="auto"/>
        <w:rPr>
          <w:rFonts w:ascii="Times New Roman" w:hAnsi="Times New Roman" w:cs="Times New Roman"/>
          <w:szCs w:val="24"/>
          <w:lang w:val="en-US"/>
        </w:rPr>
      </w:pPr>
      <w:r w:rsidRPr="00633318">
        <w:rPr>
          <w:rFonts w:ascii="Times New Roman" w:hAnsi="Times New Roman" w:cs="Times New Roman"/>
          <w:szCs w:val="24"/>
          <w:lang w:val="en-US"/>
        </w:rPr>
        <w:t>aktywo od kwalifikowanej straty (</w:t>
      </w:r>
      <w:r w:rsidRPr="00633318">
        <w:rPr>
          <w:rFonts w:ascii="Times New Roman" w:hAnsi="Times New Roman" w:cs="Times New Roman"/>
          <w:i/>
          <w:iCs/>
          <w:szCs w:val="24"/>
          <w:lang w:val="en-US"/>
        </w:rPr>
        <w:t>GloBE Loss Deferred Tax Asset / qualifying loss deferred tax asset</w:t>
      </w:r>
      <w:r w:rsidRPr="00633318">
        <w:rPr>
          <w:rFonts w:ascii="Times New Roman" w:hAnsi="Times New Roman" w:cs="Times New Roman"/>
          <w:szCs w:val="24"/>
          <w:lang w:val="en-US"/>
        </w:rPr>
        <w:t>).</w:t>
      </w:r>
    </w:p>
    <w:p w14:paraId="269EBB52" w14:textId="77777777" w:rsidR="00227BA7" w:rsidRPr="00633318" w:rsidRDefault="00227BA7" w:rsidP="00227BA7">
      <w:pPr>
        <w:pStyle w:val="ARTartustawynprozporzdzenia"/>
        <w:spacing w:line="259" w:lineRule="auto"/>
        <w:ind w:firstLine="0"/>
        <w:rPr>
          <w:rFonts w:ascii="Times New Roman" w:hAnsi="Times New Roman" w:cs="Times New Roman"/>
          <w:szCs w:val="24"/>
        </w:rPr>
      </w:pPr>
      <w:r w:rsidRPr="00633318">
        <w:rPr>
          <w:rFonts w:ascii="Times New Roman" w:hAnsi="Times New Roman" w:cs="Times New Roman"/>
          <w:szCs w:val="24"/>
        </w:rPr>
        <w:t>Zarazem, zgodnie z ust. 2 pkt 4 stosuje się na nowo zasady ujmowania (wszystkich) aktywów i rezerw z tytułu podatku odroczonego właściwe dla pierwszego roku podatkowego, zgodnie z opisanym wcześniej art. 130 ust. 2 (a wcześniej ujęte kwoty w tym zakresie się eliminuje).</w:t>
      </w:r>
    </w:p>
    <w:p w14:paraId="3284FC4D" w14:textId="3AD53141" w:rsidR="00227BA7" w:rsidRPr="00633318" w:rsidRDefault="00227BA7" w:rsidP="00227BA7">
      <w:pPr>
        <w:pStyle w:val="ARTartustawynprozporzdzenia"/>
        <w:spacing w:line="259" w:lineRule="auto"/>
        <w:ind w:firstLine="0"/>
        <w:rPr>
          <w:rFonts w:ascii="Times New Roman" w:hAnsi="Times New Roman" w:cs="Times New Roman"/>
          <w:szCs w:val="24"/>
        </w:rPr>
      </w:pPr>
      <w:r w:rsidRPr="00633318">
        <w:rPr>
          <w:rFonts w:ascii="Times New Roman" w:hAnsi="Times New Roman" w:cs="Times New Roman"/>
          <w:szCs w:val="24"/>
        </w:rPr>
        <w:t xml:space="preserve">Zgodnie z ust. 2 pkt 5, w przypadku ponownie wyznaczonego pierwszego roku podatkowego obowiązuje odpowiednio zasada wynikająca z art. 130 ust. 4, iż uproszczonego podejścia nie stosuje się transakcji dokonanej po dniu 30 listopada 2021 r. a przed początkiem ponownie wyznaczonego </w:t>
      </w:r>
      <w:r w:rsidR="001E39B9" w:rsidRPr="00633318">
        <w:rPr>
          <w:rFonts w:ascii="Times New Roman" w:hAnsi="Times New Roman" w:cs="Times New Roman"/>
          <w:szCs w:val="24"/>
        </w:rPr>
        <w:t xml:space="preserve">pierwszego </w:t>
      </w:r>
      <w:r w:rsidRPr="00633318">
        <w:rPr>
          <w:rFonts w:ascii="Times New Roman" w:hAnsi="Times New Roman" w:cs="Times New Roman"/>
          <w:szCs w:val="24"/>
        </w:rPr>
        <w:t>roku</w:t>
      </w:r>
      <w:r w:rsidR="001E39B9" w:rsidRPr="00633318">
        <w:rPr>
          <w:rFonts w:ascii="Times New Roman" w:hAnsi="Times New Roman" w:cs="Times New Roman"/>
          <w:szCs w:val="24"/>
        </w:rPr>
        <w:t xml:space="preserve"> podatkowego</w:t>
      </w:r>
      <w:r w:rsidRPr="00633318">
        <w:rPr>
          <w:rFonts w:ascii="Times New Roman" w:hAnsi="Times New Roman" w:cs="Times New Roman"/>
          <w:szCs w:val="24"/>
        </w:rPr>
        <w:t xml:space="preserve">, oraz transakcja dotyczyła aktywów wyłączonych z kwalifikowanego dochodu (straty). Jednakże, w świetle wytycznych, jeżeli w związku z takimi transakcjami zapłacono krajowy podatek wyrównawczy na podstawie przepisów w zakresie ujemnych podatków skorygowanych, odpowiednich pozycji dotyczących podatku odroczonego nie wyklucza się z uproszczonego podejścia. </w:t>
      </w:r>
    </w:p>
    <w:p w14:paraId="79CC7C76" w14:textId="77777777" w:rsidR="00BA541D" w:rsidRPr="00633318" w:rsidRDefault="00BA541D" w:rsidP="00BA541D">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Art. 132 [Przeniesienie aktywów pomiędzy jednostkami grupy od 1 grudnia 2021 r.]</w:t>
      </w:r>
    </w:p>
    <w:p w14:paraId="34CFC436" w14:textId="77777777" w:rsidR="00BA541D" w:rsidRPr="00633318" w:rsidRDefault="00BA541D" w:rsidP="00BA541D">
      <w:pPr>
        <w:spacing w:after="120"/>
        <w:jc w:val="both"/>
        <w:rPr>
          <w:rFonts w:ascii="Times New Roman" w:hAnsi="Times New Roman" w:cs="Times New Roman"/>
          <w:color w:val="000000" w:themeColor="text1"/>
          <w:sz w:val="24"/>
          <w:szCs w:val="24"/>
        </w:rPr>
      </w:pPr>
      <w:r w:rsidRPr="00633318">
        <w:rPr>
          <w:rFonts w:ascii="Times New Roman" w:hAnsi="Times New Roman" w:cs="Times New Roman"/>
          <w:color w:val="000000" w:themeColor="text1"/>
          <w:sz w:val="24"/>
          <w:szCs w:val="24"/>
        </w:rPr>
        <w:t xml:space="preserve">W świetle </w:t>
      </w:r>
      <w:r w:rsidRPr="00633318">
        <w:rPr>
          <w:rFonts w:ascii="Times New Roman" w:hAnsi="Times New Roman" w:cs="Times New Roman"/>
          <w:b/>
          <w:bCs/>
          <w:color w:val="000000" w:themeColor="text1"/>
          <w:sz w:val="24"/>
          <w:szCs w:val="24"/>
        </w:rPr>
        <w:t>art. 132</w:t>
      </w:r>
      <w:r w:rsidRPr="00633318">
        <w:rPr>
          <w:rFonts w:ascii="Times New Roman" w:hAnsi="Times New Roman" w:cs="Times New Roman"/>
          <w:color w:val="000000" w:themeColor="text1"/>
          <w:sz w:val="24"/>
          <w:szCs w:val="24"/>
        </w:rPr>
        <w:t xml:space="preserve"> projektu, w przypadku przeniesienia w jakiejkolwiek formie aktywów, innych niż zapasy, między jednostkami składowymi grupy, w okresie od 1 grudnia 2021 r. do ostatniego dnia roku podatkowego bezpośrednio poprzedzającego pierwszy rok podatkowy (tj. rok objęcia przepisami ustawy), jednostka przejmująca ustala: </w:t>
      </w:r>
    </w:p>
    <w:p w14:paraId="21A72383" w14:textId="77777777" w:rsidR="00BA541D" w:rsidRPr="00633318" w:rsidRDefault="00BA541D" w:rsidP="009E73F7">
      <w:pPr>
        <w:pStyle w:val="Akapitzlist"/>
        <w:numPr>
          <w:ilvl w:val="0"/>
          <w:numId w:val="135"/>
        </w:numPr>
        <w:spacing w:after="120"/>
        <w:jc w:val="both"/>
        <w:rPr>
          <w:rFonts w:ascii="Times New Roman" w:hAnsi="Times New Roman" w:cs="Times New Roman"/>
          <w:color w:val="000000" w:themeColor="text1"/>
          <w:sz w:val="24"/>
          <w:szCs w:val="24"/>
        </w:rPr>
      </w:pPr>
      <w:r w:rsidRPr="00633318">
        <w:rPr>
          <w:rFonts w:ascii="Times New Roman" w:hAnsi="Times New Roman" w:cs="Times New Roman"/>
          <w:color w:val="000000" w:themeColor="text1"/>
          <w:sz w:val="24"/>
          <w:szCs w:val="24"/>
        </w:rPr>
        <w:t>wartość początkową tych aktywów w wysokości wartości bilansowej, wykazanej w księgach jednostki przenoszącej, na dzień poprzedzający dzień przeniesienia oraz</w:t>
      </w:r>
    </w:p>
    <w:p w14:paraId="240A0E8A" w14:textId="7ADD4D45" w:rsidR="00BA541D" w:rsidRPr="00633318" w:rsidRDefault="00BA541D" w:rsidP="009E73F7">
      <w:pPr>
        <w:pStyle w:val="Akapitzlist"/>
        <w:numPr>
          <w:ilvl w:val="0"/>
          <w:numId w:val="135"/>
        </w:numPr>
        <w:spacing w:after="120"/>
        <w:jc w:val="both"/>
        <w:rPr>
          <w:rFonts w:ascii="Times New Roman" w:hAnsi="Times New Roman" w:cs="Times New Roman"/>
          <w:color w:val="000000" w:themeColor="text1"/>
          <w:sz w:val="24"/>
          <w:szCs w:val="24"/>
        </w:rPr>
      </w:pPr>
      <w:r w:rsidRPr="00633318">
        <w:rPr>
          <w:rFonts w:ascii="Times New Roman" w:hAnsi="Times New Roman" w:cs="Times New Roman"/>
          <w:color w:val="000000" w:themeColor="text1"/>
          <w:sz w:val="24"/>
          <w:szCs w:val="24"/>
        </w:rPr>
        <w:t xml:space="preserve">aktywa i rezerwy z tytułu podatku odroczonego </w:t>
      </w:r>
      <w:r w:rsidR="00177F03" w:rsidRPr="00633318">
        <w:rPr>
          <w:rFonts w:ascii="Times New Roman" w:hAnsi="Times New Roman" w:cs="Times New Roman"/>
          <w:color w:val="000000" w:themeColor="text1"/>
          <w:sz w:val="24"/>
          <w:szCs w:val="24"/>
        </w:rPr>
        <w:t>na podstawie tej wartości</w:t>
      </w:r>
      <w:r w:rsidRPr="00633318">
        <w:rPr>
          <w:rFonts w:ascii="Times New Roman" w:hAnsi="Times New Roman" w:cs="Times New Roman"/>
          <w:color w:val="000000" w:themeColor="text1"/>
          <w:sz w:val="24"/>
          <w:szCs w:val="24"/>
        </w:rPr>
        <w:t xml:space="preserve">.  </w:t>
      </w:r>
    </w:p>
    <w:p w14:paraId="30DC9595" w14:textId="26097DBD" w:rsidR="00BA541D" w:rsidRPr="00633318" w:rsidRDefault="001405C7" w:rsidP="00BA541D">
      <w:pPr>
        <w:spacing w:after="120"/>
        <w:jc w:val="both"/>
        <w:rPr>
          <w:rFonts w:ascii="Times New Roman" w:hAnsi="Times New Roman" w:cs="Times New Roman"/>
          <w:color w:val="000000" w:themeColor="text1"/>
          <w:sz w:val="24"/>
          <w:szCs w:val="24"/>
        </w:rPr>
      </w:pPr>
      <w:r w:rsidRPr="00633318">
        <w:rPr>
          <w:rFonts w:ascii="Times New Roman" w:hAnsi="Times New Roman" w:cs="Times New Roman"/>
          <w:color w:val="000000" w:themeColor="text1"/>
          <w:sz w:val="24"/>
          <w:szCs w:val="24"/>
        </w:rPr>
        <w:t>A</w:t>
      </w:r>
      <w:r w:rsidR="00BA541D" w:rsidRPr="00633318">
        <w:rPr>
          <w:rFonts w:ascii="Times New Roman" w:hAnsi="Times New Roman" w:cs="Times New Roman"/>
          <w:color w:val="000000" w:themeColor="text1"/>
          <w:sz w:val="24"/>
          <w:szCs w:val="24"/>
        </w:rPr>
        <w:t>rt. 132 projektu nakłada ograniczenia dotyczące przenoszenia aktywów wewnątrz grupy przed objęciem jej przepisami ustawy. Przepis</w:t>
      </w:r>
      <w:r w:rsidRPr="00633318">
        <w:rPr>
          <w:rFonts w:ascii="Times New Roman" w:hAnsi="Times New Roman" w:cs="Times New Roman"/>
          <w:color w:val="000000" w:themeColor="text1"/>
          <w:sz w:val="24"/>
          <w:szCs w:val="24"/>
        </w:rPr>
        <w:t xml:space="preserve"> ten</w:t>
      </w:r>
      <w:r w:rsidR="00BA541D" w:rsidRPr="00633318">
        <w:rPr>
          <w:rFonts w:ascii="Times New Roman" w:hAnsi="Times New Roman" w:cs="Times New Roman"/>
          <w:color w:val="000000" w:themeColor="text1"/>
          <w:sz w:val="24"/>
          <w:szCs w:val="24"/>
        </w:rPr>
        <w:t xml:space="preserve"> znajduje zastosowanie, gdy składnik aktywów (inny niż zapasy) zostaje przeniesiony pomiędzy jednostkami między 1 grudnia 2021</w:t>
      </w:r>
      <w:r w:rsidRPr="00633318">
        <w:rPr>
          <w:rFonts w:ascii="Times New Roman" w:hAnsi="Times New Roman" w:cs="Times New Roman"/>
          <w:color w:val="000000" w:themeColor="text1"/>
          <w:sz w:val="24"/>
          <w:szCs w:val="24"/>
        </w:rPr>
        <w:t> </w:t>
      </w:r>
      <w:r w:rsidR="00BA541D" w:rsidRPr="00633318">
        <w:rPr>
          <w:rFonts w:ascii="Times New Roman" w:hAnsi="Times New Roman" w:cs="Times New Roman"/>
          <w:color w:val="000000" w:themeColor="text1"/>
          <w:sz w:val="24"/>
          <w:szCs w:val="24"/>
        </w:rPr>
        <w:t xml:space="preserve">r. a rozpoczęciem pierwszego roku podatkowego grupy, jeżeli takie jednostki byłyby jednostkami składowymi tej grupy w przypadku, gdyby Zasady GloBE obowiązywały w odniesieniu do tej grupy bezpośrednio przed przeniesieniem składnika aktywów. </w:t>
      </w:r>
    </w:p>
    <w:p w14:paraId="1963399E" w14:textId="517372FE" w:rsidR="00BA541D" w:rsidRPr="00633318" w:rsidRDefault="00BA541D" w:rsidP="00BA541D">
      <w:pPr>
        <w:spacing w:after="120"/>
        <w:jc w:val="both"/>
        <w:rPr>
          <w:rFonts w:ascii="Times New Roman" w:hAnsi="Times New Roman" w:cs="Times New Roman"/>
          <w:color w:val="000000" w:themeColor="text1"/>
          <w:sz w:val="24"/>
          <w:szCs w:val="24"/>
        </w:rPr>
      </w:pPr>
      <w:r w:rsidRPr="00633318">
        <w:rPr>
          <w:rFonts w:ascii="Times New Roman" w:hAnsi="Times New Roman" w:cs="Times New Roman"/>
          <w:color w:val="000000" w:themeColor="text1"/>
          <w:sz w:val="24"/>
          <w:szCs w:val="24"/>
        </w:rPr>
        <w:t xml:space="preserve">W przypadku, gdy ma zastosowanie art. 132 projektu, jednostka przejmująca ma obowiązek traktowania składnika aktywów do celów Zasad GloBE jako nabytego za kwotę równą wartości bilansowej, wykazywanej przez jednostkę zbywającą w momencie zbycia. Wartość bilansowa składnika aktywów jest łatwa do ustalenia, ponieważ w skonsolidowanym sprawozdaniu finansowym należy wyeliminować zysk z transakcji przeniesienia składnika aktywów wewnątrz grupy. </w:t>
      </w:r>
    </w:p>
    <w:p w14:paraId="0EA616A0" w14:textId="77777777" w:rsidR="00BA541D" w:rsidRPr="00633318" w:rsidRDefault="00BA541D" w:rsidP="00BA541D">
      <w:pPr>
        <w:spacing w:after="120"/>
        <w:jc w:val="both"/>
        <w:rPr>
          <w:rFonts w:ascii="Times New Roman" w:hAnsi="Times New Roman" w:cs="Times New Roman"/>
          <w:color w:val="000000" w:themeColor="text1"/>
          <w:sz w:val="24"/>
          <w:szCs w:val="24"/>
        </w:rPr>
      </w:pPr>
      <w:r w:rsidRPr="00633318">
        <w:rPr>
          <w:rFonts w:ascii="Times New Roman" w:hAnsi="Times New Roman" w:cs="Times New Roman"/>
          <w:color w:val="000000" w:themeColor="text1"/>
          <w:sz w:val="24"/>
          <w:szCs w:val="24"/>
        </w:rPr>
        <w:t xml:space="preserve">Następnie, wartość bilansowa składnika aktywów jednostki przejmującej może zostać podwyższona o skapitalizowane nakłady lub pomniejszona o odpisy amortyzacyjne zgodnie ze standardami rachunkowości, zastosowanymi w skonsolidowanym sprawozdaniu finansowym jednostki dominującej najwyższego szczebla. Wartość bilansowa, stosowana dla celów Systemu GloBE począwszy od pierwszego roku podatkowego, to wartość bilansowa przeniesionego składnika aktywów na dzień przeniesienia, skorygowana - o nakłady inwestycyjne lub odpisy amortyzacyjne - po transakcji a przed rozpoczęciem pierwszego roku podatkowego. </w:t>
      </w:r>
    </w:p>
    <w:p w14:paraId="14BEC2C2" w14:textId="24BDFEED" w:rsidR="00BA541D" w:rsidRPr="00633318" w:rsidRDefault="00BA541D" w:rsidP="00BA541D">
      <w:pPr>
        <w:spacing w:after="120"/>
        <w:jc w:val="both"/>
        <w:rPr>
          <w:rFonts w:ascii="Times New Roman" w:hAnsi="Times New Roman" w:cs="Times New Roman"/>
          <w:color w:val="000000" w:themeColor="text1"/>
          <w:sz w:val="24"/>
          <w:szCs w:val="24"/>
        </w:rPr>
      </w:pPr>
      <w:r w:rsidRPr="00633318">
        <w:rPr>
          <w:rFonts w:ascii="Times New Roman" w:hAnsi="Times New Roman" w:cs="Times New Roman"/>
          <w:color w:val="000000" w:themeColor="text1"/>
          <w:sz w:val="24"/>
          <w:szCs w:val="24"/>
        </w:rPr>
        <w:t>Jeśli na skutek ujęcia składnika aktywów według wartości godziwej w księgach jednostki przejmującej dojdzie do zwiększenia amortyzacji, wartość zwiększenia należy wyłączyć z obliczeń kwalifikowanego dochodu (straty) jednostki przejmującej. Podobnie, zysk lub stratę z późniejszej sprzedaży składnika aktywów ustala się dla celów Systemu GloBE na podstawie jego wartości bilansowej, określonej zgodnie z art. 1</w:t>
      </w:r>
      <w:r w:rsidR="00436A1A" w:rsidRPr="00633318">
        <w:rPr>
          <w:rFonts w:ascii="Times New Roman" w:hAnsi="Times New Roman" w:cs="Times New Roman"/>
          <w:color w:val="000000" w:themeColor="text1"/>
          <w:sz w:val="24"/>
          <w:szCs w:val="24"/>
        </w:rPr>
        <w:t>3</w:t>
      </w:r>
      <w:r w:rsidRPr="00633318">
        <w:rPr>
          <w:rFonts w:ascii="Times New Roman" w:hAnsi="Times New Roman" w:cs="Times New Roman"/>
          <w:color w:val="000000" w:themeColor="text1"/>
          <w:sz w:val="24"/>
          <w:szCs w:val="24"/>
        </w:rPr>
        <w:t>2 projektu. Jednakże, zasada określona w art. 132 projektu nie ma zastosowania do zapasów ze względu na rutynowy charakter sprzedaży zapasów wewnątrz grupy i zazwyczaj krótki okres ich przechowywania przed sprzedażą poza grupę.</w:t>
      </w:r>
    </w:p>
    <w:p w14:paraId="75423CA7" w14:textId="46A25E1F"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Wytyczne z lutego 2023 r.</w:t>
      </w:r>
      <w:r w:rsidRPr="00633318">
        <w:rPr>
          <w:rStyle w:val="Odwoanieprzypisudolnego"/>
          <w:rFonts w:ascii="Times New Roman" w:hAnsi="Times New Roman" w:cs="Times New Roman"/>
          <w:sz w:val="24"/>
          <w:szCs w:val="24"/>
        </w:rPr>
        <w:footnoteReference w:id="161"/>
      </w:r>
      <w:r w:rsidRPr="00633318">
        <w:rPr>
          <w:rStyle w:val="StopkaZnak"/>
          <w:rFonts w:ascii="Times New Roman" w:hAnsi="Times New Roman" w:cs="Times New Roman"/>
          <w:sz w:val="24"/>
          <w:szCs w:val="24"/>
        </w:rPr>
        <w:t xml:space="preserve"> </w:t>
      </w:r>
      <w:r w:rsidRPr="00633318">
        <w:rPr>
          <w:rFonts w:ascii="Times New Roman" w:hAnsi="Times New Roman" w:cs="Times New Roman"/>
          <w:sz w:val="24"/>
          <w:szCs w:val="24"/>
        </w:rPr>
        <w:t>wyjaśniają potencjalne wątpliwości, które mogą powstać w zakresie zastosowania art. 1</w:t>
      </w:r>
      <w:r w:rsidR="00436A1A" w:rsidRPr="00633318">
        <w:rPr>
          <w:rFonts w:ascii="Times New Roman" w:hAnsi="Times New Roman" w:cs="Times New Roman"/>
          <w:sz w:val="24"/>
          <w:szCs w:val="24"/>
        </w:rPr>
        <w:t>3</w:t>
      </w:r>
      <w:r w:rsidRPr="00633318">
        <w:rPr>
          <w:rFonts w:ascii="Times New Roman" w:hAnsi="Times New Roman" w:cs="Times New Roman"/>
          <w:sz w:val="24"/>
          <w:szCs w:val="24"/>
        </w:rPr>
        <w:t>2 projektu do transakcji krajowych i międzynarodowych, które w ujęciu księgowym są traktowane w sposób podobny do przeniesienia aktywów.</w:t>
      </w:r>
    </w:p>
    <w:p w14:paraId="091DCB02" w14:textId="53D2E26A"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Celem przepisu art. 132 projektu jest ograniczenie możliwości dokonywania przez grupy – w okresie od 1 grudnia 2021 r. do momentu objęcia przepisami ustawy – nieopodatkowanych lub nisko opodatkowanych transakcji, zwiększających wartość bilansową aktywów. Dzięki takim transakcjom, grupa może wykorzystać wyższą wartość bilansową do zmniejszenia kwalifikowanego dochodu, np. poprzez dokonywanie odpisów amortyzacyjnych w latach objęcia przepisami ustawy, bez ryzyka naliczenia podatku wyrównawczego od zysku, ponieważ składnik aktywów został przeniesiony w okresie poprzedzającym objęcie przepisami ustawy.</w:t>
      </w:r>
    </w:p>
    <w:p w14:paraId="5701B469"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Dlatego też, art. 132 projektu nakłada – w określonych okolicznościach – na jednostkę przejmującą aktywa obowiązek ustalenia ich wartości początkowej w wysokości wartości bilansowej w księgach jednostki przenoszącej oraz wartości aktywów i rezerw z tytułu podatku odroczonego z uwzględnieniem wartości w księgach jednostki przenoszącej. </w:t>
      </w:r>
    </w:p>
    <w:p w14:paraId="7773122F"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 świetle powyższego, mogą powstać wątpliwości co do tego, jak należy interpretować pojęcie „przeniesienie aktywów” zgodnie z art. 132 projektu. W Wytycznych z lutego 2023 r. wyjaśniono, czy „przeniesienie aktywów” powinno obejmować tylko transakcje o strukturze sprzedaży czy też również inne transakcje rozliczane podobnie jak sprzedaż (tj. transakcje skutkujące powstaniem składnika aktywów w księgach, którego koszt może zostać uwzględniony przy obliczaniu kwalifikowanego dochodu (straty) jednostki składowej w kolejnych latach).</w:t>
      </w:r>
    </w:p>
    <w:p w14:paraId="148D8073"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Wytyczne z lutego 2023 r. wyjaśniają również potencjalne wątpliwości, czy art. 132 projektu ma zastosowanie, gdy odpowiedni standard rachunkowości wymaga, aby jednostka zwiększyła wartość bilansową aktywa lub aktywa z tytułu podatku odroczonego związanego z takim aktywem w taki sam lub podobny sposób, jakby jednostka zarówno sprzedała, jak i nabyła aktywo.</w:t>
      </w:r>
    </w:p>
    <w:p w14:paraId="13857A7F"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 Wytycznych z lutego 2023 r. wyjaśniono także, czy art. 132 projektu ma zastosowanie do transakcji, w której aktywo powstaje dla celów księgowych przed objęciem przepisami ustawy, ale czynność prawna przeniesienia aktywa następuje w roku objęcia przepisami ustawy lub później.</w:t>
      </w:r>
    </w:p>
    <w:p w14:paraId="02B90EE4"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Ponadto, Wytyczne z lutego 2023 r.</w:t>
      </w:r>
      <w:r w:rsidRPr="00633318">
        <w:rPr>
          <w:rStyle w:val="Odwoanieprzypisudolnego"/>
          <w:rFonts w:ascii="Times New Roman" w:hAnsi="Times New Roman" w:cs="Times New Roman"/>
          <w:sz w:val="24"/>
          <w:szCs w:val="24"/>
        </w:rPr>
        <w:footnoteReference w:id="162"/>
      </w:r>
      <w:r w:rsidRPr="00633318">
        <w:rPr>
          <w:rStyle w:val="StopkaZnak"/>
          <w:rFonts w:ascii="Times New Roman" w:hAnsi="Times New Roman" w:cs="Times New Roman"/>
          <w:sz w:val="24"/>
          <w:szCs w:val="24"/>
        </w:rPr>
        <w:t xml:space="preserve"> </w:t>
      </w:r>
      <w:r w:rsidRPr="00633318">
        <w:rPr>
          <w:rFonts w:ascii="Times New Roman" w:hAnsi="Times New Roman" w:cs="Times New Roman"/>
          <w:sz w:val="24"/>
          <w:szCs w:val="24"/>
        </w:rPr>
        <w:t>określają zasady tworzenia i uwzględniania na gruncie ustawy aktywów i rezerw z tytułu podatku dochodowego, które mogą powstać w związku z takim przeniesieniem aktywa. Zgodnie z art. 132 projektu, są one tworzone „w oparciu” o wartość bilansową wykazywaną w księgach jednostki przenoszącej. Wytyczne z lutego 2023 r. precyzują znaczenie takiej „wartości bilansowej” na potrzeby ustawy oraz określają co znaczy, że aktywo lub rezerwa jest tworzone „w oparciu” o taką wartość.</w:t>
      </w:r>
    </w:p>
    <w:p w14:paraId="107CEF83"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Według Wytycznych z lutego 2023 r., integralność Zasad GloBE zostałaby podważona, gdyby grupom zezwolono na zawieranie transakcji przed objęciem przepisami ustawy, w których dochód byłby opodatkowany poniżej stawki minimalnej bez ryzyka podatku wyrównawczego a wzrost wartości bilansowej służyłby do „ochrony” przyszłych dochodów przed potencjalnym podatkiem wyrównawczym. Może się to również zdarzyć w przypadku przeniesienia aktywów lub domniemanego przeniesienia aktywów w obrębie tej samej jednostki, gdy przed objęciem przepisami ustawy jednostka jest nisko opodatkowana zaś po objęciu przepisami ustawy może wykorzystać wzrost wartości bilansowej przy obliczaniu kwalifikowanego dochodu. Wyższa wartość bilansowa aktywa dla celów ustawy skutkuje bowiem obniżeniem kwalifikowanego dochodu lub podwyższeniem kwalifikowanej straty jednostki składowej w kolejnych latach podatkowych. Jednocześnie, transfer aktywa przed dniem objęcia jednostki przenoszącej zakresem ustawy skutkuje nieobjęciem ustawą zysku odpowiadającego tym pomniejszeniom. Brak tej regulacji umożliwiałby więc obniżenie kwalifikowanego dochodu (lub zawyżenie kwalifikowanej straty) bez możliwości objęcia opodatkowaniem odpowiadającego zysku.</w:t>
      </w:r>
    </w:p>
    <w:p w14:paraId="23FD2E4A"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Dlatego też, wszystkie transakcje i korporacyjne restrukturyzacje, które są rozliczane podobnie jak przeniesienie aktywów (tj. w których grupa kreuje lub zwiększa wartość bilansową składnika aktywów), niezależnie od ich formy i od tego, czy mają miejsce w ramach jednostki czy pomiędzy jednostkami, powinny być uznawane za „przeniesienie aktywów” w rozumieniu art. 132 projektu.</w:t>
      </w:r>
    </w:p>
    <w:p w14:paraId="42E5921E"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Przepis ten ma zastosowanie do przeniesienia aktywów pomiędzy jednostkami składowymi grupy, która na moment przeniesienia podlegałaby przepisom ustawy, gdyby ta obowiązywała. Nie ma więc zastosowania, kiedy przeniesienie aktywów następuje w związku z połączeniem lub podziałem, jeżeli dopiero w wyniku tego połączenia lub podziału dana grupa zostałaby objęta zakresem ustawy.</w:t>
      </w:r>
    </w:p>
    <w:p w14:paraId="7C235C71" w14:textId="550F5DC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Artykuł 132 projektu dotyczy również przeniesienia lub domniemanego przeniesienia aktywów w ramach tej samej jednostki. Dla przykładu, w przypadku przeniesienia lokalizacji jednostki (w którym jednostka zwiększa wartość bilansową aktywa dla celów podatkowych lub księgowych) lub zmiany w księgowaniu według wartości godziwej (w której jednostka wykazuje zysk/stratę i koryguje odpowiednio wartość bilansową aktywa), dana jednostka dla celów art. 1</w:t>
      </w:r>
      <w:r w:rsidR="001405C7" w:rsidRPr="00633318">
        <w:rPr>
          <w:rFonts w:ascii="Times New Roman" w:hAnsi="Times New Roman" w:cs="Times New Roman"/>
          <w:sz w:val="24"/>
          <w:szCs w:val="24"/>
        </w:rPr>
        <w:t>3</w:t>
      </w:r>
      <w:r w:rsidRPr="00633318">
        <w:rPr>
          <w:rFonts w:ascii="Times New Roman" w:hAnsi="Times New Roman" w:cs="Times New Roman"/>
          <w:sz w:val="24"/>
          <w:szCs w:val="24"/>
        </w:rPr>
        <w:t>2 projektu jest uważana zarówno za zbywającą, jak i nabywającą.</w:t>
      </w:r>
    </w:p>
    <w:p w14:paraId="739E4931"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Jak wyjaśniono powyżej, intencją przepisu art. 132 projektu jest uniemożliwienie zwykłego ujęcia księgowego transakcji, dokonanej po 30 listopada 2021 r. a przed objęciem przepisami ustawy, w której dochód jest opodatkowany poniżej stawki minimalnej a odpowiednie odliczenia „chronią” przyszłe dochody przed potencjalnym podatkiem wyrównawczym. Pozwolenie na zwykłe ujęcie księgowe takich transakcji podważyłoby integralność Zasad GloBE. </w:t>
      </w:r>
    </w:p>
    <w:p w14:paraId="1A6ADD9B"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Przepis art. 132 projektu rozwiązuje tę kwestię poprzez nałożenie na jednostkę nabywającą obowiązku przyjęcia wartości bilansowej nabywanego aktywa w wysokości wykazanej w księgach jednostki zbywającej lub uniemożliwienie jednostce nabywającej wykorzystania aktywa z tytułu podatku odroczonego powstałego w związku z transakcją, która dla celów Systemu GloBE ma taki sam skutek jak zwiększenie wartości bilansowej.</w:t>
      </w:r>
    </w:p>
    <w:p w14:paraId="10C44014"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W rezultacie, dla celów art. 132 projektu „przeniesienie aktywów” należy interpretować szeroko, obejmując transakcje transgraniczne i krajowe, które z punktu widzenia księgowego są traktowane jak sprzedaż aktywów i stwarzają ryzyko dla integralności Systemu GloBE. W związku z tym, pojęcie „przeniesienie aktywów”, użyte w art. 132 projektu, obejmuje każde przeniesienie praw do rzeczy czy wartości niematerialnej o wartości ekonomicznej (np. własność intelektualna, nieruchomość czy instrument finansowy), w którym jednostka nabywająca kreuje lub zwiększa wartość bilansową aktywa w swoich księgach, a jednostka zbywająca wykazuje odpowiednią kwotę dochodu przed objęciem przepisami ustawy. Zasada ta ma zastosowanie również w przypadku, gdy grupa ujmuje transakcje wewnątrzgrupowe po koszcie nabycia oraz aktywo z tytułu podatku odroczonego, oparte na różnicy pomiędzy wartością bilansową w jednostce przejmującej a podstawą opodatkowania zgodnie z krajowym prawem podatkowym.</w:t>
      </w:r>
    </w:p>
    <w:p w14:paraId="53DAFEA7"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Dla przykładu, art. 132 projektu ma zastosowanie do następujących rodzajów transakcji lub restrukturyzacji wewnątrz grupy:</w:t>
      </w:r>
    </w:p>
    <w:p w14:paraId="13684023"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sprzedaż składnika aktywów;</w:t>
      </w:r>
    </w:p>
    <w:p w14:paraId="21712EAC"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leasing kapitałowy (finansowy), który jest rozliczany w taki sam lub podobny sposób jak zakup składnika aktywów;</w:t>
      </w:r>
    </w:p>
    <w:p w14:paraId="0E18398E"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licencja, która dla celów księgowych jest efektywnie traktowana jak sprzedaż;</w:t>
      </w:r>
    </w:p>
    <w:p w14:paraId="5264B17C"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przeniesienie aktywów poprzez sprzedaż udziału konsolidującego;</w:t>
      </w:r>
    </w:p>
    <w:p w14:paraId="7BF9C506"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zaliczka z tytułu opłaty licencyjnej lub czynszu, w przypadku, gdy licencjodawca/wynajmujący wykazuje zaliczkę jako dochód, a licencjobiorca/najemca kapitalizuje i amortyzuje składnik aktywów w swoich księgach rachunkowych;</w:t>
      </w:r>
    </w:p>
    <w:p w14:paraId="3808755C"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swap na zwrot całkowity (ang. </w:t>
      </w:r>
      <w:r w:rsidRPr="00633318">
        <w:rPr>
          <w:rFonts w:ascii="Times New Roman" w:hAnsi="Times New Roman" w:cs="Times New Roman"/>
          <w:i/>
          <w:iCs/>
          <w:sz w:val="24"/>
          <w:szCs w:val="24"/>
        </w:rPr>
        <w:t>total return swap</w:t>
      </w:r>
      <w:r w:rsidRPr="00633318">
        <w:rPr>
          <w:rFonts w:ascii="Times New Roman" w:hAnsi="Times New Roman" w:cs="Times New Roman"/>
          <w:sz w:val="24"/>
          <w:szCs w:val="24"/>
        </w:rPr>
        <w:t>)</w:t>
      </w:r>
      <w:r w:rsidRPr="00633318">
        <w:rPr>
          <w:rStyle w:val="Odwoanieprzypisudolnego"/>
          <w:rFonts w:ascii="Times New Roman" w:hAnsi="Times New Roman" w:cs="Times New Roman"/>
          <w:sz w:val="24"/>
          <w:szCs w:val="24"/>
        </w:rPr>
        <w:footnoteReference w:id="163"/>
      </w:r>
      <w:r w:rsidRPr="00633318">
        <w:rPr>
          <w:rFonts w:ascii="Times New Roman" w:hAnsi="Times New Roman" w:cs="Times New Roman"/>
          <w:sz w:val="24"/>
          <w:szCs w:val="24"/>
        </w:rPr>
        <w:t>, w ramach którego aktywo bazowe zostaje „przeniesione” do ksiąg rachunkowych jednostki, która nabyła prawa do dochodów i zysków kapitałowych generowanych przez aktywo bazowe;</w:t>
      </w:r>
    </w:p>
    <w:p w14:paraId="378B1FC4"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przeniesienie lokalizacji jednostki/jednostek, w którym grupa dokonuje tzw. step-up’u, tj. podwyższenia wartości przeniesionych aktywów;</w:t>
      </w:r>
    </w:p>
    <w:p w14:paraId="6F4E77C5" w14:textId="77777777" w:rsidR="00BA541D" w:rsidRPr="00633318" w:rsidRDefault="00BA541D" w:rsidP="009E73F7">
      <w:pPr>
        <w:pStyle w:val="Akapitzlist"/>
        <w:numPr>
          <w:ilvl w:val="0"/>
          <w:numId w:val="136"/>
        </w:numPr>
        <w:spacing w:after="120"/>
        <w:jc w:val="both"/>
        <w:rPr>
          <w:rFonts w:ascii="Times New Roman" w:hAnsi="Times New Roman" w:cs="Times New Roman"/>
          <w:sz w:val="24"/>
          <w:szCs w:val="24"/>
        </w:rPr>
      </w:pPr>
      <w:r w:rsidRPr="00633318">
        <w:rPr>
          <w:rFonts w:ascii="Times New Roman" w:hAnsi="Times New Roman" w:cs="Times New Roman"/>
          <w:sz w:val="24"/>
          <w:szCs w:val="24"/>
        </w:rPr>
        <w:t>zmiana w księgowaniu według wartości godziwej, w ramach której jednostka wykazuje odpowiednie zyski lub straty wynikające ze zmian wartości godziwej aktywa i odpowiadające im korekty wartości bilansowej aktywa.</w:t>
      </w:r>
    </w:p>
    <w:p w14:paraId="3055AB0A"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Artykuł 132 projektu ma zastosowanie do transakcji, w których ich księgowy skutek jest, w okresie poprzedzającym objęcie przepisami ustawy, odzwierciedlony w księgach rachunkowych jednostki zbywającej, bez względu na to, czy czynność prawna przeniesienia lub skutki finansowe dla jednostki przejmującej są wykazywane przed lub po objęciu przepisami ustawy.</w:t>
      </w:r>
    </w:p>
    <w:p w14:paraId="618F7CD1"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Artykuł 132 projektu nie ma zastosowania do leasingu, udzielenia licencji ani do swap’u na zwrot całkowity, w przypadku, gdy strony transakcji rozliczają dochody i odpowiadające im pozycje kosztów w tych samych latach podatkowych (tj. gdy dochód udzielającego leasingu lub licencji nie jest wykazywany w większej części na początku okresu rozliczeniowego).</w:t>
      </w:r>
    </w:p>
    <w:p w14:paraId="58B44420"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Ponadto, artykuł ten reguluje zasady określania wartości bilansowej oraz podatku dochodowego w części odroczonej w przypadku przeniesienia aktywów (innych niż zapasy), które nastąpiło pomiędzy 30 listopada 2021 roku i ostatnim dniem roku podatkowego poprzedzającego pierwszy rok, w którym przepisy ustawy mają zastosowanie do grupy, której jednostki składowe dokonały przeniesienia. </w:t>
      </w:r>
    </w:p>
    <w:p w14:paraId="16A6768A"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Jak zostało wskazane, art. 132 projektu przewiduje, że w przypadku takiego przeniesienia (w jakiejkolwiek formie) aktywów (innych niż zapasy) jednostka przejmująca ustala wartość początkową tych aktywów w wysokości wartości bilansowej przyjmowanej przez jednostkę przenoszącą na moment przeniesienia oraz określa podatek dochodowy w części odroczonej na potrzeby ustawy w oparciu o tę wartość bilansową.</w:t>
      </w:r>
    </w:p>
    <w:p w14:paraId="0B1E49BA"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Przez wartość bilansową przyjmowaną przez jednostkę na moment przeniesienia rozumie się wartość bilansową, która:</w:t>
      </w:r>
    </w:p>
    <w:p w14:paraId="23FF23E3" w14:textId="77777777" w:rsidR="00BA541D" w:rsidRPr="00633318" w:rsidRDefault="00BA541D" w:rsidP="009E73F7">
      <w:pPr>
        <w:pStyle w:val="Akapitzlist"/>
        <w:numPr>
          <w:ilvl w:val="0"/>
          <w:numId w:val="137"/>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zostałaby przyjęta przez tę jednostkę, </w:t>
      </w:r>
    </w:p>
    <w:p w14:paraId="0E10819A" w14:textId="77777777" w:rsidR="00BA541D" w:rsidRPr="00633318" w:rsidRDefault="00BA541D" w:rsidP="009E73F7">
      <w:pPr>
        <w:pStyle w:val="Akapitzlist"/>
        <w:numPr>
          <w:ilvl w:val="0"/>
          <w:numId w:val="137"/>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odniesieniu do tego aktywa, </w:t>
      </w:r>
    </w:p>
    <w:p w14:paraId="2A48A506" w14:textId="77777777" w:rsidR="00BA541D" w:rsidRPr="00633318" w:rsidRDefault="00BA541D" w:rsidP="009E73F7">
      <w:pPr>
        <w:pStyle w:val="Akapitzlist"/>
        <w:numPr>
          <w:ilvl w:val="0"/>
          <w:numId w:val="137"/>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dla celów określenia amortyzacji, zysku czy straty na gruncie ustawy. </w:t>
      </w:r>
    </w:p>
    <w:p w14:paraId="3FEF93DF"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art. 132 projektu, jednostka przejmująca określa podatek dochodowy w części odroczonej „w oparciu” o wartość bilansową przyjmowaną przez jednostkę przenoszącą. Oznacza to, że w momencie przeniesienia jednostka przejmująca wykazuje dane aktywo w wysokości przyjmowanej przez jednostkę przenosząca, a następnie wykazuje także zmiany tej wartości zgodnie z przyjmowanym przez siebie standardem rachunkowości, w tym amortyzację czy kapitalizację odsetek. W konsekwencji, oznacza to także, że wartość ta może ulec zmianie w okresie po przeniesieniu a momentem, w którym ta jednostka składowa zostanie objęta zakresem ustawy. </w:t>
      </w:r>
    </w:p>
    <w:p w14:paraId="6508B0CB" w14:textId="2216CD44"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Określenie podatku dochodowego w części odroczonej „w oparciu” o wartość bilansową określoną powyżej oznacza także, że istnieją jednak ograniczenia w jego uwzględnianiu na potrzeby ustawy. Ograniczenia te dotyczą m.in. przypadków, kiedy grupa rozlicza transakcje wewnątrzgrupowe przyjmując, że jednostka przejmująca nabyła składnik aktywów według wartości bilansowej, wykazywanej przez jednostkę przenoszącą na moment zbycia, oraz tworzy aktywo z tytułu odroczonego podatku dochodowego w oparciu o różnicę między tą wartością bilansową a wartością podatkową tego aktywa u jednostki przejmującej oraz stawki podatkowej obowiązującej w </w:t>
      </w:r>
      <w:r w:rsidR="00E677F8" w:rsidRPr="00633318">
        <w:rPr>
          <w:rFonts w:ascii="Times New Roman" w:hAnsi="Times New Roman" w:cs="Times New Roman"/>
          <w:sz w:val="24"/>
          <w:szCs w:val="24"/>
        </w:rPr>
        <w:t xml:space="preserve">jurysdykcji </w:t>
      </w:r>
      <w:r w:rsidRPr="00633318">
        <w:rPr>
          <w:rFonts w:ascii="Times New Roman" w:hAnsi="Times New Roman" w:cs="Times New Roman"/>
          <w:sz w:val="24"/>
          <w:szCs w:val="24"/>
        </w:rPr>
        <w:t xml:space="preserve">jednostki przejmującej. Gdyby grupa mogła uwzględnić aktywo z tytułu odroczonego podatku dochodowego utworzone w związku z przeniesieniem, to w połączeniu z rachunkowym ujęciem w wysokości wartości bilansowej w momencie zbycia (tj. brakiem opodatkowania różnicy między wartością bilansową i wyższą od niej wartością przyjętą dla celów krajowego podatku dochodowego), wpłynęłoby to na zastosowanie ustawy w takim samym stopniu, jak zezwolenie na zwiększenie wartości bilansowej przenoszonego aktywa dla celów ustawy. Przyjęcie wartości bilansowej, wykazywanej przez jednostkę przenoszącą na moment przeniesienia, skutkuje uwzględnieniem tego dochodu w obliczeniach kwalifikowanego dochodu (straty), ale odpowiadająca mu kwota aktywa z tytułu odroczonego podatku dochodowego zostałaby uwzględniona w podatkach kwalifikowanych i w efekcie chroniłaby tę samą kwotę dochodu przed podatkiem wyrównawczym. </w:t>
      </w:r>
    </w:p>
    <w:p w14:paraId="19735356"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Powyższy wynik byłby niezgodny z celem tej regulacji. W związku z tym, gdy zastosowanie ma art. 132 projektu, w pierwszym roku objęcia grupy zakresem ustawy, na potrzeby ustawy wykazuje się jedynie te aktywa lub rezerwy z tytułu odroczonego podatku dochodowego w odniesieniu do przeniesionych aktywów, które istniały w księgach grupy przed przeniesieniem, skorygowane odpowiednio o późniejsze skapitalizowane nakłady, amortyzację i umorzenie oraz, ewentualnie, skorygowane do stawki minimalnej zgodnie z art. 130 projektu. Wszelkie inne aktywa z tytułu odroczonego podatku dochodowego lub rezerwy z tytułu odroczonego podatku dochodowego, wykazywane przez jednostki składowe grupy w wyniku transakcji, są pomijane na gruncie ustawy, z wyjątkiem sytuacji określonych poniżej.</w:t>
      </w:r>
    </w:p>
    <w:p w14:paraId="7850B9D2"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Jednostka przejmująca może uwzględnić składnik aktywów z tytułu odroczonego podatku dochodowego, o ile jednostka przenosząca zapłaciła podatek powstały w związku z przeniesieniem, oraz w zakresie, w jakim aktywo z tytułu podatku odroczonego zostałoby uwzględnione na podstawie art. 130 projektu, ale zostało odwrócone lub nie zostało stworzone przez jednostkę przenoszącą ponieważ zysk z przeniesienia został uwzględniony w opodatkowanym dochodzie jednostki przenoszącej (dalej określane jako „inne skutki podatkowe”). Jeżeli jednostka podlega opodatkowaniu w ramach kapitałowej grupy podatkowej (lub przepisów odpowiadających), regulacje te są stosowane odpowiednio do podatków płaconych przez taką grupę lub innych skutków podatkowych powstających w odniesieniu do takiej grupy. Reguły te mają także zastosowanie w odniesieniu do podatków kwalifikowanych powstających w związku z transakcją, które byłyby alokowane do jednostki przenoszącej zgodnie z oddziałem piątym rozdziału drugiego.</w:t>
      </w:r>
    </w:p>
    <w:p w14:paraId="4BF5943D"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 grupie międzynarodowej lub krajowej spoczywa ciężar dowodu w zakresie kwoty: </w:t>
      </w:r>
    </w:p>
    <w:p w14:paraId="2744D82E" w14:textId="77777777" w:rsidR="00BA541D" w:rsidRPr="00633318" w:rsidRDefault="00BA541D" w:rsidP="009E73F7">
      <w:pPr>
        <w:pStyle w:val="Akapitzlist"/>
        <w:numPr>
          <w:ilvl w:val="0"/>
          <w:numId w:val="138"/>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podatku zapłaconego w związku z przeniesieniem, </w:t>
      </w:r>
    </w:p>
    <w:p w14:paraId="17262565" w14:textId="77777777" w:rsidR="00BA541D" w:rsidRPr="00633318" w:rsidRDefault="00BA541D" w:rsidP="009E73F7">
      <w:pPr>
        <w:pStyle w:val="Akapitzlist"/>
        <w:numPr>
          <w:ilvl w:val="0"/>
          <w:numId w:val="138"/>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innych skutków podatkowych powstałych w związku z przeniesieniem, </w:t>
      </w:r>
    </w:p>
    <w:p w14:paraId="2D754E83" w14:textId="77777777" w:rsidR="00BA541D" w:rsidRPr="00633318" w:rsidRDefault="00BA541D" w:rsidP="009E73F7">
      <w:pPr>
        <w:pStyle w:val="Akapitzlist"/>
        <w:numPr>
          <w:ilvl w:val="0"/>
          <w:numId w:val="138"/>
        </w:numPr>
        <w:spacing w:after="120"/>
        <w:jc w:val="both"/>
        <w:rPr>
          <w:rFonts w:ascii="Times New Roman" w:hAnsi="Times New Roman" w:cs="Times New Roman"/>
          <w:sz w:val="24"/>
          <w:szCs w:val="24"/>
        </w:rPr>
      </w:pPr>
      <w:r w:rsidRPr="00633318">
        <w:rPr>
          <w:rFonts w:ascii="Times New Roman" w:hAnsi="Times New Roman" w:cs="Times New Roman"/>
          <w:sz w:val="24"/>
          <w:szCs w:val="24"/>
        </w:rPr>
        <w:t>podatków kwalifikowanych powstających w związku z transakcją, które byłyby alokowane do jednostki przenoszącej zgodnie z oddziałem piątym rozdziału drugiego.</w:t>
      </w:r>
    </w:p>
    <w:p w14:paraId="0851C19F" w14:textId="77777777" w:rsidR="00BA541D" w:rsidRPr="00633318" w:rsidRDefault="00BA541D" w:rsidP="00BA541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Aktywo z tytułu podatku odroczonego, zawiązane zgodnie z tą regułą, nie może przekroczyć iloczynu minimalnej stawki podatkowej oraz różnicy wartości podatkowej określonej zgodnie z przepisami krajowymi i wartości bilansowej określonej na potrzeby ustawy (zgodnie z powyższymi regułami). Tak powstałe aktywo z tytułu podatku odroczonego nie pomniejsza skorygowanych podatków kwalifikowanych jednostki składowej. Jest ono także corocznie korygowane proporcjonalnie do jakiegokolwiek zmniejszenia wartości bilansowej aktywa w danym roku, przykładowo ze względu na odpisy amortyzacyjne lub umorzeniowe lub odpisy z tytułu trwałej utraty wartości.  </w:t>
      </w:r>
    </w:p>
    <w:p w14:paraId="7C60DC31" w14:textId="480D68A1" w:rsidR="00173906" w:rsidRPr="00633318" w:rsidRDefault="00173906" w:rsidP="00757E0B">
      <w:pPr>
        <w:pStyle w:val="Nagwek2"/>
        <w:rPr>
          <w:rFonts w:ascii="Times New Roman" w:hAnsi="Times New Roman" w:cs="Times New Roman"/>
          <w:sz w:val="24"/>
          <w:szCs w:val="24"/>
        </w:rPr>
      </w:pPr>
      <w:r w:rsidRPr="00633318">
        <w:rPr>
          <w:rFonts w:ascii="Times New Roman" w:hAnsi="Times New Roman" w:cs="Times New Roman"/>
          <w:sz w:val="24"/>
          <w:szCs w:val="24"/>
        </w:rPr>
        <w:t>DZIAŁ X</w:t>
      </w:r>
      <w:r w:rsidR="00451512" w:rsidRPr="00633318">
        <w:rPr>
          <w:rFonts w:ascii="Times New Roman" w:hAnsi="Times New Roman" w:cs="Times New Roman"/>
          <w:sz w:val="24"/>
          <w:szCs w:val="24"/>
        </w:rPr>
        <w:t>I</w:t>
      </w:r>
      <w:r w:rsidR="00757E0B" w:rsidRPr="00633318">
        <w:rPr>
          <w:rFonts w:ascii="Times New Roman" w:hAnsi="Times New Roman" w:cs="Times New Roman"/>
          <w:sz w:val="24"/>
          <w:szCs w:val="24"/>
        </w:rPr>
        <w:t>.</w:t>
      </w:r>
      <w:r w:rsidRPr="00633318">
        <w:rPr>
          <w:rFonts w:ascii="Times New Roman" w:hAnsi="Times New Roman" w:cs="Times New Roman"/>
          <w:sz w:val="24"/>
          <w:szCs w:val="24"/>
        </w:rPr>
        <w:t xml:space="preserve"> Przepisy administracyjne </w:t>
      </w:r>
    </w:p>
    <w:p w14:paraId="3FF62FBC" w14:textId="7239C88E" w:rsidR="0036037E" w:rsidRPr="00633318" w:rsidRDefault="0036037E" w:rsidP="0036037E">
      <w:pPr>
        <w:pStyle w:val="Nagwek5"/>
        <w:rPr>
          <w:rFonts w:ascii="Times New Roman" w:hAnsi="Times New Roman" w:cs="Times New Roman"/>
          <w:sz w:val="24"/>
          <w:szCs w:val="24"/>
        </w:rPr>
      </w:pPr>
      <w:r w:rsidRPr="00633318">
        <w:rPr>
          <w:rFonts w:ascii="Times New Roman" w:hAnsi="Times New Roman" w:cs="Times New Roman"/>
          <w:sz w:val="24"/>
          <w:szCs w:val="24"/>
        </w:rPr>
        <w:t>Art. 1</w:t>
      </w:r>
      <w:r w:rsidR="003C36A1" w:rsidRPr="00633318">
        <w:rPr>
          <w:rFonts w:ascii="Times New Roman" w:hAnsi="Times New Roman" w:cs="Times New Roman"/>
          <w:sz w:val="24"/>
          <w:szCs w:val="24"/>
        </w:rPr>
        <w:t>3</w:t>
      </w:r>
      <w:r w:rsidRPr="00633318">
        <w:rPr>
          <w:rFonts w:ascii="Times New Roman" w:hAnsi="Times New Roman" w:cs="Times New Roman"/>
          <w:sz w:val="24"/>
          <w:szCs w:val="24"/>
        </w:rPr>
        <w:t>3</w:t>
      </w:r>
      <w:r w:rsidR="000C6FEC" w:rsidRPr="00633318">
        <w:rPr>
          <w:rFonts w:ascii="Times New Roman" w:hAnsi="Times New Roman" w:cs="Times New Roman"/>
          <w:sz w:val="24"/>
          <w:szCs w:val="24"/>
        </w:rPr>
        <w:t xml:space="preserve"> [Informacja GloBE]</w:t>
      </w:r>
    </w:p>
    <w:p w14:paraId="62920D72" w14:textId="3591FEC3" w:rsidR="0036037E" w:rsidRPr="00633318" w:rsidRDefault="0036037E" w:rsidP="0036037E">
      <w:pPr>
        <w:spacing w:after="120"/>
        <w:jc w:val="both"/>
        <w:rPr>
          <w:rFonts w:ascii="Times New Roman" w:hAnsi="Times New Roman" w:cs="Times New Roman"/>
          <w:sz w:val="24"/>
          <w:szCs w:val="24"/>
        </w:rPr>
      </w:pPr>
      <w:r w:rsidRPr="00633318">
        <w:rPr>
          <w:rFonts w:ascii="Times New Roman" w:hAnsi="Times New Roman" w:cs="Times New Roman"/>
          <w:iCs/>
          <w:sz w:val="24"/>
          <w:szCs w:val="24"/>
        </w:rPr>
        <w:t>Art. 1</w:t>
      </w:r>
      <w:r w:rsidR="003C36A1" w:rsidRPr="00633318">
        <w:rPr>
          <w:rFonts w:ascii="Times New Roman" w:hAnsi="Times New Roman" w:cs="Times New Roman"/>
          <w:iCs/>
          <w:sz w:val="24"/>
          <w:szCs w:val="24"/>
        </w:rPr>
        <w:t>3</w:t>
      </w:r>
      <w:r w:rsidRPr="00633318">
        <w:rPr>
          <w:rFonts w:ascii="Times New Roman" w:hAnsi="Times New Roman" w:cs="Times New Roman"/>
          <w:iCs/>
          <w:sz w:val="24"/>
          <w:szCs w:val="24"/>
        </w:rPr>
        <w:t xml:space="preserve">3 projektu implementuje art. 44 Dyrektywy dotyczący obowiązku złożenia deklaracji informacyjnej </w:t>
      </w:r>
      <w:r w:rsidRPr="00633318">
        <w:rPr>
          <w:rFonts w:ascii="Times New Roman" w:hAnsi="Times New Roman" w:cs="Times New Roman"/>
          <w:sz w:val="24"/>
          <w:szCs w:val="24"/>
        </w:rPr>
        <w:t>dotyczącej podatku wyrównawczego (</w:t>
      </w:r>
      <w:r w:rsidR="00660F13" w:rsidRPr="00633318">
        <w:rPr>
          <w:rFonts w:ascii="Times New Roman" w:hAnsi="Times New Roman" w:cs="Times New Roman"/>
          <w:sz w:val="24"/>
          <w:szCs w:val="24"/>
        </w:rPr>
        <w:t>określanej jako</w:t>
      </w:r>
      <w:r w:rsidRPr="00633318">
        <w:rPr>
          <w:rFonts w:ascii="Times New Roman" w:hAnsi="Times New Roman" w:cs="Times New Roman"/>
          <w:sz w:val="24"/>
          <w:szCs w:val="24"/>
        </w:rPr>
        <w:t xml:space="preserve"> </w:t>
      </w:r>
      <w:r w:rsidRPr="00633318">
        <w:rPr>
          <w:rFonts w:ascii="Times New Roman" w:hAnsi="Times New Roman" w:cs="Times New Roman"/>
          <w:b/>
          <w:sz w:val="24"/>
          <w:szCs w:val="24"/>
        </w:rPr>
        <w:t xml:space="preserve">Informacja GloBE </w:t>
      </w:r>
      <w:r w:rsidRPr="00633318">
        <w:rPr>
          <w:rFonts w:ascii="Times New Roman" w:hAnsi="Times New Roman" w:cs="Times New Roman"/>
          <w:bCs/>
          <w:sz w:val="24"/>
          <w:szCs w:val="24"/>
        </w:rPr>
        <w:t>lub</w:t>
      </w:r>
      <w:r w:rsidRPr="00633318">
        <w:rPr>
          <w:rFonts w:ascii="Times New Roman" w:hAnsi="Times New Roman" w:cs="Times New Roman"/>
          <w:sz w:val="24"/>
          <w:szCs w:val="24"/>
        </w:rPr>
        <w:t xml:space="preserve"> </w:t>
      </w:r>
      <w:r w:rsidRPr="00633318">
        <w:rPr>
          <w:rFonts w:ascii="Times New Roman" w:hAnsi="Times New Roman" w:cs="Times New Roman"/>
          <w:b/>
          <w:sz w:val="24"/>
          <w:szCs w:val="24"/>
        </w:rPr>
        <w:t>GIR</w:t>
      </w:r>
      <w:r w:rsidR="00660F13" w:rsidRPr="00633318">
        <w:rPr>
          <w:rFonts w:ascii="Times New Roman" w:hAnsi="Times New Roman" w:cs="Times New Roman"/>
          <w:b/>
          <w:sz w:val="24"/>
          <w:szCs w:val="24"/>
        </w:rPr>
        <w:t>,</w:t>
      </w:r>
      <w:r w:rsidRPr="00633318">
        <w:rPr>
          <w:rFonts w:ascii="Times New Roman" w:hAnsi="Times New Roman" w:cs="Times New Roman"/>
          <w:b/>
          <w:sz w:val="24"/>
          <w:szCs w:val="24"/>
        </w:rPr>
        <w:t xml:space="preserve"> </w:t>
      </w:r>
      <w:r w:rsidR="00F85B95" w:rsidRPr="00633318">
        <w:rPr>
          <w:rFonts w:ascii="Times New Roman" w:hAnsi="Times New Roman" w:cs="Times New Roman"/>
          <w:i/>
          <w:sz w:val="24"/>
          <w:szCs w:val="24"/>
        </w:rPr>
        <w:t xml:space="preserve"> ang.</w:t>
      </w:r>
      <w:r w:rsidRPr="00633318">
        <w:rPr>
          <w:rFonts w:ascii="Times New Roman" w:hAnsi="Times New Roman" w:cs="Times New Roman"/>
          <w:i/>
          <w:sz w:val="24"/>
          <w:szCs w:val="24"/>
        </w:rPr>
        <w:t xml:space="preserve"> GloBE Information Return</w:t>
      </w:r>
      <w:r w:rsidRPr="00633318">
        <w:rPr>
          <w:rFonts w:ascii="Times New Roman" w:hAnsi="Times New Roman" w:cs="Times New Roman"/>
          <w:sz w:val="24"/>
          <w:szCs w:val="24"/>
        </w:rPr>
        <w:t xml:space="preserve">). Obowiązek złożenia takiej </w:t>
      </w:r>
      <w:r w:rsidR="00D07F97" w:rsidRPr="00633318">
        <w:rPr>
          <w:rFonts w:ascii="Times New Roman" w:hAnsi="Times New Roman" w:cs="Times New Roman"/>
          <w:sz w:val="24"/>
          <w:szCs w:val="24"/>
        </w:rPr>
        <w:t>i</w:t>
      </w:r>
      <w:r w:rsidRPr="00633318">
        <w:rPr>
          <w:rFonts w:ascii="Times New Roman" w:hAnsi="Times New Roman" w:cs="Times New Roman"/>
          <w:sz w:val="24"/>
          <w:szCs w:val="24"/>
        </w:rPr>
        <w:t xml:space="preserve">nformacji wynika również z art. 8.1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xml:space="preserve"> </w:t>
      </w:r>
      <w:r w:rsidR="00F85B95" w:rsidRPr="00633318">
        <w:rPr>
          <w:rFonts w:ascii="Times New Roman" w:hAnsi="Times New Roman" w:cs="Times New Roman"/>
          <w:sz w:val="24"/>
          <w:szCs w:val="24"/>
        </w:rPr>
        <w:t>OECD</w:t>
      </w:r>
      <w:r w:rsidRPr="00633318">
        <w:rPr>
          <w:rFonts w:ascii="Times New Roman" w:hAnsi="Times New Roman" w:cs="Times New Roman"/>
          <w:sz w:val="24"/>
          <w:szCs w:val="24"/>
        </w:rPr>
        <w:t xml:space="preserve">. </w:t>
      </w:r>
    </w:p>
    <w:p w14:paraId="181AB990" w14:textId="5FCD674B"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Informacja GloBE jest deklaracją, której celem jest dostarczenie administracjom podatkowym danych i informacji niezbędnych do oceny prawidłowości deklarowanych zobowiązań </w:t>
      </w:r>
      <w:r w:rsidR="00355F1E" w:rsidRPr="00633318">
        <w:rPr>
          <w:rFonts w:ascii="Times New Roman" w:hAnsi="Times New Roman" w:cs="Times New Roman"/>
          <w:sz w:val="24"/>
          <w:szCs w:val="24"/>
        </w:rPr>
        <w:t>w obszarze</w:t>
      </w:r>
      <w:r w:rsidRPr="00633318">
        <w:rPr>
          <w:rFonts w:ascii="Times New Roman" w:hAnsi="Times New Roman" w:cs="Times New Roman"/>
          <w:sz w:val="24"/>
          <w:szCs w:val="24"/>
        </w:rPr>
        <w:t xml:space="preserve"> </w:t>
      </w:r>
      <w:r w:rsidR="00355F1E" w:rsidRPr="00633318">
        <w:rPr>
          <w:rFonts w:ascii="Times New Roman" w:hAnsi="Times New Roman" w:cs="Times New Roman"/>
          <w:sz w:val="24"/>
          <w:szCs w:val="24"/>
        </w:rPr>
        <w:t xml:space="preserve">opodatkowania </w:t>
      </w:r>
      <w:r w:rsidRPr="00633318">
        <w:rPr>
          <w:rFonts w:ascii="Times New Roman" w:hAnsi="Times New Roman" w:cs="Times New Roman"/>
          <w:sz w:val="24"/>
          <w:szCs w:val="24"/>
        </w:rPr>
        <w:t>wyrównawczego przez poszczególnych członków (jednostki składowe) grupy międzynarodowej lub dużej grupy krajowej</w:t>
      </w:r>
      <w:r w:rsidR="00F85B95" w:rsidRPr="00633318">
        <w:rPr>
          <w:rFonts w:ascii="Times New Roman" w:hAnsi="Times New Roman" w:cs="Times New Roman"/>
          <w:sz w:val="24"/>
          <w:szCs w:val="24"/>
        </w:rPr>
        <w:t>,</w:t>
      </w:r>
      <w:r w:rsidRPr="00633318">
        <w:rPr>
          <w:rFonts w:ascii="Times New Roman" w:hAnsi="Times New Roman" w:cs="Times New Roman"/>
          <w:sz w:val="24"/>
          <w:szCs w:val="24"/>
        </w:rPr>
        <w:t xml:space="preserve"> bądź zasadności braku opodatkowania danej grupy (we wszystkich lub niektórych </w:t>
      </w:r>
      <w:r w:rsidR="00E677F8" w:rsidRPr="00633318">
        <w:rPr>
          <w:rFonts w:ascii="Times New Roman" w:hAnsi="Times New Roman" w:cs="Times New Roman"/>
          <w:sz w:val="24"/>
          <w:szCs w:val="24"/>
        </w:rPr>
        <w:t>jurysdykcjach</w:t>
      </w:r>
      <w:r w:rsidRPr="00633318">
        <w:rPr>
          <w:rFonts w:ascii="Times New Roman" w:hAnsi="Times New Roman" w:cs="Times New Roman"/>
          <w:sz w:val="24"/>
          <w:szCs w:val="24"/>
        </w:rPr>
        <w:t xml:space="preserve">). Informacja ta będzie składana według ustandaryzowanego wzoru wypracowanego w ramach OECD. W założeniu podlegać ma ona w przyszłości automatycznej wymianie między administracjami podatkowymi, które zawrą stosowaną umowę bilateralną lub wielostronną. </w:t>
      </w:r>
    </w:p>
    <w:p w14:paraId="544D9969" w14:textId="5B829ED7"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Obowiązek złożenia deklaracji jest odrębny od obowiązku złożenia zeznania podatkowego i zapłaty podatku. Zasady określone w art. 44 Dyrektywy (art. 8.1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xml:space="preserve">) nie mają na celu harmonizacji obowiązków w tym zakresie. Tym samym kwestie takie jak termin złożenia zeznań podatkowych dotyczących </w:t>
      </w:r>
      <w:r w:rsidR="00B7668A" w:rsidRPr="00633318">
        <w:rPr>
          <w:rFonts w:ascii="Times New Roman" w:hAnsi="Times New Roman" w:cs="Times New Roman"/>
          <w:sz w:val="24"/>
          <w:szCs w:val="24"/>
        </w:rPr>
        <w:t xml:space="preserve">poszczególnych </w:t>
      </w:r>
      <w:r w:rsidRPr="00633318">
        <w:rPr>
          <w:rFonts w:ascii="Times New Roman" w:hAnsi="Times New Roman" w:cs="Times New Roman"/>
          <w:sz w:val="24"/>
          <w:szCs w:val="24"/>
        </w:rPr>
        <w:t xml:space="preserve">podatków wyrównawczych, płatności odsetek za zwłokę, czy też termin, do jakiego może być przeprowadzona kontrola podatkowa, pozostają w gestii poszczególnych </w:t>
      </w:r>
      <w:r w:rsidR="00E677F8"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w:t>
      </w:r>
    </w:p>
    <w:p w14:paraId="07139DAC" w14:textId="3097673B" w:rsidR="003C36A1"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W ślad za rozwiązaniem wynikającym z art. 44</w:t>
      </w:r>
      <w:r w:rsidR="008B225D" w:rsidRPr="00633318">
        <w:rPr>
          <w:rFonts w:ascii="Times New Roman" w:hAnsi="Times New Roman" w:cs="Times New Roman"/>
          <w:sz w:val="24"/>
          <w:szCs w:val="24"/>
        </w:rPr>
        <w:t>.</w:t>
      </w:r>
      <w:r w:rsidRPr="00633318">
        <w:rPr>
          <w:rFonts w:ascii="Times New Roman" w:hAnsi="Times New Roman" w:cs="Times New Roman"/>
          <w:sz w:val="24"/>
          <w:szCs w:val="24"/>
        </w:rPr>
        <w:t xml:space="preserve">2 akapit pierwszy Dyrektywy, </w:t>
      </w:r>
      <w:r w:rsidRPr="00633318">
        <w:rPr>
          <w:rFonts w:ascii="Times New Roman" w:hAnsi="Times New Roman" w:cs="Times New Roman"/>
          <w:b/>
          <w:sz w:val="24"/>
          <w:szCs w:val="24"/>
        </w:rPr>
        <w:t xml:space="preserve">ust. 1 </w:t>
      </w:r>
      <w:r w:rsidRPr="00633318">
        <w:rPr>
          <w:rFonts w:ascii="Times New Roman" w:hAnsi="Times New Roman" w:cs="Times New Roman"/>
          <w:sz w:val="24"/>
          <w:szCs w:val="24"/>
        </w:rPr>
        <w:t>wprowadza zasadę (</w:t>
      </w:r>
      <w:r w:rsidRPr="00633318">
        <w:rPr>
          <w:rFonts w:ascii="Times New Roman" w:hAnsi="Times New Roman" w:cs="Times New Roman"/>
          <w:i/>
          <w:sz w:val="24"/>
          <w:szCs w:val="24"/>
        </w:rPr>
        <w:t>tzw. local filing</w:t>
      </w:r>
      <w:r w:rsidRPr="00633318">
        <w:rPr>
          <w:rFonts w:ascii="Times New Roman" w:hAnsi="Times New Roman" w:cs="Times New Roman"/>
          <w:sz w:val="24"/>
          <w:szCs w:val="24"/>
        </w:rPr>
        <w:t xml:space="preserve">), zgodnie z którą obowiązek złożenia Informacji GloBE ciąży na każdej jednostce składowej danej </w:t>
      </w:r>
      <w:r w:rsidR="00F85B95" w:rsidRPr="00633318">
        <w:rPr>
          <w:rFonts w:ascii="Times New Roman" w:hAnsi="Times New Roman" w:cs="Times New Roman"/>
          <w:sz w:val="24"/>
          <w:szCs w:val="24"/>
        </w:rPr>
        <w:t>g</w:t>
      </w:r>
      <w:r w:rsidRPr="00633318">
        <w:rPr>
          <w:rFonts w:ascii="Times New Roman" w:hAnsi="Times New Roman" w:cs="Times New Roman"/>
          <w:sz w:val="24"/>
          <w:szCs w:val="24"/>
        </w:rPr>
        <w:t xml:space="preserve">rupy (międzynarodowej lub krajowej). </w:t>
      </w:r>
    </w:p>
    <w:p w14:paraId="5594ABB5" w14:textId="5A2138D8"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Celem zmniejszenia obciążeń administracyjnych związanych z realizacją tak szeroko zakreślonego obowiązku złożenia GIR</w:t>
      </w:r>
      <w:r w:rsidR="00F85B95" w:rsidRPr="00633318">
        <w:rPr>
          <w:rFonts w:ascii="Times New Roman" w:hAnsi="Times New Roman" w:cs="Times New Roman"/>
          <w:sz w:val="24"/>
          <w:szCs w:val="24"/>
        </w:rPr>
        <w:t>,</w:t>
      </w:r>
      <w:r w:rsidRPr="00633318">
        <w:rPr>
          <w:rFonts w:ascii="Times New Roman" w:hAnsi="Times New Roman" w:cs="Times New Roman"/>
          <w:sz w:val="24"/>
          <w:szCs w:val="24"/>
        </w:rPr>
        <w:t xml:space="preserve"> ustawa w dalszych ustępach omawianego artykułu, recypując postanowienia Dyrektywy i </w:t>
      </w:r>
      <w:r w:rsidR="00595132" w:rsidRPr="00633318">
        <w:rPr>
          <w:rFonts w:ascii="Times New Roman" w:hAnsi="Times New Roman" w:cs="Times New Roman"/>
          <w:sz w:val="24"/>
          <w:szCs w:val="24"/>
        </w:rPr>
        <w:t>Modelowych zasad</w:t>
      </w:r>
      <w:r w:rsidR="00F85B95" w:rsidRPr="00633318">
        <w:rPr>
          <w:rFonts w:ascii="Times New Roman" w:hAnsi="Times New Roman" w:cs="Times New Roman"/>
          <w:sz w:val="24"/>
          <w:szCs w:val="24"/>
        </w:rPr>
        <w:t xml:space="preserve"> OECD</w:t>
      </w:r>
      <w:r w:rsidRPr="00633318">
        <w:rPr>
          <w:rFonts w:ascii="Times New Roman" w:hAnsi="Times New Roman" w:cs="Times New Roman"/>
          <w:sz w:val="24"/>
          <w:szCs w:val="24"/>
        </w:rPr>
        <w:t xml:space="preserve">, wprowadza wyjątki od tej podstawowej zasady. Wyjątki te, omówione w dalszej części uzasadnienia, sprowadzają się do zawężenia zakresu </w:t>
      </w:r>
      <w:r w:rsidR="00355F1E" w:rsidRPr="00633318">
        <w:rPr>
          <w:rFonts w:ascii="Times New Roman" w:hAnsi="Times New Roman" w:cs="Times New Roman"/>
          <w:sz w:val="24"/>
          <w:szCs w:val="24"/>
        </w:rPr>
        <w:t xml:space="preserve">jednostek </w:t>
      </w:r>
      <w:r w:rsidRPr="00633318">
        <w:rPr>
          <w:rFonts w:ascii="Times New Roman" w:hAnsi="Times New Roman" w:cs="Times New Roman"/>
          <w:sz w:val="24"/>
          <w:szCs w:val="24"/>
        </w:rPr>
        <w:t xml:space="preserve">zobowiązanych do złożenia GIR. </w:t>
      </w:r>
    </w:p>
    <w:p w14:paraId="438C2901" w14:textId="3CE75CF3" w:rsidR="0036037E" w:rsidRPr="00633318" w:rsidRDefault="0036037E" w:rsidP="0036037E">
      <w:pPr>
        <w:jc w:val="both"/>
        <w:rPr>
          <w:rFonts w:ascii="Times New Roman" w:eastAsia="ArialMT" w:hAnsi="Times New Roman" w:cs="Times New Roman"/>
          <w:sz w:val="24"/>
          <w:szCs w:val="24"/>
        </w:rPr>
      </w:pPr>
      <w:r w:rsidRPr="00633318">
        <w:rPr>
          <w:rFonts w:ascii="Times New Roman" w:eastAsia="ArialMT" w:hAnsi="Times New Roman" w:cs="Times New Roman"/>
          <w:sz w:val="24"/>
          <w:szCs w:val="24"/>
        </w:rPr>
        <w:t xml:space="preserve">Obowiązek, o którym mowa w ust. 1, dotyczy jednostek składowych, które nie są wyłączone z zakresu stosowania ustawy, czyli również położonych w Polsce stałych zakładów jednostek zagranicznych. Tym samym nie dotyczy on jednostek wyłączonych, wskazanych w art. </w:t>
      </w:r>
      <w:r w:rsidR="00E34C4F" w:rsidRPr="00633318">
        <w:rPr>
          <w:rFonts w:ascii="Times New Roman" w:eastAsia="ArialMT" w:hAnsi="Times New Roman" w:cs="Times New Roman"/>
          <w:sz w:val="24"/>
          <w:szCs w:val="24"/>
        </w:rPr>
        <w:t xml:space="preserve">5 </w:t>
      </w:r>
      <w:r w:rsidRPr="00633318">
        <w:rPr>
          <w:rFonts w:ascii="Times New Roman" w:eastAsia="ArialMT" w:hAnsi="Times New Roman" w:cs="Times New Roman"/>
          <w:sz w:val="24"/>
          <w:szCs w:val="24"/>
        </w:rPr>
        <w:t>projektu. Jeżeli zatem cała grupa składać się będzie wyłącznie z jednostek wyłączonych, wówczas w ogóle nie powstanie obowiązek składania GIR.</w:t>
      </w:r>
    </w:p>
    <w:p w14:paraId="730DD491" w14:textId="582448DF" w:rsidR="0036037E" w:rsidRPr="00633318" w:rsidRDefault="0036037E" w:rsidP="0036037E">
      <w:pPr>
        <w:jc w:val="both"/>
        <w:rPr>
          <w:rFonts w:ascii="Times New Roman" w:hAnsi="Times New Roman" w:cs="Times New Roman"/>
          <w:sz w:val="24"/>
          <w:szCs w:val="24"/>
        </w:rPr>
      </w:pPr>
      <w:r w:rsidRPr="00633318">
        <w:rPr>
          <w:rFonts w:ascii="Times New Roman" w:eastAsia="ArialMT" w:hAnsi="Times New Roman" w:cs="Times New Roman"/>
          <w:sz w:val="24"/>
          <w:szCs w:val="24"/>
        </w:rPr>
        <w:t xml:space="preserve">Ponadto, obowiązek złożenia Informacji GloBE nie będzie dotyczył m.in. </w:t>
      </w:r>
      <w:r w:rsidR="00F85B95" w:rsidRPr="00633318">
        <w:rPr>
          <w:rFonts w:ascii="Times New Roman" w:eastAsia="ArialMT" w:hAnsi="Times New Roman" w:cs="Times New Roman"/>
          <w:sz w:val="24"/>
          <w:szCs w:val="24"/>
        </w:rPr>
        <w:t>j</w:t>
      </w:r>
      <w:r w:rsidRPr="00633318">
        <w:rPr>
          <w:rFonts w:ascii="Times New Roman" w:eastAsia="ArialMT" w:hAnsi="Times New Roman" w:cs="Times New Roman"/>
          <w:sz w:val="24"/>
          <w:szCs w:val="24"/>
        </w:rPr>
        <w:t xml:space="preserve">ednostki </w:t>
      </w:r>
      <w:r w:rsidR="00F85B95" w:rsidRPr="00633318">
        <w:rPr>
          <w:rFonts w:ascii="Times New Roman" w:eastAsia="ArialMT" w:hAnsi="Times New Roman" w:cs="Times New Roman"/>
          <w:sz w:val="24"/>
          <w:szCs w:val="24"/>
        </w:rPr>
        <w:t>b</w:t>
      </w:r>
      <w:r w:rsidRPr="00633318">
        <w:rPr>
          <w:rFonts w:ascii="Times New Roman" w:eastAsia="ArialMT" w:hAnsi="Times New Roman" w:cs="Times New Roman"/>
          <w:sz w:val="24"/>
          <w:szCs w:val="24"/>
        </w:rPr>
        <w:t xml:space="preserve">ezpaństwowej, takiej jak </w:t>
      </w:r>
      <w:r w:rsidR="00F85B95" w:rsidRPr="00633318">
        <w:rPr>
          <w:rFonts w:ascii="Times New Roman" w:eastAsia="ArialMT" w:hAnsi="Times New Roman" w:cs="Times New Roman"/>
          <w:sz w:val="24"/>
          <w:szCs w:val="24"/>
        </w:rPr>
        <w:t>j</w:t>
      </w:r>
      <w:r w:rsidRPr="00633318">
        <w:rPr>
          <w:rFonts w:ascii="Times New Roman" w:eastAsia="ArialMT" w:hAnsi="Times New Roman" w:cs="Times New Roman"/>
          <w:sz w:val="24"/>
          <w:szCs w:val="24"/>
        </w:rPr>
        <w:t xml:space="preserve">ednostka </w:t>
      </w:r>
      <w:r w:rsidR="00F85B95" w:rsidRPr="00633318">
        <w:rPr>
          <w:rFonts w:ascii="Times New Roman" w:eastAsia="ArialMT" w:hAnsi="Times New Roman" w:cs="Times New Roman"/>
          <w:sz w:val="24"/>
          <w:szCs w:val="24"/>
        </w:rPr>
        <w:t>p</w:t>
      </w:r>
      <w:r w:rsidRPr="00633318">
        <w:rPr>
          <w:rFonts w:ascii="Times New Roman" w:eastAsia="ArialMT" w:hAnsi="Times New Roman" w:cs="Times New Roman"/>
          <w:sz w:val="24"/>
          <w:szCs w:val="24"/>
        </w:rPr>
        <w:t xml:space="preserve">ośrednicząca niebędąca </w:t>
      </w:r>
      <w:r w:rsidR="00F85B95" w:rsidRPr="00633318">
        <w:rPr>
          <w:rFonts w:ascii="Times New Roman" w:eastAsia="ArialMT" w:hAnsi="Times New Roman" w:cs="Times New Roman"/>
          <w:sz w:val="24"/>
          <w:szCs w:val="24"/>
        </w:rPr>
        <w:t>jednostką dominującą najwyższego szczebla</w:t>
      </w:r>
      <w:r w:rsidRPr="00633318">
        <w:rPr>
          <w:rFonts w:ascii="Times New Roman" w:eastAsia="ArialMT" w:hAnsi="Times New Roman" w:cs="Times New Roman"/>
          <w:sz w:val="24"/>
          <w:szCs w:val="24"/>
        </w:rPr>
        <w:t xml:space="preserve">, tj. nie traktowanej jako rezydent zgodnie z przepisami </w:t>
      </w:r>
      <w:r w:rsidR="00E677F8" w:rsidRPr="00633318">
        <w:rPr>
          <w:rFonts w:ascii="Times New Roman" w:eastAsia="ArialMT" w:hAnsi="Times New Roman" w:cs="Times New Roman"/>
          <w:sz w:val="24"/>
          <w:szCs w:val="24"/>
        </w:rPr>
        <w:t xml:space="preserve">danej </w:t>
      </w:r>
      <w:r w:rsidR="00E677F8" w:rsidRPr="00633318">
        <w:rPr>
          <w:rFonts w:ascii="Times New Roman" w:hAnsi="Times New Roman" w:cs="Times New Roman"/>
          <w:sz w:val="24"/>
          <w:szCs w:val="24"/>
        </w:rPr>
        <w:t>jurysdykcji</w:t>
      </w:r>
      <w:r w:rsidRPr="00633318">
        <w:rPr>
          <w:rFonts w:ascii="Times New Roman" w:eastAsia="ArialMT" w:hAnsi="Times New Roman" w:cs="Times New Roman"/>
          <w:sz w:val="24"/>
          <w:szCs w:val="24"/>
        </w:rPr>
        <w:t xml:space="preserve">. Na gruncie polskich regulacji przykładem takiej jednostki jest transparentna spółka jawna. Jednakże, gdyby taka </w:t>
      </w:r>
      <w:r w:rsidR="00F85B95" w:rsidRPr="00633318">
        <w:rPr>
          <w:rFonts w:ascii="Times New Roman" w:eastAsia="ArialMT" w:hAnsi="Times New Roman" w:cs="Times New Roman"/>
          <w:sz w:val="24"/>
          <w:szCs w:val="24"/>
        </w:rPr>
        <w:t>j</w:t>
      </w:r>
      <w:r w:rsidRPr="00633318">
        <w:rPr>
          <w:rFonts w:ascii="Times New Roman" w:eastAsia="ArialMT" w:hAnsi="Times New Roman" w:cs="Times New Roman"/>
          <w:sz w:val="24"/>
          <w:szCs w:val="24"/>
        </w:rPr>
        <w:t xml:space="preserve">ednostka </w:t>
      </w:r>
      <w:r w:rsidR="00F85B95" w:rsidRPr="00633318">
        <w:rPr>
          <w:rFonts w:ascii="Times New Roman" w:eastAsia="ArialMT" w:hAnsi="Times New Roman" w:cs="Times New Roman"/>
          <w:sz w:val="24"/>
          <w:szCs w:val="24"/>
        </w:rPr>
        <w:t>p</w:t>
      </w:r>
      <w:r w:rsidRPr="00633318">
        <w:rPr>
          <w:rFonts w:ascii="Times New Roman" w:eastAsia="ArialMT" w:hAnsi="Times New Roman" w:cs="Times New Roman"/>
          <w:sz w:val="24"/>
          <w:szCs w:val="24"/>
        </w:rPr>
        <w:t xml:space="preserve">ośrednicząca była </w:t>
      </w:r>
      <w:r w:rsidR="00F85B95" w:rsidRPr="00633318">
        <w:rPr>
          <w:rFonts w:ascii="Times New Roman" w:eastAsia="ArialMT" w:hAnsi="Times New Roman" w:cs="Times New Roman"/>
          <w:sz w:val="24"/>
          <w:szCs w:val="24"/>
        </w:rPr>
        <w:t>jednostką dominującą najwyższego szczebla g</w:t>
      </w:r>
      <w:r w:rsidRPr="00633318">
        <w:rPr>
          <w:rFonts w:ascii="Times New Roman" w:eastAsia="ArialMT" w:hAnsi="Times New Roman" w:cs="Times New Roman"/>
          <w:sz w:val="24"/>
          <w:szCs w:val="24"/>
        </w:rPr>
        <w:t xml:space="preserve">rupy, wówczas – jako posiadająca, zgodnie z zasadami określonymi w projekcie, </w:t>
      </w:r>
      <w:r w:rsidR="0093189B" w:rsidRPr="00633318">
        <w:rPr>
          <w:rFonts w:ascii="Times New Roman" w:eastAsia="ArialMT" w:hAnsi="Times New Roman" w:cs="Times New Roman"/>
          <w:sz w:val="24"/>
          <w:szCs w:val="24"/>
        </w:rPr>
        <w:t xml:space="preserve">lokalizację </w:t>
      </w:r>
      <w:r w:rsidRPr="00633318">
        <w:rPr>
          <w:rFonts w:ascii="Times New Roman" w:eastAsia="ArialMT" w:hAnsi="Times New Roman" w:cs="Times New Roman"/>
          <w:sz w:val="24"/>
          <w:szCs w:val="24"/>
        </w:rPr>
        <w:t xml:space="preserve">w Polsce – będzie ona zobowiązana do złożenia GIR.     </w:t>
      </w:r>
    </w:p>
    <w:p w14:paraId="74A0AA45" w14:textId="2A4BD2EF" w:rsidR="0036037E" w:rsidRPr="00633318" w:rsidRDefault="0036037E" w:rsidP="0036037E">
      <w:pPr>
        <w:jc w:val="both"/>
        <w:rPr>
          <w:rFonts w:ascii="Times New Roman" w:hAnsi="Times New Roman" w:cs="Times New Roman"/>
          <w:sz w:val="24"/>
          <w:szCs w:val="24"/>
        </w:rPr>
      </w:pPr>
      <w:r w:rsidRPr="00633318">
        <w:rPr>
          <w:rFonts w:ascii="Times New Roman" w:eastAsia="ArialMT" w:hAnsi="Times New Roman" w:cs="Times New Roman"/>
          <w:sz w:val="24"/>
          <w:szCs w:val="24"/>
        </w:rPr>
        <w:t xml:space="preserve">Podobnie, obowiązek złożenia Informacji GloBE nie będzie ciążył na jednostce traktowanej jako jednostka joint venture w skonsolidowanym sprawozdaniu finansowym </w:t>
      </w:r>
      <w:r w:rsidR="00F85B95" w:rsidRPr="00633318">
        <w:rPr>
          <w:rFonts w:ascii="Times New Roman" w:eastAsia="ArialMT" w:hAnsi="Times New Roman" w:cs="Times New Roman"/>
          <w:sz w:val="24"/>
          <w:szCs w:val="24"/>
        </w:rPr>
        <w:t>grupy</w:t>
      </w:r>
      <w:r w:rsidRPr="00633318">
        <w:rPr>
          <w:rFonts w:ascii="Times New Roman" w:eastAsia="ArialMT" w:hAnsi="Times New Roman" w:cs="Times New Roman"/>
          <w:sz w:val="24"/>
          <w:szCs w:val="24"/>
        </w:rPr>
        <w:t xml:space="preserve">, ponieważ jednostka taka nie jest jednostką składową </w:t>
      </w:r>
      <w:r w:rsidR="00F85B95" w:rsidRPr="00633318">
        <w:rPr>
          <w:rFonts w:ascii="Times New Roman" w:eastAsia="ArialMT" w:hAnsi="Times New Roman" w:cs="Times New Roman"/>
          <w:sz w:val="24"/>
          <w:szCs w:val="24"/>
        </w:rPr>
        <w:t>grupy</w:t>
      </w:r>
      <w:r w:rsidRPr="00633318">
        <w:rPr>
          <w:rFonts w:ascii="Times New Roman" w:eastAsia="ArialMT" w:hAnsi="Times New Roman" w:cs="Times New Roman"/>
          <w:sz w:val="24"/>
          <w:szCs w:val="24"/>
        </w:rPr>
        <w:t>, mimo że jest traktowana jako taka wyłącznie do celów obliczenia podatku wyrównawczego</w:t>
      </w:r>
      <w:r w:rsidR="0082522D" w:rsidRPr="00633318">
        <w:rPr>
          <w:rFonts w:ascii="Times New Roman" w:eastAsia="ArialMT" w:hAnsi="Times New Roman" w:cs="Times New Roman"/>
          <w:sz w:val="24"/>
          <w:szCs w:val="24"/>
        </w:rPr>
        <w:t xml:space="preserve"> zgodnie z art. 30</w:t>
      </w:r>
      <w:r w:rsidR="00F85B95" w:rsidRPr="00633318">
        <w:rPr>
          <w:rFonts w:ascii="Times New Roman" w:eastAsia="ArialMT" w:hAnsi="Times New Roman" w:cs="Times New Roman"/>
          <w:sz w:val="24"/>
          <w:szCs w:val="24"/>
        </w:rPr>
        <w:t>.</w:t>
      </w:r>
      <w:r w:rsidRPr="00633318">
        <w:rPr>
          <w:rFonts w:ascii="Times New Roman" w:eastAsia="ArialMT" w:hAnsi="Times New Roman" w:cs="Times New Roman"/>
          <w:sz w:val="24"/>
          <w:szCs w:val="24"/>
        </w:rPr>
        <w:t xml:space="preserve"> Z tych samych powodów, jednostka traktowana przez </w:t>
      </w:r>
      <w:r w:rsidR="00F85B95" w:rsidRPr="00633318">
        <w:rPr>
          <w:rFonts w:ascii="Times New Roman" w:eastAsia="ArialMT" w:hAnsi="Times New Roman" w:cs="Times New Roman"/>
          <w:sz w:val="24"/>
          <w:szCs w:val="24"/>
        </w:rPr>
        <w:t>g</w:t>
      </w:r>
      <w:r w:rsidRPr="00633318">
        <w:rPr>
          <w:rFonts w:ascii="Times New Roman" w:eastAsia="ArialMT" w:hAnsi="Times New Roman" w:cs="Times New Roman"/>
          <w:sz w:val="24"/>
          <w:szCs w:val="24"/>
        </w:rPr>
        <w:t xml:space="preserve">rupę jako jednostka zależna jednostki joint venture, nie jest zobowiązana do złożenia Informacji GloBE dla tej </w:t>
      </w:r>
      <w:r w:rsidR="00F85B95" w:rsidRPr="00633318">
        <w:rPr>
          <w:rFonts w:ascii="Times New Roman" w:eastAsia="ArialMT" w:hAnsi="Times New Roman" w:cs="Times New Roman"/>
          <w:sz w:val="24"/>
          <w:szCs w:val="24"/>
        </w:rPr>
        <w:t>g</w:t>
      </w:r>
      <w:r w:rsidRPr="00633318">
        <w:rPr>
          <w:rFonts w:ascii="Times New Roman" w:eastAsia="ArialMT" w:hAnsi="Times New Roman" w:cs="Times New Roman"/>
          <w:sz w:val="24"/>
          <w:szCs w:val="24"/>
        </w:rPr>
        <w:t>rupy.</w:t>
      </w:r>
    </w:p>
    <w:p w14:paraId="52B112F9" w14:textId="372E1E75"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Ustalony wzór Informacji</w:t>
      </w:r>
      <w:r w:rsidR="00F85B95" w:rsidRPr="00633318">
        <w:rPr>
          <w:rFonts w:ascii="Times New Roman" w:hAnsi="Times New Roman" w:cs="Times New Roman"/>
          <w:sz w:val="24"/>
          <w:szCs w:val="24"/>
        </w:rPr>
        <w:t xml:space="preserve"> GloBE</w:t>
      </w:r>
      <w:r w:rsidR="003C36A1" w:rsidRPr="00633318">
        <w:rPr>
          <w:rFonts w:ascii="Times New Roman" w:hAnsi="Times New Roman" w:cs="Times New Roman"/>
          <w:sz w:val="24"/>
          <w:szCs w:val="24"/>
        </w:rPr>
        <w:t xml:space="preserve"> </w:t>
      </w:r>
      <w:r w:rsidRPr="00633318">
        <w:rPr>
          <w:rFonts w:ascii="Times New Roman" w:hAnsi="Times New Roman" w:cs="Times New Roman"/>
          <w:sz w:val="24"/>
          <w:szCs w:val="24"/>
        </w:rPr>
        <w:t>to transponowany na grunt krajowy ustandaryzowany na poziomie OECD wzór GIR</w:t>
      </w:r>
      <w:r w:rsidR="003C36A1" w:rsidRPr="00633318">
        <w:rPr>
          <w:rFonts w:ascii="Times New Roman" w:hAnsi="Times New Roman" w:cs="Times New Roman"/>
          <w:sz w:val="24"/>
          <w:szCs w:val="24"/>
        </w:rPr>
        <w:t xml:space="preserve"> (tzw. </w:t>
      </w:r>
      <w:r w:rsidR="00130CE6" w:rsidRPr="00633318">
        <w:rPr>
          <w:rFonts w:ascii="Times New Roman" w:hAnsi="Times New Roman" w:cs="Times New Roman"/>
          <w:sz w:val="24"/>
          <w:szCs w:val="24"/>
        </w:rPr>
        <w:t>S</w:t>
      </w:r>
      <w:r w:rsidR="003C36A1" w:rsidRPr="00633318">
        <w:rPr>
          <w:rFonts w:ascii="Times New Roman" w:hAnsi="Times New Roman" w:cs="Times New Roman"/>
          <w:sz w:val="24"/>
          <w:szCs w:val="24"/>
        </w:rPr>
        <w:t>chema)</w:t>
      </w:r>
      <w:r w:rsidRPr="00633318">
        <w:rPr>
          <w:rFonts w:ascii="Times New Roman" w:hAnsi="Times New Roman" w:cs="Times New Roman"/>
          <w:sz w:val="24"/>
          <w:szCs w:val="24"/>
        </w:rPr>
        <w:t xml:space="preserve">, którego zawartość i układ będą jednolite dla wszystkich </w:t>
      </w:r>
      <w:r w:rsidR="00E677F8"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celem zapewnienia przyszłej wymiany między organami podatkowymi poszczególnych </w:t>
      </w:r>
      <w:r w:rsidR="00E677F8"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w których znajdują się jednostki składowe danej </w:t>
      </w:r>
      <w:r w:rsidR="00F85B95" w:rsidRPr="00633318">
        <w:rPr>
          <w:rFonts w:ascii="Times New Roman" w:hAnsi="Times New Roman" w:cs="Times New Roman"/>
          <w:sz w:val="24"/>
          <w:szCs w:val="24"/>
        </w:rPr>
        <w:t>g</w:t>
      </w:r>
      <w:r w:rsidRPr="00633318">
        <w:rPr>
          <w:rFonts w:ascii="Times New Roman" w:hAnsi="Times New Roman" w:cs="Times New Roman"/>
          <w:sz w:val="24"/>
          <w:szCs w:val="24"/>
        </w:rPr>
        <w:t>rupy. Z tego względu Informacja</w:t>
      </w:r>
      <w:r w:rsidR="00F85B95" w:rsidRPr="00633318">
        <w:rPr>
          <w:rFonts w:ascii="Times New Roman" w:hAnsi="Times New Roman" w:cs="Times New Roman"/>
          <w:sz w:val="24"/>
          <w:szCs w:val="24"/>
        </w:rPr>
        <w:t xml:space="preserve"> GloBE</w:t>
      </w:r>
      <w:r w:rsidRPr="00633318">
        <w:rPr>
          <w:rFonts w:ascii="Times New Roman" w:hAnsi="Times New Roman" w:cs="Times New Roman"/>
          <w:sz w:val="24"/>
          <w:szCs w:val="24"/>
        </w:rPr>
        <w:t xml:space="preserve"> ma charakter uniwersalny i obejmuje swym zakresem dane odnoszące się każdego z rodzajów podatku wyrównawczego przewidzianego</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niniejszym projektem. </w:t>
      </w:r>
    </w:p>
    <w:p w14:paraId="6E31C8AD" w14:textId="37CC17FF"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Termin na złożenie takiej deklaracji, co do zasady, upłynie z końcem piętnastego miesiąca </w:t>
      </w:r>
      <w:bookmarkStart w:id="117" w:name="_Hlk153999160"/>
      <w:r w:rsidRPr="00633318">
        <w:rPr>
          <w:rFonts w:ascii="Times New Roman" w:hAnsi="Times New Roman" w:cs="Times New Roman"/>
          <w:sz w:val="24"/>
          <w:szCs w:val="24"/>
        </w:rPr>
        <w:t>(bezpośrednio) następującego po zakończeniu danego roku podatkowego</w:t>
      </w:r>
      <w:bookmarkEnd w:id="117"/>
      <w:r w:rsidRPr="00633318">
        <w:rPr>
          <w:rFonts w:ascii="Times New Roman" w:hAnsi="Times New Roman" w:cs="Times New Roman"/>
          <w:sz w:val="24"/>
          <w:szCs w:val="24"/>
        </w:rPr>
        <w:t>. Wyjątek w tym zakresie</w:t>
      </w:r>
      <w:r w:rsidR="003C36A1" w:rsidRPr="00633318">
        <w:rPr>
          <w:rFonts w:ascii="Times New Roman" w:hAnsi="Times New Roman" w:cs="Times New Roman"/>
          <w:sz w:val="24"/>
          <w:szCs w:val="24"/>
        </w:rPr>
        <w:t xml:space="preserve">, ujęty w </w:t>
      </w:r>
      <w:r w:rsidR="003C36A1" w:rsidRPr="00633318">
        <w:rPr>
          <w:rFonts w:ascii="Times New Roman" w:hAnsi="Times New Roman" w:cs="Times New Roman"/>
          <w:b/>
          <w:bCs/>
          <w:sz w:val="24"/>
          <w:szCs w:val="24"/>
        </w:rPr>
        <w:t>ust. 10</w:t>
      </w:r>
      <w:r w:rsidR="003C36A1" w:rsidRPr="00633318">
        <w:rPr>
          <w:rFonts w:ascii="Times New Roman" w:hAnsi="Times New Roman" w:cs="Times New Roman"/>
          <w:sz w:val="24"/>
          <w:szCs w:val="24"/>
        </w:rPr>
        <w:t xml:space="preserve"> niniejszego artykułu,</w:t>
      </w:r>
      <w:r w:rsidRPr="00633318">
        <w:rPr>
          <w:rFonts w:ascii="Times New Roman" w:hAnsi="Times New Roman" w:cs="Times New Roman"/>
          <w:sz w:val="24"/>
          <w:szCs w:val="24"/>
        </w:rPr>
        <w:t xml:space="preserve"> dotyczy pierwszego roku podatkowego stosowania ustawy</w:t>
      </w:r>
      <w:r w:rsidR="003C36A1" w:rsidRPr="00633318">
        <w:rPr>
          <w:rFonts w:ascii="Times New Roman" w:hAnsi="Times New Roman" w:cs="Times New Roman"/>
          <w:sz w:val="24"/>
          <w:szCs w:val="24"/>
        </w:rPr>
        <w:t xml:space="preserve"> przez daną grupę</w:t>
      </w:r>
      <w:r w:rsidRPr="00633318">
        <w:rPr>
          <w:rFonts w:ascii="Times New Roman" w:hAnsi="Times New Roman" w:cs="Times New Roman"/>
          <w:sz w:val="24"/>
          <w:szCs w:val="24"/>
        </w:rPr>
        <w:t xml:space="preserve">. </w:t>
      </w:r>
      <w:r w:rsidR="003C36A1" w:rsidRPr="00633318">
        <w:rPr>
          <w:rFonts w:ascii="Times New Roman" w:hAnsi="Times New Roman" w:cs="Times New Roman"/>
          <w:sz w:val="24"/>
          <w:szCs w:val="24"/>
        </w:rPr>
        <w:t>Informacja GloBE za taki rok będzie składana do końca 18 miesiąca po zakończeniu roku podatkowego. Rozwiązanie to</w:t>
      </w:r>
      <w:r w:rsidRPr="00633318">
        <w:rPr>
          <w:rFonts w:ascii="Times New Roman" w:hAnsi="Times New Roman" w:cs="Times New Roman"/>
          <w:sz w:val="24"/>
          <w:szCs w:val="24"/>
        </w:rPr>
        <w:t xml:space="preserve"> implementuj</w:t>
      </w:r>
      <w:r w:rsidR="003C36A1" w:rsidRPr="00633318">
        <w:rPr>
          <w:rFonts w:ascii="Times New Roman" w:hAnsi="Times New Roman" w:cs="Times New Roman"/>
          <w:sz w:val="24"/>
          <w:szCs w:val="24"/>
        </w:rPr>
        <w:t>e</w:t>
      </w:r>
      <w:r w:rsidRPr="00633318">
        <w:rPr>
          <w:rFonts w:ascii="Times New Roman" w:hAnsi="Times New Roman" w:cs="Times New Roman"/>
          <w:sz w:val="24"/>
          <w:szCs w:val="24"/>
        </w:rPr>
        <w:t xml:space="preserve"> art. 51 Dyrektywy</w:t>
      </w:r>
      <w:r w:rsidR="003C36A1"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p>
    <w:p w14:paraId="06EC761C" w14:textId="322E4A0C"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b/>
          <w:bCs/>
          <w:sz w:val="24"/>
          <w:szCs w:val="24"/>
        </w:rPr>
        <w:t xml:space="preserve">Ust. </w:t>
      </w:r>
      <w:r w:rsidR="0082522D" w:rsidRPr="00633318">
        <w:rPr>
          <w:rFonts w:ascii="Times New Roman" w:hAnsi="Times New Roman" w:cs="Times New Roman"/>
          <w:b/>
          <w:bCs/>
          <w:sz w:val="24"/>
          <w:szCs w:val="24"/>
        </w:rPr>
        <w:t>2</w:t>
      </w:r>
      <w:r w:rsidRPr="00633318">
        <w:rPr>
          <w:rFonts w:ascii="Times New Roman" w:hAnsi="Times New Roman" w:cs="Times New Roman"/>
          <w:sz w:val="24"/>
          <w:szCs w:val="24"/>
        </w:rPr>
        <w:t xml:space="preserve"> omawianego artykułu przewiduje, że Informacja GloBE będzie składana za pośrednictwem środków komunikacji elektronicznej. Wzór tej Informacji zostanie udostępniony w Biuletynie Informacji Publicznej </w:t>
      </w:r>
      <w:r w:rsidR="00BC02C1" w:rsidRPr="00633318">
        <w:rPr>
          <w:rFonts w:ascii="Times New Roman" w:hAnsi="Times New Roman" w:cs="Times New Roman"/>
          <w:sz w:val="24"/>
          <w:szCs w:val="24"/>
        </w:rPr>
        <w:t xml:space="preserve">(‘BIP’) </w:t>
      </w:r>
      <w:r w:rsidRPr="00633318">
        <w:rPr>
          <w:rFonts w:ascii="Times New Roman" w:hAnsi="Times New Roman" w:cs="Times New Roman"/>
          <w:sz w:val="24"/>
          <w:szCs w:val="24"/>
        </w:rPr>
        <w:t>przez ministra właściwego do spraw finansów publicznych.</w:t>
      </w:r>
    </w:p>
    <w:p w14:paraId="387BBAF5" w14:textId="306B1DA8"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b/>
          <w:bCs/>
          <w:sz w:val="24"/>
          <w:szCs w:val="24"/>
        </w:rPr>
        <w:t xml:space="preserve">Ust. </w:t>
      </w:r>
      <w:r w:rsidR="0082522D" w:rsidRPr="00633318">
        <w:rPr>
          <w:rFonts w:ascii="Times New Roman" w:hAnsi="Times New Roman" w:cs="Times New Roman"/>
          <w:b/>
          <w:bCs/>
          <w:sz w:val="24"/>
          <w:szCs w:val="24"/>
        </w:rPr>
        <w:t>3</w:t>
      </w:r>
      <w:r w:rsidRPr="00633318">
        <w:rPr>
          <w:rFonts w:ascii="Times New Roman" w:hAnsi="Times New Roman" w:cs="Times New Roman"/>
          <w:sz w:val="24"/>
          <w:szCs w:val="24"/>
        </w:rPr>
        <w:t xml:space="preserve"> wprowadza odstępstwa od generalnej zasady, wyrażonej w ust. 1, dotyczącej obowiązku samodzielnego złożenia Informacji GloBE przez każdą jednostkę składową. Zgodnie z tym przepisem w przypadku, gdy na terytorium Rzeczypospolitej Polskiej swoją </w:t>
      </w:r>
      <w:r w:rsidR="0093189B" w:rsidRPr="00633318">
        <w:rPr>
          <w:rFonts w:ascii="Times New Roman" w:hAnsi="Times New Roman" w:cs="Times New Roman"/>
          <w:sz w:val="24"/>
          <w:szCs w:val="24"/>
        </w:rPr>
        <w:t xml:space="preserve">lokalizację </w:t>
      </w:r>
      <w:r w:rsidRPr="00633318">
        <w:rPr>
          <w:rFonts w:ascii="Times New Roman" w:hAnsi="Times New Roman" w:cs="Times New Roman"/>
          <w:sz w:val="24"/>
          <w:szCs w:val="24"/>
        </w:rPr>
        <w:t xml:space="preserve">posiadać będą co najmniej dwie jednostki składowe tej samej </w:t>
      </w:r>
      <w:r w:rsidR="00F85B95" w:rsidRPr="00633318">
        <w:rPr>
          <w:rFonts w:ascii="Times New Roman" w:hAnsi="Times New Roman" w:cs="Times New Roman"/>
          <w:sz w:val="24"/>
          <w:szCs w:val="24"/>
        </w:rPr>
        <w:t>grupy</w:t>
      </w:r>
      <w:r w:rsidRPr="00633318">
        <w:rPr>
          <w:rFonts w:ascii="Times New Roman" w:hAnsi="Times New Roman" w:cs="Times New Roman"/>
          <w:sz w:val="24"/>
          <w:szCs w:val="24"/>
        </w:rPr>
        <w:t>, jednostki te będą mogły wyznaczyć spośród siebie jedną jednostkę, która będzie w ich imieniu realizowała obowiązek złożenia GIR. Ustawa określa taką jednostkę jako „</w:t>
      </w:r>
      <w:r w:rsidR="003212E2" w:rsidRPr="00633318">
        <w:rPr>
          <w:rFonts w:ascii="Times New Roman" w:hAnsi="Times New Roman" w:cs="Times New Roman"/>
          <w:b/>
          <w:bCs/>
          <w:sz w:val="24"/>
          <w:szCs w:val="24"/>
        </w:rPr>
        <w:t>w</w:t>
      </w:r>
      <w:r w:rsidRPr="00633318">
        <w:rPr>
          <w:rFonts w:ascii="Times New Roman" w:hAnsi="Times New Roman" w:cs="Times New Roman"/>
          <w:b/>
          <w:bCs/>
          <w:sz w:val="24"/>
          <w:szCs w:val="24"/>
        </w:rPr>
        <w:t xml:space="preserve">yznaczoną </w:t>
      </w:r>
      <w:r w:rsidR="00F85B95" w:rsidRPr="00633318">
        <w:rPr>
          <w:rFonts w:ascii="Times New Roman" w:hAnsi="Times New Roman" w:cs="Times New Roman"/>
          <w:b/>
          <w:bCs/>
          <w:sz w:val="24"/>
          <w:szCs w:val="24"/>
        </w:rPr>
        <w:t>j</w:t>
      </w:r>
      <w:r w:rsidRPr="00633318">
        <w:rPr>
          <w:rFonts w:ascii="Times New Roman" w:hAnsi="Times New Roman" w:cs="Times New Roman"/>
          <w:b/>
          <w:bCs/>
          <w:sz w:val="24"/>
          <w:szCs w:val="24"/>
        </w:rPr>
        <w:t xml:space="preserve">ednostkę </w:t>
      </w:r>
      <w:r w:rsidR="003212E2" w:rsidRPr="00633318">
        <w:rPr>
          <w:rFonts w:ascii="Times New Roman" w:hAnsi="Times New Roman" w:cs="Times New Roman"/>
          <w:b/>
          <w:bCs/>
          <w:sz w:val="24"/>
          <w:szCs w:val="24"/>
        </w:rPr>
        <w:t>k</w:t>
      </w:r>
      <w:r w:rsidRPr="00633318">
        <w:rPr>
          <w:rFonts w:ascii="Times New Roman" w:hAnsi="Times New Roman" w:cs="Times New Roman"/>
          <w:b/>
          <w:bCs/>
          <w:sz w:val="24"/>
          <w:szCs w:val="24"/>
        </w:rPr>
        <w:t>rajową</w:t>
      </w:r>
      <w:r w:rsidRPr="00633318">
        <w:rPr>
          <w:rFonts w:ascii="Times New Roman" w:hAnsi="Times New Roman" w:cs="Times New Roman"/>
          <w:sz w:val="24"/>
          <w:szCs w:val="24"/>
        </w:rPr>
        <w:t>” (</w:t>
      </w:r>
      <w:r w:rsidR="00F85B95" w:rsidRPr="00633318">
        <w:rPr>
          <w:rFonts w:ascii="Times New Roman" w:hAnsi="Times New Roman" w:cs="Times New Roman"/>
          <w:bCs/>
          <w:sz w:val="24"/>
          <w:szCs w:val="24"/>
        </w:rPr>
        <w:t>ang.</w:t>
      </w:r>
      <w:r w:rsidRPr="00633318">
        <w:rPr>
          <w:rFonts w:ascii="Times New Roman" w:hAnsi="Times New Roman" w:cs="Times New Roman"/>
          <w:sz w:val="24"/>
          <w:szCs w:val="24"/>
        </w:rPr>
        <w:t xml:space="preserve"> </w:t>
      </w:r>
      <w:r w:rsidR="00F85B95" w:rsidRPr="00633318">
        <w:rPr>
          <w:rFonts w:ascii="Times New Roman" w:hAnsi="Times New Roman" w:cs="Times New Roman"/>
          <w:i/>
          <w:sz w:val="24"/>
          <w:szCs w:val="24"/>
        </w:rPr>
        <w:t>d</w:t>
      </w:r>
      <w:r w:rsidRPr="00633318">
        <w:rPr>
          <w:rFonts w:ascii="Times New Roman" w:hAnsi="Times New Roman" w:cs="Times New Roman"/>
          <w:i/>
          <w:sz w:val="24"/>
          <w:szCs w:val="24"/>
        </w:rPr>
        <w:t xml:space="preserve">esignated </w:t>
      </w:r>
      <w:r w:rsidR="00F85B95" w:rsidRPr="00633318">
        <w:rPr>
          <w:rFonts w:ascii="Times New Roman" w:hAnsi="Times New Roman" w:cs="Times New Roman"/>
          <w:i/>
          <w:sz w:val="24"/>
          <w:szCs w:val="24"/>
        </w:rPr>
        <w:t>l</w:t>
      </w:r>
      <w:r w:rsidRPr="00633318">
        <w:rPr>
          <w:rFonts w:ascii="Times New Roman" w:hAnsi="Times New Roman" w:cs="Times New Roman"/>
          <w:i/>
          <w:sz w:val="24"/>
          <w:szCs w:val="24"/>
        </w:rPr>
        <w:t xml:space="preserve">ocal </w:t>
      </w:r>
      <w:r w:rsidR="00F85B95" w:rsidRPr="00633318">
        <w:rPr>
          <w:rFonts w:ascii="Times New Roman" w:hAnsi="Times New Roman" w:cs="Times New Roman"/>
          <w:i/>
          <w:sz w:val="24"/>
          <w:szCs w:val="24"/>
        </w:rPr>
        <w:t>e</w:t>
      </w:r>
      <w:r w:rsidRPr="00633318">
        <w:rPr>
          <w:rFonts w:ascii="Times New Roman" w:hAnsi="Times New Roman" w:cs="Times New Roman"/>
          <w:i/>
          <w:sz w:val="24"/>
          <w:szCs w:val="24"/>
        </w:rPr>
        <w:t>ntity</w:t>
      </w:r>
      <w:r w:rsidRPr="00633318">
        <w:rPr>
          <w:rFonts w:ascii="Times New Roman" w:hAnsi="Times New Roman" w:cs="Times New Roman"/>
          <w:sz w:val="24"/>
          <w:szCs w:val="24"/>
        </w:rPr>
        <w:t xml:space="preserve">). Jakkolwiek Dyrektywa nie wskazuje na sposób wyznaczenia (upoważnienia) takiej jednostki przez pozostałe jednostki składowe </w:t>
      </w:r>
      <w:r w:rsidR="00F85B95" w:rsidRPr="00633318">
        <w:rPr>
          <w:rFonts w:ascii="Times New Roman" w:hAnsi="Times New Roman" w:cs="Times New Roman"/>
          <w:sz w:val="24"/>
          <w:szCs w:val="24"/>
        </w:rPr>
        <w:t>g</w:t>
      </w:r>
      <w:r w:rsidRPr="00633318">
        <w:rPr>
          <w:rFonts w:ascii="Times New Roman" w:hAnsi="Times New Roman" w:cs="Times New Roman"/>
          <w:sz w:val="24"/>
          <w:szCs w:val="24"/>
        </w:rPr>
        <w:t xml:space="preserve">rupy, dla celów dowodowych i zwiększenia pewności uzasadnione jest, aby czynność ta została dokonana w formie pisemnej. Złożenie Informacji GloBE przez </w:t>
      </w:r>
      <w:r w:rsidR="00F85B95" w:rsidRPr="00633318">
        <w:rPr>
          <w:rFonts w:ascii="Times New Roman" w:hAnsi="Times New Roman" w:cs="Times New Roman"/>
          <w:sz w:val="24"/>
          <w:szCs w:val="24"/>
        </w:rPr>
        <w:t>w</w:t>
      </w:r>
      <w:r w:rsidRPr="00633318">
        <w:rPr>
          <w:rFonts w:ascii="Times New Roman" w:hAnsi="Times New Roman" w:cs="Times New Roman"/>
          <w:sz w:val="24"/>
          <w:szCs w:val="24"/>
        </w:rPr>
        <w:t xml:space="preserve">yznaczoną </w:t>
      </w:r>
      <w:r w:rsidR="00F85B95" w:rsidRPr="00633318">
        <w:rPr>
          <w:rFonts w:ascii="Times New Roman" w:hAnsi="Times New Roman" w:cs="Times New Roman"/>
          <w:sz w:val="24"/>
          <w:szCs w:val="24"/>
        </w:rPr>
        <w:t>j</w:t>
      </w:r>
      <w:r w:rsidRPr="00633318">
        <w:rPr>
          <w:rFonts w:ascii="Times New Roman" w:hAnsi="Times New Roman" w:cs="Times New Roman"/>
          <w:sz w:val="24"/>
          <w:szCs w:val="24"/>
        </w:rPr>
        <w:t xml:space="preserve">ednostkę </w:t>
      </w:r>
      <w:r w:rsidR="00F85B95" w:rsidRPr="00633318">
        <w:rPr>
          <w:rFonts w:ascii="Times New Roman" w:hAnsi="Times New Roman" w:cs="Times New Roman"/>
          <w:sz w:val="24"/>
          <w:szCs w:val="24"/>
        </w:rPr>
        <w:t xml:space="preserve">krajową </w:t>
      </w:r>
      <w:r w:rsidRPr="00633318">
        <w:rPr>
          <w:rFonts w:ascii="Times New Roman" w:hAnsi="Times New Roman" w:cs="Times New Roman"/>
          <w:sz w:val="24"/>
          <w:szCs w:val="24"/>
        </w:rPr>
        <w:t xml:space="preserve">zwalnia z tego obowiązku pozostałe jednostki składowe </w:t>
      </w:r>
      <w:r w:rsidR="00F85B95" w:rsidRPr="00633318">
        <w:rPr>
          <w:rFonts w:ascii="Times New Roman" w:hAnsi="Times New Roman" w:cs="Times New Roman"/>
          <w:sz w:val="24"/>
          <w:szCs w:val="24"/>
        </w:rPr>
        <w:t>grupy</w:t>
      </w:r>
      <w:r w:rsidRPr="00633318">
        <w:rPr>
          <w:rFonts w:ascii="Times New Roman" w:hAnsi="Times New Roman" w:cs="Times New Roman"/>
          <w:sz w:val="24"/>
          <w:szCs w:val="24"/>
        </w:rPr>
        <w:t xml:space="preserve">, w imieniu których działała </w:t>
      </w:r>
      <w:r w:rsidR="00F85B95" w:rsidRPr="00633318">
        <w:rPr>
          <w:rFonts w:ascii="Times New Roman" w:hAnsi="Times New Roman" w:cs="Times New Roman"/>
          <w:sz w:val="24"/>
          <w:szCs w:val="24"/>
        </w:rPr>
        <w:t>ta jednostka</w:t>
      </w:r>
      <w:r w:rsidRPr="00633318">
        <w:rPr>
          <w:rFonts w:ascii="Times New Roman" w:hAnsi="Times New Roman" w:cs="Times New Roman"/>
          <w:sz w:val="24"/>
          <w:szCs w:val="24"/>
        </w:rPr>
        <w:t xml:space="preserve">, a także jest równoznaczne z wykonaniem tego obowiązku przez jednostkę składową będącą </w:t>
      </w:r>
      <w:r w:rsidR="00F85B95" w:rsidRPr="00633318">
        <w:rPr>
          <w:rFonts w:ascii="Times New Roman" w:hAnsi="Times New Roman" w:cs="Times New Roman"/>
          <w:sz w:val="24"/>
          <w:szCs w:val="24"/>
        </w:rPr>
        <w:t xml:space="preserve">wyznaczoną jednostką krajową </w:t>
      </w:r>
      <w:r w:rsidRPr="00633318">
        <w:rPr>
          <w:rFonts w:ascii="Times New Roman" w:hAnsi="Times New Roman" w:cs="Times New Roman"/>
          <w:sz w:val="24"/>
          <w:szCs w:val="24"/>
        </w:rPr>
        <w:t xml:space="preserve">(w tym zakresie </w:t>
      </w:r>
      <w:r w:rsidR="00F85B95" w:rsidRPr="00633318">
        <w:rPr>
          <w:rFonts w:ascii="Times New Roman" w:hAnsi="Times New Roman" w:cs="Times New Roman"/>
          <w:sz w:val="24"/>
          <w:szCs w:val="24"/>
        </w:rPr>
        <w:t xml:space="preserve">jednostka ta </w:t>
      </w:r>
      <w:r w:rsidRPr="00633318">
        <w:rPr>
          <w:rFonts w:ascii="Times New Roman" w:hAnsi="Times New Roman" w:cs="Times New Roman"/>
          <w:sz w:val="24"/>
          <w:szCs w:val="24"/>
        </w:rPr>
        <w:t xml:space="preserve">nie potrzebuje upoważnienia „dla samej siebie”). Należy zaznaczyć, iż </w:t>
      </w:r>
      <w:r w:rsidR="00F85B95" w:rsidRPr="00633318">
        <w:rPr>
          <w:rFonts w:ascii="Times New Roman" w:hAnsi="Times New Roman" w:cs="Times New Roman"/>
          <w:sz w:val="24"/>
          <w:szCs w:val="24"/>
        </w:rPr>
        <w:t xml:space="preserve">wyznaczona jednostka krajowa </w:t>
      </w:r>
      <w:r w:rsidRPr="00633318">
        <w:rPr>
          <w:rFonts w:ascii="Times New Roman" w:hAnsi="Times New Roman" w:cs="Times New Roman"/>
          <w:sz w:val="24"/>
          <w:szCs w:val="24"/>
        </w:rPr>
        <w:t xml:space="preserve">może być upoważniona dodatkowo do złożenia zawiadomienia, o którym mowa w ust. 7. </w:t>
      </w:r>
    </w:p>
    <w:p w14:paraId="7DC017FA" w14:textId="4739AAB8"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Kierując się celowościową wykładnią </w:t>
      </w:r>
      <w:r w:rsidR="008B225D" w:rsidRPr="00633318">
        <w:rPr>
          <w:rFonts w:ascii="Times New Roman" w:hAnsi="Times New Roman" w:cs="Times New Roman"/>
          <w:sz w:val="24"/>
          <w:szCs w:val="24"/>
        </w:rPr>
        <w:t>D</w:t>
      </w:r>
      <w:r w:rsidRPr="00633318">
        <w:rPr>
          <w:rFonts w:ascii="Times New Roman" w:hAnsi="Times New Roman" w:cs="Times New Roman"/>
          <w:sz w:val="24"/>
          <w:szCs w:val="24"/>
        </w:rPr>
        <w:t xml:space="preserve">yrektywy i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xml:space="preserve"> </w:t>
      </w:r>
      <w:r w:rsidR="00F85B95" w:rsidRPr="00633318">
        <w:rPr>
          <w:rFonts w:ascii="Times New Roman" w:hAnsi="Times New Roman" w:cs="Times New Roman"/>
          <w:sz w:val="24"/>
          <w:szCs w:val="24"/>
        </w:rPr>
        <w:t xml:space="preserve">OECD </w:t>
      </w:r>
      <w:r w:rsidRPr="00633318">
        <w:rPr>
          <w:rFonts w:ascii="Times New Roman" w:hAnsi="Times New Roman" w:cs="Times New Roman"/>
          <w:sz w:val="24"/>
          <w:szCs w:val="24"/>
        </w:rPr>
        <w:t xml:space="preserve">należy przyjąć, że w </w:t>
      </w:r>
      <w:r w:rsidR="00E677F8" w:rsidRPr="00633318">
        <w:rPr>
          <w:rFonts w:ascii="Times New Roman" w:hAnsi="Times New Roman" w:cs="Times New Roman"/>
          <w:sz w:val="24"/>
          <w:szCs w:val="24"/>
        </w:rPr>
        <w:t xml:space="preserve">danej jurysdykcji </w:t>
      </w:r>
      <w:r w:rsidRPr="00633318">
        <w:rPr>
          <w:rFonts w:ascii="Times New Roman" w:hAnsi="Times New Roman" w:cs="Times New Roman"/>
          <w:sz w:val="24"/>
          <w:szCs w:val="24"/>
        </w:rPr>
        <w:t xml:space="preserve">może funkcjonować wyłącznie jedna </w:t>
      </w:r>
      <w:r w:rsidR="00F85B95" w:rsidRPr="00633318">
        <w:rPr>
          <w:rFonts w:ascii="Times New Roman" w:hAnsi="Times New Roman" w:cs="Times New Roman"/>
          <w:sz w:val="24"/>
          <w:szCs w:val="24"/>
        </w:rPr>
        <w:t>w</w:t>
      </w:r>
      <w:r w:rsidRPr="00633318">
        <w:rPr>
          <w:rFonts w:ascii="Times New Roman" w:hAnsi="Times New Roman" w:cs="Times New Roman"/>
          <w:sz w:val="24"/>
          <w:szCs w:val="24"/>
        </w:rPr>
        <w:t xml:space="preserve">yznaczona </w:t>
      </w:r>
      <w:r w:rsidR="00F85B95" w:rsidRPr="00633318">
        <w:rPr>
          <w:rFonts w:ascii="Times New Roman" w:hAnsi="Times New Roman" w:cs="Times New Roman"/>
          <w:sz w:val="24"/>
          <w:szCs w:val="24"/>
        </w:rPr>
        <w:t>j</w:t>
      </w:r>
      <w:r w:rsidRPr="00633318">
        <w:rPr>
          <w:rFonts w:ascii="Times New Roman" w:hAnsi="Times New Roman" w:cs="Times New Roman"/>
          <w:sz w:val="24"/>
          <w:szCs w:val="24"/>
        </w:rPr>
        <w:t xml:space="preserve">ednostka </w:t>
      </w:r>
      <w:r w:rsidR="00F85B95" w:rsidRPr="00633318">
        <w:rPr>
          <w:rFonts w:ascii="Times New Roman" w:hAnsi="Times New Roman" w:cs="Times New Roman"/>
          <w:sz w:val="24"/>
          <w:szCs w:val="24"/>
        </w:rPr>
        <w:t>k</w:t>
      </w:r>
      <w:r w:rsidRPr="00633318">
        <w:rPr>
          <w:rFonts w:ascii="Times New Roman" w:hAnsi="Times New Roman" w:cs="Times New Roman"/>
          <w:sz w:val="24"/>
          <w:szCs w:val="24"/>
        </w:rPr>
        <w:t xml:space="preserve">rajowa, a także że ustanowienie takiej jednostki poprzez upoważnienie jej do złożenie Informacji GloBE (a także do czynności złożenia zawiadomienia, o którym mowa niżej) musi obejmować wszystkie pozostałe jednostki składowe danej grupy </w:t>
      </w:r>
      <w:r w:rsidR="0093189B" w:rsidRPr="00633318">
        <w:rPr>
          <w:rFonts w:ascii="Times New Roman" w:hAnsi="Times New Roman" w:cs="Times New Roman"/>
          <w:sz w:val="24"/>
          <w:szCs w:val="24"/>
        </w:rPr>
        <w:t>zlokalizowane</w:t>
      </w:r>
      <w:r w:rsidRPr="00633318">
        <w:rPr>
          <w:rFonts w:ascii="Times New Roman" w:hAnsi="Times New Roman" w:cs="Times New Roman"/>
          <w:sz w:val="24"/>
          <w:szCs w:val="24"/>
        </w:rPr>
        <w:t xml:space="preserve"> na terytorium Rzecz</w:t>
      </w:r>
      <w:r w:rsidR="00F85B95" w:rsidRPr="00633318">
        <w:rPr>
          <w:rFonts w:ascii="Times New Roman" w:hAnsi="Times New Roman" w:cs="Times New Roman"/>
          <w:sz w:val="24"/>
          <w:szCs w:val="24"/>
        </w:rPr>
        <w:t>y</w:t>
      </w:r>
      <w:r w:rsidRPr="00633318">
        <w:rPr>
          <w:rFonts w:ascii="Times New Roman" w:hAnsi="Times New Roman" w:cs="Times New Roman"/>
          <w:sz w:val="24"/>
          <w:szCs w:val="24"/>
        </w:rPr>
        <w:t>pospolitej Polskiej. Tym samym</w:t>
      </w:r>
      <w:r w:rsidR="00F85B95" w:rsidRPr="00633318">
        <w:rPr>
          <w:rFonts w:ascii="Times New Roman" w:hAnsi="Times New Roman" w:cs="Times New Roman"/>
          <w:sz w:val="24"/>
          <w:szCs w:val="24"/>
        </w:rPr>
        <w:t>,</w:t>
      </w:r>
      <w:r w:rsidRPr="00633318">
        <w:rPr>
          <w:rFonts w:ascii="Times New Roman" w:hAnsi="Times New Roman" w:cs="Times New Roman"/>
          <w:sz w:val="24"/>
          <w:szCs w:val="24"/>
        </w:rPr>
        <w:t xml:space="preserve"> podjęcie przez te jednostki decyzji o ustanowieniu </w:t>
      </w:r>
      <w:r w:rsidR="00F85B95" w:rsidRPr="00633318">
        <w:rPr>
          <w:rFonts w:ascii="Times New Roman" w:hAnsi="Times New Roman" w:cs="Times New Roman"/>
          <w:sz w:val="24"/>
          <w:szCs w:val="24"/>
        </w:rPr>
        <w:t xml:space="preserve">wyznaczonej </w:t>
      </w:r>
      <w:r w:rsidRPr="00633318">
        <w:rPr>
          <w:rFonts w:ascii="Times New Roman" w:hAnsi="Times New Roman" w:cs="Times New Roman"/>
          <w:sz w:val="24"/>
          <w:szCs w:val="24"/>
        </w:rPr>
        <w:t xml:space="preserve">jednostki </w:t>
      </w:r>
      <w:r w:rsidR="00F85B95" w:rsidRPr="00633318">
        <w:rPr>
          <w:rFonts w:ascii="Times New Roman" w:hAnsi="Times New Roman" w:cs="Times New Roman"/>
          <w:sz w:val="24"/>
          <w:szCs w:val="24"/>
        </w:rPr>
        <w:t>krajowej</w:t>
      </w:r>
      <w:r w:rsidR="003212E2"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musi mieć charakter „powszechny” w tym sensie, że obok </w:t>
      </w:r>
      <w:r w:rsidR="00F85B95" w:rsidRPr="00633318">
        <w:rPr>
          <w:rFonts w:ascii="Times New Roman" w:hAnsi="Times New Roman" w:cs="Times New Roman"/>
          <w:sz w:val="24"/>
          <w:szCs w:val="24"/>
        </w:rPr>
        <w:t xml:space="preserve">takiej wyznaczonej jednostki krajowej </w:t>
      </w:r>
      <w:r w:rsidRPr="00633318">
        <w:rPr>
          <w:rFonts w:ascii="Times New Roman" w:hAnsi="Times New Roman" w:cs="Times New Roman"/>
          <w:sz w:val="24"/>
          <w:szCs w:val="24"/>
        </w:rPr>
        <w:t xml:space="preserve">nie może </w:t>
      </w:r>
      <w:r w:rsidR="003C36A1" w:rsidRPr="00633318">
        <w:rPr>
          <w:rFonts w:ascii="Times New Roman" w:hAnsi="Times New Roman" w:cs="Times New Roman"/>
          <w:sz w:val="24"/>
          <w:szCs w:val="24"/>
        </w:rPr>
        <w:t xml:space="preserve">w danym </w:t>
      </w:r>
      <w:r w:rsidRPr="00633318">
        <w:rPr>
          <w:rFonts w:ascii="Times New Roman" w:hAnsi="Times New Roman" w:cs="Times New Roman"/>
          <w:sz w:val="24"/>
          <w:szCs w:val="24"/>
        </w:rPr>
        <w:t xml:space="preserve">funkcjonować </w:t>
      </w:r>
      <w:r w:rsidR="003C36A1" w:rsidRPr="00633318">
        <w:rPr>
          <w:rFonts w:ascii="Times New Roman" w:hAnsi="Times New Roman" w:cs="Times New Roman"/>
          <w:sz w:val="24"/>
          <w:szCs w:val="24"/>
        </w:rPr>
        <w:t>w Rzecz</w:t>
      </w:r>
      <w:r w:rsidR="00A3072D" w:rsidRPr="00633318">
        <w:rPr>
          <w:rFonts w:ascii="Times New Roman" w:hAnsi="Times New Roman" w:cs="Times New Roman"/>
          <w:sz w:val="24"/>
          <w:szCs w:val="24"/>
        </w:rPr>
        <w:t>y</w:t>
      </w:r>
      <w:r w:rsidR="003C36A1" w:rsidRPr="00633318">
        <w:rPr>
          <w:rFonts w:ascii="Times New Roman" w:hAnsi="Times New Roman" w:cs="Times New Roman"/>
          <w:sz w:val="24"/>
          <w:szCs w:val="24"/>
        </w:rPr>
        <w:t xml:space="preserve">pospolitej Polskiej </w:t>
      </w:r>
      <w:r w:rsidRPr="00633318">
        <w:rPr>
          <w:rFonts w:ascii="Times New Roman" w:hAnsi="Times New Roman" w:cs="Times New Roman"/>
          <w:sz w:val="24"/>
          <w:szCs w:val="24"/>
        </w:rPr>
        <w:t xml:space="preserve">inna jednostka składowa, która nie przekazałaby jej swojego upoważnienie do składania Informacji GloBE.      </w:t>
      </w:r>
    </w:p>
    <w:p w14:paraId="4D64BCE4" w14:textId="796764A3"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Z punktu widzenia zwiększenia funkcjonalności Systemu GloBE (zmniejszenia obowiązków administracyjnych poszczególnych jednostek składowych)</w:t>
      </w:r>
      <w:r w:rsidR="00F85B95" w:rsidRPr="00633318">
        <w:rPr>
          <w:rFonts w:ascii="Times New Roman" w:hAnsi="Times New Roman" w:cs="Times New Roman"/>
          <w:sz w:val="24"/>
          <w:szCs w:val="24"/>
        </w:rPr>
        <w:t>,</w:t>
      </w:r>
      <w:r w:rsidRPr="00633318">
        <w:rPr>
          <w:rFonts w:ascii="Times New Roman" w:hAnsi="Times New Roman" w:cs="Times New Roman"/>
          <w:sz w:val="24"/>
          <w:szCs w:val="24"/>
        </w:rPr>
        <w:t xml:space="preserve"> istotne znaczenie ma regulacja przewidziana w </w:t>
      </w:r>
      <w:r w:rsidRPr="00633318">
        <w:rPr>
          <w:rFonts w:ascii="Times New Roman" w:hAnsi="Times New Roman" w:cs="Times New Roman"/>
          <w:b/>
          <w:sz w:val="24"/>
          <w:szCs w:val="24"/>
        </w:rPr>
        <w:t xml:space="preserve">ust. </w:t>
      </w:r>
      <w:r w:rsidR="005946CA" w:rsidRPr="00633318">
        <w:rPr>
          <w:rFonts w:ascii="Times New Roman" w:hAnsi="Times New Roman" w:cs="Times New Roman"/>
          <w:b/>
          <w:sz w:val="24"/>
          <w:szCs w:val="24"/>
        </w:rPr>
        <w:t>4</w:t>
      </w:r>
      <w:r w:rsidR="005946CA"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omawianego artykułu. Na jej podstawie jednostki składowe </w:t>
      </w:r>
      <w:r w:rsidR="00F85B95" w:rsidRPr="00633318">
        <w:rPr>
          <w:rFonts w:ascii="Times New Roman" w:hAnsi="Times New Roman" w:cs="Times New Roman"/>
          <w:sz w:val="24"/>
          <w:szCs w:val="24"/>
        </w:rPr>
        <w:t>g</w:t>
      </w:r>
      <w:r w:rsidRPr="00633318">
        <w:rPr>
          <w:rFonts w:ascii="Times New Roman" w:hAnsi="Times New Roman" w:cs="Times New Roman"/>
          <w:sz w:val="24"/>
          <w:szCs w:val="24"/>
        </w:rPr>
        <w:t xml:space="preserve">rupy </w:t>
      </w:r>
      <w:r w:rsidR="0093189B" w:rsidRPr="00633318">
        <w:rPr>
          <w:rFonts w:ascii="Times New Roman" w:hAnsi="Times New Roman" w:cs="Times New Roman"/>
          <w:sz w:val="24"/>
          <w:szCs w:val="24"/>
        </w:rPr>
        <w:t>zlokalizowane</w:t>
      </w:r>
      <w:r w:rsidRPr="00633318">
        <w:rPr>
          <w:rFonts w:ascii="Times New Roman" w:hAnsi="Times New Roman" w:cs="Times New Roman"/>
          <w:sz w:val="24"/>
          <w:szCs w:val="24"/>
        </w:rPr>
        <w:t xml:space="preserve"> w Rzeczypospolitej Polskiej mogą być, w określonych sytuacjach, zwolnione z obowiązku złożenia Informacji GloBE, jeżeli </w:t>
      </w:r>
      <w:r w:rsidR="00F85B95" w:rsidRPr="00633318">
        <w:rPr>
          <w:rFonts w:ascii="Times New Roman" w:hAnsi="Times New Roman" w:cs="Times New Roman"/>
          <w:sz w:val="24"/>
          <w:szCs w:val="24"/>
        </w:rPr>
        <w:t>I</w:t>
      </w:r>
      <w:r w:rsidRPr="00633318">
        <w:rPr>
          <w:rFonts w:ascii="Times New Roman" w:hAnsi="Times New Roman" w:cs="Times New Roman"/>
          <w:sz w:val="24"/>
          <w:szCs w:val="24"/>
        </w:rPr>
        <w:t xml:space="preserve">nformacja ta zostanie złożona przez jednostkę dominującą najwyższego szczebla tejże </w:t>
      </w:r>
      <w:r w:rsidR="00F85B95" w:rsidRPr="00633318">
        <w:rPr>
          <w:rFonts w:ascii="Times New Roman" w:hAnsi="Times New Roman" w:cs="Times New Roman"/>
          <w:sz w:val="24"/>
          <w:szCs w:val="24"/>
        </w:rPr>
        <w:t>g</w:t>
      </w:r>
      <w:r w:rsidRPr="00633318">
        <w:rPr>
          <w:rFonts w:ascii="Times New Roman" w:hAnsi="Times New Roman" w:cs="Times New Roman"/>
          <w:sz w:val="24"/>
          <w:szCs w:val="24"/>
        </w:rPr>
        <w:t xml:space="preserve">rupy lub tzw. </w:t>
      </w:r>
      <w:r w:rsidR="00F85B95" w:rsidRPr="00633318">
        <w:rPr>
          <w:rFonts w:ascii="Times New Roman" w:hAnsi="Times New Roman" w:cs="Times New Roman"/>
          <w:sz w:val="24"/>
          <w:szCs w:val="24"/>
        </w:rPr>
        <w:t>w</w:t>
      </w:r>
      <w:r w:rsidRPr="00633318">
        <w:rPr>
          <w:rFonts w:ascii="Times New Roman" w:hAnsi="Times New Roman" w:cs="Times New Roman"/>
          <w:sz w:val="24"/>
          <w:szCs w:val="24"/>
        </w:rPr>
        <w:t xml:space="preserve">yznaczoną </w:t>
      </w:r>
      <w:r w:rsidR="00F85B95" w:rsidRPr="00633318">
        <w:rPr>
          <w:rFonts w:ascii="Times New Roman" w:hAnsi="Times New Roman" w:cs="Times New Roman"/>
          <w:sz w:val="24"/>
          <w:szCs w:val="24"/>
        </w:rPr>
        <w:t>j</w:t>
      </w:r>
      <w:r w:rsidRPr="00633318">
        <w:rPr>
          <w:rFonts w:ascii="Times New Roman" w:hAnsi="Times New Roman" w:cs="Times New Roman"/>
          <w:sz w:val="24"/>
          <w:szCs w:val="24"/>
        </w:rPr>
        <w:t xml:space="preserve">ednostkę </w:t>
      </w:r>
      <w:r w:rsidR="00F85B95" w:rsidRPr="00633318">
        <w:rPr>
          <w:rFonts w:ascii="Times New Roman" w:hAnsi="Times New Roman" w:cs="Times New Roman"/>
          <w:sz w:val="24"/>
          <w:szCs w:val="24"/>
        </w:rPr>
        <w:t>r</w:t>
      </w:r>
      <w:r w:rsidRPr="00633318">
        <w:rPr>
          <w:rFonts w:ascii="Times New Roman" w:hAnsi="Times New Roman" w:cs="Times New Roman"/>
          <w:sz w:val="24"/>
          <w:szCs w:val="24"/>
        </w:rPr>
        <w:t>aportującą (</w:t>
      </w:r>
      <w:r w:rsidR="00F85B95" w:rsidRPr="00633318">
        <w:rPr>
          <w:rFonts w:ascii="Times New Roman" w:hAnsi="Times New Roman" w:cs="Times New Roman"/>
          <w:bCs/>
          <w:sz w:val="24"/>
          <w:szCs w:val="24"/>
        </w:rPr>
        <w:t>ang.</w:t>
      </w:r>
      <w:r w:rsidRPr="00633318">
        <w:rPr>
          <w:rFonts w:ascii="Times New Roman" w:hAnsi="Times New Roman" w:cs="Times New Roman"/>
          <w:sz w:val="24"/>
          <w:szCs w:val="24"/>
        </w:rPr>
        <w:t xml:space="preserve"> </w:t>
      </w:r>
      <w:r w:rsidR="00F85B95" w:rsidRPr="00633318">
        <w:rPr>
          <w:rFonts w:ascii="Times New Roman" w:hAnsi="Times New Roman" w:cs="Times New Roman"/>
          <w:sz w:val="24"/>
          <w:szCs w:val="24"/>
        </w:rPr>
        <w:t>d</w:t>
      </w:r>
      <w:r w:rsidRPr="00633318">
        <w:rPr>
          <w:rFonts w:ascii="Times New Roman" w:hAnsi="Times New Roman" w:cs="Times New Roman"/>
          <w:sz w:val="24"/>
          <w:szCs w:val="24"/>
        </w:rPr>
        <w:t xml:space="preserve">esignated </w:t>
      </w:r>
      <w:r w:rsidR="00F85B95" w:rsidRPr="00633318">
        <w:rPr>
          <w:rFonts w:ascii="Times New Roman" w:hAnsi="Times New Roman" w:cs="Times New Roman"/>
          <w:sz w:val="24"/>
          <w:szCs w:val="24"/>
        </w:rPr>
        <w:t>f</w:t>
      </w:r>
      <w:r w:rsidRPr="00633318">
        <w:rPr>
          <w:rFonts w:ascii="Times New Roman" w:hAnsi="Times New Roman" w:cs="Times New Roman"/>
          <w:sz w:val="24"/>
          <w:szCs w:val="24"/>
        </w:rPr>
        <w:t xml:space="preserve">iling </w:t>
      </w:r>
      <w:r w:rsidR="00F85B95" w:rsidRPr="00633318">
        <w:rPr>
          <w:rFonts w:ascii="Times New Roman" w:hAnsi="Times New Roman" w:cs="Times New Roman"/>
          <w:sz w:val="24"/>
          <w:szCs w:val="24"/>
        </w:rPr>
        <w:t>e</w:t>
      </w:r>
      <w:r w:rsidRPr="00633318">
        <w:rPr>
          <w:rFonts w:ascii="Times New Roman" w:hAnsi="Times New Roman" w:cs="Times New Roman"/>
          <w:sz w:val="24"/>
          <w:szCs w:val="24"/>
        </w:rPr>
        <w:t xml:space="preserve">ntity), </w:t>
      </w:r>
      <w:r w:rsidR="0093189B" w:rsidRPr="00633318">
        <w:rPr>
          <w:rFonts w:ascii="Times New Roman" w:hAnsi="Times New Roman" w:cs="Times New Roman"/>
          <w:sz w:val="24"/>
          <w:szCs w:val="24"/>
        </w:rPr>
        <w:t>zlokalizowaną</w:t>
      </w:r>
      <w:r w:rsidRPr="00633318">
        <w:rPr>
          <w:rFonts w:ascii="Times New Roman" w:hAnsi="Times New Roman" w:cs="Times New Roman"/>
          <w:sz w:val="24"/>
          <w:szCs w:val="24"/>
        </w:rPr>
        <w:t xml:space="preserve"> zagranicą (</w:t>
      </w:r>
      <w:r w:rsidRPr="00633318">
        <w:rPr>
          <w:rFonts w:ascii="Times New Roman" w:hAnsi="Times New Roman" w:cs="Times New Roman"/>
          <w:i/>
          <w:sz w:val="24"/>
          <w:szCs w:val="24"/>
        </w:rPr>
        <w:t>tzw.</w:t>
      </w:r>
      <w:r w:rsidR="00F85B95" w:rsidRPr="00633318">
        <w:rPr>
          <w:rFonts w:ascii="Times New Roman" w:hAnsi="Times New Roman" w:cs="Times New Roman"/>
          <w:i/>
          <w:sz w:val="24"/>
          <w:szCs w:val="24"/>
        </w:rPr>
        <w:t xml:space="preserve"> zasada ang.</w:t>
      </w:r>
      <w:r w:rsidRPr="00633318">
        <w:rPr>
          <w:rFonts w:ascii="Times New Roman" w:hAnsi="Times New Roman" w:cs="Times New Roman"/>
          <w:i/>
          <w:sz w:val="24"/>
          <w:szCs w:val="24"/>
        </w:rPr>
        <w:t xml:space="preserve"> central filing</w:t>
      </w:r>
      <w:r w:rsidRPr="00633318">
        <w:rPr>
          <w:rFonts w:ascii="Times New Roman" w:hAnsi="Times New Roman" w:cs="Times New Roman"/>
          <w:sz w:val="24"/>
          <w:szCs w:val="24"/>
        </w:rPr>
        <w:t xml:space="preserve">). Tym samym rozwiązanie to, siłą rzeczy, nie dotyczy dużych grup krajowych (co nie pozbawia </w:t>
      </w:r>
      <w:r w:rsidR="00F85B95" w:rsidRPr="00633318">
        <w:rPr>
          <w:rFonts w:ascii="Times New Roman" w:hAnsi="Times New Roman" w:cs="Times New Roman"/>
          <w:sz w:val="24"/>
          <w:szCs w:val="24"/>
        </w:rPr>
        <w:t xml:space="preserve">jednostki dominującej najwyższego szczebla </w:t>
      </w:r>
      <w:r w:rsidRPr="00633318">
        <w:rPr>
          <w:rFonts w:ascii="Times New Roman" w:hAnsi="Times New Roman" w:cs="Times New Roman"/>
          <w:sz w:val="24"/>
          <w:szCs w:val="24"/>
        </w:rPr>
        <w:t xml:space="preserve">takiej dużej grupy krajowej możliwości posiadania, na podstawie ust. </w:t>
      </w:r>
      <w:r w:rsidR="005946CA" w:rsidRPr="00633318">
        <w:rPr>
          <w:rFonts w:ascii="Times New Roman" w:hAnsi="Times New Roman" w:cs="Times New Roman"/>
          <w:sz w:val="24"/>
          <w:szCs w:val="24"/>
        </w:rPr>
        <w:t>3</w:t>
      </w:r>
      <w:r w:rsidRPr="00633318">
        <w:rPr>
          <w:rFonts w:ascii="Times New Roman" w:hAnsi="Times New Roman" w:cs="Times New Roman"/>
          <w:sz w:val="24"/>
          <w:szCs w:val="24"/>
        </w:rPr>
        <w:t xml:space="preserve">, statusu </w:t>
      </w:r>
      <w:r w:rsidR="00F85B95" w:rsidRPr="00633318">
        <w:rPr>
          <w:rFonts w:ascii="Times New Roman" w:hAnsi="Times New Roman" w:cs="Times New Roman"/>
          <w:sz w:val="24"/>
          <w:szCs w:val="24"/>
        </w:rPr>
        <w:t>w</w:t>
      </w:r>
      <w:r w:rsidRPr="00633318">
        <w:rPr>
          <w:rFonts w:ascii="Times New Roman" w:hAnsi="Times New Roman" w:cs="Times New Roman"/>
          <w:sz w:val="24"/>
          <w:szCs w:val="24"/>
        </w:rPr>
        <w:t xml:space="preserve">yznaczonej </w:t>
      </w:r>
      <w:r w:rsidR="00F85B95" w:rsidRPr="00633318">
        <w:rPr>
          <w:rFonts w:ascii="Times New Roman" w:hAnsi="Times New Roman" w:cs="Times New Roman"/>
          <w:sz w:val="24"/>
          <w:szCs w:val="24"/>
        </w:rPr>
        <w:t>j</w:t>
      </w:r>
      <w:r w:rsidRPr="00633318">
        <w:rPr>
          <w:rFonts w:ascii="Times New Roman" w:hAnsi="Times New Roman" w:cs="Times New Roman"/>
          <w:sz w:val="24"/>
          <w:szCs w:val="24"/>
        </w:rPr>
        <w:t xml:space="preserve">ednostki </w:t>
      </w:r>
      <w:r w:rsidR="00F85B95" w:rsidRPr="00633318">
        <w:rPr>
          <w:rFonts w:ascii="Times New Roman" w:hAnsi="Times New Roman" w:cs="Times New Roman"/>
          <w:sz w:val="24"/>
          <w:szCs w:val="24"/>
        </w:rPr>
        <w:t>k</w:t>
      </w:r>
      <w:r w:rsidRPr="00633318">
        <w:rPr>
          <w:rFonts w:ascii="Times New Roman" w:hAnsi="Times New Roman" w:cs="Times New Roman"/>
          <w:sz w:val="24"/>
          <w:szCs w:val="24"/>
        </w:rPr>
        <w:t xml:space="preserve">rajowej).  </w:t>
      </w:r>
    </w:p>
    <w:p w14:paraId="2CAF6666" w14:textId="2D8BF4C1"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Użycie w ww. przepisie czasu przeszłego w odniesieniu do czynności składania GIR przez właściwą jednostkę składową (</w:t>
      </w:r>
      <w:r w:rsidR="00171480" w:rsidRPr="00633318">
        <w:rPr>
          <w:rFonts w:ascii="Times New Roman" w:hAnsi="Times New Roman" w:cs="Times New Roman"/>
          <w:sz w:val="24"/>
          <w:szCs w:val="24"/>
        </w:rPr>
        <w:t xml:space="preserve">jednostkę dominującą najwyższego szczebla </w:t>
      </w:r>
      <w:r w:rsidRPr="00633318">
        <w:rPr>
          <w:rFonts w:ascii="Times New Roman" w:hAnsi="Times New Roman" w:cs="Times New Roman"/>
          <w:sz w:val="24"/>
          <w:szCs w:val="24"/>
        </w:rPr>
        <w:t xml:space="preserve">lub </w:t>
      </w:r>
      <w:r w:rsidR="00171480" w:rsidRPr="00633318">
        <w:rPr>
          <w:rFonts w:ascii="Times New Roman" w:hAnsi="Times New Roman" w:cs="Times New Roman"/>
          <w:sz w:val="24"/>
          <w:szCs w:val="24"/>
        </w:rPr>
        <w:t>wyznaczoną jednostkę raportującą</w:t>
      </w:r>
      <w:r w:rsidRPr="00633318">
        <w:rPr>
          <w:rFonts w:ascii="Times New Roman" w:hAnsi="Times New Roman" w:cs="Times New Roman"/>
          <w:sz w:val="24"/>
          <w:szCs w:val="24"/>
        </w:rPr>
        <w:t xml:space="preserve">) w </w:t>
      </w:r>
      <w:r w:rsidR="00E677F8" w:rsidRPr="00633318">
        <w:rPr>
          <w:rFonts w:ascii="Times New Roman" w:hAnsi="Times New Roman" w:cs="Times New Roman"/>
          <w:sz w:val="24"/>
          <w:szCs w:val="24"/>
        </w:rPr>
        <w:t xml:space="preserve">innej jurysdykcji </w:t>
      </w:r>
      <w:r w:rsidRPr="00633318">
        <w:rPr>
          <w:rFonts w:ascii="Times New Roman" w:hAnsi="Times New Roman" w:cs="Times New Roman"/>
          <w:sz w:val="24"/>
          <w:szCs w:val="24"/>
        </w:rPr>
        <w:t>(„złożona”) jest celowe i odzwierciedla zapis Dyrektywy. Ty</w:t>
      </w:r>
      <w:r w:rsidR="00171480" w:rsidRPr="00633318">
        <w:rPr>
          <w:rFonts w:ascii="Times New Roman" w:hAnsi="Times New Roman" w:cs="Times New Roman"/>
          <w:sz w:val="24"/>
          <w:szCs w:val="24"/>
        </w:rPr>
        <w:t>m</w:t>
      </w:r>
      <w:r w:rsidRPr="00633318">
        <w:rPr>
          <w:rFonts w:ascii="Times New Roman" w:hAnsi="Times New Roman" w:cs="Times New Roman"/>
          <w:sz w:val="24"/>
          <w:szCs w:val="24"/>
        </w:rPr>
        <w:t xml:space="preserve"> samym</w:t>
      </w:r>
      <w:r w:rsidR="00171480" w:rsidRPr="00633318">
        <w:rPr>
          <w:rFonts w:ascii="Times New Roman" w:hAnsi="Times New Roman" w:cs="Times New Roman"/>
          <w:sz w:val="24"/>
          <w:szCs w:val="24"/>
        </w:rPr>
        <w:t>,</w:t>
      </w:r>
      <w:r w:rsidRPr="00633318">
        <w:rPr>
          <w:rFonts w:ascii="Times New Roman" w:hAnsi="Times New Roman" w:cs="Times New Roman"/>
          <w:sz w:val="24"/>
          <w:szCs w:val="24"/>
        </w:rPr>
        <w:t xml:space="preserve"> skuteczność odstępstwa przewidzianego w ust. </w:t>
      </w:r>
      <w:r w:rsidR="005946CA" w:rsidRPr="00633318">
        <w:rPr>
          <w:rFonts w:ascii="Times New Roman" w:hAnsi="Times New Roman" w:cs="Times New Roman"/>
          <w:sz w:val="24"/>
          <w:szCs w:val="24"/>
        </w:rPr>
        <w:t xml:space="preserve">4 </w:t>
      </w:r>
      <w:r w:rsidRPr="00633318">
        <w:rPr>
          <w:rFonts w:ascii="Times New Roman" w:hAnsi="Times New Roman" w:cs="Times New Roman"/>
          <w:sz w:val="24"/>
          <w:szCs w:val="24"/>
        </w:rPr>
        <w:t xml:space="preserve">(od reguły składania GIR przez krajowe jednostki składowe) zależy od faktycznego złożenia GIR przez </w:t>
      </w:r>
      <w:r w:rsidR="005946CA" w:rsidRPr="00633318">
        <w:rPr>
          <w:rFonts w:ascii="Times New Roman" w:hAnsi="Times New Roman" w:cs="Times New Roman"/>
          <w:sz w:val="24"/>
          <w:szCs w:val="24"/>
        </w:rPr>
        <w:t xml:space="preserve">tę </w:t>
      </w:r>
      <w:r w:rsidRPr="00633318">
        <w:rPr>
          <w:rFonts w:ascii="Times New Roman" w:hAnsi="Times New Roman" w:cs="Times New Roman"/>
          <w:sz w:val="24"/>
          <w:szCs w:val="24"/>
        </w:rPr>
        <w:t xml:space="preserve">zagraniczną jednostkę składową. </w:t>
      </w:r>
    </w:p>
    <w:p w14:paraId="5FF81C49" w14:textId="6D394AC8"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Warunkiem stosowania regulacji zawartej w ust. </w:t>
      </w:r>
      <w:r w:rsidR="005946CA" w:rsidRPr="00633318">
        <w:rPr>
          <w:rFonts w:ascii="Times New Roman" w:hAnsi="Times New Roman" w:cs="Times New Roman"/>
          <w:sz w:val="24"/>
          <w:szCs w:val="24"/>
        </w:rPr>
        <w:t xml:space="preserve">4 </w:t>
      </w:r>
      <w:r w:rsidRPr="00633318">
        <w:rPr>
          <w:rFonts w:ascii="Times New Roman" w:hAnsi="Times New Roman" w:cs="Times New Roman"/>
          <w:sz w:val="24"/>
          <w:szCs w:val="24"/>
        </w:rPr>
        <w:t xml:space="preserve">jest, aby właściwy organ podatkowy </w:t>
      </w:r>
      <w:r w:rsidR="00E677F8"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w którym ta </w:t>
      </w:r>
      <w:r w:rsidR="00171480" w:rsidRPr="00633318">
        <w:rPr>
          <w:rFonts w:ascii="Times New Roman" w:hAnsi="Times New Roman" w:cs="Times New Roman"/>
          <w:sz w:val="24"/>
          <w:szCs w:val="24"/>
        </w:rPr>
        <w:t xml:space="preserve">jednostka dominująca najwyższego szczebla </w:t>
      </w:r>
      <w:r w:rsidRPr="00633318">
        <w:rPr>
          <w:rFonts w:ascii="Times New Roman" w:hAnsi="Times New Roman" w:cs="Times New Roman"/>
          <w:sz w:val="24"/>
          <w:szCs w:val="24"/>
        </w:rPr>
        <w:t xml:space="preserve">lub </w:t>
      </w:r>
      <w:r w:rsidR="00171480" w:rsidRPr="00633318">
        <w:rPr>
          <w:rFonts w:ascii="Times New Roman" w:hAnsi="Times New Roman" w:cs="Times New Roman"/>
          <w:sz w:val="24"/>
          <w:szCs w:val="24"/>
        </w:rPr>
        <w:t xml:space="preserve">wyznaczona jednostka raportująca </w:t>
      </w:r>
      <w:r w:rsidR="0093189B" w:rsidRPr="00633318">
        <w:rPr>
          <w:rFonts w:ascii="Times New Roman" w:hAnsi="Times New Roman" w:cs="Times New Roman"/>
          <w:sz w:val="24"/>
          <w:szCs w:val="24"/>
        </w:rPr>
        <w:t>są zlokalizowane</w:t>
      </w:r>
      <w:r w:rsidRPr="00633318">
        <w:rPr>
          <w:rFonts w:ascii="Times New Roman" w:hAnsi="Times New Roman" w:cs="Times New Roman"/>
          <w:sz w:val="24"/>
          <w:szCs w:val="24"/>
        </w:rPr>
        <w:t>, zawarł z właściwym organem podatkowym Rzeczypospolitej Polskiej umowę lub porozumienie (bilateralne bądź wielostronne) przewidujące automatyczną wymianę GIR (</w:t>
      </w:r>
      <w:r w:rsidRPr="00633318">
        <w:rPr>
          <w:rFonts w:ascii="Times New Roman" w:hAnsi="Times New Roman" w:cs="Times New Roman"/>
          <w:b/>
          <w:sz w:val="24"/>
          <w:szCs w:val="24"/>
        </w:rPr>
        <w:t xml:space="preserve">ust. </w:t>
      </w:r>
      <w:r w:rsidR="005946CA" w:rsidRPr="00633318">
        <w:rPr>
          <w:rFonts w:ascii="Times New Roman" w:hAnsi="Times New Roman" w:cs="Times New Roman"/>
          <w:b/>
          <w:sz w:val="24"/>
          <w:szCs w:val="24"/>
        </w:rPr>
        <w:t>5</w:t>
      </w:r>
      <w:r w:rsidRPr="00633318">
        <w:rPr>
          <w:rFonts w:ascii="Times New Roman" w:hAnsi="Times New Roman" w:cs="Times New Roman"/>
          <w:sz w:val="24"/>
          <w:szCs w:val="24"/>
        </w:rPr>
        <w:t xml:space="preserve">). Minister Finansów będzie prowadził w BIP listę umów, z którymi Rzeczpospolita Polska zawarła kwalifikowaną umowę o wymianie informacji o podatku wyrównawczym, o czym stanowi ust. </w:t>
      </w:r>
      <w:r w:rsidR="005946CA" w:rsidRPr="00633318">
        <w:rPr>
          <w:rFonts w:ascii="Times New Roman" w:hAnsi="Times New Roman" w:cs="Times New Roman"/>
          <w:sz w:val="24"/>
          <w:szCs w:val="24"/>
        </w:rPr>
        <w:t>6</w:t>
      </w:r>
      <w:r w:rsidRPr="00633318">
        <w:rPr>
          <w:rFonts w:ascii="Times New Roman" w:hAnsi="Times New Roman" w:cs="Times New Roman"/>
          <w:sz w:val="24"/>
          <w:szCs w:val="24"/>
        </w:rPr>
        <w:t xml:space="preserve">. Lista ta będzie sukcesywnie aktualizowana. </w:t>
      </w:r>
    </w:p>
    <w:p w14:paraId="4C62166D" w14:textId="12E5B584"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Przy spełnieniu omawianego warunku złożenie </w:t>
      </w:r>
      <w:r w:rsidR="00660F13" w:rsidRPr="00633318">
        <w:rPr>
          <w:rFonts w:ascii="Times New Roman" w:hAnsi="Times New Roman" w:cs="Times New Roman"/>
          <w:sz w:val="24"/>
          <w:szCs w:val="24"/>
        </w:rPr>
        <w:t xml:space="preserve">Informacji GloBE </w:t>
      </w:r>
      <w:r w:rsidRPr="00633318">
        <w:rPr>
          <w:rFonts w:ascii="Times New Roman" w:hAnsi="Times New Roman" w:cs="Times New Roman"/>
          <w:sz w:val="24"/>
          <w:szCs w:val="24"/>
        </w:rPr>
        <w:t xml:space="preserve">przez jedną z ww. jednostek znosi obowiązek, o którym mowa w ust. 1. Tym samym, w takiej sytuacji, żadna jednostka składowa </w:t>
      </w:r>
      <w:r w:rsidR="0093189B" w:rsidRPr="00633318">
        <w:rPr>
          <w:rFonts w:ascii="Times New Roman" w:hAnsi="Times New Roman" w:cs="Times New Roman"/>
          <w:sz w:val="24"/>
          <w:szCs w:val="24"/>
        </w:rPr>
        <w:t>zlokalizowana</w:t>
      </w:r>
      <w:r w:rsidRPr="00633318">
        <w:rPr>
          <w:rFonts w:ascii="Times New Roman" w:hAnsi="Times New Roman" w:cs="Times New Roman"/>
          <w:sz w:val="24"/>
          <w:szCs w:val="24"/>
        </w:rPr>
        <w:t xml:space="preserve"> w Polsce (w tym </w:t>
      </w:r>
      <w:r w:rsidR="00171480" w:rsidRPr="00633318">
        <w:rPr>
          <w:rFonts w:ascii="Times New Roman" w:hAnsi="Times New Roman" w:cs="Times New Roman"/>
          <w:sz w:val="24"/>
          <w:szCs w:val="24"/>
        </w:rPr>
        <w:t>w</w:t>
      </w:r>
      <w:r w:rsidRPr="00633318">
        <w:rPr>
          <w:rFonts w:ascii="Times New Roman" w:hAnsi="Times New Roman" w:cs="Times New Roman"/>
          <w:sz w:val="24"/>
          <w:szCs w:val="24"/>
        </w:rPr>
        <w:t xml:space="preserve">yznaczona </w:t>
      </w:r>
      <w:r w:rsidR="00171480" w:rsidRPr="00633318">
        <w:rPr>
          <w:rFonts w:ascii="Times New Roman" w:hAnsi="Times New Roman" w:cs="Times New Roman"/>
          <w:sz w:val="24"/>
          <w:szCs w:val="24"/>
        </w:rPr>
        <w:t>j</w:t>
      </w:r>
      <w:r w:rsidRPr="00633318">
        <w:rPr>
          <w:rFonts w:ascii="Times New Roman" w:hAnsi="Times New Roman" w:cs="Times New Roman"/>
          <w:sz w:val="24"/>
          <w:szCs w:val="24"/>
        </w:rPr>
        <w:t xml:space="preserve">ednostka </w:t>
      </w:r>
      <w:r w:rsidR="004E2AC7" w:rsidRPr="00633318">
        <w:rPr>
          <w:rFonts w:ascii="Times New Roman" w:hAnsi="Times New Roman" w:cs="Times New Roman"/>
          <w:sz w:val="24"/>
          <w:szCs w:val="24"/>
        </w:rPr>
        <w:t>krajowa</w:t>
      </w:r>
      <w:r w:rsidRPr="00633318">
        <w:rPr>
          <w:rFonts w:ascii="Times New Roman" w:hAnsi="Times New Roman" w:cs="Times New Roman"/>
          <w:sz w:val="24"/>
          <w:szCs w:val="24"/>
        </w:rPr>
        <w:t>) nie będzie miała obowiązku złożenia Informacji GloBE do polskiego organu podatkowego</w:t>
      </w:r>
      <w:r w:rsidR="00171480" w:rsidRPr="00633318">
        <w:rPr>
          <w:rFonts w:ascii="Times New Roman" w:hAnsi="Times New Roman" w:cs="Times New Roman"/>
          <w:sz w:val="24"/>
          <w:szCs w:val="24"/>
        </w:rPr>
        <w:t>,</w:t>
      </w:r>
      <w:r w:rsidRPr="00633318">
        <w:rPr>
          <w:rFonts w:ascii="Times New Roman" w:hAnsi="Times New Roman" w:cs="Times New Roman"/>
          <w:sz w:val="24"/>
          <w:szCs w:val="24"/>
        </w:rPr>
        <w:t xml:space="preserve"> tj. naczelnika właściwego urzędu skarbowego. Nie oznacza to, że polskie organy podatkowe zostaną pozbawione dostępu do danych zawartych w GIR. Otrzymają je bowiem (w całości lub w odpowiednim zakresie)</w:t>
      </w:r>
      <w:r w:rsidRPr="00633318">
        <w:rPr>
          <w:rStyle w:val="Odwoanieprzypisudolnego"/>
          <w:rFonts w:ascii="Times New Roman" w:hAnsi="Times New Roman" w:cs="Times New Roman"/>
          <w:sz w:val="24"/>
          <w:szCs w:val="24"/>
        </w:rPr>
        <w:footnoteReference w:id="164"/>
      </w:r>
      <w:r w:rsidRPr="00633318">
        <w:rPr>
          <w:rFonts w:ascii="Times New Roman" w:hAnsi="Times New Roman" w:cs="Times New Roman"/>
          <w:sz w:val="24"/>
          <w:szCs w:val="24"/>
        </w:rPr>
        <w:t xml:space="preserve"> w ramach automatycznej wymiany informacji na podstawie zawartych umów i porozumień.  </w:t>
      </w:r>
    </w:p>
    <w:p w14:paraId="6A0341BD" w14:textId="61CC11BD"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Wskazane rozwiązanie jest przejawem uznania przez OECD faktu, iż pojedyncza jednostka składowa </w:t>
      </w:r>
      <w:r w:rsidR="00171480" w:rsidRPr="00633318">
        <w:rPr>
          <w:rFonts w:ascii="Times New Roman" w:hAnsi="Times New Roman" w:cs="Times New Roman"/>
          <w:sz w:val="24"/>
          <w:szCs w:val="24"/>
        </w:rPr>
        <w:t>g</w:t>
      </w:r>
      <w:r w:rsidRPr="00633318">
        <w:rPr>
          <w:rFonts w:ascii="Times New Roman" w:hAnsi="Times New Roman" w:cs="Times New Roman"/>
          <w:sz w:val="24"/>
          <w:szCs w:val="24"/>
        </w:rPr>
        <w:t xml:space="preserve">rupy, w szczególności znajdująca się na niższym szczeblu w jej strukturze, może nie posiadać danych niezbędnych do wypełnienia GIR. Zdecydowanie w lepszej pozycji w tym zakresie są jednostki znajdujące się wyżej w strukturze grupy, a w szczególności </w:t>
      </w:r>
      <w:r w:rsidR="00171480" w:rsidRPr="00633318">
        <w:rPr>
          <w:rFonts w:ascii="Times New Roman" w:hAnsi="Times New Roman" w:cs="Times New Roman"/>
          <w:sz w:val="24"/>
          <w:szCs w:val="24"/>
        </w:rPr>
        <w:t xml:space="preserve">jednostka dominująca najwyższego szczebla </w:t>
      </w:r>
      <w:r w:rsidRPr="00633318">
        <w:rPr>
          <w:rFonts w:ascii="Times New Roman" w:hAnsi="Times New Roman" w:cs="Times New Roman"/>
          <w:sz w:val="24"/>
          <w:szCs w:val="24"/>
        </w:rPr>
        <w:t xml:space="preserve">(znaczna </w:t>
      </w:r>
      <w:r w:rsidR="00F55AC0" w:rsidRPr="00633318">
        <w:rPr>
          <w:rFonts w:ascii="Times New Roman" w:hAnsi="Times New Roman" w:cs="Times New Roman"/>
          <w:sz w:val="24"/>
          <w:szCs w:val="24"/>
        </w:rPr>
        <w:t xml:space="preserve">część </w:t>
      </w:r>
      <w:r w:rsidRPr="00633318">
        <w:rPr>
          <w:rFonts w:ascii="Times New Roman" w:hAnsi="Times New Roman" w:cs="Times New Roman"/>
          <w:sz w:val="24"/>
          <w:szCs w:val="24"/>
        </w:rPr>
        <w:t xml:space="preserve">tych danych powinna być gromadzona dla potrzeb sporządzenia skonsolidowanego sprawozdania finansowego </w:t>
      </w:r>
      <w:r w:rsidR="00171480" w:rsidRPr="00633318">
        <w:rPr>
          <w:rFonts w:ascii="Times New Roman" w:hAnsi="Times New Roman" w:cs="Times New Roman"/>
          <w:sz w:val="24"/>
          <w:szCs w:val="24"/>
        </w:rPr>
        <w:t>g</w:t>
      </w:r>
      <w:r w:rsidRPr="00633318">
        <w:rPr>
          <w:rFonts w:ascii="Times New Roman" w:hAnsi="Times New Roman" w:cs="Times New Roman"/>
          <w:sz w:val="24"/>
          <w:szCs w:val="24"/>
        </w:rPr>
        <w:t xml:space="preserve">rupy).  </w:t>
      </w:r>
    </w:p>
    <w:p w14:paraId="19FDF051" w14:textId="043D5DE9"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W sytuacji, w której ułatwienie przewidziane w ust. </w:t>
      </w:r>
      <w:r w:rsidR="005946CA" w:rsidRPr="00633318">
        <w:rPr>
          <w:rFonts w:ascii="Times New Roman" w:hAnsi="Times New Roman" w:cs="Times New Roman"/>
          <w:sz w:val="24"/>
          <w:szCs w:val="24"/>
        </w:rPr>
        <w:t xml:space="preserve">4 </w:t>
      </w:r>
      <w:r w:rsidRPr="00633318">
        <w:rPr>
          <w:rFonts w:ascii="Times New Roman" w:hAnsi="Times New Roman" w:cs="Times New Roman"/>
          <w:sz w:val="24"/>
          <w:szCs w:val="24"/>
        </w:rPr>
        <w:t xml:space="preserve">znajdzie zastosowanie, co do zasady, jednostka składowa </w:t>
      </w:r>
      <w:r w:rsidR="0093189B" w:rsidRPr="00633318">
        <w:rPr>
          <w:rFonts w:ascii="Times New Roman" w:hAnsi="Times New Roman" w:cs="Times New Roman"/>
          <w:sz w:val="24"/>
          <w:szCs w:val="24"/>
        </w:rPr>
        <w:t>zlokalizowana</w:t>
      </w:r>
      <w:r w:rsidRPr="00633318">
        <w:rPr>
          <w:rFonts w:ascii="Times New Roman" w:hAnsi="Times New Roman" w:cs="Times New Roman"/>
          <w:sz w:val="24"/>
          <w:szCs w:val="24"/>
        </w:rPr>
        <w:t xml:space="preserve"> na terytorium </w:t>
      </w:r>
      <w:r w:rsidR="00171480" w:rsidRPr="00633318">
        <w:rPr>
          <w:rFonts w:ascii="Times New Roman" w:hAnsi="Times New Roman" w:cs="Times New Roman"/>
          <w:sz w:val="24"/>
          <w:szCs w:val="24"/>
        </w:rPr>
        <w:t xml:space="preserve">Rzeczypospolitej Polskiej </w:t>
      </w:r>
      <w:r w:rsidRPr="00633318">
        <w:rPr>
          <w:rFonts w:ascii="Times New Roman" w:hAnsi="Times New Roman" w:cs="Times New Roman"/>
          <w:sz w:val="24"/>
          <w:szCs w:val="24"/>
        </w:rPr>
        <w:t>będzie miała obowiązek wobec właściwego naczelnika urzędu skarbowego wskazania:</w:t>
      </w:r>
    </w:p>
    <w:p w14:paraId="3DF9022E" w14:textId="41486DCA" w:rsidR="0036037E" w:rsidRPr="00633318" w:rsidRDefault="0036037E" w:rsidP="002C7467">
      <w:pPr>
        <w:pStyle w:val="Akapitzlist"/>
        <w:widowControl w:val="0"/>
        <w:numPr>
          <w:ilvl w:val="0"/>
          <w:numId w:val="75"/>
        </w:numPr>
        <w:autoSpaceDE w:val="0"/>
        <w:autoSpaceDN w:val="0"/>
        <w:adjustRightInd w:val="0"/>
        <w:spacing w:line="256" w:lineRule="auto"/>
        <w:jc w:val="both"/>
        <w:rPr>
          <w:rFonts w:ascii="Times New Roman" w:hAnsi="Times New Roman" w:cs="Times New Roman"/>
          <w:sz w:val="24"/>
          <w:szCs w:val="24"/>
        </w:rPr>
      </w:pPr>
      <w:r w:rsidRPr="00633318">
        <w:rPr>
          <w:rFonts w:ascii="Times New Roman" w:hAnsi="Times New Roman" w:cs="Times New Roman"/>
          <w:sz w:val="24"/>
          <w:szCs w:val="24"/>
        </w:rPr>
        <w:t>jednostki zagranicznej (</w:t>
      </w:r>
      <w:r w:rsidR="00171480" w:rsidRPr="00633318">
        <w:rPr>
          <w:rFonts w:ascii="Times New Roman" w:hAnsi="Times New Roman" w:cs="Times New Roman"/>
          <w:sz w:val="24"/>
          <w:szCs w:val="24"/>
        </w:rPr>
        <w:t xml:space="preserve">jednostki dominującej najwyższego szczebla </w:t>
      </w:r>
      <w:r w:rsidRPr="00633318">
        <w:rPr>
          <w:rFonts w:ascii="Times New Roman" w:hAnsi="Times New Roman" w:cs="Times New Roman"/>
          <w:sz w:val="24"/>
          <w:szCs w:val="24"/>
        </w:rPr>
        <w:t xml:space="preserve">lub </w:t>
      </w:r>
      <w:r w:rsidR="00171480" w:rsidRPr="00633318">
        <w:rPr>
          <w:rFonts w:ascii="Times New Roman" w:hAnsi="Times New Roman" w:cs="Times New Roman"/>
          <w:sz w:val="24"/>
          <w:szCs w:val="24"/>
        </w:rPr>
        <w:t>wyznaczonej jednostki raportującej</w:t>
      </w:r>
      <w:r w:rsidRPr="00633318">
        <w:rPr>
          <w:rFonts w:ascii="Times New Roman" w:hAnsi="Times New Roman" w:cs="Times New Roman"/>
          <w:sz w:val="24"/>
          <w:szCs w:val="24"/>
        </w:rPr>
        <w:t xml:space="preserve">), która jest zobowiązana do złożenia GIR (w tym zakresie, dążąc do ograniczenia nadmiernego formalizmu, dopuszczono możliwość złożenia takiego zawiadomienia przez </w:t>
      </w:r>
      <w:r w:rsidR="007C076C" w:rsidRPr="00633318">
        <w:rPr>
          <w:rFonts w:ascii="Times New Roman" w:hAnsi="Times New Roman" w:cs="Times New Roman"/>
          <w:sz w:val="24"/>
          <w:szCs w:val="24"/>
        </w:rPr>
        <w:t xml:space="preserve">polską </w:t>
      </w:r>
      <w:r w:rsidRPr="00633318">
        <w:rPr>
          <w:rFonts w:ascii="Times New Roman" w:hAnsi="Times New Roman" w:cs="Times New Roman"/>
          <w:sz w:val="24"/>
          <w:szCs w:val="24"/>
        </w:rPr>
        <w:t xml:space="preserve">jednostkę składową grupy przed faktycznym złożeniem GIR przez zagraniczną </w:t>
      </w:r>
      <w:r w:rsidR="00171480" w:rsidRPr="00633318">
        <w:rPr>
          <w:rFonts w:ascii="Times New Roman" w:hAnsi="Times New Roman" w:cs="Times New Roman"/>
          <w:sz w:val="24"/>
          <w:szCs w:val="24"/>
        </w:rPr>
        <w:t>jednostkę</w:t>
      </w:r>
      <w:r w:rsidRPr="00633318">
        <w:rPr>
          <w:rFonts w:ascii="Times New Roman" w:hAnsi="Times New Roman" w:cs="Times New Roman"/>
          <w:sz w:val="24"/>
          <w:szCs w:val="24"/>
        </w:rPr>
        <w:t xml:space="preserve"> - co pozwoli tym jednostkom zagranicznym w pełni wykorzystać termin na złożenie GIR) oraz </w:t>
      </w:r>
    </w:p>
    <w:p w14:paraId="14D585BE" w14:textId="19C1CF17" w:rsidR="0036037E" w:rsidRPr="00633318" w:rsidRDefault="00E677F8" w:rsidP="002C7467">
      <w:pPr>
        <w:pStyle w:val="Akapitzlist"/>
        <w:widowControl w:val="0"/>
        <w:numPr>
          <w:ilvl w:val="0"/>
          <w:numId w:val="75"/>
        </w:numPr>
        <w:autoSpaceDE w:val="0"/>
        <w:autoSpaceDN w:val="0"/>
        <w:adjustRightInd w:val="0"/>
        <w:spacing w:line="256" w:lineRule="auto"/>
        <w:jc w:val="both"/>
        <w:rPr>
          <w:rFonts w:ascii="Times New Roman" w:hAnsi="Times New Roman" w:cs="Times New Roman"/>
          <w:sz w:val="24"/>
          <w:szCs w:val="24"/>
        </w:rPr>
      </w:pPr>
      <w:r w:rsidRPr="00633318">
        <w:rPr>
          <w:rFonts w:ascii="Times New Roman" w:hAnsi="Times New Roman" w:cs="Times New Roman"/>
          <w:sz w:val="24"/>
          <w:szCs w:val="24"/>
        </w:rPr>
        <w:t>jurysdykcji</w:t>
      </w:r>
      <w:r w:rsidR="0036037E" w:rsidRPr="00633318">
        <w:rPr>
          <w:rFonts w:ascii="Times New Roman" w:hAnsi="Times New Roman" w:cs="Times New Roman"/>
          <w:sz w:val="24"/>
          <w:szCs w:val="24"/>
        </w:rPr>
        <w:t xml:space="preserve">, w </w:t>
      </w:r>
      <w:r w:rsidRPr="00633318">
        <w:rPr>
          <w:rFonts w:ascii="Times New Roman" w:hAnsi="Times New Roman" w:cs="Times New Roman"/>
          <w:sz w:val="24"/>
          <w:szCs w:val="24"/>
        </w:rPr>
        <w:t xml:space="preserve">której </w:t>
      </w:r>
      <w:r w:rsidR="0036037E" w:rsidRPr="00633318">
        <w:rPr>
          <w:rFonts w:ascii="Times New Roman" w:hAnsi="Times New Roman" w:cs="Times New Roman"/>
          <w:sz w:val="24"/>
          <w:szCs w:val="24"/>
        </w:rPr>
        <w:t xml:space="preserve">taka jednostka raportująca </w:t>
      </w:r>
      <w:r w:rsidR="0093189B" w:rsidRPr="00633318">
        <w:rPr>
          <w:rFonts w:ascii="Times New Roman" w:hAnsi="Times New Roman" w:cs="Times New Roman"/>
          <w:sz w:val="24"/>
          <w:szCs w:val="24"/>
        </w:rPr>
        <w:t>jest zlokalizowana</w:t>
      </w:r>
      <w:r w:rsidR="0036037E" w:rsidRPr="00633318">
        <w:rPr>
          <w:rFonts w:ascii="Times New Roman" w:hAnsi="Times New Roman" w:cs="Times New Roman"/>
          <w:sz w:val="24"/>
          <w:szCs w:val="24"/>
        </w:rPr>
        <w:t xml:space="preserve">. </w:t>
      </w:r>
    </w:p>
    <w:p w14:paraId="5E787422" w14:textId="0C60C970"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Obowiązek ten przewidziany jest w </w:t>
      </w:r>
      <w:r w:rsidRPr="00633318">
        <w:rPr>
          <w:rFonts w:ascii="Times New Roman" w:hAnsi="Times New Roman" w:cs="Times New Roman"/>
          <w:b/>
          <w:sz w:val="24"/>
          <w:szCs w:val="24"/>
        </w:rPr>
        <w:t xml:space="preserve">ust. </w:t>
      </w:r>
      <w:r w:rsidR="005946CA" w:rsidRPr="00633318">
        <w:rPr>
          <w:rFonts w:ascii="Times New Roman" w:hAnsi="Times New Roman" w:cs="Times New Roman"/>
          <w:b/>
          <w:sz w:val="24"/>
          <w:szCs w:val="24"/>
        </w:rPr>
        <w:t>7</w:t>
      </w:r>
      <w:r w:rsidR="005946CA" w:rsidRPr="00633318">
        <w:rPr>
          <w:rFonts w:ascii="Times New Roman" w:hAnsi="Times New Roman" w:cs="Times New Roman"/>
          <w:sz w:val="24"/>
          <w:szCs w:val="24"/>
        </w:rPr>
        <w:t xml:space="preserve"> </w:t>
      </w:r>
      <w:r w:rsidRPr="00633318">
        <w:rPr>
          <w:rFonts w:ascii="Times New Roman" w:hAnsi="Times New Roman" w:cs="Times New Roman"/>
          <w:sz w:val="24"/>
          <w:szCs w:val="24"/>
        </w:rPr>
        <w:t>niniejszego artykułu. Termin na realizację tego obowiązku jest taki sam</w:t>
      </w:r>
      <w:r w:rsidR="00171480" w:rsidRPr="00633318">
        <w:rPr>
          <w:rFonts w:ascii="Times New Roman" w:hAnsi="Times New Roman" w:cs="Times New Roman"/>
          <w:sz w:val="24"/>
          <w:szCs w:val="24"/>
        </w:rPr>
        <w:t>,</w:t>
      </w:r>
      <w:r w:rsidRPr="00633318">
        <w:rPr>
          <w:rFonts w:ascii="Times New Roman" w:hAnsi="Times New Roman" w:cs="Times New Roman"/>
          <w:sz w:val="24"/>
          <w:szCs w:val="24"/>
        </w:rPr>
        <w:t xml:space="preserve"> jak w przypadku obowiązku złożenia Informacji GloBE i wynosi, co do zasady, 15 miesięcy po zakończeniu roku podatkowego </w:t>
      </w:r>
      <w:r w:rsidR="00CA0EDC" w:rsidRPr="00633318">
        <w:rPr>
          <w:rFonts w:ascii="Times New Roman" w:hAnsi="Times New Roman" w:cs="Times New Roman"/>
          <w:sz w:val="24"/>
          <w:szCs w:val="24"/>
        </w:rPr>
        <w:t>(</w:t>
      </w:r>
      <w:r w:rsidRPr="00633318">
        <w:rPr>
          <w:rFonts w:ascii="Times New Roman" w:hAnsi="Times New Roman" w:cs="Times New Roman"/>
          <w:sz w:val="24"/>
          <w:szCs w:val="24"/>
        </w:rPr>
        <w:t>z wyjątkiem zawiadomienia dotyczącego pierwszego roku w</w:t>
      </w:r>
      <w:r w:rsidR="00CA0EDC" w:rsidRPr="00633318">
        <w:rPr>
          <w:rFonts w:ascii="Times New Roman" w:hAnsi="Times New Roman" w:cs="Times New Roman"/>
          <w:sz w:val="24"/>
          <w:szCs w:val="24"/>
        </w:rPr>
        <w:t> rozumieniu projektu,</w:t>
      </w:r>
      <w:r w:rsidRPr="00633318">
        <w:rPr>
          <w:rFonts w:ascii="Times New Roman" w:hAnsi="Times New Roman" w:cs="Times New Roman"/>
          <w:sz w:val="24"/>
          <w:szCs w:val="24"/>
        </w:rPr>
        <w:t xml:space="preserve"> </w:t>
      </w:r>
      <w:r w:rsidR="00CA0EDC" w:rsidRPr="00633318">
        <w:rPr>
          <w:rFonts w:ascii="Times New Roman" w:hAnsi="Times New Roman" w:cs="Times New Roman"/>
          <w:sz w:val="24"/>
          <w:szCs w:val="24"/>
        </w:rPr>
        <w:t xml:space="preserve">w przypadku którego </w:t>
      </w:r>
      <w:r w:rsidRPr="00633318">
        <w:rPr>
          <w:rFonts w:ascii="Times New Roman" w:hAnsi="Times New Roman" w:cs="Times New Roman"/>
          <w:sz w:val="24"/>
          <w:szCs w:val="24"/>
        </w:rPr>
        <w:t>termin ten wynosi 18 miesięcy</w:t>
      </w:r>
      <w:r w:rsidR="00CA0EDC"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p>
    <w:p w14:paraId="4E0C1956" w14:textId="498D7D86"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Podobnie</w:t>
      </w:r>
      <w:r w:rsidR="00171480" w:rsidRPr="00633318">
        <w:rPr>
          <w:rFonts w:ascii="Times New Roman" w:hAnsi="Times New Roman" w:cs="Times New Roman"/>
          <w:sz w:val="24"/>
          <w:szCs w:val="24"/>
        </w:rPr>
        <w:t>,</w:t>
      </w:r>
      <w:r w:rsidRPr="00633318">
        <w:rPr>
          <w:rFonts w:ascii="Times New Roman" w:hAnsi="Times New Roman" w:cs="Times New Roman"/>
          <w:sz w:val="24"/>
          <w:szCs w:val="24"/>
        </w:rPr>
        <w:t xml:space="preserve"> jak w przypadku złożenia Informacji GloBE, takie jednostki składowe </w:t>
      </w:r>
      <w:r w:rsidR="0093189B" w:rsidRPr="00633318">
        <w:rPr>
          <w:rFonts w:ascii="Times New Roman" w:hAnsi="Times New Roman" w:cs="Times New Roman"/>
          <w:sz w:val="24"/>
          <w:szCs w:val="24"/>
        </w:rPr>
        <w:t>zlokalizowane</w:t>
      </w:r>
      <w:r w:rsidRPr="00633318">
        <w:rPr>
          <w:rFonts w:ascii="Times New Roman" w:hAnsi="Times New Roman" w:cs="Times New Roman"/>
          <w:sz w:val="24"/>
          <w:szCs w:val="24"/>
        </w:rPr>
        <w:t xml:space="preserve"> </w:t>
      </w:r>
      <w:r w:rsidR="00A3072D" w:rsidRPr="00633318">
        <w:rPr>
          <w:rFonts w:ascii="Times New Roman" w:hAnsi="Times New Roman" w:cs="Times New Roman"/>
          <w:sz w:val="24"/>
          <w:szCs w:val="24"/>
        </w:rPr>
        <w:t xml:space="preserve">na terytorium </w:t>
      </w:r>
      <w:r w:rsidR="007C076C" w:rsidRPr="00633318">
        <w:rPr>
          <w:rFonts w:ascii="Times New Roman" w:hAnsi="Times New Roman" w:cs="Times New Roman"/>
          <w:sz w:val="24"/>
          <w:szCs w:val="24"/>
        </w:rPr>
        <w:t>Rzecz</w:t>
      </w:r>
      <w:r w:rsidR="00A3072D" w:rsidRPr="00633318">
        <w:rPr>
          <w:rFonts w:ascii="Times New Roman" w:hAnsi="Times New Roman" w:cs="Times New Roman"/>
          <w:sz w:val="24"/>
          <w:szCs w:val="24"/>
        </w:rPr>
        <w:t>y</w:t>
      </w:r>
      <w:r w:rsidR="007C076C" w:rsidRPr="00633318">
        <w:rPr>
          <w:rFonts w:ascii="Times New Roman" w:hAnsi="Times New Roman" w:cs="Times New Roman"/>
          <w:sz w:val="24"/>
          <w:szCs w:val="24"/>
        </w:rPr>
        <w:t xml:space="preserve">pospolitej Polskiej </w:t>
      </w:r>
      <w:r w:rsidRPr="00633318">
        <w:rPr>
          <w:rFonts w:ascii="Times New Roman" w:hAnsi="Times New Roman" w:cs="Times New Roman"/>
          <w:sz w:val="24"/>
          <w:szCs w:val="24"/>
        </w:rPr>
        <w:t>będą mogły upoważnić do wykonania tego obowiązku jedną z nich</w:t>
      </w:r>
      <w:r w:rsidR="00F55AC0" w:rsidRPr="00633318">
        <w:rPr>
          <w:rFonts w:ascii="Times New Roman" w:hAnsi="Times New Roman" w:cs="Times New Roman"/>
          <w:sz w:val="24"/>
          <w:szCs w:val="24"/>
        </w:rPr>
        <w:t>,</w:t>
      </w:r>
      <w:r w:rsidRPr="00633318">
        <w:rPr>
          <w:rFonts w:ascii="Times New Roman" w:hAnsi="Times New Roman" w:cs="Times New Roman"/>
          <w:sz w:val="24"/>
          <w:szCs w:val="24"/>
        </w:rPr>
        <w:t xml:space="preserve"> tj. </w:t>
      </w:r>
      <w:r w:rsidR="00171480" w:rsidRPr="00633318">
        <w:rPr>
          <w:rFonts w:ascii="Times New Roman" w:hAnsi="Times New Roman" w:cs="Times New Roman"/>
          <w:sz w:val="24"/>
          <w:szCs w:val="24"/>
        </w:rPr>
        <w:t>w</w:t>
      </w:r>
      <w:r w:rsidRPr="00633318">
        <w:rPr>
          <w:rFonts w:ascii="Times New Roman" w:hAnsi="Times New Roman" w:cs="Times New Roman"/>
          <w:sz w:val="24"/>
          <w:szCs w:val="24"/>
        </w:rPr>
        <w:t xml:space="preserve">yznaczoną </w:t>
      </w:r>
      <w:r w:rsidR="00171480" w:rsidRPr="00633318">
        <w:rPr>
          <w:rFonts w:ascii="Times New Roman" w:hAnsi="Times New Roman" w:cs="Times New Roman"/>
          <w:sz w:val="24"/>
          <w:szCs w:val="24"/>
        </w:rPr>
        <w:t>j</w:t>
      </w:r>
      <w:r w:rsidRPr="00633318">
        <w:rPr>
          <w:rFonts w:ascii="Times New Roman" w:hAnsi="Times New Roman" w:cs="Times New Roman"/>
          <w:sz w:val="24"/>
          <w:szCs w:val="24"/>
        </w:rPr>
        <w:t xml:space="preserve">ednostkę </w:t>
      </w:r>
      <w:r w:rsidR="00171480" w:rsidRPr="00633318">
        <w:rPr>
          <w:rFonts w:ascii="Times New Roman" w:hAnsi="Times New Roman" w:cs="Times New Roman"/>
          <w:sz w:val="24"/>
          <w:szCs w:val="24"/>
        </w:rPr>
        <w:t>krajową</w:t>
      </w:r>
      <w:r w:rsidRPr="00633318">
        <w:rPr>
          <w:rFonts w:ascii="Times New Roman" w:hAnsi="Times New Roman" w:cs="Times New Roman"/>
          <w:sz w:val="24"/>
          <w:szCs w:val="24"/>
        </w:rPr>
        <w:t xml:space="preserve">. Należy założyć, iż przymiot </w:t>
      </w:r>
      <w:r w:rsidR="00171480" w:rsidRPr="00633318">
        <w:rPr>
          <w:rFonts w:ascii="Times New Roman" w:hAnsi="Times New Roman" w:cs="Times New Roman"/>
          <w:sz w:val="24"/>
          <w:szCs w:val="24"/>
        </w:rPr>
        <w:t xml:space="preserve">wyznaczonej jednostki krajowej </w:t>
      </w:r>
      <w:r w:rsidRPr="00633318">
        <w:rPr>
          <w:rFonts w:ascii="Times New Roman" w:hAnsi="Times New Roman" w:cs="Times New Roman"/>
          <w:sz w:val="24"/>
          <w:szCs w:val="24"/>
        </w:rPr>
        <w:t xml:space="preserve">może przysługiwać wyłącznie jednej i tej samej jednostce składowej w odniesieniu do obu wskazanych obowiązków, jakie może ona wykonać w imieniu pozostałych jednostek składowych (z ust. 1 i ust. </w:t>
      </w:r>
      <w:r w:rsidR="005946CA" w:rsidRPr="00633318">
        <w:rPr>
          <w:rFonts w:ascii="Times New Roman" w:hAnsi="Times New Roman" w:cs="Times New Roman"/>
          <w:sz w:val="24"/>
          <w:szCs w:val="24"/>
        </w:rPr>
        <w:t>7</w:t>
      </w:r>
      <w:r w:rsidRPr="00633318">
        <w:rPr>
          <w:rFonts w:ascii="Times New Roman" w:hAnsi="Times New Roman" w:cs="Times New Roman"/>
          <w:sz w:val="24"/>
          <w:szCs w:val="24"/>
        </w:rPr>
        <w:t xml:space="preserve">).  </w:t>
      </w:r>
    </w:p>
    <w:p w14:paraId="4134E20B" w14:textId="2471AACA" w:rsidR="0036037E" w:rsidRPr="00633318" w:rsidRDefault="0036037E" w:rsidP="0003112F">
      <w:pPr>
        <w:jc w:val="both"/>
        <w:rPr>
          <w:rFonts w:ascii="Times New Roman" w:hAnsi="Times New Roman" w:cs="Times New Roman"/>
          <w:sz w:val="24"/>
          <w:szCs w:val="24"/>
        </w:rPr>
      </w:pPr>
      <w:r w:rsidRPr="00633318">
        <w:rPr>
          <w:rFonts w:ascii="Times New Roman" w:hAnsi="Times New Roman" w:cs="Times New Roman"/>
          <w:sz w:val="24"/>
          <w:szCs w:val="24"/>
        </w:rPr>
        <w:t xml:space="preserve">Przepis </w:t>
      </w:r>
      <w:r w:rsidRPr="00633318">
        <w:rPr>
          <w:rFonts w:ascii="Times New Roman" w:hAnsi="Times New Roman" w:cs="Times New Roman"/>
          <w:b/>
          <w:sz w:val="24"/>
          <w:szCs w:val="24"/>
        </w:rPr>
        <w:t xml:space="preserve">ust. </w:t>
      </w:r>
      <w:r w:rsidR="005946CA" w:rsidRPr="00633318">
        <w:rPr>
          <w:rFonts w:ascii="Times New Roman" w:hAnsi="Times New Roman" w:cs="Times New Roman"/>
          <w:b/>
          <w:sz w:val="24"/>
          <w:szCs w:val="24"/>
        </w:rPr>
        <w:t>8</w:t>
      </w:r>
      <w:r w:rsidR="005946CA" w:rsidRPr="00633318">
        <w:rPr>
          <w:rFonts w:ascii="Times New Roman" w:hAnsi="Times New Roman" w:cs="Times New Roman"/>
          <w:sz w:val="24"/>
          <w:szCs w:val="24"/>
        </w:rPr>
        <w:t xml:space="preserve"> </w:t>
      </w:r>
      <w:r w:rsidRPr="00633318">
        <w:rPr>
          <w:rFonts w:ascii="Times New Roman" w:hAnsi="Times New Roman" w:cs="Times New Roman"/>
          <w:sz w:val="24"/>
          <w:szCs w:val="24"/>
        </w:rPr>
        <w:t>nakłada na Ministra Finansów obowiązek udostępnienia wzoru Informacji GloBE w </w:t>
      </w:r>
      <w:r w:rsidR="00BC02C1" w:rsidRPr="00633318">
        <w:rPr>
          <w:rFonts w:ascii="Times New Roman" w:hAnsi="Times New Roman" w:cs="Times New Roman"/>
          <w:sz w:val="24"/>
          <w:szCs w:val="24"/>
        </w:rPr>
        <w:t>BIP</w:t>
      </w:r>
      <w:r w:rsidRPr="00633318">
        <w:rPr>
          <w:rFonts w:ascii="Times New Roman" w:hAnsi="Times New Roman" w:cs="Times New Roman"/>
          <w:sz w:val="24"/>
          <w:szCs w:val="24"/>
        </w:rPr>
        <w:t xml:space="preserve">. Z kolei </w:t>
      </w:r>
      <w:r w:rsidRPr="00633318">
        <w:rPr>
          <w:rFonts w:ascii="Times New Roman" w:hAnsi="Times New Roman" w:cs="Times New Roman"/>
          <w:b/>
          <w:sz w:val="24"/>
          <w:szCs w:val="24"/>
        </w:rPr>
        <w:t xml:space="preserve">ust. </w:t>
      </w:r>
      <w:r w:rsidR="005946CA" w:rsidRPr="00633318">
        <w:rPr>
          <w:rFonts w:ascii="Times New Roman" w:hAnsi="Times New Roman" w:cs="Times New Roman"/>
          <w:b/>
          <w:sz w:val="24"/>
          <w:szCs w:val="24"/>
        </w:rPr>
        <w:t>9</w:t>
      </w:r>
      <w:r w:rsidRPr="00633318">
        <w:rPr>
          <w:rFonts w:ascii="Times New Roman" w:hAnsi="Times New Roman" w:cs="Times New Roman"/>
          <w:sz w:val="24"/>
          <w:szCs w:val="24"/>
        </w:rPr>
        <w:t xml:space="preserve">, implementując </w:t>
      </w:r>
      <w:r w:rsidR="00696BBC" w:rsidRPr="00633318">
        <w:rPr>
          <w:rFonts w:ascii="Times New Roman" w:hAnsi="Times New Roman" w:cs="Times New Roman"/>
          <w:sz w:val="24"/>
          <w:szCs w:val="24"/>
        </w:rPr>
        <w:t xml:space="preserve">art. 44 </w:t>
      </w:r>
      <w:r w:rsidRPr="00633318">
        <w:rPr>
          <w:rFonts w:ascii="Times New Roman" w:hAnsi="Times New Roman" w:cs="Times New Roman"/>
          <w:sz w:val="24"/>
          <w:szCs w:val="24"/>
        </w:rPr>
        <w:t>ust. 5 i 6 Dyrektyw</w:t>
      </w:r>
      <w:r w:rsidR="008B225D" w:rsidRPr="00633318">
        <w:rPr>
          <w:rFonts w:ascii="Times New Roman" w:hAnsi="Times New Roman" w:cs="Times New Roman"/>
          <w:sz w:val="24"/>
          <w:szCs w:val="24"/>
        </w:rPr>
        <w:t>y</w:t>
      </w:r>
      <w:r w:rsidRPr="00633318">
        <w:rPr>
          <w:rFonts w:ascii="Times New Roman" w:hAnsi="Times New Roman" w:cs="Times New Roman"/>
          <w:sz w:val="24"/>
          <w:szCs w:val="24"/>
        </w:rPr>
        <w:t xml:space="preserve">, wymienia podstawowe elementy, jakie taka </w:t>
      </w:r>
      <w:r w:rsidR="00D07F97" w:rsidRPr="00633318">
        <w:rPr>
          <w:rFonts w:ascii="Times New Roman" w:hAnsi="Times New Roman" w:cs="Times New Roman"/>
          <w:sz w:val="24"/>
          <w:szCs w:val="24"/>
        </w:rPr>
        <w:t>informacja</w:t>
      </w:r>
      <w:r w:rsidRPr="00633318">
        <w:rPr>
          <w:rFonts w:ascii="Times New Roman" w:hAnsi="Times New Roman" w:cs="Times New Roman"/>
          <w:sz w:val="24"/>
          <w:szCs w:val="24"/>
        </w:rPr>
        <w:t xml:space="preserve"> będzie zawierać. Są to przede wszystkim pozycje umożliwiające prawidłowe wykonanie obowiązku obliczenia podatków wyrównawczych (w tym poszczególnych elementów niezbędnych do dokonania ich wyliczenia - takich jak </w:t>
      </w:r>
      <w:r w:rsidR="00660F13" w:rsidRPr="00633318">
        <w:rPr>
          <w:rFonts w:ascii="Times New Roman" w:hAnsi="Times New Roman" w:cs="Times New Roman"/>
          <w:sz w:val="24"/>
          <w:szCs w:val="24"/>
        </w:rPr>
        <w:t xml:space="preserve">kwalifikowany dochód </w:t>
      </w:r>
      <w:r w:rsidRPr="00633318">
        <w:rPr>
          <w:rFonts w:ascii="Times New Roman" w:hAnsi="Times New Roman" w:cs="Times New Roman"/>
          <w:sz w:val="24"/>
          <w:szCs w:val="24"/>
        </w:rPr>
        <w:t>poszczególnych jednostek składowych, czy też jurysdykcyjn</w:t>
      </w:r>
      <w:r w:rsidR="00171480" w:rsidRPr="00633318">
        <w:rPr>
          <w:rFonts w:ascii="Times New Roman" w:hAnsi="Times New Roman" w:cs="Times New Roman"/>
          <w:sz w:val="24"/>
          <w:szCs w:val="24"/>
        </w:rPr>
        <w:t>a</w:t>
      </w:r>
      <w:r w:rsidRPr="00633318">
        <w:rPr>
          <w:rFonts w:ascii="Times New Roman" w:hAnsi="Times New Roman" w:cs="Times New Roman"/>
          <w:sz w:val="24"/>
          <w:szCs w:val="24"/>
        </w:rPr>
        <w:t xml:space="preserve"> </w:t>
      </w:r>
      <w:r w:rsidR="00171480" w:rsidRPr="00633318">
        <w:rPr>
          <w:rFonts w:ascii="Times New Roman" w:hAnsi="Times New Roman" w:cs="Times New Roman"/>
          <w:sz w:val="24"/>
          <w:szCs w:val="24"/>
        </w:rPr>
        <w:t>efektywna stawka podatkowa</w:t>
      </w:r>
      <w:r w:rsidRPr="00633318">
        <w:rPr>
          <w:rFonts w:ascii="Times New Roman" w:hAnsi="Times New Roman" w:cs="Times New Roman"/>
          <w:sz w:val="24"/>
          <w:szCs w:val="24"/>
        </w:rPr>
        <w:t xml:space="preserve">), jak również dane identyfikacyjne poszczególnych jednostek składowych, ich rodzaj (status) na gruncie ustawy i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ystemu GloBE, ogólny schemat grupy (obejmujący również umiejscowienie w tej strukturze jednostek wyłączonych) oraz informacja o wyborach dokonanych zgodnie z ustawą.</w:t>
      </w:r>
    </w:p>
    <w:p w14:paraId="24D085C2" w14:textId="3DD93336" w:rsidR="0036037E" w:rsidRPr="00633318" w:rsidRDefault="0036037E" w:rsidP="0003112F">
      <w:pPr>
        <w:jc w:val="both"/>
        <w:rPr>
          <w:rFonts w:ascii="Times New Roman" w:hAnsi="Times New Roman" w:cs="Times New Roman"/>
          <w:sz w:val="24"/>
          <w:szCs w:val="24"/>
        </w:rPr>
      </w:pPr>
      <w:r w:rsidRPr="00633318">
        <w:rPr>
          <w:rFonts w:ascii="Times New Roman" w:hAnsi="Times New Roman" w:cs="Times New Roman"/>
          <w:sz w:val="24"/>
          <w:szCs w:val="24"/>
        </w:rPr>
        <w:t>Jak wskazano na wstępie uzasadnienia do niniejszego artykułu, wzór Informacji</w:t>
      </w:r>
      <w:r w:rsidR="00E57C6A" w:rsidRPr="00633318">
        <w:rPr>
          <w:rFonts w:ascii="Times New Roman" w:hAnsi="Times New Roman" w:cs="Times New Roman"/>
          <w:sz w:val="24"/>
          <w:szCs w:val="24"/>
        </w:rPr>
        <w:t xml:space="preserve"> GloBE</w:t>
      </w:r>
      <w:r w:rsidRPr="00633318">
        <w:rPr>
          <w:rFonts w:ascii="Times New Roman" w:hAnsi="Times New Roman" w:cs="Times New Roman"/>
          <w:sz w:val="24"/>
          <w:szCs w:val="24"/>
        </w:rPr>
        <w:t xml:space="preserve"> ma charakter uniwersalny i ustrukturyzowany na poziomie OECD. Struktura ta zostanie zachowana przy transponowaniu GIR na grunt krajowy, gdyż jest to niezbędne w celu zapewnienia wykonalności procesu automatycznej wymiany danych z GIR pomiędzy administracjami podatkowymi poszczególnych </w:t>
      </w:r>
      <w:r w:rsidR="00E677F8" w:rsidRPr="00633318">
        <w:rPr>
          <w:rFonts w:ascii="Times New Roman" w:hAnsi="Times New Roman" w:cs="Times New Roman"/>
          <w:sz w:val="24"/>
          <w:szCs w:val="24"/>
        </w:rPr>
        <w:t>jurysdykcji</w:t>
      </w:r>
      <w:r w:rsidRPr="00633318">
        <w:rPr>
          <w:rFonts w:ascii="Times New Roman" w:hAnsi="Times New Roman" w:cs="Times New Roman"/>
          <w:sz w:val="24"/>
          <w:szCs w:val="24"/>
        </w:rPr>
        <w:t>.</w:t>
      </w:r>
    </w:p>
    <w:p w14:paraId="6EA81B12" w14:textId="4E0B5CB8" w:rsidR="0036037E" w:rsidRPr="00633318" w:rsidRDefault="0036037E" w:rsidP="0003112F">
      <w:pPr>
        <w:jc w:val="both"/>
        <w:rPr>
          <w:rFonts w:ascii="Times New Roman" w:hAnsi="Times New Roman" w:cs="Times New Roman"/>
          <w:sz w:val="24"/>
          <w:szCs w:val="24"/>
        </w:rPr>
      </w:pPr>
      <w:r w:rsidRPr="00633318">
        <w:rPr>
          <w:rFonts w:ascii="Times New Roman" w:hAnsi="Times New Roman" w:cs="Times New Roman"/>
          <w:sz w:val="24"/>
          <w:szCs w:val="24"/>
        </w:rPr>
        <w:t xml:space="preserve">Jak wynika z </w:t>
      </w:r>
      <w:r w:rsidR="00595132" w:rsidRPr="00633318">
        <w:rPr>
          <w:rFonts w:ascii="Times New Roman" w:hAnsi="Times New Roman" w:cs="Times New Roman"/>
          <w:sz w:val="24"/>
          <w:szCs w:val="24"/>
        </w:rPr>
        <w:t>Modelowych zasad</w:t>
      </w:r>
      <w:r w:rsidR="00171480" w:rsidRPr="00633318">
        <w:rPr>
          <w:rFonts w:ascii="Times New Roman" w:hAnsi="Times New Roman" w:cs="Times New Roman"/>
          <w:sz w:val="24"/>
          <w:szCs w:val="24"/>
        </w:rPr>
        <w:t xml:space="preserve"> OECD</w:t>
      </w:r>
      <w:r w:rsidRPr="00633318">
        <w:rPr>
          <w:rFonts w:ascii="Times New Roman" w:hAnsi="Times New Roman" w:cs="Times New Roman"/>
          <w:sz w:val="24"/>
          <w:szCs w:val="24"/>
        </w:rPr>
        <w:t xml:space="preserve">, informacje wymagane w GIR mogą zostać w przyszłości doprecyzowane, rozszerzone lub ograniczone, zgodnie z ramami wdrażania </w:t>
      </w:r>
      <w:r w:rsidR="00171480" w:rsidRPr="00633318">
        <w:rPr>
          <w:rFonts w:ascii="Times New Roman" w:hAnsi="Times New Roman" w:cs="Times New Roman"/>
          <w:sz w:val="24"/>
          <w:szCs w:val="24"/>
        </w:rPr>
        <w:t xml:space="preserve">Zasad </w:t>
      </w:r>
      <w:r w:rsidRPr="00633318">
        <w:rPr>
          <w:rFonts w:ascii="Times New Roman" w:hAnsi="Times New Roman" w:cs="Times New Roman"/>
          <w:sz w:val="24"/>
          <w:szCs w:val="24"/>
        </w:rPr>
        <w:t>GloBE, w tym poprzez opracowanie uproszczonych procedur sprawozdawczych.</w:t>
      </w:r>
    </w:p>
    <w:p w14:paraId="12D5BE93" w14:textId="387CDA0B" w:rsidR="007C076C" w:rsidRPr="00633318" w:rsidRDefault="007C076C" w:rsidP="0003112F">
      <w:pPr>
        <w:jc w:val="both"/>
        <w:rPr>
          <w:rFonts w:ascii="Times New Roman" w:hAnsi="Times New Roman" w:cs="Times New Roman"/>
          <w:sz w:val="24"/>
          <w:szCs w:val="24"/>
        </w:rPr>
      </w:pPr>
      <w:r w:rsidRPr="00633318">
        <w:rPr>
          <w:rFonts w:ascii="Times New Roman" w:hAnsi="Times New Roman" w:cs="Times New Roman"/>
          <w:sz w:val="24"/>
          <w:szCs w:val="24"/>
        </w:rPr>
        <w:t xml:space="preserve">Jak wskazano już wcześniej, </w:t>
      </w:r>
      <w:r w:rsidRPr="00633318">
        <w:rPr>
          <w:rFonts w:ascii="Times New Roman" w:hAnsi="Times New Roman" w:cs="Times New Roman"/>
          <w:b/>
          <w:bCs/>
          <w:sz w:val="24"/>
          <w:szCs w:val="24"/>
        </w:rPr>
        <w:t>ust. 10</w:t>
      </w:r>
      <w:r w:rsidRPr="00633318">
        <w:rPr>
          <w:rFonts w:ascii="Times New Roman" w:hAnsi="Times New Roman" w:cs="Times New Roman"/>
          <w:sz w:val="24"/>
          <w:szCs w:val="24"/>
        </w:rPr>
        <w:t xml:space="preserve"> wprowadza odstępstwo w zakresie terminu składania Informacji GloBE </w:t>
      </w:r>
      <w:r w:rsidR="00660F13" w:rsidRPr="00633318">
        <w:rPr>
          <w:rFonts w:ascii="Times New Roman" w:hAnsi="Times New Roman" w:cs="Times New Roman"/>
          <w:sz w:val="24"/>
          <w:szCs w:val="24"/>
        </w:rPr>
        <w:t xml:space="preserve">lub </w:t>
      </w:r>
      <w:r w:rsidR="00E57C6A" w:rsidRPr="00633318">
        <w:rPr>
          <w:rFonts w:ascii="Times New Roman" w:hAnsi="Times New Roman" w:cs="Times New Roman"/>
          <w:sz w:val="24"/>
          <w:szCs w:val="24"/>
        </w:rPr>
        <w:t>złożenia zawiadomienia</w:t>
      </w:r>
      <w:r w:rsidRPr="00633318">
        <w:rPr>
          <w:rFonts w:ascii="Times New Roman" w:hAnsi="Times New Roman" w:cs="Times New Roman"/>
          <w:sz w:val="24"/>
          <w:szCs w:val="24"/>
        </w:rPr>
        <w:t>, o który</w:t>
      </w:r>
      <w:r w:rsidR="00E57C6A" w:rsidRPr="00633318">
        <w:rPr>
          <w:rFonts w:ascii="Times New Roman" w:hAnsi="Times New Roman" w:cs="Times New Roman"/>
          <w:sz w:val="24"/>
          <w:szCs w:val="24"/>
        </w:rPr>
        <w:t>m</w:t>
      </w:r>
      <w:r w:rsidRPr="00633318">
        <w:rPr>
          <w:rFonts w:ascii="Times New Roman" w:hAnsi="Times New Roman" w:cs="Times New Roman"/>
          <w:sz w:val="24"/>
          <w:szCs w:val="24"/>
        </w:rPr>
        <w:t xml:space="preserve"> mowa w ust. 7, w odniesieniu do pierwszego roku stosowania </w:t>
      </w:r>
      <w:r w:rsidR="005332B9" w:rsidRPr="00633318">
        <w:rPr>
          <w:rFonts w:ascii="Times New Roman" w:hAnsi="Times New Roman" w:cs="Times New Roman"/>
          <w:sz w:val="24"/>
          <w:szCs w:val="24"/>
        </w:rPr>
        <w:t xml:space="preserve">Zasad GloBE </w:t>
      </w:r>
      <w:r w:rsidRPr="00633318">
        <w:rPr>
          <w:rFonts w:ascii="Times New Roman" w:hAnsi="Times New Roman" w:cs="Times New Roman"/>
          <w:sz w:val="24"/>
          <w:szCs w:val="24"/>
        </w:rPr>
        <w:t>przez daną grupę</w:t>
      </w:r>
      <w:r w:rsidR="005332B9" w:rsidRPr="00633318">
        <w:rPr>
          <w:rFonts w:ascii="Times New Roman" w:hAnsi="Times New Roman" w:cs="Times New Roman"/>
          <w:sz w:val="24"/>
          <w:szCs w:val="24"/>
        </w:rPr>
        <w:t xml:space="preserve"> w odniesieniu do jej jednostek składowych zlokalizowanych w Polsce (w zakresie rozumienia pojęcia „pierwszego roku podatkowego” przepis ust. 10 odsyła do art. 130 proje</w:t>
      </w:r>
      <w:r w:rsidR="00BC02C1" w:rsidRPr="00633318">
        <w:rPr>
          <w:rFonts w:ascii="Times New Roman" w:hAnsi="Times New Roman" w:cs="Times New Roman"/>
          <w:sz w:val="24"/>
          <w:szCs w:val="24"/>
        </w:rPr>
        <w:t>k</w:t>
      </w:r>
      <w:r w:rsidR="005332B9" w:rsidRPr="00633318">
        <w:rPr>
          <w:rFonts w:ascii="Times New Roman" w:hAnsi="Times New Roman" w:cs="Times New Roman"/>
          <w:sz w:val="24"/>
          <w:szCs w:val="24"/>
        </w:rPr>
        <w:t>tu)</w:t>
      </w:r>
      <w:r w:rsidRPr="00633318">
        <w:rPr>
          <w:rFonts w:ascii="Times New Roman" w:hAnsi="Times New Roman" w:cs="Times New Roman"/>
          <w:sz w:val="24"/>
          <w:szCs w:val="24"/>
        </w:rPr>
        <w:t>. Zgodnie z tym przepisem termin te</w:t>
      </w:r>
      <w:r w:rsidR="00BC02C1" w:rsidRPr="00633318">
        <w:rPr>
          <w:rFonts w:ascii="Times New Roman" w:hAnsi="Times New Roman" w:cs="Times New Roman"/>
          <w:sz w:val="24"/>
          <w:szCs w:val="24"/>
        </w:rPr>
        <w:t>n</w:t>
      </w:r>
      <w:r w:rsidRPr="00633318">
        <w:rPr>
          <w:rFonts w:ascii="Times New Roman" w:hAnsi="Times New Roman" w:cs="Times New Roman"/>
          <w:sz w:val="24"/>
          <w:szCs w:val="24"/>
        </w:rPr>
        <w:t xml:space="preserve"> wynos</w:t>
      </w:r>
      <w:r w:rsidR="00BC02C1" w:rsidRPr="00633318">
        <w:rPr>
          <w:rFonts w:ascii="Times New Roman" w:hAnsi="Times New Roman" w:cs="Times New Roman"/>
          <w:sz w:val="24"/>
          <w:szCs w:val="24"/>
        </w:rPr>
        <w:t>i</w:t>
      </w:r>
      <w:r w:rsidRPr="00633318">
        <w:rPr>
          <w:rFonts w:ascii="Times New Roman" w:hAnsi="Times New Roman" w:cs="Times New Roman"/>
          <w:sz w:val="24"/>
          <w:szCs w:val="24"/>
        </w:rPr>
        <w:t xml:space="preserve"> 18 miesięcy od zakończenia takiego roku podatkowego, co oznacza że </w:t>
      </w:r>
      <w:r w:rsidR="00BC02C1" w:rsidRPr="00633318">
        <w:rPr>
          <w:rFonts w:ascii="Times New Roman" w:hAnsi="Times New Roman" w:cs="Times New Roman"/>
          <w:sz w:val="24"/>
          <w:szCs w:val="24"/>
        </w:rPr>
        <w:t>jest</w:t>
      </w:r>
      <w:r w:rsidRPr="00633318">
        <w:rPr>
          <w:rFonts w:ascii="Times New Roman" w:hAnsi="Times New Roman" w:cs="Times New Roman"/>
          <w:sz w:val="24"/>
          <w:szCs w:val="24"/>
        </w:rPr>
        <w:t xml:space="preserve"> dłuższ</w:t>
      </w:r>
      <w:r w:rsidR="00BC02C1" w:rsidRPr="00633318">
        <w:rPr>
          <w:rFonts w:ascii="Times New Roman" w:hAnsi="Times New Roman" w:cs="Times New Roman"/>
          <w:sz w:val="24"/>
          <w:szCs w:val="24"/>
        </w:rPr>
        <w:t>y</w:t>
      </w:r>
      <w:r w:rsidRPr="00633318">
        <w:rPr>
          <w:rFonts w:ascii="Times New Roman" w:hAnsi="Times New Roman" w:cs="Times New Roman"/>
          <w:sz w:val="24"/>
          <w:szCs w:val="24"/>
        </w:rPr>
        <w:t xml:space="preserve"> o 3 miesiące w stosunku do standardow</w:t>
      </w:r>
      <w:r w:rsidR="00BC02C1" w:rsidRPr="00633318">
        <w:rPr>
          <w:rFonts w:ascii="Times New Roman" w:hAnsi="Times New Roman" w:cs="Times New Roman"/>
          <w:sz w:val="24"/>
          <w:szCs w:val="24"/>
        </w:rPr>
        <w:t>ego</w:t>
      </w:r>
      <w:r w:rsidRPr="00633318">
        <w:rPr>
          <w:rFonts w:ascii="Times New Roman" w:hAnsi="Times New Roman" w:cs="Times New Roman"/>
          <w:sz w:val="24"/>
          <w:szCs w:val="24"/>
        </w:rPr>
        <w:t xml:space="preserve"> termin</w:t>
      </w:r>
      <w:r w:rsidR="00BC02C1" w:rsidRPr="00633318">
        <w:rPr>
          <w:rFonts w:ascii="Times New Roman" w:hAnsi="Times New Roman" w:cs="Times New Roman"/>
          <w:sz w:val="24"/>
          <w:szCs w:val="24"/>
        </w:rPr>
        <w:t>u</w:t>
      </w:r>
      <w:r w:rsidRPr="00633318">
        <w:rPr>
          <w:rFonts w:ascii="Times New Roman" w:hAnsi="Times New Roman" w:cs="Times New Roman"/>
          <w:sz w:val="24"/>
          <w:szCs w:val="24"/>
        </w:rPr>
        <w:t>. Regulacja ta ma na celu ułatwieni</w:t>
      </w:r>
      <w:r w:rsidR="0074302F" w:rsidRPr="00633318">
        <w:rPr>
          <w:rFonts w:ascii="Times New Roman" w:hAnsi="Times New Roman" w:cs="Times New Roman"/>
          <w:sz w:val="24"/>
          <w:szCs w:val="24"/>
        </w:rPr>
        <w:t>e</w:t>
      </w:r>
      <w:r w:rsidR="00BC02C1" w:rsidRPr="00633318">
        <w:rPr>
          <w:rFonts w:ascii="Times New Roman" w:hAnsi="Times New Roman" w:cs="Times New Roman"/>
          <w:sz w:val="24"/>
          <w:szCs w:val="24"/>
        </w:rPr>
        <w:t xml:space="preserve"> nowym grupom</w:t>
      </w:r>
      <w:r w:rsidRPr="00633318">
        <w:rPr>
          <w:rFonts w:ascii="Times New Roman" w:hAnsi="Times New Roman" w:cs="Times New Roman"/>
          <w:sz w:val="24"/>
          <w:szCs w:val="24"/>
        </w:rPr>
        <w:t xml:space="preserve"> wywiązania się z obowiązków przewidzianych </w:t>
      </w:r>
      <w:r w:rsidR="0074302F" w:rsidRPr="00633318">
        <w:rPr>
          <w:rFonts w:ascii="Times New Roman" w:hAnsi="Times New Roman" w:cs="Times New Roman"/>
          <w:sz w:val="24"/>
          <w:szCs w:val="24"/>
        </w:rPr>
        <w:t xml:space="preserve">przez </w:t>
      </w:r>
      <w:r w:rsidR="00E57C6A" w:rsidRPr="00633318">
        <w:rPr>
          <w:rFonts w:ascii="Times New Roman" w:hAnsi="Times New Roman" w:cs="Times New Roman"/>
          <w:sz w:val="24"/>
          <w:szCs w:val="24"/>
        </w:rPr>
        <w:t xml:space="preserve">Zasady </w:t>
      </w:r>
      <w:r w:rsidR="0074302F" w:rsidRPr="00633318">
        <w:rPr>
          <w:rFonts w:ascii="Times New Roman" w:hAnsi="Times New Roman" w:cs="Times New Roman"/>
          <w:sz w:val="24"/>
          <w:szCs w:val="24"/>
        </w:rPr>
        <w:t xml:space="preserve">GloBE. </w:t>
      </w:r>
    </w:p>
    <w:p w14:paraId="5EF114F3" w14:textId="3AA2527F" w:rsidR="0036037E" w:rsidRPr="00633318" w:rsidRDefault="0036037E" w:rsidP="00CA1C3D">
      <w:pPr>
        <w:pStyle w:val="Nagwek5"/>
        <w:rPr>
          <w:rFonts w:ascii="Times New Roman" w:hAnsi="Times New Roman" w:cs="Times New Roman"/>
          <w:sz w:val="24"/>
          <w:szCs w:val="24"/>
        </w:rPr>
      </w:pPr>
      <w:r w:rsidRPr="00633318">
        <w:rPr>
          <w:rFonts w:ascii="Times New Roman" w:hAnsi="Times New Roman" w:cs="Times New Roman"/>
          <w:sz w:val="24"/>
          <w:szCs w:val="24"/>
        </w:rPr>
        <w:t>Art. 1</w:t>
      </w:r>
      <w:r w:rsidR="00524A88" w:rsidRPr="00633318">
        <w:rPr>
          <w:rFonts w:ascii="Times New Roman" w:hAnsi="Times New Roman" w:cs="Times New Roman"/>
          <w:sz w:val="24"/>
          <w:szCs w:val="24"/>
        </w:rPr>
        <w:t>34</w:t>
      </w:r>
      <w:r w:rsidR="00033A34" w:rsidRPr="00633318">
        <w:rPr>
          <w:rFonts w:ascii="Times New Roman" w:hAnsi="Times New Roman" w:cs="Times New Roman"/>
          <w:sz w:val="24"/>
          <w:szCs w:val="24"/>
        </w:rPr>
        <w:t xml:space="preserve"> [Zeznania lokalne]</w:t>
      </w:r>
    </w:p>
    <w:p w14:paraId="61BDA5F0" w14:textId="5ED5BBF0"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Art. 1</w:t>
      </w:r>
      <w:r w:rsidR="00524A88" w:rsidRPr="00633318">
        <w:rPr>
          <w:rFonts w:ascii="Times New Roman" w:hAnsi="Times New Roman" w:cs="Times New Roman"/>
          <w:sz w:val="24"/>
          <w:szCs w:val="24"/>
        </w:rPr>
        <w:t>34</w:t>
      </w:r>
      <w:r w:rsidRPr="00633318">
        <w:rPr>
          <w:rFonts w:ascii="Times New Roman" w:hAnsi="Times New Roman" w:cs="Times New Roman"/>
          <w:sz w:val="24"/>
          <w:szCs w:val="24"/>
        </w:rPr>
        <w:t xml:space="preserve"> </w:t>
      </w:r>
      <w:r w:rsidRPr="00633318">
        <w:rPr>
          <w:rFonts w:ascii="Times New Roman" w:hAnsi="Times New Roman" w:cs="Times New Roman"/>
          <w:b/>
          <w:sz w:val="24"/>
          <w:szCs w:val="24"/>
        </w:rPr>
        <w:t>ust. 1</w:t>
      </w:r>
      <w:r w:rsidRPr="00633318">
        <w:rPr>
          <w:rFonts w:ascii="Times New Roman" w:hAnsi="Times New Roman" w:cs="Times New Roman"/>
          <w:sz w:val="24"/>
          <w:szCs w:val="24"/>
        </w:rPr>
        <w:t xml:space="preserve"> nakłada na podatników globalnego podatku wyrównawczego, krajowego podatku wyrównawczego </w:t>
      </w:r>
      <w:r w:rsidR="00524A88" w:rsidRPr="00633318">
        <w:rPr>
          <w:rFonts w:ascii="Times New Roman" w:hAnsi="Times New Roman" w:cs="Times New Roman"/>
          <w:sz w:val="24"/>
          <w:szCs w:val="24"/>
        </w:rPr>
        <w:t xml:space="preserve">oraz </w:t>
      </w:r>
      <w:r w:rsidRPr="00633318">
        <w:rPr>
          <w:rFonts w:ascii="Times New Roman" w:hAnsi="Times New Roman" w:cs="Times New Roman"/>
          <w:sz w:val="24"/>
          <w:szCs w:val="24"/>
        </w:rPr>
        <w:t xml:space="preserve">podatku wyrównawczego od niedostatecznie opodatkowanych zysków obowiązek złożenia naczelnikowi właściwego urzędu skarbowego zeznania dotyczącego tego podatku oraz jego zapłaty w terminie 18 miesięcy od zakończeniu roku podatkowego. Wyjątek w tym zakresie, analogiczny do wyjątku dotyczącego Informacji GloBE, </w:t>
      </w:r>
      <w:r w:rsidR="00524A88" w:rsidRPr="00633318">
        <w:rPr>
          <w:rFonts w:ascii="Times New Roman" w:hAnsi="Times New Roman" w:cs="Times New Roman"/>
          <w:sz w:val="24"/>
          <w:szCs w:val="24"/>
        </w:rPr>
        <w:t xml:space="preserve">określony został w </w:t>
      </w:r>
      <w:r w:rsidR="00524A88" w:rsidRPr="00633318">
        <w:rPr>
          <w:rFonts w:ascii="Times New Roman" w:hAnsi="Times New Roman" w:cs="Times New Roman"/>
          <w:b/>
          <w:bCs/>
          <w:sz w:val="24"/>
          <w:szCs w:val="24"/>
        </w:rPr>
        <w:t>ust. 2</w:t>
      </w:r>
      <w:r w:rsidR="00524A88" w:rsidRPr="00633318">
        <w:rPr>
          <w:rFonts w:ascii="Times New Roman" w:hAnsi="Times New Roman" w:cs="Times New Roman"/>
          <w:sz w:val="24"/>
          <w:szCs w:val="24"/>
        </w:rPr>
        <w:t xml:space="preserve"> omawianego przepisu i </w:t>
      </w:r>
      <w:r w:rsidRPr="00633318">
        <w:rPr>
          <w:rFonts w:ascii="Times New Roman" w:hAnsi="Times New Roman" w:cs="Times New Roman"/>
          <w:sz w:val="24"/>
          <w:szCs w:val="24"/>
        </w:rPr>
        <w:t xml:space="preserve">dotyczy pierwszego roku </w:t>
      </w:r>
      <w:r w:rsidR="0074302F" w:rsidRPr="00633318">
        <w:rPr>
          <w:rFonts w:ascii="Times New Roman" w:hAnsi="Times New Roman" w:cs="Times New Roman"/>
          <w:sz w:val="24"/>
          <w:szCs w:val="24"/>
        </w:rPr>
        <w:t xml:space="preserve">stosowania Zasad GloBE w odniesieniu do danej jurysdykcji. </w:t>
      </w:r>
      <w:r w:rsidRPr="00633318">
        <w:rPr>
          <w:rFonts w:ascii="Times New Roman" w:hAnsi="Times New Roman" w:cs="Times New Roman"/>
          <w:sz w:val="24"/>
          <w:szCs w:val="24"/>
        </w:rPr>
        <w:t xml:space="preserve">Do takiego roku podatkowego zastosowanie znajdzie termin rozliczenia wydłużony o 3 miesiące (tj. wynoszący 21 miesięcy).      </w:t>
      </w:r>
    </w:p>
    <w:p w14:paraId="4393C519" w14:textId="4897D84E"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Podobnie jak w przypadku Informacji GloBE</w:t>
      </w:r>
      <w:r w:rsidR="00171480" w:rsidRPr="00633318">
        <w:rPr>
          <w:rFonts w:ascii="Times New Roman" w:hAnsi="Times New Roman" w:cs="Times New Roman"/>
          <w:sz w:val="24"/>
          <w:szCs w:val="24"/>
        </w:rPr>
        <w:t>,</w:t>
      </w:r>
      <w:r w:rsidRPr="00633318">
        <w:rPr>
          <w:rFonts w:ascii="Times New Roman" w:hAnsi="Times New Roman" w:cs="Times New Roman"/>
          <w:sz w:val="24"/>
          <w:szCs w:val="24"/>
        </w:rPr>
        <w:t xml:space="preserve"> zeznań tych nie będą składały jednostki wyłączone z</w:t>
      </w:r>
      <w:r w:rsidR="0074302F" w:rsidRPr="00633318">
        <w:rPr>
          <w:rFonts w:ascii="Times New Roman" w:hAnsi="Times New Roman" w:cs="Times New Roman"/>
          <w:sz w:val="24"/>
          <w:szCs w:val="24"/>
        </w:rPr>
        <w:t> </w:t>
      </w:r>
      <w:r w:rsidRPr="00633318">
        <w:rPr>
          <w:rFonts w:ascii="Times New Roman" w:hAnsi="Times New Roman" w:cs="Times New Roman"/>
          <w:sz w:val="24"/>
          <w:szCs w:val="24"/>
        </w:rPr>
        <w:t>zakresu stosowania ustawy</w:t>
      </w:r>
      <w:r w:rsidR="00033A34" w:rsidRPr="00633318">
        <w:rPr>
          <w:rFonts w:ascii="Times New Roman" w:hAnsi="Times New Roman" w:cs="Times New Roman"/>
          <w:sz w:val="24"/>
          <w:szCs w:val="24"/>
        </w:rPr>
        <w:t>.</w:t>
      </w:r>
    </w:p>
    <w:p w14:paraId="1013FE3D" w14:textId="2F5AEAA6" w:rsidR="00392359" w:rsidRPr="00633318" w:rsidRDefault="00392359" w:rsidP="0036037E">
      <w:pPr>
        <w:jc w:val="both"/>
        <w:rPr>
          <w:rFonts w:ascii="Times New Roman" w:hAnsi="Times New Roman" w:cs="Times New Roman"/>
          <w:sz w:val="24"/>
          <w:szCs w:val="24"/>
        </w:rPr>
      </w:pPr>
      <w:r w:rsidRPr="00633318">
        <w:rPr>
          <w:rFonts w:ascii="Times New Roman" w:hAnsi="Times New Roman" w:cs="Times New Roman"/>
          <w:sz w:val="24"/>
          <w:szCs w:val="24"/>
        </w:rPr>
        <w:t>Ust. 3 reguluje kwestię sposobu przeliczania podatku obliczonego w walucie obcej na polską walutę. Zgodnie z tym przepisem kwotę tak obliczonego podatku przelicza się na złote według kursu średniego tej waluty ogłaszanego przez NBP z ostatniego dnia roboczego poprzedzającego ostatni dzień roku podatkowego, za który ten podatek został obliczony.</w:t>
      </w:r>
    </w:p>
    <w:p w14:paraId="16FD32EA" w14:textId="232CA734"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Jeżeli dana jednostka składowa grupy będzie posiadała przymiot podatnika więcej </w:t>
      </w:r>
      <w:r w:rsidR="00392359" w:rsidRPr="00633318">
        <w:rPr>
          <w:rFonts w:ascii="Times New Roman" w:hAnsi="Times New Roman" w:cs="Times New Roman"/>
          <w:sz w:val="24"/>
          <w:szCs w:val="24"/>
        </w:rPr>
        <w:t xml:space="preserve">w odniesieniu do więcej </w:t>
      </w:r>
      <w:r w:rsidRPr="00633318">
        <w:rPr>
          <w:rFonts w:ascii="Times New Roman" w:hAnsi="Times New Roman" w:cs="Times New Roman"/>
          <w:sz w:val="24"/>
          <w:szCs w:val="24"/>
        </w:rPr>
        <w:t xml:space="preserve">niż jednego rodzaju podatku </w:t>
      </w:r>
      <w:r w:rsidR="00392359" w:rsidRPr="00633318">
        <w:rPr>
          <w:rFonts w:ascii="Times New Roman" w:hAnsi="Times New Roman" w:cs="Times New Roman"/>
          <w:sz w:val="24"/>
          <w:szCs w:val="24"/>
        </w:rPr>
        <w:t>regulowanego niniejszą ustawą</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będzie składał</w:t>
      </w:r>
      <w:r w:rsidR="00392359" w:rsidRPr="00633318">
        <w:rPr>
          <w:rFonts w:ascii="Times New Roman" w:hAnsi="Times New Roman" w:cs="Times New Roman"/>
          <w:sz w:val="24"/>
          <w:szCs w:val="24"/>
        </w:rPr>
        <w:t>a</w:t>
      </w:r>
      <w:r w:rsidRPr="00633318">
        <w:rPr>
          <w:rFonts w:ascii="Times New Roman" w:hAnsi="Times New Roman" w:cs="Times New Roman"/>
          <w:sz w:val="24"/>
          <w:szCs w:val="24"/>
        </w:rPr>
        <w:t xml:space="preserve"> odrębne zeznania w odniesieniu do każdego z tych </w:t>
      </w:r>
      <w:r w:rsidR="00392359" w:rsidRPr="00633318">
        <w:rPr>
          <w:rFonts w:ascii="Times New Roman" w:hAnsi="Times New Roman" w:cs="Times New Roman"/>
          <w:sz w:val="24"/>
          <w:szCs w:val="24"/>
        </w:rPr>
        <w:t>rodzajów podatków wyrównawczych</w:t>
      </w:r>
      <w:r w:rsidRPr="00633318">
        <w:rPr>
          <w:rFonts w:ascii="Times New Roman" w:hAnsi="Times New Roman" w:cs="Times New Roman"/>
          <w:sz w:val="24"/>
          <w:szCs w:val="24"/>
        </w:rPr>
        <w:t xml:space="preserve">. Zeznania te będą składane za pomocą środków komunikacji elektronicznej zgodnie z przepisami Ordynacji podatkowej. Wzory tych zeznań zostaną przygotowane przez Ministra Finansów i opublikowane w </w:t>
      </w:r>
      <w:r w:rsidR="00BC02C1" w:rsidRPr="00633318">
        <w:rPr>
          <w:rFonts w:ascii="Times New Roman" w:hAnsi="Times New Roman" w:cs="Times New Roman"/>
          <w:sz w:val="24"/>
          <w:szCs w:val="24"/>
        </w:rPr>
        <w:t xml:space="preserve">BIP </w:t>
      </w:r>
      <w:r w:rsidRPr="00633318">
        <w:rPr>
          <w:rFonts w:ascii="Times New Roman" w:hAnsi="Times New Roman" w:cs="Times New Roman"/>
          <w:sz w:val="24"/>
          <w:szCs w:val="24"/>
        </w:rPr>
        <w:t>na stronie podmiotowej obsługującego go urzędu (</w:t>
      </w:r>
      <w:r w:rsidRPr="00633318">
        <w:rPr>
          <w:rFonts w:ascii="Times New Roman" w:hAnsi="Times New Roman" w:cs="Times New Roman"/>
          <w:b/>
          <w:sz w:val="24"/>
          <w:szCs w:val="24"/>
        </w:rPr>
        <w:t xml:space="preserve">ust. </w:t>
      </w:r>
      <w:r w:rsidR="00392359" w:rsidRPr="00633318">
        <w:rPr>
          <w:rFonts w:ascii="Times New Roman" w:hAnsi="Times New Roman" w:cs="Times New Roman"/>
          <w:b/>
          <w:sz w:val="24"/>
          <w:szCs w:val="24"/>
        </w:rPr>
        <w:t>4 i 5</w:t>
      </w:r>
      <w:r w:rsidRPr="00633318">
        <w:rPr>
          <w:rFonts w:ascii="Times New Roman" w:hAnsi="Times New Roman" w:cs="Times New Roman"/>
          <w:sz w:val="24"/>
          <w:szCs w:val="24"/>
        </w:rPr>
        <w:t xml:space="preserve">). </w:t>
      </w:r>
    </w:p>
    <w:p w14:paraId="7BAF4CB6" w14:textId="56824F44" w:rsidR="00C0400F" w:rsidRPr="00633318" w:rsidRDefault="00C0400F" w:rsidP="00C0400F">
      <w:pPr>
        <w:jc w:val="both"/>
        <w:rPr>
          <w:rFonts w:ascii="Times New Roman" w:hAnsi="Times New Roman" w:cs="Times New Roman"/>
          <w:sz w:val="24"/>
          <w:szCs w:val="24"/>
        </w:rPr>
      </w:pPr>
      <w:r w:rsidRPr="00633318">
        <w:rPr>
          <w:rFonts w:ascii="Times New Roman" w:hAnsi="Times New Roman" w:cs="Times New Roman"/>
          <w:sz w:val="24"/>
          <w:szCs w:val="24"/>
        </w:rPr>
        <w:t xml:space="preserve">Zgodnie z </w:t>
      </w:r>
      <w:r w:rsidRPr="00633318">
        <w:rPr>
          <w:rFonts w:ascii="Times New Roman" w:hAnsi="Times New Roman" w:cs="Times New Roman"/>
          <w:b/>
          <w:sz w:val="24"/>
          <w:szCs w:val="24"/>
        </w:rPr>
        <w:t>ust. 6</w:t>
      </w:r>
      <w:r w:rsidRPr="00633318">
        <w:rPr>
          <w:rFonts w:ascii="Times New Roman" w:hAnsi="Times New Roman" w:cs="Times New Roman"/>
          <w:bCs/>
          <w:sz w:val="24"/>
          <w:szCs w:val="24"/>
        </w:rPr>
        <w:t xml:space="preserve"> </w:t>
      </w:r>
      <w:r w:rsidRPr="00633318">
        <w:rPr>
          <w:rFonts w:ascii="Times New Roman" w:hAnsi="Times New Roman" w:cs="Times New Roman"/>
          <w:sz w:val="24"/>
          <w:szCs w:val="24"/>
        </w:rPr>
        <w:t>z</w:t>
      </w:r>
      <w:r w:rsidR="0036037E" w:rsidRPr="00633318">
        <w:rPr>
          <w:rFonts w:ascii="Times New Roman" w:hAnsi="Times New Roman" w:cs="Times New Roman"/>
          <w:sz w:val="24"/>
          <w:szCs w:val="24"/>
        </w:rPr>
        <w:t>eznania roczne określać będą zobowiązania podatkowe za poprzedni rok podatkowy. Ujmowane w</w:t>
      </w:r>
      <w:r w:rsidR="00392359" w:rsidRPr="00633318">
        <w:rPr>
          <w:rFonts w:ascii="Times New Roman" w:hAnsi="Times New Roman" w:cs="Times New Roman"/>
          <w:sz w:val="24"/>
          <w:szCs w:val="24"/>
        </w:rPr>
        <w:t> </w:t>
      </w:r>
      <w:r w:rsidR="0036037E" w:rsidRPr="00633318">
        <w:rPr>
          <w:rFonts w:ascii="Times New Roman" w:hAnsi="Times New Roman" w:cs="Times New Roman"/>
          <w:sz w:val="24"/>
          <w:szCs w:val="24"/>
        </w:rPr>
        <w:t>nich będą dane niezbędne do obliczenia wysokości kwalifikowanego dochodu (straty) oraz należnego podatku wyrównawczego. Zeznania umożliwią prawidłowe wykonanie obowiązków podatkowych przez obowiązanych do ich złożenia podatników. Zeznanie oprócz danych liczbowych zawierać będzie również m.in. informacje w zakresie danych identyfikacyjnych, nazwy oraz symbolu oraz wariantu składanego przez podatnika formularza podatkowego, czy też objaśnienia co do sposobu wypełniania, terminu i miejsca składania formularza</w:t>
      </w:r>
      <w:r w:rsidRPr="00633318">
        <w:rPr>
          <w:rFonts w:ascii="Times New Roman" w:hAnsi="Times New Roman" w:cs="Times New Roman"/>
          <w:sz w:val="24"/>
          <w:szCs w:val="24"/>
        </w:rPr>
        <w:t xml:space="preserve">. </w:t>
      </w:r>
    </w:p>
    <w:p w14:paraId="0A9704E4" w14:textId="031733BF" w:rsidR="0036037E" w:rsidRPr="00633318" w:rsidRDefault="00C0400F"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Dla celów stosowania art. 135 zeznanie zawierać będzie także pozycje odnoszące się nie tylko do podatnika wyznaczonego do złożenia zeznania, ale również pozostałych podatników, którzy dokonali omawianego wyboru. Należy przy tym podkreślić, iż w dalszym ciągu będzie to realizacja obowiązków określonych w art. 134 ust. 1 projektu spoczywających na pojedynczym podatniku. Zeznanie zbiorcze będzie jedynie inną formą ich realizacji. Tym samym wybór tego rozwiązania nie wpłynie na terminy złożenia zeznania dotyczącego podatku wyrównawczego i jego zapłaty.  </w:t>
      </w:r>
      <w:r w:rsidR="0036037E" w:rsidRPr="00633318">
        <w:rPr>
          <w:rFonts w:ascii="Times New Roman" w:hAnsi="Times New Roman" w:cs="Times New Roman"/>
          <w:sz w:val="24"/>
          <w:szCs w:val="24"/>
        </w:rPr>
        <w:t xml:space="preserve"> </w:t>
      </w:r>
    </w:p>
    <w:p w14:paraId="5EA3560C" w14:textId="77777777"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Podatek wynikający z zeznania będzie podatkiem należnym. Może go zmienić korekta zeznania lub decyzja określająca zobowiązanie podatkowe w prawidłowej wysokości wydana przez właściwy organ podatkowy.</w:t>
      </w:r>
    </w:p>
    <w:p w14:paraId="3B29058B" w14:textId="16DFC32E" w:rsidR="0036037E" w:rsidRPr="00633318" w:rsidRDefault="0036037E" w:rsidP="00CA1C3D">
      <w:pPr>
        <w:pStyle w:val="Nagwek5"/>
        <w:rPr>
          <w:rFonts w:ascii="Times New Roman" w:hAnsi="Times New Roman" w:cs="Times New Roman"/>
          <w:sz w:val="24"/>
          <w:szCs w:val="24"/>
        </w:rPr>
      </w:pPr>
      <w:r w:rsidRPr="00633318">
        <w:rPr>
          <w:rFonts w:ascii="Times New Roman" w:hAnsi="Times New Roman" w:cs="Times New Roman"/>
          <w:sz w:val="24"/>
          <w:szCs w:val="24"/>
        </w:rPr>
        <w:t>Art. 1</w:t>
      </w:r>
      <w:r w:rsidR="00392359" w:rsidRPr="00633318">
        <w:rPr>
          <w:rFonts w:ascii="Times New Roman" w:hAnsi="Times New Roman" w:cs="Times New Roman"/>
          <w:sz w:val="24"/>
          <w:szCs w:val="24"/>
        </w:rPr>
        <w:t>35</w:t>
      </w:r>
      <w:r w:rsidR="00033A34" w:rsidRPr="00633318">
        <w:rPr>
          <w:rFonts w:ascii="Times New Roman" w:hAnsi="Times New Roman" w:cs="Times New Roman"/>
          <w:sz w:val="24"/>
          <w:szCs w:val="24"/>
        </w:rPr>
        <w:t xml:space="preserve"> [Wybór dotyczący złożenia zeznania lokalnego przez jednego z podatników]</w:t>
      </w:r>
    </w:p>
    <w:p w14:paraId="2FC670A7" w14:textId="590D2A95"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W celu zmniejszenia obciążeń administracyjnych członków grupy i ułatwienia wywiązywania się przez podatników podatku wyrównawczego z obowiązku złożenia zeznania i zapłaty tego podatku</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przepis art. </w:t>
      </w:r>
      <w:r w:rsidR="00CA1C3D" w:rsidRPr="00633318">
        <w:rPr>
          <w:rFonts w:ascii="Times New Roman" w:hAnsi="Times New Roman" w:cs="Times New Roman"/>
          <w:sz w:val="24"/>
          <w:szCs w:val="24"/>
        </w:rPr>
        <w:t>1</w:t>
      </w:r>
      <w:r w:rsidR="00392359" w:rsidRPr="00633318">
        <w:rPr>
          <w:rFonts w:ascii="Times New Roman" w:hAnsi="Times New Roman" w:cs="Times New Roman"/>
          <w:sz w:val="24"/>
          <w:szCs w:val="24"/>
        </w:rPr>
        <w:t>35</w:t>
      </w:r>
      <w:r w:rsidRPr="00633318">
        <w:rPr>
          <w:rFonts w:ascii="Times New Roman" w:hAnsi="Times New Roman" w:cs="Times New Roman"/>
          <w:sz w:val="24"/>
          <w:szCs w:val="24"/>
        </w:rPr>
        <w:t xml:space="preserve"> </w:t>
      </w:r>
      <w:r w:rsidRPr="00633318">
        <w:rPr>
          <w:rFonts w:ascii="Times New Roman" w:hAnsi="Times New Roman" w:cs="Times New Roman"/>
          <w:b/>
          <w:sz w:val="24"/>
          <w:szCs w:val="24"/>
        </w:rPr>
        <w:t>ust. 1</w:t>
      </w:r>
      <w:r w:rsidRPr="00633318">
        <w:rPr>
          <w:rFonts w:ascii="Times New Roman" w:hAnsi="Times New Roman" w:cs="Times New Roman"/>
          <w:sz w:val="24"/>
          <w:szCs w:val="24"/>
        </w:rPr>
        <w:t xml:space="preserve"> wprowadza alternatywę wobec konieczności realizacji tych obowiązk</w:t>
      </w:r>
      <w:r w:rsidR="00CF4E8E" w:rsidRPr="00633318">
        <w:rPr>
          <w:rFonts w:ascii="Times New Roman" w:hAnsi="Times New Roman" w:cs="Times New Roman"/>
          <w:sz w:val="24"/>
          <w:szCs w:val="24"/>
        </w:rPr>
        <w:t>ów</w:t>
      </w:r>
      <w:r w:rsidRPr="00633318">
        <w:rPr>
          <w:rFonts w:ascii="Times New Roman" w:hAnsi="Times New Roman" w:cs="Times New Roman"/>
          <w:sz w:val="24"/>
          <w:szCs w:val="24"/>
        </w:rPr>
        <w:t xml:space="preserve"> przez każdego podatnika z osobna. Na podstawie tego przepisu co najmniej dwie jednostki składowe danej</w:t>
      </w:r>
      <w:r w:rsidR="00295CAE" w:rsidRPr="00633318">
        <w:rPr>
          <w:rFonts w:ascii="Times New Roman" w:hAnsi="Times New Roman" w:cs="Times New Roman"/>
          <w:sz w:val="24"/>
          <w:szCs w:val="24"/>
        </w:rPr>
        <w:t xml:space="preserve"> grupy</w:t>
      </w:r>
      <w:r w:rsidRPr="00633318">
        <w:rPr>
          <w:rFonts w:ascii="Times New Roman" w:hAnsi="Times New Roman" w:cs="Times New Roman"/>
          <w:sz w:val="24"/>
          <w:szCs w:val="24"/>
        </w:rPr>
        <w:t xml:space="preserve"> będące podatnikami tego samego podatku wyrównawczego mogą dokonać wyboru, zgodnie z którym obowiązki te będą realizowane przez jedną z nich. </w:t>
      </w:r>
    </w:p>
    <w:p w14:paraId="6ADC7142" w14:textId="0029ED73"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Wybór taki, zgodnie z </w:t>
      </w:r>
      <w:r w:rsidRPr="00633318">
        <w:rPr>
          <w:rFonts w:ascii="Times New Roman" w:hAnsi="Times New Roman" w:cs="Times New Roman"/>
          <w:b/>
          <w:sz w:val="24"/>
          <w:szCs w:val="24"/>
        </w:rPr>
        <w:t>ust. 2</w:t>
      </w:r>
      <w:r w:rsidRPr="00633318">
        <w:rPr>
          <w:rFonts w:ascii="Times New Roman" w:hAnsi="Times New Roman" w:cs="Times New Roman"/>
          <w:sz w:val="24"/>
          <w:szCs w:val="24"/>
        </w:rPr>
        <w:t>, będzie dokonywany na czas oznaczony</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nie dłuższy niż 5 lat</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i może zostać dokonywany wielokrotnie na dalsze okresy. O dokonaniu omawianego wyboru podatnicy są zobowiązani do zawiadomienia właściwego naczelnika urzędu skarbowego - w terminie nie późniejszym niż termin złożenia zeznania za pierwszy rok podatkowy okresu na jaki dokonano tego</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wyboru. Stanowi o tym </w:t>
      </w:r>
      <w:r w:rsidRPr="00633318">
        <w:rPr>
          <w:rFonts w:ascii="Times New Roman" w:hAnsi="Times New Roman" w:cs="Times New Roman"/>
          <w:b/>
          <w:sz w:val="24"/>
          <w:szCs w:val="24"/>
        </w:rPr>
        <w:t>ust. 3</w:t>
      </w:r>
      <w:r w:rsidRPr="00633318">
        <w:rPr>
          <w:rFonts w:ascii="Times New Roman" w:hAnsi="Times New Roman" w:cs="Times New Roman"/>
          <w:sz w:val="24"/>
          <w:szCs w:val="24"/>
        </w:rPr>
        <w:t xml:space="preserve">.  </w:t>
      </w:r>
    </w:p>
    <w:p w14:paraId="25F1F2D4" w14:textId="2C28EAE9"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Zgodnie z </w:t>
      </w:r>
      <w:r w:rsidRPr="00633318">
        <w:rPr>
          <w:rFonts w:ascii="Times New Roman" w:hAnsi="Times New Roman" w:cs="Times New Roman"/>
          <w:b/>
          <w:sz w:val="24"/>
          <w:szCs w:val="24"/>
        </w:rPr>
        <w:t xml:space="preserve">ust. 4 </w:t>
      </w:r>
      <w:r w:rsidRPr="00633318">
        <w:rPr>
          <w:rFonts w:ascii="Times New Roman" w:hAnsi="Times New Roman" w:cs="Times New Roman"/>
          <w:sz w:val="24"/>
          <w:szCs w:val="24"/>
        </w:rPr>
        <w:t>omawianego artykułu, w przypadku skorzystania z możliwości jaką daje ust. 1</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podatnik </w:t>
      </w:r>
      <w:r w:rsidR="00392359" w:rsidRPr="00633318">
        <w:rPr>
          <w:rFonts w:ascii="Times New Roman" w:hAnsi="Times New Roman" w:cs="Times New Roman"/>
          <w:sz w:val="24"/>
          <w:szCs w:val="24"/>
        </w:rPr>
        <w:t xml:space="preserve">danego </w:t>
      </w:r>
      <w:r w:rsidRPr="00633318">
        <w:rPr>
          <w:rFonts w:ascii="Times New Roman" w:hAnsi="Times New Roman" w:cs="Times New Roman"/>
          <w:sz w:val="24"/>
          <w:szCs w:val="24"/>
        </w:rPr>
        <w:t>podatku wyrównawczego wyznaczony przez pozostałych podatników podatku wyrównawczego tego samego rodzaju składać będzie (w imieniu swoim i tych pozostałych podatników) jedno zbiorcze zeznanie podatkowe</w:t>
      </w:r>
      <w:r w:rsidR="00392359" w:rsidRPr="00633318">
        <w:rPr>
          <w:rFonts w:ascii="Times New Roman" w:hAnsi="Times New Roman" w:cs="Times New Roman"/>
          <w:sz w:val="24"/>
          <w:szCs w:val="24"/>
        </w:rPr>
        <w:t xml:space="preserve"> (zgodnie ze wzorem, o którym mowa w art. 134)</w:t>
      </w:r>
      <w:r w:rsidRPr="00633318">
        <w:rPr>
          <w:rFonts w:ascii="Times New Roman" w:hAnsi="Times New Roman" w:cs="Times New Roman"/>
          <w:sz w:val="24"/>
          <w:szCs w:val="24"/>
        </w:rPr>
        <w:t>. W zeznaniu tym wykazywane będą w szczególności dane identyfikacyjne wszystkich podatników, którzy dokonali omawianego wyboru</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oraz kwoty podatków wyrównawczych przypadających na poszczególnych podatników (w tym na podatnika, który będzie składał takie zeznanie). Istotnym elementem takiego zbiorczego zeznania będzie wskazanie łącznej kwoty podatku wyrównawczego danego rodzaju od wszystkich jego podatników objętych złożonym zeznaniem zbiorczym. Pozwoli to na ustalenie jednej kwoty podatku wyrównawczego, który będzie podatkiem należnym do zapłaty przez jednostkę składającą to zeznanie. </w:t>
      </w:r>
    </w:p>
    <w:p w14:paraId="4DFD809D" w14:textId="21D50812"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Ideą przyjętej konstrukcji jest zapewnienie grupie większej elastyczności w wyborze podmiotu zobowiązanego do uiszczenia podatku w celu uwzględnienia aktualnych możliwości płatniczych jednostek składowych grupy. Zapłata podatku przez jedną ze spółek może przybierać różną formułę, jeśli chodzi o pochodzenie środków na pokrycie podatku. Może mieć ona charakter czysto techniczny, sprowadzający się do uprzedniego zebrania środków od pozostałych podatników i dokonania przez wybraną jednostkę jednego przelewu do urzędu skarbowego (jako że wybrany podatnik działa w tym zakresie w charakterze pośrednika</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otrzymane przez niego kwoty nie będą w takiej sytuacji stanowić dla niego trwałego przysporzenia, a tym samym nie będą kreować przychodu podatkowego).</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Może to być również zapłata z własnych środków z zachowaniem możliwości żądania zwrotu przypadających na poszczególnych podatników części zobowiązania z tytułu podatku wyrównawczego wykazanego w zbiorczym zeznaniu. Aspekt ten jest kwestią z zakresu prawa cywilnego i jako taki pozostaje poza sferą zainteresowania projektodawcy, z tym zastrzeżeniem, iż zapłata tego podatku przez wybranego podatnika w wysokości przekraczającej </w:t>
      </w:r>
      <w:r w:rsidR="00E10AD2" w:rsidRPr="00633318">
        <w:rPr>
          <w:rFonts w:ascii="Times New Roman" w:hAnsi="Times New Roman" w:cs="Times New Roman"/>
          <w:sz w:val="24"/>
          <w:szCs w:val="24"/>
        </w:rPr>
        <w:t xml:space="preserve">odpowiedni </w:t>
      </w:r>
      <w:r w:rsidRPr="00633318">
        <w:rPr>
          <w:rFonts w:ascii="Times New Roman" w:hAnsi="Times New Roman" w:cs="Times New Roman"/>
          <w:sz w:val="24"/>
          <w:szCs w:val="24"/>
        </w:rPr>
        <w:t>podatek wyrównawczy przypadający na pozostałych podatników, którzy dokonali omawianego wyboru</w:t>
      </w:r>
      <w:r w:rsidR="00CF4E8E" w:rsidRPr="00633318">
        <w:rPr>
          <w:rFonts w:ascii="Times New Roman" w:hAnsi="Times New Roman" w:cs="Times New Roman"/>
          <w:sz w:val="24"/>
          <w:szCs w:val="24"/>
        </w:rPr>
        <w:t>,</w:t>
      </w:r>
      <w:r w:rsidRPr="00633318">
        <w:rPr>
          <w:rFonts w:ascii="Times New Roman" w:hAnsi="Times New Roman" w:cs="Times New Roman"/>
          <w:sz w:val="24"/>
          <w:szCs w:val="24"/>
        </w:rPr>
        <w:t xml:space="preserve"> nie stanowi dla tych ostatnich przychodu w rozumieniu ustaw o podatkach dochodowym. </w:t>
      </w:r>
    </w:p>
    <w:p w14:paraId="14C28993" w14:textId="6031F7C4" w:rsidR="0036037E" w:rsidRPr="00633318" w:rsidRDefault="0036037E" w:rsidP="0036037E">
      <w:pPr>
        <w:jc w:val="both"/>
        <w:rPr>
          <w:rFonts w:ascii="Times New Roman" w:hAnsi="Times New Roman" w:cs="Times New Roman"/>
          <w:sz w:val="24"/>
          <w:szCs w:val="24"/>
        </w:rPr>
      </w:pPr>
      <w:r w:rsidRPr="00633318">
        <w:rPr>
          <w:rFonts w:ascii="Times New Roman" w:hAnsi="Times New Roman" w:cs="Times New Roman"/>
          <w:sz w:val="24"/>
          <w:szCs w:val="24"/>
        </w:rPr>
        <w:t xml:space="preserve">Kluczowym aspektem rozwiązania omówionego powyżej jest ustawowe objęcie zobowiązania z tytułu podatku wyrównawczego (określonego rodzaju) wykazanego przez wybranego podatnika reżimem solidarnej odpowiedzialności. Tym samym ewentualnie niezapłacony podatek z tego tytułu może być dochodzony przez organ podatkowy od każdego podatnika z osobna, niezależnie od pierwotnej wysokości podatku wyrównawczego przypadającej na tego podatnika. Stosowany przepis zawarty jest w </w:t>
      </w:r>
      <w:r w:rsidRPr="00633318">
        <w:rPr>
          <w:rFonts w:ascii="Times New Roman" w:hAnsi="Times New Roman" w:cs="Times New Roman"/>
          <w:b/>
          <w:sz w:val="24"/>
          <w:szCs w:val="24"/>
        </w:rPr>
        <w:t xml:space="preserve">ust. </w:t>
      </w:r>
      <w:r w:rsidR="00C0400F" w:rsidRPr="00633318">
        <w:rPr>
          <w:rFonts w:ascii="Times New Roman" w:hAnsi="Times New Roman" w:cs="Times New Roman"/>
          <w:b/>
          <w:sz w:val="24"/>
          <w:szCs w:val="24"/>
        </w:rPr>
        <w:t>5</w:t>
      </w:r>
      <w:r w:rsidRPr="00633318">
        <w:rPr>
          <w:rFonts w:ascii="Times New Roman" w:hAnsi="Times New Roman" w:cs="Times New Roman"/>
          <w:b/>
          <w:sz w:val="24"/>
          <w:szCs w:val="24"/>
        </w:rPr>
        <w:t>.</w:t>
      </w:r>
      <w:r w:rsidRPr="00633318">
        <w:rPr>
          <w:rFonts w:ascii="Times New Roman" w:hAnsi="Times New Roman" w:cs="Times New Roman"/>
          <w:sz w:val="24"/>
          <w:szCs w:val="24"/>
        </w:rPr>
        <w:t xml:space="preserve"> </w:t>
      </w:r>
    </w:p>
    <w:p w14:paraId="646320A0" w14:textId="77777777" w:rsidR="00EC6A37" w:rsidRPr="00633318" w:rsidRDefault="00EC6A37" w:rsidP="001B320A">
      <w:pPr>
        <w:pStyle w:val="Nagwek5"/>
        <w:rPr>
          <w:rFonts w:ascii="Times New Roman" w:hAnsi="Times New Roman" w:cs="Times New Roman"/>
          <w:sz w:val="24"/>
          <w:szCs w:val="24"/>
        </w:rPr>
      </w:pPr>
      <w:r w:rsidRPr="00633318">
        <w:rPr>
          <w:rFonts w:ascii="Times New Roman" w:hAnsi="Times New Roman" w:cs="Times New Roman"/>
          <w:sz w:val="24"/>
          <w:szCs w:val="24"/>
        </w:rPr>
        <w:t>Art. 136 [Korekty GIR oraz zeznań lokalnych]</w:t>
      </w:r>
    </w:p>
    <w:p w14:paraId="506F6FDB" w14:textId="2A09661D" w:rsidR="00EC6A37" w:rsidRPr="00633318" w:rsidRDefault="00EC6A37">
      <w:pPr>
        <w:spacing w:after="120"/>
        <w:jc w:val="both"/>
        <w:rPr>
          <w:rFonts w:ascii="Times New Roman" w:hAnsi="Times New Roman" w:cs="Times New Roman"/>
          <w:bCs/>
          <w:sz w:val="24"/>
          <w:szCs w:val="24"/>
        </w:rPr>
      </w:pPr>
      <w:r w:rsidRPr="00633318">
        <w:rPr>
          <w:rFonts w:ascii="Times New Roman" w:hAnsi="Times New Roman" w:cs="Times New Roman"/>
          <w:sz w:val="24"/>
          <w:szCs w:val="24"/>
        </w:rPr>
        <w:t xml:space="preserve">Przepis art. 136 reguluje kwestie składania korekt Informacji GloBE oraz zeznań, o których mowa w art. 134 ustawy.  </w:t>
      </w:r>
    </w:p>
    <w:p w14:paraId="5E231433" w14:textId="77777777" w:rsidR="00EC6A37" w:rsidRPr="00633318" w:rsidRDefault="00EC6A37" w:rsidP="00EC6A37">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Zagadnienie korygowania Informacji GloBE oraz zeznań krajowych nie jest uregulowane w Dyrektywie.</w:t>
      </w:r>
    </w:p>
    <w:p w14:paraId="02CADB19" w14:textId="51973B29" w:rsidR="00EC6A37" w:rsidRPr="00633318" w:rsidRDefault="00EC6A37" w:rsidP="00EC6A37">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Jak wskazano w pkt 8.1 Komentarza „</w:t>
      </w:r>
      <w:r w:rsidRPr="00633318">
        <w:rPr>
          <w:rFonts w:ascii="Times New Roman" w:hAnsi="Times New Roman" w:cs="Times New Roman"/>
          <w:bCs/>
          <w:i/>
          <w:iCs/>
          <w:sz w:val="24"/>
          <w:szCs w:val="24"/>
        </w:rPr>
        <w:t xml:space="preserve">artykuł ten nie zawiera żadnych specjalnych postanowień dotyczących zmian Informacji GloBE. W gestii </w:t>
      </w:r>
      <w:r w:rsidR="00E677F8" w:rsidRPr="00633318">
        <w:rPr>
          <w:rFonts w:ascii="Times New Roman" w:hAnsi="Times New Roman" w:cs="Times New Roman"/>
          <w:bCs/>
          <w:i/>
          <w:iCs/>
          <w:sz w:val="24"/>
          <w:szCs w:val="24"/>
        </w:rPr>
        <w:t xml:space="preserve">danej </w:t>
      </w:r>
      <w:r w:rsidR="00E677F8" w:rsidRPr="00633318">
        <w:rPr>
          <w:rFonts w:ascii="Times New Roman" w:hAnsi="Times New Roman" w:cs="Times New Roman"/>
          <w:i/>
          <w:iCs/>
          <w:sz w:val="24"/>
          <w:szCs w:val="24"/>
        </w:rPr>
        <w:t xml:space="preserve">jurysdykcji </w:t>
      </w:r>
      <w:r w:rsidRPr="00633318">
        <w:rPr>
          <w:rFonts w:ascii="Times New Roman" w:hAnsi="Times New Roman" w:cs="Times New Roman"/>
          <w:bCs/>
          <w:i/>
          <w:iCs/>
          <w:sz w:val="24"/>
          <w:szCs w:val="24"/>
        </w:rPr>
        <w:t>leży podjęcie decyzji, czy ich obecne przepisy krajowe dotyczące korekt zeznań lub informacji będą miały zastosowanie do Informacji GloBE (…) W ramach Ram Implementacyjnych GloBE zostaną przedstawione dalsze wytyczne dotyczące takich korekt, w tym ich ram czasowych, metod dokonywania i wymiany informacji pomiędzy właściwymi organami.</w:t>
      </w:r>
      <w:r w:rsidRPr="00633318">
        <w:rPr>
          <w:rFonts w:ascii="Times New Roman" w:hAnsi="Times New Roman" w:cs="Times New Roman"/>
          <w:bCs/>
          <w:sz w:val="24"/>
          <w:szCs w:val="24"/>
        </w:rPr>
        <w:t xml:space="preserve">”. Należy zaznaczyć, iż do chwili obecnej takie dodatkowe wytyczne nie zostały przyjęte lub przedstawione.  </w:t>
      </w:r>
    </w:p>
    <w:p w14:paraId="3B43F725" w14:textId="77777777" w:rsidR="00EC6A37" w:rsidRPr="00633318" w:rsidRDefault="00EC6A37" w:rsidP="00EC6A37">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Ponadto ani Dyrektywa, ani Zasady GloBE nie odnoszą się do zeznań krajowych dotyczących podatków wyrównawczych (a wyłącznie do Informacji GloBE).   </w:t>
      </w:r>
    </w:p>
    <w:p w14:paraId="396D0E9A" w14:textId="04A36120" w:rsidR="00EC6A37" w:rsidRPr="00633318" w:rsidRDefault="00EC6A37" w:rsidP="00EC6A37">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Niemniej, pewnych wskazówek w tym przedmiocie dostarcza Komentarz w zakresie odnoszącym się do przypadków, w których powstaje obowiązek wykazania dodatkowego (bieżącego) podatku wyrównawczego (art. 5.4 Zasad GloBE). I tak, w Komentarzu tym jako przykład zdarzeń, które nie generują konieczności wykazywania tego dodatkowego podatku wskazuje się na sytuacje, w których zachodzi konieczność poprawienia błędów (</w:t>
      </w:r>
      <w:r w:rsidRPr="00633318">
        <w:rPr>
          <w:rFonts w:ascii="Times New Roman" w:hAnsi="Times New Roman" w:cs="Times New Roman"/>
          <w:bCs/>
          <w:i/>
          <w:iCs/>
          <w:sz w:val="24"/>
          <w:szCs w:val="24"/>
        </w:rPr>
        <w:t>ordinary mistakes</w:t>
      </w:r>
      <w:r w:rsidRPr="00633318">
        <w:rPr>
          <w:rFonts w:ascii="Times New Roman" w:hAnsi="Times New Roman" w:cs="Times New Roman"/>
          <w:bCs/>
          <w:sz w:val="24"/>
          <w:szCs w:val="24"/>
        </w:rPr>
        <w:t>) i korekt (</w:t>
      </w:r>
      <w:r w:rsidRPr="00633318">
        <w:rPr>
          <w:rFonts w:ascii="Times New Roman" w:hAnsi="Times New Roman" w:cs="Times New Roman"/>
          <w:bCs/>
          <w:i/>
          <w:iCs/>
          <w:sz w:val="24"/>
          <w:szCs w:val="24"/>
        </w:rPr>
        <w:t>adjustments</w:t>
      </w:r>
      <w:r w:rsidRPr="00633318">
        <w:rPr>
          <w:rFonts w:ascii="Times New Roman" w:hAnsi="Times New Roman" w:cs="Times New Roman"/>
          <w:bCs/>
          <w:sz w:val="24"/>
          <w:szCs w:val="24"/>
        </w:rPr>
        <w:t xml:space="preserve">) w zakresie kalkulacji poszczególnych kategorii służących obliczeniu podatków wyrównawczych w ramach </w:t>
      </w:r>
      <w:r w:rsidR="00C9293C" w:rsidRPr="00633318">
        <w:rPr>
          <w:rFonts w:ascii="Times New Roman" w:hAnsi="Times New Roman" w:cs="Times New Roman"/>
          <w:bCs/>
          <w:sz w:val="24"/>
          <w:szCs w:val="24"/>
        </w:rPr>
        <w:t>S</w:t>
      </w:r>
      <w:r w:rsidRPr="00633318">
        <w:rPr>
          <w:rFonts w:ascii="Times New Roman" w:hAnsi="Times New Roman" w:cs="Times New Roman"/>
          <w:bCs/>
          <w:sz w:val="24"/>
          <w:szCs w:val="24"/>
        </w:rPr>
        <w:t>ystemu GloBE. Konkretnym przykładem w tym zakresie jest sytuacja, w której grupa niezasadnie wykluczyła pozycję dochodu z obliczenia kwalifikowanego dochodu danej jednostki, ze względu na niepoprawne zaklasyfikowanie dochodu odsetkowego jako dywidendy. W Komentarzu stwierdza się, że w takich sytuacjach powinno się stosować „właściwe procedury administracyjne służące skorygowaniu takich błędów” (np. złożenie stosownej korekty zeznania). Innym podanym przykładem zdarzenia skutkującego zakwestionowaniem prawidłowości złożonego zeznania jest wykrycie błędu przez organ podatkowy w toku czynności sprawdzających, czy też kontroli podatkowej. W takim przypadku Komentarz wskazuje również na stosowanie ogólnych regulacji odnoszących się do odsetek za zwłokę i kar (zob. pkt 5.67 oraz pkt 4.119-123 Komentarza).</w:t>
      </w:r>
    </w:p>
    <w:p w14:paraId="27D5F15B" w14:textId="2BC53C23" w:rsidR="00EC6A37" w:rsidRPr="00633318" w:rsidRDefault="00EC6A37" w:rsidP="00EC6A37">
      <w:pPr>
        <w:spacing w:after="120"/>
        <w:jc w:val="both"/>
        <w:rPr>
          <w:rFonts w:ascii="Times New Roman" w:hAnsi="Times New Roman" w:cs="Times New Roman"/>
          <w:bCs/>
          <w:sz w:val="24"/>
          <w:szCs w:val="24"/>
        </w:rPr>
      </w:pPr>
      <w:r w:rsidRPr="00633318">
        <w:rPr>
          <w:rFonts w:ascii="Times New Roman" w:hAnsi="Times New Roman" w:cs="Times New Roman"/>
          <w:bCs/>
          <w:sz w:val="24"/>
          <w:szCs w:val="24"/>
        </w:rPr>
        <w:t>Re</w:t>
      </w:r>
      <w:r w:rsidR="00D47DEC" w:rsidRPr="00633318">
        <w:rPr>
          <w:rFonts w:ascii="Times New Roman" w:hAnsi="Times New Roman" w:cs="Times New Roman"/>
          <w:bCs/>
          <w:sz w:val="24"/>
          <w:szCs w:val="24"/>
        </w:rPr>
        <w:t>a</w:t>
      </w:r>
      <w:r w:rsidRPr="00633318">
        <w:rPr>
          <w:rFonts w:ascii="Times New Roman" w:hAnsi="Times New Roman" w:cs="Times New Roman"/>
          <w:bCs/>
          <w:sz w:val="24"/>
          <w:szCs w:val="24"/>
        </w:rPr>
        <w:t xml:space="preserve">sumując, na gruncie </w:t>
      </w:r>
      <w:r w:rsidR="008B225D" w:rsidRPr="00633318">
        <w:rPr>
          <w:rFonts w:ascii="Times New Roman" w:hAnsi="Times New Roman" w:cs="Times New Roman"/>
          <w:bCs/>
          <w:sz w:val="24"/>
          <w:szCs w:val="24"/>
        </w:rPr>
        <w:t>S</w:t>
      </w:r>
      <w:r w:rsidRPr="00633318">
        <w:rPr>
          <w:rFonts w:ascii="Times New Roman" w:hAnsi="Times New Roman" w:cs="Times New Roman"/>
          <w:bCs/>
          <w:sz w:val="24"/>
          <w:szCs w:val="24"/>
        </w:rPr>
        <w:t xml:space="preserve">ystemu GloBE, można wyprowadzić wniosek, iż korekty </w:t>
      </w:r>
      <w:r w:rsidR="007A49D5" w:rsidRPr="00633318">
        <w:rPr>
          <w:rFonts w:ascii="Times New Roman" w:hAnsi="Times New Roman" w:cs="Times New Roman"/>
          <w:bCs/>
          <w:sz w:val="24"/>
          <w:szCs w:val="24"/>
        </w:rPr>
        <w:t>I</w:t>
      </w:r>
      <w:r w:rsidRPr="00633318">
        <w:rPr>
          <w:rFonts w:ascii="Times New Roman" w:hAnsi="Times New Roman" w:cs="Times New Roman"/>
          <w:bCs/>
          <w:sz w:val="24"/>
          <w:szCs w:val="24"/>
        </w:rPr>
        <w:t xml:space="preserve">nformacji GloBE oraz powiązane z nimi korekty zeznań dotyczących podatków wyrównawczych są, co do zasady, dopuszczalne zgodnie z obowiązującymi w </w:t>
      </w:r>
      <w:r w:rsidR="00E677F8" w:rsidRPr="00633318">
        <w:rPr>
          <w:rFonts w:ascii="Times New Roman" w:hAnsi="Times New Roman" w:cs="Times New Roman"/>
          <w:bCs/>
          <w:sz w:val="24"/>
          <w:szCs w:val="24"/>
        </w:rPr>
        <w:t xml:space="preserve">danej </w:t>
      </w:r>
      <w:r w:rsidR="00E677F8" w:rsidRPr="00633318">
        <w:rPr>
          <w:rFonts w:ascii="Times New Roman" w:hAnsi="Times New Roman" w:cs="Times New Roman"/>
          <w:sz w:val="24"/>
          <w:szCs w:val="24"/>
        </w:rPr>
        <w:t xml:space="preserve">jurysdykcji </w:t>
      </w:r>
      <w:r w:rsidRPr="00633318">
        <w:rPr>
          <w:rFonts w:ascii="Times New Roman" w:hAnsi="Times New Roman" w:cs="Times New Roman"/>
          <w:bCs/>
          <w:sz w:val="24"/>
          <w:szCs w:val="24"/>
        </w:rPr>
        <w:t xml:space="preserve">w tym zakresie przepisami o charakterze ogólnym, z zastrzeżeniem sytuacji, w których zgodnie z przepisami projektu (w ślad za </w:t>
      </w:r>
      <w:r w:rsidR="008B225D" w:rsidRPr="00633318">
        <w:rPr>
          <w:rFonts w:ascii="Times New Roman" w:hAnsi="Times New Roman" w:cs="Times New Roman"/>
          <w:bCs/>
          <w:sz w:val="24"/>
          <w:szCs w:val="24"/>
        </w:rPr>
        <w:t>Modelowymi Zasadami</w:t>
      </w:r>
      <w:r w:rsidRPr="00633318">
        <w:rPr>
          <w:rFonts w:ascii="Times New Roman" w:hAnsi="Times New Roman" w:cs="Times New Roman"/>
          <w:bCs/>
          <w:sz w:val="24"/>
          <w:szCs w:val="24"/>
        </w:rPr>
        <w:t xml:space="preserve"> i dyrektywą) aktualizuje się obowiązek wykazania dodatkowego podatku wyrównawczego. Tego rodzaju sytuacje związane są przede wszystkim ze zmianą pierwotnych wartości poszczególnych pozycji branych pod uwagę przy kalkulacjach w ramach </w:t>
      </w:r>
      <w:r w:rsidR="008B225D" w:rsidRPr="00633318">
        <w:rPr>
          <w:rFonts w:ascii="Times New Roman" w:hAnsi="Times New Roman" w:cs="Times New Roman"/>
          <w:bCs/>
          <w:sz w:val="24"/>
          <w:szCs w:val="24"/>
        </w:rPr>
        <w:t>S</w:t>
      </w:r>
      <w:r w:rsidRPr="00633318">
        <w:rPr>
          <w:rFonts w:ascii="Times New Roman" w:hAnsi="Times New Roman" w:cs="Times New Roman"/>
          <w:bCs/>
          <w:sz w:val="24"/>
          <w:szCs w:val="24"/>
        </w:rPr>
        <w:t xml:space="preserve">ystemu GloBE np. autokorektę lub zakwestionowanie wysokości podatku CIT zapłaconego przez jednostkę za wcześniejsze okresy podatkowe, korekty w zakresie cen transferowych (w określonych przypadkach), czy też zmiany wysokości ustawowych stawek podatku CIT. </w:t>
      </w:r>
    </w:p>
    <w:p w14:paraId="6BDECC1A" w14:textId="514044BD" w:rsidR="005332B9" w:rsidRPr="00633318" w:rsidRDefault="005332B9" w:rsidP="00EC6A37">
      <w:pPr>
        <w:spacing w:after="120"/>
        <w:jc w:val="both"/>
        <w:rPr>
          <w:rFonts w:ascii="Times New Roman" w:hAnsi="Times New Roman" w:cs="Times New Roman"/>
          <w:sz w:val="24"/>
          <w:szCs w:val="24"/>
        </w:rPr>
      </w:pPr>
      <w:r w:rsidRPr="00633318">
        <w:rPr>
          <w:rFonts w:ascii="Times New Roman" w:hAnsi="Times New Roman" w:cs="Times New Roman"/>
          <w:bCs/>
          <w:sz w:val="24"/>
          <w:szCs w:val="24"/>
        </w:rPr>
        <w:t>Z tego wglądu art. 136 wskazuje, iż do korekt</w:t>
      </w:r>
      <w:r w:rsidR="00D47DEC" w:rsidRPr="00633318">
        <w:rPr>
          <w:rFonts w:ascii="Times New Roman" w:hAnsi="Times New Roman" w:cs="Times New Roman"/>
          <w:bCs/>
          <w:sz w:val="24"/>
          <w:szCs w:val="24"/>
        </w:rPr>
        <w:t xml:space="preserve"> stosuje</w:t>
      </w:r>
      <w:r w:rsidRPr="00633318">
        <w:rPr>
          <w:rFonts w:ascii="Times New Roman" w:hAnsi="Times New Roman" w:cs="Times New Roman"/>
          <w:bCs/>
          <w:sz w:val="24"/>
          <w:szCs w:val="24"/>
        </w:rPr>
        <w:t xml:space="preserve"> się zasady wynikające z przepisów o charakterze ogólnym wynikające z Ordynacji podatkowej, poza przypadkami w których niniejszy projekt przewiduje konieczność wyliczenia dodatkowego podatku wyrównawczego. Wówczas zmiana uprzednio wykazanych w GIR</w:t>
      </w:r>
      <w:r w:rsidR="00D47DEC"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w:t>
      </w:r>
      <w:r w:rsidR="00D47DEC"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zeznaniu wartości nastąpi w kalkulacji bieżącej wysokości podatków wyrównawczych. </w:t>
      </w:r>
    </w:p>
    <w:p w14:paraId="5598E781" w14:textId="4CE65993" w:rsidR="00EC6A37" w:rsidRPr="00633318" w:rsidRDefault="00EC6A37" w:rsidP="00EC6A37">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 xml:space="preserve">Art. 137 [Ogólne zasady dokonywania wyborów w ramach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ystemu GloBE]</w:t>
      </w:r>
    </w:p>
    <w:p w14:paraId="65F62996" w14:textId="3E6AC3DA" w:rsidR="00EC6A37" w:rsidRPr="00633318" w:rsidRDefault="00696BBC" w:rsidP="00EC6A37">
      <w:pPr>
        <w:spacing w:after="120"/>
        <w:jc w:val="both"/>
        <w:rPr>
          <w:rFonts w:ascii="Times New Roman" w:hAnsi="Times New Roman" w:cs="Times New Roman"/>
          <w:sz w:val="24"/>
          <w:szCs w:val="24"/>
        </w:rPr>
      </w:pPr>
      <w:r w:rsidRPr="00633318">
        <w:rPr>
          <w:rFonts w:ascii="Times New Roman" w:hAnsi="Times New Roman" w:cs="Times New Roman"/>
          <w:sz w:val="24"/>
          <w:szCs w:val="24"/>
        </w:rPr>
        <w:t>Art.</w:t>
      </w:r>
      <w:r w:rsidR="00EC6A37" w:rsidRPr="00633318">
        <w:rPr>
          <w:rFonts w:ascii="Times New Roman" w:hAnsi="Times New Roman" w:cs="Times New Roman"/>
          <w:sz w:val="24"/>
          <w:szCs w:val="24"/>
        </w:rPr>
        <w:t xml:space="preserve"> 137 precyzuje zasady dokonywania, w przypadkach przewidzianych w projekcie, wyborów pozwalających na alternatywny spos</w:t>
      </w:r>
      <w:r w:rsidR="00E70676" w:rsidRPr="00633318">
        <w:rPr>
          <w:rFonts w:ascii="Times New Roman" w:hAnsi="Times New Roman" w:cs="Times New Roman"/>
          <w:sz w:val="24"/>
          <w:szCs w:val="24"/>
        </w:rPr>
        <w:t>ób</w:t>
      </w:r>
      <w:r w:rsidR="00EC6A37" w:rsidRPr="00633318">
        <w:rPr>
          <w:rFonts w:ascii="Times New Roman" w:hAnsi="Times New Roman" w:cs="Times New Roman"/>
          <w:sz w:val="24"/>
          <w:szCs w:val="24"/>
        </w:rPr>
        <w:t xml:space="preserve"> postępowania w zakresie zamkniętego katalogu szerokiego spektrum zagadnień przewidzianych w projekcie. W szczególności przepis ten wskazuje terminy obowiązywania określonych wyborów oraz zasady ich odwoływania, o ile jest to możliwe. </w:t>
      </w:r>
    </w:p>
    <w:p w14:paraId="2FA644A6" w14:textId="77777777" w:rsidR="00EC6A37" w:rsidRPr="00633318" w:rsidRDefault="00EC6A37" w:rsidP="000F5B35">
      <w:pPr>
        <w:spacing w:after="120"/>
        <w:jc w:val="both"/>
        <w:rPr>
          <w:rFonts w:ascii="Times New Roman" w:hAnsi="Times New Roman" w:cs="Times New Roman"/>
          <w:bCs/>
          <w:sz w:val="24"/>
          <w:szCs w:val="24"/>
        </w:rPr>
      </w:pPr>
      <w:r w:rsidRPr="00633318">
        <w:rPr>
          <w:rFonts w:ascii="Times New Roman" w:hAnsi="Times New Roman" w:cs="Times New Roman"/>
          <w:sz w:val="24"/>
          <w:szCs w:val="24"/>
        </w:rPr>
        <w:t xml:space="preserve">Analizując całokształt przepisów projektu można zidentyfikować następujące sytuacje, w których dopuszcza się możliwość dokonania wyboru </w:t>
      </w:r>
      <w:r w:rsidRPr="00633318">
        <w:rPr>
          <w:rFonts w:ascii="Times New Roman" w:hAnsi="Times New Roman" w:cs="Times New Roman"/>
          <w:bCs/>
          <w:sz w:val="24"/>
          <w:szCs w:val="24"/>
        </w:rPr>
        <w:t>w przedmiocie zakresu podmiotowego ustawy, zasad ustalania przychodów, dochodów, strat, czy też podatków kwalifikowanych:</w:t>
      </w:r>
    </w:p>
    <w:p w14:paraId="6D43A98B" w14:textId="53A678BC"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nieuznawania jednostek, o których mowa w art. </w:t>
      </w:r>
      <w:r w:rsidR="001D1E1F" w:rsidRPr="00633318">
        <w:rPr>
          <w:rFonts w:ascii="Times New Roman" w:hAnsi="Times New Roman" w:cs="Times New Roman"/>
          <w:bCs/>
          <w:sz w:val="24"/>
          <w:szCs w:val="24"/>
        </w:rPr>
        <w:t xml:space="preserve">5 </w:t>
      </w:r>
      <w:r w:rsidRPr="00633318">
        <w:rPr>
          <w:rFonts w:ascii="Times New Roman" w:hAnsi="Times New Roman" w:cs="Times New Roman"/>
          <w:bCs/>
          <w:sz w:val="24"/>
          <w:szCs w:val="24"/>
        </w:rPr>
        <w:t xml:space="preserve">ust. </w:t>
      </w:r>
      <w:r w:rsidR="001D1E1F" w:rsidRPr="00633318">
        <w:rPr>
          <w:rFonts w:ascii="Times New Roman" w:hAnsi="Times New Roman" w:cs="Times New Roman"/>
          <w:bCs/>
          <w:sz w:val="24"/>
          <w:szCs w:val="24"/>
        </w:rPr>
        <w:t xml:space="preserve">2 </w:t>
      </w:r>
      <w:r w:rsidRPr="00633318">
        <w:rPr>
          <w:rFonts w:ascii="Times New Roman" w:hAnsi="Times New Roman" w:cs="Times New Roman"/>
          <w:bCs/>
          <w:sz w:val="24"/>
          <w:szCs w:val="24"/>
        </w:rPr>
        <w:t>pkt. 7 i 8 za jednostki wyłączone (</w:t>
      </w:r>
      <w:r w:rsidR="00700862" w:rsidRPr="00633318">
        <w:rPr>
          <w:rFonts w:ascii="Times New Roman" w:hAnsi="Times New Roman" w:cs="Times New Roman"/>
          <w:bCs/>
          <w:sz w:val="24"/>
          <w:szCs w:val="24"/>
        </w:rPr>
        <w:t xml:space="preserve">art. </w:t>
      </w:r>
      <w:r w:rsidRPr="00633318">
        <w:rPr>
          <w:rFonts w:ascii="Times New Roman" w:hAnsi="Times New Roman" w:cs="Times New Roman"/>
          <w:bCs/>
          <w:sz w:val="24"/>
          <w:szCs w:val="24"/>
        </w:rPr>
        <w:t>5 ust. 9);</w:t>
      </w:r>
    </w:p>
    <w:p w14:paraId="57CC1AE7" w14:textId="3472A58E"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dywidendy z inwestycji portfelowej (art. 56);</w:t>
      </w:r>
    </w:p>
    <w:p w14:paraId="4C30EEDA" w14:textId="2D460996"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wynagrodzenia w formie akcji (art. 57 ust. 1);</w:t>
      </w:r>
    </w:p>
    <w:p w14:paraId="0C48005C" w14:textId="72EA8087"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ujmowania zysków (strat) zgodnie z zasadą realizacji (art. 58 ust. 1);</w:t>
      </w:r>
    </w:p>
    <w:p w14:paraId="414270C2" w14:textId="2951AE5C"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zysku (straty) ze zbycia lokalnych rzeczowych aktywów trwałych (art. 59 ust. 1);</w:t>
      </w:r>
    </w:p>
    <w:p w14:paraId="2CECAA2E" w14:textId="3D9AC7E1"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skonsolidowanego podejścia księgowego (art. 60 ust. 1);</w:t>
      </w:r>
    </w:p>
    <w:p w14:paraId="0E49692D" w14:textId="75F2CF03"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wyłączonych zysków (strat) kapitałowych z instrumentów zabezpieczających udziały własnościowe (art. 61 ust. 1);</w:t>
      </w:r>
    </w:p>
    <w:p w14:paraId="31549B3F" w14:textId="7EFCA2D8"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wyłączonej kwoty przychodu (dochodu) z tytułu zwolnienia z długu (art. 62 ust. 1); </w:t>
      </w:r>
    </w:p>
    <w:p w14:paraId="15D486B2" w14:textId="3D0022F1"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bookmarkStart w:id="118" w:name="_Hlk164253904"/>
      <w:r w:rsidRPr="00633318">
        <w:rPr>
          <w:rFonts w:ascii="Times New Roman" w:hAnsi="Times New Roman" w:cs="Times New Roman"/>
          <w:bCs/>
          <w:sz w:val="24"/>
          <w:szCs w:val="24"/>
        </w:rPr>
        <w:t xml:space="preserve">włączenia udziałów własnościowych (art. 63 ust. 1); </w:t>
      </w:r>
    </w:p>
    <w:bookmarkEnd w:id="118"/>
    <w:p w14:paraId="15402718" w14:textId="4AE0E0A4"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nieuwzględniania kwoty zwiększenia rezerwy w całkowitej kwocie korekty podatku odroczonego za rok podatkowy (art. 86 ust. 3 pkt 2);</w:t>
      </w:r>
    </w:p>
    <w:p w14:paraId="592881AF" w14:textId="3016D07E" w:rsidR="000F5B35" w:rsidRPr="00633318" w:rsidRDefault="00700862"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aktywa z tytułu </w:t>
      </w:r>
      <w:r w:rsidR="000F5B35" w:rsidRPr="00633318">
        <w:rPr>
          <w:rFonts w:ascii="Times New Roman" w:hAnsi="Times New Roman" w:cs="Times New Roman"/>
          <w:bCs/>
          <w:sz w:val="24"/>
          <w:szCs w:val="24"/>
        </w:rPr>
        <w:t>kwalifikowanej straty (art. 92 ust. 1);</w:t>
      </w:r>
    </w:p>
    <w:p w14:paraId="0203F8BC" w14:textId="707FCA66"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nieistotnego obniżenia podatków kwalifikowanych (art. 96 ust. 1 pkt 1 lit. b); </w:t>
      </w:r>
    </w:p>
    <w:p w14:paraId="6D69F5D2" w14:textId="7184AF27"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utworzenia salda ujemnych podatków skorygowanych (art. 99 ust. 1);</w:t>
      </w:r>
    </w:p>
    <w:p w14:paraId="15087BF8" w14:textId="0A404E01"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niestosowania wyłączenia substratu majątkowo-osobowego (art. 101 ust. 2);</w:t>
      </w:r>
    </w:p>
    <w:p w14:paraId="01889B42" w14:textId="5FFD1FF4"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bookmarkStart w:id="119" w:name="_Hlk164254041"/>
      <w:r w:rsidRPr="00633318">
        <w:rPr>
          <w:rFonts w:ascii="Times New Roman" w:hAnsi="Times New Roman" w:cs="Times New Roman"/>
          <w:bCs/>
          <w:sz w:val="24"/>
          <w:szCs w:val="24"/>
        </w:rPr>
        <w:t>metody ustalania zysku (straty) od wartości godziwej aktywów i zobowiązań (art. 110 ust. 1);</w:t>
      </w:r>
    </w:p>
    <w:bookmarkEnd w:id="119"/>
    <w:p w14:paraId="70B8F55C" w14:textId="5E28ED88"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stosowania systemu opodatkowania wypłaty zysku (art. 116 ust. 1);</w:t>
      </w:r>
    </w:p>
    <w:p w14:paraId="02A9C815" w14:textId="632D5179"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traktowania jednostki inwestycyjnej lub ubezpieczeniowej jednostki inwestycyjnej jako jednostki transparentnej podatkowo</w:t>
      </w:r>
      <w:r w:rsidR="00E57C6A" w:rsidRPr="00633318">
        <w:rPr>
          <w:rFonts w:ascii="Times New Roman" w:hAnsi="Times New Roman" w:cs="Times New Roman"/>
          <w:bCs/>
          <w:sz w:val="24"/>
          <w:szCs w:val="24"/>
        </w:rPr>
        <w:t xml:space="preserve"> (</w:t>
      </w:r>
      <w:r w:rsidRPr="00633318">
        <w:rPr>
          <w:rFonts w:ascii="Times New Roman" w:hAnsi="Times New Roman" w:cs="Times New Roman"/>
          <w:bCs/>
          <w:sz w:val="24"/>
          <w:szCs w:val="24"/>
        </w:rPr>
        <w:t xml:space="preserve"> art. 118 ust. 1</w:t>
      </w:r>
      <w:r w:rsidR="00E57C6A" w:rsidRPr="00633318">
        <w:rPr>
          <w:rFonts w:ascii="Times New Roman" w:hAnsi="Times New Roman" w:cs="Times New Roman"/>
          <w:bCs/>
          <w:sz w:val="24"/>
          <w:szCs w:val="24"/>
        </w:rPr>
        <w:t>)</w:t>
      </w:r>
      <w:r w:rsidRPr="00633318">
        <w:rPr>
          <w:rFonts w:ascii="Times New Roman" w:hAnsi="Times New Roman" w:cs="Times New Roman"/>
          <w:bCs/>
          <w:sz w:val="24"/>
          <w:szCs w:val="24"/>
        </w:rPr>
        <w:t>;</w:t>
      </w:r>
    </w:p>
    <w:p w14:paraId="466D7DCF" w14:textId="5C9B6B58"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stosowania metody opartej na wypłacie zysku w odniesieniu do jednostki będącej właścicielem jednostki inwestycyjnej lub ubezpieczeniowej jednostki inwestycyjnej </w:t>
      </w:r>
      <w:r w:rsidR="00E57C6A" w:rsidRPr="00633318">
        <w:rPr>
          <w:rFonts w:ascii="Times New Roman" w:hAnsi="Times New Roman" w:cs="Times New Roman"/>
          <w:bCs/>
          <w:sz w:val="24"/>
          <w:szCs w:val="24"/>
        </w:rPr>
        <w:t>(</w:t>
      </w:r>
      <w:r w:rsidRPr="00633318">
        <w:rPr>
          <w:rFonts w:ascii="Times New Roman" w:hAnsi="Times New Roman" w:cs="Times New Roman"/>
          <w:bCs/>
          <w:sz w:val="24"/>
          <w:szCs w:val="24"/>
        </w:rPr>
        <w:t>art. 119 ust. 1</w:t>
      </w:r>
      <w:r w:rsidR="00E57C6A" w:rsidRPr="00633318">
        <w:rPr>
          <w:rFonts w:ascii="Times New Roman" w:hAnsi="Times New Roman" w:cs="Times New Roman"/>
          <w:bCs/>
          <w:sz w:val="24"/>
          <w:szCs w:val="24"/>
        </w:rPr>
        <w:t>)</w:t>
      </w:r>
      <w:r w:rsidRPr="00633318">
        <w:rPr>
          <w:rFonts w:ascii="Times New Roman" w:hAnsi="Times New Roman" w:cs="Times New Roman"/>
          <w:bCs/>
          <w:sz w:val="24"/>
          <w:szCs w:val="24"/>
        </w:rPr>
        <w:t>;</w:t>
      </w:r>
    </w:p>
    <w:p w14:paraId="7180402C" w14:textId="5171E762" w:rsidR="000F5B35" w:rsidRPr="00633318" w:rsidRDefault="000F5B35"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stosowania wyłączenia </w:t>
      </w:r>
      <w:r w:rsidRPr="00633318">
        <w:rPr>
          <w:rFonts w:ascii="Times New Roman" w:hAnsi="Times New Roman" w:cs="Times New Roman"/>
          <w:bCs/>
          <w:i/>
          <w:iCs/>
          <w:sz w:val="24"/>
          <w:szCs w:val="24"/>
        </w:rPr>
        <w:t>de minimis</w:t>
      </w:r>
      <w:r w:rsidRPr="00633318">
        <w:rPr>
          <w:rFonts w:ascii="Times New Roman" w:hAnsi="Times New Roman" w:cs="Times New Roman"/>
          <w:bCs/>
          <w:sz w:val="24"/>
          <w:szCs w:val="24"/>
        </w:rPr>
        <w:t xml:space="preserve"> (art. 124 ust. 1);</w:t>
      </w:r>
    </w:p>
    <w:p w14:paraId="47685C7C" w14:textId="56E6694A" w:rsidR="009E7BA0" w:rsidRPr="00633318" w:rsidRDefault="009E7BA0"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bezpiecznej przystani dla</w:t>
      </w:r>
      <w:r w:rsidR="000F5B35" w:rsidRPr="00633318">
        <w:rPr>
          <w:rFonts w:ascii="Times New Roman" w:hAnsi="Times New Roman" w:cs="Times New Roman"/>
          <w:bCs/>
          <w:sz w:val="24"/>
          <w:szCs w:val="24"/>
        </w:rPr>
        <w:t xml:space="preserve"> kwalifikowanego krajowego podatku wyrównawczego</w:t>
      </w:r>
      <w:r w:rsidRPr="00633318">
        <w:rPr>
          <w:rFonts w:ascii="Times New Roman" w:hAnsi="Times New Roman" w:cs="Times New Roman"/>
          <w:bCs/>
          <w:sz w:val="24"/>
          <w:szCs w:val="24"/>
        </w:rPr>
        <w:t xml:space="preserve"> (</w:t>
      </w:r>
      <w:r w:rsidR="000F5B35" w:rsidRPr="00633318">
        <w:rPr>
          <w:rFonts w:ascii="Times New Roman" w:hAnsi="Times New Roman" w:cs="Times New Roman"/>
          <w:bCs/>
          <w:sz w:val="24"/>
          <w:szCs w:val="24"/>
        </w:rPr>
        <w:t xml:space="preserve">art. </w:t>
      </w:r>
      <w:r w:rsidRPr="00633318">
        <w:rPr>
          <w:rFonts w:ascii="Times New Roman" w:hAnsi="Times New Roman" w:cs="Times New Roman"/>
          <w:bCs/>
          <w:sz w:val="24"/>
          <w:szCs w:val="24"/>
        </w:rPr>
        <w:t xml:space="preserve">125 </w:t>
      </w:r>
      <w:r w:rsidR="000F5B35" w:rsidRPr="00633318">
        <w:rPr>
          <w:rFonts w:ascii="Times New Roman" w:hAnsi="Times New Roman" w:cs="Times New Roman"/>
          <w:bCs/>
          <w:sz w:val="24"/>
          <w:szCs w:val="24"/>
        </w:rPr>
        <w:t>projektu)</w:t>
      </w:r>
      <w:r w:rsidRPr="00633318">
        <w:rPr>
          <w:rFonts w:ascii="Times New Roman" w:hAnsi="Times New Roman" w:cs="Times New Roman"/>
          <w:bCs/>
          <w:sz w:val="24"/>
          <w:szCs w:val="24"/>
        </w:rPr>
        <w:t>;</w:t>
      </w:r>
    </w:p>
    <w:p w14:paraId="05035944" w14:textId="77777777" w:rsidR="009E7BA0" w:rsidRPr="00633318" w:rsidRDefault="009E7BA0"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tymczasowej bezpiecznej przystani CBCR (art. 146);</w:t>
      </w:r>
    </w:p>
    <w:p w14:paraId="602ABDE3" w14:textId="2DE6AFB5" w:rsidR="000F5B35" w:rsidRPr="00633318" w:rsidRDefault="009E7BA0" w:rsidP="009E73F7">
      <w:pPr>
        <w:pStyle w:val="Akapitzlist"/>
        <w:numPr>
          <w:ilvl w:val="0"/>
          <w:numId w:val="126"/>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wyboru dotyczącego podatku UTPR w odniesieniu do stawki opodatkowania co najmniej 20% (art. 147)</w:t>
      </w:r>
      <w:r w:rsidR="000F5B35" w:rsidRPr="00633318">
        <w:rPr>
          <w:rFonts w:ascii="Times New Roman" w:hAnsi="Times New Roman" w:cs="Times New Roman"/>
          <w:bCs/>
          <w:sz w:val="24"/>
          <w:szCs w:val="24"/>
        </w:rPr>
        <w:t xml:space="preserve">. </w:t>
      </w:r>
    </w:p>
    <w:p w14:paraId="4354C591" w14:textId="2A8569C7" w:rsidR="00EC6A37" w:rsidRPr="00633318" w:rsidRDefault="00EC6A37" w:rsidP="000F5B35">
      <w:pPr>
        <w:spacing w:after="120"/>
        <w:jc w:val="both"/>
        <w:rPr>
          <w:rFonts w:ascii="Times New Roman" w:hAnsi="Times New Roman" w:cs="Times New Roman"/>
          <w:sz w:val="24"/>
          <w:szCs w:val="24"/>
        </w:rPr>
      </w:pPr>
      <w:r w:rsidRPr="00633318">
        <w:rPr>
          <w:rFonts w:ascii="Times New Roman" w:hAnsi="Times New Roman" w:cs="Times New Roman"/>
          <w:b/>
          <w:bCs/>
          <w:sz w:val="24"/>
          <w:szCs w:val="24"/>
        </w:rPr>
        <w:t>Ust. 1</w:t>
      </w:r>
      <w:r w:rsidR="000F5B35"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omawianego przepisu określa  </w:t>
      </w:r>
      <w:r w:rsidR="00E02EB1" w:rsidRPr="00633318">
        <w:rPr>
          <w:rFonts w:ascii="Times New Roman" w:hAnsi="Times New Roman" w:cs="Times New Roman"/>
          <w:sz w:val="24"/>
          <w:szCs w:val="24"/>
        </w:rPr>
        <w:t xml:space="preserve">jednostkę </w:t>
      </w:r>
      <w:r w:rsidRPr="00633318">
        <w:rPr>
          <w:rFonts w:ascii="Times New Roman" w:hAnsi="Times New Roman" w:cs="Times New Roman"/>
          <w:sz w:val="24"/>
          <w:szCs w:val="24"/>
        </w:rPr>
        <w:t>uprawnion</w:t>
      </w:r>
      <w:r w:rsidR="00E02EB1" w:rsidRPr="00633318">
        <w:rPr>
          <w:rFonts w:ascii="Times New Roman" w:hAnsi="Times New Roman" w:cs="Times New Roman"/>
          <w:sz w:val="24"/>
          <w:szCs w:val="24"/>
        </w:rPr>
        <w:t>ą</w:t>
      </w:r>
      <w:r w:rsidRPr="00633318">
        <w:rPr>
          <w:rFonts w:ascii="Times New Roman" w:hAnsi="Times New Roman" w:cs="Times New Roman"/>
          <w:sz w:val="24"/>
          <w:szCs w:val="24"/>
        </w:rPr>
        <w:t xml:space="preserve"> do dokonania i odwołania wyborów, o których mowa powyżej. Co do zasady jest </w:t>
      </w:r>
      <w:r w:rsidR="00E02EB1" w:rsidRPr="00633318">
        <w:rPr>
          <w:rFonts w:ascii="Times New Roman" w:hAnsi="Times New Roman" w:cs="Times New Roman"/>
          <w:sz w:val="24"/>
          <w:szCs w:val="24"/>
        </w:rPr>
        <w:t>to</w:t>
      </w:r>
      <w:r w:rsidRPr="00633318">
        <w:rPr>
          <w:rFonts w:ascii="Times New Roman" w:hAnsi="Times New Roman" w:cs="Times New Roman"/>
          <w:sz w:val="24"/>
          <w:szCs w:val="24"/>
        </w:rPr>
        <w:t xml:space="preserve"> jednostka składająca </w:t>
      </w:r>
      <w:r w:rsidR="00E02EB1" w:rsidRPr="00633318">
        <w:rPr>
          <w:rFonts w:ascii="Times New Roman" w:hAnsi="Times New Roman" w:cs="Times New Roman"/>
          <w:sz w:val="24"/>
          <w:szCs w:val="24"/>
        </w:rPr>
        <w:t xml:space="preserve">Informację GloBE </w:t>
      </w:r>
      <w:r w:rsidRPr="00633318">
        <w:rPr>
          <w:rFonts w:ascii="Times New Roman" w:hAnsi="Times New Roman" w:cs="Times New Roman"/>
          <w:sz w:val="24"/>
          <w:szCs w:val="24"/>
        </w:rPr>
        <w:t xml:space="preserve">(z tego względu, iż w </w:t>
      </w:r>
      <w:r w:rsidR="00E02EB1" w:rsidRPr="00633318">
        <w:rPr>
          <w:rFonts w:ascii="Times New Roman" w:hAnsi="Times New Roman" w:cs="Times New Roman"/>
          <w:sz w:val="24"/>
          <w:szCs w:val="24"/>
        </w:rPr>
        <w:t xml:space="preserve">tej informacji </w:t>
      </w:r>
      <w:r w:rsidRPr="00633318">
        <w:rPr>
          <w:rFonts w:ascii="Times New Roman" w:hAnsi="Times New Roman" w:cs="Times New Roman"/>
          <w:sz w:val="24"/>
          <w:szCs w:val="24"/>
        </w:rPr>
        <w:t xml:space="preserve">zawarte będą stosowane pola odnoszące się do poszczególnych wyborów), w tym wyznaczona jednostka raportująca z </w:t>
      </w:r>
      <w:r w:rsidR="00E677F8" w:rsidRPr="00633318">
        <w:rPr>
          <w:rFonts w:ascii="Times New Roman" w:hAnsi="Times New Roman" w:cs="Times New Roman"/>
          <w:sz w:val="24"/>
          <w:szCs w:val="24"/>
        </w:rPr>
        <w:t xml:space="preserve">jurysdykcji innej </w:t>
      </w:r>
      <w:r w:rsidRPr="00633318">
        <w:rPr>
          <w:rFonts w:ascii="Times New Roman" w:hAnsi="Times New Roman" w:cs="Times New Roman"/>
          <w:sz w:val="24"/>
          <w:szCs w:val="24"/>
        </w:rPr>
        <w:t xml:space="preserve">niż Rzeczpospolita Polska. W przypadku wyboru dotyczącego </w:t>
      </w:r>
      <w:r w:rsidRPr="00633318">
        <w:rPr>
          <w:rFonts w:ascii="Times New Roman" w:hAnsi="Times New Roman" w:cs="Times New Roman"/>
          <w:bCs/>
          <w:sz w:val="24"/>
          <w:szCs w:val="24"/>
        </w:rPr>
        <w:t xml:space="preserve">skonsolidowanego podejścia księgowego przepisy Dyrektywy wskazują </w:t>
      </w:r>
      <w:r w:rsidR="00E02EB1" w:rsidRPr="00633318">
        <w:rPr>
          <w:rFonts w:ascii="Times New Roman" w:hAnsi="Times New Roman" w:cs="Times New Roman"/>
          <w:bCs/>
          <w:sz w:val="24"/>
          <w:szCs w:val="24"/>
        </w:rPr>
        <w:t xml:space="preserve">wyjątkowo </w:t>
      </w:r>
      <w:r w:rsidRPr="00633318">
        <w:rPr>
          <w:rFonts w:ascii="Times New Roman" w:hAnsi="Times New Roman" w:cs="Times New Roman"/>
          <w:bCs/>
          <w:sz w:val="24"/>
          <w:szCs w:val="24"/>
        </w:rPr>
        <w:t xml:space="preserve">na </w:t>
      </w:r>
      <w:r w:rsidRPr="00633318">
        <w:rPr>
          <w:rFonts w:ascii="Times New Roman" w:hAnsi="Times New Roman" w:cs="Times New Roman"/>
          <w:sz w:val="24"/>
          <w:szCs w:val="24"/>
        </w:rPr>
        <w:t>jednostk</w:t>
      </w:r>
      <w:r w:rsidR="005336DC" w:rsidRPr="00633318">
        <w:rPr>
          <w:rFonts w:ascii="Times New Roman" w:hAnsi="Times New Roman" w:cs="Times New Roman"/>
          <w:sz w:val="24"/>
          <w:szCs w:val="24"/>
        </w:rPr>
        <w:t>ę</w:t>
      </w:r>
      <w:r w:rsidRPr="00633318">
        <w:rPr>
          <w:rFonts w:ascii="Times New Roman" w:hAnsi="Times New Roman" w:cs="Times New Roman"/>
          <w:sz w:val="24"/>
          <w:szCs w:val="24"/>
        </w:rPr>
        <w:t xml:space="preserve"> dominując</w:t>
      </w:r>
      <w:r w:rsidR="005336DC" w:rsidRPr="00633318">
        <w:rPr>
          <w:rFonts w:ascii="Times New Roman" w:hAnsi="Times New Roman" w:cs="Times New Roman"/>
          <w:sz w:val="24"/>
          <w:szCs w:val="24"/>
        </w:rPr>
        <w:t>ą</w:t>
      </w:r>
      <w:r w:rsidRPr="00633318">
        <w:rPr>
          <w:rFonts w:ascii="Times New Roman" w:hAnsi="Times New Roman" w:cs="Times New Roman"/>
          <w:sz w:val="24"/>
          <w:szCs w:val="24"/>
        </w:rPr>
        <w:t xml:space="preserve"> najwyższego szczebla grupy jako uprawnioną do dokonania tego wyboru. </w:t>
      </w:r>
      <w:r w:rsidR="000F5B35" w:rsidRPr="00633318">
        <w:rPr>
          <w:rFonts w:ascii="Times New Roman" w:hAnsi="Times New Roman" w:cs="Times New Roman"/>
          <w:sz w:val="24"/>
          <w:szCs w:val="24"/>
        </w:rPr>
        <w:t xml:space="preserve">Niektóre przepisy projektu określają wprost jednostkę, która dokonuje wyboru innego niż objęty zakresem omawianej regulacji, stanowiąc w tym zakresie lex specialis.  </w:t>
      </w:r>
    </w:p>
    <w:p w14:paraId="792568A5" w14:textId="77777777" w:rsidR="000F5B35" w:rsidRPr="00633318" w:rsidRDefault="000F5B35" w:rsidP="000F5B35">
      <w:pPr>
        <w:spacing w:before="120"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Zgodnie z </w:t>
      </w:r>
      <w:r w:rsidRPr="00633318">
        <w:rPr>
          <w:rFonts w:ascii="Times New Roman" w:hAnsi="Times New Roman" w:cs="Times New Roman"/>
          <w:b/>
          <w:bCs/>
          <w:sz w:val="24"/>
          <w:szCs w:val="24"/>
        </w:rPr>
        <w:t>ust. 2</w:t>
      </w:r>
      <w:r w:rsidRPr="00633318">
        <w:rPr>
          <w:rFonts w:ascii="Times New Roman" w:hAnsi="Times New Roman" w:cs="Times New Roman"/>
          <w:bCs/>
          <w:sz w:val="24"/>
          <w:szCs w:val="24"/>
        </w:rPr>
        <w:t xml:space="preserve"> wybory, o których mowa w  pkt 1-4, 6-8, 17 i 18  powyżej są ważne przez okres pięciu lat podatkowych, liczonych kolejno począwszy od roku podatkowego, za który dokonano wyboru. Uznaje się, że wybór jest ważny po upływie tego 5-letniego okres, chyba że zostanie odwołany.  Odwołanie wyboru jest ważne przez okres kolejnych pięciu lat podatkowych. </w:t>
      </w:r>
    </w:p>
    <w:p w14:paraId="2B2C81B2" w14:textId="77777777" w:rsidR="000F5B35" w:rsidRPr="00633318" w:rsidRDefault="000F5B35" w:rsidP="000F5B35">
      <w:pPr>
        <w:spacing w:before="120"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Na mocy </w:t>
      </w:r>
      <w:r w:rsidRPr="00633318">
        <w:rPr>
          <w:rFonts w:ascii="Times New Roman" w:hAnsi="Times New Roman" w:cs="Times New Roman"/>
          <w:b/>
          <w:bCs/>
          <w:sz w:val="24"/>
          <w:szCs w:val="24"/>
        </w:rPr>
        <w:t>ust. 3</w:t>
      </w:r>
      <w:r w:rsidRPr="00633318">
        <w:rPr>
          <w:rFonts w:ascii="Times New Roman" w:hAnsi="Times New Roman" w:cs="Times New Roman"/>
          <w:bCs/>
          <w:sz w:val="24"/>
          <w:szCs w:val="24"/>
        </w:rPr>
        <w:t xml:space="preserve">, wybory w zakresie wskazanym w pkt 5, 10, 12, 14, 16, 19 i 20 powyżej są ważne przez 1 rok. </w:t>
      </w:r>
    </w:p>
    <w:p w14:paraId="657857F6" w14:textId="614A79DB" w:rsidR="000F5B35" w:rsidRPr="00633318" w:rsidRDefault="000F5B35" w:rsidP="000F5B35">
      <w:pPr>
        <w:spacing w:before="120" w:after="120"/>
        <w:jc w:val="both"/>
        <w:rPr>
          <w:rFonts w:ascii="Times New Roman" w:hAnsi="Times New Roman" w:cs="Times New Roman"/>
          <w:bCs/>
          <w:sz w:val="24"/>
          <w:szCs w:val="24"/>
        </w:rPr>
      </w:pPr>
      <w:r w:rsidRPr="00633318">
        <w:rPr>
          <w:rFonts w:ascii="Times New Roman" w:hAnsi="Times New Roman" w:cs="Times New Roman"/>
          <w:b/>
          <w:bCs/>
          <w:sz w:val="24"/>
          <w:szCs w:val="24"/>
        </w:rPr>
        <w:t>Ust. 4</w:t>
      </w:r>
      <w:r w:rsidRPr="00633318">
        <w:rPr>
          <w:rFonts w:ascii="Times New Roman" w:hAnsi="Times New Roman" w:cs="Times New Roman"/>
          <w:bCs/>
          <w:sz w:val="24"/>
          <w:szCs w:val="24"/>
        </w:rPr>
        <w:t xml:space="preserve"> odnosi się do wyboru dotyczącego kwalifikowanej straty, o którym mowa pkt 11 powyżej.  Dokonywany jest on w pierwszej </w:t>
      </w:r>
      <w:r w:rsidR="007A49D5" w:rsidRPr="00633318">
        <w:rPr>
          <w:rFonts w:ascii="Times New Roman" w:hAnsi="Times New Roman" w:cs="Times New Roman"/>
          <w:bCs/>
          <w:sz w:val="24"/>
          <w:szCs w:val="24"/>
        </w:rPr>
        <w:t>I</w:t>
      </w:r>
      <w:r w:rsidRPr="00633318">
        <w:rPr>
          <w:rFonts w:ascii="Times New Roman" w:hAnsi="Times New Roman" w:cs="Times New Roman"/>
          <w:bCs/>
          <w:sz w:val="24"/>
          <w:szCs w:val="24"/>
        </w:rPr>
        <w:t>nformacji GloBE obejmującej jednost</w:t>
      </w:r>
      <w:r w:rsidR="00E70676" w:rsidRPr="00633318">
        <w:rPr>
          <w:rFonts w:ascii="Times New Roman" w:hAnsi="Times New Roman" w:cs="Times New Roman"/>
          <w:bCs/>
          <w:sz w:val="24"/>
          <w:szCs w:val="24"/>
        </w:rPr>
        <w:t>ki</w:t>
      </w:r>
      <w:r w:rsidRPr="00633318">
        <w:rPr>
          <w:rFonts w:ascii="Times New Roman" w:hAnsi="Times New Roman" w:cs="Times New Roman"/>
          <w:bCs/>
          <w:sz w:val="24"/>
          <w:szCs w:val="24"/>
        </w:rPr>
        <w:t xml:space="preserve"> składowe grupy zlokalizowan</w:t>
      </w:r>
      <w:r w:rsidR="00E70676" w:rsidRPr="00633318">
        <w:rPr>
          <w:rFonts w:ascii="Times New Roman" w:hAnsi="Times New Roman" w:cs="Times New Roman"/>
          <w:bCs/>
          <w:sz w:val="24"/>
          <w:szCs w:val="24"/>
        </w:rPr>
        <w:t>e</w:t>
      </w:r>
      <w:r w:rsidRPr="00633318">
        <w:rPr>
          <w:rFonts w:ascii="Times New Roman" w:hAnsi="Times New Roman" w:cs="Times New Roman"/>
          <w:bCs/>
          <w:sz w:val="24"/>
          <w:szCs w:val="24"/>
        </w:rPr>
        <w:t xml:space="preserve"> w </w:t>
      </w:r>
      <w:r w:rsidR="00E677F8" w:rsidRPr="00633318">
        <w:rPr>
          <w:rFonts w:ascii="Times New Roman" w:hAnsi="Times New Roman" w:cs="Times New Roman"/>
          <w:sz w:val="24"/>
          <w:szCs w:val="24"/>
        </w:rPr>
        <w:t>jurysdykcji</w:t>
      </w:r>
      <w:r w:rsidRPr="00633318">
        <w:rPr>
          <w:rFonts w:ascii="Times New Roman" w:hAnsi="Times New Roman" w:cs="Times New Roman"/>
          <w:bCs/>
          <w:sz w:val="24"/>
          <w:szCs w:val="24"/>
        </w:rPr>
        <w:t xml:space="preserve">, w odniesieniu do </w:t>
      </w:r>
      <w:r w:rsidR="00E677F8" w:rsidRPr="00633318">
        <w:rPr>
          <w:rFonts w:ascii="Times New Roman" w:hAnsi="Times New Roman" w:cs="Times New Roman"/>
          <w:bCs/>
          <w:sz w:val="24"/>
          <w:szCs w:val="24"/>
        </w:rPr>
        <w:t xml:space="preserve">której </w:t>
      </w:r>
      <w:r w:rsidRPr="00633318">
        <w:rPr>
          <w:rFonts w:ascii="Times New Roman" w:hAnsi="Times New Roman" w:cs="Times New Roman"/>
          <w:bCs/>
          <w:sz w:val="24"/>
          <w:szCs w:val="24"/>
        </w:rPr>
        <w:t>dokonuje się tego wyboru. Wybór ten jest ważny za rok podatkowy, za który dokonano wyboru i za każdy kolejny rok podatkowy, chyba że zostanie odwołany począwszy od danego roku podatkowego, w zeznaniu składanym za ten rok.</w:t>
      </w:r>
    </w:p>
    <w:p w14:paraId="11B6B52C" w14:textId="3A52D73E" w:rsidR="00EC6A37" w:rsidRPr="00633318" w:rsidRDefault="000F5B35" w:rsidP="000F5B35">
      <w:pPr>
        <w:spacing w:before="120"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Natomiast, zgodnie z </w:t>
      </w:r>
      <w:r w:rsidRPr="00633318">
        <w:rPr>
          <w:rFonts w:ascii="Times New Roman" w:hAnsi="Times New Roman" w:cs="Times New Roman"/>
          <w:b/>
          <w:bCs/>
          <w:sz w:val="24"/>
          <w:szCs w:val="24"/>
        </w:rPr>
        <w:t>ust. 5</w:t>
      </w:r>
      <w:r w:rsidRPr="00633318">
        <w:rPr>
          <w:rFonts w:ascii="Times New Roman" w:hAnsi="Times New Roman" w:cs="Times New Roman"/>
          <w:bCs/>
          <w:sz w:val="24"/>
          <w:szCs w:val="24"/>
        </w:rPr>
        <w:t xml:space="preserve"> wybór dotyczący włączenia udziałów własnościowych, o którym mowa w pkt 9 powyżej jest nieodwoływalny w odniesieniu do takich udziałów własnościowych, z którymi związana strata została uwzględniona w okresie obowiązywania wyboru w kalkulacji kwalifikowanego dochodu (straty) jednostki składowej.  </w:t>
      </w:r>
    </w:p>
    <w:p w14:paraId="18E198D2" w14:textId="3A3C2083" w:rsidR="002A5441" w:rsidRPr="00633318" w:rsidRDefault="00D94388" w:rsidP="000F5B35">
      <w:pPr>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 </w:t>
      </w:r>
    </w:p>
    <w:p w14:paraId="0B6CB9F1" w14:textId="175DE3EE" w:rsidR="009F42C1" w:rsidRPr="00633318" w:rsidRDefault="000637CF" w:rsidP="001D0627">
      <w:pPr>
        <w:pStyle w:val="Nagwek2"/>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br w:type="column"/>
      </w:r>
      <w:r w:rsidR="00757E0B" w:rsidRPr="00633318">
        <w:rPr>
          <w:rFonts w:ascii="Times New Roman" w:hAnsi="Times New Roman" w:cs="Times New Roman"/>
          <w:sz w:val="24"/>
          <w:szCs w:val="24"/>
        </w:rPr>
        <w:t>DZIAŁ XI</w:t>
      </w:r>
      <w:r w:rsidR="00451512" w:rsidRPr="00633318">
        <w:rPr>
          <w:rFonts w:ascii="Times New Roman" w:hAnsi="Times New Roman" w:cs="Times New Roman"/>
          <w:sz w:val="24"/>
          <w:szCs w:val="24"/>
        </w:rPr>
        <w:t>I</w:t>
      </w:r>
      <w:r w:rsidR="00757E0B" w:rsidRPr="00633318">
        <w:rPr>
          <w:rFonts w:ascii="Times New Roman" w:hAnsi="Times New Roman" w:cs="Times New Roman"/>
          <w:sz w:val="24"/>
          <w:szCs w:val="24"/>
        </w:rPr>
        <w:t>.</w:t>
      </w:r>
      <w:r w:rsidR="009F42C1" w:rsidRPr="00633318">
        <w:rPr>
          <w:rFonts w:ascii="Times New Roman" w:hAnsi="Times New Roman" w:cs="Times New Roman"/>
          <w:sz w:val="24"/>
          <w:szCs w:val="24"/>
        </w:rPr>
        <w:t xml:space="preserve"> Zmiany w przepisach obowiązujących</w:t>
      </w:r>
    </w:p>
    <w:p w14:paraId="0948AB09" w14:textId="6344264D" w:rsidR="00E00139" w:rsidRPr="00633318" w:rsidRDefault="00E00139" w:rsidP="000F5B35">
      <w:pPr>
        <w:keepNext/>
        <w:spacing w:before="120" w:after="120"/>
        <w:jc w:val="both"/>
        <w:rPr>
          <w:rFonts w:ascii="Times New Roman" w:hAnsi="Times New Roman" w:cs="Times New Roman"/>
          <w:sz w:val="24"/>
          <w:szCs w:val="24"/>
          <w:u w:val="single"/>
        </w:rPr>
      </w:pPr>
      <w:bookmarkStart w:id="120" w:name="_Hlk156218070"/>
      <w:r w:rsidRPr="00633318">
        <w:rPr>
          <w:rFonts w:ascii="Times New Roman" w:hAnsi="Times New Roman" w:cs="Times New Roman"/>
          <w:sz w:val="24"/>
          <w:szCs w:val="24"/>
        </w:rPr>
        <w:t>Kierując się koniecznością skutecznego wdrożenia implementowanej Dyrektywy oraz zapewnienia wykonania przepisów niniejszej ustawy, jak również mając na względzie potrzebę harmonijnego dostosowania innych regulacji systemu podatkowego, proponuje się następujące zmiany w innych aktach prawnych: ustawie o podatku dochodowym od osób prawnych, ustawie Kodeks karny skarbowy i ustawie Ordynacja podatkowa.</w:t>
      </w:r>
      <w:r w:rsidRPr="00633318">
        <w:rPr>
          <w:rFonts w:ascii="Times New Roman" w:hAnsi="Times New Roman" w:cs="Times New Roman"/>
          <w:sz w:val="24"/>
          <w:szCs w:val="24"/>
          <w:u w:val="single"/>
        </w:rPr>
        <w:t xml:space="preserve"> </w:t>
      </w:r>
    </w:p>
    <w:p w14:paraId="073BEA61" w14:textId="49AEEDAA" w:rsidR="006078AA" w:rsidRPr="00633318" w:rsidRDefault="006078AA" w:rsidP="000F5B35">
      <w:pPr>
        <w:pStyle w:val="Nagwek5"/>
        <w:spacing w:before="120"/>
        <w:rPr>
          <w:rFonts w:ascii="Times New Roman" w:hAnsi="Times New Roman" w:cs="Times New Roman"/>
          <w:sz w:val="24"/>
          <w:szCs w:val="24"/>
        </w:rPr>
      </w:pPr>
      <w:bookmarkStart w:id="121" w:name="_Hlk156218124"/>
      <w:bookmarkEnd w:id="120"/>
      <w:r w:rsidRPr="00633318">
        <w:rPr>
          <w:rFonts w:ascii="Times New Roman" w:hAnsi="Times New Roman" w:cs="Times New Roman"/>
          <w:sz w:val="24"/>
          <w:szCs w:val="24"/>
        </w:rPr>
        <w:t>Art. 1</w:t>
      </w:r>
      <w:r w:rsidR="00E918D8" w:rsidRPr="00633318">
        <w:rPr>
          <w:rFonts w:ascii="Times New Roman" w:hAnsi="Times New Roman" w:cs="Times New Roman"/>
          <w:sz w:val="24"/>
          <w:szCs w:val="24"/>
        </w:rPr>
        <w:t>38</w:t>
      </w:r>
      <w:r w:rsidR="00EC0E6C" w:rsidRPr="00633318">
        <w:rPr>
          <w:rFonts w:ascii="Times New Roman" w:hAnsi="Times New Roman" w:cs="Times New Roman"/>
          <w:sz w:val="24"/>
          <w:szCs w:val="24"/>
        </w:rPr>
        <w:t xml:space="preserve"> [Zmiany w ustawie</w:t>
      </w:r>
      <w:r w:rsidR="00E918D8" w:rsidRPr="00633318">
        <w:rPr>
          <w:rFonts w:ascii="Times New Roman" w:hAnsi="Times New Roman" w:cs="Times New Roman"/>
          <w:sz w:val="24"/>
          <w:szCs w:val="24"/>
        </w:rPr>
        <w:t xml:space="preserve"> </w:t>
      </w:r>
      <w:r w:rsidR="00EC0E6C" w:rsidRPr="00633318">
        <w:rPr>
          <w:rFonts w:ascii="Times New Roman" w:hAnsi="Times New Roman" w:cs="Times New Roman"/>
          <w:sz w:val="24"/>
          <w:szCs w:val="24"/>
        </w:rPr>
        <w:t>CIT]</w:t>
      </w:r>
    </w:p>
    <w:p w14:paraId="1C604043" w14:textId="36E06D82" w:rsidR="00F33620" w:rsidRPr="00633318" w:rsidRDefault="00F33620" w:rsidP="001D0627">
      <w:pPr>
        <w:keepNext/>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1) Nieuwzględnianie podatków wyrównawczych w kosztach podatkowych</w:t>
      </w:r>
    </w:p>
    <w:p w14:paraId="69C06CE6" w14:textId="5AD5F615" w:rsidR="006078AA" w:rsidRPr="00633318" w:rsidRDefault="00E00139" w:rsidP="001D0627">
      <w:pPr>
        <w:keepNext/>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odniesieniu do</w:t>
      </w:r>
      <w:r w:rsidR="00CF5D38" w:rsidRPr="00633318">
        <w:rPr>
          <w:rFonts w:ascii="Times New Roman" w:hAnsi="Times New Roman" w:cs="Times New Roman"/>
          <w:sz w:val="24"/>
          <w:szCs w:val="24"/>
        </w:rPr>
        <w:t xml:space="preserve"> ustaw</w:t>
      </w:r>
      <w:r w:rsidRPr="00633318">
        <w:rPr>
          <w:rFonts w:ascii="Times New Roman" w:hAnsi="Times New Roman" w:cs="Times New Roman"/>
          <w:sz w:val="24"/>
          <w:szCs w:val="24"/>
        </w:rPr>
        <w:t>y</w:t>
      </w:r>
      <w:r w:rsidR="00CF5D38" w:rsidRPr="00633318">
        <w:rPr>
          <w:rFonts w:ascii="Times New Roman" w:hAnsi="Times New Roman" w:cs="Times New Roman"/>
          <w:sz w:val="24"/>
          <w:szCs w:val="24"/>
        </w:rPr>
        <w:t xml:space="preserve"> o podatku dochodowym od osób prawnych</w:t>
      </w:r>
      <w:r w:rsidR="001D0627" w:rsidRPr="00633318">
        <w:rPr>
          <w:rFonts w:ascii="Times New Roman" w:hAnsi="Times New Roman" w:cs="Times New Roman"/>
          <w:sz w:val="24"/>
          <w:szCs w:val="24"/>
        </w:rPr>
        <w:t xml:space="preserve"> </w:t>
      </w:r>
      <w:r w:rsidRPr="00633318">
        <w:rPr>
          <w:rFonts w:ascii="Times New Roman" w:hAnsi="Times New Roman" w:cs="Times New Roman"/>
          <w:sz w:val="24"/>
          <w:szCs w:val="24"/>
        </w:rPr>
        <w:t>przewiduje się zmianę art. 16 tej ustawy, poprzez wprowadzenie nowego punktu 15b.</w:t>
      </w:r>
      <w:r w:rsidR="00F55AC0" w:rsidRPr="00633318">
        <w:rPr>
          <w:rFonts w:ascii="Times New Roman" w:hAnsi="Times New Roman" w:cs="Times New Roman"/>
          <w:sz w:val="24"/>
          <w:szCs w:val="24"/>
        </w:rPr>
        <w:t xml:space="preserve"> </w:t>
      </w:r>
      <w:r w:rsidR="00CF5D38" w:rsidRPr="00633318">
        <w:rPr>
          <w:rFonts w:ascii="Times New Roman" w:hAnsi="Times New Roman" w:cs="Times New Roman"/>
          <w:sz w:val="24"/>
          <w:szCs w:val="24"/>
        </w:rPr>
        <w:t xml:space="preserve">Opisywana regulacja wyłącza z kosztów uzyskania przychodów kwoty płacone tytułem podatków wyrównawczych nałożonych na podstawie ustawy wdrażającej Dyrektywę oraz dorobek OECD wypracowany w ramach II </w:t>
      </w:r>
      <w:r w:rsidR="002315E9" w:rsidRPr="00633318">
        <w:rPr>
          <w:rFonts w:ascii="Times New Roman" w:hAnsi="Times New Roman" w:cs="Times New Roman"/>
          <w:sz w:val="24"/>
          <w:szCs w:val="24"/>
        </w:rPr>
        <w:t>Filaru</w:t>
      </w:r>
      <w:r w:rsidR="00CF5D38" w:rsidRPr="00633318">
        <w:rPr>
          <w:rFonts w:ascii="Times New Roman" w:hAnsi="Times New Roman" w:cs="Times New Roman"/>
          <w:sz w:val="24"/>
          <w:szCs w:val="24"/>
        </w:rPr>
        <w:t xml:space="preserve">. Przepis ten stanowi komplementarne rozwiązanie względem unormowań ustawy poświęconej podatkom kwalifikowanym. Zgodnie z </w:t>
      </w:r>
      <w:r w:rsidR="00CF5D38" w:rsidRPr="00633318">
        <w:rPr>
          <w:rFonts w:ascii="Times New Roman" w:hAnsi="Times New Roman" w:cs="Times New Roman"/>
          <w:b/>
          <w:bCs/>
          <w:sz w:val="24"/>
          <w:szCs w:val="24"/>
        </w:rPr>
        <w:t xml:space="preserve">art. </w:t>
      </w:r>
      <w:r w:rsidR="00E918D8" w:rsidRPr="00633318">
        <w:rPr>
          <w:rFonts w:ascii="Times New Roman" w:hAnsi="Times New Roman" w:cs="Times New Roman"/>
          <w:b/>
          <w:bCs/>
          <w:sz w:val="24"/>
          <w:szCs w:val="24"/>
        </w:rPr>
        <w:t xml:space="preserve">79 </w:t>
      </w:r>
      <w:r w:rsidR="00CF5D38" w:rsidRPr="00633318">
        <w:rPr>
          <w:rFonts w:ascii="Times New Roman" w:hAnsi="Times New Roman" w:cs="Times New Roman"/>
          <w:b/>
          <w:bCs/>
          <w:sz w:val="24"/>
          <w:szCs w:val="24"/>
        </w:rPr>
        <w:t xml:space="preserve">ust. </w:t>
      </w:r>
      <w:r w:rsidR="00E918D8" w:rsidRPr="00633318">
        <w:rPr>
          <w:rFonts w:ascii="Times New Roman" w:hAnsi="Times New Roman" w:cs="Times New Roman"/>
          <w:b/>
          <w:bCs/>
          <w:sz w:val="24"/>
          <w:szCs w:val="24"/>
        </w:rPr>
        <w:t xml:space="preserve">1 </w:t>
      </w:r>
      <w:r w:rsidR="00CF5D38" w:rsidRPr="00633318">
        <w:rPr>
          <w:rFonts w:ascii="Times New Roman" w:hAnsi="Times New Roman" w:cs="Times New Roman"/>
          <w:b/>
          <w:bCs/>
          <w:sz w:val="24"/>
          <w:szCs w:val="24"/>
        </w:rPr>
        <w:t>pkt 1-3</w:t>
      </w:r>
      <w:r w:rsidR="00CF5D38" w:rsidRPr="00633318">
        <w:rPr>
          <w:rFonts w:ascii="Times New Roman" w:hAnsi="Times New Roman" w:cs="Times New Roman"/>
          <w:sz w:val="24"/>
          <w:szCs w:val="24"/>
        </w:rPr>
        <w:t xml:space="preserve"> niniejszego projektu ustawy</w:t>
      </w:r>
      <w:r w:rsidR="002315E9" w:rsidRPr="00633318">
        <w:rPr>
          <w:rFonts w:ascii="Times New Roman" w:hAnsi="Times New Roman" w:cs="Times New Roman"/>
          <w:sz w:val="24"/>
          <w:szCs w:val="24"/>
        </w:rPr>
        <w:t>,</w:t>
      </w:r>
      <w:r w:rsidR="00CF5D38" w:rsidRPr="00633318">
        <w:rPr>
          <w:rFonts w:ascii="Times New Roman" w:hAnsi="Times New Roman" w:cs="Times New Roman"/>
          <w:sz w:val="24"/>
          <w:szCs w:val="24"/>
        </w:rPr>
        <w:t xml:space="preserve"> z zakresu podatków kwalifikowanych wyłączone zostały</w:t>
      </w:r>
      <w:r w:rsidR="002315E9" w:rsidRPr="00633318">
        <w:rPr>
          <w:rFonts w:ascii="Times New Roman" w:hAnsi="Times New Roman" w:cs="Times New Roman"/>
          <w:sz w:val="24"/>
          <w:szCs w:val="24"/>
        </w:rPr>
        <w:t>:</w:t>
      </w:r>
      <w:r w:rsidR="00CF5D38" w:rsidRPr="00633318">
        <w:rPr>
          <w:rFonts w:ascii="Times New Roman" w:hAnsi="Times New Roman" w:cs="Times New Roman"/>
          <w:sz w:val="24"/>
          <w:szCs w:val="24"/>
        </w:rPr>
        <w:t xml:space="preserve"> globalny podatek wyrównawczy, krajowy podatek wyrównawczy, oraz podatek od niedostatecznie opodatkowanych zysków. Przywołane obciążenia podatkowe nie stanowią podatków kwalifikowanych, nie są więc uwzględniane w liczniku wzoru służącego obliczeniu efektywnej stawki opodatkowania. Z kolei uwzględnienie podatków wyrównawczych w kosztach podatkowych danej jednostki składowej prowadziłoby do zniekształcenia zamierzonych wyników opodatkowania wyrównawczego poprzez obniżenie zobowiązania z tytułu podatku od osób prawnych będącego podatkiem kwalifikowanym i w rezultacie do zaniżenia efektywnej stawki opodatkowania, co z kolei mogłoby skutkować wtórnym opodatkowaniem którymś z podatków wyrównawczych.</w:t>
      </w:r>
      <w:r w:rsidR="001D0627" w:rsidRPr="00633318">
        <w:rPr>
          <w:rFonts w:ascii="Times New Roman" w:hAnsi="Times New Roman" w:cs="Times New Roman"/>
          <w:sz w:val="24"/>
          <w:szCs w:val="24"/>
        </w:rPr>
        <w:t xml:space="preserve"> </w:t>
      </w:r>
      <w:r w:rsidR="00CF5D38" w:rsidRPr="00633318">
        <w:rPr>
          <w:rFonts w:ascii="Times New Roman" w:hAnsi="Times New Roman" w:cs="Times New Roman"/>
          <w:sz w:val="24"/>
          <w:szCs w:val="24"/>
        </w:rPr>
        <w:t>Wyłączenie danin wynikających z opodatkowania wyrównawczego podyktowane jest również koniecznością realizacji założenia o spójności ocen ustawodawcy, który wyłącza z katalogu kosztów uzyskania przychodów podatek dochodowy.</w:t>
      </w:r>
    </w:p>
    <w:p w14:paraId="5D4E6602" w14:textId="63F65AFC" w:rsidR="00F33620" w:rsidRPr="00633318" w:rsidRDefault="00F33620" w:rsidP="001D0627">
      <w:pPr>
        <w:keepNext/>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2) Metody unikania podwójnego opodatkowania - brak możliwości odliczenia zagranicznych podatków wyrównawczych</w:t>
      </w:r>
    </w:p>
    <w:p w14:paraId="32374D84" w14:textId="5C1B8B16" w:rsidR="00F33620" w:rsidRPr="00633318" w:rsidRDefault="00F33620" w:rsidP="00F33620">
      <w:pPr>
        <w:jc w:val="both"/>
        <w:rPr>
          <w:rFonts w:ascii="Times New Roman" w:hAnsi="Times New Roman" w:cs="Times New Roman"/>
          <w:sz w:val="24"/>
          <w:szCs w:val="24"/>
        </w:rPr>
      </w:pPr>
      <w:r w:rsidRPr="00633318">
        <w:rPr>
          <w:rFonts w:ascii="Times New Roman" w:hAnsi="Times New Roman" w:cs="Times New Roman"/>
          <w:sz w:val="24"/>
          <w:szCs w:val="24"/>
        </w:rPr>
        <w:t>Komentarz do art. 4.3.2 Zasad modelowych OECD wskazuje, że krajowe reżimy podatkowe nie powinny zapewniać możliwości odliczenia zagranicznego podatku nałożonego zgodnie z kwalifikowanym UTPR lub IIR implementowanymi przez inne państwo</w:t>
      </w:r>
      <w:r w:rsidRPr="00633318">
        <w:rPr>
          <w:rStyle w:val="Odwoanieprzypisudolnego"/>
          <w:rFonts w:ascii="Times New Roman" w:hAnsi="Times New Roman" w:cs="Times New Roman"/>
          <w:sz w:val="24"/>
          <w:szCs w:val="24"/>
        </w:rPr>
        <w:footnoteReference w:id="165"/>
      </w:r>
      <w:r w:rsidRPr="00633318">
        <w:rPr>
          <w:rFonts w:ascii="Times New Roman" w:hAnsi="Times New Roman" w:cs="Times New Roman"/>
          <w:sz w:val="24"/>
          <w:szCs w:val="24"/>
        </w:rPr>
        <w:t>. Ponadto metody unikania podwójnego opodatkowania nie mogą mieć zastosowania do podatków płaconych w obcym państwie na podstawie przepisów implementujących Modelowe zasady OECD/dyrektywę 2022/2523, gdyż mogłoby to prowadzić do zniesienia ekonomicznych skutków ich zastosowania. Proponuje się zatem dodanie przepisu potwierdzającego brak możliwości zastosowania metody odliczenia do podatków zapłaconych w obcym państwie na podstawie przepisów implementujących Modelowe zasady OECD / Dyrektywę.</w:t>
      </w:r>
    </w:p>
    <w:bookmarkEnd w:id="121"/>
    <w:p w14:paraId="7C3526BE" w14:textId="4EA47641" w:rsidR="001618CD" w:rsidRPr="00633318" w:rsidRDefault="001618CD" w:rsidP="000F5B35">
      <w:pPr>
        <w:pStyle w:val="Nagwek5"/>
        <w:spacing w:before="120"/>
        <w:rPr>
          <w:rFonts w:ascii="Times New Roman" w:hAnsi="Times New Roman" w:cs="Times New Roman"/>
          <w:sz w:val="24"/>
          <w:szCs w:val="24"/>
        </w:rPr>
      </w:pPr>
      <w:r w:rsidRPr="00633318">
        <w:rPr>
          <w:rFonts w:ascii="Times New Roman" w:hAnsi="Times New Roman" w:cs="Times New Roman"/>
          <w:sz w:val="24"/>
          <w:szCs w:val="24"/>
        </w:rPr>
        <w:t>Art. 1</w:t>
      </w:r>
      <w:r w:rsidR="00E918D8" w:rsidRPr="00633318">
        <w:rPr>
          <w:rFonts w:ascii="Times New Roman" w:hAnsi="Times New Roman" w:cs="Times New Roman"/>
          <w:sz w:val="24"/>
          <w:szCs w:val="24"/>
        </w:rPr>
        <w:t>39</w:t>
      </w:r>
      <w:r w:rsidRPr="00633318">
        <w:rPr>
          <w:rFonts w:ascii="Times New Roman" w:hAnsi="Times New Roman" w:cs="Times New Roman"/>
          <w:sz w:val="24"/>
          <w:szCs w:val="24"/>
        </w:rPr>
        <w:t xml:space="preserve"> [</w:t>
      </w:r>
      <w:r w:rsidR="001D0627" w:rsidRPr="00633318">
        <w:rPr>
          <w:rFonts w:ascii="Times New Roman" w:hAnsi="Times New Roman" w:cs="Times New Roman"/>
          <w:sz w:val="24"/>
          <w:szCs w:val="24"/>
        </w:rPr>
        <w:t>Z</w:t>
      </w:r>
      <w:r w:rsidRPr="00633318">
        <w:rPr>
          <w:rFonts w:ascii="Times New Roman" w:hAnsi="Times New Roman" w:cs="Times New Roman"/>
          <w:sz w:val="24"/>
          <w:szCs w:val="24"/>
        </w:rPr>
        <w:t>miany w ustawie o rachunkowości]</w:t>
      </w:r>
    </w:p>
    <w:p w14:paraId="7309599E" w14:textId="5A60F127" w:rsidR="001D0627" w:rsidRPr="00633318" w:rsidRDefault="001D0627" w:rsidP="000F5B35">
      <w:pPr>
        <w:spacing w:before="120" w:after="120"/>
        <w:jc w:val="both"/>
        <w:rPr>
          <w:rFonts w:ascii="Times New Roman" w:hAnsi="Times New Roman" w:cs="Times New Roman"/>
          <w:i/>
          <w:iCs/>
          <w:sz w:val="24"/>
          <w:szCs w:val="24"/>
        </w:rPr>
      </w:pPr>
      <w:r w:rsidRPr="00633318">
        <w:rPr>
          <w:rFonts w:ascii="Times New Roman" w:hAnsi="Times New Roman" w:cs="Times New Roman"/>
          <w:i/>
          <w:iCs/>
          <w:sz w:val="24"/>
          <w:szCs w:val="24"/>
        </w:rPr>
        <w:t>Zmiana do art. 37 UoR</w:t>
      </w:r>
    </w:p>
    <w:p w14:paraId="6CAD699C" w14:textId="4542708A" w:rsidR="001618CD" w:rsidRPr="00633318" w:rsidRDefault="001618CD" w:rsidP="000F5B35">
      <w:pPr>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związku z wejściem ustawy o opodatkowaniu wyrównawczym i wprowadzeniem opodatkowania podatkami takimi jak: globalny podatek wyrównawczy, krajowy podatek wyrównawczy i podatek wyrównawczy od niedostatecznie opodatkowanych zysków oraz wejściem w życie</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Rozporządzenia Komisji (UE) 2023/2468 z dnia 8 listopada 2023 r. zmieniającego rozporządzenie (UE) 2023/1803 w odniesieniu do Międzynarodowego Standardu Rachunkowości 12, zasadnym jest wprowadzenie w ustawie o rachunkowości regulacji, któr</w:t>
      </w:r>
      <w:r w:rsidR="00613404" w:rsidRPr="00633318">
        <w:rPr>
          <w:rFonts w:ascii="Times New Roman" w:hAnsi="Times New Roman" w:cs="Times New Roman"/>
          <w:sz w:val="24"/>
          <w:szCs w:val="24"/>
        </w:rPr>
        <w:t>a</w:t>
      </w:r>
      <w:r w:rsidRPr="00633318">
        <w:rPr>
          <w:rFonts w:ascii="Times New Roman" w:hAnsi="Times New Roman" w:cs="Times New Roman"/>
          <w:sz w:val="24"/>
          <w:szCs w:val="24"/>
        </w:rPr>
        <w:t xml:space="preserve"> zakłada, że jednostki nie tworzą rezerw i nie ustalają aktywów z tytułu odroczonego podatku dochodowego związanych z ww.</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podatkami wyrównawczymi. Jednocześnie jednostka będzie zobowiązana do ujawnienia informacji o podleganiu</w:t>
      </w:r>
      <w:r w:rsidR="00E918D8" w:rsidRPr="00633318">
        <w:rPr>
          <w:rFonts w:ascii="Times New Roman" w:hAnsi="Times New Roman" w:cs="Times New Roman"/>
          <w:sz w:val="24"/>
          <w:szCs w:val="24"/>
        </w:rPr>
        <w:t>,</w:t>
      </w:r>
      <w:r w:rsidRPr="00633318">
        <w:rPr>
          <w:rFonts w:ascii="Times New Roman" w:hAnsi="Times New Roman" w:cs="Times New Roman"/>
          <w:sz w:val="24"/>
          <w:szCs w:val="24"/>
        </w:rPr>
        <w:t xml:space="preserve"> dodawanej </w:t>
      </w:r>
      <w:r w:rsidR="00E918D8" w:rsidRPr="00633318">
        <w:rPr>
          <w:rFonts w:ascii="Times New Roman" w:hAnsi="Times New Roman" w:cs="Times New Roman"/>
          <w:sz w:val="24"/>
          <w:szCs w:val="24"/>
        </w:rPr>
        <w:t xml:space="preserve">na mocy niniejszej ustawy, </w:t>
      </w:r>
      <w:r w:rsidRPr="00633318">
        <w:rPr>
          <w:rFonts w:ascii="Times New Roman" w:hAnsi="Times New Roman" w:cs="Times New Roman"/>
          <w:sz w:val="24"/>
          <w:szCs w:val="24"/>
        </w:rPr>
        <w:t>regulacji art. 37 ust. 12</w:t>
      </w:r>
      <w:r w:rsidR="00506D7A" w:rsidRPr="00633318">
        <w:rPr>
          <w:rFonts w:ascii="Times New Roman" w:hAnsi="Times New Roman" w:cs="Times New Roman"/>
          <w:sz w:val="24"/>
          <w:szCs w:val="24"/>
        </w:rPr>
        <w:t xml:space="preserve"> ustawy o rachunkowości</w:t>
      </w:r>
      <w:r w:rsidRPr="00633318">
        <w:rPr>
          <w:rFonts w:ascii="Times New Roman" w:hAnsi="Times New Roman" w:cs="Times New Roman"/>
          <w:sz w:val="24"/>
          <w:szCs w:val="24"/>
        </w:rPr>
        <w:t>, a także informacji o kwotach z tytułu opodatkowania</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jednostki w bieżącym okresie sprawozdawczym globalnym podatkiem wyrównawczym, krajowym podatkiem wyrównawczym i podatkiem wyrównawczym od niedostatecznie opodatkowanych zysków.</w:t>
      </w:r>
    </w:p>
    <w:p w14:paraId="12D18D6A" w14:textId="0707C3F6" w:rsidR="001D0627" w:rsidRPr="00633318" w:rsidRDefault="001D0627" w:rsidP="000F5B35">
      <w:pPr>
        <w:spacing w:before="120" w:after="120"/>
        <w:jc w:val="both"/>
        <w:rPr>
          <w:rStyle w:val="ui-provider"/>
          <w:rFonts w:ascii="Times New Roman" w:hAnsi="Times New Roman" w:cs="Times New Roman"/>
          <w:i/>
          <w:iCs/>
          <w:sz w:val="24"/>
          <w:szCs w:val="24"/>
        </w:rPr>
      </w:pPr>
      <w:r w:rsidRPr="00633318">
        <w:rPr>
          <w:rStyle w:val="ui-provider"/>
          <w:rFonts w:ascii="Times New Roman" w:hAnsi="Times New Roman" w:cs="Times New Roman"/>
          <w:i/>
          <w:iCs/>
          <w:sz w:val="24"/>
          <w:szCs w:val="24"/>
        </w:rPr>
        <w:t>Zmiana do art. 45 UoR</w:t>
      </w:r>
    </w:p>
    <w:p w14:paraId="2CC24A8E" w14:textId="2C5EF063" w:rsidR="001D0627" w:rsidRPr="00633318" w:rsidRDefault="001D0627" w:rsidP="000F5B35">
      <w:pPr>
        <w:spacing w:before="120" w:after="120"/>
        <w:jc w:val="both"/>
        <w:rPr>
          <w:rFonts w:ascii="Times New Roman" w:hAnsi="Times New Roman" w:cs="Times New Roman"/>
          <w:sz w:val="24"/>
          <w:szCs w:val="24"/>
        </w:rPr>
      </w:pPr>
      <w:r w:rsidRPr="00633318">
        <w:rPr>
          <w:rStyle w:val="ui-provider"/>
          <w:rFonts w:ascii="Times New Roman" w:hAnsi="Times New Roman" w:cs="Times New Roman"/>
          <w:sz w:val="24"/>
          <w:szCs w:val="24"/>
        </w:rPr>
        <w:t>Projektowana zmiana do art. 45 ustawy o rachunkowości ma umożliwić podatnikom krajowego podatku wyrównawczego realizację normy art. 29 projektu niniejszej ustawy. Dzięki temu, do celów obliczenia krajowego podatku wyrównawczego podatnicy uwzględniać będą pozycje ujęte w księgach prowadzonych na podstawie ustawy o rachunkowości i sprawozdaniach finansowych sporządzanych na podstawie ustawy o rachunkowości, w tym na podstawie MSR</w:t>
      </w:r>
      <w:r w:rsidR="00433076" w:rsidRPr="00633318">
        <w:rPr>
          <w:rStyle w:val="ui-provider"/>
          <w:rFonts w:ascii="Times New Roman" w:hAnsi="Times New Roman" w:cs="Times New Roman"/>
          <w:sz w:val="24"/>
          <w:szCs w:val="24"/>
        </w:rPr>
        <w:t xml:space="preserve"> </w:t>
      </w:r>
      <w:r w:rsidRPr="00633318">
        <w:rPr>
          <w:rStyle w:val="ui-provider"/>
          <w:rFonts w:ascii="Times New Roman" w:hAnsi="Times New Roman" w:cs="Times New Roman"/>
          <w:sz w:val="24"/>
          <w:szCs w:val="24"/>
        </w:rPr>
        <w:t>/</w:t>
      </w:r>
      <w:r w:rsidR="00433076" w:rsidRPr="00633318">
        <w:rPr>
          <w:rStyle w:val="ui-provider"/>
          <w:rFonts w:ascii="Times New Roman" w:hAnsi="Times New Roman" w:cs="Times New Roman"/>
          <w:sz w:val="24"/>
          <w:szCs w:val="24"/>
        </w:rPr>
        <w:t xml:space="preserve"> </w:t>
      </w:r>
      <w:r w:rsidRPr="00633318">
        <w:rPr>
          <w:rStyle w:val="ui-provider"/>
          <w:rFonts w:ascii="Times New Roman" w:hAnsi="Times New Roman" w:cs="Times New Roman"/>
          <w:sz w:val="24"/>
          <w:szCs w:val="24"/>
        </w:rPr>
        <w:t>MSSF, a nie na podstawie zagranicznych standardów spółki matki.</w:t>
      </w:r>
    </w:p>
    <w:p w14:paraId="787754AB" w14:textId="3A136F35" w:rsidR="00D4141B" w:rsidRPr="00633318" w:rsidRDefault="000A73CC" w:rsidP="002423A2">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 xml:space="preserve">Art. </w:t>
      </w:r>
      <w:r w:rsidR="00E918D8" w:rsidRPr="00633318">
        <w:rPr>
          <w:rFonts w:ascii="Times New Roman" w:hAnsi="Times New Roman" w:cs="Times New Roman"/>
          <w:sz w:val="24"/>
          <w:szCs w:val="24"/>
        </w:rPr>
        <w:t xml:space="preserve">140 </w:t>
      </w:r>
      <w:r w:rsidRPr="00633318">
        <w:rPr>
          <w:rFonts w:ascii="Times New Roman" w:hAnsi="Times New Roman" w:cs="Times New Roman"/>
          <w:sz w:val="24"/>
          <w:szCs w:val="24"/>
        </w:rPr>
        <w:t>[Zmiany w Ordynacji podatkowej]</w:t>
      </w:r>
    </w:p>
    <w:p w14:paraId="3EBB9A22" w14:textId="6B9E9845" w:rsidR="002C7C46" w:rsidRPr="00633318" w:rsidRDefault="002C7C46" w:rsidP="000F5B35">
      <w:pPr>
        <w:autoSpaceDE w:val="0"/>
        <w:autoSpaceDN w:val="0"/>
        <w:adjustRightInd w:val="0"/>
        <w:spacing w:before="120" w:after="120"/>
        <w:jc w:val="both"/>
        <w:rPr>
          <w:rFonts w:ascii="Times New Roman" w:hAnsi="Times New Roman" w:cs="Times New Roman"/>
          <w:b/>
          <w:bCs/>
          <w:sz w:val="24"/>
          <w:szCs w:val="24"/>
        </w:rPr>
      </w:pPr>
      <w:bookmarkStart w:id="122" w:name="_Hlk161239002"/>
      <w:r w:rsidRPr="00633318">
        <w:rPr>
          <w:rFonts w:ascii="Times New Roman" w:hAnsi="Times New Roman" w:cs="Times New Roman"/>
          <w:b/>
          <w:bCs/>
          <w:sz w:val="24"/>
          <w:szCs w:val="24"/>
        </w:rPr>
        <w:t xml:space="preserve">I. Część ogólna </w:t>
      </w:r>
    </w:p>
    <w:p w14:paraId="4B98A32D" w14:textId="169E24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Szereg aspektów polskiej ustawy o </w:t>
      </w:r>
      <w:r w:rsidR="00391687" w:rsidRPr="00633318">
        <w:rPr>
          <w:rFonts w:ascii="Times New Roman" w:hAnsi="Times New Roman" w:cs="Times New Roman"/>
          <w:sz w:val="24"/>
          <w:szCs w:val="24"/>
        </w:rPr>
        <w:t>o</w:t>
      </w:r>
      <w:r w:rsidRPr="00633318">
        <w:rPr>
          <w:rFonts w:ascii="Times New Roman" w:hAnsi="Times New Roman" w:cs="Times New Roman"/>
          <w:sz w:val="24"/>
          <w:szCs w:val="24"/>
        </w:rPr>
        <w:t>podatk</w:t>
      </w:r>
      <w:r w:rsidR="00391687" w:rsidRPr="00633318">
        <w:rPr>
          <w:rFonts w:ascii="Times New Roman" w:hAnsi="Times New Roman" w:cs="Times New Roman"/>
          <w:sz w:val="24"/>
          <w:szCs w:val="24"/>
        </w:rPr>
        <w:t>owaniu</w:t>
      </w:r>
      <w:r w:rsidRPr="00633318">
        <w:rPr>
          <w:rFonts w:ascii="Times New Roman" w:hAnsi="Times New Roman" w:cs="Times New Roman"/>
          <w:sz w:val="24"/>
          <w:szCs w:val="24"/>
        </w:rPr>
        <w:t xml:space="preserve"> wyrównawczym determinuje zasadność utworzenia specjalnego instrumentu ochronnego, dopasowanego do charakteru nowego podatku. Wśród tych aspektów wyróżnić można w szczególności:</w:t>
      </w:r>
    </w:p>
    <w:p w14:paraId="39B8C3F3" w14:textId="20E43893" w:rsidR="002C7C46" w:rsidRPr="00633318" w:rsidRDefault="002C7C46" w:rsidP="002C7467">
      <w:pPr>
        <w:numPr>
          <w:ilvl w:val="0"/>
          <w:numId w:val="104"/>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wysoki stopień skomplikowania regulacji, która na tle innych powszechnie obowiązujących aktów prawa podatkowego wyróżnia się częstym wykorzystywaniem pojęć i zasad z zakresu międzynarodowej</w:t>
      </w:r>
      <w:r w:rsidR="00433076" w:rsidRPr="00633318">
        <w:rPr>
          <w:rFonts w:ascii="Times New Roman" w:hAnsi="Times New Roman" w:cs="Times New Roman"/>
          <w:sz w:val="24"/>
          <w:szCs w:val="24"/>
        </w:rPr>
        <w:t xml:space="preserve"> </w:t>
      </w:r>
      <w:r w:rsidRPr="00633318">
        <w:rPr>
          <w:rFonts w:ascii="Times New Roman" w:hAnsi="Times New Roman" w:cs="Times New Roman"/>
          <w:sz w:val="24"/>
          <w:szCs w:val="24"/>
        </w:rPr>
        <w:t>sprawozdawczości finansowej</w:t>
      </w:r>
      <w:r w:rsidRPr="00633318">
        <w:rPr>
          <w:rFonts w:ascii="Times New Roman" w:hAnsi="Times New Roman" w:cs="Times New Roman"/>
          <w:sz w:val="24"/>
          <w:szCs w:val="24"/>
          <w:vertAlign w:val="superscript"/>
        </w:rPr>
        <w:footnoteReference w:id="166"/>
      </w:r>
      <w:r w:rsidRPr="00633318">
        <w:rPr>
          <w:rFonts w:ascii="Times New Roman" w:hAnsi="Times New Roman" w:cs="Times New Roman"/>
          <w:sz w:val="24"/>
          <w:szCs w:val="24"/>
        </w:rPr>
        <w:t xml:space="preserve"> na których oparta jest koncepcja globalnego opodatkowania wyrównawczego;</w:t>
      </w:r>
    </w:p>
    <w:p w14:paraId="00420983" w14:textId="5D7B0E6C" w:rsidR="002C7C46" w:rsidRPr="00633318" w:rsidRDefault="002C7C46" w:rsidP="002C7467">
      <w:pPr>
        <w:numPr>
          <w:ilvl w:val="0"/>
          <w:numId w:val="104"/>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potrzebę osiągnięcia pożądanej z perspektywy celu </w:t>
      </w:r>
      <w:r w:rsidR="007C4C22" w:rsidRPr="00633318">
        <w:rPr>
          <w:rFonts w:ascii="Times New Roman" w:hAnsi="Times New Roman" w:cs="Times New Roman"/>
          <w:sz w:val="24"/>
          <w:szCs w:val="24"/>
        </w:rPr>
        <w:t xml:space="preserve">Systemu </w:t>
      </w:r>
      <w:r w:rsidRPr="00633318">
        <w:rPr>
          <w:rFonts w:ascii="Times New Roman" w:hAnsi="Times New Roman" w:cs="Times New Roman"/>
          <w:sz w:val="24"/>
          <w:szCs w:val="24"/>
        </w:rPr>
        <w:t xml:space="preserve">GloBE spójności dokonanej wykładni przepisów o </w:t>
      </w:r>
      <w:r w:rsidR="00391687" w:rsidRPr="00633318">
        <w:rPr>
          <w:rFonts w:ascii="Times New Roman" w:hAnsi="Times New Roman" w:cs="Times New Roman"/>
          <w:sz w:val="24"/>
          <w:szCs w:val="24"/>
        </w:rPr>
        <w:t>o</w:t>
      </w:r>
      <w:r w:rsidRPr="00633318">
        <w:rPr>
          <w:rFonts w:ascii="Times New Roman" w:hAnsi="Times New Roman" w:cs="Times New Roman"/>
          <w:sz w:val="24"/>
          <w:szCs w:val="24"/>
        </w:rPr>
        <w:t>podatk</w:t>
      </w:r>
      <w:r w:rsidR="00391687" w:rsidRPr="00633318">
        <w:rPr>
          <w:rFonts w:ascii="Times New Roman" w:hAnsi="Times New Roman" w:cs="Times New Roman"/>
          <w:sz w:val="24"/>
          <w:szCs w:val="24"/>
        </w:rPr>
        <w:t>owaniu</w:t>
      </w:r>
      <w:r w:rsidRPr="00633318">
        <w:rPr>
          <w:rFonts w:ascii="Times New Roman" w:hAnsi="Times New Roman" w:cs="Times New Roman"/>
          <w:sz w:val="24"/>
          <w:szCs w:val="24"/>
        </w:rPr>
        <w:t xml:space="preserve"> wyrównawczym z podejściem prezentowanym wobec danej międzynarodowej grupy przedsiębiorstw przez inne </w:t>
      </w:r>
      <w:r w:rsidR="00E677F8" w:rsidRPr="00633318">
        <w:rPr>
          <w:rFonts w:ascii="Times New Roman" w:hAnsi="Times New Roman" w:cs="Times New Roman"/>
          <w:sz w:val="24"/>
          <w:szCs w:val="24"/>
        </w:rPr>
        <w:t xml:space="preserve">jurysdykcje </w:t>
      </w:r>
      <w:r w:rsidRPr="00633318">
        <w:rPr>
          <w:rFonts w:ascii="Times New Roman" w:hAnsi="Times New Roman" w:cs="Times New Roman"/>
          <w:sz w:val="24"/>
          <w:szCs w:val="24"/>
        </w:rPr>
        <w:t xml:space="preserve">– w zakresie dotyczącym członków tej grupy </w:t>
      </w:r>
      <w:r w:rsidR="00391687" w:rsidRPr="00633318">
        <w:rPr>
          <w:rFonts w:ascii="Times New Roman" w:hAnsi="Times New Roman" w:cs="Times New Roman"/>
          <w:sz w:val="24"/>
          <w:szCs w:val="24"/>
        </w:rPr>
        <w:t>zlokalizowanych</w:t>
      </w:r>
      <w:r w:rsidRPr="00633318">
        <w:rPr>
          <w:rFonts w:ascii="Times New Roman" w:hAnsi="Times New Roman" w:cs="Times New Roman"/>
          <w:sz w:val="24"/>
          <w:szCs w:val="24"/>
        </w:rPr>
        <w:t xml:space="preserve"> w </w:t>
      </w:r>
      <w:r w:rsidR="00E677F8" w:rsidRPr="00633318">
        <w:rPr>
          <w:rFonts w:ascii="Times New Roman" w:hAnsi="Times New Roman" w:cs="Times New Roman"/>
          <w:sz w:val="24"/>
          <w:szCs w:val="24"/>
        </w:rPr>
        <w:t>tej innej jurysdykcji</w:t>
      </w:r>
      <w:r w:rsidRPr="00633318">
        <w:rPr>
          <w:rFonts w:ascii="Times New Roman" w:hAnsi="Times New Roman" w:cs="Times New Roman"/>
          <w:sz w:val="24"/>
          <w:szCs w:val="24"/>
        </w:rPr>
        <w:t>;</w:t>
      </w:r>
    </w:p>
    <w:p w14:paraId="00739DF7" w14:textId="54E5334E" w:rsidR="002C7C46" w:rsidRPr="00633318" w:rsidRDefault="002C7C46" w:rsidP="002C7467">
      <w:pPr>
        <w:numPr>
          <w:ilvl w:val="0"/>
          <w:numId w:val="104"/>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konieczność zachowania w toku procesu wykładni przepisów ustawy o </w:t>
      </w:r>
      <w:r w:rsidR="00696BBC" w:rsidRPr="00633318">
        <w:rPr>
          <w:rFonts w:ascii="Times New Roman" w:hAnsi="Times New Roman" w:cs="Times New Roman"/>
          <w:sz w:val="24"/>
          <w:szCs w:val="24"/>
        </w:rPr>
        <w:t>o</w:t>
      </w:r>
      <w:r w:rsidRPr="00633318">
        <w:rPr>
          <w:rFonts w:ascii="Times New Roman" w:hAnsi="Times New Roman" w:cs="Times New Roman"/>
          <w:sz w:val="24"/>
          <w:szCs w:val="24"/>
        </w:rPr>
        <w:t>podatk</w:t>
      </w:r>
      <w:r w:rsidR="00696BBC" w:rsidRPr="00633318">
        <w:rPr>
          <w:rFonts w:ascii="Times New Roman" w:hAnsi="Times New Roman" w:cs="Times New Roman"/>
          <w:sz w:val="24"/>
          <w:szCs w:val="24"/>
        </w:rPr>
        <w:t>owaniu</w:t>
      </w:r>
      <w:r w:rsidRPr="00633318">
        <w:rPr>
          <w:rFonts w:ascii="Times New Roman" w:hAnsi="Times New Roman" w:cs="Times New Roman"/>
          <w:sz w:val="24"/>
          <w:szCs w:val="24"/>
        </w:rPr>
        <w:t xml:space="preserve"> wyrównawczym zgodności z dorobkiem OECD dotyczącym </w:t>
      </w:r>
      <w:r w:rsidR="007C4C22" w:rsidRPr="00633318">
        <w:rPr>
          <w:rFonts w:ascii="Times New Roman" w:hAnsi="Times New Roman" w:cs="Times New Roman"/>
          <w:sz w:val="24"/>
          <w:szCs w:val="24"/>
        </w:rPr>
        <w:t xml:space="preserve">Systemu </w:t>
      </w:r>
      <w:r w:rsidRPr="00633318">
        <w:rPr>
          <w:rFonts w:ascii="Times New Roman" w:hAnsi="Times New Roman" w:cs="Times New Roman"/>
          <w:sz w:val="24"/>
          <w:szCs w:val="24"/>
        </w:rPr>
        <w:t xml:space="preserve">GloBE (m.in. z Komentarzem wraz z Wytycznymi </w:t>
      </w:r>
      <w:r w:rsidR="00696BBC" w:rsidRPr="00633318">
        <w:rPr>
          <w:rFonts w:ascii="Times New Roman" w:hAnsi="Times New Roman" w:cs="Times New Roman"/>
          <w:sz w:val="24"/>
          <w:szCs w:val="24"/>
        </w:rPr>
        <w:t>Administracyjnymi</w:t>
      </w:r>
      <w:r w:rsidRPr="00633318">
        <w:rPr>
          <w:rFonts w:ascii="Times New Roman" w:hAnsi="Times New Roman" w:cs="Times New Roman"/>
          <w:sz w:val="24"/>
          <w:szCs w:val="24"/>
        </w:rPr>
        <w:t xml:space="preserve">), w szczególności w kontekście przewidzianego przez OECD procesu oceny spełniania przez polski krajowy podatek wyrównawczy przesłanek do uznania go za tzw. kwalifikowany krajowy podatek wyrównawczy na gruncie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xml:space="preserve"> OECD</w:t>
      </w:r>
      <w:r w:rsidRPr="00633318">
        <w:rPr>
          <w:rFonts w:ascii="Times New Roman" w:hAnsi="Times New Roman" w:cs="Times New Roman"/>
          <w:sz w:val="24"/>
          <w:szCs w:val="24"/>
          <w:vertAlign w:val="superscript"/>
        </w:rPr>
        <w:footnoteReference w:id="167"/>
      </w:r>
      <w:r w:rsidRPr="00633318">
        <w:rPr>
          <w:rFonts w:ascii="Times New Roman" w:hAnsi="Times New Roman" w:cs="Times New Roman"/>
          <w:sz w:val="24"/>
          <w:szCs w:val="24"/>
        </w:rPr>
        <w:t xml:space="preserve">; która to ocena będzie brała pod uwagę również aspekt wykładni i stosowania krajowych przepisów wdrażających </w:t>
      </w:r>
      <w:r w:rsidR="007C4C22" w:rsidRPr="00633318">
        <w:rPr>
          <w:rFonts w:ascii="Times New Roman" w:hAnsi="Times New Roman" w:cs="Times New Roman"/>
          <w:sz w:val="24"/>
          <w:szCs w:val="24"/>
        </w:rPr>
        <w:t xml:space="preserve">Zasady </w:t>
      </w:r>
      <w:r w:rsidRPr="00633318">
        <w:rPr>
          <w:rFonts w:ascii="Times New Roman" w:hAnsi="Times New Roman" w:cs="Times New Roman"/>
          <w:sz w:val="24"/>
          <w:szCs w:val="24"/>
        </w:rPr>
        <w:t>GloBE</w:t>
      </w:r>
      <w:r w:rsidR="007057EF"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p>
    <w:p w14:paraId="6E7FC91F" w14:textId="77EE0AA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 dotychczasowej praktyki wydawania interpretacji indywidualnych wynika, że w procesie wykładni prawa dorobek OECD (komentarz do Modelowej </w:t>
      </w:r>
      <w:r w:rsidR="00ED3A9E" w:rsidRPr="00633318">
        <w:rPr>
          <w:rFonts w:ascii="Times New Roman" w:hAnsi="Times New Roman" w:cs="Times New Roman"/>
          <w:sz w:val="24"/>
          <w:szCs w:val="24"/>
        </w:rPr>
        <w:t>k</w:t>
      </w:r>
      <w:r w:rsidRPr="00633318">
        <w:rPr>
          <w:rFonts w:ascii="Times New Roman" w:hAnsi="Times New Roman" w:cs="Times New Roman"/>
          <w:sz w:val="24"/>
          <w:szCs w:val="24"/>
        </w:rPr>
        <w:t>onwencji OECD na gruncie podatku u źródła,  wytyczne OECD dotyczące cen transferowych) służył w procesie interpretacyjnym jako materiał o charakterze pomocniczym. Stanowił on podporę w zakresie dokonywania interpretacji przepisów prawa krajowego wykorzystujących specyficzną, techniczną nomenklaturę (np. metody weryfikacji cen transferowych</w:t>
      </w:r>
      <w:r w:rsidRPr="00633318">
        <w:rPr>
          <w:rFonts w:ascii="Times New Roman" w:hAnsi="Times New Roman" w:cs="Times New Roman"/>
          <w:sz w:val="24"/>
          <w:szCs w:val="24"/>
          <w:vertAlign w:val="superscript"/>
        </w:rPr>
        <w:footnoteReference w:id="168"/>
      </w:r>
      <w:r w:rsidRPr="00633318">
        <w:rPr>
          <w:rFonts w:ascii="Times New Roman" w:hAnsi="Times New Roman" w:cs="Times New Roman"/>
          <w:sz w:val="24"/>
          <w:szCs w:val="24"/>
        </w:rPr>
        <w:t xml:space="preserve">) lub korzystających z pojęć o pewnym ugruntowanym rozumieniu na gruncie międzynarodowego prawa podatkowego (np. koncepcja </w:t>
      </w:r>
      <w:r w:rsidRPr="00633318">
        <w:rPr>
          <w:rFonts w:ascii="Times New Roman" w:hAnsi="Times New Roman" w:cs="Times New Roman"/>
          <w:i/>
          <w:iCs/>
          <w:sz w:val="24"/>
          <w:szCs w:val="24"/>
        </w:rPr>
        <w:t>beneficial ownership</w:t>
      </w:r>
      <w:r w:rsidRPr="00633318">
        <w:rPr>
          <w:rFonts w:ascii="Times New Roman" w:hAnsi="Times New Roman" w:cs="Times New Roman"/>
          <w:sz w:val="24"/>
          <w:szCs w:val="24"/>
        </w:rPr>
        <w:t xml:space="preserve"> w podatku u źródła</w:t>
      </w:r>
      <w:r w:rsidRPr="00633318">
        <w:rPr>
          <w:rFonts w:ascii="Times New Roman" w:hAnsi="Times New Roman" w:cs="Times New Roman"/>
          <w:sz w:val="24"/>
          <w:szCs w:val="24"/>
          <w:vertAlign w:val="superscript"/>
        </w:rPr>
        <w:footnoteReference w:id="169"/>
      </w:r>
      <w:r w:rsidRPr="00633318">
        <w:rPr>
          <w:rFonts w:ascii="Times New Roman" w:hAnsi="Times New Roman" w:cs="Times New Roman"/>
          <w:sz w:val="24"/>
          <w:szCs w:val="24"/>
        </w:rPr>
        <w:t>). Organ wydający interpretację ma zgodnie z dotychczasową praktyką i orzecznictwem sądów</w:t>
      </w:r>
      <w:r w:rsidRPr="00633318">
        <w:rPr>
          <w:rFonts w:ascii="Times New Roman" w:hAnsi="Times New Roman" w:cs="Times New Roman"/>
          <w:sz w:val="24"/>
          <w:szCs w:val="24"/>
          <w:vertAlign w:val="superscript"/>
        </w:rPr>
        <w:footnoteReference w:id="170"/>
      </w:r>
      <w:r w:rsidRPr="00633318">
        <w:rPr>
          <w:rFonts w:ascii="Times New Roman" w:hAnsi="Times New Roman" w:cs="Times New Roman"/>
          <w:sz w:val="24"/>
          <w:szCs w:val="24"/>
        </w:rPr>
        <w:t xml:space="preserve"> możliwość sięgnięcia we wskazanych obszarach prawa podatkowego do dorobku OECD, zachowując przy tym jednak dużą dozę ostrożności. </w:t>
      </w:r>
    </w:p>
    <w:p w14:paraId="5A359AB6" w14:textId="0647D6BF" w:rsidR="00511CC1"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 uwagi na bezpośrednie odesłania w projektowanej ustawie o opodatkowaniu  wyrównawczym do przepisów i zasad opisanych w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xml:space="preserve">ach w procesie wykładni przepisów tej ustawy  dorobek OECD będzie najpewniej mieć jeszcze silniejszy wpływ na wykładnię przepisów niż w przypadku problematyki cen transferowych czy podatku u źródła. </w:t>
      </w:r>
    </w:p>
    <w:p w14:paraId="1E77393E"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u w:val="single"/>
        </w:rPr>
      </w:pPr>
      <w:r w:rsidRPr="00633318">
        <w:rPr>
          <w:rFonts w:ascii="Times New Roman" w:hAnsi="Times New Roman" w:cs="Times New Roman"/>
          <w:sz w:val="24"/>
          <w:szCs w:val="24"/>
          <w:u w:val="single"/>
        </w:rPr>
        <w:t>Potencjalna liczba podmiotów zainteresowanych uzyskaniem opinii w sprawie opodatkowania wyrównawczego</w:t>
      </w:r>
    </w:p>
    <w:p w14:paraId="5EDBD1F1"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bCs/>
          <w:sz w:val="24"/>
          <w:szCs w:val="24"/>
        </w:rPr>
        <w:t>Zgodnie z danymi poglądowymi wynikającymi z raportowania Country-by-Country za rok 2020, łączna liczba potencjalnych podatników któregokolwiek z trzech podatków przewidzianych przez ustawę o opodatkowaniu  wyrównawczym może wynieść około 8000.</w:t>
      </w:r>
      <w:r w:rsidRPr="00633318">
        <w:rPr>
          <w:rFonts w:ascii="Times New Roman" w:hAnsi="Times New Roman" w:cs="Times New Roman"/>
          <w:bCs/>
          <w:sz w:val="24"/>
          <w:szCs w:val="24"/>
          <w:vertAlign w:val="superscript"/>
        </w:rPr>
        <w:footnoteReference w:id="171"/>
      </w:r>
      <w:r w:rsidRPr="00633318">
        <w:rPr>
          <w:rFonts w:ascii="Times New Roman" w:hAnsi="Times New Roman" w:cs="Times New Roman"/>
          <w:bCs/>
          <w:sz w:val="24"/>
          <w:szCs w:val="24"/>
        </w:rPr>
        <w:t xml:space="preserve"> </w:t>
      </w:r>
      <w:r w:rsidRPr="00633318">
        <w:rPr>
          <w:rFonts w:ascii="Times New Roman" w:hAnsi="Times New Roman" w:cs="Times New Roman"/>
          <w:sz w:val="24"/>
          <w:szCs w:val="24"/>
        </w:rPr>
        <w:t xml:space="preserve">Z uwagi na fakt, iż opodatkowanie tym podatkiem dotyczy sytuacji, gdy jurysdykcyjna efektywna stawka podatku wynosi poniżej 15%, faktyczna liczba podmiotów zobowiązanych do zapłaty podatku powinna jednak być znacznie niższa. </w:t>
      </w:r>
    </w:p>
    <w:p w14:paraId="32120343" w14:textId="18746ED9"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Jednakże w kontekście omawianej instytucji punktem odniesienia powinna być liczba potencjalnych podatników zainteresowanych uzyskaniem wykładni przepisów o podatku wyrównawczym dla swoich planowanych działań, a nie liczba podmiotów zobowiązanych ostatecznie do zapłaty podatku wyrównawczego.</w:t>
      </w:r>
    </w:p>
    <w:p w14:paraId="7813ECB7"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u w:val="single"/>
        </w:rPr>
      </w:pPr>
      <w:r w:rsidRPr="00633318">
        <w:rPr>
          <w:rFonts w:ascii="Times New Roman" w:hAnsi="Times New Roman" w:cs="Times New Roman"/>
          <w:sz w:val="24"/>
          <w:szCs w:val="24"/>
          <w:u w:val="single"/>
        </w:rPr>
        <w:t>Omówienie założeń projektu</w:t>
      </w:r>
    </w:p>
    <w:p w14:paraId="0831E52C" w14:textId="3851A381"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związku z omówionym wyżej kontekstem projektowana instytucja w założeniu stanowić ma „kwalifikowany” rodzaj interpretacji indywidualnej, dopasowany pod względem zakresu podmiotów uprawnionych do złożenia wniosku, zakresu przedmiotowego interpretacji czy procedury wydawania interpretacji, do zasadniczej odrębności ustawy o opodatkowaniu wyrównawczym (w stosunku do innych powszechnie obowiązujących aktów prawa podatkowego). Opinia w sprawie opodatkowania wyrównawczego</w:t>
      </w:r>
      <w:r w:rsidRPr="00633318" w:rsidDel="00FC1C2E">
        <w:rPr>
          <w:rFonts w:ascii="Times New Roman" w:hAnsi="Times New Roman" w:cs="Times New Roman"/>
          <w:sz w:val="24"/>
          <w:szCs w:val="24"/>
        </w:rPr>
        <w:t xml:space="preserve"> </w:t>
      </w:r>
      <w:r w:rsidRPr="00633318">
        <w:rPr>
          <w:rFonts w:ascii="Times New Roman" w:hAnsi="Times New Roman" w:cs="Times New Roman"/>
          <w:sz w:val="24"/>
          <w:szCs w:val="24"/>
        </w:rPr>
        <w:t xml:space="preserve">będzie dokumentem wydawanym przez Dyrektora Krajowej Informacji Skarbowej (dalej: </w:t>
      </w:r>
      <w:r w:rsidRPr="00633318">
        <w:rPr>
          <w:rFonts w:ascii="Times New Roman" w:hAnsi="Times New Roman" w:cs="Times New Roman"/>
          <w:b/>
          <w:bCs/>
          <w:sz w:val="24"/>
          <w:szCs w:val="24"/>
        </w:rPr>
        <w:t>Dyrektor KIS</w:t>
      </w:r>
      <w:r w:rsidRPr="00633318">
        <w:rPr>
          <w:rFonts w:ascii="Times New Roman" w:hAnsi="Times New Roman" w:cs="Times New Roman"/>
          <w:sz w:val="24"/>
          <w:szCs w:val="24"/>
        </w:rPr>
        <w:t>) na wniosek zainteresowanego i przyznającym zainteresowanemu w przypadku zastosowania się do jego treści ochronę o charakterze analogicznym jak w przypadku interpretacji indywidualnej prawa podatkowego. Przepisy o opinii w sprawie opodatkowania wyrównawczego</w:t>
      </w:r>
      <w:r w:rsidRPr="00633318" w:rsidDel="00FC1C2E">
        <w:rPr>
          <w:rFonts w:ascii="Times New Roman" w:hAnsi="Times New Roman" w:cs="Times New Roman"/>
          <w:sz w:val="24"/>
          <w:szCs w:val="24"/>
        </w:rPr>
        <w:t xml:space="preserve"> </w:t>
      </w:r>
      <w:r w:rsidRPr="00633318">
        <w:rPr>
          <w:rFonts w:ascii="Times New Roman" w:hAnsi="Times New Roman" w:cs="Times New Roman"/>
          <w:sz w:val="24"/>
          <w:szCs w:val="24"/>
        </w:rPr>
        <w:t>uwzględniają jednak specyfikę regulacji dot. podatku wyrównawczego m.in. poprzez zastosowanie następujących rozwiązań:</w:t>
      </w:r>
    </w:p>
    <w:p w14:paraId="5754346F" w14:textId="27AD23E8" w:rsidR="00DD7588" w:rsidRPr="00633318" w:rsidRDefault="002C7C46" w:rsidP="00DD7588">
      <w:pPr>
        <w:numPr>
          <w:ilvl w:val="0"/>
          <w:numId w:val="105"/>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Ograniczenie kręgu podmiotów mogących wystąpić o wydanie opinii w sprawie opodatkowania wyrównawczego</w:t>
      </w:r>
      <w:r w:rsidRPr="00633318" w:rsidDel="00FC1C2E">
        <w:rPr>
          <w:rFonts w:ascii="Times New Roman" w:hAnsi="Times New Roman" w:cs="Times New Roman"/>
          <w:sz w:val="24"/>
          <w:szCs w:val="24"/>
        </w:rPr>
        <w:t xml:space="preserve"> </w:t>
      </w:r>
      <w:r w:rsidRPr="00633318">
        <w:rPr>
          <w:rFonts w:ascii="Times New Roman" w:hAnsi="Times New Roman" w:cs="Times New Roman"/>
          <w:sz w:val="24"/>
          <w:szCs w:val="24"/>
        </w:rPr>
        <w:t>do, zasadniczo, podatników podatku wyrównawczego</w:t>
      </w:r>
      <w:r w:rsidR="007057EF" w:rsidRPr="00633318">
        <w:rPr>
          <w:rFonts w:ascii="Times New Roman" w:hAnsi="Times New Roman" w:cs="Times New Roman"/>
          <w:sz w:val="24"/>
          <w:szCs w:val="24"/>
        </w:rPr>
        <w:t>;</w:t>
      </w:r>
    </w:p>
    <w:p w14:paraId="3A6C74B0" w14:textId="77777777" w:rsidR="00837424" w:rsidRPr="00633318" w:rsidRDefault="00837424" w:rsidP="00837424">
      <w:pPr>
        <w:numPr>
          <w:ilvl w:val="0"/>
          <w:numId w:val="105"/>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Zawężenie zakresu zapytań wyłącznie do czynności planowanych lub rozpoczętych i niezakończonych oraz czynności bezpośrednio dotyczących spełnienia przez zainteresowanego obowiązków wynikających z ustawy o opodatkowaniu wyrównawczym jednostek składowych grup krajowych i międzynarodowych, w stosunku do których nie upłynął termin zapłaty podatku wyrównawczego;  </w:t>
      </w:r>
    </w:p>
    <w:p w14:paraId="6DC54665" w14:textId="2EFA5D29" w:rsidR="00837424" w:rsidRPr="00633318" w:rsidRDefault="00837424" w:rsidP="00837424">
      <w:pPr>
        <w:numPr>
          <w:ilvl w:val="0"/>
          <w:numId w:val="105"/>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Konieczność uiszczenia opłaty wstępnej w wysokości 15 000 zł oraz opłaty głównej, której wysokość uzależniona jest od zakresu i stopnia skomplikowania problematyki wniosku. Opłata główna nie może być jednak niższa niż 15 000 zł i wyższa niż 50 000 zł</w:t>
      </w:r>
      <w:r w:rsidR="007057EF" w:rsidRPr="00633318">
        <w:rPr>
          <w:rFonts w:ascii="Times New Roman" w:hAnsi="Times New Roman" w:cs="Times New Roman"/>
          <w:sz w:val="24"/>
          <w:szCs w:val="24"/>
        </w:rPr>
        <w:t>;</w:t>
      </w:r>
    </w:p>
    <w:p w14:paraId="04C0C93F" w14:textId="55D4CACE" w:rsidR="002C7C46" w:rsidRPr="00633318" w:rsidRDefault="00837424" w:rsidP="002C7467">
      <w:pPr>
        <w:numPr>
          <w:ilvl w:val="0"/>
          <w:numId w:val="105"/>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Możliwość p</w:t>
      </w:r>
      <w:r w:rsidR="002C7C46" w:rsidRPr="00633318">
        <w:rPr>
          <w:rFonts w:ascii="Times New Roman" w:hAnsi="Times New Roman" w:cs="Times New Roman"/>
          <w:sz w:val="24"/>
          <w:szCs w:val="24"/>
        </w:rPr>
        <w:t>rzeprowadzeni</w:t>
      </w:r>
      <w:r w:rsidRPr="00633318">
        <w:rPr>
          <w:rFonts w:ascii="Times New Roman" w:hAnsi="Times New Roman" w:cs="Times New Roman"/>
          <w:sz w:val="24"/>
          <w:szCs w:val="24"/>
        </w:rPr>
        <w:t>a</w:t>
      </w:r>
      <w:r w:rsidR="002C7C46" w:rsidRPr="00633318">
        <w:rPr>
          <w:rFonts w:ascii="Times New Roman" w:hAnsi="Times New Roman" w:cs="Times New Roman"/>
          <w:sz w:val="24"/>
          <w:szCs w:val="24"/>
        </w:rPr>
        <w:t xml:space="preserve"> przez organ wydający opinię spotkania uzgodnieniowego, w celu wyjaśnienia wątpliwości co do treści wniosku – jako elastycznego rozwiązania istniejącego obok klasycznego wezwania</w:t>
      </w:r>
      <w:r w:rsidR="007057EF" w:rsidRPr="00633318">
        <w:rPr>
          <w:rFonts w:ascii="Times New Roman" w:hAnsi="Times New Roman" w:cs="Times New Roman"/>
          <w:sz w:val="24"/>
          <w:szCs w:val="24"/>
        </w:rPr>
        <w:t>;</w:t>
      </w:r>
      <w:r w:rsidR="002C7C46" w:rsidRPr="00633318">
        <w:rPr>
          <w:rFonts w:ascii="Times New Roman" w:hAnsi="Times New Roman" w:cs="Times New Roman"/>
          <w:sz w:val="24"/>
          <w:szCs w:val="24"/>
        </w:rPr>
        <w:t xml:space="preserve"> </w:t>
      </w:r>
    </w:p>
    <w:p w14:paraId="72F528AF" w14:textId="7A1345CA" w:rsidR="002C7C46" w:rsidRPr="00633318" w:rsidRDefault="002C7C46" w:rsidP="002C7467">
      <w:pPr>
        <w:numPr>
          <w:ilvl w:val="0"/>
          <w:numId w:val="105"/>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Utworzenie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Podatku Wyrównawczego</w:t>
      </w:r>
      <w:r w:rsidR="000A1E91" w:rsidRPr="00633318">
        <w:rPr>
          <w:rFonts w:ascii="Times New Roman" w:hAnsi="Times New Roman" w:cs="Times New Roman"/>
          <w:sz w:val="24"/>
          <w:szCs w:val="24"/>
        </w:rPr>
        <w:t xml:space="preserve"> (dalej: </w:t>
      </w:r>
      <w:r w:rsidR="000A1E91" w:rsidRPr="00633318">
        <w:rPr>
          <w:rFonts w:ascii="Times New Roman" w:hAnsi="Times New Roman" w:cs="Times New Roman"/>
          <w:b/>
          <w:bCs/>
          <w:sz w:val="24"/>
          <w:szCs w:val="24"/>
        </w:rPr>
        <w:t>Rada GloBE</w:t>
      </w:r>
      <w:r w:rsidR="000A1E91" w:rsidRPr="00633318">
        <w:rPr>
          <w:rFonts w:ascii="Times New Roman" w:hAnsi="Times New Roman" w:cs="Times New Roman"/>
          <w:sz w:val="24"/>
          <w:szCs w:val="24"/>
        </w:rPr>
        <w:t>)</w:t>
      </w:r>
      <w:r w:rsidR="007057EF" w:rsidRPr="00633318">
        <w:rPr>
          <w:rFonts w:ascii="Times New Roman" w:hAnsi="Times New Roman" w:cs="Times New Roman"/>
          <w:sz w:val="24"/>
          <w:szCs w:val="24"/>
        </w:rPr>
        <w:t xml:space="preserve"> na</w:t>
      </w:r>
      <w:r w:rsidRPr="00633318">
        <w:rPr>
          <w:rFonts w:ascii="Times New Roman" w:hAnsi="Times New Roman" w:cs="Times New Roman"/>
          <w:sz w:val="24"/>
          <w:szCs w:val="24"/>
        </w:rPr>
        <w:t xml:space="preserve"> wzór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Przeciwdziałania Unikaniu Opodatkowania. Na wniosek organu wydającego opinię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opracowuje dokument opiniujący w zakresie prawidłowego rozumienia wytycznych OECD dot. podatku wyrównawczego, w tym w zakresie rachunkowości, w sytuacji przedstawionej we wniosku</w:t>
      </w:r>
      <w:r w:rsidR="007057EF" w:rsidRPr="00633318">
        <w:rPr>
          <w:rFonts w:ascii="Times New Roman" w:hAnsi="Times New Roman" w:cs="Times New Roman"/>
          <w:sz w:val="24"/>
          <w:szCs w:val="24"/>
        </w:rPr>
        <w:t>;</w:t>
      </w:r>
    </w:p>
    <w:p w14:paraId="4226C79F" w14:textId="368CDA96" w:rsidR="002C7C46" w:rsidRPr="00633318" w:rsidRDefault="002C7C46" w:rsidP="002C7467">
      <w:pPr>
        <w:numPr>
          <w:ilvl w:val="0"/>
          <w:numId w:val="105"/>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Ustalenie maksymalnego terminu na wydanie opinii w sprawie opodatkowania wyrównawczego</w:t>
      </w:r>
      <w:r w:rsidRPr="00633318" w:rsidDel="00FC1C2E">
        <w:rPr>
          <w:rFonts w:ascii="Times New Roman" w:hAnsi="Times New Roman" w:cs="Times New Roman"/>
          <w:sz w:val="24"/>
          <w:szCs w:val="24"/>
        </w:rPr>
        <w:t xml:space="preserve"> </w:t>
      </w:r>
      <w:r w:rsidRPr="00633318">
        <w:rPr>
          <w:rFonts w:ascii="Times New Roman" w:hAnsi="Times New Roman" w:cs="Times New Roman"/>
          <w:sz w:val="24"/>
          <w:szCs w:val="24"/>
        </w:rPr>
        <w:t xml:space="preserve">(z uwzględnieniem zawieszenia biegu terminu w związku z pracami Rady oraz w związku z zasięgnięciem opinii innych organów), który wyniesie </w:t>
      </w:r>
      <w:r w:rsidR="00837424" w:rsidRPr="00633318">
        <w:rPr>
          <w:rFonts w:ascii="Times New Roman" w:hAnsi="Times New Roman" w:cs="Times New Roman"/>
          <w:sz w:val="24"/>
          <w:szCs w:val="24"/>
        </w:rPr>
        <w:t>do 1</w:t>
      </w:r>
      <w:r w:rsidR="001B7BD1" w:rsidRPr="00633318">
        <w:rPr>
          <w:rFonts w:ascii="Times New Roman" w:hAnsi="Times New Roman" w:cs="Times New Roman"/>
          <w:sz w:val="24"/>
          <w:szCs w:val="24"/>
        </w:rPr>
        <w:t>1</w:t>
      </w:r>
      <w:r w:rsidR="00837424" w:rsidRPr="00633318">
        <w:rPr>
          <w:rFonts w:ascii="Times New Roman" w:hAnsi="Times New Roman" w:cs="Times New Roman"/>
          <w:sz w:val="24"/>
          <w:szCs w:val="24"/>
        </w:rPr>
        <w:t xml:space="preserve"> miesięcy</w:t>
      </w:r>
      <w:r w:rsidR="007057EF" w:rsidRPr="00633318">
        <w:rPr>
          <w:rFonts w:ascii="Times New Roman" w:hAnsi="Times New Roman" w:cs="Times New Roman"/>
          <w:sz w:val="24"/>
          <w:szCs w:val="24"/>
        </w:rPr>
        <w:t>;</w:t>
      </w:r>
    </w:p>
    <w:p w14:paraId="64C4F6F3" w14:textId="77777777" w:rsidR="002C7C46" w:rsidRPr="00633318" w:rsidRDefault="002C7C46" w:rsidP="002C7467">
      <w:pPr>
        <w:numPr>
          <w:ilvl w:val="0"/>
          <w:numId w:val="105"/>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Obowiązywanie opinii przez 5 lat od dnia jej wydania, chyba że w trakcie tego okresu zostanie zmieniona, uchylona lub wygaśnie z mocy prawa.</w:t>
      </w:r>
    </w:p>
    <w:p w14:paraId="7342C076" w14:textId="14AFE266"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Rozwiązania te mają na celu w szczególności uwzględnienie poziomu skomplikowania materii, której przedmiotem będą wnioski o wydanie </w:t>
      </w:r>
      <w:bookmarkStart w:id="123" w:name="_Hlk162293732"/>
      <w:r w:rsidRPr="00633318">
        <w:rPr>
          <w:rFonts w:ascii="Times New Roman" w:hAnsi="Times New Roman" w:cs="Times New Roman"/>
          <w:sz w:val="24"/>
          <w:szCs w:val="24"/>
        </w:rPr>
        <w:t>opinii w sprawie opodatkowania wyrównawczego</w:t>
      </w:r>
      <w:bookmarkEnd w:id="123"/>
      <w:r w:rsidRPr="00633318" w:rsidDel="00FC1C2E">
        <w:rPr>
          <w:rFonts w:ascii="Times New Roman" w:hAnsi="Times New Roman" w:cs="Times New Roman"/>
          <w:sz w:val="24"/>
          <w:szCs w:val="24"/>
        </w:rPr>
        <w:t xml:space="preserve"> </w:t>
      </w:r>
      <w:r w:rsidRPr="00633318">
        <w:rPr>
          <w:rFonts w:ascii="Times New Roman" w:hAnsi="Times New Roman" w:cs="Times New Roman"/>
          <w:sz w:val="24"/>
          <w:szCs w:val="24"/>
        </w:rPr>
        <w:t xml:space="preserve">– zarówno w zakresie zawiłości samych przepisów ustawy jak i złożoności prezentowanych </w:t>
      </w:r>
      <w:r w:rsidR="00E5463E" w:rsidRPr="00633318">
        <w:rPr>
          <w:rFonts w:ascii="Times New Roman" w:hAnsi="Times New Roman" w:cs="Times New Roman"/>
          <w:sz w:val="24"/>
          <w:szCs w:val="24"/>
        </w:rPr>
        <w:t xml:space="preserve">czynności </w:t>
      </w:r>
      <w:r w:rsidRPr="00633318">
        <w:rPr>
          <w:rFonts w:ascii="Times New Roman" w:hAnsi="Times New Roman" w:cs="Times New Roman"/>
          <w:sz w:val="24"/>
          <w:szCs w:val="24"/>
        </w:rPr>
        <w:t>(zważywszy, że dotyczyć one będą bardzo dużych grup międzynarodowych i przeprowadzanych przez nie działań gospodarczych). W związku z tym wymagane do sporządzenia wniosku nakłady pracy i czasu po stronie administracji podatkowej wydają się uzasadniać konieczność wyższych w stosunku do tradycyjnych interpretacji indywidualnych opłat (bardziej zbliżonych do opłat przewidzianych dla uprzednich porozumień cenowych) oraz znacznie dłuższego terminu na wydanie opinii w sprawie opodatkowania wyrównawczego.</w:t>
      </w:r>
    </w:p>
    <w:p w14:paraId="5610859D" w14:textId="2A2B00CD" w:rsidR="00837424" w:rsidRPr="00633318" w:rsidRDefault="002C7C46"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Ewentualna zmienność w zakresie wykładni przepisów ustawy o opodatkowaniu wyrównawczym związana z bezprecedensowym charakterem tego reżimu podatkowego oraz prawdopodobieństwem przyszłych nowelizacji wytycznych OECD daje podstawę do zastosowania ograniczenia czasowego w zakresie obowiązywania wydanej opinii. Należy też w tym miejscu zauważyć, iż takie rozwiązanie jest zgodne z ogólnym trendem w zakresie podatkowych instrumentów interpretacyjnych i ochronnych przewidzianych w polskim porządku prawnym (np. uprzednie porozumienia cenowe, porozumienie inwestycyjne, wiążąca informacja stawkowa, wiążąca informacja akcyzowa). </w:t>
      </w:r>
      <w:r w:rsidR="00837424" w:rsidRPr="00633318">
        <w:rPr>
          <w:rFonts w:ascii="Times New Roman" w:hAnsi="Times New Roman" w:cs="Times New Roman"/>
          <w:sz w:val="24"/>
          <w:szCs w:val="24"/>
        </w:rPr>
        <w:t xml:space="preserve">Ponadto, trend ten wpisuje się w rozwiązania obowiązujące już w Unii Europejskiej, przykładowo w Czechach, Danii oraz Holandii interpretacje obowiązują również przez 5 lat. </w:t>
      </w:r>
    </w:p>
    <w:p w14:paraId="069D823A" w14:textId="148992F2"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Projektowana instytucja będzie stanowić komplementarną część systemu prawnopodatkowych instrumentów o charakterze ochronnym i interpretacyjnych (m.in. interpretacje indywidualne, interpretacje ogólne, </w:t>
      </w:r>
      <w:r w:rsidR="00837424" w:rsidRPr="00633318">
        <w:rPr>
          <w:rFonts w:ascii="Times New Roman" w:hAnsi="Times New Roman" w:cs="Times New Roman"/>
          <w:sz w:val="24"/>
          <w:szCs w:val="24"/>
        </w:rPr>
        <w:t>wiążące informacje o charakterze podatkowym, uprzednie porozumienia cenowe, porozumienia podatkowe zawierane w ramach umowy o współdziałanie czy porozumienia inwestycyjne).</w:t>
      </w:r>
    </w:p>
    <w:p w14:paraId="6399982D"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u w:val="single"/>
        </w:rPr>
      </w:pPr>
      <w:r w:rsidRPr="00633318">
        <w:rPr>
          <w:rFonts w:ascii="Times New Roman" w:hAnsi="Times New Roman" w:cs="Times New Roman"/>
          <w:sz w:val="24"/>
          <w:szCs w:val="24"/>
          <w:u w:val="single"/>
        </w:rPr>
        <w:t>Narzędzia ochronne dot. podatku wyrównawczego w innych jurysdykcjach</w:t>
      </w:r>
    </w:p>
    <w:p w14:paraId="166FDD87" w14:textId="54AA814F" w:rsidR="002C7C46" w:rsidRPr="00633318" w:rsidRDefault="002C7C46" w:rsidP="000F5B35">
      <w:pPr>
        <w:autoSpaceDE w:val="0"/>
        <w:autoSpaceDN w:val="0"/>
        <w:adjustRightInd w:val="0"/>
        <w:spacing w:before="120" w:after="12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Wprowadzenie możliwości ubiegania się przez podatnika podatku wyrównawczego o dokument o charakterze ochronnym ma lub będzie miało miejsce także w ramach innych jurysdykcji objętych </w:t>
      </w:r>
      <w:r w:rsidR="00E15014" w:rsidRPr="00633318">
        <w:rPr>
          <w:rFonts w:ascii="Times New Roman" w:hAnsi="Times New Roman" w:cs="Times New Roman"/>
          <w:bCs/>
          <w:sz w:val="24"/>
          <w:szCs w:val="24"/>
        </w:rPr>
        <w:t xml:space="preserve">Systemem </w:t>
      </w:r>
      <w:r w:rsidRPr="00633318">
        <w:rPr>
          <w:rFonts w:ascii="Times New Roman" w:hAnsi="Times New Roman" w:cs="Times New Roman"/>
          <w:bCs/>
          <w:sz w:val="24"/>
          <w:szCs w:val="24"/>
        </w:rPr>
        <w:t xml:space="preserve">GloBE. Dopuszczenie możliwości wydawania interpretacji indywidualnych w odniesieniu do przepisów o opodatkowaniu wyrównawczym przewidział już bowiem także prawodawca holenderski i szwedzki. </w:t>
      </w:r>
    </w:p>
    <w:p w14:paraId="5C923C17" w14:textId="77705304"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przypadku Szwecji, zdecydowano się zastosować rozszerzenie możliwości wnioskowania o standardowe interpretacje indywidualne na wątpliwości podatników dotyczące </w:t>
      </w:r>
      <w:r w:rsidR="00E5463E" w:rsidRPr="00633318">
        <w:rPr>
          <w:rFonts w:ascii="Times New Roman" w:hAnsi="Times New Roman" w:cs="Times New Roman"/>
          <w:sz w:val="24"/>
          <w:szCs w:val="24"/>
        </w:rPr>
        <w:t xml:space="preserve">czynności </w:t>
      </w:r>
      <w:r w:rsidRPr="00633318">
        <w:rPr>
          <w:rFonts w:ascii="Times New Roman" w:hAnsi="Times New Roman" w:cs="Times New Roman"/>
          <w:sz w:val="24"/>
          <w:szCs w:val="24"/>
        </w:rPr>
        <w:t>mogących wywoływać skutki w zakresie podatku wyrównawczego. W założeniu interpretacje w zakresie podatku wyrównawczego będą wydawane na zasadach ogólnych przewidzianych w ramach systemu szwedzkich interpretacji indywidualnych, z tym że do wniosku należy dołączyć dodatkowe dokumenty.</w:t>
      </w:r>
    </w:p>
    <w:p w14:paraId="3E4D74D6" w14:textId="2C2FA538" w:rsidR="00DE3DB2"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 dniem 22 grudnia 2023 roku zakres przedmiotowy funkcjonującego dotychczas w Holandii instrumentu w postaci uprzedniej interpretacji podatkowej o charakterze międzynarodowym (</w:t>
      </w:r>
      <w:r w:rsidRPr="00633318">
        <w:rPr>
          <w:rFonts w:ascii="Times New Roman" w:hAnsi="Times New Roman" w:cs="Times New Roman"/>
          <w:i/>
          <w:iCs/>
          <w:sz w:val="24"/>
          <w:szCs w:val="24"/>
        </w:rPr>
        <w:t xml:space="preserve">vooroverleg rulings met een internationaal karakter; </w:t>
      </w:r>
      <w:r w:rsidRPr="00633318">
        <w:rPr>
          <w:rFonts w:ascii="Times New Roman" w:hAnsi="Times New Roman" w:cs="Times New Roman"/>
          <w:sz w:val="24"/>
          <w:szCs w:val="24"/>
        </w:rPr>
        <w:t xml:space="preserve">dalej jako: </w:t>
      </w:r>
      <w:r w:rsidRPr="00633318">
        <w:rPr>
          <w:rFonts w:ascii="Times New Roman" w:hAnsi="Times New Roman" w:cs="Times New Roman"/>
          <w:b/>
          <w:bCs/>
          <w:sz w:val="24"/>
          <w:szCs w:val="24"/>
        </w:rPr>
        <w:t>VRIK</w:t>
      </w:r>
      <w:r w:rsidRPr="00633318">
        <w:rPr>
          <w:rFonts w:ascii="Times New Roman" w:hAnsi="Times New Roman" w:cs="Times New Roman"/>
          <w:sz w:val="24"/>
          <w:szCs w:val="24"/>
        </w:rPr>
        <w:t>) został poszerzony o kwestie związane ze wprowadzonym do krajowego systemu prawa podatkowego aktem dotyczącym podatku wyrównawczego.</w:t>
      </w:r>
      <w:r w:rsidRPr="00633318">
        <w:rPr>
          <w:rFonts w:ascii="Times New Roman" w:hAnsi="Times New Roman" w:cs="Times New Roman"/>
          <w:sz w:val="24"/>
          <w:szCs w:val="24"/>
          <w:vertAlign w:val="superscript"/>
        </w:rPr>
        <w:t xml:space="preserve"> </w:t>
      </w:r>
      <w:r w:rsidRPr="00633318">
        <w:rPr>
          <w:rFonts w:ascii="Times New Roman" w:hAnsi="Times New Roman" w:cs="Times New Roman"/>
          <w:sz w:val="24"/>
          <w:szCs w:val="24"/>
          <w:vertAlign w:val="superscript"/>
        </w:rPr>
        <w:footnoteReference w:id="172"/>
      </w:r>
      <w:r w:rsidRPr="00633318">
        <w:rPr>
          <w:rFonts w:ascii="Times New Roman" w:hAnsi="Times New Roman" w:cs="Times New Roman"/>
          <w:sz w:val="24"/>
          <w:szCs w:val="24"/>
        </w:rPr>
        <w:t xml:space="preserve"> VRIK umożliwia zainteresowanemu uzyskanie wiążącej dla organów podatkowych w zakresie skutków podatkowych planowanej transakcji międzynarodowej lub kombinacji transakcji międzynarodowych interpretacji przepisów. Przed wydaniem dokumentu pomiędzy zainteresowanym a organem prowadzone są uzgodnienia w zakresie zastosowania przepisów rangi ustawowych i wykonawczych w przedstawionych okolicznościach. Wydany przez organ VRIK obowiązuje przez 4 lub 5 lat od dnia jego wydania, z możliwością odnowienia na wniosek zainteresowanego. Organ może odmówić wydania VRIK w przypadku uzasadnionego podejrzenia unikania opodatkowania.</w:t>
      </w:r>
    </w:p>
    <w:p w14:paraId="43A190A1" w14:textId="77777777" w:rsidR="002C7C46" w:rsidRPr="00633318" w:rsidRDefault="002C7C46" w:rsidP="000F5B35">
      <w:pPr>
        <w:autoSpaceDE w:val="0"/>
        <w:autoSpaceDN w:val="0"/>
        <w:adjustRightInd w:val="0"/>
        <w:spacing w:before="120" w:after="120"/>
        <w:jc w:val="both"/>
        <w:rPr>
          <w:rFonts w:ascii="Times New Roman" w:hAnsi="Times New Roman" w:cs="Times New Roman"/>
          <w:b/>
          <w:sz w:val="24"/>
          <w:szCs w:val="24"/>
        </w:rPr>
      </w:pPr>
      <w:r w:rsidRPr="00633318">
        <w:rPr>
          <w:rFonts w:ascii="Times New Roman" w:hAnsi="Times New Roman" w:cs="Times New Roman"/>
          <w:b/>
          <w:sz w:val="24"/>
          <w:szCs w:val="24"/>
        </w:rPr>
        <w:t xml:space="preserve">II. Cześć szczegółowa – omówienie poszczególnych przepisów  </w:t>
      </w:r>
    </w:p>
    <w:p w14:paraId="283655B8" w14:textId="5E873664" w:rsidR="002C7C46" w:rsidRPr="00633318" w:rsidRDefault="002C7C46" w:rsidP="000F5B35">
      <w:p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1. Organ właściwy do wydania, zmiany lub uchylenia opinii w sprawie opodatkowania wyrównawczego – pkt 1 </w:t>
      </w:r>
      <w:r w:rsidR="00837424" w:rsidRPr="00633318">
        <w:rPr>
          <w:rFonts w:ascii="Times New Roman" w:hAnsi="Times New Roman" w:cs="Times New Roman"/>
          <w:b/>
          <w:bCs/>
          <w:sz w:val="24"/>
          <w:szCs w:val="24"/>
        </w:rPr>
        <w:t>art. 140 projektu (art. 13 § 2 pkt 4a i § 2a pkt 1a Ordynacji podatkowej)</w:t>
      </w:r>
    </w:p>
    <w:bookmarkEnd w:id="122"/>
    <w:p w14:paraId="5B42E666" w14:textId="3DBD6418" w:rsidR="00837424" w:rsidRPr="00633318" w:rsidRDefault="002C7C46"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Projekt ustawy zakłada dodanie w art. 13 § 2a po pkt 1</w:t>
      </w:r>
      <w:r w:rsidR="00E15014" w:rsidRPr="00633318">
        <w:rPr>
          <w:rFonts w:ascii="Times New Roman" w:hAnsi="Times New Roman" w:cs="Times New Roman"/>
          <w:sz w:val="24"/>
          <w:szCs w:val="24"/>
        </w:rPr>
        <w:t xml:space="preserve"> Ordynacji podatkowej</w:t>
      </w:r>
      <w:r w:rsidRPr="00633318">
        <w:rPr>
          <w:rFonts w:ascii="Times New Roman" w:hAnsi="Times New Roman" w:cs="Times New Roman"/>
          <w:sz w:val="24"/>
          <w:szCs w:val="24"/>
        </w:rPr>
        <w:t xml:space="preserve"> punktu 1a wskazującego, że organem właściwym w sprawach dotyczących wydawania, zmiany </w:t>
      </w:r>
      <w:r w:rsidR="00837424" w:rsidRPr="00633318">
        <w:rPr>
          <w:rFonts w:ascii="Times New Roman" w:hAnsi="Times New Roman" w:cs="Times New Roman"/>
          <w:sz w:val="24"/>
          <w:szCs w:val="24"/>
        </w:rPr>
        <w:t xml:space="preserve">albo uchylenia opinii w sprawie opodatkowania wyrównawczego będzie Dyrektor KIS. Dyrektor KIS jest organem podatkowym wyspecjalizowanym w interpretowaniu przepisów prawa podatkowego. Do jego zadań należy między innymi wydawanie interpretacji indywidualnych, a także wydawanie i zmiany wiążących informacji stawkowych (dalej: </w:t>
      </w:r>
      <w:r w:rsidR="00837424" w:rsidRPr="00633318">
        <w:rPr>
          <w:rFonts w:ascii="Times New Roman" w:hAnsi="Times New Roman" w:cs="Times New Roman"/>
          <w:b/>
          <w:bCs/>
          <w:sz w:val="24"/>
          <w:szCs w:val="24"/>
        </w:rPr>
        <w:t>WIS</w:t>
      </w:r>
      <w:r w:rsidR="00837424" w:rsidRPr="00633318">
        <w:rPr>
          <w:rFonts w:ascii="Times New Roman" w:hAnsi="Times New Roman" w:cs="Times New Roman"/>
          <w:sz w:val="24"/>
          <w:szCs w:val="24"/>
        </w:rPr>
        <w:t xml:space="preserve">) oraz wiążących informacji akcyzowych (dalej: </w:t>
      </w:r>
      <w:r w:rsidR="00837424" w:rsidRPr="00633318">
        <w:rPr>
          <w:rFonts w:ascii="Times New Roman" w:hAnsi="Times New Roman" w:cs="Times New Roman"/>
          <w:b/>
          <w:bCs/>
          <w:sz w:val="24"/>
          <w:szCs w:val="24"/>
        </w:rPr>
        <w:t>WIA</w:t>
      </w:r>
      <w:r w:rsidR="00837424" w:rsidRPr="00633318">
        <w:rPr>
          <w:rFonts w:ascii="Times New Roman" w:hAnsi="Times New Roman" w:cs="Times New Roman"/>
          <w:sz w:val="24"/>
          <w:szCs w:val="24"/>
        </w:rPr>
        <w:t xml:space="preserve">). Krajowa Informacja Skarbowa jest instytucją znaną podatnikom oraz profesjonalnym pełnomocnikom, tym samym jako wyspecjalizowany i scentralizowany organ, wyposażony w sprawnie działający aparat administracyjny, Dyrektor KIS jest najlepiej przygotowanym organem do przyjęcia nowego zadania interpretacyjnego. </w:t>
      </w:r>
    </w:p>
    <w:p w14:paraId="308DC726" w14:textId="332EB736" w:rsidR="00837424" w:rsidRPr="00633318" w:rsidRDefault="00837424" w:rsidP="008E6BD2">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Ponieważ w wyjątkowych sytuacjach uprawniony do zmiany albo uchylenia opinii w sprawie opodatkowania wyrównawczego będzie Szef Krajowej Administracji Skarbowej (dalej: </w:t>
      </w:r>
      <w:r w:rsidRPr="00633318">
        <w:rPr>
          <w:rFonts w:ascii="Times New Roman" w:hAnsi="Times New Roman" w:cs="Times New Roman"/>
          <w:b/>
          <w:bCs/>
          <w:sz w:val="24"/>
          <w:szCs w:val="24"/>
        </w:rPr>
        <w:t>Szef KAS</w:t>
      </w:r>
      <w:r w:rsidRPr="00633318">
        <w:rPr>
          <w:rFonts w:ascii="Times New Roman" w:hAnsi="Times New Roman" w:cs="Times New Roman"/>
          <w:sz w:val="24"/>
          <w:szCs w:val="24"/>
        </w:rPr>
        <w:t xml:space="preserve">), niezbędne jest wyposażenie go w kompetencje podatkowe z tym zakresem związane (dodanie pkt 4a w art. 13 § 2 Ordynacji podatkowej). Szef KAS będzie mógł dokonać zmiany albo uchylenia takiej decyzji po przejęciu postępowania uprzednio wszczętego w tym zakresie przez Dyrektora KIS (w trybie art. 14zd § 3 Ordynacji podatkowej). Z uwagi na wprowadzenie specjalnego trybu wydawania przez Szefa KAS opinii zabezpieczających w sprawie opodatkowania wyrównawczego zasadne stało się również poszerzenie jego dotychczasowych kompetencji podatkowych związanych z opiniami zabezpieczającymi (zmiana pkt 6 w art. 13 § 2 Ordynacji podatkowej). </w:t>
      </w:r>
    </w:p>
    <w:p w14:paraId="0FCFCC36" w14:textId="0FBCDE8C" w:rsidR="002C7C46" w:rsidRPr="00633318" w:rsidRDefault="002C7C46" w:rsidP="008E6BD2">
      <w:p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2. Wyłączenie możliwości wydawania interpretacji ogólnych na wniosek oraz interpretacji indywidualnych pkt 2 i 3 </w:t>
      </w:r>
      <w:r w:rsidR="00837424" w:rsidRPr="00633318">
        <w:rPr>
          <w:rFonts w:ascii="Times New Roman" w:hAnsi="Times New Roman" w:cs="Times New Roman"/>
          <w:b/>
          <w:bCs/>
          <w:sz w:val="24"/>
          <w:szCs w:val="24"/>
        </w:rPr>
        <w:t>art. 140 projektu (art. 14a § 1c i art.</w:t>
      </w:r>
      <w:r w:rsidR="00837424" w:rsidRPr="00633318">
        <w:rPr>
          <w:rFonts w:ascii="Times New Roman" w:hAnsi="Times New Roman" w:cs="Times New Roman"/>
          <w:sz w:val="24"/>
          <w:szCs w:val="24"/>
        </w:rPr>
        <w:t xml:space="preserve"> </w:t>
      </w:r>
      <w:r w:rsidR="00837424" w:rsidRPr="00633318">
        <w:rPr>
          <w:rFonts w:ascii="Times New Roman" w:hAnsi="Times New Roman" w:cs="Times New Roman"/>
          <w:b/>
          <w:bCs/>
          <w:sz w:val="24"/>
          <w:szCs w:val="24"/>
        </w:rPr>
        <w:t>14b § 2a pkt 3 Ordynacji podatkowej)</w:t>
      </w:r>
    </w:p>
    <w:p w14:paraId="71420979" w14:textId="77777777" w:rsidR="00837424" w:rsidRPr="00633318" w:rsidRDefault="002C7C46" w:rsidP="008E6BD2">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projektowanej ustawie przyjęto założenie, że wniosek o wydanie interpretacji ogólnej oraz wniosek o wydanie interpretacji indywidualnej nie mogą dotyczyć przepisów ustawy o opodatkowaniu wyrównawczym. Stworzenie na te potrzeby odrębnego narzędzia interpretacyjnego podyktowane jest samym charakterem opinii w sprawie opodatkowania wyrównawczego, która może zawierać elementy znacznie wykraczające poza obszar przepisów prawa podatkowego. </w:t>
      </w:r>
    </w:p>
    <w:p w14:paraId="7FD1A4F1" w14:textId="22E93C51" w:rsidR="00837424" w:rsidRPr="00633318" w:rsidRDefault="00837424" w:rsidP="008E6BD2">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 uwagi na fakt, że </w:t>
      </w:r>
      <w:r w:rsidR="002F5DB3" w:rsidRPr="00633318">
        <w:rPr>
          <w:rFonts w:ascii="Times New Roman" w:hAnsi="Times New Roman" w:cs="Times New Roman"/>
          <w:sz w:val="24"/>
          <w:szCs w:val="24"/>
        </w:rPr>
        <w:t>o</w:t>
      </w:r>
      <w:r w:rsidRPr="00633318">
        <w:rPr>
          <w:rFonts w:ascii="Times New Roman" w:hAnsi="Times New Roman" w:cs="Times New Roman"/>
          <w:sz w:val="24"/>
          <w:szCs w:val="24"/>
        </w:rPr>
        <w:t>podat</w:t>
      </w:r>
      <w:r w:rsidR="002F5DB3" w:rsidRPr="00633318">
        <w:rPr>
          <w:rFonts w:ascii="Times New Roman" w:hAnsi="Times New Roman" w:cs="Times New Roman"/>
          <w:sz w:val="24"/>
          <w:szCs w:val="24"/>
        </w:rPr>
        <w:t>kowanie</w:t>
      </w:r>
      <w:r w:rsidRPr="00633318">
        <w:rPr>
          <w:rFonts w:ascii="Times New Roman" w:hAnsi="Times New Roman" w:cs="Times New Roman"/>
          <w:sz w:val="24"/>
          <w:szCs w:val="24"/>
        </w:rPr>
        <w:t xml:space="preserve"> wyrównawcz</w:t>
      </w:r>
      <w:r w:rsidR="002F5DB3" w:rsidRPr="00633318">
        <w:rPr>
          <w:rFonts w:ascii="Times New Roman" w:hAnsi="Times New Roman" w:cs="Times New Roman"/>
          <w:sz w:val="24"/>
          <w:szCs w:val="24"/>
        </w:rPr>
        <w:t>e</w:t>
      </w:r>
      <w:r w:rsidRPr="00633318">
        <w:rPr>
          <w:rFonts w:ascii="Times New Roman" w:hAnsi="Times New Roman" w:cs="Times New Roman"/>
          <w:sz w:val="24"/>
          <w:szCs w:val="24"/>
        </w:rPr>
        <w:t xml:space="preserve"> cechuj</w:t>
      </w:r>
      <w:r w:rsidR="002F5DB3" w:rsidRPr="00633318">
        <w:rPr>
          <w:rFonts w:ascii="Times New Roman" w:hAnsi="Times New Roman" w:cs="Times New Roman"/>
          <w:sz w:val="24"/>
          <w:szCs w:val="24"/>
        </w:rPr>
        <w:t>e</w:t>
      </w:r>
      <w:r w:rsidRPr="00633318">
        <w:rPr>
          <w:rFonts w:ascii="Times New Roman" w:hAnsi="Times New Roman" w:cs="Times New Roman"/>
          <w:sz w:val="24"/>
          <w:szCs w:val="24"/>
        </w:rPr>
        <w:t xml:space="preserve"> się wyjątkową specyfiką transgraniczną i jest nowością w krajowym systemie prawa podatkowego, istniejące obecnie narzędzia interpretacyjne mogą z jednej strony ograniczać Dyrektora KIS w interpretowaniu przepisów ustawy o tym podatku, z drugiej – nie zapewnić faktycznej ochrony prawnej podatnikowi. Dlatego też wyłączenie zagadnienia podatku wyrównawczego z zakresu interpretacji indywidualnych i ogólnych, wydawanych na wniosek, jest konieczne, aby nakierować zainteresowanych na korzystanie z dedykowanego im narzędzia. </w:t>
      </w:r>
    </w:p>
    <w:p w14:paraId="28B1ACA9" w14:textId="77777777" w:rsidR="00837424" w:rsidRPr="00633318" w:rsidRDefault="00837424" w:rsidP="008E6BD2">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Uwzględnienie możliwości wydawania interpretacji ogólnych prawa podatkowego na wniosek, w zakresie przepisów dotyczących opodatkowania wyrównawczego nie jest zasadne, ponieważ przepisy te dotyczą określonej, wąskiej grupy podmiotów, które będą uprawnione do skorzystania ze specjalnego instrumentu interpretacyjnego, adekwatnego do specyfiki materii prawnej dot. opodatkowania wyrównawczego zarówno podmiotowo, jak i przedmiotowo. </w:t>
      </w:r>
    </w:p>
    <w:p w14:paraId="433993A8" w14:textId="1642378D" w:rsidR="00837424" w:rsidRPr="00633318" w:rsidRDefault="00837424" w:rsidP="008E6BD2">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Instrument ten w założeniu będzie wyjaśniać w sposób indywidualny i adresowany do konkretnego podatnika sposób rozumienia przez administrację podatkową przepisów dotyczących opodatkowania wyrównawczego. W związku z tym spełni on funkcję informacyjną w zakresie opodatkowania wyrównawczego znacznie lepiej niż miałoby to miejsce w zakresie standardowych procedur jak np. wydanie interpretacji ogólnej prawa podatkowego na wniosek. W dużej mierze będzie to wynikać z możliwości bardzo dokładnego zbadania sprawy przez organ dzięki </w:t>
      </w:r>
      <w:r w:rsidR="004F3A29" w:rsidRPr="00633318">
        <w:rPr>
          <w:rFonts w:ascii="Times New Roman" w:hAnsi="Times New Roman" w:cs="Times New Roman"/>
          <w:sz w:val="24"/>
          <w:szCs w:val="24"/>
        </w:rPr>
        <w:t>określeniu</w:t>
      </w:r>
      <w:r w:rsidRPr="00633318">
        <w:rPr>
          <w:rFonts w:ascii="Times New Roman" w:hAnsi="Times New Roman" w:cs="Times New Roman"/>
          <w:sz w:val="24"/>
          <w:szCs w:val="24"/>
        </w:rPr>
        <w:t xml:space="preserve"> w projekcie terminu na wydanie opinii oraz wprowadzonych do procedury elementach konsultacyjnych (w szczególności opinia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Opodatkowania Wyrównawczego). Wyłączenie wydania interpretacji ogólnej na wniosek uzasadnione jest również faktem, że Dyrektor KIS zostanie wyposażony w kompetencję dokonania zmiany opinii w sprawie opodatkowania w przypadku wystąpienia potencjalnej niejednolitości w stosowaniu przepisów w tym zakresie, która to niejednolitość jest podstawową przesłanką do wydania takiej interpretacji ogólnej.      </w:t>
      </w:r>
    </w:p>
    <w:p w14:paraId="12E259B8" w14:textId="77777777" w:rsidR="00837424" w:rsidRPr="00633318" w:rsidRDefault="00837424" w:rsidP="008E6BD2">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ten sposób kompleksowy materiał w zakresie oficjalnej wykładni przepisów dotyczących opodatkowania wyrównawczego dokonywanej przez administrację podatkową będzie zawarty w treści ściśle dedykowanego temu zakresowi instrumentu. Jednocześnie, w sytuacji pojawienia się wątpliwości, które będą mogły być rozwiązane za pomocą interpretacji ogólnej wydawanej z urzędu lub objaśnień podatkowych – minister właściwy do spraw finansów publicznych będzie wciąż posiadał taką kompetencję, z której będzie mógł skorzystać. </w:t>
      </w:r>
    </w:p>
    <w:p w14:paraId="1098987A" w14:textId="77777777" w:rsidR="00837424" w:rsidRPr="00633318" w:rsidRDefault="00837424" w:rsidP="00837424">
      <w:p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3. Opinia w sprawie opodatkowania wyrównawczego – pkt 4 art. 140 projektu (dodanie rozdziału 1b w Dziale II Ordynacji podatkowej – Opinia w sprawie opodatkowania wyrównawczego, art. 14t – art. 14zn Ordynacji podatkowej)</w:t>
      </w:r>
    </w:p>
    <w:p w14:paraId="491E2F60" w14:textId="77777777" w:rsidR="00837424" w:rsidRPr="00633318" w:rsidRDefault="00837424" w:rsidP="00837424">
      <w:pPr>
        <w:numPr>
          <w:ilvl w:val="0"/>
          <w:numId w:val="106"/>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Zakres podmiotowy wniosku o wydanie opinii (art. 14t)</w:t>
      </w:r>
    </w:p>
    <w:p w14:paraId="260C526A" w14:textId="77777777"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Jak już wcześniej wskazano –  ponieważ podatek wyrównawczy stanowi </w:t>
      </w:r>
      <w:r w:rsidRPr="00633318">
        <w:rPr>
          <w:rFonts w:ascii="Times New Roman" w:hAnsi="Times New Roman" w:cs="Times New Roman"/>
          <w:i/>
          <w:iCs/>
          <w:sz w:val="24"/>
          <w:szCs w:val="24"/>
        </w:rPr>
        <w:t>novum</w:t>
      </w:r>
      <w:r w:rsidRPr="00633318">
        <w:rPr>
          <w:rFonts w:ascii="Times New Roman" w:hAnsi="Times New Roman" w:cs="Times New Roman"/>
          <w:sz w:val="24"/>
          <w:szCs w:val="24"/>
        </w:rPr>
        <w:t xml:space="preserve"> w polskim systemie prawa podatkowego, istniejące obecnie standardowe narzędzia interpretacyjne, tj. interpretacje indywidualne prawa podatkowego, nie zapewniają możliwości zapewnienia dostatecznej ochrony prawnej podatnikowi. </w:t>
      </w:r>
    </w:p>
    <w:p w14:paraId="41C26C7F" w14:textId="77777777"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Dlatego też zasadne jest wprowadzenie instrumentu interpretacyjnego dotyczącego wyłącznie analizy i interpretowania przepisów prawa podatkowego dotyczących podatku wyrównawczego. Projekt zakłada dodanie nowego rozdziału 1b do Działu II Ordynacji podatkowej, pt. „Rozdział 1b. Opinia w sprawie opodatkowania wyrównawczego”. W rozdziale tym zawarte zostały proponowane normy prawne dotyczące nowego, dedykowanego instrumentu interpretacyjnego – opinii w sprawie opodatkowania wyrównawczego.</w:t>
      </w:r>
    </w:p>
    <w:p w14:paraId="39C55993" w14:textId="39473769" w:rsidR="00345E80" w:rsidRPr="00633318" w:rsidRDefault="00345E80"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Przepisy Dyrektywy GloBE nie mogą być rozpatrywane w oderwaniu od wskazanego dorobku prac OECD w zakresie Filaru II i Zasad GloBE wynikających z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xml:space="preserve"> OECD i dokumentów powiązanych. Dyrektywa GloBE jest bowiem instrumentem służącym przeniesieniu Zasad GloBE na grunt unijny, w celu ułatwienia ich wdrożenia w państwach członkowskich UE. W związku z tym, w zakresie ustawy transponującej przepisy Dyrektywy na grunt polskiego prawodawstwa konieczne jest, aby projektowana instytucja stanowiła „kwalifikowany” rodzaj interpretacji indywidualnej, dopasowany pod względem zakresu podmiotów uprawnionych do złożenia wniosku, zakresu przedmiotowego interpretacji, procedury jej wydawania oraz jakości obsługi merytorycznej do zasadniczej odrębności przepisów ustawy o opodatkowaniu wyrównawczym (w stosunku do innych powszechnie obowiązujących aktów prawa podatkowego). </w:t>
      </w:r>
    </w:p>
    <w:p w14:paraId="36857AD0" w14:textId="0559D58C" w:rsidR="00345E80" w:rsidRPr="00633318" w:rsidRDefault="00345E80" w:rsidP="00345E80">
      <w:pPr>
        <w:pStyle w:val="SzanownaPani"/>
        <w:spacing w:before="0" w:after="120" w:line="276" w:lineRule="auto"/>
        <w:contextualSpacing w:val="0"/>
        <w:jc w:val="both"/>
        <w:rPr>
          <w:rFonts w:ascii="Times New Roman" w:hAnsi="Times New Roman" w:cs="Times New Roman"/>
          <w:sz w:val="24"/>
          <w:szCs w:val="24"/>
        </w:rPr>
      </w:pPr>
      <w:r w:rsidRPr="00633318">
        <w:rPr>
          <w:rFonts w:ascii="Times New Roman" w:hAnsi="Times New Roman" w:cs="Times New Roman"/>
          <w:sz w:val="24"/>
          <w:szCs w:val="24"/>
        </w:rPr>
        <w:t xml:space="preserve">Za ustanowieniem odrębnych instrumentów przemawia również potrzeba jak najdokładniejszego zbadania przedstawianych zagadnień przez organ, co umożliwić ma m.in. przewidziany w projekcie odmienny niż w przypadku interpretacji indywidualnych całkowity termin na wydanie opinii oraz wprowadzenie do procedury wydawania opinii elementów o charakterze konsultacyjnym (w szczególności opinii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Opodatkowania </w:t>
      </w:r>
      <w:r w:rsidR="004F3A29" w:rsidRPr="00633318">
        <w:rPr>
          <w:rFonts w:ascii="Times New Roman" w:hAnsi="Times New Roman" w:cs="Times New Roman"/>
          <w:sz w:val="24"/>
          <w:szCs w:val="24"/>
        </w:rPr>
        <w:t>W</w:t>
      </w:r>
      <w:r w:rsidRPr="00633318">
        <w:rPr>
          <w:rFonts w:ascii="Times New Roman" w:hAnsi="Times New Roman" w:cs="Times New Roman"/>
          <w:sz w:val="24"/>
          <w:szCs w:val="24"/>
        </w:rPr>
        <w:t>yrównawczego oraz spotkań uzgodnieniowych).</w:t>
      </w:r>
    </w:p>
    <w:p w14:paraId="251C336D" w14:textId="0B77A560" w:rsidR="00345E80" w:rsidRPr="00633318" w:rsidRDefault="00345E80" w:rsidP="00345E80">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przypadku wystąpienia w ramach jednej czynności elementów rodzących skutki w zakresie przepisów o opodatkowaniu wyrównawczym oraz innych przepisów prawa podatkowego (np. w zakresie podatku dochodowego od osób prawnych), zainteresowany podmiot będzie mieć możliwość wystąpienia w zakresie tej samej czynności o opinię w sprawie opodatkowania wyrównawczego w zakresie wątpliwości oraz osobno o interpretację indywidualną w zakresie wątpliwości dotyczących innych przepisów prawa podatkowego.</w:t>
      </w:r>
    </w:p>
    <w:p w14:paraId="0142D487" w14:textId="4ED2F9C6"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Zgodnie z art. 14t § 1</w:t>
      </w:r>
      <w:r w:rsidRPr="00633318">
        <w:rPr>
          <w:rFonts w:ascii="Times New Roman" w:hAnsi="Times New Roman" w:cs="Times New Roman"/>
          <w:b/>
          <w:bCs/>
          <w:sz w:val="24"/>
          <w:szCs w:val="24"/>
        </w:rPr>
        <w:t xml:space="preserve"> </w:t>
      </w:r>
      <w:r w:rsidRPr="00633318">
        <w:rPr>
          <w:rFonts w:ascii="Times New Roman" w:hAnsi="Times New Roman" w:cs="Times New Roman"/>
          <w:sz w:val="24"/>
          <w:szCs w:val="24"/>
        </w:rPr>
        <w:t xml:space="preserve">opinia w sprawie opodatkowania wyrównawczego wydawana będzie w zakresie interpretacji przepisów prawa dotyczących opodatkowania wyrównawczego, w szczególności przepisów ustawy  o opodatkowaniu wyrównawczym jednostek składowych grup międzynarodowych i krajowych, czyli: globalnego podatku wyrównawczego, krajowego podatku wyrównawczego oraz podatku wyrównawczego od niedostatecznie opodatkowanych zysków. </w:t>
      </w:r>
    </w:p>
    <w:p w14:paraId="7BDFE7F3" w14:textId="218D433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Organem właściwym do wydawania opinii w sprawie opodatkowania wyrównawczego będzie Dyrektor KIS. W tym celu zakładane jest utworzenie wyspecjalizowanej jednostki w strukturze Krajowej Informacji Skarbowej, składającej się z zespołu specjalistów. </w:t>
      </w:r>
    </w:p>
    <w:p w14:paraId="57D25C39" w14:textId="2C890B4F"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 wnioskiem o wydanie opinii w sprawie opodatkowania wyrównawczego będzie mógł wystąpić określony w art. 14t § 2 krąg </w:t>
      </w:r>
      <w:r w:rsidR="00472CD9" w:rsidRPr="00633318">
        <w:rPr>
          <w:rFonts w:ascii="Times New Roman" w:hAnsi="Times New Roman" w:cs="Times New Roman"/>
          <w:sz w:val="24"/>
          <w:szCs w:val="24"/>
        </w:rPr>
        <w:t>zainteresowanych</w:t>
      </w:r>
      <w:r w:rsidRPr="00633318">
        <w:rPr>
          <w:rFonts w:ascii="Times New Roman" w:hAnsi="Times New Roman" w:cs="Times New Roman"/>
          <w:sz w:val="24"/>
          <w:szCs w:val="24"/>
        </w:rPr>
        <w:t>. Zgodnie z projektem</w:t>
      </w:r>
      <w:r w:rsidR="000D56A0" w:rsidRPr="00633318">
        <w:rPr>
          <w:rFonts w:ascii="Times New Roman" w:hAnsi="Times New Roman" w:cs="Times New Roman"/>
          <w:sz w:val="24"/>
          <w:szCs w:val="24"/>
        </w:rPr>
        <w:t>,</w:t>
      </w:r>
      <w:r w:rsidRPr="00633318">
        <w:rPr>
          <w:rFonts w:ascii="Times New Roman" w:hAnsi="Times New Roman" w:cs="Times New Roman"/>
          <w:sz w:val="24"/>
          <w:szCs w:val="24"/>
        </w:rPr>
        <w:t xml:space="preserve"> zainteresowanym, który będzie posiadał legitymację do wystąpienia z wnioskiem o opinię w sprawie opodatkowania wyrównawczego będzie zlokalizowany na terytorium Rzeczypospolitej Polskiej, w rozumieniu przepisów ustawy o opodatkowaniu wyrównawczym, podatnik globalnego podatku wyrównawczego, krajowego podatku wyrównawczego lub podatku wyrównawczego od niedostatecznie opodatkowanych zysków.</w:t>
      </w:r>
    </w:p>
    <w:p w14:paraId="3C28E155" w14:textId="2D7C863D"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przypadku, w którym na terytorium Rzeczypospolitej Polskiej zlokalizowanych będzie kilku podatników krajowego podatku wyrównawczego lub podatku wyrównawczego od niedostatecznie opodatkowanych zysków,</w:t>
      </w:r>
      <w:r w:rsidR="000D56A0" w:rsidRPr="00633318">
        <w:rPr>
          <w:rFonts w:ascii="Times New Roman" w:hAnsi="Times New Roman" w:cs="Times New Roman"/>
          <w:sz w:val="24"/>
          <w:szCs w:val="24"/>
        </w:rPr>
        <w:t xml:space="preserve"> </w:t>
      </w:r>
      <w:r w:rsidR="00837424" w:rsidRPr="00633318">
        <w:rPr>
          <w:rFonts w:ascii="Times New Roman" w:hAnsi="Times New Roman" w:cs="Times New Roman"/>
          <w:sz w:val="24"/>
          <w:szCs w:val="24"/>
        </w:rPr>
        <w:t>zainteresowanym</w:t>
      </w:r>
      <w:r w:rsidRPr="00633318">
        <w:rPr>
          <w:rFonts w:ascii="Times New Roman" w:hAnsi="Times New Roman" w:cs="Times New Roman"/>
          <w:sz w:val="24"/>
          <w:szCs w:val="24"/>
        </w:rPr>
        <w:t xml:space="preserve"> będzie podatnik wyznaczony zgodnie z art. </w:t>
      </w:r>
      <w:r w:rsidR="00E15014" w:rsidRPr="00633318">
        <w:rPr>
          <w:rFonts w:ascii="Times New Roman" w:hAnsi="Times New Roman" w:cs="Times New Roman"/>
          <w:sz w:val="24"/>
          <w:szCs w:val="24"/>
        </w:rPr>
        <w:t xml:space="preserve">135 </w:t>
      </w:r>
      <w:r w:rsidRPr="00633318">
        <w:rPr>
          <w:rFonts w:ascii="Times New Roman" w:hAnsi="Times New Roman" w:cs="Times New Roman"/>
          <w:sz w:val="24"/>
          <w:szCs w:val="24"/>
        </w:rPr>
        <w:t>ust. 1 ustawy o opodatkowaniu wyrównawczym (art. 14t § 3).</w:t>
      </w:r>
    </w:p>
    <w:p w14:paraId="07593F91" w14:textId="66B10AE3"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Ponadto za zainteresowanego poczytywana będzie również zlokalizowana na terytorium Rzeczypospolitej Polskiej jednostka lub jednostka składowa, niezależnie od tego czy jest podatnikiem o którym mowa w § 2, jeżeli ma interes prawny w interpretacji przepisów prawa dotyczących opodatkowania wyrównawczego, w szczególności w interpretacji przepisów dotyczących zakresu podmiotowego ustawy o opodatkowaniu wyrównawczym (art. 14t § 4). Ograniczenie kręgu </w:t>
      </w:r>
      <w:r w:rsidR="00472CD9" w:rsidRPr="00633318">
        <w:rPr>
          <w:rFonts w:ascii="Times New Roman" w:hAnsi="Times New Roman" w:cs="Times New Roman"/>
          <w:sz w:val="24"/>
          <w:szCs w:val="24"/>
        </w:rPr>
        <w:t>zainteresowanych</w:t>
      </w:r>
      <w:r w:rsidRPr="00633318">
        <w:rPr>
          <w:rFonts w:ascii="Times New Roman" w:hAnsi="Times New Roman" w:cs="Times New Roman"/>
          <w:sz w:val="24"/>
          <w:szCs w:val="24"/>
        </w:rPr>
        <w:t xml:space="preserve"> do podmiotów posiadających </w:t>
      </w:r>
      <w:r w:rsidR="00391687" w:rsidRPr="00633318">
        <w:rPr>
          <w:rFonts w:ascii="Times New Roman" w:hAnsi="Times New Roman" w:cs="Times New Roman"/>
          <w:sz w:val="24"/>
          <w:szCs w:val="24"/>
        </w:rPr>
        <w:t>zlokalizowanych na terytorium</w:t>
      </w:r>
      <w:r w:rsidRPr="00633318">
        <w:rPr>
          <w:rFonts w:ascii="Times New Roman" w:hAnsi="Times New Roman" w:cs="Times New Roman"/>
          <w:sz w:val="24"/>
          <w:szCs w:val="24"/>
        </w:rPr>
        <w:t xml:space="preserve"> Rzeczypospolitej Polskiej wynika z faktu, że jedynie te podmioty są uznawane za podatnika w rozumieniu ustawy o opodatkowaniu wyrównawczym. Ponadto ograniczenie legitymacji do występowania z wnioskiem o wydanie opinii w sprawie opodatkowania wyrównawczego jedynie do jednostek dominujących oraz jednostek składowych wyznaczonych do reprezentowania pozostałych jednostek zgodnie z art. </w:t>
      </w:r>
      <w:r w:rsidR="00762795" w:rsidRPr="00633318">
        <w:rPr>
          <w:rFonts w:ascii="Times New Roman" w:hAnsi="Times New Roman" w:cs="Times New Roman"/>
          <w:sz w:val="24"/>
          <w:szCs w:val="24"/>
        </w:rPr>
        <w:t xml:space="preserve">135 </w:t>
      </w:r>
      <w:r w:rsidRPr="00633318">
        <w:rPr>
          <w:rFonts w:ascii="Times New Roman" w:hAnsi="Times New Roman" w:cs="Times New Roman"/>
          <w:sz w:val="24"/>
          <w:szCs w:val="24"/>
        </w:rPr>
        <w:t xml:space="preserve">ust. 1 </w:t>
      </w:r>
      <w:r w:rsidR="000D56A0" w:rsidRPr="00633318">
        <w:rPr>
          <w:rFonts w:ascii="Times New Roman" w:hAnsi="Times New Roman" w:cs="Times New Roman"/>
          <w:sz w:val="24"/>
          <w:szCs w:val="24"/>
        </w:rPr>
        <w:t xml:space="preserve">projektu </w:t>
      </w:r>
      <w:r w:rsidRPr="00633318">
        <w:rPr>
          <w:rFonts w:ascii="Times New Roman" w:hAnsi="Times New Roman" w:cs="Times New Roman"/>
          <w:sz w:val="24"/>
          <w:szCs w:val="24"/>
        </w:rPr>
        <w:t xml:space="preserve">ustawy podyktowane jest ekonomiką proceduralną oraz minimalizacją kosztów. Reprezentant jednostek składowych występując w imieniu kilku </w:t>
      </w:r>
      <w:r w:rsidR="00391687" w:rsidRPr="00633318">
        <w:rPr>
          <w:rFonts w:ascii="Times New Roman" w:hAnsi="Times New Roman" w:cs="Times New Roman"/>
          <w:sz w:val="24"/>
          <w:szCs w:val="24"/>
        </w:rPr>
        <w:t xml:space="preserve">jednostek </w:t>
      </w:r>
      <w:r w:rsidRPr="00633318">
        <w:rPr>
          <w:rFonts w:ascii="Times New Roman" w:hAnsi="Times New Roman" w:cs="Times New Roman"/>
          <w:sz w:val="24"/>
          <w:szCs w:val="24"/>
        </w:rPr>
        <w:t>wnosi opłaty jako jeden podmiot, natomiast ochrona wynikająca z interpretacji dotyczy wszystkich jednostek składowych objętych wnioskiem.</w:t>
      </w:r>
    </w:p>
    <w:p w14:paraId="0993D843" w14:textId="5DD5FE7E" w:rsidR="00837424"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Zakres przedmiotowy wniosku o </w:t>
      </w:r>
      <w:r w:rsidR="00837424" w:rsidRPr="00633318">
        <w:rPr>
          <w:rFonts w:ascii="Times New Roman" w:hAnsi="Times New Roman" w:cs="Times New Roman"/>
          <w:b/>
          <w:bCs/>
          <w:sz w:val="24"/>
          <w:szCs w:val="24"/>
        </w:rPr>
        <w:t>wydanie opinii (art. 14u)</w:t>
      </w:r>
    </w:p>
    <w:p w14:paraId="07DC43AF" w14:textId="77777777"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[2.1.] Zakres czasowy (art. 14u § 1)</w:t>
      </w:r>
    </w:p>
    <w:p w14:paraId="71E40285" w14:textId="5905BE0A" w:rsidR="001B4B45" w:rsidRPr="00633318" w:rsidRDefault="00837424" w:rsidP="003E7A67">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projektowanym w § 1 zakresem wniosku, opinia w sprawie opodatkowania wyrównawczego dotyczy czynności planowanych lub rozpoczętych i niezakończonych, lub czynności bezpośrednio dotyczących spełnienia przez zainteresowanego obowiązków wynikających z ustawy o opodatkowaniu wyrównawczym jednostek składowych grup krajowych i międzynarodowych, w stosunku do których nie upłynął termin zapłaty podatku wyrównawczego. </w:t>
      </w:r>
    </w:p>
    <w:p w14:paraId="6DCB57A6" w14:textId="58BD294A" w:rsidR="002C7C46" w:rsidRPr="00633318" w:rsidRDefault="002C7C46" w:rsidP="003E7A67">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Ograniczenie to wynika przede wszystkim z faktu, że przepisy dotyczące podatku wyrównawczego są nowością w polskim systemie prawa podatkowego, a instrument interpretacyjny wprowadzany jest równolegle z ustawą o opodatkowaniu wyrównawczym. Nie zachodzi zatem potrzeba interpretowania stanów faktycznych mających miejsce przed wejściem w życie projektowanej ustawy. Ponadto, tak zakreślone ramy czasowe wniosku mają skłonić </w:t>
      </w:r>
      <w:r w:rsidR="00472CD9" w:rsidRPr="00633318">
        <w:rPr>
          <w:rFonts w:ascii="Times New Roman" w:hAnsi="Times New Roman" w:cs="Times New Roman"/>
          <w:sz w:val="24"/>
          <w:szCs w:val="24"/>
        </w:rPr>
        <w:t>zainteresowanych</w:t>
      </w:r>
      <w:r w:rsidRPr="00633318">
        <w:rPr>
          <w:rFonts w:ascii="Times New Roman" w:hAnsi="Times New Roman" w:cs="Times New Roman"/>
          <w:sz w:val="24"/>
          <w:szCs w:val="24"/>
        </w:rPr>
        <w:t xml:space="preserve"> do zachowania należytej staranności przy planowaniu operacji biznesowych i weryfikacji potencjalnych skutków podatkowych przed ich wystąpieniem. </w:t>
      </w:r>
    </w:p>
    <w:p w14:paraId="2BDF995F" w14:textId="508417AE" w:rsidR="00DD7588" w:rsidRPr="00633318" w:rsidRDefault="00DD7588" w:rsidP="00DD7588">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Ograniczenie zakresu przedmiotowe</w:t>
      </w:r>
      <w:r w:rsidR="007A571F" w:rsidRPr="00633318">
        <w:rPr>
          <w:rFonts w:ascii="Times New Roman" w:hAnsi="Times New Roman" w:cs="Times New Roman"/>
          <w:sz w:val="24"/>
          <w:szCs w:val="24"/>
        </w:rPr>
        <w:t>j</w:t>
      </w:r>
      <w:r w:rsidRPr="00633318">
        <w:rPr>
          <w:rFonts w:ascii="Times New Roman" w:hAnsi="Times New Roman" w:cs="Times New Roman"/>
          <w:sz w:val="24"/>
          <w:szCs w:val="24"/>
        </w:rPr>
        <w:t xml:space="preserve"> opinii do czynności planowanych, czynności rozpoczętych i niezakończonych, oraz </w:t>
      </w:r>
      <w:r w:rsidR="00826E19" w:rsidRPr="00633318">
        <w:rPr>
          <w:rFonts w:ascii="Times New Roman" w:hAnsi="Times New Roman" w:cs="Times New Roman"/>
          <w:sz w:val="24"/>
          <w:szCs w:val="24"/>
        </w:rPr>
        <w:t xml:space="preserve">innych czynności bezpośrednio dotyczących spełnienia przez zainteresowanego obowiązków wynikających z ustawy, </w:t>
      </w:r>
      <w:r w:rsidR="00837424" w:rsidRPr="00633318">
        <w:rPr>
          <w:rFonts w:ascii="Times New Roman" w:hAnsi="Times New Roman" w:cs="Times New Roman"/>
          <w:sz w:val="24"/>
          <w:szCs w:val="24"/>
        </w:rPr>
        <w:t>w stosunku do których nie upłynął termin zapłaty podatku wyrównawczego</w:t>
      </w:r>
      <w:r w:rsidR="00826E19" w:rsidRPr="00633318">
        <w:rPr>
          <w:rFonts w:ascii="Times New Roman" w:hAnsi="Times New Roman" w:cs="Times New Roman"/>
          <w:sz w:val="24"/>
          <w:szCs w:val="24"/>
        </w:rPr>
        <w:t>,</w:t>
      </w:r>
      <w:r w:rsidRPr="00633318">
        <w:rPr>
          <w:rFonts w:ascii="Times New Roman" w:hAnsi="Times New Roman" w:cs="Times New Roman"/>
          <w:sz w:val="24"/>
          <w:szCs w:val="24"/>
        </w:rPr>
        <w:t xml:space="preserve"> ma na celu zachęcenie w pierwszej kolejności do starannego analizowania przez największe grupy kapitałowe działające </w:t>
      </w:r>
      <w:r w:rsidR="0085441B" w:rsidRPr="00633318">
        <w:rPr>
          <w:rFonts w:ascii="Times New Roman" w:hAnsi="Times New Roman" w:cs="Times New Roman"/>
          <w:sz w:val="24"/>
          <w:szCs w:val="24"/>
        </w:rPr>
        <w:t>na terytorium</w:t>
      </w:r>
      <w:r w:rsidRPr="00633318">
        <w:rPr>
          <w:rFonts w:ascii="Times New Roman" w:hAnsi="Times New Roman" w:cs="Times New Roman"/>
          <w:sz w:val="24"/>
          <w:szCs w:val="24"/>
        </w:rPr>
        <w:t xml:space="preserve"> RP działań biznesowych pod kątem</w:t>
      </w:r>
      <w:r w:rsidR="0085441B" w:rsidRPr="00633318">
        <w:rPr>
          <w:rFonts w:ascii="Times New Roman" w:hAnsi="Times New Roman" w:cs="Times New Roman"/>
          <w:sz w:val="24"/>
          <w:szCs w:val="24"/>
        </w:rPr>
        <w:t xml:space="preserve"> ponoszonych</w:t>
      </w:r>
      <w:r w:rsidRPr="00633318">
        <w:rPr>
          <w:rFonts w:ascii="Times New Roman" w:hAnsi="Times New Roman" w:cs="Times New Roman"/>
          <w:sz w:val="24"/>
          <w:szCs w:val="24"/>
        </w:rPr>
        <w:t xml:space="preserve"> obciążeń podatkowych. W związku z tym, opinia nie powinna zabezpieczać podatnika w zakresie czynności i procesów, które zostały już zakończone</w:t>
      </w:r>
      <w:r w:rsidR="00511CC1" w:rsidRPr="00633318">
        <w:rPr>
          <w:rFonts w:ascii="Times New Roman" w:hAnsi="Times New Roman" w:cs="Times New Roman"/>
          <w:sz w:val="24"/>
          <w:szCs w:val="24"/>
        </w:rPr>
        <w:t xml:space="preserve"> i nie mają wpływu na bieżące spełnianie obowiązków wynikających z ustawy</w:t>
      </w:r>
      <w:r w:rsidRPr="00633318">
        <w:rPr>
          <w:rFonts w:ascii="Times New Roman" w:hAnsi="Times New Roman" w:cs="Times New Roman"/>
          <w:sz w:val="24"/>
          <w:szCs w:val="24"/>
        </w:rPr>
        <w:t xml:space="preserve">. </w:t>
      </w:r>
    </w:p>
    <w:p w14:paraId="1520F18E" w14:textId="66B329FF" w:rsidR="00DD7588" w:rsidRPr="00633318" w:rsidRDefault="00DD7588" w:rsidP="003E7A67">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Takie określenie zakresu przedmiotowego opinii ograniczać będzie zjawisko występowania przez jednostki z wnioskami o wydanie opinii po dokonaniu danej czynności w celu sprawdzenia, czy czynności, które zostały dokonane mogą przy odpowiedniej interpretacji przepisów umożliwić uzyskanie „dodatkowych” korzyści podatkowych. Zapobieżenie temu zjawisku w przypadku reżimu opodatkowania wyrównawczego jest szczególnie istotne, gdyż podstawowym sensem wprowadzanych podatków jest ograniczenie transgranicznych strategii unikania opodatkowania przez podmioty objęte zakresem podmiotowym projektu, w tym strategii z wykorzystaniem instrumentów interpretacyjnych funkcjonujących w poszczególnych jurysdykcjach objętych systemem opodatkowania wyrównawczego.</w:t>
      </w:r>
    </w:p>
    <w:p w14:paraId="2CEE61A9"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[2.2.] Konstrukcja wniosku (art. 14u § 2)</w:t>
      </w:r>
    </w:p>
    <w:p w14:paraId="502548AA" w14:textId="4B919E2E"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projektowanym § 2 wniosek o opinię w sprawie opodatkowania wyrównawczego zawiera elementy tj. dane identyfikujące zainteresowanego (pkt 1), adres jego siedziby (pkt 2) oraz określenie przedmiotu wniosku (pkt 3). </w:t>
      </w:r>
    </w:p>
    <w:p w14:paraId="41618B68" w14:textId="6D55D415"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Przedmiot wniosku określono w formie katalogu otwartego, jednak ze wskazaniem na poszczególne elementy pozwalające na szczegółową analizę sytuacji opisanej przez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w tym:</w:t>
      </w:r>
    </w:p>
    <w:p w14:paraId="562DF2F7" w14:textId="3BBFB948"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a)</w:t>
      </w:r>
      <w:r w:rsidRPr="00633318">
        <w:rPr>
          <w:rFonts w:ascii="Times New Roman" w:hAnsi="Times New Roman" w:cs="Times New Roman"/>
          <w:sz w:val="24"/>
          <w:szCs w:val="24"/>
        </w:rPr>
        <w:tab/>
        <w:t>wyczerpując</w:t>
      </w:r>
      <w:r w:rsidR="00826E19" w:rsidRPr="00633318">
        <w:rPr>
          <w:rFonts w:ascii="Times New Roman" w:hAnsi="Times New Roman" w:cs="Times New Roman"/>
          <w:sz w:val="24"/>
          <w:szCs w:val="24"/>
        </w:rPr>
        <w:t>y opis</w:t>
      </w:r>
      <w:r w:rsidRPr="00633318">
        <w:rPr>
          <w:rFonts w:ascii="Times New Roman" w:hAnsi="Times New Roman" w:cs="Times New Roman"/>
          <w:sz w:val="24"/>
          <w:szCs w:val="24"/>
        </w:rPr>
        <w:t xml:space="preserve">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w:t>
      </w:r>
    </w:p>
    <w:p w14:paraId="3BCED3EF" w14:textId="4533CE5B"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b)</w:t>
      </w:r>
      <w:r w:rsidRPr="00633318">
        <w:rPr>
          <w:rFonts w:ascii="Times New Roman" w:hAnsi="Times New Roman" w:cs="Times New Roman"/>
          <w:sz w:val="24"/>
          <w:szCs w:val="24"/>
        </w:rPr>
        <w:tab/>
        <w:t xml:space="preserve">własne stanowisko zainteresowanego w sprawie oceny prawnej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w:t>
      </w:r>
    </w:p>
    <w:p w14:paraId="08A54860" w14:textId="30FB91EA"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c)</w:t>
      </w:r>
      <w:r w:rsidRPr="00633318">
        <w:rPr>
          <w:rFonts w:ascii="Times New Roman" w:hAnsi="Times New Roman" w:cs="Times New Roman"/>
          <w:sz w:val="24"/>
          <w:szCs w:val="24"/>
        </w:rPr>
        <w:tab/>
        <w:t xml:space="preserve">dane identyfikacyjne jednostek składowych grupy, w tym ich numery identyfikacji podatkowej, jeżeli zostały nadane </w:t>
      </w:r>
      <w:r w:rsidR="00D44AAF" w:rsidRPr="00633318">
        <w:rPr>
          <w:rFonts w:ascii="Times New Roman" w:hAnsi="Times New Roman" w:cs="Times New Roman"/>
          <w:sz w:val="24"/>
          <w:szCs w:val="24"/>
        </w:rPr>
        <w:t>i dane dotyczące miejsca ich siedziby lub zarządu</w:t>
      </w:r>
    </w:p>
    <w:p w14:paraId="47D64877" w14:textId="64AD242A"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d)</w:t>
      </w:r>
      <w:r w:rsidRPr="00633318">
        <w:rPr>
          <w:rFonts w:ascii="Times New Roman" w:hAnsi="Times New Roman" w:cs="Times New Roman"/>
          <w:sz w:val="24"/>
          <w:szCs w:val="24"/>
        </w:rPr>
        <w:tab/>
      </w:r>
      <w:r w:rsidR="00D44AAF" w:rsidRPr="00633318">
        <w:rPr>
          <w:rFonts w:ascii="Times New Roman" w:hAnsi="Times New Roman" w:cs="Times New Roman"/>
          <w:sz w:val="24"/>
          <w:szCs w:val="24"/>
        </w:rPr>
        <w:t>jurysdykcje</w:t>
      </w:r>
      <w:r w:rsidR="004B7C15" w:rsidRPr="00633318">
        <w:rPr>
          <w:rFonts w:ascii="Times New Roman" w:hAnsi="Times New Roman" w:cs="Times New Roman"/>
          <w:sz w:val="24"/>
          <w:szCs w:val="24"/>
        </w:rPr>
        <w:t xml:space="preserve"> w rozumieniu ustawy o opodatkowaniu wyrównawczym jednostek składowych grup międzynarodowych i krajowych</w:t>
      </w:r>
      <w:r w:rsidRPr="00633318">
        <w:rPr>
          <w:rFonts w:ascii="Times New Roman" w:hAnsi="Times New Roman" w:cs="Times New Roman"/>
          <w:sz w:val="24"/>
          <w:szCs w:val="24"/>
        </w:rPr>
        <w:t xml:space="preserve">, </w:t>
      </w:r>
      <w:r w:rsidR="00D44AAF" w:rsidRPr="00633318">
        <w:rPr>
          <w:rFonts w:ascii="Times New Roman" w:hAnsi="Times New Roman" w:cs="Times New Roman"/>
          <w:sz w:val="24"/>
          <w:szCs w:val="24"/>
        </w:rPr>
        <w:t xml:space="preserve">w </w:t>
      </w:r>
      <w:r w:rsidRPr="00633318">
        <w:rPr>
          <w:rFonts w:ascii="Times New Roman" w:hAnsi="Times New Roman" w:cs="Times New Roman"/>
          <w:sz w:val="24"/>
          <w:szCs w:val="24"/>
        </w:rPr>
        <w:t>który</w:t>
      </w:r>
      <w:r w:rsidR="004B7C15" w:rsidRPr="00633318">
        <w:rPr>
          <w:rFonts w:ascii="Times New Roman" w:hAnsi="Times New Roman" w:cs="Times New Roman"/>
          <w:sz w:val="24"/>
          <w:szCs w:val="24"/>
        </w:rPr>
        <w:t>m</w:t>
      </w:r>
      <w:r w:rsidRPr="00633318">
        <w:rPr>
          <w:rFonts w:ascii="Times New Roman" w:hAnsi="Times New Roman" w:cs="Times New Roman"/>
          <w:sz w:val="24"/>
          <w:szCs w:val="24"/>
        </w:rPr>
        <w:t xml:space="preserve"> jednostki składowe grupy </w:t>
      </w:r>
      <w:r w:rsidR="00D44AAF" w:rsidRPr="00633318">
        <w:rPr>
          <w:rFonts w:ascii="Times New Roman" w:hAnsi="Times New Roman" w:cs="Times New Roman"/>
          <w:sz w:val="24"/>
          <w:szCs w:val="24"/>
        </w:rPr>
        <w:t>są zlokalizowane</w:t>
      </w:r>
      <w:r w:rsidRPr="00633318">
        <w:rPr>
          <w:rFonts w:ascii="Times New Roman" w:hAnsi="Times New Roman" w:cs="Times New Roman"/>
          <w:sz w:val="24"/>
          <w:szCs w:val="24"/>
        </w:rPr>
        <w:t xml:space="preserve">; </w:t>
      </w:r>
    </w:p>
    <w:p w14:paraId="02A6E2EA" w14:textId="44254915"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e)</w:t>
      </w:r>
      <w:r w:rsidRPr="00633318">
        <w:rPr>
          <w:rFonts w:ascii="Times New Roman" w:hAnsi="Times New Roman" w:cs="Times New Roman"/>
          <w:sz w:val="24"/>
          <w:szCs w:val="24"/>
        </w:rPr>
        <w:tab/>
        <w:t xml:space="preserve">rodzaj jednostek </w:t>
      </w:r>
      <w:r w:rsidR="00BC006E" w:rsidRPr="00633318">
        <w:rPr>
          <w:rFonts w:ascii="Times New Roman" w:hAnsi="Times New Roman" w:cs="Times New Roman"/>
          <w:sz w:val="24"/>
          <w:szCs w:val="24"/>
        </w:rPr>
        <w:t xml:space="preserve">składowych </w:t>
      </w:r>
      <w:r w:rsidR="004B7C15" w:rsidRPr="00633318">
        <w:rPr>
          <w:rFonts w:ascii="Times New Roman" w:hAnsi="Times New Roman" w:cs="Times New Roman"/>
          <w:sz w:val="24"/>
          <w:szCs w:val="24"/>
        </w:rPr>
        <w:t>grupy, których dotyczy wniosek</w:t>
      </w:r>
      <w:r w:rsidR="008B3ECF" w:rsidRPr="00633318">
        <w:rPr>
          <w:rFonts w:ascii="Times New Roman" w:hAnsi="Times New Roman" w:cs="Times New Roman"/>
          <w:sz w:val="24"/>
          <w:szCs w:val="24"/>
        </w:rPr>
        <w:t xml:space="preserve"> (np. jednostka dominująca najwyższego szczebla, jednostka dominująca niższego szczebla, jednostka dominująca znajdująca się w częściowym posiadaniu, jednostka joint venture, jednostka zależna joint venture, mniejszościowa jednostka składowa, mniejszościowa jednostka zależna, jednostka inwestycyjna, jednostka bezpaństwowa)</w:t>
      </w:r>
      <w:r w:rsidRPr="00633318">
        <w:rPr>
          <w:rFonts w:ascii="Times New Roman" w:hAnsi="Times New Roman" w:cs="Times New Roman"/>
          <w:sz w:val="24"/>
          <w:szCs w:val="24"/>
        </w:rPr>
        <w:t xml:space="preserve">; </w:t>
      </w:r>
    </w:p>
    <w:p w14:paraId="575BCAC7"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f)</w:t>
      </w:r>
      <w:r w:rsidRPr="00633318">
        <w:rPr>
          <w:rFonts w:ascii="Times New Roman" w:hAnsi="Times New Roman" w:cs="Times New Roman"/>
          <w:sz w:val="24"/>
          <w:szCs w:val="24"/>
        </w:rPr>
        <w:tab/>
        <w:t xml:space="preserve">informację na temat ogólnej struktury korporacyjnej grupy, w tym w zakresie udziałów konsolidujących w jednostkach składowych tej grupy będących w posiadaniu innych jednostek składowych tej grupy; </w:t>
      </w:r>
    </w:p>
    <w:p w14:paraId="777F0EBB" w14:textId="0F92BD6C"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g)</w:t>
      </w:r>
      <w:r w:rsidRPr="00633318">
        <w:rPr>
          <w:rFonts w:ascii="Times New Roman" w:hAnsi="Times New Roman" w:cs="Times New Roman"/>
          <w:sz w:val="24"/>
          <w:szCs w:val="24"/>
        </w:rPr>
        <w:tab/>
        <w:t xml:space="preserve"> opis podstawowej działalności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w tym: </w:t>
      </w:r>
    </w:p>
    <w:p w14:paraId="606515FD"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 wskazanie przedmiotu prowadzonej działalności, </w:t>
      </w:r>
    </w:p>
    <w:p w14:paraId="21098712" w14:textId="768D4E6A"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opis strategii gospodarczej</w:t>
      </w:r>
      <w:r w:rsidR="00CB46C4"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p>
    <w:p w14:paraId="058F7032" w14:textId="4F0EBA5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h)</w:t>
      </w:r>
      <w:r w:rsidRPr="00633318">
        <w:rPr>
          <w:rFonts w:ascii="Times New Roman" w:hAnsi="Times New Roman" w:cs="Times New Roman"/>
          <w:sz w:val="24"/>
          <w:szCs w:val="24"/>
        </w:rPr>
        <w:tab/>
        <w:t xml:space="preserve">wykaz pozostałych jednostek składowych uczestniczących w </w:t>
      </w:r>
      <w:r w:rsidR="00B64768" w:rsidRPr="00633318">
        <w:rPr>
          <w:rFonts w:ascii="Times New Roman" w:hAnsi="Times New Roman" w:cs="Times New Roman"/>
          <w:sz w:val="24"/>
          <w:szCs w:val="24"/>
        </w:rPr>
        <w:t>czynności</w:t>
      </w:r>
      <w:r w:rsidR="008F7DC8" w:rsidRPr="00633318">
        <w:rPr>
          <w:rFonts w:ascii="Times New Roman" w:hAnsi="Times New Roman" w:cs="Times New Roman"/>
          <w:sz w:val="24"/>
          <w:szCs w:val="24"/>
        </w:rPr>
        <w:t>ach</w:t>
      </w:r>
      <w:r w:rsidRPr="00633318">
        <w:rPr>
          <w:rFonts w:ascii="Times New Roman" w:hAnsi="Times New Roman" w:cs="Times New Roman"/>
          <w:sz w:val="24"/>
          <w:szCs w:val="24"/>
        </w:rPr>
        <w:t xml:space="preserve">, wraz ze wskazaniem siedziby lub miejsca ich zarządu, numeru identyfikacji podatkowej, a w przypadku jego braku - innego numeru identyfikacyjnego wraz z określeniem jego rodzaju, a także przedmiotu prowadzonej przez nich działalności, </w:t>
      </w:r>
    </w:p>
    <w:p w14:paraId="6ACFD98C" w14:textId="0E769FC6"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i)</w:t>
      </w:r>
      <w:r w:rsidRPr="00633318">
        <w:rPr>
          <w:rFonts w:ascii="Times New Roman" w:hAnsi="Times New Roman" w:cs="Times New Roman"/>
          <w:sz w:val="24"/>
          <w:szCs w:val="24"/>
        </w:rPr>
        <w:tab/>
        <w:t xml:space="preserve">opis przyjętych zasad (polityki) rachunkowości w zakresie, w jakim mają one zastosowanie do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 xml:space="preserve">, stosowanych przez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i pozostałe jednostki składowe uczestniczące w </w:t>
      </w:r>
      <w:r w:rsidR="00B64768" w:rsidRPr="00633318">
        <w:rPr>
          <w:rFonts w:ascii="Times New Roman" w:hAnsi="Times New Roman" w:cs="Times New Roman"/>
          <w:sz w:val="24"/>
          <w:szCs w:val="24"/>
        </w:rPr>
        <w:t>czynności</w:t>
      </w:r>
      <w:r w:rsidR="008F7DC8" w:rsidRPr="00633318">
        <w:rPr>
          <w:rFonts w:ascii="Times New Roman" w:hAnsi="Times New Roman" w:cs="Times New Roman"/>
          <w:sz w:val="24"/>
          <w:szCs w:val="24"/>
        </w:rPr>
        <w:t>ach</w:t>
      </w:r>
      <w:r w:rsidRPr="00633318">
        <w:rPr>
          <w:rFonts w:ascii="Times New Roman" w:hAnsi="Times New Roman" w:cs="Times New Roman"/>
          <w:sz w:val="24"/>
          <w:szCs w:val="24"/>
        </w:rPr>
        <w:t xml:space="preserve">; </w:t>
      </w:r>
    </w:p>
    <w:p w14:paraId="42D9B038" w14:textId="77DC25D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j)</w:t>
      </w:r>
      <w:r w:rsidRPr="00633318">
        <w:rPr>
          <w:rFonts w:ascii="Times New Roman" w:hAnsi="Times New Roman" w:cs="Times New Roman"/>
          <w:sz w:val="24"/>
          <w:szCs w:val="24"/>
        </w:rPr>
        <w:tab/>
        <w:t xml:space="preserve">umowy, porozumienia wewnątrzgrupowe lub inne dokumenty dotyczące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w:t>
      </w:r>
    </w:p>
    <w:p w14:paraId="344A1E99"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k)</w:t>
      </w:r>
      <w:r w:rsidRPr="00633318">
        <w:rPr>
          <w:rFonts w:ascii="Times New Roman" w:hAnsi="Times New Roman" w:cs="Times New Roman"/>
          <w:sz w:val="24"/>
          <w:szCs w:val="24"/>
        </w:rPr>
        <w:tab/>
        <w:t>wskazanie na wszystkie inne dokumenty lub informacje niezbędne do dokonania oceny stanowiska zainteresowanego, o którym mowa w pkt b).</w:t>
      </w:r>
    </w:p>
    <w:p w14:paraId="1A84ADA6" w14:textId="61515019"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Tak zakreślony przedmiot wniosku pozwoli Krajowej Informacji Skarbowej na dokonanie kompleksowej oceny wszelkich okoliczności opisanych we wniosku, a dzięki temu na wydanie dokładnej interpretacji o prawidłowym stosowaniu przepisów ustawy o opodatkowaniu wyrównawczym. Możliwość przedstawiania dokumentów w sprawie minimalizuje ryzyko powstania w przyszłości rozbieżności między </w:t>
      </w:r>
      <w:r w:rsidR="00837424" w:rsidRPr="00633318">
        <w:rPr>
          <w:rFonts w:ascii="Times New Roman" w:hAnsi="Times New Roman" w:cs="Times New Roman"/>
          <w:sz w:val="24"/>
          <w:szCs w:val="24"/>
        </w:rPr>
        <w:t xml:space="preserve">opinią </w:t>
      </w:r>
      <w:r w:rsidRPr="00633318">
        <w:rPr>
          <w:rFonts w:ascii="Times New Roman" w:hAnsi="Times New Roman" w:cs="Times New Roman"/>
          <w:sz w:val="24"/>
          <w:szCs w:val="24"/>
        </w:rPr>
        <w:t xml:space="preserve">a stanem zaistniałym u podatnika. Tym samym, znikome będzie zagrożenie, że organ podatkowy podczas prowadzonych czynności zakwestionuje zbieżność treści opinii w sprawie opodatkowania wyrównawczego. To czyni opinię na temat stosowania przepisów o opodatkowaniu wyrównawczym narzędziem dalece bardziej skutecznym pod względem funkcji ochronnej niż zwykłe interpretacje indywidualne. </w:t>
      </w:r>
    </w:p>
    <w:p w14:paraId="6F067984"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[2.3.] Oświadczenie składane pod rygorem odpowiedzialności karnej (art. 14u § 3)</w:t>
      </w:r>
    </w:p>
    <w:p w14:paraId="6670B057" w14:textId="473BBF96"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Podobnie jak w przypadku procedur dotyczących innych narzędzi interpretacyjnych, w procedurze wnioskowania o opinię w sprawie opodatkowania wyrównawczego zainteresowany będzie obowiązany do złożenia oświadczenia pod rygorem odpowiedzialności karnej za fałszywe zeznania, że elementy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 xml:space="preserve"> objęt</w:t>
      </w:r>
      <w:r w:rsidR="00B64768" w:rsidRPr="00633318">
        <w:rPr>
          <w:rFonts w:ascii="Times New Roman" w:hAnsi="Times New Roman" w:cs="Times New Roman"/>
          <w:sz w:val="24"/>
          <w:szCs w:val="24"/>
        </w:rPr>
        <w:t>ej</w:t>
      </w:r>
      <w:r w:rsidRPr="00633318">
        <w:rPr>
          <w:rFonts w:ascii="Times New Roman" w:hAnsi="Times New Roman" w:cs="Times New Roman"/>
          <w:sz w:val="24"/>
          <w:szCs w:val="24"/>
        </w:rPr>
        <w:t xml:space="preserve"> wnioskiem o opinię w sprawie opodatkowania wyrównawczego w dniu złożenia wniosku nie są przedmiotem toczącego się postępowania podatkowego, kontroli podatkowej, kontroli celno-skarbowej oraz że w tym zakresie sprawa nie została rozstrzygnięta co do jej istoty w decyzji lub postanowieniu organu podatkowego. W razie złożenia fałszywego oświadczenia wydana opinia w sprawie opodatkowania wyrównawczego</w:t>
      </w:r>
      <w:r w:rsidRPr="00633318" w:rsidDel="003F742B">
        <w:rPr>
          <w:rFonts w:ascii="Times New Roman" w:hAnsi="Times New Roman" w:cs="Times New Roman"/>
          <w:sz w:val="24"/>
          <w:szCs w:val="24"/>
        </w:rPr>
        <w:t xml:space="preserve"> </w:t>
      </w:r>
      <w:r w:rsidRPr="00633318">
        <w:rPr>
          <w:rFonts w:ascii="Times New Roman" w:hAnsi="Times New Roman" w:cs="Times New Roman"/>
          <w:sz w:val="24"/>
          <w:szCs w:val="24"/>
        </w:rPr>
        <w:t xml:space="preserve">nie wywoła skutków prawnych. Praktyka składania takiego oświadczenia jest znana z innych instrumentów interpretacyjnych, tj. interpretacje indywidualne, czy też </w:t>
      </w:r>
      <w:r w:rsidR="00837424" w:rsidRPr="00633318">
        <w:rPr>
          <w:rFonts w:ascii="Times New Roman" w:hAnsi="Times New Roman" w:cs="Times New Roman"/>
          <w:sz w:val="24"/>
          <w:szCs w:val="24"/>
        </w:rPr>
        <w:t>WIS i WIA</w:t>
      </w:r>
      <w:r w:rsidRPr="00633318">
        <w:rPr>
          <w:rFonts w:ascii="Times New Roman" w:hAnsi="Times New Roman" w:cs="Times New Roman"/>
          <w:sz w:val="24"/>
          <w:szCs w:val="24"/>
        </w:rPr>
        <w:t xml:space="preserve">. </w:t>
      </w:r>
    </w:p>
    <w:p w14:paraId="0C29EF52"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[2.4.] Odmowa wydania opinii w sprawie opodatkowania wyrównawczego</w:t>
      </w:r>
      <w:r w:rsidRPr="00633318" w:rsidDel="003F742B">
        <w:rPr>
          <w:rFonts w:ascii="Times New Roman" w:hAnsi="Times New Roman" w:cs="Times New Roman"/>
          <w:sz w:val="24"/>
          <w:szCs w:val="24"/>
        </w:rPr>
        <w:t xml:space="preserve"> </w:t>
      </w:r>
      <w:r w:rsidRPr="00633318">
        <w:rPr>
          <w:rFonts w:ascii="Times New Roman" w:hAnsi="Times New Roman" w:cs="Times New Roman"/>
          <w:sz w:val="24"/>
          <w:szCs w:val="24"/>
        </w:rPr>
        <w:t>(art. 14u § 4-8)</w:t>
      </w:r>
    </w:p>
    <w:p w14:paraId="3FCEDDFA" w14:textId="17949A65"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Odmowa wydania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 xml:space="preserve">może nastąpić jedynie w ustawowo określonych przypadkach. Pierwszym z nich jest sytuacja, w której mimo oświadczenia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o którym mowa w art. 14u § 3, w dniu złożenia wniosku o opinię elementy opisan</w:t>
      </w:r>
      <w:r w:rsidR="00A33023" w:rsidRPr="00633318">
        <w:rPr>
          <w:rFonts w:ascii="Times New Roman" w:hAnsi="Times New Roman" w:cs="Times New Roman"/>
          <w:sz w:val="24"/>
          <w:szCs w:val="24"/>
        </w:rPr>
        <w:t>ych</w:t>
      </w:r>
      <w:r w:rsidRPr="00633318">
        <w:rPr>
          <w:rFonts w:ascii="Times New Roman" w:hAnsi="Times New Roman" w:cs="Times New Roman"/>
          <w:sz w:val="24"/>
          <w:szCs w:val="24"/>
        </w:rPr>
        <w:t xml:space="preserve"> w nim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 xml:space="preserve"> będą przedmiotem toczącego się postępowania podatkowego, kontroli podatkowej, kontroli celno-skarbowej, albo gdy w tym zakresie sprawa została rozstrzygnięta co do jej istoty w decyzji lub postanowieniu organu podatkowego albo uzgodniona w porozumieniu podatkowym, o którym mowa w art. 20zb albo porozumieniu inwestycyjnym, o którym mowa w art. 20zs §  1 w zakresie art. 20zt pkt 2a (art. 14u § 4 pkt 1).</w:t>
      </w:r>
    </w:p>
    <w:p w14:paraId="7E269AB4" w14:textId="5B6ACBB4"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Kolejnym przypadkiem, w którym </w:t>
      </w:r>
      <w:r w:rsidR="00837424" w:rsidRPr="00633318">
        <w:rPr>
          <w:rFonts w:ascii="Times New Roman" w:hAnsi="Times New Roman" w:cs="Times New Roman"/>
          <w:sz w:val="24"/>
          <w:szCs w:val="24"/>
        </w:rPr>
        <w:t>Dyrektor KIS odmówi wydania opinii w sprawie opodatkowania wyrównawczego</w:t>
      </w:r>
      <w:r w:rsidR="00837424" w:rsidRPr="00633318" w:rsidDel="006A4F82">
        <w:rPr>
          <w:rFonts w:ascii="Times New Roman" w:hAnsi="Times New Roman" w:cs="Times New Roman"/>
          <w:sz w:val="24"/>
          <w:szCs w:val="24"/>
        </w:rPr>
        <w:t xml:space="preserve"> </w:t>
      </w:r>
      <w:r w:rsidR="00837424" w:rsidRPr="00633318">
        <w:rPr>
          <w:rFonts w:ascii="Times New Roman" w:hAnsi="Times New Roman" w:cs="Times New Roman"/>
          <w:sz w:val="24"/>
          <w:szCs w:val="24"/>
        </w:rPr>
        <w:t>jest sytuacja, w której w dniu złożenia wniosku o opinię elementy opisanych w nim czynności są już objęte opinią w sprawie opodatkowania wyrównawczego, która nie utraciła ważności. Brak jest bowiem zasadności, by organ podatkowy rozpatrywał dwukrotnie tę samą sprawę oraz aby w obrocie prawnym istniały dwie opinie wydane na rzecz tego samego podmiotu w tym samym zakresie (art. 14u § 4 pkt 2).</w:t>
      </w:r>
    </w:p>
    <w:p w14:paraId="2A09F842" w14:textId="077ABE0E"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Ponadto KIS odmówi wydania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 xml:space="preserve">w zakresie tych elementów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 co do których istnieje uzasadnione przypuszczenie, że mogą stanowić czynność lub element czynności określonej w art. 119a § 1 lub być przedmiotem decyzji wydanej z zastosowaniem środków ograniczających umowne korzyści (art. 14u § 5). Uzasadnione przypuszczenie może wynikać także z łącznej oceny więcej niż jednego wniosku o wydanie opinii w sprawie opodatkowania wyrównawczego, nawet jeżeli</w:t>
      </w:r>
      <w:r w:rsidR="007A568D" w:rsidRPr="00633318">
        <w:rPr>
          <w:rFonts w:ascii="Times New Roman" w:hAnsi="Times New Roman" w:cs="Times New Roman"/>
          <w:sz w:val="24"/>
          <w:szCs w:val="24"/>
        </w:rPr>
        <w:t xml:space="preserve"> wnioski</w:t>
      </w:r>
      <w:r w:rsidRPr="00633318">
        <w:rPr>
          <w:rFonts w:ascii="Times New Roman" w:hAnsi="Times New Roman" w:cs="Times New Roman"/>
          <w:sz w:val="24"/>
          <w:szCs w:val="24"/>
        </w:rPr>
        <w:t xml:space="preserve"> zostały złożone przez różnych </w:t>
      </w:r>
      <w:r w:rsidR="00472CD9" w:rsidRPr="00633318">
        <w:rPr>
          <w:rFonts w:ascii="Times New Roman" w:hAnsi="Times New Roman" w:cs="Times New Roman"/>
          <w:sz w:val="24"/>
          <w:szCs w:val="24"/>
        </w:rPr>
        <w:t>zainteresowanych</w:t>
      </w:r>
      <w:r w:rsidRPr="00633318">
        <w:rPr>
          <w:rFonts w:ascii="Times New Roman" w:hAnsi="Times New Roman" w:cs="Times New Roman"/>
          <w:sz w:val="24"/>
          <w:szCs w:val="24"/>
        </w:rPr>
        <w:t xml:space="preserve"> – w szczególności, gdy </w:t>
      </w:r>
      <w:r w:rsidR="00472CD9" w:rsidRPr="00633318">
        <w:rPr>
          <w:rFonts w:ascii="Times New Roman" w:hAnsi="Times New Roman" w:cs="Times New Roman"/>
          <w:sz w:val="24"/>
          <w:szCs w:val="24"/>
        </w:rPr>
        <w:t>zainteresowan</w:t>
      </w:r>
      <w:r w:rsidR="007A568D" w:rsidRPr="00633318">
        <w:rPr>
          <w:rFonts w:ascii="Times New Roman" w:hAnsi="Times New Roman" w:cs="Times New Roman"/>
          <w:sz w:val="24"/>
          <w:szCs w:val="24"/>
        </w:rPr>
        <w:t>i</w:t>
      </w:r>
      <w:r w:rsidRPr="00633318">
        <w:rPr>
          <w:rFonts w:ascii="Times New Roman" w:hAnsi="Times New Roman" w:cs="Times New Roman"/>
          <w:sz w:val="24"/>
          <w:szCs w:val="24"/>
        </w:rPr>
        <w:t xml:space="preserve"> należą do tej samej grupy lub mają ze sobą inne powiązania (art. 14u § 7).</w:t>
      </w:r>
    </w:p>
    <w:p w14:paraId="5B85C208" w14:textId="0AD9D2F1"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takim przypadku Dyrektor KIS może zwrócić  się do Szefa Krajowej Administracji Skarbowej o opinię (art. 14u § 6). Procedura ta jest analogiczna do procedury znanej z interpretacji indywidualnej i wynika z konieczności przeciwdziałania ewentualnemu zjawisku unikania opodatkowania. W przypadku, gdy </w:t>
      </w:r>
      <w:r w:rsidR="00B64768" w:rsidRPr="00633318">
        <w:rPr>
          <w:rFonts w:ascii="Times New Roman" w:hAnsi="Times New Roman" w:cs="Times New Roman"/>
          <w:sz w:val="24"/>
          <w:szCs w:val="24"/>
        </w:rPr>
        <w:t>czynnoś</w:t>
      </w:r>
      <w:r w:rsidR="007A568D" w:rsidRPr="00633318">
        <w:rPr>
          <w:rFonts w:ascii="Times New Roman" w:hAnsi="Times New Roman" w:cs="Times New Roman"/>
          <w:sz w:val="24"/>
          <w:szCs w:val="24"/>
        </w:rPr>
        <w:t>ci</w:t>
      </w:r>
      <w:r w:rsidR="00E5463E" w:rsidRPr="00633318">
        <w:rPr>
          <w:rFonts w:ascii="Times New Roman" w:hAnsi="Times New Roman" w:cs="Times New Roman"/>
          <w:sz w:val="24"/>
          <w:szCs w:val="24"/>
        </w:rPr>
        <w:t xml:space="preserve"> opisane we wniosku</w:t>
      </w:r>
      <w:r w:rsidRPr="00633318">
        <w:rPr>
          <w:rFonts w:ascii="Times New Roman" w:hAnsi="Times New Roman" w:cs="Times New Roman"/>
          <w:sz w:val="24"/>
          <w:szCs w:val="24"/>
        </w:rPr>
        <w:t xml:space="preserve"> odpowiad</w:t>
      </w:r>
      <w:r w:rsidR="00A33023" w:rsidRPr="00633318">
        <w:rPr>
          <w:rFonts w:ascii="Times New Roman" w:hAnsi="Times New Roman" w:cs="Times New Roman"/>
          <w:sz w:val="24"/>
          <w:szCs w:val="24"/>
        </w:rPr>
        <w:t>a</w:t>
      </w:r>
      <w:r w:rsidR="00E5463E" w:rsidRPr="00633318">
        <w:rPr>
          <w:rFonts w:ascii="Times New Roman" w:hAnsi="Times New Roman" w:cs="Times New Roman"/>
          <w:sz w:val="24"/>
          <w:szCs w:val="24"/>
        </w:rPr>
        <w:t>ją</w:t>
      </w:r>
      <w:r w:rsidRPr="00633318">
        <w:rPr>
          <w:rFonts w:ascii="Times New Roman" w:hAnsi="Times New Roman" w:cs="Times New Roman"/>
          <w:sz w:val="24"/>
          <w:szCs w:val="24"/>
        </w:rPr>
        <w:t xml:space="preserve"> zagadnieniu, które było przedmiotem uzyskanej uprzednio opinii Szefa Krajowej Administracji Skarbowej, Dyrektor KIS wykorzysta uzyskaną wcześniej opinię – aby uniknąć niepotrzebnego przedłużania postępowania. Opinie takie każdorazowo będą załączane do akt sprawy.</w:t>
      </w:r>
    </w:p>
    <w:p w14:paraId="3571A6BE"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każdej z powyższych sytuacji, odmowa wydania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będzie następować w drodze postanowienia, na które przysługuje zażalenie (art. 14u § 8).</w:t>
      </w:r>
    </w:p>
    <w:p w14:paraId="641687D6" w14:textId="0FB0A713"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Dyrektor KIS zwróci się z prośbą o opinię do Szefa KAS także w przypadku, gdy </w:t>
      </w:r>
      <w:r w:rsidR="00472CD9" w:rsidRPr="00633318">
        <w:rPr>
          <w:rFonts w:ascii="Times New Roman" w:hAnsi="Times New Roman" w:cs="Times New Roman"/>
          <w:sz w:val="24"/>
          <w:szCs w:val="24"/>
        </w:rPr>
        <w:t>zainteresowany</w:t>
      </w:r>
      <w:r w:rsidRPr="00633318">
        <w:rPr>
          <w:rFonts w:ascii="Times New Roman" w:hAnsi="Times New Roman" w:cs="Times New Roman"/>
          <w:sz w:val="24"/>
          <w:szCs w:val="24"/>
        </w:rPr>
        <w:t xml:space="preserve"> będzie stroną zawartej umowy o współdziałanie, lub do Ministra Finansów, jeżeli </w:t>
      </w:r>
      <w:r w:rsidR="00472CD9" w:rsidRPr="00633318">
        <w:rPr>
          <w:rFonts w:ascii="Times New Roman" w:hAnsi="Times New Roman" w:cs="Times New Roman"/>
          <w:sz w:val="24"/>
          <w:szCs w:val="24"/>
        </w:rPr>
        <w:t>zainteresowany</w:t>
      </w:r>
      <w:r w:rsidRPr="00633318">
        <w:rPr>
          <w:rFonts w:ascii="Times New Roman" w:hAnsi="Times New Roman" w:cs="Times New Roman"/>
          <w:sz w:val="24"/>
          <w:szCs w:val="24"/>
        </w:rPr>
        <w:t xml:space="preserve"> jest stroną zawartego porozumienia inwestycyjnego (art. 14u § 9).</w:t>
      </w:r>
    </w:p>
    <w:p w14:paraId="4F65FB27" w14:textId="0706313D"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Co istotne, poza klasycznym wezwaniem znanym z procedury wydawania interpretacji indywidualnych, Dyrektor Krajowej Informacji Skarbowej może zwrócić się do </w:t>
      </w:r>
      <w:r w:rsidR="00472CD9" w:rsidRPr="00633318">
        <w:rPr>
          <w:rFonts w:ascii="Times New Roman" w:hAnsi="Times New Roman" w:cs="Times New Roman"/>
          <w:sz w:val="24"/>
          <w:szCs w:val="24"/>
        </w:rPr>
        <w:t>zainteresowanego</w:t>
      </w:r>
      <w:r w:rsidR="00295018"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o wyjaśnienie wątpliwości co do treści wniosku o opinię w sprawie opodatkowania wyrównawczego lub zorganizować spotkanie uzgodnieniowe w celu wyjaśnienia tych wątpliwości (art. 14u § 10). Rozwiązanie to umożliwia elastyczne i indywidualne podejście do każdej rozpatrywanej sprawy. W przypadku niewielkich wątpliwości Dyrektor KIS będzie mógł wyjaśnić je w sposób pisemny, formalny. Natomiast jeżeli uzna, że wątpliwości jest wiele i potrzebne są wyjaśnienia zainteresowanego, spotkanie uzgodnieniowe będzie wygodną formą współpracy z zainteresowanym. Spotkanie uzgodnieniowe sprzyja zacieśnianiu współpracy z podatnikami i pomaga budować pozytywny wizerunek KAS – jako administracji przyjaznej, otwartej na wysłuchanie zainteresowanego i nastawionej na niesienie pomocy. Rozwiązanie takie funkcjonuje już w procedurze wydawania opinii zabezpieczających oraz zawierania porozumienia inwestycyjnego. </w:t>
      </w:r>
    </w:p>
    <w:p w14:paraId="0C8C10B7" w14:textId="3C1F4164" w:rsidR="003D3762" w:rsidRPr="00633318" w:rsidRDefault="002C7C46" w:rsidP="003D3762">
      <w:pPr>
        <w:pStyle w:val="Zwykytekst"/>
        <w:jc w:val="both"/>
        <w:rPr>
          <w:rFonts w:ascii="Times New Roman" w:hAnsi="Times New Roman" w:cs="Times New Roman"/>
          <w:sz w:val="24"/>
          <w:szCs w:val="24"/>
          <w:lang w:val="pl-PL"/>
        </w:rPr>
      </w:pPr>
      <w:r w:rsidRPr="00633318">
        <w:rPr>
          <w:rFonts w:ascii="Times New Roman" w:hAnsi="Times New Roman" w:cs="Times New Roman"/>
          <w:sz w:val="24"/>
          <w:szCs w:val="24"/>
          <w:lang w:val="pl-PL"/>
        </w:rPr>
        <w:t>Ze spotkania uzgodnieniowego będzie sporządzany protokół</w:t>
      </w:r>
      <w:r w:rsidR="003C1F1E" w:rsidRPr="00633318">
        <w:rPr>
          <w:rFonts w:ascii="Times New Roman" w:hAnsi="Times New Roman" w:cs="Times New Roman"/>
          <w:sz w:val="24"/>
          <w:szCs w:val="24"/>
          <w:lang w:val="pl-PL"/>
        </w:rPr>
        <w:t>.</w:t>
      </w:r>
      <w:r w:rsidR="007A2834" w:rsidRPr="00633318">
        <w:rPr>
          <w:rFonts w:ascii="Times New Roman" w:hAnsi="Times New Roman" w:cs="Times New Roman"/>
          <w:sz w:val="24"/>
          <w:szCs w:val="24"/>
          <w:lang w:val="pl-PL"/>
        </w:rPr>
        <w:t xml:space="preserve"> Protokół w odniesieniu do danych osobowych będzie zawierał wyłącznie dane osób uczestniczących w spotkaniu (imię i nazwisko), reprezentujących </w:t>
      </w:r>
      <w:r w:rsidR="003D3762" w:rsidRPr="00633318">
        <w:rPr>
          <w:rFonts w:ascii="Times New Roman" w:hAnsi="Times New Roman" w:cs="Times New Roman"/>
          <w:sz w:val="24"/>
          <w:szCs w:val="24"/>
          <w:lang w:val="pl-PL"/>
        </w:rPr>
        <w:t>(</w:t>
      </w:r>
      <w:r w:rsidR="007A2834" w:rsidRPr="00633318">
        <w:rPr>
          <w:rFonts w:ascii="Times New Roman" w:hAnsi="Times New Roman" w:cs="Times New Roman"/>
          <w:sz w:val="24"/>
          <w:szCs w:val="24"/>
          <w:lang w:val="pl-PL"/>
        </w:rPr>
        <w:t>na podstawie stosownych pełnomocnictw</w:t>
      </w:r>
      <w:r w:rsidR="003D3762" w:rsidRPr="00633318">
        <w:rPr>
          <w:rFonts w:ascii="Times New Roman" w:hAnsi="Times New Roman" w:cs="Times New Roman"/>
          <w:sz w:val="24"/>
          <w:szCs w:val="24"/>
          <w:lang w:val="pl-PL"/>
        </w:rPr>
        <w:t>)</w:t>
      </w:r>
      <w:r w:rsidR="007A2834" w:rsidRPr="00633318">
        <w:rPr>
          <w:rFonts w:ascii="Times New Roman" w:hAnsi="Times New Roman" w:cs="Times New Roman"/>
          <w:sz w:val="24"/>
          <w:szCs w:val="24"/>
          <w:lang w:val="pl-PL"/>
        </w:rPr>
        <w:t xml:space="preserve"> podatnika występującego z wnioskiem o wydanie opinii. Są to wyłącznie  dane  adekwatne, stosowne oraz ograniczone do niezbędnego minimum – zgodnie z rozporządzeniem</w:t>
      </w:r>
      <w:r w:rsidR="003D3762" w:rsidRPr="00633318">
        <w:rPr>
          <w:rFonts w:ascii="Times New Roman" w:hAnsi="Times New Roman" w:cs="Times New Roman"/>
          <w:sz w:val="24"/>
          <w:szCs w:val="24"/>
          <w:lang w:val="pl-PL"/>
        </w:rPr>
        <w:t xml:space="preserve"> Parlamentu Europejskiego i Rady (UE) 2016/679 z 27 kwietnia 2016 r. w sprawie ochrony osób fizycznych w związku z przetwarzaniem danych osobowych i w sprawie swobodnego przepływu takich danych oraz uchylenia dyrektywy 95/46/WE (ogólne rozporządzenie o ochronie danych</w:t>
      </w:r>
      <w:r w:rsidR="0043355C" w:rsidRPr="00633318">
        <w:rPr>
          <w:rFonts w:ascii="Times New Roman" w:hAnsi="Times New Roman" w:cs="Times New Roman"/>
          <w:sz w:val="24"/>
          <w:szCs w:val="24"/>
          <w:lang w:val="pl-PL"/>
        </w:rPr>
        <w:t xml:space="preserve"> -</w:t>
      </w:r>
      <w:r w:rsidR="003D3762" w:rsidRPr="00633318">
        <w:rPr>
          <w:rFonts w:ascii="Times New Roman" w:hAnsi="Times New Roman" w:cs="Times New Roman"/>
          <w:sz w:val="24"/>
          <w:szCs w:val="24"/>
          <w:lang w:val="pl-PL"/>
        </w:rPr>
        <w:t xml:space="preserve"> Dz. Urz.UE.L.2016.119.1 z dnia 2016.05.04</w:t>
      </w:r>
      <w:r w:rsidR="0043355C" w:rsidRPr="00633318">
        <w:rPr>
          <w:rFonts w:ascii="Times New Roman" w:hAnsi="Times New Roman" w:cs="Times New Roman"/>
          <w:sz w:val="24"/>
          <w:szCs w:val="24"/>
          <w:lang w:val="pl-PL"/>
        </w:rPr>
        <w:t>).</w:t>
      </w:r>
    </w:p>
    <w:p w14:paraId="7F667F4D" w14:textId="4423777D" w:rsidR="00685C89" w:rsidRPr="00633318" w:rsidRDefault="007A2834" w:rsidP="001B320A">
      <w:pPr>
        <w:pStyle w:val="Zwykytekst"/>
        <w:jc w:val="both"/>
        <w:rPr>
          <w:rFonts w:ascii="Times New Roman" w:hAnsi="Times New Roman" w:cs="Times New Roman"/>
          <w:sz w:val="24"/>
          <w:szCs w:val="24"/>
          <w:lang w:val="pl-PL"/>
        </w:rPr>
      </w:pPr>
      <w:r w:rsidRPr="00633318">
        <w:rPr>
          <w:rFonts w:ascii="Times New Roman" w:hAnsi="Times New Roman" w:cs="Times New Roman"/>
          <w:sz w:val="24"/>
          <w:szCs w:val="24"/>
          <w:lang w:val="pl-PL"/>
        </w:rPr>
        <w:t>W pozostałym zakresie protokół będzie zawierał informacje o charakterze merytorycznym (bez danych podlegających ochronie).  Protokół jest częścią akt sprawy podatkowej, tym samym obowiązuje dla niego okres przechowywania taki jak dla każdej dokumentacji podatkowej</w:t>
      </w:r>
      <w:r w:rsidR="008E6294" w:rsidRPr="00633318">
        <w:rPr>
          <w:rFonts w:ascii="Times New Roman" w:hAnsi="Times New Roman" w:cs="Times New Roman"/>
          <w:sz w:val="24"/>
          <w:szCs w:val="24"/>
          <w:lang w:val="pl-PL"/>
        </w:rPr>
        <w:t>, przechowywanej w danym urzędzie</w:t>
      </w:r>
      <w:r w:rsidRPr="00633318">
        <w:rPr>
          <w:rFonts w:ascii="Times New Roman" w:hAnsi="Times New Roman" w:cs="Times New Roman"/>
          <w:sz w:val="24"/>
          <w:szCs w:val="24"/>
          <w:lang w:val="pl-PL"/>
        </w:rPr>
        <w:t xml:space="preserve">. </w:t>
      </w:r>
    </w:p>
    <w:p w14:paraId="1CE16432" w14:textId="500410AB"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Pozostawienie wniosku bez rozpatrzenia (art. 14</w:t>
      </w:r>
      <w:r w:rsidR="00F77841" w:rsidRPr="00633318">
        <w:rPr>
          <w:rFonts w:ascii="Times New Roman" w:hAnsi="Times New Roman" w:cs="Times New Roman"/>
          <w:b/>
          <w:bCs/>
          <w:sz w:val="24"/>
          <w:szCs w:val="24"/>
        </w:rPr>
        <w:t>v</w:t>
      </w:r>
      <w:r w:rsidRPr="00633318">
        <w:rPr>
          <w:rFonts w:ascii="Times New Roman" w:hAnsi="Times New Roman" w:cs="Times New Roman"/>
          <w:b/>
          <w:bCs/>
          <w:sz w:val="24"/>
          <w:szCs w:val="24"/>
        </w:rPr>
        <w:t>)</w:t>
      </w:r>
    </w:p>
    <w:p w14:paraId="0DCD90E2" w14:textId="1FABC8AF"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przypadku, w którym wniosek o wydanie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 xml:space="preserve">nie spełni wymogów określonych w art. 14u § 1-3 (zakres czasowy, wymagania formalne, oświadczenie składane pod rygorem odpowiedzialności karnej) lub innych wymogów określonych </w:t>
      </w:r>
      <w:r w:rsidR="007A568D" w:rsidRPr="00633318">
        <w:rPr>
          <w:rFonts w:ascii="Times New Roman" w:hAnsi="Times New Roman" w:cs="Times New Roman"/>
          <w:sz w:val="24"/>
          <w:szCs w:val="24"/>
        </w:rPr>
        <w:t xml:space="preserve">w </w:t>
      </w:r>
      <w:r w:rsidRPr="00633318">
        <w:rPr>
          <w:rFonts w:ascii="Times New Roman" w:hAnsi="Times New Roman" w:cs="Times New Roman"/>
          <w:sz w:val="24"/>
          <w:szCs w:val="24"/>
        </w:rPr>
        <w:t>przepisa</w:t>
      </w:r>
      <w:r w:rsidR="007A568D" w:rsidRPr="00633318">
        <w:rPr>
          <w:rFonts w:ascii="Times New Roman" w:hAnsi="Times New Roman" w:cs="Times New Roman"/>
          <w:sz w:val="24"/>
          <w:szCs w:val="24"/>
        </w:rPr>
        <w:t>ch</w:t>
      </w:r>
      <w:r w:rsidRPr="00633318">
        <w:rPr>
          <w:rFonts w:ascii="Times New Roman" w:hAnsi="Times New Roman" w:cs="Times New Roman"/>
          <w:sz w:val="24"/>
          <w:szCs w:val="24"/>
        </w:rPr>
        <w:t xml:space="preserve"> prawa i bezskutecznym wezwaniu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do usunięcia braków formalnych (odpowiednie stosowanie art. 169 § 1</w:t>
      </w:r>
      <w:r w:rsidR="00914FA2" w:rsidRPr="00633318">
        <w:rPr>
          <w:rFonts w:ascii="Times New Roman" w:hAnsi="Times New Roman" w:cs="Times New Roman"/>
          <w:sz w:val="24"/>
          <w:szCs w:val="24"/>
        </w:rPr>
        <w:t xml:space="preserve"> Ordynacji podatkowej</w:t>
      </w:r>
      <w:r w:rsidRPr="00633318">
        <w:rPr>
          <w:rFonts w:ascii="Times New Roman" w:hAnsi="Times New Roman" w:cs="Times New Roman"/>
          <w:sz w:val="24"/>
          <w:szCs w:val="24"/>
        </w:rPr>
        <w:t>)</w:t>
      </w:r>
      <w:r w:rsidR="007A568D"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r w:rsidR="00837424" w:rsidRPr="00633318">
        <w:rPr>
          <w:rFonts w:ascii="Times New Roman" w:hAnsi="Times New Roman" w:cs="Times New Roman"/>
          <w:sz w:val="24"/>
          <w:szCs w:val="24"/>
        </w:rPr>
        <w:t xml:space="preserve">Dyrektor </w:t>
      </w:r>
      <w:r w:rsidRPr="00633318">
        <w:rPr>
          <w:rFonts w:ascii="Times New Roman" w:hAnsi="Times New Roman" w:cs="Times New Roman"/>
          <w:sz w:val="24"/>
          <w:szCs w:val="24"/>
        </w:rPr>
        <w:t>KIS wyda postanowienie o pozostawieniu wniosku bez rozpatrzenia. Na postanowienie to będzie przysługiwać zażalenie.</w:t>
      </w:r>
    </w:p>
    <w:p w14:paraId="223BE2DA" w14:textId="74C59599" w:rsidR="002C7C46" w:rsidRPr="00633318" w:rsidRDefault="002C7C46" w:rsidP="00E577D5">
      <w:pPr>
        <w:numPr>
          <w:ilvl w:val="0"/>
          <w:numId w:val="150"/>
        </w:numPr>
        <w:autoSpaceDE w:val="0"/>
        <w:autoSpaceDN w:val="0"/>
        <w:adjustRightInd w:val="0"/>
        <w:spacing w:before="240" w:after="120"/>
        <w:ind w:left="714" w:hanging="357"/>
        <w:jc w:val="both"/>
        <w:rPr>
          <w:rFonts w:ascii="Times New Roman" w:hAnsi="Times New Roman" w:cs="Times New Roman"/>
          <w:b/>
          <w:bCs/>
          <w:sz w:val="24"/>
          <w:szCs w:val="24"/>
        </w:rPr>
      </w:pPr>
      <w:r w:rsidRPr="00633318">
        <w:rPr>
          <w:rFonts w:ascii="Times New Roman" w:hAnsi="Times New Roman" w:cs="Times New Roman"/>
          <w:b/>
          <w:bCs/>
          <w:sz w:val="24"/>
          <w:szCs w:val="24"/>
        </w:rPr>
        <w:t>Okres ważności opinii (art. 14</w:t>
      </w:r>
      <w:r w:rsidR="00F77841" w:rsidRPr="00633318">
        <w:rPr>
          <w:rFonts w:ascii="Times New Roman" w:hAnsi="Times New Roman" w:cs="Times New Roman"/>
          <w:b/>
          <w:bCs/>
          <w:sz w:val="24"/>
          <w:szCs w:val="24"/>
        </w:rPr>
        <w:t>w</w:t>
      </w:r>
      <w:r w:rsidRPr="00633318">
        <w:rPr>
          <w:rFonts w:ascii="Times New Roman" w:hAnsi="Times New Roman" w:cs="Times New Roman"/>
          <w:b/>
          <w:bCs/>
          <w:sz w:val="24"/>
          <w:szCs w:val="24"/>
        </w:rPr>
        <w:t>)</w:t>
      </w:r>
    </w:p>
    <w:p w14:paraId="6E7A9A3D" w14:textId="1C3EA5FC"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przeciwieństwie do interpretacji indywidualnych, które wydawane są bezterminowo, opinia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 xml:space="preserve">oraz jej zmiana będą ważne przez okres 5 lat od dnia ich wydania. Instrumenty wydawane bezterminowo </w:t>
      </w:r>
      <w:r w:rsidR="00837424" w:rsidRPr="00633318">
        <w:rPr>
          <w:rFonts w:ascii="Times New Roman" w:hAnsi="Times New Roman" w:cs="Times New Roman"/>
          <w:sz w:val="24"/>
          <w:szCs w:val="24"/>
        </w:rPr>
        <w:t>stwarzają dla podatników bezpodstawne przeświadczenie, że pomimo upływu lat i nowelizacji przepisów mają cały czas aktualną interpretację, którą mogą stosować, dającą im ochronę. Obecnie, nowsze narzędzia interpretacyjne, takie jak np. WIS, WIA czy porozumienie inwestycyjne wydawane są na okres nie dłuższy niż 5 lat, zbliżony do typowego okresu przedawnienia zobowiązań podatkowych.</w:t>
      </w:r>
      <w:r w:rsidRPr="00633318">
        <w:rPr>
          <w:rFonts w:ascii="Times New Roman" w:hAnsi="Times New Roman" w:cs="Times New Roman"/>
          <w:sz w:val="24"/>
          <w:szCs w:val="24"/>
        </w:rPr>
        <w:t xml:space="preserve"> Co istotne, w przypadku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może dojść także do zmiany wytycznych OECD lub dorobku GloBE – których elementy mogą znaleźć się w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 xml:space="preserve">na skutek wydanej opinii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w:t>
      </w:r>
      <w:r w:rsidR="00320A30" w:rsidRPr="00633318">
        <w:rPr>
          <w:rFonts w:ascii="Times New Roman" w:hAnsi="Times New Roman" w:cs="Times New Roman"/>
          <w:sz w:val="24"/>
          <w:szCs w:val="24"/>
        </w:rPr>
        <w:t>Opodatkowania</w:t>
      </w:r>
      <w:r w:rsidRPr="00633318">
        <w:rPr>
          <w:rFonts w:ascii="Times New Roman" w:hAnsi="Times New Roman" w:cs="Times New Roman"/>
          <w:sz w:val="24"/>
          <w:szCs w:val="24"/>
        </w:rPr>
        <w:t xml:space="preserve"> </w:t>
      </w:r>
      <w:r w:rsidR="00AE1F37" w:rsidRPr="00633318">
        <w:rPr>
          <w:rFonts w:ascii="Times New Roman" w:hAnsi="Times New Roman" w:cs="Times New Roman"/>
          <w:sz w:val="24"/>
          <w:szCs w:val="24"/>
        </w:rPr>
        <w:t xml:space="preserve">Wyrównawczego </w:t>
      </w:r>
      <w:r w:rsidRPr="00633318">
        <w:rPr>
          <w:rFonts w:ascii="Times New Roman" w:hAnsi="Times New Roman" w:cs="Times New Roman"/>
          <w:sz w:val="24"/>
          <w:szCs w:val="24"/>
        </w:rPr>
        <w:t>(art. 14z</w:t>
      </w:r>
      <w:r w:rsidR="00F77841" w:rsidRPr="00633318">
        <w:rPr>
          <w:rFonts w:ascii="Times New Roman" w:hAnsi="Times New Roman" w:cs="Times New Roman"/>
          <w:sz w:val="24"/>
          <w:szCs w:val="24"/>
        </w:rPr>
        <w:t>f</w:t>
      </w:r>
      <w:r w:rsidRPr="00633318">
        <w:rPr>
          <w:rFonts w:ascii="Times New Roman" w:hAnsi="Times New Roman" w:cs="Times New Roman"/>
          <w:sz w:val="24"/>
          <w:szCs w:val="24"/>
        </w:rPr>
        <w:t>), co przemawia za koniecznością wprowadzenia pewnego limitu czasowego dla</w:t>
      </w:r>
      <w:r w:rsidR="009D2EFC" w:rsidRPr="00633318">
        <w:rPr>
          <w:rFonts w:ascii="Times New Roman" w:hAnsi="Times New Roman" w:cs="Times New Roman"/>
          <w:sz w:val="24"/>
          <w:szCs w:val="24"/>
        </w:rPr>
        <w:t xml:space="preserve"> funkcjonowania w obrocie projektowanego</w:t>
      </w:r>
      <w:r w:rsidRPr="00633318">
        <w:rPr>
          <w:rFonts w:ascii="Times New Roman" w:hAnsi="Times New Roman" w:cs="Times New Roman"/>
          <w:sz w:val="24"/>
          <w:szCs w:val="24"/>
        </w:rPr>
        <w:t xml:space="preserve"> instrumentu interpretacyjnego. </w:t>
      </w:r>
    </w:p>
    <w:p w14:paraId="707BF637" w14:textId="754D8D6E"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Treść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b/>
          <w:bCs/>
          <w:sz w:val="24"/>
          <w:szCs w:val="24"/>
        </w:rPr>
        <w:t>(art. 14</w:t>
      </w:r>
      <w:r w:rsidR="00F77841" w:rsidRPr="00633318">
        <w:rPr>
          <w:rFonts w:ascii="Times New Roman" w:hAnsi="Times New Roman" w:cs="Times New Roman"/>
          <w:b/>
          <w:bCs/>
          <w:sz w:val="24"/>
          <w:szCs w:val="24"/>
        </w:rPr>
        <w:t>x</w:t>
      </w:r>
      <w:r w:rsidRPr="00633318">
        <w:rPr>
          <w:rFonts w:ascii="Times New Roman" w:hAnsi="Times New Roman" w:cs="Times New Roman"/>
          <w:b/>
          <w:bCs/>
          <w:sz w:val="24"/>
          <w:szCs w:val="24"/>
        </w:rPr>
        <w:t>)</w:t>
      </w:r>
    </w:p>
    <w:p w14:paraId="0470F0B8" w14:textId="7821F6C4" w:rsidR="00837424"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Opinia w sprawie opodatkowania wyrównawczego</w:t>
      </w:r>
      <w:r w:rsidRPr="00633318" w:rsidDel="006A4F82">
        <w:rPr>
          <w:rFonts w:ascii="Times New Roman" w:hAnsi="Times New Roman" w:cs="Times New Roman"/>
          <w:sz w:val="24"/>
          <w:szCs w:val="24"/>
        </w:rPr>
        <w:t xml:space="preserve"> </w:t>
      </w:r>
      <w:r w:rsidR="00837424" w:rsidRPr="00633318">
        <w:rPr>
          <w:rFonts w:ascii="Times New Roman" w:hAnsi="Times New Roman" w:cs="Times New Roman"/>
          <w:sz w:val="24"/>
          <w:szCs w:val="24"/>
        </w:rPr>
        <w:t>będzie zawierać opis i ocenę czynności opisanych we wniosku. Ocena ta będzie dokonana przez Dyrektora KIS na podstawie analizy treści wniosku zawierającego opis czynności. KIS w wydanej opinii w sprawie opodatkowania wyrównawczego</w:t>
      </w:r>
      <w:r w:rsidR="00837424" w:rsidRPr="00633318" w:rsidDel="006A4F82">
        <w:rPr>
          <w:rFonts w:ascii="Times New Roman" w:hAnsi="Times New Roman" w:cs="Times New Roman"/>
          <w:sz w:val="24"/>
          <w:szCs w:val="24"/>
        </w:rPr>
        <w:t xml:space="preserve"> </w:t>
      </w:r>
      <w:r w:rsidR="00837424" w:rsidRPr="00633318">
        <w:rPr>
          <w:rFonts w:ascii="Times New Roman" w:hAnsi="Times New Roman" w:cs="Times New Roman"/>
          <w:sz w:val="24"/>
          <w:szCs w:val="24"/>
        </w:rPr>
        <w:t>oceni stanowisko zainteresowanego wraz z uzasadnieniem prawnym tej oceny, lub jeżeli stanowisko zainteresowanego jest prawidłowe w pełnym zakresie, będzie mógł odstąpić od uzasadnienia prawnego. Jeżeli w wyniku treści wniosku stanowisko zainteresowanego zostanie ocenione negatywnie, w treści opinii w sprawie opodatkowania wyrównawczego</w:t>
      </w:r>
      <w:r w:rsidR="00837424" w:rsidRPr="00633318" w:rsidDel="006A4F82">
        <w:rPr>
          <w:rFonts w:ascii="Times New Roman" w:hAnsi="Times New Roman" w:cs="Times New Roman"/>
          <w:sz w:val="24"/>
          <w:szCs w:val="24"/>
        </w:rPr>
        <w:t xml:space="preserve"> </w:t>
      </w:r>
      <w:r w:rsidR="00837424" w:rsidRPr="00633318">
        <w:rPr>
          <w:rFonts w:ascii="Times New Roman" w:hAnsi="Times New Roman" w:cs="Times New Roman"/>
          <w:sz w:val="24"/>
          <w:szCs w:val="24"/>
        </w:rPr>
        <w:t xml:space="preserve">zostanie zawarte, oprócz opisu czynności przedstawionych we wniosku, wskazanie prawidłowego stanowiska wraz z uzasadnieniem prawnym. W konsekwencji – kształt wydawanej opinii będzie zbliżony do interpretacji indywidualnych.   </w:t>
      </w:r>
    </w:p>
    <w:p w14:paraId="5EA19716" w14:textId="4A04B0AB"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Opinia w sprawie opodatkowania wyrównawczego nie będzie mieć charakteru wiążącego ani dla organu podatkowego ani dla podatnika. Zapewniać będzie ochronę podobną do tej znanej z instytucji interpretacji indywidualnych (zasada nieszkodzenia znana z art. 14k-14m). Jednocześnie, opinia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zawierać będzie pouczenie o przypadkach, w których nastąpi wyłączenie ochrony prawnej (art. 14z</w:t>
      </w:r>
      <w:r w:rsidR="00F77841" w:rsidRPr="00633318">
        <w:rPr>
          <w:rFonts w:ascii="Times New Roman" w:hAnsi="Times New Roman" w:cs="Times New Roman"/>
          <w:sz w:val="24"/>
          <w:szCs w:val="24"/>
        </w:rPr>
        <w:t>m</w:t>
      </w:r>
      <w:r w:rsidRPr="00633318">
        <w:rPr>
          <w:rFonts w:ascii="Times New Roman" w:hAnsi="Times New Roman" w:cs="Times New Roman"/>
          <w:sz w:val="24"/>
          <w:szCs w:val="24"/>
        </w:rPr>
        <w:t>) oraz o prawie wniesienia skargi do sądu administracyjnego.</w:t>
      </w:r>
    </w:p>
    <w:p w14:paraId="782E119D" w14:textId="113B99FE"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Opłaty (art. 14</w:t>
      </w:r>
      <w:r w:rsidR="00F77841" w:rsidRPr="00633318">
        <w:rPr>
          <w:rFonts w:ascii="Times New Roman" w:hAnsi="Times New Roman" w:cs="Times New Roman"/>
          <w:b/>
          <w:bCs/>
          <w:sz w:val="24"/>
          <w:szCs w:val="24"/>
        </w:rPr>
        <w:t>y</w:t>
      </w:r>
      <w:r w:rsidRPr="00633318">
        <w:rPr>
          <w:rFonts w:ascii="Times New Roman" w:hAnsi="Times New Roman" w:cs="Times New Roman"/>
          <w:b/>
          <w:bCs/>
          <w:sz w:val="24"/>
          <w:szCs w:val="24"/>
        </w:rPr>
        <w:t>-14z</w:t>
      </w:r>
      <w:r w:rsidR="00F77841" w:rsidRPr="00633318">
        <w:rPr>
          <w:rFonts w:ascii="Times New Roman" w:hAnsi="Times New Roman" w:cs="Times New Roman"/>
          <w:b/>
          <w:bCs/>
          <w:sz w:val="24"/>
          <w:szCs w:val="24"/>
        </w:rPr>
        <w:t>a</w:t>
      </w:r>
      <w:r w:rsidRPr="00633318">
        <w:rPr>
          <w:rFonts w:ascii="Times New Roman" w:hAnsi="Times New Roman" w:cs="Times New Roman"/>
          <w:b/>
          <w:bCs/>
          <w:sz w:val="24"/>
          <w:szCs w:val="24"/>
        </w:rPr>
        <w:t>)</w:t>
      </w:r>
    </w:p>
    <w:p w14:paraId="1A66A016"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[6.1.] Uwagi ogólne</w:t>
      </w:r>
    </w:p>
    <w:p w14:paraId="1B1F2066" w14:textId="62D8204B" w:rsidR="00DD7588" w:rsidRPr="00633318" w:rsidRDefault="00DD7588" w:rsidP="00DD7588">
      <w:pPr>
        <w:jc w:val="both"/>
        <w:rPr>
          <w:rFonts w:ascii="Times New Roman" w:hAnsi="Times New Roman" w:cs="Times New Roman"/>
          <w:sz w:val="24"/>
          <w:szCs w:val="24"/>
        </w:rPr>
      </w:pPr>
      <w:r w:rsidRPr="00633318">
        <w:rPr>
          <w:rFonts w:ascii="Times New Roman" w:hAnsi="Times New Roman" w:cs="Times New Roman"/>
          <w:sz w:val="24"/>
          <w:szCs w:val="24"/>
        </w:rPr>
        <w:t>Wniosek o wydanie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 xml:space="preserve">podlegać będzie dwóm opłatom: opłacie wstępnej w stałej wysokości oraz opłacie głównej, której wysokość uzależniona jest w szczególności od </w:t>
      </w:r>
      <w:r w:rsidR="00067BDA" w:rsidRPr="00633318">
        <w:rPr>
          <w:rFonts w:ascii="Times New Roman" w:hAnsi="Times New Roman" w:cs="Times New Roman"/>
          <w:sz w:val="24"/>
          <w:szCs w:val="24"/>
        </w:rPr>
        <w:t>treści wniosku, w szczególności stopnia skomplikowania wniosku, liczby poruszonych zagadnień i przedstawionych czynności oraz konieczności występowania o opinię do innych organów.</w:t>
      </w:r>
    </w:p>
    <w:p w14:paraId="2E1494EC" w14:textId="2A72882B"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przypadku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opłata jest konieczna ze względu na</w:t>
      </w:r>
      <w:r w:rsidR="00DD7588" w:rsidRPr="00633318">
        <w:rPr>
          <w:rFonts w:ascii="Times New Roman" w:hAnsi="Times New Roman" w:cs="Times New Roman"/>
          <w:sz w:val="24"/>
          <w:szCs w:val="24"/>
        </w:rPr>
        <w:t xml:space="preserve"> wyjątkowo</w:t>
      </w:r>
      <w:r w:rsidR="00067BDA" w:rsidRPr="00633318">
        <w:rPr>
          <w:rFonts w:ascii="Times New Roman" w:hAnsi="Times New Roman" w:cs="Times New Roman"/>
          <w:sz w:val="24"/>
          <w:szCs w:val="24"/>
        </w:rPr>
        <w:t xml:space="preserve"> wysokie</w:t>
      </w:r>
      <w:r w:rsidRPr="00633318">
        <w:rPr>
          <w:rFonts w:ascii="Times New Roman" w:hAnsi="Times New Roman" w:cs="Times New Roman"/>
          <w:sz w:val="24"/>
          <w:szCs w:val="24"/>
        </w:rPr>
        <w:t xml:space="preserve"> koszty prowadzenia postępowania, w tym konieczność utworzenia i utrzymania: wyspecjalizowanego wydziału w KIS, wyspecjalizowanego wydziału w KAS oraz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w:t>
      </w:r>
      <w:r w:rsidR="009236B9" w:rsidRPr="00633318">
        <w:rPr>
          <w:rFonts w:ascii="Times New Roman" w:hAnsi="Times New Roman" w:cs="Times New Roman"/>
          <w:sz w:val="24"/>
          <w:szCs w:val="24"/>
        </w:rPr>
        <w:t xml:space="preserve">Opodatkowania </w:t>
      </w:r>
      <w:r w:rsidRPr="00633318">
        <w:rPr>
          <w:rFonts w:ascii="Times New Roman" w:hAnsi="Times New Roman" w:cs="Times New Roman"/>
          <w:sz w:val="24"/>
          <w:szCs w:val="24"/>
        </w:rPr>
        <w:t>Wyrównawczego. Ze względu na specyfikę podatku wyrównawczego, wnioski o wydanie opinii w sprawie opodatkowania wyrównawczego mogą zawierać rozbudowane informacje o zdarzeniach przyszłych, które dotyczyć będzie kilku lub nawet kilkunastu jednostek składowych. Zakłada się więc, że będą to wnioski obszerne, opisujące liczne zagadnienia i wątpliwości powstałe na skutek złożonych przepisów prawa podatkowego, standardów rachunkowości, wytycznych OECD, a nawet prawa obowiązującego w innych krajach.</w:t>
      </w:r>
    </w:p>
    <w:p w14:paraId="66A1F62D" w14:textId="6172BA2A"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Jednocześnie, zakładane wysokości opłat nie powinny stanowić nadmiernego obciążenia dla adresatów instrumentu, jakim jest opini</w:t>
      </w:r>
      <w:r w:rsidR="00DD7588" w:rsidRPr="00633318">
        <w:rPr>
          <w:rFonts w:ascii="Times New Roman" w:hAnsi="Times New Roman" w:cs="Times New Roman"/>
          <w:sz w:val="24"/>
          <w:szCs w:val="24"/>
        </w:rPr>
        <w:t>a</w:t>
      </w:r>
      <w:r w:rsidRPr="00633318">
        <w:rPr>
          <w:rFonts w:ascii="Times New Roman" w:hAnsi="Times New Roman" w:cs="Times New Roman"/>
          <w:sz w:val="24"/>
          <w:szCs w:val="24"/>
        </w:rPr>
        <w:t xml:space="preserve"> w sprawie opodatkowania wyrównawczego. Rozwiązanie to jest bowiem skierowane do podmiotów będących w dobrej kondycji finansowej, które często mają dominującą pozycję na rynku. Obie opłaty stanowić będą dochód budżetu państwa. </w:t>
      </w:r>
    </w:p>
    <w:p w14:paraId="6E6E1162"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[6.2.] Opłata wstępna</w:t>
      </w:r>
    </w:p>
    <w:p w14:paraId="0F9DD22B" w14:textId="095CB620"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Opłata wstępna będzie wnoszona na rachunek Krajowej Informacji Skarbowej w terminie 7 dni od dnia złożenia wniosku o wydanie opinii w sprawie opodatkowania wyrównawczego. W przypadku nieuiszczenia w terminie opłaty wstępnej wniosek zostanie pozostawiony bez rozpatrzenia w drodze postanowienia, na które służy zażalenie. Opłata wstępna będzie w stałej, ustawowo określonej wysokości, wynoszącej </w:t>
      </w:r>
      <w:r w:rsidR="00DD7588" w:rsidRPr="00633318">
        <w:rPr>
          <w:rFonts w:ascii="Times New Roman" w:hAnsi="Times New Roman" w:cs="Times New Roman"/>
          <w:sz w:val="24"/>
          <w:szCs w:val="24"/>
        </w:rPr>
        <w:t>1</w:t>
      </w:r>
      <w:r w:rsidRPr="00633318">
        <w:rPr>
          <w:rFonts w:ascii="Times New Roman" w:hAnsi="Times New Roman" w:cs="Times New Roman"/>
          <w:sz w:val="24"/>
          <w:szCs w:val="24"/>
        </w:rPr>
        <w:t xml:space="preserve">5 000 zł. </w:t>
      </w:r>
    </w:p>
    <w:p w14:paraId="34946EF3" w14:textId="21E163ED"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Zwrot opłaty wstępnej może nastąpić jedynie w przypadkach określonych w projektowanej ustawie. Opłata wstępna zostanie w całości zwrócona w przypadku uiszczenia jej przez podmiot niebędący zainteresowanym w rozumieniu art. 14t. Z uwagi na to, że przepisy ustawy o opodatkowaniu wyrównawczym są zupełnie nowym rozwiązaniem na gruncie polskiego systemu prawa podatkowego, </w:t>
      </w:r>
      <w:r w:rsidR="00837424" w:rsidRPr="00633318">
        <w:rPr>
          <w:rFonts w:ascii="Times New Roman" w:hAnsi="Times New Roman" w:cs="Times New Roman"/>
          <w:sz w:val="24"/>
          <w:szCs w:val="24"/>
        </w:rPr>
        <w:t xml:space="preserve">nieuniknione są </w:t>
      </w:r>
      <w:r w:rsidRPr="00633318">
        <w:rPr>
          <w:rFonts w:ascii="Times New Roman" w:hAnsi="Times New Roman" w:cs="Times New Roman"/>
          <w:sz w:val="24"/>
          <w:szCs w:val="24"/>
        </w:rPr>
        <w:t xml:space="preserve">trudności w stosowaniu jej przepisów. W szczególności problematyczne może okazać się określenie funkcji danej jednostki składowej np. w kontekście prawa do reprezentowania pozostałych jednostek składowych. W przypadku pomyłki co do właściwego zainteresowanego występującego z wnioskiem, nie jest zasadne, by podatnik ponosił w tej sytuacji konsekwencje finansowe. </w:t>
      </w:r>
    </w:p>
    <w:p w14:paraId="3D712403" w14:textId="0425E951"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Należy wskazać, że w związku z jednoznacznym określeniem sytuacji, w której może dojść do zwrotu opłaty, nie będzie możliwe otrzymanie tego zwrotu w sytuacjach takich jak wycofanie wniosku przez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lub pozostawienie wniosku bez rozpatrzenia z uwagi na przekroczenie terminu na uzupełnienie dokumentów i informacji przedstawionych we wniosku w związku z wezwaniem Dyrektora KIS. Projektodawca zakłada, że ze względu na charakter podmiotów zainteresowanych uzyskaniem opinii (jednostki składowe dużych grup kapitałowych), decyzje co do ubiegania się o wydanie opinii zapadać będą w sposób przemyślany a sam </w:t>
      </w:r>
      <w:r w:rsidR="00472CD9" w:rsidRPr="00633318">
        <w:rPr>
          <w:rFonts w:ascii="Times New Roman" w:hAnsi="Times New Roman" w:cs="Times New Roman"/>
          <w:sz w:val="24"/>
          <w:szCs w:val="24"/>
        </w:rPr>
        <w:t>zainteresowany</w:t>
      </w:r>
      <w:r w:rsidRPr="00633318">
        <w:rPr>
          <w:rFonts w:ascii="Times New Roman" w:hAnsi="Times New Roman" w:cs="Times New Roman"/>
          <w:sz w:val="24"/>
          <w:szCs w:val="24"/>
        </w:rPr>
        <w:t xml:space="preserve"> dochowa należytej staranności w zakresie współpracy z organem w procesie wydawania wniosku.</w:t>
      </w:r>
    </w:p>
    <w:p w14:paraId="387F68B9"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[6.3.] Opłata główna</w:t>
      </w:r>
    </w:p>
    <w:p w14:paraId="5056CB20" w14:textId="06DEA860"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Wysokość opłaty głównej zostanie ustalona przez Dyrektora KIS</w:t>
      </w:r>
      <w:r w:rsidR="00EF3C65" w:rsidRPr="00633318">
        <w:rPr>
          <w:rFonts w:ascii="Times New Roman" w:hAnsi="Times New Roman" w:cs="Times New Roman"/>
          <w:sz w:val="24"/>
          <w:szCs w:val="24"/>
        </w:rPr>
        <w:t xml:space="preserve"> w postanowieniu, na które będzie służyć zażalenie. </w:t>
      </w:r>
      <w:r w:rsidRPr="00633318">
        <w:rPr>
          <w:rFonts w:ascii="Times New Roman" w:hAnsi="Times New Roman" w:cs="Times New Roman"/>
          <w:sz w:val="24"/>
          <w:szCs w:val="24"/>
        </w:rPr>
        <w:t xml:space="preserve">Przy ustaleniu wysokości opłaty głównej uwzględniać się będzie w szczególności stopień skomplikowania wniosku, liczby poruszonych zagadnień i przedstawionych czynności oraz koszty poniesione przy sporządzaniu opinii. Warunki takie podyktowane są kosztowną procedurą rozpatrywania wniosku. Skomplikowany wniosek może powodować m. in. z konieczność zaangażowania zwiększonych sił kadrowych, weryfikacji wielu wątków, wystąpień do wielu organów podatkowych oraz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w:t>
      </w:r>
      <w:r w:rsidR="009236B9" w:rsidRPr="00633318">
        <w:rPr>
          <w:rFonts w:ascii="Times New Roman" w:hAnsi="Times New Roman" w:cs="Times New Roman"/>
          <w:sz w:val="24"/>
          <w:szCs w:val="24"/>
        </w:rPr>
        <w:t>Opodatkowania</w:t>
      </w:r>
      <w:r w:rsidR="001B7BD1"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Wyrównawczego. Czynności te wpływają bezpośrednio na czas rozpatrywania wniosku a tym samym na jego koszt. Jednocześnie przyjęto odformalizowany tryb ustalania wysokości opłaty z uwagi na to, że zasięganie opinii Rady jest dobrowolne, a przy tym sama procedura nie jest postępowaniem podatkowym. Istotna jest również ekonomika postępowania z uwagi na fakt, że opinie wydawać będzie jeden organ w skali całego kraju. Aby zapewnić zainteresowanym bezpieczeństwo finansowe i umożliwić oszacowanie maksymalnego kosztu opłaty, z jakim powinni się liczyć, projektowana ustawa przewiduje górny limit opłaty głównej, wynoszący 50 000 zł, przy czym opłata główna nie będzie niższa niż 15 000 zł. </w:t>
      </w:r>
    </w:p>
    <w:p w14:paraId="6929B33F" w14:textId="47994470" w:rsidR="00EF3C65" w:rsidRPr="00633318" w:rsidRDefault="00EF3C65"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Opłata główna będzie wnoszona na rachunek Krajowej Informacji Skarbowej w terminie 14 dni, licząc od dnia, w którym postanowienie w sprawie wysokości opłaty głównej stanie się ostateczne. Taka redakcja przepisu uwzględnia zatem również sytuację, w której wnioskodawca złoży zażalenie.   </w:t>
      </w:r>
      <w:r w:rsidR="00837424" w:rsidRPr="00633318">
        <w:rPr>
          <w:rFonts w:ascii="Times New Roman" w:hAnsi="Times New Roman" w:cs="Times New Roman"/>
          <w:sz w:val="24"/>
          <w:szCs w:val="24"/>
        </w:rPr>
        <w:t xml:space="preserve"> </w:t>
      </w:r>
    </w:p>
    <w:p w14:paraId="2CBB697C" w14:textId="3895E2C7"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przypadku nieuiszczenia w terminie opłaty głównej wniosek pozostawia się bez rozpatrzenia w drodze postanowienia, na które służy zażalenie. Zaznaczono w ten sposób prawo zainteresowanego (wnioskodawcy) do weryfikacji przez sąd przyczyny niewydania opinii.  </w:t>
      </w:r>
    </w:p>
    <w:p w14:paraId="2CCA923D" w14:textId="77777777"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Opłata główna podlegać będzie zwrotowi wyłącznie w przypadku uiszczenia jej w kwocie wyższej od należnej (czyli podanej w wezwaniu) – w odpowiedniej części. W tej fazie procedowania wniosku nie występuje bowiem ryzyko przypadkowego wniesienia opłaty przez nieodpowiedni podmiot, tak jak ma to miejsce w przypadku opłaty wstępnej. </w:t>
      </w:r>
    </w:p>
    <w:p w14:paraId="7258FFFB" w14:textId="77777777"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Podobnie jak ma to miejsce w zakresie przepisu dot. zwrotu opłaty wstępnej, poprzez zastosowanie sformułowania „wyłącznie w przypadku” wyraźnie wskazuje się na brak możliwości zwrotu opłaty głównej w jakichkolwiek innych sytuacjach niż opisana w omawianym przepisie.</w:t>
      </w:r>
    </w:p>
    <w:p w14:paraId="34D0BBC4" w14:textId="79B0E1E7"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Termin wydania (art. 14z</w:t>
      </w:r>
      <w:r w:rsidR="00F77841" w:rsidRPr="00633318">
        <w:rPr>
          <w:rFonts w:ascii="Times New Roman" w:hAnsi="Times New Roman" w:cs="Times New Roman"/>
          <w:b/>
          <w:bCs/>
          <w:sz w:val="24"/>
          <w:szCs w:val="24"/>
        </w:rPr>
        <w:t>b</w:t>
      </w:r>
      <w:r w:rsidRPr="00633318">
        <w:rPr>
          <w:rFonts w:ascii="Times New Roman" w:hAnsi="Times New Roman" w:cs="Times New Roman"/>
          <w:b/>
          <w:bCs/>
          <w:sz w:val="24"/>
          <w:szCs w:val="24"/>
        </w:rPr>
        <w:t>)</w:t>
      </w:r>
    </w:p>
    <w:p w14:paraId="46C01C5A" w14:textId="36B4F439"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Projekt przewiduje, że opinia w sprawie opodatkowania wyrównawczego</w:t>
      </w:r>
      <w:r w:rsidR="002F5DB3" w:rsidRPr="00633318">
        <w:rPr>
          <w:rFonts w:ascii="Times New Roman" w:hAnsi="Times New Roman" w:cs="Times New Roman"/>
          <w:sz w:val="24"/>
          <w:szCs w:val="24"/>
        </w:rPr>
        <w:t xml:space="preserve"> </w:t>
      </w:r>
      <w:r w:rsidRPr="00633318">
        <w:rPr>
          <w:rFonts w:ascii="Times New Roman" w:hAnsi="Times New Roman" w:cs="Times New Roman"/>
          <w:sz w:val="24"/>
          <w:szCs w:val="24"/>
        </w:rPr>
        <w:t>wydawan</w:t>
      </w:r>
      <w:r w:rsidR="00C45A48" w:rsidRPr="00633318">
        <w:rPr>
          <w:rFonts w:ascii="Times New Roman" w:hAnsi="Times New Roman" w:cs="Times New Roman"/>
          <w:sz w:val="24"/>
          <w:szCs w:val="24"/>
        </w:rPr>
        <w:t>a</w:t>
      </w:r>
      <w:r w:rsidRPr="00633318">
        <w:rPr>
          <w:rFonts w:ascii="Times New Roman" w:hAnsi="Times New Roman" w:cs="Times New Roman"/>
          <w:sz w:val="24"/>
          <w:szCs w:val="24"/>
        </w:rPr>
        <w:t xml:space="preserve"> będ</w:t>
      </w:r>
      <w:r w:rsidR="00C45A48" w:rsidRPr="00633318">
        <w:rPr>
          <w:rFonts w:ascii="Times New Roman" w:hAnsi="Times New Roman" w:cs="Times New Roman"/>
          <w:sz w:val="24"/>
          <w:szCs w:val="24"/>
        </w:rPr>
        <w:t>zie</w:t>
      </w:r>
      <w:r w:rsidRPr="00633318">
        <w:rPr>
          <w:rFonts w:ascii="Times New Roman" w:hAnsi="Times New Roman" w:cs="Times New Roman"/>
          <w:sz w:val="24"/>
          <w:szCs w:val="24"/>
        </w:rPr>
        <w:t xml:space="preserve"> bez zbędnej zwłoki. </w:t>
      </w:r>
      <w:r w:rsidR="00837424" w:rsidRPr="00633318">
        <w:rPr>
          <w:rFonts w:ascii="Times New Roman" w:hAnsi="Times New Roman" w:cs="Times New Roman"/>
          <w:sz w:val="24"/>
          <w:szCs w:val="24"/>
        </w:rPr>
        <w:t>Niemniej konieczne było określenie terminu maksymalnego</w:t>
      </w:r>
      <w:r w:rsidR="002F5DB3" w:rsidRPr="00633318">
        <w:rPr>
          <w:rFonts w:ascii="Times New Roman" w:hAnsi="Times New Roman" w:cs="Times New Roman"/>
          <w:sz w:val="24"/>
          <w:szCs w:val="24"/>
        </w:rPr>
        <w:t xml:space="preserve"> na wydanie opinii</w:t>
      </w:r>
      <w:r w:rsidR="00837424" w:rsidRPr="00633318">
        <w:rPr>
          <w:rFonts w:ascii="Times New Roman" w:hAnsi="Times New Roman" w:cs="Times New Roman"/>
          <w:sz w:val="24"/>
          <w:szCs w:val="24"/>
        </w:rPr>
        <w:t xml:space="preserve">, który wyniesie </w:t>
      </w:r>
      <w:r w:rsidR="001B7BD1" w:rsidRPr="00633318">
        <w:rPr>
          <w:rFonts w:ascii="Times New Roman" w:hAnsi="Times New Roman" w:cs="Times New Roman"/>
          <w:sz w:val="24"/>
          <w:szCs w:val="24"/>
        </w:rPr>
        <w:t>8</w:t>
      </w:r>
      <w:r w:rsidR="00837424" w:rsidRPr="00633318">
        <w:rPr>
          <w:rFonts w:ascii="Times New Roman" w:hAnsi="Times New Roman" w:cs="Times New Roman"/>
          <w:sz w:val="24"/>
          <w:szCs w:val="24"/>
        </w:rPr>
        <w:t xml:space="preserve"> miesięcy. Maksymalny termin powinien dotyczyć spraw o największym stopniu skomplikowania. </w:t>
      </w:r>
      <w:r w:rsidRPr="00633318">
        <w:rPr>
          <w:rFonts w:ascii="Times New Roman" w:hAnsi="Times New Roman" w:cs="Times New Roman"/>
          <w:sz w:val="24"/>
          <w:szCs w:val="24"/>
        </w:rPr>
        <w:t xml:space="preserve"> Jednakże, od powyższej zasady istnieją pewne uzasadnione prawem wyjątki. Do powyższych terminów nie wlicza się terminów i okresów, o których mowa w art. 139 § 4 (terminy przewidziane w przepisach prawa podatkowego dla dokonania określonych czynności, okresy zawieszenia postępowania oraz okresy opóźnień spowodowanych z winy strony albo z przyczyn niezależnych od organu), w art. 14z</w:t>
      </w:r>
      <w:r w:rsidR="00F77841" w:rsidRPr="00633318">
        <w:rPr>
          <w:rFonts w:ascii="Times New Roman" w:hAnsi="Times New Roman" w:cs="Times New Roman"/>
          <w:sz w:val="24"/>
          <w:szCs w:val="24"/>
        </w:rPr>
        <w:t>g</w:t>
      </w:r>
      <w:r w:rsidRPr="00633318">
        <w:rPr>
          <w:rFonts w:ascii="Times New Roman" w:hAnsi="Times New Roman" w:cs="Times New Roman"/>
          <w:sz w:val="24"/>
          <w:szCs w:val="24"/>
        </w:rPr>
        <w:t xml:space="preserve"> § 4 (termin wydania opinii przez Radę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Podatku Wyrównawczego), art. 14z</w:t>
      </w:r>
      <w:r w:rsidR="00F77841" w:rsidRPr="00633318">
        <w:rPr>
          <w:rFonts w:ascii="Times New Roman" w:hAnsi="Times New Roman" w:cs="Times New Roman"/>
          <w:sz w:val="24"/>
          <w:szCs w:val="24"/>
        </w:rPr>
        <w:t>h</w:t>
      </w:r>
      <w:r w:rsidRPr="00633318">
        <w:rPr>
          <w:rFonts w:ascii="Times New Roman" w:hAnsi="Times New Roman" w:cs="Times New Roman"/>
          <w:sz w:val="24"/>
          <w:szCs w:val="24"/>
        </w:rPr>
        <w:t xml:space="preserve"> § </w:t>
      </w:r>
      <w:r w:rsidR="001B320A" w:rsidRPr="00633318">
        <w:rPr>
          <w:rFonts w:ascii="Times New Roman" w:hAnsi="Times New Roman" w:cs="Times New Roman"/>
          <w:sz w:val="24"/>
          <w:szCs w:val="24"/>
        </w:rPr>
        <w:t>3</w:t>
      </w:r>
      <w:r w:rsidRPr="00633318">
        <w:rPr>
          <w:rFonts w:ascii="Times New Roman" w:hAnsi="Times New Roman" w:cs="Times New Roman"/>
          <w:sz w:val="24"/>
          <w:szCs w:val="24"/>
        </w:rPr>
        <w:t xml:space="preserve"> (termin wydania opinii przez inny organ) oraz dni, w których wystąpiła awaria e-Urzędu Skarbowego, w przypadku, o którym mowa w art. 35e ust. 4a ustawy z dnia 16 listopada 2016 r. o Krajowej Administracji Skarbowej.</w:t>
      </w:r>
    </w:p>
    <w:p w14:paraId="530C93D8" w14:textId="3909447E"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Sposób procedowania (art. 14z</w:t>
      </w:r>
      <w:r w:rsidR="00837424" w:rsidRPr="00633318">
        <w:rPr>
          <w:rFonts w:ascii="Times New Roman" w:hAnsi="Times New Roman" w:cs="Times New Roman"/>
          <w:b/>
          <w:bCs/>
          <w:sz w:val="24"/>
          <w:szCs w:val="24"/>
        </w:rPr>
        <w:t>c</w:t>
      </w:r>
      <w:r w:rsidRPr="00633318">
        <w:rPr>
          <w:rFonts w:ascii="Times New Roman" w:hAnsi="Times New Roman" w:cs="Times New Roman"/>
          <w:b/>
          <w:bCs/>
          <w:sz w:val="24"/>
          <w:szCs w:val="24"/>
        </w:rPr>
        <w:t>)</w:t>
      </w:r>
    </w:p>
    <w:p w14:paraId="1E892E32" w14:textId="6A23DB21" w:rsidR="00837424" w:rsidRPr="00633318" w:rsidRDefault="002C7C46"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 uwagi na cyfrowy rozwój administracji publicznej, </w:t>
      </w:r>
      <w:r w:rsidR="00837424" w:rsidRPr="00633318">
        <w:rPr>
          <w:rFonts w:ascii="Times New Roman" w:hAnsi="Times New Roman" w:cs="Times New Roman"/>
          <w:sz w:val="24"/>
          <w:szCs w:val="24"/>
        </w:rPr>
        <w:t>obligatoryjnym sposobem komunikacji z organami podatkowymi ma być platforma e-Urząd Skarbowy. Dlatego też projekt zakłada, że pisma w sprawie opinii w sprawie opodatkowania wyrównawczego</w:t>
      </w:r>
      <w:r w:rsidR="00837424" w:rsidRPr="00633318" w:rsidDel="00A76BB4">
        <w:rPr>
          <w:rFonts w:ascii="Times New Roman" w:hAnsi="Times New Roman" w:cs="Times New Roman"/>
          <w:sz w:val="24"/>
          <w:szCs w:val="24"/>
        </w:rPr>
        <w:t xml:space="preserve"> </w:t>
      </w:r>
      <w:r w:rsidR="00837424" w:rsidRPr="00633318">
        <w:rPr>
          <w:rFonts w:ascii="Times New Roman" w:hAnsi="Times New Roman" w:cs="Times New Roman"/>
          <w:sz w:val="24"/>
          <w:szCs w:val="24"/>
        </w:rPr>
        <w:t>będą składane i doręczane wyłącznie za pośrednictwem konta w e-Urzędzie Skarbowym. W kręgu adresatów przepisów o opinii w sprawie opodatkowania wyrównawczego</w:t>
      </w:r>
      <w:r w:rsidR="00837424" w:rsidRPr="00633318" w:rsidDel="00A76BB4">
        <w:rPr>
          <w:rFonts w:ascii="Times New Roman" w:hAnsi="Times New Roman" w:cs="Times New Roman"/>
          <w:sz w:val="24"/>
          <w:szCs w:val="24"/>
        </w:rPr>
        <w:t xml:space="preserve"> </w:t>
      </w:r>
      <w:r w:rsidR="00837424" w:rsidRPr="00633318">
        <w:rPr>
          <w:rFonts w:ascii="Times New Roman" w:hAnsi="Times New Roman" w:cs="Times New Roman"/>
          <w:sz w:val="24"/>
          <w:szCs w:val="24"/>
        </w:rPr>
        <w:t xml:space="preserve">znajdują się duże podmioty posiadające odpowiednie zaplecze obsługi prawnej i doradczej, w tym pełnomocników do spraw podatkowych, jak również wysokie możliwości technologiczne. Nie są to więc podmioty wykluczone cyfrowo a obligatoryjny sposób komunikacji elektronicznej będzie sprzyjał szybkości i sprawności załatwienia sprawy, zainicjowanej wnioskiem o wydanie opinii. </w:t>
      </w:r>
    </w:p>
    <w:p w14:paraId="59C6BC2F" w14:textId="448264C7" w:rsidR="002C7C46"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Jednakże od powyższej zasady będzie można odstąpić w uzasadnionych sytuacjach. W sytuacji bowiem wystąpienia okoliczności uniemożliwiających Dyrektorowi KIS doręczenie pisma na konto w e-Urzędzie Skarbowym, pismo będzie mogło zostać doręczone na zasadach ogólnych (zgodnie z art. 35e ust. 9 ustawy z dnia 16 listopada 2016 r. o Krajowej Administracji Skarbowej). Ponadto, dokumenty, które nie będą mogły być dostarczone za pośrednictwem konta w e-Urzędzie Skarbowym lub których dostarczenie w postaci fizycznej jest niezbędne do rozpatrzenia wniosku o wydanie opinii w sprawie opodatkowania wyrównawczego</w:t>
      </w:r>
      <w:r w:rsidRPr="00633318" w:rsidDel="00A76BB4">
        <w:rPr>
          <w:rFonts w:ascii="Times New Roman" w:hAnsi="Times New Roman" w:cs="Times New Roman"/>
          <w:sz w:val="24"/>
          <w:szCs w:val="24"/>
        </w:rPr>
        <w:t xml:space="preserve"> </w:t>
      </w:r>
      <w:r w:rsidRPr="00633318">
        <w:rPr>
          <w:rFonts w:ascii="Times New Roman" w:hAnsi="Times New Roman" w:cs="Times New Roman"/>
          <w:sz w:val="24"/>
          <w:szCs w:val="24"/>
        </w:rPr>
        <w:t>będą mogły być również dostarczane na zasadach ogólnych, czyli</w:t>
      </w:r>
      <w:r w:rsidR="002F5DB3" w:rsidRPr="00633318">
        <w:rPr>
          <w:rFonts w:ascii="Times New Roman" w:hAnsi="Times New Roman" w:cs="Times New Roman"/>
          <w:sz w:val="24"/>
          <w:szCs w:val="24"/>
        </w:rPr>
        <w:t xml:space="preserve"> </w:t>
      </w:r>
      <w:r w:rsidR="00AC2CC6" w:rsidRPr="00633318">
        <w:rPr>
          <w:rFonts w:ascii="Times New Roman" w:hAnsi="Times New Roman" w:cs="Times New Roman"/>
          <w:sz w:val="24"/>
          <w:szCs w:val="24"/>
        </w:rPr>
        <w:t>przewidzianych w art. 144 § 1a i 1b</w:t>
      </w:r>
      <w:r w:rsidR="002C7C46" w:rsidRPr="00633318">
        <w:rPr>
          <w:rFonts w:ascii="Times New Roman" w:hAnsi="Times New Roman" w:cs="Times New Roman"/>
          <w:sz w:val="24"/>
          <w:szCs w:val="24"/>
        </w:rPr>
        <w:t xml:space="preserve">. </w:t>
      </w:r>
    </w:p>
    <w:p w14:paraId="382E2F1E" w14:textId="5960FD35" w:rsidR="002C7C46" w:rsidRPr="00633318" w:rsidRDefault="00AC2CC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 </w:t>
      </w:r>
      <w:r w:rsidR="002C7C46" w:rsidRPr="00633318">
        <w:rPr>
          <w:rFonts w:ascii="Times New Roman" w:hAnsi="Times New Roman" w:cs="Times New Roman"/>
          <w:b/>
          <w:bCs/>
          <w:sz w:val="24"/>
          <w:szCs w:val="24"/>
        </w:rPr>
        <w:t>Zmiana i uchylenie opinii w sprawie opodatkowania wyrównawczego</w:t>
      </w:r>
      <w:r w:rsidR="002C7C46" w:rsidRPr="00633318" w:rsidDel="00E20688">
        <w:rPr>
          <w:rFonts w:ascii="Times New Roman" w:hAnsi="Times New Roman" w:cs="Times New Roman"/>
          <w:b/>
          <w:bCs/>
          <w:sz w:val="24"/>
          <w:szCs w:val="24"/>
        </w:rPr>
        <w:t xml:space="preserve"> </w:t>
      </w:r>
      <w:r w:rsidR="002C7C46" w:rsidRPr="00633318">
        <w:rPr>
          <w:rFonts w:ascii="Times New Roman" w:hAnsi="Times New Roman" w:cs="Times New Roman"/>
          <w:b/>
          <w:bCs/>
          <w:sz w:val="24"/>
          <w:szCs w:val="24"/>
        </w:rPr>
        <w:t>(art. 14z</w:t>
      </w:r>
      <w:r w:rsidR="00837424" w:rsidRPr="00633318">
        <w:rPr>
          <w:rFonts w:ascii="Times New Roman" w:hAnsi="Times New Roman" w:cs="Times New Roman"/>
          <w:b/>
          <w:bCs/>
          <w:sz w:val="24"/>
          <w:szCs w:val="24"/>
        </w:rPr>
        <w:t>d</w:t>
      </w:r>
      <w:r w:rsidR="002C7C46" w:rsidRPr="00633318">
        <w:rPr>
          <w:rFonts w:ascii="Times New Roman" w:hAnsi="Times New Roman" w:cs="Times New Roman"/>
          <w:b/>
          <w:bCs/>
          <w:sz w:val="24"/>
          <w:szCs w:val="24"/>
        </w:rPr>
        <w:t>)</w:t>
      </w:r>
    </w:p>
    <w:p w14:paraId="5ED255C8" w14:textId="7EDE8EE4"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Podobnie jak inne instrumenty interpretacyjne, tj. interpretacje indywidualne, WIS czy WIA, projektowana opinia w sprawie opodatkowania wyrównawczego</w:t>
      </w:r>
      <w:r w:rsidRPr="00633318" w:rsidDel="00A76BB4">
        <w:rPr>
          <w:rFonts w:ascii="Times New Roman" w:hAnsi="Times New Roman" w:cs="Times New Roman"/>
          <w:sz w:val="24"/>
          <w:szCs w:val="24"/>
        </w:rPr>
        <w:t xml:space="preserve"> </w:t>
      </w:r>
      <w:r w:rsidRPr="00633318">
        <w:rPr>
          <w:rFonts w:ascii="Times New Roman" w:hAnsi="Times New Roman" w:cs="Times New Roman"/>
          <w:sz w:val="24"/>
          <w:szCs w:val="24"/>
        </w:rPr>
        <w:t xml:space="preserve">będzie mogła zostać zmieniona w przypadku stwierdzenia jej nieprawidłowości, w szczególności niezgodności z orzecznictwem sądów, Trybunału Konstytucyjnego lub Trybunału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iedliwości Unii Europejskiej. W tym kontekście nieprawidłowość należy rozumieć szeroko, jako każdą wadliwość opinii w sprawie opodatkowania wyrównawczego</w:t>
      </w:r>
      <w:r w:rsidRPr="00633318" w:rsidDel="00A76BB4">
        <w:rPr>
          <w:rFonts w:ascii="Times New Roman" w:hAnsi="Times New Roman" w:cs="Times New Roman"/>
          <w:sz w:val="24"/>
          <w:szCs w:val="24"/>
        </w:rPr>
        <w:t xml:space="preserve"> </w:t>
      </w:r>
      <w:r w:rsidRPr="00633318">
        <w:rPr>
          <w:rFonts w:ascii="Times New Roman" w:hAnsi="Times New Roman" w:cs="Times New Roman"/>
          <w:sz w:val="24"/>
          <w:szCs w:val="24"/>
        </w:rPr>
        <w:t>uzasadniającą jej zmianę. Przykładowo, opinia w sprawie opodatkowania wyrównawczego</w:t>
      </w:r>
      <w:r w:rsidRPr="00633318" w:rsidDel="00A76BB4">
        <w:rPr>
          <w:rFonts w:ascii="Times New Roman" w:hAnsi="Times New Roman" w:cs="Times New Roman"/>
          <w:sz w:val="24"/>
          <w:szCs w:val="24"/>
        </w:rPr>
        <w:t xml:space="preserve"> </w:t>
      </w:r>
      <w:r w:rsidRPr="00633318">
        <w:rPr>
          <w:rFonts w:ascii="Times New Roman" w:hAnsi="Times New Roman" w:cs="Times New Roman"/>
          <w:sz w:val="24"/>
          <w:szCs w:val="24"/>
        </w:rPr>
        <w:t xml:space="preserve">może zostać uznana za nieprawidłową w związku z wykształceniem się jednolitej linii orzeczniczej NSA lub </w:t>
      </w:r>
      <w:r w:rsidR="00837424" w:rsidRPr="00633318">
        <w:rPr>
          <w:rFonts w:ascii="Times New Roman" w:hAnsi="Times New Roman" w:cs="Times New Roman"/>
          <w:sz w:val="24"/>
          <w:szCs w:val="24"/>
        </w:rPr>
        <w:t xml:space="preserve">wydaniem wyroku TSUE –  </w:t>
      </w:r>
      <w:r w:rsidRPr="00633318">
        <w:rPr>
          <w:rFonts w:ascii="Times New Roman" w:hAnsi="Times New Roman" w:cs="Times New Roman"/>
          <w:sz w:val="24"/>
          <w:szCs w:val="24"/>
        </w:rPr>
        <w:t>pozostających w sprzeczności z treścią opinii w sprawie opodatkowania wyrównawczego. Opinia w sprawie opodatkowania wyrównawczego</w:t>
      </w:r>
      <w:r w:rsidRPr="00633318" w:rsidDel="00785FF3">
        <w:rPr>
          <w:rFonts w:ascii="Times New Roman" w:hAnsi="Times New Roman" w:cs="Times New Roman"/>
          <w:sz w:val="24"/>
          <w:szCs w:val="24"/>
        </w:rPr>
        <w:t xml:space="preserve"> </w:t>
      </w:r>
      <w:r w:rsidRPr="00633318">
        <w:rPr>
          <w:rFonts w:ascii="Times New Roman" w:hAnsi="Times New Roman" w:cs="Times New Roman"/>
          <w:sz w:val="24"/>
          <w:szCs w:val="24"/>
        </w:rPr>
        <w:t>może zostać uznana za nieprawidłową także w przypadku stwierdzenia niezgodności przepisów z Konstytucją.</w:t>
      </w:r>
    </w:p>
    <w:p w14:paraId="4631C939" w14:textId="10929482"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Organem właściwym do zmiany opinii w sprawie opodatkowania wyrównawczego</w:t>
      </w:r>
      <w:r w:rsidRPr="00633318" w:rsidDel="00785FF3">
        <w:rPr>
          <w:rFonts w:ascii="Times New Roman" w:hAnsi="Times New Roman" w:cs="Times New Roman"/>
          <w:sz w:val="24"/>
          <w:szCs w:val="24"/>
        </w:rPr>
        <w:t xml:space="preserve"> </w:t>
      </w:r>
      <w:r w:rsidRPr="00633318">
        <w:rPr>
          <w:rFonts w:ascii="Times New Roman" w:hAnsi="Times New Roman" w:cs="Times New Roman"/>
          <w:sz w:val="24"/>
          <w:szCs w:val="24"/>
        </w:rPr>
        <w:t>będzie Dyrektor KIS. Opinia w sprawie opodatkowania wyrównawczego</w:t>
      </w:r>
      <w:r w:rsidRPr="00633318" w:rsidDel="00785FF3">
        <w:rPr>
          <w:rFonts w:ascii="Times New Roman" w:hAnsi="Times New Roman" w:cs="Times New Roman"/>
          <w:sz w:val="24"/>
          <w:szCs w:val="24"/>
        </w:rPr>
        <w:t xml:space="preserve"> </w:t>
      </w:r>
      <w:r w:rsidRPr="00633318">
        <w:rPr>
          <w:rFonts w:ascii="Times New Roman" w:hAnsi="Times New Roman" w:cs="Times New Roman"/>
          <w:sz w:val="24"/>
          <w:szCs w:val="24"/>
        </w:rPr>
        <w:t>będzie mogła zostać zmieniona jedynie w okresie ważności opinii, a zmiana będzie mogła dotyczyć całej opinii lub jedynie jej części. W związku z tym, że opinia w sprawie opodatkowania wyrównawczego</w:t>
      </w:r>
      <w:r w:rsidRPr="00633318" w:rsidDel="00785FF3">
        <w:rPr>
          <w:rFonts w:ascii="Times New Roman" w:hAnsi="Times New Roman" w:cs="Times New Roman"/>
          <w:sz w:val="24"/>
          <w:szCs w:val="24"/>
        </w:rPr>
        <w:t xml:space="preserve"> </w:t>
      </w:r>
      <w:r w:rsidRPr="00633318">
        <w:rPr>
          <w:rFonts w:ascii="Times New Roman" w:hAnsi="Times New Roman" w:cs="Times New Roman"/>
          <w:sz w:val="24"/>
          <w:szCs w:val="24"/>
        </w:rPr>
        <w:t xml:space="preserve">będzie ważna przez 5 lat, w tym czasie może dojść do różnych przekształceń podmiotowych w obrębie struktury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Dlatego też zmiana opinii w sprawie opodatkowania wyrównawczego, jeżeli nie będzie mogła zostać doręczona podmiotowi, na rzecz którego została wydana – zostanie doręczona jego następcy prawnemu. </w:t>
      </w:r>
    </w:p>
    <w:p w14:paraId="7F017B4D" w14:textId="6C753876"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Jednocześnie, w przypadku zmiany opinii w sprawie opodatkowania wyrównawczego, podatnikom, którzy zastosowali się do opinii, podobnie jak przy zmianie interpretacji indywidualnej, będzie przysługiwać ochrona wzorowana na zasadzie nieszkodzenia z art. 14k-14m</w:t>
      </w:r>
      <w:r w:rsidR="00837424" w:rsidRPr="00633318">
        <w:rPr>
          <w:rFonts w:ascii="Times New Roman" w:hAnsi="Times New Roman" w:cs="Times New Roman"/>
          <w:sz w:val="24"/>
          <w:szCs w:val="24"/>
        </w:rPr>
        <w:t xml:space="preserve"> Ordynacji podatkowej</w:t>
      </w:r>
      <w:r w:rsidRPr="00633318">
        <w:rPr>
          <w:rFonts w:ascii="Times New Roman" w:hAnsi="Times New Roman" w:cs="Times New Roman"/>
          <w:sz w:val="24"/>
          <w:szCs w:val="24"/>
        </w:rPr>
        <w:t xml:space="preserve">. Zmiana opinii w sprawie opodatkowania wyrównawczego nie będzie zatem wywoływać negatywnych konsekwencji wobec jej adresatów. </w:t>
      </w:r>
    </w:p>
    <w:p w14:paraId="76E432E1" w14:textId="6656AEE9"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Ponadto projekt ustawy zakłada także możliwość uchylenia opinii w sprawie opodatkowania wyrównawczego z uwagi na wystąpienie przesłanki wymienionej w art. 14u § 5, czyli w przypadku, gdy zakres opinii w sprawie opodatkowania wyrównawczego będzie zawierać elementy </w:t>
      </w:r>
      <w:r w:rsidR="00B64768" w:rsidRPr="00633318">
        <w:rPr>
          <w:rFonts w:ascii="Times New Roman" w:hAnsi="Times New Roman" w:cs="Times New Roman"/>
          <w:sz w:val="24"/>
          <w:szCs w:val="24"/>
        </w:rPr>
        <w:t>czynności</w:t>
      </w:r>
      <w:r w:rsidRPr="00633318">
        <w:rPr>
          <w:rFonts w:ascii="Times New Roman" w:hAnsi="Times New Roman" w:cs="Times New Roman"/>
          <w:sz w:val="24"/>
          <w:szCs w:val="24"/>
        </w:rPr>
        <w:t>, co do których istnieje uzasadnione przypuszczenie, że mogą stanowić czynność lub element czynności określonej w art. 119a § 1 (unikanie opodatkowania) lub być przedmiotem decyzji wydanej z zastosowaniem środków ograniczających umowne korzyści.</w:t>
      </w:r>
      <w:r w:rsidR="00837424" w:rsidRPr="00633318">
        <w:rPr>
          <w:rFonts w:ascii="Times New Roman" w:hAnsi="Times New Roman" w:cs="Times New Roman"/>
          <w:sz w:val="24"/>
          <w:szCs w:val="24"/>
        </w:rPr>
        <w:t xml:space="preserve"> Uchylenie opinii będzie następowało w formie postanowienia, na które będzie służyć zażalenie. Podobnie jak w przypadku zmiany –  uchylenie opinii w sprawie opodatkowania wyrównawczego, jeżeli nie będzie mogło zostać doręczone podmiotowi, na rzecz którego została wydane – zostanie doręczone jego następcy prawnemu.</w:t>
      </w:r>
    </w:p>
    <w:p w14:paraId="2B80CFF6" w14:textId="00A00D82"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Jednocześnie, przewidziana </w:t>
      </w:r>
      <w:r w:rsidR="00837424" w:rsidRPr="00633318">
        <w:rPr>
          <w:rFonts w:ascii="Times New Roman" w:hAnsi="Times New Roman" w:cs="Times New Roman"/>
          <w:sz w:val="24"/>
          <w:szCs w:val="24"/>
        </w:rPr>
        <w:t xml:space="preserve">została kompetencja Szefa KAS do wystąpienia do Dyrektora KIS z żądaniem zmiany albo uchylenia opinii w sprawie opodatkowania wyrównawczego w przypadku wystąpienia albo uzasadnionego przypuszczenia wystąpienia przesłanek powodujących jej nieprawidłowość. Ponadto Szef KAS będzie miał możliwość przejęcia postępowania w sprawie zmiany albo uchylenia opinii w sprawie opodatkowania wyrównawczego, które zostało wszczęte przez Dyrektora KIS. Rozwiązanie to, wzorowane na WIS, zapewni kontrolę podmiotu nadrzędnego nad postępowaniami w sprawie zmiany albo uchylenia opinii w sprawie opodatkowania wyrównawczego w sprawach systemowych, co wpłynie pozytywnie na pewność tego instrumentu.  </w:t>
      </w:r>
    </w:p>
    <w:p w14:paraId="07B6CB57" w14:textId="1732EF0C"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Wygaśnięcie opinii w sprawie opodatkowania wyrównawczego</w:t>
      </w:r>
      <w:r w:rsidRPr="00633318" w:rsidDel="00526182">
        <w:rPr>
          <w:rFonts w:ascii="Times New Roman" w:hAnsi="Times New Roman" w:cs="Times New Roman"/>
          <w:b/>
          <w:bCs/>
          <w:sz w:val="24"/>
          <w:szCs w:val="24"/>
        </w:rPr>
        <w:t xml:space="preserve"> </w:t>
      </w:r>
      <w:r w:rsidRPr="00633318">
        <w:rPr>
          <w:rFonts w:ascii="Times New Roman" w:hAnsi="Times New Roman" w:cs="Times New Roman"/>
          <w:b/>
          <w:bCs/>
          <w:sz w:val="24"/>
          <w:szCs w:val="24"/>
        </w:rPr>
        <w:t>z mocy prawa (art. 14z</w:t>
      </w:r>
      <w:r w:rsidR="00837424" w:rsidRPr="00633318">
        <w:rPr>
          <w:rFonts w:ascii="Times New Roman" w:hAnsi="Times New Roman" w:cs="Times New Roman"/>
          <w:b/>
          <w:bCs/>
          <w:sz w:val="24"/>
          <w:szCs w:val="24"/>
        </w:rPr>
        <w:t>e</w:t>
      </w:r>
      <w:r w:rsidRPr="00633318">
        <w:rPr>
          <w:rFonts w:ascii="Times New Roman" w:hAnsi="Times New Roman" w:cs="Times New Roman"/>
          <w:b/>
          <w:bCs/>
          <w:sz w:val="24"/>
          <w:szCs w:val="24"/>
        </w:rPr>
        <w:t>)</w:t>
      </w:r>
    </w:p>
    <w:p w14:paraId="0AA37A36" w14:textId="3B1CC96C"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Choć opinia w sprawie opodatkowania wyrównawczego</w:t>
      </w:r>
      <w:r w:rsidRPr="00633318" w:rsidDel="00526182">
        <w:rPr>
          <w:rFonts w:ascii="Times New Roman" w:hAnsi="Times New Roman" w:cs="Times New Roman"/>
          <w:sz w:val="24"/>
          <w:szCs w:val="24"/>
        </w:rPr>
        <w:t xml:space="preserve"> </w:t>
      </w:r>
      <w:r w:rsidRPr="00633318">
        <w:rPr>
          <w:rFonts w:ascii="Times New Roman" w:hAnsi="Times New Roman" w:cs="Times New Roman"/>
          <w:sz w:val="24"/>
          <w:szCs w:val="24"/>
        </w:rPr>
        <w:t>wydawana będzie na 5 lat, nie oznacza to, że jej walor ochronny pozostanie aktualny w przypadku zmiany przepisów</w:t>
      </w:r>
      <w:r w:rsidR="00837424" w:rsidRPr="00633318">
        <w:rPr>
          <w:rFonts w:ascii="Times New Roman" w:hAnsi="Times New Roman" w:cs="Times New Roman"/>
          <w:sz w:val="24"/>
          <w:szCs w:val="24"/>
        </w:rPr>
        <w:t>, które podlegały w niej interpretacji</w:t>
      </w:r>
      <w:r w:rsidRPr="00633318">
        <w:rPr>
          <w:rFonts w:ascii="Times New Roman" w:hAnsi="Times New Roman" w:cs="Times New Roman"/>
          <w:sz w:val="24"/>
          <w:szCs w:val="24"/>
        </w:rPr>
        <w:t>. Należy bowiem podkreślić, że opinia w sprawie opodatkowania wyrównawczego</w:t>
      </w:r>
      <w:r w:rsidRPr="00633318" w:rsidDel="00526182">
        <w:rPr>
          <w:rFonts w:ascii="Times New Roman" w:hAnsi="Times New Roman" w:cs="Times New Roman"/>
          <w:sz w:val="24"/>
          <w:szCs w:val="24"/>
        </w:rPr>
        <w:t xml:space="preserve"> </w:t>
      </w:r>
      <w:r w:rsidRPr="00633318">
        <w:rPr>
          <w:rFonts w:ascii="Times New Roman" w:hAnsi="Times New Roman" w:cs="Times New Roman"/>
          <w:sz w:val="24"/>
          <w:szCs w:val="24"/>
        </w:rPr>
        <w:t>dotyczyć będzie konkretnego stanu prawnego – aktualnego na dzień wydania interpretacji. Wobec powyższego, opinia w sprawie opodatkowania wyrównawczego</w:t>
      </w:r>
      <w:r w:rsidRPr="00633318" w:rsidDel="00526182">
        <w:rPr>
          <w:rFonts w:ascii="Times New Roman" w:hAnsi="Times New Roman" w:cs="Times New Roman"/>
          <w:sz w:val="24"/>
          <w:szCs w:val="24"/>
        </w:rPr>
        <w:t xml:space="preserve"> </w:t>
      </w:r>
      <w:r w:rsidRPr="00633318">
        <w:rPr>
          <w:rFonts w:ascii="Times New Roman" w:hAnsi="Times New Roman" w:cs="Times New Roman"/>
          <w:sz w:val="24"/>
          <w:szCs w:val="24"/>
        </w:rPr>
        <w:t>wygaśnie z mocy prawa w przypadku zmiany przepisów prawa podatkowego w zakresie podatku wyrównawczego zastosowanych w opinii – w takim zakresie, w jakim stanie się</w:t>
      </w:r>
      <w:r w:rsidR="00837424" w:rsidRPr="00633318">
        <w:rPr>
          <w:rFonts w:ascii="Times New Roman" w:hAnsi="Times New Roman" w:cs="Times New Roman"/>
          <w:sz w:val="24"/>
          <w:szCs w:val="24"/>
        </w:rPr>
        <w:t xml:space="preserve"> ona</w:t>
      </w:r>
      <w:r w:rsidRPr="00633318">
        <w:rPr>
          <w:rFonts w:ascii="Times New Roman" w:hAnsi="Times New Roman" w:cs="Times New Roman"/>
          <w:sz w:val="24"/>
          <w:szCs w:val="24"/>
        </w:rPr>
        <w:t xml:space="preserve"> niezgodna z tymi przepisami. Wygaśnięcie opinii w sprawie opodatkowania wyrównawczego</w:t>
      </w:r>
      <w:r w:rsidRPr="00633318" w:rsidDel="00526182">
        <w:rPr>
          <w:rFonts w:ascii="Times New Roman" w:hAnsi="Times New Roman" w:cs="Times New Roman"/>
          <w:sz w:val="24"/>
          <w:szCs w:val="24"/>
        </w:rPr>
        <w:t xml:space="preserve"> </w:t>
      </w:r>
      <w:r w:rsidRPr="00633318">
        <w:rPr>
          <w:rFonts w:ascii="Times New Roman" w:hAnsi="Times New Roman" w:cs="Times New Roman"/>
          <w:sz w:val="24"/>
          <w:szCs w:val="24"/>
        </w:rPr>
        <w:t xml:space="preserve">nastąpi z dniem wejścia w życie przepisów, </w:t>
      </w:r>
      <w:r w:rsidR="00547776" w:rsidRPr="00633318">
        <w:rPr>
          <w:rFonts w:ascii="Times New Roman" w:hAnsi="Times New Roman" w:cs="Times New Roman"/>
          <w:sz w:val="24"/>
          <w:szCs w:val="24"/>
        </w:rPr>
        <w:t>z którymi</w:t>
      </w:r>
      <w:r w:rsidRPr="00633318">
        <w:rPr>
          <w:rFonts w:ascii="Times New Roman" w:hAnsi="Times New Roman" w:cs="Times New Roman"/>
          <w:sz w:val="24"/>
          <w:szCs w:val="24"/>
        </w:rPr>
        <w:t xml:space="preserve"> opinia ta stała się z nimi niezgodna. Oznacza to, że na skutek zmiany przepisów prawa, część opinii w sprawie opodatkowania wyrównawczego</w:t>
      </w:r>
      <w:r w:rsidRPr="00633318" w:rsidDel="00526182">
        <w:rPr>
          <w:rFonts w:ascii="Times New Roman" w:hAnsi="Times New Roman" w:cs="Times New Roman"/>
          <w:sz w:val="24"/>
          <w:szCs w:val="24"/>
        </w:rPr>
        <w:t xml:space="preserve"> </w:t>
      </w:r>
      <w:r w:rsidRPr="00633318">
        <w:rPr>
          <w:rFonts w:ascii="Times New Roman" w:hAnsi="Times New Roman" w:cs="Times New Roman"/>
          <w:sz w:val="24"/>
          <w:szCs w:val="24"/>
        </w:rPr>
        <w:t>może stać się nieaktualna i nie będzie mogła mieć zastosowania do nowych przepisów – gdyż ich nie dotyczy. Natomiast walor ochronny opinii w sprawie opodatkowania wyrównawczego</w:t>
      </w:r>
      <w:r w:rsidRPr="00633318" w:rsidDel="00526182">
        <w:rPr>
          <w:rFonts w:ascii="Times New Roman" w:hAnsi="Times New Roman" w:cs="Times New Roman"/>
          <w:sz w:val="24"/>
          <w:szCs w:val="24"/>
        </w:rPr>
        <w:t xml:space="preserve"> </w:t>
      </w:r>
      <w:r w:rsidRPr="00633318">
        <w:rPr>
          <w:rFonts w:ascii="Times New Roman" w:hAnsi="Times New Roman" w:cs="Times New Roman"/>
          <w:sz w:val="24"/>
          <w:szCs w:val="24"/>
        </w:rPr>
        <w:t xml:space="preserve">wciąż będzie przysługiwać za okres poprzedzający zmianę przepisów. </w:t>
      </w:r>
    </w:p>
    <w:p w14:paraId="629D62F4" w14:textId="39773E26" w:rsidR="00837424" w:rsidRPr="00633318" w:rsidRDefault="00837424" w:rsidP="00837424">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Wskazać trzeba również, że instytucja wygaśnięcia instrumentu prawnego z mocy prawa została już sprawdzona w przypadku WIS i WIA i nie jest kwestionowana zarówno w zakresie swojej konstrukcji prawnej, jak i w zakresie</w:t>
      </w:r>
      <w:r w:rsidR="0073582B" w:rsidRPr="00633318">
        <w:rPr>
          <w:rFonts w:ascii="Times New Roman" w:hAnsi="Times New Roman" w:cs="Times New Roman"/>
          <w:sz w:val="24"/>
          <w:szCs w:val="24"/>
        </w:rPr>
        <w:t xml:space="preserve"> praktycznego</w:t>
      </w:r>
      <w:r w:rsidRPr="00633318">
        <w:rPr>
          <w:rFonts w:ascii="Times New Roman" w:hAnsi="Times New Roman" w:cs="Times New Roman"/>
          <w:sz w:val="24"/>
          <w:szCs w:val="24"/>
        </w:rPr>
        <w:t xml:space="preserve"> funkcjonowania systemów WIS i WIA. Przy projektowaniu opinii w sprawie opodatkowania wyrównawczego skorzystano zatem z już sprawdzonego w praktyce wzorca. </w:t>
      </w:r>
    </w:p>
    <w:p w14:paraId="2863F83B" w14:textId="4A9F9A15" w:rsidR="00D90FFF" w:rsidRPr="00633318" w:rsidRDefault="00D90FFF" w:rsidP="00D90FFF">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Należy wyraźnie wskazać, że komentowany przepis ma za zadanie jasne i precyzyjne określenie skutków prawnych zmiany przepisów w sposób oddziałowujący na walor ochronny opinii. W związku z nowością reżimu opodatkowania wyrównawczego, konieczne wydaje się </w:t>
      </w:r>
      <w:r w:rsidR="003B7AD7" w:rsidRPr="00633318">
        <w:rPr>
          <w:rFonts w:ascii="Times New Roman" w:hAnsi="Times New Roman" w:cs="Times New Roman"/>
          <w:sz w:val="24"/>
          <w:szCs w:val="24"/>
        </w:rPr>
        <w:t>możliwie jak najbardziej klarowne</w:t>
      </w:r>
      <w:r w:rsidRPr="00633318">
        <w:rPr>
          <w:rFonts w:ascii="Times New Roman" w:hAnsi="Times New Roman" w:cs="Times New Roman"/>
          <w:sz w:val="24"/>
          <w:szCs w:val="24"/>
        </w:rPr>
        <w:t xml:space="preserve"> zakreślenie praw i obowiązków wynikających z wprowadzanych przepisów – także tych dotyczących opinii w sprawie opodatkowania wyrównawczego. </w:t>
      </w:r>
    </w:p>
    <w:p w14:paraId="1A0E0F0C" w14:textId="42B5BA8F" w:rsidR="00D90FFF" w:rsidRPr="00633318" w:rsidRDefault="00D90FFF">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Wprowadzenie art. 14ze nie powinno jednak prowadzić do konkluzji, że w związku z tym, iż na gruncie przepisów o interpretacjach indywidualnych prawa podatkowego nie uregulowano wprost instytucji wygaśnięcia interpretacji z mocy prawa w przypadku zmiany przepisów zastosowanych w interpretacji, oznacza to, że – </w:t>
      </w:r>
      <w:r w:rsidRPr="00633318">
        <w:rPr>
          <w:rFonts w:ascii="Times New Roman" w:hAnsi="Times New Roman" w:cs="Times New Roman"/>
          <w:i/>
          <w:iCs/>
          <w:sz w:val="24"/>
          <w:szCs w:val="24"/>
        </w:rPr>
        <w:t>a contrario</w:t>
      </w:r>
      <w:r w:rsidRPr="00633318">
        <w:rPr>
          <w:rFonts w:ascii="Times New Roman" w:hAnsi="Times New Roman" w:cs="Times New Roman"/>
          <w:sz w:val="24"/>
          <w:szCs w:val="24"/>
        </w:rPr>
        <w:t xml:space="preserve"> – walor ochronny interpretacji</w:t>
      </w:r>
      <w:r w:rsidR="00572B31" w:rsidRPr="00633318">
        <w:rPr>
          <w:rFonts w:ascii="Times New Roman" w:hAnsi="Times New Roman" w:cs="Times New Roman"/>
          <w:sz w:val="24"/>
          <w:szCs w:val="24"/>
        </w:rPr>
        <w:t xml:space="preserve"> indywidualnych</w:t>
      </w:r>
      <w:r w:rsidRPr="00633318">
        <w:rPr>
          <w:rFonts w:ascii="Times New Roman" w:hAnsi="Times New Roman" w:cs="Times New Roman"/>
          <w:sz w:val="24"/>
          <w:szCs w:val="24"/>
        </w:rPr>
        <w:t xml:space="preserve"> jest niezależny od zmian przepisów. Pogląd mówiący, że wygaśnięcie interpretacji indywidualnej w zakresie, w którym nie jest ona zgodna z</w:t>
      </w:r>
      <w:r w:rsidR="00572B31" w:rsidRPr="00633318">
        <w:rPr>
          <w:rFonts w:ascii="Times New Roman" w:hAnsi="Times New Roman" w:cs="Times New Roman"/>
          <w:sz w:val="24"/>
          <w:szCs w:val="24"/>
        </w:rPr>
        <w:t xml:space="preserve"> treścią</w:t>
      </w:r>
      <w:r w:rsidRPr="00633318">
        <w:rPr>
          <w:rFonts w:ascii="Times New Roman" w:hAnsi="Times New Roman" w:cs="Times New Roman"/>
          <w:sz w:val="24"/>
          <w:szCs w:val="24"/>
        </w:rPr>
        <w:t xml:space="preserve"> </w:t>
      </w:r>
      <w:r w:rsidR="00572B31" w:rsidRPr="00633318">
        <w:rPr>
          <w:rFonts w:ascii="Times New Roman" w:hAnsi="Times New Roman" w:cs="Times New Roman"/>
          <w:sz w:val="24"/>
          <w:szCs w:val="24"/>
        </w:rPr>
        <w:t>zmienionych</w:t>
      </w:r>
      <w:r w:rsidRPr="00633318">
        <w:rPr>
          <w:rFonts w:ascii="Times New Roman" w:hAnsi="Times New Roman" w:cs="Times New Roman"/>
          <w:sz w:val="24"/>
          <w:szCs w:val="24"/>
        </w:rPr>
        <w:t xml:space="preserve"> przepi</w:t>
      </w:r>
      <w:r w:rsidR="00572B31" w:rsidRPr="00633318">
        <w:rPr>
          <w:rFonts w:ascii="Times New Roman" w:hAnsi="Times New Roman" w:cs="Times New Roman"/>
          <w:sz w:val="24"/>
          <w:szCs w:val="24"/>
        </w:rPr>
        <w:t>sów</w:t>
      </w:r>
      <w:r w:rsidRPr="00633318">
        <w:rPr>
          <w:rFonts w:ascii="Times New Roman" w:hAnsi="Times New Roman" w:cs="Times New Roman"/>
          <w:sz w:val="24"/>
          <w:szCs w:val="24"/>
        </w:rPr>
        <w:t xml:space="preserve"> prawa</w:t>
      </w:r>
      <w:r w:rsidR="00572B31" w:rsidRPr="00633318">
        <w:rPr>
          <w:rFonts w:ascii="Times New Roman" w:hAnsi="Times New Roman" w:cs="Times New Roman"/>
          <w:sz w:val="24"/>
          <w:szCs w:val="24"/>
        </w:rPr>
        <w:t>,</w:t>
      </w:r>
      <w:r w:rsidRPr="00633318">
        <w:rPr>
          <w:rFonts w:ascii="Times New Roman" w:hAnsi="Times New Roman" w:cs="Times New Roman"/>
          <w:sz w:val="24"/>
          <w:szCs w:val="24"/>
        </w:rPr>
        <w:t xml:space="preserve"> stanowi konsekwencję prawną takiej zmiany przepisów, </w:t>
      </w:r>
      <w:r w:rsidR="00525B1D" w:rsidRPr="00633318">
        <w:rPr>
          <w:rFonts w:ascii="Times New Roman" w:hAnsi="Times New Roman" w:cs="Times New Roman"/>
          <w:sz w:val="24"/>
          <w:szCs w:val="24"/>
        </w:rPr>
        <w:t xml:space="preserve">jest </w:t>
      </w:r>
      <w:r w:rsidRPr="00633318">
        <w:rPr>
          <w:rFonts w:ascii="Times New Roman" w:hAnsi="Times New Roman" w:cs="Times New Roman"/>
          <w:sz w:val="24"/>
          <w:szCs w:val="24"/>
        </w:rPr>
        <w:t>ugruntowany w orzecznictwie sądów.</w:t>
      </w:r>
      <w:r w:rsidR="003B7AD7" w:rsidRPr="00633318">
        <w:rPr>
          <w:rStyle w:val="Odwoanieprzypisudolnego"/>
          <w:rFonts w:ascii="Times New Roman" w:hAnsi="Times New Roman" w:cs="Times New Roman"/>
          <w:sz w:val="24"/>
          <w:szCs w:val="24"/>
        </w:rPr>
        <w:footnoteReference w:id="173"/>
      </w:r>
      <w:r w:rsidR="003B7AD7" w:rsidRPr="00633318">
        <w:rPr>
          <w:rFonts w:ascii="Times New Roman" w:hAnsi="Times New Roman" w:cs="Times New Roman"/>
          <w:sz w:val="24"/>
          <w:szCs w:val="24"/>
        </w:rPr>
        <w:t xml:space="preserve"> </w:t>
      </w:r>
    </w:p>
    <w:p w14:paraId="5A17BDCC" w14:textId="5A68132B" w:rsidR="00837424" w:rsidRPr="00633318" w:rsidRDefault="00837424"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Zasięgnięcie opinii Rady do </w:t>
      </w:r>
      <w:r w:rsidR="00547776" w:rsidRPr="00633318">
        <w:rPr>
          <w:rFonts w:ascii="Times New Roman" w:hAnsi="Times New Roman" w:cs="Times New Roman"/>
          <w:b/>
          <w:bCs/>
          <w:sz w:val="24"/>
          <w:szCs w:val="24"/>
        </w:rPr>
        <w:t>spraw</w:t>
      </w:r>
      <w:r w:rsidRPr="00633318">
        <w:rPr>
          <w:rFonts w:ascii="Times New Roman" w:hAnsi="Times New Roman" w:cs="Times New Roman"/>
          <w:b/>
          <w:bCs/>
          <w:sz w:val="24"/>
          <w:szCs w:val="24"/>
        </w:rPr>
        <w:t xml:space="preserve"> Opodatkowania Wyrównawczego (art. 14zf)</w:t>
      </w:r>
    </w:p>
    <w:p w14:paraId="5BD92A27" w14:textId="32C83FA4" w:rsidR="00837424" w:rsidRPr="00633318" w:rsidRDefault="00837424" w:rsidP="00837424">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Dyrektor KIS będzie mógł w toku postępowania zasięgnąć opinii Rady do spraw Opodatkowania Wyrównawczego</w:t>
      </w:r>
      <w:r w:rsidR="000A1E91"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 dedykowanej wyłącznie opodatkowaniu wyrównawczemu. Występując o opinię Dyrektor KIS będzie zobowiązany przekazać kopię wniosku o opinię wraz z własnym stanowiskiem w sprawie, równocześnie informując o tym fakcie zainteresowanego. Zainteresowany również może – z własnej inicjatywy – przedłożyć </w:t>
      </w:r>
      <w:r w:rsidR="000A1E91" w:rsidRPr="00633318">
        <w:rPr>
          <w:rFonts w:ascii="Times New Roman" w:hAnsi="Times New Roman" w:cs="Times New Roman"/>
          <w:sz w:val="24"/>
          <w:szCs w:val="24"/>
        </w:rPr>
        <w:t>Radzie GloBE</w:t>
      </w:r>
      <w:r w:rsidRPr="00633318">
        <w:rPr>
          <w:rFonts w:ascii="Times New Roman" w:hAnsi="Times New Roman" w:cs="Times New Roman"/>
          <w:sz w:val="24"/>
          <w:szCs w:val="24"/>
        </w:rPr>
        <w:t xml:space="preserve"> swoje stanowisko na piśmie oraz załączyć do niego dokumenty o charakterze pomocniczym.  </w:t>
      </w:r>
    </w:p>
    <w:p w14:paraId="50C2E57A" w14:textId="36C40257" w:rsidR="00837424" w:rsidRPr="00633318" w:rsidRDefault="00837424" w:rsidP="00837424">
      <w:p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sz w:val="24"/>
          <w:szCs w:val="24"/>
        </w:rPr>
        <w:t xml:space="preserve">Rada GloBE będzie zobowiązana do wydania opinii wraz uzasadnieniem, w terminie 2 miesięcy od otrzymania wystąpienia Dyrektora KIS. Przekroczenie przez Radę tego terminu nie będzie skutkowało wydłużeniem okresu, który nie będzie wliczany do terminu na wydanie przez Dyrektora KIS opinii w sprawie opodatkowania wyrównawczego. Z tego terminu będą jednakże wyłączone okresy oczekiwania przez Radę na udzielenie dodatkowych informacji i wyjaśnień dotyczących sprawy – w zależności od potrzeby od zainteresowanego lub Dyrektora KIS. Opinia będzie doręczana Dyrektorowi KIS, który jednakże nie będzie nią związany. </w:t>
      </w:r>
    </w:p>
    <w:p w14:paraId="3C942689" w14:textId="3C1CF1FD"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Wystąpienie do innego organu (art. 14z</w:t>
      </w:r>
      <w:r w:rsidR="00F77841" w:rsidRPr="00633318">
        <w:rPr>
          <w:rFonts w:ascii="Times New Roman" w:hAnsi="Times New Roman" w:cs="Times New Roman"/>
          <w:b/>
          <w:bCs/>
          <w:sz w:val="24"/>
          <w:szCs w:val="24"/>
        </w:rPr>
        <w:t>h</w:t>
      </w:r>
      <w:r w:rsidRPr="00633318">
        <w:rPr>
          <w:rFonts w:ascii="Times New Roman" w:hAnsi="Times New Roman" w:cs="Times New Roman"/>
          <w:b/>
          <w:bCs/>
          <w:sz w:val="24"/>
          <w:szCs w:val="24"/>
        </w:rPr>
        <w:t>)</w:t>
      </w:r>
    </w:p>
    <w:p w14:paraId="1A972319" w14:textId="3D7C5223"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 uwagi na potrzebę zapewnienia możliwie kompleksowego i wyczerpującego charakteru postępowania</w:t>
      </w:r>
      <w:r w:rsidR="00837424" w:rsidRPr="00633318">
        <w:rPr>
          <w:rFonts w:ascii="Times New Roman" w:hAnsi="Times New Roman" w:cs="Times New Roman"/>
          <w:sz w:val="24"/>
          <w:szCs w:val="24"/>
        </w:rPr>
        <w:t xml:space="preserve"> interpretacyjnego</w:t>
      </w:r>
      <w:r w:rsidRPr="00633318">
        <w:rPr>
          <w:rFonts w:ascii="Times New Roman" w:hAnsi="Times New Roman" w:cs="Times New Roman"/>
          <w:sz w:val="24"/>
          <w:szCs w:val="24"/>
        </w:rPr>
        <w:t xml:space="preserve">, Dyrektor KIS będzie mógł w jego ramach zasięgnąć </w:t>
      </w:r>
      <w:r w:rsidR="00B971E8" w:rsidRPr="00633318">
        <w:rPr>
          <w:rFonts w:ascii="Times New Roman" w:hAnsi="Times New Roman" w:cs="Times New Roman"/>
          <w:sz w:val="24"/>
          <w:szCs w:val="24"/>
        </w:rPr>
        <w:t>informacji będących w posiadaniu</w:t>
      </w:r>
      <w:r w:rsidRPr="00633318">
        <w:rPr>
          <w:rFonts w:ascii="Times New Roman" w:hAnsi="Times New Roman" w:cs="Times New Roman"/>
          <w:sz w:val="24"/>
          <w:szCs w:val="24"/>
        </w:rPr>
        <w:t>:</w:t>
      </w:r>
    </w:p>
    <w:p w14:paraId="332A3AF1" w14:textId="77777777" w:rsidR="002C7C46" w:rsidRPr="00633318" w:rsidRDefault="002C7C46" w:rsidP="002C7467">
      <w:pPr>
        <w:numPr>
          <w:ilvl w:val="0"/>
          <w:numId w:val="108"/>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ministra właściwego do spraw finansów publicznych, </w:t>
      </w:r>
    </w:p>
    <w:p w14:paraId="7624069D" w14:textId="77777777" w:rsidR="002C7C46" w:rsidRPr="00633318" w:rsidRDefault="002C7C46" w:rsidP="002C7467">
      <w:pPr>
        <w:numPr>
          <w:ilvl w:val="0"/>
          <w:numId w:val="108"/>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Szefa Krajowej Administracji Skarbowej, </w:t>
      </w:r>
    </w:p>
    <w:p w14:paraId="5F1EB7C9" w14:textId="6567D4FD" w:rsidR="002C7C46" w:rsidRPr="00633318" w:rsidRDefault="002C7C46" w:rsidP="002C7467">
      <w:pPr>
        <w:numPr>
          <w:ilvl w:val="0"/>
          <w:numId w:val="108"/>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naczelnika urzędu skarbowego właściwego dla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w:t>
      </w:r>
    </w:p>
    <w:p w14:paraId="387D7283" w14:textId="77777777" w:rsidR="002C7C46" w:rsidRPr="00633318" w:rsidRDefault="002C7C46" w:rsidP="002C7467">
      <w:pPr>
        <w:numPr>
          <w:ilvl w:val="0"/>
          <w:numId w:val="108"/>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naczelnika urzędu celno-skarbowego.</w:t>
      </w:r>
    </w:p>
    <w:p w14:paraId="3F9ED2EC" w14:textId="63228C45"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Zgodnie z projektowanym art. 14z</w:t>
      </w:r>
      <w:r w:rsidR="00F77841" w:rsidRPr="00633318">
        <w:rPr>
          <w:rFonts w:ascii="Times New Roman" w:hAnsi="Times New Roman" w:cs="Times New Roman"/>
          <w:sz w:val="24"/>
          <w:szCs w:val="24"/>
        </w:rPr>
        <w:t>h</w:t>
      </w:r>
      <w:r w:rsidRPr="00633318">
        <w:rPr>
          <w:rFonts w:ascii="Times New Roman" w:hAnsi="Times New Roman" w:cs="Times New Roman"/>
          <w:sz w:val="24"/>
          <w:szCs w:val="24"/>
        </w:rPr>
        <w:t xml:space="preserve"> § 1, </w:t>
      </w:r>
      <w:r w:rsidR="00B971E8" w:rsidRPr="00633318">
        <w:rPr>
          <w:rFonts w:ascii="Times New Roman" w:hAnsi="Times New Roman" w:cs="Times New Roman"/>
          <w:sz w:val="24"/>
          <w:szCs w:val="24"/>
        </w:rPr>
        <w:t xml:space="preserve">informacja przekazana przez </w:t>
      </w:r>
      <w:r w:rsidRPr="00633318">
        <w:rPr>
          <w:rFonts w:ascii="Times New Roman" w:hAnsi="Times New Roman" w:cs="Times New Roman"/>
          <w:sz w:val="24"/>
          <w:szCs w:val="24"/>
        </w:rPr>
        <w:t>inn</w:t>
      </w:r>
      <w:r w:rsidR="00B971E8" w:rsidRPr="00633318">
        <w:rPr>
          <w:rFonts w:ascii="Times New Roman" w:hAnsi="Times New Roman" w:cs="Times New Roman"/>
          <w:sz w:val="24"/>
          <w:szCs w:val="24"/>
        </w:rPr>
        <w:t>y</w:t>
      </w:r>
      <w:r w:rsidRPr="00633318">
        <w:rPr>
          <w:rFonts w:ascii="Times New Roman" w:hAnsi="Times New Roman" w:cs="Times New Roman"/>
          <w:sz w:val="24"/>
          <w:szCs w:val="24"/>
        </w:rPr>
        <w:t xml:space="preserve"> organ może obejmować zakres określony w art. 14u § 1, czyli wszelkie kwestie dotyczące czynności planowanych lub rozpoczętych i niezakończonych, przedstawionych we wniosku. </w:t>
      </w:r>
      <w:r w:rsidR="00837424" w:rsidRPr="00633318">
        <w:rPr>
          <w:rFonts w:ascii="Times New Roman" w:hAnsi="Times New Roman" w:cs="Times New Roman"/>
          <w:sz w:val="24"/>
          <w:szCs w:val="24"/>
        </w:rPr>
        <w:t>Dyrektor KIS nie będzie jednak zobowiązany do uwzględnienia otrzymanej informacji w postępowaniu w przedmiocie wydania opinii w sprawie opodatkowania wyrównawczego, ma ona mieć charakter informacyjny i nadający kontekst materiałowi, na podstawie którego wydawana jest opinia.</w:t>
      </w:r>
    </w:p>
    <w:p w14:paraId="4B0E7E93" w14:textId="7A654178"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Jak stanowi art. 14z</w:t>
      </w:r>
      <w:r w:rsidR="00F77841" w:rsidRPr="00633318">
        <w:rPr>
          <w:rFonts w:ascii="Times New Roman" w:hAnsi="Times New Roman" w:cs="Times New Roman"/>
          <w:sz w:val="24"/>
          <w:szCs w:val="24"/>
        </w:rPr>
        <w:t>h</w:t>
      </w:r>
      <w:r w:rsidRPr="00633318">
        <w:rPr>
          <w:rFonts w:ascii="Times New Roman" w:hAnsi="Times New Roman" w:cs="Times New Roman"/>
          <w:sz w:val="24"/>
          <w:szCs w:val="24"/>
        </w:rPr>
        <w:t xml:space="preserve"> § 2 uzyskana przez Dyrektora KIS </w:t>
      </w:r>
      <w:r w:rsidR="00B971E8" w:rsidRPr="00633318">
        <w:rPr>
          <w:rFonts w:ascii="Times New Roman" w:hAnsi="Times New Roman" w:cs="Times New Roman"/>
          <w:sz w:val="24"/>
          <w:szCs w:val="24"/>
        </w:rPr>
        <w:t xml:space="preserve">informacja </w:t>
      </w:r>
      <w:r w:rsidRPr="00633318">
        <w:rPr>
          <w:rFonts w:ascii="Times New Roman" w:hAnsi="Times New Roman" w:cs="Times New Roman"/>
          <w:sz w:val="24"/>
          <w:szCs w:val="24"/>
        </w:rPr>
        <w:t>będzie</w:t>
      </w:r>
      <w:r w:rsidR="00837424" w:rsidRPr="00633318">
        <w:rPr>
          <w:rFonts w:ascii="Times New Roman" w:hAnsi="Times New Roman" w:cs="Times New Roman"/>
          <w:sz w:val="24"/>
          <w:szCs w:val="24"/>
        </w:rPr>
        <w:t xml:space="preserve"> mogła być</w:t>
      </w:r>
      <w:r w:rsidRPr="00633318">
        <w:rPr>
          <w:rFonts w:ascii="Times New Roman" w:hAnsi="Times New Roman" w:cs="Times New Roman"/>
          <w:sz w:val="24"/>
          <w:szCs w:val="24"/>
        </w:rPr>
        <w:t xml:space="preserve"> przez niego wykorzystywana w przypadku wystąpienia spraw przedstawiających zagadnienie z obszaru opodatkowania wyrównawczego tożsame z zagadnieniem, którego tyczyła się opinia. Ma to na celu usprawnienie kolejnych postępowań o wydanie opinii w sprawie opodatkowania wyrównawczego, które łączy pewien obszar merytoryczny.</w:t>
      </w:r>
    </w:p>
    <w:p w14:paraId="4A8E44AA" w14:textId="1A734339"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celu zapewnienia płynności w pracach nad wydaniem opinii w sprawie opodatkowania wyrównawczego, w projektowanej ustawie przewidziano miesięczny termin na </w:t>
      </w:r>
      <w:r w:rsidR="00B971E8" w:rsidRPr="00633318">
        <w:rPr>
          <w:rFonts w:ascii="Times New Roman" w:hAnsi="Times New Roman" w:cs="Times New Roman"/>
          <w:sz w:val="24"/>
          <w:szCs w:val="24"/>
        </w:rPr>
        <w:t>przekazanie informacji</w:t>
      </w:r>
      <w:r w:rsidRPr="00633318">
        <w:rPr>
          <w:rFonts w:ascii="Times New Roman" w:hAnsi="Times New Roman" w:cs="Times New Roman"/>
          <w:sz w:val="24"/>
          <w:szCs w:val="24"/>
        </w:rPr>
        <w:t xml:space="preserve"> przez organ, do którego zwróci się Dyrektor KIS. Przekroczenie przez organ tego terminu nie</w:t>
      </w:r>
      <w:r w:rsidR="00837424" w:rsidRPr="00633318">
        <w:rPr>
          <w:rFonts w:ascii="Times New Roman" w:hAnsi="Times New Roman" w:cs="Times New Roman"/>
          <w:sz w:val="24"/>
          <w:szCs w:val="24"/>
        </w:rPr>
        <w:t xml:space="preserve"> będzie jednak skutkowało</w:t>
      </w:r>
      <w:r w:rsidRPr="00633318">
        <w:rPr>
          <w:rFonts w:ascii="Times New Roman" w:hAnsi="Times New Roman" w:cs="Times New Roman"/>
          <w:sz w:val="24"/>
          <w:szCs w:val="24"/>
        </w:rPr>
        <w:t xml:space="preserve"> wydłużeniem okresu, który nie będzie wliczany do terminu na wydanie przez Dyrektora KIS opinii w sprawie opodatkowania wyrównawczego</w:t>
      </w:r>
      <w:r w:rsidR="00837424" w:rsidRPr="00633318">
        <w:rPr>
          <w:rFonts w:ascii="Times New Roman" w:hAnsi="Times New Roman" w:cs="Times New Roman"/>
          <w:sz w:val="24"/>
          <w:szCs w:val="24"/>
        </w:rPr>
        <w:t>.</w:t>
      </w:r>
      <w:r w:rsidR="00C45A48" w:rsidRPr="00633318">
        <w:rPr>
          <w:rFonts w:ascii="Times New Roman" w:hAnsi="Times New Roman" w:cs="Times New Roman"/>
          <w:sz w:val="24"/>
          <w:szCs w:val="24"/>
        </w:rPr>
        <w:t xml:space="preserve"> </w:t>
      </w:r>
      <w:r w:rsidRPr="00633318">
        <w:rPr>
          <w:rFonts w:ascii="Times New Roman" w:hAnsi="Times New Roman" w:cs="Times New Roman"/>
          <w:sz w:val="24"/>
          <w:szCs w:val="24"/>
        </w:rPr>
        <w:t>Oznacza to, że całościowy okres oczekiwania na opinię nie może zostać przedłużony z uwagi na opieszałość organu, do którego zwróci się Dyrektor KIS.</w:t>
      </w:r>
    </w:p>
    <w:p w14:paraId="4EED135C" w14:textId="746BACEE"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Do procedury </w:t>
      </w:r>
      <w:r w:rsidR="00B971E8" w:rsidRPr="00633318">
        <w:rPr>
          <w:rFonts w:ascii="Times New Roman" w:hAnsi="Times New Roman" w:cs="Times New Roman"/>
          <w:sz w:val="24"/>
          <w:szCs w:val="24"/>
        </w:rPr>
        <w:t xml:space="preserve">informacyjnej </w:t>
      </w:r>
      <w:r w:rsidRPr="00633318">
        <w:rPr>
          <w:rFonts w:ascii="Times New Roman" w:hAnsi="Times New Roman" w:cs="Times New Roman"/>
          <w:sz w:val="24"/>
          <w:szCs w:val="24"/>
        </w:rPr>
        <w:t xml:space="preserve">planuje się stosować odpowiednio przepisy dotyczące zawiadomienia strony oraz możliwości przeprowadzenia postępowania wyjaśniającego przez organ </w:t>
      </w:r>
      <w:r w:rsidR="00B971E8" w:rsidRPr="00633318">
        <w:rPr>
          <w:rFonts w:ascii="Times New Roman" w:hAnsi="Times New Roman" w:cs="Times New Roman"/>
          <w:sz w:val="24"/>
          <w:szCs w:val="24"/>
        </w:rPr>
        <w:t>przekazujący informację</w:t>
      </w:r>
      <w:r w:rsidRPr="00633318">
        <w:rPr>
          <w:rFonts w:ascii="Times New Roman" w:hAnsi="Times New Roman" w:cs="Times New Roman"/>
          <w:sz w:val="24"/>
          <w:szCs w:val="24"/>
        </w:rPr>
        <w:t xml:space="preserve"> (art. 209 § 1, 2 oraz 4</w:t>
      </w:r>
      <w:r w:rsidR="00837424" w:rsidRPr="00633318">
        <w:rPr>
          <w:rFonts w:ascii="Times New Roman" w:hAnsi="Times New Roman" w:cs="Times New Roman"/>
          <w:sz w:val="24"/>
          <w:szCs w:val="24"/>
        </w:rPr>
        <w:t xml:space="preserve"> Ordynacji podatkowej</w:t>
      </w:r>
      <w:r w:rsidRPr="00633318">
        <w:rPr>
          <w:rFonts w:ascii="Times New Roman" w:hAnsi="Times New Roman" w:cs="Times New Roman"/>
          <w:sz w:val="24"/>
          <w:szCs w:val="24"/>
        </w:rPr>
        <w:t>).</w:t>
      </w:r>
    </w:p>
    <w:p w14:paraId="780C95F2" w14:textId="61D62790"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Publikacja opinii w sprawie opodatkowania wyrównawczego</w:t>
      </w:r>
      <w:r w:rsidRPr="00633318" w:rsidDel="00F40878">
        <w:rPr>
          <w:rFonts w:ascii="Times New Roman" w:hAnsi="Times New Roman" w:cs="Times New Roman"/>
          <w:b/>
          <w:bCs/>
          <w:sz w:val="24"/>
          <w:szCs w:val="24"/>
        </w:rPr>
        <w:t xml:space="preserve"> </w:t>
      </w:r>
      <w:r w:rsidRPr="00633318">
        <w:rPr>
          <w:rFonts w:ascii="Times New Roman" w:hAnsi="Times New Roman" w:cs="Times New Roman"/>
          <w:b/>
          <w:bCs/>
          <w:sz w:val="24"/>
          <w:szCs w:val="24"/>
        </w:rPr>
        <w:t>(art. 14z</w:t>
      </w:r>
      <w:r w:rsidR="00F77841" w:rsidRPr="00633318">
        <w:rPr>
          <w:rFonts w:ascii="Times New Roman" w:hAnsi="Times New Roman" w:cs="Times New Roman"/>
          <w:b/>
          <w:bCs/>
          <w:sz w:val="24"/>
          <w:szCs w:val="24"/>
        </w:rPr>
        <w:t>i</w:t>
      </w:r>
      <w:r w:rsidRPr="00633318">
        <w:rPr>
          <w:rFonts w:ascii="Times New Roman" w:hAnsi="Times New Roman" w:cs="Times New Roman"/>
          <w:b/>
          <w:bCs/>
          <w:sz w:val="24"/>
          <w:szCs w:val="24"/>
        </w:rPr>
        <w:t>)</w:t>
      </w:r>
    </w:p>
    <w:p w14:paraId="15E169D7" w14:textId="5276BE69"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Opinia w sprawie opodatkowania wyrównawczego</w:t>
      </w:r>
      <w:r w:rsidRPr="00633318" w:rsidDel="00F40878">
        <w:rPr>
          <w:rFonts w:ascii="Times New Roman" w:hAnsi="Times New Roman" w:cs="Times New Roman"/>
          <w:sz w:val="24"/>
          <w:szCs w:val="24"/>
        </w:rPr>
        <w:t xml:space="preserve"> </w:t>
      </w:r>
      <w:r w:rsidRPr="00633318">
        <w:rPr>
          <w:rFonts w:ascii="Times New Roman" w:hAnsi="Times New Roman" w:cs="Times New Roman"/>
          <w:sz w:val="24"/>
          <w:szCs w:val="24"/>
        </w:rPr>
        <w:t>oraz zmiany opinii, po zanonimizowaniu, będą podlegać publikacji w systemie EUREKA (Biuletynie Informacji Publicznej na stronie podmiotowej urzędu obsługującego ministra właściwego do spraw finansów publicznych). Chociaż projekt ustawy nie przewiduje możliwości stosowania opinii w sprawie opodatkowania wyrównawczego</w:t>
      </w:r>
      <w:r w:rsidRPr="00633318" w:rsidDel="00F40878">
        <w:rPr>
          <w:rFonts w:ascii="Times New Roman" w:hAnsi="Times New Roman" w:cs="Times New Roman"/>
          <w:sz w:val="24"/>
          <w:szCs w:val="24"/>
        </w:rPr>
        <w:t xml:space="preserve"> </w:t>
      </w:r>
      <w:r w:rsidRPr="00633318">
        <w:rPr>
          <w:rFonts w:ascii="Times New Roman" w:hAnsi="Times New Roman" w:cs="Times New Roman"/>
          <w:sz w:val="24"/>
          <w:szCs w:val="24"/>
        </w:rPr>
        <w:t>przez inne podmioty (tak jak WIS) ani ochrony przez zastosowanie utrwalonej praktyki interpretacyjnej (tak jak interpretacje indywidualne), to zasadne jest udostępnianie wydanych opinii w sprawie opodatkowania wyrównawczego</w:t>
      </w:r>
      <w:r w:rsidRPr="00633318" w:rsidDel="00F40878">
        <w:rPr>
          <w:rFonts w:ascii="Times New Roman" w:hAnsi="Times New Roman" w:cs="Times New Roman"/>
          <w:sz w:val="24"/>
          <w:szCs w:val="24"/>
        </w:rPr>
        <w:t xml:space="preserve"> </w:t>
      </w:r>
      <w:r w:rsidRPr="00633318">
        <w:rPr>
          <w:rFonts w:ascii="Times New Roman" w:hAnsi="Times New Roman" w:cs="Times New Roman"/>
          <w:sz w:val="24"/>
          <w:szCs w:val="24"/>
        </w:rPr>
        <w:t>w ramach dobrej praktyki informacyjnej na temat prawidłowego stosowania przepisów.</w:t>
      </w:r>
      <w:r w:rsidR="0009509A" w:rsidRPr="00633318">
        <w:rPr>
          <w:rFonts w:ascii="Times New Roman" w:hAnsi="Times New Roman" w:cs="Times New Roman"/>
          <w:sz w:val="24"/>
          <w:szCs w:val="24"/>
        </w:rPr>
        <w:t xml:space="preserve"> W systemie będą również zamieszczane informacje o okresie ważności opinii i jej zmiany, jak również informacje o ich uchyleniu.</w:t>
      </w:r>
      <w:r w:rsidRPr="00633318">
        <w:rPr>
          <w:rFonts w:ascii="Times New Roman" w:hAnsi="Times New Roman" w:cs="Times New Roman"/>
          <w:sz w:val="24"/>
          <w:szCs w:val="24"/>
        </w:rPr>
        <w:t xml:space="preserve"> Ponadto, w systemie EUREKA zamieszane będą także informacje o nieprawidłowych opiniach w sprawie opodatkowania wyrównawczego, które z powodu likwidacji lub rozwiązania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dla którego opinia w sprawie opodatkowania wyrównawczego</w:t>
      </w:r>
      <w:r w:rsidRPr="00633318" w:rsidDel="00F40878">
        <w:rPr>
          <w:rFonts w:ascii="Times New Roman" w:hAnsi="Times New Roman" w:cs="Times New Roman"/>
          <w:sz w:val="24"/>
          <w:szCs w:val="24"/>
        </w:rPr>
        <w:t xml:space="preserve"> </w:t>
      </w:r>
      <w:r w:rsidRPr="00633318">
        <w:rPr>
          <w:rFonts w:ascii="Times New Roman" w:hAnsi="Times New Roman" w:cs="Times New Roman"/>
          <w:sz w:val="24"/>
          <w:szCs w:val="24"/>
        </w:rPr>
        <w:t>została wydana, nie mogą zostać zmienione.</w:t>
      </w:r>
    </w:p>
    <w:p w14:paraId="375430A9" w14:textId="7988F964" w:rsidR="0009509A"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Jednocześnie, opinia w sprawie opodatkowania wyrównawczego</w:t>
      </w:r>
      <w:r w:rsidR="0009509A" w:rsidRPr="00633318">
        <w:rPr>
          <w:rFonts w:ascii="Times New Roman" w:hAnsi="Times New Roman" w:cs="Times New Roman"/>
          <w:sz w:val="24"/>
          <w:szCs w:val="24"/>
        </w:rPr>
        <w:t xml:space="preserve">, jej zmiana oraz ich uchylenie </w:t>
      </w:r>
      <w:r w:rsidRPr="00633318">
        <w:rPr>
          <w:rFonts w:ascii="Times New Roman" w:hAnsi="Times New Roman" w:cs="Times New Roman"/>
          <w:sz w:val="24"/>
          <w:szCs w:val="24"/>
        </w:rPr>
        <w:t>wraz z informacją o dacie doręczenia będą niezwłocznie przekazywane organom podatkowym właściwym ze względu na zakres spraw będących ich przedmiotem – w celach informacyjnych oraz do wykorzystania służbowego w przypadku czynności prowadzonych wobec podmiotu, którego interpretacja dotyczy.</w:t>
      </w:r>
    </w:p>
    <w:p w14:paraId="03A61994" w14:textId="4927CE1A" w:rsidR="002C7C46" w:rsidRPr="00633318" w:rsidRDefault="0009509A"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Obowiązek publikacji oraz doręczenia właściwemu organowi podatkowemu będzie dotyczył również postanowień wydawanych na podstawie art. 14u § 5 Ordynacji podatkowej, tzn. postanowień o odmowie wydania opinii w sprawie opodatkowania wyrównawczego</w:t>
      </w:r>
      <w:r w:rsidRPr="00633318" w:rsidDel="006A4F82">
        <w:rPr>
          <w:rFonts w:ascii="Times New Roman" w:hAnsi="Times New Roman" w:cs="Times New Roman"/>
          <w:sz w:val="24"/>
          <w:szCs w:val="24"/>
        </w:rPr>
        <w:t xml:space="preserve"> </w:t>
      </w:r>
      <w:r w:rsidRPr="00633318">
        <w:rPr>
          <w:rFonts w:ascii="Times New Roman" w:hAnsi="Times New Roman" w:cs="Times New Roman"/>
          <w:sz w:val="24"/>
          <w:szCs w:val="24"/>
        </w:rPr>
        <w:t xml:space="preserve">w zakresie tych elementów czynności, co do których istnieje uzasadnione przypuszczenie, że mogą stanowić czynność lub element czynności określonej w art. 119a § 1 lub być przedmiotem decyzji wydanej z zastosowaniem środków ograniczających umowne korzyści.   </w:t>
      </w:r>
      <w:r w:rsidR="002C7C46" w:rsidRPr="00633318">
        <w:rPr>
          <w:rFonts w:ascii="Times New Roman" w:hAnsi="Times New Roman" w:cs="Times New Roman"/>
          <w:sz w:val="24"/>
          <w:szCs w:val="24"/>
        </w:rPr>
        <w:t xml:space="preserve"> </w:t>
      </w:r>
    </w:p>
    <w:p w14:paraId="162FE649" w14:textId="672B641E"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Ochrona </w:t>
      </w:r>
      <w:r w:rsidR="00472CD9" w:rsidRPr="00633318">
        <w:rPr>
          <w:rFonts w:ascii="Times New Roman" w:hAnsi="Times New Roman" w:cs="Times New Roman"/>
          <w:b/>
          <w:bCs/>
          <w:sz w:val="24"/>
          <w:szCs w:val="24"/>
        </w:rPr>
        <w:t>zainteresowanego</w:t>
      </w:r>
      <w:r w:rsidRPr="00633318">
        <w:rPr>
          <w:rFonts w:ascii="Times New Roman" w:hAnsi="Times New Roman" w:cs="Times New Roman"/>
          <w:b/>
          <w:bCs/>
          <w:sz w:val="24"/>
          <w:szCs w:val="24"/>
        </w:rPr>
        <w:t xml:space="preserve"> (art. 14z</w:t>
      </w:r>
      <w:r w:rsidR="00F77841" w:rsidRPr="00633318">
        <w:rPr>
          <w:rFonts w:ascii="Times New Roman" w:hAnsi="Times New Roman" w:cs="Times New Roman"/>
          <w:b/>
          <w:bCs/>
          <w:sz w:val="24"/>
          <w:szCs w:val="24"/>
        </w:rPr>
        <w:t>j</w:t>
      </w:r>
      <w:r w:rsidRPr="00633318">
        <w:rPr>
          <w:rFonts w:ascii="Times New Roman" w:hAnsi="Times New Roman" w:cs="Times New Roman"/>
          <w:b/>
          <w:bCs/>
          <w:sz w:val="24"/>
          <w:szCs w:val="24"/>
        </w:rPr>
        <w:t xml:space="preserve"> – 14z</w:t>
      </w:r>
      <w:r w:rsidR="00F77841" w:rsidRPr="00633318">
        <w:rPr>
          <w:rFonts w:ascii="Times New Roman" w:hAnsi="Times New Roman" w:cs="Times New Roman"/>
          <w:b/>
          <w:bCs/>
          <w:sz w:val="24"/>
          <w:szCs w:val="24"/>
        </w:rPr>
        <w:t>l</w:t>
      </w:r>
      <w:r w:rsidRPr="00633318">
        <w:rPr>
          <w:rFonts w:ascii="Times New Roman" w:hAnsi="Times New Roman" w:cs="Times New Roman"/>
          <w:b/>
          <w:bCs/>
          <w:sz w:val="24"/>
          <w:szCs w:val="24"/>
        </w:rPr>
        <w:t>)</w:t>
      </w:r>
    </w:p>
    <w:p w14:paraId="46A235BE" w14:textId="6F0F2D40"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Głównym celem wprowadzenia projektowanej opinii w sprawie opodatkowania wyrównawczego</w:t>
      </w:r>
      <w:r w:rsidRPr="00633318" w:rsidDel="00F40878">
        <w:rPr>
          <w:rFonts w:ascii="Times New Roman" w:hAnsi="Times New Roman" w:cs="Times New Roman"/>
          <w:sz w:val="24"/>
          <w:szCs w:val="24"/>
        </w:rPr>
        <w:t xml:space="preserve"> </w:t>
      </w:r>
      <w:r w:rsidRPr="00633318">
        <w:rPr>
          <w:rFonts w:ascii="Times New Roman" w:hAnsi="Times New Roman" w:cs="Times New Roman"/>
          <w:sz w:val="24"/>
          <w:szCs w:val="24"/>
        </w:rPr>
        <w:t xml:space="preserve">jest zapewnienie ochrony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oraz jednostkom składowym, w imieniu których występuje. Instytucja opinii w sprawie opodatkowania wyrównawczego</w:t>
      </w:r>
      <w:r w:rsidRPr="00633318" w:rsidDel="00F40878">
        <w:rPr>
          <w:rFonts w:ascii="Times New Roman" w:hAnsi="Times New Roman" w:cs="Times New Roman"/>
          <w:sz w:val="24"/>
          <w:szCs w:val="24"/>
        </w:rPr>
        <w:t xml:space="preserve"> </w:t>
      </w:r>
      <w:r w:rsidRPr="00633318">
        <w:rPr>
          <w:rFonts w:ascii="Times New Roman" w:hAnsi="Times New Roman" w:cs="Times New Roman"/>
          <w:sz w:val="24"/>
          <w:szCs w:val="24"/>
        </w:rPr>
        <w:t xml:space="preserve">swoją funkcję gwarancyjną opiera na modelu zasady nieszkodzenia – podobnie jak przy interpretacjach indywidualnych. </w:t>
      </w:r>
    </w:p>
    <w:p w14:paraId="57F48ED7" w14:textId="4414A42A"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Zgodnie z projektowanym przepisem art. 14z</w:t>
      </w:r>
      <w:r w:rsidR="00F77841" w:rsidRPr="00633318">
        <w:rPr>
          <w:rFonts w:ascii="Times New Roman" w:hAnsi="Times New Roman" w:cs="Times New Roman"/>
          <w:sz w:val="24"/>
          <w:szCs w:val="24"/>
        </w:rPr>
        <w:t>j</w:t>
      </w:r>
      <w:r w:rsidRPr="00633318">
        <w:rPr>
          <w:rFonts w:ascii="Times New Roman" w:hAnsi="Times New Roman" w:cs="Times New Roman"/>
          <w:sz w:val="24"/>
          <w:szCs w:val="24"/>
        </w:rPr>
        <w:t xml:space="preserve"> § 1 zastosowanie się do opinii w sprawie opodatkowania wyrównawczego</w:t>
      </w:r>
      <w:r w:rsidRPr="00633318" w:rsidDel="004B76B4">
        <w:rPr>
          <w:rFonts w:ascii="Times New Roman" w:hAnsi="Times New Roman" w:cs="Times New Roman"/>
          <w:sz w:val="24"/>
          <w:szCs w:val="24"/>
        </w:rPr>
        <w:t xml:space="preserve"> </w:t>
      </w:r>
      <w:r w:rsidRPr="00633318">
        <w:rPr>
          <w:rFonts w:ascii="Times New Roman" w:hAnsi="Times New Roman" w:cs="Times New Roman"/>
          <w:sz w:val="24"/>
          <w:szCs w:val="24"/>
        </w:rPr>
        <w:t xml:space="preserve">nie może szkodzić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w następujących przypadkach:</w:t>
      </w:r>
    </w:p>
    <w:p w14:paraId="5C18BF9F" w14:textId="362AEF4F" w:rsidR="002C7C46" w:rsidRPr="00633318" w:rsidRDefault="002C7C46" w:rsidP="002C7467">
      <w:pPr>
        <w:numPr>
          <w:ilvl w:val="0"/>
          <w:numId w:val="107"/>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kiedy zastosował się do opinii w sprawie opodatkowania wyrównawczego</w:t>
      </w:r>
      <w:r w:rsidRPr="00633318" w:rsidDel="004B76B4">
        <w:rPr>
          <w:rFonts w:ascii="Times New Roman" w:hAnsi="Times New Roman" w:cs="Times New Roman"/>
          <w:sz w:val="24"/>
          <w:szCs w:val="24"/>
        </w:rPr>
        <w:t xml:space="preserve"> </w:t>
      </w:r>
      <w:r w:rsidRPr="00633318">
        <w:rPr>
          <w:rFonts w:ascii="Times New Roman" w:hAnsi="Times New Roman" w:cs="Times New Roman"/>
          <w:sz w:val="24"/>
          <w:szCs w:val="24"/>
        </w:rPr>
        <w:t>przed jej zmianą</w:t>
      </w:r>
      <w:r w:rsidR="00E00831" w:rsidRPr="00633318">
        <w:rPr>
          <w:rFonts w:ascii="Times New Roman" w:hAnsi="Times New Roman" w:cs="Times New Roman"/>
          <w:sz w:val="24"/>
          <w:szCs w:val="24"/>
        </w:rPr>
        <w:t xml:space="preserve"> albo uchyleniem</w:t>
      </w:r>
      <w:r w:rsidRPr="00633318">
        <w:rPr>
          <w:rFonts w:ascii="Times New Roman" w:hAnsi="Times New Roman" w:cs="Times New Roman"/>
          <w:sz w:val="24"/>
          <w:szCs w:val="24"/>
        </w:rPr>
        <w:t xml:space="preserve">, </w:t>
      </w:r>
    </w:p>
    <w:p w14:paraId="3C7C17B8" w14:textId="77777777" w:rsidR="002C7C46" w:rsidRPr="00633318" w:rsidRDefault="002C7C46" w:rsidP="002C7467">
      <w:pPr>
        <w:numPr>
          <w:ilvl w:val="0"/>
          <w:numId w:val="107"/>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kiedy zastosował się do opinii w sprawie opodatkowania wyrównawczego</w:t>
      </w:r>
      <w:r w:rsidRPr="00633318" w:rsidDel="004B76B4">
        <w:rPr>
          <w:rFonts w:ascii="Times New Roman" w:hAnsi="Times New Roman" w:cs="Times New Roman"/>
          <w:sz w:val="24"/>
          <w:szCs w:val="24"/>
        </w:rPr>
        <w:t xml:space="preserve"> </w:t>
      </w:r>
      <w:r w:rsidRPr="00633318">
        <w:rPr>
          <w:rFonts w:ascii="Times New Roman" w:hAnsi="Times New Roman" w:cs="Times New Roman"/>
          <w:sz w:val="24"/>
          <w:szCs w:val="24"/>
        </w:rPr>
        <w:t>przed doręczeniem organowi podatkowemu odpisu prawomocnego orzeczenia sądu administracyjnego uchylającego opinię,</w:t>
      </w:r>
    </w:p>
    <w:p w14:paraId="7FA6C954" w14:textId="77777777" w:rsidR="002C7C46" w:rsidRPr="00633318" w:rsidRDefault="002C7C46" w:rsidP="002C7467">
      <w:pPr>
        <w:numPr>
          <w:ilvl w:val="0"/>
          <w:numId w:val="107"/>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przypadku nieuwzględnienia opinii w sprawie opodatkowania wyrównawczego w rozstrzygnięciu sprawy podatkowej. </w:t>
      </w:r>
    </w:p>
    <w:p w14:paraId="3C869367" w14:textId="2F0C0CE2"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 2 przez zasadę nieszkodzenia należy rozumieć </w:t>
      </w:r>
      <w:r w:rsidR="0009509A" w:rsidRPr="00633318">
        <w:rPr>
          <w:rFonts w:ascii="Times New Roman" w:hAnsi="Times New Roman" w:cs="Times New Roman"/>
          <w:sz w:val="24"/>
          <w:szCs w:val="24"/>
        </w:rPr>
        <w:t xml:space="preserve">również </w:t>
      </w:r>
      <w:r w:rsidRPr="00633318">
        <w:rPr>
          <w:rFonts w:ascii="Times New Roman" w:hAnsi="Times New Roman" w:cs="Times New Roman"/>
          <w:sz w:val="24"/>
          <w:szCs w:val="24"/>
        </w:rPr>
        <w:t xml:space="preserve">nienaliczanie odsetek za zwłokę oraz niewszczynanie postępowania w sprawach o przestępstwa skarbowe lub wykroczenia skarbowe bądź umorzenie tych spraw, jeżeli zostały wcześniej wszczęte. Zwolnienie z odpowiedzialności karnoskarbowej oraz obowiązku zapłaty odsetek za zwłokę jest stosowane przez organ podatkowy z urzędu. </w:t>
      </w:r>
    </w:p>
    <w:p w14:paraId="11D1A1E0" w14:textId="1D2D5B6F"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Natomiast zwolnienie z obowiązku zapłaty podatku może nastąpić, o ile skutki podatkowe związane z</w:t>
      </w:r>
      <w:r w:rsidR="00B25F40" w:rsidRPr="00633318">
        <w:rPr>
          <w:rFonts w:ascii="Times New Roman" w:hAnsi="Times New Roman" w:cs="Times New Roman"/>
          <w:sz w:val="24"/>
          <w:szCs w:val="24"/>
        </w:rPr>
        <w:t xml:space="preserve"> czynnościami</w:t>
      </w:r>
      <w:r w:rsidRPr="00633318">
        <w:rPr>
          <w:rFonts w:ascii="Times New Roman" w:hAnsi="Times New Roman" w:cs="Times New Roman"/>
          <w:sz w:val="24"/>
          <w:szCs w:val="24"/>
        </w:rPr>
        <w:t xml:space="preserve">, </w:t>
      </w:r>
      <w:r w:rsidR="0009509A" w:rsidRPr="00633318">
        <w:rPr>
          <w:rFonts w:ascii="Times New Roman" w:hAnsi="Times New Roman" w:cs="Times New Roman"/>
          <w:sz w:val="24"/>
          <w:szCs w:val="24"/>
        </w:rPr>
        <w:t xml:space="preserve">będącymi przedmiotem interpretacji, wystąpiły od dnia opublikowania interpretacji ogólnej lub dnia doręczenia </w:t>
      </w:r>
      <w:r w:rsidRPr="00633318">
        <w:rPr>
          <w:rFonts w:ascii="Times New Roman" w:hAnsi="Times New Roman" w:cs="Times New Roman"/>
          <w:sz w:val="24"/>
          <w:szCs w:val="24"/>
        </w:rPr>
        <w:t>opinii w sprawie opodatkowania wyrównawczego. Istotą zwolnienia z obowiązku zapłaty podatku jest bowiem działanie podatnika na podstawie wskazówek zawartych w opinii w sprawie opodatkowania wyrównawczego lub interpretacji ogólnej. Jeżeli podatnik zastosował przepisy prawa podatkowego w sposób nieprawidłowy stosując się do opinii w sprawie opodatkowania wyrównawczego</w:t>
      </w:r>
      <w:r w:rsidRPr="00633318" w:rsidDel="004B76B4">
        <w:rPr>
          <w:rFonts w:ascii="Times New Roman" w:hAnsi="Times New Roman" w:cs="Times New Roman"/>
          <w:sz w:val="24"/>
          <w:szCs w:val="24"/>
        </w:rPr>
        <w:t xml:space="preserve"> </w:t>
      </w:r>
      <w:r w:rsidRPr="00633318">
        <w:rPr>
          <w:rFonts w:ascii="Times New Roman" w:hAnsi="Times New Roman" w:cs="Times New Roman"/>
          <w:sz w:val="24"/>
          <w:szCs w:val="24"/>
        </w:rPr>
        <w:t>lub interpretacji ogólnej, to nieprawidłowe wykonanie zobowiązania nastąpiło bez jego winy, gdyż stosując opinię dochował należytej staranności. Dlatego też odpowiedzialność za negatywne skutki podatkowe ponosić powinien organ podatkowy (skarb państwa), nie zaś podatnik (art. 14z</w:t>
      </w:r>
      <w:r w:rsidR="00F77841" w:rsidRPr="00633318">
        <w:rPr>
          <w:rFonts w:ascii="Times New Roman" w:hAnsi="Times New Roman" w:cs="Times New Roman"/>
          <w:sz w:val="24"/>
          <w:szCs w:val="24"/>
        </w:rPr>
        <w:t>j</w:t>
      </w:r>
      <w:r w:rsidRPr="00633318">
        <w:rPr>
          <w:rFonts w:ascii="Times New Roman" w:hAnsi="Times New Roman" w:cs="Times New Roman"/>
          <w:sz w:val="24"/>
          <w:szCs w:val="24"/>
        </w:rPr>
        <w:t xml:space="preserve"> § 1). </w:t>
      </w:r>
    </w:p>
    <w:p w14:paraId="323BBE7B"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Zwolnienie z obowiązku zapłaty podatku następuje na wniosek podatnika, który zastosował się do opinii w sprawie opodatkowania wyrównawczego. Wysokość podatku objętego zwolnieniem wskazana będzie w decyzji określającej wysokość zobowiązania podatkowego albo – w przypadku uiszczenia podatku w zakresie objętym tym zwolnieniem – określona zostanie wysokość nadpłaty podatku.</w:t>
      </w:r>
    </w:p>
    <w:p w14:paraId="39073FB0"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Zwolnienie z obowiązku zapłaty podatku obejmuje okres do końca roku podatkowego, w którym opublikowano zmienioną interpretację ogólną lub doręczono zmienioną opinię w sprawie opodatkowania wyrównawczego</w:t>
      </w:r>
      <w:r w:rsidRPr="00633318" w:rsidDel="00CC284F">
        <w:rPr>
          <w:rFonts w:ascii="Times New Roman" w:hAnsi="Times New Roman" w:cs="Times New Roman"/>
          <w:sz w:val="24"/>
          <w:szCs w:val="24"/>
        </w:rPr>
        <w:t xml:space="preserve"> </w:t>
      </w:r>
      <w:r w:rsidRPr="00633318">
        <w:rPr>
          <w:rFonts w:ascii="Times New Roman" w:hAnsi="Times New Roman" w:cs="Times New Roman"/>
          <w:sz w:val="24"/>
          <w:szCs w:val="24"/>
        </w:rPr>
        <w:t>albo doręczono organowi podatkowemu odpis orzeczenia sądu administracyjnego uchylającego opinię w sprawie opodatkowania wyrównawczego</w:t>
      </w:r>
      <w:r w:rsidRPr="00633318" w:rsidDel="00CC284F">
        <w:rPr>
          <w:rFonts w:ascii="Times New Roman" w:hAnsi="Times New Roman" w:cs="Times New Roman"/>
          <w:sz w:val="24"/>
          <w:szCs w:val="24"/>
        </w:rPr>
        <w:t xml:space="preserve"> </w:t>
      </w:r>
      <w:r w:rsidRPr="00633318">
        <w:rPr>
          <w:rFonts w:ascii="Times New Roman" w:hAnsi="Times New Roman" w:cs="Times New Roman"/>
          <w:sz w:val="24"/>
          <w:szCs w:val="24"/>
        </w:rPr>
        <w:t>ze stwierdzeniem jego prawomocności.</w:t>
      </w:r>
    </w:p>
    <w:p w14:paraId="662315F5" w14:textId="70196300"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Wyłączenie stosowania ochrony (art. 14z</w:t>
      </w:r>
      <w:r w:rsidR="00F77841" w:rsidRPr="00633318">
        <w:rPr>
          <w:rFonts w:ascii="Times New Roman" w:hAnsi="Times New Roman" w:cs="Times New Roman"/>
          <w:b/>
          <w:bCs/>
          <w:sz w:val="24"/>
          <w:szCs w:val="24"/>
        </w:rPr>
        <w:t>m</w:t>
      </w:r>
      <w:r w:rsidRPr="00633318">
        <w:rPr>
          <w:rFonts w:ascii="Times New Roman" w:hAnsi="Times New Roman" w:cs="Times New Roman"/>
          <w:b/>
          <w:bCs/>
          <w:sz w:val="24"/>
          <w:szCs w:val="24"/>
        </w:rPr>
        <w:t>)</w:t>
      </w:r>
    </w:p>
    <w:p w14:paraId="6B0E3BBB" w14:textId="78891D9A"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Funkcja ochronna, zarówno w zakresie zwolnienia z obowiązku zapłaty podatku, obowiązku zapłaty odsetek jak i odpowiedzialności karnoskarbowej, może zostać wyłączona w przypadku zaistnienia wskazanych w ustawie przesłanek. Przepisy o ochronie (art. 14z</w:t>
      </w:r>
      <w:r w:rsidR="00F77841" w:rsidRPr="00633318">
        <w:rPr>
          <w:rFonts w:ascii="Times New Roman" w:hAnsi="Times New Roman" w:cs="Times New Roman"/>
          <w:sz w:val="24"/>
          <w:szCs w:val="24"/>
        </w:rPr>
        <w:t>j</w:t>
      </w:r>
      <w:r w:rsidRPr="00633318">
        <w:rPr>
          <w:rFonts w:ascii="Times New Roman" w:hAnsi="Times New Roman" w:cs="Times New Roman"/>
          <w:sz w:val="24"/>
          <w:szCs w:val="24"/>
        </w:rPr>
        <w:t>-14z</w:t>
      </w:r>
      <w:r w:rsidR="00F77841" w:rsidRPr="00633318">
        <w:rPr>
          <w:rFonts w:ascii="Times New Roman" w:hAnsi="Times New Roman" w:cs="Times New Roman"/>
          <w:sz w:val="24"/>
          <w:szCs w:val="24"/>
        </w:rPr>
        <w:t>l</w:t>
      </w:r>
      <w:r w:rsidRPr="00633318">
        <w:rPr>
          <w:rFonts w:ascii="Times New Roman" w:hAnsi="Times New Roman" w:cs="Times New Roman"/>
          <w:sz w:val="24"/>
          <w:szCs w:val="24"/>
        </w:rPr>
        <w:t>) nie będą</w:t>
      </w:r>
      <w:r w:rsidR="0009509A" w:rsidRPr="00633318">
        <w:rPr>
          <w:rFonts w:ascii="Times New Roman" w:hAnsi="Times New Roman" w:cs="Times New Roman"/>
          <w:sz w:val="24"/>
          <w:szCs w:val="24"/>
        </w:rPr>
        <w:t xml:space="preserve"> jednak</w:t>
      </w:r>
      <w:r w:rsidRPr="00633318">
        <w:rPr>
          <w:rFonts w:ascii="Times New Roman" w:hAnsi="Times New Roman" w:cs="Times New Roman"/>
          <w:sz w:val="24"/>
          <w:szCs w:val="24"/>
        </w:rPr>
        <w:t xml:space="preserve"> stosowane w sytuacji, gdy opinia w sprawie opodatkowania wyrównawczego</w:t>
      </w:r>
      <w:r w:rsidRPr="00633318" w:rsidDel="00CC284F">
        <w:rPr>
          <w:rFonts w:ascii="Times New Roman" w:hAnsi="Times New Roman" w:cs="Times New Roman"/>
          <w:sz w:val="24"/>
          <w:szCs w:val="24"/>
        </w:rPr>
        <w:t xml:space="preserve"> </w:t>
      </w:r>
      <w:r w:rsidRPr="00633318">
        <w:rPr>
          <w:rFonts w:ascii="Times New Roman" w:hAnsi="Times New Roman" w:cs="Times New Roman"/>
          <w:sz w:val="24"/>
          <w:szCs w:val="24"/>
        </w:rPr>
        <w:t>będzie stanowić element czynności będących przedmiotem decyzji wydanej w związku z zastosowaniem art. 119a. (klauzula przeciwko unikaniu opodatkowania) bądź z zastosowaniem środków ograniczających umowne korzyści. Projektowane wyłączenie ma na celu zapobieganie ewentualnym nadużyciom prawa przy wykorzystaniu opinii w sprawie opodatkowania wyrównawczego. Opinia w sprawie opodatkowania wyrównawczego</w:t>
      </w:r>
      <w:r w:rsidRPr="00633318" w:rsidDel="00CC284F">
        <w:rPr>
          <w:rFonts w:ascii="Times New Roman" w:hAnsi="Times New Roman" w:cs="Times New Roman"/>
          <w:sz w:val="24"/>
          <w:szCs w:val="24"/>
        </w:rPr>
        <w:t xml:space="preserve"> </w:t>
      </w:r>
      <w:r w:rsidRPr="00633318">
        <w:rPr>
          <w:rFonts w:ascii="Times New Roman" w:hAnsi="Times New Roman" w:cs="Times New Roman"/>
          <w:sz w:val="24"/>
          <w:szCs w:val="24"/>
        </w:rPr>
        <w:t xml:space="preserve">ma bowiem na celu wskazanie prawidłowego sposobu stosowania przepisów podatkowych w zakresie podatku wyrównawczego oraz zapewnienie ochrony podmiotom, które dołożyły należytej staranności, by przepisy stosować zgodnie z ich przeznaczeniem. </w:t>
      </w:r>
    </w:p>
    <w:p w14:paraId="1C166C12" w14:textId="3F41967B"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Analogicznie, wyłączenie ochrony będzie mieć zastosowanie również w przypadku, gdy korzyść podatkowa stwierdzona w decyzji wydanej z zastosowaniem art. 119a będzie skutkiem zastosowania się do interpretacji ogólnej lub objaśnień podatkowych dotyczących podatku wyrównawczego (art. 14z</w:t>
      </w:r>
      <w:r w:rsidR="00F77841" w:rsidRPr="00633318">
        <w:rPr>
          <w:rFonts w:ascii="Times New Roman" w:hAnsi="Times New Roman" w:cs="Times New Roman"/>
          <w:sz w:val="24"/>
          <w:szCs w:val="24"/>
        </w:rPr>
        <w:t>m</w:t>
      </w:r>
      <w:r w:rsidRPr="00633318">
        <w:rPr>
          <w:rFonts w:ascii="Times New Roman" w:hAnsi="Times New Roman" w:cs="Times New Roman"/>
          <w:sz w:val="24"/>
          <w:szCs w:val="24"/>
        </w:rPr>
        <w:t xml:space="preserve"> § 2). </w:t>
      </w:r>
    </w:p>
    <w:p w14:paraId="233CC130" w14:textId="5236B823"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Odpowiednie stosowanie innych przepisów (art. 14z</w:t>
      </w:r>
      <w:r w:rsidR="00F77841" w:rsidRPr="00633318">
        <w:rPr>
          <w:rFonts w:ascii="Times New Roman" w:hAnsi="Times New Roman" w:cs="Times New Roman"/>
          <w:b/>
          <w:bCs/>
          <w:sz w:val="24"/>
          <w:szCs w:val="24"/>
        </w:rPr>
        <w:t>n</w:t>
      </w:r>
      <w:r w:rsidRPr="00633318">
        <w:rPr>
          <w:rFonts w:ascii="Times New Roman" w:hAnsi="Times New Roman" w:cs="Times New Roman"/>
          <w:b/>
          <w:bCs/>
          <w:sz w:val="24"/>
          <w:szCs w:val="24"/>
        </w:rPr>
        <w:t>)</w:t>
      </w:r>
    </w:p>
    <w:p w14:paraId="6CCC0F53"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 projekcie przyjęto, że do przepisów o opinii w sprawie opodatkowania wyrównawczego</w:t>
      </w:r>
      <w:r w:rsidRPr="00633318" w:rsidDel="00CC284F">
        <w:rPr>
          <w:rFonts w:ascii="Times New Roman" w:hAnsi="Times New Roman" w:cs="Times New Roman"/>
          <w:sz w:val="24"/>
          <w:szCs w:val="24"/>
        </w:rPr>
        <w:t xml:space="preserve"> </w:t>
      </w:r>
      <w:r w:rsidRPr="00633318">
        <w:rPr>
          <w:rFonts w:ascii="Times New Roman" w:hAnsi="Times New Roman" w:cs="Times New Roman"/>
          <w:sz w:val="24"/>
          <w:szCs w:val="24"/>
        </w:rPr>
        <w:t>odpowiednie stosowanie będą mieć przepisy art. 120, art. 121 § 1, art. 125, art. 126, art. 129, art. 130, art. 135, art. 140, art. 143, art. 165 § 3b, art. 165a, art. 168, art. 169 § 1-2 i 4, art. 170, art. 171, art. 208, art. 213 w zakresie uzupełniania lub sprostowania co do skargi do sądu administracyjnego, art. 214, art. 215 § 1 i 3 oraz przepisy rozdziałów 3a, 5, 6, 7, 9, 10</w:t>
      </w:r>
      <w:r w:rsidRPr="00633318" w:rsidDel="00CC284F">
        <w:rPr>
          <w:rFonts w:ascii="Times New Roman" w:hAnsi="Times New Roman" w:cs="Times New Roman"/>
          <w:sz w:val="24"/>
          <w:szCs w:val="24"/>
        </w:rPr>
        <w:t xml:space="preserve"> </w:t>
      </w:r>
      <w:r w:rsidRPr="00633318">
        <w:rPr>
          <w:rFonts w:ascii="Times New Roman" w:hAnsi="Times New Roman" w:cs="Times New Roman"/>
          <w:sz w:val="24"/>
          <w:szCs w:val="24"/>
        </w:rPr>
        <w:t>, 14, 16 i 23 działu IV.</w:t>
      </w:r>
    </w:p>
    <w:p w14:paraId="6B74C887" w14:textId="4DCCC15B" w:rsidR="002C7C46" w:rsidRPr="00633318" w:rsidRDefault="002C7C46" w:rsidP="009E73F7">
      <w:pPr>
        <w:numPr>
          <w:ilvl w:val="0"/>
          <w:numId w:val="150"/>
        </w:numPr>
        <w:autoSpaceDE w:val="0"/>
        <w:autoSpaceDN w:val="0"/>
        <w:adjustRightInd w:val="0"/>
        <w:spacing w:before="120"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Rada do </w:t>
      </w:r>
      <w:r w:rsidR="00547776" w:rsidRPr="00633318">
        <w:rPr>
          <w:rFonts w:ascii="Times New Roman" w:hAnsi="Times New Roman" w:cs="Times New Roman"/>
          <w:b/>
          <w:bCs/>
          <w:sz w:val="24"/>
          <w:szCs w:val="24"/>
        </w:rPr>
        <w:t>spraw</w:t>
      </w:r>
      <w:r w:rsidRPr="00633318">
        <w:rPr>
          <w:rFonts w:ascii="Times New Roman" w:hAnsi="Times New Roman" w:cs="Times New Roman"/>
          <w:b/>
          <w:bCs/>
          <w:sz w:val="24"/>
          <w:szCs w:val="24"/>
        </w:rPr>
        <w:t xml:space="preserve"> Podatku Wyrównawczego. </w:t>
      </w:r>
      <w:r w:rsidR="0009509A" w:rsidRPr="00633318">
        <w:rPr>
          <w:rFonts w:ascii="Times New Roman" w:hAnsi="Times New Roman" w:cs="Times New Roman"/>
          <w:b/>
          <w:bCs/>
          <w:sz w:val="24"/>
          <w:szCs w:val="24"/>
        </w:rPr>
        <w:t xml:space="preserve">(dodanie rozdziału 1c w dziale II Rada do </w:t>
      </w:r>
      <w:r w:rsidR="00547776" w:rsidRPr="00633318">
        <w:rPr>
          <w:rFonts w:ascii="Times New Roman" w:hAnsi="Times New Roman" w:cs="Times New Roman"/>
          <w:b/>
          <w:bCs/>
          <w:sz w:val="24"/>
          <w:szCs w:val="24"/>
        </w:rPr>
        <w:t>spraw</w:t>
      </w:r>
      <w:r w:rsidR="0009509A" w:rsidRPr="00633318">
        <w:rPr>
          <w:rFonts w:ascii="Times New Roman" w:hAnsi="Times New Roman" w:cs="Times New Roman"/>
          <w:b/>
          <w:bCs/>
          <w:sz w:val="24"/>
          <w:szCs w:val="24"/>
        </w:rPr>
        <w:t xml:space="preserve"> Opodatkowania Wyrównawczego, art. 14zo – art. </w:t>
      </w:r>
      <w:r w:rsidR="004B27A7" w:rsidRPr="00633318">
        <w:rPr>
          <w:rFonts w:ascii="Times New Roman" w:hAnsi="Times New Roman" w:cs="Times New Roman"/>
          <w:b/>
          <w:bCs/>
          <w:sz w:val="24"/>
          <w:szCs w:val="24"/>
        </w:rPr>
        <w:t>14zw</w:t>
      </w:r>
      <w:r w:rsidR="0009509A" w:rsidRPr="00633318">
        <w:rPr>
          <w:rFonts w:ascii="Times New Roman" w:hAnsi="Times New Roman" w:cs="Times New Roman"/>
          <w:b/>
          <w:bCs/>
          <w:sz w:val="24"/>
          <w:szCs w:val="24"/>
        </w:rPr>
        <w:t>)</w:t>
      </w:r>
    </w:p>
    <w:p w14:paraId="7A3DDA1A" w14:textId="238AA64E"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Specyfika ustawy </w:t>
      </w:r>
      <w:r w:rsidR="00AE1F37" w:rsidRPr="00633318">
        <w:rPr>
          <w:rFonts w:ascii="Times New Roman" w:hAnsi="Times New Roman" w:cs="Times New Roman"/>
          <w:sz w:val="24"/>
          <w:szCs w:val="24"/>
        </w:rPr>
        <w:t xml:space="preserve">o opodatkowaniu wyrównawczym </w:t>
      </w:r>
      <w:r w:rsidRPr="00633318">
        <w:rPr>
          <w:rFonts w:ascii="Times New Roman" w:hAnsi="Times New Roman" w:cs="Times New Roman"/>
          <w:sz w:val="24"/>
          <w:szCs w:val="24"/>
        </w:rPr>
        <w:t>zawiera rozwiązania, które mogą wymagać dokonania – przez pryzmat przepisów krajowych - oceny instytucji funkcjonującej w inn</w:t>
      </w:r>
      <w:r w:rsidR="008E3061" w:rsidRPr="00633318">
        <w:rPr>
          <w:rFonts w:ascii="Times New Roman" w:hAnsi="Times New Roman" w:cs="Times New Roman"/>
          <w:sz w:val="24"/>
          <w:szCs w:val="24"/>
        </w:rPr>
        <w:t>ej</w:t>
      </w:r>
      <w:r w:rsidRPr="00633318">
        <w:rPr>
          <w:rFonts w:ascii="Times New Roman" w:hAnsi="Times New Roman" w:cs="Times New Roman"/>
          <w:sz w:val="24"/>
          <w:szCs w:val="24"/>
        </w:rPr>
        <w:t xml:space="preserve"> </w:t>
      </w:r>
      <w:r w:rsidR="008E3061" w:rsidRPr="00633318">
        <w:rPr>
          <w:rFonts w:ascii="Times New Roman" w:hAnsi="Times New Roman" w:cs="Times New Roman"/>
          <w:sz w:val="24"/>
          <w:szCs w:val="24"/>
        </w:rPr>
        <w:t>jurysdykcji</w:t>
      </w:r>
      <w:r w:rsidRPr="00633318">
        <w:rPr>
          <w:rFonts w:ascii="Times New Roman" w:hAnsi="Times New Roman" w:cs="Times New Roman"/>
          <w:sz w:val="24"/>
          <w:szCs w:val="24"/>
        </w:rPr>
        <w:t>. Co więcej, w niektórych przypadkach zachodzić będzie również konieczność dokonania oceny systemu inne</w:t>
      </w:r>
      <w:r w:rsidR="008E3061"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8E3061"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pod kątem jego porównywalności z </w:t>
      </w:r>
      <w:r w:rsidR="0007799D" w:rsidRPr="00633318">
        <w:rPr>
          <w:rFonts w:ascii="Times New Roman" w:hAnsi="Times New Roman" w:cs="Times New Roman"/>
          <w:sz w:val="24"/>
          <w:szCs w:val="24"/>
        </w:rPr>
        <w:t>Modelowymi zasadami OECD</w:t>
      </w:r>
      <w:r w:rsidRPr="00633318">
        <w:rPr>
          <w:rFonts w:ascii="Times New Roman" w:hAnsi="Times New Roman" w:cs="Times New Roman"/>
          <w:sz w:val="24"/>
          <w:szCs w:val="24"/>
        </w:rPr>
        <w:t>.</w:t>
      </w:r>
    </w:p>
    <w:p w14:paraId="31E5096A" w14:textId="0A9E796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Dodatkowo ustawa o opodatkowaniu wyrównawczym w wielu miejscach odnosi się do pojęć i zasad wynikających z przepisów o rachunkowości, MSR i MSSF, często je definiując na potrzeby tej ustawy. W zakresie zaś nieuregulowanym odsyła do stosowania zasad wynikających z przepisów o rachunkowości. </w:t>
      </w:r>
    </w:p>
    <w:p w14:paraId="36C29B71" w14:textId="191AB63C" w:rsidR="0009509A" w:rsidRPr="00633318" w:rsidRDefault="0009509A" w:rsidP="0009509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Powołanie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Opodatkowania Wyrównawczego jako ciała o charakterze doradczym, którego stanowisko będzie traktowane jako dodatkowy materiał merytoryczny w procesie wydawania przez Dyrektora Krajowej Informacji Skarbowej opinii w sprawie opodatkowania wyrównawczego jest potrzebne, gdyż mimo założenia, że Krajowa Administracja Skarbowa (w tym Krajowa Informacja Skarbowa) będzie dysponować przeszkolonym zapleczem kadrowym, bardzo cennym źródłem informacji na potrzeby opinii będzie ocena specjalistów wywodzących się spoza organów administracji.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skupiająca ekspertów z różnych dziedzin, będzie stanowić cenne wsparcie dla tych instytucji, zapewniając tym samym wysoki poziom rozstrzygnięć zawartych w opiniach w sprawie opodatkowania wyrównawczego.  </w:t>
      </w:r>
    </w:p>
    <w:p w14:paraId="62D209CD" w14:textId="07B8716D" w:rsidR="0009509A" w:rsidRPr="00633318" w:rsidRDefault="0009509A" w:rsidP="0009509A">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Należy jednakże podkreślić, że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ma z założenia pełnić charakter konsultacyjny, poszerzając perspektywę organu wydającego opinię w sprawie opodatkowania wyrównawczego na kwestie dotyczące funkcjonalnej specyfiki Systemu GloBE. </w:t>
      </w:r>
    </w:p>
    <w:p w14:paraId="2ECEEFD1" w14:textId="46DC14DE" w:rsidR="0009509A" w:rsidRPr="00633318" w:rsidRDefault="0009509A" w:rsidP="0009509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Wprowadzane niniejszą ustawą przepisy zakorzenione są w dorobku OECD (w szczególności w </w:t>
      </w:r>
      <w:r w:rsidR="00595132" w:rsidRPr="00633318">
        <w:rPr>
          <w:rFonts w:ascii="Times New Roman" w:hAnsi="Times New Roman" w:cs="Times New Roman"/>
          <w:sz w:val="24"/>
          <w:szCs w:val="24"/>
        </w:rPr>
        <w:t>Modelowych zasad</w:t>
      </w:r>
      <w:r w:rsidRPr="00633318">
        <w:rPr>
          <w:rFonts w:ascii="Times New Roman" w:hAnsi="Times New Roman" w:cs="Times New Roman"/>
          <w:sz w:val="24"/>
          <w:szCs w:val="24"/>
        </w:rPr>
        <w:t xml:space="preserve">ach i Wytycznych Administracyjnych) z którym na poziomie eksperckim zaznajomiona jest jak na razie jedynie bardzo wąska część specjalistów w zakresie polskiego i międzynarodowego prawa podatkowego, którzy często nie są bezpośrednio powiązani z administracją podatkową. W związku z powyższym, a także biorąc pod uwagę bezprecedensowość projektowanej regulacji skoncentrowanie kompetencji specjalistów w ramach projektowanego ciała doradczego niewątpliwie stanowić będzie wartość dodaną w zakresie prawidłowego funkcjonowania systemu opodatkowania wyrównawczego w kraju, a co za tym idzie, całości Systemu GloBE. </w:t>
      </w:r>
    </w:p>
    <w:p w14:paraId="53D2DF72" w14:textId="77777777" w:rsidR="0009509A" w:rsidRPr="00633318" w:rsidRDefault="0009509A" w:rsidP="0009509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Współudział niezależnych ekspertów w procesie wydawania instrumentów interpretacyjnych może również przyczynić się do wzmacniania wizerunku Krajowej Informacji Skarbowej oraz całej Krajowej Administracji Skarbowej jako instytucji otwartych na dialog z różnymi środowiskami w ramach prowadzonych przez siebie postępowań oraz innych czynności.</w:t>
      </w:r>
    </w:p>
    <w:p w14:paraId="5BD2ECEF" w14:textId="77777777" w:rsidR="0009509A" w:rsidRPr="00633318" w:rsidRDefault="0009509A" w:rsidP="0009509A">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Dorobek OECD w zakresie GloBE nie składa się z przepisów prawa, niemniej treść zawartych w nim zaleceń i wytycznych wymaga dokonania rekonstrukcji znaczeniowej podobnej w swojej naturze do procesu wykładniczego. Opinia Rady ma więc w założeniu stanowić dokument określający systemowe i funkcjonalne znaczenie poszczególnych elementów dorobku GloBE, do których odnoszą się przepisy ustawy o podatku wyrównawczym.</w:t>
      </w:r>
    </w:p>
    <w:p w14:paraId="45D86278" w14:textId="77777777" w:rsidR="0009509A" w:rsidRPr="00633318" w:rsidRDefault="0009509A" w:rsidP="0009509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Osoby powoływane do Rady będą musiały legitymować się wiedzą, doświadczeniem w zakresie prawa podatkowego, prawa gospodarczego, rachunkowości lub systemu finansowego, prawa gospodarczego, międzynarodowego prawa gospodarczego i wytycznych OECD lub dorobku GloBE, dającą rękojmię prawidłowej realizacji zadań. Mając na uwadze istotne </w:t>
      </w:r>
      <w:r w:rsidRPr="00633318">
        <w:rPr>
          <w:rFonts w:ascii="Times New Roman" w:hAnsi="Times New Roman" w:cs="Times New Roman"/>
          <w:color w:val="000000"/>
          <w:sz w:val="24"/>
          <w:szCs w:val="24"/>
        </w:rPr>
        <w:t xml:space="preserve">funkcje przypisane do Rady, przekładające się na pobór podatku wyrównawczego, a tym samym mające na celu ochronę ogólnych interesów państwa polskiego uzasadnione jest wymaganie od członków tej Rady obywatelstwa polskiego. </w:t>
      </w:r>
    </w:p>
    <w:p w14:paraId="194660AD" w14:textId="4E522706" w:rsidR="0009509A" w:rsidRPr="00633318" w:rsidRDefault="0009509A" w:rsidP="0009509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Brak odpowiedniego forum wymiany informacji i wypracowywania wspólnych stanowisk może prowadzić do niejednolitej interpretacji przepisów ustawy Globe i podatku wyrównawczego przez podatników i organy administracji skarbowej.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działając do pewnego stopnia jako platforma dialogu, może pomóc zapobiec takim sytuacjom i zapewnić spójne stosowanie prawa.</w:t>
      </w:r>
    </w:p>
    <w:p w14:paraId="3BF78079" w14:textId="361D4468" w:rsidR="0009509A" w:rsidRPr="00633318" w:rsidRDefault="0009509A" w:rsidP="0009509A">
      <w:pPr>
        <w:spacing w:after="120" w:line="276" w:lineRule="auto"/>
        <w:jc w:val="both"/>
        <w:rPr>
          <w:rFonts w:ascii="Times New Roman" w:hAnsi="Times New Roman" w:cs="Times New Roman"/>
          <w:sz w:val="24"/>
          <w:szCs w:val="24"/>
        </w:rPr>
      </w:pPr>
      <w:r w:rsidRPr="00633318">
        <w:rPr>
          <w:rFonts w:ascii="Times New Roman" w:hAnsi="Times New Roman" w:cs="Times New Roman"/>
          <w:sz w:val="24"/>
          <w:szCs w:val="24"/>
        </w:rPr>
        <w:t xml:space="preserve">W związku z faktem, że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będzie w całości finansowana z dochodów pochodzących z opłat za wydanie opinii w sprawie opodatkowania wyrównawczego nie będzie to ciało doradcze, którego funkcjonowanie będzie stanowić obciążenie dla budżetu państwa, może natomiast przyczynić się do zwiększenia rzetelności i prawidłowości wydawanych opinii, a co za tym idzie reputacji tego instrumentu i jego atrakcyjności dla potencjalnych zainteresowanych.</w:t>
      </w:r>
    </w:p>
    <w:p w14:paraId="3AA6E5A0" w14:textId="6CF5DEE7" w:rsidR="002C7C46" w:rsidRPr="00633318" w:rsidRDefault="005A53AD"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Opinia Rady</w:t>
      </w:r>
      <w:r w:rsidR="002C7C46" w:rsidRPr="00633318">
        <w:rPr>
          <w:rFonts w:ascii="Times New Roman" w:hAnsi="Times New Roman" w:cs="Times New Roman"/>
          <w:sz w:val="24"/>
          <w:szCs w:val="24"/>
        </w:rPr>
        <w:t xml:space="preserve"> ma mieć charakter pomocniczy względem opinii w sprawie opodatkowania wyrównawczego wydawanej przez Dyrektor</w:t>
      </w:r>
      <w:r w:rsidR="00044CCF" w:rsidRPr="00633318">
        <w:rPr>
          <w:rFonts w:ascii="Times New Roman" w:hAnsi="Times New Roman" w:cs="Times New Roman"/>
          <w:sz w:val="24"/>
          <w:szCs w:val="24"/>
        </w:rPr>
        <w:t>a</w:t>
      </w:r>
      <w:r w:rsidR="002C7C46" w:rsidRPr="00633318">
        <w:rPr>
          <w:rFonts w:ascii="Times New Roman" w:hAnsi="Times New Roman" w:cs="Times New Roman"/>
          <w:sz w:val="24"/>
          <w:szCs w:val="24"/>
        </w:rPr>
        <w:t xml:space="preserve"> KIS </w:t>
      </w:r>
      <w:r w:rsidR="0009509A" w:rsidRPr="00633318">
        <w:rPr>
          <w:rFonts w:ascii="Times New Roman" w:hAnsi="Times New Roman" w:cs="Times New Roman"/>
          <w:sz w:val="24"/>
          <w:szCs w:val="24"/>
        </w:rPr>
        <w:t>oraz zapewnić udział czynnika eksperckiego w</w:t>
      </w:r>
      <w:r w:rsidR="002C7C46" w:rsidRPr="00633318">
        <w:rPr>
          <w:rFonts w:ascii="Times New Roman" w:hAnsi="Times New Roman" w:cs="Times New Roman"/>
          <w:sz w:val="24"/>
          <w:szCs w:val="24"/>
        </w:rPr>
        <w:t xml:space="preserve"> wykładni prawa dotyczącego podatku wyrównawczego przez organ opiniodawczy. Jednocześnie, działanie Rady przyczyni się do zapewnienia jednolitości wykładni oraz ma na celu zapewnienie dodatkowego wsparcia merytorycznego a przy tym i obiektywizmu organu interpretacyjnego.  </w:t>
      </w:r>
    </w:p>
    <w:p w14:paraId="0B954536" w14:textId="04504315"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założeniu opinia ma być dla Dyrektora KIS podporą interpretacyjną na zasadzie podobnej do wyrażanych za pomocą komentarzy czy glos wypowiedzi doktryny dotyczących złożonego problemu prawnego. Takie wypowiedzi doktryny są obecnie niekiedy wykorzystywane w procesie wydawania interpretacji indywidualnych. </w:t>
      </w:r>
    </w:p>
    <w:p w14:paraId="162A38CD" w14:textId="6CD1BE7A" w:rsidR="0038588C" w:rsidRPr="00633318" w:rsidRDefault="0038588C"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Opinia Rady może mieć przełożenie na merytoryczną zawartość wydawanej opinii w sprawie opodatkowania wyrównawczego wyłącznie, jeżeli taka będzie decyzja Dyrektora KIS – sama opinia Rady nie ma w żadnym wypadku mocy wiążącej.</w:t>
      </w:r>
    </w:p>
    <w:p w14:paraId="4F5FF0D4" w14:textId="2382B6B4"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Biorąc pod uwagę, specyfikę </w:t>
      </w:r>
      <w:r w:rsidR="008235AD" w:rsidRPr="00633318">
        <w:rPr>
          <w:rFonts w:ascii="Times New Roman" w:hAnsi="Times New Roman" w:cs="Times New Roman"/>
          <w:sz w:val="24"/>
          <w:szCs w:val="24"/>
        </w:rPr>
        <w:t xml:space="preserve">Systemu </w:t>
      </w:r>
      <w:r w:rsidRPr="00633318">
        <w:rPr>
          <w:rFonts w:ascii="Times New Roman" w:hAnsi="Times New Roman" w:cs="Times New Roman"/>
          <w:sz w:val="24"/>
          <w:szCs w:val="24"/>
        </w:rPr>
        <w:t xml:space="preserve">GloBE w kontekście procesu </w:t>
      </w:r>
      <w:r w:rsidRPr="00633318">
        <w:rPr>
          <w:rFonts w:ascii="Times New Roman" w:hAnsi="Times New Roman" w:cs="Times New Roman"/>
          <w:i/>
          <w:iCs/>
          <w:sz w:val="24"/>
          <w:szCs w:val="24"/>
        </w:rPr>
        <w:t>peer review</w:t>
      </w:r>
      <w:r w:rsidRPr="00633318">
        <w:rPr>
          <w:rFonts w:ascii="Times New Roman" w:hAnsi="Times New Roman" w:cs="Times New Roman"/>
          <w:sz w:val="24"/>
          <w:szCs w:val="24"/>
        </w:rPr>
        <w:t xml:space="preserve"> i związanej z nim konieczności zachowania w toku procesu wykładni przepisów o podatku wyrównawczym zgodności z dorobkiem OECD dotyczącym </w:t>
      </w:r>
      <w:r w:rsidR="008235AD" w:rsidRPr="00633318">
        <w:rPr>
          <w:rFonts w:ascii="Times New Roman" w:hAnsi="Times New Roman" w:cs="Times New Roman"/>
          <w:sz w:val="24"/>
          <w:szCs w:val="24"/>
        </w:rPr>
        <w:t xml:space="preserve">Systemu </w:t>
      </w:r>
      <w:r w:rsidRPr="00633318">
        <w:rPr>
          <w:rFonts w:ascii="Times New Roman" w:hAnsi="Times New Roman" w:cs="Times New Roman"/>
          <w:sz w:val="24"/>
          <w:szCs w:val="24"/>
        </w:rPr>
        <w:t xml:space="preserve">GloBE, przynajmniej w początkowym okresie, wskazana jest maksymalna centralizacja procesu interpretowania przepisów implementujących </w:t>
      </w:r>
      <w:r w:rsidR="008235AD" w:rsidRPr="00633318">
        <w:rPr>
          <w:rFonts w:ascii="Times New Roman" w:hAnsi="Times New Roman" w:cs="Times New Roman"/>
          <w:sz w:val="24"/>
          <w:szCs w:val="24"/>
        </w:rPr>
        <w:t xml:space="preserve">Zasady </w:t>
      </w:r>
      <w:r w:rsidRPr="00633318">
        <w:rPr>
          <w:rFonts w:ascii="Times New Roman" w:hAnsi="Times New Roman" w:cs="Times New Roman"/>
          <w:sz w:val="24"/>
          <w:szCs w:val="24"/>
        </w:rPr>
        <w:t xml:space="preserve">GloBE. </w:t>
      </w:r>
    </w:p>
    <w:p w14:paraId="527CA0A8" w14:textId="30CDE29B" w:rsidR="002C7C46" w:rsidRPr="00633318" w:rsidRDefault="00F8745B"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w:t>
      </w:r>
      <w:r w:rsidR="002C7C46" w:rsidRPr="00633318">
        <w:rPr>
          <w:rFonts w:ascii="Times New Roman" w:hAnsi="Times New Roman" w:cs="Times New Roman"/>
          <w:sz w:val="24"/>
          <w:szCs w:val="24"/>
        </w:rPr>
        <w:t xml:space="preserve">godnie z projektem, Dyrektor KIS może, w toku postępowania, zasięgnąć opinii Rady do </w:t>
      </w:r>
      <w:r w:rsidR="00547776" w:rsidRPr="00633318">
        <w:rPr>
          <w:rFonts w:ascii="Times New Roman" w:hAnsi="Times New Roman" w:cs="Times New Roman"/>
          <w:sz w:val="24"/>
          <w:szCs w:val="24"/>
        </w:rPr>
        <w:t>spraw</w:t>
      </w:r>
      <w:r w:rsidR="002C7C46" w:rsidRPr="00633318">
        <w:rPr>
          <w:rFonts w:ascii="Times New Roman" w:hAnsi="Times New Roman" w:cs="Times New Roman"/>
          <w:sz w:val="24"/>
          <w:szCs w:val="24"/>
        </w:rPr>
        <w:t xml:space="preserve"> Podatku Wyrównawczego, w szczególności w zakresie stosowania przepisów prawa podatkowego, przepisów o rachunkowości, wytycznych OECD i dorobku GloBE.  </w:t>
      </w:r>
    </w:p>
    <w:p w14:paraId="122C3D0D" w14:textId="097A2DDA"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Występując o opinię, Dyrektor KIS przekazuje kopię wniosku o opinię w sprawie opodatkowania wyrównawczego wraz z własnym stanowiskiem</w:t>
      </w:r>
      <w:r w:rsidRPr="00633318" w:rsidDel="006024F7">
        <w:rPr>
          <w:rFonts w:ascii="Times New Roman" w:hAnsi="Times New Roman" w:cs="Times New Roman"/>
          <w:sz w:val="24"/>
          <w:szCs w:val="24"/>
        </w:rPr>
        <w:t xml:space="preserve"> </w:t>
      </w:r>
      <w:r w:rsidR="000A1E91" w:rsidRPr="00633318">
        <w:rPr>
          <w:rFonts w:ascii="Times New Roman" w:hAnsi="Times New Roman" w:cs="Times New Roman"/>
          <w:sz w:val="24"/>
          <w:szCs w:val="24"/>
        </w:rPr>
        <w:t>Radzie GloBE</w:t>
      </w:r>
      <w:r w:rsidRPr="00633318">
        <w:rPr>
          <w:rFonts w:ascii="Times New Roman" w:hAnsi="Times New Roman" w:cs="Times New Roman"/>
          <w:sz w:val="24"/>
          <w:szCs w:val="24"/>
        </w:rPr>
        <w:t>. O wystąpieniu o opinię Dyrektor KIS niezwłocznie informuje zainteresowanego.</w:t>
      </w:r>
    </w:p>
    <w:p w14:paraId="462EE467" w14:textId="2DCAC82F" w:rsidR="002C7C46" w:rsidRPr="00633318" w:rsidRDefault="000A1E91"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Rada GloBE</w:t>
      </w:r>
      <w:r w:rsidR="002C7C46" w:rsidRPr="00633318">
        <w:rPr>
          <w:rFonts w:ascii="Times New Roman" w:hAnsi="Times New Roman" w:cs="Times New Roman"/>
          <w:sz w:val="24"/>
          <w:szCs w:val="24"/>
        </w:rPr>
        <w:t xml:space="preserve"> może zwrócić się do zainteresowanego oraz Dyrektora KIS o udzielenie informacji i wyjaśnień dotyczących sprawy, w której Dyrektor KIS zwrócił się do Rady, przy czym zainteresowany i Dyrektor KIS z własnej inicjatywy mogą przedłożyć </w:t>
      </w:r>
      <w:r w:rsidRPr="00633318">
        <w:rPr>
          <w:rFonts w:ascii="Times New Roman" w:hAnsi="Times New Roman" w:cs="Times New Roman"/>
          <w:sz w:val="24"/>
          <w:szCs w:val="24"/>
        </w:rPr>
        <w:t>Radzie GloBE</w:t>
      </w:r>
      <w:r w:rsidR="002C7C46" w:rsidRPr="00633318">
        <w:rPr>
          <w:rFonts w:ascii="Times New Roman" w:hAnsi="Times New Roman" w:cs="Times New Roman"/>
          <w:sz w:val="24"/>
          <w:szCs w:val="24"/>
        </w:rPr>
        <w:t xml:space="preserve"> swoje stanowisko. </w:t>
      </w:r>
      <w:r w:rsidR="00472CD9" w:rsidRPr="00633318">
        <w:rPr>
          <w:rFonts w:ascii="Times New Roman" w:hAnsi="Times New Roman" w:cs="Times New Roman"/>
          <w:sz w:val="24"/>
          <w:szCs w:val="24"/>
        </w:rPr>
        <w:t>Zainteresowany</w:t>
      </w:r>
      <w:r w:rsidR="002C7C46" w:rsidRPr="00633318">
        <w:rPr>
          <w:rFonts w:ascii="Times New Roman" w:hAnsi="Times New Roman" w:cs="Times New Roman"/>
          <w:sz w:val="24"/>
          <w:szCs w:val="24"/>
        </w:rPr>
        <w:t xml:space="preserve"> może dostarczyć </w:t>
      </w:r>
      <w:r w:rsidRPr="00633318">
        <w:rPr>
          <w:rFonts w:ascii="Times New Roman" w:hAnsi="Times New Roman" w:cs="Times New Roman"/>
          <w:sz w:val="24"/>
          <w:szCs w:val="24"/>
        </w:rPr>
        <w:t>Radzie GloBE</w:t>
      </w:r>
      <w:r w:rsidR="002C7C46" w:rsidRPr="00633318">
        <w:rPr>
          <w:rFonts w:ascii="Times New Roman" w:hAnsi="Times New Roman" w:cs="Times New Roman"/>
          <w:sz w:val="24"/>
          <w:szCs w:val="24"/>
        </w:rPr>
        <w:t xml:space="preserve"> dodatkowe dokumenty o charakterze pomocniczy</w:t>
      </w:r>
      <w:r w:rsidR="00001C57" w:rsidRPr="00633318">
        <w:rPr>
          <w:rFonts w:ascii="Times New Roman" w:hAnsi="Times New Roman" w:cs="Times New Roman"/>
          <w:sz w:val="24"/>
          <w:szCs w:val="24"/>
        </w:rPr>
        <w:t>m</w:t>
      </w:r>
      <w:r w:rsidR="002C7C46" w:rsidRPr="00633318">
        <w:rPr>
          <w:rFonts w:ascii="Times New Roman" w:hAnsi="Times New Roman" w:cs="Times New Roman"/>
          <w:sz w:val="24"/>
          <w:szCs w:val="24"/>
        </w:rPr>
        <w:t xml:space="preserve">. </w:t>
      </w:r>
      <w:r w:rsidRPr="00633318">
        <w:rPr>
          <w:rFonts w:ascii="Times New Roman" w:hAnsi="Times New Roman" w:cs="Times New Roman"/>
          <w:sz w:val="24"/>
          <w:szCs w:val="24"/>
        </w:rPr>
        <w:t>Rada GloBE</w:t>
      </w:r>
      <w:r w:rsidR="002C7C46" w:rsidRPr="00633318">
        <w:rPr>
          <w:rFonts w:ascii="Times New Roman" w:hAnsi="Times New Roman" w:cs="Times New Roman"/>
          <w:sz w:val="24"/>
          <w:szCs w:val="24"/>
        </w:rPr>
        <w:t xml:space="preserve"> wyda opinię i będzie miała obowiązek jej uzasadnienia. </w:t>
      </w:r>
    </w:p>
    <w:p w14:paraId="7D71F1F9" w14:textId="657B20BC"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Pod względem organizacyjnym utworzenie i funkcjonowanie Rady będzie wzorowane na modelach  przyjętych dla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Przeciwdziałania Unikaniu Opodatkowania oraz Państwowej Komisji Egzaminacyjnej ds. Doradztwa Podatkowego; gdzie powoływanie członków tych organów oraz  obsługę prac Rady zapewnia minister właściwy do spraw finansów publicznych. Koszty działania Rady GloBE będą finansowane wpływami z tytułu opłat za uzyskanie nowego narzędzia interpretacyjnego.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będzie powoływana na czteroletnią kadencję oraz co do zasady będzie działać do dnia powołania Rady kolejnej kadencji. </w:t>
      </w:r>
    </w:p>
    <w:p w14:paraId="175CC8FB"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skład Rady wejdą: </w:t>
      </w:r>
    </w:p>
    <w:p w14:paraId="5D9711D5" w14:textId="77777777" w:rsidR="002C7C46" w:rsidRPr="00633318" w:rsidRDefault="002C7C46" w:rsidP="009E73F7">
      <w:pPr>
        <w:numPr>
          <w:ilvl w:val="0"/>
          <w:numId w:val="149"/>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4 osoby  delegowane przez ministra właściwego do spraw finansów publicznych, będące pracownikami urzędu obsługującego tego ministra;</w:t>
      </w:r>
    </w:p>
    <w:p w14:paraId="0794119E" w14:textId="1232D11E" w:rsidR="002C7C46" w:rsidRPr="00633318" w:rsidRDefault="002C7C46" w:rsidP="009E73F7">
      <w:pPr>
        <w:numPr>
          <w:ilvl w:val="0"/>
          <w:numId w:val="149"/>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2 osoby powołane spośród pracowników </w:t>
      </w:r>
      <w:r w:rsidR="003C1F1E" w:rsidRPr="00633318">
        <w:rPr>
          <w:rFonts w:ascii="Times New Roman" w:hAnsi="Times New Roman" w:cs="Times New Roman"/>
          <w:sz w:val="24"/>
          <w:szCs w:val="24"/>
        </w:rPr>
        <w:t>uczelni</w:t>
      </w:r>
      <w:r w:rsidRPr="00633318">
        <w:rPr>
          <w:rFonts w:ascii="Times New Roman" w:hAnsi="Times New Roman" w:cs="Times New Roman"/>
          <w:sz w:val="24"/>
          <w:szCs w:val="24"/>
        </w:rPr>
        <w:t>, jednostek organizacyjnych Polskiej Akademii Nauk lub instytutów badawczych w rozumieniu ustawy z dnia 30 kwietnia 2010 r. o instytutach badawczych (Dz. U. z</w:t>
      </w:r>
      <w:r w:rsidR="0062614E">
        <w:rPr>
          <w:rFonts w:ascii="Times New Roman" w:hAnsi="Times New Roman" w:cs="Times New Roman"/>
          <w:sz w:val="24"/>
          <w:szCs w:val="24"/>
        </w:rPr>
        <w:t xml:space="preserve"> 2024 r. poz. 534</w:t>
      </w:r>
      <w:r w:rsidRPr="00633318">
        <w:rPr>
          <w:rFonts w:ascii="Times New Roman" w:hAnsi="Times New Roman" w:cs="Times New Roman"/>
          <w:sz w:val="24"/>
          <w:szCs w:val="24"/>
        </w:rPr>
        <w:t>);</w:t>
      </w:r>
    </w:p>
    <w:p w14:paraId="567489D4" w14:textId="77777777" w:rsidR="002C7C46" w:rsidRPr="00633318" w:rsidRDefault="002C7C46" w:rsidP="009E73F7">
      <w:pPr>
        <w:numPr>
          <w:ilvl w:val="0"/>
          <w:numId w:val="149"/>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2 osoby będące doradcami podatkowymi, delegowane przez Krajową Radę Doradców Podatkowych, będące członkami Krajowej Izby Doradców Podatkowych;</w:t>
      </w:r>
    </w:p>
    <w:p w14:paraId="4FD86308" w14:textId="77777777" w:rsidR="002C7C46" w:rsidRPr="00633318" w:rsidRDefault="002C7C46" w:rsidP="009E73F7">
      <w:pPr>
        <w:numPr>
          <w:ilvl w:val="0"/>
          <w:numId w:val="149"/>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2 osoby będące biegłymi rewidentami, delegowane przez Polską Izbę Biegłych Rewidentów, będące członkami Polskiej Izby Biegłych Rewidentów;</w:t>
      </w:r>
    </w:p>
    <w:p w14:paraId="3B5BFBA7" w14:textId="77777777" w:rsidR="002C7C46" w:rsidRPr="00633318" w:rsidRDefault="002C7C46" w:rsidP="009E73F7">
      <w:pPr>
        <w:numPr>
          <w:ilvl w:val="0"/>
          <w:numId w:val="149"/>
        </w:num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1 osoba posiadająca aktywny certyfikat wydany przez Międzynarodowy Instytut Audytorów Wewnętrznych, zrzeszona w tym Instytucie.</w:t>
      </w:r>
    </w:p>
    <w:p w14:paraId="52D21606" w14:textId="51B1019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Przesłanki odwołania oraz wygaśnięcia członkostwa w </w:t>
      </w:r>
      <w:r w:rsidR="000A1E91" w:rsidRPr="00633318">
        <w:rPr>
          <w:rFonts w:ascii="Times New Roman" w:hAnsi="Times New Roman" w:cs="Times New Roman"/>
          <w:sz w:val="24"/>
          <w:szCs w:val="24"/>
        </w:rPr>
        <w:t>Radzie GloBE</w:t>
      </w:r>
      <w:r w:rsidRPr="00633318">
        <w:rPr>
          <w:rFonts w:ascii="Times New Roman" w:hAnsi="Times New Roman" w:cs="Times New Roman"/>
          <w:sz w:val="24"/>
          <w:szCs w:val="24"/>
        </w:rPr>
        <w:t xml:space="preserve"> oraz ich skutki normują szczegółowo zaprojektowane przepisy. </w:t>
      </w:r>
    </w:p>
    <w:p w14:paraId="60A3D4A5"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Minister Finansów odwoła członka Rady w przypadku:</w:t>
      </w:r>
    </w:p>
    <w:p w14:paraId="6438F9D4" w14:textId="2E7A7464" w:rsidR="00D90FFF" w:rsidRPr="00633318" w:rsidRDefault="00D90FFF" w:rsidP="009E73F7">
      <w:pPr>
        <w:pStyle w:val="Akapitzlist"/>
        <w:numPr>
          <w:ilvl w:val="0"/>
          <w:numId w:val="148"/>
        </w:numPr>
        <w:spacing w:after="120" w:line="276" w:lineRule="auto"/>
        <w:ind w:left="924" w:hanging="357"/>
        <w:contextualSpacing w:val="0"/>
        <w:jc w:val="both"/>
        <w:rPr>
          <w:rFonts w:ascii="Times New Roman" w:hAnsi="Times New Roman" w:cs="Times New Roman"/>
          <w:sz w:val="24"/>
          <w:szCs w:val="24"/>
        </w:rPr>
      </w:pPr>
      <w:r w:rsidRPr="00633318">
        <w:rPr>
          <w:rFonts w:ascii="Times New Roman" w:hAnsi="Times New Roman" w:cs="Times New Roman"/>
          <w:sz w:val="24"/>
          <w:szCs w:val="24"/>
        </w:rPr>
        <w:t xml:space="preserve">utraty przez niego cechy, o której mowa w art. </w:t>
      </w:r>
      <w:r w:rsidR="004B27A7" w:rsidRPr="00633318">
        <w:rPr>
          <w:rFonts w:ascii="Times New Roman" w:hAnsi="Times New Roman" w:cs="Times New Roman"/>
          <w:sz w:val="24"/>
          <w:szCs w:val="24"/>
        </w:rPr>
        <w:t>14zq</w:t>
      </w:r>
      <w:r w:rsidRPr="00633318">
        <w:rPr>
          <w:rFonts w:ascii="Times New Roman" w:hAnsi="Times New Roman" w:cs="Times New Roman"/>
          <w:sz w:val="24"/>
          <w:szCs w:val="24"/>
        </w:rPr>
        <w:t xml:space="preserve"> § 2 pkt 6, po zasięgnięciu opinii Rady;</w:t>
      </w:r>
    </w:p>
    <w:p w14:paraId="6CF5B2D1" w14:textId="1098BE0D" w:rsidR="00D90FFF" w:rsidRPr="00633318" w:rsidRDefault="002C7C46" w:rsidP="009E73F7">
      <w:pPr>
        <w:pStyle w:val="Akapitzlist"/>
        <w:numPr>
          <w:ilvl w:val="0"/>
          <w:numId w:val="148"/>
        </w:numPr>
        <w:spacing w:after="120" w:line="276" w:lineRule="auto"/>
        <w:ind w:left="924" w:hanging="357"/>
        <w:contextualSpacing w:val="0"/>
        <w:jc w:val="both"/>
        <w:rPr>
          <w:rFonts w:ascii="Times New Roman" w:hAnsi="Times New Roman" w:cs="Times New Roman"/>
          <w:sz w:val="24"/>
          <w:szCs w:val="24"/>
        </w:rPr>
      </w:pPr>
      <w:r w:rsidRPr="00633318">
        <w:rPr>
          <w:rFonts w:ascii="Times New Roman" w:hAnsi="Times New Roman" w:cs="Times New Roman"/>
          <w:sz w:val="24"/>
          <w:szCs w:val="24"/>
        </w:rPr>
        <w:t xml:space="preserve">utraty warunków będących podstawą powołania, o których mowa w art. </w:t>
      </w:r>
      <w:r w:rsidR="004B27A7" w:rsidRPr="00633318">
        <w:rPr>
          <w:rFonts w:ascii="Times New Roman" w:hAnsi="Times New Roman" w:cs="Times New Roman"/>
          <w:sz w:val="24"/>
          <w:szCs w:val="24"/>
        </w:rPr>
        <w:t>14z</w:t>
      </w:r>
      <w:r w:rsidR="00D40DAA" w:rsidRPr="00633318">
        <w:rPr>
          <w:rFonts w:ascii="Times New Roman" w:hAnsi="Times New Roman" w:cs="Times New Roman"/>
          <w:sz w:val="24"/>
          <w:szCs w:val="24"/>
        </w:rPr>
        <w:t>q</w:t>
      </w:r>
      <w:r w:rsidRPr="00633318">
        <w:rPr>
          <w:rFonts w:ascii="Times New Roman" w:hAnsi="Times New Roman" w:cs="Times New Roman"/>
          <w:sz w:val="24"/>
          <w:szCs w:val="24"/>
        </w:rPr>
        <w:t xml:space="preserve"> § </w:t>
      </w:r>
      <w:r w:rsidR="00012847" w:rsidRPr="00633318">
        <w:rPr>
          <w:rFonts w:ascii="Times New Roman" w:hAnsi="Times New Roman" w:cs="Times New Roman"/>
          <w:sz w:val="24"/>
          <w:szCs w:val="24"/>
        </w:rPr>
        <w:t xml:space="preserve">2 (zgodnie z §6 przez utratę takich warunków rozumie się skreślenie z listy doradców podatkowych i </w:t>
      </w:r>
      <w:r w:rsidR="00B12393" w:rsidRPr="00633318">
        <w:rPr>
          <w:rFonts w:ascii="Times New Roman" w:hAnsi="Times New Roman" w:cs="Times New Roman"/>
          <w:sz w:val="24"/>
          <w:szCs w:val="24"/>
        </w:rPr>
        <w:t>rejestru</w:t>
      </w:r>
      <w:r w:rsidR="00012847" w:rsidRPr="00633318">
        <w:rPr>
          <w:rFonts w:ascii="Times New Roman" w:hAnsi="Times New Roman" w:cs="Times New Roman"/>
          <w:sz w:val="24"/>
          <w:szCs w:val="24"/>
        </w:rPr>
        <w:t xml:space="preserve"> biegłych rewidentów)</w:t>
      </w:r>
    </w:p>
    <w:p w14:paraId="27622AA6" w14:textId="7004572B" w:rsidR="00D90FFF" w:rsidRPr="00633318" w:rsidRDefault="002C7C46" w:rsidP="009E73F7">
      <w:pPr>
        <w:pStyle w:val="Akapitzlist"/>
        <w:numPr>
          <w:ilvl w:val="0"/>
          <w:numId w:val="148"/>
        </w:numPr>
        <w:spacing w:after="120" w:line="276" w:lineRule="auto"/>
        <w:ind w:left="924" w:hanging="357"/>
        <w:contextualSpacing w:val="0"/>
        <w:jc w:val="both"/>
        <w:rPr>
          <w:rFonts w:ascii="Times New Roman" w:hAnsi="Times New Roman" w:cs="Times New Roman"/>
          <w:sz w:val="24"/>
          <w:szCs w:val="24"/>
        </w:rPr>
      </w:pPr>
      <w:r w:rsidRPr="00633318">
        <w:rPr>
          <w:rFonts w:ascii="Times New Roman" w:hAnsi="Times New Roman" w:cs="Times New Roman"/>
          <w:sz w:val="24"/>
          <w:szCs w:val="24"/>
        </w:rPr>
        <w:t>nieusprawiedliwionego niewykonywania przez niego obowiązków lub nienależytego ich wykonywania;</w:t>
      </w:r>
    </w:p>
    <w:p w14:paraId="1D343477" w14:textId="6555246F" w:rsidR="00D90FFF" w:rsidRPr="00633318" w:rsidRDefault="002C7C46" w:rsidP="009E73F7">
      <w:pPr>
        <w:pStyle w:val="Akapitzlist"/>
        <w:numPr>
          <w:ilvl w:val="0"/>
          <w:numId w:val="148"/>
        </w:numPr>
        <w:spacing w:after="120" w:line="276" w:lineRule="auto"/>
        <w:ind w:left="924" w:hanging="357"/>
        <w:contextualSpacing w:val="0"/>
        <w:jc w:val="both"/>
        <w:rPr>
          <w:rFonts w:ascii="Times New Roman" w:hAnsi="Times New Roman" w:cs="Times New Roman"/>
          <w:sz w:val="24"/>
          <w:szCs w:val="24"/>
        </w:rPr>
      </w:pPr>
      <w:r w:rsidRPr="00633318">
        <w:rPr>
          <w:rFonts w:ascii="Times New Roman" w:hAnsi="Times New Roman" w:cs="Times New Roman"/>
          <w:sz w:val="24"/>
          <w:szCs w:val="24"/>
        </w:rPr>
        <w:t>skazania prawomocnym wyrokiem sądu za przestępstwo umyślne ścigane z oskarżenia publicznego lub przestępstwo skarbowe;</w:t>
      </w:r>
    </w:p>
    <w:p w14:paraId="522EA9EB" w14:textId="1F224FF7" w:rsidR="00D90FFF" w:rsidRPr="00633318" w:rsidRDefault="002C7C46" w:rsidP="009E73F7">
      <w:pPr>
        <w:pStyle w:val="Akapitzlist"/>
        <w:numPr>
          <w:ilvl w:val="0"/>
          <w:numId w:val="148"/>
        </w:numPr>
        <w:spacing w:after="120" w:line="276" w:lineRule="auto"/>
        <w:ind w:left="924" w:hanging="357"/>
        <w:contextualSpacing w:val="0"/>
        <w:jc w:val="both"/>
        <w:rPr>
          <w:rFonts w:ascii="Times New Roman" w:hAnsi="Times New Roman" w:cs="Times New Roman"/>
          <w:sz w:val="24"/>
          <w:szCs w:val="24"/>
        </w:rPr>
      </w:pPr>
      <w:r w:rsidRPr="00633318">
        <w:rPr>
          <w:rFonts w:ascii="Times New Roman" w:hAnsi="Times New Roman" w:cs="Times New Roman"/>
          <w:sz w:val="24"/>
          <w:szCs w:val="24"/>
        </w:rPr>
        <w:t>choroby trwale uniemożliwiającej sprawowanie przez niego funkcji;</w:t>
      </w:r>
    </w:p>
    <w:p w14:paraId="6A89E816" w14:textId="142409D8" w:rsidR="00D90FFF" w:rsidRPr="00633318" w:rsidRDefault="002C7C46" w:rsidP="009E73F7">
      <w:pPr>
        <w:pStyle w:val="Akapitzlist"/>
        <w:numPr>
          <w:ilvl w:val="0"/>
          <w:numId w:val="148"/>
        </w:numPr>
        <w:spacing w:after="120" w:line="276" w:lineRule="auto"/>
        <w:ind w:left="924" w:hanging="357"/>
        <w:contextualSpacing w:val="0"/>
        <w:jc w:val="both"/>
        <w:rPr>
          <w:rFonts w:ascii="Times New Roman" w:hAnsi="Times New Roman" w:cs="Times New Roman"/>
          <w:sz w:val="24"/>
          <w:szCs w:val="24"/>
        </w:rPr>
      </w:pPr>
      <w:r w:rsidRPr="00633318">
        <w:rPr>
          <w:rFonts w:ascii="Times New Roman" w:hAnsi="Times New Roman" w:cs="Times New Roman"/>
          <w:sz w:val="24"/>
          <w:szCs w:val="24"/>
        </w:rPr>
        <w:t xml:space="preserve">złożenia wniosku o odwołanie ze składu Rady przez podmiot delegujący; </w:t>
      </w:r>
    </w:p>
    <w:p w14:paraId="0D485562" w14:textId="459A59A5" w:rsidR="002C7C46" w:rsidRPr="00633318" w:rsidRDefault="002C7C46" w:rsidP="009E73F7">
      <w:pPr>
        <w:pStyle w:val="Akapitzlist"/>
        <w:numPr>
          <w:ilvl w:val="0"/>
          <w:numId w:val="148"/>
        </w:numPr>
        <w:spacing w:after="120" w:line="276" w:lineRule="auto"/>
        <w:ind w:left="924" w:hanging="357"/>
        <w:contextualSpacing w:val="0"/>
        <w:jc w:val="both"/>
        <w:rPr>
          <w:rFonts w:ascii="Times New Roman" w:hAnsi="Times New Roman" w:cs="Times New Roman"/>
          <w:sz w:val="24"/>
          <w:szCs w:val="24"/>
        </w:rPr>
      </w:pPr>
      <w:r w:rsidRPr="00633318">
        <w:rPr>
          <w:rFonts w:ascii="Times New Roman" w:hAnsi="Times New Roman" w:cs="Times New Roman"/>
          <w:sz w:val="24"/>
          <w:szCs w:val="24"/>
        </w:rPr>
        <w:t>złożenia przez niego wniosku o odwołanie.</w:t>
      </w:r>
    </w:p>
    <w:p w14:paraId="2B004D98"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Kompetencje przewodniczącego Rady obejmą, podobnie jak w wymienionych wyżej innych ciałach kolegialnych -  kierowanie jej pracami, zwoływanie posiedzeń Rady, wyznaczanie członków Rady do sporządzenia projektu uzasadnienia opinii oraz informowanie Ministra Finansów przez przewodniczącego Rady o każdym przypadku uchybienia przez Radę terminu wydania opinii, z podaniem przyczyn i wskazaniem członków Rady, którzy się do tego przyczynili. </w:t>
      </w:r>
    </w:p>
    <w:p w14:paraId="45AD9483" w14:textId="77777777"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Proponuje się, aby Minister Finansów powoływał Przewodniczącego Rady oraz wyznaczał sekretarza Rady spośród pracowników Ministerstwa Finansów (do zapewnienia obsługi finansowej i nadzoru nad obsługą administracyjno-biurową związaną z funkcjonowaniem Rady), który nie będzie członkiem Rady.</w:t>
      </w:r>
    </w:p>
    <w:p w14:paraId="2F274CB1" w14:textId="4D6DE5EF"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Stanowisko co do spraw z zakresu przepisów dotyczących podatku wyrównawczego, w rozumieniu ustawy o opodatkowaniu wyrównawczym, w tym ich stosowania na gruncie przepisów prawa podatkowego, przepisów o rachunkowości, wytycznych OECD i dorobku GloBE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przyjmować będzie na posiedzeniu bezwzględną większością głosów w obecności co najmniej połowy składu Rady.</w:t>
      </w:r>
    </w:p>
    <w:p w14:paraId="11B5F9BF" w14:textId="3227BC4B"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Opinie Rady będą zamieszczane w </w:t>
      </w:r>
      <w:r w:rsidR="00BC02C1" w:rsidRPr="00633318">
        <w:rPr>
          <w:rFonts w:ascii="Times New Roman" w:hAnsi="Times New Roman" w:cs="Times New Roman"/>
          <w:sz w:val="24"/>
          <w:szCs w:val="24"/>
        </w:rPr>
        <w:t>BIP</w:t>
      </w:r>
      <w:r w:rsidRPr="00633318">
        <w:rPr>
          <w:rFonts w:ascii="Times New Roman" w:hAnsi="Times New Roman" w:cs="Times New Roman"/>
          <w:sz w:val="24"/>
          <w:szCs w:val="24"/>
        </w:rPr>
        <w:t xml:space="preserve"> po usunięciu danych identyfikacyjnych zainteresowanego i inne podmioty w niej wymienione.</w:t>
      </w:r>
    </w:p>
    <w:p w14:paraId="0D3AC6E4" w14:textId="52CF8EAD"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Z uwagi na szczególny charakter przedmiotu i zakresu prac Rady, a także 2-miesi</w:t>
      </w:r>
      <w:r w:rsidR="00A32F1E" w:rsidRPr="00633318">
        <w:rPr>
          <w:rFonts w:ascii="Times New Roman" w:hAnsi="Times New Roman" w:cs="Times New Roman"/>
          <w:sz w:val="24"/>
          <w:szCs w:val="24"/>
        </w:rPr>
        <w:t>ę</w:t>
      </w:r>
      <w:r w:rsidRPr="00633318">
        <w:rPr>
          <w:rFonts w:ascii="Times New Roman" w:hAnsi="Times New Roman" w:cs="Times New Roman"/>
          <w:sz w:val="24"/>
          <w:szCs w:val="24"/>
        </w:rPr>
        <w:t xml:space="preserve">czny termin na wydanie opinii, zaproponowano uregulowanie wynagrodzeń odmiennie niż w przypadku Rady do Spraw Przeciwdziałania Unikaniu Opodatkowania. </w:t>
      </w:r>
    </w:p>
    <w:p w14:paraId="22ECDCA4" w14:textId="7CC0420E" w:rsidR="002C7C46" w:rsidRPr="00633318" w:rsidRDefault="002C7C46" w:rsidP="000F5B35">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Jak wskazano wyżej,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wyda opinię (wraz z uzasadnieniem) bez zbędnej zwłoki, jednak nie później niż w terminie 2 miesięcy od dnia otrzymania akt sprawy. Do tego terminu nie wlicza się terminów wyznaczonych przez Radę na udzielenie przez stronę lub Dyrektor KIS informacji i wyjaśnień dotyczących sprawy. Dyrektor KIS nie będzie związany treścią opinii Rady.  </w:t>
      </w:r>
    </w:p>
    <w:p w14:paraId="73D941D0" w14:textId="0704FCDF"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Przewiduje się, że </w:t>
      </w:r>
      <w:r w:rsidR="000A1E91" w:rsidRPr="00633318">
        <w:rPr>
          <w:rFonts w:ascii="Times New Roman" w:hAnsi="Times New Roman" w:cs="Times New Roman"/>
          <w:sz w:val="24"/>
          <w:szCs w:val="24"/>
        </w:rPr>
        <w:t>Rada GloBE</w:t>
      </w:r>
      <w:r w:rsidRPr="00633318">
        <w:rPr>
          <w:rFonts w:ascii="Times New Roman" w:hAnsi="Times New Roman" w:cs="Times New Roman"/>
          <w:sz w:val="24"/>
          <w:szCs w:val="24"/>
        </w:rPr>
        <w:t xml:space="preserve"> wyda opinię na posiedzeniu, przy czym każdemu członkowi Rady będzie przysługiwało </w:t>
      </w:r>
      <w:r w:rsidR="002B6E22" w:rsidRPr="00633318">
        <w:rPr>
          <w:rFonts w:ascii="Times New Roman" w:hAnsi="Times New Roman" w:cs="Times New Roman"/>
          <w:sz w:val="24"/>
          <w:szCs w:val="24"/>
        </w:rPr>
        <w:t xml:space="preserve">- na podstawie rozporządzenia, o którym mowa w art. 14zw § 4 - </w:t>
      </w:r>
      <w:r w:rsidRPr="00633318">
        <w:rPr>
          <w:rFonts w:ascii="Times New Roman" w:hAnsi="Times New Roman" w:cs="Times New Roman"/>
          <w:sz w:val="24"/>
          <w:szCs w:val="24"/>
        </w:rPr>
        <w:t>wynagrodzenie w wysokości 1500 zł z tytułu uchwalonej przez Radę opinii</w:t>
      </w:r>
      <w:r w:rsidR="004B5C7E" w:rsidRPr="00633318">
        <w:rPr>
          <w:rFonts w:ascii="Times New Roman" w:hAnsi="Times New Roman" w:cs="Times New Roman"/>
          <w:sz w:val="24"/>
          <w:szCs w:val="24"/>
        </w:rPr>
        <w:t xml:space="preserve"> (zarazem do sporządzenia takiej opinii może być wyznaczonych maksymalnie 5 członków Rady, zgodnie z §14t ust. 1 pkt 3)</w:t>
      </w:r>
      <w:r w:rsidRPr="00633318">
        <w:rPr>
          <w:rFonts w:ascii="Times New Roman" w:hAnsi="Times New Roman" w:cs="Times New Roman"/>
          <w:sz w:val="24"/>
          <w:szCs w:val="24"/>
        </w:rPr>
        <w:t>. Jeśli członek Rady nie będzie brał z jakiś przyczyn (np. losowych) w procedowaniu opinii, wówczas wynagrodzenie nie będzie należne. Wynagrodzenie będzie przysługiwać za sporządzenie opinii Rady, z wyjątkiem przypadku wydania opinii po terminie</w:t>
      </w:r>
      <w:r w:rsidR="003C1F1E" w:rsidRPr="00633318">
        <w:rPr>
          <w:rFonts w:ascii="Times New Roman" w:hAnsi="Times New Roman" w:cs="Times New Roman"/>
          <w:sz w:val="24"/>
          <w:szCs w:val="24"/>
        </w:rPr>
        <w:t>.</w:t>
      </w:r>
      <w:r w:rsidRPr="00633318">
        <w:rPr>
          <w:rFonts w:ascii="Times New Roman" w:hAnsi="Times New Roman" w:cs="Times New Roman"/>
          <w:sz w:val="24"/>
          <w:szCs w:val="24"/>
        </w:rPr>
        <w:t xml:space="preserve"> Odrębnie zaś przewidziano wynagrodzenie za udział w posiedzeniu Rady w wysokości 500 zł dla każdego członka Rady GloBE</w:t>
      </w:r>
      <w:r w:rsidR="0022575D" w:rsidRPr="00633318">
        <w:rPr>
          <w:rFonts w:ascii="Times New Roman" w:hAnsi="Times New Roman" w:cs="Times New Roman"/>
          <w:sz w:val="24"/>
          <w:szCs w:val="24"/>
        </w:rPr>
        <w:t xml:space="preserve">, jak również w odpowiednio wyższej kwocie dla </w:t>
      </w:r>
      <w:r w:rsidR="00F87F60" w:rsidRPr="00633318">
        <w:rPr>
          <w:rFonts w:ascii="Times New Roman" w:hAnsi="Times New Roman" w:cs="Times New Roman"/>
          <w:sz w:val="24"/>
          <w:szCs w:val="24"/>
        </w:rPr>
        <w:t>p</w:t>
      </w:r>
      <w:r w:rsidR="0022575D" w:rsidRPr="00633318">
        <w:rPr>
          <w:rFonts w:ascii="Times New Roman" w:hAnsi="Times New Roman" w:cs="Times New Roman"/>
          <w:sz w:val="24"/>
          <w:szCs w:val="24"/>
        </w:rPr>
        <w:t>rzewodniczego i sekretarza Rady GloBE</w:t>
      </w:r>
      <w:r w:rsidRPr="00633318">
        <w:rPr>
          <w:rFonts w:ascii="Times New Roman" w:hAnsi="Times New Roman" w:cs="Times New Roman"/>
          <w:sz w:val="24"/>
          <w:szCs w:val="24"/>
        </w:rPr>
        <w:t>. Członkom Rady będzie też przysługiwał zwrot kosztów podróży i noclegów, poniesionych w związku z udziałem w pracach Rady, biorąc pod uwagę racjonalność ponoszonych kosztów.</w:t>
      </w:r>
    </w:p>
    <w:p w14:paraId="282F0789" w14:textId="0B160EE2" w:rsidR="00EB39F6" w:rsidRPr="00633318" w:rsidRDefault="00EB39F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Art. 14zw § 4 określa limity wynagrodzenia </w:t>
      </w:r>
      <w:r w:rsidR="00F87F60" w:rsidRPr="00633318">
        <w:rPr>
          <w:rFonts w:ascii="Times New Roman" w:hAnsi="Times New Roman" w:cs="Times New Roman"/>
          <w:sz w:val="24"/>
          <w:szCs w:val="24"/>
        </w:rPr>
        <w:t>p</w:t>
      </w:r>
      <w:r w:rsidRPr="00633318">
        <w:rPr>
          <w:rFonts w:ascii="Times New Roman" w:hAnsi="Times New Roman" w:cs="Times New Roman"/>
          <w:sz w:val="24"/>
          <w:szCs w:val="24"/>
        </w:rPr>
        <w:t>rzewodniczącego, sekretarza i członków Rady za uczestnictwo w posiedzeniach Rady na poziomie dwukrotności kwoty bazowej dla członków korpusu służby cywilnej</w:t>
      </w:r>
      <w:r w:rsidR="00325F0F" w:rsidRPr="00633318">
        <w:rPr>
          <w:rFonts w:ascii="Times New Roman" w:hAnsi="Times New Roman" w:cs="Times New Roman"/>
          <w:sz w:val="24"/>
          <w:szCs w:val="24"/>
        </w:rPr>
        <w:t xml:space="preserve"> oraz wprowadza uprawnienie do zwrotu kosztów podróży</w:t>
      </w:r>
      <w:r w:rsidRPr="00633318">
        <w:rPr>
          <w:rFonts w:ascii="Times New Roman" w:hAnsi="Times New Roman" w:cs="Times New Roman"/>
          <w:sz w:val="24"/>
          <w:szCs w:val="24"/>
        </w:rPr>
        <w:t xml:space="preserve">. </w:t>
      </w:r>
    </w:p>
    <w:p w14:paraId="70BEB847" w14:textId="4EBFAEAC"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art. </w:t>
      </w:r>
      <w:r w:rsidR="008E6BD2" w:rsidRPr="00633318">
        <w:rPr>
          <w:rFonts w:ascii="Times New Roman" w:hAnsi="Times New Roman" w:cs="Times New Roman"/>
          <w:sz w:val="24"/>
          <w:szCs w:val="24"/>
        </w:rPr>
        <w:t xml:space="preserve">14zw </w:t>
      </w:r>
      <w:r w:rsidRPr="00633318">
        <w:rPr>
          <w:rFonts w:ascii="Times New Roman" w:hAnsi="Times New Roman" w:cs="Times New Roman"/>
          <w:sz w:val="24"/>
          <w:szCs w:val="24"/>
        </w:rPr>
        <w:t xml:space="preserve">§ </w:t>
      </w:r>
      <w:r w:rsidR="00EB39F6" w:rsidRPr="00633318">
        <w:rPr>
          <w:rFonts w:ascii="Times New Roman" w:hAnsi="Times New Roman" w:cs="Times New Roman"/>
          <w:sz w:val="24"/>
          <w:szCs w:val="24"/>
        </w:rPr>
        <w:t>5</w:t>
      </w:r>
      <w:r w:rsidRPr="00633318">
        <w:rPr>
          <w:rFonts w:ascii="Times New Roman" w:hAnsi="Times New Roman" w:cs="Times New Roman"/>
          <w:sz w:val="24"/>
          <w:szCs w:val="24"/>
        </w:rPr>
        <w:t xml:space="preserve"> zawarto delegację dla ministra właściwego do spraw finansów publicznych do wydania obligatoryjnego rozporządzenia określającego m.in. wysokość wynagrodzenia przewodniczącego Rady, sekretarza Rady oraz członka Rady za uczestniczenie w posiedzeniach Rady, biorąc pod uwagę zakres ich obowiązków</w:t>
      </w:r>
      <w:r w:rsidR="00EB39F6" w:rsidRPr="00633318">
        <w:rPr>
          <w:rFonts w:ascii="Times New Roman" w:hAnsi="Times New Roman" w:cs="Times New Roman"/>
          <w:sz w:val="24"/>
          <w:szCs w:val="24"/>
        </w:rPr>
        <w:t xml:space="preserve"> oraz szacunkowy nakład pracy</w:t>
      </w:r>
      <w:r w:rsidRPr="00633318">
        <w:rPr>
          <w:rFonts w:ascii="Times New Roman" w:hAnsi="Times New Roman" w:cs="Times New Roman"/>
          <w:sz w:val="24"/>
          <w:szCs w:val="24"/>
        </w:rPr>
        <w:t xml:space="preserve">. </w:t>
      </w:r>
    </w:p>
    <w:p w14:paraId="5FB07566" w14:textId="720B142B" w:rsidR="002C7C46" w:rsidRPr="00633318" w:rsidRDefault="002C7C46" w:rsidP="000F5B35">
      <w:pPr>
        <w:autoSpaceDE w:val="0"/>
        <w:autoSpaceDN w:val="0"/>
        <w:adjustRightInd w:val="0"/>
        <w:spacing w:after="120"/>
        <w:jc w:val="both"/>
        <w:rPr>
          <w:rFonts w:ascii="Times New Roman" w:hAnsi="Times New Roman" w:cs="Times New Roman"/>
          <w:b/>
          <w:bCs/>
          <w:sz w:val="24"/>
          <w:szCs w:val="24"/>
        </w:rPr>
      </w:pPr>
      <w:r w:rsidRPr="00633318">
        <w:rPr>
          <w:rFonts w:ascii="Times New Roman" w:hAnsi="Times New Roman" w:cs="Times New Roman"/>
          <w:b/>
          <w:bCs/>
          <w:sz w:val="24"/>
          <w:szCs w:val="24"/>
        </w:rPr>
        <w:t>4. Opinia w sprawie opodatkowania wyrównawczego</w:t>
      </w:r>
      <w:r w:rsidRPr="00633318" w:rsidDel="009C2868">
        <w:rPr>
          <w:rFonts w:ascii="Times New Roman" w:hAnsi="Times New Roman" w:cs="Times New Roman"/>
          <w:b/>
          <w:bCs/>
          <w:sz w:val="24"/>
          <w:szCs w:val="24"/>
        </w:rPr>
        <w:t xml:space="preserve"> </w:t>
      </w:r>
      <w:r w:rsidRPr="00633318">
        <w:rPr>
          <w:rFonts w:ascii="Times New Roman" w:hAnsi="Times New Roman" w:cs="Times New Roman"/>
          <w:b/>
          <w:bCs/>
          <w:sz w:val="24"/>
          <w:szCs w:val="24"/>
        </w:rPr>
        <w:t xml:space="preserve">jako element porozumienia podatkowego i porozumienia inwestycyjnego – pkt 5-8 </w:t>
      </w:r>
      <w:r w:rsidR="0009509A" w:rsidRPr="00633318">
        <w:rPr>
          <w:rFonts w:ascii="Times New Roman" w:hAnsi="Times New Roman" w:cs="Times New Roman"/>
          <w:b/>
          <w:bCs/>
          <w:sz w:val="24"/>
          <w:szCs w:val="24"/>
        </w:rPr>
        <w:t>art. 140 projektu (art. 20zb pkt 1a, art. 20zc § 3a, art. 20zd, art. 20zt Ordynacji podatkowej)</w:t>
      </w:r>
    </w:p>
    <w:p w14:paraId="0F94C2C4" w14:textId="50D7DA1B"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Projektowany instrument interpretacyjny będzie mógł stanowić element porozumienia podatkowego zawieranego z Szefem </w:t>
      </w:r>
      <w:r w:rsidR="0009509A" w:rsidRPr="00633318">
        <w:rPr>
          <w:rFonts w:ascii="Times New Roman" w:hAnsi="Times New Roman" w:cs="Times New Roman"/>
          <w:sz w:val="24"/>
          <w:szCs w:val="24"/>
        </w:rPr>
        <w:t>KAS</w:t>
      </w:r>
      <w:r w:rsidRPr="00633318">
        <w:rPr>
          <w:rFonts w:ascii="Times New Roman" w:hAnsi="Times New Roman" w:cs="Times New Roman"/>
          <w:sz w:val="24"/>
          <w:szCs w:val="24"/>
        </w:rPr>
        <w:t xml:space="preserve"> oraz porozumienia inwestycyjnego zawieranego z ministrem właściwym do spraw finansów publicznych. Rozwiązanie to pozwoli na zapewnienie kompleksowego charakteru tych instrumentów oraz interpretacji przepisów prawa podatkowego w zakresie podatku wyrównawczego, a także może w pewien sposób poszerzyć krąg adresatów opinii w sprawie opodatkowania wyrównawczego. Jednocześnie, uzyskanie interpretacji przepisów o podatku wyrównawczym będzie możliwe na kilka sposobów – zarówno w sposób tradycyjny, jednostronny w formie </w:t>
      </w:r>
      <w:bookmarkStart w:id="124" w:name="_Hlk162338590"/>
      <w:r w:rsidRPr="00633318">
        <w:rPr>
          <w:rFonts w:ascii="Times New Roman" w:hAnsi="Times New Roman" w:cs="Times New Roman"/>
          <w:sz w:val="24"/>
          <w:szCs w:val="24"/>
        </w:rPr>
        <w:t>opinii w sprawie opodatkowania wyrównawczego</w:t>
      </w:r>
      <w:bookmarkEnd w:id="124"/>
      <w:r w:rsidRPr="00633318" w:rsidDel="00C91D97">
        <w:rPr>
          <w:rFonts w:ascii="Times New Roman" w:hAnsi="Times New Roman" w:cs="Times New Roman"/>
          <w:sz w:val="24"/>
          <w:szCs w:val="24"/>
        </w:rPr>
        <w:t xml:space="preserve"> </w:t>
      </w:r>
      <w:r w:rsidRPr="00633318">
        <w:rPr>
          <w:rFonts w:ascii="Times New Roman" w:hAnsi="Times New Roman" w:cs="Times New Roman"/>
          <w:sz w:val="24"/>
          <w:szCs w:val="24"/>
        </w:rPr>
        <w:t xml:space="preserve">wydawanej przez Dyrektora KIS – jak i w sposób nowocześniejszy, elastyczny, koncyliacyjny – jako element porozumienia podatkowego lub porozumienia inwestycyjnego. </w:t>
      </w:r>
    </w:p>
    <w:p w14:paraId="5900A494" w14:textId="77777777"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Wobec powyższego, w projekcie ustawy zostały przewidziane odpowiednie zmiany dostosowawcze przepisów dotyczących porozumienia podatkowego i porozumienia inwestycyjnego. </w:t>
      </w:r>
    </w:p>
    <w:p w14:paraId="08B6B7A2" w14:textId="2A9CCDEF"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Szef KAS przed zawarciem porozumienia podatkowego będzie mógł zasięgnąć opinii Dyrektora KIS lub Rady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w:t>
      </w:r>
      <w:r w:rsidR="002D5A29" w:rsidRPr="00633318">
        <w:rPr>
          <w:rFonts w:ascii="Times New Roman" w:hAnsi="Times New Roman" w:cs="Times New Roman"/>
          <w:sz w:val="24"/>
          <w:szCs w:val="24"/>
        </w:rPr>
        <w:t xml:space="preserve">Opodatkowania </w:t>
      </w:r>
      <w:r w:rsidRPr="00633318">
        <w:rPr>
          <w:rFonts w:ascii="Times New Roman" w:hAnsi="Times New Roman" w:cs="Times New Roman"/>
          <w:sz w:val="24"/>
          <w:szCs w:val="24"/>
        </w:rPr>
        <w:t>Wyrównawczego. Ponadto w przypadku złożenia wniosku</w:t>
      </w:r>
      <w:r w:rsidR="00F8745B" w:rsidRPr="00633318">
        <w:rPr>
          <w:rFonts w:ascii="Times New Roman" w:hAnsi="Times New Roman" w:cs="Times New Roman"/>
          <w:sz w:val="24"/>
          <w:szCs w:val="24"/>
        </w:rPr>
        <w:t xml:space="preserve"> o</w:t>
      </w:r>
      <w:r w:rsidRPr="00633318">
        <w:rPr>
          <w:rFonts w:ascii="Times New Roman" w:hAnsi="Times New Roman" w:cs="Times New Roman"/>
          <w:sz w:val="24"/>
          <w:szCs w:val="24"/>
        </w:rPr>
        <w:t xml:space="preserve"> porozumienie podatkowe, odpowiednie stosowanie </w:t>
      </w:r>
      <w:r w:rsidR="00624A37" w:rsidRPr="00633318">
        <w:rPr>
          <w:rFonts w:ascii="Times New Roman" w:hAnsi="Times New Roman" w:cs="Times New Roman"/>
          <w:sz w:val="24"/>
          <w:szCs w:val="24"/>
        </w:rPr>
        <w:t>będą mieć przepisy dotyczące kręgu zainteresowanych, zakresu przedmiotowego i konstrukcji wniosku, opłat za wydanie opinii oraz ograniczenia ważności opinii do 5 lat.</w:t>
      </w:r>
    </w:p>
    <w:p w14:paraId="64AF6A9C" w14:textId="2267A152" w:rsidR="002C7C46" w:rsidRPr="00633318" w:rsidRDefault="00F8745B"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Jednocześnie </w:t>
      </w:r>
      <w:r w:rsidR="002C7C46" w:rsidRPr="00633318">
        <w:rPr>
          <w:rFonts w:ascii="Times New Roman" w:hAnsi="Times New Roman" w:cs="Times New Roman"/>
          <w:sz w:val="24"/>
          <w:szCs w:val="24"/>
        </w:rPr>
        <w:t>opłata za wydanie porozumienia podatkowego zawierającego opinię w sprawie opodatkowania wyrównawczego</w:t>
      </w:r>
      <w:r w:rsidR="002C7C46" w:rsidRPr="00633318" w:rsidDel="00C91D97">
        <w:rPr>
          <w:rFonts w:ascii="Times New Roman" w:hAnsi="Times New Roman" w:cs="Times New Roman"/>
          <w:sz w:val="24"/>
          <w:szCs w:val="24"/>
        </w:rPr>
        <w:t xml:space="preserve"> </w:t>
      </w:r>
      <w:r w:rsidR="002C7C46" w:rsidRPr="00633318">
        <w:rPr>
          <w:rFonts w:ascii="Times New Roman" w:hAnsi="Times New Roman" w:cs="Times New Roman"/>
          <w:sz w:val="24"/>
          <w:szCs w:val="24"/>
        </w:rPr>
        <w:t>będzie wynosić 50% opłat pobieranych standardowo w procedurze wydawania opinii w sprawie opodatkowania wyrównawczego, zgodnie z projektowanymi art. 14z-14z</w:t>
      </w:r>
      <w:r w:rsidRPr="00633318">
        <w:rPr>
          <w:rFonts w:ascii="Times New Roman" w:hAnsi="Times New Roman" w:cs="Times New Roman"/>
          <w:sz w:val="24"/>
          <w:szCs w:val="24"/>
        </w:rPr>
        <w:t>a</w:t>
      </w:r>
      <w:r w:rsidR="002C7C46" w:rsidRPr="00633318">
        <w:rPr>
          <w:rFonts w:ascii="Times New Roman" w:hAnsi="Times New Roman" w:cs="Times New Roman"/>
          <w:sz w:val="24"/>
          <w:szCs w:val="24"/>
        </w:rPr>
        <w:t>, przy czym kwoty te pobrane zostaną dopiero po zawarciu porozumienia podatkowego.</w:t>
      </w:r>
    </w:p>
    <w:p w14:paraId="3899DBAF" w14:textId="50C4A867" w:rsidR="002C7C46" w:rsidRPr="00633318" w:rsidRDefault="00F8745B"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W</w:t>
      </w:r>
      <w:r w:rsidR="002C7C46" w:rsidRPr="00633318">
        <w:rPr>
          <w:rFonts w:ascii="Times New Roman" w:hAnsi="Times New Roman" w:cs="Times New Roman"/>
          <w:sz w:val="24"/>
          <w:szCs w:val="24"/>
        </w:rPr>
        <w:t xml:space="preserve"> przypadku porozumienia inwestycyjnego nie jest przewidywana dodatkowa opłata za objęcie opinii w sprawie opodatkowania wyrównawczego</w:t>
      </w:r>
      <w:r w:rsidR="002C7C46" w:rsidRPr="00633318" w:rsidDel="00C91D97">
        <w:rPr>
          <w:rFonts w:ascii="Times New Roman" w:hAnsi="Times New Roman" w:cs="Times New Roman"/>
          <w:sz w:val="24"/>
          <w:szCs w:val="24"/>
        </w:rPr>
        <w:t xml:space="preserve"> </w:t>
      </w:r>
      <w:r w:rsidR="002C7C46" w:rsidRPr="00633318">
        <w:rPr>
          <w:rFonts w:ascii="Times New Roman" w:hAnsi="Times New Roman" w:cs="Times New Roman"/>
          <w:sz w:val="24"/>
          <w:szCs w:val="24"/>
        </w:rPr>
        <w:t>zakresem porozumienia, ani nie są zwiększane opłaty już istniejące. Rozwiązanie to ma na celu zapewnienie opinii w sprawie opodatkowania wyrównawczego</w:t>
      </w:r>
      <w:r w:rsidR="002C7C46" w:rsidRPr="00633318" w:rsidDel="00C91D97">
        <w:rPr>
          <w:rFonts w:ascii="Times New Roman" w:hAnsi="Times New Roman" w:cs="Times New Roman"/>
          <w:sz w:val="24"/>
          <w:szCs w:val="24"/>
        </w:rPr>
        <w:t xml:space="preserve"> </w:t>
      </w:r>
      <w:r w:rsidR="002C7C46" w:rsidRPr="00633318">
        <w:rPr>
          <w:rFonts w:ascii="Times New Roman" w:hAnsi="Times New Roman" w:cs="Times New Roman"/>
          <w:sz w:val="24"/>
          <w:szCs w:val="24"/>
        </w:rPr>
        <w:t xml:space="preserve">także w ramach  porozumienia inwestycyjnego dla inwestorów przystępujących do tej formy rozwiązania, co w perspektywie może przyczynić się do lepszego i racjonalnego wykorzystywania wiedzy oraz jakości rozliczeń. </w:t>
      </w:r>
    </w:p>
    <w:p w14:paraId="018D8977" w14:textId="5D52C749" w:rsidR="002C7C46" w:rsidRPr="00633318" w:rsidRDefault="002C7C46" w:rsidP="000F5B35">
      <w:pPr>
        <w:autoSpaceDE w:val="0"/>
        <w:autoSpaceDN w:val="0"/>
        <w:adjustRightInd w:val="0"/>
        <w:spacing w:after="120"/>
        <w:jc w:val="both"/>
        <w:rPr>
          <w:rFonts w:ascii="Times New Roman" w:hAnsi="Times New Roman" w:cs="Times New Roman"/>
          <w:b/>
          <w:bCs/>
          <w:sz w:val="24"/>
          <w:szCs w:val="24"/>
        </w:rPr>
      </w:pPr>
      <w:r w:rsidRPr="00633318">
        <w:rPr>
          <w:rFonts w:ascii="Times New Roman" w:hAnsi="Times New Roman" w:cs="Times New Roman"/>
          <w:b/>
          <w:bCs/>
          <w:sz w:val="24"/>
          <w:szCs w:val="24"/>
        </w:rPr>
        <w:t>5. Opinia zabezpieczająca w sprawie stosowania przepisów o opodatkowaniu wyrównawczym – pkt 1</w:t>
      </w:r>
      <w:r w:rsidR="00631E25" w:rsidRPr="00633318">
        <w:rPr>
          <w:rFonts w:ascii="Times New Roman" w:hAnsi="Times New Roman" w:cs="Times New Roman"/>
          <w:b/>
          <w:bCs/>
          <w:sz w:val="24"/>
          <w:szCs w:val="24"/>
        </w:rPr>
        <w:t>2</w:t>
      </w:r>
      <w:r w:rsidRPr="00633318">
        <w:rPr>
          <w:rFonts w:ascii="Times New Roman" w:hAnsi="Times New Roman" w:cs="Times New Roman"/>
          <w:b/>
          <w:bCs/>
          <w:sz w:val="24"/>
          <w:szCs w:val="24"/>
        </w:rPr>
        <w:t xml:space="preserve"> i 1</w:t>
      </w:r>
      <w:r w:rsidR="00631E25" w:rsidRPr="00633318">
        <w:rPr>
          <w:rFonts w:ascii="Times New Roman" w:hAnsi="Times New Roman" w:cs="Times New Roman"/>
          <w:b/>
          <w:bCs/>
          <w:sz w:val="24"/>
          <w:szCs w:val="24"/>
        </w:rPr>
        <w:t>4</w:t>
      </w:r>
      <w:r w:rsidRPr="00633318">
        <w:rPr>
          <w:rFonts w:ascii="Times New Roman" w:hAnsi="Times New Roman" w:cs="Times New Roman"/>
          <w:b/>
          <w:bCs/>
          <w:sz w:val="24"/>
          <w:szCs w:val="24"/>
        </w:rPr>
        <w:t xml:space="preserve"> </w:t>
      </w:r>
      <w:r w:rsidR="0009509A" w:rsidRPr="00633318">
        <w:rPr>
          <w:rFonts w:ascii="Times New Roman" w:hAnsi="Times New Roman" w:cs="Times New Roman"/>
          <w:b/>
          <w:bCs/>
          <w:sz w:val="24"/>
          <w:szCs w:val="24"/>
        </w:rPr>
        <w:t>art. 140 projektu (art. 119w § 1 Ordynacji podatkowej, dodawany rozdział 6 w dziale IIIA Opinia zabezpieczająca w sprawie opodatkowania wyrównawczego, art. 119zfp – art. 119zfzb Ordynacji podatkowej)</w:t>
      </w:r>
    </w:p>
    <w:p w14:paraId="2DDF593F" w14:textId="1C55039D"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Projekt ustawy przewiduje wyłączenie możliwości wydawania tradycyjnych opinii zabezpieczających i wprowadzenie „kwalifikowanej” opinii zabezpieczającej - opinii zabezpieczającej w sprawie stosowania przepisów o opodatkowaniu wyrównawczym. Organem wydającym opinię zabezpieczającą w sprawie przepisów o opodatkowaniu wyrównawczym będzie</w:t>
      </w:r>
      <w:r w:rsidR="0009509A" w:rsidRPr="00633318">
        <w:rPr>
          <w:rFonts w:ascii="Times New Roman" w:hAnsi="Times New Roman" w:cs="Times New Roman"/>
          <w:sz w:val="24"/>
          <w:szCs w:val="24"/>
        </w:rPr>
        <w:t xml:space="preserve"> nadal</w:t>
      </w:r>
      <w:r w:rsidRPr="00633318">
        <w:rPr>
          <w:rFonts w:ascii="Times New Roman" w:hAnsi="Times New Roman" w:cs="Times New Roman"/>
          <w:sz w:val="24"/>
          <w:szCs w:val="24"/>
        </w:rPr>
        <w:t xml:space="preserve"> Szef KAS. Procedura wydawania nowego instrumentu pozostaje zbliżona do procedury wydawania opinii zabezpieczających. </w:t>
      </w:r>
      <w:r w:rsidR="0009509A" w:rsidRPr="00633318">
        <w:rPr>
          <w:rFonts w:ascii="Times New Roman" w:hAnsi="Times New Roman" w:cs="Times New Roman"/>
          <w:sz w:val="24"/>
          <w:szCs w:val="24"/>
        </w:rPr>
        <w:t>Z</w:t>
      </w:r>
      <w:r w:rsidRPr="00633318">
        <w:rPr>
          <w:rFonts w:ascii="Times New Roman" w:hAnsi="Times New Roman" w:cs="Times New Roman"/>
          <w:sz w:val="24"/>
          <w:szCs w:val="24"/>
        </w:rPr>
        <w:t>e względu</w:t>
      </w:r>
      <w:r w:rsidR="0009509A" w:rsidRPr="00633318">
        <w:rPr>
          <w:rFonts w:ascii="Times New Roman" w:hAnsi="Times New Roman" w:cs="Times New Roman"/>
          <w:sz w:val="24"/>
          <w:szCs w:val="24"/>
        </w:rPr>
        <w:t xml:space="preserve"> jednak</w:t>
      </w:r>
      <w:r w:rsidRPr="00633318">
        <w:rPr>
          <w:rFonts w:ascii="Times New Roman" w:hAnsi="Times New Roman" w:cs="Times New Roman"/>
          <w:sz w:val="24"/>
          <w:szCs w:val="24"/>
        </w:rPr>
        <w:t xml:space="preserve"> na specyfikę podatku wyrównawczego, konieczne były pewne modyfikacje pozwalające na realne wykorzystanie narzędzia interpretacyjnego. Opinia zabezpieczająca w sprawie stosowania przepisów o opodatkowaniu wyrównawczym skierowana jest do określonego enumeratywnie kręgu adresatów, analogicznego do kręgu adresatów przy projektowanej opinii w sprawie opodatkowania wyrównawczego. Zakres przedmiotowy wniosku, w porównaniu do zwykłej opinii zabezpieczającej, zostanie rozszerzony o elementy takie jak:</w:t>
      </w:r>
    </w:p>
    <w:p w14:paraId="6C6F9682" w14:textId="77777777"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dane identyfikacyjne jednostek składowych grupy, w tym ich numery identyfikacji podatkowej, jeżeli zostały nadane; </w:t>
      </w:r>
    </w:p>
    <w:p w14:paraId="0FEDEFA7" w14:textId="10A00E54" w:rsidR="002C7C46" w:rsidRPr="00633318" w:rsidRDefault="00EB39F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jurysdykcje </w:t>
      </w:r>
      <w:r w:rsidR="004B7C15" w:rsidRPr="00633318">
        <w:rPr>
          <w:rFonts w:ascii="Times New Roman" w:hAnsi="Times New Roman" w:cs="Times New Roman"/>
          <w:sz w:val="24"/>
          <w:szCs w:val="24"/>
        </w:rPr>
        <w:t>w rozumieniu ustawy o opodatkowaniu wyrównawczym jednostek składowych grup międzynarodowych i krajowych</w:t>
      </w:r>
      <w:r w:rsidR="002C7C46" w:rsidRPr="00633318">
        <w:rPr>
          <w:rFonts w:ascii="Times New Roman" w:hAnsi="Times New Roman" w:cs="Times New Roman"/>
          <w:sz w:val="24"/>
          <w:szCs w:val="24"/>
        </w:rPr>
        <w:t xml:space="preserve">, w których jednostki składowe grupy </w:t>
      </w:r>
      <w:r w:rsidRPr="00633318">
        <w:rPr>
          <w:rFonts w:ascii="Times New Roman" w:hAnsi="Times New Roman" w:cs="Times New Roman"/>
          <w:sz w:val="24"/>
          <w:szCs w:val="24"/>
        </w:rPr>
        <w:t>są zlokalizowane</w:t>
      </w:r>
      <w:r w:rsidR="002C7C46" w:rsidRPr="00633318">
        <w:rPr>
          <w:rFonts w:ascii="Times New Roman" w:hAnsi="Times New Roman" w:cs="Times New Roman"/>
          <w:sz w:val="24"/>
          <w:szCs w:val="24"/>
        </w:rPr>
        <w:t xml:space="preserve">; </w:t>
      </w:r>
    </w:p>
    <w:p w14:paraId="360FA3A0" w14:textId="40B61F19"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rodzaj jednostek składowych jednostek składowych</w:t>
      </w:r>
      <w:r w:rsidR="004B7C15" w:rsidRPr="00633318">
        <w:rPr>
          <w:rFonts w:ascii="Times New Roman" w:hAnsi="Times New Roman" w:cs="Times New Roman"/>
          <w:sz w:val="24"/>
          <w:szCs w:val="24"/>
        </w:rPr>
        <w:t>, których dotyczy wniosek</w:t>
      </w:r>
      <w:r w:rsidR="00EB39F6" w:rsidRPr="00633318">
        <w:rPr>
          <w:rFonts w:ascii="Times New Roman" w:hAnsi="Times New Roman" w:cs="Times New Roman"/>
          <w:sz w:val="24"/>
          <w:szCs w:val="24"/>
        </w:rPr>
        <w:t xml:space="preserve"> (np. jednostka dominująca określonego typu, jednostka inwestycyjna, jednostka joint venture lub inna jednostka o szczególnym charakterze)</w:t>
      </w:r>
      <w:r w:rsidRPr="00633318">
        <w:rPr>
          <w:rFonts w:ascii="Times New Roman" w:hAnsi="Times New Roman" w:cs="Times New Roman"/>
          <w:sz w:val="24"/>
          <w:szCs w:val="24"/>
        </w:rPr>
        <w:t xml:space="preserve">; </w:t>
      </w:r>
    </w:p>
    <w:p w14:paraId="1104EF52" w14:textId="77777777"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informację na temat ogólnej struktury korporacyjnej grupy, w tym w zakresie udziałów konsolidujących w jednostkach składowych tej grupy będących w posiadaniu innych jednostek składowych tej grupy; </w:t>
      </w:r>
    </w:p>
    <w:p w14:paraId="055DC721" w14:textId="27D3BCC3"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opis podstawowej działalności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w tym: </w:t>
      </w:r>
    </w:p>
    <w:p w14:paraId="79ACE226" w14:textId="77777777" w:rsidR="002C7C46" w:rsidRPr="00633318" w:rsidRDefault="002C7C46" w:rsidP="003E7A67">
      <w:pPr>
        <w:autoSpaceDE w:val="0"/>
        <w:autoSpaceDN w:val="0"/>
        <w:adjustRightInd w:val="0"/>
        <w:spacing w:after="120"/>
        <w:ind w:left="720"/>
        <w:jc w:val="both"/>
        <w:rPr>
          <w:rFonts w:ascii="Times New Roman" w:hAnsi="Times New Roman" w:cs="Times New Roman"/>
          <w:sz w:val="24"/>
          <w:szCs w:val="24"/>
        </w:rPr>
      </w:pPr>
      <w:r w:rsidRPr="00633318">
        <w:rPr>
          <w:rFonts w:ascii="Times New Roman" w:hAnsi="Times New Roman" w:cs="Times New Roman"/>
          <w:sz w:val="24"/>
          <w:szCs w:val="24"/>
        </w:rPr>
        <w:t xml:space="preserve">– wskazanie przedmiotu prowadzonej działalności, </w:t>
      </w:r>
    </w:p>
    <w:p w14:paraId="786CCF9A" w14:textId="77777777" w:rsidR="002C7C46" w:rsidRPr="00633318" w:rsidRDefault="002C7C46" w:rsidP="003E7A67">
      <w:pPr>
        <w:autoSpaceDE w:val="0"/>
        <w:autoSpaceDN w:val="0"/>
        <w:adjustRightInd w:val="0"/>
        <w:spacing w:after="120"/>
        <w:ind w:left="720"/>
        <w:jc w:val="both"/>
        <w:rPr>
          <w:rFonts w:ascii="Times New Roman" w:hAnsi="Times New Roman" w:cs="Times New Roman"/>
          <w:sz w:val="24"/>
          <w:szCs w:val="24"/>
        </w:rPr>
      </w:pPr>
      <w:r w:rsidRPr="00633318">
        <w:rPr>
          <w:rFonts w:ascii="Times New Roman" w:hAnsi="Times New Roman" w:cs="Times New Roman"/>
          <w:sz w:val="24"/>
          <w:szCs w:val="24"/>
        </w:rPr>
        <w:t xml:space="preserve">– opis strategii gospodarczej, </w:t>
      </w:r>
    </w:p>
    <w:p w14:paraId="01653445" w14:textId="6752550D"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wykaz pozostałych jednostek składowych uczestniczących w </w:t>
      </w:r>
      <w:r w:rsidR="00472CD9" w:rsidRPr="00633318">
        <w:rPr>
          <w:rFonts w:ascii="Times New Roman" w:hAnsi="Times New Roman" w:cs="Times New Roman"/>
          <w:sz w:val="24"/>
          <w:szCs w:val="24"/>
        </w:rPr>
        <w:t>czynności</w:t>
      </w:r>
      <w:r w:rsidRPr="00633318">
        <w:rPr>
          <w:rFonts w:ascii="Times New Roman" w:hAnsi="Times New Roman" w:cs="Times New Roman"/>
          <w:sz w:val="24"/>
          <w:szCs w:val="24"/>
        </w:rPr>
        <w:t xml:space="preserve">, wraz ze wskazaniem </w:t>
      </w:r>
      <w:r w:rsidR="00EB39F6" w:rsidRPr="00633318">
        <w:rPr>
          <w:rFonts w:ascii="Times New Roman" w:hAnsi="Times New Roman" w:cs="Times New Roman"/>
          <w:sz w:val="24"/>
          <w:szCs w:val="24"/>
        </w:rPr>
        <w:t xml:space="preserve">miejsca ich </w:t>
      </w:r>
      <w:r w:rsidRPr="00633318">
        <w:rPr>
          <w:rFonts w:ascii="Times New Roman" w:hAnsi="Times New Roman" w:cs="Times New Roman"/>
          <w:sz w:val="24"/>
          <w:szCs w:val="24"/>
        </w:rPr>
        <w:t xml:space="preserve">siedziby lub zarządu, numeru identyfikacji podatkowej, a w przypadku jego braku - innego numeru identyfikacyjnego wraz z określeniem jego rodzaju, a także przedmiotu prowadzonej przez nich działalności,   </w:t>
      </w:r>
    </w:p>
    <w:p w14:paraId="2292EF25" w14:textId="76BA0D44"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opis przyjętych zasad</w:t>
      </w:r>
      <w:r w:rsidR="007E6F1A" w:rsidRPr="00633318">
        <w:rPr>
          <w:rFonts w:ascii="Times New Roman" w:hAnsi="Times New Roman" w:cs="Times New Roman"/>
          <w:sz w:val="24"/>
          <w:szCs w:val="24"/>
        </w:rPr>
        <w:t xml:space="preserve"> lub</w:t>
      </w:r>
      <w:r w:rsidRPr="00633318">
        <w:rPr>
          <w:rFonts w:ascii="Times New Roman" w:hAnsi="Times New Roman" w:cs="Times New Roman"/>
          <w:sz w:val="24"/>
          <w:szCs w:val="24"/>
        </w:rPr>
        <w:t xml:space="preserve"> polityki rachunkowości w zakresie, w jakim mają one zastosowanie do </w:t>
      </w:r>
      <w:r w:rsidR="00472CD9" w:rsidRPr="00633318">
        <w:rPr>
          <w:rFonts w:ascii="Times New Roman" w:hAnsi="Times New Roman" w:cs="Times New Roman"/>
          <w:sz w:val="24"/>
          <w:szCs w:val="24"/>
        </w:rPr>
        <w:t>czynności</w:t>
      </w:r>
      <w:r w:rsidRPr="00633318">
        <w:rPr>
          <w:rFonts w:ascii="Times New Roman" w:hAnsi="Times New Roman" w:cs="Times New Roman"/>
          <w:sz w:val="24"/>
          <w:szCs w:val="24"/>
        </w:rPr>
        <w:t xml:space="preserve">, stosowanych przez </w:t>
      </w:r>
      <w:r w:rsidR="00472CD9" w:rsidRPr="00633318">
        <w:rPr>
          <w:rFonts w:ascii="Times New Roman" w:hAnsi="Times New Roman" w:cs="Times New Roman"/>
          <w:sz w:val="24"/>
          <w:szCs w:val="24"/>
        </w:rPr>
        <w:t>zainteresowanego</w:t>
      </w:r>
      <w:r w:rsidRPr="00633318">
        <w:rPr>
          <w:rFonts w:ascii="Times New Roman" w:hAnsi="Times New Roman" w:cs="Times New Roman"/>
          <w:sz w:val="24"/>
          <w:szCs w:val="24"/>
        </w:rPr>
        <w:t xml:space="preserve"> i pozostałe jednostki składowe uczestniczące w </w:t>
      </w:r>
      <w:r w:rsidR="00472CD9" w:rsidRPr="00633318">
        <w:rPr>
          <w:rFonts w:ascii="Times New Roman" w:hAnsi="Times New Roman" w:cs="Times New Roman"/>
          <w:sz w:val="24"/>
          <w:szCs w:val="24"/>
        </w:rPr>
        <w:t>czynności</w:t>
      </w:r>
      <w:r w:rsidRPr="00633318">
        <w:rPr>
          <w:rFonts w:ascii="Times New Roman" w:hAnsi="Times New Roman" w:cs="Times New Roman"/>
          <w:sz w:val="24"/>
          <w:szCs w:val="24"/>
        </w:rPr>
        <w:t xml:space="preserve">; </w:t>
      </w:r>
    </w:p>
    <w:p w14:paraId="79ED1B22" w14:textId="75E0D02E"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umowy, porozumienia wewnątrzgrupowe lub inne dokumenty dotyczące </w:t>
      </w:r>
      <w:r w:rsidR="00472CD9" w:rsidRPr="00633318">
        <w:rPr>
          <w:rFonts w:ascii="Times New Roman" w:hAnsi="Times New Roman" w:cs="Times New Roman"/>
          <w:sz w:val="24"/>
          <w:szCs w:val="24"/>
        </w:rPr>
        <w:t>czynnoś</w:t>
      </w:r>
      <w:r w:rsidR="00A33023" w:rsidRPr="00633318">
        <w:rPr>
          <w:rFonts w:ascii="Times New Roman" w:hAnsi="Times New Roman" w:cs="Times New Roman"/>
          <w:sz w:val="24"/>
          <w:szCs w:val="24"/>
        </w:rPr>
        <w:t>ć</w:t>
      </w:r>
      <w:r w:rsidRPr="00633318">
        <w:rPr>
          <w:rFonts w:ascii="Times New Roman" w:hAnsi="Times New Roman" w:cs="Times New Roman"/>
          <w:sz w:val="24"/>
          <w:szCs w:val="24"/>
        </w:rPr>
        <w:t>;</w:t>
      </w:r>
    </w:p>
    <w:p w14:paraId="1836D1A4" w14:textId="77777777" w:rsidR="002C7C46" w:rsidRPr="00633318" w:rsidRDefault="002C7C46" w:rsidP="009E73F7">
      <w:pPr>
        <w:numPr>
          <w:ilvl w:val="0"/>
          <w:numId w:val="109"/>
        </w:num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wskazanie na wszystkie inne dokumenty lub informacje niezbędne do dokonania oceny stanowiska zainteresowanego.  </w:t>
      </w:r>
    </w:p>
    <w:p w14:paraId="689B27F2" w14:textId="7574F28D" w:rsidR="00D90FFF" w:rsidRPr="00633318" w:rsidRDefault="00D90FFF"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Ograniczenie zakresu przedmiotowego opinii</w:t>
      </w:r>
      <w:r w:rsidR="00CF1A1B" w:rsidRPr="00633318">
        <w:rPr>
          <w:rFonts w:ascii="Times New Roman" w:hAnsi="Times New Roman" w:cs="Times New Roman"/>
          <w:sz w:val="24"/>
          <w:szCs w:val="24"/>
        </w:rPr>
        <w:t xml:space="preserve"> zabezpieczającej</w:t>
      </w:r>
      <w:r w:rsidRPr="00633318">
        <w:rPr>
          <w:rFonts w:ascii="Times New Roman" w:hAnsi="Times New Roman" w:cs="Times New Roman"/>
          <w:sz w:val="24"/>
          <w:szCs w:val="24"/>
        </w:rPr>
        <w:t xml:space="preserve"> do czynności planowanych</w:t>
      </w:r>
      <w:r w:rsidR="000A00DA" w:rsidRPr="00633318">
        <w:rPr>
          <w:rFonts w:ascii="Times New Roman" w:hAnsi="Times New Roman" w:cs="Times New Roman"/>
          <w:sz w:val="24"/>
          <w:szCs w:val="24"/>
        </w:rPr>
        <w:t xml:space="preserve"> </w:t>
      </w:r>
      <w:r w:rsidR="007E6F1A" w:rsidRPr="00633318">
        <w:rPr>
          <w:rFonts w:ascii="Times New Roman" w:hAnsi="Times New Roman" w:cs="Times New Roman"/>
          <w:sz w:val="24"/>
          <w:szCs w:val="24"/>
        </w:rPr>
        <w:t xml:space="preserve">lub </w:t>
      </w:r>
      <w:r w:rsidRPr="00633318">
        <w:rPr>
          <w:rFonts w:ascii="Times New Roman" w:hAnsi="Times New Roman" w:cs="Times New Roman"/>
          <w:sz w:val="24"/>
          <w:szCs w:val="24"/>
        </w:rPr>
        <w:t>czynności rozpoczętych i niezakończonych</w:t>
      </w:r>
      <w:r w:rsidR="00F8745B" w:rsidRPr="00633318">
        <w:rPr>
          <w:rFonts w:ascii="Times New Roman" w:hAnsi="Times New Roman" w:cs="Times New Roman"/>
          <w:sz w:val="24"/>
          <w:szCs w:val="24"/>
        </w:rPr>
        <w:t xml:space="preserve"> </w:t>
      </w:r>
      <w:r w:rsidRPr="00633318">
        <w:rPr>
          <w:rFonts w:ascii="Times New Roman" w:hAnsi="Times New Roman" w:cs="Times New Roman"/>
          <w:sz w:val="24"/>
          <w:szCs w:val="24"/>
        </w:rPr>
        <w:t>ma na celu zachęcenie w pierwszej kolejności do starannego analizowania przez największe grupy kapitałowe działające w RP działań biznesowych pod kątem obciążeń podatkowych. W związku z tym opinia nie powinna zabezpieczać podatnika w zakresie czynności i procesów, które zostały już zakończone</w:t>
      </w:r>
      <w:r w:rsidR="007E6F1A" w:rsidRPr="00633318">
        <w:rPr>
          <w:rFonts w:ascii="Times New Roman" w:hAnsi="Times New Roman" w:cs="Times New Roman"/>
          <w:sz w:val="24"/>
          <w:szCs w:val="24"/>
        </w:rPr>
        <w:t xml:space="preserve"> lub dla których upłynął termin zapłaty podatku</w:t>
      </w:r>
      <w:r w:rsidRPr="00633318">
        <w:rPr>
          <w:rFonts w:ascii="Times New Roman" w:hAnsi="Times New Roman" w:cs="Times New Roman"/>
          <w:sz w:val="24"/>
          <w:szCs w:val="24"/>
        </w:rPr>
        <w:t xml:space="preserve">. </w:t>
      </w:r>
    </w:p>
    <w:p w14:paraId="3F3A47CF" w14:textId="0973ADFC" w:rsidR="00F8745B"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Jednocześnie, ze względu na skomplikowany charakter przepisów o podatku wyrównawczym, zasadne jest ustalenie dłuższego terminu wydania opinii, który wyniesie nie więcej niż 12 miesięcy, jednakże do terminu tego nie wlicza się terminów i okresów, o których mowa w art. 139 § 4 (art. </w:t>
      </w:r>
      <w:r w:rsidR="00F77841" w:rsidRPr="00633318">
        <w:rPr>
          <w:rFonts w:ascii="Times New Roman" w:hAnsi="Times New Roman" w:cs="Times New Roman"/>
          <w:sz w:val="24"/>
          <w:szCs w:val="24"/>
        </w:rPr>
        <w:t>119zfu</w:t>
      </w:r>
      <w:r w:rsidRPr="00633318">
        <w:rPr>
          <w:rFonts w:ascii="Times New Roman" w:hAnsi="Times New Roman" w:cs="Times New Roman"/>
          <w:sz w:val="24"/>
          <w:szCs w:val="24"/>
        </w:rPr>
        <w:t>).</w:t>
      </w:r>
    </w:p>
    <w:p w14:paraId="21FA2B29" w14:textId="336EF34B" w:rsidR="00F8745B"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Wniosek o wydanie opinii zabezpieczającej podlegać będzie opłacie w wysokości </w:t>
      </w:r>
      <w:r w:rsidR="00F77841" w:rsidRPr="00633318">
        <w:rPr>
          <w:rFonts w:ascii="Times New Roman" w:hAnsi="Times New Roman" w:cs="Times New Roman"/>
          <w:sz w:val="24"/>
          <w:szCs w:val="24"/>
        </w:rPr>
        <w:t xml:space="preserve">65 </w:t>
      </w:r>
      <w:r w:rsidRPr="00633318">
        <w:rPr>
          <w:rFonts w:ascii="Times New Roman" w:hAnsi="Times New Roman" w:cs="Times New Roman"/>
          <w:sz w:val="24"/>
          <w:szCs w:val="24"/>
        </w:rPr>
        <w:t xml:space="preserve">000 zł, płatnej w ciągu 7 dni od dnia złożenia wniosku. Opłata podlegać będzie zwrotowi jedynie w przypadku wycofania wniosku w terminie 6 miesięcy od dnia jego złożenia </w:t>
      </w:r>
      <w:r w:rsidR="00EB39F6" w:rsidRPr="00633318">
        <w:rPr>
          <w:rFonts w:ascii="Times New Roman" w:hAnsi="Times New Roman" w:cs="Times New Roman"/>
          <w:sz w:val="24"/>
          <w:szCs w:val="24"/>
        </w:rPr>
        <w:t>(zwrot</w:t>
      </w:r>
      <w:r w:rsidR="000F6232" w:rsidRPr="00633318">
        <w:rPr>
          <w:rFonts w:ascii="Times New Roman" w:hAnsi="Times New Roman" w:cs="Times New Roman"/>
          <w:sz w:val="24"/>
          <w:szCs w:val="24"/>
        </w:rPr>
        <w:t xml:space="preserve"> </w:t>
      </w:r>
      <w:r w:rsidR="00EB39F6" w:rsidRPr="00633318">
        <w:rPr>
          <w:rFonts w:ascii="Times New Roman" w:hAnsi="Times New Roman" w:cs="Times New Roman"/>
          <w:sz w:val="24"/>
          <w:szCs w:val="24"/>
        </w:rPr>
        <w:t>połowy opłaty)</w:t>
      </w:r>
      <w:r w:rsidRPr="00633318">
        <w:rPr>
          <w:rFonts w:ascii="Times New Roman" w:hAnsi="Times New Roman" w:cs="Times New Roman"/>
          <w:sz w:val="24"/>
          <w:szCs w:val="24"/>
        </w:rPr>
        <w:t xml:space="preserve"> oraz</w:t>
      </w:r>
      <w:r w:rsidR="00EB39F6" w:rsidRPr="00633318">
        <w:rPr>
          <w:rFonts w:ascii="Times New Roman" w:hAnsi="Times New Roman" w:cs="Times New Roman"/>
          <w:sz w:val="24"/>
          <w:szCs w:val="24"/>
        </w:rPr>
        <w:t xml:space="preserve"> w przypadku</w:t>
      </w:r>
      <w:r w:rsidRPr="00633318">
        <w:rPr>
          <w:rFonts w:ascii="Times New Roman" w:hAnsi="Times New Roman" w:cs="Times New Roman"/>
          <w:sz w:val="24"/>
          <w:szCs w:val="24"/>
        </w:rPr>
        <w:t xml:space="preserve"> uiszczenia jej w kwocie wyższej niż należna </w:t>
      </w:r>
      <w:r w:rsidR="00EB39F6" w:rsidRPr="00633318">
        <w:rPr>
          <w:rFonts w:ascii="Times New Roman" w:hAnsi="Times New Roman" w:cs="Times New Roman"/>
          <w:sz w:val="24"/>
          <w:szCs w:val="24"/>
        </w:rPr>
        <w:t xml:space="preserve">(zwrot </w:t>
      </w:r>
      <w:r w:rsidRPr="00633318">
        <w:rPr>
          <w:rFonts w:ascii="Times New Roman" w:hAnsi="Times New Roman" w:cs="Times New Roman"/>
          <w:sz w:val="24"/>
          <w:szCs w:val="24"/>
        </w:rPr>
        <w:t>w odpowiedniej części</w:t>
      </w:r>
      <w:r w:rsidR="00325F0F" w:rsidRPr="00633318">
        <w:rPr>
          <w:rFonts w:ascii="Times New Roman" w:hAnsi="Times New Roman" w:cs="Times New Roman"/>
          <w:sz w:val="24"/>
          <w:szCs w:val="24"/>
        </w:rPr>
        <w:t>)</w:t>
      </w:r>
      <w:r w:rsidRPr="00633318">
        <w:rPr>
          <w:rFonts w:ascii="Times New Roman" w:hAnsi="Times New Roman" w:cs="Times New Roman"/>
          <w:sz w:val="24"/>
          <w:szCs w:val="24"/>
        </w:rPr>
        <w:t>.</w:t>
      </w:r>
      <w:r w:rsidR="00F8745B" w:rsidRPr="00633318">
        <w:rPr>
          <w:rFonts w:ascii="Times New Roman" w:hAnsi="Times New Roman" w:cs="Times New Roman"/>
          <w:sz w:val="24"/>
          <w:szCs w:val="24"/>
        </w:rPr>
        <w:t xml:space="preserve"> </w:t>
      </w:r>
    </w:p>
    <w:p w14:paraId="373DE094" w14:textId="39E1AEC2"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 uwagi na ograniczenie legitymacji do wystąpienia z wnioskiem o wydanie opinii zabezpieczającej w sprawie stosowania przepisów o opodatkowaniu wyrównawczym, a także wysoki koszt wydania opinii, nie została przewidziana możliwość występowania z wnioskiem wspólnym. </w:t>
      </w:r>
    </w:p>
    <w:p w14:paraId="5BDD4C41" w14:textId="1D87D1A2" w:rsidR="002C7C46" w:rsidRPr="00633318" w:rsidRDefault="002C7C46" w:rsidP="000F5B35">
      <w:pPr>
        <w:autoSpaceDE w:val="0"/>
        <w:autoSpaceDN w:val="0"/>
        <w:adjustRightInd w:val="0"/>
        <w:spacing w:after="120"/>
        <w:jc w:val="both"/>
        <w:rPr>
          <w:rFonts w:ascii="Times New Roman" w:hAnsi="Times New Roman" w:cs="Times New Roman"/>
          <w:b/>
          <w:bCs/>
          <w:sz w:val="24"/>
          <w:szCs w:val="24"/>
        </w:rPr>
      </w:pPr>
      <w:r w:rsidRPr="00633318">
        <w:rPr>
          <w:rFonts w:ascii="Times New Roman" w:hAnsi="Times New Roman" w:cs="Times New Roman"/>
          <w:b/>
          <w:bCs/>
          <w:sz w:val="24"/>
          <w:szCs w:val="24"/>
        </w:rPr>
        <w:t xml:space="preserve">6. Zmiany dostosowawcze – pkt </w:t>
      </w:r>
      <w:r w:rsidR="00C2483D" w:rsidRPr="00633318">
        <w:rPr>
          <w:rFonts w:ascii="Times New Roman" w:hAnsi="Times New Roman" w:cs="Times New Roman"/>
          <w:b/>
          <w:bCs/>
          <w:sz w:val="24"/>
          <w:szCs w:val="24"/>
        </w:rPr>
        <w:t xml:space="preserve">9 i </w:t>
      </w:r>
      <w:r w:rsidRPr="00633318">
        <w:rPr>
          <w:rFonts w:ascii="Times New Roman" w:hAnsi="Times New Roman" w:cs="Times New Roman"/>
          <w:b/>
          <w:bCs/>
          <w:sz w:val="24"/>
          <w:szCs w:val="24"/>
        </w:rPr>
        <w:t>1</w:t>
      </w:r>
      <w:r w:rsidR="00631E25" w:rsidRPr="00633318">
        <w:rPr>
          <w:rFonts w:ascii="Times New Roman" w:hAnsi="Times New Roman" w:cs="Times New Roman"/>
          <w:b/>
          <w:bCs/>
          <w:sz w:val="24"/>
          <w:szCs w:val="24"/>
        </w:rPr>
        <w:t>5</w:t>
      </w:r>
      <w:r w:rsidRPr="00633318">
        <w:rPr>
          <w:rFonts w:ascii="Times New Roman" w:hAnsi="Times New Roman" w:cs="Times New Roman"/>
          <w:b/>
          <w:bCs/>
          <w:sz w:val="24"/>
          <w:szCs w:val="24"/>
        </w:rPr>
        <w:t>-1</w:t>
      </w:r>
      <w:r w:rsidR="00631E25" w:rsidRPr="00633318">
        <w:rPr>
          <w:rFonts w:ascii="Times New Roman" w:hAnsi="Times New Roman" w:cs="Times New Roman"/>
          <w:b/>
          <w:bCs/>
          <w:sz w:val="24"/>
          <w:szCs w:val="24"/>
        </w:rPr>
        <w:t>7</w:t>
      </w:r>
      <w:r w:rsidR="0009509A" w:rsidRPr="00633318">
        <w:rPr>
          <w:rFonts w:ascii="Times New Roman" w:hAnsi="Times New Roman" w:cs="Times New Roman"/>
          <w:b/>
          <w:bCs/>
          <w:sz w:val="24"/>
          <w:szCs w:val="24"/>
        </w:rPr>
        <w:t xml:space="preserve"> art. 140 projektu</w:t>
      </w:r>
    </w:p>
    <w:p w14:paraId="2E5500A8" w14:textId="019264D8" w:rsidR="0009509A" w:rsidRPr="00633318" w:rsidRDefault="0009509A" w:rsidP="0009509A">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Zmiany mające na celu dostosowanie przepisów art. 59 § 1 pkt 10, art. 239d § 1, art. 294 § 1 pkt 7 i § 3 oraz art. 297g pkt 2 Ordynacji podatkowej w zw. z wprowadzanymi nowymi regulacjami.</w:t>
      </w:r>
    </w:p>
    <w:p w14:paraId="05685A7C" w14:textId="7E81FDF4" w:rsidR="002C7C46" w:rsidRPr="00633318" w:rsidRDefault="002C7C46" w:rsidP="000F5B3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b/>
          <w:bCs/>
          <w:sz w:val="24"/>
          <w:szCs w:val="24"/>
        </w:rPr>
        <w:t xml:space="preserve">7. Pozostałe zmiany – pkt </w:t>
      </w:r>
      <w:r w:rsidR="00C2483D" w:rsidRPr="00633318">
        <w:rPr>
          <w:rFonts w:ascii="Times New Roman" w:hAnsi="Times New Roman" w:cs="Times New Roman"/>
          <w:b/>
          <w:bCs/>
          <w:sz w:val="24"/>
          <w:szCs w:val="24"/>
        </w:rPr>
        <w:t>10</w:t>
      </w:r>
      <w:r w:rsidR="00631E25" w:rsidRPr="00633318">
        <w:rPr>
          <w:rFonts w:ascii="Times New Roman" w:hAnsi="Times New Roman" w:cs="Times New Roman"/>
          <w:b/>
          <w:bCs/>
          <w:sz w:val="24"/>
          <w:szCs w:val="24"/>
        </w:rPr>
        <w:t>, 11</w:t>
      </w:r>
      <w:r w:rsidR="006D690E" w:rsidRPr="00633318">
        <w:rPr>
          <w:rFonts w:ascii="Times New Roman" w:hAnsi="Times New Roman" w:cs="Times New Roman"/>
          <w:b/>
          <w:bCs/>
          <w:sz w:val="24"/>
          <w:szCs w:val="24"/>
        </w:rPr>
        <w:t xml:space="preserve"> i 1</w:t>
      </w:r>
      <w:r w:rsidR="00631E25" w:rsidRPr="00633318">
        <w:rPr>
          <w:rFonts w:ascii="Times New Roman" w:hAnsi="Times New Roman" w:cs="Times New Roman"/>
          <w:b/>
          <w:bCs/>
          <w:sz w:val="24"/>
          <w:szCs w:val="24"/>
        </w:rPr>
        <w:t>3</w:t>
      </w:r>
      <w:r w:rsidR="0009509A" w:rsidRPr="00633318">
        <w:rPr>
          <w:rFonts w:ascii="Times New Roman" w:hAnsi="Times New Roman" w:cs="Times New Roman"/>
          <w:b/>
          <w:bCs/>
          <w:sz w:val="24"/>
          <w:szCs w:val="24"/>
        </w:rPr>
        <w:t xml:space="preserve"> art. 140 projektu</w:t>
      </w:r>
    </w:p>
    <w:p w14:paraId="054DA752" w14:textId="1EE54504" w:rsidR="00631E25" w:rsidRPr="00633318" w:rsidRDefault="002C7C46" w:rsidP="001B320A">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Zmiana w art. 70 </w:t>
      </w:r>
      <w:r w:rsidR="003856AF" w:rsidRPr="00633318">
        <w:rPr>
          <w:rFonts w:ascii="Times New Roman" w:hAnsi="Times New Roman" w:cs="Times New Roman"/>
          <w:sz w:val="24"/>
          <w:szCs w:val="24"/>
        </w:rPr>
        <w:t xml:space="preserve">Ordynacji podatkowej </w:t>
      </w:r>
      <w:r w:rsidRPr="00633318">
        <w:rPr>
          <w:rFonts w:ascii="Times New Roman" w:hAnsi="Times New Roman" w:cs="Times New Roman"/>
          <w:sz w:val="24"/>
          <w:szCs w:val="24"/>
        </w:rPr>
        <w:t>odnosi się do wprowadzenia szczególnej regulacji w zakresie przedawnienia zobowiązań podatkowych z tytułu podatku CIT w przypadku podatników podlegających opodatkowaniu wyrównawczemu. Z uwagi na to, iż podatek CIT wpływa na opodatkowanie wyrównawcze oraz mając na uwadze, iż płatność podatków wyrównawczych jest przesunięta w stosunku do podatku CIT o 1 rok, konieczne jest odpowiednie uwzględnienie tego faktu. Stąd też proponuje się, aby w takim przypadku zobowiązanie z tytułu podatku CIT, podatnika podlegającego opodatkowaniu wyrównawczemu, przedawniało się z upływem 5 lat, licząc od końca roku kalendarzowego, w którym upłynął termin płatności podatku wynikającego z tego opodatkowania wyrównawczego.</w:t>
      </w:r>
    </w:p>
    <w:p w14:paraId="00F8F58D" w14:textId="49B2FD7A" w:rsidR="006D690E" w:rsidRPr="00633318" w:rsidRDefault="00631E25" w:rsidP="00631E25">
      <w:pPr>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Zmiana w zakresie art. 119o § 1 pkt 3 ma na celu dostosowanie przepisów dotyczących członków Rady do Przeciwdziałania Unikaniu Opodatkowania do terminologii stosowanej ustawie z dnia 20 lipca 2018 r. – </w:t>
      </w:r>
      <w:r w:rsidRPr="00633318">
        <w:rPr>
          <w:rFonts w:ascii="Times New Roman" w:hAnsi="Times New Roman" w:cs="Times New Roman"/>
          <w:iCs/>
          <w:sz w:val="24"/>
          <w:szCs w:val="24"/>
        </w:rPr>
        <w:t>Prawo o szkolnictwie wyższym i nauce</w:t>
      </w:r>
      <w:r w:rsidRPr="00633318">
        <w:rPr>
          <w:rFonts w:ascii="Times New Roman" w:hAnsi="Times New Roman" w:cs="Times New Roman"/>
          <w:sz w:val="24"/>
          <w:szCs w:val="24"/>
        </w:rPr>
        <w:t xml:space="preserve"> (Dz. U. z 2023 r. poz. 742, z późn. zm.)</w:t>
      </w:r>
      <w:r w:rsidR="00325F0F" w:rsidRPr="00633318">
        <w:rPr>
          <w:rFonts w:ascii="Times New Roman" w:hAnsi="Times New Roman" w:cs="Times New Roman"/>
          <w:sz w:val="24"/>
          <w:szCs w:val="24"/>
        </w:rPr>
        <w:t>.</w:t>
      </w:r>
      <w:r w:rsidR="006D690E" w:rsidRPr="00633318">
        <w:rPr>
          <w:rFonts w:ascii="Times New Roman" w:hAnsi="Times New Roman" w:cs="Times New Roman"/>
          <w:sz w:val="24"/>
          <w:szCs w:val="24"/>
        </w:rPr>
        <w:t>Zmiana w zakresie art. 119x ma na celu ujednolicenie przepisów dotyczących sposobu rejestracji spotkań uzgodnieniowych przewidzianych w ramach procedur wydawania: opinii w sprawie opodatkowania wyrównawczego, opinii zabezpieczającej w sprawie opodatkowania wyrównawczego i standardowej opinii zabezpieczającej poprzez wykluczenie możliwości</w:t>
      </w:r>
      <w:r w:rsidR="00CC2015" w:rsidRPr="00633318">
        <w:rPr>
          <w:rFonts w:ascii="Times New Roman" w:hAnsi="Times New Roman" w:cs="Times New Roman"/>
          <w:sz w:val="24"/>
          <w:szCs w:val="24"/>
        </w:rPr>
        <w:t xml:space="preserve"> utrwalania treści takich spotkań za pomocą aparatury do rejestracji dźwięku i obrazu lub za pomocą informatycznych nośników danych</w:t>
      </w:r>
      <w:r w:rsidR="006D690E" w:rsidRPr="00633318">
        <w:rPr>
          <w:rFonts w:ascii="Times New Roman" w:hAnsi="Times New Roman" w:cs="Times New Roman"/>
          <w:sz w:val="24"/>
          <w:szCs w:val="24"/>
        </w:rPr>
        <w:t>.</w:t>
      </w:r>
    </w:p>
    <w:p w14:paraId="5CD8B733" w14:textId="77777777" w:rsidR="006D690E" w:rsidRPr="00633318" w:rsidRDefault="006D690E" w:rsidP="000F5B35">
      <w:pPr>
        <w:autoSpaceDE w:val="0"/>
        <w:autoSpaceDN w:val="0"/>
        <w:adjustRightInd w:val="0"/>
        <w:spacing w:after="120"/>
        <w:contextualSpacing/>
        <w:jc w:val="both"/>
        <w:rPr>
          <w:rFonts w:ascii="Times New Roman" w:hAnsi="Times New Roman" w:cs="Times New Roman"/>
          <w:sz w:val="24"/>
          <w:szCs w:val="24"/>
        </w:rPr>
      </w:pPr>
    </w:p>
    <w:p w14:paraId="624AA3BD" w14:textId="656D01B8" w:rsidR="00D92C71" w:rsidRPr="00633318" w:rsidRDefault="00D92C71" w:rsidP="000F5B35">
      <w:pPr>
        <w:pStyle w:val="Nagwek5"/>
        <w:spacing w:before="0"/>
        <w:contextualSpacing/>
        <w:rPr>
          <w:rFonts w:ascii="Times New Roman" w:hAnsi="Times New Roman" w:cs="Times New Roman"/>
          <w:sz w:val="24"/>
          <w:szCs w:val="24"/>
        </w:rPr>
      </w:pPr>
      <w:r w:rsidRPr="00633318">
        <w:rPr>
          <w:rFonts w:ascii="Times New Roman" w:hAnsi="Times New Roman" w:cs="Times New Roman"/>
          <w:sz w:val="24"/>
          <w:szCs w:val="24"/>
        </w:rPr>
        <w:t xml:space="preserve">Art. </w:t>
      </w:r>
      <w:r w:rsidR="003856AF" w:rsidRPr="00633318">
        <w:rPr>
          <w:rFonts w:ascii="Times New Roman" w:hAnsi="Times New Roman" w:cs="Times New Roman"/>
          <w:sz w:val="24"/>
          <w:szCs w:val="24"/>
        </w:rPr>
        <w:t xml:space="preserve">141 </w:t>
      </w:r>
      <w:r w:rsidRPr="00633318">
        <w:rPr>
          <w:rFonts w:ascii="Times New Roman" w:hAnsi="Times New Roman" w:cs="Times New Roman"/>
          <w:sz w:val="24"/>
          <w:szCs w:val="24"/>
        </w:rPr>
        <w:t xml:space="preserve">[Zmiany w ustawie – Kodeks karny skarbowy] </w:t>
      </w:r>
    </w:p>
    <w:p w14:paraId="6478812B" w14:textId="77777777" w:rsidR="00D92C71" w:rsidRPr="00633318" w:rsidRDefault="00D92C71" w:rsidP="007A3021">
      <w:pPr>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Na mocy art. 46 Dyrektywy państwa członkowskie zostały zobowiązane do ustanowienia przepisów sankcjonujących przypadki naruszeń regulacji krajowych implementujących Dyrektywę, w tym w szczególności dotyczących obowiązków jednostki składowej w zakresie zapłaty podatku wyrównawczego (w każdej jego formie) oraz szeroko rozumianego raportowania. Z powołanego przepisu wynika również dyspozycja, by wprowadzane kary były skuteczne, proporcjonalne i odstraszające. </w:t>
      </w:r>
    </w:p>
    <w:p w14:paraId="7E0043F5" w14:textId="77777777" w:rsidR="00D92C71" w:rsidRPr="00633318" w:rsidRDefault="00D92C71" w:rsidP="007A3021">
      <w:pPr>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Odnosząc się do zawartego w ww. przepisie Dyrektywy wymogu, aby przewidziane w prawie krajowym kary były „</w:t>
      </w:r>
      <w:r w:rsidRPr="00633318">
        <w:rPr>
          <w:rFonts w:ascii="Times New Roman" w:eastAsia="Times New Roman" w:hAnsi="Times New Roman" w:cs="Times New Roman"/>
          <w:i/>
          <w:sz w:val="24"/>
          <w:szCs w:val="24"/>
          <w:lang w:eastAsia="pl-PL"/>
        </w:rPr>
        <w:t>skuteczne, proporcjonalne i odstraszające</w:t>
      </w:r>
      <w:r w:rsidRPr="00633318">
        <w:rPr>
          <w:rFonts w:ascii="Times New Roman" w:eastAsia="Times New Roman" w:hAnsi="Times New Roman" w:cs="Times New Roman"/>
          <w:i/>
          <w:iCs/>
          <w:sz w:val="24"/>
          <w:szCs w:val="24"/>
          <w:lang w:eastAsia="pl-PL"/>
        </w:rPr>
        <w:t xml:space="preserve">” </w:t>
      </w:r>
      <w:r w:rsidRPr="00633318">
        <w:rPr>
          <w:rFonts w:ascii="Times New Roman" w:eastAsia="Times New Roman" w:hAnsi="Times New Roman" w:cs="Times New Roman"/>
          <w:sz w:val="24"/>
          <w:szCs w:val="24"/>
          <w:lang w:eastAsia="pl-PL"/>
        </w:rPr>
        <w:t>należy wskazać</w:t>
      </w:r>
      <w:r w:rsidRPr="00633318">
        <w:rPr>
          <w:rFonts w:ascii="Times New Roman" w:eastAsia="Times New Roman" w:hAnsi="Times New Roman" w:cs="Times New Roman"/>
          <w:b/>
          <w:bCs/>
          <w:sz w:val="24"/>
          <w:szCs w:val="24"/>
          <w:lang w:eastAsia="pl-PL"/>
        </w:rPr>
        <w:t xml:space="preserve">, </w:t>
      </w:r>
      <w:r w:rsidRPr="00633318">
        <w:rPr>
          <w:rFonts w:ascii="Times New Roman" w:eastAsia="Times New Roman" w:hAnsi="Times New Roman" w:cs="Times New Roman"/>
          <w:sz w:val="24"/>
          <w:szCs w:val="24"/>
          <w:lang w:eastAsia="pl-PL"/>
        </w:rPr>
        <w:t>że stanowiąc tzw. dyrektywę konstrukcyjną w zakresie kar jest ono charakterystycznym i standardowym zapisem zawartym w</w:t>
      </w:r>
      <w:r w:rsidRPr="00633318">
        <w:rPr>
          <w:rFonts w:ascii="Times New Roman" w:eastAsia="Times New Roman" w:hAnsi="Times New Roman" w:cs="Times New Roman"/>
          <w:i/>
          <w:iCs/>
          <w:sz w:val="24"/>
          <w:szCs w:val="24"/>
          <w:lang w:eastAsia="pl-PL"/>
        </w:rPr>
        <w:t> </w:t>
      </w:r>
      <w:r w:rsidRPr="00633318">
        <w:rPr>
          <w:rFonts w:ascii="Times New Roman" w:eastAsia="Times New Roman" w:hAnsi="Times New Roman" w:cs="Times New Roman"/>
          <w:sz w:val="24"/>
          <w:szCs w:val="24"/>
          <w:lang w:eastAsia="pl-PL"/>
        </w:rPr>
        <w:t xml:space="preserve">szeregu dyrektyw unijnych. Przy czym nie można w tym zakresie mówić o ustaleniu minimalnego standardu. Wymienione pojęcia należy jednak rozpatrywać przez pryzmat </w:t>
      </w:r>
      <w:r w:rsidRPr="00633318">
        <w:rPr>
          <w:rFonts w:ascii="Times New Roman" w:eastAsia="Times New Roman" w:hAnsi="Times New Roman" w:cs="Times New Roman"/>
          <w:iCs/>
          <w:sz w:val="24"/>
          <w:szCs w:val="24"/>
          <w:lang w:eastAsia="pl-PL"/>
        </w:rPr>
        <w:t>ogólnych zasad tworzenia prawa</w:t>
      </w:r>
      <w:r w:rsidRPr="00633318">
        <w:rPr>
          <w:rFonts w:ascii="Times New Roman" w:eastAsia="Times New Roman" w:hAnsi="Times New Roman" w:cs="Times New Roman"/>
          <w:sz w:val="24"/>
          <w:szCs w:val="24"/>
          <w:lang w:eastAsia="pl-PL"/>
        </w:rPr>
        <w:t xml:space="preserve"> – co oznacza, że kary te powinny być </w:t>
      </w:r>
      <w:r w:rsidRPr="00633318">
        <w:rPr>
          <w:rFonts w:ascii="Times New Roman" w:eastAsia="Times New Roman" w:hAnsi="Times New Roman" w:cs="Times New Roman"/>
          <w:i/>
          <w:iCs/>
          <w:sz w:val="24"/>
          <w:szCs w:val="24"/>
          <w:lang w:eastAsia="pl-PL"/>
        </w:rPr>
        <w:t>egzekwowalne</w:t>
      </w:r>
      <w:r w:rsidRPr="00633318">
        <w:rPr>
          <w:rFonts w:ascii="Times New Roman" w:eastAsia="Times New Roman" w:hAnsi="Times New Roman" w:cs="Times New Roman"/>
          <w:sz w:val="24"/>
          <w:szCs w:val="24"/>
          <w:lang w:eastAsia="pl-PL"/>
        </w:rPr>
        <w:t xml:space="preserve"> (skuteczne), </w:t>
      </w:r>
      <w:r w:rsidRPr="00633318">
        <w:rPr>
          <w:rFonts w:ascii="Times New Roman" w:eastAsia="Times New Roman" w:hAnsi="Times New Roman" w:cs="Times New Roman"/>
          <w:i/>
          <w:iCs/>
          <w:sz w:val="24"/>
          <w:szCs w:val="24"/>
          <w:lang w:eastAsia="pl-PL"/>
        </w:rPr>
        <w:t xml:space="preserve">proporcjonalne </w:t>
      </w:r>
      <w:r w:rsidRPr="00633318">
        <w:rPr>
          <w:rFonts w:ascii="Times New Roman" w:eastAsia="Times New Roman" w:hAnsi="Times New Roman" w:cs="Times New Roman"/>
          <w:sz w:val="24"/>
          <w:szCs w:val="24"/>
          <w:lang w:eastAsia="pl-PL"/>
        </w:rPr>
        <w:t>(adekwatne), tj. których dolegliwość zależna jest od stopnia przewinienia oraz wagi naruszonych obowiązków i skutku ich naruszenia oraz</w:t>
      </w:r>
      <w:r w:rsidRPr="00633318">
        <w:rPr>
          <w:rFonts w:ascii="Times New Roman" w:eastAsia="Times New Roman" w:hAnsi="Times New Roman" w:cs="Times New Roman"/>
          <w:b/>
          <w:bCs/>
          <w:sz w:val="24"/>
          <w:szCs w:val="24"/>
          <w:lang w:eastAsia="pl-PL"/>
        </w:rPr>
        <w:t xml:space="preserve"> </w:t>
      </w:r>
      <w:r w:rsidRPr="00633318">
        <w:rPr>
          <w:rFonts w:ascii="Times New Roman" w:eastAsia="Times New Roman" w:hAnsi="Times New Roman" w:cs="Times New Roman"/>
          <w:i/>
          <w:iCs/>
          <w:sz w:val="24"/>
          <w:szCs w:val="24"/>
          <w:lang w:eastAsia="pl-PL"/>
        </w:rPr>
        <w:t>odstraszające</w:t>
      </w:r>
      <w:r w:rsidRPr="00633318">
        <w:rPr>
          <w:rFonts w:ascii="Times New Roman" w:eastAsia="Times New Roman" w:hAnsi="Times New Roman" w:cs="Times New Roman"/>
          <w:b/>
          <w:bCs/>
          <w:sz w:val="24"/>
          <w:szCs w:val="24"/>
          <w:lang w:eastAsia="pl-PL"/>
        </w:rPr>
        <w:t xml:space="preserve"> </w:t>
      </w:r>
      <w:r w:rsidRPr="00633318">
        <w:rPr>
          <w:rFonts w:ascii="Times New Roman" w:eastAsia="Times New Roman" w:hAnsi="Times New Roman" w:cs="Times New Roman"/>
          <w:sz w:val="24"/>
          <w:szCs w:val="24"/>
          <w:lang w:eastAsia="pl-PL"/>
        </w:rPr>
        <w:t xml:space="preserve">(oddziałujące prewencyjnie - na tyle wysokie i skuteczne, by podatnik nie próbował podejmować się dokonania czynu). </w:t>
      </w:r>
    </w:p>
    <w:p w14:paraId="6B3BF913" w14:textId="77777777" w:rsidR="00D92C71" w:rsidRPr="00633318" w:rsidRDefault="00D92C71" w:rsidP="007A3021">
      <w:pPr>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Ocena w powyższym zakresie dokonywana może być z dwóch perspektyw: </w:t>
      </w:r>
    </w:p>
    <w:p w14:paraId="76CF3D78" w14:textId="4F714E53" w:rsidR="00D92C71" w:rsidRPr="00633318" w:rsidRDefault="00D92C71" w:rsidP="002C7467">
      <w:pPr>
        <w:pStyle w:val="Akapitzlist"/>
        <w:widowControl w:val="0"/>
        <w:numPr>
          <w:ilvl w:val="0"/>
          <w:numId w:val="59"/>
        </w:numPr>
        <w:autoSpaceDE w:val="0"/>
        <w:autoSpaceDN w:val="0"/>
        <w:adjustRightInd w:val="0"/>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i/>
          <w:iCs/>
          <w:sz w:val="24"/>
          <w:szCs w:val="24"/>
        </w:rPr>
        <w:t>krajowej</w:t>
      </w:r>
      <w:r w:rsidRPr="00633318">
        <w:rPr>
          <w:rFonts w:ascii="Times New Roman" w:eastAsia="Times New Roman" w:hAnsi="Times New Roman" w:cs="Times New Roman"/>
          <w:b/>
          <w:bCs/>
          <w:sz w:val="24"/>
          <w:szCs w:val="24"/>
        </w:rPr>
        <w:t xml:space="preserve"> </w:t>
      </w:r>
      <w:r w:rsidRPr="00633318">
        <w:rPr>
          <w:rFonts w:ascii="Times New Roman" w:eastAsia="Times New Roman" w:hAnsi="Times New Roman" w:cs="Times New Roman"/>
          <w:sz w:val="24"/>
          <w:szCs w:val="24"/>
        </w:rPr>
        <w:t>– w której punktem odniesienia jest aktualnie funkcjonujący system krajowy - co oznacza, że kary w </w:t>
      </w:r>
      <w:r w:rsidR="003856AF" w:rsidRPr="00633318">
        <w:rPr>
          <w:rFonts w:ascii="Times New Roman" w:eastAsia="Times New Roman" w:hAnsi="Times New Roman" w:cs="Times New Roman"/>
          <w:sz w:val="24"/>
          <w:szCs w:val="24"/>
        </w:rPr>
        <w:t xml:space="preserve">Systemie </w:t>
      </w:r>
      <w:r w:rsidRPr="00633318">
        <w:rPr>
          <w:rFonts w:ascii="Times New Roman" w:eastAsia="Times New Roman" w:hAnsi="Times New Roman" w:cs="Times New Roman"/>
          <w:sz w:val="24"/>
          <w:szCs w:val="24"/>
        </w:rPr>
        <w:t xml:space="preserve">GloBE nie mogą być nisze niż kary za porównywalne czynny uregulowane już w przepisach krajowych, </w:t>
      </w:r>
    </w:p>
    <w:p w14:paraId="07761045" w14:textId="77777777" w:rsidR="00D92C71" w:rsidRPr="00633318" w:rsidRDefault="00D92C71" w:rsidP="002C7467">
      <w:pPr>
        <w:pStyle w:val="Akapitzlist"/>
        <w:widowControl w:val="0"/>
        <w:numPr>
          <w:ilvl w:val="0"/>
          <w:numId w:val="59"/>
        </w:numPr>
        <w:autoSpaceDE w:val="0"/>
        <w:autoSpaceDN w:val="0"/>
        <w:adjustRightInd w:val="0"/>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o</w:t>
      </w:r>
      <w:r w:rsidRPr="00633318">
        <w:rPr>
          <w:rFonts w:ascii="Times New Roman" w:eastAsia="Times New Roman" w:hAnsi="Times New Roman" w:cs="Times New Roman"/>
          <w:i/>
          <w:iCs/>
          <w:sz w:val="24"/>
          <w:szCs w:val="24"/>
        </w:rPr>
        <w:t>biektywnej</w:t>
      </w:r>
      <w:r w:rsidRPr="00633318">
        <w:rPr>
          <w:rFonts w:ascii="Times New Roman" w:eastAsia="Times New Roman" w:hAnsi="Times New Roman" w:cs="Times New Roman"/>
          <w:sz w:val="24"/>
          <w:szCs w:val="24"/>
        </w:rPr>
        <w:t xml:space="preserve"> - co oznacza, że kara nie może być obiektywnie zbyt niska ani zbyt wysoka; w tym kontekście nie jest istotne porównanie tych kar z istniejącymi karami za czyn o podobnym charakterze (np. za niezłożenie w terminie zeznania CIT-8). </w:t>
      </w:r>
    </w:p>
    <w:p w14:paraId="575ADB4A" w14:textId="77777777" w:rsidR="00D92C71" w:rsidRPr="00633318" w:rsidRDefault="00D92C71" w:rsidP="007A3021">
      <w:pPr>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Biorąc pod uwagę powyższe, analizując potrzebę wprowadzenia - w związku z wdrożeniem Dyrektywy - zmian w istniejących przepisach karnych i/lub karno-skarbowych należy:</w:t>
      </w:r>
    </w:p>
    <w:p w14:paraId="539B96E0" w14:textId="77777777" w:rsidR="00D92C71" w:rsidRPr="00633318" w:rsidRDefault="00D92C71" w:rsidP="002C7467">
      <w:pPr>
        <w:pStyle w:val="Akapitzlist"/>
        <w:widowControl w:val="0"/>
        <w:numPr>
          <w:ilvl w:val="0"/>
          <w:numId w:val="60"/>
        </w:numPr>
        <w:autoSpaceDE w:val="0"/>
        <w:autoSpaceDN w:val="0"/>
        <w:adjustRightInd w:val="0"/>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określić katalog obowiązków wynikających z projektowanej ustawy, których naruszenie powinno być sankcjonowane przez ustawodawcę,</w:t>
      </w:r>
    </w:p>
    <w:p w14:paraId="12F7E5EC" w14:textId="77777777" w:rsidR="00D92C71" w:rsidRPr="00633318" w:rsidRDefault="00D92C71" w:rsidP="002C7467">
      <w:pPr>
        <w:pStyle w:val="Akapitzlist"/>
        <w:widowControl w:val="0"/>
        <w:numPr>
          <w:ilvl w:val="0"/>
          <w:numId w:val="60"/>
        </w:numPr>
        <w:autoSpaceDE w:val="0"/>
        <w:autoSpaceDN w:val="0"/>
        <w:adjustRightInd w:val="0"/>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ustalić, czy obowiązki te nie podpadają pod dyspozycje istniejących już obecnie przepisów karnych lub karno-skarbowych, </w:t>
      </w:r>
    </w:p>
    <w:p w14:paraId="4B3C3A58" w14:textId="77777777" w:rsidR="00D92C71" w:rsidRPr="00633318" w:rsidRDefault="00D92C71" w:rsidP="002C7467">
      <w:pPr>
        <w:pStyle w:val="Akapitzlist"/>
        <w:widowControl w:val="0"/>
        <w:numPr>
          <w:ilvl w:val="0"/>
          <w:numId w:val="60"/>
        </w:numPr>
        <w:autoSpaceDE w:val="0"/>
        <w:autoSpaceDN w:val="0"/>
        <w:adjustRightInd w:val="0"/>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dokonać oceny w zakresie </w:t>
      </w:r>
      <w:r w:rsidRPr="00633318">
        <w:rPr>
          <w:rFonts w:ascii="Times New Roman" w:eastAsia="Times New Roman" w:hAnsi="Times New Roman" w:cs="Times New Roman"/>
          <w:iCs/>
          <w:sz w:val="24"/>
          <w:szCs w:val="24"/>
        </w:rPr>
        <w:t xml:space="preserve">proporcjonalności i odstraszającego charakteru tych kar.  </w:t>
      </w:r>
    </w:p>
    <w:p w14:paraId="609710DE" w14:textId="5CE1DC2B" w:rsidR="00D92C71" w:rsidRPr="00633318" w:rsidRDefault="00D92C71" w:rsidP="007A3021">
      <w:pPr>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W przypadku, gdy analiza, o której mowa w pkt ii) i iii) powyżej doprowadzi do wniosku, iż dany czyn jest już obecnie sankcjonowany w sposób „skuteczny, proporcjonalny i odstraszający” nie zajdzie potrzeba dodatkowej interwencji ustawodawcy w tym zakresie.    </w:t>
      </w:r>
    </w:p>
    <w:p w14:paraId="1E6EF8C1" w14:textId="77777777" w:rsidR="00D92C71" w:rsidRPr="00633318" w:rsidRDefault="00D92C71" w:rsidP="007A3021">
      <w:pPr>
        <w:spacing w:after="120"/>
        <w:jc w:val="both"/>
        <w:rPr>
          <w:rFonts w:ascii="Times New Roman" w:eastAsia="Times New Roman" w:hAnsi="Times New Roman" w:cs="Times New Roman"/>
          <w:i/>
          <w:sz w:val="24"/>
          <w:szCs w:val="24"/>
          <w:lang w:eastAsia="pl-PL"/>
        </w:rPr>
      </w:pPr>
      <w:r w:rsidRPr="00633318">
        <w:rPr>
          <w:rFonts w:ascii="Times New Roman" w:eastAsia="Times New Roman" w:hAnsi="Times New Roman" w:cs="Times New Roman"/>
          <w:i/>
          <w:sz w:val="24"/>
          <w:szCs w:val="24"/>
          <w:lang w:eastAsia="pl-PL"/>
        </w:rPr>
        <w:t xml:space="preserve">Katalog obowiązków, których naruszenie powinno skutkować sankcją </w:t>
      </w:r>
    </w:p>
    <w:p w14:paraId="2249D15E" w14:textId="62D7C09A" w:rsidR="00D92C71" w:rsidRPr="00633318" w:rsidRDefault="00D92C71" w:rsidP="007A3021">
      <w:pPr>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Prawidłowe wdrożenie </w:t>
      </w:r>
      <w:r w:rsidR="003856AF" w:rsidRPr="00633318">
        <w:rPr>
          <w:rFonts w:ascii="Times New Roman" w:eastAsia="Times New Roman" w:hAnsi="Times New Roman" w:cs="Times New Roman"/>
          <w:sz w:val="24"/>
          <w:szCs w:val="24"/>
          <w:lang w:eastAsia="pl-PL"/>
        </w:rPr>
        <w:t xml:space="preserve">Systemu </w:t>
      </w:r>
      <w:r w:rsidRPr="00633318">
        <w:rPr>
          <w:rFonts w:ascii="Times New Roman" w:eastAsia="Times New Roman" w:hAnsi="Times New Roman" w:cs="Times New Roman"/>
          <w:sz w:val="24"/>
          <w:szCs w:val="24"/>
          <w:lang w:eastAsia="pl-PL"/>
        </w:rPr>
        <w:t xml:space="preserve">GloBE wymaga wielu działań po stronie podmiotów nim objętych. Celem tych działań jest dostarczenie administracjom podatkowym </w:t>
      </w:r>
      <w:r w:rsidR="008E3061" w:rsidRPr="00633318">
        <w:rPr>
          <w:rFonts w:ascii="Times New Roman" w:eastAsia="Times New Roman" w:hAnsi="Times New Roman" w:cs="Times New Roman"/>
          <w:sz w:val="24"/>
          <w:szCs w:val="24"/>
          <w:lang w:eastAsia="pl-PL"/>
        </w:rPr>
        <w:t>jurysdykcji</w:t>
      </w:r>
      <w:r w:rsidRPr="00633318">
        <w:rPr>
          <w:rFonts w:ascii="Times New Roman" w:eastAsia="Times New Roman" w:hAnsi="Times New Roman" w:cs="Times New Roman"/>
          <w:sz w:val="24"/>
          <w:szCs w:val="24"/>
          <w:lang w:eastAsia="pl-PL"/>
        </w:rPr>
        <w:t xml:space="preserve">, w których dana grupa prowadzi działalność, informacji i danych niezbędnych do oceny poprawności rozliczenia podatku wyrównawczego. Zagrożeniami dla osiągnięcia tego podstawowego warunku funkcjonalności i skuteczności </w:t>
      </w:r>
      <w:r w:rsidR="003856AF" w:rsidRPr="00633318">
        <w:rPr>
          <w:rFonts w:ascii="Times New Roman" w:eastAsia="Times New Roman" w:hAnsi="Times New Roman" w:cs="Times New Roman"/>
          <w:sz w:val="24"/>
          <w:szCs w:val="24"/>
          <w:lang w:eastAsia="pl-PL"/>
        </w:rPr>
        <w:t xml:space="preserve">Systemu </w:t>
      </w:r>
      <w:r w:rsidRPr="00633318">
        <w:rPr>
          <w:rFonts w:ascii="Times New Roman" w:eastAsia="Times New Roman" w:hAnsi="Times New Roman" w:cs="Times New Roman"/>
          <w:sz w:val="24"/>
          <w:szCs w:val="24"/>
          <w:lang w:eastAsia="pl-PL"/>
        </w:rPr>
        <w:t>GloBE są następujące działania podatników podatków wyrównawczych:</w:t>
      </w:r>
    </w:p>
    <w:p w14:paraId="04F1C10B" w14:textId="77777777" w:rsidR="00D92C71" w:rsidRPr="00633318" w:rsidRDefault="00D92C71" w:rsidP="002C7467">
      <w:pPr>
        <w:pStyle w:val="Akapitzlist"/>
        <w:widowControl w:val="0"/>
        <w:numPr>
          <w:ilvl w:val="0"/>
          <w:numId w:val="61"/>
        </w:numPr>
        <w:autoSpaceDE w:val="0"/>
        <w:autoSpaceDN w:val="0"/>
        <w:adjustRightInd w:val="0"/>
        <w:spacing w:after="120"/>
        <w:ind w:left="709" w:hanging="283"/>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nieprowadzenie ksiąg rachunkowych bądź też prowadzenie ich w sposób wadliwy (tj. niezgodnie z przepisami prawa) lub nierzetelny (tj. niezgodny ze stanem rzeczywistym) - w tym zakresie należy zauważyć, iż obowiązek prowadzenia ksiąg rachunkowych, jak i warunki ich prowadzenia nie wynikają z projektowanej ustawy, lecz z przepisów ustawy z dnia z dnia 29 września 1994 r. o rachunkowości; zgodnie z przepisem tej art. 77 czyny te stanowią przestępstwa zagrożone karą </w:t>
      </w:r>
      <w:r w:rsidRPr="00633318">
        <w:rPr>
          <w:rFonts w:ascii="Times New Roman" w:hAnsi="Times New Roman" w:cs="Times New Roman"/>
          <w:sz w:val="24"/>
          <w:szCs w:val="24"/>
          <w:shd w:val="clear" w:color="auto" w:fill="FFFFFF"/>
        </w:rPr>
        <w:t>grzywny, pozbawienia wolności do lat 2, albo obu tym karom łącznie; ponadto wyczerpują one znamiona czynów określonych w art. 60 i 61 KKS</w:t>
      </w:r>
      <w:r w:rsidRPr="00633318">
        <w:rPr>
          <w:rStyle w:val="Odwoanieprzypisudolnego"/>
          <w:rFonts w:ascii="Times New Roman" w:hAnsi="Times New Roman" w:cs="Times New Roman"/>
          <w:sz w:val="24"/>
          <w:szCs w:val="24"/>
          <w:shd w:val="clear" w:color="auto" w:fill="FFFFFF"/>
        </w:rPr>
        <w:footnoteReference w:id="174"/>
      </w:r>
      <w:r w:rsidRPr="00633318">
        <w:rPr>
          <w:rFonts w:ascii="Times New Roman" w:hAnsi="Times New Roman" w:cs="Times New Roman"/>
          <w:sz w:val="24"/>
          <w:szCs w:val="24"/>
          <w:shd w:val="clear" w:color="auto" w:fill="FFFFFF"/>
        </w:rPr>
        <w:t xml:space="preserve">, zagrożonych, co do zasady, karą grzywny do 240 stawek dziennych lub karze grzywny za wykroczenie skarbowe (w przypadkach mniejszej wagi oraz prowadzenia ksiąg w sposób wadliwy);  </w:t>
      </w:r>
    </w:p>
    <w:p w14:paraId="498777D2" w14:textId="2840B0ED" w:rsidR="00D92C71" w:rsidRPr="00633318" w:rsidRDefault="00D92C71" w:rsidP="002C7467">
      <w:pPr>
        <w:pStyle w:val="Akapitzlist"/>
        <w:widowControl w:val="0"/>
        <w:numPr>
          <w:ilvl w:val="0"/>
          <w:numId w:val="61"/>
        </w:numPr>
        <w:autoSpaceDE w:val="0"/>
        <w:autoSpaceDN w:val="0"/>
        <w:adjustRightInd w:val="0"/>
        <w:spacing w:after="120"/>
        <w:ind w:left="709" w:hanging="283"/>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niesporządzenie sprawozdania finansowego lub skonsolidowanego sprawozdania finansowego, a także sporządzenie ich niezgodnie z przepisami ustawy o rachunkowości, w tym  niezgodnie z innymi standardami międzynarodowymi (np. Międzynarodowymi Standardami Sprawozdawczości Finansowej) – obowiązki te, tak samo jak zasady prowadzenia ksiąg rachunkowych, wynikają z ustawy o rachunkowości i są penalizowane przez jej art. 77;   </w:t>
      </w:r>
    </w:p>
    <w:p w14:paraId="6D0C8F4C" w14:textId="72226AC1" w:rsidR="00D92C71" w:rsidRPr="00633318" w:rsidRDefault="00D92C71" w:rsidP="002C7467">
      <w:pPr>
        <w:numPr>
          <w:ilvl w:val="0"/>
          <w:numId w:val="61"/>
        </w:numPr>
        <w:spacing w:after="120"/>
        <w:ind w:left="709" w:hanging="283"/>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rPr>
        <w:t>niezłożenie lub nieterminowe</w:t>
      </w:r>
      <w:r w:rsidRPr="00633318">
        <w:rPr>
          <w:rFonts w:ascii="Times New Roman" w:eastAsia="Times New Roman" w:hAnsi="Times New Roman" w:cs="Times New Roman"/>
          <w:sz w:val="24"/>
          <w:szCs w:val="24"/>
          <w:lang w:eastAsia="pl-PL"/>
        </w:rPr>
        <w:t xml:space="preserve"> złożenie Informacji GloBE albo podanie w nim nieprawdy lub zatajenie prawdy – z uwagi na brak charakteru uszczupleniowego tej deklaracji</w:t>
      </w:r>
      <w:r w:rsidRPr="00633318">
        <w:rPr>
          <w:rStyle w:val="Odwoanieprzypisudolnego"/>
          <w:rFonts w:ascii="Times New Roman" w:eastAsia="Times New Roman" w:hAnsi="Times New Roman" w:cs="Times New Roman"/>
          <w:sz w:val="24"/>
          <w:szCs w:val="24"/>
          <w:lang w:eastAsia="pl-PL"/>
        </w:rPr>
        <w:footnoteReference w:id="175"/>
      </w:r>
      <w:r w:rsidRPr="00633318">
        <w:rPr>
          <w:rFonts w:ascii="Times New Roman" w:eastAsia="Times New Roman" w:hAnsi="Times New Roman" w:cs="Times New Roman"/>
          <w:sz w:val="24"/>
          <w:szCs w:val="24"/>
          <w:lang w:eastAsia="pl-PL"/>
        </w:rPr>
        <w:t xml:space="preserve"> (brak znamienia „narażenia podatku na uszczuplenie”) czyny te nie będą wypełniać wszystkich znamion przestępstw określonych w art. 54, 56§1 KKS. Natomiast biorąc pod uwagę znaczenie tego dokumentów dla prawidłowości funkcjonowania </w:t>
      </w:r>
      <w:r w:rsidR="003856AF" w:rsidRPr="00633318">
        <w:rPr>
          <w:rFonts w:ascii="Times New Roman" w:eastAsia="Times New Roman" w:hAnsi="Times New Roman" w:cs="Times New Roman"/>
          <w:sz w:val="24"/>
          <w:szCs w:val="24"/>
          <w:lang w:eastAsia="pl-PL"/>
        </w:rPr>
        <w:t xml:space="preserve">Systemu </w:t>
      </w:r>
      <w:r w:rsidRPr="00633318">
        <w:rPr>
          <w:rFonts w:ascii="Times New Roman" w:eastAsia="Times New Roman" w:hAnsi="Times New Roman" w:cs="Times New Roman"/>
          <w:sz w:val="24"/>
          <w:szCs w:val="24"/>
          <w:lang w:eastAsia="pl-PL"/>
        </w:rPr>
        <w:t xml:space="preserve">GloBE (nie tylko z punktu widzenia polskich organów podatkowych), wskazane jest penalizowanie samego faktu niezłożenia tej deklaracji (czy też zawarcia w niej nieprawdziwych danych); </w:t>
      </w:r>
    </w:p>
    <w:p w14:paraId="15E258EA" w14:textId="77777777" w:rsidR="00D92C71" w:rsidRPr="00633318" w:rsidRDefault="00D92C71" w:rsidP="002C7467">
      <w:pPr>
        <w:numPr>
          <w:ilvl w:val="0"/>
          <w:numId w:val="61"/>
        </w:numPr>
        <w:spacing w:after="120"/>
        <w:ind w:left="709" w:hanging="283"/>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rPr>
        <w:t>niezłożenie lub nieterminowe</w:t>
      </w:r>
      <w:r w:rsidRPr="00633318">
        <w:rPr>
          <w:rFonts w:ascii="Times New Roman" w:eastAsia="Times New Roman" w:hAnsi="Times New Roman" w:cs="Times New Roman"/>
          <w:sz w:val="24"/>
          <w:szCs w:val="24"/>
          <w:lang w:eastAsia="pl-PL"/>
        </w:rPr>
        <w:t xml:space="preserve"> złożenie zeznania o wysokości kwalifikowanego dochodu (straty) albo podanie w nich nieprawdy lub zatajenie prawdy – czyny te mogą wypełniać znamiona przestępstw określonych w art. 54, 56§1 KKS oraz wykroczenia określonego w art. 56§4 KKS oraz wykroczenia określonego w art. 56§4 KKS; </w:t>
      </w:r>
    </w:p>
    <w:p w14:paraId="2779B7B1" w14:textId="787BDA8F" w:rsidR="00D92C71" w:rsidRPr="00633318" w:rsidRDefault="00D92C71" w:rsidP="002C7467">
      <w:pPr>
        <w:numPr>
          <w:ilvl w:val="0"/>
          <w:numId w:val="61"/>
        </w:numPr>
        <w:spacing w:after="120"/>
        <w:ind w:left="709" w:hanging="283"/>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nieprzekazanie </w:t>
      </w:r>
      <w:r w:rsidRPr="00633318">
        <w:rPr>
          <w:rFonts w:ascii="Times New Roman" w:eastAsia="Times New Roman" w:hAnsi="Times New Roman" w:cs="Times New Roman"/>
          <w:sz w:val="24"/>
          <w:szCs w:val="24"/>
        </w:rPr>
        <w:t xml:space="preserve">przez podatników zawiadomienia, o którym mowa w </w:t>
      </w:r>
      <w:r w:rsidRPr="00633318">
        <w:rPr>
          <w:rFonts w:ascii="Times New Roman" w:eastAsia="Times New Roman" w:hAnsi="Times New Roman" w:cs="Times New Roman"/>
          <w:b/>
          <w:bCs/>
          <w:sz w:val="24"/>
          <w:szCs w:val="24"/>
        </w:rPr>
        <w:t xml:space="preserve">art. </w:t>
      </w:r>
      <w:r w:rsidR="00087128" w:rsidRPr="00633318">
        <w:rPr>
          <w:rFonts w:ascii="Times New Roman" w:eastAsia="Times New Roman" w:hAnsi="Times New Roman" w:cs="Times New Roman"/>
          <w:b/>
          <w:bCs/>
          <w:sz w:val="24"/>
          <w:szCs w:val="24"/>
        </w:rPr>
        <w:t xml:space="preserve">133 </w:t>
      </w:r>
      <w:r w:rsidRPr="00633318">
        <w:rPr>
          <w:rFonts w:ascii="Times New Roman" w:eastAsia="Times New Roman" w:hAnsi="Times New Roman" w:cs="Times New Roman"/>
          <w:b/>
          <w:bCs/>
          <w:sz w:val="24"/>
          <w:szCs w:val="24"/>
        </w:rPr>
        <w:t>ust. 7</w:t>
      </w:r>
      <w:r w:rsidRPr="00633318">
        <w:rPr>
          <w:rFonts w:ascii="Times New Roman" w:eastAsia="Times New Roman" w:hAnsi="Times New Roman" w:cs="Times New Roman"/>
          <w:sz w:val="24"/>
          <w:szCs w:val="24"/>
        </w:rPr>
        <w:t xml:space="preserve"> projektu, tj. </w:t>
      </w:r>
      <w:r w:rsidRPr="00633318">
        <w:rPr>
          <w:rFonts w:ascii="Times New Roman" w:hAnsi="Times New Roman" w:cs="Times New Roman"/>
          <w:sz w:val="24"/>
          <w:szCs w:val="24"/>
        </w:rPr>
        <w:t xml:space="preserve">o danych zagranicznej jednostki składowej (UPE lub DFE), składającej </w:t>
      </w:r>
      <w:r w:rsidR="007A49D5" w:rsidRPr="00633318">
        <w:rPr>
          <w:rFonts w:ascii="Times New Roman" w:hAnsi="Times New Roman" w:cs="Times New Roman"/>
          <w:bCs/>
          <w:sz w:val="24"/>
          <w:szCs w:val="24"/>
        </w:rPr>
        <w:t>I</w:t>
      </w:r>
      <w:r w:rsidRPr="00633318">
        <w:rPr>
          <w:rFonts w:ascii="Times New Roman" w:hAnsi="Times New Roman" w:cs="Times New Roman"/>
          <w:bCs/>
          <w:sz w:val="24"/>
          <w:szCs w:val="24"/>
        </w:rPr>
        <w:t xml:space="preserve">nformację GloBE, wraz z informacją o </w:t>
      </w:r>
      <w:r w:rsidR="008E3061" w:rsidRPr="00633318">
        <w:rPr>
          <w:rFonts w:ascii="Times New Roman" w:hAnsi="Times New Roman" w:cs="Times New Roman"/>
          <w:bCs/>
          <w:sz w:val="24"/>
          <w:szCs w:val="24"/>
        </w:rPr>
        <w:t>jurysdykcji</w:t>
      </w:r>
      <w:r w:rsidRPr="00633318">
        <w:rPr>
          <w:rFonts w:ascii="Times New Roman" w:hAnsi="Times New Roman" w:cs="Times New Roman"/>
          <w:bCs/>
          <w:sz w:val="24"/>
          <w:szCs w:val="24"/>
        </w:rPr>
        <w:t>, w któr</w:t>
      </w:r>
      <w:r w:rsidR="008E3061" w:rsidRPr="00633318">
        <w:rPr>
          <w:rFonts w:ascii="Times New Roman" w:hAnsi="Times New Roman" w:cs="Times New Roman"/>
          <w:bCs/>
          <w:sz w:val="24"/>
          <w:szCs w:val="24"/>
        </w:rPr>
        <w:t>ej</w:t>
      </w:r>
      <w:r w:rsidRPr="00633318">
        <w:rPr>
          <w:rFonts w:ascii="Times New Roman" w:hAnsi="Times New Roman" w:cs="Times New Roman"/>
          <w:bCs/>
          <w:sz w:val="24"/>
          <w:szCs w:val="24"/>
        </w:rPr>
        <w:t xml:space="preserve"> taka jednostka jest </w:t>
      </w:r>
      <w:r w:rsidRPr="00633318">
        <w:rPr>
          <w:rFonts w:ascii="Times New Roman" w:hAnsi="Times New Roman" w:cs="Times New Roman"/>
          <w:sz w:val="24"/>
          <w:szCs w:val="24"/>
        </w:rPr>
        <w:t>zlokalizowana</w:t>
      </w:r>
      <w:r w:rsidRPr="00633318">
        <w:rPr>
          <w:rFonts w:ascii="Times New Roman" w:hAnsi="Times New Roman" w:cs="Times New Roman"/>
          <w:bCs/>
          <w:sz w:val="24"/>
          <w:szCs w:val="24"/>
        </w:rPr>
        <w:t xml:space="preserve"> – czyn ten jako nowy rodzaj obowiązku wymaga odrębnej regulacji w </w:t>
      </w:r>
      <w:r w:rsidR="00320A30" w:rsidRPr="00633318">
        <w:rPr>
          <w:rFonts w:ascii="Times New Roman" w:hAnsi="Times New Roman" w:cs="Times New Roman"/>
          <w:bCs/>
          <w:sz w:val="24"/>
          <w:szCs w:val="24"/>
        </w:rPr>
        <w:t>KKS</w:t>
      </w:r>
      <w:r w:rsidRPr="00633318">
        <w:rPr>
          <w:rFonts w:ascii="Times New Roman" w:hAnsi="Times New Roman" w:cs="Times New Roman"/>
          <w:bCs/>
          <w:sz w:val="24"/>
          <w:szCs w:val="24"/>
        </w:rPr>
        <w:t xml:space="preserve">, </w:t>
      </w:r>
    </w:p>
    <w:p w14:paraId="0388BB00" w14:textId="77777777" w:rsidR="00D92C71" w:rsidRPr="00633318" w:rsidRDefault="00D92C71" w:rsidP="002C7467">
      <w:pPr>
        <w:numPr>
          <w:ilvl w:val="0"/>
          <w:numId w:val="61"/>
        </w:numPr>
        <w:spacing w:after="120"/>
        <w:ind w:left="709" w:hanging="283"/>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nieterminowa zapłata </w:t>
      </w:r>
      <w:r w:rsidRPr="00633318">
        <w:rPr>
          <w:rFonts w:ascii="Times New Roman" w:eastAsia="Times New Roman" w:hAnsi="Times New Roman" w:cs="Times New Roman"/>
          <w:sz w:val="24"/>
          <w:szCs w:val="24"/>
        </w:rPr>
        <w:t xml:space="preserve">globalnego podatku wyrównawczego, krajowego podatku wyrównawczego albo podatku wyrównawczego od niedostatecznie opodatkowanych zysków </w:t>
      </w:r>
      <w:r w:rsidRPr="00633318">
        <w:rPr>
          <w:rFonts w:ascii="Times New Roman" w:eastAsia="Times New Roman" w:hAnsi="Times New Roman" w:cs="Times New Roman"/>
          <w:sz w:val="24"/>
          <w:szCs w:val="24"/>
          <w:lang w:eastAsia="pl-PL"/>
        </w:rPr>
        <w:t>– czyn ten może wypełniać znamiona wykroczenia określonego w art. 57; należy przy tym zwrócić uwagę, iż zgodnie z utrwalonym orzecznictwem sądów odpowiedzialności znamię „uporczywości” niewpłacania podatku obejmuje również t</w:t>
      </w:r>
      <w:r w:rsidRPr="00633318">
        <w:rPr>
          <w:rFonts w:ascii="Times New Roman" w:hAnsi="Times New Roman" w:cs="Times New Roman"/>
          <w:sz w:val="24"/>
          <w:szCs w:val="24"/>
        </w:rPr>
        <w:t>akże zachowanie polegające na długotrwałym oraz świadomym zwlekaniu z uregulowaniem podatku należnego jednorazowo</w:t>
      </w:r>
      <w:r w:rsidRPr="00633318">
        <w:rPr>
          <w:rStyle w:val="Odwoanieprzypisudolnego"/>
          <w:rFonts w:ascii="Times New Roman" w:hAnsi="Times New Roman" w:cs="Times New Roman"/>
          <w:sz w:val="24"/>
          <w:szCs w:val="24"/>
        </w:rPr>
        <w:footnoteReference w:id="176"/>
      </w:r>
      <w:r w:rsidRPr="00633318">
        <w:rPr>
          <w:rFonts w:ascii="Times New Roman" w:hAnsi="Times New Roman" w:cs="Times New Roman"/>
          <w:sz w:val="24"/>
          <w:szCs w:val="24"/>
        </w:rPr>
        <w:t xml:space="preserve">; </w:t>
      </w:r>
    </w:p>
    <w:p w14:paraId="2F7A9D3B" w14:textId="77777777" w:rsidR="00D92C71" w:rsidRPr="00633318" w:rsidRDefault="00D92C71" w:rsidP="007A3021">
      <w:pPr>
        <w:spacing w:after="12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Jak widać z powyższego zestawienia nie wszystkie naruszenia obowiązków wynikających z projektowanej ustawy mogą podlegać sankcjom na gruncie obecnego stanu prawnego. Z tego względu uznano, że wymaga to interwencji legislacyjnej poprzez wprowadzenie nowego typu czynów podlagających odpowiedzialności karnoskarbowej. Nie zdecydowano się natomiast na kwalifikowanie ich do przestępstw o charakterze powszechnym (objętych odpowiedzialnością karną). </w:t>
      </w:r>
    </w:p>
    <w:p w14:paraId="0DEEBD0C" w14:textId="77777777" w:rsidR="00D92C71" w:rsidRPr="00633318" w:rsidRDefault="00D92C71" w:rsidP="007A3021">
      <w:pPr>
        <w:spacing w:after="12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Czyny te zostały określone w dodawanych art. 56f KKS i art. 80h KKS i polegają one na:</w:t>
      </w:r>
    </w:p>
    <w:p w14:paraId="1AD73C52" w14:textId="427CA9AB" w:rsidR="00D92C71" w:rsidRPr="00633318" w:rsidRDefault="00D92C71" w:rsidP="009E73F7">
      <w:pPr>
        <w:pStyle w:val="Akapitzlist"/>
        <w:numPr>
          <w:ilvl w:val="0"/>
          <w:numId w:val="111"/>
        </w:numPr>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nie złożeniu, wbrew obowiązkowi, </w:t>
      </w:r>
      <w:r w:rsidR="007A49D5" w:rsidRPr="00633318">
        <w:rPr>
          <w:rFonts w:ascii="Times New Roman" w:eastAsia="Times New Roman" w:hAnsi="Times New Roman" w:cs="Times New Roman"/>
          <w:sz w:val="24"/>
          <w:szCs w:val="24"/>
        </w:rPr>
        <w:t>I</w:t>
      </w:r>
      <w:r w:rsidRPr="00633318">
        <w:rPr>
          <w:rFonts w:ascii="Times New Roman" w:eastAsia="Times New Roman" w:hAnsi="Times New Roman" w:cs="Times New Roman"/>
          <w:sz w:val="24"/>
          <w:szCs w:val="24"/>
        </w:rPr>
        <w:t xml:space="preserve">nformacji GloBE lub nie </w:t>
      </w:r>
      <w:r w:rsidRPr="00633318">
        <w:rPr>
          <w:rFonts w:ascii="Times New Roman" w:hAnsi="Times New Roman" w:cs="Times New Roman"/>
          <w:sz w:val="24"/>
          <w:szCs w:val="24"/>
        </w:rPr>
        <w:t>złożeniu go za pomocą środków komunikacji elektronicznej albo złożeniu go niezgodnie ze wzorem dokumentu elektronicznego</w:t>
      </w:r>
      <w:r w:rsidRPr="00633318">
        <w:rPr>
          <w:rFonts w:ascii="Times New Roman" w:eastAsia="Times New Roman" w:hAnsi="Times New Roman" w:cs="Times New Roman"/>
          <w:sz w:val="24"/>
          <w:szCs w:val="24"/>
        </w:rPr>
        <w:t xml:space="preserve"> – czyny te zagrożone będą karą grzywny do 720 stawek dziennych (art. 56f § 1),</w:t>
      </w:r>
    </w:p>
    <w:p w14:paraId="4E31C9CA" w14:textId="77777777" w:rsidR="00D92C71" w:rsidRPr="00633318" w:rsidRDefault="00D92C71" w:rsidP="009E73F7">
      <w:pPr>
        <w:pStyle w:val="Akapitzlist"/>
        <w:numPr>
          <w:ilvl w:val="0"/>
          <w:numId w:val="111"/>
        </w:numPr>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złożeniu ww. deklaracji po terminie - czyn ten zagrożony będzie karą grzywny do 180 stawek dziennych (art. 56f § 2),</w:t>
      </w:r>
    </w:p>
    <w:p w14:paraId="67172678" w14:textId="77777777" w:rsidR="00D92C71" w:rsidRPr="00633318" w:rsidRDefault="00D92C71" w:rsidP="009E73F7">
      <w:pPr>
        <w:pStyle w:val="Akapitzlist"/>
        <w:numPr>
          <w:ilvl w:val="0"/>
          <w:numId w:val="111"/>
        </w:numPr>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podanie w ww. deklaracji nieprawdy lub zatajenia prawdy - czyn ten zagrożony będzie karą grzywny do 480 stawek dziennych (art. 56f § 3),</w:t>
      </w:r>
    </w:p>
    <w:p w14:paraId="7E2BAC7F" w14:textId="534871E5" w:rsidR="00D92C71" w:rsidRPr="00633318" w:rsidRDefault="00D92C71" w:rsidP="009E73F7">
      <w:pPr>
        <w:pStyle w:val="Akapitzlist"/>
        <w:numPr>
          <w:ilvl w:val="0"/>
          <w:numId w:val="111"/>
        </w:numPr>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nieprzekazaniu danych </w:t>
      </w:r>
      <w:r w:rsidRPr="00633318">
        <w:rPr>
          <w:rFonts w:ascii="Times New Roman" w:hAnsi="Times New Roman" w:cs="Times New Roman"/>
          <w:sz w:val="24"/>
          <w:szCs w:val="24"/>
        </w:rPr>
        <w:t>o zagranicznej jednost</w:t>
      </w:r>
      <w:r w:rsidR="00613404" w:rsidRPr="00633318">
        <w:rPr>
          <w:rFonts w:ascii="Times New Roman" w:hAnsi="Times New Roman" w:cs="Times New Roman"/>
          <w:sz w:val="24"/>
          <w:szCs w:val="24"/>
        </w:rPr>
        <w:t>ce</w:t>
      </w:r>
      <w:r w:rsidRPr="00633318">
        <w:rPr>
          <w:rFonts w:ascii="Times New Roman" w:hAnsi="Times New Roman" w:cs="Times New Roman"/>
          <w:sz w:val="24"/>
          <w:szCs w:val="24"/>
        </w:rPr>
        <w:t xml:space="preserve"> składowej (UPE lub DFE), składającej </w:t>
      </w:r>
      <w:r w:rsidR="007A49D5" w:rsidRPr="00633318">
        <w:rPr>
          <w:rFonts w:ascii="Times New Roman" w:hAnsi="Times New Roman" w:cs="Times New Roman"/>
          <w:bCs/>
          <w:sz w:val="24"/>
          <w:szCs w:val="24"/>
        </w:rPr>
        <w:t>I</w:t>
      </w:r>
      <w:r w:rsidRPr="00633318">
        <w:rPr>
          <w:rFonts w:ascii="Times New Roman" w:hAnsi="Times New Roman" w:cs="Times New Roman"/>
          <w:bCs/>
          <w:sz w:val="24"/>
          <w:szCs w:val="24"/>
        </w:rPr>
        <w:t xml:space="preserve">nformację GloBE, wraz z informacją o </w:t>
      </w:r>
      <w:r w:rsidR="008E3061" w:rsidRPr="00633318">
        <w:rPr>
          <w:rFonts w:ascii="Times New Roman" w:hAnsi="Times New Roman" w:cs="Times New Roman"/>
          <w:bCs/>
          <w:sz w:val="24"/>
          <w:szCs w:val="24"/>
        </w:rPr>
        <w:t>jurysdykcji</w:t>
      </w:r>
      <w:r w:rsidRPr="00633318">
        <w:rPr>
          <w:rFonts w:ascii="Times New Roman" w:hAnsi="Times New Roman" w:cs="Times New Roman"/>
          <w:bCs/>
          <w:sz w:val="24"/>
          <w:szCs w:val="24"/>
        </w:rPr>
        <w:t>, w któr</w:t>
      </w:r>
      <w:r w:rsidR="008E3061" w:rsidRPr="00633318">
        <w:rPr>
          <w:rFonts w:ascii="Times New Roman" w:hAnsi="Times New Roman" w:cs="Times New Roman"/>
          <w:bCs/>
          <w:sz w:val="24"/>
          <w:szCs w:val="24"/>
        </w:rPr>
        <w:t>ej</w:t>
      </w:r>
      <w:r w:rsidRPr="00633318">
        <w:rPr>
          <w:rFonts w:ascii="Times New Roman" w:hAnsi="Times New Roman" w:cs="Times New Roman"/>
          <w:bCs/>
          <w:sz w:val="24"/>
          <w:szCs w:val="24"/>
        </w:rPr>
        <w:t xml:space="preserve"> taka jednostka jest </w:t>
      </w:r>
      <w:r w:rsidRPr="00633318">
        <w:rPr>
          <w:rFonts w:ascii="Times New Roman" w:hAnsi="Times New Roman" w:cs="Times New Roman"/>
          <w:sz w:val="24"/>
          <w:szCs w:val="24"/>
        </w:rPr>
        <w:t xml:space="preserve">zlokalizowana – </w:t>
      </w:r>
      <w:r w:rsidRPr="00633318">
        <w:rPr>
          <w:rFonts w:ascii="Times New Roman" w:eastAsia="Times New Roman" w:hAnsi="Times New Roman" w:cs="Times New Roman"/>
          <w:sz w:val="24"/>
          <w:szCs w:val="24"/>
        </w:rPr>
        <w:t xml:space="preserve">czyn ten zagrożony będzie karą grzywny do 180 stawek dziennych (art. 80h § 1). </w:t>
      </w:r>
    </w:p>
    <w:p w14:paraId="6C857B58" w14:textId="77777777" w:rsidR="00D92C71" w:rsidRPr="00633318" w:rsidRDefault="00D92C71" w:rsidP="007A3021">
      <w:pPr>
        <w:spacing w:after="12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Jednocześnie w zakresie wszystkich ww. czynów przewidziano typ uprzywilejowany w postaci wypadków mniejszej wagi, zagrożonego karą grzywny za wykroczenie skarbowe (art. 56f § 4 i art. 80h § 2).  </w:t>
      </w:r>
    </w:p>
    <w:p w14:paraId="57D9DEDF" w14:textId="77777777" w:rsidR="00D92C71" w:rsidRPr="00633318" w:rsidRDefault="00D92C71" w:rsidP="007A3021">
      <w:pPr>
        <w:spacing w:after="12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 xml:space="preserve">Należy zauważyć, że KKS w ramach rozróżnienia czynów na przestępstwa i wykroczenia skarbowe, przewiduje stosowną rozpiętość dolegliwości za ich popełnienie. </w:t>
      </w:r>
    </w:p>
    <w:p w14:paraId="5C47ED3F" w14:textId="77777777" w:rsidR="00D92C71" w:rsidRPr="00633318" w:rsidRDefault="00D92C71" w:rsidP="007A3021">
      <w:pPr>
        <w:spacing w:after="12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Karami za przestępstwa skarbowe w ich typie podstawowym (art. 22 § 1 KKS) są:</w:t>
      </w:r>
    </w:p>
    <w:p w14:paraId="4E657ABA" w14:textId="77777777" w:rsidR="00D92C71" w:rsidRPr="00633318" w:rsidRDefault="00D92C71" w:rsidP="009E73F7">
      <w:pPr>
        <w:pStyle w:val="Akapitzlist"/>
        <w:widowControl w:val="0"/>
        <w:numPr>
          <w:ilvl w:val="0"/>
          <w:numId w:val="139"/>
        </w:numPr>
        <w:autoSpaceDE w:val="0"/>
        <w:autoSpaceDN w:val="0"/>
        <w:adjustRightInd w:val="0"/>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grzywna w stawkach dziennych – w wymiarze 10 - 720 stawek, gdzie jedna stawka dzienna nie może być niższa od 1/30 części minimalnego wynagrodzenia, ani też przekraczać jej 400- krotności (art. 23 KKS);</w:t>
      </w:r>
    </w:p>
    <w:p w14:paraId="2622208A" w14:textId="77777777" w:rsidR="00D92C71" w:rsidRPr="00633318" w:rsidRDefault="00D92C71" w:rsidP="009E73F7">
      <w:pPr>
        <w:pStyle w:val="Akapitzlist"/>
        <w:widowControl w:val="0"/>
        <w:numPr>
          <w:ilvl w:val="0"/>
          <w:numId w:val="139"/>
        </w:numPr>
        <w:autoSpaceDE w:val="0"/>
        <w:autoSpaceDN w:val="0"/>
        <w:adjustRightInd w:val="0"/>
        <w:spacing w:after="120"/>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kara ograniczenia wolności – wymierzana w niektórych przypadkach zamiast kary pozbawienia wolności, w szczególności z jednoczesnym orzeczeniem środka karnego (art. 26 KKS – przy czym do wymiaru stosuje się odpowiednio przepisy KK);</w:t>
      </w:r>
    </w:p>
    <w:p w14:paraId="0647285A" w14:textId="77777777" w:rsidR="00D92C71" w:rsidRPr="00633318" w:rsidRDefault="00D92C71" w:rsidP="002C7467">
      <w:pPr>
        <w:pStyle w:val="Akapitzlist"/>
        <w:widowControl w:val="0"/>
        <w:numPr>
          <w:ilvl w:val="0"/>
          <w:numId w:val="58"/>
        </w:numPr>
        <w:autoSpaceDE w:val="0"/>
        <w:autoSpaceDN w:val="0"/>
        <w:adjustRightInd w:val="0"/>
        <w:spacing w:after="120"/>
        <w:ind w:left="714" w:hanging="357"/>
        <w:contextualSpacing w:val="0"/>
        <w:jc w:val="both"/>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kara pozbawienia wolności – w wymiarze od 5 dni do 5 lat (art. 27 KKS).</w:t>
      </w:r>
    </w:p>
    <w:p w14:paraId="72E3AC7B" w14:textId="77777777" w:rsidR="00D92C71" w:rsidRPr="00633318" w:rsidRDefault="00D92C71" w:rsidP="007A3021">
      <w:pPr>
        <w:spacing w:after="120"/>
        <w:jc w:val="both"/>
        <w:rPr>
          <w:rFonts w:ascii="Times New Roman" w:eastAsia="Times New Roman" w:hAnsi="Times New Roman" w:cs="Times New Roman"/>
          <w:color w:val="000000" w:themeColor="text1"/>
          <w:sz w:val="24"/>
          <w:szCs w:val="24"/>
        </w:rPr>
      </w:pPr>
      <w:r w:rsidRPr="00633318">
        <w:rPr>
          <w:rFonts w:ascii="Times New Roman" w:eastAsia="Times New Roman" w:hAnsi="Times New Roman" w:cs="Times New Roman"/>
          <w:color w:val="000000" w:themeColor="text1"/>
          <w:sz w:val="24"/>
          <w:szCs w:val="24"/>
        </w:rPr>
        <w:t>KKS przewiduje ponadto możliwość nadzwyczajnego obostrzenia kary (górnej granicy ustawowego zagrożenia), która nie może przekroczyć 1080 stawek dziennych kary grzywny, 2 lat ograniczenia wolności albo 10 lat pozbawienia wolności (art. 28 KKS).</w:t>
      </w:r>
    </w:p>
    <w:p w14:paraId="235CD5D5" w14:textId="77777777" w:rsidR="00D92C71" w:rsidRPr="00633318" w:rsidRDefault="00D92C71" w:rsidP="007A3021">
      <w:pPr>
        <w:spacing w:after="120"/>
        <w:jc w:val="both"/>
        <w:rPr>
          <w:rFonts w:ascii="Times New Roman" w:eastAsia="Times New Roman" w:hAnsi="Times New Roman" w:cs="Times New Roman"/>
          <w:color w:val="000000" w:themeColor="text1"/>
          <w:sz w:val="24"/>
          <w:szCs w:val="24"/>
        </w:rPr>
      </w:pPr>
      <w:r w:rsidRPr="00633318">
        <w:rPr>
          <w:rFonts w:ascii="Times New Roman" w:eastAsia="Times New Roman" w:hAnsi="Times New Roman" w:cs="Times New Roman"/>
          <w:color w:val="000000" w:themeColor="text1"/>
          <w:sz w:val="24"/>
          <w:szCs w:val="24"/>
        </w:rPr>
        <w:t>Sąd może wymierzyć również karę łączną za przestępstwo skarbowe w granicach od najwyższej z kar wymierzonych za poszczególne przestępstwa skarbowe do ich sumy, nie przekraczając jednak 1080 stawek dziennych grzywny, 2 lat ograniczenia wolności albo 15 lat pozbawienia wolności (art. 39 KKS).</w:t>
      </w:r>
    </w:p>
    <w:p w14:paraId="3B841CA1" w14:textId="77777777" w:rsidR="00D92C71" w:rsidRPr="00633318" w:rsidRDefault="00D92C71" w:rsidP="007A3021">
      <w:pPr>
        <w:spacing w:after="120"/>
        <w:jc w:val="both"/>
        <w:rPr>
          <w:rFonts w:ascii="Times New Roman" w:eastAsia="Times New Roman" w:hAnsi="Times New Roman" w:cs="Times New Roman"/>
          <w:color w:val="000000" w:themeColor="text1"/>
          <w:sz w:val="24"/>
          <w:szCs w:val="24"/>
        </w:rPr>
      </w:pPr>
      <w:r w:rsidRPr="00633318">
        <w:rPr>
          <w:rFonts w:ascii="Times New Roman" w:eastAsia="Times New Roman" w:hAnsi="Times New Roman" w:cs="Times New Roman"/>
          <w:color w:val="000000" w:themeColor="text1"/>
          <w:sz w:val="24"/>
          <w:szCs w:val="24"/>
        </w:rPr>
        <w:t>Karą za wykroczenie skarbowe jest grzywna określona kwotowo - w wymiarze 1/10 – 20 krotności minimalnego wynagrodzenia (art. 47 § 1 KKS i art. 48 § 1 KKS), z zastrzeżeniem w szczególności postępowania mandatowego (art. 48 § 2 KKS).</w:t>
      </w:r>
    </w:p>
    <w:p w14:paraId="564B1491" w14:textId="77777777" w:rsidR="00D92C71" w:rsidRPr="00633318" w:rsidRDefault="00D92C71" w:rsidP="007A3021">
      <w:pPr>
        <w:spacing w:after="120"/>
        <w:jc w:val="both"/>
        <w:rPr>
          <w:rFonts w:ascii="Times New Roman" w:eastAsia="Times New Roman" w:hAnsi="Times New Roman" w:cs="Times New Roman"/>
          <w:color w:val="000000" w:themeColor="text1"/>
          <w:sz w:val="24"/>
          <w:szCs w:val="24"/>
        </w:rPr>
      </w:pPr>
      <w:r w:rsidRPr="00633318">
        <w:rPr>
          <w:rFonts w:ascii="Times New Roman" w:eastAsia="Times New Roman" w:hAnsi="Times New Roman" w:cs="Times New Roman"/>
          <w:color w:val="000000" w:themeColor="text1"/>
          <w:sz w:val="24"/>
          <w:szCs w:val="24"/>
        </w:rPr>
        <w:t>Ponadto, sąd, podobnie jak w przypadku przestępstw skarbowych, może wymierzyć karę łączną grzywny za dwa lub więcej wykroczeń skarbowych (art. 50 KKS) w wysokości do górnej granicy ustawowego zagrożenia zwiększonego o połowę.</w:t>
      </w:r>
    </w:p>
    <w:p w14:paraId="1960F4D7" w14:textId="4D554E97" w:rsidR="00D92C71" w:rsidRPr="00633318" w:rsidRDefault="00D92C71" w:rsidP="007A3021">
      <w:pPr>
        <w:spacing w:after="120"/>
        <w:jc w:val="both"/>
        <w:rPr>
          <w:rFonts w:ascii="Times New Roman" w:eastAsia="Times New Roman" w:hAnsi="Times New Roman" w:cs="Times New Roman"/>
          <w:color w:val="5B9BD5" w:themeColor="accent1"/>
          <w:sz w:val="24"/>
          <w:szCs w:val="24"/>
        </w:rPr>
      </w:pPr>
      <w:r w:rsidRPr="00633318">
        <w:rPr>
          <w:rFonts w:ascii="Times New Roman" w:eastAsia="Times New Roman" w:hAnsi="Times New Roman" w:cs="Times New Roman"/>
          <w:color w:val="000000" w:themeColor="text1"/>
          <w:sz w:val="24"/>
          <w:szCs w:val="24"/>
        </w:rPr>
        <w:t>Wobec powyższego, w zakresie czynów wskazanych na wstępie (</w:t>
      </w:r>
      <w:r w:rsidR="007C3D9D" w:rsidRPr="00633318">
        <w:rPr>
          <w:rFonts w:ascii="Times New Roman" w:eastAsia="Times New Roman" w:hAnsi="Times New Roman" w:cs="Times New Roman"/>
          <w:color w:val="000000" w:themeColor="text1"/>
          <w:sz w:val="24"/>
          <w:szCs w:val="24"/>
        </w:rPr>
        <w:t>k</w:t>
      </w:r>
      <w:r w:rsidRPr="00633318">
        <w:rPr>
          <w:rFonts w:ascii="Times New Roman" w:eastAsia="Times New Roman" w:hAnsi="Times New Roman" w:cs="Times New Roman"/>
          <w:color w:val="000000" w:themeColor="text1"/>
          <w:sz w:val="24"/>
          <w:szCs w:val="24"/>
        </w:rPr>
        <w:t>atalog obowiązków, których naruszenie powinno skutkować sankcją) wyczerpujących znamiona istniejących już przestępstw lub wykroczeń karno-skarbowych na gruncie KKS, należało uznać, że wpisują się one w system kar przewidzianych tą ustawą jako skuteczne, proporcjonalne i odstraszające w odniesieniu do działań (zaniechań) mieszczących się w przestrzeni koniecznej do penalizacji zgodnie z Dyrektywą</w:t>
      </w:r>
      <w:r w:rsidRPr="00633318">
        <w:rPr>
          <w:rFonts w:ascii="Times New Roman" w:eastAsia="Times New Roman" w:hAnsi="Times New Roman" w:cs="Times New Roman"/>
          <w:color w:val="5B9BD5" w:themeColor="accent1"/>
          <w:sz w:val="24"/>
          <w:szCs w:val="24"/>
        </w:rPr>
        <w:t>.</w:t>
      </w:r>
    </w:p>
    <w:p w14:paraId="2BAB265E" w14:textId="0AFF98E6" w:rsidR="009E18D9" w:rsidRPr="00633318" w:rsidRDefault="00D92C71" w:rsidP="007A3021">
      <w:pPr>
        <w:spacing w:after="120"/>
        <w:jc w:val="both"/>
        <w:rPr>
          <w:rFonts w:ascii="Times New Roman" w:hAnsi="Times New Roman" w:cs="Times New Roman"/>
          <w:sz w:val="24"/>
          <w:szCs w:val="24"/>
        </w:rPr>
      </w:pPr>
      <w:r w:rsidRPr="00633318">
        <w:rPr>
          <w:rFonts w:ascii="Times New Roman" w:eastAsia="Times New Roman" w:hAnsi="Times New Roman" w:cs="Times New Roman"/>
          <w:sz w:val="24"/>
          <w:szCs w:val="24"/>
        </w:rPr>
        <w:t xml:space="preserve">Podsumowując niniejsze zagadnienie, </w:t>
      </w:r>
      <w:r w:rsidRPr="00633318">
        <w:rPr>
          <w:rFonts w:ascii="Times New Roman" w:eastAsia="Times New Roman" w:hAnsi="Times New Roman" w:cs="Times New Roman"/>
          <w:sz w:val="24"/>
          <w:szCs w:val="24"/>
          <w:lang w:eastAsia="pl-PL"/>
        </w:rPr>
        <w:t xml:space="preserve">z uwagi na określony w KKS szeroki katalog czynów karalnych, rozpiętość dolegliwości, zależnej od stopnia winy (w tym daleko idące sankcje dla potencjalnego sprawcy szczególnie przestępstwa skarbowego) i tym samym walor zapobiegawczy i wychowawczy kar w granicach określonych przez KKS, należy stwierdzić, iż ograniczenie się do tego charakteru odpowiedzialności wypełnia dyspozycję art. 46 Dyrektywy co do skuteczności, proporcjonalności i realizacji funkcji prewencyjnej kary. Wymaga przy tym podkreślenia, że wzgląd na te wytyczne, jak i na charakter podatku wyrównawczego powinien skutkować tym, iż jedynie w wyjątkowych sytuacjach naruszenie regulacji krajowych implementujących Dyrektywę może być uznane za przypadek mniejszej wagi. </w:t>
      </w:r>
    </w:p>
    <w:p w14:paraId="6FCDAF79" w14:textId="1D4637CF" w:rsidR="00CE1E57" w:rsidRPr="00633318" w:rsidRDefault="00CE1E57" w:rsidP="005B114B">
      <w:pPr>
        <w:pStyle w:val="Nagwek5"/>
        <w:rPr>
          <w:rFonts w:ascii="Times New Roman" w:hAnsi="Times New Roman" w:cs="Times New Roman"/>
          <w:sz w:val="24"/>
          <w:szCs w:val="24"/>
        </w:rPr>
      </w:pPr>
      <w:r w:rsidRPr="00633318">
        <w:rPr>
          <w:rFonts w:ascii="Times New Roman" w:hAnsi="Times New Roman" w:cs="Times New Roman"/>
          <w:sz w:val="24"/>
          <w:szCs w:val="24"/>
        </w:rPr>
        <w:t xml:space="preserve">Art. </w:t>
      </w:r>
      <w:r w:rsidR="00087128" w:rsidRPr="00633318">
        <w:rPr>
          <w:rFonts w:ascii="Times New Roman" w:hAnsi="Times New Roman" w:cs="Times New Roman"/>
          <w:sz w:val="24"/>
          <w:szCs w:val="24"/>
        </w:rPr>
        <w:t xml:space="preserve">142 </w:t>
      </w:r>
      <w:r w:rsidR="001D7176" w:rsidRPr="00633318">
        <w:rPr>
          <w:rFonts w:ascii="Times New Roman" w:hAnsi="Times New Roman" w:cs="Times New Roman"/>
          <w:sz w:val="24"/>
          <w:szCs w:val="24"/>
        </w:rPr>
        <w:t>[</w:t>
      </w:r>
      <w:r w:rsidRPr="00633318">
        <w:rPr>
          <w:rFonts w:ascii="Times New Roman" w:hAnsi="Times New Roman" w:cs="Times New Roman"/>
          <w:sz w:val="24"/>
          <w:szCs w:val="24"/>
        </w:rPr>
        <w:t>Zmiany w ustawie PPSA</w:t>
      </w:r>
      <w:r w:rsidR="001D7176" w:rsidRPr="00633318">
        <w:rPr>
          <w:rFonts w:ascii="Times New Roman" w:hAnsi="Times New Roman" w:cs="Times New Roman"/>
          <w:sz w:val="24"/>
          <w:szCs w:val="24"/>
        </w:rPr>
        <w:t>]</w:t>
      </w:r>
    </w:p>
    <w:p w14:paraId="16CC56BA" w14:textId="3E942E09" w:rsidR="0009509A" w:rsidRPr="00633318" w:rsidRDefault="0009509A" w:rsidP="0009509A">
      <w:pPr>
        <w:spacing w:after="120"/>
        <w:jc w:val="both"/>
        <w:rPr>
          <w:rFonts w:ascii="Times New Roman" w:hAnsi="Times New Roman" w:cs="Times New Roman"/>
          <w:sz w:val="24"/>
          <w:szCs w:val="24"/>
        </w:rPr>
      </w:pPr>
      <w:r w:rsidRPr="00633318">
        <w:rPr>
          <w:rFonts w:ascii="Times New Roman" w:hAnsi="Times New Roman" w:cs="Times New Roman"/>
          <w:sz w:val="24"/>
          <w:szCs w:val="24"/>
        </w:rPr>
        <w:t>Przewidziana zmiany w ustawie z dnia 30 sierpnia 2002 r. Prawo o postępowaniu przed sądami administracyjnymi (Dz. U. z 202</w:t>
      </w:r>
      <w:r w:rsidR="0062614E">
        <w:rPr>
          <w:rFonts w:ascii="Times New Roman" w:hAnsi="Times New Roman" w:cs="Times New Roman"/>
          <w:sz w:val="24"/>
          <w:szCs w:val="24"/>
        </w:rPr>
        <w:t>4</w:t>
      </w:r>
      <w:r w:rsidRPr="00633318">
        <w:rPr>
          <w:rFonts w:ascii="Times New Roman" w:hAnsi="Times New Roman" w:cs="Times New Roman"/>
          <w:sz w:val="24"/>
          <w:szCs w:val="24"/>
        </w:rPr>
        <w:t xml:space="preserve"> r. poz. </w:t>
      </w:r>
      <w:r w:rsidR="0062614E">
        <w:rPr>
          <w:rFonts w:ascii="Times New Roman" w:hAnsi="Times New Roman" w:cs="Times New Roman"/>
          <w:sz w:val="24"/>
          <w:szCs w:val="24"/>
        </w:rPr>
        <w:t>935</w:t>
      </w:r>
      <w:r w:rsidRPr="00633318">
        <w:rPr>
          <w:rFonts w:ascii="Times New Roman" w:hAnsi="Times New Roman" w:cs="Times New Roman"/>
          <w:sz w:val="24"/>
          <w:szCs w:val="24"/>
        </w:rPr>
        <w:t>) umożliwią sądom administracyjnym orzekanie w sprawach skarg na opinie w sprawach opodatkowania wyrównawczego oraz skarg na opinie zabezpieczające w sprawie opodatkowania wyrównawczego i odmowy wydania opinii zabezpieczających w sprawie opodatkowania wyrównawczego.</w:t>
      </w:r>
    </w:p>
    <w:p w14:paraId="46DAE654" w14:textId="3523970B" w:rsidR="00CE1E57" w:rsidRPr="00633318" w:rsidRDefault="0009509A" w:rsidP="007A3021">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Projektowane zmiany mają </w:t>
      </w:r>
      <w:r w:rsidR="00CE1E57" w:rsidRPr="00633318">
        <w:rPr>
          <w:rFonts w:ascii="Times New Roman" w:hAnsi="Times New Roman" w:cs="Times New Roman"/>
          <w:sz w:val="24"/>
          <w:szCs w:val="24"/>
        </w:rPr>
        <w:t>charakter dostosowawczy, pozwalający na wprowadzenie projektowanych w Ordynacji podatkowej rozwiązań do polskiego systemu prawnego oraz przyjęcie i wykonywanie nowych zadań przez właściwe organy.</w:t>
      </w:r>
    </w:p>
    <w:p w14:paraId="56C31129" w14:textId="1BAB2611" w:rsidR="00CE1E57" w:rsidRPr="00633318" w:rsidRDefault="00CE1E57" w:rsidP="005B114B">
      <w:pPr>
        <w:pStyle w:val="Nagwek5"/>
        <w:rPr>
          <w:rFonts w:ascii="Times New Roman" w:hAnsi="Times New Roman" w:cs="Times New Roman"/>
          <w:sz w:val="24"/>
          <w:szCs w:val="24"/>
        </w:rPr>
      </w:pPr>
      <w:r w:rsidRPr="00633318">
        <w:rPr>
          <w:rFonts w:ascii="Times New Roman" w:hAnsi="Times New Roman" w:cs="Times New Roman"/>
          <w:sz w:val="24"/>
          <w:szCs w:val="24"/>
        </w:rPr>
        <w:t xml:space="preserve">Art. </w:t>
      </w:r>
      <w:r w:rsidR="00087128" w:rsidRPr="00633318">
        <w:rPr>
          <w:rFonts w:ascii="Times New Roman" w:hAnsi="Times New Roman" w:cs="Times New Roman"/>
          <w:sz w:val="24"/>
          <w:szCs w:val="24"/>
        </w:rPr>
        <w:t xml:space="preserve">143 </w:t>
      </w:r>
      <w:r w:rsidR="001D7176" w:rsidRPr="00633318">
        <w:rPr>
          <w:rFonts w:ascii="Times New Roman" w:hAnsi="Times New Roman" w:cs="Times New Roman"/>
          <w:sz w:val="24"/>
          <w:szCs w:val="24"/>
        </w:rPr>
        <w:t>[</w:t>
      </w:r>
      <w:r w:rsidRPr="00633318">
        <w:rPr>
          <w:rFonts w:ascii="Times New Roman" w:hAnsi="Times New Roman" w:cs="Times New Roman"/>
          <w:sz w:val="24"/>
          <w:szCs w:val="24"/>
        </w:rPr>
        <w:t>Zmiany w ustawie o KAS</w:t>
      </w:r>
      <w:r w:rsidR="001D7176" w:rsidRPr="00633318">
        <w:rPr>
          <w:rFonts w:ascii="Times New Roman" w:hAnsi="Times New Roman" w:cs="Times New Roman"/>
          <w:sz w:val="24"/>
          <w:szCs w:val="24"/>
        </w:rPr>
        <w:t>]</w:t>
      </w:r>
    </w:p>
    <w:p w14:paraId="14763A46" w14:textId="77777777" w:rsidR="00CE1E57" w:rsidRPr="00633318" w:rsidRDefault="00CE1E57" w:rsidP="007A3021">
      <w:pPr>
        <w:spacing w:after="120"/>
        <w:jc w:val="both"/>
        <w:rPr>
          <w:rFonts w:ascii="Times New Roman" w:hAnsi="Times New Roman" w:cs="Times New Roman"/>
          <w:sz w:val="24"/>
          <w:szCs w:val="24"/>
        </w:rPr>
      </w:pPr>
      <w:r w:rsidRPr="00633318">
        <w:rPr>
          <w:rFonts w:ascii="Times New Roman" w:hAnsi="Times New Roman" w:cs="Times New Roman"/>
          <w:sz w:val="24"/>
          <w:szCs w:val="24"/>
        </w:rPr>
        <w:t>Zaproponowane zmiany w ustawie z dnia 16 listopada 2016 r. o Krajowej Administracji Skarbowej (Dz. U. z 2023 r. poz. 615, z późn. zm.), polegające na przyznaniu kompetencji Dyrektorowi Krajowej Informacji Skarbowej do prowadzenia spraw dotyczących opinii na temat stosowania przepisów o opodatkowaniu wyrównawczym – analogicznie jak w przypadku wydawania interpretacji indywidualnych. Ponadto zaproponowano zmianę dostosowawczą, umożliwiającą składanie i doręczanie pism dotyczących opinii w sprawie opodatkowania wyrównawczego za pośrednictwem e-Urzędu Skarbowego.</w:t>
      </w:r>
    </w:p>
    <w:p w14:paraId="3ADF1BF6" w14:textId="61E53E32" w:rsidR="001B496E" w:rsidRPr="00633318" w:rsidRDefault="00CE1E57" w:rsidP="000F5B35">
      <w:pPr>
        <w:spacing w:after="120"/>
        <w:contextualSpacing/>
        <w:jc w:val="both"/>
        <w:rPr>
          <w:rFonts w:ascii="Times New Roman" w:hAnsi="Times New Roman" w:cs="Times New Roman"/>
          <w:sz w:val="24"/>
          <w:szCs w:val="24"/>
        </w:rPr>
      </w:pPr>
      <w:r w:rsidRPr="00633318">
        <w:rPr>
          <w:rFonts w:ascii="Times New Roman" w:hAnsi="Times New Roman" w:cs="Times New Roman"/>
          <w:sz w:val="24"/>
          <w:szCs w:val="24"/>
        </w:rPr>
        <w:t>Projektowana zmiana ma charakter dostosowawczy, pozwalający na wprowadzenie projektowanych w Ordynacji podatkowej rozwiązań do polskiego systemu prawnego oraz przyjęcie i wykonywanie nowych zadań przez właściwe organy.</w:t>
      </w:r>
    </w:p>
    <w:p w14:paraId="54AC1961" w14:textId="72B307B6" w:rsidR="00E45F7B" w:rsidRPr="00633318" w:rsidRDefault="00E45F7B" w:rsidP="00E45F7B">
      <w:pPr>
        <w:pStyle w:val="Nagwek5"/>
        <w:spacing w:before="120"/>
        <w:rPr>
          <w:rFonts w:ascii="Times New Roman" w:hAnsi="Times New Roman" w:cs="Times New Roman"/>
          <w:sz w:val="24"/>
          <w:szCs w:val="24"/>
        </w:rPr>
      </w:pPr>
      <w:r w:rsidRPr="00633318">
        <w:rPr>
          <w:rFonts w:ascii="Times New Roman" w:hAnsi="Times New Roman" w:cs="Times New Roman"/>
          <w:sz w:val="24"/>
          <w:szCs w:val="24"/>
        </w:rPr>
        <w:t>Art. 14</w:t>
      </w:r>
      <w:r w:rsidR="00D66B89" w:rsidRPr="00633318">
        <w:rPr>
          <w:rFonts w:ascii="Times New Roman" w:hAnsi="Times New Roman" w:cs="Times New Roman"/>
          <w:sz w:val="24"/>
          <w:szCs w:val="24"/>
        </w:rPr>
        <w:t>4</w:t>
      </w:r>
      <w:r w:rsidRPr="00633318">
        <w:rPr>
          <w:rFonts w:ascii="Times New Roman" w:hAnsi="Times New Roman" w:cs="Times New Roman"/>
          <w:sz w:val="24"/>
          <w:szCs w:val="24"/>
        </w:rPr>
        <w:t xml:space="preserve"> [Zmiany w ustawie o wymianie informacji]</w:t>
      </w:r>
    </w:p>
    <w:p w14:paraId="69567CB8" w14:textId="74510C2B" w:rsidR="00E45F7B" w:rsidRPr="00633318" w:rsidRDefault="00E45F7B" w:rsidP="00E45F7B">
      <w:pPr>
        <w:autoSpaceDE w:val="0"/>
        <w:autoSpaceDN w:val="0"/>
        <w:adjustRightInd w:val="0"/>
        <w:spacing w:before="120" w:after="120"/>
        <w:jc w:val="both"/>
        <w:rPr>
          <w:rFonts w:ascii="Times New Roman" w:hAnsi="Times New Roman" w:cs="Times New Roman"/>
          <w:sz w:val="24"/>
          <w:szCs w:val="24"/>
        </w:rPr>
      </w:pPr>
      <w:r w:rsidRPr="00633318">
        <w:rPr>
          <w:rFonts w:ascii="Times New Roman" w:hAnsi="Times New Roman" w:cs="Times New Roman"/>
          <w:sz w:val="24"/>
          <w:szCs w:val="24"/>
        </w:rPr>
        <w:t xml:space="preserve">Dodanie art. </w:t>
      </w:r>
      <w:bookmarkStart w:id="125" w:name="_Hlk173838310"/>
      <w:r w:rsidRPr="00633318">
        <w:rPr>
          <w:rFonts w:ascii="Times New Roman" w:hAnsi="Times New Roman" w:cs="Times New Roman"/>
          <w:sz w:val="24"/>
          <w:szCs w:val="24"/>
        </w:rPr>
        <w:t>11a w ustawie z dnia 23 maja 2024 r. o zmianie ustawy o wymianie informacji podatkowych z innymi państwami oraz niektórych innych ustaw (Dz. U. z 2024 r. poz. 879)</w:t>
      </w:r>
      <w:bookmarkEnd w:id="125"/>
      <w:r w:rsidRPr="00633318">
        <w:rPr>
          <w:rFonts w:ascii="Times New Roman" w:hAnsi="Times New Roman" w:cs="Times New Roman"/>
          <w:sz w:val="24"/>
          <w:szCs w:val="24"/>
        </w:rPr>
        <w:t xml:space="preserve"> ma na celu umożliwienie potencjalnej </w:t>
      </w:r>
      <w:bookmarkStart w:id="126" w:name="_Hlk173839491"/>
      <w:r w:rsidRPr="00633318">
        <w:rPr>
          <w:rFonts w:ascii="Times New Roman" w:hAnsi="Times New Roman" w:cs="Times New Roman"/>
          <w:sz w:val="24"/>
          <w:szCs w:val="24"/>
        </w:rPr>
        <w:t>wymiany przekazanych przez raportujących operatorów platform informacji o sprzedawcach</w:t>
      </w:r>
      <w:bookmarkEnd w:id="126"/>
      <w:r w:rsidRPr="00633318">
        <w:rPr>
          <w:rFonts w:ascii="Times New Roman" w:hAnsi="Times New Roman" w:cs="Times New Roman"/>
          <w:sz w:val="24"/>
          <w:szCs w:val="24"/>
        </w:rPr>
        <w:t xml:space="preserve"> z państwami i terytoriami spoza UE za rok 2023. Zgodnie z art. 11, który wszedł w życie 1 lipca 2024 r.: „Listę państw i terytoriów, o której mowa w art. 75a ust. 6 ustawy zmienianej w art. 1, zamieszcza się w Biuletynie Informacji Publicznej po raz pierwszy w terminie 14 dni od dnia wejścia w życie niniejszej ustawy”. W związku z tym, że ww. terminie nie zidentyfikowano państw ani terytoriów, które mogłyby zostać umieszczone na liście, nie została ona opublikowana na podstawie art. 11. Jednak nie można wykluczyć, że do końca 2024 r. takie państwa lub terytoria zostaną zidentyfikowane, niniejszym konieczne jest dodanie art. 11a, zgodnie z którym omawiana lista zostanie opublikowana do 31 grudnia 2024 r. Pozwoli to na przekazanie odpowiednich informacji przez raportujących operatorów platform do 31 stycznia 2025 r., a następnie ich automatyczną wymianę przez Polskę z państwami wymienionymi na liście.</w:t>
      </w:r>
    </w:p>
    <w:p w14:paraId="7CB5A9FF" w14:textId="1B11A2EF" w:rsidR="0099263F" w:rsidRPr="00633318" w:rsidRDefault="0099263F" w:rsidP="000F5B35">
      <w:pPr>
        <w:pStyle w:val="Nagwek5"/>
        <w:spacing w:before="0"/>
        <w:contextualSpacing/>
        <w:rPr>
          <w:rFonts w:ascii="Times New Roman" w:hAnsi="Times New Roman" w:cs="Times New Roman"/>
          <w:sz w:val="24"/>
          <w:szCs w:val="24"/>
        </w:rPr>
      </w:pPr>
      <w:r w:rsidRPr="00633318">
        <w:rPr>
          <w:rFonts w:ascii="Times New Roman" w:hAnsi="Times New Roman" w:cs="Times New Roman"/>
          <w:sz w:val="24"/>
          <w:szCs w:val="24"/>
        </w:rPr>
        <w:t>Uwagi w odniesieniu do braku konieczności zmian innych ustaw [ustawa o NIP]</w:t>
      </w:r>
    </w:p>
    <w:p w14:paraId="60478D00" w14:textId="188665DA" w:rsidR="0099263F" w:rsidRPr="00633318" w:rsidRDefault="0099263F" w:rsidP="000F5B35">
      <w:pPr>
        <w:spacing w:after="120"/>
        <w:contextualSpacing/>
        <w:jc w:val="both"/>
        <w:rPr>
          <w:rFonts w:ascii="Times New Roman" w:hAnsi="Times New Roman" w:cs="Times New Roman"/>
          <w:sz w:val="24"/>
          <w:szCs w:val="24"/>
        </w:rPr>
      </w:pPr>
      <w:r w:rsidRPr="00633318">
        <w:rPr>
          <w:rFonts w:ascii="Times New Roman" w:hAnsi="Times New Roman" w:cs="Times New Roman"/>
          <w:sz w:val="24"/>
          <w:szCs w:val="24"/>
        </w:rPr>
        <w:t>Zgodnie z ustawą z dnia 13 października 1995 r. o zasadach ewidencji i identyfikacji podatników i płatników (Dz. U z 202</w:t>
      </w:r>
      <w:r w:rsidR="0062614E">
        <w:rPr>
          <w:rFonts w:ascii="Times New Roman" w:hAnsi="Times New Roman" w:cs="Times New Roman"/>
          <w:sz w:val="24"/>
          <w:szCs w:val="24"/>
        </w:rPr>
        <w:t>4</w:t>
      </w:r>
      <w:r w:rsidRPr="00633318">
        <w:rPr>
          <w:rFonts w:ascii="Times New Roman" w:hAnsi="Times New Roman" w:cs="Times New Roman"/>
          <w:sz w:val="24"/>
          <w:szCs w:val="24"/>
        </w:rPr>
        <w:t xml:space="preserve"> poz. </w:t>
      </w:r>
      <w:r w:rsidR="0062614E">
        <w:rPr>
          <w:rFonts w:ascii="Times New Roman" w:hAnsi="Times New Roman" w:cs="Times New Roman"/>
          <w:sz w:val="24"/>
          <w:szCs w:val="24"/>
        </w:rPr>
        <w:t>375</w:t>
      </w:r>
      <w:r w:rsidRPr="00633318">
        <w:rPr>
          <w:rFonts w:ascii="Times New Roman" w:hAnsi="Times New Roman" w:cs="Times New Roman"/>
          <w:sz w:val="24"/>
          <w:szCs w:val="24"/>
        </w:rPr>
        <w:t>) obowiązkowi identyfikacyjnemu podlegają m.in.:</w:t>
      </w:r>
    </w:p>
    <w:p w14:paraId="33F93276" w14:textId="77777777" w:rsidR="0099263F" w:rsidRPr="00633318" w:rsidRDefault="0099263F" w:rsidP="002C7467">
      <w:pPr>
        <w:pStyle w:val="Akapitzlist"/>
        <w:numPr>
          <w:ilvl w:val="0"/>
          <w:numId w:val="80"/>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osoby fizyczne, osoby prawne oraz jednostki organizacyjne niemające osobowości prawnej, które na podstawie odrębnych ustaw są podatnikami, podlegają obowiązkowi ewidencyjnemu (art. 2 ust. 1) oraz </w:t>
      </w:r>
    </w:p>
    <w:p w14:paraId="7A119D33" w14:textId="77777777" w:rsidR="0099263F" w:rsidRPr="00633318" w:rsidRDefault="0099263F" w:rsidP="002C7467">
      <w:pPr>
        <w:pStyle w:val="Akapitzlist"/>
        <w:numPr>
          <w:ilvl w:val="0"/>
          <w:numId w:val="80"/>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inne podmioty, jeżeli na podstawie odrębnych ustaw są podatnikami, oraz płatnicy podatków (art. 2 ust. 2). </w:t>
      </w:r>
    </w:p>
    <w:p w14:paraId="25BA0054" w14:textId="6A49F103" w:rsidR="001D7176" w:rsidRPr="00633318" w:rsidRDefault="0099263F" w:rsidP="000F5B35">
      <w:pPr>
        <w:spacing w:after="120"/>
        <w:contextualSpacing/>
        <w:jc w:val="both"/>
        <w:rPr>
          <w:rFonts w:ascii="Times New Roman" w:hAnsi="Times New Roman" w:cs="Times New Roman"/>
          <w:sz w:val="24"/>
          <w:szCs w:val="24"/>
        </w:rPr>
      </w:pPr>
      <w:r w:rsidRPr="00633318">
        <w:rPr>
          <w:rFonts w:ascii="Times New Roman" w:hAnsi="Times New Roman" w:cs="Times New Roman"/>
          <w:sz w:val="24"/>
          <w:szCs w:val="24"/>
        </w:rPr>
        <w:t>Zatem każdorazowo przyznanie danemu podmiotowi statusu podatnika w ustawie podatkowej rozciąga na taki podmiot obowiązek dokonania zgłoszenia identyfikacyjnego i uzyskania identyfikatora podatkowego. W kontekście projektowanej regulacji nie ma zatem podstaw do zmiany przepisów określających zakres obowiązku ewidencyjnego mimo, iż na mocy projektowanej ustawy status podatnika (odpowiednio globalnego podatku wyrównawczego, krajowego podatku wyrównawczego i podatku wyrównawczego od niedostatecznie opodatkowanych zysków) nabędą jednostki, które nie są podatnikami na gruncie obecnie obowiązujących ustaw podatkowych. Chodzi w tym przypadku w szczególności o jednostki joint venture oraz jednostki zależne joint venture, a także – w ograniczonym zakresie – o stałe zakłady będące jednostkami składowymi grupy w rozumieniu projektowanego aktu. W pozostały</w:t>
      </w:r>
      <w:r w:rsidR="001E3D0E" w:rsidRPr="00633318">
        <w:rPr>
          <w:rFonts w:ascii="Times New Roman" w:hAnsi="Times New Roman" w:cs="Times New Roman"/>
          <w:sz w:val="24"/>
          <w:szCs w:val="24"/>
        </w:rPr>
        <w:t>m</w:t>
      </w:r>
      <w:r w:rsidRPr="00633318">
        <w:rPr>
          <w:rFonts w:ascii="Times New Roman" w:hAnsi="Times New Roman" w:cs="Times New Roman"/>
          <w:sz w:val="24"/>
          <w:szCs w:val="24"/>
        </w:rPr>
        <w:t xml:space="preserve"> zakresie status podatnika podatku wyrównawczego będzie zasadniczo pokrywał się ze statusem podatnika podatku CIT. </w:t>
      </w:r>
      <w:bookmarkStart w:id="127" w:name="_Hlk158968195"/>
      <w:r w:rsidRPr="00633318">
        <w:rPr>
          <w:rFonts w:ascii="Times New Roman" w:hAnsi="Times New Roman" w:cs="Times New Roman"/>
          <w:sz w:val="24"/>
          <w:szCs w:val="24"/>
        </w:rPr>
        <w:t>W przypadku stałych zakładów</w:t>
      </w:r>
      <w:r w:rsidR="00BD3439"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zasadniczo powinny one posiadać NIP </w:t>
      </w:r>
      <w:r w:rsidR="001E3D0E" w:rsidRPr="00633318">
        <w:rPr>
          <w:rFonts w:ascii="Times New Roman" w:hAnsi="Times New Roman" w:cs="Times New Roman"/>
          <w:sz w:val="24"/>
          <w:szCs w:val="24"/>
        </w:rPr>
        <w:t>w związku z rejestracją dla celów</w:t>
      </w:r>
      <w:r w:rsidRPr="00633318">
        <w:rPr>
          <w:rFonts w:ascii="Times New Roman" w:hAnsi="Times New Roman" w:cs="Times New Roman"/>
          <w:sz w:val="24"/>
          <w:szCs w:val="24"/>
        </w:rPr>
        <w:t xml:space="preserve"> podatku VAT</w:t>
      </w:r>
      <w:bookmarkEnd w:id="127"/>
      <w:r w:rsidRPr="00633318">
        <w:rPr>
          <w:rFonts w:ascii="Times New Roman" w:hAnsi="Times New Roman" w:cs="Times New Roman"/>
          <w:sz w:val="24"/>
          <w:szCs w:val="24"/>
        </w:rPr>
        <w:t xml:space="preserve">.   </w:t>
      </w:r>
    </w:p>
    <w:p w14:paraId="10C8A08C" w14:textId="0FE02A0D" w:rsidR="0099263F" w:rsidRPr="00633318" w:rsidRDefault="0099263F" w:rsidP="000F5B35">
      <w:pPr>
        <w:spacing w:after="120"/>
        <w:contextualSpacing/>
        <w:jc w:val="both"/>
        <w:rPr>
          <w:rFonts w:ascii="Times New Roman" w:hAnsi="Times New Roman" w:cs="Times New Roman"/>
          <w:sz w:val="24"/>
          <w:szCs w:val="24"/>
        </w:rPr>
      </w:pPr>
      <w:r w:rsidRPr="00633318">
        <w:rPr>
          <w:rFonts w:ascii="Times New Roman" w:hAnsi="Times New Roman" w:cs="Times New Roman"/>
          <w:sz w:val="24"/>
          <w:szCs w:val="24"/>
        </w:rPr>
        <w:t xml:space="preserve">     </w:t>
      </w:r>
    </w:p>
    <w:p w14:paraId="7BC3C770" w14:textId="77777777" w:rsidR="0099263F" w:rsidRPr="00633318" w:rsidRDefault="0099263F" w:rsidP="000F5B35">
      <w:pPr>
        <w:spacing w:after="120"/>
        <w:contextualSpacing/>
        <w:jc w:val="both"/>
        <w:rPr>
          <w:rFonts w:ascii="Times New Roman" w:hAnsi="Times New Roman" w:cs="Times New Roman"/>
          <w:sz w:val="24"/>
          <w:szCs w:val="24"/>
        </w:rPr>
      </w:pPr>
      <w:r w:rsidRPr="00633318">
        <w:rPr>
          <w:rFonts w:ascii="Times New Roman" w:hAnsi="Times New Roman" w:cs="Times New Roman"/>
          <w:sz w:val="24"/>
          <w:szCs w:val="24"/>
        </w:rPr>
        <w:t>Z uwagi na powyższe do podatników podatku wyrównawczego znajdą w całości wprost zastosowanie pozostałe przepisy ustawy o zasadach ewidencji i identyfikacji podatników i płatników, w tym w szczególności odnoszące się do:</w:t>
      </w:r>
    </w:p>
    <w:p w14:paraId="20C716D0" w14:textId="54CF74ED" w:rsidR="0099263F" w:rsidRPr="00633318" w:rsidRDefault="0099263F" w:rsidP="002C7467">
      <w:pPr>
        <w:pStyle w:val="Akapitzlist"/>
        <w:numPr>
          <w:ilvl w:val="0"/>
          <w:numId w:val="62"/>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właściwości miejscowej (art. 4) zgodnie z którym właściwymi naczelnikami urzędów skarbowych są – dla podatników podatku dochodowego (którymi będzie jednocześnie większość podatników podatku wyrównawczego) - naczelnik urzędu skarbowego właściwy w sprawach tego podatku, a w pozostałych przypadkach (niebędących także podatnikami VAT) - naczelnik urzędu skarbowego właściwy </w:t>
      </w:r>
      <w:r w:rsidR="00AB4FB4" w:rsidRPr="00633318">
        <w:rPr>
          <w:rFonts w:ascii="Times New Roman" w:hAnsi="Times New Roman" w:cs="Times New Roman"/>
          <w:sz w:val="24"/>
          <w:szCs w:val="24"/>
        </w:rPr>
        <w:t>dla</w:t>
      </w:r>
      <w:r w:rsidRPr="00633318">
        <w:rPr>
          <w:rFonts w:ascii="Times New Roman" w:hAnsi="Times New Roman" w:cs="Times New Roman"/>
          <w:sz w:val="24"/>
          <w:szCs w:val="24"/>
        </w:rPr>
        <w:t xml:space="preserve"> podatnika</w:t>
      </w:r>
      <w:r w:rsidR="00AB4FB4" w:rsidRPr="00633318">
        <w:rPr>
          <w:rFonts w:ascii="Times New Roman" w:hAnsi="Times New Roman" w:cs="Times New Roman"/>
          <w:sz w:val="24"/>
          <w:szCs w:val="24"/>
        </w:rPr>
        <w:t xml:space="preserve"> (ze względu na jego lokalizację)</w:t>
      </w:r>
      <w:r w:rsidRPr="00633318">
        <w:rPr>
          <w:rFonts w:ascii="Times New Roman" w:hAnsi="Times New Roman" w:cs="Times New Roman"/>
          <w:sz w:val="24"/>
          <w:szCs w:val="24"/>
        </w:rPr>
        <w:t xml:space="preserve">, a w razie jej braku w Polsce - naczelnik Drugiego Urzędu Skarbowego Warszawa Śródmieście; </w:t>
      </w:r>
    </w:p>
    <w:p w14:paraId="10C2FE9C" w14:textId="593BBB84" w:rsidR="0099263F" w:rsidRPr="00633318" w:rsidRDefault="0099263F" w:rsidP="002C7467">
      <w:pPr>
        <w:pStyle w:val="Akapitzlist"/>
        <w:numPr>
          <w:ilvl w:val="0"/>
          <w:numId w:val="62"/>
        </w:numPr>
        <w:spacing w:after="120"/>
        <w:jc w:val="both"/>
        <w:rPr>
          <w:rFonts w:ascii="Times New Roman" w:eastAsia="Times New Roman" w:hAnsi="Times New Roman" w:cs="Times New Roman"/>
          <w:sz w:val="24"/>
          <w:szCs w:val="24"/>
          <w:lang w:eastAsia="pl-PL"/>
        </w:rPr>
      </w:pPr>
      <w:r w:rsidRPr="00633318">
        <w:rPr>
          <w:rFonts w:ascii="Times New Roman" w:hAnsi="Times New Roman" w:cs="Times New Roman"/>
          <w:sz w:val="24"/>
          <w:szCs w:val="24"/>
        </w:rPr>
        <w:t>zakresu zgłoszeni</w:t>
      </w:r>
      <w:r w:rsidR="001303F3" w:rsidRPr="00633318">
        <w:rPr>
          <w:rFonts w:ascii="Times New Roman" w:hAnsi="Times New Roman" w:cs="Times New Roman"/>
          <w:sz w:val="24"/>
          <w:szCs w:val="24"/>
        </w:rPr>
        <w:t>a</w:t>
      </w:r>
      <w:r w:rsidRPr="00633318">
        <w:rPr>
          <w:rFonts w:ascii="Times New Roman" w:hAnsi="Times New Roman" w:cs="Times New Roman"/>
          <w:sz w:val="24"/>
          <w:szCs w:val="24"/>
        </w:rPr>
        <w:t xml:space="preserve"> identyfikacyjnego (art. 5); przepis ten w ust. 3 pkt 1 przewiduje m.in. przekazywanie przez zakłady (oddziały) lub inne </w:t>
      </w:r>
      <w:r w:rsidRPr="00633318">
        <w:rPr>
          <w:rFonts w:ascii="Times New Roman" w:eastAsia="Times New Roman" w:hAnsi="Times New Roman" w:cs="Times New Roman"/>
          <w:sz w:val="24"/>
          <w:szCs w:val="24"/>
          <w:lang w:eastAsia="pl-PL"/>
        </w:rPr>
        <w:t>wyodrębnione jednostki wewnętrzne będące podatnikami (a zatem także innych stałych zakładów w rozumieniu przepisów o podatku wyrównawczym) numerów NIP oraz innych danych dotyczących jednostki macierzystej;</w:t>
      </w:r>
    </w:p>
    <w:p w14:paraId="23AE605E" w14:textId="77777777" w:rsidR="0099263F" w:rsidRPr="00633318" w:rsidRDefault="0099263F" w:rsidP="002C7467">
      <w:pPr>
        <w:pStyle w:val="Akapitzlist"/>
        <w:numPr>
          <w:ilvl w:val="0"/>
          <w:numId w:val="62"/>
        </w:numPr>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terminu dokonania zgłoszenia (art. 6). </w:t>
      </w:r>
    </w:p>
    <w:p w14:paraId="73B3CABD" w14:textId="29D7C86F" w:rsidR="0099263F" w:rsidRPr="00633318" w:rsidRDefault="0099263F" w:rsidP="000F5B35">
      <w:pPr>
        <w:spacing w:after="120"/>
        <w:contextualSpacing/>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Z tego względu uznano, że obecna regulacja w tym zakresie nie wymaga dostosowań w związku z wejściem </w:t>
      </w:r>
      <w:r w:rsidR="00A37892" w:rsidRPr="00633318">
        <w:rPr>
          <w:rFonts w:ascii="Times New Roman" w:eastAsia="Times New Roman" w:hAnsi="Times New Roman" w:cs="Times New Roman"/>
          <w:sz w:val="24"/>
          <w:szCs w:val="24"/>
          <w:lang w:eastAsia="pl-PL"/>
        </w:rPr>
        <w:t>w</w:t>
      </w:r>
      <w:r w:rsidRPr="00633318">
        <w:rPr>
          <w:rFonts w:ascii="Times New Roman" w:eastAsia="Times New Roman" w:hAnsi="Times New Roman" w:cs="Times New Roman"/>
          <w:sz w:val="24"/>
          <w:szCs w:val="24"/>
          <w:lang w:eastAsia="pl-PL"/>
        </w:rPr>
        <w:t xml:space="preserve"> życie projektowanej ustawy.  </w:t>
      </w:r>
    </w:p>
    <w:p w14:paraId="303AC8B9" w14:textId="77777777" w:rsidR="000637CF" w:rsidRPr="00E577D5" w:rsidRDefault="000637CF" w:rsidP="00D0466B">
      <w:pPr>
        <w:pStyle w:val="Nagwek2"/>
        <w:rPr>
          <w:rFonts w:ascii="Times New Roman" w:hAnsi="Times New Roman" w:cs="Times New Roman"/>
          <w:sz w:val="16"/>
          <w:szCs w:val="16"/>
        </w:rPr>
      </w:pPr>
    </w:p>
    <w:p w14:paraId="0A8DFB45" w14:textId="07FDD757" w:rsidR="00D0466B" w:rsidRPr="00633318" w:rsidRDefault="00D0466B" w:rsidP="00D0466B">
      <w:pPr>
        <w:pStyle w:val="Nagwek2"/>
        <w:rPr>
          <w:rFonts w:ascii="Times New Roman" w:hAnsi="Times New Roman" w:cs="Times New Roman"/>
          <w:sz w:val="24"/>
          <w:szCs w:val="24"/>
        </w:rPr>
      </w:pPr>
      <w:r w:rsidRPr="00633318">
        <w:rPr>
          <w:rFonts w:ascii="Times New Roman" w:hAnsi="Times New Roman" w:cs="Times New Roman"/>
          <w:sz w:val="24"/>
          <w:szCs w:val="24"/>
        </w:rPr>
        <w:t>DZIAŁ XIII. Przepisy epizodyczne, przejściowe i dostosowujące oraz przepis końcowy</w:t>
      </w:r>
    </w:p>
    <w:p w14:paraId="0949754F" w14:textId="5BE936AA" w:rsidR="005F369F" w:rsidRPr="00633318" w:rsidRDefault="005F369F" w:rsidP="00320A30">
      <w:pPr>
        <w:pStyle w:val="Nagwek3"/>
        <w:spacing w:before="240" w:after="120"/>
        <w:contextualSpacing/>
        <w:rPr>
          <w:rFonts w:ascii="Times New Roman" w:hAnsi="Times New Roman" w:cs="Times New Roman"/>
          <w:sz w:val="24"/>
        </w:rPr>
      </w:pPr>
      <w:r w:rsidRPr="00633318">
        <w:rPr>
          <w:rFonts w:ascii="Times New Roman" w:hAnsi="Times New Roman" w:cs="Times New Roman"/>
          <w:sz w:val="24"/>
        </w:rPr>
        <w:t xml:space="preserve">Rozdział </w:t>
      </w:r>
      <w:r w:rsidR="00D0466B" w:rsidRPr="00633318">
        <w:rPr>
          <w:rFonts w:ascii="Times New Roman" w:hAnsi="Times New Roman" w:cs="Times New Roman"/>
          <w:sz w:val="24"/>
        </w:rPr>
        <w:t xml:space="preserve">1 </w:t>
      </w:r>
      <w:r w:rsidR="00EC0E6C" w:rsidRPr="00633318">
        <w:rPr>
          <w:rFonts w:ascii="Times New Roman" w:hAnsi="Times New Roman" w:cs="Times New Roman"/>
          <w:sz w:val="24"/>
        </w:rPr>
        <w:t>–</w:t>
      </w:r>
      <w:r w:rsidRPr="00633318">
        <w:rPr>
          <w:rFonts w:ascii="Times New Roman" w:hAnsi="Times New Roman" w:cs="Times New Roman"/>
          <w:sz w:val="24"/>
        </w:rPr>
        <w:t xml:space="preserve"> </w:t>
      </w:r>
      <w:r w:rsidR="005B114B" w:rsidRPr="00633318">
        <w:rPr>
          <w:rFonts w:ascii="Times New Roman" w:hAnsi="Times New Roman" w:cs="Times New Roman"/>
          <w:sz w:val="24"/>
        </w:rPr>
        <w:t>P</w:t>
      </w:r>
      <w:r w:rsidRPr="00633318">
        <w:rPr>
          <w:rFonts w:ascii="Times New Roman" w:hAnsi="Times New Roman" w:cs="Times New Roman"/>
          <w:sz w:val="24"/>
        </w:rPr>
        <w:t>rzepisy epizodyczne</w:t>
      </w:r>
    </w:p>
    <w:p w14:paraId="3B9AD2F2" w14:textId="2A6F0C6B" w:rsidR="005B114B" w:rsidRPr="00633318" w:rsidRDefault="005B114B" w:rsidP="005B114B">
      <w:pPr>
        <w:pStyle w:val="Nagwek4"/>
        <w:rPr>
          <w:rFonts w:ascii="Times New Roman" w:hAnsi="Times New Roman" w:cs="Times New Roman"/>
          <w:sz w:val="24"/>
          <w:szCs w:val="24"/>
        </w:rPr>
      </w:pPr>
      <w:r w:rsidRPr="00633318">
        <w:rPr>
          <w:rFonts w:ascii="Times New Roman" w:hAnsi="Times New Roman" w:cs="Times New Roman"/>
          <w:sz w:val="24"/>
          <w:szCs w:val="24"/>
        </w:rPr>
        <w:t>Oddział 1 – Tymczasowe bezpieczne przystanie</w:t>
      </w:r>
    </w:p>
    <w:p w14:paraId="62261E48" w14:textId="63958E18" w:rsidR="005F369F" w:rsidRPr="00633318" w:rsidRDefault="005F369F" w:rsidP="000F5B35">
      <w:pPr>
        <w:pStyle w:val="Nagwek5"/>
        <w:spacing w:before="0"/>
        <w:contextualSpacing/>
        <w:rPr>
          <w:rFonts w:ascii="Times New Roman" w:hAnsi="Times New Roman" w:cs="Times New Roman"/>
          <w:sz w:val="24"/>
          <w:szCs w:val="24"/>
        </w:rPr>
      </w:pPr>
      <w:r w:rsidRPr="00633318">
        <w:rPr>
          <w:rFonts w:ascii="Times New Roman" w:hAnsi="Times New Roman" w:cs="Times New Roman"/>
          <w:sz w:val="24"/>
          <w:szCs w:val="24"/>
        </w:rPr>
        <w:t xml:space="preserve">Art. </w:t>
      </w:r>
      <w:r w:rsidR="00BE2FAF" w:rsidRPr="00633318">
        <w:rPr>
          <w:rFonts w:ascii="Times New Roman" w:hAnsi="Times New Roman" w:cs="Times New Roman"/>
          <w:sz w:val="24"/>
          <w:szCs w:val="24"/>
        </w:rPr>
        <w:t>14</w:t>
      </w:r>
      <w:r w:rsidR="002E2C4D" w:rsidRPr="00633318">
        <w:rPr>
          <w:rFonts w:ascii="Times New Roman" w:hAnsi="Times New Roman" w:cs="Times New Roman"/>
          <w:sz w:val="24"/>
          <w:szCs w:val="24"/>
        </w:rPr>
        <w:t>5</w:t>
      </w:r>
      <w:r w:rsidR="00BE2FAF" w:rsidRPr="00633318">
        <w:rPr>
          <w:rFonts w:ascii="Times New Roman" w:hAnsi="Times New Roman" w:cs="Times New Roman"/>
          <w:sz w:val="24"/>
          <w:szCs w:val="24"/>
        </w:rPr>
        <w:t xml:space="preserve"> </w:t>
      </w:r>
      <w:r w:rsidR="00EC0E6C" w:rsidRPr="00633318">
        <w:rPr>
          <w:rFonts w:ascii="Times New Roman" w:hAnsi="Times New Roman" w:cs="Times New Roman"/>
          <w:sz w:val="24"/>
          <w:szCs w:val="24"/>
        </w:rPr>
        <w:t>[D</w:t>
      </w:r>
      <w:r w:rsidRPr="00633318">
        <w:rPr>
          <w:rFonts w:ascii="Times New Roman" w:hAnsi="Times New Roman" w:cs="Times New Roman"/>
          <w:sz w:val="24"/>
          <w:szCs w:val="24"/>
        </w:rPr>
        <w:t xml:space="preserve">efinicje pojęć stosowanych na potrzeby </w:t>
      </w:r>
      <w:r w:rsidR="00FC7180" w:rsidRPr="00633318">
        <w:rPr>
          <w:rFonts w:ascii="Times New Roman" w:hAnsi="Times New Roman" w:cs="Times New Roman"/>
          <w:sz w:val="24"/>
          <w:szCs w:val="24"/>
        </w:rPr>
        <w:t xml:space="preserve">tymczasowej </w:t>
      </w:r>
      <w:r w:rsidRPr="00633318">
        <w:rPr>
          <w:rFonts w:ascii="Times New Roman" w:hAnsi="Times New Roman" w:cs="Times New Roman"/>
          <w:sz w:val="24"/>
          <w:szCs w:val="24"/>
        </w:rPr>
        <w:t>bezpiecznej przystani CbCR</w:t>
      </w:r>
      <w:r w:rsidR="00EC0E6C"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p>
    <w:p w14:paraId="263725E0" w14:textId="07C0E121" w:rsidR="005B114B" w:rsidRPr="00633318" w:rsidRDefault="005F369F" w:rsidP="00D0466B">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Artykuł ten stanowi implementacje dokumentu OECD z grudnia 2022 </w:t>
      </w:r>
      <w:r w:rsidRPr="00633318">
        <w:rPr>
          <w:rFonts w:ascii="Times New Roman" w:hAnsi="Times New Roman" w:cs="Times New Roman"/>
          <w:i/>
          <w:iCs/>
          <w:sz w:val="24"/>
          <w:szCs w:val="24"/>
        </w:rPr>
        <w:t>Bezpieczne przystanie i zwolnienie z kar: Globalne zasady przeciwdziałania erozji bazy podatkowej (filar drugi)</w:t>
      </w:r>
      <w:r w:rsidRPr="00633318">
        <w:rPr>
          <w:rFonts w:ascii="Times New Roman" w:hAnsi="Times New Roman" w:cs="Times New Roman"/>
          <w:sz w:val="24"/>
          <w:szCs w:val="24"/>
        </w:rPr>
        <w:t xml:space="preserve"> w zakresie bezpiecznej przystani opartej o dane wynikające z dokumentów przekazywanych w ramach systemu CbCR. Tymczasowa bezpieczna przystań CbCR jest to krótkoterminowy środek, którego celem jest nieopodatkowanie globalnym podatkiem wyrównawczym lub podatkiem wyrównawczym od niedostatecznie opodatkowanych zysków w pierwszych latach działalności grup, w niektórych </w:t>
      </w:r>
      <w:r w:rsidR="008E3061" w:rsidRPr="00633318">
        <w:rPr>
          <w:rFonts w:ascii="Times New Roman" w:hAnsi="Times New Roman" w:cs="Times New Roman"/>
          <w:sz w:val="24"/>
          <w:szCs w:val="24"/>
        </w:rPr>
        <w:t>jurysdykcjach</w:t>
      </w:r>
      <w:r w:rsidRPr="00633318">
        <w:rPr>
          <w:rFonts w:ascii="Times New Roman" w:hAnsi="Times New Roman" w:cs="Times New Roman"/>
          <w:sz w:val="24"/>
          <w:szCs w:val="24"/>
        </w:rPr>
        <w:t xml:space="preserve"> o niższym ryzyku na gruncie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ystemu GloBE. W konsekwencji, jeżeli grupa jest w stanie wykazać, w oparciu o kwalifikujące się dane, że dla dane</w:t>
      </w:r>
      <w:r w:rsidR="008E3061"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8E3061"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spełnione są określone warunki, bezpieczna przystań CbCR umożliwia niewykonywanie szczegółowych kalkulacji przewidzianych ustawą w odniesieniu do te</w:t>
      </w:r>
      <w:r w:rsidR="008E3061"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8E3061" w:rsidRPr="00633318">
        <w:rPr>
          <w:rFonts w:ascii="Times New Roman" w:hAnsi="Times New Roman" w:cs="Times New Roman"/>
          <w:sz w:val="24"/>
          <w:szCs w:val="24"/>
        </w:rPr>
        <w:t>jurysdykcji</w:t>
      </w:r>
      <w:r w:rsidRPr="00633318">
        <w:rPr>
          <w:rFonts w:ascii="Times New Roman" w:hAnsi="Times New Roman" w:cs="Times New Roman"/>
          <w:sz w:val="24"/>
          <w:szCs w:val="24"/>
        </w:rPr>
        <w:t>.</w:t>
      </w:r>
    </w:p>
    <w:p w14:paraId="0BAA0654" w14:textId="6EB73732" w:rsidR="005F369F" w:rsidRPr="00633318" w:rsidRDefault="005F369F" w:rsidP="000F5B35">
      <w:pPr>
        <w:spacing w:after="120"/>
        <w:contextualSpacing/>
        <w:jc w:val="both"/>
        <w:rPr>
          <w:rFonts w:ascii="Times New Roman" w:hAnsi="Times New Roman" w:cs="Times New Roman"/>
          <w:sz w:val="24"/>
          <w:szCs w:val="24"/>
        </w:rPr>
      </w:pPr>
      <w:r w:rsidRPr="00633318">
        <w:rPr>
          <w:rFonts w:ascii="Times New Roman" w:hAnsi="Times New Roman" w:cs="Times New Roman"/>
          <w:sz w:val="24"/>
          <w:szCs w:val="24"/>
        </w:rPr>
        <w:t>Artykuł ten zawiera słowniczek pojęć stosowanych na gruncie kolejnych artykułów (</w:t>
      </w:r>
      <w:r w:rsidRPr="00633318">
        <w:rPr>
          <w:rFonts w:ascii="Times New Roman" w:hAnsi="Times New Roman" w:cs="Times New Roman"/>
          <w:b/>
          <w:bCs/>
          <w:sz w:val="24"/>
          <w:szCs w:val="24"/>
        </w:rPr>
        <w:t xml:space="preserve">art. </w:t>
      </w:r>
      <w:r w:rsidR="00BE2FAF" w:rsidRPr="00633318">
        <w:rPr>
          <w:rFonts w:ascii="Times New Roman" w:hAnsi="Times New Roman" w:cs="Times New Roman"/>
          <w:b/>
          <w:bCs/>
          <w:sz w:val="24"/>
          <w:szCs w:val="24"/>
        </w:rPr>
        <w:t>14</w:t>
      </w:r>
      <w:r w:rsidR="002E2C4D" w:rsidRPr="00633318">
        <w:rPr>
          <w:rFonts w:ascii="Times New Roman" w:hAnsi="Times New Roman" w:cs="Times New Roman"/>
          <w:b/>
          <w:bCs/>
          <w:sz w:val="24"/>
          <w:szCs w:val="24"/>
        </w:rPr>
        <w:t>6</w:t>
      </w:r>
      <w:r w:rsidR="00BE2FAF" w:rsidRPr="00633318">
        <w:rPr>
          <w:rFonts w:ascii="Times New Roman" w:hAnsi="Times New Roman" w:cs="Times New Roman"/>
          <w:b/>
          <w:bCs/>
          <w:sz w:val="24"/>
          <w:szCs w:val="24"/>
        </w:rPr>
        <w:t xml:space="preserve"> </w:t>
      </w:r>
      <w:r w:rsidRPr="00633318">
        <w:rPr>
          <w:rFonts w:ascii="Times New Roman" w:hAnsi="Times New Roman" w:cs="Times New Roman"/>
          <w:b/>
          <w:bCs/>
          <w:sz w:val="24"/>
          <w:szCs w:val="24"/>
        </w:rPr>
        <w:t xml:space="preserve">i art. </w:t>
      </w:r>
      <w:r w:rsidR="00BE2FAF" w:rsidRPr="00633318">
        <w:rPr>
          <w:rFonts w:ascii="Times New Roman" w:hAnsi="Times New Roman" w:cs="Times New Roman"/>
          <w:b/>
          <w:bCs/>
          <w:sz w:val="24"/>
          <w:szCs w:val="24"/>
        </w:rPr>
        <w:t>14</w:t>
      </w:r>
      <w:r w:rsidR="002E2C4D" w:rsidRPr="00633318">
        <w:rPr>
          <w:rFonts w:ascii="Times New Roman" w:hAnsi="Times New Roman" w:cs="Times New Roman"/>
          <w:b/>
          <w:bCs/>
          <w:sz w:val="24"/>
          <w:szCs w:val="24"/>
        </w:rPr>
        <w:t>7</w:t>
      </w:r>
      <w:r w:rsidRPr="00633318">
        <w:rPr>
          <w:rFonts w:ascii="Times New Roman" w:hAnsi="Times New Roman" w:cs="Times New Roman"/>
          <w:sz w:val="24"/>
          <w:szCs w:val="24"/>
        </w:rPr>
        <w:t xml:space="preserve">) i definiuje pojęcie: informacji o grupie podmiotów, kwalifikowanej informacji o grupie podmiotów, kwalifikowanego sprawozdanie finansowego, niezrealizowanej straty netto z tytułu wartości godziwej, przychodów jurysdykcyjnych, uproszczonej minimalnej stawki podatkowej, uproszczonej efektywnej stawki podatkowej, uproszczonych podatków kwalifikowanych oraz zrealizowanego zysku przed opodatkowaniem.   </w:t>
      </w:r>
    </w:p>
    <w:p w14:paraId="14C17F30" w14:textId="32F5C817" w:rsidR="005F369F" w:rsidRPr="00633318" w:rsidRDefault="005F369F" w:rsidP="000F5B35">
      <w:pPr>
        <w:pStyle w:val="Nagwek5"/>
        <w:spacing w:before="0"/>
        <w:contextualSpacing/>
        <w:rPr>
          <w:rFonts w:ascii="Times New Roman" w:hAnsi="Times New Roman" w:cs="Times New Roman"/>
          <w:sz w:val="24"/>
          <w:szCs w:val="24"/>
        </w:rPr>
      </w:pPr>
      <w:r w:rsidRPr="00633318">
        <w:rPr>
          <w:rFonts w:ascii="Times New Roman" w:hAnsi="Times New Roman" w:cs="Times New Roman"/>
          <w:sz w:val="24"/>
          <w:szCs w:val="24"/>
        </w:rPr>
        <w:t xml:space="preserve">Art. </w:t>
      </w:r>
      <w:r w:rsidR="00830F96" w:rsidRPr="00633318">
        <w:rPr>
          <w:rFonts w:ascii="Times New Roman" w:hAnsi="Times New Roman" w:cs="Times New Roman"/>
          <w:sz w:val="24"/>
          <w:szCs w:val="24"/>
        </w:rPr>
        <w:t>14</w:t>
      </w:r>
      <w:r w:rsidR="002E2C4D" w:rsidRPr="00633318">
        <w:rPr>
          <w:rFonts w:ascii="Times New Roman" w:hAnsi="Times New Roman" w:cs="Times New Roman"/>
          <w:sz w:val="24"/>
          <w:szCs w:val="24"/>
        </w:rPr>
        <w:t>6</w:t>
      </w:r>
      <w:r w:rsidR="00830F96" w:rsidRPr="00633318">
        <w:rPr>
          <w:rFonts w:ascii="Times New Roman" w:hAnsi="Times New Roman" w:cs="Times New Roman"/>
          <w:sz w:val="24"/>
          <w:szCs w:val="24"/>
        </w:rPr>
        <w:t xml:space="preserve"> </w:t>
      </w:r>
      <w:r w:rsidR="003A5B14" w:rsidRPr="00633318">
        <w:rPr>
          <w:rFonts w:ascii="Times New Roman" w:hAnsi="Times New Roman" w:cs="Times New Roman"/>
          <w:sz w:val="24"/>
          <w:szCs w:val="24"/>
        </w:rPr>
        <w:t>[</w:t>
      </w:r>
      <w:r w:rsidR="00231255" w:rsidRPr="00633318">
        <w:rPr>
          <w:rFonts w:ascii="Times New Roman" w:hAnsi="Times New Roman" w:cs="Times New Roman"/>
          <w:sz w:val="24"/>
          <w:szCs w:val="24"/>
        </w:rPr>
        <w:t>Tymczasowa b</w:t>
      </w:r>
      <w:r w:rsidRPr="00633318">
        <w:rPr>
          <w:rFonts w:ascii="Times New Roman" w:hAnsi="Times New Roman" w:cs="Times New Roman"/>
          <w:sz w:val="24"/>
          <w:szCs w:val="24"/>
        </w:rPr>
        <w:t>ezpieczna przystań CbCR – zasady ogólne</w:t>
      </w:r>
      <w:r w:rsidR="003A5B14" w:rsidRPr="00633318">
        <w:rPr>
          <w:rFonts w:ascii="Times New Roman" w:hAnsi="Times New Roman" w:cs="Times New Roman"/>
          <w:sz w:val="24"/>
          <w:szCs w:val="24"/>
        </w:rPr>
        <w:t>]</w:t>
      </w:r>
    </w:p>
    <w:p w14:paraId="6B1D138C" w14:textId="05E047F5" w:rsidR="00320A30" w:rsidRPr="00633318" w:rsidRDefault="00231255" w:rsidP="00320A30">
      <w:pPr>
        <w:spacing w:after="120"/>
        <w:jc w:val="both"/>
        <w:rPr>
          <w:rFonts w:ascii="Times New Roman" w:hAnsi="Times New Roman" w:cs="Times New Roman"/>
          <w:sz w:val="24"/>
          <w:szCs w:val="24"/>
        </w:rPr>
      </w:pPr>
      <w:r w:rsidRPr="00633318">
        <w:rPr>
          <w:rFonts w:ascii="Times New Roman" w:hAnsi="Times New Roman" w:cs="Times New Roman"/>
          <w:b/>
          <w:bCs/>
          <w:sz w:val="24"/>
          <w:szCs w:val="24"/>
        </w:rPr>
        <w:t>Art. 146</w:t>
      </w:r>
      <w:r w:rsidR="005F369F" w:rsidRPr="00633318">
        <w:rPr>
          <w:rFonts w:ascii="Times New Roman" w:hAnsi="Times New Roman" w:cs="Times New Roman"/>
          <w:sz w:val="24"/>
          <w:szCs w:val="24"/>
        </w:rPr>
        <w:t xml:space="preserve"> stanowi dalszą implementację ww. dokumentu i określa zasady ogólne stosowania tymczasowej bezpiecznej przystani CbCR. </w:t>
      </w:r>
      <w:r w:rsidR="00EE04E1" w:rsidRPr="00633318">
        <w:rPr>
          <w:rFonts w:ascii="Times New Roman" w:hAnsi="Times New Roman" w:cs="Times New Roman"/>
          <w:sz w:val="24"/>
          <w:szCs w:val="24"/>
        </w:rPr>
        <w:t xml:space="preserve"> Art. 146 ust. 1</w:t>
      </w:r>
      <w:r w:rsidR="00EE04E1" w:rsidRPr="00633318">
        <w:rPr>
          <w:rFonts w:ascii="Times New Roman" w:hAnsi="Times New Roman" w:cs="Times New Roman"/>
          <w:b/>
          <w:bCs/>
          <w:sz w:val="24"/>
          <w:szCs w:val="24"/>
        </w:rPr>
        <w:t xml:space="preserve"> </w:t>
      </w:r>
      <w:r w:rsidR="00EE04E1" w:rsidRPr="00633318">
        <w:rPr>
          <w:rFonts w:ascii="Times New Roman" w:hAnsi="Times New Roman" w:cs="Times New Roman"/>
          <w:sz w:val="24"/>
          <w:szCs w:val="24"/>
        </w:rPr>
        <w:t>wprowadza możliwość dokonania wyboru, na podstawie którego nie oblicza się</w:t>
      </w:r>
      <w:r w:rsidR="005F369F" w:rsidRPr="00633318">
        <w:rPr>
          <w:rFonts w:ascii="Times New Roman" w:hAnsi="Times New Roman" w:cs="Times New Roman"/>
          <w:sz w:val="24"/>
          <w:szCs w:val="24"/>
        </w:rPr>
        <w:t xml:space="preserve">  globalnego podatku wyrównawczego</w:t>
      </w:r>
      <w:r w:rsidR="00EE04E1" w:rsidRPr="00633318">
        <w:rPr>
          <w:rFonts w:ascii="Times New Roman" w:hAnsi="Times New Roman" w:cs="Times New Roman"/>
          <w:sz w:val="24"/>
          <w:szCs w:val="24"/>
        </w:rPr>
        <w:t>, krajowego podatku wyrównawczego</w:t>
      </w:r>
      <w:r w:rsidR="005F369F" w:rsidRPr="00633318">
        <w:rPr>
          <w:rFonts w:ascii="Times New Roman" w:hAnsi="Times New Roman" w:cs="Times New Roman"/>
          <w:sz w:val="24"/>
          <w:szCs w:val="24"/>
        </w:rPr>
        <w:t xml:space="preserve"> lub podatku wyrównawczego od niedostatecznie opodatkowanych zysków należnego za rok podatkowy rozpoczynający się przed 31 grudnia 2026 r. i kończący się przed 1 lipca 2028 r. za. </w:t>
      </w:r>
    </w:p>
    <w:p w14:paraId="4E3BFECE" w14:textId="0727913C" w:rsidR="005F369F" w:rsidRPr="00633318" w:rsidRDefault="005F369F" w:rsidP="000F5B35">
      <w:pPr>
        <w:spacing w:after="120"/>
        <w:contextualSpacing/>
        <w:jc w:val="both"/>
        <w:rPr>
          <w:rFonts w:ascii="Times New Roman" w:hAnsi="Times New Roman" w:cs="Times New Roman"/>
          <w:sz w:val="24"/>
          <w:szCs w:val="24"/>
        </w:rPr>
      </w:pPr>
      <w:r w:rsidRPr="00633318">
        <w:rPr>
          <w:rFonts w:ascii="Times New Roman" w:hAnsi="Times New Roman" w:cs="Times New Roman"/>
          <w:sz w:val="24"/>
          <w:szCs w:val="24"/>
        </w:rPr>
        <w:t xml:space="preserve">W </w:t>
      </w:r>
      <w:r w:rsidR="00320A30" w:rsidRPr="00633318">
        <w:rPr>
          <w:rFonts w:ascii="Times New Roman" w:hAnsi="Times New Roman" w:cs="Times New Roman"/>
          <w:sz w:val="24"/>
          <w:szCs w:val="24"/>
        </w:rPr>
        <w:t>ust. 1</w:t>
      </w:r>
      <w:r w:rsidRPr="00633318">
        <w:rPr>
          <w:rFonts w:ascii="Times New Roman" w:hAnsi="Times New Roman" w:cs="Times New Roman"/>
          <w:sz w:val="24"/>
          <w:szCs w:val="24"/>
        </w:rPr>
        <w:t xml:space="preserve"> określono podstawowe warunki, które muszą zostać spełnione</w:t>
      </w:r>
      <w:r w:rsidR="00EE04E1" w:rsidRPr="00633318">
        <w:rPr>
          <w:rFonts w:ascii="Times New Roman" w:hAnsi="Times New Roman" w:cs="Times New Roman"/>
          <w:sz w:val="24"/>
          <w:szCs w:val="24"/>
        </w:rPr>
        <w:t>,</w:t>
      </w:r>
      <w:r w:rsidRPr="00633318">
        <w:rPr>
          <w:rFonts w:ascii="Times New Roman" w:hAnsi="Times New Roman" w:cs="Times New Roman"/>
          <w:sz w:val="24"/>
          <w:szCs w:val="24"/>
        </w:rPr>
        <w:t xml:space="preserve"> aby </w:t>
      </w:r>
      <w:r w:rsidR="00EE04E1" w:rsidRPr="00633318">
        <w:rPr>
          <w:rFonts w:ascii="Times New Roman" w:hAnsi="Times New Roman" w:cs="Times New Roman"/>
          <w:sz w:val="24"/>
          <w:szCs w:val="24"/>
        </w:rPr>
        <w:t>móc dokonać takiego wyboru</w:t>
      </w:r>
      <w:r w:rsidRPr="00633318">
        <w:rPr>
          <w:rFonts w:ascii="Times New Roman" w:hAnsi="Times New Roman" w:cs="Times New Roman"/>
          <w:sz w:val="24"/>
          <w:szCs w:val="24"/>
        </w:rPr>
        <w:t xml:space="preserve">. </w:t>
      </w:r>
      <w:r w:rsidR="00EE04E1" w:rsidRPr="00633318">
        <w:rPr>
          <w:rFonts w:ascii="Times New Roman" w:hAnsi="Times New Roman" w:cs="Times New Roman"/>
          <w:sz w:val="24"/>
          <w:szCs w:val="24"/>
        </w:rPr>
        <w:t>K</w:t>
      </w:r>
      <w:r w:rsidRPr="00633318">
        <w:rPr>
          <w:rFonts w:ascii="Times New Roman" w:hAnsi="Times New Roman" w:cs="Times New Roman"/>
          <w:sz w:val="24"/>
          <w:szCs w:val="24"/>
        </w:rPr>
        <w:t>onieczne jest spełnienie co najmniej jednego z trzech</w:t>
      </w:r>
      <w:r w:rsidR="00EE04E1" w:rsidRPr="00633318">
        <w:rPr>
          <w:rFonts w:ascii="Times New Roman" w:hAnsi="Times New Roman" w:cs="Times New Roman"/>
          <w:sz w:val="24"/>
          <w:szCs w:val="24"/>
        </w:rPr>
        <w:t xml:space="preserve"> następującego</w:t>
      </w:r>
      <w:r w:rsidRPr="00633318">
        <w:rPr>
          <w:rFonts w:ascii="Times New Roman" w:hAnsi="Times New Roman" w:cs="Times New Roman"/>
          <w:sz w:val="24"/>
          <w:szCs w:val="24"/>
        </w:rPr>
        <w:t xml:space="preserve"> warunków:</w:t>
      </w:r>
    </w:p>
    <w:p w14:paraId="6EAB1706" w14:textId="77777777" w:rsidR="005F369F" w:rsidRPr="00633318" w:rsidRDefault="005F369F" w:rsidP="002C7467">
      <w:pPr>
        <w:pStyle w:val="Akapitzlist"/>
        <w:numPr>
          <w:ilvl w:val="0"/>
          <w:numId w:val="52"/>
        </w:num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testu </w:t>
      </w:r>
      <w:r w:rsidRPr="00633318">
        <w:rPr>
          <w:rFonts w:ascii="Times New Roman" w:hAnsi="Times New Roman" w:cs="Times New Roman"/>
          <w:i/>
          <w:iCs/>
          <w:sz w:val="24"/>
          <w:szCs w:val="24"/>
        </w:rPr>
        <w:t>de minimis</w:t>
      </w:r>
      <w:r w:rsidRPr="00633318">
        <w:rPr>
          <w:rFonts w:ascii="Times New Roman" w:hAnsi="Times New Roman" w:cs="Times New Roman"/>
          <w:sz w:val="24"/>
          <w:szCs w:val="24"/>
        </w:rPr>
        <w:t>, tj. osiągane przychody znajdują się poniżej określonego progu, lub</w:t>
      </w:r>
    </w:p>
    <w:p w14:paraId="349F3A7D" w14:textId="77777777" w:rsidR="005F369F" w:rsidRPr="00633318" w:rsidRDefault="005F369F" w:rsidP="002C7467">
      <w:pPr>
        <w:pStyle w:val="Akapitzlist"/>
        <w:numPr>
          <w:ilvl w:val="0"/>
          <w:numId w:val="52"/>
        </w:numPr>
        <w:jc w:val="both"/>
        <w:rPr>
          <w:rFonts w:ascii="Times New Roman" w:hAnsi="Times New Roman" w:cs="Times New Roman"/>
          <w:sz w:val="24"/>
          <w:szCs w:val="24"/>
        </w:rPr>
      </w:pPr>
      <w:r w:rsidRPr="00633318">
        <w:rPr>
          <w:rFonts w:ascii="Times New Roman" w:hAnsi="Times New Roman" w:cs="Times New Roman"/>
          <w:sz w:val="24"/>
          <w:szCs w:val="24"/>
        </w:rPr>
        <w:t xml:space="preserve">testu efektywnej stawki podatkowej, tj. efektywna stawka podatkowa jest równa lub wyższa od określonej stawki, lub </w:t>
      </w:r>
    </w:p>
    <w:p w14:paraId="5B93AA3F" w14:textId="563101B2" w:rsidR="005F369F" w:rsidRPr="00633318" w:rsidRDefault="005F369F" w:rsidP="002C7467">
      <w:pPr>
        <w:pStyle w:val="Akapitzlist"/>
        <w:numPr>
          <w:ilvl w:val="0"/>
          <w:numId w:val="52"/>
        </w:numPr>
        <w:jc w:val="both"/>
        <w:rPr>
          <w:rFonts w:ascii="Times New Roman" w:hAnsi="Times New Roman" w:cs="Times New Roman"/>
          <w:sz w:val="24"/>
          <w:szCs w:val="24"/>
        </w:rPr>
      </w:pPr>
      <w:r w:rsidRPr="00633318">
        <w:rPr>
          <w:rFonts w:ascii="Times New Roman" w:hAnsi="Times New Roman" w:cs="Times New Roman"/>
          <w:sz w:val="24"/>
          <w:szCs w:val="24"/>
        </w:rPr>
        <w:t>testu rutynowych zysków, tj. zrealizowany zysk przed opodatkowaniem jest równy lub niższy od kwoty substratu majątkowo-osobowego</w:t>
      </w:r>
      <w:r w:rsidR="00B9019F" w:rsidRPr="00633318">
        <w:rPr>
          <w:rFonts w:ascii="Times New Roman" w:hAnsi="Times New Roman" w:cs="Times New Roman"/>
          <w:sz w:val="24"/>
          <w:szCs w:val="24"/>
        </w:rPr>
        <w:t xml:space="preserve"> obliczonej zgodnie z art. </w:t>
      </w:r>
      <w:r w:rsidR="00BE2FAF" w:rsidRPr="00633318">
        <w:rPr>
          <w:rFonts w:ascii="Times New Roman" w:hAnsi="Times New Roman" w:cs="Times New Roman"/>
          <w:sz w:val="24"/>
          <w:szCs w:val="24"/>
        </w:rPr>
        <w:t xml:space="preserve">101 </w:t>
      </w:r>
      <w:r w:rsidR="00B9019F" w:rsidRPr="00633318">
        <w:rPr>
          <w:rFonts w:ascii="Times New Roman" w:hAnsi="Times New Roman" w:cs="Times New Roman"/>
          <w:sz w:val="24"/>
          <w:szCs w:val="24"/>
        </w:rPr>
        <w:t>ustawy</w:t>
      </w:r>
      <w:r w:rsidRPr="00633318">
        <w:rPr>
          <w:rFonts w:ascii="Times New Roman" w:hAnsi="Times New Roman" w:cs="Times New Roman"/>
          <w:sz w:val="24"/>
          <w:szCs w:val="24"/>
        </w:rPr>
        <w:t>.</w:t>
      </w:r>
    </w:p>
    <w:p w14:paraId="4AF70EC0" w14:textId="3204B347" w:rsidR="005F369F" w:rsidRPr="00633318" w:rsidRDefault="005F369F" w:rsidP="00F83509">
      <w:pPr>
        <w:jc w:val="both"/>
        <w:rPr>
          <w:rFonts w:ascii="Times New Roman" w:hAnsi="Times New Roman" w:cs="Times New Roman"/>
          <w:sz w:val="24"/>
          <w:szCs w:val="24"/>
        </w:rPr>
      </w:pPr>
      <w:r w:rsidRPr="00633318">
        <w:rPr>
          <w:rFonts w:ascii="Times New Roman" w:hAnsi="Times New Roman" w:cs="Times New Roman"/>
          <w:sz w:val="24"/>
          <w:szCs w:val="24"/>
        </w:rPr>
        <w:t xml:space="preserve">Podkreślenia wymaga, że na potrzeby określenia spełnienia warunku trzeciego konieczne jest przeprowadzenie pełnych kalkulacji w zakresie substratu majątkowo-osobowego. </w:t>
      </w:r>
    </w:p>
    <w:p w14:paraId="02FDA9C1" w14:textId="33CF215B" w:rsidR="005F369F" w:rsidRPr="00633318" w:rsidRDefault="005F369F" w:rsidP="00F83509">
      <w:pPr>
        <w:jc w:val="both"/>
        <w:rPr>
          <w:rFonts w:ascii="Times New Roman" w:hAnsi="Times New Roman" w:cs="Times New Roman"/>
          <w:sz w:val="24"/>
          <w:szCs w:val="24"/>
        </w:rPr>
      </w:pPr>
      <w:r w:rsidRPr="00633318">
        <w:rPr>
          <w:rFonts w:ascii="Times New Roman" w:hAnsi="Times New Roman" w:cs="Times New Roman"/>
          <w:sz w:val="24"/>
          <w:szCs w:val="24"/>
        </w:rPr>
        <w:t>Kolejne ustępy uszczegółowiają zasady stosowania ust</w:t>
      </w:r>
      <w:r w:rsidR="002E2C4D" w:rsidRPr="00633318">
        <w:rPr>
          <w:rFonts w:ascii="Times New Roman" w:hAnsi="Times New Roman" w:cs="Times New Roman"/>
          <w:sz w:val="24"/>
          <w:szCs w:val="24"/>
        </w:rPr>
        <w:t>. 1</w:t>
      </w:r>
      <w:r w:rsidRPr="00633318">
        <w:rPr>
          <w:rFonts w:ascii="Times New Roman" w:hAnsi="Times New Roman" w:cs="Times New Roman"/>
          <w:sz w:val="24"/>
          <w:szCs w:val="24"/>
        </w:rPr>
        <w:t>. Ust</w:t>
      </w:r>
      <w:r w:rsidR="002E2C4D" w:rsidRPr="00633318">
        <w:rPr>
          <w:rFonts w:ascii="Times New Roman" w:hAnsi="Times New Roman" w:cs="Times New Roman"/>
          <w:sz w:val="24"/>
          <w:szCs w:val="24"/>
        </w:rPr>
        <w:t>. 2</w:t>
      </w:r>
      <w:r w:rsidRPr="00633318">
        <w:rPr>
          <w:rFonts w:ascii="Times New Roman" w:hAnsi="Times New Roman" w:cs="Times New Roman"/>
          <w:sz w:val="24"/>
          <w:szCs w:val="24"/>
        </w:rPr>
        <w:t xml:space="preserve"> określa zasady stosowania ust</w:t>
      </w:r>
      <w:r w:rsidR="00EE04E1" w:rsidRPr="00633318">
        <w:rPr>
          <w:rFonts w:ascii="Times New Roman" w:hAnsi="Times New Roman" w:cs="Times New Roman"/>
          <w:sz w:val="24"/>
          <w:szCs w:val="24"/>
        </w:rPr>
        <w:t>. 1 ,</w:t>
      </w:r>
      <w:r w:rsidRPr="00633318">
        <w:rPr>
          <w:rFonts w:ascii="Times New Roman" w:hAnsi="Times New Roman" w:cs="Times New Roman"/>
          <w:sz w:val="24"/>
          <w:szCs w:val="24"/>
        </w:rPr>
        <w:t xml:space="preserve"> kiedy niezrealizowana strata netto z tytułu wartości godziwej przekracza 50 milionów EUR. </w:t>
      </w:r>
      <w:r w:rsidR="002E2C4D" w:rsidRPr="00633318">
        <w:rPr>
          <w:rFonts w:ascii="Times New Roman" w:hAnsi="Times New Roman" w:cs="Times New Roman"/>
          <w:sz w:val="24"/>
          <w:szCs w:val="24"/>
        </w:rPr>
        <w:t>Ust. 3 i 4</w:t>
      </w:r>
      <w:r w:rsidRPr="00633318">
        <w:rPr>
          <w:rFonts w:ascii="Times New Roman" w:hAnsi="Times New Roman" w:cs="Times New Roman"/>
          <w:sz w:val="24"/>
          <w:szCs w:val="24"/>
        </w:rPr>
        <w:t xml:space="preserve"> wskazują natomiast jednostki, </w:t>
      </w:r>
      <w:r w:rsidR="002E2C4D" w:rsidRPr="00633318">
        <w:rPr>
          <w:rFonts w:ascii="Times New Roman" w:hAnsi="Times New Roman" w:cs="Times New Roman"/>
          <w:sz w:val="24"/>
          <w:szCs w:val="24"/>
        </w:rPr>
        <w:t>dla</w:t>
      </w:r>
      <w:r w:rsidRPr="00633318">
        <w:rPr>
          <w:rFonts w:ascii="Times New Roman" w:hAnsi="Times New Roman" w:cs="Times New Roman"/>
          <w:sz w:val="24"/>
          <w:szCs w:val="24"/>
        </w:rPr>
        <w:t xml:space="preserve"> których ust</w:t>
      </w:r>
      <w:r w:rsidR="002E2C4D"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r w:rsidR="002E2C4D" w:rsidRPr="00633318">
        <w:rPr>
          <w:rFonts w:ascii="Times New Roman" w:hAnsi="Times New Roman" w:cs="Times New Roman"/>
          <w:sz w:val="24"/>
          <w:szCs w:val="24"/>
        </w:rPr>
        <w:t>1</w:t>
      </w:r>
      <w:r w:rsidRPr="00633318">
        <w:rPr>
          <w:rFonts w:ascii="Times New Roman" w:hAnsi="Times New Roman" w:cs="Times New Roman"/>
          <w:sz w:val="24"/>
          <w:szCs w:val="24"/>
        </w:rPr>
        <w:t xml:space="preserve"> nie ma zastosowania. Zgodnie z ust</w:t>
      </w:r>
      <w:r w:rsidR="002E2C4D"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r w:rsidR="002E2C4D" w:rsidRPr="00633318">
        <w:rPr>
          <w:rFonts w:ascii="Times New Roman" w:hAnsi="Times New Roman" w:cs="Times New Roman"/>
          <w:sz w:val="24"/>
          <w:szCs w:val="24"/>
        </w:rPr>
        <w:t>3</w:t>
      </w:r>
      <w:r w:rsidRPr="00633318">
        <w:rPr>
          <w:rFonts w:ascii="Times New Roman" w:hAnsi="Times New Roman" w:cs="Times New Roman"/>
          <w:sz w:val="24"/>
          <w:szCs w:val="24"/>
        </w:rPr>
        <w:t xml:space="preserve"> nie będzie miał on zastosowania do jednostek składowych grupy o kilku jednostkach dominujących</w:t>
      </w:r>
      <w:r w:rsidR="002E2C4D" w:rsidRPr="00633318">
        <w:rPr>
          <w:rFonts w:ascii="Times New Roman" w:hAnsi="Times New Roman" w:cs="Times New Roman"/>
          <w:sz w:val="24"/>
          <w:szCs w:val="24"/>
        </w:rPr>
        <w:t>,</w:t>
      </w:r>
      <w:r w:rsidRPr="00633318">
        <w:rPr>
          <w:rFonts w:ascii="Times New Roman" w:hAnsi="Times New Roman" w:cs="Times New Roman"/>
          <w:sz w:val="24"/>
          <w:szCs w:val="24"/>
        </w:rPr>
        <w:t xml:space="preserve"> kiedy grupa ta nie składa jednej kwalifikowanej informacji o grupie podmiotów. Zgodnie z ust</w:t>
      </w:r>
      <w:r w:rsidR="002E2C4D" w:rsidRPr="00633318">
        <w:rPr>
          <w:rFonts w:ascii="Times New Roman" w:hAnsi="Times New Roman" w:cs="Times New Roman"/>
          <w:sz w:val="24"/>
          <w:szCs w:val="24"/>
        </w:rPr>
        <w:t>. 4</w:t>
      </w:r>
      <w:r w:rsidRPr="00633318">
        <w:rPr>
          <w:rFonts w:ascii="Times New Roman" w:hAnsi="Times New Roman" w:cs="Times New Roman"/>
          <w:sz w:val="24"/>
          <w:szCs w:val="24"/>
        </w:rPr>
        <w:t xml:space="preserve"> nie będzie on miał natomiast zastosowania do jednostek bezpaństwowych, jednostek składowych </w:t>
      </w:r>
      <w:r w:rsidR="00AB4FB4" w:rsidRPr="00633318">
        <w:rPr>
          <w:rFonts w:ascii="Times New Roman" w:hAnsi="Times New Roman" w:cs="Times New Roman"/>
          <w:sz w:val="24"/>
          <w:szCs w:val="24"/>
        </w:rPr>
        <w:t>zlokalizowanych</w:t>
      </w:r>
      <w:r w:rsidRPr="00633318">
        <w:rPr>
          <w:rFonts w:ascii="Times New Roman" w:hAnsi="Times New Roman" w:cs="Times New Roman"/>
          <w:sz w:val="24"/>
          <w:szCs w:val="24"/>
        </w:rPr>
        <w:t xml:space="preserve"> w </w:t>
      </w:r>
      <w:r w:rsidR="008E3061" w:rsidRPr="00633318">
        <w:rPr>
          <w:rFonts w:ascii="Times New Roman" w:hAnsi="Times New Roman" w:cs="Times New Roman"/>
          <w:sz w:val="24"/>
          <w:szCs w:val="24"/>
        </w:rPr>
        <w:t>jurysdykcji</w:t>
      </w:r>
      <w:r w:rsidRPr="00633318">
        <w:rPr>
          <w:rFonts w:ascii="Times New Roman" w:hAnsi="Times New Roman" w:cs="Times New Roman"/>
          <w:sz w:val="24"/>
          <w:szCs w:val="24"/>
        </w:rPr>
        <w:t>, co do które</w:t>
      </w:r>
      <w:r w:rsidR="008E3061" w:rsidRPr="00633318">
        <w:rPr>
          <w:rFonts w:ascii="Times New Roman" w:hAnsi="Times New Roman" w:cs="Times New Roman"/>
          <w:sz w:val="24"/>
          <w:szCs w:val="24"/>
        </w:rPr>
        <w:t>j</w:t>
      </w:r>
      <w:r w:rsidRPr="00633318">
        <w:rPr>
          <w:rFonts w:ascii="Times New Roman" w:hAnsi="Times New Roman" w:cs="Times New Roman"/>
          <w:sz w:val="24"/>
          <w:szCs w:val="24"/>
        </w:rPr>
        <w:t xml:space="preserve"> dokonano wyboru, o którym mowa w art. </w:t>
      </w:r>
      <w:r w:rsidR="00BE2FAF" w:rsidRPr="00633318">
        <w:rPr>
          <w:rFonts w:ascii="Times New Roman" w:hAnsi="Times New Roman" w:cs="Times New Roman"/>
          <w:sz w:val="24"/>
          <w:szCs w:val="24"/>
        </w:rPr>
        <w:t xml:space="preserve">125 </w:t>
      </w:r>
      <w:r w:rsidRPr="00633318">
        <w:rPr>
          <w:rFonts w:ascii="Times New Roman" w:hAnsi="Times New Roman" w:cs="Times New Roman"/>
          <w:sz w:val="24"/>
          <w:szCs w:val="24"/>
        </w:rPr>
        <w:t>oraz jednostek składowych, w odniesieniu do których za rok bezpośrednio poprzedzający rok podatkowy powinien być wykazany należny globalny podatek wyrównawczy lub podatek wyrównawczy od niedostatecznie opodatkowanych zysków, który nie podlegał zasadom ust</w:t>
      </w:r>
      <w:r w:rsidR="002E2C4D"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r w:rsidR="002E2C4D" w:rsidRPr="00633318">
        <w:rPr>
          <w:rFonts w:ascii="Times New Roman" w:hAnsi="Times New Roman" w:cs="Times New Roman"/>
          <w:sz w:val="24"/>
          <w:szCs w:val="24"/>
        </w:rPr>
        <w:t>1</w:t>
      </w:r>
      <w:r w:rsidRPr="00633318">
        <w:rPr>
          <w:rFonts w:ascii="Times New Roman" w:hAnsi="Times New Roman" w:cs="Times New Roman"/>
          <w:sz w:val="24"/>
          <w:szCs w:val="24"/>
        </w:rPr>
        <w:t xml:space="preserve"> lub który podlegał tym zasadom, a podatnik nie dokonał wyboru, zgodnie z którym był on równy zeru. </w:t>
      </w:r>
    </w:p>
    <w:p w14:paraId="05CCA235" w14:textId="7827AB98" w:rsidR="00592B0F" w:rsidRPr="00633318" w:rsidRDefault="00592B0F" w:rsidP="00F83509">
      <w:pPr>
        <w:jc w:val="both"/>
        <w:rPr>
          <w:rFonts w:ascii="Times New Roman" w:hAnsi="Times New Roman" w:cs="Times New Roman"/>
          <w:sz w:val="24"/>
          <w:szCs w:val="24"/>
        </w:rPr>
      </w:pPr>
      <w:r w:rsidRPr="00633318">
        <w:rPr>
          <w:rFonts w:ascii="Times New Roman" w:hAnsi="Times New Roman" w:cs="Times New Roman"/>
          <w:sz w:val="24"/>
          <w:szCs w:val="24"/>
        </w:rPr>
        <w:t>Dalsze ustępy art. 146 wprowadzają regulacje wynikające z Wytycznych Administracyjnych z grudnia 2023 r., w szczególności w zakresie tzw. porozumień skutkujących arbitrażem z tytułu rozbieżności</w:t>
      </w:r>
      <w:r w:rsidR="004C4054" w:rsidRPr="00633318">
        <w:rPr>
          <w:rFonts w:ascii="Times New Roman" w:hAnsi="Times New Roman" w:cs="Times New Roman"/>
          <w:sz w:val="24"/>
          <w:szCs w:val="24"/>
        </w:rPr>
        <w:t xml:space="preserve"> (</w:t>
      </w:r>
      <w:r w:rsidR="004C4054" w:rsidRPr="00633318">
        <w:rPr>
          <w:rFonts w:ascii="Times New Roman" w:hAnsi="Times New Roman" w:cs="Times New Roman"/>
          <w:i/>
          <w:iCs/>
          <w:sz w:val="24"/>
          <w:szCs w:val="24"/>
        </w:rPr>
        <w:t>hybrid arbitrage arrangements</w:t>
      </w:r>
      <w:r w:rsidR="004C4054" w:rsidRPr="00633318">
        <w:rPr>
          <w:rFonts w:ascii="Times New Roman" w:hAnsi="Times New Roman" w:cs="Times New Roman"/>
          <w:sz w:val="24"/>
          <w:szCs w:val="24"/>
        </w:rPr>
        <w:t>).</w:t>
      </w:r>
    </w:p>
    <w:p w14:paraId="5214DCF3" w14:textId="77777777" w:rsidR="004C4054" w:rsidRPr="00633318" w:rsidRDefault="004C4054" w:rsidP="00F83509">
      <w:pPr>
        <w:jc w:val="both"/>
        <w:rPr>
          <w:rFonts w:ascii="Times New Roman" w:hAnsi="Times New Roman" w:cs="Times New Roman"/>
          <w:sz w:val="24"/>
          <w:szCs w:val="24"/>
        </w:rPr>
      </w:pPr>
      <w:r w:rsidRPr="00633318">
        <w:rPr>
          <w:rFonts w:ascii="Times New Roman" w:hAnsi="Times New Roman" w:cs="Times New Roman"/>
          <w:sz w:val="24"/>
          <w:szCs w:val="24"/>
        </w:rPr>
        <w:t>W świetle ust. 11, przez porozumienie skutkujące arbitrażem z tytułu rozbieżności rozumie się:</w:t>
      </w:r>
    </w:p>
    <w:p w14:paraId="22FB057C" w14:textId="416C4E30" w:rsidR="004C4054" w:rsidRPr="00633318" w:rsidRDefault="004C4054" w:rsidP="004C4054">
      <w:pPr>
        <w:pStyle w:val="Akapitzlist"/>
        <w:numPr>
          <w:ilvl w:val="0"/>
          <w:numId w:val="160"/>
        </w:numPr>
        <w:jc w:val="both"/>
        <w:rPr>
          <w:rFonts w:ascii="Times New Roman" w:hAnsi="Times New Roman" w:cs="Times New Roman"/>
          <w:sz w:val="24"/>
          <w:szCs w:val="24"/>
        </w:rPr>
      </w:pPr>
      <w:r w:rsidRPr="00633318">
        <w:rPr>
          <w:rFonts w:ascii="Times New Roman" w:hAnsi="Times New Roman" w:cs="Times New Roman"/>
          <w:sz w:val="24"/>
          <w:szCs w:val="24"/>
        </w:rPr>
        <w:t>porozumienie zmniejszające przychód (w świetle ust. 12 chodzi o transakcję skutkującą z jednej strony odliczeniem kosztu / wykazaniem straty a z drugiej strony niewykazaniem odpowiedniego przychodu lub zysku)</w:t>
      </w:r>
    </w:p>
    <w:p w14:paraId="4387F693" w14:textId="601488A1" w:rsidR="004C4054" w:rsidRPr="00633318" w:rsidRDefault="004C4054" w:rsidP="004C4054">
      <w:pPr>
        <w:pStyle w:val="Akapitzlist"/>
        <w:numPr>
          <w:ilvl w:val="0"/>
          <w:numId w:val="160"/>
        </w:numPr>
        <w:jc w:val="both"/>
        <w:rPr>
          <w:rFonts w:ascii="Times New Roman" w:hAnsi="Times New Roman" w:cs="Times New Roman"/>
          <w:sz w:val="24"/>
          <w:szCs w:val="24"/>
        </w:rPr>
      </w:pPr>
      <w:r w:rsidRPr="00633318">
        <w:rPr>
          <w:rFonts w:ascii="Times New Roman" w:hAnsi="Times New Roman" w:cs="Times New Roman"/>
          <w:sz w:val="24"/>
          <w:szCs w:val="24"/>
        </w:rPr>
        <w:t>porozumienie podwajające stratę (zdefiniowane w ust. 1</w:t>
      </w:r>
      <w:r w:rsidR="004A1D93" w:rsidRPr="00633318">
        <w:rPr>
          <w:rFonts w:ascii="Times New Roman" w:hAnsi="Times New Roman" w:cs="Times New Roman"/>
          <w:sz w:val="24"/>
          <w:szCs w:val="24"/>
        </w:rPr>
        <w:t>4</w:t>
      </w:r>
      <w:r w:rsidRPr="00633318">
        <w:rPr>
          <w:rFonts w:ascii="Times New Roman" w:hAnsi="Times New Roman" w:cs="Times New Roman"/>
          <w:sz w:val="24"/>
          <w:szCs w:val="24"/>
        </w:rPr>
        <w:t xml:space="preserve">), </w:t>
      </w:r>
    </w:p>
    <w:p w14:paraId="24EEDD48" w14:textId="0786A708" w:rsidR="004C4054" w:rsidRPr="00633318" w:rsidRDefault="004C4054" w:rsidP="004C4054">
      <w:pPr>
        <w:pStyle w:val="Akapitzlist"/>
        <w:numPr>
          <w:ilvl w:val="0"/>
          <w:numId w:val="160"/>
        </w:numPr>
        <w:jc w:val="both"/>
        <w:rPr>
          <w:rFonts w:ascii="Times New Roman" w:hAnsi="Times New Roman" w:cs="Times New Roman"/>
          <w:sz w:val="24"/>
          <w:szCs w:val="24"/>
        </w:rPr>
      </w:pPr>
      <w:r w:rsidRPr="00633318">
        <w:rPr>
          <w:rFonts w:ascii="Times New Roman" w:hAnsi="Times New Roman" w:cs="Times New Roman"/>
          <w:sz w:val="24"/>
          <w:szCs w:val="24"/>
        </w:rPr>
        <w:t>porozumienie podwajające wydatek (zdefiniowane w ust. 1</w:t>
      </w:r>
      <w:r w:rsidR="004A1D93" w:rsidRPr="00633318">
        <w:rPr>
          <w:rFonts w:ascii="Times New Roman" w:hAnsi="Times New Roman" w:cs="Times New Roman"/>
          <w:sz w:val="24"/>
          <w:szCs w:val="24"/>
        </w:rPr>
        <w:t>6</w:t>
      </w:r>
      <w:r w:rsidRPr="00633318">
        <w:rPr>
          <w:rFonts w:ascii="Times New Roman" w:hAnsi="Times New Roman" w:cs="Times New Roman"/>
          <w:sz w:val="24"/>
          <w:szCs w:val="24"/>
        </w:rPr>
        <w:t>).</w:t>
      </w:r>
    </w:p>
    <w:p w14:paraId="3BE98F33" w14:textId="1345B70B" w:rsidR="004A1D93" w:rsidRPr="00633318" w:rsidRDefault="004A1D93" w:rsidP="001B320A">
      <w:pPr>
        <w:pStyle w:val="USTustnpkodeksu"/>
        <w:spacing w:after="120" w:line="259" w:lineRule="auto"/>
        <w:ind w:firstLine="0"/>
        <w:rPr>
          <w:rFonts w:ascii="Times New Roman" w:hAnsi="Times New Roman" w:cs="Times New Roman"/>
          <w:szCs w:val="24"/>
        </w:rPr>
      </w:pPr>
      <w:r w:rsidRPr="00633318">
        <w:rPr>
          <w:rFonts w:ascii="Times New Roman" w:hAnsi="Times New Roman" w:cs="Times New Roman"/>
          <w:szCs w:val="24"/>
        </w:rPr>
        <w:t>Skutki zawarcia jednego z powyższych porozumień są określone w ust. 9. W świetle tego przepisu, jeżeli po dniu 15 grudnia 2022 r. jednostka składowa zawarła porozumienie skutkujące arbitrażem z tytułu rozbieżności dokonując obliczeń na potrzeby tymczasowej bezpiecznej przystani CBCR należy dokonać następujących korekt:</w:t>
      </w:r>
    </w:p>
    <w:p w14:paraId="0A2762C2" w14:textId="7240D52B" w:rsidR="004A1D93" w:rsidRPr="00633318" w:rsidRDefault="004A1D93" w:rsidP="001B320A">
      <w:pPr>
        <w:pStyle w:val="PKTpunkt"/>
        <w:numPr>
          <w:ilvl w:val="0"/>
          <w:numId w:val="161"/>
        </w:numPr>
        <w:spacing w:line="259" w:lineRule="auto"/>
        <w:rPr>
          <w:rFonts w:ascii="Times New Roman" w:hAnsi="Times New Roman" w:cs="Times New Roman"/>
          <w:szCs w:val="24"/>
        </w:rPr>
      </w:pPr>
      <w:r w:rsidRPr="00633318">
        <w:rPr>
          <w:rFonts w:ascii="Times New Roman" w:hAnsi="Times New Roman" w:cs="Times New Roman"/>
          <w:szCs w:val="24"/>
        </w:rPr>
        <w:t xml:space="preserve">wyłączyć kwotę wydatków lub strat powstających wskutek porozumienia zmniejszającego przychód lub porozumienia podwajającego stratę z ustalania kwoty zysku przed opodatkowaniem; </w:t>
      </w:r>
    </w:p>
    <w:p w14:paraId="24046E0A" w14:textId="44F9C3AD" w:rsidR="004A1D93" w:rsidRPr="00633318" w:rsidRDefault="004A1D93" w:rsidP="001B320A">
      <w:pPr>
        <w:pStyle w:val="PKTpunkt"/>
        <w:numPr>
          <w:ilvl w:val="0"/>
          <w:numId w:val="161"/>
        </w:numPr>
        <w:spacing w:line="259" w:lineRule="auto"/>
        <w:rPr>
          <w:rFonts w:ascii="Times New Roman" w:hAnsi="Times New Roman" w:cs="Times New Roman"/>
          <w:szCs w:val="24"/>
        </w:rPr>
      </w:pPr>
      <w:r w:rsidRPr="00633318">
        <w:rPr>
          <w:rFonts w:ascii="Times New Roman" w:hAnsi="Times New Roman" w:cs="Times New Roman"/>
          <w:szCs w:val="24"/>
        </w:rPr>
        <w:t>wyłączyć z podatku CIT kwotę tego podatku powstającą wskutek porozumienia podwajającego wydatek.</w:t>
      </w:r>
    </w:p>
    <w:p w14:paraId="0119C699" w14:textId="61441075" w:rsidR="009E2174" w:rsidRPr="00633318" w:rsidRDefault="009E2174" w:rsidP="000637CF">
      <w:pPr>
        <w:pStyle w:val="Nagwek5"/>
        <w:spacing w:before="240"/>
        <w:jc w:val="both"/>
        <w:rPr>
          <w:rFonts w:ascii="Times New Roman" w:hAnsi="Times New Roman" w:cs="Times New Roman"/>
          <w:sz w:val="24"/>
          <w:szCs w:val="24"/>
        </w:rPr>
      </w:pPr>
      <w:r w:rsidRPr="00633318">
        <w:rPr>
          <w:rFonts w:ascii="Times New Roman" w:hAnsi="Times New Roman" w:cs="Times New Roman"/>
          <w:sz w:val="24"/>
          <w:szCs w:val="24"/>
        </w:rPr>
        <w:t>Art. 14</w:t>
      </w:r>
      <w:r w:rsidR="002E2C4D" w:rsidRPr="00633318">
        <w:rPr>
          <w:rFonts w:ascii="Times New Roman" w:hAnsi="Times New Roman" w:cs="Times New Roman"/>
          <w:sz w:val="24"/>
          <w:szCs w:val="24"/>
        </w:rPr>
        <w:t>7</w:t>
      </w:r>
      <w:r w:rsidRPr="00633318">
        <w:rPr>
          <w:rFonts w:ascii="Times New Roman" w:hAnsi="Times New Roman" w:cs="Times New Roman"/>
          <w:sz w:val="24"/>
          <w:szCs w:val="24"/>
        </w:rPr>
        <w:t xml:space="preserve"> [Tymczasowa </w:t>
      </w:r>
      <w:r w:rsidR="002E2C4D" w:rsidRPr="00633318">
        <w:rPr>
          <w:rFonts w:ascii="Times New Roman" w:hAnsi="Times New Roman" w:cs="Times New Roman"/>
          <w:sz w:val="24"/>
          <w:szCs w:val="24"/>
        </w:rPr>
        <w:t>b</w:t>
      </w:r>
      <w:r w:rsidRPr="00633318">
        <w:rPr>
          <w:rFonts w:ascii="Times New Roman" w:hAnsi="Times New Roman" w:cs="Times New Roman"/>
          <w:sz w:val="24"/>
          <w:szCs w:val="24"/>
        </w:rPr>
        <w:t xml:space="preserve">ezpieczna </w:t>
      </w:r>
      <w:r w:rsidR="002E2C4D" w:rsidRPr="00633318">
        <w:rPr>
          <w:rFonts w:ascii="Times New Roman" w:hAnsi="Times New Roman" w:cs="Times New Roman"/>
          <w:sz w:val="24"/>
          <w:szCs w:val="24"/>
        </w:rPr>
        <w:t>p</w:t>
      </w:r>
      <w:r w:rsidRPr="00633318">
        <w:rPr>
          <w:rFonts w:ascii="Times New Roman" w:hAnsi="Times New Roman" w:cs="Times New Roman"/>
          <w:sz w:val="24"/>
          <w:szCs w:val="24"/>
        </w:rPr>
        <w:t>rzystań dla podatku wyrównawczego od niedostatecznie opodatkowanych zysków]</w:t>
      </w:r>
    </w:p>
    <w:p w14:paraId="54E47CED" w14:textId="0B384D19" w:rsidR="009E2174" w:rsidRPr="00633318" w:rsidRDefault="009E2174" w:rsidP="009E2174">
      <w:pPr>
        <w:jc w:val="both"/>
        <w:rPr>
          <w:rFonts w:ascii="Times New Roman" w:hAnsi="Times New Roman" w:cs="Times New Roman"/>
          <w:sz w:val="24"/>
          <w:szCs w:val="24"/>
        </w:rPr>
      </w:pPr>
      <w:r w:rsidRPr="00633318">
        <w:rPr>
          <w:rFonts w:ascii="Times New Roman" w:hAnsi="Times New Roman" w:cs="Times New Roman"/>
          <w:sz w:val="24"/>
          <w:szCs w:val="24"/>
        </w:rPr>
        <w:t xml:space="preserve">Przepis </w:t>
      </w:r>
      <w:r w:rsidR="00320A30" w:rsidRPr="00633318">
        <w:rPr>
          <w:rFonts w:ascii="Times New Roman" w:hAnsi="Times New Roman" w:cs="Times New Roman"/>
          <w:b/>
          <w:bCs/>
          <w:sz w:val="24"/>
          <w:szCs w:val="24"/>
        </w:rPr>
        <w:t>art.</w:t>
      </w:r>
      <w:r w:rsidRPr="00633318">
        <w:rPr>
          <w:rFonts w:ascii="Times New Roman" w:hAnsi="Times New Roman" w:cs="Times New Roman"/>
          <w:b/>
          <w:bCs/>
          <w:sz w:val="24"/>
          <w:szCs w:val="24"/>
        </w:rPr>
        <w:t xml:space="preserve"> 14</w:t>
      </w:r>
      <w:r w:rsidR="002E2C4D" w:rsidRPr="00633318">
        <w:rPr>
          <w:rFonts w:ascii="Times New Roman" w:hAnsi="Times New Roman" w:cs="Times New Roman"/>
          <w:b/>
          <w:bCs/>
          <w:sz w:val="24"/>
          <w:szCs w:val="24"/>
        </w:rPr>
        <w:t>7</w:t>
      </w:r>
      <w:r w:rsidRPr="00633318">
        <w:rPr>
          <w:rFonts w:ascii="Times New Roman" w:hAnsi="Times New Roman" w:cs="Times New Roman"/>
          <w:sz w:val="24"/>
          <w:szCs w:val="24"/>
        </w:rPr>
        <w:t xml:space="preserve"> wdraża Wytyczne z grudnia 2023 r</w:t>
      </w:r>
      <w:r w:rsidR="00320A30" w:rsidRPr="00633318">
        <w:rPr>
          <w:rFonts w:ascii="Times New Roman" w:hAnsi="Times New Roman" w:cs="Times New Roman"/>
          <w:sz w:val="24"/>
          <w:szCs w:val="24"/>
        </w:rPr>
        <w:t>.</w:t>
      </w:r>
      <w:r w:rsidRPr="00633318">
        <w:rPr>
          <w:rFonts w:ascii="Times New Roman" w:hAnsi="Times New Roman" w:cs="Times New Roman"/>
          <w:sz w:val="24"/>
          <w:szCs w:val="24"/>
        </w:rPr>
        <w:t xml:space="preserve"> w zakresie p</w:t>
      </w:r>
      <w:r w:rsidR="00320A30" w:rsidRPr="00633318">
        <w:rPr>
          <w:rFonts w:ascii="Times New Roman" w:hAnsi="Times New Roman" w:cs="Times New Roman"/>
          <w:sz w:val="24"/>
          <w:szCs w:val="24"/>
        </w:rPr>
        <w:t>kt</w:t>
      </w:r>
      <w:r w:rsidRPr="00633318">
        <w:rPr>
          <w:rFonts w:ascii="Times New Roman" w:hAnsi="Times New Roman" w:cs="Times New Roman"/>
          <w:sz w:val="24"/>
          <w:szCs w:val="24"/>
        </w:rPr>
        <w:t xml:space="preserve"> 5.2: Tymczasowa Bezpieczna Przystań dla podatku wyrównawczego od niedostatecznie opodatkowanych zysków (ang. </w:t>
      </w:r>
      <w:r w:rsidRPr="00633318">
        <w:rPr>
          <w:rFonts w:ascii="Times New Roman" w:hAnsi="Times New Roman" w:cs="Times New Roman"/>
          <w:i/>
          <w:iCs/>
          <w:sz w:val="24"/>
          <w:szCs w:val="24"/>
        </w:rPr>
        <w:t>Transitional UTPR Safe Harbour</w:t>
      </w:r>
      <w:r w:rsidRPr="00633318">
        <w:rPr>
          <w:rFonts w:ascii="Times New Roman" w:hAnsi="Times New Roman" w:cs="Times New Roman"/>
          <w:sz w:val="24"/>
          <w:szCs w:val="24"/>
        </w:rPr>
        <w:t>).</w:t>
      </w:r>
    </w:p>
    <w:p w14:paraId="5C99636B" w14:textId="58DF69FB" w:rsidR="009E2174" w:rsidRPr="00633318" w:rsidRDefault="009E2174" w:rsidP="009E2174">
      <w:pPr>
        <w:jc w:val="both"/>
        <w:rPr>
          <w:rFonts w:ascii="Times New Roman" w:hAnsi="Times New Roman" w:cs="Times New Roman"/>
          <w:sz w:val="24"/>
          <w:szCs w:val="24"/>
        </w:rPr>
      </w:pPr>
      <w:r w:rsidRPr="00633318">
        <w:rPr>
          <w:rFonts w:ascii="Times New Roman" w:hAnsi="Times New Roman" w:cs="Times New Roman"/>
          <w:sz w:val="24"/>
          <w:szCs w:val="24"/>
        </w:rPr>
        <w:t xml:space="preserve">Zgodnie tymi wytycznymi, ponieważ podatek wyrównawczy od niedostatecznie opodatkowanych zysków został zaprojektowany jako rozwiązanie uszczelniające </w:t>
      </w:r>
      <w:r w:rsidR="00231255" w:rsidRPr="00633318">
        <w:rPr>
          <w:rFonts w:ascii="Times New Roman" w:hAnsi="Times New Roman" w:cs="Times New Roman"/>
          <w:sz w:val="24"/>
          <w:szCs w:val="24"/>
        </w:rPr>
        <w:t>S</w:t>
      </w:r>
      <w:r w:rsidRPr="00633318">
        <w:rPr>
          <w:rFonts w:ascii="Times New Roman" w:hAnsi="Times New Roman" w:cs="Times New Roman"/>
          <w:sz w:val="24"/>
          <w:szCs w:val="24"/>
        </w:rPr>
        <w:t xml:space="preserve">ystem GloBE (obok podstawowego, globalnego podatku wyrównawczego), nie wydaje się być racjonalnym, aby w pierwszych latach działania </w:t>
      </w:r>
      <w:r w:rsidR="00231255" w:rsidRPr="00633318">
        <w:rPr>
          <w:rFonts w:ascii="Times New Roman" w:hAnsi="Times New Roman" w:cs="Times New Roman"/>
          <w:sz w:val="24"/>
          <w:szCs w:val="24"/>
        </w:rPr>
        <w:t>S</w:t>
      </w:r>
      <w:r w:rsidRPr="00633318">
        <w:rPr>
          <w:rFonts w:ascii="Times New Roman" w:hAnsi="Times New Roman" w:cs="Times New Roman"/>
          <w:sz w:val="24"/>
          <w:szCs w:val="24"/>
        </w:rPr>
        <w:t xml:space="preserve">ystemu GloBE nakładać taki podatek na jednostki składowe działające w </w:t>
      </w:r>
      <w:r w:rsidR="008E3061" w:rsidRPr="00633318">
        <w:rPr>
          <w:rFonts w:ascii="Times New Roman" w:hAnsi="Times New Roman" w:cs="Times New Roman"/>
          <w:sz w:val="24"/>
          <w:szCs w:val="24"/>
        </w:rPr>
        <w:t>jurysdykcjach</w:t>
      </w:r>
      <w:r w:rsidRPr="00633318">
        <w:rPr>
          <w:rFonts w:ascii="Times New Roman" w:hAnsi="Times New Roman" w:cs="Times New Roman"/>
          <w:sz w:val="24"/>
          <w:szCs w:val="24"/>
        </w:rPr>
        <w:t xml:space="preserve"> jednostek dominujących najwyższego szczebla. </w:t>
      </w:r>
      <w:r w:rsidR="008E3061" w:rsidRPr="00633318">
        <w:rPr>
          <w:rFonts w:ascii="Times New Roman" w:hAnsi="Times New Roman" w:cs="Times New Roman"/>
          <w:sz w:val="24"/>
          <w:szCs w:val="24"/>
        </w:rPr>
        <w:t>Jurysdykcje</w:t>
      </w:r>
      <w:r w:rsidRPr="00633318">
        <w:rPr>
          <w:rFonts w:ascii="Times New Roman" w:hAnsi="Times New Roman" w:cs="Times New Roman"/>
          <w:sz w:val="24"/>
          <w:szCs w:val="24"/>
        </w:rPr>
        <w:t xml:space="preserve"> </w:t>
      </w:r>
      <w:r w:rsidR="00231255" w:rsidRPr="00633318">
        <w:rPr>
          <w:rFonts w:ascii="Times New Roman" w:hAnsi="Times New Roman" w:cs="Times New Roman"/>
          <w:sz w:val="24"/>
          <w:szCs w:val="24"/>
        </w:rPr>
        <w:t>jednostek dominujących</w:t>
      </w:r>
      <w:r w:rsidRPr="00633318">
        <w:rPr>
          <w:rFonts w:ascii="Times New Roman" w:hAnsi="Times New Roman" w:cs="Times New Roman"/>
          <w:sz w:val="24"/>
          <w:szCs w:val="24"/>
        </w:rPr>
        <w:t xml:space="preserve"> powinny mieć wystarczająco czasu</w:t>
      </w:r>
      <w:r w:rsidR="008E3061" w:rsidRPr="00633318">
        <w:rPr>
          <w:rFonts w:ascii="Times New Roman" w:hAnsi="Times New Roman" w:cs="Times New Roman"/>
          <w:sz w:val="24"/>
          <w:szCs w:val="24"/>
        </w:rPr>
        <w:t>,</w:t>
      </w:r>
      <w:r w:rsidRPr="00633318">
        <w:rPr>
          <w:rFonts w:ascii="Times New Roman" w:hAnsi="Times New Roman" w:cs="Times New Roman"/>
          <w:sz w:val="24"/>
          <w:szCs w:val="24"/>
        </w:rPr>
        <w:t xml:space="preserve"> aby wprowadzić chociaż same krajowe podatki wyrównawcze.</w:t>
      </w:r>
    </w:p>
    <w:p w14:paraId="0387E494" w14:textId="6FD336E4" w:rsidR="009E2174" w:rsidRPr="00633318" w:rsidRDefault="009E2174" w:rsidP="009E2174">
      <w:pPr>
        <w:jc w:val="both"/>
        <w:rPr>
          <w:rFonts w:ascii="Times New Roman" w:hAnsi="Times New Roman" w:cs="Times New Roman"/>
          <w:sz w:val="24"/>
          <w:szCs w:val="24"/>
        </w:rPr>
      </w:pPr>
      <w:r w:rsidRPr="00633318">
        <w:rPr>
          <w:rFonts w:ascii="Times New Roman" w:hAnsi="Times New Roman" w:cs="Times New Roman"/>
          <w:sz w:val="24"/>
          <w:szCs w:val="24"/>
        </w:rPr>
        <w:t xml:space="preserve">Dlatego w wyznaczonym przez Inclusive Framework okresie, w wyliczeniu podatku wyrównawczego od niedostatecznie opodatkowanych zysków nie uwzględnia się kwot dotyczących nisko opodatkowanych jednostek składowych zlokalizowanych w </w:t>
      </w:r>
      <w:r w:rsidR="008E3061"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spółki matki (nie uwzględnia się tylko w wyliczeniu tzw. podatku całkowitego, art. 35), jeżeli w t</w:t>
      </w:r>
      <w:r w:rsidR="008E3061" w:rsidRPr="00633318">
        <w:rPr>
          <w:rFonts w:ascii="Times New Roman" w:hAnsi="Times New Roman" w:cs="Times New Roman"/>
          <w:sz w:val="24"/>
          <w:szCs w:val="24"/>
        </w:rPr>
        <w:t>ej</w:t>
      </w:r>
      <w:r w:rsidRPr="00633318">
        <w:rPr>
          <w:rFonts w:ascii="Times New Roman" w:hAnsi="Times New Roman" w:cs="Times New Roman"/>
          <w:sz w:val="24"/>
          <w:szCs w:val="24"/>
        </w:rPr>
        <w:t xml:space="preserve"> </w:t>
      </w:r>
      <w:r w:rsidR="008E3061"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nominalna stawka opodatkowania podatkiem dochodowym od osób prawnych wynosi co najmniej 20%.</w:t>
      </w:r>
    </w:p>
    <w:p w14:paraId="68969087" w14:textId="76AF6F0A" w:rsidR="00320A30" w:rsidRPr="00633318" w:rsidRDefault="009E2174" w:rsidP="00320A30">
      <w:pPr>
        <w:jc w:val="both"/>
        <w:rPr>
          <w:rFonts w:ascii="Times New Roman" w:hAnsi="Times New Roman" w:cs="Times New Roman"/>
          <w:sz w:val="24"/>
          <w:szCs w:val="24"/>
        </w:rPr>
      </w:pPr>
      <w:r w:rsidRPr="00633318">
        <w:rPr>
          <w:rFonts w:ascii="Times New Roman" w:hAnsi="Times New Roman" w:cs="Times New Roman"/>
          <w:sz w:val="24"/>
          <w:szCs w:val="24"/>
        </w:rPr>
        <w:t>Inclusive Framework wyznaczyło ten okres na następujące po sobie lata podatkowe, które nie trwają dłużej niż 12 miesięcy i kończą się nie później niż 31 grudnia 2026</w:t>
      </w:r>
      <w:r w:rsidR="00231255" w:rsidRPr="00633318">
        <w:rPr>
          <w:rFonts w:ascii="Times New Roman" w:hAnsi="Times New Roman" w:cs="Times New Roman"/>
          <w:sz w:val="24"/>
          <w:szCs w:val="24"/>
        </w:rPr>
        <w:t xml:space="preserve"> r</w:t>
      </w:r>
      <w:r w:rsidRPr="00633318">
        <w:rPr>
          <w:rFonts w:ascii="Times New Roman" w:hAnsi="Times New Roman" w:cs="Times New Roman"/>
          <w:sz w:val="24"/>
          <w:szCs w:val="24"/>
        </w:rPr>
        <w:t>. Efektywnie, o czym wspominają Wytyczne Administracyjne, jest to okres dwóch lat podatkowych: 2025 i 2026.</w:t>
      </w:r>
    </w:p>
    <w:p w14:paraId="3C212861" w14:textId="77777777" w:rsidR="00320A30" w:rsidRPr="003E7A67" w:rsidRDefault="00320A30" w:rsidP="00320A30">
      <w:pPr>
        <w:pBdr>
          <w:top w:val="double" w:sz="4" w:space="1" w:color="2F5496" w:themeColor="accent5" w:themeShade="BF"/>
          <w:left w:val="double" w:sz="4" w:space="4" w:color="2F5496" w:themeColor="accent5" w:themeShade="BF"/>
          <w:bottom w:val="double" w:sz="4" w:space="1" w:color="2F5496" w:themeColor="accent5" w:themeShade="BF"/>
          <w:right w:val="double" w:sz="4" w:space="4" w:color="2F5496" w:themeColor="accent5" w:themeShade="BF"/>
        </w:pBdr>
        <w:ind w:left="708"/>
        <w:jc w:val="both"/>
        <w:rPr>
          <w:b/>
          <w:bCs/>
        </w:rPr>
      </w:pPr>
      <w:r w:rsidRPr="003E7A67">
        <w:rPr>
          <w:b/>
          <w:bCs/>
        </w:rPr>
        <w:t xml:space="preserve">Przykład: </w:t>
      </w:r>
    </w:p>
    <w:p w14:paraId="3698058D" w14:textId="09012399" w:rsidR="009E2174" w:rsidRPr="003E7A67" w:rsidRDefault="009E2174" w:rsidP="00320A30">
      <w:pPr>
        <w:pBdr>
          <w:top w:val="double" w:sz="4" w:space="1" w:color="2F5496" w:themeColor="accent5" w:themeShade="BF"/>
          <w:left w:val="double" w:sz="4" w:space="4" w:color="2F5496" w:themeColor="accent5" w:themeShade="BF"/>
          <w:bottom w:val="double" w:sz="4" w:space="1" w:color="2F5496" w:themeColor="accent5" w:themeShade="BF"/>
          <w:right w:val="double" w:sz="4" w:space="4" w:color="2F5496" w:themeColor="accent5" w:themeShade="BF"/>
        </w:pBdr>
        <w:ind w:left="708"/>
        <w:jc w:val="both"/>
      </w:pPr>
      <w:r w:rsidRPr="003E7A67">
        <w:t xml:space="preserve">UPE zlokalizowanie jest w </w:t>
      </w:r>
      <w:bookmarkStart w:id="128" w:name="_Hlk171080432"/>
      <w:r w:rsidR="00B13F4A" w:rsidRPr="003E7A67">
        <w:t>jurysdykcji</w:t>
      </w:r>
      <w:bookmarkEnd w:id="128"/>
      <w:r w:rsidRPr="003E7A67">
        <w:t xml:space="preserve"> „A” i posiada: 1 jednostkę składową w </w:t>
      </w:r>
      <w:r w:rsidR="0039264D" w:rsidRPr="003E7A67">
        <w:t>jurysdykcji</w:t>
      </w:r>
      <w:r w:rsidR="00646DD4">
        <w:t xml:space="preserve"> </w:t>
      </w:r>
      <w:r w:rsidRPr="003E7A67">
        <w:t xml:space="preserve">„A”, 2 jednostki składowe w </w:t>
      </w:r>
      <w:r w:rsidR="0039264D" w:rsidRPr="003E7A67">
        <w:t>jurysdykcji</w:t>
      </w:r>
      <w:r w:rsidRPr="003E7A67">
        <w:t xml:space="preserve"> „B” oraz 1 jednostkę składową w Polsce. W </w:t>
      </w:r>
      <w:r w:rsidR="0039264D" w:rsidRPr="003E7A67">
        <w:t>jurysdykcji</w:t>
      </w:r>
      <w:r w:rsidRPr="003E7A67">
        <w:t xml:space="preserve"> „A” oraz w </w:t>
      </w:r>
      <w:r w:rsidR="0039264D" w:rsidRPr="003E7A67">
        <w:t>jurysdykcji</w:t>
      </w:r>
      <w:r w:rsidRPr="003E7A67">
        <w:t xml:space="preserve"> „B” nie wprowadzono systemu GloBE, </w:t>
      </w:r>
      <w:r w:rsidR="00231255">
        <w:t xml:space="preserve"> natomiast </w:t>
      </w:r>
      <w:r w:rsidRPr="003E7A67">
        <w:t xml:space="preserve">w Polsce wprowadzono </w:t>
      </w:r>
      <w:r w:rsidR="00231255">
        <w:t>S</w:t>
      </w:r>
      <w:r w:rsidRPr="003E7A67">
        <w:t xml:space="preserve">ystem GloBE. Wszystkie jednostki składowe tej grupy są nisko opodatkowane. Jednostka składowa zlokalizowana w Polsce, jest podatnikiem i wylicza podatek wyrównawczy od niedostatecznie opodatkowanych zysków zgodnie z </w:t>
      </w:r>
      <w:r w:rsidR="00231255">
        <w:t>d</w:t>
      </w:r>
      <w:r w:rsidRPr="003E7A67">
        <w:t xml:space="preserve">ziałem IV. Podatnik wybiera stosowanie opisywanej tymczasowej bezpiecznej przystani. Następnie, wylicza całkowity podatek wyrównawczy od niedostatecznie opodatkowanych zysków. Czyli sumuje kwoty jednostkowego globalnego podatku wyrównawczego jednostek składowych tylko z </w:t>
      </w:r>
      <w:r w:rsidR="0039264D" w:rsidRPr="003E7A67">
        <w:t>jurysdykcji</w:t>
      </w:r>
      <w:r w:rsidRPr="003E7A67">
        <w:t xml:space="preserve"> „B”, ponieważ </w:t>
      </w:r>
      <w:r w:rsidR="0039264D" w:rsidRPr="003E7A67">
        <w:t>jurysdykcja</w:t>
      </w:r>
      <w:r w:rsidRPr="003E7A67">
        <w:t xml:space="preserve"> „A” został</w:t>
      </w:r>
      <w:r w:rsidR="003F7EFB">
        <w:t>a</w:t>
      </w:r>
      <w:r w:rsidRPr="003E7A67">
        <w:t xml:space="preserve"> objęt</w:t>
      </w:r>
      <w:r w:rsidR="003F7EFB">
        <w:t>a</w:t>
      </w:r>
      <w:r w:rsidRPr="003E7A67">
        <w:t xml:space="preserve"> bezpieczną przystanią a Polski nie uwzględnia się w tym wyliczeniu. Kolejnym krokiem jest obliczenie faktycznego podatku wyrównawczego od niedostatecznie opodatkowanych zysków. Jest to iloczyn całkowitego podatku wyrównawczego od niedostatecznie opodatkowanych zysków oraz udziału Rzeczypospolitej Polskiej. Jednak, ponieważ nie uwzględniono w wyliczeniu kwot jednostkowego globalnego podatku wyrównawczego dla </w:t>
      </w:r>
      <w:r w:rsidR="0039264D" w:rsidRPr="003E7A67">
        <w:t>jurysdykcji</w:t>
      </w:r>
      <w:r w:rsidRPr="003E7A67">
        <w:t xml:space="preserve"> „A”, podatek który przypadnie na polskiego podatnika jest adekwatnie mniejszy.</w:t>
      </w:r>
    </w:p>
    <w:p w14:paraId="015AF0D1" w14:textId="0BBF4F5F" w:rsidR="006078AA" w:rsidRPr="00633318" w:rsidRDefault="006078AA" w:rsidP="00320A30">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 xml:space="preserve">Art. </w:t>
      </w:r>
      <w:r w:rsidR="00830F96" w:rsidRPr="00633318">
        <w:rPr>
          <w:rFonts w:ascii="Times New Roman" w:hAnsi="Times New Roman" w:cs="Times New Roman"/>
          <w:sz w:val="24"/>
          <w:szCs w:val="24"/>
        </w:rPr>
        <w:t>14</w:t>
      </w:r>
      <w:r w:rsidR="00231255" w:rsidRPr="00633318">
        <w:rPr>
          <w:rFonts w:ascii="Times New Roman" w:hAnsi="Times New Roman" w:cs="Times New Roman"/>
          <w:sz w:val="24"/>
          <w:szCs w:val="24"/>
        </w:rPr>
        <w:t>8</w:t>
      </w:r>
      <w:r w:rsidR="00830F96" w:rsidRPr="00633318">
        <w:rPr>
          <w:rFonts w:ascii="Times New Roman" w:hAnsi="Times New Roman" w:cs="Times New Roman"/>
          <w:sz w:val="24"/>
          <w:szCs w:val="24"/>
        </w:rPr>
        <w:t xml:space="preserve"> </w:t>
      </w:r>
      <w:r w:rsidR="003A5B14" w:rsidRPr="00633318">
        <w:rPr>
          <w:rFonts w:ascii="Times New Roman" w:hAnsi="Times New Roman" w:cs="Times New Roman"/>
          <w:sz w:val="24"/>
          <w:szCs w:val="24"/>
        </w:rPr>
        <w:t>[Pierwszy rok podatkowy a</w:t>
      </w:r>
      <w:r w:rsidR="009E2174" w:rsidRPr="00633318">
        <w:rPr>
          <w:rFonts w:ascii="Times New Roman" w:hAnsi="Times New Roman" w:cs="Times New Roman"/>
          <w:sz w:val="24"/>
          <w:szCs w:val="24"/>
        </w:rPr>
        <w:t xml:space="preserve"> tymczasowa</w:t>
      </w:r>
      <w:r w:rsidR="003A5B14" w:rsidRPr="00633318">
        <w:rPr>
          <w:rFonts w:ascii="Times New Roman" w:hAnsi="Times New Roman" w:cs="Times New Roman"/>
          <w:sz w:val="24"/>
          <w:szCs w:val="24"/>
        </w:rPr>
        <w:t xml:space="preserve"> bezpieczna przystań CbCR]</w:t>
      </w:r>
    </w:p>
    <w:p w14:paraId="777B0068" w14:textId="595CC855" w:rsidR="002070A0" w:rsidRPr="00633318" w:rsidRDefault="00EA25D7" w:rsidP="005B114B">
      <w:pPr>
        <w:jc w:val="both"/>
        <w:rPr>
          <w:rFonts w:ascii="Times New Roman" w:hAnsi="Times New Roman" w:cs="Times New Roman"/>
          <w:sz w:val="24"/>
          <w:szCs w:val="24"/>
        </w:rPr>
      </w:pPr>
      <w:r w:rsidRPr="00633318">
        <w:rPr>
          <w:rFonts w:ascii="Times New Roman" w:hAnsi="Times New Roman" w:cs="Times New Roman"/>
          <w:b/>
          <w:sz w:val="24"/>
          <w:szCs w:val="24"/>
        </w:rPr>
        <w:t xml:space="preserve">Art. </w:t>
      </w:r>
      <w:r w:rsidR="00830F96" w:rsidRPr="00633318">
        <w:rPr>
          <w:rFonts w:ascii="Times New Roman" w:hAnsi="Times New Roman" w:cs="Times New Roman"/>
          <w:b/>
          <w:sz w:val="24"/>
          <w:szCs w:val="24"/>
        </w:rPr>
        <w:t>14</w:t>
      </w:r>
      <w:r w:rsidR="00231255" w:rsidRPr="00633318">
        <w:rPr>
          <w:rFonts w:ascii="Times New Roman" w:hAnsi="Times New Roman" w:cs="Times New Roman"/>
          <w:b/>
          <w:sz w:val="24"/>
          <w:szCs w:val="24"/>
        </w:rPr>
        <w:t>8</w:t>
      </w:r>
      <w:r w:rsidR="00830F96" w:rsidRPr="00633318">
        <w:rPr>
          <w:rFonts w:ascii="Times New Roman" w:hAnsi="Times New Roman" w:cs="Times New Roman"/>
          <w:sz w:val="24"/>
          <w:szCs w:val="24"/>
        </w:rPr>
        <w:t xml:space="preserve"> </w:t>
      </w:r>
      <w:r w:rsidRPr="00633318">
        <w:rPr>
          <w:rFonts w:ascii="Times New Roman" w:hAnsi="Times New Roman" w:cs="Times New Roman"/>
          <w:sz w:val="24"/>
          <w:szCs w:val="24"/>
        </w:rPr>
        <w:t>recypuje treść Wytycznych z lipca 2023 r.</w:t>
      </w:r>
      <w:r w:rsidRPr="00633318">
        <w:rPr>
          <w:rStyle w:val="Odwoanieprzypisudolnego"/>
          <w:rFonts w:ascii="Times New Roman" w:hAnsi="Times New Roman" w:cs="Times New Roman"/>
          <w:bCs/>
          <w:sz w:val="24"/>
          <w:szCs w:val="24"/>
        </w:rPr>
        <w:footnoteReference w:id="177"/>
      </w:r>
      <w:r w:rsidRPr="00633318">
        <w:rPr>
          <w:rFonts w:ascii="Times New Roman" w:hAnsi="Times New Roman" w:cs="Times New Roman"/>
          <w:sz w:val="24"/>
          <w:szCs w:val="24"/>
        </w:rPr>
        <w:t xml:space="preserve"> </w:t>
      </w:r>
      <w:r w:rsidR="003A5B14" w:rsidRPr="00633318">
        <w:rPr>
          <w:rFonts w:ascii="Times New Roman" w:hAnsi="Times New Roman" w:cs="Times New Roman"/>
          <w:sz w:val="24"/>
          <w:szCs w:val="24"/>
        </w:rPr>
        <w:t>W świetle tego przepisu,</w:t>
      </w:r>
      <w:r w:rsidRPr="00633318">
        <w:rPr>
          <w:rFonts w:ascii="Times New Roman" w:hAnsi="Times New Roman" w:cs="Times New Roman"/>
          <w:sz w:val="24"/>
          <w:szCs w:val="24"/>
        </w:rPr>
        <w:t xml:space="preserve"> pierwszy rok podatkowy jednostki zbywającej, o którym mowa w </w:t>
      </w:r>
      <w:r w:rsidRPr="00633318">
        <w:rPr>
          <w:rFonts w:ascii="Times New Roman" w:hAnsi="Times New Roman" w:cs="Times New Roman"/>
          <w:bCs/>
          <w:sz w:val="24"/>
          <w:szCs w:val="24"/>
        </w:rPr>
        <w:t xml:space="preserve">art. </w:t>
      </w:r>
      <w:r w:rsidR="00830F96" w:rsidRPr="00633318">
        <w:rPr>
          <w:rFonts w:ascii="Times New Roman" w:hAnsi="Times New Roman" w:cs="Times New Roman"/>
          <w:bCs/>
          <w:sz w:val="24"/>
          <w:szCs w:val="24"/>
        </w:rPr>
        <w:t xml:space="preserve">130 </w:t>
      </w:r>
      <w:r w:rsidRPr="00633318">
        <w:rPr>
          <w:rFonts w:ascii="Times New Roman" w:hAnsi="Times New Roman" w:cs="Times New Roman"/>
          <w:bCs/>
          <w:sz w:val="24"/>
          <w:szCs w:val="24"/>
        </w:rPr>
        <w:t xml:space="preserve">ust. 1, nie obejmuje roku podatkowego, za który w odniesieniu do tej jednostki stosuje się zwolnienie, o którym mowa w art. </w:t>
      </w:r>
      <w:r w:rsidR="00830F96" w:rsidRPr="00633318">
        <w:rPr>
          <w:rFonts w:ascii="Times New Roman" w:hAnsi="Times New Roman" w:cs="Times New Roman"/>
          <w:bCs/>
          <w:sz w:val="24"/>
          <w:szCs w:val="24"/>
        </w:rPr>
        <w:t>14</w:t>
      </w:r>
      <w:r w:rsidR="00231255" w:rsidRPr="00633318">
        <w:rPr>
          <w:rFonts w:ascii="Times New Roman" w:hAnsi="Times New Roman" w:cs="Times New Roman"/>
          <w:bCs/>
          <w:sz w:val="24"/>
          <w:szCs w:val="24"/>
        </w:rPr>
        <w:t>6</w:t>
      </w:r>
      <w:r w:rsidR="00830F96" w:rsidRPr="00633318">
        <w:rPr>
          <w:rFonts w:ascii="Times New Roman" w:hAnsi="Times New Roman" w:cs="Times New Roman"/>
          <w:sz w:val="24"/>
          <w:szCs w:val="24"/>
        </w:rPr>
        <w:t xml:space="preserve"> </w:t>
      </w:r>
      <w:r w:rsidR="003A5B14" w:rsidRPr="00633318">
        <w:rPr>
          <w:rFonts w:ascii="Times New Roman" w:hAnsi="Times New Roman" w:cs="Times New Roman"/>
          <w:sz w:val="24"/>
          <w:szCs w:val="24"/>
        </w:rPr>
        <w:t>(bezpieczną przystań CbCR)</w:t>
      </w:r>
      <w:r w:rsidRPr="00633318">
        <w:rPr>
          <w:rFonts w:ascii="Times New Roman" w:hAnsi="Times New Roman" w:cs="Times New Roman"/>
          <w:sz w:val="24"/>
          <w:szCs w:val="24"/>
        </w:rPr>
        <w:t xml:space="preserve">. </w:t>
      </w:r>
    </w:p>
    <w:p w14:paraId="0240EBC2" w14:textId="2E059EBE" w:rsidR="005B114B" w:rsidRPr="00633318" w:rsidRDefault="005B114B" w:rsidP="00320A30">
      <w:pPr>
        <w:pStyle w:val="Nagwek4"/>
        <w:spacing w:before="240"/>
        <w:jc w:val="both"/>
        <w:rPr>
          <w:rFonts w:ascii="Times New Roman" w:hAnsi="Times New Roman" w:cs="Times New Roman"/>
          <w:sz w:val="24"/>
          <w:szCs w:val="24"/>
        </w:rPr>
      </w:pPr>
      <w:r w:rsidRPr="00633318">
        <w:rPr>
          <w:rFonts w:ascii="Times New Roman" w:hAnsi="Times New Roman" w:cs="Times New Roman"/>
          <w:sz w:val="24"/>
          <w:szCs w:val="24"/>
        </w:rPr>
        <w:t>Oddział 2 - Alokacja podatków kwalifikowanych przy mieszanych systemach opodatkowania zagranicznych jednostek kontrolowanych</w:t>
      </w:r>
    </w:p>
    <w:p w14:paraId="507D814C" w14:textId="2477A524" w:rsidR="00F67446" w:rsidRPr="00633318" w:rsidRDefault="00F67446" w:rsidP="00320A30">
      <w:pPr>
        <w:pStyle w:val="Nagwek5"/>
        <w:rPr>
          <w:rFonts w:ascii="Times New Roman" w:eastAsia="Times New Roman" w:hAnsi="Times New Roman" w:cs="Times New Roman"/>
          <w:sz w:val="24"/>
          <w:szCs w:val="24"/>
        </w:rPr>
      </w:pPr>
      <w:r w:rsidRPr="00633318">
        <w:rPr>
          <w:rFonts w:ascii="Times New Roman" w:eastAsia="Times New Roman" w:hAnsi="Times New Roman" w:cs="Times New Roman"/>
          <w:sz w:val="24"/>
          <w:szCs w:val="24"/>
        </w:rPr>
        <w:t>Art. 14</w:t>
      </w:r>
      <w:r w:rsidR="00231255" w:rsidRPr="00633318">
        <w:rPr>
          <w:rFonts w:ascii="Times New Roman" w:eastAsia="Times New Roman" w:hAnsi="Times New Roman" w:cs="Times New Roman"/>
          <w:sz w:val="24"/>
          <w:szCs w:val="24"/>
        </w:rPr>
        <w:t>9</w:t>
      </w:r>
      <w:r w:rsidRPr="00633318">
        <w:rPr>
          <w:rFonts w:ascii="Times New Roman" w:eastAsia="Times New Roman" w:hAnsi="Times New Roman" w:cs="Times New Roman"/>
          <w:sz w:val="24"/>
          <w:szCs w:val="24"/>
        </w:rPr>
        <w:t xml:space="preserve"> -15</w:t>
      </w:r>
      <w:r w:rsidR="00231255" w:rsidRPr="00633318">
        <w:rPr>
          <w:rFonts w:ascii="Times New Roman" w:eastAsia="Times New Roman" w:hAnsi="Times New Roman" w:cs="Times New Roman"/>
          <w:sz w:val="24"/>
          <w:szCs w:val="24"/>
        </w:rPr>
        <w:t>1</w:t>
      </w:r>
      <w:r w:rsidRPr="00633318">
        <w:rPr>
          <w:rFonts w:ascii="Times New Roman" w:eastAsia="Times New Roman" w:hAnsi="Times New Roman" w:cs="Times New Roman"/>
          <w:sz w:val="24"/>
          <w:szCs w:val="24"/>
        </w:rPr>
        <w:t xml:space="preserve"> [Mieszany system opodatkowania CFC]</w:t>
      </w:r>
    </w:p>
    <w:p w14:paraId="79D612A7" w14:textId="6208FFD7" w:rsidR="00F67446" w:rsidRPr="00633318" w:rsidRDefault="00F67446" w:rsidP="00F67446">
      <w:pPr>
        <w:jc w:val="both"/>
        <w:rPr>
          <w:rFonts w:ascii="Times New Roman" w:eastAsia="Calibri" w:hAnsi="Times New Roman" w:cs="Times New Roman"/>
          <w:iCs/>
          <w:sz w:val="24"/>
          <w:szCs w:val="24"/>
        </w:rPr>
      </w:pPr>
      <w:r w:rsidRPr="00633318">
        <w:rPr>
          <w:rFonts w:ascii="Times New Roman" w:eastAsia="Calibri" w:hAnsi="Times New Roman" w:cs="Times New Roman"/>
          <w:sz w:val="24"/>
          <w:szCs w:val="24"/>
        </w:rPr>
        <w:t>Art. 14</w:t>
      </w:r>
      <w:r w:rsidR="00231255" w:rsidRPr="00633318">
        <w:rPr>
          <w:rFonts w:ascii="Times New Roman" w:eastAsia="Calibri" w:hAnsi="Times New Roman" w:cs="Times New Roman"/>
          <w:sz w:val="24"/>
          <w:szCs w:val="24"/>
        </w:rPr>
        <w:t>9</w:t>
      </w:r>
      <w:r w:rsidRPr="00633318">
        <w:rPr>
          <w:rFonts w:ascii="Times New Roman" w:eastAsia="Calibri" w:hAnsi="Times New Roman" w:cs="Times New Roman"/>
          <w:sz w:val="24"/>
          <w:szCs w:val="24"/>
        </w:rPr>
        <w:t>-15</w:t>
      </w:r>
      <w:r w:rsidR="00231255" w:rsidRPr="00633318">
        <w:rPr>
          <w:rFonts w:ascii="Times New Roman" w:eastAsia="Calibri" w:hAnsi="Times New Roman" w:cs="Times New Roman"/>
          <w:sz w:val="24"/>
          <w:szCs w:val="24"/>
        </w:rPr>
        <w:t>1</w:t>
      </w:r>
      <w:r w:rsidRPr="00633318">
        <w:rPr>
          <w:rFonts w:ascii="Times New Roman" w:eastAsia="Calibri" w:hAnsi="Times New Roman" w:cs="Times New Roman"/>
          <w:sz w:val="24"/>
          <w:szCs w:val="24"/>
        </w:rPr>
        <w:t xml:space="preserve"> stanowią wdrożenie Wytycznych Administracyjnych z lutego oraz grudnia 2023 r., określających specjalne zasady przypisywania podatków kwalifikowanych, które znajdują zastosowanie do jednostek </w:t>
      </w:r>
      <w:r w:rsidR="00276EE0" w:rsidRPr="00633318">
        <w:rPr>
          <w:rFonts w:ascii="Times New Roman" w:eastAsia="Calibri" w:hAnsi="Times New Roman" w:cs="Times New Roman"/>
          <w:sz w:val="24"/>
          <w:szCs w:val="24"/>
        </w:rPr>
        <w:t>zlokalizowanych</w:t>
      </w:r>
      <w:r w:rsidRPr="00633318">
        <w:rPr>
          <w:rFonts w:ascii="Times New Roman" w:eastAsia="Calibri" w:hAnsi="Times New Roman" w:cs="Times New Roman"/>
          <w:sz w:val="24"/>
          <w:szCs w:val="24"/>
        </w:rPr>
        <w:t xml:space="preserve"> w jurysdykcjach, gdzie obowiązuje tzw. mieszany system opodatkowania zagranicznych jednostek kontrolowanych. Definicję analizowanego reżimu opodatkowania przedstawiono w art. 14</w:t>
      </w:r>
      <w:r w:rsidR="00231255" w:rsidRPr="00633318">
        <w:rPr>
          <w:rFonts w:ascii="Times New Roman" w:eastAsia="Calibri" w:hAnsi="Times New Roman" w:cs="Times New Roman"/>
          <w:sz w:val="24"/>
          <w:szCs w:val="24"/>
        </w:rPr>
        <w:t>9</w:t>
      </w:r>
      <w:r w:rsidRPr="00633318">
        <w:rPr>
          <w:rFonts w:ascii="Times New Roman" w:eastAsia="Calibri" w:hAnsi="Times New Roman" w:cs="Times New Roman"/>
          <w:sz w:val="24"/>
          <w:szCs w:val="24"/>
        </w:rPr>
        <w:t xml:space="preserve"> ust. 1. Wskazuje ona na szczególną konstrukcję systemu opodatkowania poszczególnych jednostek objętych zakresem zastosowania niniejszej ustawy z tytułu dochodu uzyskiwanego za pośrednictwem </w:t>
      </w:r>
      <w:r w:rsidR="00276EE0" w:rsidRPr="00633318">
        <w:rPr>
          <w:rFonts w:ascii="Times New Roman" w:eastAsia="Calibri" w:hAnsi="Times New Roman" w:cs="Times New Roman"/>
          <w:sz w:val="24"/>
          <w:szCs w:val="24"/>
        </w:rPr>
        <w:t xml:space="preserve">jednostek </w:t>
      </w:r>
      <w:r w:rsidRPr="00633318">
        <w:rPr>
          <w:rFonts w:ascii="Times New Roman" w:eastAsia="Calibri" w:hAnsi="Times New Roman" w:cs="Times New Roman"/>
          <w:sz w:val="24"/>
          <w:szCs w:val="24"/>
        </w:rPr>
        <w:t>uznawanych na mocy przepis</w:t>
      </w:r>
      <w:r w:rsidR="00F3037E" w:rsidRPr="00633318">
        <w:rPr>
          <w:rFonts w:ascii="Times New Roman" w:eastAsia="Calibri" w:hAnsi="Times New Roman" w:cs="Times New Roman"/>
          <w:sz w:val="24"/>
          <w:szCs w:val="24"/>
        </w:rPr>
        <w:t>ów</w:t>
      </w:r>
      <w:r w:rsidRPr="00633318">
        <w:rPr>
          <w:rFonts w:ascii="Times New Roman" w:eastAsia="Calibri" w:hAnsi="Times New Roman" w:cs="Times New Roman"/>
          <w:sz w:val="24"/>
          <w:szCs w:val="24"/>
        </w:rPr>
        <w:t xml:space="preserve"> podatkowych obowiązujących w dan</w:t>
      </w:r>
      <w:r w:rsidR="0039264D" w:rsidRPr="00633318">
        <w:rPr>
          <w:rFonts w:ascii="Times New Roman" w:eastAsia="Calibri" w:hAnsi="Times New Roman" w:cs="Times New Roman"/>
          <w:sz w:val="24"/>
          <w:szCs w:val="24"/>
        </w:rPr>
        <w:t>ej</w:t>
      </w:r>
      <w:r w:rsidRPr="00633318">
        <w:rPr>
          <w:rFonts w:ascii="Times New Roman" w:eastAsia="Calibri" w:hAnsi="Times New Roman" w:cs="Times New Roman"/>
          <w:sz w:val="24"/>
          <w:szCs w:val="24"/>
        </w:rPr>
        <w:t xml:space="preserve"> </w:t>
      </w:r>
      <w:r w:rsidR="0039264D" w:rsidRPr="00633318">
        <w:rPr>
          <w:rFonts w:ascii="Times New Roman" w:hAnsi="Times New Roman" w:cs="Times New Roman"/>
          <w:sz w:val="24"/>
          <w:szCs w:val="24"/>
        </w:rPr>
        <w:t>jurysdykcji</w:t>
      </w:r>
      <w:r w:rsidRPr="00633318">
        <w:rPr>
          <w:rFonts w:ascii="Times New Roman" w:eastAsia="Calibri" w:hAnsi="Times New Roman" w:cs="Times New Roman"/>
          <w:sz w:val="24"/>
          <w:szCs w:val="24"/>
        </w:rPr>
        <w:t xml:space="preserve"> za zagraniczne jednostki kontrolowane (dalej określanych również </w:t>
      </w:r>
      <w:r w:rsidRPr="00633318">
        <w:rPr>
          <w:rFonts w:ascii="Times New Roman" w:eastAsia="Calibri" w:hAnsi="Times New Roman" w:cs="Times New Roman"/>
          <w:b/>
          <w:bCs/>
          <w:sz w:val="24"/>
          <w:szCs w:val="24"/>
        </w:rPr>
        <w:t>ZJK</w:t>
      </w:r>
      <w:r w:rsidRPr="00633318">
        <w:rPr>
          <w:rFonts w:ascii="Times New Roman" w:eastAsia="Calibri" w:hAnsi="Times New Roman" w:cs="Times New Roman"/>
          <w:sz w:val="24"/>
          <w:szCs w:val="24"/>
        </w:rPr>
        <w:t>). W ramach mieszanych systemów opodatkowania zagranicznych jednostek kontrolowanych weryfikacj</w:t>
      </w:r>
      <w:r w:rsidR="00276EE0" w:rsidRPr="00633318">
        <w:rPr>
          <w:rFonts w:ascii="Times New Roman" w:eastAsia="Calibri" w:hAnsi="Times New Roman" w:cs="Times New Roman"/>
          <w:sz w:val="24"/>
          <w:szCs w:val="24"/>
        </w:rPr>
        <w:t>i</w:t>
      </w:r>
      <w:r w:rsidRPr="00633318">
        <w:rPr>
          <w:rFonts w:ascii="Times New Roman" w:eastAsia="Calibri" w:hAnsi="Times New Roman" w:cs="Times New Roman"/>
          <w:sz w:val="24"/>
          <w:szCs w:val="24"/>
        </w:rPr>
        <w:t xml:space="preserve"> powstania zobowiązania podatkowego nie dokonuje się - w odróżnieniu od obowiązującego w rodzimej ustawie CIT art. 24a - na zasadzie jednostkowej, tj. każdorazowo w odniesieniu do działalności konkretne</w:t>
      </w:r>
      <w:r w:rsidR="00276EE0" w:rsidRPr="00633318">
        <w:rPr>
          <w:rFonts w:ascii="Times New Roman" w:eastAsia="Calibri" w:hAnsi="Times New Roman" w:cs="Times New Roman"/>
          <w:sz w:val="24"/>
          <w:szCs w:val="24"/>
        </w:rPr>
        <w:t>j</w:t>
      </w:r>
      <w:r w:rsidRPr="00633318">
        <w:rPr>
          <w:rFonts w:ascii="Times New Roman" w:eastAsia="Calibri" w:hAnsi="Times New Roman" w:cs="Times New Roman"/>
          <w:sz w:val="24"/>
          <w:szCs w:val="24"/>
        </w:rPr>
        <w:t xml:space="preserve"> </w:t>
      </w:r>
      <w:r w:rsidR="00276EE0" w:rsidRPr="00633318">
        <w:rPr>
          <w:rFonts w:ascii="Times New Roman" w:eastAsia="Calibri" w:hAnsi="Times New Roman" w:cs="Times New Roman"/>
          <w:sz w:val="24"/>
          <w:szCs w:val="24"/>
        </w:rPr>
        <w:t>jednostki</w:t>
      </w:r>
      <w:r w:rsidRPr="00633318">
        <w:rPr>
          <w:rFonts w:ascii="Times New Roman" w:eastAsia="Calibri" w:hAnsi="Times New Roman" w:cs="Times New Roman"/>
          <w:sz w:val="24"/>
          <w:szCs w:val="24"/>
        </w:rPr>
        <w:t xml:space="preserve"> mające</w:t>
      </w:r>
      <w:r w:rsidR="00276EE0" w:rsidRPr="00633318">
        <w:rPr>
          <w:rFonts w:ascii="Times New Roman" w:eastAsia="Calibri" w:hAnsi="Times New Roman" w:cs="Times New Roman"/>
          <w:sz w:val="24"/>
          <w:szCs w:val="24"/>
        </w:rPr>
        <w:t>j</w:t>
      </w:r>
      <w:r w:rsidRPr="00633318">
        <w:rPr>
          <w:rFonts w:ascii="Times New Roman" w:eastAsia="Calibri" w:hAnsi="Times New Roman" w:cs="Times New Roman"/>
          <w:sz w:val="24"/>
          <w:szCs w:val="24"/>
        </w:rPr>
        <w:t xml:space="preserve"> status </w:t>
      </w:r>
      <w:r w:rsidR="00276EE0" w:rsidRPr="00633318">
        <w:rPr>
          <w:rFonts w:ascii="Times New Roman" w:eastAsia="Calibri" w:hAnsi="Times New Roman" w:cs="Times New Roman"/>
          <w:sz w:val="24"/>
          <w:szCs w:val="24"/>
        </w:rPr>
        <w:t>ZJK</w:t>
      </w:r>
      <w:r w:rsidRPr="00633318">
        <w:rPr>
          <w:rFonts w:ascii="Times New Roman" w:eastAsia="Calibri" w:hAnsi="Times New Roman" w:cs="Times New Roman"/>
          <w:sz w:val="24"/>
          <w:szCs w:val="24"/>
        </w:rPr>
        <w:t xml:space="preserve">. W mieszanych systemach opodatkowania </w:t>
      </w:r>
      <w:r w:rsidR="00276EE0" w:rsidRPr="00633318">
        <w:rPr>
          <w:rFonts w:ascii="Times New Roman" w:eastAsia="Calibri" w:hAnsi="Times New Roman" w:cs="Times New Roman"/>
          <w:sz w:val="24"/>
          <w:szCs w:val="24"/>
        </w:rPr>
        <w:t>ZJK</w:t>
      </w:r>
      <w:r w:rsidRPr="00633318">
        <w:rPr>
          <w:rFonts w:ascii="Times New Roman" w:eastAsia="Calibri" w:hAnsi="Times New Roman" w:cs="Times New Roman"/>
          <w:sz w:val="24"/>
          <w:szCs w:val="24"/>
        </w:rPr>
        <w:t xml:space="preserve"> dąży się do zapewnienia</w:t>
      </w:r>
      <w:r w:rsidRPr="00633318">
        <w:rPr>
          <w:rFonts w:ascii="Times New Roman" w:eastAsia="Calibri" w:hAnsi="Times New Roman" w:cs="Times New Roman"/>
          <w:iCs/>
          <w:sz w:val="24"/>
          <w:szCs w:val="24"/>
        </w:rPr>
        <w:t>, aby łączny dochód ze źródeł zagranicznych, będący w faktycznym posiadaniu podatnika poprzez ZJK, został objęty minimalnym poziomem opodatkowania. Weryfikacj</w:t>
      </w:r>
      <w:r w:rsidR="00276EE0" w:rsidRPr="00633318">
        <w:rPr>
          <w:rFonts w:ascii="Times New Roman" w:eastAsia="Calibri" w:hAnsi="Times New Roman" w:cs="Times New Roman"/>
          <w:iCs/>
          <w:sz w:val="24"/>
          <w:szCs w:val="24"/>
        </w:rPr>
        <w:t>i</w:t>
      </w:r>
      <w:r w:rsidRPr="00633318">
        <w:rPr>
          <w:rFonts w:ascii="Times New Roman" w:eastAsia="Calibri" w:hAnsi="Times New Roman" w:cs="Times New Roman"/>
          <w:iCs/>
          <w:sz w:val="24"/>
          <w:szCs w:val="24"/>
        </w:rPr>
        <w:t xml:space="preserve"> tej okoliczności dokonuje się w drodze łączenia dochodu, straty oraz uwzględnienia podatków zapłaconych przez wszystkie ZJK, których udziałowcem bądź uczestnikiem o analogicznym charakterze pozostaje podatnik zlokalizowany w jurysdykcji stosującej mieszany system opodatkowania ZJK. </w:t>
      </w:r>
    </w:p>
    <w:p w14:paraId="24968CE7" w14:textId="58BA7EB2" w:rsidR="00F67446" w:rsidRPr="00633318" w:rsidRDefault="00F67446" w:rsidP="00F67446">
      <w:pPr>
        <w:jc w:val="both"/>
        <w:rPr>
          <w:rFonts w:ascii="Times New Roman" w:eastAsia="Calibri" w:hAnsi="Times New Roman" w:cs="Times New Roman"/>
          <w:iCs/>
          <w:sz w:val="24"/>
          <w:szCs w:val="24"/>
        </w:rPr>
      </w:pPr>
      <w:r w:rsidRPr="00633318">
        <w:rPr>
          <w:rFonts w:ascii="Times New Roman" w:eastAsia="Calibri" w:hAnsi="Times New Roman" w:cs="Times New Roman"/>
          <w:iCs/>
          <w:sz w:val="24"/>
          <w:szCs w:val="24"/>
        </w:rPr>
        <w:t xml:space="preserve">Łączenie atrybutów podatkowych wszystkich ZJK powoduje, że zastosowanie do </w:t>
      </w:r>
      <w:r w:rsidR="00276EE0" w:rsidRPr="00633318">
        <w:rPr>
          <w:rFonts w:ascii="Times New Roman" w:eastAsia="Calibri" w:hAnsi="Times New Roman" w:cs="Times New Roman"/>
          <w:iCs/>
          <w:sz w:val="24"/>
          <w:szCs w:val="24"/>
        </w:rPr>
        <w:t xml:space="preserve">jednostki </w:t>
      </w:r>
      <w:r w:rsidRPr="00633318">
        <w:rPr>
          <w:rFonts w:ascii="Times New Roman" w:eastAsia="Calibri" w:hAnsi="Times New Roman" w:cs="Times New Roman"/>
          <w:iCs/>
          <w:sz w:val="24"/>
          <w:szCs w:val="24"/>
        </w:rPr>
        <w:t>podlegające</w:t>
      </w:r>
      <w:r w:rsidR="00276EE0" w:rsidRPr="00633318">
        <w:rPr>
          <w:rFonts w:ascii="Times New Roman" w:eastAsia="Calibri" w:hAnsi="Times New Roman" w:cs="Times New Roman"/>
          <w:iCs/>
          <w:sz w:val="24"/>
          <w:szCs w:val="24"/>
        </w:rPr>
        <w:t>j</w:t>
      </w:r>
      <w:r w:rsidRPr="00633318">
        <w:rPr>
          <w:rFonts w:ascii="Times New Roman" w:eastAsia="Calibri" w:hAnsi="Times New Roman" w:cs="Times New Roman"/>
          <w:iCs/>
          <w:sz w:val="24"/>
          <w:szCs w:val="24"/>
        </w:rPr>
        <w:t xml:space="preserve"> opodatkowaniu w ramach mieszanego systemu opodatkowania ZJK regulacji art. 93 ust. 1 pkt 3  -  której treścią jest przypisanie podatku kwalifikowanego zapłaconego w odniesieniu do dochodu danej ZJ</w:t>
      </w:r>
      <w:r w:rsidR="00276EE0" w:rsidRPr="00633318">
        <w:rPr>
          <w:rFonts w:ascii="Times New Roman" w:eastAsia="Calibri" w:hAnsi="Times New Roman" w:cs="Times New Roman"/>
          <w:iCs/>
          <w:sz w:val="24"/>
          <w:szCs w:val="24"/>
        </w:rPr>
        <w:t>K</w:t>
      </w:r>
      <w:r w:rsidRPr="00633318">
        <w:rPr>
          <w:rFonts w:ascii="Times New Roman" w:eastAsia="Calibri" w:hAnsi="Times New Roman" w:cs="Times New Roman"/>
          <w:iCs/>
          <w:sz w:val="24"/>
          <w:szCs w:val="24"/>
        </w:rPr>
        <w:t xml:space="preserve"> do tej jednostki - byłoby utrudnione bądź zupełnie niemożliwe. Uwzględniając zidentyfikowane problemy, jak również w trosce o zwiększenie pewności podatkowej oraz ułatwienie administrowania Systemem GloBE, opracowano specjalną, uproszczoną metodologię alokacji podatku kwalifikowanego obciążającego jednostkę składową w ramach analizowanego reżimu opodatkowania dochodów ZJK. Przy czym przewiduję się, iż zaprojektowany uproszczony sposób przypisania podatku kwalifikowanego do ZJK będzie stosowany wyłącznie w odniesieniu do lat podatkowych, które rozpoczynają się w 31 grudnia 2025 r</w:t>
      </w:r>
      <w:r w:rsidR="00231255" w:rsidRPr="00633318">
        <w:rPr>
          <w:rFonts w:ascii="Times New Roman" w:eastAsia="Calibri" w:hAnsi="Times New Roman" w:cs="Times New Roman"/>
          <w:iCs/>
          <w:sz w:val="24"/>
          <w:szCs w:val="24"/>
        </w:rPr>
        <w:t>.</w:t>
      </w:r>
      <w:r w:rsidRPr="00633318">
        <w:rPr>
          <w:rFonts w:ascii="Times New Roman" w:eastAsia="Calibri" w:hAnsi="Times New Roman" w:cs="Times New Roman"/>
          <w:iCs/>
          <w:sz w:val="24"/>
          <w:szCs w:val="24"/>
        </w:rPr>
        <w:t xml:space="preserve"> lub wcześniej i kończą się do 30 czerwca 2027 r.</w:t>
      </w:r>
    </w:p>
    <w:p w14:paraId="3EA833B0" w14:textId="7AF0C78F" w:rsidR="00F67446" w:rsidRPr="00633318" w:rsidRDefault="00F67446" w:rsidP="00F67446">
      <w:pPr>
        <w:jc w:val="both"/>
        <w:rPr>
          <w:rFonts w:ascii="Times New Roman" w:eastAsia="Times New Roman" w:hAnsi="Times New Roman" w:cs="Times New Roman"/>
          <w:sz w:val="24"/>
          <w:szCs w:val="24"/>
          <w:lang w:eastAsia="pl-PL"/>
        </w:rPr>
      </w:pPr>
      <w:r w:rsidRPr="00633318">
        <w:rPr>
          <w:rFonts w:ascii="Times New Roman" w:eastAsia="Calibri" w:hAnsi="Times New Roman" w:cs="Times New Roman"/>
          <w:iCs/>
          <w:sz w:val="24"/>
          <w:szCs w:val="24"/>
        </w:rPr>
        <w:t xml:space="preserve">Punktem wyjścia dla ustalenia kwoty podatku kwalifikowanego przypisywanego do ZJK w jurysdykcjach, w których funkcjonuje mieszany system opodatkowania ZJK, jest określenie klucza przydziału. Zgodnie ze wzorem wskazanym w ust. 1 jest on ustalany dla każdej zagranicznej jednostki </w:t>
      </w:r>
      <w:r w:rsidR="00025F53" w:rsidRPr="00633318">
        <w:rPr>
          <w:rFonts w:ascii="Times New Roman" w:eastAsia="Calibri" w:hAnsi="Times New Roman" w:cs="Times New Roman"/>
          <w:iCs/>
          <w:sz w:val="24"/>
          <w:szCs w:val="24"/>
        </w:rPr>
        <w:t xml:space="preserve">kontrolowanej </w:t>
      </w:r>
      <w:r w:rsidRPr="00633318">
        <w:rPr>
          <w:rFonts w:ascii="Times New Roman" w:eastAsia="Calibri" w:hAnsi="Times New Roman" w:cs="Times New Roman"/>
          <w:iCs/>
          <w:sz w:val="24"/>
          <w:szCs w:val="24"/>
        </w:rPr>
        <w:t>w drodze pomnożenia przypisywanego jednostce składowej, jednostce joint venture bądź jednostce zależnej joint venture kwoty dochodu ZJK przez różnicę między stosowaną stawką a efektywną stawką podatkową. Stosowana stawka to wartość wyrażająca przyjęty minimalny poziom opodatkowania, jakiemu powinny podlegać dochody ZJK. Natomiast efektywna stawka podatkowa w kluczu przydziału posiada znaczenie określone w</w:t>
      </w:r>
      <w:r w:rsidRPr="00633318">
        <w:rPr>
          <w:rFonts w:ascii="Times New Roman" w:eastAsia="Times New Roman" w:hAnsi="Times New Roman" w:cs="Times New Roman"/>
          <w:sz w:val="24"/>
          <w:szCs w:val="24"/>
          <w:lang w:eastAsia="pl-PL"/>
        </w:rPr>
        <w:t xml:space="preserve"> art. 11 ust. 4, z tą różnica, że na potrzeby ustalenia klucza przydziału nie uwzględnia się podatków kwalifikowanych wynikających z przepisów o kontrolowanych jednostkach zagranicznych, co wynika z ust. 6 pkt 1.</w:t>
      </w:r>
    </w:p>
    <w:p w14:paraId="55D3C280" w14:textId="6BCACBC4" w:rsidR="00F67446" w:rsidRPr="00633318" w:rsidRDefault="00F67446" w:rsidP="00F67446">
      <w:pPr>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Należy mieć na względzie, iż w określonych sytuacjach dla jednostek tej samej grupy międzynarodowej zlokalizowanych w jedn</w:t>
      </w:r>
      <w:r w:rsidR="0039264D"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w:t>
      </w:r>
      <w:r w:rsidR="0039264D" w:rsidRPr="00633318">
        <w:rPr>
          <w:rFonts w:ascii="Times New Roman" w:hAnsi="Times New Roman" w:cs="Times New Roman"/>
          <w:sz w:val="24"/>
          <w:szCs w:val="24"/>
        </w:rPr>
        <w:t>jurysdykcji</w:t>
      </w:r>
      <w:r w:rsidRPr="00633318">
        <w:rPr>
          <w:rFonts w:ascii="Times New Roman" w:eastAsia="Times New Roman" w:hAnsi="Times New Roman" w:cs="Times New Roman"/>
          <w:sz w:val="24"/>
          <w:szCs w:val="24"/>
          <w:lang w:eastAsia="pl-PL"/>
        </w:rPr>
        <w:t xml:space="preserve"> może powstać konieczność obliczenia kilku efektywnych stawek podatkowych. Z sytuacją tą będziemy mieli do czynienia, jeśli w dan</w:t>
      </w:r>
      <w:r w:rsidR="0039264D"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w:t>
      </w:r>
      <w:r w:rsidR="0039264D" w:rsidRPr="00633318">
        <w:rPr>
          <w:rFonts w:ascii="Times New Roman" w:eastAsia="Times New Roman" w:hAnsi="Times New Roman" w:cs="Times New Roman"/>
          <w:sz w:val="24"/>
          <w:szCs w:val="24"/>
          <w:lang w:eastAsia="pl-PL"/>
        </w:rPr>
        <w:t>jurysdykcji</w:t>
      </w:r>
      <w:r w:rsidRPr="00633318">
        <w:rPr>
          <w:rFonts w:ascii="Times New Roman" w:eastAsia="Times New Roman" w:hAnsi="Times New Roman" w:cs="Times New Roman"/>
          <w:sz w:val="24"/>
          <w:szCs w:val="24"/>
          <w:lang w:eastAsia="pl-PL"/>
        </w:rPr>
        <w:t xml:space="preserve"> grupa międzynarodowa posiada jednostki, względem których przepisy niniejszej ustawy przewidują szczególne sposoby określania efektywnej stawki podatkowej, takie jak jednostki joint venture, jednostki zależne joint venture, mniejszościowe jednostki składowe, lub jednostki inwestycyjne oraz ubezpieczeniowe jednostki inwestycyjne. W odniesieniu do takich sytuacji należy obliczyć klucz przydziału z uwzględnieniem stawki podatkowej określanej według przepisów właściwych dla danej kategorii jednostek</w:t>
      </w:r>
      <w:r w:rsidR="00025F53" w:rsidRPr="00633318">
        <w:rPr>
          <w:rFonts w:ascii="Times New Roman" w:eastAsia="Times New Roman" w:hAnsi="Times New Roman" w:cs="Times New Roman"/>
          <w:sz w:val="24"/>
          <w:szCs w:val="24"/>
          <w:lang w:eastAsia="pl-PL"/>
        </w:rPr>
        <w:t>.</w:t>
      </w:r>
    </w:p>
    <w:p w14:paraId="37D980FE" w14:textId="32EF55BC" w:rsidR="00F67446" w:rsidRPr="00633318" w:rsidRDefault="00F67446" w:rsidP="00F67446">
      <w:pPr>
        <w:jc w:val="both"/>
        <w:rPr>
          <w:rFonts w:ascii="Times New Roman" w:eastAsia="Calibri" w:hAnsi="Times New Roman" w:cs="Times New Roman"/>
          <w:iCs/>
          <w:sz w:val="24"/>
          <w:szCs w:val="24"/>
        </w:rPr>
      </w:pPr>
      <w:r w:rsidRPr="00633318">
        <w:rPr>
          <w:rFonts w:ascii="Times New Roman" w:eastAsia="Times New Roman" w:hAnsi="Times New Roman" w:cs="Times New Roman"/>
          <w:sz w:val="24"/>
          <w:szCs w:val="24"/>
          <w:lang w:eastAsia="pl-PL"/>
        </w:rPr>
        <w:t>Zgodnie z</w:t>
      </w:r>
      <w:r w:rsidR="00025F53" w:rsidRPr="00633318">
        <w:rPr>
          <w:rFonts w:ascii="Times New Roman" w:eastAsia="Times New Roman" w:hAnsi="Times New Roman" w:cs="Times New Roman"/>
          <w:sz w:val="24"/>
          <w:szCs w:val="24"/>
          <w:lang w:eastAsia="pl-PL"/>
        </w:rPr>
        <w:t xml:space="preserve"> art. 14</w:t>
      </w:r>
      <w:r w:rsidR="00231255" w:rsidRPr="00633318">
        <w:rPr>
          <w:rFonts w:ascii="Times New Roman" w:eastAsia="Times New Roman" w:hAnsi="Times New Roman" w:cs="Times New Roman"/>
          <w:sz w:val="24"/>
          <w:szCs w:val="24"/>
          <w:lang w:eastAsia="pl-PL"/>
        </w:rPr>
        <w:t>9</w:t>
      </w:r>
      <w:r w:rsidRPr="00633318">
        <w:rPr>
          <w:rFonts w:ascii="Times New Roman" w:eastAsia="Times New Roman" w:hAnsi="Times New Roman" w:cs="Times New Roman"/>
          <w:sz w:val="24"/>
          <w:szCs w:val="24"/>
          <w:lang w:eastAsia="pl-PL"/>
        </w:rPr>
        <w:t xml:space="preserve"> ust. 6 pkt 2 przy określeniu efektywnej stawki podatkowej kwalifikowane krajowe podatki wyrównawcze uwzględnia się jedynie w przypadku, gdy mieszany system opodatkowania </w:t>
      </w:r>
      <w:r w:rsidR="00276EE0" w:rsidRPr="00633318">
        <w:rPr>
          <w:rFonts w:ascii="Times New Roman" w:eastAsia="Times New Roman" w:hAnsi="Times New Roman" w:cs="Times New Roman"/>
          <w:sz w:val="24"/>
          <w:szCs w:val="24"/>
          <w:lang w:eastAsia="pl-PL"/>
        </w:rPr>
        <w:t>ZJK</w:t>
      </w:r>
      <w:r w:rsidRPr="00633318">
        <w:rPr>
          <w:rFonts w:ascii="Times New Roman" w:eastAsia="Times New Roman" w:hAnsi="Times New Roman" w:cs="Times New Roman"/>
          <w:sz w:val="24"/>
          <w:szCs w:val="24"/>
          <w:lang w:eastAsia="pl-PL"/>
        </w:rPr>
        <w:t xml:space="preserve"> obowiązujący w danej jurysdykcji umożliwia zaliczenie tego podatku na tych samych zasadach, jakie obowiązują względem każdego innego podatku kwalifikowanego. Jeśli zaś wyliczona efektywna stawka podatkowa jest równa lub wyższa od obowiązującej stawki podatkowej lub minimalnej stawki podatkowej, uznaje się, że wartość klucza przydziału</w:t>
      </w:r>
      <w:r w:rsidR="00025F53" w:rsidRPr="00633318">
        <w:rPr>
          <w:rFonts w:ascii="Times New Roman" w:eastAsia="Times New Roman" w:hAnsi="Times New Roman" w:cs="Times New Roman"/>
          <w:sz w:val="24"/>
          <w:szCs w:val="24"/>
          <w:lang w:eastAsia="pl-PL"/>
        </w:rPr>
        <w:t xml:space="preserve"> </w:t>
      </w:r>
      <w:r w:rsidRPr="00633318">
        <w:rPr>
          <w:rFonts w:ascii="Times New Roman" w:eastAsia="Times New Roman" w:hAnsi="Times New Roman" w:cs="Times New Roman"/>
          <w:sz w:val="24"/>
          <w:szCs w:val="24"/>
          <w:lang w:eastAsia="pl-PL"/>
        </w:rPr>
        <w:t>wynosi zero, o czym stanowi ust 2.</w:t>
      </w:r>
    </w:p>
    <w:p w14:paraId="2E36579B" w14:textId="28B8F48C" w:rsidR="00F67446" w:rsidRPr="00633318" w:rsidRDefault="00F67446" w:rsidP="00F67446">
      <w:pPr>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Wyliczenie wartości klucza przydziału umożliwia ustalenie kwoty podatku kwalifikowanego przypisywanego – na potrzeby określenia skorygowanych podatków kwalifikowanych – każdej z zagranicznych jednostek kontrolowanych.  Stosownie do postanowień art. 14</w:t>
      </w:r>
      <w:r w:rsidR="00231255" w:rsidRPr="00633318">
        <w:rPr>
          <w:rFonts w:ascii="Times New Roman" w:eastAsia="Times New Roman" w:hAnsi="Times New Roman" w:cs="Times New Roman"/>
          <w:sz w:val="24"/>
          <w:szCs w:val="24"/>
          <w:lang w:eastAsia="pl-PL"/>
        </w:rPr>
        <w:t>9</w:t>
      </w:r>
      <w:r w:rsidRPr="00633318">
        <w:rPr>
          <w:rFonts w:ascii="Times New Roman" w:eastAsia="Times New Roman" w:hAnsi="Times New Roman" w:cs="Times New Roman"/>
          <w:sz w:val="24"/>
          <w:szCs w:val="24"/>
          <w:lang w:eastAsia="pl-PL"/>
        </w:rPr>
        <w:t xml:space="preserve"> ust. 1 dokonuje się tego w drodze pomnożenia kwoty podatku kwalifikowanego przypisanego jednostce w ramach mieszanego systemu opodatkowania ZJK przez wartość klucza przydziału określonego dla danej zagranicznej jednostki kontrolowanej. Uzyskaną wartość należy następnie podzielić przez sumę kluczy przydziału określonych dla wszystkich zagranicznych jednostek kontrolowanych w odniesieniu do których dana jednostka będąca częścią grupy międzynarodowej podlega opodatkowaniu. Przy czym suma kluczy przydziału obejmuje każdorazowo klucze przydziału obliczone dla wszystkich ZJK, niezależnie od tego, że dla jednostek </w:t>
      </w:r>
      <w:r w:rsidR="00391687" w:rsidRPr="00633318">
        <w:rPr>
          <w:rFonts w:ascii="Times New Roman" w:eastAsia="Times New Roman" w:hAnsi="Times New Roman" w:cs="Times New Roman"/>
          <w:sz w:val="24"/>
          <w:szCs w:val="24"/>
          <w:lang w:eastAsia="pl-PL"/>
        </w:rPr>
        <w:t>zlokalizowanych</w:t>
      </w:r>
      <w:r w:rsidRPr="00633318">
        <w:rPr>
          <w:rFonts w:ascii="Times New Roman" w:eastAsia="Times New Roman" w:hAnsi="Times New Roman" w:cs="Times New Roman"/>
          <w:sz w:val="24"/>
          <w:szCs w:val="24"/>
          <w:lang w:eastAsia="pl-PL"/>
        </w:rPr>
        <w:t xml:space="preserve"> w t</w:t>
      </w:r>
      <w:r w:rsidR="0039264D"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sam</w:t>
      </w:r>
      <w:r w:rsidR="0039264D"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w:t>
      </w:r>
      <w:r w:rsidR="0039264D" w:rsidRPr="00633318">
        <w:rPr>
          <w:rFonts w:ascii="Times New Roman" w:hAnsi="Times New Roman" w:cs="Times New Roman"/>
          <w:sz w:val="24"/>
          <w:szCs w:val="24"/>
        </w:rPr>
        <w:t>jurysdykcji</w:t>
      </w:r>
      <w:r w:rsidRPr="00633318">
        <w:rPr>
          <w:rFonts w:ascii="Times New Roman" w:eastAsia="Times New Roman" w:hAnsi="Times New Roman" w:cs="Times New Roman"/>
          <w:sz w:val="24"/>
          <w:szCs w:val="24"/>
          <w:lang w:eastAsia="pl-PL"/>
        </w:rPr>
        <w:t xml:space="preserve"> określa się kilka efektywnych stawek podatkowych. Konieczność określenia kilku efektywnych stawek podatkowych, a co za tym idzie kilku kluczy przydziału powstaje, jeśli przepisy niniejszej ustawy przewidują konieczność ustalenia stawki podatkowej dla określonych kategorii jednostek odrębnie od pozostałych jednostek składowych </w:t>
      </w:r>
      <w:r w:rsidR="00391687" w:rsidRPr="00633318">
        <w:rPr>
          <w:rFonts w:ascii="Times New Roman" w:eastAsia="Times New Roman" w:hAnsi="Times New Roman" w:cs="Times New Roman"/>
          <w:sz w:val="24"/>
          <w:szCs w:val="24"/>
          <w:lang w:eastAsia="pl-PL"/>
        </w:rPr>
        <w:t>zlokalizowanych</w:t>
      </w:r>
      <w:r w:rsidRPr="00633318">
        <w:rPr>
          <w:rFonts w:ascii="Times New Roman" w:eastAsia="Times New Roman" w:hAnsi="Times New Roman" w:cs="Times New Roman"/>
          <w:sz w:val="24"/>
          <w:szCs w:val="24"/>
          <w:lang w:eastAsia="pl-PL"/>
        </w:rPr>
        <w:t xml:space="preserve"> w t</w:t>
      </w:r>
      <w:r w:rsidR="0039264D"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sam</w:t>
      </w:r>
      <w:r w:rsidR="0039264D"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w:t>
      </w:r>
      <w:r w:rsidR="0039264D" w:rsidRPr="00633318">
        <w:rPr>
          <w:rFonts w:ascii="Times New Roman" w:hAnsi="Times New Roman" w:cs="Times New Roman"/>
          <w:sz w:val="24"/>
          <w:szCs w:val="24"/>
        </w:rPr>
        <w:t>jurysdykcji</w:t>
      </w:r>
      <w:r w:rsidRPr="00633318">
        <w:rPr>
          <w:rFonts w:ascii="Times New Roman" w:eastAsia="Times New Roman" w:hAnsi="Times New Roman" w:cs="Times New Roman"/>
          <w:sz w:val="24"/>
          <w:szCs w:val="24"/>
          <w:lang w:eastAsia="pl-PL"/>
        </w:rPr>
        <w:t>. Sytuacja taka będzie mieć miejsce jeśli pośród jednostek składowych zlokalizowanych w dan</w:t>
      </w:r>
      <w:r w:rsidR="0039264D"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w:t>
      </w:r>
      <w:r w:rsidR="0039264D" w:rsidRPr="00633318">
        <w:rPr>
          <w:rFonts w:ascii="Times New Roman" w:eastAsia="Times New Roman" w:hAnsi="Times New Roman" w:cs="Times New Roman"/>
          <w:sz w:val="24"/>
          <w:szCs w:val="24"/>
          <w:lang w:eastAsia="pl-PL"/>
        </w:rPr>
        <w:t>jurysdykcji</w:t>
      </w:r>
      <w:r w:rsidRPr="00633318">
        <w:rPr>
          <w:rFonts w:ascii="Times New Roman" w:eastAsia="Times New Roman" w:hAnsi="Times New Roman" w:cs="Times New Roman"/>
          <w:sz w:val="24"/>
          <w:szCs w:val="24"/>
          <w:lang w:eastAsia="pl-PL"/>
        </w:rPr>
        <w:t xml:space="preserve"> występują jednostki o szczególnym charakterze - </w:t>
      </w:r>
      <w:r w:rsidRPr="00633318">
        <w:rPr>
          <w:rFonts w:ascii="Times New Roman" w:eastAsia="Calibri" w:hAnsi="Times New Roman" w:cs="Times New Roman"/>
          <w:sz w:val="24"/>
          <w:szCs w:val="24"/>
        </w:rPr>
        <w:t>jednostki inwestycyjne, ubezpieczeniowe jednostki inwestycyjne, jednostki joint venture, jednostki zależne joint venture bądź mniejszościowe jednostki składowe.</w:t>
      </w:r>
    </w:p>
    <w:p w14:paraId="75CBAC26" w14:textId="5A8A642B" w:rsidR="00F67446" w:rsidRPr="00633318" w:rsidRDefault="00F67446" w:rsidP="00F67446">
      <w:pPr>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b/>
          <w:bCs/>
          <w:sz w:val="24"/>
          <w:szCs w:val="24"/>
          <w:lang w:eastAsia="pl-PL"/>
        </w:rPr>
        <w:t xml:space="preserve">Art. </w:t>
      </w:r>
      <w:r w:rsidR="00231255" w:rsidRPr="00633318">
        <w:rPr>
          <w:rFonts w:ascii="Times New Roman" w:eastAsia="Times New Roman" w:hAnsi="Times New Roman" w:cs="Times New Roman"/>
          <w:b/>
          <w:bCs/>
          <w:sz w:val="24"/>
          <w:szCs w:val="24"/>
          <w:lang w:eastAsia="pl-PL"/>
        </w:rPr>
        <w:t>150</w:t>
      </w:r>
      <w:r w:rsidR="00231255" w:rsidRPr="00633318">
        <w:rPr>
          <w:rFonts w:ascii="Times New Roman" w:eastAsia="Times New Roman" w:hAnsi="Times New Roman" w:cs="Times New Roman"/>
          <w:sz w:val="24"/>
          <w:szCs w:val="24"/>
          <w:lang w:eastAsia="pl-PL"/>
        </w:rPr>
        <w:t xml:space="preserve"> </w:t>
      </w:r>
      <w:r w:rsidRPr="00633318">
        <w:rPr>
          <w:rFonts w:ascii="Times New Roman" w:eastAsia="Times New Roman" w:hAnsi="Times New Roman" w:cs="Times New Roman"/>
          <w:sz w:val="24"/>
          <w:szCs w:val="24"/>
          <w:lang w:eastAsia="pl-PL"/>
        </w:rPr>
        <w:t xml:space="preserve">ustanawia alternatywny sposób określania efektywnej stawki podatkowej w kluczu przydziału w odniesieniu do sytuacji, gdy jednostka składowa nie jest zobowiązana do obliczenia efektywnej stawki w sposób przewidziany w art. 11 ust. 4. </w:t>
      </w:r>
      <w:bookmarkStart w:id="129" w:name="_Hlk171080891"/>
      <w:r w:rsidRPr="00633318">
        <w:rPr>
          <w:rFonts w:ascii="Times New Roman" w:eastAsia="Times New Roman" w:hAnsi="Times New Roman" w:cs="Times New Roman"/>
          <w:sz w:val="24"/>
          <w:szCs w:val="24"/>
          <w:lang w:eastAsia="pl-PL"/>
        </w:rPr>
        <w:t xml:space="preserve">Potrzeba zastosowania niniejszej regulacji aktualizuje się w odniesieniu do jednostek będących zagranicznymi jednostkami kontrolowanymi: </w:t>
      </w:r>
    </w:p>
    <w:p w14:paraId="21981BA7" w14:textId="7220812E" w:rsidR="00F67446" w:rsidRPr="00633318" w:rsidRDefault="003A2326" w:rsidP="002C7467">
      <w:pPr>
        <w:numPr>
          <w:ilvl w:val="0"/>
          <w:numId w:val="84"/>
        </w:numPr>
        <w:contextualSpacing/>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zlokalizowanych w jurysdykcji</w:t>
      </w:r>
      <w:r w:rsidR="00646DD4" w:rsidRPr="00633318">
        <w:rPr>
          <w:rFonts w:ascii="Times New Roman" w:eastAsia="Times New Roman" w:hAnsi="Times New Roman" w:cs="Times New Roman"/>
          <w:sz w:val="24"/>
          <w:szCs w:val="24"/>
          <w:lang w:eastAsia="pl-PL"/>
        </w:rPr>
        <w:t>,</w:t>
      </w:r>
      <w:r w:rsidR="00F67446" w:rsidRPr="00633318">
        <w:rPr>
          <w:rFonts w:ascii="Times New Roman" w:eastAsia="Times New Roman" w:hAnsi="Times New Roman" w:cs="Times New Roman"/>
          <w:sz w:val="24"/>
          <w:szCs w:val="24"/>
          <w:lang w:eastAsia="pl-PL"/>
        </w:rPr>
        <w:t xml:space="preserve"> do które</w:t>
      </w:r>
      <w:r w:rsidRPr="00633318">
        <w:rPr>
          <w:rFonts w:ascii="Times New Roman" w:eastAsia="Times New Roman" w:hAnsi="Times New Roman" w:cs="Times New Roman"/>
          <w:sz w:val="24"/>
          <w:szCs w:val="24"/>
          <w:lang w:eastAsia="pl-PL"/>
        </w:rPr>
        <w:t>j</w:t>
      </w:r>
      <w:r w:rsidR="00F67446" w:rsidRPr="00633318">
        <w:rPr>
          <w:rFonts w:ascii="Times New Roman" w:eastAsia="Times New Roman" w:hAnsi="Times New Roman" w:cs="Times New Roman"/>
          <w:sz w:val="24"/>
          <w:szCs w:val="24"/>
          <w:lang w:eastAsia="pl-PL"/>
        </w:rPr>
        <w:t xml:space="preserve"> znajduje zastosowanie wybór, o którym mowa w art. 125, tj. zwolnienie w zakresie obliczenia globalnego podatku wyrównawczego</w:t>
      </w:r>
      <w:r w:rsidR="00231255" w:rsidRPr="00633318">
        <w:rPr>
          <w:rFonts w:ascii="Times New Roman" w:eastAsia="Times New Roman" w:hAnsi="Times New Roman" w:cs="Times New Roman"/>
          <w:sz w:val="24"/>
          <w:szCs w:val="24"/>
          <w:lang w:eastAsia="pl-PL"/>
        </w:rPr>
        <w:t xml:space="preserve"> (</w:t>
      </w:r>
      <w:r w:rsidR="00231255" w:rsidRPr="00633318">
        <w:rPr>
          <w:rFonts w:ascii="Times New Roman" w:eastAsia="Times New Roman" w:hAnsi="Times New Roman" w:cs="Times New Roman"/>
          <w:i/>
          <w:iCs/>
          <w:sz w:val="24"/>
          <w:szCs w:val="24"/>
          <w:lang w:eastAsia="pl-PL"/>
        </w:rPr>
        <w:t>QDMTT safe harbour</w:t>
      </w:r>
      <w:r w:rsidR="00231255" w:rsidRPr="00633318">
        <w:rPr>
          <w:rFonts w:ascii="Times New Roman" w:eastAsia="Times New Roman" w:hAnsi="Times New Roman" w:cs="Times New Roman"/>
          <w:sz w:val="24"/>
          <w:szCs w:val="24"/>
          <w:lang w:eastAsia="pl-PL"/>
        </w:rPr>
        <w:t>)</w:t>
      </w:r>
      <w:r w:rsidR="00F67446" w:rsidRPr="00633318">
        <w:rPr>
          <w:rFonts w:ascii="Times New Roman" w:eastAsia="Times New Roman" w:hAnsi="Times New Roman" w:cs="Times New Roman"/>
          <w:sz w:val="24"/>
          <w:szCs w:val="24"/>
          <w:lang w:eastAsia="pl-PL"/>
        </w:rPr>
        <w:t>;</w:t>
      </w:r>
    </w:p>
    <w:p w14:paraId="6369943B" w14:textId="0A31A023" w:rsidR="00F67446" w:rsidRPr="00633318" w:rsidRDefault="003A2326" w:rsidP="002C7467">
      <w:pPr>
        <w:numPr>
          <w:ilvl w:val="0"/>
          <w:numId w:val="84"/>
        </w:numPr>
        <w:contextualSpacing/>
        <w:jc w:val="both"/>
        <w:rPr>
          <w:rFonts w:ascii="Times New Roman" w:eastAsia="Times New Roman" w:hAnsi="Times New Roman" w:cs="Times New Roman"/>
          <w:sz w:val="24"/>
          <w:szCs w:val="24"/>
          <w:lang w:eastAsia="pl-PL"/>
        </w:rPr>
      </w:pPr>
      <w:bookmarkStart w:id="130" w:name="_Hlk171082787"/>
      <w:r w:rsidRPr="00633318">
        <w:rPr>
          <w:rFonts w:ascii="Times New Roman" w:eastAsia="Times New Roman" w:hAnsi="Times New Roman" w:cs="Times New Roman"/>
          <w:sz w:val="24"/>
          <w:szCs w:val="24"/>
          <w:lang w:eastAsia="pl-PL"/>
        </w:rPr>
        <w:t>zlokalizowanych w jurysdykcji</w:t>
      </w:r>
      <w:r w:rsidR="00646DD4" w:rsidRPr="00633318">
        <w:rPr>
          <w:rFonts w:ascii="Times New Roman" w:eastAsia="Times New Roman" w:hAnsi="Times New Roman" w:cs="Times New Roman"/>
          <w:sz w:val="24"/>
          <w:szCs w:val="24"/>
          <w:lang w:eastAsia="pl-PL"/>
        </w:rPr>
        <w:t>,</w:t>
      </w:r>
      <w:bookmarkEnd w:id="130"/>
      <w:r w:rsidR="00646DD4" w:rsidRPr="00633318">
        <w:rPr>
          <w:rFonts w:ascii="Times New Roman" w:eastAsia="Times New Roman" w:hAnsi="Times New Roman" w:cs="Times New Roman"/>
          <w:sz w:val="24"/>
          <w:szCs w:val="24"/>
          <w:lang w:eastAsia="pl-PL"/>
        </w:rPr>
        <w:t xml:space="preserve"> </w:t>
      </w:r>
      <w:r w:rsidR="00F67446" w:rsidRPr="00633318">
        <w:rPr>
          <w:rFonts w:ascii="Times New Roman" w:eastAsia="Times New Roman" w:hAnsi="Times New Roman" w:cs="Times New Roman"/>
          <w:sz w:val="24"/>
          <w:szCs w:val="24"/>
          <w:lang w:eastAsia="pl-PL"/>
        </w:rPr>
        <w:t>do które</w:t>
      </w:r>
      <w:r w:rsidRPr="00633318">
        <w:rPr>
          <w:rFonts w:ascii="Times New Roman" w:eastAsia="Times New Roman" w:hAnsi="Times New Roman" w:cs="Times New Roman"/>
          <w:sz w:val="24"/>
          <w:szCs w:val="24"/>
          <w:lang w:eastAsia="pl-PL"/>
        </w:rPr>
        <w:t>j</w:t>
      </w:r>
      <w:r w:rsidR="00F67446" w:rsidRPr="00633318">
        <w:rPr>
          <w:rFonts w:ascii="Times New Roman" w:eastAsia="Times New Roman" w:hAnsi="Times New Roman" w:cs="Times New Roman"/>
          <w:sz w:val="24"/>
          <w:szCs w:val="24"/>
          <w:lang w:eastAsia="pl-PL"/>
        </w:rPr>
        <w:t xml:space="preserve"> znajduje zastosowanie wybór, o którym mowa w art. 14</w:t>
      </w:r>
      <w:r w:rsidR="00231255" w:rsidRPr="00633318">
        <w:rPr>
          <w:rFonts w:ascii="Times New Roman" w:eastAsia="Times New Roman" w:hAnsi="Times New Roman" w:cs="Times New Roman"/>
          <w:sz w:val="24"/>
          <w:szCs w:val="24"/>
          <w:lang w:eastAsia="pl-PL"/>
        </w:rPr>
        <w:t>6</w:t>
      </w:r>
      <w:r w:rsidR="00276EE0" w:rsidRPr="00633318">
        <w:rPr>
          <w:rFonts w:ascii="Times New Roman" w:eastAsia="Times New Roman" w:hAnsi="Times New Roman" w:cs="Times New Roman"/>
          <w:sz w:val="24"/>
          <w:szCs w:val="24"/>
          <w:lang w:eastAsia="pl-PL"/>
        </w:rPr>
        <w:t xml:space="preserve"> ust. 1</w:t>
      </w:r>
      <w:r w:rsidR="00F67446" w:rsidRPr="00633318">
        <w:rPr>
          <w:rFonts w:ascii="Times New Roman" w:eastAsia="Times New Roman" w:hAnsi="Times New Roman" w:cs="Times New Roman"/>
          <w:sz w:val="24"/>
          <w:szCs w:val="24"/>
          <w:lang w:eastAsia="pl-PL"/>
        </w:rPr>
        <w:t>, ustanawiający możliwość skorzystania z tymczasowej bezpiecznej przystani</w:t>
      </w:r>
      <w:r w:rsidR="00276EE0" w:rsidRPr="00633318">
        <w:rPr>
          <w:rFonts w:ascii="Times New Roman" w:eastAsia="Times New Roman" w:hAnsi="Times New Roman" w:cs="Times New Roman"/>
          <w:sz w:val="24"/>
          <w:szCs w:val="24"/>
          <w:lang w:eastAsia="pl-PL"/>
        </w:rPr>
        <w:t xml:space="preserve"> CbCR</w:t>
      </w:r>
      <w:r w:rsidR="00F67446" w:rsidRPr="00633318">
        <w:rPr>
          <w:rFonts w:ascii="Times New Roman" w:eastAsia="Times New Roman" w:hAnsi="Times New Roman" w:cs="Times New Roman"/>
          <w:sz w:val="24"/>
          <w:szCs w:val="24"/>
          <w:lang w:eastAsia="pl-PL"/>
        </w:rPr>
        <w:t>;</w:t>
      </w:r>
    </w:p>
    <w:p w14:paraId="64688EF9" w14:textId="61AA5ABA" w:rsidR="00F67446" w:rsidRPr="00633318" w:rsidRDefault="003A2326" w:rsidP="002C7467">
      <w:pPr>
        <w:numPr>
          <w:ilvl w:val="0"/>
          <w:numId w:val="84"/>
        </w:numPr>
        <w:contextualSpacing/>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zlokalizowanych w </w:t>
      </w:r>
      <w:bookmarkStart w:id="131" w:name="_Hlk171082851"/>
      <w:r w:rsidRPr="00633318">
        <w:rPr>
          <w:rFonts w:ascii="Times New Roman" w:eastAsia="Times New Roman" w:hAnsi="Times New Roman" w:cs="Times New Roman"/>
          <w:sz w:val="24"/>
          <w:szCs w:val="24"/>
          <w:lang w:eastAsia="pl-PL"/>
        </w:rPr>
        <w:t>jurysdykcji</w:t>
      </w:r>
      <w:bookmarkEnd w:id="131"/>
      <w:r w:rsidR="00276EE0" w:rsidRPr="00633318">
        <w:rPr>
          <w:rFonts w:ascii="Times New Roman" w:eastAsia="Times New Roman" w:hAnsi="Times New Roman" w:cs="Times New Roman"/>
          <w:sz w:val="24"/>
          <w:szCs w:val="24"/>
          <w:lang w:eastAsia="pl-PL"/>
        </w:rPr>
        <w:t>,</w:t>
      </w:r>
      <w:r w:rsidRPr="00633318">
        <w:rPr>
          <w:rFonts w:ascii="Times New Roman" w:eastAsia="Times New Roman" w:hAnsi="Times New Roman" w:cs="Times New Roman"/>
          <w:sz w:val="24"/>
          <w:szCs w:val="24"/>
          <w:lang w:eastAsia="pl-PL"/>
        </w:rPr>
        <w:t xml:space="preserve"> </w:t>
      </w:r>
      <w:r w:rsidR="00F67446" w:rsidRPr="00633318">
        <w:rPr>
          <w:rFonts w:ascii="Times New Roman" w:eastAsia="Times New Roman" w:hAnsi="Times New Roman" w:cs="Times New Roman"/>
          <w:sz w:val="24"/>
          <w:szCs w:val="24"/>
          <w:lang w:eastAsia="pl-PL"/>
        </w:rPr>
        <w:t>dla które</w:t>
      </w:r>
      <w:r w:rsidRPr="00633318">
        <w:rPr>
          <w:rFonts w:ascii="Times New Roman" w:eastAsia="Times New Roman" w:hAnsi="Times New Roman" w:cs="Times New Roman"/>
          <w:sz w:val="24"/>
          <w:szCs w:val="24"/>
          <w:lang w:eastAsia="pl-PL"/>
        </w:rPr>
        <w:t>j</w:t>
      </w:r>
      <w:r w:rsidR="00F67446" w:rsidRPr="00633318">
        <w:rPr>
          <w:rFonts w:ascii="Times New Roman" w:eastAsia="Times New Roman" w:hAnsi="Times New Roman" w:cs="Times New Roman"/>
          <w:sz w:val="24"/>
          <w:szCs w:val="24"/>
          <w:lang w:eastAsia="pl-PL"/>
        </w:rPr>
        <w:t xml:space="preserve"> nie dokonuje się obliczenia efektywnej podatkowej stosownie do postanowień art. 11 ust. 4 z przyczyn innych </w:t>
      </w:r>
      <w:r w:rsidR="00276EE0" w:rsidRPr="00633318">
        <w:rPr>
          <w:rFonts w:ascii="Times New Roman" w:eastAsia="Times New Roman" w:hAnsi="Times New Roman" w:cs="Times New Roman"/>
          <w:sz w:val="24"/>
          <w:szCs w:val="24"/>
          <w:lang w:eastAsia="pl-PL"/>
        </w:rPr>
        <w:t xml:space="preserve">niż </w:t>
      </w:r>
      <w:r w:rsidR="00F67446" w:rsidRPr="00633318">
        <w:rPr>
          <w:rFonts w:ascii="Times New Roman" w:eastAsia="Times New Roman" w:hAnsi="Times New Roman" w:cs="Times New Roman"/>
          <w:sz w:val="24"/>
          <w:szCs w:val="24"/>
          <w:lang w:eastAsia="pl-PL"/>
        </w:rPr>
        <w:t>wskazane powyżej.</w:t>
      </w:r>
    </w:p>
    <w:bookmarkEnd w:id="129"/>
    <w:p w14:paraId="1A41C3BF" w14:textId="351D905A" w:rsidR="00F67446" w:rsidRPr="00633318" w:rsidRDefault="00F67446" w:rsidP="001B320A">
      <w:pPr>
        <w:spacing w:before="240"/>
        <w:jc w:val="both"/>
        <w:rPr>
          <w:rFonts w:ascii="Times New Roman" w:eastAsia="Times New Roman" w:hAnsi="Times New Roman" w:cs="Times New Roman"/>
          <w:color w:val="231F20"/>
          <w:sz w:val="24"/>
          <w:szCs w:val="24"/>
          <w:lang w:eastAsia="pl-PL"/>
        </w:rPr>
      </w:pPr>
      <w:r w:rsidRPr="00633318">
        <w:rPr>
          <w:rFonts w:ascii="Times New Roman" w:eastAsia="Times New Roman" w:hAnsi="Times New Roman" w:cs="Times New Roman"/>
          <w:sz w:val="24"/>
          <w:szCs w:val="24"/>
          <w:lang w:eastAsia="pl-PL"/>
        </w:rPr>
        <w:t xml:space="preserve">W przypadku nieobliczania efektywnej stawki podatkowej w sposób przewidziany w art. 11 ust. 4 z powodu korzystania przez jednostki </w:t>
      </w:r>
      <w:r w:rsidR="003A2326" w:rsidRPr="00633318">
        <w:rPr>
          <w:rFonts w:ascii="Times New Roman" w:eastAsia="Times New Roman" w:hAnsi="Times New Roman" w:cs="Times New Roman"/>
          <w:sz w:val="24"/>
          <w:szCs w:val="24"/>
          <w:lang w:eastAsia="pl-PL"/>
        </w:rPr>
        <w:t>zlokalizowane</w:t>
      </w:r>
      <w:r w:rsidR="003E7A67" w:rsidRPr="00633318">
        <w:rPr>
          <w:rFonts w:ascii="Times New Roman" w:eastAsia="Times New Roman" w:hAnsi="Times New Roman" w:cs="Times New Roman"/>
          <w:sz w:val="24"/>
          <w:szCs w:val="24"/>
          <w:lang w:eastAsia="pl-PL"/>
        </w:rPr>
        <w:t xml:space="preserve"> </w:t>
      </w:r>
      <w:r w:rsidRPr="00633318">
        <w:rPr>
          <w:rFonts w:ascii="Times New Roman" w:eastAsia="Times New Roman" w:hAnsi="Times New Roman" w:cs="Times New Roman"/>
          <w:sz w:val="24"/>
          <w:szCs w:val="24"/>
          <w:lang w:eastAsia="pl-PL"/>
        </w:rPr>
        <w:t>w dan</w:t>
      </w:r>
      <w:r w:rsidR="003A2326" w:rsidRPr="00633318">
        <w:rPr>
          <w:rFonts w:ascii="Times New Roman" w:eastAsia="Times New Roman" w:hAnsi="Times New Roman" w:cs="Times New Roman"/>
          <w:sz w:val="24"/>
          <w:szCs w:val="24"/>
          <w:lang w:eastAsia="pl-PL"/>
        </w:rPr>
        <w:t>ej</w:t>
      </w:r>
      <w:r w:rsidRPr="00633318">
        <w:rPr>
          <w:rFonts w:ascii="Times New Roman" w:eastAsia="Times New Roman" w:hAnsi="Times New Roman" w:cs="Times New Roman"/>
          <w:sz w:val="24"/>
          <w:szCs w:val="24"/>
          <w:lang w:eastAsia="pl-PL"/>
        </w:rPr>
        <w:t xml:space="preserve"> </w:t>
      </w:r>
      <w:r w:rsidR="003A2326" w:rsidRPr="00633318">
        <w:rPr>
          <w:rFonts w:ascii="Times New Roman" w:eastAsia="Times New Roman" w:hAnsi="Times New Roman" w:cs="Times New Roman"/>
          <w:sz w:val="24"/>
          <w:szCs w:val="24"/>
          <w:lang w:eastAsia="pl-PL"/>
        </w:rPr>
        <w:t>jurysdykcji</w:t>
      </w:r>
      <w:r w:rsidRPr="00633318">
        <w:rPr>
          <w:rFonts w:ascii="Times New Roman" w:eastAsia="Times New Roman" w:hAnsi="Times New Roman" w:cs="Times New Roman"/>
          <w:sz w:val="24"/>
          <w:szCs w:val="24"/>
          <w:lang w:eastAsia="pl-PL"/>
        </w:rPr>
        <w:t xml:space="preserve"> ze zwolnienia z obliczania globalnego podatku wyrównawczego w związku</w:t>
      </w:r>
      <w:r w:rsidRPr="00633318">
        <w:rPr>
          <w:rFonts w:ascii="Times New Roman" w:eastAsia="Calibri" w:hAnsi="Times New Roman" w:cs="Times New Roman"/>
          <w:sz w:val="24"/>
          <w:szCs w:val="24"/>
        </w:rPr>
        <w:t xml:space="preserve"> obowiązywaniem w t</w:t>
      </w:r>
      <w:r w:rsidR="003A2326" w:rsidRPr="00633318">
        <w:rPr>
          <w:rFonts w:ascii="Times New Roman" w:eastAsia="Calibri" w:hAnsi="Times New Roman" w:cs="Times New Roman"/>
          <w:sz w:val="24"/>
          <w:szCs w:val="24"/>
        </w:rPr>
        <w:t>ej</w:t>
      </w:r>
      <w:r w:rsidRPr="00633318">
        <w:rPr>
          <w:rFonts w:ascii="Times New Roman" w:eastAsia="Calibri" w:hAnsi="Times New Roman" w:cs="Times New Roman"/>
          <w:sz w:val="24"/>
          <w:szCs w:val="24"/>
        </w:rPr>
        <w:t xml:space="preserve"> </w:t>
      </w:r>
      <w:r w:rsidR="003A2326" w:rsidRPr="00633318">
        <w:rPr>
          <w:rFonts w:ascii="Times New Roman" w:eastAsia="Calibri" w:hAnsi="Times New Roman" w:cs="Times New Roman"/>
          <w:sz w:val="24"/>
          <w:szCs w:val="24"/>
        </w:rPr>
        <w:t>jurysdykcji</w:t>
      </w:r>
      <w:r w:rsidRPr="00633318">
        <w:rPr>
          <w:rFonts w:ascii="Times New Roman" w:eastAsia="Calibri" w:hAnsi="Times New Roman" w:cs="Times New Roman"/>
          <w:sz w:val="24"/>
          <w:szCs w:val="24"/>
        </w:rPr>
        <w:t xml:space="preserve"> kwalifikowanego krajowego podatku wyrównawczego, efektywną stawkę podatkową w kluczu przydziału oblicz</w:t>
      </w:r>
      <w:r w:rsidR="00025F53" w:rsidRPr="00633318">
        <w:rPr>
          <w:rFonts w:ascii="Times New Roman" w:eastAsia="Calibri" w:hAnsi="Times New Roman" w:cs="Times New Roman"/>
          <w:sz w:val="24"/>
          <w:szCs w:val="24"/>
        </w:rPr>
        <w:t>a</w:t>
      </w:r>
      <w:r w:rsidRPr="00633318">
        <w:rPr>
          <w:rFonts w:ascii="Times New Roman" w:eastAsia="Calibri" w:hAnsi="Times New Roman" w:cs="Times New Roman"/>
          <w:sz w:val="24"/>
          <w:szCs w:val="24"/>
        </w:rPr>
        <w:t xml:space="preserve"> się zgodnie z art. </w:t>
      </w:r>
      <w:r w:rsidR="00231255" w:rsidRPr="00633318">
        <w:rPr>
          <w:rFonts w:ascii="Times New Roman" w:eastAsia="Calibri" w:hAnsi="Times New Roman" w:cs="Times New Roman"/>
          <w:sz w:val="24"/>
          <w:szCs w:val="24"/>
        </w:rPr>
        <w:t>150</w:t>
      </w:r>
      <w:r w:rsidRPr="00633318">
        <w:rPr>
          <w:rFonts w:ascii="Times New Roman" w:eastAsia="Calibri" w:hAnsi="Times New Roman" w:cs="Times New Roman"/>
          <w:sz w:val="24"/>
          <w:szCs w:val="24"/>
        </w:rPr>
        <w:t xml:space="preserve"> ust. 1. Wartość ta określana jest wówczas </w:t>
      </w:r>
      <w:r w:rsidR="00025F53" w:rsidRPr="00633318">
        <w:rPr>
          <w:rFonts w:ascii="Times New Roman" w:eastAsia="Calibri" w:hAnsi="Times New Roman" w:cs="Times New Roman"/>
          <w:sz w:val="24"/>
          <w:szCs w:val="24"/>
        </w:rPr>
        <w:t xml:space="preserve">poprzez </w:t>
      </w:r>
      <w:r w:rsidRPr="00633318">
        <w:rPr>
          <w:rFonts w:ascii="Times New Roman" w:eastAsia="Times New Roman" w:hAnsi="Times New Roman" w:cs="Times New Roman"/>
          <w:color w:val="231F20"/>
          <w:sz w:val="24"/>
          <w:szCs w:val="24"/>
          <w:lang w:eastAsia="pl-PL"/>
        </w:rPr>
        <w:t xml:space="preserve">podzielenie sumy podatków </w:t>
      </w:r>
      <w:r w:rsidR="00025F53" w:rsidRPr="00633318">
        <w:rPr>
          <w:rFonts w:ascii="Times New Roman" w:eastAsia="Times New Roman" w:hAnsi="Times New Roman" w:cs="Times New Roman"/>
          <w:color w:val="231F20"/>
          <w:sz w:val="24"/>
          <w:szCs w:val="24"/>
          <w:lang w:eastAsia="pl-PL"/>
        </w:rPr>
        <w:t xml:space="preserve">kwalifikowanych </w:t>
      </w:r>
      <w:r w:rsidRPr="00633318">
        <w:rPr>
          <w:rFonts w:ascii="Times New Roman" w:eastAsia="Times New Roman" w:hAnsi="Times New Roman" w:cs="Times New Roman"/>
          <w:color w:val="231F20"/>
          <w:sz w:val="24"/>
          <w:szCs w:val="24"/>
          <w:lang w:eastAsia="pl-PL"/>
        </w:rPr>
        <w:t>uwzględnionych w obliczaniu efektywnej stawki podatkowej zgodnie z przepisami o kwalifikowanym krajowym podatku wyrównawczym obowiązującym w dan</w:t>
      </w:r>
      <w:r w:rsidR="003A2326" w:rsidRPr="00633318">
        <w:rPr>
          <w:rFonts w:ascii="Times New Roman" w:eastAsia="Times New Roman" w:hAnsi="Times New Roman" w:cs="Times New Roman"/>
          <w:color w:val="231F20"/>
          <w:sz w:val="24"/>
          <w:szCs w:val="24"/>
          <w:lang w:eastAsia="pl-PL"/>
        </w:rPr>
        <w:t>ej</w:t>
      </w:r>
      <w:r w:rsidRPr="00633318">
        <w:rPr>
          <w:rFonts w:ascii="Times New Roman" w:eastAsia="Times New Roman" w:hAnsi="Times New Roman" w:cs="Times New Roman"/>
          <w:color w:val="231F20"/>
          <w:sz w:val="24"/>
          <w:szCs w:val="24"/>
          <w:lang w:eastAsia="pl-PL"/>
        </w:rPr>
        <w:t xml:space="preserve"> </w:t>
      </w:r>
      <w:r w:rsidR="003A2326"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xml:space="preserve"> oraz kwoty kwalifikowanego krajowego podatku wyrównawczego należnego za dany rok podatkowy uwzględnionego na zasadach określonych w </w:t>
      </w:r>
      <w:r w:rsidRPr="00633318">
        <w:rPr>
          <w:rFonts w:ascii="Times New Roman" w:eastAsia="Calibri" w:hAnsi="Times New Roman" w:cs="Times New Roman"/>
          <w:sz w:val="24"/>
          <w:szCs w:val="24"/>
        </w:rPr>
        <w:t>art. 14</w:t>
      </w:r>
      <w:r w:rsidR="00231255" w:rsidRPr="00633318">
        <w:rPr>
          <w:rFonts w:ascii="Times New Roman" w:eastAsia="Calibri" w:hAnsi="Times New Roman" w:cs="Times New Roman"/>
          <w:sz w:val="24"/>
          <w:szCs w:val="24"/>
        </w:rPr>
        <w:t>9</w:t>
      </w:r>
      <w:r w:rsidRPr="00633318">
        <w:rPr>
          <w:rFonts w:ascii="Times New Roman" w:eastAsia="Calibri" w:hAnsi="Times New Roman" w:cs="Times New Roman"/>
          <w:sz w:val="24"/>
          <w:szCs w:val="24"/>
        </w:rPr>
        <w:t xml:space="preserve"> ust. 5 pkt 2</w:t>
      </w:r>
      <w:r w:rsidRPr="00633318">
        <w:rPr>
          <w:rFonts w:ascii="Times New Roman" w:eastAsia="Times New Roman" w:hAnsi="Times New Roman" w:cs="Times New Roman"/>
          <w:color w:val="231F20"/>
          <w:sz w:val="24"/>
          <w:szCs w:val="24"/>
          <w:lang w:eastAsia="pl-PL"/>
        </w:rPr>
        <w:t>, przez sumę dochodów tych jednostek określoną zgodnie z przepisami o kwalifikowanym krajowym podatku wyrównawczym obowiązującym w dan</w:t>
      </w:r>
      <w:r w:rsidR="003A2326" w:rsidRPr="00633318">
        <w:rPr>
          <w:rFonts w:ascii="Times New Roman" w:eastAsia="Times New Roman" w:hAnsi="Times New Roman" w:cs="Times New Roman"/>
          <w:color w:val="231F20"/>
          <w:sz w:val="24"/>
          <w:szCs w:val="24"/>
          <w:lang w:eastAsia="pl-PL"/>
        </w:rPr>
        <w:t>ej</w:t>
      </w:r>
      <w:r w:rsidRPr="00633318">
        <w:rPr>
          <w:rFonts w:ascii="Times New Roman" w:eastAsia="Times New Roman" w:hAnsi="Times New Roman" w:cs="Times New Roman"/>
          <w:color w:val="231F20"/>
          <w:sz w:val="24"/>
          <w:szCs w:val="24"/>
          <w:lang w:eastAsia="pl-PL"/>
        </w:rPr>
        <w:t xml:space="preserve"> </w:t>
      </w:r>
      <w:r w:rsidR="003A2326"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xml:space="preserve">. </w:t>
      </w:r>
    </w:p>
    <w:p w14:paraId="67FF2F55" w14:textId="5187F16A" w:rsidR="00F67446" w:rsidRPr="00633318" w:rsidRDefault="00F67446" w:rsidP="00F67446">
      <w:pPr>
        <w:jc w:val="both"/>
        <w:rPr>
          <w:rFonts w:ascii="Times New Roman" w:eastAsia="Calibri" w:hAnsi="Times New Roman" w:cs="Times New Roman"/>
          <w:sz w:val="24"/>
          <w:szCs w:val="24"/>
        </w:rPr>
      </w:pPr>
      <w:r w:rsidRPr="00633318">
        <w:rPr>
          <w:rFonts w:ascii="Times New Roman" w:eastAsia="Times New Roman" w:hAnsi="Times New Roman" w:cs="Times New Roman"/>
          <w:color w:val="231F20"/>
          <w:sz w:val="24"/>
          <w:szCs w:val="24"/>
          <w:lang w:eastAsia="pl-PL"/>
        </w:rPr>
        <w:t>W sytuacji określonej w ust.  </w:t>
      </w:r>
      <w:r w:rsidR="00231255" w:rsidRPr="00633318">
        <w:rPr>
          <w:rFonts w:ascii="Times New Roman" w:eastAsia="Times New Roman" w:hAnsi="Times New Roman" w:cs="Times New Roman"/>
          <w:color w:val="231F20"/>
          <w:sz w:val="24"/>
          <w:szCs w:val="24"/>
          <w:lang w:eastAsia="pl-PL"/>
        </w:rPr>
        <w:t xml:space="preserve">150 </w:t>
      </w:r>
      <w:r w:rsidRPr="00633318">
        <w:rPr>
          <w:rFonts w:ascii="Times New Roman" w:eastAsia="Times New Roman" w:hAnsi="Times New Roman" w:cs="Times New Roman"/>
          <w:color w:val="231F20"/>
          <w:sz w:val="24"/>
          <w:szCs w:val="24"/>
          <w:lang w:eastAsia="pl-PL"/>
        </w:rPr>
        <w:t>ust. 1 pkt 2 efektywna stawka podatkowa w kluczu przydziału określana jest zgodnie z postanowieniami art. 14</w:t>
      </w:r>
      <w:r w:rsidR="00231255" w:rsidRPr="00633318">
        <w:rPr>
          <w:rFonts w:ascii="Times New Roman" w:eastAsia="Times New Roman" w:hAnsi="Times New Roman" w:cs="Times New Roman"/>
          <w:color w:val="231F20"/>
          <w:sz w:val="24"/>
          <w:szCs w:val="24"/>
          <w:lang w:eastAsia="pl-PL"/>
        </w:rPr>
        <w:t>5</w:t>
      </w:r>
      <w:r w:rsidRPr="00633318">
        <w:rPr>
          <w:rFonts w:ascii="Times New Roman" w:eastAsia="Times New Roman" w:hAnsi="Times New Roman" w:cs="Times New Roman"/>
          <w:color w:val="231F20"/>
          <w:sz w:val="24"/>
          <w:szCs w:val="24"/>
          <w:lang w:eastAsia="pl-PL"/>
        </w:rPr>
        <w:t xml:space="preserve"> pkt </w:t>
      </w:r>
      <w:r w:rsidR="00276EE0" w:rsidRPr="00633318">
        <w:rPr>
          <w:rFonts w:ascii="Times New Roman" w:eastAsia="Times New Roman" w:hAnsi="Times New Roman" w:cs="Times New Roman"/>
          <w:color w:val="231F20"/>
          <w:sz w:val="24"/>
          <w:szCs w:val="24"/>
          <w:lang w:eastAsia="pl-PL"/>
        </w:rPr>
        <w:t>6</w:t>
      </w:r>
      <w:r w:rsidRPr="00633318">
        <w:rPr>
          <w:rFonts w:ascii="Times New Roman" w:eastAsia="Times New Roman" w:hAnsi="Times New Roman" w:cs="Times New Roman"/>
          <w:color w:val="231F20"/>
          <w:sz w:val="24"/>
          <w:szCs w:val="24"/>
          <w:lang w:eastAsia="pl-PL"/>
        </w:rPr>
        <w:t xml:space="preserve">. Odpowiada więc ona ilorazowi uproszczonych podatków kwalifikowanych wszystkich jednostek składowych </w:t>
      </w:r>
      <w:r w:rsidR="00231255" w:rsidRPr="00633318">
        <w:rPr>
          <w:rFonts w:ascii="Times New Roman" w:eastAsia="Times New Roman" w:hAnsi="Times New Roman" w:cs="Times New Roman"/>
          <w:color w:val="231F20"/>
          <w:sz w:val="24"/>
          <w:szCs w:val="24"/>
          <w:lang w:eastAsia="pl-PL"/>
        </w:rPr>
        <w:t>zlokalizowanych</w:t>
      </w:r>
      <w:r w:rsidRPr="00633318">
        <w:rPr>
          <w:rFonts w:ascii="Times New Roman" w:eastAsia="Times New Roman" w:hAnsi="Times New Roman" w:cs="Times New Roman"/>
          <w:color w:val="231F20"/>
          <w:sz w:val="24"/>
          <w:szCs w:val="24"/>
          <w:lang w:eastAsia="pl-PL"/>
        </w:rPr>
        <w:t xml:space="preserve"> w dan</w:t>
      </w:r>
      <w:r w:rsidR="003A2326" w:rsidRPr="00633318">
        <w:rPr>
          <w:rFonts w:ascii="Times New Roman" w:eastAsia="Times New Roman" w:hAnsi="Times New Roman" w:cs="Times New Roman"/>
          <w:color w:val="231F20"/>
          <w:sz w:val="24"/>
          <w:szCs w:val="24"/>
          <w:lang w:eastAsia="pl-PL"/>
        </w:rPr>
        <w:t>ej</w:t>
      </w:r>
      <w:r w:rsidRPr="00633318">
        <w:rPr>
          <w:rFonts w:ascii="Times New Roman" w:eastAsia="Times New Roman" w:hAnsi="Times New Roman" w:cs="Times New Roman"/>
          <w:color w:val="231F20"/>
          <w:sz w:val="24"/>
          <w:szCs w:val="24"/>
          <w:lang w:eastAsia="pl-PL"/>
        </w:rPr>
        <w:t xml:space="preserve"> </w:t>
      </w:r>
      <w:r w:rsidR="003A2326"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xml:space="preserve"> oraz zrealizowanego zysku (straty) przed opodatkowaniem jednostek składowych </w:t>
      </w:r>
      <w:r w:rsidR="00231255" w:rsidRPr="00633318">
        <w:rPr>
          <w:rFonts w:ascii="Times New Roman" w:eastAsia="Times New Roman" w:hAnsi="Times New Roman" w:cs="Times New Roman"/>
          <w:color w:val="231F20"/>
          <w:sz w:val="24"/>
          <w:szCs w:val="24"/>
          <w:lang w:eastAsia="pl-PL"/>
        </w:rPr>
        <w:t>zlokalizowanych</w:t>
      </w:r>
      <w:r w:rsidRPr="00633318">
        <w:rPr>
          <w:rFonts w:ascii="Times New Roman" w:eastAsia="Times New Roman" w:hAnsi="Times New Roman" w:cs="Times New Roman"/>
          <w:color w:val="231F20"/>
          <w:sz w:val="24"/>
          <w:szCs w:val="24"/>
          <w:lang w:eastAsia="pl-PL"/>
        </w:rPr>
        <w:t xml:space="preserve"> w t</w:t>
      </w:r>
      <w:r w:rsidR="003A2326" w:rsidRPr="00633318">
        <w:rPr>
          <w:rFonts w:ascii="Times New Roman" w:eastAsia="Times New Roman" w:hAnsi="Times New Roman" w:cs="Times New Roman"/>
          <w:color w:val="231F20"/>
          <w:sz w:val="24"/>
          <w:szCs w:val="24"/>
          <w:lang w:eastAsia="pl-PL"/>
        </w:rPr>
        <w:t>ej</w:t>
      </w:r>
      <w:r w:rsidRPr="00633318">
        <w:rPr>
          <w:rFonts w:ascii="Times New Roman" w:eastAsia="Times New Roman" w:hAnsi="Times New Roman" w:cs="Times New Roman"/>
          <w:color w:val="231F20"/>
          <w:sz w:val="24"/>
          <w:szCs w:val="24"/>
          <w:lang w:eastAsia="pl-PL"/>
        </w:rPr>
        <w:t xml:space="preserve"> </w:t>
      </w:r>
      <w:r w:rsidR="003A2326"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Co istotne, wyżej przedstawiony sposób określenia efektywnej stawki podatkowej w kluczu przydziału znajduje zastosowanie niezależnie od tego na podstawie której z przesłanek wskazanych w  art.  14</w:t>
      </w:r>
      <w:r w:rsidR="00231255" w:rsidRPr="00633318">
        <w:rPr>
          <w:rFonts w:ascii="Times New Roman" w:eastAsia="Times New Roman" w:hAnsi="Times New Roman" w:cs="Times New Roman"/>
          <w:color w:val="231F20"/>
          <w:sz w:val="24"/>
          <w:szCs w:val="24"/>
          <w:lang w:eastAsia="pl-PL"/>
        </w:rPr>
        <w:t>6</w:t>
      </w:r>
      <w:r w:rsidRPr="00633318">
        <w:rPr>
          <w:rFonts w:ascii="Times New Roman" w:eastAsia="Times New Roman" w:hAnsi="Times New Roman" w:cs="Times New Roman"/>
          <w:color w:val="231F20"/>
          <w:sz w:val="24"/>
          <w:szCs w:val="24"/>
          <w:lang w:eastAsia="pl-PL"/>
        </w:rPr>
        <w:t xml:space="preserve"> ust. 1 pkt 1-3 dokonywany jest wybór stosowania tymczasowej bezpiecznej przystani</w:t>
      </w:r>
      <w:r w:rsidR="00276EE0" w:rsidRPr="00633318">
        <w:rPr>
          <w:rFonts w:ascii="Times New Roman" w:eastAsia="Times New Roman" w:hAnsi="Times New Roman" w:cs="Times New Roman"/>
          <w:color w:val="231F20"/>
          <w:sz w:val="24"/>
          <w:szCs w:val="24"/>
          <w:lang w:eastAsia="pl-PL"/>
        </w:rPr>
        <w:t xml:space="preserve"> CbCR</w:t>
      </w:r>
      <w:r w:rsidRPr="00633318">
        <w:rPr>
          <w:rFonts w:ascii="Times New Roman" w:eastAsia="Times New Roman" w:hAnsi="Times New Roman" w:cs="Times New Roman"/>
          <w:color w:val="231F20"/>
          <w:sz w:val="24"/>
          <w:szCs w:val="24"/>
          <w:lang w:eastAsia="pl-PL"/>
        </w:rPr>
        <w:t xml:space="preserve">. Z kolei w przypadkach, gdy dana grupa międzynarodowa nie jest zobowiązana do obliczania efektywnej stawki podatkowej z powodów odmiennych </w:t>
      </w:r>
      <w:r w:rsidR="00276EE0" w:rsidRPr="00633318">
        <w:rPr>
          <w:rFonts w:ascii="Times New Roman" w:eastAsia="Times New Roman" w:hAnsi="Times New Roman" w:cs="Times New Roman"/>
          <w:color w:val="231F20"/>
          <w:sz w:val="24"/>
          <w:szCs w:val="24"/>
          <w:lang w:eastAsia="pl-PL"/>
        </w:rPr>
        <w:t>niż</w:t>
      </w:r>
      <w:r w:rsidRPr="00633318">
        <w:rPr>
          <w:rFonts w:ascii="Times New Roman" w:eastAsia="Times New Roman" w:hAnsi="Times New Roman" w:cs="Times New Roman"/>
          <w:color w:val="231F20"/>
          <w:sz w:val="24"/>
          <w:szCs w:val="24"/>
          <w:lang w:eastAsia="pl-PL"/>
        </w:rPr>
        <w:t xml:space="preserve"> określone w art. 1</w:t>
      </w:r>
      <w:r w:rsidR="00231255" w:rsidRPr="00633318">
        <w:rPr>
          <w:rFonts w:ascii="Times New Roman" w:eastAsia="Times New Roman" w:hAnsi="Times New Roman" w:cs="Times New Roman"/>
          <w:color w:val="231F20"/>
          <w:sz w:val="24"/>
          <w:szCs w:val="24"/>
          <w:lang w:eastAsia="pl-PL"/>
        </w:rPr>
        <w:t>50</w:t>
      </w:r>
      <w:r w:rsidRPr="00633318">
        <w:rPr>
          <w:rFonts w:ascii="Times New Roman" w:eastAsia="Times New Roman" w:hAnsi="Times New Roman" w:cs="Times New Roman"/>
          <w:color w:val="231F20"/>
          <w:sz w:val="24"/>
          <w:szCs w:val="24"/>
          <w:lang w:eastAsia="pl-PL"/>
        </w:rPr>
        <w:t xml:space="preserve"> pkt 1 lub 2, efektywna stawka podatkowa w kluczu przydziału określana jest na podstawie ilorazu uproszczonych podatków kwalifikowanych wszystkich jednostek składowych </w:t>
      </w:r>
      <w:r w:rsidR="00276EE0" w:rsidRPr="00633318">
        <w:rPr>
          <w:rFonts w:ascii="Times New Roman" w:eastAsia="Times New Roman" w:hAnsi="Times New Roman" w:cs="Times New Roman"/>
          <w:color w:val="231F20"/>
          <w:sz w:val="24"/>
          <w:szCs w:val="24"/>
          <w:lang w:eastAsia="pl-PL"/>
        </w:rPr>
        <w:t>zlokalizowanych</w:t>
      </w:r>
      <w:r w:rsidRPr="00633318">
        <w:rPr>
          <w:rFonts w:ascii="Times New Roman" w:eastAsia="Times New Roman" w:hAnsi="Times New Roman" w:cs="Times New Roman"/>
          <w:color w:val="231F20"/>
          <w:sz w:val="24"/>
          <w:szCs w:val="24"/>
          <w:lang w:eastAsia="pl-PL"/>
        </w:rPr>
        <w:t xml:space="preserve"> w dan</w:t>
      </w:r>
      <w:r w:rsidR="003A2326" w:rsidRPr="00633318">
        <w:rPr>
          <w:rFonts w:ascii="Times New Roman" w:eastAsia="Times New Roman" w:hAnsi="Times New Roman" w:cs="Times New Roman"/>
          <w:color w:val="231F20"/>
          <w:sz w:val="24"/>
          <w:szCs w:val="24"/>
          <w:lang w:eastAsia="pl-PL"/>
        </w:rPr>
        <w:t>ej</w:t>
      </w:r>
      <w:r w:rsidRPr="00633318">
        <w:rPr>
          <w:rFonts w:ascii="Times New Roman" w:eastAsia="Times New Roman" w:hAnsi="Times New Roman" w:cs="Times New Roman"/>
          <w:color w:val="231F20"/>
          <w:sz w:val="24"/>
          <w:szCs w:val="24"/>
          <w:lang w:eastAsia="pl-PL"/>
        </w:rPr>
        <w:t xml:space="preserve"> </w:t>
      </w:r>
      <w:r w:rsidR="003A2326"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xml:space="preserve"> oraz zrealizowanego zysku (straty) przed opodatkowaniem jednostek składowych </w:t>
      </w:r>
      <w:r w:rsidR="00276EE0" w:rsidRPr="00633318">
        <w:rPr>
          <w:rFonts w:ascii="Times New Roman" w:eastAsia="Times New Roman" w:hAnsi="Times New Roman" w:cs="Times New Roman"/>
          <w:color w:val="231F20"/>
          <w:sz w:val="24"/>
          <w:szCs w:val="24"/>
          <w:lang w:eastAsia="pl-PL"/>
        </w:rPr>
        <w:t>zlokalizowanych</w:t>
      </w:r>
      <w:r w:rsidRPr="00633318">
        <w:rPr>
          <w:rFonts w:ascii="Times New Roman" w:eastAsia="Times New Roman" w:hAnsi="Times New Roman" w:cs="Times New Roman"/>
          <w:color w:val="231F20"/>
          <w:sz w:val="24"/>
          <w:szCs w:val="24"/>
          <w:lang w:eastAsia="pl-PL"/>
        </w:rPr>
        <w:t xml:space="preserve"> w t</w:t>
      </w:r>
      <w:r w:rsidR="003A2326" w:rsidRPr="00633318">
        <w:rPr>
          <w:rFonts w:ascii="Times New Roman" w:eastAsia="Times New Roman" w:hAnsi="Times New Roman" w:cs="Times New Roman"/>
          <w:color w:val="231F20"/>
          <w:sz w:val="24"/>
          <w:szCs w:val="24"/>
          <w:lang w:eastAsia="pl-PL"/>
        </w:rPr>
        <w:t>ej</w:t>
      </w:r>
      <w:r w:rsidRPr="00633318">
        <w:rPr>
          <w:rFonts w:ascii="Times New Roman" w:eastAsia="Times New Roman" w:hAnsi="Times New Roman" w:cs="Times New Roman"/>
          <w:color w:val="231F20"/>
          <w:sz w:val="24"/>
          <w:szCs w:val="24"/>
          <w:lang w:eastAsia="pl-PL"/>
        </w:rPr>
        <w:t xml:space="preserve"> </w:t>
      </w:r>
      <w:r w:rsidR="003A2326"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xml:space="preserve">. Odstępstwo względem metody określania klucza przydziału z pkt. 2 polega na konieczności ustalenia </w:t>
      </w:r>
      <w:r w:rsidRPr="00633318">
        <w:rPr>
          <w:rFonts w:ascii="Times New Roman" w:eastAsia="Calibri" w:hAnsi="Times New Roman" w:cs="Times New Roman"/>
          <w:sz w:val="24"/>
          <w:szCs w:val="24"/>
        </w:rPr>
        <w:t xml:space="preserve">zrealizowanego zysku (straty) przed opodatkowaniem jednostek składowych </w:t>
      </w:r>
      <w:r w:rsidR="00231255" w:rsidRPr="00633318">
        <w:rPr>
          <w:rFonts w:ascii="Times New Roman" w:eastAsia="Calibri" w:hAnsi="Times New Roman" w:cs="Times New Roman"/>
          <w:sz w:val="24"/>
          <w:szCs w:val="24"/>
        </w:rPr>
        <w:t>zlokalizowanych</w:t>
      </w:r>
      <w:r w:rsidRPr="00633318">
        <w:rPr>
          <w:rFonts w:ascii="Times New Roman" w:eastAsia="Calibri" w:hAnsi="Times New Roman" w:cs="Times New Roman"/>
          <w:sz w:val="24"/>
          <w:szCs w:val="24"/>
        </w:rPr>
        <w:t xml:space="preserve"> w t</w:t>
      </w:r>
      <w:r w:rsidR="003A2326" w:rsidRPr="00633318">
        <w:rPr>
          <w:rFonts w:ascii="Times New Roman" w:eastAsia="Calibri" w:hAnsi="Times New Roman" w:cs="Times New Roman"/>
          <w:sz w:val="24"/>
          <w:szCs w:val="24"/>
        </w:rPr>
        <w:t>ej</w:t>
      </w:r>
      <w:r w:rsidRPr="00633318">
        <w:rPr>
          <w:rFonts w:ascii="Times New Roman" w:eastAsia="Calibri" w:hAnsi="Times New Roman" w:cs="Times New Roman"/>
          <w:sz w:val="24"/>
          <w:szCs w:val="24"/>
        </w:rPr>
        <w:t xml:space="preserve"> </w:t>
      </w:r>
      <w:r w:rsidR="003A2326" w:rsidRPr="00633318">
        <w:rPr>
          <w:rFonts w:ascii="Times New Roman" w:eastAsia="Calibri" w:hAnsi="Times New Roman" w:cs="Times New Roman"/>
          <w:sz w:val="24"/>
          <w:szCs w:val="24"/>
        </w:rPr>
        <w:t>jurysdykcji</w:t>
      </w:r>
      <w:r w:rsidRPr="00633318">
        <w:rPr>
          <w:rFonts w:ascii="Times New Roman" w:eastAsia="Times New Roman" w:hAnsi="Times New Roman" w:cs="Times New Roman"/>
          <w:color w:val="231F20"/>
          <w:sz w:val="24"/>
          <w:szCs w:val="24"/>
          <w:lang w:eastAsia="pl-PL"/>
        </w:rPr>
        <w:t xml:space="preserve"> w oparciu o dane wynikające z kwalifikowanego sprawozdania finansowego zdefiniowanego w art. 14</w:t>
      </w:r>
      <w:r w:rsidR="00231255" w:rsidRPr="00633318">
        <w:rPr>
          <w:rFonts w:ascii="Times New Roman" w:eastAsia="Times New Roman" w:hAnsi="Times New Roman" w:cs="Times New Roman"/>
          <w:color w:val="231F20"/>
          <w:sz w:val="24"/>
          <w:szCs w:val="24"/>
          <w:lang w:eastAsia="pl-PL"/>
        </w:rPr>
        <w:t>5</w:t>
      </w:r>
      <w:r w:rsidRPr="00633318">
        <w:rPr>
          <w:rFonts w:ascii="Times New Roman" w:eastAsia="Times New Roman" w:hAnsi="Times New Roman" w:cs="Times New Roman"/>
          <w:color w:val="231F20"/>
          <w:sz w:val="24"/>
          <w:szCs w:val="24"/>
          <w:lang w:eastAsia="pl-PL"/>
        </w:rPr>
        <w:t xml:space="preserve"> pkt 3 zamiast posiłkowania się tymi danymi wynikającymi z </w:t>
      </w:r>
      <w:r w:rsidRPr="00633318">
        <w:rPr>
          <w:rFonts w:ascii="Times New Roman" w:eastAsia="Calibri" w:hAnsi="Times New Roman" w:cs="Times New Roman"/>
          <w:sz w:val="24"/>
          <w:szCs w:val="24"/>
        </w:rPr>
        <w:t>informacji o grupie podmiotów, określonej w art 14</w:t>
      </w:r>
      <w:r w:rsidR="002E5E56" w:rsidRPr="00633318">
        <w:rPr>
          <w:rFonts w:ascii="Times New Roman" w:eastAsia="Calibri" w:hAnsi="Times New Roman" w:cs="Times New Roman"/>
          <w:sz w:val="24"/>
          <w:szCs w:val="24"/>
        </w:rPr>
        <w:t>5</w:t>
      </w:r>
      <w:r w:rsidRPr="00633318">
        <w:rPr>
          <w:rFonts w:ascii="Times New Roman" w:eastAsia="Calibri" w:hAnsi="Times New Roman" w:cs="Times New Roman"/>
          <w:sz w:val="24"/>
          <w:szCs w:val="24"/>
        </w:rPr>
        <w:t xml:space="preserve"> pkt 2.</w:t>
      </w:r>
    </w:p>
    <w:p w14:paraId="43C7AB84" w14:textId="3E875DB1" w:rsidR="00F67446" w:rsidRPr="00633318" w:rsidRDefault="00F67446" w:rsidP="00F67446">
      <w:pPr>
        <w:jc w:val="both"/>
        <w:rPr>
          <w:rFonts w:ascii="Times New Roman" w:eastAsia="Calibri" w:hAnsi="Times New Roman" w:cs="Times New Roman"/>
          <w:sz w:val="24"/>
          <w:szCs w:val="24"/>
        </w:rPr>
      </w:pPr>
      <w:r w:rsidRPr="00633318">
        <w:rPr>
          <w:rFonts w:ascii="Times New Roman" w:eastAsia="Calibri" w:hAnsi="Times New Roman" w:cs="Times New Roman"/>
          <w:sz w:val="24"/>
          <w:szCs w:val="24"/>
        </w:rPr>
        <w:t>Zarówno w przypadku wyboru</w:t>
      </w:r>
      <w:r w:rsidR="002E5E56" w:rsidRPr="00633318">
        <w:rPr>
          <w:rFonts w:ascii="Times New Roman" w:eastAsia="Calibri" w:hAnsi="Times New Roman" w:cs="Times New Roman"/>
          <w:sz w:val="24"/>
          <w:szCs w:val="24"/>
        </w:rPr>
        <w:t xml:space="preserve"> bezpiecznej przystani w zakresie kwalifikowanego krajowego podatku wyrównawczego</w:t>
      </w:r>
      <w:r w:rsidRPr="00633318">
        <w:rPr>
          <w:rFonts w:ascii="Times New Roman" w:eastAsia="Calibri" w:hAnsi="Times New Roman" w:cs="Times New Roman"/>
          <w:sz w:val="24"/>
          <w:szCs w:val="24"/>
        </w:rPr>
        <w:t>, o którym mowa w art. 125, jak i dokonania wyboru na podstawie art. 14</w:t>
      </w:r>
      <w:r w:rsidR="002E5E56" w:rsidRPr="00633318">
        <w:rPr>
          <w:rFonts w:ascii="Times New Roman" w:eastAsia="Calibri" w:hAnsi="Times New Roman" w:cs="Times New Roman"/>
          <w:sz w:val="24"/>
          <w:szCs w:val="24"/>
        </w:rPr>
        <w:t>6</w:t>
      </w:r>
      <w:r w:rsidRPr="00633318">
        <w:rPr>
          <w:rFonts w:ascii="Times New Roman" w:eastAsia="Calibri" w:hAnsi="Times New Roman" w:cs="Times New Roman"/>
          <w:sz w:val="24"/>
          <w:szCs w:val="24"/>
        </w:rPr>
        <w:t xml:space="preserve"> w zakresie korzystania z tymczasowej bezpiecznej przystani, mogą powstać sytuacje, gdy dana grupa międzynarodowa nie jest uprawniona do skorzystania z ww. wymienionych preferencji w odniesieniu do wszystkich jednostek zlokalizowanych w t</w:t>
      </w:r>
      <w:r w:rsidR="00744D9B" w:rsidRPr="00633318">
        <w:rPr>
          <w:rFonts w:ascii="Times New Roman" w:eastAsia="Calibri" w:hAnsi="Times New Roman" w:cs="Times New Roman"/>
          <w:sz w:val="24"/>
          <w:szCs w:val="24"/>
        </w:rPr>
        <w:t>ej</w:t>
      </w:r>
      <w:r w:rsidRPr="00633318">
        <w:rPr>
          <w:rFonts w:ascii="Times New Roman" w:eastAsia="Calibri" w:hAnsi="Times New Roman" w:cs="Times New Roman"/>
          <w:sz w:val="24"/>
          <w:szCs w:val="24"/>
        </w:rPr>
        <w:t xml:space="preserve"> sam</w:t>
      </w:r>
      <w:r w:rsidR="00744D9B" w:rsidRPr="00633318">
        <w:rPr>
          <w:rFonts w:ascii="Times New Roman" w:eastAsia="Calibri" w:hAnsi="Times New Roman" w:cs="Times New Roman"/>
          <w:sz w:val="24"/>
          <w:szCs w:val="24"/>
        </w:rPr>
        <w:t>ej</w:t>
      </w:r>
      <w:r w:rsidRPr="00633318">
        <w:rPr>
          <w:rFonts w:ascii="Times New Roman" w:eastAsia="Calibri" w:hAnsi="Times New Roman" w:cs="Times New Roman"/>
          <w:sz w:val="24"/>
          <w:szCs w:val="24"/>
        </w:rPr>
        <w:t xml:space="preserve"> </w:t>
      </w:r>
      <w:bookmarkStart w:id="132" w:name="_Hlk171081147"/>
      <w:r w:rsidR="00744D9B" w:rsidRPr="00633318">
        <w:rPr>
          <w:rFonts w:ascii="Times New Roman" w:eastAsia="Calibri" w:hAnsi="Times New Roman" w:cs="Times New Roman"/>
          <w:sz w:val="24"/>
          <w:szCs w:val="24"/>
        </w:rPr>
        <w:t>jurysdykcji</w:t>
      </w:r>
      <w:bookmarkEnd w:id="132"/>
      <w:r w:rsidRPr="00633318">
        <w:rPr>
          <w:rFonts w:ascii="Times New Roman" w:eastAsia="Calibri" w:hAnsi="Times New Roman" w:cs="Times New Roman"/>
          <w:sz w:val="24"/>
          <w:szCs w:val="24"/>
        </w:rPr>
        <w:t>. Z zasygnalizowanym stanem rzeczy będziemy mieli do czynienia, jeśli grupa międzynarodowa posiada w tej sam</w:t>
      </w:r>
      <w:r w:rsidR="00744D9B" w:rsidRPr="00633318">
        <w:rPr>
          <w:rFonts w:ascii="Times New Roman" w:eastAsia="Calibri" w:hAnsi="Times New Roman" w:cs="Times New Roman"/>
          <w:sz w:val="24"/>
          <w:szCs w:val="24"/>
        </w:rPr>
        <w:t>ej</w:t>
      </w:r>
      <w:r w:rsidRPr="00633318">
        <w:rPr>
          <w:rFonts w:ascii="Times New Roman" w:eastAsia="Calibri" w:hAnsi="Times New Roman" w:cs="Times New Roman"/>
          <w:sz w:val="24"/>
          <w:szCs w:val="24"/>
        </w:rPr>
        <w:t xml:space="preserve"> </w:t>
      </w:r>
      <w:r w:rsidR="00744D9B" w:rsidRPr="00633318">
        <w:rPr>
          <w:rFonts w:ascii="Times New Roman" w:eastAsia="Calibri" w:hAnsi="Times New Roman" w:cs="Times New Roman"/>
          <w:sz w:val="24"/>
          <w:szCs w:val="24"/>
        </w:rPr>
        <w:t>jurysdykcji</w:t>
      </w:r>
      <w:r w:rsidRPr="00633318">
        <w:rPr>
          <w:rFonts w:ascii="Times New Roman" w:eastAsia="Calibri" w:hAnsi="Times New Roman" w:cs="Times New Roman"/>
          <w:sz w:val="24"/>
          <w:szCs w:val="24"/>
        </w:rPr>
        <w:t xml:space="preserve"> oprócz jednostek składowych objętych dyspozycją art. 125 i art. 14</w:t>
      </w:r>
      <w:r w:rsidR="002E5E56" w:rsidRPr="00633318">
        <w:rPr>
          <w:rFonts w:ascii="Times New Roman" w:eastAsia="Calibri" w:hAnsi="Times New Roman" w:cs="Times New Roman"/>
          <w:sz w:val="24"/>
          <w:szCs w:val="24"/>
        </w:rPr>
        <w:t>6</w:t>
      </w:r>
      <w:r w:rsidRPr="00633318">
        <w:rPr>
          <w:rFonts w:ascii="Times New Roman" w:eastAsia="Calibri" w:hAnsi="Times New Roman" w:cs="Times New Roman"/>
          <w:sz w:val="24"/>
          <w:szCs w:val="24"/>
        </w:rPr>
        <w:t>, również jednostki inwestycyjne bądź jednostki joint venture, które nie są objęte zakresem zwolnień ustanowionych w przywołanych przepisach. W opisanych okolicznościach obliczenie efektywnej stawki podatkowej w kluczu przydziału dla poszczególnych jednostek powinno dokonać się z uwzględnieniem zarówno art 14</w:t>
      </w:r>
      <w:r w:rsidR="002E5E56" w:rsidRPr="00633318">
        <w:rPr>
          <w:rFonts w:ascii="Times New Roman" w:eastAsia="Calibri" w:hAnsi="Times New Roman" w:cs="Times New Roman"/>
          <w:sz w:val="24"/>
          <w:szCs w:val="24"/>
        </w:rPr>
        <w:t>9</w:t>
      </w:r>
      <w:r w:rsidRPr="00633318">
        <w:rPr>
          <w:rFonts w:ascii="Times New Roman" w:eastAsia="Calibri" w:hAnsi="Times New Roman" w:cs="Times New Roman"/>
          <w:sz w:val="24"/>
          <w:szCs w:val="24"/>
        </w:rPr>
        <w:t xml:space="preserve"> jak i art. 1</w:t>
      </w:r>
      <w:r w:rsidR="002E5E56" w:rsidRPr="00633318">
        <w:rPr>
          <w:rFonts w:ascii="Times New Roman" w:eastAsia="Calibri" w:hAnsi="Times New Roman" w:cs="Times New Roman"/>
          <w:sz w:val="24"/>
          <w:szCs w:val="24"/>
        </w:rPr>
        <w:t>50</w:t>
      </w:r>
      <w:r w:rsidRPr="00633318">
        <w:rPr>
          <w:rFonts w:ascii="Times New Roman" w:eastAsia="Calibri" w:hAnsi="Times New Roman" w:cs="Times New Roman"/>
          <w:sz w:val="24"/>
          <w:szCs w:val="24"/>
        </w:rPr>
        <w:t>, o czym stanowi 1</w:t>
      </w:r>
      <w:r w:rsidR="002E5E56" w:rsidRPr="00633318">
        <w:rPr>
          <w:rFonts w:ascii="Times New Roman" w:eastAsia="Calibri" w:hAnsi="Times New Roman" w:cs="Times New Roman"/>
          <w:sz w:val="24"/>
          <w:szCs w:val="24"/>
        </w:rPr>
        <w:t>50</w:t>
      </w:r>
      <w:r w:rsidRPr="00633318">
        <w:rPr>
          <w:rFonts w:ascii="Times New Roman" w:eastAsia="Calibri" w:hAnsi="Times New Roman" w:cs="Times New Roman"/>
          <w:sz w:val="24"/>
          <w:szCs w:val="24"/>
        </w:rPr>
        <w:t xml:space="preserve"> ust. 2. Mając na uwadze przywołaną treść obliczenie efektywnej stawki podatkowej w kluczu przydziału dla jednostek objętych zakresem regulacji art. 125 bądź art. 1</w:t>
      </w:r>
      <w:r w:rsidR="002E5E56" w:rsidRPr="00633318">
        <w:rPr>
          <w:rFonts w:ascii="Times New Roman" w:eastAsia="Calibri" w:hAnsi="Times New Roman" w:cs="Times New Roman"/>
          <w:sz w:val="24"/>
          <w:szCs w:val="24"/>
        </w:rPr>
        <w:t>45</w:t>
      </w:r>
      <w:r w:rsidRPr="00633318">
        <w:rPr>
          <w:rFonts w:ascii="Times New Roman" w:eastAsia="Calibri" w:hAnsi="Times New Roman" w:cs="Times New Roman"/>
          <w:sz w:val="24"/>
          <w:szCs w:val="24"/>
        </w:rPr>
        <w:t xml:space="preserve"> powinno dokonać się zgodnie z odpowiednimi postanowieniami art. 1</w:t>
      </w:r>
      <w:r w:rsidR="002E5E56" w:rsidRPr="00633318">
        <w:rPr>
          <w:rFonts w:ascii="Times New Roman" w:eastAsia="Calibri" w:hAnsi="Times New Roman" w:cs="Times New Roman"/>
          <w:sz w:val="24"/>
          <w:szCs w:val="24"/>
        </w:rPr>
        <w:t>50</w:t>
      </w:r>
      <w:r w:rsidRPr="00633318">
        <w:rPr>
          <w:rFonts w:ascii="Times New Roman" w:eastAsia="Calibri" w:hAnsi="Times New Roman" w:cs="Times New Roman"/>
          <w:sz w:val="24"/>
          <w:szCs w:val="24"/>
        </w:rPr>
        <w:t>. W odniesieniu do pozostałych jednostek efektywna stawka podatkowa w kluczu przydziału obliczana jest w sposób przewidziany w art 14</w:t>
      </w:r>
      <w:r w:rsidR="002E5E56" w:rsidRPr="00633318">
        <w:rPr>
          <w:rFonts w:ascii="Times New Roman" w:eastAsia="Calibri" w:hAnsi="Times New Roman" w:cs="Times New Roman"/>
          <w:sz w:val="24"/>
          <w:szCs w:val="24"/>
        </w:rPr>
        <w:t>9</w:t>
      </w:r>
      <w:r w:rsidRPr="00633318">
        <w:rPr>
          <w:rFonts w:ascii="Times New Roman" w:eastAsia="Calibri" w:hAnsi="Times New Roman" w:cs="Times New Roman"/>
          <w:sz w:val="24"/>
          <w:szCs w:val="24"/>
        </w:rPr>
        <w:t>.</w:t>
      </w:r>
    </w:p>
    <w:p w14:paraId="5E0BC669" w14:textId="2F2749AC" w:rsidR="00F67446" w:rsidRPr="00633318" w:rsidRDefault="00F67446" w:rsidP="00F67446">
      <w:pPr>
        <w:jc w:val="both"/>
        <w:rPr>
          <w:rFonts w:ascii="Times New Roman" w:eastAsia="Times New Roman" w:hAnsi="Times New Roman" w:cs="Times New Roman"/>
          <w:color w:val="231F20"/>
          <w:sz w:val="24"/>
          <w:szCs w:val="24"/>
          <w:lang w:eastAsia="pl-PL"/>
        </w:rPr>
      </w:pPr>
      <w:r w:rsidRPr="00633318">
        <w:rPr>
          <w:rFonts w:ascii="Times New Roman" w:eastAsia="Calibri" w:hAnsi="Times New Roman" w:cs="Times New Roman"/>
          <w:sz w:val="24"/>
          <w:szCs w:val="24"/>
        </w:rPr>
        <w:t xml:space="preserve">Postanowienia </w:t>
      </w:r>
      <w:r w:rsidRPr="00633318">
        <w:rPr>
          <w:rFonts w:ascii="Times New Roman" w:eastAsia="Calibri" w:hAnsi="Times New Roman" w:cs="Times New Roman"/>
          <w:b/>
          <w:bCs/>
          <w:sz w:val="24"/>
          <w:szCs w:val="24"/>
        </w:rPr>
        <w:t>art. 15</w:t>
      </w:r>
      <w:r w:rsidR="002E5E56" w:rsidRPr="00633318">
        <w:rPr>
          <w:rFonts w:ascii="Times New Roman" w:eastAsia="Calibri" w:hAnsi="Times New Roman" w:cs="Times New Roman"/>
          <w:b/>
          <w:bCs/>
          <w:sz w:val="24"/>
          <w:szCs w:val="24"/>
        </w:rPr>
        <w:t>1</w:t>
      </w:r>
      <w:r w:rsidRPr="00633318">
        <w:rPr>
          <w:rFonts w:ascii="Times New Roman" w:eastAsia="Calibri" w:hAnsi="Times New Roman" w:cs="Times New Roman"/>
          <w:sz w:val="24"/>
          <w:szCs w:val="24"/>
        </w:rPr>
        <w:t xml:space="preserve"> określają zasady przydziału podatku nałożonego w ramach mieszanego systemu opodatkowania ZJK dla jednostek nieobjętych zakresem niniejszej ustawy, a więc jednostek niebędących jednostkami składowymi, jednostkami joint venture, czy też jednostkami zależnymi joint venture. Przydzielony ww. jednostkom kwalifikowany podatek podlega wyłączeniu z</w:t>
      </w:r>
      <w:r w:rsidR="00F815D5" w:rsidRPr="00633318">
        <w:rPr>
          <w:rFonts w:ascii="Times New Roman" w:eastAsia="Calibri" w:hAnsi="Times New Roman" w:cs="Times New Roman"/>
          <w:sz w:val="24"/>
          <w:szCs w:val="24"/>
        </w:rPr>
        <w:t>e skorygowanych</w:t>
      </w:r>
      <w:r w:rsidRPr="00633318">
        <w:rPr>
          <w:rFonts w:ascii="Times New Roman" w:eastAsia="Calibri" w:hAnsi="Times New Roman" w:cs="Times New Roman"/>
          <w:sz w:val="24"/>
          <w:szCs w:val="24"/>
        </w:rPr>
        <w:t xml:space="preserve"> podatków kwalifikowanych jednostek składowych, jednostek joint venture oraz jednostek zależnych joint venture. Ust. 2 określa zasady wyliczania klucza przydziału dla jednostek niebędących jednostkami składowymi, jednostkami joint venture, czy też jednostkami zależnymi joint venture, je</w:t>
      </w:r>
      <w:r w:rsidR="00F815D5" w:rsidRPr="00633318">
        <w:rPr>
          <w:rFonts w:ascii="Times New Roman" w:eastAsia="Calibri" w:hAnsi="Times New Roman" w:cs="Times New Roman"/>
          <w:sz w:val="24"/>
          <w:szCs w:val="24"/>
        </w:rPr>
        <w:t>że</w:t>
      </w:r>
      <w:r w:rsidRPr="00633318">
        <w:rPr>
          <w:rFonts w:ascii="Times New Roman" w:eastAsia="Calibri" w:hAnsi="Times New Roman" w:cs="Times New Roman"/>
          <w:sz w:val="24"/>
          <w:szCs w:val="24"/>
        </w:rPr>
        <w:t>li</w:t>
      </w:r>
      <w:r w:rsidRPr="00633318">
        <w:rPr>
          <w:rFonts w:ascii="Times New Roman" w:eastAsia="Times New Roman" w:hAnsi="Times New Roman" w:cs="Times New Roman"/>
          <w:color w:val="231F20"/>
          <w:sz w:val="24"/>
          <w:szCs w:val="24"/>
          <w:lang w:eastAsia="pl-PL"/>
        </w:rPr>
        <w:t xml:space="preserve"> dla poszczególnych jednostek </w:t>
      </w:r>
      <w:r w:rsidR="00276EE0" w:rsidRPr="00633318">
        <w:rPr>
          <w:rFonts w:ascii="Times New Roman" w:eastAsia="Times New Roman" w:hAnsi="Times New Roman" w:cs="Times New Roman"/>
          <w:color w:val="231F20"/>
          <w:sz w:val="24"/>
          <w:szCs w:val="24"/>
          <w:lang w:eastAsia="pl-PL"/>
        </w:rPr>
        <w:t>zlokalizowanych</w:t>
      </w:r>
      <w:r w:rsidRPr="00633318">
        <w:rPr>
          <w:rFonts w:ascii="Times New Roman" w:eastAsia="Times New Roman" w:hAnsi="Times New Roman" w:cs="Times New Roman"/>
          <w:color w:val="231F20"/>
          <w:sz w:val="24"/>
          <w:szCs w:val="24"/>
          <w:lang w:eastAsia="pl-PL"/>
        </w:rPr>
        <w:t xml:space="preserve"> w dan</w:t>
      </w:r>
      <w:r w:rsidR="00744D9B" w:rsidRPr="00633318">
        <w:rPr>
          <w:rFonts w:ascii="Times New Roman" w:eastAsia="Times New Roman" w:hAnsi="Times New Roman" w:cs="Times New Roman"/>
          <w:color w:val="231F20"/>
          <w:sz w:val="24"/>
          <w:szCs w:val="24"/>
          <w:lang w:eastAsia="pl-PL"/>
        </w:rPr>
        <w:t>ej</w:t>
      </w:r>
      <w:r w:rsidRPr="00633318">
        <w:rPr>
          <w:rFonts w:ascii="Times New Roman" w:eastAsia="Times New Roman" w:hAnsi="Times New Roman" w:cs="Times New Roman"/>
          <w:color w:val="231F20"/>
          <w:sz w:val="24"/>
          <w:szCs w:val="24"/>
          <w:lang w:eastAsia="pl-PL"/>
        </w:rPr>
        <w:t xml:space="preserve"> </w:t>
      </w:r>
      <w:r w:rsidR="00744D9B"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xml:space="preserve"> znajdują zastosowanie różne sposoby określenia efektywnej stawki podatkowej. Klucz przydziału określany jest wówczas w oparciu o efektywną stawkę podatkową w kluczu przydziału znajdującą zastosowanie do jednostek, których łączny przypisany dochód zagranicznej jednostki kontrolowanej jest największy. </w:t>
      </w:r>
    </w:p>
    <w:p w14:paraId="04C793B9" w14:textId="11422387" w:rsidR="00F67446" w:rsidRPr="00633318" w:rsidRDefault="00F67446" w:rsidP="00F67446">
      <w:pPr>
        <w:jc w:val="both"/>
        <w:rPr>
          <w:rFonts w:ascii="Times New Roman" w:eastAsia="Times New Roman" w:hAnsi="Times New Roman" w:cs="Times New Roman"/>
          <w:color w:val="231F20"/>
          <w:sz w:val="24"/>
          <w:szCs w:val="24"/>
          <w:lang w:eastAsia="pl-PL"/>
        </w:rPr>
      </w:pPr>
      <w:r w:rsidRPr="00633318">
        <w:rPr>
          <w:rFonts w:ascii="Times New Roman" w:eastAsia="Times New Roman" w:hAnsi="Times New Roman" w:cs="Times New Roman"/>
          <w:color w:val="231F20"/>
          <w:sz w:val="24"/>
          <w:szCs w:val="24"/>
          <w:lang w:eastAsia="pl-PL"/>
        </w:rPr>
        <w:t xml:space="preserve">Ust. 3 określa sposób wyliczenia efektywnej stawki podatkowej, stanowiącej konieczny element obliczenia klucza przydziału w sytuacji, gdy należy przypisać podatek kwalifikowany do zagranicznych jednostek kwalifikowanych niebędących jednostkami składowymi, jednostkami joint venture bądź jednostkami zależnymi joint venture, zlokalizowanych w </w:t>
      </w:r>
      <w:r w:rsidR="00744D9B" w:rsidRPr="00633318">
        <w:rPr>
          <w:rFonts w:ascii="Times New Roman" w:eastAsia="Times New Roman" w:hAnsi="Times New Roman" w:cs="Times New Roman"/>
          <w:color w:val="231F20"/>
          <w:sz w:val="24"/>
          <w:szCs w:val="24"/>
          <w:lang w:eastAsia="pl-PL"/>
        </w:rPr>
        <w:t>jurysdykcji</w:t>
      </w:r>
      <w:r w:rsidRPr="00633318">
        <w:rPr>
          <w:rFonts w:ascii="Times New Roman" w:eastAsia="Times New Roman" w:hAnsi="Times New Roman" w:cs="Times New Roman"/>
          <w:color w:val="231F20"/>
          <w:sz w:val="24"/>
          <w:szCs w:val="24"/>
          <w:lang w:eastAsia="pl-PL"/>
        </w:rPr>
        <w:t xml:space="preserve">, dla których nie dokonuje obliczenia efektywnej stawki podatkowej zgodnie z art. 11 ust. 4 bądź w sposób przewiedziany w art. </w:t>
      </w:r>
      <w:r w:rsidR="002E5E56" w:rsidRPr="00633318">
        <w:rPr>
          <w:rFonts w:ascii="Times New Roman" w:eastAsia="Times New Roman" w:hAnsi="Times New Roman" w:cs="Times New Roman"/>
          <w:color w:val="231F20"/>
          <w:sz w:val="24"/>
          <w:szCs w:val="24"/>
          <w:lang w:eastAsia="pl-PL"/>
        </w:rPr>
        <w:t>150</w:t>
      </w:r>
      <w:r w:rsidRPr="00633318">
        <w:rPr>
          <w:rFonts w:ascii="Times New Roman" w:eastAsia="Times New Roman" w:hAnsi="Times New Roman" w:cs="Times New Roman"/>
          <w:color w:val="231F20"/>
          <w:sz w:val="24"/>
          <w:szCs w:val="24"/>
          <w:lang w:eastAsia="pl-PL"/>
        </w:rPr>
        <w:t xml:space="preserve">. Obowiązek ustalenia efektywnej stawki podatkowej nie zaktualizuje się między innymi, jeśli dana jednostka posiada udziały własnościowe w jednostkach będących zagranicznymi jednostkami kontrolowanymi, które nie są jednostkami składowymi (ponieważ nie spełniają warunków do objęcia metodą konsolidacji liniowej), jak również nie spełniają przesłanek do uznania je za jednostki joint venture bądź jednostki zależne joint venture. W przypadkach odpowiadających przedstawionemu </w:t>
      </w:r>
      <w:r w:rsidR="00BE7439" w:rsidRPr="00633318">
        <w:rPr>
          <w:rFonts w:ascii="Times New Roman" w:eastAsia="Times New Roman" w:hAnsi="Times New Roman" w:cs="Times New Roman"/>
          <w:color w:val="231F20"/>
          <w:sz w:val="24"/>
          <w:szCs w:val="24"/>
          <w:lang w:eastAsia="pl-PL"/>
        </w:rPr>
        <w:t xml:space="preserve">stanowi faktycznemu </w:t>
      </w:r>
      <w:r w:rsidRPr="00633318">
        <w:rPr>
          <w:rFonts w:ascii="Times New Roman" w:eastAsia="Times New Roman" w:hAnsi="Times New Roman" w:cs="Times New Roman"/>
          <w:color w:val="231F20"/>
          <w:sz w:val="24"/>
          <w:szCs w:val="24"/>
          <w:lang w:eastAsia="pl-PL"/>
        </w:rPr>
        <w:t xml:space="preserve">ustalenie efektywnej stawki podatkowej w kluczu przydziału dokonuje </w:t>
      </w:r>
      <w:r w:rsidR="00F815D5" w:rsidRPr="00633318">
        <w:rPr>
          <w:rFonts w:ascii="Times New Roman" w:eastAsia="Times New Roman" w:hAnsi="Times New Roman" w:cs="Times New Roman"/>
          <w:color w:val="231F20"/>
          <w:sz w:val="24"/>
          <w:szCs w:val="24"/>
          <w:lang w:eastAsia="pl-PL"/>
        </w:rPr>
        <w:t xml:space="preserve">się </w:t>
      </w:r>
      <w:r w:rsidRPr="00633318">
        <w:rPr>
          <w:rFonts w:ascii="Times New Roman" w:eastAsia="Times New Roman" w:hAnsi="Times New Roman" w:cs="Times New Roman"/>
          <w:color w:val="231F20"/>
          <w:sz w:val="24"/>
          <w:szCs w:val="24"/>
          <w:lang w:eastAsia="pl-PL"/>
        </w:rPr>
        <w:t xml:space="preserve">w drodze podzielenia łącznego księgowego dochodu wszystkich jednostek niebędących jednostkami składowymi, jednostkami joint venture lub jednostkami zależnymi joint venture przez sumę podatków kwalifikowanych ujętych w księgach rachunkowych wszystkich takich jednostek. </w:t>
      </w:r>
    </w:p>
    <w:p w14:paraId="777AD10F" w14:textId="200D17B5" w:rsidR="00F67446" w:rsidRPr="00633318" w:rsidRDefault="002E5E56" w:rsidP="00F67446">
      <w:pPr>
        <w:jc w:val="both"/>
        <w:rPr>
          <w:rFonts w:ascii="Times New Roman" w:eastAsia="Calibri" w:hAnsi="Times New Roman" w:cs="Times New Roman"/>
          <w:sz w:val="24"/>
          <w:szCs w:val="24"/>
        </w:rPr>
      </w:pPr>
      <w:r w:rsidRPr="00633318">
        <w:rPr>
          <w:rFonts w:ascii="Times New Roman" w:eastAsia="Times New Roman" w:hAnsi="Times New Roman" w:cs="Times New Roman"/>
          <w:color w:val="231F20"/>
          <w:sz w:val="24"/>
          <w:szCs w:val="24"/>
          <w:lang w:eastAsia="pl-PL"/>
        </w:rPr>
        <w:t xml:space="preserve">Finalnie, z treści </w:t>
      </w:r>
      <w:r w:rsidR="00F67446" w:rsidRPr="00633318">
        <w:rPr>
          <w:rFonts w:ascii="Times New Roman" w:eastAsia="Times New Roman" w:hAnsi="Times New Roman" w:cs="Times New Roman"/>
          <w:color w:val="231F20"/>
          <w:sz w:val="24"/>
          <w:szCs w:val="24"/>
          <w:lang w:eastAsia="pl-PL"/>
        </w:rPr>
        <w:t>art. 15</w:t>
      </w:r>
      <w:r w:rsidRPr="00633318">
        <w:rPr>
          <w:rFonts w:ascii="Times New Roman" w:eastAsia="Times New Roman" w:hAnsi="Times New Roman" w:cs="Times New Roman"/>
          <w:color w:val="231F20"/>
          <w:sz w:val="24"/>
          <w:szCs w:val="24"/>
          <w:lang w:eastAsia="pl-PL"/>
        </w:rPr>
        <w:t>1</w:t>
      </w:r>
      <w:r w:rsidR="00F67446" w:rsidRPr="00633318">
        <w:rPr>
          <w:rFonts w:ascii="Times New Roman" w:eastAsia="Times New Roman" w:hAnsi="Times New Roman" w:cs="Times New Roman"/>
          <w:color w:val="231F20"/>
          <w:sz w:val="24"/>
          <w:szCs w:val="24"/>
          <w:lang w:eastAsia="pl-PL"/>
        </w:rPr>
        <w:t xml:space="preserve"> wynika, iż obliczony na podstawie tego </w:t>
      </w:r>
      <w:r w:rsidRPr="00633318">
        <w:rPr>
          <w:rFonts w:ascii="Times New Roman" w:eastAsia="Times New Roman" w:hAnsi="Times New Roman" w:cs="Times New Roman"/>
          <w:color w:val="231F20"/>
          <w:sz w:val="24"/>
          <w:szCs w:val="24"/>
          <w:lang w:eastAsia="pl-PL"/>
        </w:rPr>
        <w:t xml:space="preserve">przepisu </w:t>
      </w:r>
      <w:r w:rsidR="00F67446" w:rsidRPr="00633318">
        <w:rPr>
          <w:rFonts w:ascii="Times New Roman" w:eastAsia="Times New Roman" w:hAnsi="Times New Roman" w:cs="Times New Roman"/>
          <w:color w:val="231F20"/>
          <w:sz w:val="24"/>
          <w:szCs w:val="24"/>
          <w:lang w:eastAsia="pl-PL"/>
        </w:rPr>
        <w:t>klucz przydziału powinien zostać konsekwentnie  uwzględniony również w sumie kluczy przydziału, na potrzeby ustalenia ostatecznej kwoty kwalifikowanego podatku przypisywanego danej jednostce.</w:t>
      </w:r>
    </w:p>
    <w:p w14:paraId="6A774D9B" w14:textId="20FE4A3B" w:rsidR="0092519C" w:rsidRPr="00633318" w:rsidRDefault="0092519C" w:rsidP="002070A0">
      <w:pPr>
        <w:pStyle w:val="Nagwek3"/>
        <w:spacing w:before="240"/>
        <w:rPr>
          <w:rFonts w:ascii="Times New Roman" w:hAnsi="Times New Roman" w:cs="Times New Roman"/>
          <w:sz w:val="24"/>
        </w:rPr>
      </w:pPr>
      <w:r w:rsidRPr="00633318">
        <w:rPr>
          <w:rFonts w:ascii="Times New Roman" w:hAnsi="Times New Roman" w:cs="Times New Roman"/>
          <w:sz w:val="24"/>
        </w:rPr>
        <w:t xml:space="preserve">Rozdział </w:t>
      </w:r>
      <w:r w:rsidR="00D0466B" w:rsidRPr="00633318">
        <w:rPr>
          <w:rFonts w:ascii="Times New Roman" w:hAnsi="Times New Roman" w:cs="Times New Roman"/>
          <w:sz w:val="24"/>
        </w:rPr>
        <w:t xml:space="preserve">2 </w:t>
      </w:r>
      <w:r w:rsidRPr="00633318">
        <w:rPr>
          <w:rFonts w:ascii="Times New Roman" w:hAnsi="Times New Roman" w:cs="Times New Roman"/>
          <w:sz w:val="24"/>
        </w:rPr>
        <w:t>– Przepisy przejściowe</w:t>
      </w:r>
      <w:r w:rsidR="00D0466B" w:rsidRPr="00633318">
        <w:rPr>
          <w:rFonts w:ascii="Times New Roman" w:hAnsi="Times New Roman" w:cs="Times New Roman"/>
          <w:sz w:val="24"/>
        </w:rPr>
        <w:t xml:space="preserve"> </w:t>
      </w:r>
      <w:r w:rsidR="00972665" w:rsidRPr="00633318">
        <w:rPr>
          <w:rFonts w:ascii="Times New Roman" w:hAnsi="Times New Roman" w:cs="Times New Roman"/>
          <w:sz w:val="24"/>
        </w:rPr>
        <w:t>i dostosowujące oraz przepis końcowy</w:t>
      </w:r>
    </w:p>
    <w:p w14:paraId="0D761A9F" w14:textId="17C919A6" w:rsidR="005B5330" w:rsidRPr="00633318" w:rsidRDefault="005B5330" w:rsidP="005B5330">
      <w:pPr>
        <w:pStyle w:val="Nagwek5"/>
        <w:spacing w:before="0"/>
        <w:jc w:val="both"/>
        <w:rPr>
          <w:rFonts w:ascii="Times New Roman" w:hAnsi="Times New Roman" w:cs="Times New Roman"/>
          <w:sz w:val="24"/>
          <w:szCs w:val="24"/>
        </w:rPr>
      </w:pPr>
      <w:r w:rsidRPr="00633318">
        <w:rPr>
          <w:rFonts w:ascii="Times New Roman" w:hAnsi="Times New Roman" w:cs="Times New Roman"/>
          <w:sz w:val="24"/>
          <w:szCs w:val="24"/>
        </w:rPr>
        <w:t>Art. 15</w:t>
      </w:r>
      <w:r w:rsidR="002603A3" w:rsidRPr="00633318">
        <w:rPr>
          <w:rFonts w:ascii="Times New Roman" w:hAnsi="Times New Roman" w:cs="Times New Roman"/>
          <w:sz w:val="24"/>
          <w:szCs w:val="24"/>
        </w:rPr>
        <w:t>2</w:t>
      </w:r>
      <w:r w:rsidRPr="00633318">
        <w:rPr>
          <w:rFonts w:ascii="Times New Roman" w:hAnsi="Times New Roman" w:cs="Times New Roman"/>
          <w:sz w:val="24"/>
          <w:szCs w:val="24"/>
        </w:rPr>
        <w:t xml:space="preserve"> i art. 15</w:t>
      </w:r>
      <w:r w:rsidR="002603A3" w:rsidRPr="00633318">
        <w:rPr>
          <w:rFonts w:ascii="Times New Roman" w:hAnsi="Times New Roman" w:cs="Times New Roman"/>
          <w:sz w:val="24"/>
          <w:szCs w:val="24"/>
        </w:rPr>
        <w:t>3</w:t>
      </w:r>
      <w:r w:rsidRPr="00633318">
        <w:rPr>
          <w:rFonts w:ascii="Times New Roman" w:hAnsi="Times New Roman" w:cs="Times New Roman"/>
          <w:sz w:val="24"/>
          <w:szCs w:val="24"/>
        </w:rPr>
        <w:t xml:space="preserve"> [Możliwość stosowania systemu GloBE od roku 2024]</w:t>
      </w:r>
    </w:p>
    <w:p w14:paraId="06E8017C" w14:textId="3BB235B6" w:rsidR="005B5330" w:rsidRPr="00633318" w:rsidRDefault="005B5330" w:rsidP="005B5330">
      <w:pPr>
        <w:spacing w:after="120"/>
        <w:jc w:val="both"/>
        <w:rPr>
          <w:rFonts w:ascii="Times New Roman" w:hAnsi="Times New Roman" w:cs="Times New Roman"/>
          <w:sz w:val="24"/>
          <w:szCs w:val="24"/>
        </w:rPr>
      </w:pPr>
      <w:r w:rsidRPr="00633318">
        <w:rPr>
          <w:rFonts w:ascii="Times New Roman" w:hAnsi="Times New Roman" w:cs="Times New Roman"/>
          <w:sz w:val="24"/>
          <w:szCs w:val="24"/>
        </w:rPr>
        <w:t>Dyrektywa Rady (UE) 2022/2523 z dnia 14 grudnia 2022 r. w sprawie zapewnienia globalnego minimalnego opodatkowania międzynarodowych grup przedsiębiorstw oraz dużych grup krajowych weszły z życie z dniem 23 grudnia 2022 r. (art. 58 Dyrektywy). Zgodnie z jej art. 56</w:t>
      </w:r>
      <w:r w:rsidR="00FA7282" w:rsidRPr="00633318">
        <w:rPr>
          <w:rFonts w:ascii="Times New Roman" w:hAnsi="Times New Roman" w:cs="Times New Roman"/>
          <w:sz w:val="24"/>
          <w:szCs w:val="24"/>
        </w:rPr>
        <w:t>,</w:t>
      </w:r>
      <w:r w:rsidRPr="00633318">
        <w:rPr>
          <w:rFonts w:ascii="Times New Roman" w:hAnsi="Times New Roman" w:cs="Times New Roman"/>
          <w:sz w:val="24"/>
          <w:szCs w:val="24"/>
        </w:rPr>
        <w:t xml:space="preserve"> państwa członkowskie były zobowiązane, co do zasady, do jej implementacji do dnia 31 grudnia 2023 r. tj. ze skutkiem od 2024 r. </w:t>
      </w:r>
    </w:p>
    <w:p w14:paraId="0D8D9C9C" w14:textId="34659F0E" w:rsidR="005B5330" w:rsidRPr="00633318" w:rsidRDefault="005B5330" w:rsidP="005B5330">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Biorąc pod uwagę konstrukcję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 xml:space="preserve">ystemu GloBE opóźnienie w implementacji </w:t>
      </w:r>
      <w:r w:rsidR="00FA7282" w:rsidRPr="00633318">
        <w:rPr>
          <w:rFonts w:ascii="Times New Roman" w:hAnsi="Times New Roman" w:cs="Times New Roman"/>
          <w:sz w:val="24"/>
          <w:szCs w:val="24"/>
        </w:rPr>
        <w:t>D</w:t>
      </w:r>
      <w:r w:rsidRPr="00633318">
        <w:rPr>
          <w:rFonts w:ascii="Times New Roman" w:hAnsi="Times New Roman" w:cs="Times New Roman"/>
          <w:sz w:val="24"/>
          <w:szCs w:val="24"/>
        </w:rPr>
        <w:t>yrektywy nie musi prowadzić do zwolnienia grup międzynarodowych z obowiązku zapłaty podatk</w:t>
      </w:r>
      <w:r w:rsidR="00FA7282" w:rsidRPr="00633318">
        <w:rPr>
          <w:rFonts w:ascii="Times New Roman" w:hAnsi="Times New Roman" w:cs="Times New Roman"/>
          <w:sz w:val="24"/>
          <w:szCs w:val="24"/>
        </w:rPr>
        <w:t>ów</w:t>
      </w:r>
      <w:r w:rsidRPr="00633318">
        <w:rPr>
          <w:rFonts w:ascii="Times New Roman" w:hAnsi="Times New Roman" w:cs="Times New Roman"/>
          <w:sz w:val="24"/>
          <w:szCs w:val="24"/>
        </w:rPr>
        <w:t xml:space="preserve"> wyrównawcz</w:t>
      </w:r>
      <w:r w:rsidR="00FA7282" w:rsidRPr="00633318">
        <w:rPr>
          <w:rFonts w:ascii="Times New Roman" w:hAnsi="Times New Roman" w:cs="Times New Roman"/>
          <w:sz w:val="24"/>
          <w:szCs w:val="24"/>
        </w:rPr>
        <w:t>ych</w:t>
      </w:r>
      <w:r w:rsidRPr="00633318">
        <w:rPr>
          <w:rFonts w:ascii="Times New Roman" w:hAnsi="Times New Roman" w:cs="Times New Roman"/>
          <w:sz w:val="24"/>
          <w:szCs w:val="24"/>
        </w:rPr>
        <w:t>. Wynika to</w:t>
      </w:r>
      <w:r w:rsidR="00FA7282" w:rsidRPr="00633318">
        <w:rPr>
          <w:rFonts w:ascii="Times New Roman" w:hAnsi="Times New Roman" w:cs="Times New Roman"/>
          <w:sz w:val="24"/>
          <w:szCs w:val="24"/>
        </w:rPr>
        <w:t xml:space="preserve"> z</w:t>
      </w:r>
      <w:r w:rsidRPr="00633318">
        <w:rPr>
          <w:rFonts w:ascii="Times New Roman" w:hAnsi="Times New Roman" w:cs="Times New Roman"/>
          <w:sz w:val="24"/>
          <w:szCs w:val="24"/>
        </w:rPr>
        <w:t xml:space="preserve"> istoty funkcjonujących w tym systemie rozwiązań, w szczególności w związku z działani</w:t>
      </w:r>
      <w:r w:rsidR="009670F6" w:rsidRPr="00633318">
        <w:rPr>
          <w:rFonts w:ascii="Times New Roman" w:hAnsi="Times New Roman" w:cs="Times New Roman"/>
          <w:sz w:val="24"/>
          <w:szCs w:val="24"/>
        </w:rPr>
        <w:t>em</w:t>
      </w:r>
      <w:r w:rsidRPr="00633318">
        <w:rPr>
          <w:rFonts w:ascii="Times New Roman" w:hAnsi="Times New Roman" w:cs="Times New Roman"/>
          <w:sz w:val="24"/>
          <w:szCs w:val="24"/>
        </w:rPr>
        <w:t xml:space="preserve"> Zasady IIR. W tym kontekście należy podkreślić, iż źródłem obowiązku podatkowego nakładanego  w ramach </w:t>
      </w:r>
      <w:r w:rsidR="00FA7282" w:rsidRPr="00633318">
        <w:rPr>
          <w:rFonts w:ascii="Times New Roman" w:hAnsi="Times New Roman" w:cs="Times New Roman"/>
          <w:sz w:val="24"/>
          <w:szCs w:val="24"/>
        </w:rPr>
        <w:t xml:space="preserve">Systemu </w:t>
      </w:r>
      <w:r w:rsidRPr="00633318">
        <w:rPr>
          <w:rFonts w:ascii="Times New Roman" w:hAnsi="Times New Roman" w:cs="Times New Roman"/>
          <w:sz w:val="24"/>
          <w:szCs w:val="24"/>
        </w:rPr>
        <w:t xml:space="preserve">GloBE na jednostki dominujące grupy, a w pierwszej kolejności na jej jednostkę dominującą najwyższego szczebla (UPE) jest nisko opodatkowany dochód jednostki składowej takiej grupy zlokalizowanej w </w:t>
      </w:r>
      <w:r w:rsidR="00744D9B"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o niskim poziomie opodatkowania, czyli dochód tzw. „nisko opodatkowanej jednostki składowej” (LTCE</w:t>
      </w:r>
      <w:r w:rsidRPr="00633318">
        <w:rPr>
          <w:rFonts w:ascii="Times New Roman" w:hAnsi="Times New Roman" w:cs="Times New Roman"/>
          <w:i/>
          <w:iCs/>
          <w:sz w:val="24"/>
          <w:szCs w:val="24"/>
        </w:rPr>
        <w:t xml:space="preserve">). </w:t>
      </w:r>
      <w:r w:rsidRPr="00633318">
        <w:rPr>
          <w:rFonts w:ascii="Times New Roman" w:hAnsi="Times New Roman" w:cs="Times New Roman"/>
          <w:sz w:val="24"/>
          <w:szCs w:val="24"/>
        </w:rPr>
        <w:t xml:space="preserve">Dochód ten przypisywany jest danemu podatnikowi zgodnie z kolejnością wynikającą z zasady IIR (art. 5-8 Dyrektywy). Zasada IIR w swojej konstrukcji zakłada możliwość obowiązywania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 xml:space="preserve">ystemu GloBE tylko w niektórych </w:t>
      </w:r>
      <w:r w:rsidR="00744D9B" w:rsidRPr="00633318">
        <w:rPr>
          <w:rFonts w:ascii="Times New Roman" w:hAnsi="Times New Roman" w:cs="Times New Roman"/>
          <w:sz w:val="24"/>
          <w:szCs w:val="24"/>
        </w:rPr>
        <w:t>jurysdykcjach</w:t>
      </w:r>
      <w:r w:rsidRPr="00633318">
        <w:rPr>
          <w:rFonts w:ascii="Times New Roman" w:hAnsi="Times New Roman" w:cs="Times New Roman"/>
          <w:sz w:val="24"/>
          <w:szCs w:val="24"/>
        </w:rPr>
        <w:t xml:space="preserve">, w których zlokalizowane są jednostki dominujące danej grupy. Oznacza to, że dla skuteczności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 xml:space="preserve">ystemu GloBE, co do zasady, nie jest konieczne wdrożenie go przez wszystkie </w:t>
      </w:r>
      <w:r w:rsidR="00744D9B" w:rsidRPr="00633318">
        <w:rPr>
          <w:rFonts w:ascii="Times New Roman" w:hAnsi="Times New Roman" w:cs="Times New Roman"/>
          <w:sz w:val="24"/>
          <w:szCs w:val="24"/>
        </w:rPr>
        <w:t>jurysdykcje</w:t>
      </w:r>
      <w:r w:rsidR="00FA7282" w:rsidRPr="00633318">
        <w:rPr>
          <w:rFonts w:ascii="Times New Roman" w:hAnsi="Times New Roman" w:cs="Times New Roman"/>
          <w:sz w:val="24"/>
          <w:szCs w:val="24"/>
        </w:rPr>
        <w:t>, w których są</w:t>
      </w:r>
      <w:r w:rsidRPr="00633318">
        <w:rPr>
          <w:rFonts w:ascii="Times New Roman" w:hAnsi="Times New Roman" w:cs="Times New Roman"/>
          <w:sz w:val="24"/>
          <w:szCs w:val="24"/>
        </w:rPr>
        <w:t xml:space="preserve"> </w:t>
      </w:r>
      <w:r w:rsidR="00FA7282" w:rsidRPr="00633318">
        <w:rPr>
          <w:rFonts w:ascii="Times New Roman" w:hAnsi="Times New Roman" w:cs="Times New Roman"/>
          <w:sz w:val="24"/>
          <w:szCs w:val="24"/>
        </w:rPr>
        <w:t>z</w:t>
      </w:r>
      <w:r w:rsidRPr="00633318">
        <w:rPr>
          <w:rFonts w:ascii="Times New Roman" w:hAnsi="Times New Roman" w:cs="Times New Roman"/>
          <w:sz w:val="24"/>
          <w:szCs w:val="24"/>
        </w:rPr>
        <w:t>lokaliz</w:t>
      </w:r>
      <w:r w:rsidR="00FA7282" w:rsidRPr="00633318">
        <w:rPr>
          <w:rFonts w:ascii="Times New Roman" w:hAnsi="Times New Roman" w:cs="Times New Roman"/>
          <w:sz w:val="24"/>
          <w:szCs w:val="24"/>
        </w:rPr>
        <w:t>owane</w:t>
      </w:r>
      <w:r w:rsidRPr="00633318">
        <w:rPr>
          <w:rFonts w:ascii="Times New Roman" w:hAnsi="Times New Roman" w:cs="Times New Roman"/>
          <w:sz w:val="24"/>
          <w:szCs w:val="24"/>
        </w:rPr>
        <w:t xml:space="preserve"> jednost</w:t>
      </w:r>
      <w:r w:rsidR="00FA7282" w:rsidRPr="00633318">
        <w:rPr>
          <w:rFonts w:ascii="Times New Roman" w:hAnsi="Times New Roman" w:cs="Times New Roman"/>
          <w:sz w:val="24"/>
          <w:szCs w:val="24"/>
        </w:rPr>
        <w:t>ki</w:t>
      </w:r>
      <w:r w:rsidRPr="00633318">
        <w:rPr>
          <w:rFonts w:ascii="Times New Roman" w:hAnsi="Times New Roman" w:cs="Times New Roman"/>
          <w:sz w:val="24"/>
          <w:szCs w:val="24"/>
        </w:rPr>
        <w:t xml:space="preserve"> składow</w:t>
      </w:r>
      <w:r w:rsidR="00FA7282" w:rsidRPr="00633318">
        <w:rPr>
          <w:rFonts w:ascii="Times New Roman" w:hAnsi="Times New Roman" w:cs="Times New Roman"/>
          <w:sz w:val="24"/>
          <w:szCs w:val="24"/>
        </w:rPr>
        <w:t>e</w:t>
      </w:r>
      <w:r w:rsidRPr="00633318">
        <w:rPr>
          <w:rFonts w:ascii="Times New Roman" w:hAnsi="Times New Roman" w:cs="Times New Roman"/>
          <w:sz w:val="24"/>
          <w:szCs w:val="24"/>
        </w:rPr>
        <w:t xml:space="preserve"> danej grupy, a takie częściowe wdrożenie nie niweluje skuteczności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ystemu GloBE. Wynika to z tego, iż wysokość nisko opodatkowanego dochodu LTCE (a także konsekwentnie jej podatku, o którym mowa w przepisach dyrektywy) jest zasadniczo niezależna od tego, która jednostka dominująca grupy  (tj. które</w:t>
      </w:r>
      <w:r w:rsidR="00744D9B"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744D9B" w:rsidRPr="00633318">
        <w:rPr>
          <w:rFonts w:ascii="Times New Roman" w:hAnsi="Times New Roman" w:cs="Times New Roman"/>
          <w:sz w:val="24"/>
          <w:szCs w:val="24"/>
        </w:rPr>
        <w:t>jurysdykcji</w:t>
      </w:r>
      <w:r w:rsidRPr="00633318">
        <w:rPr>
          <w:rFonts w:ascii="Times New Roman" w:hAnsi="Times New Roman" w:cs="Times New Roman"/>
          <w:sz w:val="24"/>
          <w:szCs w:val="24"/>
        </w:rPr>
        <w:t>) będzie obowiązana - zgodnie z Zasadą IIR - do opodatkowania takiego dochodu</w:t>
      </w:r>
      <w:r w:rsidRPr="00633318">
        <w:rPr>
          <w:rStyle w:val="Odwoanieprzypisudolnego"/>
          <w:rFonts w:ascii="Times New Roman" w:hAnsi="Times New Roman" w:cs="Times New Roman"/>
          <w:sz w:val="24"/>
          <w:szCs w:val="24"/>
        </w:rPr>
        <w:footnoteReference w:id="178"/>
      </w:r>
      <w:r w:rsidRPr="00633318">
        <w:rPr>
          <w:rFonts w:ascii="Times New Roman" w:hAnsi="Times New Roman" w:cs="Times New Roman"/>
          <w:sz w:val="24"/>
          <w:szCs w:val="24"/>
        </w:rPr>
        <w:t xml:space="preserve">. Celem stosowania Zasady IIR jest wyłącznie ustalenie jednostki obowiązanej do poboru podatku wyrównawczego. Tym samym, w przypadku gdy </w:t>
      </w:r>
      <w:r w:rsidR="00744D9B" w:rsidRPr="00633318">
        <w:rPr>
          <w:rFonts w:ascii="Times New Roman" w:hAnsi="Times New Roman" w:cs="Times New Roman"/>
          <w:sz w:val="24"/>
          <w:szCs w:val="24"/>
        </w:rPr>
        <w:t>jurysdykcja</w:t>
      </w:r>
      <w:r w:rsidRPr="00633318">
        <w:rPr>
          <w:rFonts w:ascii="Times New Roman" w:hAnsi="Times New Roman" w:cs="Times New Roman"/>
          <w:sz w:val="24"/>
          <w:szCs w:val="24"/>
        </w:rPr>
        <w:t xml:space="preserve">, w którym znajduje się jednostka składowa posiadająca pierwszeństwo w „poborze’ podatku wyrównawczego nie wdrożyło rozwiązań przewidzianych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ystemem GloBE</w:t>
      </w:r>
      <w:r w:rsidR="00C9293C" w:rsidRPr="00633318">
        <w:rPr>
          <w:rFonts w:ascii="Times New Roman" w:hAnsi="Times New Roman" w:cs="Times New Roman"/>
          <w:sz w:val="24"/>
          <w:szCs w:val="24"/>
        </w:rPr>
        <w:t>.</w:t>
      </w:r>
      <w:r w:rsidRPr="00633318">
        <w:rPr>
          <w:rFonts w:ascii="Times New Roman" w:hAnsi="Times New Roman" w:cs="Times New Roman"/>
          <w:sz w:val="24"/>
          <w:szCs w:val="24"/>
        </w:rPr>
        <w:t xml:space="preserve"> Zasada IIR nakazuje „poszukiwać” podmiotu do tego obowiązanego niżej w strukturze własności grupy. W przypadku, gdy taki podmiot (jednostka dominująca niższego szczebla; IPE) istnieje i jest zlokalizowany w </w:t>
      </w:r>
      <w:r w:rsidR="00A91562" w:rsidRPr="00633318">
        <w:rPr>
          <w:rFonts w:ascii="Times New Roman" w:hAnsi="Times New Roman" w:cs="Times New Roman"/>
          <w:sz w:val="24"/>
          <w:szCs w:val="24"/>
        </w:rPr>
        <w:t>jurysdykcji</w:t>
      </w:r>
      <w:r w:rsidRPr="00633318">
        <w:rPr>
          <w:rFonts w:ascii="Times New Roman" w:hAnsi="Times New Roman" w:cs="Times New Roman"/>
          <w:sz w:val="24"/>
          <w:szCs w:val="24"/>
        </w:rPr>
        <w:t>, któr</w:t>
      </w:r>
      <w:r w:rsidR="00A91562" w:rsidRPr="00633318">
        <w:rPr>
          <w:rFonts w:ascii="Times New Roman" w:hAnsi="Times New Roman" w:cs="Times New Roman"/>
          <w:sz w:val="24"/>
          <w:szCs w:val="24"/>
        </w:rPr>
        <w:t>a</w:t>
      </w:r>
      <w:r w:rsidRPr="00633318">
        <w:rPr>
          <w:rFonts w:ascii="Times New Roman" w:hAnsi="Times New Roman" w:cs="Times New Roman"/>
          <w:sz w:val="24"/>
          <w:szCs w:val="24"/>
        </w:rPr>
        <w:t xml:space="preserve"> wdrożył</w:t>
      </w:r>
      <w:r w:rsidR="00A91562" w:rsidRPr="00633318">
        <w:rPr>
          <w:rFonts w:ascii="Times New Roman" w:hAnsi="Times New Roman" w:cs="Times New Roman"/>
          <w:sz w:val="24"/>
          <w:szCs w:val="24"/>
        </w:rPr>
        <w:t>a</w:t>
      </w:r>
      <w:r w:rsidRPr="00633318">
        <w:rPr>
          <w:rFonts w:ascii="Times New Roman" w:hAnsi="Times New Roman" w:cs="Times New Roman"/>
          <w:sz w:val="24"/>
          <w:szCs w:val="24"/>
        </w:rPr>
        <w:t xml:space="preserve"> </w:t>
      </w:r>
      <w:r w:rsidR="00C9293C" w:rsidRPr="00633318">
        <w:rPr>
          <w:rFonts w:ascii="Times New Roman" w:hAnsi="Times New Roman" w:cs="Times New Roman"/>
          <w:sz w:val="24"/>
          <w:szCs w:val="24"/>
        </w:rPr>
        <w:t>S</w:t>
      </w:r>
      <w:r w:rsidRPr="00633318">
        <w:rPr>
          <w:rFonts w:ascii="Times New Roman" w:hAnsi="Times New Roman" w:cs="Times New Roman"/>
          <w:sz w:val="24"/>
          <w:szCs w:val="24"/>
        </w:rPr>
        <w:t>ystem GloBE, dochód LTCE jest opodatkowywany „w rękach tego podmiotu” (stosownie do posiadanego udziału własnościowego w LTCE), a tym samym cele Dyrektywy zostają osiągnięte.</w:t>
      </w:r>
    </w:p>
    <w:p w14:paraId="0CBDC6BF" w14:textId="37D71FE1" w:rsidR="005B5330" w:rsidRPr="00633318" w:rsidRDefault="005B5330" w:rsidP="005B5330">
      <w:pPr>
        <w:spacing w:after="120"/>
        <w:jc w:val="both"/>
        <w:rPr>
          <w:rFonts w:ascii="Times New Roman" w:hAnsi="Times New Roman" w:cs="Times New Roman"/>
          <w:sz w:val="24"/>
          <w:szCs w:val="24"/>
        </w:rPr>
      </w:pPr>
      <w:r w:rsidRPr="00633318">
        <w:rPr>
          <w:rFonts w:ascii="Times New Roman" w:hAnsi="Times New Roman" w:cs="Times New Roman"/>
          <w:sz w:val="24"/>
          <w:szCs w:val="24"/>
        </w:rPr>
        <w:t>Jak wynika z powyższego, wdrożenie bądź niewdrożenie przez dan</w:t>
      </w:r>
      <w:r w:rsidR="00A91562" w:rsidRPr="00633318">
        <w:rPr>
          <w:rFonts w:ascii="Times New Roman" w:hAnsi="Times New Roman" w:cs="Times New Roman"/>
          <w:sz w:val="24"/>
          <w:szCs w:val="24"/>
        </w:rPr>
        <w:t>ą</w:t>
      </w:r>
      <w:r w:rsidRPr="00633318">
        <w:rPr>
          <w:rFonts w:ascii="Times New Roman" w:hAnsi="Times New Roman" w:cs="Times New Roman"/>
          <w:sz w:val="24"/>
          <w:szCs w:val="24"/>
        </w:rPr>
        <w:t xml:space="preserve"> </w:t>
      </w:r>
      <w:r w:rsidR="00A91562" w:rsidRPr="00633318">
        <w:rPr>
          <w:rFonts w:ascii="Times New Roman" w:hAnsi="Times New Roman" w:cs="Times New Roman"/>
          <w:sz w:val="24"/>
          <w:szCs w:val="24"/>
        </w:rPr>
        <w:t>jurysdykcję</w:t>
      </w:r>
      <w:r w:rsidRPr="00633318">
        <w:rPr>
          <w:rFonts w:ascii="Times New Roman" w:hAnsi="Times New Roman" w:cs="Times New Roman"/>
          <w:sz w:val="24"/>
          <w:szCs w:val="24"/>
        </w:rPr>
        <w:t xml:space="preserve"> systemu GloBE, samo w sobie, nie decyduje o wysokości łącznego opodatkowania podatkiem wyrównawczym jednostek składowych grupy, a tym samym o wysokości łącznego obciążenia finansowego z tego tytułu z punktu widzenia całej grupy międzynarodowej. Tym samym, w praktyce sposób działania Zasady IIR można rozpatrywać w kontekście podziału władztwa podatkowego (z tytułu podatku wyrównawczego) mi</w:t>
      </w:r>
      <w:r w:rsidR="00001C57" w:rsidRPr="00633318">
        <w:rPr>
          <w:rFonts w:ascii="Times New Roman" w:hAnsi="Times New Roman" w:cs="Times New Roman"/>
          <w:sz w:val="24"/>
          <w:szCs w:val="24"/>
        </w:rPr>
        <w:t>ę</w:t>
      </w:r>
      <w:r w:rsidRPr="00633318">
        <w:rPr>
          <w:rFonts w:ascii="Times New Roman" w:hAnsi="Times New Roman" w:cs="Times New Roman"/>
          <w:sz w:val="24"/>
          <w:szCs w:val="24"/>
        </w:rPr>
        <w:t xml:space="preserve">dzy </w:t>
      </w:r>
      <w:r w:rsidR="00135CBC" w:rsidRPr="00633318">
        <w:rPr>
          <w:rFonts w:ascii="Times New Roman" w:hAnsi="Times New Roman" w:cs="Times New Roman"/>
          <w:sz w:val="24"/>
          <w:szCs w:val="24"/>
        </w:rPr>
        <w:t>jurysdykcjami</w:t>
      </w:r>
      <w:r w:rsidRPr="00633318">
        <w:rPr>
          <w:rFonts w:ascii="Times New Roman" w:hAnsi="Times New Roman" w:cs="Times New Roman"/>
          <w:sz w:val="24"/>
          <w:szCs w:val="24"/>
        </w:rPr>
        <w:t xml:space="preserve">, przy czym z punktu widzenia funkcjonalności Systemu GloBE nie ma żadnych przeciwskazań, aby władztwo to pozostawało w </w:t>
      </w:r>
      <w:r w:rsidR="00135CBC" w:rsidRPr="00633318">
        <w:rPr>
          <w:rFonts w:ascii="Times New Roman" w:eastAsia="Times New Roman" w:hAnsi="Times New Roman" w:cs="Times New Roman"/>
          <w:sz w:val="24"/>
          <w:szCs w:val="24"/>
          <w:lang w:eastAsia="pl-PL"/>
        </w:rPr>
        <w:t>jurysdykcji</w:t>
      </w:r>
      <w:r w:rsidRPr="00633318">
        <w:rPr>
          <w:rFonts w:ascii="Times New Roman" w:hAnsi="Times New Roman" w:cs="Times New Roman"/>
          <w:sz w:val="24"/>
          <w:szCs w:val="24"/>
        </w:rPr>
        <w:t xml:space="preserve"> spółki dominującej najwyższego szczebla. Rezygnacja z tego władztwa powinna być rozpatrywana wyłącznie w kontekście suwerennej decyzji dane</w:t>
      </w:r>
      <w:r w:rsidR="00135CBC"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135CBC" w:rsidRPr="00633318">
        <w:rPr>
          <w:rFonts w:ascii="Times New Roman" w:hAnsi="Times New Roman" w:cs="Times New Roman"/>
          <w:sz w:val="24"/>
          <w:szCs w:val="24"/>
        </w:rPr>
        <w:t>jurysdykcji</w:t>
      </w:r>
      <w:r w:rsidRPr="00633318">
        <w:rPr>
          <w:rFonts w:ascii="Times New Roman" w:hAnsi="Times New Roman" w:cs="Times New Roman"/>
          <w:sz w:val="24"/>
          <w:szCs w:val="24"/>
        </w:rPr>
        <w:t>. W tych samych kategoriach należy rozpatrywać decyzję dane</w:t>
      </w:r>
      <w:r w:rsidR="00135CBC"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135CBC"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o objęciu jego jednostek składowych kwalifikowanym krajowym podatkiem wyrównawczym. </w:t>
      </w:r>
    </w:p>
    <w:p w14:paraId="677E3818" w14:textId="3993BA0C" w:rsidR="005B5330" w:rsidRPr="00633318" w:rsidRDefault="005B5330"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Mając na uwadze opisaną powyżej specyfikę systemu opodatkowania GloBE</w:t>
      </w:r>
      <w:r w:rsidR="00FA7282" w:rsidRPr="00633318">
        <w:rPr>
          <w:rFonts w:ascii="Times New Roman" w:hAnsi="Times New Roman" w:cs="Times New Roman"/>
          <w:sz w:val="24"/>
          <w:szCs w:val="24"/>
        </w:rPr>
        <w:t>,</w:t>
      </w:r>
      <w:r w:rsidRPr="00633318">
        <w:rPr>
          <w:rFonts w:ascii="Times New Roman" w:hAnsi="Times New Roman" w:cs="Times New Roman"/>
          <w:sz w:val="24"/>
          <w:szCs w:val="24"/>
        </w:rPr>
        <w:t xml:space="preserve"> </w:t>
      </w:r>
      <w:r w:rsidRPr="00633318">
        <w:rPr>
          <w:rFonts w:ascii="Times New Roman" w:hAnsi="Times New Roman" w:cs="Times New Roman"/>
          <w:b/>
          <w:bCs/>
          <w:sz w:val="24"/>
          <w:szCs w:val="24"/>
        </w:rPr>
        <w:t>w art. 15</w:t>
      </w:r>
      <w:r w:rsidR="00FA7282" w:rsidRPr="00633318">
        <w:rPr>
          <w:rFonts w:ascii="Times New Roman" w:hAnsi="Times New Roman" w:cs="Times New Roman"/>
          <w:b/>
          <w:bCs/>
          <w:sz w:val="24"/>
          <w:szCs w:val="24"/>
        </w:rPr>
        <w:t>2</w:t>
      </w:r>
      <w:r w:rsidRPr="00633318">
        <w:rPr>
          <w:rFonts w:ascii="Times New Roman" w:hAnsi="Times New Roman" w:cs="Times New Roman"/>
          <w:sz w:val="24"/>
          <w:szCs w:val="24"/>
        </w:rPr>
        <w:t xml:space="preserve"> projektu zaproponowano rozwiązanie umożliwiające danej grupie „samoopodatkowanie się” w Rzecz</w:t>
      </w:r>
      <w:r w:rsidR="00A3072D" w:rsidRPr="00633318">
        <w:rPr>
          <w:rFonts w:ascii="Times New Roman" w:hAnsi="Times New Roman" w:cs="Times New Roman"/>
          <w:sz w:val="24"/>
          <w:szCs w:val="24"/>
        </w:rPr>
        <w:t>y</w:t>
      </w:r>
      <w:r w:rsidRPr="00633318">
        <w:rPr>
          <w:rFonts w:ascii="Times New Roman" w:hAnsi="Times New Roman" w:cs="Times New Roman"/>
          <w:sz w:val="24"/>
          <w:szCs w:val="24"/>
        </w:rPr>
        <w:t>pospolitej Polskiej w odniesieniu do roku podatkowego rozpoczętego po dniu 31 grudnia 2023</w:t>
      </w:r>
      <w:r w:rsidR="003E7A67" w:rsidRPr="00633318">
        <w:rPr>
          <w:rFonts w:ascii="Times New Roman" w:hAnsi="Times New Roman" w:cs="Times New Roman"/>
          <w:sz w:val="24"/>
          <w:szCs w:val="24"/>
        </w:rPr>
        <w:t> </w:t>
      </w:r>
      <w:r w:rsidRPr="00633318">
        <w:rPr>
          <w:rFonts w:ascii="Times New Roman" w:hAnsi="Times New Roman" w:cs="Times New Roman"/>
          <w:sz w:val="24"/>
          <w:szCs w:val="24"/>
        </w:rPr>
        <w:t>r., przy czym oczywiście, jak wskazano, tego rodzaju decyzji ze strony takiej grupy nie należy rozumieć literalnie. Będzie to bowiem decyzja w przedmiocie miejsca (</w:t>
      </w:r>
      <w:r w:rsidR="00135CBC" w:rsidRPr="00633318">
        <w:rPr>
          <w:rFonts w:ascii="Times New Roman" w:hAnsi="Times New Roman" w:cs="Times New Roman"/>
          <w:sz w:val="24"/>
          <w:szCs w:val="24"/>
        </w:rPr>
        <w:t>jurysdykcji</w:t>
      </w:r>
      <w:r w:rsidRPr="00633318">
        <w:rPr>
          <w:rFonts w:ascii="Times New Roman" w:hAnsi="Times New Roman" w:cs="Times New Roman"/>
          <w:sz w:val="24"/>
          <w:szCs w:val="24"/>
        </w:rPr>
        <w:t>), w którym wykazany zostanie podatek wyrównawczy, a nie w zakresie jego wysokości. Jak bowiem wskazano Zasada IIR nie decy</w:t>
      </w:r>
      <w:r w:rsidR="009670F6" w:rsidRPr="00633318">
        <w:rPr>
          <w:rFonts w:ascii="Times New Roman" w:hAnsi="Times New Roman" w:cs="Times New Roman"/>
          <w:sz w:val="24"/>
          <w:szCs w:val="24"/>
        </w:rPr>
        <w:t>duj</w:t>
      </w:r>
      <w:r w:rsidRPr="00633318">
        <w:rPr>
          <w:rFonts w:ascii="Times New Roman" w:hAnsi="Times New Roman" w:cs="Times New Roman"/>
          <w:sz w:val="24"/>
          <w:szCs w:val="24"/>
        </w:rPr>
        <w:t>e o wysokości podatku wyrównawczego, lecz o uprawnieniu (czy też obowiązku) do jego wykazania i pobrania, czyli o władztwie podatkowym. Co istotne, inaczej niż w przypadku np. umów o unikaniu podwójnego opodatkowania, podział tego władztwa nie jest efektem porozumienia między dw</w:t>
      </w:r>
      <w:r w:rsidR="000A0DB3" w:rsidRPr="00633318">
        <w:rPr>
          <w:rFonts w:ascii="Times New Roman" w:hAnsi="Times New Roman" w:cs="Times New Roman"/>
          <w:sz w:val="24"/>
          <w:szCs w:val="24"/>
        </w:rPr>
        <w:t>iema</w:t>
      </w:r>
      <w:r w:rsidRPr="00633318">
        <w:rPr>
          <w:rFonts w:ascii="Times New Roman" w:hAnsi="Times New Roman" w:cs="Times New Roman"/>
          <w:sz w:val="24"/>
          <w:szCs w:val="24"/>
        </w:rPr>
        <w:t xml:space="preserve"> </w:t>
      </w:r>
      <w:r w:rsidR="00135CBC" w:rsidRPr="00633318">
        <w:rPr>
          <w:rFonts w:ascii="Times New Roman" w:hAnsi="Times New Roman" w:cs="Times New Roman"/>
          <w:sz w:val="24"/>
          <w:szCs w:val="24"/>
        </w:rPr>
        <w:t>jurysdykcjami</w:t>
      </w:r>
      <w:r w:rsidRPr="00633318">
        <w:rPr>
          <w:rFonts w:ascii="Times New Roman" w:hAnsi="Times New Roman" w:cs="Times New Roman"/>
          <w:sz w:val="24"/>
          <w:szCs w:val="24"/>
        </w:rPr>
        <w:t>, a tym samym nie ma charakteru „sztywnego” rozumianego w ten sposób, iż zrzeczenie się tego władztwa jest okolicznością</w:t>
      </w:r>
      <w:r w:rsidR="000A0DB3" w:rsidRPr="00633318">
        <w:rPr>
          <w:rFonts w:ascii="Times New Roman" w:hAnsi="Times New Roman" w:cs="Times New Roman"/>
          <w:sz w:val="24"/>
          <w:szCs w:val="24"/>
        </w:rPr>
        <w:t>,</w:t>
      </w:r>
      <w:r w:rsidRPr="00633318">
        <w:rPr>
          <w:rFonts w:ascii="Times New Roman" w:hAnsi="Times New Roman" w:cs="Times New Roman"/>
          <w:sz w:val="24"/>
          <w:szCs w:val="24"/>
        </w:rPr>
        <w:t xml:space="preserve"> na którą może się powoływać drug</w:t>
      </w:r>
      <w:r w:rsidR="000A0DB3" w:rsidRPr="00633318">
        <w:rPr>
          <w:rFonts w:ascii="Times New Roman" w:hAnsi="Times New Roman" w:cs="Times New Roman"/>
          <w:sz w:val="24"/>
          <w:szCs w:val="24"/>
        </w:rPr>
        <w:t>a</w:t>
      </w:r>
      <w:r w:rsidRPr="00633318">
        <w:rPr>
          <w:rFonts w:ascii="Times New Roman" w:hAnsi="Times New Roman" w:cs="Times New Roman"/>
          <w:sz w:val="24"/>
          <w:szCs w:val="24"/>
        </w:rPr>
        <w:t xml:space="preserve"> </w:t>
      </w:r>
      <w:r w:rsidR="000A0DB3" w:rsidRPr="00633318">
        <w:rPr>
          <w:rFonts w:ascii="Times New Roman" w:hAnsi="Times New Roman" w:cs="Times New Roman"/>
          <w:sz w:val="24"/>
          <w:szCs w:val="24"/>
        </w:rPr>
        <w:t>jurysdykcja</w:t>
      </w:r>
      <w:r w:rsidRPr="00633318">
        <w:rPr>
          <w:rFonts w:ascii="Times New Roman" w:hAnsi="Times New Roman" w:cs="Times New Roman"/>
          <w:sz w:val="24"/>
          <w:szCs w:val="24"/>
        </w:rPr>
        <w:t>. Jak podkreślono, decyzja w tym zakresie jest jednostronną decyzją dane</w:t>
      </w:r>
      <w:r w:rsidR="000A0DB3"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0A0DB3" w:rsidRPr="00633318">
        <w:rPr>
          <w:rFonts w:ascii="Times New Roman" w:hAnsi="Times New Roman" w:cs="Times New Roman"/>
          <w:sz w:val="24"/>
          <w:szCs w:val="24"/>
        </w:rPr>
        <w:t xml:space="preserve">jurysdykcji. </w:t>
      </w:r>
      <w:r w:rsidRPr="00633318">
        <w:rPr>
          <w:rFonts w:ascii="Times New Roman" w:hAnsi="Times New Roman" w:cs="Times New Roman"/>
          <w:sz w:val="24"/>
          <w:szCs w:val="24"/>
        </w:rPr>
        <w:t>Co więcej, w związku ze sposobem działania Zasady IIR, to właśnie decyzja te</w:t>
      </w:r>
      <w:r w:rsidR="000A0DB3" w:rsidRPr="00633318">
        <w:rPr>
          <w:rFonts w:ascii="Times New Roman" w:hAnsi="Times New Roman" w:cs="Times New Roman"/>
          <w:sz w:val="24"/>
          <w:szCs w:val="24"/>
        </w:rPr>
        <w:t>j</w:t>
      </w:r>
      <w:r w:rsidRPr="00633318">
        <w:rPr>
          <w:rFonts w:ascii="Times New Roman" w:hAnsi="Times New Roman" w:cs="Times New Roman"/>
          <w:sz w:val="24"/>
          <w:szCs w:val="24"/>
        </w:rPr>
        <w:t xml:space="preserve"> </w:t>
      </w:r>
      <w:r w:rsidR="000A0DB3" w:rsidRPr="00633318">
        <w:rPr>
          <w:rFonts w:ascii="Times New Roman" w:hAnsi="Times New Roman" w:cs="Times New Roman"/>
          <w:sz w:val="24"/>
          <w:szCs w:val="24"/>
        </w:rPr>
        <w:t>jurysdykcji</w:t>
      </w:r>
      <w:r w:rsidRPr="00633318">
        <w:rPr>
          <w:rFonts w:ascii="Times New Roman" w:hAnsi="Times New Roman" w:cs="Times New Roman"/>
          <w:sz w:val="24"/>
          <w:szCs w:val="24"/>
        </w:rPr>
        <w:t xml:space="preserve"> o niestosowaniu systemu GloBE otwiera możliwość jego stosowania przez inn</w:t>
      </w:r>
      <w:r w:rsidR="000A0DB3" w:rsidRPr="00633318">
        <w:rPr>
          <w:rFonts w:ascii="Times New Roman" w:hAnsi="Times New Roman" w:cs="Times New Roman"/>
          <w:sz w:val="24"/>
          <w:szCs w:val="24"/>
        </w:rPr>
        <w:t>ą</w:t>
      </w:r>
      <w:r w:rsidRPr="00633318">
        <w:rPr>
          <w:rFonts w:ascii="Times New Roman" w:hAnsi="Times New Roman" w:cs="Times New Roman"/>
          <w:sz w:val="24"/>
          <w:szCs w:val="24"/>
        </w:rPr>
        <w:t xml:space="preserve"> </w:t>
      </w:r>
      <w:r w:rsidR="000A0DB3" w:rsidRPr="00633318">
        <w:rPr>
          <w:rFonts w:ascii="Times New Roman" w:hAnsi="Times New Roman" w:cs="Times New Roman"/>
          <w:sz w:val="24"/>
          <w:szCs w:val="24"/>
        </w:rPr>
        <w:t>jurysdykcję</w:t>
      </w:r>
      <w:r w:rsidRPr="00633318">
        <w:rPr>
          <w:rFonts w:ascii="Times New Roman" w:hAnsi="Times New Roman" w:cs="Times New Roman"/>
          <w:sz w:val="24"/>
          <w:szCs w:val="24"/>
        </w:rPr>
        <w:t>. T</w:t>
      </w:r>
      <w:r w:rsidR="000A0DB3" w:rsidRPr="00633318">
        <w:rPr>
          <w:rFonts w:ascii="Times New Roman" w:hAnsi="Times New Roman" w:cs="Times New Roman"/>
          <w:sz w:val="24"/>
          <w:szCs w:val="24"/>
        </w:rPr>
        <w:t>a</w:t>
      </w:r>
      <w:r w:rsidRPr="00633318">
        <w:rPr>
          <w:rFonts w:ascii="Times New Roman" w:hAnsi="Times New Roman" w:cs="Times New Roman"/>
          <w:sz w:val="24"/>
          <w:szCs w:val="24"/>
        </w:rPr>
        <w:t xml:space="preserve"> inn</w:t>
      </w:r>
      <w:r w:rsidR="000A0DB3" w:rsidRPr="00633318">
        <w:rPr>
          <w:rFonts w:ascii="Times New Roman" w:hAnsi="Times New Roman" w:cs="Times New Roman"/>
          <w:sz w:val="24"/>
          <w:szCs w:val="24"/>
        </w:rPr>
        <w:t>a</w:t>
      </w:r>
      <w:r w:rsidRPr="00633318">
        <w:rPr>
          <w:rFonts w:ascii="Times New Roman" w:hAnsi="Times New Roman" w:cs="Times New Roman"/>
          <w:sz w:val="24"/>
          <w:szCs w:val="24"/>
        </w:rPr>
        <w:t xml:space="preserve"> </w:t>
      </w:r>
      <w:r w:rsidR="000A0DB3" w:rsidRPr="00633318">
        <w:rPr>
          <w:rFonts w:ascii="Times New Roman" w:hAnsi="Times New Roman" w:cs="Times New Roman"/>
          <w:sz w:val="24"/>
          <w:szCs w:val="24"/>
        </w:rPr>
        <w:t>jurysdykcja</w:t>
      </w:r>
      <w:r w:rsidRPr="00633318">
        <w:rPr>
          <w:rFonts w:ascii="Times New Roman" w:hAnsi="Times New Roman" w:cs="Times New Roman"/>
          <w:sz w:val="24"/>
          <w:szCs w:val="24"/>
        </w:rPr>
        <w:t xml:space="preserve"> ma bowiem jedynie wtórne władztwo podatkowe w tym zakresie </w:t>
      </w:r>
    </w:p>
    <w:p w14:paraId="703ADF16" w14:textId="195528E3" w:rsidR="005B5330" w:rsidRPr="00633318" w:rsidRDefault="005B5330"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Jak już podkreślono, z punktu widzenia danej grupy decyzja w tym zakresie zasadniczo nie wpływa na ogólny poziom obciążenia tej grupy. Ponadto z punktu widzenia grup z kapitałem zagranicznym, posiadających zlokalizowane w Polsce spółki zależne, decyzja o skorzystaniu z omawianej możliwości może być motywowana chęcią zastosowania uproszczeń odnoszących się </w:t>
      </w:r>
      <w:r w:rsidR="009670F6" w:rsidRPr="00633318">
        <w:rPr>
          <w:rFonts w:ascii="Times New Roman" w:hAnsi="Times New Roman" w:cs="Times New Roman"/>
          <w:sz w:val="24"/>
          <w:szCs w:val="24"/>
        </w:rPr>
        <w:t xml:space="preserve">do </w:t>
      </w:r>
      <w:r w:rsidRPr="00633318">
        <w:rPr>
          <w:rFonts w:ascii="Times New Roman" w:hAnsi="Times New Roman" w:cs="Times New Roman"/>
          <w:sz w:val="24"/>
          <w:szCs w:val="24"/>
        </w:rPr>
        <w:t xml:space="preserve">kalkulacji elementów konstrukcyjnych podatku wyrównawczego w zakresie dotyczącym polskich jednostek składowych takiej grupy. </w:t>
      </w:r>
    </w:p>
    <w:p w14:paraId="757E47D8" w14:textId="38B3F5E1" w:rsidR="00415430" w:rsidRPr="00633318" w:rsidRDefault="00415430" w:rsidP="00415430">
      <w:pPr>
        <w:spacing w:after="120"/>
        <w:jc w:val="both"/>
        <w:rPr>
          <w:rFonts w:ascii="Times New Roman" w:hAnsi="Times New Roman" w:cs="Times New Roman"/>
          <w:sz w:val="24"/>
          <w:szCs w:val="24"/>
        </w:rPr>
      </w:pPr>
      <w:r w:rsidRPr="00633318">
        <w:rPr>
          <w:rFonts w:ascii="Times New Roman" w:hAnsi="Times New Roman" w:cs="Times New Roman"/>
          <w:b/>
          <w:bCs/>
          <w:sz w:val="24"/>
          <w:szCs w:val="24"/>
        </w:rPr>
        <w:t>Kwestia kwalifikacji polskiego rozwiązania</w:t>
      </w:r>
      <w:r w:rsidRPr="00633318">
        <w:rPr>
          <w:rFonts w:ascii="Times New Roman" w:hAnsi="Times New Roman" w:cs="Times New Roman"/>
          <w:sz w:val="24"/>
          <w:szCs w:val="24"/>
        </w:rPr>
        <w:t xml:space="preserve"> w tym zakresie jest przedmiotem konsultacji z OECD i grupami roboczymi IF. Zwracamy uwagę, że wskazany mechanizm ma charakter wyboru dotyczącego terminu objęcia jednostek składowych zakresem opodatkowania, a dokonanie takiego wyboru ma charakter definitywny (po notyfikacji wyboru następuje obowiązek zastosowania zasad opodatkowania wyrównawczego, w sposób pełny, w tym z uwzględnieniem sankcji karnych). Tego typu wybory są dozwolone na gruncie Zasad GloBE – dotyczy to w szczególności wyboru dotyczącego opodatkowania jednostek wyłączonych.</w:t>
      </w:r>
    </w:p>
    <w:p w14:paraId="730E4243" w14:textId="26121CF2" w:rsidR="00415430" w:rsidRPr="00633318" w:rsidRDefault="00415430"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Należy podkreślić, że to klasyfikacja przez OECD/IF będzie kluczowa na potrzeby korzystnego dla podatników rozliczenia w systemie GloBE, a nie ocena dokonana przez przedsiębiorstwa czy pojedyncze państwa. Jeśli taka klasyfikacja zostanie przez Polskę uzyskana, to nie będzie mogła być podważona przez inne jurysdykcje. Przewiduje się, że decyzja o takiej klasyfikacji zostanie ogłoszona </w:t>
      </w:r>
      <w:r w:rsidR="00FA7282" w:rsidRPr="00633318">
        <w:rPr>
          <w:rFonts w:ascii="Times New Roman" w:hAnsi="Times New Roman" w:cs="Times New Roman"/>
          <w:sz w:val="24"/>
          <w:szCs w:val="24"/>
        </w:rPr>
        <w:t>pod koniec</w:t>
      </w:r>
      <w:r w:rsidRPr="00633318">
        <w:rPr>
          <w:rFonts w:ascii="Times New Roman" w:hAnsi="Times New Roman" w:cs="Times New Roman"/>
          <w:sz w:val="24"/>
          <w:szCs w:val="24"/>
        </w:rPr>
        <w:t xml:space="preserve"> 2024 r. </w:t>
      </w:r>
    </w:p>
    <w:p w14:paraId="18799A7C" w14:textId="7D611D5E" w:rsidR="009670F6" w:rsidRPr="00633318" w:rsidRDefault="005B5330" w:rsidP="009670F6">
      <w:pPr>
        <w:spacing w:after="120"/>
        <w:jc w:val="both"/>
        <w:rPr>
          <w:rFonts w:ascii="Times New Roman" w:eastAsia="Calibri" w:hAnsi="Times New Roman" w:cs="Times New Roman"/>
          <w:sz w:val="24"/>
          <w:szCs w:val="24"/>
        </w:rPr>
      </w:pPr>
      <w:r w:rsidRPr="00633318">
        <w:rPr>
          <w:rFonts w:ascii="Times New Roman" w:hAnsi="Times New Roman" w:cs="Times New Roman"/>
          <w:sz w:val="24"/>
          <w:szCs w:val="24"/>
        </w:rPr>
        <w:t>Zgodnie z proponowanym art. 15</w:t>
      </w:r>
      <w:r w:rsidR="00241B8B" w:rsidRPr="00633318">
        <w:rPr>
          <w:rFonts w:ascii="Times New Roman" w:hAnsi="Times New Roman" w:cs="Times New Roman"/>
          <w:sz w:val="24"/>
          <w:szCs w:val="24"/>
        </w:rPr>
        <w:t>2</w:t>
      </w:r>
      <w:r w:rsidRPr="00633318">
        <w:rPr>
          <w:rFonts w:ascii="Times New Roman" w:hAnsi="Times New Roman" w:cs="Times New Roman"/>
          <w:sz w:val="24"/>
          <w:szCs w:val="24"/>
        </w:rPr>
        <w:t xml:space="preserve"> </w:t>
      </w:r>
      <w:r w:rsidRPr="00633318">
        <w:rPr>
          <w:rFonts w:ascii="Times New Roman" w:hAnsi="Times New Roman" w:cs="Times New Roman"/>
          <w:b/>
          <w:bCs/>
          <w:sz w:val="24"/>
          <w:szCs w:val="24"/>
        </w:rPr>
        <w:t>ust. 1</w:t>
      </w:r>
      <w:r w:rsidRPr="00633318">
        <w:rPr>
          <w:rFonts w:ascii="Times New Roman" w:hAnsi="Times New Roman" w:cs="Times New Roman"/>
          <w:sz w:val="24"/>
          <w:szCs w:val="24"/>
        </w:rPr>
        <w:t xml:space="preserve"> decyzja grupy o skorzystaniu z omawianego rozwiązania będzie mogła być podjęta w okresie </w:t>
      </w:r>
      <w:r w:rsidRPr="00633318">
        <w:rPr>
          <w:rFonts w:ascii="Times New Roman" w:eastAsia="Calibri" w:hAnsi="Times New Roman" w:cs="Times New Roman"/>
          <w:sz w:val="24"/>
          <w:szCs w:val="24"/>
        </w:rPr>
        <w:t xml:space="preserve">od 1 marca 2026 r. do 30 maja 2026 r. Wskazanie takiego przedziału czasowego po pierwsze uwzględnia termin składania pierwszych Informacji GloBE (do 30 czerwca 2026 r.), dając przy tym czas administracji podatkowej na przygotowanie się </w:t>
      </w:r>
      <w:r w:rsidR="009670F6" w:rsidRPr="00633318">
        <w:rPr>
          <w:rFonts w:ascii="Times New Roman" w:eastAsia="Calibri" w:hAnsi="Times New Roman" w:cs="Times New Roman"/>
          <w:sz w:val="24"/>
          <w:szCs w:val="24"/>
        </w:rPr>
        <w:t>do</w:t>
      </w:r>
      <w:r w:rsidRPr="00633318">
        <w:rPr>
          <w:rFonts w:ascii="Times New Roman" w:eastAsia="Calibri" w:hAnsi="Times New Roman" w:cs="Times New Roman"/>
          <w:sz w:val="24"/>
          <w:szCs w:val="24"/>
        </w:rPr>
        <w:t xml:space="preserve"> przyjmowania tych deklaracji. Jest też wielce prawdopodobne, że w tym terminie grupy dysponować będą już szczegółowymi wyliczeniami pozwalając im na podjęcie świadomej decyzji w tym zakresie. Z uwagi na znaczenie skład</w:t>
      </w:r>
      <w:r w:rsidR="00D16EB5" w:rsidRPr="00633318">
        <w:rPr>
          <w:rFonts w:ascii="Times New Roman" w:eastAsia="Calibri" w:hAnsi="Times New Roman" w:cs="Times New Roman"/>
          <w:sz w:val="24"/>
          <w:szCs w:val="24"/>
        </w:rPr>
        <w:t>a</w:t>
      </w:r>
      <w:r w:rsidRPr="00633318">
        <w:rPr>
          <w:rFonts w:ascii="Times New Roman" w:eastAsia="Calibri" w:hAnsi="Times New Roman" w:cs="Times New Roman"/>
          <w:sz w:val="24"/>
          <w:szCs w:val="24"/>
        </w:rPr>
        <w:t xml:space="preserve">nego oświadczenia w omawianym przepisie przewidziano, iż powinno ono przybrać formę aktu notarialnego. </w:t>
      </w:r>
      <w:r w:rsidR="00D16EB5" w:rsidRPr="00633318">
        <w:rPr>
          <w:rFonts w:ascii="Times New Roman" w:hAnsi="Times New Roman" w:cs="Times New Roman"/>
          <w:sz w:val="24"/>
          <w:szCs w:val="24"/>
        </w:rPr>
        <w:t xml:space="preserve">Oświadczenie składa jednostka dominująca najwyższego szczebla zlokalizowana w Polsce, a w przypadku grup z zagraniczną UPE - poszczególne jednostki składowe zlokalizowane w Polsce; zob. </w:t>
      </w:r>
      <w:r w:rsidR="00D16EB5" w:rsidRPr="00633318">
        <w:rPr>
          <w:rFonts w:ascii="Times New Roman" w:hAnsi="Times New Roman" w:cs="Times New Roman"/>
          <w:b/>
          <w:bCs/>
          <w:sz w:val="24"/>
          <w:szCs w:val="24"/>
        </w:rPr>
        <w:t>ust. 3 i 4</w:t>
      </w:r>
      <w:r w:rsidR="00D16EB5" w:rsidRPr="00633318">
        <w:rPr>
          <w:rFonts w:ascii="Times New Roman" w:hAnsi="Times New Roman" w:cs="Times New Roman"/>
          <w:sz w:val="24"/>
          <w:szCs w:val="24"/>
        </w:rPr>
        <w:t>).</w:t>
      </w:r>
      <w:r w:rsidRPr="00633318">
        <w:rPr>
          <w:rFonts w:ascii="Times New Roman" w:eastAsia="Calibri" w:hAnsi="Times New Roman" w:cs="Times New Roman"/>
          <w:sz w:val="24"/>
          <w:szCs w:val="24"/>
        </w:rPr>
        <w:t xml:space="preserve"> </w:t>
      </w:r>
    </w:p>
    <w:p w14:paraId="509108B2" w14:textId="118E3AFC" w:rsidR="009670F6" w:rsidRPr="00633318" w:rsidRDefault="009670F6" w:rsidP="009670F6">
      <w:pPr>
        <w:spacing w:after="120"/>
        <w:jc w:val="both"/>
        <w:rPr>
          <w:rFonts w:ascii="Times New Roman" w:eastAsia="Calibri" w:hAnsi="Times New Roman" w:cs="Times New Roman"/>
          <w:bCs/>
          <w:sz w:val="24"/>
          <w:szCs w:val="24"/>
        </w:rPr>
      </w:pPr>
      <w:r w:rsidRPr="00633318">
        <w:rPr>
          <w:rFonts w:ascii="Times New Roman" w:eastAsia="Calibri" w:hAnsi="Times New Roman" w:cs="Times New Roman"/>
          <w:bCs/>
          <w:sz w:val="24"/>
          <w:szCs w:val="24"/>
        </w:rPr>
        <w:t xml:space="preserve">Przepis </w:t>
      </w:r>
      <w:r w:rsidRPr="00633318">
        <w:rPr>
          <w:rFonts w:ascii="Times New Roman" w:eastAsia="Calibri" w:hAnsi="Times New Roman" w:cs="Times New Roman"/>
          <w:b/>
          <w:sz w:val="24"/>
          <w:szCs w:val="24"/>
        </w:rPr>
        <w:t xml:space="preserve">ust. 5 </w:t>
      </w:r>
      <w:r w:rsidRPr="00633318">
        <w:rPr>
          <w:rFonts w:ascii="Times New Roman" w:eastAsia="Calibri" w:hAnsi="Times New Roman" w:cs="Times New Roman"/>
          <w:bCs/>
          <w:sz w:val="24"/>
          <w:szCs w:val="24"/>
        </w:rPr>
        <w:t>wskazuje na właściwość urzędu skarbowego, do którego takie oświadczenia należy składać.</w:t>
      </w:r>
    </w:p>
    <w:p w14:paraId="4E978031" w14:textId="68CC757B" w:rsidR="005B5330" w:rsidRPr="00633318" w:rsidRDefault="005B5330"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Skutkiem złożenia ww. oświadczenia będzie obowiązek stosowania przez daną grupę przepisów ustawy o opodatkowaniu wyrównawczym jednostek składowych grup międzynarodowych</w:t>
      </w:r>
      <w:r w:rsidRPr="00633318">
        <w:rPr>
          <w:rFonts w:ascii="Times New Roman" w:hAnsi="Times New Roman" w:cs="Times New Roman"/>
          <w:sz w:val="24"/>
          <w:szCs w:val="24"/>
        </w:rPr>
        <w:br/>
        <w:t>i krajowych, tak jakby ustawa ta weszła w życie 1 stycznia 2024 r. (</w:t>
      </w:r>
      <w:r w:rsidRPr="00633318">
        <w:rPr>
          <w:rFonts w:ascii="Times New Roman" w:hAnsi="Times New Roman" w:cs="Times New Roman"/>
          <w:b/>
          <w:bCs/>
          <w:sz w:val="24"/>
          <w:szCs w:val="24"/>
        </w:rPr>
        <w:t>ust. 2</w:t>
      </w:r>
      <w:r w:rsidRPr="00633318">
        <w:rPr>
          <w:rFonts w:ascii="Times New Roman" w:hAnsi="Times New Roman" w:cs="Times New Roman"/>
          <w:sz w:val="24"/>
          <w:szCs w:val="24"/>
        </w:rPr>
        <w:t xml:space="preserve">) tj. co do zasady, w całej rozciągłości, do roku podatkowego rozpoczętego po dniu 31 grudnia 2023 r. Wyjątki w tym zakresie oraz niezbędne dostosowania określono w </w:t>
      </w:r>
      <w:r w:rsidRPr="00633318">
        <w:rPr>
          <w:rFonts w:ascii="Times New Roman" w:hAnsi="Times New Roman" w:cs="Times New Roman"/>
          <w:b/>
          <w:bCs/>
          <w:sz w:val="24"/>
          <w:szCs w:val="24"/>
        </w:rPr>
        <w:t>art. 15</w:t>
      </w:r>
      <w:r w:rsidR="00241B8B" w:rsidRPr="00633318">
        <w:rPr>
          <w:rFonts w:ascii="Times New Roman" w:hAnsi="Times New Roman" w:cs="Times New Roman"/>
          <w:b/>
          <w:bCs/>
          <w:sz w:val="24"/>
          <w:szCs w:val="24"/>
        </w:rPr>
        <w:t>3</w:t>
      </w:r>
      <w:r w:rsidRPr="00633318">
        <w:rPr>
          <w:rFonts w:ascii="Times New Roman" w:hAnsi="Times New Roman" w:cs="Times New Roman"/>
          <w:sz w:val="24"/>
          <w:szCs w:val="24"/>
        </w:rPr>
        <w:t>. Dotyczą one:</w:t>
      </w:r>
    </w:p>
    <w:p w14:paraId="251DBFF4" w14:textId="77777777" w:rsidR="005B5330" w:rsidRPr="00633318" w:rsidRDefault="005B5330" w:rsidP="009E73F7">
      <w:pPr>
        <w:pStyle w:val="Akapitzlist"/>
        <w:numPr>
          <w:ilvl w:val="0"/>
          <w:numId w:val="140"/>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zawartych w ustawie odniesień do „pierwszego roku, za który grupa jest obowiązana do stosowania ustawy” oraz do „dnia wejścia w życie niniejszej ustawy”</w:t>
      </w:r>
    </w:p>
    <w:p w14:paraId="0159B98E" w14:textId="77777777" w:rsidR="005B5330" w:rsidRPr="00633318" w:rsidRDefault="005B5330" w:rsidP="009E73F7">
      <w:pPr>
        <w:pStyle w:val="Akapitzlist"/>
        <w:numPr>
          <w:ilvl w:val="0"/>
          <w:numId w:val="140"/>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określenia obowiązującej w roku 2024 wartości procentowej wyłączeń z tytułu kwalifikowanych kosztów płac (9,8%) oraz kwalifikowanych rzeczowych aktywów trwałych (7,8%) branych pod uwagę przy ustaleniu substratu majątkowo-osobowego </w:t>
      </w:r>
    </w:p>
    <w:p w14:paraId="6A301BC1" w14:textId="73755B28" w:rsidR="005B5330" w:rsidRPr="00633318" w:rsidRDefault="005B5330" w:rsidP="009E73F7">
      <w:pPr>
        <w:pStyle w:val="Akapitzlist"/>
        <w:numPr>
          <w:ilvl w:val="0"/>
          <w:numId w:val="140"/>
        </w:numPr>
        <w:spacing w:after="120"/>
        <w:contextualSpacing w:val="0"/>
        <w:jc w:val="both"/>
        <w:rPr>
          <w:rFonts w:ascii="Times New Roman" w:hAnsi="Times New Roman" w:cs="Times New Roman"/>
          <w:bCs/>
          <w:sz w:val="24"/>
          <w:szCs w:val="24"/>
        </w:rPr>
      </w:pPr>
      <w:r w:rsidRPr="00633318">
        <w:rPr>
          <w:rFonts w:ascii="Times New Roman" w:hAnsi="Times New Roman" w:cs="Times New Roman"/>
          <w:bCs/>
          <w:sz w:val="24"/>
          <w:szCs w:val="24"/>
        </w:rPr>
        <w:t xml:space="preserve">wyłączenia stosowania w roku 2024 przepisów ustawy w zakresie dotyczącym podatku wyrównawczego od niedostatecznie opodatkowanych zysków. Zgodnie bowiem z przepisem art. 56 akapit trzeci Dyrektywy państwa członkowie zostały zobowiązane do wdrożenia przepisów art. 12, 13 i 14 Dyrektywy (z wyjątkiem, niedotyczącego Polski, art. 50 ust. 2) od lat podatkowych rozpoczynających się po dniu 31 grudnia 2024 r. </w:t>
      </w:r>
    </w:p>
    <w:p w14:paraId="02948DAF" w14:textId="06C3CD46" w:rsidR="007C67ED" w:rsidRPr="00633318" w:rsidRDefault="007C67ED" w:rsidP="007C67ED">
      <w:pPr>
        <w:pStyle w:val="Nagwek5"/>
        <w:spacing w:before="0"/>
        <w:rPr>
          <w:rFonts w:ascii="Times New Roman" w:hAnsi="Times New Roman" w:cs="Times New Roman"/>
          <w:sz w:val="24"/>
          <w:szCs w:val="24"/>
        </w:rPr>
      </w:pPr>
      <w:r w:rsidRPr="00633318">
        <w:rPr>
          <w:rFonts w:ascii="Times New Roman" w:hAnsi="Times New Roman" w:cs="Times New Roman"/>
          <w:sz w:val="24"/>
          <w:szCs w:val="24"/>
        </w:rPr>
        <w:t>Art. 15</w:t>
      </w:r>
      <w:r w:rsidR="00241B8B" w:rsidRPr="00633318">
        <w:rPr>
          <w:rFonts w:ascii="Times New Roman" w:hAnsi="Times New Roman" w:cs="Times New Roman"/>
          <w:sz w:val="24"/>
          <w:szCs w:val="24"/>
        </w:rPr>
        <w:t>4</w:t>
      </w:r>
      <w:r w:rsidRPr="00633318">
        <w:rPr>
          <w:rFonts w:ascii="Times New Roman" w:hAnsi="Times New Roman" w:cs="Times New Roman"/>
          <w:sz w:val="24"/>
          <w:szCs w:val="24"/>
        </w:rPr>
        <w:t xml:space="preserve"> [</w:t>
      </w:r>
      <w:r w:rsidRPr="00633318">
        <w:rPr>
          <w:rStyle w:val="Ppogrubienie"/>
          <w:rFonts w:ascii="Times New Roman" w:hAnsi="Times New Roman" w:cs="Times New Roman"/>
          <w:b w:val="0"/>
          <w:bCs/>
          <w:sz w:val="24"/>
          <w:szCs w:val="24"/>
        </w:rPr>
        <w:t>Przedłużone terminy składania GIR i zeznań]</w:t>
      </w:r>
    </w:p>
    <w:p w14:paraId="3CAD6603" w14:textId="20A6A4E3" w:rsidR="007C67ED" w:rsidRPr="00633318" w:rsidRDefault="007C67ED"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Regulacja </w:t>
      </w:r>
      <w:r w:rsidRPr="00633318">
        <w:rPr>
          <w:rFonts w:ascii="Times New Roman" w:hAnsi="Times New Roman" w:cs="Times New Roman"/>
          <w:b/>
          <w:sz w:val="24"/>
          <w:szCs w:val="24"/>
        </w:rPr>
        <w:t>art. 15</w:t>
      </w:r>
      <w:r w:rsidR="00241B8B" w:rsidRPr="00633318">
        <w:rPr>
          <w:rFonts w:ascii="Times New Roman" w:hAnsi="Times New Roman" w:cs="Times New Roman"/>
          <w:b/>
          <w:sz w:val="24"/>
          <w:szCs w:val="24"/>
        </w:rPr>
        <w:t>4</w:t>
      </w:r>
      <w:r w:rsidRPr="00633318">
        <w:rPr>
          <w:rFonts w:ascii="Times New Roman" w:hAnsi="Times New Roman" w:cs="Times New Roman"/>
          <w:sz w:val="24"/>
          <w:szCs w:val="24"/>
        </w:rPr>
        <w:t xml:space="preserve"> nie ma swojego odpowiednika w Dyrektywie. Wdraża ona uzgodnienie zawarte w Wytycznych z grudnia 2023 r.</w:t>
      </w:r>
      <w:r w:rsidRPr="00633318">
        <w:rPr>
          <w:rStyle w:val="Odwoanieprzypisudolnego"/>
          <w:rFonts w:ascii="Times New Roman" w:hAnsi="Times New Roman" w:cs="Times New Roman"/>
          <w:sz w:val="24"/>
          <w:szCs w:val="24"/>
        </w:rPr>
        <w:footnoteReference w:id="179"/>
      </w:r>
      <w:r w:rsidRPr="00633318">
        <w:rPr>
          <w:rFonts w:ascii="Times New Roman" w:hAnsi="Times New Roman" w:cs="Times New Roman"/>
          <w:sz w:val="24"/>
          <w:szCs w:val="24"/>
        </w:rPr>
        <w:t>, stanowiące reakcję na dostrzeżony problem możliwości wystąpienia grup z krótszym (niż 12-miesięczny) okresem sprawozdawczym, a co za tym idzie wystąpienia sytuacji, gdy termin na złożenie Informacji GloBE lub zawiadomienia, o którym mowa w art. 133 ust. 7 projektu, będzie upływał przed 30 czerwca 2026 r. Należy w tym miejscu wskazać, iż założeniem Systemu GloBE było, aby zarówno podatnicy, jak i administracje podatkowe, mogły właściwie przygotować się do wdrożenia systemu przyjmowania i obsługi GIR, co wyrażało się w przyjęciu faktycznego 30-miesięczn</w:t>
      </w:r>
      <w:r w:rsidR="00096308" w:rsidRPr="00633318">
        <w:rPr>
          <w:rFonts w:ascii="Times New Roman" w:hAnsi="Times New Roman" w:cs="Times New Roman"/>
          <w:sz w:val="24"/>
          <w:szCs w:val="24"/>
        </w:rPr>
        <w:t>ego</w:t>
      </w:r>
      <w:r w:rsidRPr="00633318">
        <w:rPr>
          <w:rFonts w:ascii="Times New Roman" w:hAnsi="Times New Roman" w:cs="Times New Roman"/>
          <w:sz w:val="24"/>
          <w:szCs w:val="24"/>
        </w:rPr>
        <w:t xml:space="preserve"> okresu w tym zakresie (liczonego o 1 stycznia 2024 r., tj. do 30 czerwca 2026 r.). </w:t>
      </w:r>
    </w:p>
    <w:p w14:paraId="242B1D43" w14:textId="1B146AB7" w:rsidR="007C67ED" w:rsidRPr="00633318" w:rsidRDefault="007C67ED"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Identyfikując sytuacje, w których obecne reguły stosowania Systemu GloBE prowadziłyby do konieczności składania GIR (lub zawiadomienia) przed upływem tego 30-miesięcznego okresu (czyli przed 30 czerwca 2026 r.), w ww. Wytycznych przyjęto, że termin na złożenie GIR, jak i zawiadomienia - w odniesieniu do żadnego roku sprawozdawczego (nie tylko 2024) – nie powinien upływać przed 30 czerwca 2026 r. Z tego względu w </w:t>
      </w:r>
      <w:r w:rsidRPr="00633318">
        <w:rPr>
          <w:rFonts w:ascii="Times New Roman" w:hAnsi="Times New Roman" w:cs="Times New Roman"/>
          <w:b/>
          <w:bCs/>
          <w:sz w:val="24"/>
          <w:szCs w:val="24"/>
        </w:rPr>
        <w:t xml:space="preserve">ust. 1 </w:t>
      </w:r>
      <w:r w:rsidR="009670F6" w:rsidRPr="00633318">
        <w:rPr>
          <w:rFonts w:ascii="Times New Roman" w:hAnsi="Times New Roman" w:cs="Times New Roman"/>
          <w:b/>
          <w:bCs/>
          <w:sz w:val="24"/>
          <w:szCs w:val="24"/>
        </w:rPr>
        <w:t>pkt 1</w:t>
      </w:r>
      <w:r w:rsidR="009670F6"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omawianego przepisu ten dzień wskazano jako najwcześniejszy dzień upływu terminu na złożenie GIR, niezależnie od terminu, jaki wynikałby ze stosowania przepisów projektowanej ustawy do jakichkolwiek stanów faktycznych.     </w:t>
      </w:r>
    </w:p>
    <w:p w14:paraId="7FAA67F8" w14:textId="6DBE72BF" w:rsidR="007C67ED" w:rsidRPr="00633318" w:rsidRDefault="007C67ED"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Przepis </w:t>
      </w:r>
      <w:r w:rsidRPr="00633318">
        <w:rPr>
          <w:rFonts w:ascii="Times New Roman" w:hAnsi="Times New Roman" w:cs="Times New Roman"/>
          <w:b/>
          <w:bCs/>
          <w:sz w:val="24"/>
          <w:szCs w:val="24"/>
        </w:rPr>
        <w:t xml:space="preserve">ust. </w:t>
      </w:r>
      <w:r w:rsidR="009670F6" w:rsidRPr="00633318">
        <w:rPr>
          <w:rFonts w:ascii="Times New Roman" w:hAnsi="Times New Roman" w:cs="Times New Roman"/>
          <w:b/>
          <w:bCs/>
          <w:sz w:val="24"/>
          <w:szCs w:val="24"/>
        </w:rPr>
        <w:t xml:space="preserve">1 pkt </w:t>
      </w:r>
      <w:r w:rsidRPr="00633318">
        <w:rPr>
          <w:rFonts w:ascii="Times New Roman" w:hAnsi="Times New Roman" w:cs="Times New Roman"/>
          <w:b/>
          <w:bCs/>
          <w:sz w:val="24"/>
          <w:szCs w:val="24"/>
        </w:rPr>
        <w:t xml:space="preserve">2 </w:t>
      </w:r>
      <w:r w:rsidRPr="00633318">
        <w:rPr>
          <w:rFonts w:ascii="Times New Roman" w:hAnsi="Times New Roman" w:cs="Times New Roman"/>
          <w:sz w:val="24"/>
          <w:szCs w:val="24"/>
        </w:rPr>
        <w:t xml:space="preserve">przewiduje analogiczną regulację jak powyżej w odniesieniu do każdego z zeznań, o których mowa w art. 134 ust. 1 projektu, oraz wpłaty podatku wynikającego z takiego zeznania. </w:t>
      </w:r>
    </w:p>
    <w:p w14:paraId="1F6EC45E" w14:textId="3B6ACF8C" w:rsidR="007C67ED" w:rsidRPr="00633318" w:rsidRDefault="007C67ED" w:rsidP="007C67ED">
      <w:pPr>
        <w:spacing w:after="120"/>
        <w:jc w:val="both"/>
        <w:rPr>
          <w:rFonts w:ascii="Times New Roman" w:hAnsi="Times New Roman" w:cs="Times New Roman"/>
          <w:sz w:val="24"/>
          <w:szCs w:val="24"/>
        </w:rPr>
      </w:pPr>
      <w:r w:rsidRPr="00633318">
        <w:rPr>
          <w:rFonts w:ascii="Times New Roman" w:hAnsi="Times New Roman" w:cs="Times New Roman"/>
          <w:bCs/>
          <w:sz w:val="24"/>
          <w:szCs w:val="24"/>
        </w:rPr>
        <w:t xml:space="preserve">Przepis </w:t>
      </w:r>
      <w:r w:rsidRPr="00633318">
        <w:rPr>
          <w:rFonts w:ascii="Times New Roman" w:hAnsi="Times New Roman" w:cs="Times New Roman"/>
          <w:b/>
          <w:sz w:val="24"/>
          <w:szCs w:val="24"/>
        </w:rPr>
        <w:t xml:space="preserve">ust. </w:t>
      </w:r>
      <w:r w:rsidR="009670F6" w:rsidRPr="00633318">
        <w:rPr>
          <w:rFonts w:ascii="Times New Roman" w:hAnsi="Times New Roman" w:cs="Times New Roman"/>
          <w:b/>
          <w:sz w:val="24"/>
          <w:szCs w:val="24"/>
        </w:rPr>
        <w:t>2</w:t>
      </w:r>
      <w:r w:rsidRPr="00633318">
        <w:rPr>
          <w:rFonts w:ascii="Times New Roman" w:hAnsi="Times New Roman" w:cs="Times New Roman"/>
          <w:b/>
          <w:sz w:val="24"/>
          <w:szCs w:val="24"/>
        </w:rPr>
        <w:t xml:space="preserve"> </w:t>
      </w:r>
      <w:r w:rsidRPr="00633318">
        <w:rPr>
          <w:rFonts w:ascii="Times New Roman" w:hAnsi="Times New Roman" w:cs="Times New Roman"/>
          <w:bCs/>
          <w:sz w:val="24"/>
          <w:szCs w:val="24"/>
        </w:rPr>
        <w:t>ogranicza natomiast prawo do stosowania przepisów art. 133 ust. 10 i 134 ust. 2 projektu (przewidujących dłuższy o 3 miesiące okres na złożenie GIR oraz zeznania)</w:t>
      </w:r>
      <w:r w:rsidR="007802BE" w:rsidRPr="00633318">
        <w:rPr>
          <w:rFonts w:ascii="Times New Roman" w:hAnsi="Times New Roman" w:cs="Times New Roman"/>
          <w:bCs/>
          <w:sz w:val="24"/>
          <w:szCs w:val="24"/>
        </w:rPr>
        <w:t xml:space="preserve">, jak również art. 128 ust. 7 dotyczącego odpowiednio dłuższego terminu na </w:t>
      </w:r>
      <w:r w:rsidR="00241B8B" w:rsidRPr="00633318">
        <w:rPr>
          <w:rFonts w:ascii="Times New Roman" w:hAnsi="Times New Roman" w:cs="Times New Roman"/>
          <w:bCs/>
          <w:sz w:val="24"/>
          <w:szCs w:val="24"/>
        </w:rPr>
        <w:t>zawiadomienia</w:t>
      </w:r>
      <w:r w:rsidR="007802BE"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w przypadku grupy posiadającej w roku podatkowym rozpoczętym po dniu 31 grudnia 2023 r. jednostki składowe zlokalizowane na terytorium Rzecz</w:t>
      </w:r>
      <w:r w:rsidR="00A3072D" w:rsidRPr="00633318">
        <w:rPr>
          <w:rFonts w:ascii="Times New Roman" w:hAnsi="Times New Roman" w:cs="Times New Roman"/>
          <w:bCs/>
          <w:sz w:val="24"/>
          <w:szCs w:val="24"/>
        </w:rPr>
        <w:t>y</w:t>
      </w:r>
      <w:r w:rsidRPr="00633318">
        <w:rPr>
          <w:rFonts w:ascii="Times New Roman" w:hAnsi="Times New Roman" w:cs="Times New Roman"/>
          <w:bCs/>
          <w:sz w:val="24"/>
          <w:szCs w:val="24"/>
        </w:rPr>
        <w:t>pospolitej Polskie</w:t>
      </w:r>
      <w:r w:rsidR="00A3072D" w:rsidRPr="00633318">
        <w:rPr>
          <w:rFonts w:ascii="Times New Roman" w:hAnsi="Times New Roman" w:cs="Times New Roman"/>
          <w:bCs/>
          <w:sz w:val="24"/>
          <w:szCs w:val="24"/>
        </w:rPr>
        <w:t>j</w:t>
      </w:r>
      <w:r w:rsidRPr="00633318">
        <w:rPr>
          <w:rFonts w:ascii="Times New Roman" w:hAnsi="Times New Roman" w:cs="Times New Roman"/>
          <w:bCs/>
          <w:sz w:val="24"/>
          <w:szCs w:val="24"/>
        </w:rPr>
        <w:t xml:space="preserve">, jeżeli grupa ta spełniała warunki do objęcia jej zakresem </w:t>
      </w:r>
      <w:r w:rsidR="00241B8B" w:rsidRPr="00633318">
        <w:rPr>
          <w:rFonts w:ascii="Times New Roman" w:hAnsi="Times New Roman" w:cs="Times New Roman"/>
          <w:bCs/>
          <w:sz w:val="24"/>
          <w:szCs w:val="24"/>
        </w:rPr>
        <w:t>D</w:t>
      </w:r>
      <w:r w:rsidRPr="00633318">
        <w:rPr>
          <w:rFonts w:ascii="Times New Roman" w:hAnsi="Times New Roman" w:cs="Times New Roman"/>
          <w:bCs/>
          <w:sz w:val="24"/>
          <w:szCs w:val="24"/>
        </w:rPr>
        <w:t>yrektywy w tym rok</w:t>
      </w:r>
      <w:r w:rsidR="00241B8B" w:rsidRPr="00633318">
        <w:rPr>
          <w:rFonts w:ascii="Times New Roman" w:hAnsi="Times New Roman" w:cs="Times New Roman"/>
          <w:bCs/>
          <w:sz w:val="24"/>
          <w:szCs w:val="24"/>
        </w:rPr>
        <w:t>u</w:t>
      </w:r>
      <w:r w:rsidRPr="00633318">
        <w:rPr>
          <w:rFonts w:ascii="Times New Roman" w:hAnsi="Times New Roman" w:cs="Times New Roman"/>
          <w:bCs/>
          <w:sz w:val="24"/>
          <w:szCs w:val="24"/>
        </w:rPr>
        <w:t xml:space="preserve"> podatkowym - chyba, że grupa ta dokonała wyboru, o którym mowa w art. 15</w:t>
      </w:r>
      <w:r w:rsidR="00241B8B" w:rsidRPr="00633318">
        <w:rPr>
          <w:rFonts w:ascii="Times New Roman" w:hAnsi="Times New Roman" w:cs="Times New Roman"/>
          <w:bCs/>
          <w:sz w:val="24"/>
          <w:szCs w:val="24"/>
        </w:rPr>
        <w:t>2</w:t>
      </w:r>
      <w:r w:rsidRPr="00633318">
        <w:rPr>
          <w:rFonts w:ascii="Times New Roman" w:hAnsi="Times New Roman" w:cs="Times New Roman"/>
          <w:bCs/>
          <w:sz w:val="24"/>
          <w:szCs w:val="24"/>
        </w:rPr>
        <w:t xml:space="preserve"> ust. 1 projektu. W takim bowiem przypadku rok 2024 będzie zawsze jej </w:t>
      </w:r>
      <w:r w:rsidR="007802BE" w:rsidRPr="00633318">
        <w:rPr>
          <w:rFonts w:ascii="Times New Roman" w:hAnsi="Times New Roman" w:cs="Times New Roman"/>
          <w:bCs/>
          <w:sz w:val="24"/>
          <w:szCs w:val="24"/>
        </w:rPr>
        <w:t xml:space="preserve">pierwszym </w:t>
      </w:r>
      <w:r w:rsidRPr="00633318">
        <w:rPr>
          <w:rFonts w:ascii="Times New Roman" w:hAnsi="Times New Roman" w:cs="Times New Roman"/>
          <w:bCs/>
          <w:sz w:val="24"/>
          <w:szCs w:val="24"/>
        </w:rPr>
        <w:t xml:space="preserve">rokiem </w:t>
      </w:r>
      <w:r w:rsidR="007802BE" w:rsidRPr="00633318">
        <w:rPr>
          <w:rFonts w:ascii="Times New Roman" w:hAnsi="Times New Roman" w:cs="Times New Roman"/>
          <w:bCs/>
          <w:sz w:val="24"/>
          <w:szCs w:val="24"/>
        </w:rPr>
        <w:t>podatkowym (</w:t>
      </w:r>
      <w:r w:rsidR="007802BE" w:rsidRPr="00633318">
        <w:rPr>
          <w:rFonts w:ascii="Times New Roman" w:hAnsi="Times New Roman" w:cs="Times New Roman"/>
          <w:bCs/>
          <w:i/>
          <w:iCs/>
          <w:sz w:val="24"/>
          <w:szCs w:val="24"/>
        </w:rPr>
        <w:t>transition year</w:t>
      </w:r>
      <w:r w:rsidR="007802BE" w:rsidRPr="00633318">
        <w:rPr>
          <w:rFonts w:ascii="Times New Roman" w:hAnsi="Times New Roman" w:cs="Times New Roman"/>
          <w:bCs/>
          <w:sz w:val="24"/>
          <w:szCs w:val="24"/>
        </w:rPr>
        <w:t>)</w:t>
      </w:r>
      <w:r w:rsidRPr="00633318">
        <w:rPr>
          <w:rFonts w:ascii="Times New Roman" w:hAnsi="Times New Roman" w:cs="Times New Roman"/>
          <w:bCs/>
          <w:sz w:val="24"/>
          <w:szCs w:val="24"/>
        </w:rPr>
        <w:t xml:space="preserve"> w odniesieniu do Rzecz</w:t>
      </w:r>
      <w:r w:rsidR="00A3072D" w:rsidRPr="00633318">
        <w:rPr>
          <w:rFonts w:ascii="Times New Roman" w:hAnsi="Times New Roman" w:cs="Times New Roman"/>
          <w:bCs/>
          <w:sz w:val="24"/>
          <w:szCs w:val="24"/>
        </w:rPr>
        <w:t>y</w:t>
      </w:r>
      <w:r w:rsidRPr="00633318">
        <w:rPr>
          <w:rFonts w:ascii="Times New Roman" w:hAnsi="Times New Roman" w:cs="Times New Roman"/>
          <w:bCs/>
          <w:sz w:val="24"/>
          <w:szCs w:val="24"/>
        </w:rPr>
        <w:t xml:space="preserve">pospolitej Polskiej, o którym mowa w art. 47 Dyrektywy.     </w:t>
      </w:r>
    </w:p>
    <w:p w14:paraId="1BEF4D3E" w14:textId="0BA8FF76" w:rsidR="00C71903" w:rsidRPr="00633318" w:rsidRDefault="00C71903" w:rsidP="007C67ED">
      <w:pPr>
        <w:pStyle w:val="Nagwek5"/>
        <w:spacing w:before="0"/>
        <w:rPr>
          <w:rFonts w:ascii="Times New Roman" w:hAnsi="Times New Roman" w:cs="Times New Roman"/>
          <w:sz w:val="24"/>
          <w:szCs w:val="24"/>
        </w:rPr>
      </w:pPr>
      <w:r w:rsidRPr="00633318">
        <w:rPr>
          <w:rFonts w:ascii="Times New Roman" w:hAnsi="Times New Roman" w:cs="Times New Roman"/>
          <w:sz w:val="24"/>
          <w:szCs w:val="24"/>
        </w:rPr>
        <w:t xml:space="preserve">Art. </w:t>
      </w:r>
      <w:r w:rsidR="0092519C" w:rsidRPr="00633318">
        <w:rPr>
          <w:rFonts w:ascii="Times New Roman" w:hAnsi="Times New Roman" w:cs="Times New Roman"/>
          <w:sz w:val="24"/>
          <w:szCs w:val="24"/>
        </w:rPr>
        <w:t>15</w:t>
      </w:r>
      <w:r w:rsidR="00241B8B" w:rsidRPr="00633318">
        <w:rPr>
          <w:rFonts w:ascii="Times New Roman" w:hAnsi="Times New Roman" w:cs="Times New Roman"/>
          <w:sz w:val="24"/>
          <w:szCs w:val="24"/>
        </w:rPr>
        <w:t>5</w:t>
      </w:r>
      <w:r w:rsidR="0092519C" w:rsidRPr="00633318">
        <w:rPr>
          <w:rFonts w:ascii="Times New Roman" w:hAnsi="Times New Roman" w:cs="Times New Roman"/>
          <w:sz w:val="24"/>
          <w:szCs w:val="24"/>
        </w:rPr>
        <w:t xml:space="preserve"> </w:t>
      </w:r>
      <w:r w:rsidR="00033A34" w:rsidRPr="00633318">
        <w:rPr>
          <w:rFonts w:ascii="Times New Roman" w:hAnsi="Times New Roman" w:cs="Times New Roman"/>
          <w:sz w:val="24"/>
          <w:szCs w:val="24"/>
        </w:rPr>
        <w:t>[W</w:t>
      </w:r>
      <w:r w:rsidRPr="00633318">
        <w:rPr>
          <w:rFonts w:ascii="Times New Roman" w:hAnsi="Times New Roman" w:cs="Times New Roman"/>
          <w:sz w:val="24"/>
          <w:szCs w:val="24"/>
        </w:rPr>
        <w:t>artość substratu – koszty płac</w:t>
      </w:r>
      <w:r w:rsidR="00033A34" w:rsidRPr="00633318">
        <w:rPr>
          <w:rFonts w:ascii="Times New Roman" w:hAnsi="Times New Roman" w:cs="Times New Roman"/>
          <w:sz w:val="24"/>
          <w:szCs w:val="24"/>
        </w:rPr>
        <w:t>]</w:t>
      </w:r>
    </w:p>
    <w:p w14:paraId="46730BFB" w14:textId="6D5CFDEC" w:rsidR="00C71903" w:rsidRPr="00633318" w:rsidRDefault="00C71903"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 podstawie </w:t>
      </w:r>
      <w:r w:rsidRPr="00633318">
        <w:rPr>
          <w:rFonts w:ascii="Times New Roman" w:hAnsi="Times New Roman" w:cs="Times New Roman"/>
          <w:b/>
          <w:bCs/>
          <w:sz w:val="24"/>
          <w:szCs w:val="24"/>
        </w:rPr>
        <w:t xml:space="preserve">art. </w:t>
      </w:r>
      <w:r w:rsidR="0092519C" w:rsidRPr="00633318">
        <w:rPr>
          <w:rFonts w:ascii="Times New Roman" w:hAnsi="Times New Roman" w:cs="Times New Roman"/>
          <w:b/>
          <w:bCs/>
          <w:sz w:val="24"/>
          <w:szCs w:val="24"/>
        </w:rPr>
        <w:t>15</w:t>
      </w:r>
      <w:r w:rsidR="00241B8B" w:rsidRPr="00633318">
        <w:rPr>
          <w:rFonts w:ascii="Times New Roman" w:hAnsi="Times New Roman" w:cs="Times New Roman"/>
          <w:b/>
          <w:bCs/>
          <w:sz w:val="24"/>
          <w:szCs w:val="24"/>
        </w:rPr>
        <w:t>5</w:t>
      </w:r>
      <w:r w:rsidR="0092519C" w:rsidRPr="00633318">
        <w:rPr>
          <w:rFonts w:ascii="Times New Roman" w:hAnsi="Times New Roman" w:cs="Times New Roman"/>
          <w:b/>
          <w:bCs/>
          <w:sz w:val="24"/>
          <w:szCs w:val="24"/>
        </w:rPr>
        <w:t xml:space="preserve"> </w:t>
      </w:r>
      <w:r w:rsidRPr="00633318">
        <w:rPr>
          <w:rFonts w:ascii="Times New Roman" w:hAnsi="Times New Roman" w:cs="Times New Roman"/>
          <w:b/>
          <w:bCs/>
          <w:sz w:val="24"/>
          <w:szCs w:val="24"/>
        </w:rPr>
        <w:t>ust. 1</w:t>
      </w:r>
      <w:r w:rsidRPr="00633318">
        <w:rPr>
          <w:rFonts w:ascii="Times New Roman" w:hAnsi="Times New Roman" w:cs="Times New Roman"/>
          <w:sz w:val="24"/>
          <w:szCs w:val="24"/>
        </w:rPr>
        <w:t xml:space="preserve"> określona została wartość procentowa </w:t>
      </w:r>
      <w:r w:rsidR="00F02078" w:rsidRPr="00633318">
        <w:rPr>
          <w:rFonts w:ascii="Times New Roman" w:hAnsi="Times New Roman" w:cs="Times New Roman"/>
          <w:sz w:val="24"/>
          <w:szCs w:val="24"/>
        </w:rPr>
        <w:t>stosowan</w:t>
      </w:r>
      <w:r w:rsidR="00033A34" w:rsidRPr="00633318">
        <w:rPr>
          <w:rFonts w:ascii="Times New Roman" w:hAnsi="Times New Roman" w:cs="Times New Roman"/>
          <w:sz w:val="24"/>
          <w:szCs w:val="24"/>
        </w:rPr>
        <w:t>a</w:t>
      </w:r>
      <w:r w:rsidR="00F02078" w:rsidRPr="00633318">
        <w:rPr>
          <w:rFonts w:ascii="Times New Roman" w:hAnsi="Times New Roman" w:cs="Times New Roman"/>
          <w:sz w:val="24"/>
          <w:szCs w:val="24"/>
        </w:rPr>
        <w:t xml:space="preserve"> w celu ustalenia </w:t>
      </w:r>
      <w:r w:rsidRPr="00633318">
        <w:rPr>
          <w:rFonts w:ascii="Times New Roman" w:hAnsi="Times New Roman" w:cs="Times New Roman"/>
          <w:sz w:val="24"/>
          <w:szCs w:val="24"/>
        </w:rPr>
        <w:t>substratu majątkowo-osobowego</w:t>
      </w:r>
      <w:r w:rsidR="00F55AC0"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z tytułu kwalifikowanych kosztów płac, o którym mowa w art. </w:t>
      </w:r>
      <w:r w:rsidR="0092519C" w:rsidRPr="00633318">
        <w:rPr>
          <w:rFonts w:ascii="Times New Roman" w:hAnsi="Times New Roman" w:cs="Times New Roman"/>
          <w:sz w:val="24"/>
          <w:szCs w:val="24"/>
        </w:rPr>
        <w:t xml:space="preserve">101 ust. 3 </w:t>
      </w:r>
      <w:r w:rsidR="00F02078" w:rsidRPr="00633318">
        <w:rPr>
          <w:rFonts w:ascii="Times New Roman" w:hAnsi="Times New Roman" w:cs="Times New Roman"/>
          <w:sz w:val="24"/>
          <w:szCs w:val="24"/>
        </w:rPr>
        <w:t>ustawy</w:t>
      </w:r>
      <w:r w:rsidR="00700AC3" w:rsidRPr="00633318">
        <w:rPr>
          <w:rFonts w:ascii="Times New Roman" w:hAnsi="Times New Roman" w:cs="Times New Roman"/>
          <w:sz w:val="24"/>
          <w:szCs w:val="24"/>
        </w:rPr>
        <w:t>.</w:t>
      </w:r>
    </w:p>
    <w:p w14:paraId="469F6876" w14:textId="796B153D" w:rsidR="00C71903" w:rsidRPr="00633318" w:rsidRDefault="00C71903"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w:t>
      </w:r>
      <w:r w:rsidR="00202CC8" w:rsidRPr="00633318">
        <w:rPr>
          <w:rFonts w:ascii="Times New Roman" w:hAnsi="Times New Roman" w:cs="Times New Roman"/>
          <w:sz w:val="24"/>
          <w:szCs w:val="24"/>
        </w:rPr>
        <w:t>ust. 1</w:t>
      </w:r>
      <w:r w:rsidRPr="00633318">
        <w:rPr>
          <w:rFonts w:ascii="Times New Roman" w:hAnsi="Times New Roman" w:cs="Times New Roman"/>
          <w:sz w:val="24"/>
          <w:szCs w:val="24"/>
        </w:rPr>
        <w:t xml:space="preserve"> wynosi ona dla roku podatkowego rozpoczynającego się po dniu:</w:t>
      </w:r>
    </w:p>
    <w:p w14:paraId="35E3BFFE" w14:textId="77777777"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1) 31 grudnia 2024 r. - 9,6%,</w:t>
      </w:r>
    </w:p>
    <w:p w14:paraId="7D49379B" w14:textId="77777777"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2) 31 grudnia 2025 r. - 9,4%,</w:t>
      </w:r>
    </w:p>
    <w:p w14:paraId="7CE72852" w14:textId="77777777"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3) 31 grudnia 2026 r. - 9,2%,</w:t>
      </w:r>
    </w:p>
    <w:p w14:paraId="4B02CB19" w14:textId="77777777"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4) 31 grudnia 2027 r. - 9,0%,</w:t>
      </w:r>
    </w:p>
    <w:p w14:paraId="45365AEB" w14:textId="77777777"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5) 31 grudnia 2028 r. - 8,2%,</w:t>
      </w:r>
    </w:p>
    <w:p w14:paraId="514AC53C" w14:textId="77777777"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6) 31 grudnia 2029 r. - 7,4%,</w:t>
      </w:r>
    </w:p>
    <w:p w14:paraId="3C7D5CCC" w14:textId="77777777"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7) 31 grudnia 2030 r. - 6,6%,</w:t>
      </w:r>
    </w:p>
    <w:p w14:paraId="31E7EC77" w14:textId="0B672586" w:rsidR="00202CC8" w:rsidRPr="00633318" w:rsidRDefault="00202CC8" w:rsidP="007C67ED">
      <w:pPr>
        <w:pStyle w:val="PKTpunkt"/>
        <w:spacing w:after="120" w:line="259" w:lineRule="auto"/>
        <w:ind w:left="851" w:hanging="567"/>
        <w:rPr>
          <w:rFonts w:ascii="Times New Roman" w:hAnsi="Times New Roman" w:cs="Times New Roman"/>
          <w:szCs w:val="24"/>
        </w:rPr>
      </w:pPr>
      <w:r w:rsidRPr="00633318">
        <w:rPr>
          <w:rFonts w:ascii="Times New Roman" w:hAnsi="Times New Roman" w:cs="Times New Roman"/>
          <w:szCs w:val="24"/>
        </w:rPr>
        <w:t>8) 31 grudnia 2031 r.</w:t>
      </w:r>
      <w:r w:rsidR="00241B8B" w:rsidRPr="00633318">
        <w:rPr>
          <w:rFonts w:ascii="Times New Roman" w:hAnsi="Times New Roman" w:cs="Times New Roman"/>
          <w:szCs w:val="24"/>
        </w:rPr>
        <w:t xml:space="preserve"> i nie później niż do dnia 31 grudnia 2032 r.</w:t>
      </w:r>
      <w:r w:rsidRPr="00633318">
        <w:rPr>
          <w:rFonts w:ascii="Times New Roman" w:hAnsi="Times New Roman" w:cs="Times New Roman"/>
          <w:szCs w:val="24"/>
        </w:rPr>
        <w:t xml:space="preserve"> - 5,8%.</w:t>
      </w:r>
    </w:p>
    <w:p w14:paraId="7F69F2E7" w14:textId="364C2A07" w:rsidR="00F02078" w:rsidRPr="00633318" w:rsidRDefault="00C71903"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Na gruncie </w:t>
      </w:r>
      <w:r w:rsidRPr="00633318">
        <w:rPr>
          <w:rFonts w:ascii="Times New Roman" w:hAnsi="Times New Roman" w:cs="Times New Roman"/>
          <w:b/>
          <w:bCs/>
          <w:sz w:val="24"/>
          <w:szCs w:val="24"/>
        </w:rPr>
        <w:t>ust</w:t>
      </w:r>
      <w:r w:rsidR="00202CC8" w:rsidRPr="00633318">
        <w:rPr>
          <w:rFonts w:ascii="Times New Roman" w:hAnsi="Times New Roman" w:cs="Times New Roman"/>
          <w:b/>
          <w:bCs/>
          <w:sz w:val="24"/>
          <w:szCs w:val="24"/>
        </w:rPr>
        <w:t>.</w:t>
      </w:r>
      <w:r w:rsidRPr="00633318">
        <w:rPr>
          <w:rFonts w:ascii="Times New Roman" w:hAnsi="Times New Roman" w:cs="Times New Roman"/>
          <w:b/>
          <w:bCs/>
          <w:sz w:val="24"/>
          <w:szCs w:val="24"/>
        </w:rPr>
        <w:t xml:space="preserve"> 2</w:t>
      </w:r>
      <w:r w:rsidR="00F02078" w:rsidRPr="00633318">
        <w:rPr>
          <w:rFonts w:ascii="Times New Roman" w:hAnsi="Times New Roman" w:cs="Times New Roman"/>
          <w:b/>
          <w:bCs/>
          <w:sz w:val="24"/>
          <w:szCs w:val="24"/>
        </w:rPr>
        <w:t xml:space="preserve"> </w:t>
      </w:r>
      <w:r w:rsidR="00F02078" w:rsidRPr="00633318">
        <w:rPr>
          <w:rFonts w:ascii="Times New Roman" w:hAnsi="Times New Roman" w:cs="Times New Roman"/>
          <w:sz w:val="24"/>
          <w:szCs w:val="24"/>
        </w:rPr>
        <w:t>z kolei</w:t>
      </w:r>
      <w:r w:rsidRPr="00633318">
        <w:rPr>
          <w:rFonts w:ascii="Times New Roman" w:hAnsi="Times New Roman" w:cs="Times New Roman"/>
          <w:sz w:val="24"/>
          <w:szCs w:val="24"/>
        </w:rPr>
        <w:t xml:space="preserve"> wskazana została wartość procentowa </w:t>
      </w:r>
      <w:r w:rsidR="00F02078" w:rsidRPr="00633318">
        <w:rPr>
          <w:rFonts w:ascii="Times New Roman" w:hAnsi="Times New Roman" w:cs="Times New Roman"/>
          <w:sz w:val="24"/>
          <w:szCs w:val="24"/>
        </w:rPr>
        <w:t xml:space="preserve">stosowana w celu ustalenia </w:t>
      </w:r>
      <w:r w:rsidRPr="00633318">
        <w:rPr>
          <w:rFonts w:ascii="Times New Roman" w:hAnsi="Times New Roman" w:cs="Times New Roman"/>
          <w:sz w:val="24"/>
          <w:szCs w:val="24"/>
        </w:rPr>
        <w:t xml:space="preserve">substratu majątkowo-osobowego z tytułu kwalifikowanych rzeczowych aktywów trwałych, o </w:t>
      </w:r>
      <w:r w:rsidR="00F02078" w:rsidRPr="00633318">
        <w:rPr>
          <w:rFonts w:ascii="Times New Roman" w:hAnsi="Times New Roman" w:cs="Times New Roman"/>
          <w:sz w:val="24"/>
          <w:szCs w:val="24"/>
        </w:rPr>
        <w:t xml:space="preserve">których </w:t>
      </w:r>
      <w:r w:rsidRPr="00633318">
        <w:rPr>
          <w:rFonts w:ascii="Times New Roman" w:hAnsi="Times New Roman" w:cs="Times New Roman"/>
          <w:sz w:val="24"/>
          <w:szCs w:val="24"/>
        </w:rPr>
        <w:t xml:space="preserve">mowa w </w:t>
      </w:r>
      <w:r w:rsidR="0092519C" w:rsidRPr="00633318">
        <w:rPr>
          <w:rFonts w:ascii="Times New Roman" w:hAnsi="Times New Roman" w:cs="Times New Roman"/>
          <w:sz w:val="24"/>
          <w:szCs w:val="24"/>
        </w:rPr>
        <w:t>art. 101 ust. 5</w:t>
      </w:r>
      <w:r w:rsidR="0092519C" w:rsidRPr="00633318">
        <w:rPr>
          <w:rFonts w:ascii="Times New Roman" w:hAnsi="Times New Roman" w:cs="Times New Roman"/>
          <w:b/>
          <w:bCs/>
          <w:sz w:val="24"/>
          <w:szCs w:val="24"/>
        </w:rPr>
        <w:t xml:space="preserve"> </w:t>
      </w:r>
      <w:r w:rsidR="00F02078" w:rsidRPr="00633318">
        <w:rPr>
          <w:rFonts w:ascii="Times New Roman" w:hAnsi="Times New Roman" w:cs="Times New Roman"/>
          <w:sz w:val="24"/>
          <w:szCs w:val="24"/>
        </w:rPr>
        <w:t>ustawy</w:t>
      </w:r>
      <w:r w:rsidR="00202CC8" w:rsidRPr="00633318">
        <w:rPr>
          <w:rFonts w:ascii="Times New Roman" w:hAnsi="Times New Roman" w:cs="Times New Roman"/>
          <w:sz w:val="24"/>
          <w:szCs w:val="24"/>
        </w:rPr>
        <w:t xml:space="preserve">. </w:t>
      </w:r>
    </w:p>
    <w:p w14:paraId="5E7015A9" w14:textId="0A4B2227" w:rsidR="00C71903" w:rsidRPr="00633318" w:rsidRDefault="00C71903"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w:t>
      </w:r>
      <w:r w:rsidR="00202CC8" w:rsidRPr="00633318">
        <w:rPr>
          <w:rFonts w:ascii="Times New Roman" w:hAnsi="Times New Roman" w:cs="Times New Roman"/>
          <w:sz w:val="24"/>
          <w:szCs w:val="24"/>
        </w:rPr>
        <w:t>ust. 2</w:t>
      </w:r>
      <w:r w:rsidRPr="00633318">
        <w:rPr>
          <w:rFonts w:ascii="Times New Roman" w:hAnsi="Times New Roman" w:cs="Times New Roman"/>
          <w:sz w:val="24"/>
          <w:szCs w:val="24"/>
        </w:rPr>
        <w:t xml:space="preserve"> wynosi ona dla roku podatkowego rozpoczynającego się po dniu:</w:t>
      </w:r>
    </w:p>
    <w:p w14:paraId="46DEEED1" w14:textId="77777777" w:rsidR="00202CC8"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1) 31 grudnia 2024 r. - 7,6%,</w:t>
      </w:r>
    </w:p>
    <w:p w14:paraId="717CA3DC" w14:textId="77777777" w:rsidR="00202CC8"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2) 31 grudnia 2025 r. - 7,4%,</w:t>
      </w:r>
    </w:p>
    <w:p w14:paraId="55A72A41" w14:textId="77777777" w:rsidR="00202CC8"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3) 31 grudnia 2026 r. - 7,2%,</w:t>
      </w:r>
    </w:p>
    <w:p w14:paraId="090CD8DB" w14:textId="77777777" w:rsidR="00202CC8"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4) 31 grudnia 2027 r. - 7,0%,</w:t>
      </w:r>
    </w:p>
    <w:p w14:paraId="4CE809D9" w14:textId="77777777" w:rsidR="00202CC8"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5) 31 grudnia 2028 r. - 6,6%,</w:t>
      </w:r>
    </w:p>
    <w:p w14:paraId="7CCE9DD3" w14:textId="77777777" w:rsidR="00202CC8"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6) 31 grudnia 2029 r. - 6,2%,</w:t>
      </w:r>
    </w:p>
    <w:p w14:paraId="1D89993F" w14:textId="77777777" w:rsidR="00202CC8"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7) 31 grudnia 2030 r. - 5,8%,</w:t>
      </w:r>
    </w:p>
    <w:p w14:paraId="1D3EBEE8" w14:textId="0BC724E0" w:rsidR="007C4686" w:rsidRPr="00633318" w:rsidRDefault="00202CC8" w:rsidP="007C67ED">
      <w:pPr>
        <w:pStyle w:val="PKTpunkt"/>
        <w:spacing w:after="120" w:line="259" w:lineRule="auto"/>
        <w:ind w:hanging="226"/>
        <w:rPr>
          <w:rFonts w:ascii="Times New Roman" w:hAnsi="Times New Roman" w:cs="Times New Roman"/>
          <w:szCs w:val="24"/>
        </w:rPr>
      </w:pPr>
      <w:r w:rsidRPr="00633318">
        <w:rPr>
          <w:rFonts w:ascii="Times New Roman" w:hAnsi="Times New Roman" w:cs="Times New Roman"/>
          <w:szCs w:val="24"/>
        </w:rPr>
        <w:t xml:space="preserve">8) 31 grudnia 2031 r. </w:t>
      </w:r>
      <w:r w:rsidR="00241B8B" w:rsidRPr="00633318">
        <w:rPr>
          <w:rFonts w:ascii="Times New Roman" w:hAnsi="Times New Roman" w:cs="Times New Roman"/>
          <w:szCs w:val="24"/>
        </w:rPr>
        <w:t xml:space="preserve">i nie później niż do dnia 31 grudnia 2032 r. </w:t>
      </w:r>
      <w:r w:rsidRPr="00633318">
        <w:rPr>
          <w:rFonts w:ascii="Times New Roman" w:hAnsi="Times New Roman" w:cs="Times New Roman"/>
          <w:szCs w:val="24"/>
        </w:rPr>
        <w:t>- 5,4%.</w:t>
      </w:r>
    </w:p>
    <w:p w14:paraId="623E305B" w14:textId="23863F72" w:rsidR="00202CC8" w:rsidRPr="00633318" w:rsidRDefault="00202CC8" w:rsidP="001B320A">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 xml:space="preserve">Art. </w:t>
      </w:r>
      <w:r w:rsidR="00C35D53" w:rsidRPr="00633318">
        <w:rPr>
          <w:rFonts w:ascii="Times New Roman" w:hAnsi="Times New Roman" w:cs="Times New Roman"/>
          <w:sz w:val="24"/>
          <w:szCs w:val="24"/>
        </w:rPr>
        <w:t>15</w:t>
      </w:r>
      <w:r w:rsidR="00241B8B" w:rsidRPr="00633318">
        <w:rPr>
          <w:rFonts w:ascii="Times New Roman" w:hAnsi="Times New Roman" w:cs="Times New Roman"/>
          <w:sz w:val="24"/>
          <w:szCs w:val="24"/>
        </w:rPr>
        <w:t>6</w:t>
      </w:r>
      <w:r w:rsidR="00C35D53" w:rsidRPr="00633318">
        <w:rPr>
          <w:rFonts w:ascii="Times New Roman" w:hAnsi="Times New Roman" w:cs="Times New Roman"/>
          <w:sz w:val="24"/>
          <w:szCs w:val="24"/>
        </w:rPr>
        <w:t xml:space="preserve"> </w:t>
      </w:r>
      <w:r w:rsidR="00033A34" w:rsidRPr="00633318">
        <w:rPr>
          <w:rFonts w:ascii="Times New Roman" w:hAnsi="Times New Roman" w:cs="Times New Roman"/>
          <w:sz w:val="24"/>
          <w:szCs w:val="24"/>
        </w:rPr>
        <w:t>[Restrukturyzacje dokonane przed wejściem w życie ustawy]</w:t>
      </w:r>
    </w:p>
    <w:p w14:paraId="4FCC8BAB" w14:textId="703CC3DD" w:rsidR="00202CC8" w:rsidRPr="00633318" w:rsidRDefault="00F02078"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Zgodnie z </w:t>
      </w:r>
      <w:r w:rsidRPr="00633318">
        <w:rPr>
          <w:rFonts w:ascii="Times New Roman" w:hAnsi="Times New Roman" w:cs="Times New Roman"/>
          <w:b/>
          <w:bCs/>
          <w:sz w:val="24"/>
          <w:szCs w:val="24"/>
        </w:rPr>
        <w:t xml:space="preserve">art. </w:t>
      </w:r>
      <w:r w:rsidR="00C35D53" w:rsidRPr="00633318">
        <w:rPr>
          <w:rFonts w:ascii="Times New Roman" w:hAnsi="Times New Roman" w:cs="Times New Roman"/>
          <w:b/>
          <w:bCs/>
          <w:sz w:val="24"/>
          <w:szCs w:val="24"/>
        </w:rPr>
        <w:t>15</w:t>
      </w:r>
      <w:r w:rsidR="00241B8B" w:rsidRPr="00633318">
        <w:rPr>
          <w:rFonts w:ascii="Times New Roman" w:hAnsi="Times New Roman" w:cs="Times New Roman"/>
          <w:b/>
          <w:bCs/>
          <w:sz w:val="24"/>
          <w:szCs w:val="24"/>
        </w:rPr>
        <w:t>6</w:t>
      </w:r>
      <w:r w:rsidR="00C35D53" w:rsidRPr="00633318">
        <w:rPr>
          <w:rFonts w:ascii="Times New Roman" w:hAnsi="Times New Roman" w:cs="Times New Roman"/>
          <w:sz w:val="24"/>
          <w:szCs w:val="24"/>
        </w:rPr>
        <w:t xml:space="preserve"> </w:t>
      </w:r>
      <w:r w:rsidRPr="00633318">
        <w:rPr>
          <w:rFonts w:ascii="Times New Roman" w:hAnsi="Times New Roman" w:cs="Times New Roman"/>
          <w:sz w:val="24"/>
          <w:szCs w:val="24"/>
        </w:rPr>
        <w:t xml:space="preserve">w przypadku, gdy grupa objęta Systemem GloBE </w:t>
      </w:r>
      <w:r w:rsidR="008F159C" w:rsidRPr="00633318">
        <w:rPr>
          <w:rFonts w:ascii="Times New Roman" w:hAnsi="Times New Roman" w:cs="Times New Roman"/>
          <w:sz w:val="24"/>
          <w:szCs w:val="24"/>
        </w:rPr>
        <w:t xml:space="preserve">dokonała restrukturyzacji </w:t>
      </w:r>
      <w:r w:rsidRPr="00633318">
        <w:rPr>
          <w:rFonts w:ascii="Times New Roman" w:hAnsi="Times New Roman" w:cs="Times New Roman"/>
          <w:sz w:val="24"/>
          <w:szCs w:val="24"/>
        </w:rPr>
        <w:t xml:space="preserve">(w rozumieniu przepisów </w:t>
      </w:r>
      <w:r w:rsidR="00033A34" w:rsidRPr="00633318">
        <w:rPr>
          <w:rFonts w:ascii="Times New Roman" w:hAnsi="Times New Roman" w:cs="Times New Roman"/>
          <w:sz w:val="24"/>
          <w:szCs w:val="24"/>
        </w:rPr>
        <w:t xml:space="preserve">rozdziału 1 </w:t>
      </w:r>
      <w:r w:rsidRPr="00633318">
        <w:rPr>
          <w:rFonts w:ascii="Times New Roman" w:hAnsi="Times New Roman" w:cs="Times New Roman"/>
          <w:sz w:val="24"/>
          <w:szCs w:val="24"/>
        </w:rPr>
        <w:t>działu VI</w:t>
      </w:r>
      <w:r w:rsidR="00C35D53" w:rsidRPr="00633318">
        <w:rPr>
          <w:rFonts w:ascii="Times New Roman" w:hAnsi="Times New Roman" w:cs="Times New Roman"/>
          <w:sz w:val="24"/>
          <w:szCs w:val="24"/>
        </w:rPr>
        <w:t>II</w:t>
      </w:r>
      <w:r w:rsidRPr="00633318">
        <w:rPr>
          <w:rFonts w:ascii="Times New Roman" w:hAnsi="Times New Roman" w:cs="Times New Roman"/>
          <w:sz w:val="24"/>
          <w:szCs w:val="24"/>
        </w:rPr>
        <w:t xml:space="preserve">), w okresie 4 lat poprzedzających dzień wejścia w życie ustawy, minimalny przychód grupowy, o którym mowa w art. </w:t>
      </w:r>
      <w:r w:rsidR="00C35D53" w:rsidRPr="00633318">
        <w:rPr>
          <w:rFonts w:ascii="Times New Roman" w:hAnsi="Times New Roman" w:cs="Times New Roman"/>
          <w:sz w:val="24"/>
          <w:szCs w:val="24"/>
        </w:rPr>
        <w:t>4</w:t>
      </w:r>
      <w:r w:rsidRPr="00633318">
        <w:rPr>
          <w:rFonts w:ascii="Times New Roman" w:hAnsi="Times New Roman" w:cs="Times New Roman"/>
          <w:sz w:val="24"/>
          <w:szCs w:val="24"/>
        </w:rPr>
        <w:t xml:space="preserve">, ustala się odpowiednio według zasad określonych w </w:t>
      </w:r>
      <w:r w:rsidR="00033A34" w:rsidRPr="00633318">
        <w:rPr>
          <w:rFonts w:ascii="Times New Roman" w:hAnsi="Times New Roman" w:cs="Times New Roman"/>
          <w:sz w:val="24"/>
          <w:szCs w:val="24"/>
        </w:rPr>
        <w:t>tym</w:t>
      </w:r>
      <w:r w:rsidRPr="00633318">
        <w:rPr>
          <w:rFonts w:ascii="Times New Roman" w:hAnsi="Times New Roman" w:cs="Times New Roman"/>
          <w:sz w:val="24"/>
          <w:szCs w:val="24"/>
        </w:rPr>
        <w:t xml:space="preserve"> rozdziale.</w:t>
      </w:r>
    </w:p>
    <w:p w14:paraId="2813CB81" w14:textId="6632F21D" w:rsidR="00202CC8" w:rsidRPr="00633318" w:rsidRDefault="00202CC8" w:rsidP="007C67ED">
      <w:pPr>
        <w:pStyle w:val="Nagwek5"/>
        <w:spacing w:before="0"/>
        <w:rPr>
          <w:rFonts w:ascii="Times New Roman" w:hAnsi="Times New Roman" w:cs="Times New Roman"/>
          <w:sz w:val="24"/>
          <w:szCs w:val="24"/>
        </w:rPr>
      </w:pPr>
      <w:r w:rsidRPr="00633318">
        <w:rPr>
          <w:rFonts w:ascii="Times New Roman" w:hAnsi="Times New Roman" w:cs="Times New Roman"/>
          <w:sz w:val="24"/>
          <w:szCs w:val="24"/>
        </w:rPr>
        <w:t xml:space="preserve">Art. </w:t>
      </w:r>
      <w:r w:rsidR="00C35D53" w:rsidRPr="00633318">
        <w:rPr>
          <w:rFonts w:ascii="Times New Roman" w:hAnsi="Times New Roman" w:cs="Times New Roman"/>
          <w:sz w:val="24"/>
          <w:szCs w:val="24"/>
        </w:rPr>
        <w:t>15</w:t>
      </w:r>
      <w:r w:rsidR="00DF62E4" w:rsidRPr="00633318">
        <w:rPr>
          <w:rFonts w:ascii="Times New Roman" w:hAnsi="Times New Roman" w:cs="Times New Roman"/>
          <w:sz w:val="24"/>
          <w:szCs w:val="24"/>
        </w:rPr>
        <w:t>7</w:t>
      </w:r>
      <w:r w:rsidR="00C35D53" w:rsidRPr="00633318">
        <w:rPr>
          <w:rFonts w:ascii="Times New Roman" w:hAnsi="Times New Roman" w:cs="Times New Roman"/>
          <w:sz w:val="24"/>
          <w:szCs w:val="24"/>
        </w:rPr>
        <w:t xml:space="preserve"> </w:t>
      </w:r>
      <w:r w:rsidR="00033A34" w:rsidRPr="00633318">
        <w:rPr>
          <w:rFonts w:ascii="Times New Roman" w:hAnsi="Times New Roman" w:cs="Times New Roman"/>
          <w:sz w:val="24"/>
          <w:szCs w:val="24"/>
        </w:rPr>
        <w:t>[Pierwszy rok objęty zakresem ustawy w przypadku roku innego niż kalendarzowy]</w:t>
      </w:r>
    </w:p>
    <w:p w14:paraId="402E0BAF" w14:textId="4B7F340D" w:rsidR="00F02078" w:rsidRPr="00633318" w:rsidRDefault="00F02078"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Stosownie do </w:t>
      </w:r>
      <w:r w:rsidRPr="00633318">
        <w:rPr>
          <w:rFonts w:ascii="Times New Roman" w:hAnsi="Times New Roman" w:cs="Times New Roman"/>
          <w:b/>
          <w:bCs/>
          <w:sz w:val="24"/>
          <w:szCs w:val="24"/>
        </w:rPr>
        <w:t xml:space="preserve">art. </w:t>
      </w:r>
      <w:r w:rsidR="00C35D53" w:rsidRPr="00633318">
        <w:rPr>
          <w:rFonts w:ascii="Times New Roman" w:hAnsi="Times New Roman" w:cs="Times New Roman"/>
          <w:b/>
          <w:bCs/>
          <w:sz w:val="24"/>
          <w:szCs w:val="24"/>
        </w:rPr>
        <w:t>15</w:t>
      </w:r>
      <w:r w:rsidR="00DF62E4" w:rsidRPr="00633318">
        <w:rPr>
          <w:rFonts w:ascii="Times New Roman" w:hAnsi="Times New Roman" w:cs="Times New Roman"/>
          <w:b/>
          <w:bCs/>
          <w:sz w:val="24"/>
          <w:szCs w:val="24"/>
        </w:rPr>
        <w:t>7</w:t>
      </w:r>
      <w:r w:rsidR="00C35D53" w:rsidRPr="00633318">
        <w:rPr>
          <w:rFonts w:ascii="Times New Roman" w:hAnsi="Times New Roman" w:cs="Times New Roman"/>
          <w:b/>
          <w:bCs/>
          <w:sz w:val="24"/>
          <w:szCs w:val="24"/>
        </w:rPr>
        <w:t xml:space="preserve"> </w:t>
      </w:r>
      <w:r w:rsidRPr="00633318">
        <w:rPr>
          <w:rFonts w:ascii="Times New Roman" w:hAnsi="Times New Roman" w:cs="Times New Roman"/>
          <w:b/>
          <w:bCs/>
          <w:sz w:val="24"/>
          <w:szCs w:val="24"/>
        </w:rPr>
        <w:t xml:space="preserve">ust. 1 </w:t>
      </w:r>
      <w:r w:rsidRPr="00633318">
        <w:rPr>
          <w:rFonts w:ascii="Times New Roman" w:hAnsi="Times New Roman" w:cs="Times New Roman"/>
          <w:sz w:val="24"/>
          <w:szCs w:val="24"/>
        </w:rPr>
        <w:t>w przypadku</w:t>
      </w:r>
      <w:r w:rsidRPr="00633318">
        <w:rPr>
          <w:rFonts w:ascii="Times New Roman" w:hAnsi="Times New Roman" w:cs="Times New Roman"/>
          <w:b/>
          <w:bCs/>
          <w:sz w:val="24"/>
          <w:szCs w:val="24"/>
        </w:rPr>
        <w:t xml:space="preserve"> </w:t>
      </w:r>
      <w:r w:rsidRPr="00633318">
        <w:rPr>
          <w:rFonts w:ascii="Times New Roman" w:hAnsi="Times New Roman" w:cs="Times New Roman"/>
          <w:sz w:val="24"/>
          <w:szCs w:val="24"/>
        </w:rPr>
        <w:t xml:space="preserve">jednostki dominującej najwyższego szczebla, która sporządza skonsolidowane sprawozdanie finansowe grupy za rok podatkowy, inny niż rok kalendarzowy, rozpoczynający się przed dniem 1 stycznia 2025 r., a kończący po dniu 31 grudnia </w:t>
      </w:r>
      <w:r w:rsidR="002E1776" w:rsidRPr="00633318">
        <w:rPr>
          <w:rFonts w:ascii="Times New Roman" w:hAnsi="Times New Roman" w:cs="Times New Roman"/>
          <w:sz w:val="24"/>
          <w:szCs w:val="24"/>
        </w:rPr>
        <w:t xml:space="preserve">2024 </w:t>
      </w:r>
      <w:r w:rsidRPr="00633318">
        <w:rPr>
          <w:rFonts w:ascii="Times New Roman" w:hAnsi="Times New Roman" w:cs="Times New Roman"/>
          <w:sz w:val="24"/>
          <w:szCs w:val="24"/>
        </w:rPr>
        <w:t xml:space="preserve">r., przepisy ustawy mają zastosowanie od pierwszego roku podatkowego rozpoczynającego się po dniu 1 stycznia 2025 r. Zgodnie </w:t>
      </w:r>
      <w:r w:rsidR="007C67ED" w:rsidRPr="00633318">
        <w:rPr>
          <w:rFonts w:ascii="Times New Roman" w:hAnsi="Times New Roman" w:cs="Times New Roman"/>
          <w:sz w:val="24"/>
          <w:szCs w:val="24"/>
        </w:rPr>
        <w:t xml:space="preserve">z </w:t>
      </w:r>
      <w:r w:rsidRPr="00633318">
        <w:rPr>
          <w:rFonts w:ascii="Times New Roman" w:hAnsi="Times New Roman" w:cs="Times New Roman"/>
          <w:b/>
          <w:bCs/>
          <w:sz w:val="24"/>
          <w:szCs w:val="24"/>
        </w:rPr>
        <w:t>ust. 2</w:t>
      </w:r>
      <w:r w:rsidRPr="00633318">
        <w:rPr>
          <w:rFonts w:ascii="Times New Roman" w:hAnsi="Times New Roman" w:cs="Times New Roman"/>
          <w:sz w:val="24"/>
          <w:szCs w:val="24"/>
        </w:rPr>
        <w:t xml:space="preserve"> niniejszą regulację stosuje się odpowiedni</w:t>
      </w:r>
      <w:r w:rsidR="002E1776" w:rsidRPr="00633318">
        <w:rPr>
          <w:rFonts w:ascii="Times New Roman" w:hAnsi="Times New Roman" w:cs="Times New Roman"/>
          <w:sz w:val="24"/>
          <w:szCs w:val="24"/>
        </w:rPr>
        <w:t>o</w:t>
      </w:r>
      <w:r w:rsidRPr="00633318">
        <w:rPr>
          <w:rFonts w:ascii="Times New Roman" w:hAnsi="Times New Roman" w:cs="Times New Roman"/>
          <w:sz w:val="24"/>
          <w:szCs w:val="24"/>
        </w:rPr>
        <w:t xml:space="preserve"> w przypadku: </w:t>
      </w:r>
    </w:p>
    <w:p w14:paraId="41831D5A" w14:textId="77777777" w:rsidR="00F02078" w:rsidRPr="00633318" w:rsidRDefault="00F02078" w:rsidP="002C7467">
      <w:pPr>
        <w:pStyle w:val="Akapitzlist"/>
        <w:numPr>
          <w:ilvl w:val="0"/>
          <w:numId w:val="51"/>
        </w:numPr>
        <w:spacing w:after="120"/>
        <w:contextualSpacing w:val="0"/>
        <w:jc w:val="both"/>
        <w:rPr>
          <w:rFonts w:ascii="Times New Roman" w:hAnsi="Times New Roman" w:cs="Times New Roman"/>
          <w:sz w:val="24"/>
          <w:szCs w:val="24"/>
        </w:rPr>
      </w:pPr>
      <w:r w:rsidRPr="00633318">
        <w:rPr>
          <w:rFonts w:ascii="Times New Roman" w:hAnsi="Times New Roman" w:cs="Times New Roman"/>
          <w:sz w:val="24"/>
          <w:szCs w:val="24"/>
        </w:rPr>
        <w:t xml:space="preserve">każdej jednostki składowej grupy, o której mowa w </w:t>
      </w:r>
      <w:r w:rsidRPr="00633318">
        <w:rPr>
          <w:rFonts w:ascii="Times New Roman" w:hAnsi="Times New Roman" w:cs="Times New Roman"/>
          <w:b/>
          <w:bCs/>
          <w:sz w:val="24"/>
          <w:szCs w:val="24"/>
        </w:rPr>
        <w:t>ust. 1</w:t>
      </w:r>
      <w:r w:rsidRPr="00633318">
        <w:rPr>
          <w:rFonts w:ascii="Times New Roman" w:hAnsi="Times New Roman" w:cs="Times New Roman"/>
          <w:sz w:val="24"/>
          <w:szCs w:val="24"/>
        </w:rPr>
        <w:t>,</w:t>
      </w:r>
    </w:p>
    <w:p w14:paraId="3A39EBDC" w14:textId="495CC989" w:rsidR="00202CC8" w:rsidRPr="00633318" w:rsidRDefault="002E1776" w:rsidP="002C7467">
      <w:pPr>
        <w:pStyle w:val="Akapitzlist"/>
        <w:numPr>
          <w:ilvl w:val="0"/>
          <w:numId w:val="51"/>
        </w:numPr>
        <w:spacing w:after="120"/>
        <w:contextualSpacing w:val="0"/>
        <w:jc w:val="both"/>
        <w:rPr>
          <w:rFonts w:ascii="Times New Roman" w:hAnsi="Times New Roman" w:cs="Times New Roman"/>
          <w:sz w:val="24"/>
          <w:szCs w:val="24"/>
        </w:rPr>
      </w:pPr>
      <w:r w:rsidRPr="00633318">
        <w:rPr>
          <w:rFonts w:ascii="Times New Roman" w:hAnsi="Times New Roman" w:cs="Times New Roman"/>
          <w:sz w:val="24"/>
          <w:szCs w:val="24"/>
        </w:rPr>
        <w:t>jednostek szczególnej grupy, którą tworzą centrala i stały zakład</w:t>
      </w:r>
      <w:r w:rsidR="00F02078" w:rsidRPr="00633318">
        <w:rPr>
          <w:rFonts w:ascii="Times New Roman" w:hAnsi="Times New Roman" w:cs="Times New Roman"/>
          <w:sz w:val="24"/>
          <w:szCs w:val="24"/>
        </w:rPr>
        <w:t>.</w:t>
      </w:r>
    </w:p>
    <w:p w14:paraId="2D8DB541" w14:textId="56305602" w:rsidR="00E723D6" w:rsidRPr="00633318" w:rsidRDefault="00E723D6" w:rsidP="007C67ED">
      <w:pPr>
        <w:suppressAutoHyphens/>
        <w:autoSpaceDE w:val="0"/>
        <w:autoSpaceDN w:val="0"/>
        <w:adjustRightInd w:val="0"/>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 </w:t>
      </w:r>
    </w:p>
    <w:p w14:paraId="1EB43DDC" w14:textId="288CDE8C" w:rsidR="00227BA7" w:rsidRPr="00633318" w:rsidRDefault="00227BA7" w:rsidP="007C67ED">
      <w:pPr>
        <w:pStyle w:val="Nagwek5"/>
        <w:spacing w:before="0"/>
        <w:rPr>
          <w:rFonts w:ascii="Times New Roman" w:hAnsi="Times New Roman" w:cs="Times New Roman"/>
          <w:sz w:val="24"/>
          <w:szCs w:val="24"/>
        </w:rPr>
      </w:pPr>
      <w:r w:rsidRPr="00633318">
        <w:rPr>
          <w:rFonts w:ascii="Times New Roman" w:hAnsi="Times New Roman" w:cs="Times New Roman"/>
          <w:sz w:val="24"/>
          <w:szCs w:val="24"/>
        </w:rPr>
        <w:t>Art. 1</w:t>
      </w:r>
      <w:r w:rsidR="007C67ED" w:rsidRPr="00633318">
        <w:rPr>
          <w:rFonts w:ascii="Times New Roman" w:hAnsi="Times New Roman" w:cs="Times New Roman"/>
          <w:sz w:val="24"/>
          <w:szCs w:val="24"/>
        </w:rPr>
        <w:t>58</w:t>
      </w:r>
      <w:r w:rsidRPr="00633318">
        <w:rPr>
          <w:rFonts w:ascii="Times New Roman" w:hAnsi="Times New Roman" w:cs="Times New Roman"/>
          <w:sz w:val="24"/>
          <w:szCs w:val="24"/>
        </w:rPr>
        <w:t xml:space="preserve"> [5-letni początkowy okres działalności – przepisy przejściowe]</w:t>
      </w:r>
    </w:p>
    <w:p w14:paraId="5648D89B" w14:textId="3F425FF3" w:rsidR="00227BA7" w:rsidRPr="00633318" w:rsidRDefault="00227BA7"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Art. 1</w:t>
      </w:r>
      <w:r w:rsidR="007C67ED" w:rsidRPr="00633318">
        <w:rPr>
          <w:rFonts w:ascii="Times New Roman" w:hAnsi="Times New Roman" w:cs="Times New Roman"/>
          <w:sz w:val="24"/>
          <w:szCs w:val="24"/>
        </w:rPr>
        <w:t>58</w:t>
      </w:r>
      <w:r w:rsidRPr="00633318">
        <w:rPr>
          <w:rFonts w:ascii="Times New Roman" w:hAnsi="Times New Roman" w:cs="Times New Roman"/>
          <w:sz w:val="24"/>
          <w:szCs w:val="24"/>
        </w:rPr>
        <w:t xml:space="preserve"> zawiera przepisy przejściowe dotyczące 5-letniego okresu początkowej działalności grupy międzynarodowej, jak również odpowiedniego 5-letniego okresu dla grupy krajowej, o których mowa w art. 128 i 129 ustawy.</w:t>
      </w:r>
    </w:p>
    <w:p w14:paraId="1C93A13E" w14:textId="66350EEC" w:rsidR="00227BA7" w:rsidRPr="00633318" w:rsidRDefault="00227BA7" w:rsidP="007C67ED">
      <w:pPr>
        <w:spacing w:after="120"/>
        <w:jc w:val="both"/>
        <w:rPr>
          <w:rFonts w:ascii="Times New Roman" w:hAnsi="Times New Roman" w:cs="Times New Roman"/>
          <w:sz w:val="24"/>
          <w:szCs w:val="24"/>
        </w:rPr>
      </w:pPr>
      <w:r w:rsidRPr="00633318">
        <w:rPr>
          <w:rFonts w:ascii="Times New Roman" w:hAnsi="Times New Roman" w:cs="Times New Roman"/>
          <w:sz w:val="24"/>
          <w:szCs w:val="24"/>
        </w:rPr>
        <w:t xml:space="preserve">W przypadku grup międzynarodowych, o których mowa w art. 128 i 129 ust. 1 oraz które spełniają warunki dotyczące minimalnego przychodu grupowego z dniem wejścia ustawy w życie, a zarazem wchodzą w zakres Dyrektywy za rok podatkowy rozpoczęty po dniu 31 grudnia 2023 r., wskazany pięcioletni okres liczy się </w:t>
      </w:r>
      <w:r w:rsidR="002371CC" w:rsidRPr="00633318">
        <w:rPr>
          <w:rFonts w:ascii="Times New Roman" w:hAnsi="Times New Roman" w:cs="Times New Roman"/>
          <w:sz w:val="24"/>
          <w:szCs w:val="24"/>
        </w:rPr>
        <w:t>od tego terminu</w:t>
      </w:r>
      <w:r w:rsidRPr="00633318">
        <w:rPr>
          <w:rFonts w:ascii="Times New Roman" w:hAnsi="Times New Roman" w:cs="Times New Roman"/>
          <w:sz w:val="24"/>
          <w:szCs w:val="24"/>
        </w:rPr>
        <w:t xml:space="preserve">. Tym samym, pięcioletni okres liczy się od pierwszego roku podatkowego rozpoczynającego się po dniu 31 grudnia 2023 r. </w:t>
      </w:r>
    </w:p>
    <w:p w14:paraId="4C99234B" w14:textId="068B7EF7" w:rsidR="00227BA7" w:rsidRPr="00633318" w:rsidRDefault="00227BA7" w:rsidP="00227BA7">
      <w:pPr>
        <w:spacing w:after="120"/>
        <w:jc w:val="both"/>
        <w:rPr>
          <w:rFonts w:ascii="Times New Roman" w:hAnsi="Times New Roman" w:cs="Times New Roman"/>
          <w:sz w:val="24"/>
          <w:szCs w:val="24"/>
        </w:rPr>
      </w:pPr>
      <w:r w:rsidRPr="00633318">
        <w:rPr>
          <w:rFonts w:ascii="Times New Roman" w:hAnsi="Times New Roman" w:cs="Times New Roman"/>
          <w:sz w:val="24"/>
          <w:szCs w:val="24"/>
        </w:rPr>
        <w:t>Podobnie, w przypadku grup krajowych, jeżeli grupa krajowa weszła w zakres przepisów Dyrektywy już za rok rozpoczęty po 31 grudnia 2023 r., 5-letni okres liczy się od tego roku (przy czym w tym przypadku grupa krajowa nie musi spełniać warunków wskazanych w art. 128 ust. 1)</w:t>
      </w:r>
      <w:r w:rsidR="001D7176" w:rsidRPr="00633318">
        <w:rPr>
          <w:rFonts w:ascii="Times New Roman" w:hAnsi="Times New Roman" w:cs="Times New Roman"/>
          <w:sz w:val="24"/>
          <w:szCs w:val="24"/>
        </w:rPr>
        <w:t>.</w:t>
      </w:r>
    </w:p>
    <w:p w14:paraId="242CAE7D" w14:textId="3458AA95" w:rsidR="00830647" w:rsidRPr="00633318" w:rsidRDefault="00227BA7" w:rsidP="003F58E8">
      <w:pPr>
        <w:spacing w:after="0"/>
        <w:jc w:val="both"/>
        <w:rPr>
          <w:rFonts w:ascii="Times New Roman" w:hAnsi="Times New Roman" w:cs="Times New Roman"/>
          <w:sz w:val="24"/>
          <w:szCs w:val="24"/>
        </w:rPr>
      </w:pPr>
      <w:r w:rsidRPr="00633318">
        <w:rPr>
          <w:rFonts w:ascii="Times New Roman" w:hAnsi="Times New Roman" w:cs="Times New Roman"/>
          <w:sz w:val="24"/>
          <w:szCs w:val="24"/>
        </w:rPr>
        <w:t>Natomiast w przypadku podatku wyrównawczego od niedostatecznie opodatkowanych zysków, zgodnie z Dyrektywą termin wejścia w życie przepisów w tym zakresie jest o rok późniejszy; stąd, w tym przypadku pierwszy rok spełniania warunków, o których mowa w</w:t>
      </w:r>
      <w:r w:rsidR="00E577D5">
        <w:rPr>
          <w:rFonts w:ascii="Times New Roman" w:hAnsi="Times New Roman" w:cs="Times New Roman"/>
          <w:sz w:val="24"/>
          <w:szCs w:val="24"/>
        </w:rPr>
        <w:t> </w:t>
      </w:r>
      <w:r w:rsidRPr="00633318">
        <w:rPr>
          <w:rFonts w:ascii="Times New Roman" w:hAnsi="Times New Roman" w:cs="Times New Roman"/>
          <w:sz w:val="24"/>
          <w:szCs w:val="24"/>
        </w:rPr>
        <w:t>art.</w:t>
      </w:r>
      <w:r w:rsidR="00E577D5">
        <w:rPr>
          <w:rFonts w:ascii="Times New Roman" w:hAnsi="Times New Roman" w:cs="Times New Roman"/>
          <w:sz w:val="24"/>
          <w:szCs w:val="24"/>
        </w:rPr>
        <w:t> </w:t>
      </w:r>
      <w:r w:rsidRPr="00633318">
        <w:rPr>
          <w:rFonts w:ascii="Times New Roman" w:hAnsi="Times New Roman" w:cs="Times New Roman"/>
          <w:sz w:val="24"/>
          <w:szCs w:val="24"/>
        </w:rPr>
        <w:t>128 ust. 1, liczy się od początku pierwszego roku podatkowego rozpoczynającego się po 31 grudnia 2024 r.</w:t>
      </w:r>
      <w:r w:rsidR="00830647" w:rsidRPr="00633318">
        <w:rPr>
          <w:rFonts w:ascii="Times New Roman" w:hAnsi="Times New Roman" w:cs="Times New Roman"/>
          <w:bCs/>
          <w:sz w:val="24"/>
          <w:szCs w:val="24"/>
        </w:rPr>
        <w:t xml:space="preserve"> </w:t>
      </w:r>
    </w:p>
    <w:p w14:paraId="5438B6DE" w14:textId="4C4D12D3" w:rsidR="00161EAB" w:rsidRPr="00633318" w:rsidRDefault="00161EAB" w:rsidP="003F58E8">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Art. 1</w:t>
      </w:r>
      <w:r w:rsidR="003F58E8" w:rsidRPr="00633318">
        <w:rPr>
          <w:rFonts w:ascii="Times New Roman" w:hAnsi="Times New Roman" w:cs="Times New Roman"/>
          <w:sz w:val="24"/>
          <w:szCs w:val="24"/>
        </w:rPr>
        <w:t>59</w:t>
      </w:r>
      <w:r w:rsidRPr="00633318">
        <w:rPr>
          <w:rFonts w:ascii="Times New Roman" w:hAnsi="Times New Roman" w:cs="Times New Roman"/>
          <w:sz w:val="24"/>
          <w:szCs w:val="24"/>
        </w:rPr>
        <w:t xml:space="preserve"> Objęcie opinii porozumieniem inwestycyjnym</w:t>
      </w:r>
    </w:p>
    <w:p w14:paraId="1C3C616A" w14:textId="17606D09" w:rsidR="00161EAB" w:rsidRPr="00633318" w:rsidRDefault="00161EAB" w:rsidP="00161EAB">
      <w:pPr>
        <w:jc w:val="both"/>
        <w:rPr>
          <w:rFonts w:ascii="Times New Roman" w:hAnsi="Times New Roman" w:cs="Times New Roman"/>
          <w:sz w:val="24"/>
          <w:szCs w:val="24"/>
        </w:rPr>
      </w:pPr>
      <w:r w:rsidRPr="00633318">
        <w:rPr>
          <w:rFonts w:ascii="Times New Roman" w:hAnsi="Times New Roman" w:cs="Times New Roman"/>
          <w:sz w:val="24"/>
          <w:szCs w:val="24"/>
        </w:rPr>
        <w:t xml:space="preserve">Zgodnie z art. </w:t>
      </w:r>
      <w:r w:rsidR="00B262C9" w:rsidRPr="00633318">
        <w:rPr>
          <w:rFonts w:ascii="Times New Roman" w:hAnsi="Times New Roman" w:cs="Times New Roman"/>
          <w:sz w:val="24"/>
          <w:szCs w:val="24"/>
        </w:rPr>
        <w:t>159</w:t>
      </w:r>
      <w:r w:rsidRPr="00633318">
        <w:rPr>
          <w:rFonts w:ascii="Times New Roman" w:hAnsi="Times New Roman" w:cs="Times New Roman"/>
          <w:sz w:val="24"/>
          <w:szCs w:val="24"/>
        </w:rPr>
        <w:t>, zmiana wniosku o zawarcie porozumienia inwestycyjnego, która polega na objęciu zakresem porozumienia inwestycyjnego opinii o opodatkowaniu wyrównawczym może dotyczyć wniosku o zawarcie porozumienia inwestycyjnego złożonego przed 1.1.2025 r.</w:t>
      </w:r>
    </w:p>
    <w:p w14:paraId="248444FC" w14:textId="6943B1BB" w:rsidR="00CA2F39" w:rsidRPr="00633318" w:rsidRDefault="00CA2F39" w:rsidP="00830647">
      <w:pPr>
        <w:pStyle w:val="Nagwek5"/>
        <w:spacing w:before="0"/>
        <w:rPr>
          <w:rFonts w:ascii="Times New Roman" w:hAnsi="Times New Roman" w:cs="Times New Roman"/>
          <w:sz w:val="24"/>
          <w:szCs w:val="24"/>
        </w:rPr>
      </w:pPr>
      <w:r w:rsidRPr="00633318">
        <w:rPr>
          <w:rFonts w:ascii="Times New Roman" w:hAnsi="Times New Roman" w:cs="Times New Roman"/>
          <w:sz w:val="24"/>
          <w:szCs w:val="24"/>
        </w:rPr>
        <w:t xml:space="preserve">Art. </w:t>
      </w:r>
      <w:r w:rsidR="00AB6C7E" w:rsidRPr="00633318">
        <w:rPr>
          <w:rFonts w:ascii="Times New Roman" w:hAnsi="Times New Roman" w:cs="Times New Roman"/>
          <w:sz w:val="24"/>
          <w:szCs w:val="24"/>
        </w:rPr>
        <w:t>16</w:t>
      </w:r>
      <w:r w:rsidR="003F58E8" w:rsidRPr="00633318">
        <w:rPr>
          <w:rFonts w:ascii="Times New Roman" w:hAnsi="Times New Roman" w:cs="Times New Roman"/>
          <w:sz w:val="24"/>
          <w:szCs w:val="24"/>
        </w:rPr>
        <w:t>0</w:t>
      </w:r>
      <w:r w:rsidRPr="00633318">
        <w:rPr>
          <w:rFonts w:ascii="Times New Roman" w:hAnsi="Times New Roman" w:cs="Times New Roman"/>
          <w:sz w:val="24"/>
          <w:szCs w:val="24"/>
        </w:rPr>
        <w:t xml:space="preserve"> Rada do </w:t>
      </w:r>
      <w:r w:rsidR="00547776" w:rsidRPr="00633318">
        <w:rPr>
          <w:rFonts w:ascii="Times New Roman" w:hAnsi="Times New Roman" w:cs="Times New Roman"/>
          <w:sz w:val="24"/>
          <w:szCs w:val="24"/>
        </w:rPr>
        <w:t>spraw</w:t>
      </w:r>
      <w:r w:rsidRPr="00633318">
        <w:rPr>
          <w:rFonts w:ascii="Times New Roman" w:hAnsi="Times New Roman" w:cs="Times New Roman"/>
          <w:sz w:val="24"/>
          <w:szCs w:val="24"/>
        </w:rPr>
        <w:t xml:space="preserve"> </w:t>
      </w:r>
      <w:r w:rsidR="00C32EBC" w:rsidRPr="00633318">
        <w:rPr>
          <w:rFonts w:ascii="Times New Roman" w:hAnsi="Times New Roman" w:cs="Times New Roman"/>
          <w:sz w:val="24"/>
          <w:szCs w:val="24"/>
        </w:rPr>
        <w:t>Opodatkowania Wyrównawczego</w:t>
      </w:r>
    </w:p>
    <w:p w14:paraId="1F75393B" w14:textId="65064D5D" w:rsidR="00CA2F39" w:rsidRPr="00633318" w:rsidRDefault="00C32EBC" w:rsidP="00161EAB">
      <w:pPr>
        <w:pStyle w:val="ARTartustawynprozporzdzenia"/>
        <w:spacing w:line="259" w:lineRule="auto"/>
        <w:ind w:firstLine="0"/>
        <w:rPr>
          <w:rStyle w:val="Ppogrubienie"/>
          <w:rFonts w:ascii="Times New Roman" w:hAnsi="Times New Roman" w:cs="Times New Roman"/>
          <w:b w:val="0"/>
          <w:bCs/>
          <w:szCs w:val="24"/>
        </w:rPr>
      </w:pPr>
      <w:r w:rsidRPr="00633318">
        <w:rPr>
          <w:rStyle w:val="Ppogrubienie"/>
          <w:rFonts w:ascii="Times New Roman" w:hAnsi="Times New Roman" w:cs="Times New Roman"/>
          <w:b w:val="0"/>
          <w:bCs/>
          <w:szCs w:val="24"/>
        </w:rPr>
        <w:t>Zgodnie z a</w:t>
      </w:r>
      <w:r w:rsidR="00CA2F39" w:rsidRPr="00633318">
        <w:rPr>
          <w:rStyle w:val="Ppogrubienie"/>
          <w:rFonts w:ascii="Times New Roman" w:hAnsi="Times New Roman" w:cs="Times New Roman"/>
          <w:b w:val="0"/>
          <w:bCs/>
          <w:szCs w:val="24"/>
        </w:rPr>
        <w:t>rt. </w:t>
      </w:r>
      <w:r w:rsidR="00AB6C7E" w:rsidRPr="00633318">
        <w:rPr>
          <w:rStyle w:val="Ppogrubienie"/>
          <w:rFonts w:ascii="Times New Roman" w:hAnsi="Times New Roman" w:cs="Times New Roman"/>
          <w:b w:val="0"/>
          <w:bCs/>
          <w:szCs w:val="24"/>
        </w:rPr>
        <w:t>160</w:t>
      </w:r>
      <w:r w:rsidR="00CA2F39" w:rsidRPr="00633318">
        <w:rPr>
          <w:rStyle w:val="Ppogrubienie"/>
          <w:rFonts w:ascii="Times New Roman" w:hAnsi="Times New Roman" w:cs="Times New Roman"/>
          <w:b w:val="0"/>
          <w:szCs w:val="24"/>
        </w:rPr>
        <w:t xml:space="preserve"> </w:t>
      </w:r>
      <w:r w:rsidRPr="00633318">
        <w:rPr>
          <w:rStyle w:val="Ppogrubienie"/>
          <w:rFonts w:ascii="Times New Roman" w:hAnsi="Times New Roman" w:cs="Times New Roman"/>
          <w:b w:val="0"/>
          <w:szCs w:val="24"/>
        </w:rPr>
        <w:t>t</w:t>
      </w:r>
      <w:r w:rsidR="00CA2F39" w:rsidRPr="00633318">
        <w:rPr>
          <w:rStyle w:val="Ppogrubienie"/>
          <w:rFonts w:ascii="Times New Roman" w:hAnsi="Times New Roman" w:cs="Times New Roman"/>
          <w:b w:val="0"/>
          <w:szCs w:val="24"/>
        </w:rPr>
        <w:t xml:space="preserve">worzy się </w:t>
      </w:r>
      <w:bookmarkStart w:id="133" w:name="_Hlk164432059"/>
      <w:r w:rsidR="00CA2F39" w:rsidRPr="00633318">
        <w:rPr>
          <w:rStyle w:val="Ppogrubienie"/>
          <w:rFonts w:ascii="Times New Roman" w:hAnsi="Times New Roman" w:cs="Times New Roman"/>
          <w:b w:val="0"/>
          <w:szCs w:val="24"/>
        </w:rPr>
        <w:t xml:space="preserve">Radę do </w:t>
      </w:r>
      <w:r w:rsidR="00547776" w:rsidRPr="00633318">
        <w:rPr>
          <w:rStyle w:val="Ppogrubienie"/>
          <w:rFonts w:ascii="Times New Roman" w:hAnsi="Times New Roman" w:cs="Times New Roman"/>
          <w:b w:val="0"/>
          <w:szCs w:val="24"/>
        </w:rPr>
        <w:t>spraw</w:t>
      </w:r>
      <w:r w:rsidR="00CA2F39" w:rsidRPr="00633318">
        <w:rPr>
          <w:rStyle w:val="Ppogrubienie"/>
          <w:rFonts w:ascii="Times New Roman" w:hAnsi="Times New Roman" w:cs="Times New Roman"/>
          <w:b w:val="0"/>
          <w:szCs w:val="24"/>
        </w:rPr>
        <w:t xml:space="preserve"> </w:t>
      </w:r>
      <w:r w:rsidRPr="00633318">
        <w:rPr>
          <w:rStyle w:val="Ppogrubienie"/>
          <w:rFonts w:ascii="Times New Roman" w:hAnsi="Times New Roman" w:cs="Times New Roman"/>
          <w:b w:val="0"/>
          <w:szCs w:val="24"/>
        </w:rPr>
        <w:t>Opodatkowania</w:t>
      </w:r>
      <w:r w:rsidR="00CA2F39" w:rsidRPr="00633318">
        <w:rPr>
          <w:rStyle w:val="Ppogrubienie"/>
          <w:rFonts w:ascii="Times New Roman" w:hAnsi="Times New Roman" w:cs="Times New Roman"/>
          <w:b w:val="0"/>
          <w:szCs w:val="24"/>
        </w:rPr>
        <w:t xml:space="preserve"> Wyrównawczego</w:t>
      </w:r>
      <w:bookmarkEnd w:id="133"/>
      <w:r w:rsidR="00CA2F39" w:rsidRPr="00633318">
        <w:rPr>
          <w:rStyle w:val="Ppogrubienie"/>
          <w:rFonts w:ascii="Times New Roman" w:hAnsi="Times New Roman" w:cs="Times New Roman"/>
          <w:b w:val="0"/>
          <w:szCs w:val="24"/>
        </w:rPr>
        <w:t>.</w:t>
      </w:r>
      <w:r w:rsidRPr="00633318">
        <w:rPr>
          <w:rStyle w:val="Ppogrubienie"/>
          <w:rFonts w:ascii="Times New Roman" w:hAnsi="Times New Roman" w:cs="Times New Roman"/>
          <w:szCs w:val="24"/>
        </w:rPr>
        <w:t xml:space="preserve"> </w:t>
      </w:r>
      <w:r w:rsidR="00CA2F39" w:rsidRPr="00633318">
        <w:rPr>
          <w:rStyle w:val="Ppogrubienie"/>
          <w:rFonts w:ascii="Times New Roman" w:hAnsi="Times New Roman" w:cs="Times New Roman"/>
          <w:b w:val="0"/>
          <w:szCs w:val="24"/>
        </w:rPr>
        <w:t xml:space="preserve">Radę powołuje się </w:t>
      </w:r>
      <w:r w:rsidRPr="00633318">
        <w:rPr>
          <w:rStyle w:val="Ppogrubienie"/>
          <w:rFonts w:ascii="Times New Roman" w:hAnsi="Times New Roman" w:cs="Times New Roman"/>
          <w:b w:val="0"/>
          <w:szCs w:val="24"/>
        </w:rPr>
        <w:t xml:space="preserve">na pierwszą kadencję </w:t>
      </w:r>
      <w:r w:rsidR="00CA2F39" w:rsidRPr="00633318">
        <w:rPr>
          <w:rStyle w:val="Ppogrubienie"/>
          <w:rFonts w:ascii="Times New Roman" w:hAnsi="Times New Roman" w:cs="Times New Roman"/>
          <w:b w:val="0"/>
          <w:szCs w:val="24"/>
        </w:rPr>
        <w:t>w terminie 90 dni od dnia wejścia w życie niniejszej ustawy</w:t>
      </w:r>
      <w:r w:rsidR="00CA2F39" w:rsidRPr="00633318">
        <w:rPr>
          <w:rStyle w:val="Ppogrubienie"/>
          <w:rFonts w:ascii="Times New Roman" w:hAnsi="Times New Roman" w:cs="Times New Roman"/>
          <w:b w:val="0"/>
          <w:bCs/>
          <w:szCs w:val="24"/>
        </w:rPr>
        <w:t>.</w:t>
      </w:r>
    </w:p>
    <w:p w14:paraId="42051BE8" w14:textId="2CF88EB8" w:rsidR="003F58E8" w:rsidRPr="00633318" w:rsidRDefault="003F58E8" w:rsidP="003F58E8">
      <w:pPr>
        <w:pStyle w:val="Nagwek5"/>
        <w:spacing w:before="240"/>
        <w:rPr>
          <w:rFonts w:ascii="Times New Roman" w:hAnsi="Times New Roman" w:cs="Times New Roman"/>
          <w:sz w:val="24"/>
          <w:szCs w:val="24"/>
        </w:rPr>
      </w:pPr>
      <w:r w:rsidRPr="00633318">
        <w:rPr>
          <w:rFonts w:ascii="Times New Roman" w:hAnsi="Times New Roman" w:cs="Times New Roman"/>
          <w:sz w:val="24"/>
          <w:szCs w:val="24"/>
        </w:rPr>
        <w:t>Art. 161 [Określenie maksymalnego limitu wydatków z budżetu państwa w związku z ustawą]</w:t>
      </w:r>
    </w:p>
    <w:p w14:paraId="590C61F4" w14:textId="3F65A8D6" w:rsidR="003F58E8" w:rsidRPr="00633318" w:rsidRDefault="003F58E8" w:rsidP="003F58E8">
      <w:pPr>
        <w:jc w:val="both"/>
        <w:rPr>
          <w:rFonts w:ascii="Times New Roman" w:hAnsi="Times New Roman" w:cs="Times New Roman"/>
          <w:i/>
          <w:sz w:val="24"/>
          <w:szCs w:val="24"/>
        </w:rPr>
      </w:pPr>
      <w:r w:rsidRPr="00633318">
        <w:rPr>
          <w:rFonts w:ascii="Times New Roman" w:hAnsi="Times New Roman" w:cs="Times New Roman"/>
          <w:sz w:val="24"/>
          <w:szCs w:val="24"/>
        </w:rPr>
        <w:t>Art. 161 realizuje wymóg wynikający z art. 50 ust. 1a ustawy o finansach publicznych zgodnie z którym w przyjmowanych przez Radę Ministrów projektach ustaw, których skutkiem finansowym może być zmiana poziomu wydatków jednostek sektora finansów publicznych w stosunku do wielkości wynikających z obowiązujących przepisów, określa się w treści projektu maksymalny limit tych wydatków wyrażony kwotowo, na okres 10 lat budżetowych wykonywania ustawy, oddzielnie dla każdego roku, poczynając od pierwszego roku planowanego wejścia w życie ustawy, w podziale na budżet państwa, jednostki samorządu terytorialnego i ich jednostki organizacyjne oraz pozostałe jednostki sektora finansów publicznych. Jako, że projektowana ustawa wpływa tylko na wydatki budżetu państwa przepis art. 1</w:t>
      </w:r>
      <w:r w:rsidR="0063594D" w:rsidRPr="00633318">
        <w:rPr>
          <w:rFonts w:ascii="Times New Roman" w:hAnsi="Times New Roman" w:cs="Times New Roman"/>
          <w:sz w:val="24"/>
          <w:szCs w:val="24"/>
        </w:rPr>
        <w:t>60</w:t>
      </w:r>
      <w:r w:rsidRPr="00633318">
        <w:rPr>
          <w:rFonts w:ascii="Times New Roman" w:hAnsi="Times New Roman" w:cs="Times New Roman"/>
          <w:sz w:val="24"/>
          <w:szCs w:val="24"/>
        </w:rPr>
        <w:t xml:space="preserve"> nie odnosi się do innych jednostek sektora finansów publicznych. </w:t>
      </w:r>
    </w:p>
    <w:p w14:paraId="4B16C334" w14:textId="3A0AF169" w:rsidR="003F58E8" w:rsidRPr="00633318" w:rsidRDefault="003F58E8" w:rsidP="003F58E8">
      <w:pPr>
        <w:jc w:val="both"/>
        <w:rPr>
          <w:rFonts w:ascii="Times New Roman" w:hAnsi="Times New Roman" w:cs="Times New Roman"/>
          <w:sz w:val="24"/>
          <w:szCs w:val="24"/>
        </w:rPr>
      </w:pPr>
      <w:r w:rsidRPr="00633318">
        <w:rPr>
          <w:rFonts w:ascii="Times New Roman" w:hAnsi="Times New Roman" w:cs="Times New Roman"/>
          <w:sz w:val="24"/>
          <w:szCs w:val="24"/>
        </w:rPr>
        <w:t xml:space="preserve">I tak, zgodnie z tym przepisem w latach 2024–2034 maksymalny limit wydatków z budżetu państwa przeznaczonych na wykonanie zadań związanych z wdrożeniem i realizacją rozwiązań, o których mowa w projekcie, wynosi 369 </w:t>
      </w:r>
      <w:r w:rsidR="00FC7180" w:rsidRPr="00633318">
        <w:rPr>
          <w:rFonts w:ascii="Times New Roman" w:hAnsi="Times New Roman" w:cs="Times New Roman"/>
          <w:sz w:val="24"/>
          <w:szCs w:val="24"/>
        </w:rPr>
        <w:t>940 000</w:t>
      </w:r>
      <w:r w:rsidRPr="00633318">
        <w:rPr>
          <w:rFonts w:ascii="Times New Roman" w:hAnsi="Times New Roman" w:cs="Times New Roman"/>
          <w:sz w:val="24"/>
          <w:szCs w:val="24"/>
        </w:rPr>
        <w:t xml:space="preserve"> zł, w tym w: </w:t>
      </w:r>
    </w:p>
    <w:p w14:paraId="098F33C5" w14:textId="591353C5"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1)</w:t>
      </w:r>
      <w:r w:rsidR="0093507E">
        <w:rPr>
          <w:rFonts w:ascii="Times New Roman" w:hAnsi="Times New Roman" w:cs="Times New Roman"/>
          <w:szCs w:val="24"/>
        </w:rPr>
        <w:tab/>
      </w:r>
      <w:r w:rsidRPr="00633318">
        <w:rPr>
          <w:rFonts w:ascii="Times New Roman" w:hAnsi="Times New Roman" w:cs="Times New Roman"/>
          <w:szCs w:val="24"/>
        </w:rPr>
        <w:t xml:space="preserve"> 2024 r. –   1 870 000 zł; </w:t>
      </w:r>
    </w:p>
    <w:p w14:paraId="55C1CA9B" w14:textId="2EA7712C"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2)</w:t>
      </w:r>
      <w:r w:rsidR="0093507E">
        <w:rPr>
          <w:rFonts w:ascii="Times New Roman" w:hAnsi="Times New Roman" w:cs="Times New Roman"/>
          <w:szCs w:val="24"/>
        </w:rPr>
        <w:tab/>
      </w:r>
      <w:r w:rsidRPr="00633318">
        <w:rPr>
          <w:rFonts w:ascii="Times New Roman" w:hAnsi="Times New Roman" w:cs="Times New Roman"/>
          <w:szCs w:val="24"/>
        </w:rPr>
        <w:t xml:space="preserve"> 2025 r. – 41 650 000 zł; </w:t>
      </w:r>
    </w:p>
    <w:p w14:paraId="068690F0" w14:textId="1E21AC86"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3)</w:t>
      </w:r>
      <w:r w:rsidR="0093507E">
        <w:rPr>
          <w:rFonts w:ascii="Times New Roman" w:hAnsi="Times New Roman" w:cs="Times New Roman"/>
          <w:szCs w:val="24"/>
        </w:rPr>
        <w:tab/>
      </w:r>
      <w:r w:rsidRPr="00633318">
        <w:rPr>
          <w:rFonts w:ascii="Times New Roman" w:hAnsi="Times New Roman" w:cs="Times New Roman"/>
          <w:szCs w:val="24"/>
        </w:rPr>
        <w:t xml:space="preserve"> 2026 r. – 29 520 000 zł; </w:t>
      </w:r>
    </w:p>
    <w:p w14:paraId="73730347" w14:textId="13C92980"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4)</w:t>
      </w:r>
      <w:r w:rsidR="0093507E">
        <w:rPr>
          <w:rFonts w:ascii="Times New Roman" w:hAnsi="Times New Roman" w:cs="Times New Roman"/>
          <w:szCs w:val="24"/>
        </w:rPr>
        <w:tab/>
      </w:r>
      <w:r w:rsidRPr="00633318">
        <w:rPr>
          <w:rFonts w:ascii="Times New Roman" w:hAnsi="Times New Roman" w:cs="Times New Roman"/>
          <w:szCs w:val="24"/>
        </w:rPr>
        <w:t xml:space="preserve"> 2027 r. – 30 900 000 zł; </w:t>
      </w:r>
    </w:p>
    <w:p w14:paraId="1E51AE8F" w14:textId="40640289"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5)</w:t>
      </w:r>
      <w:r w:rsidR="0093507E">
        <w:rPr>
          <w:rFonts w:ascii="Times New Roman" w:hAnsi="Times New Roman" w:cs="Times New Roman"/>
          <w:szCs w:val="24"/>
        </w:rPr>
        <w:tab/>
      </w:r>
      <w:r w:rsidRPr="00633318">
        <w:rPr>
          <w:rFonts w:ascii="Times New Roman" w:hAnsi="Times New Roman" w:cs="Times New Roman"/>
          <w:szCs w:val="24"/>
        </w:rPr>
        <w:t xml:space="preserve"> 2028 r. – 30 870 000 zł; </w:t>
      </w:r>
    </w:p>
    <w:p w14:paraId="3EA26FDA" w14:textId="5AEBFA88"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6)</w:t>
      </w:r>
      <w:r w:rsidR="0093507E">
        <w:rPr>
          <w:rFonts w:ascii="Times New Roman" w:hAnsi="Times New Roman" w:cs="Times New Roman"/>
          <w:szCs w:val="24"/>
        </w:rPr>
        <w:tab/>
      </w:r>
      <w:r w:rsidRPr="00633318">
        <w:rPr>
          <w:rFonts w:ascii="Times New Roman" w:hAnsi="Times New Roman" w:cs="Times New Roman"/>
          <w:szCs w:val="24"/>
        </w:rPr>
        <w:t xml:space="preserve"> 2029 r. – 40 930 000 zł; </w:t>
      </w:r>
    </w:p>
    <w:p w14:paraId="78A9D81B" w14:textId="786DA1BF"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7)</w:t>
      </w:r>
      <w:r w:rsidR="0093507E">
        <w:rPr>
          <w:rFonts w:ascii="Times New Roman" w:hAnsi="Times New Roman" w:cs="Times New Roman"/>
          <w:szCs w:val="24"/>
        </w:rPr>
        <w:tab/>
      </w:r>
      <w:r w:rsidRPr="00633318">
        <w:rPr>
          <w:rFonts w:ascii="Times New Roman" w:hAnsi="Times New Roman" w:cs="Times New Roman"/>
          <w:szCs w:val="24"/>
        </w:rPr>
        <w:t xml:space="preserve"> 2030 r. – 34 370 000 zł; </w:t>
      </w:r>
    </w:p>
    <w:p w14:paraId="26D482D0" w14:textId="0F5FFFF9"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8)</w:t>
      </w:r>
      <w:r w:rsidR="0093507E">
        <w:rPr>
          <w:rFonts w:ascii="Times New Roman" w:hAnsi="Times New Roman" w:cs="Times New Roman"/>
          <w:szCs w:val="24"/>
        </w:rPr>
        <w:tab/>
      </w:r>
      <w:r w:rsidRPr="00633318">
        <w:rPr>
          <w:rFonts w:ascii="Times New Roman" w:hAnsi="Times New Roman" w:cs="Times New Roman"/>
          <w:szCs w:val="24"/>
        </w:rPr>
        <w:t xml:space="preserve"> 2031 r. – 35 840 000 zł; </w:t>
      </w:r>
    </w:p>
    <w:p w14:paraId="41AB3AE8" w14:textId="5DD0F56A"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9)</w:t>
      </w:r>
      <w:r w:rsidR="0093507E">
        <w:rPr>
          <w:rFonts w:ascii="Times New Roman" w:hAnsi="Times New Roman" w:cs="Times New Roman"/>
          <w:szCs w:val="24"/>
        </w:rPr>
        <w:tab/>
      </w:r>
      <w:r w:rsidRPr="00633318">
        <w:rPr>
          <w:rFonts w:ascii="Times New Roman" w:hAnsi="Times New Roman" w:cs="Times New Roman"/>
          <w:szCs w:val="24"/>
        </w:rPr>
        <w:t xml:space="preserve"> 2032 r. – 43 220 000 zł; </w:t>
      </w:r>
    </w:p>
    <w:p w14:paraId="60FFABD9" w14:textId="12BB7279"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10)</w:t>
      </w:r>
      <w:r w:rsidR="0093507E">
        <w:rPr>
          <w:rFonts w:ascii="Times New Roman" w:hAnsi="Times New Roman" w:cs="Times New Roman"/>
          <w:szCs w:val="24"/>
        </w:rPr>
        <w:tab/>
      </w:r>
      <w:r w:rsidRPr="00633318">
        <w:rPr>
          <w:rFonts w:ascii="Times New Roman" w:hAnsi="Times New Roman" w:cs="Times New Roman"/>
          <w:szCs w:val="24"/>
        </w:rPr>
        <w:t xml:space="preserve"> 2033 r. – 37 070 000 zł; </w:t>
      </w:r>
    </w:p>
    <w:p w14:paraId="4B708E4E" w14:textId="4E92494A" w:rsidR="0063594D" w:rsidRPr="00633318" w:rsidRDefault="0063594D" w:rsidP="001B320A">
      <w:pPr>
        <w:pStyle w:val="PKTpunkt"/>
        <w:spacing w:line="240" w:lineRule="auto"/>
        <w:rPr>
          <w:rFonts w:ascii="Times New Roman" w:hAnsi="Times New Roman" w:cs="Times New Roman"/>
          <w:szCs w:val="24"/>
        </w:rPr>
      </w:pPr>
      <w:r w:rsidRPr="00633318">
        <w:rPr>
          <w:rFonts w:ascii="Times New Roman" w:hAnsi="Times New Roman" w:cs="Times New Roman"/>
          <w:szCs w:val="24"/>
        </w:rPr>
        <w:t>11)</w:t>
      </w:r>
      <w:r w:rsidR="0093507E">
        <w:rPr>
          <w:rFonts w:ascii="Times New Roman" w:hAnsi="Times New Roman" w:cs="Times New Roman"/>
          <w:szCs w:val="24"/>
        </w:rPr>
        <w:tab/>
      </w:r>
      <w:r w:rsidRPr="00633318">
        <w:rPr>
          <w:rFonts w:ascii="Times New Roman" w:hAnsi="Times New Roman" w:cs="Times New Roman"/>
          <w:szCs w:val="24"/>
        </w:rPr>
        <w:t xml:space="preserve"> 2034 r. – 40 700 000 zł. </w:t>
      </w:r>
    </w:p>
    <w:p w14:paraId="320341EE" w14:textId="2E7B3DEB" w:rsidR="003F58E8" w:rsidRPr="00633318" w:rsidRDefault="003F58E8" w:rsidP="001B320A">
      <w:pPr>
        <w:spacing w:before="240"/>
        <w:jc w:val="both"/>
        <w:rPr>
          <w:rFonts w:ascii="Times New Roman" w:hAnsi="Times New Roman" w:cs="Times New Roman"/>
          <w:sz w:val="24"/>
          <w:szCs w:val="24"/>
        </w:rPr>
      </w:pPr>
      <w:r w:rsidRPr="00633318">
        <w:rPr>
          <w:rFonts w:ascii="Times New Roman" w:hAnsi="Times New Roman" w:cs="Times New Roman"/>
          <w:sz w:val="24"/>
          <w:szCs w:val="24"/>
        </w:rPr>
        <w:t xml:space="preserve">W przypadku zagrożenia przekroczeniem lub przekroczenia przyjętych na dany rok budżetowy maksymalnych limitów ww. wydatków zostanie zastosowany mechanizm korygujący, polegający na obniżeniu wydatków związanych z realizacją zadań wynikających z regulacji wprowadzanych niniejszą ustawą. </w:t>
      </w:r>
      <w:r w:rsidRPr="00633318">
        <w:rPr>
          <w:rFonts w:ascii="Times New Roman" w:hAnsi="Times New Roman" w:cs="Times New Roman"/>
          <w:bCs/>
          <w:sz w:val="24"/>
          <w:szCs w:val="24"/>
        </w:rPr>
        <w:t>Organem właściwym do monitorowania wykorzystania limitów wydatków oraz wdrożenia mechanizmu korygującego jest minister właściwy do spraw finansów publicznych.</w:t>
      </w:r>
    </w:p>
    <w:p w14:paraId="5B9584E2" w14:textId="71A069AF" w:rsidR="000D0377" w:rsidRPr="00633318" w:rsidRDefault="000D0377" w:rsidP="00AB6C7E">
      <w:pPr>
        <w:pStyle w:val="Nagwek5"/>
        <w:spacing w:before="120"/>
        <w:rPr>
          <w:rFonts w:ascii="Times New Roman" w:hAnsi="Times New Roman" w:cs="Times New Roman"/>
          <w:sz w:val="24"/>
          <w:szCs w:val="24"/>
        </w:rPr>
      </w:pPr>
      <w:r w:rsidRPr="00633318">
        <w:rPr>
          <w:rFonts w:ascii="Times New Roman" w:hAnsi="Times New Roman" w:cs="Times New Roman"/>
          <w:sz w:val="24"/>
          <w:szCs w:val="24"/>
        </w:rPr>
        <w:t xml:space="preserve">Art. </w:t>
      </w:r>
      <w:r w:rsidR="00C35D53" w:rsidRPr="00633318">
        <w:rPr>
          <w:rFonts w:ascii="Times New Roman" w:hAnsi="Times New Roman" w:cs="Times New Roman"/>
          <w:sz w:val="24"/>
          <w:szCs w:val="24"/>
        </w:rPr>
        <w:t>16</w:t>
      </w:r>
      <w:r w:rsidR="00161EAB" w:rsidRPr="00633318">
        <w:rPr>
          <w:rFonts w:ascii="Times New Roman" w:hAnsi="Times New Roman" w:cs="Times New Roman"/>
          <w:sz w:val="24"/>
          <w:szCs w:val="24"/>
        </w:rPr>
        <w:t>2</w:t>
      </w:r>
      <w:r w:rsidR="00C35D53" w:rsidRPr="00633318">
        <w:rPr>
          <w:rFonts w:ascii="Times New Roman" w:hAnsi="Times New Roman" w:cs="Times New Roman"/>
          <w:sz w:val="24"/>
          <w:szCs w:val="24"/>
        </w:rPr>
        <w:t xml:space="preserve"> </w:t>
      </w:r>
      <w:r w:rsidR="00033A34" w:rsidRPr="00633318">
        <w:rPr>
          <w:rFonts w:ascii="Times New Roman" w:hAnsi="Times New Roman" w:cs="Times New Roman"/>
          <w:sz w:val="24"/>
          <w:szCs w:val="24"/>
        </w:rPr>
        <w:t>[Wejście w życie]</w:t>
      </w:r>
    </w:p>
    <w:p w14:paraId="62FCE33E" w14:textId="77777777" w:rsidR="002423A2" w:rsidRPr="00633318" w:rsidRDefault="00830647" w:rsidP="00AB6C7E">
      <w:pPr>
        <w:pStyle w:val="ARTartustawynprozporzdzenia"/>
        <w:spacing w:line="259" w:lineRule="auto"/>
        <w:ind w:firstLine="0"/>
        <w:rPr>
          <w:rFonts w:ascii="Times New Roman" w:hAnsi="Times New Roman" w:cs="Times New Roman"/>
          <w:szCs w:val="24"/>
        </w:rPr>
      </w:pPr>
      <w:r w:rsidRPr="00633318">
        <w:rPr>
          <w:rFonts w:ascii="Times New Roman" w:hAnsi="Times New Roman" w:cs="Times New Roman"/>
          <w:szCs w:val="24"/>
        </w:rPr>
        <w:t xml:space="preserve">Przepis </w:t>
      </w:r>
      <w:r w:rsidR="000A4855" w:rsidRPr="00633318">
        <w:rPr>
          <w:rFonts w:ascii="Times New Roman" w:hAnsi="Times New Roman" w:cs="Times New Roman"/>
          <w:b/>
          <w:bCs/>
          <w:szCs w:val="24"/>
        </w:rPr>
        <w:t xml:space="preserve">art. </w:t>
      </w:r>
      <w:r w:rsidR="00C35D53" w:rsidRPr="00633318">
        <w:rPr>
          <w:rFonts w:ascii="Times New Roman" w:hAnsi="Times New Roman" w:cs="Times New Roman"/>
          <w:b/>
          <w:bCs/>
          <w:szCs w:val="24"/>
        </w:rPr>
        <w:t>16</w:t>
      </w:r>
      <w:r w:rsidR="003F58E8" w:rsidRPr="00633318">
        <w:rPr>
          <w:rFonts w:ascii="Times New Roman" w:hAnsi="Times New Roman" w:cs="Times New Roman"/>
          <w:b/>
          <w:bCs/>
          <w:szCs w:val="24"/>
        </w:rPr>
        <w:t>2</w:t>
      </w:r>
      <w:r w:rsidR="008F159C" w:rsidRPr="00633318">
        <w:rPr>
          <w:rFonts w:ascii="Times New Roman" w:hAnsi="Times New Roman" w:cs="Times New Roman"/>
          <w:szCs w:val="24"/>
        </w:rPr>
        <w:t xml:space="preserve"> </w:t>
      </w:r>
      <w:r w:rsidRPr="00633318">
        <w:rPr>
          <w:rFonts w:ascii="Times New Roman" w:hAnsi="Times New Roman" w:cs="Times New Roman"/>
          <w:szCs w:val="24"/>
        </w:rPr>
        <w:t>stanowi, że projektowana ustawa wejdzie</w:t>
      </w:r>
      <w:r w:rsidR="000A4855" w:rsidRPr="00633318">
        <w:rPr>
          <w:rFonts w:ascii="Times New Roman" w:hAnsi="Times New Roman" w:cs="Times New Roman"/>
          <w:szCs w:val="24"/>
        </w:rPr>
        <w:t xml:space="preserve"> w życie</w:t>
      </w:r>
      <w:r w:rsidR="00C32EBC" w:rsidRPr="00633318">
        <w:rPr>
          <w:rFonts w:ascii="Times New Roman" w:hAnsi="Times New Roman" w:cs="Times New Roman"/>
          <w:szCs w:val="24"/>
        </w:rPr>
        <w:t>, co do zasady,</w:t>
      </w:r>
      <w:r w:rsidR="000A4855" w:rsidRPr="00633318">
        <w:rPr>
          <w:rFonts w:ascii="Times New Roman" w:hAnsi="Times New Roman" w:cs="Times New Roman"/>
          <w:szCs w:val="24"/>
        </w:rPr>
        <w:t xml:space="preserve"> z dniem </w:t>
      </w:r>
      <w:r w:rsidR="000A4855" w:rsidRPr="00633318">
        <w:rPr>
          <w:rFonts w:ascii="Times New Roman" w:hAnsi="Times New Roman" w:cs="Times New Roman"/>
          <w:b/>
          <w:bCs/>
          <w:szCs w:val="24"/>
        </w:rPr>
        <w:t>1 stycznia 2025</w:t>
      </w:r>
      <w:r w:rsidR="003F58E8" w:rsidRPr="00633318">
        <w:rPr>
          <w:rFonts w:ascii="Times New Roman" w:hAnsi="Times New Roman" w:cs="Times New Roman"/>
          <w:b/>
          <w:bCs/>
          <w:szCs w:val="24"/>
        </w:rPr>
        <w:t> </w:t>
      </w:r>
      <w:r w:rsidR="000A4855" w:rsidRPr="00633318">
        <w:rPr>
          <w:rFonts w:ascii="Times New Roman" w:hAnsi="Times New Roman" w:cs="Times New Roman"/>
          <w:b/>
          <w:bCs/>
          <w:szCs w:val="24"/>
        </w:rPr>
        <w:t>r.</w:t>
      </w:r>
      <w:r w:rsidR="00C32EBC" w:rsidRPr="00633318">
        <w:rPr>
          <w:rFonts w:ascii="Times New Roman" w:hAnsi="Times New Roman" w:cs="Times New Roman"/>
          <w:szCs w:val="24"/>
        </w:rPr>
        <w:t xml:space="preserve"> Wyjątkiem jest</w:t>
      </w:r>
      <w:r w:rsidR="002423A2" w:rsidRPr="00633318">
        <w:rPr>
          <w:rFonts w:ascii="Times New Roman" w:hAnsi="Times New Roman" w:cs="Times New Roman"/>
          <w:szCs w:val="24"/>
        </w:rPr>
        <w:t>:</w:t>
      </w:r>
      <w:r w:rsidR="00C32EBC" w:rsidRPr="00633318">
        <w:rPr>
          <w:rFonts w:ascii="Times New Roman" w:hAnsi="Times New Roman" w:cs="Times New Roman"/>
          <w:szCs w:val="24"/>
        </w:rPr>
        <w:t xml:space="preserve"> </w:t>
      </w:r>
    </w:p>
    <w:p w14:paraId="06329E7C" w14:textId="2573CF09" w:rsidR="002423A2" w:rsidRPr="00633318" w:rsidRDefault="002423A2" w:rsidP="002423A2">
      <w:pPr>
        <w:pStyle w:val="ARTartustawynprozporzdzenia"/>
        <w:numPr>
          <w:ilvl w:val="0"/>
          <w:numId w:val="156"/>
        </w:numPr>
        <w:spacing w:line="259" w:lineRule="auto"/>
        <w:rPr>
          <w:rFonts w:ascii="Times New Roman" w:hAnsi="Times New Roman" w:cs="Times New Roman"/>
          <w:szCs w:val="24"/>
        </w:rPr>
      </w:pPr>
      <w:r w:rsidRPr="00633318">
        <w:rPr>
          <w:rFonts w:ascii="Times New Roman" w:hAnsi="Times New Roman" w:cs="Times New Roman"/>
          <w:szCs w:val="24"/>
        </w:rPr>
        <w:t>art. 1</w:t>
      </w:r>
      <w:r w:rsidR="008C192E" w:rsidRPr="00633318">
        <w:rPr>
          <w:rFonts w:ascii="Times New Roman" w:hAnsi="Times New Roman" w:cs="Times New Roman"/>
          <w:szCs w:val="24"/>
        </w:rPr>
        <w:t>4</w:t>
      </w:r>
      <w:r w:rsidR="0063594D" w:rsidRPr="00633318">
        <w:rPr>
          <w:rFonts w:ascii="Times New Roman" w:hAnsi="Times New Roman" w:cs="Times New Roman"/>
          <w:szCs w:val="24"/>
        </w:rPr>
        <w:t>4</w:t>
      </w:r>
      <w:r w:rsidRPr="00633318">
        <w:rPr>
          <w:rFonts w:ascii="Times New Roman" w:hAnsi="Times New Roman" w:cs="Times New Roman"/>
          <w:szCs w:val="24"/>
        </w:rPr>
        <w:t xml:space="preserve"> dotyczący zmian ustawy o wymianie informacji podatkowych z innymi państwami oraz niektórych innych ustaw, które wchodzą w życie z dniem </w:t>
      </w:r>
      <w:r w:rsidR="00563797" w:rsidRPr="00633318">
        <w:rPr>
          <w:rFonts w:ascii="Times New Roman" w:hAnsi="Times New Roman" w:cs="Times New Roman"/>
          <w:szCs w:val="24"/>
        </w:rPr>
        <w:t xml:space="preserve">następującym po dniu </w:t>
      </w:r>
      <w:r w:rsidR="00212D26" w:rsidRPr="00633318">
        <w:rPr>
          <w:rFonts w:ascii="Times New Roman" w:hAnsi="Times New Roman" w:cs="Times New Roman"/>
          <w:szCs w:val="24"/>
        </w:rPr>
        <w:t>ogłoszenia,</w:t>
      </w:r>
    </w:p>
    <w:p w14:paraId="5A5A3CB9" w14:textId="66DA4FA1" w:rsidR="00C32EBC" w:rsidRPr="00633318" w:rsidRDefault="00C32EBC" w:rsidP="002423A2">
      <w:pPr>
        <w:pStyle w:val="ARTartustawynprozporzdzenia"/>
        <w:numPr>
          <w:ilvl w:val="0"/>
          <w:numId w:val="156"/>
        </w:numPr>
        <w:spacing w:line="259" w:lineRule="auto"/>
        <w:rPr>
          <w:rFonts w:ascii="Times New Roman" w:hAnsi="Times New Roman" w:cs="Times New Roman"/>
          <w:szCs w:val="24"/>
        </w:rPr>
      </w:pPr>
      <w:r w:rsidRPr="00633318">
        <w:rPr>
          <w:rFonts w:ascii="Times New Roman" w:hAnsi="Times New Roman" w:cs="Times New Roman"/>
          <w:szCs w:val="24"/>
        </w:rPr>
        <w:t xml:space="preserve">art. 140 pkt 4 w zakresie art. </w:t>
      </w:r>
      <w:r w:rsidR="004B27A7" w:rsidRPr="00633318">
        <w:rPr>
          <w:rFonts w:ascii="Times New Roman" w:hAnsi="Times New Roman" w:cs="Times New Roman"/>
          <w:szCs w:val="24"/>
        </w:rPr>
        <w:t>14zq</w:t>
      </w:r>
      <w:r w:rsidRPr="00633318">
        <w:rPr>
          <w:rFonts w:ascii="Times New Roman" w:hAnsi="Times New Roman" w:cs="Times New Roman"/>
          <w:szCs w:val="24"/>
        </w:rPr>
        <w:t xml:space="preserve"> § 5 (dotyczącego ogłoszenia o przyjmowaniu zgłoszeń kandydatów na członków Rady do </w:t>
      </w:r>
      <w:r w:rsidR="00547776" w:rsidRPr="00633318">
        <w:rPr>
          <w:rFonts w:ascii="Times New Roman" w:hAnsi="Times New Roman" w:cs="Times New Roman"/>
          <w:szCs w:val="24"/>
        </w:rPr>
        <w:t>spraw</w:t>
      </w:r>
      <w:r w:rsidRPr="00633318">
        <w:rPr>
          <w:rFonts w:ascii="Times New Roman" w:hAnsi="Times New Roman" w:cs="Times New Roman"/>
          <w:szCs w:val="24"/>
        </w:rPr>
        <w:t xml:space="preserve"> Opodatkowania Wyrównawczego), który wchodzi w życie z dniem ogłoszenia.</w:t>
      </w:r>
    </w:p>
    <w:p w14:paraId="092D77C9" w14:textId="77777777" w:rsidR="00182537" w:rsidRPr="00633318" w:rsidRDefault="00182537" w:rsidP="00830647">
      <w:pPr>
        <w:shd w:val="clear" w:color="auto" w:fill="FFFFFF" w:themeFill="background1"/>
        <w:spacing w:after="120"/>
        <w:jc w:val="both"/>
        <w:rPr>
          <w:rFonts w:ascii="Times New Roman" w:eastAsia="Times New Roman" w:hAnsi="Times New Roman" w:cs="Times New Roman"/>
          <w:b/>
          <w:sz w:val="24"/>
          <w:szCs w:val="24"/>
          <w:lang w:eastAsia="pl-PL"/>
        </w:rPr>
      </w:pPr>
      <w:bookmarkStart w:id="134" w:name="_Hlk154675012"/>
    </w:p>
    <w:p w14:paraId="5D5C98F9" w14:textId="25E62530" w:rsidR="0048384B" w:rsidRPr="00633318" w:rsidRDefault="0048384B" w:rsidP="00830647">
      <w:pPr>
        <w:shd w:val="clear" w:color="auto" w:fill="FFFFFF" w:themeFill="background1"/>
        <w:spacing w:after="120"/>
        <w:jc w:val="both"/>
        <w:rPr>
          <w:rFonts w:ascii="Times New Roman" w:eastAsia="Times New Roman" w:hAnsi="Times New Roman" w:cs="Times New Roman"/>
          <w:b/>
          <w:sz w:val="24"/>
          <w:szCs w:val="24"/>
          <w:lang w:eastAsia="pl-PL"/>
        </w:rPr>
      </w:pPr>
      <w:r w:rsidRPr="00633318">
        <w:rPr>
          <w:rFonts w:ascii="Times New Roman" w:eastAsia="Times New Roman" w:hAnsi="Times New Roman" w:cs="Times New Roman"/>
          <w:b/>
          <w:sz w:val="24"/>
          <w:szCs w:val="24"/>
          <w:lang w:eastAsia="pl-PL"/>
        </w:rPr>
        <w:t>DODATKOWE INFORMACJE</w:t>
      </w:r>
    </w:p>
    <w:p w14:paraId="44657C12" w14:textId="4D929441" w:rsidR="0048384B" w:rsidRPr="00633318" w:rsidRDefault="0048384B" w:rsidP="00830647">
      <w:pPr>
        <w:spacing w:after="120"/>
        <w:jc w:val="both"/>
        <w:rPr>
          <w:rFonts w:ascii="Times New Roman" w:eastAsia="Calibri" w:hAnsi="Times New Roman" w:cs="Times New Roman"/>
          <w:sz w:val="24"/>
          <w:szCs w:val="24"/>
        </w:rPr>
      </w:pPr>
      <w:r w:rsidRPr="00633318">
        <w:rPr>
          <w:rFonts w:ascii="Times New Roman" w:eastAsia="Times New Roman" w:hAnsi="Times New Roman" w:cs="Times New Roman"/>
          <w:sz w:val="24"/>
          <w:szCs w:val="24"/>
          <w:lang w:eastAsia="pl-PL"/>
        </w:rPr>
        <w:t>Projektowana ustawa, z uwagi na jej zakres podmiotowy, pozostanie bez wpływu na warunki funkcjonowania i rozwoju mikroprzedsiębiorców, małych i średnich przedsiębiorców.</w:t>
      </w:r>
    </w:p>
    <w:p w14:paraId="19FE80AD" w14:textId="77777777" w:rsidR="0048384B" w:rsidRPr="00633318" w:rsidRDefault="0048384B" w:rsidP="00830647">
      <w:pPr>
        <w:shd w:val="clear" w:color="auto" w:fill="FFFFFF" w:themeFill="background1"/>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Projekt ustawy jest zgodny z prawem Unii Europejskiej.</w:t>
      </w:r>
    </w:p>
    <w:p w14:paraId="539B3767" w14:textId="0ADA349A" w:rsidR="0048384B" w:rsidRPr="00633318" w:rsidRDefault="0048384B" w:rsidP="00830647">
      <w:pPr>
        <w:shd w:val="clear" w:color="auto" w:fill="FFFFFF" w:themeFill="background1"/>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Zgodnie z art. 5 ustawy z dnia 7 lipca 2005 r. o działalności lobbingowej w procesie stanowienia prawa (Dz. U. z 2017 r. poz. 248) oraz § 52 ust. 1 uchwały nr 190 Rady Ministrów z dnia 29 października 2013</w:t>
      </w:r>
      <w:r w:rsidR="00AB6C7E" w:rsidRPr="00633318">
        <w:rPr>
          <w:rFonts w:ascii="Times New Roman" w:eastAsia="Times New Roman" w:hAnsi="Times New Roman" w:cs="Times New Roman"/>
          <w:sz w:val="24"/>
          <w:szCs w:val="24"/>
          <w:lang w:eastAsia="pl-PL"/>
        </w:rPr>
        <w:t> </w:t>
      </w:r>
      <w:r w:rsidRPr="00633318">
        <w:rPr>
          <w:rFonts w:ascii="Times New Roman" w:eastAsia="Times New Roman" w:hAnsi="Times New Roman" w:cs="Times New Roman"/>
          <w:sz w:val="24"/>
          <w:szCs w:val="24"/>
          <w:lang w:eastAsia="pl-PL"/>
        </w:rPr>
        <w:t>r. – Regulamin pracy Rady Ministrów (M.P. z 20</w:t>
      </w:r>
      <w:r w:rsidR="0062614E">
        <w:rPr>
          <w:rFonts w:ascii="Times New Roman" w:eastAsia="Times New Roman" w:hAnsi="Times New Roman" w:cs="Times New Roman"/>
          <w:sz w:val="24"/>
          <w:szCs w:val="24"/>
          <w:lang w:eastAsia="pl-PL"/>
        </w:rPr>
        <w:t>24</w:t>
      </w:r>
      <w:r w:rsidRPr="00633318">
        <w:rPr>
          <w:rFonts w:ascii="Times New Roman" w:eastAsia="Times New Roman" w:hAnsi="Times New Roman" w:cs="Times New Roman"/>
          <w:sz w:val="24"/>
          <w:szCs w:val="24"/>
          <w:lang w:eastAsia="pl-PL"/>
        </w:rPr>
        <w:t xml:space="preserve"> r. poz. </w:t>
      </w:r>
      <w:r w:rsidR="0062614E">
        <w:rPr>
          <w:rFonts w:ascii="Times New Roman" w:eastAsia="Times New Roman" w:hAnsi="Times New Roman" w:cs="Times New Roman"/>
          <w:sz w:val="24"/>
          <w:szCs w:val="24"/>
          <w:lang w:eastAsia="pl-PL"/>
        </w:rPr>
        <w:t>806</w:t>
      </w:r>
      <w:r w:rsidRPr="00633318">
        <w:rPr>
          <w:rFonts w:ascii="Times New Roman" w:eastAsia="Times New Roman" w:hAnsi="Times New Roman" w:cs="Times New Roman"/>
          <w:sz w:val="24"/>
          <w:szCs w:val="24"/>
          <w:lang w:eastAsia="pl-PL"/>
        </w:rPr>
        <w:t>) projekt został udostępniony w Biuletynie Informacji Publicznej na stronach internetowych Rządowego Centrum Legislacji.</w:t>
      </w:r>
    </w:p>
    <w:p w14:paraId="04A939FF" w14:textId="77777777" w:rsidR="0048384B" w:rsidRPr="00633318" w:rsidRDefault="0048384B" w:rsidP="00830647">
      <w:pPr>
        <w:shd w:val="clear" w:color="auto" w:fill="FFFFFF" w:themeFill="background1"/>
        <w:spacing w:after="120"/>
        <w:jc w:val="both"/>
        <w:rPr>
          <w:rFonts w:ascii="Times New Roman" w:eastAsia="Times New Roman" w:hAnsi="Times New Roman" w:cs="Times New Roman"/>
          <w:sz w:val="24"/>
          <w:szCs w:val="24"/>
          <w:lang w:eastAsia="pl-PL"/>
        </w:rPr>
      </w:pPr>
      <w:r w:rsidRPr="00633318">
        <w:rPr>
          <w:rFonts w:ascii="Times New Roman" w:eastAsia="Times New Roman" w:hAnsi="Times New Roman" w:cs="Times New Roman"/>
          <w:sz w:val="24"/>
          <w:szCs w:val="24"/>
          <w:lang w:eastAsia="pl-PL"/>
        </w:rPr>
        <w:t xml:space="preserve">Projekt nie podlega notyfikacji zgodnie z procedurą określoną w rozporządzeniu Rady Ministrów z dnia 23 grudnia 2002 r. w sprawie sposobu funkcjonowania krajowego sytemu notyfikacji norm i aktów prawnych (Dz. U. poz. 2039 oraz z 2004 r. poz. 597). </w:t>
      </w:r>
    </w:p>
    <w:p w14:paraId="6B229B5D" w14:textId="77777777" w:rsidR="0048384B" w:rsidRPr="00633318" w:rsidRDefault="0048384B" w:rsidP="00830647">
      <w:pPr>
        <w:shd w:val="clear" w:color="auto" w:fill="FFFFFF" w:themeFill="background1"/>
        <w:spacing w:after="120"/>
        <w:jc w:val="both"/>
        <w:rPr>
          <w:rFonts w:ascii="Times New Roman" w:hAnsi="Times New Roman" w:cs="Times New Roman"/>
          <w:sz w:val="24"/>
          <w:szCs w:val="24"/>
        </w:rPr>
      </w:pPr>
      <w:r w:rsidRPr="00633318">
        <w:rPr>
          <w:rFonts w:ascii="Times New Roman" w:eastAsia="Times New Roman" w:hAnsi="Times New Roman" w:cs="Times New Roman"/>
          <w:sz w:val="24"/>
          <w:szCs w:val="24"/>
          <w:lang w:eastAsia="pl-PL"/>
        </w:rPr>
        <w:t>Projekt ustawy nie wymaga zaopiniowania, dokonania konsultacji albo uzgodnienia z właściwymi instytucjami organami Unii Europejskiej, w tym Europejskim Bankiem Centralnym.</w:t>
      </w:r>
    </w:p>
    <w:bookmarkEnd w:id="134"/>
    <w:p w14:paraId="70724DAE" w14:textId="77777777" w:rsidR="00633318" w:rsidRPr="00633318" w:rsidRDefault="00633318">
      <w:pPr>
        <w:spacing w:after="120"/>
        <w:jc w:val="both"/>
        <w:rPr>
          <w:rFonts w:ascii="Times New Roman" w:hAnsi="Times New Roman" w:cs="Times New Roman"/>
          <w:sz w:val="24"/>
          <w:szCs w:val="24"/>
        </w:rPr>
      </w:pPr>
    </w:p>
    <w:sectPr w:rsidR="00633318" w:rsidRPr="00633318">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05715" w14:textId="77777777" w:rsidR="00C418A6" w:rsidRDefault="00C418A6" w:rsidP="00A332EF">
      <w:pPr>
        <w:spacing w:after="0" w:line="240" w:lineRule="auto"/>
      </w:pPr>
      <w:r>
        <w:separator/>
      </w:r>
    </w:p>
  </w:endnote>
  <w:endnote w:type="continuationSeparator" w:id="0">
    <w:p w14:paraId="5A60E5A8" w14:textId="77777777" w:rsidR="00C418A6" w:rsidRDefault="00C418A6" w:rsidP="00A33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Calibri"/>
    <w:panose1 w:val="00000000000000000000"/>
    <w:charset w:val="EE"/>
    <w:family w:val="swiss"/>
    <w:notTrueType/>
    <w:pitch w:val="default"/>
    <w:sig w:usb0="00000007"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swiss"/>
    <w:notTrueType/>
    <w:pitch w:val="default"/>
    <w:sig w:usb0="00000003" w:usb1="08080000" w:usb2="00000010" w:usb3="00000000" w:csb0="001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708367"/>
      <w:docPartObj>
        <w:docPartGallery w:val="Page Numbers (Bottom of Page)"/>
        <w:docPartUnique/>
      </w:docPartObj>
    </w:sdtPr>
    <w:sdtEndPr>
      <w:rPr>
        <w:rFonts w:ascii="Times New Roman" w:hAnsi="Times New Roman" w:cs="Times New Roman"/>
        <w:sz w:val="24"/>
        <w:szCs w:val="24"/>
      </w:rPr>
    </w:sdtEndPr>
    <w:sdtContent>
      <w:p w14:paraId="7A1C847F" w14:textId="213A41FA" w:rsidR="008A2D79" w:rsidRPr="00E95678" w:rsidRDefault="008A2D79">
        <w:pPr>
          <w:pStyle w:val="Stopka"/>
          <w:jc w:val="center"/>
          <w:rPr>
            <w:rFonts w:ascii="Times New Roman" w:hAnsi="Times New Roman" w:cs="Times New Roman"/>
            <w:sz w:val="24"/>
            <w:szCs w:val="24"/>
          </w:rPr>
        </w:pPr>
        <w:r w:rsidRPr="00E95678">
          <w:rPr>
            <w:rFonts w:ascii="Times New Roman" w:hAnsi="Times New Roman" w:cs="Times New Roman"/>
            <w:sz w:val="24"/>
            <w:szCs w:val="24"/>
          </w:rPr>
          <w:fldChar w:fldCharType="begin"/>
        </w:r>
        <w:r w:rsidRPr="00E95678">
          <w:rPr>
            <w:rFonts w:ascii="Times New Roman" w:hAnsi="Times New Roman" w:cs="Times New Roman"/>
            <w:sz w:val="24"/>
            <w:szCs w:val="24"/>
          </w:rPr>
          <w:instrText>PAGE   \* MERGEFORMAT</w:instrText>
        </w:r>
        <w:r w:rsidRPr="00E95678">
          <w:rPr>
            <w:rFonts w:ascii="Times New Roman" w:hAnsi="Times New Roman" w:cs="Times New Roman"/>
            <w:sz w:val="24"/>
            <w:szCs w:val="24"/>
          </w:rPr>
          <w:fldChar w:fldCharType="separate"/>
        </w:r>
        <w:r w:rsidR="00D92C71" w:rsidRPr="00E95678">
          <w:rPr>
            <w:rFonts w:ascii="Times New Roman" w:hAnsi="Times New Roman" w:cs="Times New Roman"/>
            <w:noProof/>
            <w:sz w:val="24"/>
            <w:szCs w:val="24"/>
          </w:rPr>
          <w:t>286</w:t>
        </w:r>
        <w:r w:rsidRPr="00E95678">
          <w:rPr>
            <w:rFonts w:ascii="Times New Roman" w:hAnsi="Times New Roman" w:cs="Times New Roman"/>
            <w:sz w:val="24"/>
            <w:szCs w:val="24"/>
          </w:rPr>
          <w:fldChar w:fldCharType="end"/>
        </w:r>
      </w:p>
    </w:sdtContent>
  </w:sdt>
  <w:p w14:paraId="0F65E6F9" w14:textId="77777777" w:rsidR="008A2D79" w:rsidRDefault="008A2D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C1655" w14:textId="77777777" w:rsidR="00C418A6" w:rsidRDefault="00C418A6" w:rsidP="00A332EF">
      <w:pPr>
        <w:spacing w:after="0" w:line="240" w:lineRule="auto"/>
      </w:pPr>
      <w:r>
        <w:separator/>
      </w:r>
    </w:p>
  </w:footnote>
  <w:footnote w:type="continuationSeparator" w:id="0">
    <w:p w14:paraId="1B3FF1A1" w14:textId="77777777" w:rsidR="00C418A6" w:rsidRDefault="00C418A6" w:rsidP="00A332EF">
      <w:pPr>
        <w:spacing w:after="0" w:line="240" w:lineRule="auto"/>
      </w:pPr>
      <w:r>
        <w:continuationSeparator/>
      </w:r>
    </w:p>
  </w:footnote>
  <w:footnote w:id="1">
    <w:p w14:paraId="3AFBE11F" w14:textId="77777777" w:rsidR="002A4C92" w:rsidRPr="001857F7" w:rsidRDefault="002A4C92" w:rsidP="002A4C92">
      <w:pPr>
        <w:pStyle w:val="Tekstprzypisudolnego"/>
        <w:jc w:val="both"/>
        <w:rPr>
          <w:rFonts w:ascii="Times New Roman" w:hAnsi="Times New Roman" w:cs="Times New Roman"/>
        </w:rPr>
      </w:pPr>
      <w:r w:rsidRPr="001857F7">
        <w:rPr>
          <w:rStyle w:val="Odwoanieprzypisudolnego"/>
          <w:rFonts w:ascii="Times New Roman" w:hAnsi="Times New Roman" w:cs="Times New Roman"/>
        </w:rPr>
        <w:footnoteRef/>
      </w:r>
      <w:r w:rsidRPr="001857F7">
        <w:rPr>
          <w:rFonts w:ascii="Times New Roman" w:hAnsi="Times New Roman" w:cs="Times New Roman"/>
        </w:rPr>
        <w:t xml:space="preserve"> Dz. Urz. UE L 328 z 22.12.2022 r., str. 1</w:t>
      </w:r>
    </w:p>
  </w:footnote>
  <w:footnote w:id="2">
    <w:p w14:paraId="6BF8283E" w14:textId="77777777" w:rsidR="002A4C92" w:rsidRPr="001857F7" w:rsidRDefault="002A4C92" w:rsidP="002A4C92">
      <w:pPr>
        <w:pStyle w:val="Tekstprzypisudolnego"/>
        <w:jc w:val="both"/>
        <w:rPr>
          <w:rFonts w:ascii="Times New Roman" w:hAnsi="Times New Roman" w:cs="Times New Roman"/>
        </w:rPr>
      </w:pPr>
      <w:r w:rsidRPr="001857F7">
        <w:rPr>
          <w:rStyle w:val="Odwoanieprzypisudolnego"/>
          <w:rFonts w:ascii="Times New Roman" w:hAnsi="Times New Roman" w:cs="Times New Roman"/>
        </w:rPr>
        <w:footnoteRef/>
      </w:r>
      <w:r w:rsidRPr="001857F7">
        <w:rPr>
          <w:rFonts w:ascii="Times New Roman" w:hAnsi="Times New Roman" w:cs="Times New Roman"/>
        </w:rPr>
        <w:t xml:space="preserve"> Organizacja Współpracy Gospodarczej i Rozwoju</w:t>
      </w:r>
    </w:p>
  </w:footnote>
  <w:footnote w:id="3">
    <w:p w14:paraId="2A2CC564" w14:textId="48C05D4A" w:rsidR="002A4C92" w:rsidRPr="001857F7" w:rsidRDefault="002A4C92" w:rsidP="002A4C92">
      <w:pPr>
        <w:pStyle w:val="Tekstprzypisudolnego"/>
        <w:jc w:val="both"/>
        <w:rPr>
          <w:rFonts w:ascii="Times New Roman" w:hAnsi="Times New Roman" w:cs="Times New Roman"/>
        </w:rPr>
      </w:pPr>
      <w:r w:rsidRPr="001857F7">
        <w:rPr>
          <w:rStyle w:val="Odwoanieprzypisudolnego"/>
          <w:rFonts w:ascii="Times New Roman" w:hAnsi="Times New Roman" w:cs="Times New Roman"/>
        </w:rPr>
        <w:footnoteRef/>
      </w:r>
      <w:r w:rsidRPr="001857F7">
        <w:rPr>
          <w:rFonts w:ascii="Times New Roman" w:hAnsi="Times New Roman" w:cs="Times New Roman"/>
        </w:rPr>
        <w:t xml:space="preserve"> Inclusive Framework (</w:t>
      </w:r>
      <w:r w:rsidRPr="001857F7">
        <w:rPr>
          <w:rFonts w:ascii="Times New Roman" w:eastAsia="Times New Roman" w:hAnsi="Times New Roman" w:cs="Times New Roman"/>
          <w:lang w:eastAsia="pl-PL"/>
        </w:rPr>
        <w:t xml:space="preserve">Otwarte ramy OECD/G20 dotyczące BEPS) są platformą współpracy w OECD ponad 140 zainteresowanych państw </w:t>
      </w:r>
      <w:r w:rsidR="00FF4074" w:rsidRPr="001857F7">
        <w:rPr>
          <w:rFonts w:ascii="Times New Roman" w:eastAsia="Times New Roman" w:hAnsi="Times New Roman" w:cs="Times New Roman"/>
          <w:lang w:eastAsia="pl-PL"/>
        </w:rPr>
        <w:t>/</w:t>
      </w:r>
      <w:r w:rsidRPr="001857F7">
        <w:rPr>
          <w:rFonts w:ascii="Times New Roman" w:eastAsia="Times New Roman" w:hAnsi="Times New Roman" w:cs="Times New Roman"/>
          <w:lang w:eastAsia="pl-PL"/>
        </w:rPr>
        <w:t xml:space="preserve"> jurysdykcji. Ponadto, w pracach Otwartych Ram uczestniczyły organizacje międzynarodowe i regionalne organy podatkowe. Obecnie Otwarte Ramy koncentrują się na wypracowaniu </w:t>
      </w:r>
      <w:r w:rsidRPr="001857F7">
        <w:rPr>
          <w:rFonts w:ascii="Times New Roman" w:eastAsia="Times New Roman" w:hAnsi="Times New Roman" w:cs="Times New Roman"/>
          <w:lang w:eastAsia="pl-PL"/>
        </w:rPr>
        <w:br/>
        <w:t xml:space="preserve">i przyjęciu wytycznych administracyjnych służących wyjaśnieniu szczegółowych zagadnień związanych z wdrożeniem </w:t>
      </w:r>
      <w:r w:rsidR="00595132" w:rsidRPr="001857F7">
        <w:rPr>
          <w:rFonts w:ascii="Times New Roman" w:eastAsia="Times New Roman" w:hAnsi="Times New Roman" w:cs="Times New Roman"/>
          <w:lang w:eastAsia="pl-PL"/>
        </w:rPr>
        <w:t>Modelowych zasad</w:t>
      </w:r>
      <w:r w:rsidRPr="001857F7">
        <w:rPr>
          <w:rFonts w:ascii="Times New Roman" w:eastAsia="Times New Roman" w:hAnsi="Times New Roman" w:cs="Times New Roman"/>
          <w:lang w:eastAsia="pl-PL"/>
        </w:rPr>
        <w:t xml:space="preserve"> OECD, a w przyszłości będą służyły monitorowaniu poprawności ich wdrożenia.</w:t>
      </w:r>
    </w:p>
  </w:footnote>
  <w:footnote w:id="4">
    <w:p w14:paraId="129D5257" w14:textId="77777777" w:rsidR="002A4C92" w:rsidRPr="001857F7" w:rsidRDefault="002A4C92" w:rsidP="002A4C92">
      <w:pPr>
        <w:pStyle w:val="Tekstprzypisudolnego"/>
        <w:jc w:val="both"/>
        <w:rPr>
          <w:rFonts w:ascii="Times New Roman" w:hAnsi="Times New Roman" w:cs="Times New Roman"/>
          <w:lang w:val="en-GB"/>
        </w:rPr>
      </w:pPr>
      <w:r w:rsidRPr="001857F7">
        <w:rPr>
          <w:rStyle w:val="Odwoanieprzypisudolnego"/>
          <w:rFonts w:ascii="Times New Roman" w:hAnsi="Times New Roman" w:cs="Times New Roman"/>
        </w:rPr>
        <w:footnoteRef/>
      </w:r>
      <w:r w:rsidRPr="001857F7">
        <w:rPr>
          <w:rFonts w:ascii="Times New Roman" w:hAnsi="Times New Roman" w:cs="Times New Roman"/>
          <w:lang w:val="en-GB"/>
        </w:rPr>
        <w:t xml:space="preserve"> „Statement on a Two-Pillar Solution to Address the Tax Challenges Arising from the Digitalisation of the Economy – 8 October 2021”, https://www.oecd.org/tax/beps/statement-on-a-two-pillar-solution-to-address-the-tax-challenges-arising-from-the-digitalisation-of-the-economy-october-2021.htm</w:t>
      </w:r>
    </w:p>
  </w:footnote>
  <w:footnote w:id="5">
    <w:p w14:paraId="386C923F" w14:textId="77777777" w:rsidR="002A4C92" w:rsidRPr="001857F7" w:rsidRDefault="002A4C92" w:rsidP="002A4C92">
      <w:pPr>
        <w:autoSpaceDE w:val="0"/>
        <w:autoSpaceDN w:val="0"/>
        <w:adjustRightInd w:val="0"/>
        <w:spacing w:after="0" w:line="240" w:lineRule="auto"/>
        <w:jc w:val="both"/>
        <w:rPr>
          <w:rFonts w:ascii="Times New Roman" w:eastAsia="ArialMT" w:hAnsi="Times New Roman" w:cs="Times New Roman"/>
          <w:i/>
          <w:iCs/>
          <w:color w:val="000000"/>
          <w:sz w:val="20"/>
          <w:szCs w:val="20"/>
          <w:lang w:val="en-US"/>
        </w:rPr>
      </w:pPr>
      <w:r w:rsidRPr="001857F7">
        <w:rPr>
          <w:rStyle w:val="Odwoanieprzypisudolnego"/>
          <w:rFonts w:ascii="Times New Roman" w:hAnsi="Times New Roman" w:cs="Times New Roman"/>
          <w:sz w:val="20"/>
          <w:szCs w:val="20"/>
        </w:rPr>
        <w:footnoteRef/>
      </w:r>
      <w:r w:rsidRPr="001857F7">
        <w:rPr>
          <w:rFonts w:ascii="Times New Roman" w:hAnsi="Times New Roman" w:cs="Times New Roman"/>
          <w:sz w:val="20"/>
          <w:szCs w:val="20"/>
          <w:lang w:val="en-US"/>
        </w:rPr>
        <w:t xml:space="preserve"> OECD (2021), </w:t>
      </w:r>
      <w:r w:rsidRPr="001857F7">
        <w:rPr>
          <w:rFonts w:ascii="Times New Roman" w:hAnsi="Times New Roman" w:cs="Times New Roman"/>
          <w:i/>
          <w:iCs/>
          <w:sz w:val="20"/>
          <w:szCs w:val="20"/>
          <w:lang w:val="en-US"/>
        </w:rPr>
        <w:t>Tax Challenges Arising from the Digitalisation of the Economy – Global Anti-Base Erosion Model Rules (Pillar Two): Inclusive Framework on BEPS</w:t>
      </w:r>
      <w:r w:rsidRPr="001857F7">
        <w:rPr>
          <w:rFonts w:ascii="Times New Roman" w:hAnsi="Times New Roman" w:cs="Times New Roman"/>
          <w:sz w:val="20"/>
          <w:szCs w:val="20"/>
          <w:lang w:val="en-US"/>
        </w:rPr>
        <w:t>, OECD, Paris,</w:t>
      </w:r>
      <w:r w:rsidRPr="001857F7">
        <w:rPr>
          <w:rFonts w:ascii="Times New Roman" w:eastAsia="ArialMT" w:hAnsi="Times New Roman" w:cs="Times New Roman"/>
          <w:sz w:val="20"/>
          <w:szCs w:val="20"/>
          <w:lang w:val="en-US"/>
        </w:rPr>
        <w:t xml:space="preserve"> https://www.oecd.org/tax/beps/tax-challenges-arising-from-the-digitalisation-of-theeconomy-global-anti-base-erosion-model-rules-pillar-two.htm</w:t>
      </w:r>
    </w:p>
  </w:footnote>
  <w:footnote w:id="6">
    <w:p w14:paraId="38334F08" w14:textId="77777777" w:rsidR="002A4C92" w:rsidRPr="001857F7" w:rsidRDefault="002A4C92" w:rsidP="002A4C92">
      <w:pPr>
        <w:pStyle w:val="Tekstprzypisudolnego"/>
        <w:rPr>
          <w:rFonts w:ascii="Times New Roman" w:hAnsi="Times New Roman" w:cs="Times New Roman"/>
          <w:lang w:val="en-US"/>
        </w:rPr>
      </w:pPr>
      <w:r w:rsidRPr="001857F7">
        <w:rPr>
          <w:rStyle w:val="Odwoanieprzypisudolnego"/>
          <w:rFonts w:ascii="Times New Roman" w:hAnsi="Times New Roman" w:cs="Times New Roman"/>
        </w:rPr>
        <w:footnoteRef/>
      </w:r>
      <w:r w:rsidRPr="001857F7">
        <w:rPr>
          <w:rFonts w:ascii="Times New Roman" w:hAnsi="Times New Roman" w:cs="Times New Roman"/>
          <w:lang w:val="en-US"/>
        </w:rPr>
        <w:t xml:space="preserve"> „Multilateral Convention to Implement Amount A of Pillar One”, https://www.oecd.org/tax/beps/multilateral-convention-to-implement-amount-a-of-pillar-one.htm</w:t>
      </w:r>
    </w:p>
  </w:footnote>
  <w:footnote w:id="7">
    <w:p w14:paraId="236BBF13" w14:textId="77777777" w:rsidR="002A4C92" w:rsidRPr="000824FD" w:rsidRDefault="002A4C92" w:rsidP="002A4C92">
      <w:pPr>
        <w:pStyle w:val="Tekstprzypisudolnego"/>
        <w:jc w:val="both"/>
        <w:rPr>
          <w:rFonts w:ascii="Times New Roman" w:hAnsi="Times New Roman" w:cs="Times New Roman"/>
          <w:lang w:val="en-US"/>
        </w:rPr>
      </w:pPr>
      <w:r w:rsidRPr="000824FD">
        <w:rPr>
          <w:rStyle w:val="Odwoanieprzypisudolnego"/>
          <w:rFonts w:ascii="Times New Roman" w:hAnsi="Times New Roman" w:cs="Times New Roman"/>
        </w:rPr>
        <w:footnoteRef/>
      </w:r>
      <w:r w:rsidRPr="000824FD">
        <w:rPr>
          <w:rFonts w:ascii="Times New Roman" w:hAnsi="Times New Roman" w:cs="Times New Roman"/>
          <w:lang w:val="en-US"/>
        </w:rPr>
        <w:t xml:space="preserve"> „Tax Challenges Arising from the Digitalisation of the Economy – Subject to Tax Rule (Pillar Two)”, https://www.oecd.org/tax/tax-challenges-arising-from-the-digitalisation-of-the-economy-subject-to-tax-rule-pillar-two-9afd6856-en.htm</w:t>
      </w:r>
    </w:p>
  </w:footnote>
  <w:footnote w:id="8">
    <w:p w14:paraId="778DF538" w14:textId="77777777" w:rsidR="002A4C92" w:rsidRPr="003174C2" w:rsidRDefault="002A4C92" w:rsidP="002A4C92">
      <w:pPr>
        <w:pStyle w:val="Tekstprzypisudolnego"/>
        <w:jc w:val="both"/>
        <w:rPr>
          <w:rFonts w:ascii="Times New Roman" w:hAnsi="Times New Roman" w:cs="Times New Roman"/>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Zob. motyw 6 i 24 preambuły. </w:t>
      </w:r>
    </w:p>
  </w:footnote>
  <w:footnote w:id="9">
    <w:p w14:paraId="1C0563D3" w14:textId="5CFBF6F9" w:rsidR="002A4C92" w:rsidRPr="003174C2" w:rsidRDefault="002A4C92" w:rsidP="002A4C92">
      <w:pPr>
        <w:autoSpaceDE w:val="0"/>
        <w:autoSpaceDN w:val="0"/>
        <w:adjustRightInd w:val="0"/>
        <w:spacing w:after="0" w:line="240" w:lineRule="auto"/>
        <w:rPr>
          <w:rFonts w:ascii="Times New Roman" w:eastAsia="ArialMT" w:hAnsi="Times New Roman" w:cs="Times New Roman"/>
          <w:color w:val="000000"/>
          <w:sz w:val="20"/>
          <w:szCs w:val="20"/>
          <w:lang w:val="en-US"/>
        </w:rPr>
      </w:pPr>
      <w:r w:rsidRPr="003174C2">
        <w:rPr>
          <w:rStyle w:val="Odwoanieprzypisudolnego"/>
          <w:rFonts w:ascii="Times New Roman" w:hAnsi="Times New Roman" w:cs="Times New Roman"/>
          <w:sz w:val="20"/>
          <w:szCs w:val="20"/>
        </w:rPr>
        <w:footnoteRef/>
      </w:r>
      <w:r w:rsidRPr="003174C2">
        <w:rPr>
          <w:rFonts w:ascii="Times New Roman" w:hAnsi="Times New Roman" w:cs="Times New Roman"/>
          <w:sz w:val="20"/>
          <w:szCs w:val="20"/>
          <w:lang w:val="en-US"/>
        </w:rPr>
        <w:t xml:space="preserve"> </w:t>
      </w:r>
      <w:r w:rsidRPr="003174C2">
        <w:rPr>
          <w:rFonts w:ascii="Times New Roman" w:eastAsia="ArialMT" w:hAnsi="Times New Roman" w:cs="Times New Roman"/>
          <w:color w:val="000000"/>
          <w:sz w:val="20"/>
          <w:szCs w:val="20"/>
          <w:lang w:val="en-US"/>
        </w:rPr>
        <w:t xml:space="preserve">OECD (2022), </w:t>
      </w:r>
      <w:r w:rsidRPr="003174C2">
        <w:rPr>
          <w:rFonts w:ascii="Times New Roman" w:eastAsia="ArialMT" w:hAnsi="Times New Roman" w:cs="Times New Roman"/>
          <w:i/>
          <w:iCs/>
          <w:color w:val="000000"/>
          <w:sz w:val="20"/>
          <w:szCs w:val="20"/>
          <w:lang w:val="en-US"/>
        </w:rPr>
        <w:t>Commentary to the Global Anti-Base Erosion Model Rules (Pillar Two)</w:t>
      </w:r>
      <w:r w:rsidRPr="003174C2">
        <w:rPr>
          <w:rFonts w:ascii="Times New Roman" w:eastAsia="ArialMT" w:hAnsi="Times New Roman" w:cs="Times New Roman"/>
          <w:color w:val="000000"/>
          <w:sz w:val="20"/>
          <w:szCs w:val="20"/>
          <w:lang w:val="en-US"/>
        </w:rPr>
        <w:t xml:space="preserve">, OECD, Paris, </w:t>
      </w:r>
      <w:r w:rsidRPr="003174C2">
        <w:rPr>
          <w:rFonts w:ascii="Times New Roman" w:eastAsia="ArialMT" w:hAnsi="Times New Roman" w:cs="Times New Roman"/>
          <w:sz w:val="20"/>
          <w:szCs w:val="20"/>
          <w:lang w:val="en-US"/>
        </w:rPr>
        <w:t>https://www.oecd.org/tax/beps/tax-challenges-arising-from-thedigitalisation-of-the-economy-global-anti-base-erosion-model-rules-pillar-two-commentary.pdf</w:t>
      </w:r>
    </w:p>
  </w:footnote>
  <w:footnote w:id="10">
    <w:p w14:paraId="15D36082" w14:textId="757CB350" w:rsidR="002A4C92" w:rsidRPr="003174C2" w:rsidRDefault="002A4C92" w:rsidP="002A4C92">
      <w:pPr>
        <w:autoSpaceDE w:val="0"/>
        <w:autoSpaceDN w:val="0"/>
        <w:adjustRightInd w:val="0"/>
        <w:spacing w:after="0" w:line="240" w:lineRule="auto"/>
        <w:rPr>
          <w:rFonts w:ascii="Times New Roman" w:eastAsia="ArialMT" w:hAnsi="Times New Roman" w:cs="Times New Roman"/>
          <w:color w:val="000000"/>
          <w:sz w:val="20"/>
          <w:szCs w:val="20"/>
          <w:lang w:val="en-US"/>
        </w:rPr>
      </w:pPr>
      <w:r w:rsidRPr="003174C2">
        <w:rPr>
          <w:rStyle w:val="Odwoanieprzypisudolnego"/>
          <w:rFonts w:ascii="Times New Roman" w:hAnsi="Times New Roman" w:cs="Times New Roman"/>
          <w:sz w:val="20"/>
          <w:szCs w:val="20"/>
        </w:rPr>
        <w:footnoteRef/>
      </w:r>
      <w:r w:rsidRPr="003174C2">
        <w:rPr>
          <w:rFonts w:ascii="Times New Roman" w:hAnsi="Times New Roman" w:cs="Times New Roman"/>
          <w:sz w:val="20"/>
          <w:szCs w:val="20"/>
          <w:lang w:val="en-US"/>
        </w:rPr>
        <w:t xml:space="preserve"> </w:t>
      </w:r>
      <w:r w:rsidRPr="003174C2">
        <w:rPr>
          <w:rFonts w:ascii="Times New Roman" w:eastAsia="ArialMT" w:hAnsi="Times New Roman" w:cs="Times New Roman"/>
          <w:color w:val="000000"/>
          <w:sz w:val="20"/>
          <w:szCs w:val="20"/>
          <w:lang w:val="en-US"/>
        </w:rPr>
        <w:t xml:space="preserve">OECD (2022), </w:t>
      </w:r>
      <w:r w:rsidRPr="003174C2">
        <w:rPr>
          <w:rFonts w:ascii="Times New Roman" w:eastAsia="ArialMT" w:hAnsi="Times New Roman" w:cs="Times New Roman"/>
          <w:i/>
          <w:iCs/>
          <w:color w:val="000000"/>
          <w:sz w:val="20"/>
          <w:szCs w:val="20"/>
          <w:lang w:val="en-US"/>
        </w:rPr>
        <w:t>Global Anti-Base Erosion Model Rules (Pillar Two) Examples</w:t>
      </w:r>
      <w:r w:rsidRPr="003174C2">
        <w:rPr>
          <w:rFonts w:ascii="Times New Roman" w:eastAsia="ArialMT" w:hAnsi="Times New Roman" w:cs="Times New Roman"/>
          <w:color w:val="000000"/>
          <w:sz w:val="20"/>
          <w:szCs w:val="20"/>
          <w:lang w:val="en-US"/>
        </w:rPr>
        <w:t xml:space="preserve">, OECD, Paris, </w:t>
      </w:r>
      <w:r w:rsidRPr="003174C2">
        <w:rPr>
          <w:rFonts w:ascii="Times New Roman" w:eastAsia="ArialMT" w:hAnsi="Times New Roman" w:cs="Times New Roman"/>
          <w:sz w:val="20"/>
          <w:szCs w:val="20"/>
          <w:lang w:val="en-US"/>
        </w:rPr>
        <w:t>https://www.oecd.org/tax/beps/tax-challenges-arising-from-the-digitalisationof-the-economy-global-anti-base-erosion-model-rules-pillar-two-examples.pdf</w:t>
      </w:r>
    </w:p>
  </w:footnote>
  <w:footnote w:id="11">
    <w:p w14:paraId="692A204F" w14:textId="04CB5640" w:rsidR="002A4C92" w:rsidRPr="003174C2" w:rsidRDefault="002A4C92" w:rsidP="002A4C92">
      <w:pPr>
        <w:spacing w:after="0" w:line="240" w:lineRule="auto"/>
        <w:rPr>
          <w:rFonts w:ascii="Times New Roman" w:hAnsi="Times New Roman" w:cs="Times New Roman"/>
          <w:sz w:val="20"/>
          <w:szCs w:val="20"/>
          <w:lang w:val="en-US"/>
        </w:rPr>
      </w:pPr>
      <w:r w:rsidRPr="003174C2">
        <w:rPr>
          <w:rStyle w:val="Odwoanieprzypisudolnego"/>
          <w:rFonts w:ascii="Times New Roman" w:hAnsi="Times New Roman" w:cs="Times New Roman"/>
          <w:sz w:val="20"/>
          <w:szCs w:val="20"/>
        </w:rPr>
        <w:footnoteRef/>
      </w:r>
      <w:r w:rsidRPr="003174C2">
        <w:rPr>
          <w:rFonts w:ascii="Times New Roman" w:hAnsi="Times New Roman" w:cs="Times New Roman"/>
          <w:sz w:val="20"/>
          <w:szCs w:val="20"/>
          <w:lang w:val="en-US"/>
        </w:rPr>
        <w:t xml:space="preserve"> OECD (2020), </w:t>
      </w:r>
      <w:r w:rsidRPr="003174C2">
        <w:rPr>
          <w:rFonts w:ascii="Times New Roman" w:hAnsi="Times New Roman" w:cs="Times New Roman"/>
          <w:i/>
          <w:iCs/>
          <w:sz w:val="20"/>
          <w:szCs w:val="20"/>
          <w:lang w:val="en-US"/>
        </w:rPr>
        <w:t>Safe Harbours and Penalty Relief: Global Anti-Base Erosion Rules (Pillar Two)</w:t>
      </w:r>
      <w:r w:rsidRPr="003174C2">
        <w:rPr>
          <w:rFonts w:ascii="Times New Roman" w:hAnsi="Times New Roman" w:cs="Times New Roman"/>
          <w:sz w:val="20"/>
          <w:szCs w:val="20"/>
          <w:lang w:val="en-US"/>
        </w:rPr>
        <w:t>, OECD, Paris. www.oecd.org/tax/beps/safe-harbours-and-penalty-relief-global-anti-base-erosion-rules-pillar-two.pdf</w:t>
      </w:r>
    </w:p>
  </w:footnote>
  <w:footnote w:id="12">
    <w:p w14:paraId="102662AD" w14:textId="4CB2C121" w:rsidR="002A4C92" w:rsidRPr="003174C2" w:rsidRDefault="002A4C92" w:rsidP="002A4C92">
      <w:pPr>
        <w:pStyle w:val="Tekstprzypisudolnego"/>
        <w:rPr>
          <w:rFonts w:ascii="Times New Roman" w:hAnsi="Times New Roman" w:cs="Times New Roman"/>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OECD (2023), Administrative Guidance on the Global Anti-Base Erosion Model Rules (Pillar Two), February 2023, OECD, Paris, www.oecd.org/tax/beps/administrative-guidance-global-anti-base-erosion-rules-pillar-two.pdf</w:t>
      </w:r>
    </w:p>
  </w:footnote>
  <w:footnote w:id="13">
    <w:p w14:paraId="2BA43082" w14:textId="018EFFCD" w:rsidR="002A4C92" w:rsidRPr="003174C2" w:rsidRDefault="002A4C92" w:rsidP="002A4C92">
      <w:pPr>
        <w:pStyle w:val="Tekstprzypisudolnego"/>
        <w:rPr>
          <w:rFonts w:ascii="Times New Roman" w:hAnsi="Times New Roman" w:cs="Times New Roman"/>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OECD (2023), Administrative Guidance on the Global Anti-Base Erosion Model Rules (Pillar Two), July 2023, OECD, Paris, www.oecd.org/tax/beps/administrative-guidance-global-anti-base-erosion-rules-pillar-two-july-2023.pdf</w:t>
      </w:r>
    </w:p>
  </w:footnote>
  <w:footnote w:id="14">
    <w:p w14:paraId="54E5C4C4" w14:textId="47B81ADD" w:rsidR="002A4C92" w:rsidRPr="003174C2" w:rsidRDefault="002A4C92" w:rsidP="002A4C92">
      <w:pPr>
        <w:pStyle w:val="Tekstprzypisudolnego"/>
        <w:rPr>
          <w:rFonts w:ascii="Times New Roman" w:hAnsi="Times New Roman" w:cs="Times New Roman"/>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OECD (2023), Administrative Guidance on the Global Anti-Base Erosion Model Rules (Pillar Two), December 2023, OECD, Paris, www.oecd.org/tax/beps/administrative-guidance-global-anti-base-erosion-rules-pillar-two-december-2023.pdf</w:t>
      </w:r>
    </w:p>
  </w:footnote>
  <w:footnote w:id="15">
    <w:p w14:paraId="0DBA6F5E" w14:textId="6FA93B5E" w:rsidR="002A4C92" w:rsidRPr="003174C2" w:rsidRDefault="002A4C92" w:rsidP="002A4C92">
      <w:pPr>
        <w:pStyle w:val="Tekstprzypisudolnego"/>
        <w:rPr>
          <w:rFonts w:ascii="Times New Roman" w:hAnsi="Times New Roman" w:cs="Times New Roman"/>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https://www.consilium.europa.eu/pl/meetings/ecofin/2023/11/09/</w:t>
      </w:r>
    </w:p>
  </w:footnote>
  <w:footnote w:id="16">
    <w:p w14:paraId="444F2CA9" w14:textId="602DB8A4" w:rsidR="002A4C92" w:rsidRPr="00C91F6A" w:rsidRDefault="002A4C92" w:rsidP="002A4C92">
      <w:pPr>
        <w:pStyle w:val="Tekstprzypisudolnego"/>
        <w:jc w:val="both"/>
        <w:rPr>
          <w:bCs/>
        </w:rPr>
      </w:pPr>
      <w:r>
        <w:rPr>
          <w:rStyle w:val="Odwoanieprzypisudolnego"/>
        </w:rPr>
        <w:footnoteRef/>
      </w:r>
      <w:r>
        <w:t xml:space="preserve"> </w:t>
      </w:r>
      <w:r>
        <w:rPr>
          <w:rFonts w:cstheme="minorHAnsi"/>
        </w:rPr>
        <w:t xml:space="preserve">Dyrektywa i Modelowe </w:t>
      </w:r>
      <w:r w:rsidR="00595132">
        <w:rPr>
          <w:rFonts w:cstheme="minorHAnsi"/>
        </w:rPr>
        <w:t>z</w:t>
      </w:r>
      <w:r>
        <w:rPr>
          <w:rFonts w:cstheme="minorHAnsi"/>
        </w:rPr>
        <w:t>asady posługują się pojęciem „jurysdykcji”, które</w:t>
      </w:r>
      <w:r w:rsidRPr="0022766E">
        <w:rPr>
          <w:rFonts w:cstheme="minorHAnsi"/>
        </w:rPr>
        <w:t xml:space="preserve"> oznacza zarówno </w:t>
      </w:r>
      <w:r>
        <w:rPr>
          <w:rFonts w:cstheme="minorHAnsi"/>
        </w:rPr>
        <w:t xml:space="preserve">państwo, jak i posiadające autonomię podatkową terytoria niebędące formalnie państwami. </w:t>
      </w:r>
      <w:r w:rsidR="00305667">
        <w:rPr>
          <w:rFonts w:cstheme="minorHAnsi"/>
        </w:rPr>
        <w:t>W ślad za tym przyjęto pojęcie „jurysdykcji” w projektowanej ustawie.</w:t>
      </w:r>
    </w:p>
  </w:footnote>
  <w:footnote w:id="17">
    <w:p w14:paraId="2C711C1F" w14:textId="13DD1D52"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Zob. Komentarz [2.1.6;24-26]. Wskazane </w:t>
      </w:r>
      <w:r w:rsidRPr="003174C2">
        <w:rPr>
          <w:rFonts w:ascii="Times New Roman" w:eastAsia="ArialMT" w:hAnsi="Times New Roman" w:cs="Times New Roman"/>
        </w:rPr>
        <w:t xml:space="preserve">oznaczenie stanowi odwołanie do odpowiedniego artykułu Modelowych </w:t>
      </w:r>
      <w:r w:rsidR="00595132" w:rsidRPr="003174C2">
        <w:rPr>
          <w:rFonts w:ascii="Times New Roman" w:eastAsia="ArialMT" w:hAnsi="Times New Roman" w:cs="Times New Roman"/>
        </w:rPr>
        <w:t>z</w:t>
      </w:r>
      <w:r w:rsidRPr="003174C2">
        <w:rPr>
          <w:rFonts w:ascii="Times New Roman" w:eastAsia="ArialMT" w:hAnsi="Times New Roman" w:cs="Times New Roman"/>
        </w:rPr>
        <w:t xml:space="preserve">asad OECD [2.1.6] oraz paragrafu [24-26] Komentarza do Modelowych </w:t>
      </w:r>
      <w:r w:rsidR="00595132" w:rsidRPr="003174C2">
        <w:rPr>
          <w:rFonts w:ascii="Times New Roman" w:eastAsia="ArialMT" w:hAnsi="Times New Roman" w:cs="Times New Roman"/>
        </w:rPr>
        <w:t>z</w:t>
      </w:r>
      <w:r w:rsidRPr="003174C2">
        <w:rPr>
          <w:rFonts w:ascii="Times New Roman" w:eastAsia="ArialMT" w:hAnsi="Times New Roman" w:cs="Times New Roman"/>
        </w:rPr>
        <w:t>asad OECD do tego</w:t>
      </w:r>
      <w:r w:rsidRPr="000347E0">
        <w:rPr>
          <w:rFonts w:eastAsia="ArialMT" w:cstheme="minorHAnsi"/>
        </w:rPr>
        <w:t xml:space="preserve"> </w:t>
      </w:r>
      <w:r w:rsidRPr="003174C2">
        <w:rPr>
          <w:rFonts w:ascii="Times New Roman" w:eastAsia="ArialMT" w:hAnsi="Times New Roman" w:cs="Times New Roman"/>
        </w:rPr>
        <w:t>artykułu. Ze względów redakcyjnych oraz zważywszy na objętość niniejszego dokumentu zdecydowano się na wielokrotne zastosowanie takiej uproszczonej formy odnośnika.</w:t>
      </w:r>
    </w:p>
  </w:footnote>
  <w:footnote w:id="18">
    <w:p w14:paraId="0A50AB1B" w14:textId="448DCAC8"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Zob. pkt 16 Wstępu do Komentarza. Jak natomiast wskazano w jego pkt 15, przykładem działania sprzecznego z Zasadami GloBE byłoby przyjęcie przez dan</w:t>
      </w:r>
      <w:r w:rsidR="00305667" w:rsidRPr="003174C2">
        <w:rPr>
          <w:rFonts w:ascii="Times New Roman" w:hAnsi="Times New Roman" w:cs="Times New Roman"/>
        </w:rPr>
        <w:t>ą</w:t>
      </w:r>
      <w:r w:rsidRPr="003174C2">
        <w:rPr>
          <w:rFonts w:ascii="Times New Roman" w:hAnsi="Times New Roman" w:cs="Times New Roman"/>
        </w:rPr>
        <w:t xml:space="preserve"> </w:t>
      </w:r>
      <w:r w:rsidR="00305667" w:rsidRPr="003174C2">
        <w:rPr>
          <w:rFonts w:ascii="Times New Roman" w:hAnsi="Times New Roman" w:cs="Times New Roman"/>
        </w:rPr>
        <w:t>jurysdykcję</w:t>
      </w:r>
      <w:r w:rsidRPr="003174C2">
        <w:rPr>
          <w:rFonts w:ascii="Times New Roman" w:hAnsi="Times New Roman" w:cs="Times New Roman"/>
        </w:rPr>
        <w:t xml:space="preserve"> niższego progu przychodów dla potrzeb stosowania Zasady UTPR. Wówczas to Zasada UTPR </w:t>
      </w:r>
      <w:r w:rsidRPr="003174C2">
        <w:rPr>
          <w:rFonts w:ascii="Times New Roman" w:hAnsi="Times New Roman" w:cs="Times New Roman"/>
          <w:i/>
          <w:iCs/>
        </w:rPr>
        <w:t>de facto</w:t>
      </w:r>
      <w:r w:rsidRPr="003174C2">
        <w:rPr>
          <w:rFonts w:ascii="Times New Roman" w:hAnsi="Times New Roman" w:cs="Times New Roman"/>
        </w:rPr>
        <w:t xml:space="preserve"> stałaby się dla jednostek poniżej progu GloBE (ale w ramach limitu krajowego) zasadą podstawową zamiast zasady IIR.     </w:t>
      </w:r>
    </w:p>
  </w:footnote>
  <w:footnote w:id="19">
    <w:p w14:paraId="53C0D61E"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Zob. motyw 6 preambuły do Dyrektywy. </w:t>
      </w:r>
    </w:p>
  </w:footnote>
  <w:footnote w:id="20">
    <w:p w14:paraId="27E3164A"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Dyrektywa Rady 2011/16/UE z dnia 15 lutego 2011 r. w sprawie współpracy administracyjnej w dziedzinie opodatkowania i uchylająca dyrektywę 77/799/EWG (Dz.U. L 64 z 11.3.2011, s. 1)</w:t>
      </w:r>
    </w:p>
  </w:footnote>
  <w:footnote w:id="21">
    <w:p w14:paraId="4DDAE31C"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Dyrektywa Rady (UE) 2016/881 z dnia 25 maja 2016 r. zmieniająca dyrektywę 2011/16/UE w zakresie obowiązkowej automatycznej wymiany informacji w dziedzinie opodatkowania (Dz.U. L 146 z 3.6.2016, s. 8)</w:t>
      </w:r>
    </w:p>
  </w:footnote>
  <w:footnote w:id="22">
    <w:p w14:paraId="614774EC" w14:textId="77777777" w:rsidR="002A4C92" w:rsidRPr="00B25BC9" w:rsidRDefault="002A4C92" w:rsidP="002A4C92">
      <w:pPr>
        <w:pStyle w:val="Tekstprzypisudolnego"/>
        <w:rPr>
          <w:lang w:val="en-US"/>
        </w:rPr>
      </w:pPr>
      <w:r>
        <w:rPr>
          <w:rStyle w:val="Odwoanieprzypisudolnego"/>
        </w:rPr>
        <w:footnoteRef/>
      </w:r>
      <w:r w:rsidRPr="00B25BC9">
        <w:rPr>
          <w:lang w:val="en-US"/>
        </w:rPr>
        <w:t xml:space="preserve"> </w:t>
      </w:r>
      <w:r w:rsidRPr="00C95EAD">
        <w:rPr>
          <w:i/>
          <w:iCs/>
          <w:lang w:val="en-US"/>
        </w:rPr>
        <w:t>Real Estate Investment Trust</w:t>
      </w:r>
    </w:p>
  </w:footnote>
  <w:footnote w:id="23">
    <w:p w14:paraId="0D5D7414" w14:textId="77777777" w:rsidR="002A4C92" w:rsidRPr="003174C2" w:rsidRDefault="002A4C92" w:rsidP="002A4C92">
      <w:pPr>
        <w:pStyle w:val="Tekstprzypisudolnego"/>
        <w:rPr>
          <w:rFonts w:ascii="Times New Roman" w:hAnsi="Times New Roman" w:cs="Times New Roman"/>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w:t>
      </w:r>
      <w:r w:rsidRPr="003174C2">
        <w:rPr>
          <w:rFonts w:ascii="Times New Roman" w:eastAsia="Times New Roman" w:hAnsi="Times New Roman" w:cs="Times New Roman"/>
          <w:lang w:val="en-US" w:eastAsia="pl-PL"/>
        </w:rPr>
        <w:t>art. 11 Dyrektywy</w:t>
      </w:r>
    </w:p>
  </w:footnote>
  <w:footnote w:id="24">
    <w:p w14:paraId="553ADDC9"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Patrz </w:t>
      </w:r>
      <w:r w:rsidRPr="003174C2">
        <w:rPr>
          <w:rFonts w:ascii="Times New Roman" w:hAnsi="Times New Roman" w:cs="Times New Roman"/>
          <w:b/>
          <w:bCs/>
        </w:rPr>
        <w:t>dział X</w:t>
      </w:r>
      <w:r w:rsidRPr="003174C2">
        <w:rPr>
          <w:rFonts w:ascii="Times New Roman" w:hAnsi="Times New Roman" w:cs="Times New Roman"/>
        </w:rPr>
        <w:t xml:space="preserve"> – Bezpieczne przystanie i przepisy szczególne w okresie początkowym</w:t>
      </w:r>
    </w:p>
  </w:footnote>
  <w:footnote w:id="25">
    <w:p w14:paraId="4E5B3C8A" w14:textId="77777777" w:rsidR="002A4C92" w:rsidRPr="003174C2" w:rsidRDefault="002A4C92" w:rsidP="002A4C92">
      <w:pPr>
        <w:pStyle w:val="Tekstprzypisudolnego"/>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Zagadnienie to zostało omówione w części uzasadnienia dotyczącej przepisów administracyjnych.</w:t>
      </w:r>
    </w:p>
  </w:footnote>
  <w:footnote w:id="26">
    <w:p w14:paraId="1D2E4FC7" w14:textId="23BAA4FF"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t>
      </w:r>
      <w:r w:rsidRPr="003174C2">
        <w:rPr>
          <w:rFonts w:ascii="Times New Roman" w:eastAsia="ArialMT" w:hAnsi="Times New Roman" w:cs="Times New Roman"/>
        </w:rPr>
        <w:t xml:space="preserve">Na gruncie ustawy, zasada ta została odzwierciedlona w opisywanym dalej art. </w:t>
      </w:r>
      <w:r w:rsidR="001D1E1F" w:rsidRPr="003174C2">
        <w:rPr>
          <w:rFonts w:ascii="Times New Roman" w:eastAsia="ArialMT" w:hAnsi="Times New Roman" w:cs="Times New Roman"/>
        </w:rPr>
        <w:t xml:space="preserve">2 </w:t>
      </w:r>
      <w:r w:rsidRPr="003174C2">
        <w:rPr>
          <w:rFonts w:ascii="Times New Roman" w:eastAsia="ArialMT" w:hAnsi="Times New Roman" w:cs="Times New Roman"/>
        </w:rPr>
        <w:t xml:space="preserve">ust. </w:t>
      </w:r>
      <w:r w:rsidR="001D1E1F" w:rsidRPr="003174C2">
        <w:rPr>
          <w:rFonts w:ascii="Times New Roman" w:eastAsia="ArialMT" w:hAnsi="Times New Roman" w:cs="Times New Roman"/>
        </w:rPr>
        <w:t>5</w:t>
      </w:r>
      <w:r w:rsidRPr="003174C2">
        <w:rPr>
          <w:rFonts w:ascii="Times New Roman" w:eastAsia="ArialMT" w:hAnsi="Times New Roman" w:cs="Times New Roman"/>
        </w:rPr>
        <w:t>.</w:t>
      </w:r>
    </w:p>
  </w:footnote>
  <w:footnote w:id="27">
    <w:p w14:paraId="14B75060" w14:textId="42FE8CC6"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Jak zaznaczono w części ogólnej, wskazane </w:t>
      </w:r>
      <w:r w:rsidRPr="003174C2">
        <w:rPr>
          <w:rFonts w:ascii="Times New Roman" w:eastAsia="ArialMT" w:hAnsi="Times New Roman" w:cs="Times New Roman"/>
        </w:rPr>
        <w:t xml:space="preserve">oznaczenie stanowi odwołanie do odpowiedniego </w:t>
      </w:r>
      <w:r w:rsidRPr="003174C2">
        <w:rPr>
          <w:rFonts w:ascii="Times New Roman" w:eastAsia="ArialMT" w:hAnsi="Times New Roman" w:cs="Times New Roman"/>
          <w:b/>
          <w:bCs/>
        </w:rPr>
        <w:t xml:space="preserve">artykułu Modelowych </w:t>
      </w:r>
      <w:r w:rsidR="00ED3A9E" w:rsidRPr="003174C2">
        <w:rPr>
          <w:rFonts w:ascii="Times New Roman" w:eastAsia="ArialMT" w:hAnsi="Times New Roman" w:cs="Times New Roman"/>
          <w:b/>
          <w:bCs/>
        </w:rPr>
        <w:t>z</w:t>
      </w:r>
      <w:r w:rsidRPr="003174C2">
        <w:rPr>
          <w:rFonts w:ascii="Times New Roman" w:eastAsia="ArialMT" w:hAnsi="Times New Roman" w:cs="Times New Roman"/>
          <w:b/>
          <w:bCs/>
        </w:rPr>
        <w:t>asad OECD - [10.1]</w:t>
      </w:r>
      <w:r w:rsidRPr="003174C2">
        <w:rPr>
          <w:rFonts w:ascii="Times New Roman" w:eastAsia="ArialMT" w:hAnsi="Times New Roman" w:cs="Times New Roman"/>
        </w:rPr>
        <w:t xml:space="preserve"> oraz </w:t>
      </w:r>
      <w:r w:rsidRPr="003174C2">
        <w:rPr>
          <w:rFonts w:ascii="Times New Roman" w:eastAsia="ArialMT" w:hAnsi="Times New Roman" w:cs="Times New Roman"/>
          <w:b/>
          <w:bCs/>
        </w:rPr>
        <w:t>paragrafu - [2]</w:t>
      </w:r>
      <w:r w:rsidRPr="003174C2">
        <w:rPr>
          <w:rFonts w:ascii="Times New Roman" w:eastAsia="ArialMT" w:hAnsi="Times New Roman" w:cs="Times New Roman"/>
        </w:rPr>
        <w:t xml:space="preserve"> Komentarza do Modelowych </w:t>
      </w:r>
      <w:r w:rsidR="00595132" w:rsidRPr="003174C2">
        <w:rPr>
          <w:rFonts w:ascii="Times New Roman" w:eastAsia="ArialMT" w:hAnsi="Times New Roman" w:cs="Times New Roman"/>
        </w:rPr>
        <w:t>z</w:t>
      </w:r>
      <w:r w:rsidRPr="003174C2">
        <w:rPr>
          <w:rFonts w:ascii="Times New Roman" w:eastAsia="ArialMT" w:hAnsi="Times New Roman" w:cs="Times New Roman"/>
        </w:rPr>
        <w:t>asad OECD do danego artykułu.</w:t>
      </w:r>
    </w:p>
  </w:footnote>
  <w:footnote w:id="28">
    <w:p w14:paraId="57932680"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Uwaga ta ma, co do zasady, znaczenie głównie w przypadku posługiwania się – dla celów interpretacyjnych – oryginalną, angielskojęzyczną wersją dorobku OECD w tym zakresie. Przykładem takiego sformułowania jest pojęcie „rachunku zysków i strat”, które w wersji angielskiej używane jest w różnych standardach jako „</w:t>
      </w:r>
      <w:r w:rsidRPr="003174C2">
        <w:rPr>
          <w:rFonts w:ascii="Times New Roman" w:hAnsi="Times New Roman" w:cs="Times New Roman"/>
          <w:i/>
        </w:rPr>
        <w:t>profit and loss statement</w:t>
      </w:r>
      <w:r w:rsidRPr="003174C2">
        <w:rPr>
          <w:rFonts w:ascii="Times New Roman" w:hAnsi="Times New Roman" w:cs="Times New Roman"/>
        </w:rPr>
        <w:t>” albo “</w:t>
      </w:r>
      <w:r w:rsidRPr="003174C2">
        <w:rPr>
          <w:rFonts w:ascii="Times New Roman" w:hAnsi="Times New Roman" w:cs="Times New Roman"/>
          <w:i/>
        </w:rPr>
        <w:t xml:space="preserve">income statement”. </w:t>
      </w:r>
      <w:r w:rsidRPr="003174C2">
        <w:rPr>
          <w:rFonts w:ascii="Times New Roman" w:hAnsi="Times New Roman" w:cs="Times New Roman"/>
        </w:rPr>
        <w:t xml:space="preserve">  </w:t>
      </w:r>
    </w:p>
  </w:footnote>
  <w:footnote w:id="29">
    <w:p w14:paraId="4338DC1C" w14:textId="7020A4F9"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Ustawa z dnia 29 września 1994 r. o rachunkowości  (Dz.U. z 2023 r. poz. 120</w:t>
      </w:r>
      <w:r w:rsidR="0062614E">
        <w:rPr>
          <w:rFonts w:ascii="Times New Roman" w:hAnsi="Times New Roman" w:cs="Times New Roman"/>
        </w:rPr>
        <w:t>,</w:t>
      </w:r>
      <w:r w:rsidRPr="003174C2">
        <w:rPr>
          <w:rFonts w:ascii="Times New Roman" w:hAnsi="Times New Roman" w:cs="Times New Roman"/>
        </w:rPr>
        <w:t xml:space="preserve"> 295</w:t>
      </w:r>
      <w:r w:rsidR="0062614E">
        <w:rPr>
          <w:rFonts w:ascii="Times New Roman" w:hAnsi="Times New Roman" w:cs="Times New Roman"/>
        </w:rPr>
        <w:t xml:space="preserve"> i 1598 oraz z 2024 r. poz. 619</w:t>
      </w:r>
      <w:r w:rsidRPr="003174C2">
        <w:rPr>
          <w:rFonts w:ascii="Times New Roman" w:hAnsi="Times New Roman" w:cs="Times New Roman"/>
        </w:rPr>
        <w:t>), dalej jako: „</w:t>
      </w:r>
      <w:r w:rsidRPr="003174C2">
        <w:rPr>
          <w:rFonts w:ascii="Times New Roman" w:hAnsi="Times New Roman" w:cs="Times New Roman"/>
          <w:b/>
          <w:bCs/>
        </w:rPr>
        <w:t xml:space="preserve">ustawa </w:t>
      </w:r>
      <w:r w:rsidRPr="003174C2">
        <w:rPr>
          <w:rFonts w:ascii="Times New Roman" w:hAnsi="Times New Roman" w:cs="Times New Roman"/>
          <w:b/>
          <w:bCs/>
        </w:rPr>
        <w:br/>
        <w:t>o rachunkowości</w:t>
      </w:r>
      <w:r w:rsidRPr="003174C2">
        <w:rPr>
          <w:rFonts w:ascii="Times New Roman" w:hAnsi="Times New Roman" w:cs="Times New Roman"/>
        </w:rPr>
        <w:t>”.</w:t>
      </w:r>
    </w:p>
  </w:footnote>
  <w:footnote w:id="30">
    <w:p w14:paraId="7760EF51"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Rozporządzenie Parlamentu Europejskiego i Rady (WE) nr 1606/2002 z dnia 19 lipca 2002 r. w sprawie stosowania międzynarodowych standardów rachunkowości (Dz.U. L 243 z 11.9.2002, str. 1 z późn.zm.). </w:t>
      </w:r>
    </w:p>
  </w:footnote>
  <w:footnote w:id="31">
    <w:p w14:paraId="5CC9EBC3" w14:textId="77777777" w:rsidR="002A4C92" w:rsidRPr="003174C2" w:rsidRDefault="002A4C92" w:rsidP="002A4C92">
      <w:pPr>
        <w:pStyle w:val="Tekstprzypisudolnego"/>
        <w:rPr>
          <w:rFonts w:ascii="Times New Roman" w:hAnsi="Times New Roman" w:cs="Times New Roman"/>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IFRS Foundation (2022), </w:t>
      </w:r>
      <w:r w:rsidRPr="003174C2">
        <w:rPr>
          <w:rFonts w:ascii="Times New Roman" w:hAnsi="Times New Roman" w:cs="Times New Roman"/>
          <w:i/>
          <w:iCs/>
          <w:lang w:val="en-US"/>
        </w:rPr>
        <w:t>International Financial Reporting Standards</w:t>
      </w:r>
      <w:r w:rsidRPr="003174C2">
        <w:rPr>
          <w:rFonts w:ascii="Times New Roman" w:hAnsi="Times New Roman" w:cs="Times New Roman"/>
          <w:lang w:val="en-US"/>
        </w:rPr>
        <w:t>, https://www.ifrs.org/.</w:t>
      </w:r>
    </w:p>
  </w:footnote>
  <w:footnote w:id="32">
    <w:p w14:paraId="49668310" w14:textId="77777777" w:rsidR="002A4C92" w:rsidRPr="003174C2" w:rsidRDefault="002A4C92" w:rsidP="002A4C92">
      <w:pPr>
        <w:pStyle w:val="Tekstprzypisudolnego"/>
        <w:jc w:val="both"/>
        <w:rPr>
          <w:rFonts w:ascii="Times New Roman" w:hAnsi="Times New Roman" w:cs="Times New Roman"/>
          <w:i/>
          <w:iCs/>
          <w:lang w:val="en-US"/>
        </w:rPr>
      </w:pPr>
      <w:r w:rsidRPr="003174C2">
        <w:rPr>
          <w:rStyle w:val="Odwoanieprzypisudolnego"/>
          <w:rFonts w:ascii="Times New Roman" w:hAnsi="Times New Roman" w:cs="Times New Roman"/>
        </w:rPr>
        <w:footnoteRef/>
      </w:r>
      <w:r w:rsidRPr="003174C2">
        <w:rPr>
          <w:rFonts w:ascii="Times New Roman" w:hAnsi="Times New Roman" w:cs="Times New Roman"/>
          <w:lang w:val="en-US"/>
        </w:rPr>
        <w:t xml:space="preserve"> European Union (2011), </w:t>
      </w:r>
      <w:r w:rsidRPr="003174C2">
        <w:rPr>
          <w:rFonts w:ascii="Times New Roman" w:hAnsi="Times New Roman" w:cs="Times New Roman"/>
          <w:i/>
          <w:iCs/>
          <w:lang w:val="en-US"/>
        </w:rPr>
        <w:t>Directive 2011/61/EU of the European Parliament and of the Council of 8 June 2011 on Alternative Investment Fund Managers and amending Directives 2003/41/EC and 2009/65/EC and Regulations (EC) No 1060/2009 and (EU) No 1095/2010, http://data.europa.eu/eli/dir/2011/61/oj.</w:t>
      </w:r>
    </w:p>
  </w:footnote>
  <w:footnote w:id="33">
    <w:p w14:paraId="7CBED3E0"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t>
      </w:r>
      <w:r w:rsidRPr="003174C2">
        <w:rPr>
          <w:rFonts w:ascii="Times New Roman" w:hAnsi="Times New Roman" w:cs="Times New Roman"/>
          <w:bCs/>
        </w:rPr>
        <w:t>Jakkolwiek działający w ramach danej grupy podmiot centralizujący jej określone funkcje, np. centrum usług wspólnych świadczące na rzecz członków takiej grupy usługi księgowe lub usługi w zakresie zamówień może spełniać ten warunek, niemniej nie powinien on spełniać pozostałych warunków uznających go za fundusz inwestycyjny.</w:t>
      </w:r>
    </w:p>
  </w:footnote>
  <w:footnote w:id="34">
    <w:p w14:paraId="3FD33B20" w14:textId="77777777" w:rsidR="002A4C92" w:rsidRPr="004700E4" w:rsidRDefault="002A4C92" w:rsidP="002A4C92">
      <w:pPr>
        <w:spacing w:after="120" w:line="240" w:lineRule="auto"/>
        <w:jc w:val="both"/>
        <w:rPr>
          <w:rFonts w:cstheme="minorHAnsi"/>
          <w:sz w:val="20"/>
          <w:szCs w:val="20"/>
        </w:rPr>
      </w:pPr>
      <w:r w:rsidRPr="004700E4">
        <w:rPr>
          <w:rStyle w:val="Odwoanieprzypisudolnego"/>
          <w:sz w:val="20"/>
          <w:szCs w:val="20"/>
        </w:rPr>
        <w:footnoteRef/>
      </w:r>
      <w:r w:rsidRPr="004700E4">
        <w:rPr>
          <w:sz w:val="20"/>
          <w:szCs w:val="20"/>
        </w:rPr>
        <w:t xml:space="preserve"> </w:t>
      </w:r>
      <w:r w:rsidRPr="003A0AEC">
        <w:rPr>
          <w:rFonts w:cstheme="minorHAnsi"/>
          <w:b/>
          <w:bCs/>
          <w:sz w:val="20"/>
          <w:szCs w:val="20"/>
        </w:rPr>
        <w:t>Przepis lit. b</w:t>
      </w:r>
      <w:r w:rsidRPr="004700E4">
        <w:rPr>
          <w:rFonts w:cstheme="minorHAnsi"/>
          <w:sz w:val="20"/>
          <w:szCs w:val="20"/>
        </w:rPr>
        <w:t xml:space="preserve"> nie będzie miał jednak zastosowania w przypadku, gdy jednostka posiada jedynie jeden stały zakład, który na gruncie ustawy jest uznawany za bezpaństwowy, gdyż taki podmiot nie może zostać uznany za „zlokalizowany w innej jurysdykcji”. [</w:t>
      </w:r>
      <w:r>
        <w:rPr>
          <w:rFonts w:cstheme="minorHAnsi"/>
          <w:sz w:val="20"/>
          <w:szCs w:val="20"/>
        </w:rPr>
        <w:t xml:space="preserve">Komentarz, </w:t>
      </w:r>
      <w:r w:rsidRPr="004700E4">
        <w:rPr>
          <w:rFonts w:cstheme="minorHAnsi"/>
          <w:sz w:val="20"/>
          <w:szCs w:val="20"/>
        </w:rPr>
        <w:t>1</w:t>
      </w:r>
      <w:r>
        <w:rPr>
          <w:rFonts w:cstheme="minorHAnsi"/>
          <w:sz w:val="20"/>
          <w:szCs w:val="20"/>
        </w:rPr>
        <w:t>.2.3</w:t>
      </w:r>
      <w:r w:rsidRPr="004700E4">
        <w:rPr>
          <w:rFonts w:cstheme="minorHAnsi"/>
          <w:sz w:val="20"/>
          <w:szCs w:val="20"/>
        </w:rPr>
        <w:t xml:space="preserve">;26]  </w:t>
      </w:r>
    </w:p>
  </w:footnote>
  <w:footnote w:id="35">
    <w:p w14:paraId="2590131E" w14:textId="77777777" w:rsidR="002A4C92" w:rsidRPr="003174C2" w:rsidRDefault="002A4C92" w:rsidP="002A4C92">
      <w:pPr>
        <w:pStyle w:val="Tekstprzypisudolnego"/>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Wytyczne z lutego 2023 r., pkt 1.4, par. 7.</w:t>
      </w:r>
    </w:p>
  </w:footnote>
  <w:footnote w:id="36">
    <w:p w14:paraId="233A2D3B"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Należy zwrócić uwagę na błąd w polskim tłumaczeniu Dyrektywy (jednostka dominująca oznacza „</w:t>
      </w:r>
      <w:r w:rsidRPr="003174C2">
        <w:rPr>
          <w:rFonts w:ascii="Times New Roman" w:hAnsi="Times New Roman" w:cs="Times New Roman"/>
          <w:i/>
        </w:rPr>
        <w:t xml:space="preserve">jednostkę dominującą najwyższego szczebla, która nie jest jednostką wyłączoną, </w:t>
      </w:r>
      <w:r w:rsidRPr="003174C2">
        <w:rPr>
          <w:rFonts w:ascii="Times New Roman" w:hAnsi="Times New Roman" w:cs="Times New Roman"/>
          <w:b/>
          <w:bCs/>
          <w:i/>
        </w:rPr>
        <w:t>jednostką</w:t>
      </w:r>
      <w:r w:rsidRPr="003174C2">
        <w:rPr>
          <w:rFonts w:ascii="Times New Roman" w:hAnsi="Times New Roman" w:cs="Times New Roman"/>
          <w:i/>
          <w:color w:val="FF0000"/>
        </w:rPr>
        <w:t xml:space="preserve"> </w:t>
      </w:r>
      <w:r w:rsidRPr="003174C2">
        <w:rPr>
          <w:rFonts w:ascii="Times New Roman" w:hAnsi="Times New Roman" w:cs="Times New Roman"/>
          <w:i/>
        </w:rPr>
        <w:t xml:space="preserve">dominującą niższego szczebla ani </w:t>
      </w:r>
      <w:r w:rsidRPr="003174C2">
        <w:rPr>
          <w:rFonts w:ascii="Times New Roman" w:hAnsi="Times New Roman" w:cs="Times New Roman"/>
          <w:b/>
          <w:bCs/>
          <w:i/>
        </w:rPr>
        <w:t>jednostką</w:t>
      </w:r>
      <w:r w:rsidRPr="003174C2">
        <w:rPr>
          <w:rFonts w:ascii="Times New Roman" w:hAnsi="Times New Roman" w:cs="Times New Roman"/>
          <w:i/>
          <w:color w:val="FF0000"/>
        </w:rPr>
        <w:t xml:space="preserve"> </w:t>
      </w:r>
      <w:r w:rsidRPr="003174C2">
        <w:rPr>
          <w:rFonts w:ascii="Times New Roman" w:hAnsi="Times New Roman" w:cs="Times New Roman"/>
          <w:i/>
        </w:rPr>
        <w:t>dominującą znajdującą się w częściowym posiadaniu</w:t>
      </w:r>
      <w:r w:rsidRPr="003174C2">
        <w:rPr>
          <w:rFonts w:ascii="Times New Roman" w:hAnsi="Times New Roman" w:cs="Times New Roman"/>
        </w:rPr>
        <w:t xml:space="preserve">”; prawidłowe odczytanie wersji angielskiej prowadzi do wniosku, iż zastrzeżenie odnoszące się do jednostek dominujących najwyższego szczebla dotyczy jedynie jednostek wyłączonych).  </w:t>
      </w:r>
    </w:p>
  </w:footnote>
  <w:footnote w:id="37">
    <w:p w14:paraId="09E60747" w14:textId="77777777" w:rsidR="002A4C92" w:rsidRPr="003174C2" w:rsidRDefault="002A4C92" w:rsidP="002A4C92">
      <w:pPr>
        <w:pStyle w:val="Tekstprzypisudolnego"/>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Dodanie tego rodzaju jednostek do definicji IPE oraz POPE wynika z pkt 2.3 Wytycznych z lutego 2023 r.  </w:t>
      </w:r>
    </w:p>
  </w:footnote>
  <w:footnote w:id="38">
    <w:p w14:paraId="58B1F646" w14:textId="77777777" w:rsidR="002A4C92" w:rsidRPr="003174C2" w:rsidRDefault="002A4C92" w:rsidP="002A4C92">
      <w:pPr>
        <w:pStyle w:val="Tekstprzypisudolnego"/>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Dyrektywa posługuje się podobnym określeniem: </w:t>
      </w:r>
      <w:r w:rsidRPr="003174C2">
        <w:rPr>
          <w:rFonts w:ascii="Times New Roman" w:hAnsi="Times New Roman" w:cs="Times New Roman"/>
          <w:i/>
          <w:iCs/>
        </w:rPr>
        <w:t>qualified domestic top-up tax</w:t>
      </w:r>
      <w:r w:rsidRPr="003174C2">
        <w:rPr>
          <w:rFonts w:ascii="Times New Roman" w:hAnsi="Times New Roman" w:cs="Times New Roman"/>
        </w:rPr>
        <w:t>.</w:t>
      </w:r>
    </w:p>
  </w:footnote>
  <w:footnote w:id="39">
    <w:p w14:paraId="1D83FFD2" w14:textId="271C5218" w:rsidR="00A43FAE" w:rsidRPr="003174C2" w:rsidRDefault="00A43FAE">
      <w:pPr>
        <w:pStyle w:val="Tekstprzypisudolnego"/>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Por. pkt 1.2.4 Wytycznych Administracyjnych z lutego 2023 r., przykład 10.1-2 (poz. 3).</w:t>
      </w:r>
    </w:p>
  </w:footnote>
  <w:footnote w:id="40">
    <w:p w14:paraId="3E41C035" w14:textId="77777777"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Na przykład, jeżeli zatwierdzony standard rachunkowości zezwala jednostce kwalifikującej się jako jednostka inwestycyjna, zgodnie z kryteriami określonymi w takim standardzie, na odzwierciedlenie niektórych swoich inwestycji (w tym większościowych udziałów w innych jednostkach) w sprawozdaniu finansowym w oparciu o wartość godziwą tych inwestycji – tak, jak np. w MSSF 10), test hipotetycznej konsolidacji nie będzie wymagał konsolidacji pełnej tych inwestycji. W związku z tym, jednostka taka na gruncie Systemu GloBE nie będzie zobowiązana do sporządzenia sprawozdania finansowego metodą konsolidacji pełnej. </w:t>
      </w:r>
    </w:p>
  </w:footnote>
  <w:footnote w:id="41">
    <w:p w14:paraId="7B7796DA" w14:textId="0E6C2580"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Wyrażenie to (ang. </w:t>
      </w:r>
      <w:r w:rsidRPr="003174C2">
        <w:rPr>
          <w:rFonts w:ascii="Times New Roman" w:hAnsi="Times New Roman" w:cs="Times New Roman"/>
          <w:i/>
        </w:rPr>
        <w:t>deemed place of business</w:t>
      </w:r>
      <w:r w:rsidRPr="003174C2">
        <w:rPr>
          <w:rFonts w:ascii="Times New Roman" w:hAnsi="Times New Roman" w:cs="Times New Roman"/>
        </w:rPr>
        <w:t>) ma na celu uwzględnienie sytuacji, w których nierezydent nie posiada miejsca prowadzenia działalności w drugi</w:t>
      </w:r>
      <w:r w:rsidR="006F5BFB" w:rsidRPr="003174C2">
        <w:rPr>
          <w:rFonts w:ascii="Times New Roman" w:hAnsi="Times New Roman" w:cs="Times New Roman"/>
        </w:rPr>
        <w:t>ej</w:t>
      </w:r>
      <w:r w:rsidRPr="003174C2">
        <w:rPr>
          <w:rFonts w:ascii="Times New Roman" w:hAnsi="Times New Roman" w:cs="Times New Roman"/>
        </w:rPr>
        <w:t xml:space="preserve"> </w:t>
      </w:r>
      <w:r w:rsidR="006F5BFB" w:rsidRPr="003174C2">
        <w:rPr>
          <w:rFonts w:ascii="Times New Roman" w:hAnsi="Times New Roman" w:cs="Times New Roman"/>
        </w:rPr>
        <w:t>jurysdykcji</w:t>
      </w:r>
      <w:r w:rsidRPr="003174C2">
        <w:rPr>
          <w:rFonts w:ascii="Times New Roman" w:hAnsi="Times New Roman" w:cs="Times New Roman"/>
        </w:rPr>
        <w:t>, ale jego działalność jest uznawana za stały zakład zgodnie z warunkami UPO i obejmuje w szczególności sytuację działania poprzez agenta zależnego (tzw. agency PE).</w:t>
      </w:r>
    </w:p>
  </w:footnote>
  <w:footnote w:id="42">
    <w:p w14:paraId="35E33516" w14:textId="3A6B50B0"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 tym zakresie Komentarz wskazuje przykład jednostki</w:t>
      </w:r>
      <w:r w:rsidR="006F5BFB" w:rsidRPr="003174C2">
        <w:rPr>
          <w:rFonts w:ascii="Times New Roman" w:hAnsi="Times New Roman" w:cs="Times New Roman"/>
        </w:rPr>
        <w:t>,</w:t>
      </w:r>
      <w:r w:rsidRPr="003174C2">
        <w:rPr>
          <w:rFonts w:ascii="Times New Roman" w:hAnsi="Times New Roman" w:cs="Times New Roman"/>
        </w:rPr>
        <w:t xml:space="preserve"> będącej rezydentem w </w:t>
      </w:r>
      <w:r w:rsidR="006F5BFB" w:rsidRPr="003174C2">
        <w:rPr>
          <w:rFonts w:ascii="Times New Roman" w:hAnsi="Times New Roman" w:cs="Times New Roman"/>
        </w:rPr>
        <w:t>jurysdykcji</w:t>
      </w:r>
      <w:r w:rsidRPr="003174C2">
        <w:rPr>
          <w:rFonts w:ascii="Times New Roman" w:hAnsi="Times New Roman" w:cs="Times New Roman"/>
        </w:rPr>
        <w:t xml:space="preserve"> R</w:t>
      </w:r>
      <w:r w:rsidR="006F5BFB" w:rsidRPr="003174C2">
        <w:rPr>
          <w:rFonts w:ascii="Times New Roman" w:hAnsi="Times New Roman" w:cs="Times New Roman"/>
        </w:rPr>
        <w:t>,</w:t>
      </w:r>
      <w:r w:rsidRPr="003174C2">
        <w:rPr>
          <w:rFonts w:ascii="Times New Roman" w:hAnsi="Times New Roman" w:cs="Times New Roman"/>
        </w:rPr>
        <w:t xml:space="preserve"> zajmującej się eksploatacją statków powietrznych w ruchu międzynarodowym i posiadającej biuro w </w:t>
      </w:r>
      <w:r w:rsidR="006F5BFB" w:rsidRPr="003174C2">
        <w:rPr>
          <w:rFonts w:ascii="Times New Roman" w:hAnsi="Times New Roman" w:cs="Times New Roman"/>
        </w:rPr>
        <w:t>jurysdykcji</w:t>
      </w:r>
      <w:r w:rsidRPr="003174C2">
        <w:rPr>
          <w:rFonts w:ascii="Times New Roman" w:hAnsi="Times New Roman" w:cs="Times New Roman"/>
        </w:rPr>
        <w:t xml:space="preserve"> S, poprzez które prowadzi część swojej działalności. Zakładając, że umowa pomiędzy </w:t>
      </w:r>
      <w:r w:rsidR="006F5BFB" w:rsidRPr="003174C2">
        <w:rPr>
          <w:rFonts w:ascii="Times New Roman" w:hAnsi="Times New Roman" w:cs="Times New Roman"/>
        </w:rPr>
        <w:t>jurysdykcjami</w:t>
      </w:r>
      <w:r w:rsidRPr="003174C2">
        <w:rPr>
          <w:rFonts w:ascii="Times New Roman" w:hAnsi="Times New Roman" w:cs="Times New Roman"/>
        </w:rPr>
        <w:t xml:space="preserve"> R i S jest zgodna z Modelową </w:t>
      </w:r>
      <w:r w:rsidR="00ED3A9E" w:rsidRPr="003174C2">
        <w:rPr>
          <w:rFonts w:ascii="Times New Roman" w:hAnsi="Times New Roman" w:cs="Times New Roman"/>
        </w:rPr>
        <w:t>k</w:t>
      </w:r>
      <w:r w:rsidRPr="003174C2">
        <w:rPr>
          <w:rFonts w:ascii="Times New Roman" w:hAnsi="Times New Roman" w:cs="Times New Roman"/>
        </w:rPr>
        <w:t xml:space="preserve">onwencją OECD, w świetle jej art. 5 jednostka ta posiada zakład w kraju S. Jednakże na mocy art. 7 ust. 4 i art. 8 takiej umowy </w:t>
      </w:r>
      <w:r w:rsidR="006F5BFB" w:rsidRPr="003174C2">
        <w:rPr>
          <w:rFonts w:ascii="Times New Roman" w:hAnsi="Times New Roman" w:cs="Times New Roman"/>
        </w:rPr>
        <w:t>jurysdykcja</w:t>
      </w:r>
      <w:r w:rsidRPr="003174C2">
        <w:rPr>
          <w:rFonts w:ascii="Times New Roman" w:hAnsi="Times New Roman" w:cs="Times New Roman"/>
        </w:rPr>
        <w:t xml:space="preserve"> S nie może opodatkować zysków tego zakładu. W takim przypadku nie powstanie stały zakład do celów Zasad GloBE zgodnie z komentowanym punktem niezależnie od tego, czy spełnia on definicję  zakładu zawartą w danej UPO.</w:t>
      </w:r>
    </w:p>
  </w:footnote>
  <w:footnote w:id="43">
    <w:p w14:paraId="68786BA0" w14:textId="400F9E38"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Chodzi o stosowanie zasad takich, jak wynikające z art. 7 Modelowej </w:t>
      </w:r>
      <w:r w:rsidR="00ED3A9E" w:rsidRPr="003174C2">
        <w:rPr>
          <w:rFonts w:ascii="Times New Roman" w:hAnsi="Times New Roman" w:cs="Times New Roman"/>
        </w:rPr>
        <w:t>k</w:t>
      </w:r>
      <w:r w:rsidRPr="003174C2">
        <w:rPr>
          <w:rFonts w:ascii="Times New Roman" w:hAnsi="Times New Roman" w:cs="Times New Roman"/>
        </w:rPr>
        <w:t xml:space="preserve">onwencji OECD, a nie brzmienie zgodne z tym przepisem „słowo w słowo”. Dlatego, pomimo że Dyrektywa odwołuje się do najnowszego brzmienia Modelowej </w:t>
      </w:r>
      <w:r w:rsidR="00ED3A9E" w:rsidRPr="003174C2">
        <w:rPr>
          <w:rFonts w:ascii="Times New Roman" w:hAnsi="Times New Roman" w:cs="Times New Roman"/>
        </w:rPr>
        <w:t>k</w:t>
      </w:r>
      <w:r w:rsidRPr="003174C2">
        <w:rPr>
          <w:rFonts w:ascii="Times New Roman" w:hAnsi="Times New Roman" w:cs="Times New Roman"/>
        </w:rPr>
        <w:t xml:space="preserve">onwencji OECD („po zmianach”), zakresem tego przepisu będą objęte również regulacje odwołujące się do wcześniejszych wersji art. 7 Modelowej </w:t>
      </w:r>
      <w:r w:rsidR="00ED3A9E" w:rsidRPr="003174C2">
        <w:rPr>
          <w:rFonts w:ascii="Times New Roman" w:hAnsi="Times New Roman" w:cs="Times New Roman"/>
        </w:rPr>
        <w:t>k</w:t>
      </w:r>
      <w:r w:rsidRPr="003174C2">
        <w:rPr>
          <w:rFonts w:ascii="Times New Roman" w:hAnsi="Times New Roman" w:cs="Times New Roman"/>
        </w:rPr>
        <w:t>onwencji OECD.</w:t>
      </w:r>
    </w:p>
  </w:footnote>
  <w:footnote w:id="44">
    <w:p w14:paraId="6EC5C2C5" w14:textId="736C0290" w:rsidR="002A4C92" w:rsidRPr="003174C2" w:rsidRDefault="002A4C92" w:rsidP="002A4C92">
      <w:pPr>
        <w:spacing w:after="120" w:line="240" w:lineRule="auto"/>
        <w:jc w:val="both"/>
        <w:rPr>
          <w:rFonts w:ascii="Times New Roman" w:hAnsi="Times New Roman" w:cs="Times New Roman"/>
        </w:rPr>
      </w:pPr>
      <w:r w:rsidRPr="003174C2">
        <w:rPr>
          <w:rStyle w:val="Odwoanieprzypisudolnego"/>
          <w:rFonts w:ascii="Times New Roman" w:hAnsi="Times New Roman" w:cs="Times New Roman"/>
          <w:sz w:val="20"/>
          <w:szCs w:val="20"/>
        </w:rPr>
        <w:footnoteRef/>
      </w:r>
      <w:r w:rsidRPr="003174C2">
        <w:rPr>
          <w:rFonts w:ascii="Times New Roman" w:hAnsi="Times New Roman" w:cs="Times New Roman"/>
          <w:sz w:val="20"/>
          <w:szCs w:val="20"/>
        </w:rPr>
        <w:t xml:space="preserve"> W sumie uwzględnia się również rzeczowe aktywa trwałe przypisane do stałych zakładów, zlokalizowanych w t</w:t>
      </w:r>
      <w:r w:rsidR="006F5BFB" w:rsidRPr="003174C2">
        <w:rPr>
          <w:rFonts w:ascii="Times New Roman" w:hAnsi="Times New Roman" w:cs="Times New Roman"/>
          <w:sz w:val="20"/>
          <w:szCs w:val="20"/>
        </w:rPr>
        <w:t>ej</w:t>
      </w:r>
      <w:r w:rsidRPr="003174C2">
        <w:rPr>
          <w:rFonts w:ascii="Times New Roman" w:hAnsi="Times New Roman" w:cs="Times New Roman"/>
          <w:sz w:val="20"/>
          <w:szCs w:val="20"/>
        </w:rPr>
        <w:t xml:space="preserve"> </w:t>
      </w:r>
      <w:r w:rsidR="006F5BFB" w:rsidRPr="003174C2">
        <w:rPr>
          <w:rFonts w:ascii="Times New Roman" w:hAnsi="Times New Roman" w:cs="Times New Roman"/>
          <w:sz w:val="20"/>
          <w:szCs w:val="20"/>
        </w:rPr>
        <w:t>jurysdykcji</w:t>
      </w:r>
      <w:r w:rsidRPr="003174C2">
        <w:rPr>
          <w:rFonts w:ascii="Times New Roman" w:hAnsi="Times New Roman" w:cs="Times New Roman"/>
          <w:sz w:val="20"/>
          <w:szCs w:val="20"/>
        </w:rPr>
        <w:t xml:space="preserve">, pod warunkiem że są one ujęte w jego odrębnym sprawozdaniu finansowym (w tym hipotetycznym). Wówczas takie aktywa trwałe nie są przypisywane do </w:t>
      </w:r>
      <w:r w:rsidR="006F5BFB" w:rsidRPr="003174C2">
        <w:rPr>
          <w:rFonts w:ascii="Times New Roman" w:hAnsi="Times New Roman" w:cs="Times New Roman"/>
          <w:sz w:val="20"/>
          <w:szCs w:val="20"/>
        </w:rPr>
        <w:t>jurysdykcji</w:t>
      </w:r>
      <w:r w:rsidRPr="003174C2">
        <w:rPr>
          <w:rFonts w:ascii="Times New Roman" w:hAnsi="Times New Roman" w:cs="Times New Roman"/>
          <w:sz w:val="20"/>
          <w:szCs w:val="20"/>
        </w:rPr>
        <w:t xml:space="preserve"> centrali. [Komentarz, 10.1;66]</w:t>
      </w:r>
    </w:p>
  </w:footnote>
  <w:footnote w:id="45">
    <w:p w14:paraId="33CE041E" w14:textId="77777777" w:rsidR="002A4C92" w:rsidRPr="003174C2" w:rsidRDefault="002A4C92" w:rsidP="002A4C92">
      <w:pPr>
        <w:pStyle w:val="Tekstprzypisudolnego"/>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Wytyczne Administracyjne z lipca 2023 r., pkt 1, par. 20.1.  </w:t>
      </w:r>
    </w:p>
  </w:footnote>
  <w:footnote w:id="46">
    <w:p w14:paraId="0180B2D1" w14:textId="77777777" w:rsidR="002A4C92" w:rsidRPr="003174C2" w:rsidRDefault="002A4C92" w:rsidP="002A4C92">
      <w:pPr>
        <w:pStyle w:val="Tekstprzypisudolnego"/>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Wytyczne Administracyjne z lipca 2023 r., pkt 1, 20.2–3.</w:t>
      </w:r>
    </w:p>
  </w:footnote>
  <w:footnote w:id="47">
    <w:p w14:paraId="4A383697" w14:textId="4D254B2B" w:rsidR="002A4C92" w:rsidRPr="003174C2" w:rsidRDefault="002A4C92" w:rsidP="002A4C92">
      <w:pPr>
        <w:jc w:val="both"/>
        <w:rPr>
          <w:rFonts w:ascii="Times New Roman" w:hAnsi="Times New Roman" w:cs="Times New Roman"/>
          <w:sz w:val="20"/>
          <w:szCs w:val="20"/>
        </w:rPr>
      </w:pPr>
      <w:r w:rsidRPr="003174C2">
        <w:rPr>
          <w:rStyle w:val="Odwoanieprzypisudolnego"/>
          <w:rFonts w:ascii="Times New Roman" w:hAnsi="Times New Roman" w:cs="Times New Roman"/>
          <w:sz w:val="20"/>
          <w:szCs w:val="20"/>
        </w:rPr>
        <w:footnoteRef/>
      </w:r>
      <w:r w:rsidRPr="003174C2">
        <w:rPr>
          <w:rFonts w:ascii="Times New Roman" w:hAnsi="Times New Roman" w:cs="Times New Roman"/>
          <w:sz w:val="20"/>
          <w:szCs w:val="20"/>
        </w:rPr>
        <w:t xml:space="preserve"> Zasada ta nie wymaga, aby </w:t>
      </w:r>
      <w:r w:rsidR="002F2BC8" w:rsidRPr="003174C2">
        <w:rPr>
          <w:rFonts w:ascii="Times New Roman" w:hAnsi="Times New Roman" w:cs="Times New Roman"/>
          <w:sz w:val="20"/>
          <w:szCs w:val="20"/>
        </w:rPr>
        <w:t xml:space="preserve">dana jurysdykcja traktowała </w:t>
      </w:r>
      <w:r w:rsidRPr="003174C2">
        <w:rPr>
          <w:rFonts w:ascii="Times New Roman" w:hAnsi="Times New Roman" w:cs="Times New Roman"/>
          <w:sz w:val="20"/>
          <w:szCs w:val="20"/>
        </w:rPr>
        <w:t xml:space="preserve">właścicieli takiej jednostki jako ponoszących udziały </w:t>
      </w:r>
      <w:r w:rsidRPr="003174C2">
        <w:rPr>
          <w:rFonts w:ascii="Times New Roman" w:hAnsi="Times New Roman" w:cs="Times New Roman"/>
          <w:sz w:val="20"/>
          <w:szCs w:val="20"/>
        </w:rPr>
        <w:br/>
        <w:t xml:space="preserve">w również w jej stratach netto. W związku z tym może być ona uznana za jednostkę transparentną podatkowo również wówczas, gdy przepisy </w:t>
      </w:r>
      <w:r w:rsidR="002F2BC8" w:rsidRPr="003174C2">
        <w:rPr>
          <w:rFonts w:ascii="Times New Roman" w:hAnsi="Times New Roman" w:cs="Times New Roman"/>
          <w:sz w:val="20"/>
          <w:szCs w:val="20"/>
        </w:rPr>
        <w:t>jurysdykcji</w:t>
      </w:r>
      <w:r w:rsidRPr="003174C2">
        <w:rPr>
          <w:rFonts w:ascii="Times New Roman" w:hAnsi="Times New Roman" w:cs="Times New Roman"/>
          <w:sz w:val="20"/>
          <w:szCs w:val="20"/>
        </w:rPr>
        <w:t xml:space="preserve">, w </w:t>
      </w:r>
      <w:r w:rsidR="002F2BC8" w:rsidRPr="003174C2">
        <w:rPr>
          <w:rFonts w:ascii="Times New Roman" w:hAnsi="Times New Roman" w:cs="Times New Roman"/>
          <w:sz w:val="20"/>
          <w:szCs w:val="20"/>
        </w:rPr>
        <w:t xml:space="preserve">której </w:t>
      </w:r>
      <w:r w:rsidRPr="003174C2">
        <w:rPr>
          <w:rFonts w:ascii="Times New Roman" w:hAnsi="Times New Roman" w:cs="Times New Roman"/>
          <w:sz w:val="20"/>
          <w:szCs w:val="20"/>
        </w:rPr>
        <w:t xml:space="preserve">jest ona </w:t>
      </w:r>
      <w:r w:rsidRPr="003174C2">
        <w:rPr>
          <w:rFonts w:ascii="Times New Roman" w:hAnsi="Times New Roman" w:cs="Times New Roman"/>
          <w:iCs/>
          <w:sz w:val="20"/>
          <w:szCs w:val="20"/>
        </w:rPr>
        <w:t>zlokalizowana</w:t>
      </w:r>
      <w:r w:rsidRPr="003174C2">
        <w:rPr>
          <w:rFonts w:ascii="Times New Roman" w:hAnsi="Times New Roman" w:cs="Times New Roman"/>
          <w:sz w:val="20"/>
          <w:szCs w:val="20"/>
        </w:rPr>
        <w:t>, zezwalają na transparentność jej dochodów, ale wymagają, aby straty netto były uwzględniane przez samą jednostkę (w tym poprzez pomniejszenie przyszłego dochodu).</w:t>
      </w:r>
    </w:p>
  </w:footnote>
  <w:footnote w:id="48">
    <w:p w14:paraId="69932475" w14:textId="2AC17C4D" w:rsidR="002A4C92" w:rsidRPr="003174C2" w:rsidRDefault="002A4C92" w:rsidP="002A4C92">
      <w:pPr>
        <w:spacing w:after="120" w:line="240" w:lineRule="auto"/>
        <w:jc w:val="both"/>
        <w:rPr>
          <w:rFonts w:ascii="Times New Roman" w:hAnsi="Times New Roman" w:cs="Times New Roman"/>
          <w:sz w:val="20"/>
          <w:szCs w:val="20"/>
          <w:lang w:eastAsia="pl-PL"/>
        </w:rPr>
      </w:pPr>
      <w:r w:rsidRPr="003174C2">
        <w:rPr>
          <w:rStyle w:val="Odwoanieprzypisudolnego"/>
          <w:rFonts w:ascii="Times New Roman" w:hAnsi="Times New Roman" w:cs="Times New Roman"/>
          <w:sz w:val="20"/>
          <w:szCs w:val="20"/>
        </w:rPr>
        <w:footnoteRef/>
      </w:r>
      <w:r w:rsidRPr="003174C2">
        <w:rPr>
          <w:rFonts w:ascii="Times New Roman" w:hAnsi="Times New Roman" w:cs="Times New Roman"/>
          <w:sz w:val="20"/>
          <w:szCs w:val="20"/>
        </w:rPr>
        <w:t xml:space="preserve"> Komentarz zawiera pewne specyficzne doprecyzowania tego pojęcia. </w:t>
      </w:r>
      <w:r w:rsidRPr="003174C2">
        <w:rPr>
          <w:rFonts w:ascii="Times New Roman" w:hAnsi="Times New Roman" w:cs="Times New Roman"/>
          <w:sz w:val="20"/>
          <w:szCs w:val="20"/>
          <w:lang w:eastAsia="pl-PL"/>
        </w:rPr>
        <w:t xml:space="preserve">Zgodnie z Komentarzem, danej jednostki nie traktuje się jako transparentnej podatkowo wyłącznie z tego względu, że jest traktowana do celów podatkowych w </w:t>
      </w:r>
      <w:r w:rsidR="002F2BC8" w:rsidRPr="003174C2">
        <w:rPr>
          <w:rFonts w:ascii="Times New Roman" w:hAnsi="Times New Roman" w:cs="Times New Roman"/>
          <w:sz w:val="20"/>
          <w:szCs w:val="20"/>
          <w:lang w:eastAsia="pl-PL"/>
        </w:rPr>
        <w:t xml:space="preserve">jurysdykcji </w:t>
      </w:r>
      <w:r w:rsidRPr="003174C2">
        <w:rPr>
          <w:rFonts w:ascii="Times New Roman" w:hAnsi="Times New Roman" w:cs="Times New Roman"/>
          <w:sz w:val="20"/>
          <w:szCs w:val="20"/>
          <w:lang w:eastAsia="pl-PL"/>
        </w:rPr>
        <w:t xml:space="preserve">jej lokalizacji jako część innej jednostki składowej z uwagi na to, że jest członkiem grupy przedsiębiorstw konsolidujących swój wynik podatkowy. </w:t>
      </w:r>
    </w:p>
    <w:p w14:paraId="4CEA8208" w14:textId="77777777" w:rsidR="002A4C92" w:rsidRPr="003174C2" w:rsidRDefault="002A4C92" w:rsidP="002A4C92">
      <w:pPr>
        <w:spacing w:after="120" w:line="240" w:lineRule="auto"/>
        <w:jc w:val="both"/>
        <w:rPr>
          <w:rFonts w:ascii="Times New Roman" w:hAnsi="Times New Roman" w:cs="Times New Roman"/>
          <w:sz w:val="20"/>
          <w:szCs w:val="20"/>
          <w:lang w:eastAsia="pl-PL"/>
        </w:rPr>
      </w:pPr>
      <w:r w:rsidRPr="003174C2">
        <w:rPr>
          <w:rFonts w:ascii="Times New Roman" w:hAnsi="Times New Roman" w:cs="Times New Roman"/>
          <w:sz w:val="20"/>
          <w:szCs w:val="20"/>
          <w:lang w:eastAsia="pl-PL"/>
        </w:rPr>
        <w:t xml:space="preserve">Ponadto, status danej jednostki jako transparentnej podatkowo jest zachowany, gdy podlega ona co prawda podatkowi na poziomie lokalnym lub regionalnym, ale jest traktowana jako transparentna podatkowo na poziomie ogólnokrajowym. [Komentarz, 10.2.2;162]  </w:t>
      </w:r>
    </w:p>
  </w:footnote>
  <w:footnote w:id="49">
    <w:p w14:paraId="5B8B4B77" w14:textId="207BFA78" w:rsidR="002A4C92" w:rsidRPr="003174C2" w:rsidRDefault="002A4C92" w:rsidP="002A4C92">
      <w:pPr>
        <w:spacing w:after="120" w:line="240" w:lineRule="auto"/>
        <w:jc w:val="both"/>
        <w:rPr>
          <w:rFonts w:ascii="Times New Roman" w:hAnsi="Times New Roman" w:cs="Times New Roman"/>
          <w:sz w:val="20"/>
          <w:szCs w:val="20"/>
          <w:lang w:eastAsia="pl-PL"/>
        </w:rPr>
      </w:pPr>
      <w:r w:rsidRPr="003174C2">
        <w:rPr>
          <w:rStyle w:val="Odwoanieprzypisudolnego"/>
          <w:rFonts w:ascii="Times New Roman" w:hAnsi="Times New Roman" w:cs="Times New Roman"/>
          <w:sz w:val="20"/>
          <w:szCs w:val="20"/>
        </w:rPr>
        <w:footnoteRef/>
      </w:r>
      <w:r w:rsidRPr="003174C2">
        <w:rPr>
          <w:rFonts w:ascii="Times New Roman" w:hAnsi="Times New Roman" w:cs="Times New Roman"/>
          <w:sz w:val="20"/>
          <w:szCs w:val="20"/>
        </w:rPr>
        <w:t xml:space="preserve"> </w:t>
      </w:r>
      <w:r w:rsidRPr="003174C2">
        <w:rPr>
          <w:rFonts w:ascii="Times New Roman" w:hAnsi="Times New Roman" w:cs="Times New Roman"/>
          <w:sz w:val="20"/>
          <w:szCs w:val="20"/>
          <w:lang w:eastAsia="pl-PL"/>
        </w:rPr>
        <w:t>Wskazane zastrzeżenie odnoszące się do „</w:t>
      </w:r>
      <w:r w:rsidRPr="003174C2">
        <w:rPr>
          <w:rFonts w:ascii="Times New Roman" w:hAnsi="Times New Roman" w:cs="Times New Roman"/>
          <w:i/>
          <w:sz w:val="20"/>
          <w:szCs w:val="20"/>
          <w:lang w:eastAsia="pl-PL"/>
        </w:rPr>
        <w:t xml:space="preserve">podlegania opodatkowaniu (w </w:t>
      </w:r>
      <w:r w:rsidR="002F2BC8" w:rsidRPr="003174C2">
        <w:rPr>
          <w:rFonts w:ascii="Times New Roman" w:hAnsi="Times New Roman" w:cs="Times New Roman"/>
          <w:i/>
          <w:sz w:val="20"/>
          <w:szCs w:val="20"/>
          <w:lang w:eastAsia="pl-PL"/>
        </w:rPr>
        <w:t>innej jurysdykcji</w:t>
      </w:r>
      <w:r w:rsidRPr="003174C2">
        <w:rPr>
          <w:rFonts w:ascii="Times New Roman" w:hAnsi="Times New Roman" w:cs="Times New Roman"/>
          <w:i/>
          <w:sz w:val="20"/>
          <w:szCs w:val="20"/>
          <w:lang w:eastAsia="pl-PL"/>
        </w:rPr>
        <w:t>)</w:t>
      </w:r>
      <w:r w:rsidRPr="003174C2">
        <w:rPr>
          <w:rFonts w:ascii="Times New Roman" w:hAnsi="Times New Roman" w:cs="Times New Roman"/>
          <w:sz w:val="20"/>
          <w:szCs w:val="20"/>
          <w:lang w:eastAsia="pl-PL"/>
        </w:rPr>
        <w:t xml:space="preserve">” gwarantuje, iż taka jednostka nie tylko jest uznawana za rezydenta </w:t>
      </w:r>
      <w:r w:rsidR="002F2BC8" w:rsidRPr="003174C2">
        <w:rPr>
          <w:rFonts w:ascii="Times New Roman" w:hAnsi="Times New Roman" w:cs="Times New Roman"/>
          <w:sz w:val="20"/>
          <w:szCs w:val="20"/>
          <w:lang w:eastAsia="pl-PL"/>
        </w:rPr>
        <w:t>takiej jurysdykcji</w:t>
      </w:r>
      <w:r w:rsidRPr="003174C2">
        <w:rPr>
          <w:rFonts w:ascii="Times New Roman" w:hAnsi="Times New Roman" w:cs="Times New Roman"/>
          <w:sz w:val="20"/>
          <w:szCs w:val="20"/>
          <w:lang w:eastAsia="pl-PL"/>
        </w:rPr>
        <w:t xml:space="preserve">, ale także faktycznie podlega podatkowi kwalifikowanemu w </w:t>
      </w:r>
      <w:r w:rsidR="002F2BC8" w:rsidRPr="003174C2">
        <w:rPr>
          <w:rFonts w:ascii="Times New Roman" w:hAnsi="Times New Roman" w:cs="Times New Roman"/>
          <w:sz w:val="20"/>
          <w:szCs w:val="20"/>
          <w:lang w:eastAsia="pl-PL"/>
        </w:rPr>
        <w:t>tej jurysdykcji</w:t>
      </w:r>
      <w:r w:rsidRPr="003174C2">
        <w:rPr>
          <w:rFonts w:ascii="Times New Roman" w:hAnsi="Times New Roman" w:cs="Times New Roman"/>
          <w:sz w:val="20"/>
          <w:szCs w:val="20"/>
          <w:lang w:eastAsia="pl-PL"/>
        </w:rPr>
        <w:t xml:space="preserve">, nawet jeżeli nie płaci podatku za dany rok podatkowy, ponieważ, na przykład, wykazała stratę. </w:t>
      </w:r>
    </w:p>
    <w:p w14:paraId="09DAF6EA" w14:textId="77777777" w:rsidR="002A4C92" w:rsidRDefault="002A4C92" w:rsidP="002A4C92">
      <w:pPr>
        <w:pStyle w:val="Tekstprzypisudolnego"/>
      </w:pPr>
    </w:p>
  </w:footnote>
  <w:footnote w:id="50">
    <w:p w14:paraId="303F2AF4" w14:textId="59874D58" w:rsidR="002A4C92" w:rsidRPr="003174C2" w:rsidRDefault="002A4C92" w:rsidP="002A4C92">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Najczęstszym takim przypadkiem będzie sytuacja, w której jednostka składowa zostanie w </w:t>
      </w:r>
      <w:r w:rsidR="002F2BC8" w:rsidRPr="003174C2">
        <w:rPr>
          <w:rFonts w:ascii="Times New Roman" w:hAnsi="Times New Roman" w:cs="Times New Roman"/>
        </w:rPr>
        <w:t>jurysdykcji</w:t>
      </w:r>
      <w:r w:rsidRPr="003174C2">
        <w:rPr>
          <w:rFonts w:ascii="Times New Roman" w:hAnsi="Times New Roman" w:cs="Times New Roman"/>
        </w:rPr>
        <w:t xml:space="preserve">, w </w:t>
      </w:r>
      <w:r w:rsidR="002F2BC8" w:rsidRPr="003174C2">
        <w:rPr>
          <w:rFonts w:ascii="Times New Roman" w:hAnsi="Times New Roman" w:cs="Times New Roman"/>
        </w:rPr>
        <w:t xml:space="preserve">której </w:t>
      </w:r>
      <w:r w:rsidRPr="003174C2">
        <w:rPr>
          <w:rFonts w:ascii="Times New Roman" w:hAnsi="Times New Roman" w:cs="Times New Roman"/>
        </w:rPr>
        <w:t xml:space="preserve">nie obowiązuje podatek CIT, a jego właściciele traktują tą jednostkę jako transparentną podatkowo. Taka sytuacja nie jest bowiem objęta innymi przepisami, z uwagi na to, że nie można mówić, iż wówczas taka jednostka jest przejrzysta podatkowo w </w:t>
      </w:r>
      <w:r w:rsidR="002F2BC8" w:rsidRPr="003174C2">
        <w:rPr>
          <w:rFonts w:ascii="Times New Roman" w:hAnsi="Times New Roman" w:cs="Times New Roman"/>
        </w:rPr>
        <w:t>jurysdykcji</w:t>
      </w:r>
      <w:r w:rsidRPr="003174C2">
        <w:rPr>
          <w:rFonts w:ascii="Times New Roman" w:hAnsi="Times New Roman" w:cs="Times New Roman"/>
        </w:rPr>
        <w:t xml:space="preserve">, w której została. </w:t>
      </w:r>
    </w:p>
    <w:p w14:paraId="025F921C" w14:textId="77777777" w:rsidR="002A4C92" w:rsidRPr="00AD772A" w:rsidRDefault="002A4C92" w:rsidP="002A4C92">
      <w:pPr>
        <w:pStyle w:val="Tekstprzypisudolnego"/>
        <w:rPr>
          <w:rFonts w:cstheme="minorHAnsi"/>
        </w:rPr>
      </w:pPr>
    </w:p>
  </w:footnote>
  <w:footnote w:id="51">
    <w:p w14:paraId="6FAFB8B7" w14:textId="32359366" w:rsidR="00DB7D51" w:rsidRPr="003174C2" w:rsidRDefault="00DB7D51" w:rsidP="00DB7D51">
      <w:pPr>
        <w:pStyle w:val="Tekstprzypisudolnego"/>
        <w:jc w:val="both"/>
        <w:rPr>
          <w:rFonts w:ascii="Times New Roman" w:hAnsi="Times New Roman" w:cs="Times New Roman"/>
        </w:rPr>
      </w:pPr>
      <w:r w:rsidRPr="003174C2">
        <w:rPr>
          <w:rStyle w:val="Odwoanieprzypisudolnego"/>
          <w:rFonts w:ascii="Times New Roman" w:hAnsi="Times New Roman" w:cs="Times New Roman"/>
        </w:rPr>
        <w:footnoteRef/>
      </w:r>
      <w:r w:rsidRPr="003174C2">
        <w:rPr>
          <w:rFonts w:ascii="Times New Roman" w:hAnsi="Times New Roman" w:cs="Times New Roman"/>
        </w:rPr>
        <w:t xml:space="preserve"> </w:t>
      </w:r>
      <w:r w:rsidRPr="003174C2">
        <w:rPr>
          <w:rFonts w:ascii="Times New Roman" w:hAnsi="Times New Roman" w:cs="Times New Roman"/>
          <w:bCs/>
          <w:lang w:eastAsia="pl-PL"/>
        </w:rPr>
        <w:t xml:space="preserve">Należy zauważyć, iż dla pełnego zrozumienia tej regulacji, a zarazem zakresu podmiotowego ustawy istotne są pojęcia zdefiniowane w art. </w:t>
      </w:r>
      <w:r w:rsidR="001303F3" w:rsidRPr="003174C2">
        <w:rPr>
          <w:rFonts w:ascii="Times New Roman" w:hAnsi="Times New Roman" w:cs="Times New Roman"/>
          <w:bCs/>
          <w:lang w:eastAsia="pl-PL"/>
        </w:rPr>
        <w:t>2</w:t>
      </w:r>
      <w:r w:rsidRPr="003174C2">
        <w:rPr>
          <w:rFonts w:ascii="Times New Roman" w:hAnsi="Times New Roman" w:cs="Times New Roman"/>
          <w:bCs/>
          <w:lang w:eastAsia="pl-PL"/>
        </w:rPr>
        <w:t>, w szczególności pojęcia jednostki, jednostki składowej, grupy międzynarodowej, grupy krajowej, stałego zakładu, centrali, skonsolidowanego sprawozdania finansowego, czy też jednostki dominującej najwyższego szczebla.</w:t>
      </w:r>
    </w:p>
  </w:footnote>
  <w:footnote w:id="52">
    <w:p w14:paraId="434E27C3" w14:textId="77777777" w:rsidR="00DB7D51" w:rsidRPr="003461F4" w:rsidRDefault="00DB7D51" w:rsidP="003461F4">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w:t>
      </w:r>
      <w:r w:rsidRPr="003461F4">
        <w:rPr>
          <w:rFonts w:ascii="Times New Roman" w:hAnsi="Times New Roman" w:cs="Times New Roman"/>
          <w:bCs/>
        </w:rPr>
        <w:t>Fundusze inwestycyjne i jednostki inwestujące w nieruchomości będące UPE są wyłączone z Zasad GloBE w celu ochrony ich statusu neutralnych podatkowo instrumentów inwestycyjnych. W sytuacji gdy nie posiadają statusu UPE, mogą być traktowane jako jednostki składowe, pod warunkiem, że są objęte konsolidacją pełną. Jednakże takie jednostki uznaje się wówczas za jednostki inwestycyjne, które podlegają specjalnym zasadom obliczania efektywnej stawki podatkowej.</w:t>
      </w:r>
    </w:p>
  </w:footnote>
  <w:footnote w:id="53">
    <w:p w14:paraId="2858313E" w14:textId="77777777" w:rsidR="00DB7D51" w:rsidRPr="003461F4" w:rsidRDefault="00DB7D51" w:rsidP="00DB7D51">
      <w:pPr>
        <w:pStyle w:val="Tekstprzypisudolnego"/>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Zob. art. 60 ustawy o rachunkowości </w:t>
      </w:r>
    </w:p>
  </w:footnote>
  <w:footnote w:id="54">
    <w:p w14:paraId="5A65E359" w14:textId="36AF213B" w:rsidR="00DB7D51" w:rsidRPr="003461F4" w:rsidRDefault="00DB7D51" w:rsidP="00DB7D51">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w:t>
      </w:r>
      <w:r w:rsidRPr="003461F4">
        <w:rPr>
          <w:rFonts w:ascii="Times New Roman" w:hAnsi="Times New Roman" w:cs="Times New Roman"/>
          <w:bCs/>
        </w:rPr>
        <w:t xml:space="preserve">W związku z tym takie jednostki zazwyczaj nie podlegają opodatkowaniu w </w:t>
      </w:r>
      <w:r w:rsidR="002F2BC8" w:rsidRPr="003461F4">
        <w:rPr>
          <w:rFonts w:ascii="Times New Roman" w:hAnsi="Times New Roman" w:cs="Times New Roman"/>
          <w:bCs/>
        </w:rPr>
        <w:t xml:space="preserve">jurysdykcji </w:t>
      </w:r>
      <w:r w:rsidRPr="003461F4">
        <w:rPr>
          <w:rFonts w:ascii="Times New Roman" w:hAnsi="Times New Roman" w:cs="Times New Roman"/>
          <w:bCs/>
        </w:rPr>
        <w:t>swojej lokalizacji  i często korzystają z wyłączeń z opodatkowania na mocy prawa obcego lub umów o unikaniu podwójnego opodatkowania.</w:t>
      </w:r>
    </w:p>
  </w:footnote>
  <w:footnote w:id="55">
    <w:p w14:paraId="11CFC6A5" w14:textId="77777777" w:rsidR="00DB7D51" w:rsidRPr="003461F4" w:rsidRDefault="00DB7D51" w:rsidP="00DB7D51">
      <w:pPr>
        <w:pStyle w:val="Tekstprzypisudolnego"/>
        <w:jc w:val="both"/>
        <w:rPr>
          <w:rFonts w:ascii="Times New Roman" w:hAnsi="Times New Roman" w:cs="Times New Roman"/>
          <w:lang w:val="en-AU"/>
        </w:rPr>
      </w:pPr>
      <w:r w:rsidRPr="003461F4">
        <w:rPr>
          <w:rStyle w:val="Odwoanieprzypisudolnego"/>
          <w:rFonts w:ascii="Times New Roman" w:hAnsi="Times New Roman" w:cs="Times New Roman"/>
        </w:rPr>
        <w:footnoteRef/>
      </w:r>
      <w:r w:rsidRPr="003461F4">
        <w:rPr>
          <w:rFonts w:ascii="Times New Roman" w:hAnsi="Times New Roman" w:cs="Times New Roman"/>
          <w:lang w:val="en-AU"/>
        </w:rPr>
        <w:t xml:space="preserve"> OECD (2017), Standard for Automatic Exchange of Financial Account Information in Tax Matters, Second Edition.</w:t>
      </w:r>
    </w:p>
  </w:footnote>
  <w:footnote w:id="56">
    <w:p w14:paraId="6B045E56" w14:textId="77777777" w:rsidR="00DB7D51" w:rsidRPr="003461F4" w:rsidRDefault="00DB7D51" w:rsidP="00DB7D51">
      <w:pPr>
        <w:pStyle w:val="Tekstprzypisudolnego"/>
        <w:jc w:val="both"/>
        <w:rPr>
          <w:rFonts w:ascii="Times New Roman" w:hAnsi="Times New Roman" w:cs="Times New Roman"/>
          <w:lang w:val="en-US"/>
        </w:rPr>
      </w:pPr>
      <w:r w:rsidRPr="003461F4">
        <w:rPr>
          <w:rStyle w:val="Odwoanieprzypisudolnego"/>
          <w:rFonts w:ascii="Times New Roman" w:hAnsi="Times New Roman" w:cs="Times New Roman"/>
        </w:rPr>
        <w:footnoteRef/>
      </w:r>
      <w:r w:rsidRPr="003461F4">
        <w:rPr>
          <w:rFonts w:ascii="Times New Roman" w:hAnsi="Times New Roman" w:cs="Times New Roman"/>
          <w:lang w:val="en-US"/>
        </w:rPr>
        <w:t xml:space="preserve"> Ibidem.</w:t>
      </w:r>
    </w:p>
  </w:footnote>
  <w:footnote w:id="57">
    <w:p w14:paraId="1442F691" w14:textId="0316C94A" w:rsidR="004950BA" w:rsidRPr="003461F4" w:rsidRDefault="004950BA">
      <w:pPr>
        <w:pStyle w:val="Tekstprzypisudolnego"/>
        <w:rPr>
          <w:rFonts w:ascii="Times New Roman" w:hAnsi="Times New Roman" w:cs="Times New Roman"/>
          <w:lang w:val="en-US"/>
        </w:rPr>
      </w:pPr>
      <w:r w:rsidRPr="003461F4">
        <w:rPr>
          <w:rStyle w:val="Odwoanieprzypisudolnego"/>
          <w:rFonts w:ascii="Times New Roman" w:hAnsi="Times New Roman" w:cs="Times New Roman"/>
        </w:rPr>
        <w:footnoteRef/>
      </w:r>
      <w:r w:rsidRPr="003461F4">
        <w:rPr>
          <w:rFonts w:ascii="Times New Roman" w:hAnsi="Times New Roman" w:cs="Times New Roman"/>
          <w:lang w:val="en-US"/>
        </w:rPr>
        <w:t xml:space="preserve"> </w:t>
      </w:r>
      <w:r w:rsidRPr="003461F4">
        <w:rPr>
          <w:rFonts w:ascii="Times New Roman" w:hAnsi="Times New Roman" w:cs="Times New Roman"/>
          <w:bCs/>
          <w:lang w:val="en-US"/>
        </w:rPr>
        <w:t xml:space="preserve">Ang. </w:t>
      </w:r>
      <w:r w:rsidRPr="003461F4">
        <w:rPr>
          <w:rFonts w:ascii="Times New Roman" w:hAnsi="Times New Roman" w:cs="Times New Roman"/>
          <w:bCs/>
          <w:i/>
          <w:iCs/>
          <w:lang w:val="en-US"/>
        </w:rPr>
        <w:t>it is established and operated in its jurisdiction of residence</w:t>
      </w:r>
      <w:r w:rsidRPr="003461F4">
        <w:rPr>
          <w:rFonts w:ascii="Times New Roman" w:hAnsi="Times New Roman" w:cs="Times New Roman"/>
          <w:bCs/>
          <w:lang w:val="en-US"/>
        </w:rPr>
        <w:t>.</w:t>
      </w:r>
    </w:p>
  </w:footnote>
  <w:footnote w:id="58">
    <w:p w14:paraId="21A40480" w14:textId="77777777" w:rsidR="00DB7D51" w:rsidRPr="003461F4" w:rsidRDefault="00DB7D51" w:rsidP="00DB7D51">
      <w:pPr>
        <w:pStyle w:val="Tekstprzypisudolnego"/>
        <w:jc w:val="both"/>
        <w:rPr>
          <w:rFonts w:ascii="Times New Roman" w:hAnsi="Times New Roman" w:cs="Times New Roman"/>
          <w:bCs/>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Zgodnie z Komentarzem warunek ten nie powinien być odczytywany jako eliminujący z zakresu definicji NPO </w:t>
      </w:r>
      <w:r w:rsidRPr="003461F4">
        <w:rPr>
          <w:rFonts w:ascii="Times New Roman" w:hAnsi="Times New Roman" w:cs="Times New Roman"/>
          <w:bCs/>
        </w:rPr>
        <w:t>jednostkę, która w ramach swojej działalności na rzecz pozyskiwania środków finansowych sprzedaje koszulki lub inne produkty ze swoim logo. Nie spełni natomiast tego warunku podmiot, który zajmuje się wyłącznie sprzedażą takich produktów nawet jeśli zrezygnowałby ze swoich zysków na szczytny cel.</w:t>
      </w:r>
    </w:p>
  </w:footnote>
  <w:footnote w:id="59">
    <w:p w14:paraId="2C4D74B3" w14:textId="77777777" w:rsidR="00DB7D51" w:rsidRPr="003461F4" w:rsidRDefault="00DB7D51" w:rsidP="003461F4">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Są to pozycje wyłączone z kwalifikowanego dochodu (straty) jednostki na mocy przepisów </w:t>
      </w:r>
      <w:r w:rsidRPr="003461F4">
        <w:rPr>
          <w:rFonts w:ascii="Times New Roman" w:hAnsi="Times New Roman" w:cs="Times New Roman"/>
          <w:b/>
          <w:bCs/>
        </w:rPr>
        <w:t>działu V</w:t>
      </w:r>
      <w:r w:rsidRPr="003461F4">
        <w:rPr>
          <w:rFonts w:ascii="Times New Roman" w:hAnsi="Times New Roman" w:cs="Times New Roman"/>
        </w:rPr>
        <w:t>.</w:t>
      </w:r>
    </w:p>
  </w:footnote>
  <w:footnote w:id="60">
    <w:p w14:paraId="3282B478" w14:textId="4C648DB7" w:rsidR="00DB7D51" w:rsidRPr="003461F4" w:rsidRDefault="00DB7D51" w:rsidP="003461F4">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Przepisy </w:t>
      </w:r>
      <w:r w:rsidRPr="003461F4">
        <w:rPr>
          <w:rFonts w:ascii="Times New Roman" w:hAnsi="Times New Roman" w:cs="Times New Roman"/>
          <w:b/>
          <w:bCs/>
        </w:rPr>
        <w:t xml:space="preserve">art. 5 ust. </w:t>
      </w:r>
      <w:r w:rsidR="00B33A6C" w:rsidRPr="003461F4">
        <w:rPr>
          <w:rFonts w:ascii="Times New Roman" w:hAnsi="Times New Roman" w:cs="Times New Roman"/>
          <w:b/>
          <w:bCs/>
        </w:rPr>
        <w:t>2</w:t>
      </w:r>
      <w:r w:rsidRPr="003461F4">
        <w:rPr>
          <w:rFonts w:ascii="Times New Roman" w:hAnsi="Times New Roman" w:cs="Times New Roman"/>
          <w:b/>
          <w:bCs/>
        </w:rPr>
        <w:t xml:space="preserve"> pkt 7 i 8</w:t>
      </w:r>
      <w:r w:rsidRPr="003461F4">
        <w:rPr>
          <w:rFonts w:ascii="Times New Roman" w:hAnsi="Times New Roman" w:cs="Times New Roman"/>
        </w:rPr>
        <w:t xml:space="preserve"> mają zastosowanie również w przypadku, gdy jednostka składowa znajduje się w posiadaniu jednostki wyłączonej, która nie wchodzi w skład danej grupy z uwagi na to, że nie podlega ona konsolidacji pełnej. Przykładowo, jednostka dominująca najwyższego szczebla, której wszystkie udziały należą do funduszu inwestycyjnego, który nie podlega konsolidacji pełnej, może też kwalifikować się jako jednostka wyłączona na podstawie ww. przepisów. [Komentarz, 1.5.2;45]</w:t>
      </w:r>
    </w:p>
  </w:footnote>
  <w:footnote w:id="61">
    <w:p w14:paraId="5B523755" w14:textId="77777777" w:rsidR="00DB7D51" w:rsidRPr="003461F4" w:rsidRDefault="00DB7D51" w:rsidP="003461F4">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Co jest zgodne z Komentarzem [1.5.2;51].  </w:t>
      </w:r>
    </w:p>
  </w:footnote>
  <w:footnote w:id="62">
    <w:p w14:paraId="7C21AC9D" w14:textId="77777777" w:rsidR="00DB7D51" w:rsidRPr="003461F4" w:rsidRDefault="00DB7D51" w:rsidP="00DB7D51">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Np. na dzień wyemitowania przez jednostkę nowych akcji akcjonariuszowi mniejszościowemu, czy pracownikom w ramach pakietu wynagrodzeń. </w:t>
      </w:r>
    </w:p>
  </w:footnote>
  <w:footnote w:id="63">
    <w:p w14:paraId="32E80317" w14:textId="77777777" w:rsidR="00DB7D51" w:rsidRPr="003461F4" w:rsidRDefault="00DB7D51" w:rsidP="00DB7D51">
      <w:pPr>
        <w:pStyle w:val="Tekstprzypisudolnego"/>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Wytyczne z lutego 2023 r., pkt 1.5 par. 8, dot. par. 1.5.2;43 Komentarza.</w:t>
      </w:r>
    </w:p>
  </w:footnote>
  <w:footnote w:id="64">
    <w:p w14:paraId="09CB4D2B" w14:textId="77777777" w:rsidR="00DB7D51" w:rsidRPr="003461F4" w:rsidRDefault="00DB7D51" w:rsidP="00DB7D51">
      <w:pPr>
        <w:pStyle w:val="Tekstprzypisudolnego"/>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Wytyczne z lutego 2023 r., pkt 1.6.</w:t>
      </w:r>
    </w:p>
  </w:footnote>
  <w:footnote w:id="65">
    <w:p w14:paraId="575C2CDB" w14:textId="016D8404" w:rsidR="00DB7D51" w:rsidRPr="003461F4" w:rsidRDefault="00DB7D51" w:rsidP="00DB7D51">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Następuje to przy założeniu, że grupa nie stosuje wobec tych </w:t>
      </w:r>
      <w:r w:rsidR="00442594" w:rsidRPr="003461F4">
        <w:rPr>
          <w:rFonts w:ascii="Times New Roman" w:hAnsi="Times New Roman" w:cs="Times New Roman"/>
        </w:rPr>
        <w:t xml:space="preserve">jurysdykcji </w:t>
      </w:r>
      <w:r w:rsidRPr="003461F4">
        <w:rPr>
          <w:rFonts w:ascii="Times New Roman" w:hAnsi="Times New Roman" w:cs="Times New Roman"/>
        </w:rPr>
        <w:t xml:space="preserve">bezpiecznej przystani w odniesieniu do pobieranego w tych </w:t>
      </w:r>
      <w:r w:rsidR="00442594" w:rsidRPr="003461F4">
        <w:rPr>
          <w:rFonts w:ascii="Times New Roman" w:hAnsi="Times New Roman" w:cs="Times New Roman"/>
        </w:rPr>
        <w:t xml:space="preserve">jurysdykcjach </w:t>
      </w:r>
      <w:r w:rsidRPr="003461F4">
        <w:rPr>
          <w:rFonts w:ascii="Times New Roman" w:hAnsi="Times New Roman" w:cs="Times New Roman"/>
        </w:rPr>
        <w:t>kwalifikowanego krajowego podatku wyrównawczego; w przypadku niestosowania takiej bezpiecznej przystani, kwalifikowany zagraniczny podatek wyrównawczy podlega odliczeniu od globalnego podatku wyrównawczego należnego od polskiej jednostki dominującej.</w:t>
      </w:r>
    </w:p>
  </w:footnote>
  <w:footnote w:id="66">
    <w:p w14:paraId="0631BD48" w14:textId="5BCF5260" w:rsidR="00DB7D51" w:rsidRPr="003461F4" w:rsidRDefault="00DB7D51" w:rsidP="00DB7D51">
      <w:pPr>
        <w:spacing w:after="120" w:line="240" w:lineRule="auto"/>
        <w:jc w:val="both"/>
        <w:rPr>
          <w:rFonts w:ascii="Times New Roman" w:hAnsi="Times New Roman" w:cs="Times New Roman"/>
          <w:sz w:val="20"/>
          <w:szCs w:val="20"/>
        </w:rPr>
      </w:pPr>
      <w:r w:rsidRPr="003461F4">
        <w:rPr>
          <w:rStyle w:val="Odwoanieprzypisudolnego"/>
          <w:rFonts w:ascii="Times New Roman" w:hAnsi="Times New Roman" w:cs="Times New Roman"/>
          <w:sz w:val="20"/>
          <w:szCs w:val="20"/>
        </w:rPr>
        <w:footnoteRef/>
      </w:r>
      <w:r w:rsidRPr="003461F4">
        <w:rPr>
          <w:rFonts w:ascii="Times New Roman" w:hAnsi="Times New Roman" w:cs="Times New Roman"/>
          <w:sz w:val="20"/>
          <w:szCs w:val="20"/>
        </w:rPr>
        <w:t xml:space="preserve"> Zgodnie z Komentarzem, dla statusu danej jednostki jako rezydenta podatkowego </w:t>
      </w:r>
      <w:r w:rsidR="004A058D" w:rsidRPr="003461F4">
        <w:rPr>
          <w:rFonts w:ascii="Times New Roman" w:hAnsi="Times New Roman" w:cs="Times New Roman"/>
          <w:sz w:val="20"/>
          <w:szCs w:val="20"/>
        </w:rPr>
        <w:t xml:space="preserve">danej jurysdykcji </w:t>
      </w:r>
      <w:r w:rsidRPr="003461F4">
        <w:rPr>
          <w:rFonts w:ascii="Times New Roman" w:hAnsi="Times New Roman" w:cs="Times New Roman"/>
          <w:sz w:val="20"/>
          <w:szCs w:val="20"/>
        </w:rPr>
        <w:t xml:space="preserve">istotne znaczenie ma takie jego traktowanie na gruncie prawa ogólnokrajowego (w tym np. federalnego). Różnice w tym zakresie wynikające z prawa obowiązującego na szczeblu lokalnym nie mają znaczenia dla celów GloBE.   </w:t>
      </w:r>
    </w:p>
    <w:p w14:paraId="3D371FF7" w14:textId="499AC0FE" w:rsidR="00DB7D51" w:rsidRPr="003461F4" w:rsidRDefault="00DB7D51" w:rsidP="00DB7D51">
      <w:pPr>
        <w:pStyle w:val="Tekstprzypisudolnego"/>
        <w:jc w:val="both"/>
        <w:rPr>
          <w:rFonts w:ascii="Times New Roman" w:hAnsi="Times New Roman" w:cs="Times New Roman"/>
        </w:rPr>
      </w:pPr>
      <w:r w:rsidRPr="003461F4">
        <w:rPr>
          <w:rFonts w:ascii="Times New Roman" w:hAnsi="Times New Roman" w:cs="Times New Roman"/>
        </w:rPr>
        <w:t xml:space="preserve">Ponadto, w przypadku, gdy </w:t>
      </w:r>
      <w:r w:rsidR="006550BD" w:rsidRPr="003461F4">
        <w:rPr>
          <w:rFonts w:ascii="Times New Roman" w:hAnsi="Times New Roman" w:cs="Times New Roman"/>
        </w:rPr>
        <w:t xml:space="preserve">określona jurysdykcja </w:t>
      </w:r>
      <w:r w:rsidRPr="003461F4">
        <w:rPr>
          <w:rFonts w:ascii="Times New Roman" w:hAnsi="Times New Roman" w:cs="Times New Roman"/>
        </w:rPr>
        <w:t xml:space="preserve">zezwala jednostce utworzonej zagranicą na dokonanie wyboru uznania jej za rezydenta podatkowego </w:t>
      </w:r>
      <w:r w:rsidR="006550BD" w:rsidRPr="003461F4">
        <w:rPr>
          <w:rFonts w:ascii="Times New Roman" w:hAnsi="Times New Roman" w:cs="Times New Roman"/>
        </w:rPr>
        <w:t>tej jurysdykcji</w:t>
      </w:r>
      <w:r w:rsidRPr="003461F4">
        <w:rPr>
          <w:rFonts w:ascii="Times New Roman" w:hAnsi="Times New Roman" w:cs="Times New Roman"/>
        </w:rPr>
        <w:t xml:space="preserve">, istnienie takiej możliwości prawnej samo w sobie nie decyduje o ustaleniu </w:t>
      </w:r>
      <w:r w:rsidRPr="003461F4">
        <w:rPr>
          <w:rFonts w:ascii="Times New Roman" w:hAnsi="Times New Roman" w:cs="Times New Roman"/>
          <w:iCs/>
        </w:rPr>
        <w:t>lokalizacji</w:t>
      </w:r>
      <w:r w:rsidRPr="003461F4">
        <w:rPr>
          <w:rFonts w:ascii="Times New Roman" w:hAnsi="Times New Roman" w:cs="Times New Roman"/>
        </w:rPr>
        <w:t xml:space="preserve"> jednostki w </w:t>
      </w:r>
      <w:r w:rsidR="006550BD" w:rsidRPr="003461F4">
        <w:rPr>
          <w:rFonts w:ascii="Times New Roman" w:hAnsi="Times New Roman" w:cs="Times New Roman"/>
        </w:rPr>
        <w:t xml:space="preserve">tej jurysdykcji </w:t>
      </w:r>
      <w:r w:rsidRPr="003461F4">
        <w:rPr>
          <w:rFonts w:ascii="Times New Roman" w:hAnsi="Times New Roman" w:cs="Times New Roman"/>
        </w:rPr>
        <w:t>(jeśli nie dokona ona takiego wyboru). Fakt istnienia takiej możliwości nie stanowi „kryterium o podobnym charakterze”, o którym mowa w omawianym przepisie.</w:t>
      </w:r>
    </w:p>
  </w:footnote>
  <w:footnote w:id="67">
    <w:p w14:paraId="06D2120A" w14:textId="77777777" w:rsidR="00DB7D51" w:rsidRPr="003461F4" w:rsidRDefault="00DB7D51" w:rsidP="00DB7D51">
      <w:pPr>
        <w:pStyle w:val="Tekstprzypisudolnego"/>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Zob. Komentarz [10.3.4;198]. </w:t>
      </w:r>
    </w:p>
  </w:footnote>
  <w:footnote w:id="68">
    <w:p w14:paraId="440AABCD" w14:textId="537C0401" w:rsidR="00DB7D51" w:rsidRPr="003461F4" w:rsidRDefault="00DB7D51" w:rsidP="00DB7D51">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W tym zakresie Komentarz [10.2;203] wyjaśnia ponadto, że nie uwzględnia się podatków zagranicznych, w szczególności podatku u źródła rozliczonego w </w:t>
      </w:r>
      <w:r w:rsidR="00A30960" w:rsidRPr="003461F4">
        <w:rPr>
          <w:rFonts w:ascii="Times New Roman" w:hAnsi="Times New Roman" w:cs="Times New Roman"/>
        </w:rPr>
        <w:t>innej jurysdykcji</w:t>
      </w:r>
      <w:r w:rsidRPr="003461F4">
        <w:rPr>
          <w:rFonts w:ascii="Times New Roman" w:hAnsi="Times New Roman" w:cs="Times New Roman"/>
        </w:rPr>
        <w:t xml:space="preserve">. </w:t>
      </w:r>
    </w:p>
  </w:footnote>
  <w:footnote w:id="69">
    <w:p w14:paraId="686DAAB7" w14:textId="5D74FB19" w:rsidR="00DB7D51" w:rsidRPr="003461F4" w:rsidRDefault="00DB7D51" w:rsidP="00DB7D51">
      <w:pPr>
        <w:spacing w:after="120" w:line="240" w:lineRule="auto"/>
        <w:jc w:val="both"/>
        <w:rPr>
          <w:rFonts w:ascii="Times New Roman" w:hAnsi="Times New Roman" w:cs="Times New Roman"/>
          <w:sz w:val="20"/>
          <w:szCs w:val="20"/>
        </w:rPr>
      </w:pPr>
      <w:r w:rsidRPr="003461F4">
        <w:rPr>
          <w:rStyle w:val="Odwoanieprzypisudolnego"/>
          <w:rFonts w:ascii="Times New Roman" w:hAnsi="Times New Roman" w:cs="Times New Roman"/>
          <w:sz w:val="20"/>
          <w:szCs w:val="20"/>
        </w:rPr>
        <w:footnoteRef/>
      </w:r>
      <w:r w:rsidRPr="003461F4">
        <w:rPr>
          <w:rFonts w:ascii="Times New Roman" w:hAnsi="Times New Roman" w:cs="Times New Roman"/>
          <w:sz w:val="20"/>
          <w:szCs w:val="20"/>
        </w:rPr>
        <w:t xml:space="preserve"> Końcowa treść </w:t>
      </w:r>
      <w:r w:rsidRPr="003461F4">
        <w:rPr>
          <w:rFonts w:ascii="Times New Roman" w:hAnsi="Times New Roman" w:cs="Times New Roman"/>
          <w:b/>
          <w:bCs/>
          <w:sz w:val="20"/>
          <w:szCs w:val="20"/>
        </w:rPr>
        <w:t>ust. 4</w:t>
      </w:r>
      <w:r w:rsidRPr="003461F4">
        <w:rPr>
          <w:rFonts w:ascii="Times New Roman" w:hAnsi="Times New Roman" w:cs="Times New Roman"/>
          <w:sz w:val="20"/>
          <w:szCs w:val="20"/>
        </w:rPr>
        <w:t xml:space="preserve"> uwzględnia fakt, iż stosowanie wynikającej z niego normy może być ograniczone przez postanowienia konkretnej UPO. Tego rodzaju sytuacja może mieć miejsce, gdy zawarte w takiej umowie reguły kolizyjne jednoznacznie określają rezydencję jednostki dla celów stosowania tej umowy oraz przesądzają - w świetle zasad zawartych w przepisach analogicznych do art. 7 lub art. 21 </w:t>
      </w:r>
      <w:r w:rsidR="00186DED" w:rsidRPr="003461F4">
        <w:rPr>
          <w:rFonts w:ascii="Times New Roman" w:hAnsi="Times New Roman" w:cs="Times New Roman"/>
          <w:sz w:val="20"/>
          <w:szCs w:val="20"/>
        </w:rPr>
        <w:t>Modelowej k</w:t>
      </w:r>
      <w:r w:rsidRPr="003461F4">
        <w:rPr>
          <w:rFonts w:ascii="Times New Roman" w:hAnsi="Times New Roman" w:cs="Times New Roman"/>
          <w:sz w:val="20"/>
          <w:szCs w:val="20"/>
        </w:rPr>
        <w:t>onwencji</w:t>
      </w:r>
      <w:r w:rsidR="00186DED" w:rsidRPr="003461F4">
        <w:rPr>
          <w:rFonts w:ascii="Times New Roman" w:hAnsi="Times New Roman" w:cs="Times New Roman"/>
          <w:sz w:val="20"/>
          <w:szCs w:val="20"/>
        </w:rPr>
        <w:t xml:space="preserve"> OECD</w:t>
      </w:r>
      <w:r w:rsidRPr="003461F4">
        <w:rPr>
          <w:rFonts w:ascii="Times New Roman" w:hAnsi="Times New Roman" w:cs="Times New Roman"/>
          <w:sz w:val="20"/>
          <w:szCs w:val="20"/>
        </w:rPr>
        <w:t xml:space="preserve"> -  o niemożliwości opodatkowania przez </w:t>
      </w:r>
      <w:r w:rsidR="00A30960" w:rsidRPr="003461F4">
        <w:rPr>
          <w:rFonts w:ascii="Times New Roman" w:hAnsi="Times New Roman" w:cs="Times New Roman"/>
          <w:sz w:val="20"/>
          <w:szCs w:val="20"/>
        </w:rPr>
        <w:t xml:space="preserve">drugą jurysdykcję </w:t>
      </w:r>
      <w:r w:rsidRPr="003461F4">
        <w:rPr>
          <w:rFonts w:ascii="Times New Roman" w:hAnsi="Times New Roman" w:cs="Times New Roman"/>
          <w:sz w:val="20"/>
          <w:szCs w:val="20"/>
        </w:rPr>
        <w:t xml:space="preserve">takiej jednostki, w tym zgodnie z Kwalifikowaną Zasadą IIR. [Komentarz, 10.1;20] W przypadku, gdy UPO zawiera zasadę zgodną z art. 4 ust. 3 </w:t>
      </w:r>
      <w:r w:rsidR="00186DED" w:rsidRPr="003461F4">
        <w:rPr>
          <w:rFonts w:ascii="Times New Roman" w:hAnsi="Times New Roman" w:cs="Times New Roman"/>
          <w:sz w:val="20"/>
          <w:szCs w:val="20"/>
        </w:rPr>
        <w:t>Modelowej k</w:t>
      </w:r>
      <w:r w:rsidRPr="003461F4">
        <w:rPr>
          <w:rFonts w:ascii="Times New Roman" w:hAnsi="Times New Roman" w:cs="Times New Roman"/>
          <w:sz w:val="20"/>
          <w:szCs w:val="20"/>
        </w:rPr>
        <w:t>onwencji</w:t>
      </w:r>
      <w:r w:rsidR="00186DED" w:rsidRPr="003461F4">
        <w:rPr>
          <w:rFonts w:ascii="Times New Roman" w:hAnsi="Times New Roman" w:cs="Times New Roman"/>
          <w:sz w:val="20"/>
          <w:szCs w:val="20"/>
        </w:rPr>
        <w:t xml:space="preserve"> OECD</w:t>
      </w:r>
      <w:r w:rsidRPr="003461F4">
        <w:rPr>
          <w:rFonts w:ascii="Times New Roman" w:hAnsi="Times New Roman" w:cs="Times New Roman"/>
          <w:sz w:val="20"/>
          <w:szCs w:val="20"/>
        </w:rPr>
        <w:t xml:space="preserve"> (lub analogiczną), wymagającą osiągnięcia porozumienia między właściwymi </w:t>
      </w:r>
      <w:r w:rsidR="00A30960" w:rsidRPr="003461F4">
        <w:rPr>
          <w:rFonts w:ascii="Times New Roman" w:hAnsi="Times New Roman" w:cs="Times New Roman"/>
          <w:sz w:val="20"/>
          <w:szCs w:val="20"/>
        </w:rPr>
        <w:t>jurysdykcjami</w:t>
      </w:r>
      <w:r w:rsidRPr="003461F4">
        <w:rPr>
          <w:rFonts w:ascii="Times New Roman" w:hAnsi="Times New Roman" w:cs="Times New Roman"/>
          <w:sz w:val="20"/>
          <w:szCs w:val="20"/>
        </w:rPr>
        <w:t xml:space="preserve">, takie porozumienie może przewidywać, że nie ogranicza ono </w:t>
      </w:r>
      <w:r w:rsidR="00A30960" w:rsidRPr="003461F4">
        <w:rPr>
          <w:rFonts w:ascii="Times New Roman" w:hAnsi="Times New Roman" w:cs="Times New Roman"/>
          <w:sz w:val="20"/>
          <w:szCs w:val="20"/>
        </w:rPr>
        <w:t xml:space="preserve">danej jurysdykcji </w:t>
      </w:r>
      <w:r w:rsidRPr="003461F4">
        <w:rPr>
          <w:rFonts w:ascii="Times New Roman" w:hAnsi="Times New Roman" w:cs="Times New Roman"/>
          <w:sz w:val="20"/>
          <w:szCs w:val="20"/>
        </w:rPr>
        <w:t xml:space="preserve">w stosowania Kwalifikowanej Zasady IIR w przypadku, gdy </w:t>
      </w:r>
      <w:r w:rsidR="00A30960" w:rsidRPr="003461F4">
        <w:rPr>
          <w:rFonts w:ascii="Times New Roman" w:hAnsi="Times New Roman" w:cs="Times New Roman"/>
          <w:sz w:val="20"/>
          <w:szCs w:val="20"/>
        </w:rPr>
        <w:t xml:space="preserve">pierwsza jurysdykcja </w:t>
      </w:r>
      <w:r w:rsidRPr="003461F4">
        <w:rPr>
          <w:rFonts w:ascii="Times New Roman" w:hAnsi="Times New Roman" w:cs="Times New Roman"/>
          <w:sz w:val="20"/>
          <w:szCs w:val="20"/>
        </w:rPr>
        <w:t>nie przyjęł</w:t>
      </w:r>
      <w:r w:rsidR="003F7397" w:rsidRPr="003461F4">
        <w:rPr>
          <w:rFonts w:ascii="Times New Roman" w:hAnsi="Times New Roman" w:cs="Times New Roman"/>
          <w:sz w:val="20"/>
          <w:szCs w:val="20"/>
        </w:rPr>
        <w:t>a</w:t>
      </w:r>
      <w:r w:rsidRPr="003461F4">
        <w:rPr>
          <w:rFonts w:ascii="Times New Roman" w:hAnsi="Times New Roman" w:cs="Times New Roman"/>
          <w:sz w:val="20"/>
          <w:szCs w:val="20"/>
        </w:rPr>
        <w:t xml:space="preserve"> tej zasady. Alternatywnie, jeżeli nie osiągnięto porozumienia między właściwymi organami, a jednostka składowa nie byłaby uprawniona do żadnej ulgi lub zwolnienia z podatku, wówczas nic nie stoi na przeszkodzie, aby inna </w:t>
      </w:r>
      <w:r w:rsidR="00A30960" w:rsidRPr="003461F4">
        <w:rPr>
          <w:rFonts w:ascii="Times New Roman" w:hAnsi="Times New Roman" w:cs="Times New Roman"/>
          <w:sz w:val="20"/>
          <w:szCs w:val="20"/>
        </w:rPr>
        <w:t xml:space="preserve">jurysdykcja </w:t>
      </w:r>
      <w:r w:rsidRPr="003461F4">
        <w:rPr>
          <w:rFonts w:ascii="Times New Roman" w:hAnsi="Times New Roman" w:cs="Times New Roman"/>
          <w:sz w:val="20"/>
          <w:szCs w:val="20"/>
        </w:rPr>
        <w:t>(</w:t>
      </w:r>
      <w:r w:rsidR="00A30960" w:rsidRPr="003461F4">
        <w:rPr>
          <w:rFonts w:ascii="Times New Roman" w:hAnsi="Times New Roman" w:cs="Times New Roman"/>
          <w:sz w:val="20"/>
          <w:szCs w:val="20"/>
        </w:rPr>
        <w:t>ta</w:t>
      </w:r>
      <w:r w:rsidRPr="003461F4">
        <w:rPr>
          <w:rFonts w:ascii="Times New Roman" w:hAnsi="Times New Roman" w:cs="Times New Roman"/>
          <w:sz w:val="20"/>
          <w:szCs w:val="20"/>
        </w:rPr>
        <w:t xml:space="preserve">, </w:t>
      </w:r>
      <w:r w:rsidR="00A30960" w:rsidRPr="003461F4">
        <w:rPr>
          <w:rFonts w:ascii="Times New Roman" w:hAnsi="Times New Roman" w:cs="Times New Roman"/>
          <w:sz w:val="20"/>
          <w:szCs w:val="20"/>
        </w:rPr>
        <w:t xml:space="preserve">która wdrożyła </w:t>
      </w:r>
      <w:r w:rsidRPr="003461F4">
        <w:rPr>
          <w:rFonts w:ascii="Times New Roman" w:hAnsi="Times New Roman" w:cs="Times New Roman"/>
          <w:sz w:val="20"/>
          <w:szCs w:val="20"/>
        </w:rPr>
        <w:t xml:space="preserve">Zasady GloBE) </w:t>
      </w:r>
      <w:r w:rsidR="00A30960" w:rsidRPr="003461F4">
        <w:rPr>
          <w:rFonts w:ascii="Times New Roman" w:hAnsi="Times New Roman" w:cs="Times New Roman"/>
          <w:sz w:val="20"/>
          <w:szCs w:val="20"/>
        </w:rPr>
        <w:t xml:space="preserve">mogła </w:t>
      </w:r>
      <w:r w:rsidRPr="003461F4">
        <w:rPr>
          <w:rFonts w:ascii="Times New Roman" w:hAnsi="Times New Roman" w:cs="Times New Roman"/>
          <w:sz w:val="20"/>
          <w:szCs w:val="20"/>
        </w:rPr>
        <w:t xml:space="preserve">stosować Zasadę IIR. W tym przypadku ograniczenie, zawarte w końcowej części przepisu </w:t>
      </w:r>
      <w:r w:rsidRPr="003461F4">
        <w:rPr>
          <w:rFonts w:ascii="Times New Roman" w:hAnsi="Times New Roman" w:cs="Times New Roman"/>
          <w:b/>
          <w:bCs/>
          <w:sz w:val="20"/>
          <w:szCs w:val="20"/>
        </w:rPr>
        <w:t>art. 8 ust. 4</w:t>
      </w:r>
      <w:r w:rsidRPr="003461F4">
        <w:rPr>
          <w:rFonts w:ascii="Times New Roman" w:hAnsi="Times New Roman" w:cs="Times New Roman"/>
          <w:sz w:val="20"/>
          <w:szCs w:val="20"/>
        </w:rPr>
        <w:t xml:space="preserve">, nie znajdzie zastosowania, gdyż nie można mówić, że dana UPO „stoi na przeszkodzie”, czy też „zabrania” stosowania Zasad GloBE przez </w:t>
      </w:r>
      <w:r w:rsidR="00A30960" w:rsidRPr="003461F4">
        <w:rPr>
          <w:rFonts w:ascii="Times New Roman" w:hAnsi="Times New Roman" w:cs="Times New Roman"/>
          <w:sz w:val="20"/>
          <w:szCs w:val="20"/>
        </w:rPr>
        <w:t>tę jurysdykcję</w:t>
      </w:r>
      <w:r w:rsidRPr="003461F4">
        <w:rPr>
          <w:rFonts w:ascii="Times New Roman" w:hAnsi="Times New Roman" w:cs="Times New Roman"/>
          <w:sz w:val="20"/>
          <w:szCs w:val="20"/>
        </w:rPr>
        <w:t>.</w:t>
      </w:r>
    </w:p>
  </w:footnote>
  <w:footnote w:id="70">
    <w:p w14:paraId="523B271D" w14:textId="77777777" w:rsidR="00DB7D51" w:rsidRPr="003461F4" w:rsidRDefault="00DB7D51" w:rsidP="00DB7D51">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w:t>
      </w:r>
      <w:r w:rsidRPr="003461F4">
        <w:rPr>
          <w:rFonts w:ascii="Times New Roman" w:hAnsi="Times New Roman" w:cs="Times New Roman"/>
          <w:iCs/>
        </w:rPr>
        <w:t xml:space="preserve">Na przykład, gdyby UPE posiadała 60% udziałów w POPE, a POPE posiadała 100% udziałów w LTCE, przy braku omawianego rozwiązania, UPE zapłaciłoby wyłącznie 60% globalnego podatku wyrównawczego przypadającego na LTCE (odpowiadającego przypisanemu UPE udziałowi procentowemu w LTCE). </w:t>
      </w:r>
    </w:p>
  </w:footnote>
  <w:footnote w:id="71">
    <w:p w14:paraId="57377C7B" w14:textId="77777777" w:rsidR="006C6FE0" w:rsidRPr="003461F4" w:rsidRDefault="006C6FE0" w:rsidP="006C6FE0">
      <w:pPr>
        <w:pStyle w:val="Tekstprzypisudolnego"/>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Tj. każdej jednostki niebędącej jednostką wyłączoną, co wynika z ogólnej zasady wyrażonej w </w:t>
      </w:r>
      <w:r w:rsidRPr="003461F4">
        <w:rPr>
          <w:rFonts w:ascii="Times New Roman" w:hAnsi="Times New Roman" w:cs="Times New Roman"/>
          <w:b/>
          <w:bCs/>
        </w:rPr>
        <w:t>art. 5</w:t>
      </w:r>
      <w:r w:rsidRPr="003461F4">
        <w:rPr>
          <w:rFonts w:ascii="Times New Roman" w:hAnsi="Times New Roman" w:cs="Times New Roman"/>
        </w:rPr>
        <w:t xml:space="preserve"> projektu.</w:t>
      </w:r>
    </w:p>
  </w:footnote>
  <w:footnote w:id="72">
    <w:p w14:paraId="06AF5221" w14:textId="77777777" w:rsidR="006C6FE0" w:rsidRPr="003461F4" w:rsidRDefault="006C6FE0" w:rsidP="006C6FE0">
      <w:pPr>
        <w:pStyle w:val="Tekstprzypisudolnego"/>
        <w:jc w:val="both"/>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w:t>
      </w:r>
      <w:r w:rsidRPr="003461F4">
        <w:rPr>
          <w:rFonts w:ascii="Times New Roman" w:hAnsi="Times New Roman" w:cs="Times New Roman"/>
          <w:iCs/>
        </w:rPr>
        <w:t>Należy zauważyć, iż Informacja GloBE zawiera inny matematyczny schemat obliczenia jurysdykcyjnego kwalifikowanego dochodu (straty) netto, tj. poprzez zsumowanie księgowego zysku (straty) netto jednostek składowych, a następnie zsumowanie odpowiednich korekt niezbędnych na gruncie Zasad GloBE, co pozwala ustalić jurysdykcyjny kwalifikowany dochód (stratę) netto. Sposób prezentacji przewidziany w Informacji GloBE jest uznawany za zgodny z przepisami ustawy, odzwierciedlającej w tym zakresie odpowiedni przepis Dyrektywy.</w:t>
      </w:r>
    </w:p>
  </w:footnote>
  <w:footnote w:id="73">
    <w:p w14:paraId="0EEE6E7E" w14:textId="77777777" w:rsidR="006C6FE0" w:rsidRPr="003461F4" w:rsidRDefault="006C6FE0" w:rsidP="006C6FE0">
      <w:pPr>
        <w:pStyle w:val="Tekstprzypisudolnego"/>
        <w:rPr>
          <w:rFonts w:ascii="Times New Roman" w:hAnsi="Times New Roman" w:cs="Times New Roman"/>
        </w:rPr>
      </w:pPr>
      <w:r w:rsidRPr="003461F4">
        <w:rPr>
          <w:rStyle w:val="Odwoanieprzypisudolnego"/>
          <w:rFonts w:ascii="Times New Roman" w:hAnsi="Times New Roman" w:cs="Times New Roman"/>
        </w:rPr>
        <w:footnoteRef/>
      </w:r>
      <w:r w:rsidRPr="003461F4">
        <w:rPr>
          <w:rFonts w:ascii="Times New Roman" w:hAnsi="Times New Roman" w:cs="Times New Roman"/>
        </w:rPr>
        <w:t xml:space="preserve"> Zgodnie z Komentarzem, w</w:t>
      </w:r>
      <w:r w:rsidRPr="003461F4">
        <w:rPr>
          <w:rFonts w:ascii="Times New Roman" w:hAnsi="Times New Roman" w:cs="Times New Roman"/>
          <w:iCs/>
        </w:rPr>
        <w:t>ynik jest wyrażony jako stawka procentowa zaokrąglona do czwartego miejsca po przecinku (przykładowo 14,12346% = 14,1235%).</w:t>
      </w:r>
    </w:p>
  </w:footnote>
  <w:footnote w:id="74">
    <w:p w14:paraId="6C119B95" w14:textId="77777777" w:rsidR="006C6FE0" w:rsidRPr="000F3DE5" w:rsidRDefault="006C6FE0" w:rsidP="006C6FE0">
      <w:pPr>
        <w:pStyle w:val="Tekstprzypisudolnego"/>
        <w:jc w:val="both"/>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Na gruncie przepisów o krajowym podatku wyrównawczym będzie to dodatkowa kwota uwzględniana w jurysdykcyjnym krajowym podatku wyrównawczym.</w:t>
      </w:r>
    </w:p>
  </w:footnote>
  <w:footnote w:id="75">
    <w:p w14:paraId="7A8A8BBA" w14:textId="77777777" w:rsidR="006C6FE0" w:rsidRPr="000F3DE5" w:rsidRDefault="006C6FE0" w:rsidP="006C6FE0">
      <w:pPr>
        <w:pStyle w:val="Tekstprzypisudolnego"/>
        <w:jc w:val="both"/>
        <w:rPr>
          <w:rFonts w:ascii="Times New Roman" w:hAnsi="Times New Roman" w:cs="Times New Roman"/>
          <w:lang w:val="en-US"/>
        </w:rPr>
      </w:pPr>
      <w:r w:rsidRPr="000F3DE5">
        <w:rPr>
          <w:rStyle w:val="Odwoanieprzypisudolnego"/>
          <w:rFonts w:ascii="Times New Roman" w:hAnsi="Times New Roman" w:cs="Times New Roman"/>
        </w:rPr>
        <w:footnoteRef/>
      </w:r>
      <w:r w:rsidRPr="000F3DE5">
        <w:rPr>
          <w:rFonts w:ascii="Times New Roman" w:hAnsi="Times New Roman" w:cs="Times New Roman"/>
          <w:lang w:val="en-US"/>
        </w:rPr>
        <w:t xml:space="preserve"> </w:t>
      </w:r>
      <w:r w:rsidRPr="000F3DE5">
        <w:rPr>
          <w:rFonts w:ascii="Times New Roman" w:hAnsi="Times New Roman" w:cs="Times New Roman"/>
          <w:iCs/>
          <w:lang w:val="en-US"/>
        </w:rPr>
        <w:t>Por. art. 2 pkt 22 ustawy.</w:t>
      </w:r>
    </w:p>
  </w:footnote>
  <w:footnote w:id="76">
    <w:p w14:paraId="301F4E4A" w14:textId="6B0EED79" w:rsidR="006C6FE0" w:rsidRPr="000F3DE5" w:rsidRDefault="006C6FE0" w:rsidP="001B320A">
      <w:pPr>
        <w:pStyle w:val="Tekstprzypisudolnego"/>
        <w:jc w:val="both"/>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w:t>
      </w:r>
      <w:r w:rsidR="00595132" w:rsidRPr="000F3DE5">
        <w:rPr>
          <w:rFonts w:ascii="Times New Roman" w:hAnsi="Times New Roman" w:cs="Times New Roman"/>
        </w:rPr>
        <w:t>P</w:t>
      </w:r>
      <w:r w:rsidRPr="000F3DE5">
        <w:rPr>
          <w:rFonts w:ascii="Times New Roman" w:hAnsi="Times New Roman" w:cs="Times New Roman"/>
        </w:rPr>
        <w:t xml:space="preserve">or. art. 2.2.1. Modelowych </w:t>
      </w:r>
      <w:r w:rsidR="00595132" w:rsidRPr="000F3DE5">
        <w:rPr>
          <w:rFonts w:ascii="Times New Roman" w:hAnsi="Times New Roman" w:cs="Times New Roman"/>
        </w:rPr>
        <w:t>z</w:t>
      </w:r>
      <w:r w:rsidRPr="000F3DE5">
        <w:rPr>
          <w:rFonts w:ascii="Times New Roman" w:hAnsi="Times New Roman" w:cs="Times New Roman"/>
        </w:rPr>
        <w:t xml:space="preserve">asad OECD. </w:t>
      </w:r>
      <w:r w:rsidRPr="000F3DE5">
        <w:rPr>
          <w:rFonts w:ascii="Times New Roman" w:hAnsi="Times New Roman" w:cs="Times New Roman"/>
          <w:u w:val="single"/>
        </w:rPr>
        <w:t>W Dyrektywie natomiast przypisano inne znaczenie temu pojęciu.</w:t>
      </w:r>
    </w:p>
  </w:footnote>
  <w:footnote w:id="77">
    <w:p w14:paraId="3C0B4021" w14:textId="36B91E63" w:rsidR="006C6FE0" w:rsidRPr="000F3DE5" w:rsidRDefault="006C6FE0" w:rsidP="006C6FE0">
      <w:pPr>
        <w:pStyle w:val="Tekstprzypisudolnego"/>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Por. art. 2.2.2 Modelowych </w:t>
      </w:r>
      <w:r w:rsidR="00595132" w:rsidRPr="000F3DE5">
        <w:rPr>
          <w:rFonts w:ascii="Times New Roman" w:hAnsi="Times New Roman" w:cs="Times New Roman"/>
        </w:rPr>
        <w:t>z</w:t>
      </w:r>
      <w:r w:rsidRPr="000F3DE5">
        <w:rPr>
          <w:rFonts w:ascii="Times New Roman" w:hAnsi="Times New Roman" w:cs="Times New Roman"/>
        </w:rPr>
        <w:t>asad OECD.</w:t>
      </w:r>
    </w:p>
  </w:footnote>
  <w:footnote w:id="78">
    <w:p w14:paraId="16A80443" w14:textId="77777777" w:rsidR="006C6FE0" w:rsidRPr="000F3DE5" w:rsidRDefault="006C6FE0" w:rsidP="006C6FE0">
      <w:pPr>
        <w:pStyle w:val="Tekstprzypisudolnego"/>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Zgodnie z szeroką definicją „osób” przedstawioną w </w:t>
      </w:r>
      <w:r w:rsidRPr="000F3DE5">
        <w:rPr>
          <w:rFonts w:ascii="Times New Roman" w:hAnsi="Times New Roman" w:cs="Times New Roman"/>
          <w:b/>
          <w:bCs/>
        </w:rPr>
        <w:t>art. 2</w:t>
      </w:r>
      <w:r w:rsidRPr="000F3DE5">
        <w:rPr>
          <w:rFonts w:ascii="Times New Roman" w:hAnsi="Times New Roman" w:cs="Times New Roman"/>
        </w:rPr>
        <w:t>.</w:t>
      </w:r>
    </w:p>
  </w:footnote>
  <w:footnote w:id="79">
    <w:p w14:paraId="46B842C0" w14:textId="77777777" w:rsidR="006C6FE0" w:rsidRPr="000F3DE5" w:rsidRDefault="006C6FE0" w:rsidP="006C6FE0">
      <w:pPr>
        <w:pStyle w:val="Tekstprzypisudolnego"/>
        <w:jc w:val="both"/>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Warunek ten jest ograniczony do konsolidacji przychodów i kosztów nisko opodatkowanej jednostki. Ograniczenie to ma na celu uniknięcie nieporozumień, które mogłyby powstać w wyniku założenia, że dochód takiej jednostki jest równy kwalifikowanemu dochodowi. Na przykład, zastąpienie kwalifikowanego dochodu w rachunku zysków i strat może nie zostać prawidłowo przeniesione do bilansu lub rachunku przepływów pieniężnych, ale nie ma to znaczenia dla celów badania spełnienia warunków z </w:t>
      </w:r>
      <w:r w:rsidRPr="000F3DE5">
        <w:rPr>
          <w:rFonts w:ascii="Times New Roman" w:hAnsi="Times New Roman" w:cs="Times New Roman"/>
          <w:b/>
          <w:bCs/>
        </w:rPr>
        <w:t>ust. 3</w:t>
      </w:r>
      <w:r w:rsidRPr="000F3DE5">
        <w:rPr>
          <w:rFonts w:ascii="Times New Roman" w:hAnsi="Times New Roman" w:cs="Times New Roman"/>
        </w:rPr>
        <w:t>.</w:t>
      </w:r>
    </w:p>
  </w:footnote>
  <w:footnote w:id="80">
    <w:p w14:paraId="25E5935F" w14:textId="77777777" w:rsidR="006C6FE0" w:rsidRPr="000F3DE5" w:rsidRDefault="006C6FE0" w:rsidP="000F3DE5">
      <w:pPr>
        <w:pStyle w:val="Tekstprzypisudolnego"/>
        <w:jc w:val="both"/>
        <w:rPr>
          <w:rFonts w:ascii="Times New Roman" w:hAnsi="Times New Roman" w:cs="Times New Roman"/>
          <w:lang w:val="en-US"/>
        </w:rPr>
      </w:pPr>
      <w:r w:rsidRPr="000F3DE5">
        <w:rPr>
          <w:rStyle w:val="Odwoanieprzypisudolnego"/>
          <w:rFonts w:ascii="Times New Roman" w:hAnsi="Times New Roman" w:cs="Times New Roman"/>
        </w:rPr>
        <w:footnoteRef/>
      </w:r>
      <w:r w:rsidRPr="000F3DE5">
        <w:rPr>
          <w:rFonts w:ascii="Times New Roman" w:hAnsi="Times New Roman" w:cs="Times New Roman"/>
          <w:lang w:val="en-US"/>
        </w:rPr>
        <w:t xml:space="preserve"> Por. przykład 2.3.2-1, poz. 5 w dokumencie: </w:t>
      </w:r>
      <w:r w:rsidRPr="000F3DE5">
        <w:rPr>
          <w:rFonts w:ascii="Times New Roman" w:eastAsia="ArialMT" w:hAnsi="Times New Roman" w:cs="Times New Roman"/>
          <w:color w:val="000000"/>
          <w:lang w:val="en-US"/>
        </w:rPr>
        <w:t xml:space="preserve">OECD (2022), </w:t>
      </w:r>
      <w:r w:rsidRPr="000F3DE5">
        <w:rPr>
          <w:rFonts w:ascii="Times New Roman" w:eastAsia="ArialMT" w:hAnsi="Times New Roman" w:cs="Times New Roman"/>
          <w:i/>
          <w:iCs/>
          <w:color w:val="000000"/>
          <w:lang w:val="en-US"/>
        </w:rPr>
        <w:t>Global Anti-Base Erosion Model Rules (Pillar Two) Examples</w:t>
      </w:r>
      <w:r w:rsidRPr="000F3DE5">
        <w:rPr>
          <w:rFonts w:ascii="Times New Roman" w:eastAsia="ArialMT" w:hAnsi="Times New Roman" w:cs="Times New Roman"/>
          <w:color w:val="000000"/>
          <w:lang w:val="en-US"/>
        </w:rPr>
        <w:t xml:space="preserve">, OECD, Paris, </w:t>
      </w:r>
      <w:r w:rsidRPr="000F3DE5">
        <w:rPr>
          <w:rFonts w:ascii="Times New Roman" w:eastAsia="ArialMT" w:hAnsi="Times New Roman" w:cs="Times New Roman"/>
          <w:lang w:val="en-US"/>
        </w:rPr>
        <w:t>https://www.oecd.org/tax/beps/tax-challenges-arising-from-the-digitalisationof-the-economy-global-anti-base-erosion-model-rules-pillar-two-examples.pdf</w:t>
      </w:r>
    </w:p>
  </w:footnote>
  <w:footnote w:id="81">
    <w:p w14:paraId="63534A81" w14:textId="77777777" w:rsidR="006C6FE0" w:rsidRPr="000F3DE5" w:rsidRDefault="006C6FE0" w:rsidP="006C6FE0">
      <w:pPr>
        <w:pStyle w:val="Tekstprzypisudolnego"/>
        <w:jc w:val="both"/>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Specyficznym przykładem jest zawarcie porozumienia o rezydencji, o którym mowa w przepisach o lokalizacji (</w:t>
      </w:r>
      <w:r w:rsidRPr="000F3DE5">
        <w:rPr>
          <w:rFonts w:ascii="Times New Roman" w:hAnsi="Times New Roman" w:cs="Times New Roman"/>
          <w:b/>
          <w:bCs/>
        </w:rPr>
        <w:t>rozdział 3 działu I</w:t>
      </w:r>
      <w:r w:rsidRPr="000F3DE5">
        <w:rPr>
          <w:rFonts w:ascii="Times New Roman" w:hAnsi="Times New Roman" w:cs="Times New Roman"/>
        </w:rPr>
        <w:t xml:space="preserve">), w kolejnych latach podatkowych po rozliczeniu globalnego podatku wyrównawczego </w:t>
      </w:r>
      <w:r w:rsidRPr="000F3DE5">
        <w:rPr>
          <w:rFonts w:ascii="Times New Roman" w:hAnsi="Times New Roman" w:cs="Times New Roman"/>
        </w:rPr>
        <w:br/>
        <w:t>i zastosowanie jego postanowień retroaktywnie [Komentarz, 10.3.4;198], co spowoduje konieczność wstecznego dostosowania skorygowanych podatków kwalifikowanych.</w:t>
      </w:r>
    </w:p>
  </w:footnote>
  <w:footnote w:id="82">
    <w:p w14:paraId="0D5E32DF" w14:textId="77777777" w:rsidR="006C6FE0" w:rsidRPr="000F3DE5" w:rsidRDefault="006C6FE0" w:rsidP="006C6FE0">
      <w:pPr>
        <w:pStyle w:val="Tekstprzypisudolnego"/>
        <w:jc w:val="both"/>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Por. wyjaśnienie do </w:t>
      </w:r>
      <w:r w:rsidRPr="000F3DE5">
        <w:rPr>
          <w:rFonts w:ascii="Times New Roman" w:hAnsi="Times New Roman" w:cs="Times New Roman"/>
          <w:b/>
          <w:bCs/>
        </w:rPr>
        <w:t>art. 17</w:t>
      </w:r>
      <w:r w:rsidRPr="000F3DE5">
        <w:rPr>
          <w:rFonts w:ascii="Times New Roman" w:hAnsi="Times New Roman" w:cs="Times New Roman"/>
        </w:rPr>
        <w:t xml:space="preserve"> i </w:t>
      </w:r>
      <w:r w:rsidRPr="000F3DE5">
        <w:rPr>
          <w:rFonts w:ascii="Times New Roman" w:hAnsi="Times New Roman" w:cs="Times New Roman"/>
          <w:b/>
          <w:bCs/>
        </w:rPr>
        <w:t>art. 98-99</w:t>
      </w:r>
      <w:r w:rsidRPr="000F3DE5">
        <w:rPr>
          <w:rFonts w:ascii="Times New Roman" w:hAnsi="Times New Roman" w:cs="Times New Roman"/>
        </w:rPr>
        <w:t>.</w:t>
      </w:r>
    </w:p>
  </w:footnote>
  <w:footnote w:id="83">
    <w:p w14:paraId="71D26016" w14:textId="77777777" w:rsidR="006C6FE0" w:rsidRPr="000F3DE5" w:rsidRDefault="006C6FE0" w:rsidP="006C6FE0">
      <w:pPr>
        <w:pStyle w:val="Tekstprzypisudolnego"/>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Jest to zatem inna reguła niż w kroku 2 (nie uwzględnia się kwalifikowanego dochodu za rok poprzedni, tylko hipotetyczny dochód powiązany bardziej z kwotą podatku).</w:t>
      </w:r>
    </w:p>
  </w:footnote>
  <w:footnote w:id="84">
    <w:p w14:paraId="2EBD2C59" w14:textId="77777777" w:rsidR="006C6FE0" w:rsidRPr="000F3DE5" w:rsidRDefault="006C6FE0" w:rsidP="006C6FE0">
      <w:pPr>
        <w:pStyle w:val="Tekstprzypisudolnego"/>
        <w:jc w:val="both"/>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w:t>
      </w:r>
      <w:r w:rsidRPr="000F3DE5">
        <w:rPr>
          <w:rFonts w:ascii="Times New Roman" w:hAnsi="Times New Roman" w:cs="Times New Roman"/>
          <w:bCs/>
        </w:rPr>
        <w:t>Nie dotyczy to udziałów własnościowych, w odniesieniu do których dokonano wyboru, aby traktować daną jednostkę jako jednostkę transparentną podatkowo.</w:t>
      </w:r>
    </w:p>
  </w:footnote>
  <w:footnote w:id="85">
    <w:p w14:paraId="2A5B0BA7" w14:textId="76CF974D" w:rsidR="006C6FE0" w:rsidRPr="000F3DE5" w:rsidRDefault="006C6FE0" w:rsidP="006C6FE0">
      <w:pPr>
        <w:pStyle w:val="Tekstprzypisudolnego"/>
        <w:jc w:val="both"/>
        <w:rPr>
          <w:rFonts w:ascii="Times New Roman" w:hAnsi="Times New Roman" w:cs="Times New Roman"/>
        </w:rPr>
      </w:pPr>
      <w:r w:rsidRPr="000F3DE5">
        <w:rPr>
          <w:rStyle w:val="Odwoanieprzypisudolnego"/>
          <w:rFonts w:ascii="Times New Roman" w:hAnsi="Times New Roman" w:cs="Times New Roman"/>
        </w:rPr>
        <w:footnoteRef/>
      </w:r>
      <w:r w:rsidRPr="000F3DE5">
        <w:rPr>
          <w:rFonts w:ascii="Times New Roman" w:hAnsi="Times New Roman" w:cs="Times New Roman"/>
        </w:rPr>
        <w:t xml:space="preserve"> Zgodnie z wytycznymi OECD i Komisji Europejskiej nie stosuje się w tym zakresie proporcji udziału grupy </w:t>
      </w:r>
      <w:r w:rsidRPr="000F3DE5">
        <w:rPr>
          <w:rFonts w:ascii="Times New Roman" w:hAnsi="Times New Roman" w:cs="Times New Roman"/>
        </w:rPr>
        <w:br/>
        <w:t xml:space="preserve">w kwalifikowanym dochodzie tej jednostki do całkowitego kwalifikowanego dochodu takiej jednostki, wynikającej z art. 41.4 Dyrektywy i odpowiedniej regulacji Modelowych </w:t>
      </w:r>
      <w:r w:rsidR="00595132" w:rsidRPr="000F3DE5">
        <w:rPr>
          <w:rFonts w:ascii="Times New Roman" w:hAnsi="Times New Roman" w:cs="Times New Roman"/>
        </w:rPr>
        <w:t>z</w:t>
      </w:r>
      <w:r w:rsidRPr="000F3DE5">
        <w:rPr>
          <w:rFonts w:ascii="Times New Roman" w:hAnsi="Times New Roman" w:cs="Times New Roman"/>
        </w:rPr>
        <w:t>asad OECD.</w:t>
      </w:r>
    </w:p>
  </w:footnote>
  <w:footnote w:id="86">
    <w:p w14:paraId="01DADDCA" w14:textId="14EC4EED" w:rsidR="006C6FE0" w:rsidRPr="00EA0B2D" w:rsidRDefault="006C6FE0" w:rsidP="006C6FE0">
      <w:pPr>
        <w:pStyle w:val="Tekstprzypisudolnego"/>
        <w:jc w:val="both"/>
        <w:rPr>
          <w:rFonts w:ascii="Times New Roman" w:hAnsi="Times New Roman" w:cs="Times New Roman"/>
        </w:rPr>
      </w:pPr>
      <w:r w:rsidRPr="00EA0B2D">
        <w:rPr>
          <w:rStyle w:val="Odwoanieprzypisudolnego"/>
          <w:rFonts w:ascii="Times New Roman" w:hAnsi="Times New Roman" w:cs="Times New Roman"/>
        </w:rPr>
        <w:footnoteRef/>
      </w:r>
      <w:r w:rsidRPr="00EA0B2D">
        <w:rPr>
          <w:rFonts w:ascii="Times New Roman" w:hAnsi="Times New Roman" w:cs="Times New Roman"/>
        </w:rPr>
        <w:t xml:space="preserve"> Por. definicja  „JV Group Top-up Tax” w art. 10.1 Modelowych </w:t>
      </w:r>
      <w:r w:rsidR="00595132" w:rsidRPr="00EA0B2D">
        <w:rPr>
          <w:rFonts w:ascii="Times New Roman" w:hAnsi="Times New Roman" w:cs="Times New Roman"/>
        </w:rPr>
        <w:t>z</w:t>
      </w:r>
      <w:r w:rsidRPr="00EA0B2D">
        <w:rPr>
          <w:rFonts w:ascii="Times New Roman" w:hAnsi="Times New Roman" w:cs="Times New Roman"/>
        </w:rPr>
        <w:t>asad OECD i Komentarz do tej definicji, [6.4.1;93].</w:t>
      </w:r>
    </w:p>
  </w:footnote>
  <w:footnote w:id="87">
    <w:p w14:paraId="447B32DF" w14:textId="238545AC" w:rsidR="006C6FE0" w:rsidRPr="00EA0B2D" w:rsidRDefault="006C6FE0" w:rsidP="006C6FE0">
      <w:pPr>
        <w:pStyle w:val="Tekstprzypisudolnego"/>
        <w:rPr>
          <w:rFonts w:ascii="Times New Roman" w:hAnsi="Times New Roman" w:cs="Times New Roman"/>
        </w:rPr>
      </w:pPr>
      <w:r w:rsidRPr="00EA0B2D">
        <w:rPr>
          <w:rStyle w:val="Odwoanieprzypisudolnego"/>
          <w:rFonts w:ascii="Times New Roman" w:hAnsi="Times New Roman" w:cs="Times New Roman"/>
        </w:rPr>
        <w:footnoteRef/>
      </w:r>
      <w:r w:rsidRPr="00EA0B2D">
        <w:rPr>
          <w:rFonts w:ascii="Times New Roman" w:hAnsi="Times New Roman" w:cs="Times New Roman"/>
        </w:rPr>
        <w:t xml:space="preserve"> Zob. Komentarz [5.6;97].</w:t>
      </w:r>
    </w:p>
  </w:footnote>
  <w:footnote w:id="88">
    <w:p w14:paraId="455B8076" w14:textId="489C8794"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t>
      </w:r>
      <w:r w:rsidRPr="006D0FA4">
        <w:rPr>
          <w:rFonts w:ascii="Times New Roman" w:hAnsi="Times New Roman" w:cs="Times New Roman"/>
          <w:bCs/>
          <w:iCs/>
        </w:rPr>
        <w:t xml:space="preserve">Definicja takiego stałego zakładu jest zawarta w </w:t>
      </w:r>
      <w:r w:rsidRPr="006D0FA4">
        <w:rPr>
          <w:rFonts w:ascii="Times New Roman" w:hAnsi="Times New Roman" w:cs="Times New Roman"/>
          <w:b/>
          <w:iCs/>
        </w:rPr>
        <w:t>art. 2 ust. 1</w:t>
      </w:r>
      <w:r w:rsidRPr="006D0FA4">
        <w:rPr>
          <w:rFonts w:ascii="Times New Roman" w:hAnsi="Times New Roman" w:cs="Times New Roman"/>
          <w:bCs/>
          <w:iCs/>
        </w:rPr>
        <w:t xml:space="preserve"> </w:t>
      </w:r>
      <w:r w:rsidRPr="006D0FA4">
        <w:rPr>
          <w:rFonts w:ascii="Times New Roman" w:hAnsi="Times New Roman" w:cs="Times New Roman"/>
          <w:b/>
          <w:iCs/>
        </w:rPr>
        <w:t>pkt 4</w:t>
      </w:r>
      <w:r w:rsidR="002D3517" w:rsidRPr="006D0FA4">
        <w:rPr>
          <w:rFonts w:ascii="Times New Roman" w:hAnsi="Times New Roman" w:cs="Times New Roman"/>
          <w:b/>
          <w:iCs/>
        </w:rPr>
        <w:t>0</w:t>
      </w:r>
      <w:r w:rsidRPr="006D0FA4">
        <w:rPr>
          <w:rFonts w:ascii="Times New Roman" w:hAnsi="Times New Roman" w:cs="Times New Roman"/>
          <w:b/>
          <w:iCs/>
        </w:rPr>
        <w:t xml:space="preserve"> lit. d</w:t>
      </w:r>
      <w:r w:rsidRPr="006D0FA4">
        <w:rPr>
          <w:rFonts w:ascii="Times New Roman" w:hAnsi="Times New Roman" w:cs="Times New Roman"/>
          <w:bCs/>
          <w:iCs/>
        </w:rPr>
        <w:t xml:space="preserve"> – jest to bardzo specyficzny zakład, który nie spełnia warunków wymienionych w lit. a-c tej definicji, tj. w </w:t>
      </w:r>
      <w:r w:rsidR="00A30960" w:rsidRPr="006D0FA4">
        <w:rPr>
          <w:rFonts w:ascii="Times New Roman" w:hAnsi="Times New Roman" w:cs="Times New Roman"/>
          <w:bCs/>
          <w:iCs/>
        </w:rPr>
        <w:t xml:space="preserve">danej jurysdykcji </w:t>
      </w:r>
      <w:r w:rsidRPr="006D0FA4">
        <w:rPr>
          <w:rFonts w:ascii="Times New Roman" w:hAnsi="Times New Roman" w:cs="Times New Roman"/>
          <w:bCs/>
          <w:iCs/>
        </w:rPr>
        <w:t>obowiązuje CIT, obowiązuje właściwa UPO, jednak zakład nie powstaje zgodnie z UPO. Zakłada się, że w praktyce może dotyczyć to dość rzadkich przypadków takich jak opodatkowanie CIT dochodów z majątku nieruchomego, w sytuacji, gdy taki majątek nie byłby potencjalnie uznany za zagraniczny zakład na gruncie danej UPO, lecz podlegałby opodatkowaniu na gruncie innych postanowień UPO. Posługując się powyższym przykładem należy jednak, podkreślić, że przepisy projektowanej ustawy nie mają na celu ingerować w przepisy o CIT lub w istniejące linie interpretacyjne co do postania w określonym przypadku zagranicznego zakładu. Przeciwnie, przepisy niniejszej ustawy uzależnione są od właściwego traktowania danego przypadku na gruncie CIT.</w:t>
      </w:r>
    </w:p>
  </w:footnote>
  <w:footnote w:id="89">
    <w:p w14:paraId="625C0B7A" w14:textId="77777777"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Wytyczne Administracyjne z lipca 2023 r., pkt 4 (QDMTT), par. 17.</w:t>
      </w:r>
    </w:p>
  </w:footnote>
  <w:footnote w:id="90">
    <w:p w14:paraId="003134A5" w14:textId="77777777"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Nie dotyczy to jednostek bezpaństwowych. Dla każdej takiej jednostki obliczana jest odrębnie efektywna stawka podatkowa.</w:t>
      </w:r>
    </w:p>
  </w:footnote>
  <w:footnote w:id="91">
    <w:p w14:paraId="7ABD51F0" w14:textId="77777777"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Wytyczne Administracyjne z lutego 2023 r. (pkt 5) oraz z lipca 2023 r. (pkt 4)</w:t>
      </w:r>
    </w:p>
  </w:footnote>
  <w:footnote w:id="92">
    <w:p w14:paraId="4BFD66A4" w14:textId="380A1C6C"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t>
      </w:r>
      <w:r w:rsidRPr="006D0FA4">
        <w:rPr>
          <w:rFonts w:ascii="Times New Roman" w:hAnsi="Times New Roman" w:cs="Times New Roman"/>
          <w:bCs/>
          <w:iCs/>
        </w:rPr>
        <w:t xml:space="preserve">Krajowy podatek wyrównawczy pomniejsza bowiem kwalifikowany zagraniczny podatek wyrównawczy należny, co do zasady, w </w:t>
      </w:r>
      <w:r w:rsidR="00A30960" w:rsidRPr="006D0FA4">
        <w:rPr>
          <w:rFonts w:ascii="Times New Roman" w:hAnsi="Times New Roman" w:cs="Times New Roman"/>
          <w:bCs/>
          <w:iCs/>
        </w:rPr>
        <w:t xml:space="preserve">jurysdykcji </w:t>
      </w:r>
      <w:r w:rsidRPr="006D0FA4">
        <w:rPr>
          <w:rFonts w:ascii="Times New Roman" w:hAnsi="Times New Roman" w:cs="Times New Roman"/>
          <w:bCs/>
          <w:iCs/>
        </w:rPr>
        <w:t xml:space="preserve">lokalizacji jednostki dominującej najwyższego szczebla. Natomiast w odniesieniu do </w:t>
      </w:r>
      <w:r w:rsidR="00A30960" w:rsidRPr="006D0FA4">
        <w:rPr>
          <w:rFonts w:ascii="Times New Roman" w:hAnsi="Times New Roman" w:cs="Times New Roman"/>
          <w:bCs/>
          <w:iCs/>
        </w:rPr>
        <w:t>innej jurysdykcji</w:t>
      </w:r>
      <w:r w:rsidRPr="006D0FA4">
        <w:rPr>
          <w:rFonts w:ascii="Times New Roman" w:hAnsi="Times New Roman" w:cs="Times New Roman"/>
          <w:bCs/>
          <w:iCs/>
        </w:rPr>
        <w:t xml:space="preserve">, zasada ta działa odpowiednio - kwalifikowany krajowy podatek wyrównawczy należny w </w:t>
      </w:r>
      <w:r w:rsidR="00A30960" w:rsidRPr="006D0FA4">
        <w:rPr>
          <w:rFonts w:ascii="Times New Roman" w:hAnsi="Times New Roman" w:cs="Times New Roman"/>
          <w:bCs/>
          <w:iCs/>
        </w:rPr>
        <w:t xml:space="preserve">innej jurysdykcji </w:t>
      </w:r>
      <w:r w:rsidRPr="006D0FA4">
        <w:rPr>
          <w:rFonts w:ascii="Times New Roman" w:hAnsi="Times New Roman" w:cs="Times New Roman"/>
          <w:bCs/>
          <w:iCs/>
        </w:rPr>
        <w:t xml:space="preserve">pomniejsza globalny podatek wyrównawczy należny w </w:t>
      </w:r>
      <w:r w:rsidR="00772E64" w:rsidRPr="006D0FA4">
        <w:rPr>
          <w:rFonts w:ascii="Times New Roman" w:hAnsi="Times New Roman" w:cs="Times New Roman"/>
          <w:bCs/>
          <w:iCs/>
        </w:rPr>
        <w:t>RP</w:t>
      </w:r>
      <w:r w:rsidRPr="006D0FA4">
        <w:rPr>
          <w:rFonts w:ascii="Times New Roman" w:hAnsi="Times New Roman" w:cs="Times New Roman"/>
          <w:bCs/>
          <w:iCs/>
        </w:rPr>
        <w:t xml:space="preserve"> jako </w:t>
      </w:r>
      <w:r w:rsidR="00772E64" w:rsidRPr="006D0FA4">
        <w:rPr>
          <w:rFonts w:ascii="Times New Roman" w:hAnsi="Times New Roman" w:cs="Times New Roman"/>
          <w:bCs/>
          <w:iCs/>
        </w:rPr>
        <w:t xml:space="preserve">jurysdykcji </w:t>
      </w:r>
      <w:r w:rsidRPr="006D0FA4">
        <w:rPr>
          <w:rFonts w:ascii="Times New Roman" w:hAnsi="Times New Roman" w:cs="Times New Roman"/>
          <w:bCs/>
          <w:iCs/>
        </w:rPr>
        <w:t>lokalizacji jednostki dominującej najwyższego szczebla. Co więcej, w wielu przypadkach funkcjonować będzie wspomniana wcześniej bezpieczna przystań (</w:t>
      </w:r>
      <w:r w:rsidRPr="006D0FA4">
        <w:rPr>
          <w:rFonts w:ascii="Times New Roman" w:hAnsi="Times New Roman" w:cs="Times New Roman"/>
          <w:bCs/>
          <w:i/>
          <w:iCs/>
        </w:rPr>
        <w:t>QDMTT safe harbour</w:t>
      </w:r>
      <w:r w:rsidRPr="006D0FA4">
        <w:rPr>
          <w:rFonts w:ascii="Times New Roman" w:hAnsi="Times New Roman" w:cs="Times New Roman"/>
          <w:bCs/>
          <w:iCs/>
        </w:rPr>
        <w:t xml:space="preserve">), która spowoduje, że jednostka dominująca nie będzie stosować Zasady IIR względem </w:t>
      </w:r>
      <w:r w:rsidR="00772E64" w:rsidRPr="006D0FA4">
        <w:rPr>
          <w:rFonts w:ascii="Times New Roman" w:hAnsi="Times New Roman" w:cs="Times New Roman"/>
          <w:bCs/>
          <w:iCs/>
        </w:rPr>
        <w:t xml:space="preserve">jurysdykcji </w:t>
      </w:r>
      <w:r w:rsidRPr="006D0FA4">
        <w:rPr>
          <w:rFonts w:ascii="Times New Roman" w:hAnsi="Times New Roman" w:cs="Times New Roman"/>
          <w:bCs/>
          <w:iCs/>
        </w:rPr>
        <w:t xml:space="preserve">z QDMTT. Dla spójności systemu, metodologia obliczenia krajowego podatku wyrównawczego musi zatem być zbieżna w największym możliwie zakresie z metodologią obliczenia globalnego podatku wyrównawczego. Podobne zasady obowiązują również inne </w:t>
      </w:r>
      <w:r w:rsidR="00772E64" w:rsidRPr="006D0FA4">
        <w:rPr>
          <w:rFonts w:ascii="Times New Roman" w:hAnsi="Times New Roman" w:cs="Times New Roman"/>
          <w:bCs/>
          <w:iCs/>
        </w:rPr>
        <w:t>jurysdykcje</w:t>
      </w:r>
      <w:r w:rsidRPr="006D0FA4">
        <w:rPr>
          <w:rFonts w:ascii="Times New Roman" w:hAnsi="Times New Roman" w:cs="Times New Roman"/>
          <w:bCs/>
          <w:iCs/>
        </w:rPr>
        <w:t xml:space="preserve">, które stosują Modelowe </w:t>
      </w:r>
      <w:r w:rsidR="00ED3A9E" w:rsidRPr="006D0FA4">
        <w:rPr>
          <w:rFonts w:ascii="Times New Roman" w:hAnsi="Times New Roman" w:cs="Times New Roman"/>
          <w:bCs/>
          <w:iCs/>
        </w:rPr>
        <w:t>z</w:t>
      </w:r>
      <w:r w:rsidRPr="006D0FA4">
        <w:rPr>
          <w:rFonts w:ascii="Times New Roman" w:hAnsi="Times New Roman" w:cs="Times New Roman"/>
          <w:bCs/>
          <w:iCs/>
        </w:rPr>
        <w:t>asady lub przepisy Dyrektywy.</w:t>
      </w:r>
    </w:p>
  </w:footnote>
  <w:footnote w:id="93">
    <w:p w14:paraId="53576C95" w14:textId="77777777"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Bezpaństwowa jednostka składowa, inne jednostki o szczególnym charakterze i jednostki, którym przydzielono dodatkowy podatek wyrównawczy omówione są w dalszej części uzasadnienia.</w:t>
      </w:r>
    </w:p>
  </w:footnote>
  <w:footnote w:id="94">
    <w:p w14:paraId="5BED6326" w14:textId="77777777"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Wytyczne Administracyjne z lipca 2023 r., pkt 4 (QDMTT), par. 14.</w:t>
      </w:r>
    </w:p>
  </w:footnote>
  <w:footnote w:id="95">
    <w:p w14:paraId="3D018C89" w14:textId="77777777"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Wytyczne Administracyjne z lipca 2023 r., pkt 4 (QDMTT), par. 7.</w:t>
      </w:r>
    </w:p>
  </w:footnote>
  <w:footnote w:id="96">
    <w:p w14:paraId="7F79348A" w14:textId="77777777"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Albo odpowiednio kwalifikowany krajowy podatek wyrównawczy</w:t>
      </w:r>
    </w:p>
  </w:footnote>
  <w:footnote w:id="97">
    <w:p w14:paraId="67E18AFD" w14:textId="77777777"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Albo odpowiednio kwalifikowany krajowy podatek wyrównawczy.</w:t>
      </w:r>
    </w:p>
  </w:footnote>
  <w:footnote w:id="98">
    <w:p w14:paraId="529E0BA9" w14:textId="77777777"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t>
      </w:r>
      <w:r w:rsidRPr="006D0FA4">
        <w:rPr>
          <w:rFonts w:ascii="Times New Roman" w:hAnsi="Times New Roman" w:cs="Times New Roman"/>
          <w:i/>
          <w:iCs/>
        </w:rPr>
        <w:t>Standards for a QDMTT Safe Harbour</w:t>
      </w:r>
      <w:r w:rsidRPr="006D0FA4">
        <w:rPr>
          <w:rFonts w:ascii="Times New Roman" w:hAnsi="Times New Roman" w:cs="Times New Roman"/>
        </w:rPr>
        <w:t>, Wytyczne z lipca 2023 r., pkt 4, s. 80.</w:t>
      </w:r>
    </w:p>
  </w:footnote>
  <w:footnote w:id="99">
    <w:p w14:paraId="143246FC" w14:textId="77777777"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Wytyczne Administracyjne z lipca 2023 r., pkt 4 (QDMTT) par. 63 oraz pkt 5 (QDMTT Safe Harbour) par. 3. Omawiane odstępstwo należy do tzw. </w:t>
      </w:r>
      <w:r w:rsidRPr="006D0FA4">
        <w:rPr>
          <w:rFonts w:ascii="Times New Roman" w:hAnsi="Times New Roman" w:cs="Times New Roman"/>
          <w:i/>
        </w:rPr>
        <w:t>mandatory variations</w:t>
      </w:r>
      <w:r w:rsidRPr="006D0FA4">
        <w:rPr>
          <w:rFonts w:ascii="Times New Roman" w:hAnsi="Times New Roman" w:cs="Times New Roman"/>
        </w:rPr>
        <w:t xml:space="preserve"> (odstępstw obligatoryjnych).</w:t>
      </w:r>
    </w:p>
  </w:footnote>
  <w:footnote w:id="100">
    <w:p w14:paraId="67D9FD4C" w14:textId="77777777"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Wytyczne Administracyjne z lipca 2023 r., pkt 4 (QDMTT), par. 43-44.</w:t>
      </w:r>
    </w:p>
  </w:footnote>
  <w:footnote w:id="101">
    <w:p w14:paraId="30D73EF4" w14:textId="77777777"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Przepisy te opisano szczegółowo w odrębnym punkcie uzasadnienia dotyczącym restrukturyzacji.</w:t>
      </w:r>
    </w:p>
  </w:footnote>
  <w:footnote w:id="102">
    <w:p w14:paraId="4C96D129" w14:textId="76F12509" w:rsidR="006C6FE0" w:rsidRPr="006D0FA4" w:rsidRDefault="006C6FE0" w:rsidP="006C6FE0">
      <w:pPr>
        <w:pStyle w:val="Tekstprzypisudolnego"/>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t>
      </w:r>
      <w:r w:rsidRPr="006D0FA4">
        <w:rPr>
          <w:rFonts w:ascii="Times New Roman" w:hAnsi="Times New Roman" w:cs="Times New Roman"/>
          <w:bCs/>
        </w:rPr>
        <w:t xml:space="preserve">o którym mowa w </w:t>
      </w:r>
      <w:r w:rsidR="00E02EB1" w:rsidRPr="006D0FA4">
        <w:rPr>
          <w:rFonts w:ascii="Times New Roman" w:hAnsi="Times New Roman" w:cs="Times New Roman"/>
          <w:bCs/>
        </w:rPr>
        <w:t>r</w:t>
      </w:r>
      <w:r w:rsidRPr="006D0FA4">
        <w:rPr>
          <w:rFonts w:ascii="Times New Roman" w:hAnsi="Times New Roman" w:cs="Times New Roman"/>
          <w:bCs/>
        </w:rPr>
        <w:t>ozdziale 6b ustawy o CIT</w:t>
      </w:r>
    </w:p>
  </w:footnote>
  <w:footnote w:id="103">
    <w:p w14:paraId="2BAE4627" w14:textId="77777777"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W zakresie metody obliczenia odpowiednich średnich należy odwołać się do części uzasadnienia dotyczącej wyłączenia </w:t>
      </w:r>
      <w:r w:rsidRPr="006D0FA4">
        <w:rPr>
          <w:rFonts w:ascii="Times New Roman" w:hAnsi="Times New Roman" w:cs="Times New Roman"/>
          <w:i/>
          <w:iCs/>
        </w:rPr>
        <w:t>de minimis</w:t>
      </w:r>
      <w:r w:rsidRPr="006D0FA4">
        <w:rPr>
          <w:rFonts w:ascii="Times New Roman" w:hAnsi="Times New Roman" w:cs="Times New Roman"/>
        </w:rPr>
        <w:t xml:space="preserve"> na gruncie globalnego podatku wyrównawczego.</w:t>
      </w:r>
    </w:p>
  </w:footnote>
  <w:footnote w:id="104">
    <w:p w14:paraId="57C6113F" w14:textId="77777777" w:rsidR="006C6FE0" w:rsidRPr="006D0FA4" w:rsidRDefault="006C6FE0" w:rsidP="006C6FE0">
      <w:pPr>
        <w:pStyle w:val="Tekstprzypisudolnego"/>
        <w:jc w:val="both"/>
        <w:rPr>
          <w:rFonts w:ascii="Times New Roman" w:hAnsi="Times New Roman" w:cs="Times New Roman"/>
        </w:rPr>
      </w:pPr>
      <w:r w:rsidRPr="006D0FA4">
        <w:rPr>
          <w:rStyle w:val="Odwoanieprzypisudolnego"/>
          <w:rFonts w:ascii="Times New Roman" w:hAnsi="Times New Roman" w:cs="Times New Roman"/>
        </w:rPr>
        <w:footnoteRef/>
      </w:r>
      <w:r w:rsidRPr="006D0FA4">
        <w:rPr>
          <w:rFonts w:ascii="Times New Roman" w:hAnsi="Times New Roman" w:cs="Times New Roman"/>
        </w:rPr>
        <w:t xml:space="preserve"> Zgodnie z Komentarzem „</w:t>
      </w:r>
      <w:r w:rsidRPr="006D0FA4">
        <w:rPr>
          <w:rFonts w:ascii="Times New Roman" w:hAnsi="Times New Roman" w:cs="Times New Roman"/>
          <w:i/>
          <w:iCs/>
        </w:rPr>
        <w:t>korekta w ramach Zasady UTPR może przybrać formę (i) dodatkowego podatku nałożonego bezpośrednio na podatnika będącego rezydentem w kwocie równej kwocie podatku wyrównawczego przydzielonej w ramach Zasady UTPR. Alternatywnie, jurysdykcja może (ii) uwzględnić dodatkową kwotę domniemanego dochodu stanowiącą odwrócenie kosztów podlegających odliczeniu poniesionych w bieżącym lub poprzednim okresie, lub jurysdykcja może zdecydować się na (iii) zmniejszenie kwoty wolnej od podatku lub domniemanego odliczenia w celu odzwierciedlenia alokacji podatku wyrównawczego</w:t>
      </w:r>
      <w:r w:rsidRPr="006D0FA4">
        <w:rPr>
          <w:rFonts w:ascii="Times New Roman" w:hAnsi="Times New Roman" w:cs="Times New Roman"/>
        </w:rPr>
        <w:t>”.     </w:t>
      </w:r>
    </w:p>
  </w:footnote>
  <w:footnote w:id="105">
    <w:p w14:paraId="1553ABFD" w14:textId="40BD8110" w:rsidR="006C6FE0" w:rsidRPr="00C0038D" w:rsidRDefault="006C6FE0" w:rsidP="00C0038D">
      <w:pPr>
        <w:spacing w:after="0" w:line="240" w:lineRule="auto"/>
        <w:jc w:val="both"/>
        <w:rPr>
          <w:rFonts w:ascii="Times New Roman" w:hAnsi="Times New Roman" w:cs="Times New Roman"/>
          <w:sz w:val="20"/>
          <w:szCs w:val="20"/>
        </w:rPr>
      </w:pPr>
      <w:r w:rsidRPr="00C0038D">
        <w:rPr>
          <w:rStyle w:val="Odwoanieprzypisudolnego"/>
          <w:rFonts w:ascii="Times New Roman" w:hAnsi="Times New Roman" w:cs="Times New Roman"/>
          <w:sz w:val="20"/>
          <w:szCs w:val="20"/>
        </w:rPr>
        <w:footnoteRef/>
      </w:r>
      <w:r w:rsidRPr="00C0038D">
        <w:rPr>
          <w:rFonts w:ascii="Times New Roman" w:hAnsi="Times New Roman" w:cs="Times New Roman"/>
          <w:sz w:val="20"/>
          <w:szCs w:val="20"/>
        </w:rPr>
        <w:t xml:space="preserve"> Wynika to z faktu, że niezależni zleceniobiorcy, którzy uczestniczą w zwykłej działalności operacyjnej jednostki składowej, wnoszą taki sam wkład w jego działalność, jak pracownicy, a zatem są liczeni jako tacy do celów określenia wskaźnika procentowego dla </w:t>
      </w:r>
      <w:r w:rsidR="00772E64" w:rsidRPr="00C0038D">
        <w:rPr>
          <w:rFonts w:ascii="Times New Roman" w:hAnsi="Times New Roman" w:cs="Times New Roman"/>
          <w:sz w:val="20"/>
          <w:szCs w:val="20"/>
        </w:rPr>
        <w:t>danej jurysdykcji</w:t>
      </w:r>
      <w:r w:rsidRPr="00C0038D">
        <w:rPr>
          <w:rFonts w:ascii="Times New Roman" w:hAnsi="Times New Roman" w:cs="Times New Roman"/>
          <w:sz w:val="20"/>
          <w:szCs w:val="20"/>
        </w:rPr>
        <w:t xml:space="preserve">. Na przykład niezależny zleceniobiorca, który jest zatrudniony przez jednostkę składową w celu zastąpienia pracownika podczas urlopu z powodu choroby, uczestniczy w zwykłej działalności operacyjnej tej jednostki. Ciężar wykazania zakresu, w jakim niezależni zleceniobiorcy uczestniczą w zwykłej działalności operacyjnej tej jednostki, spoczywa na  podatniku (lub odpowiedniej wyznaczonej jednostce). </w:t>
      </w:r>
    </w:p>
  </w:footnote>
  <w:footnote w:id="106">
    <w:p w14:paraId="45F9B3B2" w14:textId="3484E449" w:rsidR="006C6FE0" w:rsidRPr="00C0038D" w:rsidRDefault="006C6FE0" w:rsidP="006C6FE0">
      <w:pPr>
        <w:spacing w:line="240" w:lineRule="auto"/>
        <w:jc w:val="both"/>
        <w:rPr>
          <w:rFonts w:ascii="Times New Roman" w:hAnsi="Times New Roman" w:cs="Times New Roman"/>
          <w:sz w:val="20"/>
          <w:szCs w:val="20"/>
        </w:rPr>
      </w:pPr>
      <w:r w:rsidRPr="00C0038D">
        <w:rPr>
          <w:rStyle w:val="Odwoanieprzypisudolnego"/>
          <w:rFonts w:ascii="Times New Roman" w:hAnsi="Times New Roman" w:cs="Times New Roman"/>
          <w:sz w:val="20"/>
          <w:szCs w:val="20"/>
        </w:rPr>
        <w:footnoteRef/>
      </w:r>
      <w:r w:rsidRPr="00C0038D">
        <w:rPr>
          <w:rFonts w:ascii="Times New Roman" w:hAnsi="Times New Roman" w:cs="Times New Roman"/>
          <w:sz w:val="20"/>
          <w:szCs w:val="20"/>
        </w:rPr>
        <w:t xml:space="preserve"> Ponadto w świetle Komentarza należy zaznaczyć, że pracownicy są przypisani do </w:t>
      </w:r>
      <w:r w:rsidR="00772E64" w:rsidRPr="00C0038D">
        <w:rPr>
          <w:rFonts w:ascii="Times New Roman" w:hAnsi="Times New Roman" w:cs="Times New Roman"/>
          <w:sz w:val="20"/>
          <w:szCs w:val="20"/>
        </w:rPr>
        <w:t>jurysdykcji</w:t>
      </w:r>
      <w:r w:rsidRPr="00C0038D">
        <w:rPr>
          <w:rFonts w:ascii="Times New Roman" w:hAnsi="Times New Roman" w:cs="Times New Roman"/>
          <w:sz w:val="20"/>
          <w:szCs w:val="20"/>
        </w:rPr>
        <w:t xml:space="preserve">, w </w:t>
      </w:r>
      <w:r w:rsidR="00772E64" w:rsidRPr="00C0038D">
        <w:rPr>
          <w:rFonts w:ascii="Times New Roman" w:hAnsi="Times New Roman" w:cs="Times New Roman"/>
          <w:sz w:val="20"/>
          <w:szCs w:val="20"/>
        </w:rPr>
        <w:t xml:space="preserve">której </w:t>
      </w:r>
      <w:r w:rsidRPr="00C0038D">
        <w:rPr>
          <w:rFonts w:ascii="Times New Roman" w:hAnsi="Times New Roman" w:cs="Times New Roman"/>
          <w:sz w:val="20"/>
          <w:szCs w:val="20"/>
        </w:rPr>
        <w:t xml:space="preserve">są </w:t>
      </w:r>
      <w:r w:rsidRPr="00C0038D">
        <w:rPr>
          <w:rFonts w:ascii="Times New Roman" w:hAnsi="Times New Roman" w:cs="Times New Roman"/>
          <w:iCs/>
          <w:sz w:val="20"/>
          <w:szCs w:val="20"/>
        </w:rPr>
        <w:t>zlokalizowane</w:t>
      </w:r>
      <w:r w:rsidRPr="00C0038D">
        <w:rPr>
          <w:rFonts w:ascii="Times New Roman" w:hAnsi="Times New Roman" w:cs="Times New Roman"/>
          <w:sz w:val="20"/>
          <w:szCs w:val="20"/>
        </w:rPr>
        <w:t xml:space="preserve"> jednostki składowe lub stałe zakłady, które ponoszą kwalifikowane koszty wynagrodzeń, bez uwzględnienia lokalizacji, w której pracownicy wykonują swoją działalność. W przeciwieństwie do tego, co jest wymagane w przypadku kwalifikowanych pracowników na potrzeby substratu majątkowo-osobowego, dla celów obliczenia wskaźnika UTPR dla </w:t>
      </w:r>
      <w:r w:rsidR="00772E64" w:rsidRPr="00C0038D">
        <w:rPr>
          <w:rFonts w:ascii="Times New Roman" w:hAnsi="Times New Roman" w:cs="Times New Roman"/>
          <w:sz w:val="20"/>
          <w:szCs w:val="20"/>
        </w:rPr>
        <w:t xml:space="preserve">danej jurysdykcji </w:t>
      </w:r>
      <w:r w:rsidRPr="00C0038D">
        <w:rPr>
          <w:rFonts w:ascii="Times New Roman" w:hAnsi="Times New Roman" w:cs="Times New Roman"/>
          <w:sz w:val="20"/>
          <w:szCs w:val="20"/>
        </w:rPr>
        <w:t xml:space="preserve">(udziału RP) nie ma wymogu, aby pracownicy jednostek składowych (w tym stałego zakładu) wykonywali czynności na rzecz grupy międzynarodowej w </w:t>
      </w:r>
      <w:r w:rsidR="00772E64" w:rsidRPr="00C0038D">
        <w:rPr>
          <w:rFonts w:ascii="Times New Roman" w:hAnsi="Times New Roman" w:cs="Times New Roman"/>
          <w:sz w:val="20"/>
          <w:szCs w:val="20"/>
        </w:rPr>
        <w:t xml:space="preserve">jurysdykcji </w:t>
      </w:r>
      <w:r w:rsidRPr="00C0038D">
        <w:rPr>
          <w:rFonts w:ascii="Times New Roman" w:hAnsi="Times New Roman" w:cs="Times New Roman"/>
          <w:sz w:val="20"/>
          <w:szCs w:val="20"/>
        </w:rPr>
        <w:t>lokalizacji jednostki składowej. Podobnie, działalność wykonywana przez tych pracowników nie ma znaczenia przy ustalaniu, której jednostce składowej należy przypisać liczbę pracowników. W szczególności pracownik zatrudniony przez jednostkę składową, który świadczy usługi na rzecz innej jednostki składowej, jest liczony jako pracownik tej pierwszej jednostki.</w:t>
      </w:r>
    </w:p>
  </w:footnote>
  <w:footnote w:id="107">
    <w:p w14:paraId="3C2F2A2F" w14:textId="1C26C741" w:rsidR="004C5D3A" w:rsidRPr="00C0038D" w:rsidRDefault="004C5D3A">
      <w:pPr>
        <w:pStyle w:val="Tekstprzypisudolnego"/>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Art. 3.1.2 Modelowych </w:t>
      </w:r>
      <w:r w:rsidR="00595132" w:rsidRPr="00C0038D">
        <w:rPr>
          <w:rFonts w:ascii="Times New Roman" w:hAnsi="Times New Roman" w:cs="Times New Roman"/>
        </w:rPr>
        <w:t>z</w:t>
      </w:r>
      <w:r w:rsidRPr="00C0038D">
        <w:rPr>
          <w:rFonts w:ascii="Times New Roman" w:hAnsi="Times New Roman" w:cs="Times New Roman"/>
        </w:rPr>
        <w:t>asad OECD, częściowo odzwierciedlony w art. 15</w:t>
      </w:r>
      <w:r w:rsidR="008B225D" w:rsidRPr="00C0038D">
        <w:rPr>
          <w:rFonts w:ascii="Times New Roman" w:hAnsi="Times New Roman" w:cs="Times New Roman"/>
        </w:rPr>
        <w:t>.</w:t>
      </w:r>
      <w:r w:rsidRPr="00C0038D">
        <w:rPr>
          <w:rFonts w:ascii="Times New Roman" w:hAnsi="Times New Roman" w:cs="Times New Roman"/>
        </w:rPr>
        <w:t>1 Dyrektywy.</w:t>
      </w:r>
    </w:p>
  </w:footnote>
  <w:footnote w:id="108">
    <w:p w14:paraId="7BBCA4B0" w14:textId="661A13B7" w:rsidR="00372710" w:rsidRPr="00C0038D" w:rsidRDefault="00372710" w:rsidP="00372710">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w:t>
      </w:r>
      <w:r w:rsidR="002A423C" w:rsidRPr="00C0038D">
        <w:rPr>
          <w:rFonts w:ascii="Times New Roman" w:hAnsi="Times New Roman" w:cs="Times New Roman"/>
        </w:rPr>
        <w:t>W tym zakresie działa inny mechanizm – globalny podatek wyrównawczy należny od jednostki dominującej oblicza się na podstawie jej</w:t>
      </w:r>
      <w:r w:rsidRPr="00C0038D">
        <w:rPr>
          <w:rFonts w:ascii="Times New Roman" w:hAnsi="Times New Roman" w:cs="Times New Roman"/>
        </w:rPr>
        <w:t xml:space="preserve"> </w:t>
      </w:r>
      <w:r w:rsidR="002A423C" w:rsidRPr="00C0038D">
        <w:rPr>
          <w:rFonts w:ascii="Times New Roman" w:hAnsi="Times New Roman" w:cs="Times New Roman"/>
        </w:rPr>
        <w:t>„</w:t>
      </w:r>
      <w:r w:rsidRPr="00C0038D">
        <w:rPr>
          <w:rFonts w:ascii="Times New Roman" w:hAnsi="Times New Roman" w:cs="Times New Roman"/>
        </w:rPr>
        <w:t>udziału procentowego</w:t>
      </w:r>
      <w:r w:rsidR="002A423C" w:rsidRPr="00C0038D">
        <w:rPr>
          <w:rFonts w:ascii="Times New Roman" w:hAnsi="Times New Roman" w:cs="Times New Roman"/>
        </w:rPr>
        <w:t>”</w:t>
      </w:r>
      <w:r w:rsidRPr="00C0038D">
        <w:rPr>
          <w:rFonts w:ascii="Times New Roman" w:hAnsi="Times New Roman" w:cs="Times New Roman"/>
        </w:rPr>
        <w:t xml:space="preserve"> określonego w art. 22 ust. 2</w:t>
      </w:r>
      <w:r w:rsidR="002A423C" w:rsidRPr="00C0038D">
        <w:rPr>
          <w:rFonts w:ascii="Times New Roman" w:hAnsi="Times New Roman" w:cs="Times New Roman"/>
        </w:rPr>
        <w:t>; stąd, podatek ten nie jest należny w odniesieniu do udziałowców mniejszościowych.</w:t>
      </w:r>
    </w:p>
  </w:footnote>
  <w:footnote w:id="109">
    <w:p w14:paraId="56D9EB27" w14:textId="4371672F" w:rsidR="001E24E8" w:rsidRPr="00C0038D" w:rsidRDefault="001E24E8">
      <w:pPr>
        <w:pStyle w:val="Tekstprzypisudolnego"/>
        <w:rPr>
          <w:rFonts w:ascii="Times New Roman" w:hAnsi="Times New Roman" w:cs="Times New Roman"/>
          <w:i/>
          <w:iCs/>
        </w:rPr>
      </w:pPr>
      <w:r w:rsidRPr="00C0038D">
        <w:rPr>
          <w:rStyle w:val="Odwoanieprzypisudolnego"/>
          <w:rFonts w:ascii="Times New Roman" w:hAnsi="Times New Roman" w:cs="Times New Roman"/>
          <w:i/>
          <w:iCs/>
        </w:rPr>
        <w:footnoteRef/>
      </w:r>
      <w:r w:rsidRPr="00C0038D">
        <w:rPr>
          <w:rFonts w:ascii="Times New Roman" w:hAnsi="Times New Roman" w:cs="Times New Roman"/>
          <w:i/>
          <w:iCs/>
        </w:rPr>
        <w:t xml:space="preserve"> Ang. purchase accounting</w:t>
      </w:r>
    </w:p>
  </w:footnote>
  <w:footnote w:id="110">
    <w:p w14:paraId="66E28ECF" w14:textId="4B80B5B1" w:rsidR="00731D81" w:rsidRPr="00C0038D" w:rsidRDefault="00731D81" w:rsidP="00731D81">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w:t>
      </w:r>
      <w:r w:rsidR="00103F2E" w:rsidRPr="00C0038D">
        <w:rPr>
          <w:rFonts w:ascii="Times New Roman" w:hAnsi="Times New Roman" w:cs="Times New Roman"/>
        </w:rPr>
        <w:t>Inne całkowite dochody</w:t>
      </w:r>
      <w:r w:rsidR="00103F2E" w:rsidRPr="00C0038D">
        <w:rPr>
          <w:rFonts w:ascii="Times New Roman" w:hAnsi="Times New Roman" w:cs="Times New Roman"/>
          <w:i/>
          <w:iCs/>
        </w:rPr>
        <w:t xml:space="preserve"> (ang. </w:t>
      </w:r>
      <w:r w:rsidR="00A6724B" w:rsidRPr="00C0038D">
        <w:rPr>
          <w:rFonts w:ascii="Times New Roman" w:hAnsi="Times New Roman" w:cs="Times New Roman"/>
          <w:i/>
          <w:iCs/>
        </w:rPr>
        <w:t>o</w:t>
      </w:r>
      <w:r w:rsidRPr="00C0038D">
        <w:rPr>
          <w:rFonts w:ascii="Times New Roman" w:hAnsi="Times New Roman" w:cs="Times New Roman"/>
          <w:i/>
          <w:iCs/>
        </w:rPr>
        <w:t>ther comprehensive income</w:t>
      </w:r>
      <w:r w:rsidR="00FB132E" w:rsidRPr="00C0038D">
        <w:rPr>
          <w:rFonts w:ascii="Times New Roman" w:hAnsi="Times New Roman" w:cs="Times New Roman"/>
          <w:i/>
          <w:iCs/>
        </w:rPr>
        <w:t xml:space="preserve"> </w:t>
      </w:r>
      <w:r w:rsidR="00FB132E" w:rsidRPr="00C0038D">
        <w:rPr>
          <w:rFonts w:ascii="Times New Roman" w:hAnsi="Times New Roman" w:cs="Times New Roman"/>
          <w:b/>
          <w:bCs/>
          <w:i/>
          <w:iCs/>
        </w:rPr>
        <w:t>- OCI</w:t>
      </w:r>
      <w:r w:rsidRPr="00C0038D">
        <w:rPr>
          <w:rFonts w:ascii="Times New Roman" w:hAnsi="Times New Roman" w:cs="Times New Roman"/>
        </w:rPr>
        <w:t>) wykazywane są w skonsolidowanym sprawozdaniu finansowym sporządzanym według Międzynarodowych Standardów Rachunkowości (MSR), w szczególności w skonsolidowanym sprawozdaniu z zysków lub strat oraz innych całkowitych dochodów.</w:t>
      </w:r>
    </w:p>
  </w:footnote>
  <w:footnote w:id="111">
    <w:p w14:paraId="3BAE9815" w14:textId="693696B7" w:rsidR="009F72C2" w:rsidRPr="00C0038D" w:rsidRDefault="009F72C2" w:rsidP="009F72C2">
      <w:pPr>
        <w:pStyle w:val="ARTartustawynprozporzdzenia"/>
        <w:spacing w:before="0" w:after="120" w:line="240" w:lineRule="auto"/>
        <w:ind w:firstLine="0"/>
        <w:rPr>
          <w:rFonts w:ascii="Times New Roman" w:hAnsi="Times New Roman" w:cs="Times New Roman"/>
          <w:sz w:val="20"/>
        </w:rPr>
      </w:pPr>
      <w:r w:rsidRPr="00C0038D">
        <w:rPr>
          <w:rStyle w:val="Odwoanieprzypisudolnego"/>
          <w:rFonts w:ascii="Times New Roman" w:hAnsi="Times New Roman" w:cs="Times New Roman"/>
          <w:sz w:val="20"/>
        </w:rPr>
        <w:footnoteRef/>
      </w:r>
      <w:r w:rsidRPr="00C0038D">
        <w:rPr>
          <w:rFonts w:ascii="Times New Roman" w:hAnsi="Times New Roman" w:cs="Times New Roman"/>
          <w:sz w:val="20"/>
        </w:rPr>
        <w:t xml:space="preserve"> Niektóre pozycje ujęte w innych całkowitych dochodach mogą być również uwzględniane przy obliczaniu dochodu podlegającego opodatkowaniu w </w:t>
      </w:r>
      <w:r w:rsidR="00772E64" w:rsidRPr="00C0038D">
        <w:rPr>
          <w:rFonts w:ascii="Times New Roman" w:hAnsi="Times New Roman" w:cs="Times New Roman"/>
          <w:sz w:val="20"/>
        </w:rPr>
        <w:t xml:space="preserve">jurysdykcji </w:t>
      </w:r>
      <w:r w:rsidRPr="00C0038D">
        <w:rPr>
          <w:rFonts w:ascii="Times New Roman" w:hAnsi="Times New Roman" w:cs="Times New Roman"/>
          <w:sz w:val="20"/>
        </w:rPr>
        <w:t>lokalizacji jednostki składowej, a zatem jednostka ta może wykazać bieżący lub odroczony podatek dochodowy związany z tymi pozycjami. Niemniej jednak, w świetle przepisów działu VI (skorygowane podatki kwalifikowane), jakiekolwiek takie podatki, związane z dochodem wykazanym w innych całkowitych dochodach, który jest wyłączony z kwalifikowanego dochodu (straty), nie są uwzględniane w skorygowanych podatkach kwalifikowanych jednostki składowej.</w:t>
      </w:r>
    </w:p>
    <w:p w14:paraId="62EC156C" w14:textId="340D33CC" w:rsidR="009F72C2" w:rsidRDefault="009F72C2">
      <w:pPr>
        <w:pStyle w:val="Tekstprzypisudolnego"/>
      </w:pPr>
    </w:p>
  </w:footnote>
  <w:footnote w:id="112">
    <w:p w14:paraId="35B2F205" w14:textId="21137FA7" w:rsidR="004B1EF2" w:rsidRPr="00C0038D" w:rsidRDefault="004B1EF2">
      <w:pPr>
        <w:pStyle w:val="Tekstprzypisudolnego"/>
        <w:rPr>
          <w:rFonts w:ascii="Times New Roman" w:hAnsi="Times New Roman" w:cs="Times New Roman"/>
          <w:lang w:val="en-US"/>
        </w:rPr>
      </w:pPr>
      <w:r w:rsidRPr="00C0038D">
        <w:rPr>
          <w:rStyle w:val="Odwoanieprzypisudolnego"/>
          <w:rFonts w:ascii="Times New Roman" w:hAnsi="Times New Roman" w:cs="Times New Roman"/>
        </w:rPr>
        <w:footnoteRef/>
      </w:r>
      <w:r w:rsidRPr="00C0038D">
        <w:rPr>
          <w:rFonts w:ascii="Times New Roman" w:hAnsi="Times New Roman" w:cs="Times New Roman"/>
          <w:lang w:val="en-US"/>
        </w:rPr>
        <w:t xml:space="preserve"> </w:t>
      </w:r>
      <w:r w:rsidR="00452C9D" w:rsidRPr="00C0038D">
        <w:rPr>
          <w:rFonts w:ascii="Times New Roman" w:hAnsi="Times New Roman" w:cs="Times New Roman"/>
          <w:lang w:val="en-US"/>
        </w:rPr>
        <w:t xml:space="preserve">Zob. </w:t>
      </w:r>
      <w:r w:rsidRPr="00C0038D">
        <w:rPr>
          <w:rFonts w:ascii="Times New Roman" w:hAnsi="Times New Roman" w:cs="Times New Roman"/>
          <w:lang w:val="en-US"/>
        </w:rPr>
        <w:t xml:space="preserve">Komentarz </w:t>
      </w:r>
      <w:r w:rsidR="00452C9D" w:rsidRPr="00C0038D">
        <w:rPr>
          <w:rFonts w:ascii="Times New Roman" w:hAnsi="Times New Roman" w:cs="Times New Roman"/>
          <w:lang w:val="en-US"/>
        </w:rPr>
        <w:t>[</w:t>
      </w:r>
      <w:r w:rsidRPr="00C0038D">
        <w:rPr>
          <w:rFonts w:ascii="Times New Roman" w:hAnsi="Times New Roman" w:cs="Times New Roman"/>
          <w:lang w:val="en-US"/>
        </w:rPr>
        <w:t>3.2.1</w:t>
      </w:r>
      <w:r w:rsidR="00452C9D" w:rsidRPr="00C0038D">
        <w:rPr>
          <w:rFonts w:ascii="Times New Roman" w:hAnsi="Times New Roman" w:cs="Times New Roman"/>
          <w:lang w:val="en-US"/>
        </w:rPr>
        <w:t>;</w:t>
      </w:r>
      <w:r w:rsidRPr="00C0038D">
        <w:rPr>
          <w:rFonts w:ascii="Times New Roman" w:hAnsi="Times New Roman" w:cs="Times New Roman"/>
          <w:lang w:val="en-US"/>
        </w:rPr>
        <w:t>22</w:t>
      </w:r>
      <w:r w:rsidR="00452C9D" w:rsidRPr="00C0038D">
        <w:rPr>
          <w:rFonts w:ascii="Times New Roman" w:hAnsi="Times New Roman" w:cs="Times New Roman"/>
          <w:lang w:val="en-US"/>
        </w:rPr>
        <w:t>]</w:t>
      </w:r>
      <w:r w:rsidRPr="00C0038D">
        <w:rPr>
          <w:rFonts w:ascii="Times New Roman" w:hAnsi="Times New Roman" w:cs="Times New Roman"/>
          <w:lang w:val="en-US"/>
        </w:rPr>
        <w:t>.</w:t>
      </w:r>
    </w:p>
  </w:footnote>
  <w:footnote w:id="113">
    <w:p w14:paraId="064D34A8" w14:textId="1F8C2ADB" w:rsidR="002A210E" w:rsidRPr="00C0038D" w:rsidRDefault="002A210E" w:rsidP="002B2F73">
      <w:pPr>
        <w:pStyle w:val="Tekstprzypisudolnego"/>
        <w:rPr>
          <w:rFonts w:ascii="Times New Roman" w:hAnsi="Times New Roman" w:cs="Times New Roman"/>
          <w:lang w:val="en-US"/>
        </w:rPr>
      </w:pPr>
      <w:r w:rsidRPr="00C0038D">
        <w:rPr>
          <w:rStyle w:val="Odwoanieprzypisudolnego"/>
          <w:rFonts w:ascii="Times New Roman" w:hAnsi="Times New Roman" w:cs="Times New Roman"/>
        </w:rPr>
        <w:footnoteRef/>
      </w:r>
      <w:r w:rsidRPr="00C0038D">
        <w:rPr>
          <w:rFonts w:ascii="Times New Roman" w:hAnsi="Times New Roman" w:cs="Times New Roman"/>
          <w:lang w:val="en-US"/>
        </w:rPr>
        <w:t xml:space="preserve"> “</w:t>
      </w:r>
      <w:r w:rsidRPr="00C0038D">
        <w:rPr>
          <w:rFonts w:ascii="Times New Roman" w:hAnsi="Times New Roman" w:cs="Times New Roman"/>
          <w:bCs/>
          <w:i/>
          <w:iCs/>
          <w:lang w:val="en-US"/>
        </w:rPr>
        <w:t>above-the-line expense  or below-the-line income tax”</w:t>
      </w:r>
      <w:r w:rsidRPr="00C0038D">
        <w:rPr>
          <w:rFonts w:ascii="Times New Roman" w:hAnsi="Times New Roman" w:cs="Times New Roman"/>
          <w:bCs/>
          <w:lang w:val="en-US"/>
        </w:rPr>
        <w:t xml:space="preserve"> </w:t>
      </w:r>
      <w:r w:rsidR="00452C9D" w:rsidRPr="00C0038D">
        <w:rPr>
          <w:rFonts w:ascii="Times New Roman" w:hAnsi="Times New Roman" w:cs="Times New Roman"/>
          <w:bCs/>
          <w:lang w:val="en-US"/>
        </w:rPr>
        <w:t>[</w:t>
      </w:r>
      <w:r w:rsidRPr="00C0038D">
        <w:rPr>
          <w:rFonts w:ascii="Times New Roman" w:hAnsi="Times New Roman" w:cs="Times New Roman"/>
          <w:bCs/>
          <w:lang w:val="en-US"/>
        </w:rPr>
        <w:t>Komentarz</w:t>
      </w:r>
      <w:r w:rsidR="00452C9D" w:rsidRPr="00C0038D">
        <w:rPr>
          <w:rFonts w:ascii="Times New Roman" w:hAnsi="Times New Roman" w:cs="Times New Roman"/>
          <w:bCs/>
          <w:lang w:val="en-US"/>
        </w:rPr>
        <w:t xml:space="preserve">, </w:t>
      </w:r>
      <w:r w:rsidRPr="00C0038D">
        <w:rPr>
          <w:rFonts w:ascii="Times New Roman" w:hAnsi="Times New Roman" w:cs="Times New Roman"/>
          <w:bCs/>
          <w:lang w:val="en-US"/>
        </w:rPr>
        <w:t>3.2.1</w:t>
      </w:r>
      <w:r w:rsidR="00452C9D" w:rsidRPr="00C0038D">
        <w:rPr>
          <w:rFonts w:ascii="Times New Roman" w:hAnsi="Times New Roman" w:cs="Times New Roman"/>
          <w:bCs/>
          <w:lang w:val="en-US"/>
        </w:rPr>
        <w:t>;</w:t>
      </w:r>
      <w:r w:rsidRPr="00C0038D">
        <w:rPr>
          <w:rFonts w:ascii="Times New Roman" w:hAnsi="Times New Roman" w:cs="Times New Roman"/>
          <w:bCs/>
          <w:lang w:val="en-US"/>
        </w:rPr>
        <w:t>26)</w:t>
      </w:r>
    </w:p>
  </w:footnote>
  <w:footnote w:id="114">
    <w:p w14:paraId="512FB7AD" w14:textId="54AEDB8F" w:rsidR="005664E5" w:rsidRPr="00C0038D" w:rsidRDefault="005664E5" w:rsidP="002B2F73">
      <w:pPr>
        <w:pStyle w:val="Tekstprzypisudolnego"/>
        <w:rPr>
          <w:rFonts w:ascii="Times New Roman" w:hAnsi="Times New Roman" w:cs="Times New Roman"/>
          <w:lang w:val="en-US"/>
        </w:rPr>
      </w:pPr>
      <w:r w:rsidRPr="00C0038D">
        <w:rPr>
          <w:rStyle w:val="Odwoanieprzypisudolnego"/>
          <w:rFonts w:ascii="Times New Roman" w:hAnsi="Times New Roman" w:cs="Times New Roman"/>
        </w:rPr>
        <w:footnoteRef/>
      </w:r>
      <w:r w:rsidRPr="00C0038D">
        <w:rPr>
          <w:rFonts w:ascii="Times New Roman" w:hAnsi="Times New Roman" w:cs="Times New Roman"/>
          <w:lang w:val="en-US"/>
        </w:rPr>
        <w:t xml:space="preserve"> </w:t>
      </w:r>
      <w:r w:rsidR="00452C9D" w:rsidRPr="00C0038D">
        <w:rPr>
          <w:rFonts w:ascii="Times New Roman" w:hAnsi="Times New Roman" w:cs="Times New Roman"/>
          <w:lang w:val="en-US"/>
        </w:rPr>
        <w:t xml:space="preserve">Zob. </w:t>
      </w:r>
      <w:r w:rsidRPr="00C0038D">
        <w:rPr>
          <w:rFonts w:ascii="Times New Roman" w:hAnsi="Times New Roman" w:cs="Times New Roman"/>
          <w:lang w:val="en-US"/>
        </w:rPr>
        <w:t>Komentarz</w:t>
      </w:r>
      <w:r w:rsidR="00452C9D" w:rsidRPr="00C0038D">
        <w:rPr>
          <w:rFonts w:ascii="Times New Roman" w:hAnsi="Times New Roman" w:cs="Times New Roman"/>
          <w:lang w:val="en-US"/>
        </w:rPr>
        <w:t>,[</w:t>
      </w:r>
      <w:r w:rsidRPr="00C0038D">
        <w:rPr>
          <w:rFonts w:ascii="Times New Roman" w:hAnsi="Times New Roman" w:cs="Times New Roman"/>
          <w:lang w:val="en-US"/>
        </w:rPr>
        <w:t>3.2.1</w:t>
      </w:r>
      <w:r w:rsidR="00452C9D" w:rsidRPr="00C0038D">
        <w:rPr>
          <w:rFonts w:ascii="Times New Roman" w:hAnsi="Times New Roman" w:cs="Times New Roman"/>
          <w:lang w:val="en-US"/>
        </w:rPr>
        <w:t>;</w:t>
      </w:r>
      <w:r w:rsidRPr="00C0038D">
        <w:rPr>
          <w:rFonts w:ascii="Times New Roman" w:hAnsi="Times New Roman" w:cs="Times New Roman"/>
          <w:lang w:val="en-US"/>
        </w:rPr>
        <w:t>28</w:t>
      </w:r>
      <w:r w:rsidR="00452C9D" w:rsidRPr="00C0038D">
        <w:rPr>
          <w:rFonts w:ascii="Times New Roman" w:hAnsi="Times New Roman" w:cs="Times New Roman"/>
          <w:lang w:val="en-US"/>
        </w:rPr>
        <w:t>]</w:t>
      </w:r>
      <w:r w:rsidRPr="00C0038D">
        <w:rPr>
          <w:rFonts w:ascii="Times New Roman" w:hAnsi="Times New Roman" w:cs="Times New Roman"/>
          <w:lang w:val="en-US"/>
        </w:rPr>
        <w:t>.</w:t>
      </w:r>
    </w:p>
  </w:footnote>
  <w:footnote w:id="115">
    <w:p w14:paraId="54CE3219" w14:textId="6729BCE3" w:rsidR="00B72127" w:rsidRPr="00C0038D" w:rsidRDefault="00B72127" w:rsidP="00C0038D">
      <w:pPr>
        <w:pStyle w:val="Tekstprzypisudolnego"/>
        <w:jc w:val="both"/>
        <w:rPr>
          <w:rFonts w:ascii="Times New Roman" w:hAnsi="Times New Roman" w:cs="Times New Roman"/>
          <w:lang w:val="en-US"/>
        </w:rPr>
      </w:pPr>
      <w:r w:rsidRPr="00C0038D">
        <w:rPr>
          <w:rStyle w:val="Odwoanieprzypisudolnego"/>
          <w:rFonts w:ascii="Times New Roman" w:hAnsi="Times New Roman" w:cs="Times New Roman"/>
        </w:rPr>
        <w:footnoteRef/>
      </w:r>
      <w:r w:rsidRPr="00C0038D">
        <w:rPr>
          <w:rFonts w:ascii="Times New Roman" w:hAnsi="Times New Roman" w:cs="Times New Roman"/>
          <w:lang w:val="en-US"/>
        </w:rPr>
        <w:t xml:space="preserve"> “Frequently Asked Questions on Pillar 2 Directive”, art. 16, Question 2 (https://taxation-customs.ec.europa.eu/system/files/2023-12/20231222%20Pillar%202%20technical%20FAQ.pdf) oraz Komentarz </w:t>
      </w:r>
      <w:r w:rsidR="00452C9D" w:rsidRPr="00C0038D">
        <w:rPr>
          <w:rFonts w:ascii="Times New Roman" w:hAnsi="Times New Roman" w:cs="Times New Roman"/>
          <w:lang w:val="en-US"/>
        </w:rPr>
        <w:t>[</w:t>
      </w:r>
      <w:r w:rsidRPr="00C0038D">
        <w:rPr>
          <w:rFonts w:ascii="Times New Roman" w:hAnsi="Times New Roman" w:cs="Times New Roman"/>
          <w:lang w:val="en-US"/>
        </w:rPr>
        <w:t xml:space="preserve"> 3.2.1</w:t>
      </w:r>
      <w:r w:rsidR="00452C9D" w:rsidRPr="00C0038D">
        <w:rPr>
          <w:rFonts w:ascii="Times New Roman" w:hAnsi="Times New Roman" w:cs="Times New Roman"/>
          <w:lang w:val="en-US"/>
        </w:rPr>
        <w:t>;</w:t>
      </w:r>
      <w:r w:rsidRPr="00C0038D">
        <w:rPr>
          <w:rFonts w:ascii="Times New Roman" w:hAnsi="Times New Roman" w:cs="Times New Roman"/>
          <w:lang w:val="en-US"/>
        </w:rPr>
        <w:t>29</w:t>
      </w:r>
      <w:r w:rsidR="00452C9D" w:rsidRPr="00C0038D">
        <w:rPr>
          <w:rFonts w:ascii="Times New Roman" w:hAnsi="Times New Roman" w:cs="Times New Roman"/>
          <w:lang w:val="en-US"/>
        </w:rPr>
        <w:t>]</w:t>
      </w:r>
      <w:r w:rsidRPr="00C0038D">
        <w:rPr>
          <w:rFonts w:ascii="Times New Roman" w:hAnsi="Times New Roman" w:cs="Times New Roman"/>
          <w:lang w:val="en-US"/>
        </w:rPr>
        <w:t>.</w:t>
      </w:r>
    </w:p>
  </w:footnote>
  <w:footnote w:id="116">
    <w:p w14:paraId="2482CDFE" w14:textId="77777777" w:rsidR="000626F6" w:rsidRPr="00C0038D" w:rsidRDefault="000626F6" w:rsidP="000626F6">
      <w:pPr>
        <w:pStyle w:val="Tekstprzypisudolnego"/>
        <w:jc w:val="both"/>
        <w:rPr>
          <w:rFonts w:ascii="Times New Roman" w:hAnsi="Times New Roman" w:cs="Times New Roman"/>
          <w:lang w:val="en-GB"/>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w:t>
      </w:r>
      <w:r w:rsidRPr="00C0038D">
        <w:rPr>
          <w:rFonts w:ascii="Times New Roman" w:hAnsi="Times New Roman" w:cs="Times New Roman"/>
          <w:shd w:val="clear" w:color="auto" w:fill="FFFFFF"/>
        </w:rPr>
        <w:t xml:space="preserve">Wytyczne Administracyjne z lutego 2023 r., 2.3. </w:t>
      </w:r>
      <w:r w:rsidRPr="00C0038D">
        <w:rPr>
          <w:rFonts w:ascii="Times New Roman" w:hAnsi="Times New Roman" w:cs="Times New Roman"/>
          <w:i/>
          <w:iCs/>
          <w:shd w:val="clear" w:color="auto" w:fill="FFFFFF"/>
          <w:lang w:val="en-GB"/>
        </w:rPr>
        <w:t>Excluded Dividends – Asymmetric treatment of dividends and distributions</w:t>
      </w:r>
      <w:r w:rsidRPr="00C0038D">
        <w:rPr>
          <w:rFonts w:ascii="Times New Roman" w:hAnsi="Times New Roman" w:cs="Times New Roman"/>
          <w:shd w:val="clear" w:color="auto" w:fill="FFFFFF"/>
          <w:lang w:val="en-GB"/>
        </w:rPr>
        <w:t>, str. 37, par. 37, ostatnie zdanie.</w:t>
      </w:r>
    </w:p>
  </w:footnote>
  <w:footnote w:id="117">
    <w:p w14:paraId="35A5CFA5" w14:textId="77777777" w:rsidR="0082073B" w:rsidRPr="00C0038D" w:rsidRDefault="0082073B" w:rsidP="0082073B">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“Inne całkowite dochody” są elementem skonsolidowanego sprawozdania finansowego sporządzanego według Międzynarodowych Standardów Rachunkowości (MSR).</w:t>
      </w:r>
    </w:p>
  </w:footnote>
  <w:footnote w:id="118">
    <w:p w14:paraId="46D10424" w14:textId="042DBDCE" w:rsidR="00013083" w:rsidRPr="00C0038D" w:rsidRDefault="00013083" w:rsidP="00C0038D">
      <w:pPr>
        <w:pStyle w:val="Tekstprzypisudolnego"/>
        <w:jc w:val="both"/>
        <w:rPr>
          <w:rFonts w:ascii="Times New Roman" w:hAnsi="Times New Roman" w:cs="Times New Roman"/>
          <w:lang w:val="en-US"/>
        </w:rPr>
      </w:pPr>
      <w:r w:rsidRPr="00C0038D">
        <w:rPr>
          <w:rStyle w:val="Odwoanieprzypisudolnego"/>
          <w:rFonts w:ascii="Times New Roman" w:hAnsi="Times New Roman" w:cs="Times New Roman"/>
        </w:rPr>
        <w:footnoteRef/>
      </w:r>
      <w:r w:rsidRPr="00C0038D">
        <w:rPr>
          <w:rFonts w:ascii="Times New Roman" w:hAnsi="Times New Roman" w:cs="Times New Roman"/>
          <w:lang w:val="en-US"/>
        </w:rPr>
        <w:t xml:space="preserve"> </w:t>
      </w:r>
      <w:r w:rsidRPr="00C0038D">
        <w:rPr>
          <w:rFonts w:ascii="Times New Roman" w:eastAsia="ArialMT" w:hAnsi="Times New Roman" w:cs="Times New Roman"/>
          <w:color w:val="000000"/>
          <w:lang w:val="en-US"/>
        </w:rPr>
        <w:t xml:space="preserve">OECD (2022), </w:t>
      </w:r>
      <w:r w:rsidRPr="00C0038D">
        <w:rPr>
          <w:rFonts w:ascii="Times New Roman" w:eastAsia="ArialMT" w:hAnsi="Times New Roman" w:cs="Times New Roman"/>
          <w:i/>
          <w:iCs/>
          <w:color w:val="000000"/>
          <w:lang w:val="en-US"/>
        </w:rPr>
        <w:t>Global Anti-Base Erosion Model Rules (Pillar Two) Examples</w:t>
      </w:r>
      <w:r w:rsidRPr="00C0038D">
        <w:rPr>
          <w:rFonts w:ascii="Times New Roman" w:eastAsia="ArialMT" w:hAnsi="Times New Roman" w:cs="Times New Roman"/>
          <w:color w:val="000000"/>
          <w:lang w:val="en-US"/>
        </w:rPr>
        <w:t xml:space="preserve">, OECD, Paris, </w:t>
      </w:r>
      <w:r w:rsidRPr="00C0038D">
        <w:rPr>
          <w:rFonts w:ascii="Times New Roman" w:eastAsia="ArialMT" w:hAnsi="Times New Roman" w:cs="Times New Roman"/>
          <w:lang w:val="en-US"/>
        </w:rPr>
        <w:t>https://www.oecd.org/tax/beps/tax-challenges-arising-from-the-digitalisationof-the-economy-global-anti-base-erosion-model-rules-pillar-two-examples.pdf</w:t>
      </w:r>
      <w:r w:rsidRPr="00C0038D">
        <w:rPr>
          <w:rStyle w:val="Hipercze"/>
          <w:rFonts w:ascii="Times New Roman" w:eastAsia="ArialMT" w:hAnsi="Times New Roman" w:cs="Times New Roman"/>
          <w:lang w:val="en-US"/>
        </w:rPr>
        <w:t xml:space="preserve">, </w:t>
      </w:r>
      <w:r w:rsidRPr="00C0038D">
        <w:rPr>
          <w:rFonts w:ascii="Times New Roman" w:hAnsi="Times New Roman" w:cs="Times New Roman"/>
          <w:lang w:val="en-US"/>
        </w:rPr>
        <w:t>przykład 3.2.1(f)-1</w:t>
      </w:r>
    </w:p>
  </w:footnote>
  <w:footnote w:id="119">
    <w:p w14:paraId="6D1FE242" w14:textId="26FF35B4" w:rsidR="00013083" w:rsidRPr="00C0038D" w:rsidRDefault="00013083" w:rsidP="00C0038D">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Ibidem, przykład 3.2.1.(f)-2</w:t>
      </w:r>
    </w:p>
  </w:footnote>
  <w:footnote w:id="120">
    <w:p w14:paraId="77AE4290" w14:textId="228D5D88" w:rsidR="00013083" w:rsidRPr="00C0038D" w:rsidRDefault="00013083" w:rsidP="00C0038D">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Ibidem, przykład 3.2.1(f)-3 poz. 5.</w:t>
      </w:r>
    </w:p>
  </w:footnote>
  <w:footnote w:id="121">
    <w:p w14:paraId="6F40EE4D" w14:textId="17A5282C" w:rsidR="00013083" w:rsidRPr="00C0038D" w:rsidRDefault="00013083" w:rsidP="00C0038D">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Ibidem, przykład 3.2.1(f)-3, poz. 6.</w:t>
      </w:r>
    </w:p>
  </w:footnote>
  <w:footnote w:id="122">
    <w:p w14:paraId="6DA8D562" w14:textId="42BE7F8B" w:rsidR="00564CD7" w:rsidRPr="00C0038D" w:rsidRDefault="00564CD7" w:rsidP="00C0038D">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O ile zgodnie z przepisami rachunkowości obowiązującymi w Rzeczypospolitej Polskiej nie jest możliwe zaliczenie łapówek i ukrytych prowizji, przepisy lub zasady rachunkowości innych państw mogą potencjalnie zezwalać na zaksięgowanie takich kwot jako koszty.</w:t>
      </w:r>
    </w:p>
  </w:footnote>
  <w:footnote w:id="123">
    <w:p w14:paraId="1FFB7EBF" w14:textId="760838BD" w:rsidR="00174F00" w:rsidRPr="00C0038D" w:rsidRDefault="00174F00">
      <w:pPr>
        <w:pStyle w:val="Tekstprzypisudolnego"/>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Schemat opracowany na podstawie materiałów </w:t>
      </w:r>
      <w:r w:rsidR="00A55F8E" w:rsidRPr="00C0038D">
        <w:rPr>
          <w:rFonts w:ascii="Times New Roman" w:hAnsi="Times New Roman" w:cs="Times New Roman"/>
        </w:rPr>
        <w:t>OECD</w:t>
      </w:r>
      <w:r w:rsidRPr="00C0038D">
        <w:rPr>
          <w:rFonts w:ascii="Times New Roman" w:hAnsi="Times New Roman" w:cs="Times New Roman"/>
        </w:rPr>
        <w:t>.</w:t>
      </w:r>
    </w:p>
  </w:footnote>
  <w:footnote w:id="124">
    <w:p w14:paraId="23858C39" w14:textId="77777777" w:rsidR="007F738B" w:rsidRPr="00C0038D" w:rsidRDefault="007F738B" w:rsidP="007F738B">
      <w:pPr>
        <w:pStyle w:val="Tekstprzypisudolnego"/>
        <w:jc w:val="both"/>
        <w:rPr>
          <w:rFonts w:ascii="Times New Roman" w:hAnsi="Times New Roman" w:cs="Times New Roman"/>
          <w:lang w:val="en-GB"/>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Wytyczne Administracyjne </w:t>
      </w:r>
      <w:r w:rsidRPr="00C0038D">
        <w:rPr>
          <w:rFonts w:ascii="Times New Roman" w:hAnsi="Times New Roman" w:cs="Times New Roman"/>
          <w:shd w:val="clear" w:color="auto" w:fill="FFFFFF"/>
        </w:rPr>
        <w:t xml:space="preserve">z lutego 2023 r., 3.4. </w:t>
      </w:r>
      <w:r w:rsidRPr="00C0038D">
        <w:rPr>
          <w:rFonts w:ascii="Times New Roman" w:hAnsi="Times New Roman" w:cs="Times New Roman"/>
          <w:i/>
          <w:iCs/>
          <w:shd w:val="clear" w:color="auto" w:fill="FFFFFF"/>
          <w:lang w:val="en-GB"/>
        </w:rPr>
        <w:t xml:space="preserve">Liabilities related to Excluded Dividends and Excluded Equity Gain or Loss from securities held on behalf of policyholders (Article 3.2.1(b) and Article 3.2.1(c)), </w:t>
      </w:r>
      <w:r w:rsidRPr="00C0038D">
        <w:rPr>
          <w:rFonts w:ascii="Times New Roman" w:hAnsi="Times New Roman" w:cs="Times New Roman"/>
          <w:shd w:val="clear" w:color="auto" w:fill="FFFFFF"/>
          <w:lang w:val="en-GB"/>
        </w:rPr>
        <w:t>str. 75, par. 36.</w:t>
      </w:r>
    </w:p>
  </w:footnote>
  <w:footnote w:id="125">
    <w:p w14:paraId="6CCD3186" w14:textId="77777777" w:rsidR="000626F6" w:rsidRPr="00C0038D" w:rsidRDefault="000626F6" w:rsidP="000626F6">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Trudności sygnalizowane były w szczególności przez sektor ubezpieczeniowy. W tym kontekście, </w:t>
      </w:r>
      <w:r w:rsidRPr="00C0038D">
        <w:rPr>
          <w:rFonts w:ascii="Times New Roman" w:hAnsi="Times New Roman" w:cs="Times New Roman"/>
          <w:bCs/>
        </w:rPr>
        <w:t>grupa, która dokonała wyboru i włącza wszystkie dywidendy z inwestycji portfelowych do obliczania kwalifikowanego dochodu (straty), nie musi dokonywać korekty z tytułu np. zmian rezerw ubezpieczeń, które są związane z zabezpieczeniami utrzymywanymi w imieniu ubezpieczających. W efekcie, rozwiązanie to może stanowić prostszą alternatywę dla regulacji dotyczących dywidend wyłączonych (wskazanych powyżej).</w:t>
      </w:r>
    </w:p>
  </w:footnote>
  <w:footnote w:id="126">
    <w:p w14:paraId="479641C8" w14:textId="206A2D28" w:rsidR="000626F6" w:rsidRPr="00C0038D" w:rsidRDefault="000626F6" w:rsidP="000626F6">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W świetle Komentarza </w:t>
      </w:r>
      <w:r w:rsidR="00452C9D" w:rsidRPr="00C0038D">
        <w:rPr>
          <w:rFonts w:ascii="Times New Roman" w:hAnsi="Times New Roman" w:cs="Times New Roman"/>
        </w:rPr>
        <w:t>[</w:t>
      </w:r>
      <w:r w:rsidRPr="00C0038D">
        <w:rPr>
          <w:rFonts w:ascii="Times New Roman" w:hAnsi="Times New Roman" w:cs="Times New Roman"/>
        </w:rPr>
        <w:t>3.2.5</w:t>
      </w:r>
      <w:r w:rsidR="00452C9D" w:rsidRPr="00C0038D">
        <w:rPr>
          <w:rFonts w:ascii="Times New Roman" w:hAnsi="Times New Roman" w:cs="Times New Roman"/>
        </w:rPr>
        <w:t>;</w:t>
      </w:r>
      <w:r w:rsidRPr="00C0038D">
        <w:rPr>
          <w:rFonts w:ascii="Times New Roman" w:hAnsi="Times New Roman" w:cs="Times New Roman"/>
        </w:rPr>
        <w:t>117</w:t>
      </w:r>
      <w:r w:rsidR="00452C9D" w:rsidRPr="00C0038D">
        <w:rPr>
          <w:rFonts w:ascii="Times New Roman" w:hAnsi="Times New Roman" w:cs="Times New Roman"/>
        </w:rPr>
        <w:t>]</w:t>
      </w:r>
      <w:r w:rsidRPr="00C0038D">
        <w:rPr>
          <w:rFonts w:ascii="Times New Roman" w:hAnsi="Times New Roman" w:cs="Times New Roman"/>
        </w:rPr>
        <w:t>, przykładowo, jeżeli jednostka składowa posiada dług zamienny w nowo powstałej firmie, a firma ta osiąga słabe wyniki w pierwszych kilku latach działalności, ta jednostka może być zobowiązana, zgodnie z obowiązującym standardem rachunkowości, do ujęcia straty z tytułu spadku wartości godziwej inwestycji. Jeżeli nowo powstała firma zostanie ostatecznie przejęta przez niepowiązanego nabywcę, a jednostka składowa zbywa dług zamienny, „zysk” wykazany przy sprzedaży nie jest w rzeczywistości zyskiem ekonomicznym, ale może podlegać podatkowi wyrównawczemu, jeżeli w danym roku nie ma powiązanych podatków kwalifikowanych w odniesieniu do zysku. Omawiany wybór zapobiega takiemu rezultatowi, zezwalając jednostce składowej na określenie zysku ze sprzedaży na podstawie pierwotnego kosztu składnika aktywów.</w:t>
      </w:r>
    </w:p>
  </w:footnote>
  <w:footnote w:id="127">
    <w:p w14:paraId="79377DD1" w14:textId="001408DC" w:rsidR="002D1512" w:rsidRPr="00C0038D" w:rsidRDefault="002D1512" w:rsidP="00C0038D">
      <w:pPr>
        <w:pStyle w:val="Tekstprzypisudolnego"/>
        <w:jc w:val="both"/>
        <w:rPr>
          <w:rFonts w:ascii="Times New Roman" w:hAnsi="Times New Roman" w:cs="Times New Roman"/>
          <w:lang w:val="en-US"/>
        </w:rPr>
      </w:pPr>
      <w:r w:rsidRPr="00C0038D">
        <w:rPr>
          <w:rStyle w:val="Odwoanieprzypisudolnego"/>
          <w:rFonts w:ascii="Times New Roman" w:hAnsi="Times New Roman" w:cs="Times New Roman"/>
        </w:rPr>
        <w:footnoteRef/>
      </w:r>
      <w:r w:rsidRPr="00C0038D">
        <w:rPr>
          <w:rFonts w:ascii="Times New Roman" w:hAnsi="Times New Roman" w:cs="Times New Roman"/>
          <w:lang w:val="en-US"/>
        </w:rPr>
        <w:t xml:space="preserve"> W ślad za: </w:t>
      </w:r>
      <w:r w:rsidRPr="00C0038D">
        <w:rPr>
          <w:rFonts w:ascii="Times New Roman" w:eastAsia="ArialMT" w:hAnsi="Times New Roman" w:cs="Times New Roman"/>
          <w:color w:val="000000"/>
          <w:lang w:val="en-US"/>
        </w:rPr>
        <w:t xml:space="preserve">OECD (2022), </w:t>
      </w:r>
      <w:r w:rsidRPr="00C0038D">
        <w:rPr>
          <w:rFonts w:ascii="Times New Roman" w:eastAsia="ArialMT" w:hAnsi="Times New Roman" w:cs="Times New Roman"/>
          <w:i/>
          <w:iCs/>
          <w:color w:val="000000"/>
          <w:lang w:val="en-US"/>
        </w:rPr>
        <w:t>Global Anti-Base Erosion Model Rules (Pillar Two) Examples</w:t>
      </w:r>
      <w:r w:rsidRPr="00C0038D">
        <w:rPr>
          <w:rFonts w:ascii="Times New Roman" w:eastAsia="ArialMT" w:hAnsi="Times New Roman" w:cs="Times New Roman"/>
          <w:color w:val="000000"/>
          <w:lang w:val="en-US"/>
        </w:rPr>
        <w:t xml:space="preserve">, OECD, Paris, </w:t>
      </w:r>
      <w:r w:rsidRPr="00C0038D">
        <w:rPr>
          <w:rFonts w:ascii="Times New Roman" w:eastAsia="ArialMT" w:hAnsi="Times New Roman" w:cs="Times New Roman"/>
          <w:lang w:val="en-US"/>
        </w:rPr>
        <w:t>https://www.oecd.org/tax/beps/tax-challenges-arising-from-the-digitalisationof-the-economy-global-anti-base-erosion-model-rules-pillar-two-examples.pdf</w:t>
      </w:r>
      <w:r w:rsidRPr="00C0038D">
        <w:rPr>
          <w:rStyle w:val="Hipercze"/>
          <w:rFonts w:ascii="Times New Roman" w:eastAsia="ArialMT" w:hAnsi="Times New Roman" w:cs="Times New Roman"/>
          <w:lang w:val="en-US"/>
        </w:rPr>
        <w:t xml:space="preserve">, </w:t>
      </w:r>
      <w:r w:rsidRPr="00C0038D">
        <w:rPr>
          <w:rFonts w:ascii="Times New Roman" w:hAnsi="Times New Roman" w:cs="Times New Roman"/>
          <w:lang w:val="en-US"/>
        </w:rPr>
        <w:t>przykład 3.2.6-1.</w:t>
      </w:r>
    </w:p>
  </w:footnote>
  <w:footnote w:id="128">
    <w:p w14:paraId="5890C48D" w14:textId="77777777" w:rsidR="002E7C5D" w:rsidRPr="00C0038D" w:rsidRDefault="002E7C5D" w:rsidP="002E7C5D">
      <w:pPr>
        <w:pStyle w:val="Tekstprzypisudolnego"/>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Do tego rodzaju zabezpieczeń referuje w szczególności </w:t>
      </w:r>
      <w:r w:rsidRPr="00C0038D">
        <w:rPr>
          <w:rFonts w:ascii="Times New Roman" w:eastAsia="Calibri" w:hAnsi="Times New Roman" w:cs="Times New Roman"/>
        </w:rPr>
        <w:t>MSSF 9.</w:t>
      </w:r>
    </w:p>
  </w:footnote>
  <w:footnote w:id="129">
    <w:p w14:paraId="44D13714" w14:textId="77777777" w:rsidR="002E7C5D" w:rsidRPr="00C0038D" w:rsidRDefault="002E7C5D" w:rsidP="002E7C5D">
      <w:pPr>
        <w:pStyle w:val="Tekstprzypisudolnego"/>
        <w:jc w:val="both"/>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Wytyczne odwołują się do koniecznych korekt w zakresie parametrów mających wpływ na obliczenie podatku („</w:t>
      </w:r>
      <w:r w:rsidRPr="00C0038D">
        <w:rPr>
          <w:rFonts w:ascii="Times New Roman" w:hAnsi="Times New Roman" w:cs="Times New Roman"/>
          <w:i/>
          <w:iCs/>
        </w:rPr>
        <w:t>tax attributes</w:t>
      </w:r>
      <w:r w:rsidRPr="00C0038D">
        <w:rPr>
          <w:rFonts w:ascii="Times New Roman" w:hAnsi="Times New Roman" w:cs="Times New Roman"/>
        </w:rPr>
        <w:t>”). Przykładowo mogą to być</w:t>
      </w:r>
      <w:r w:rsidRPr="00C0038D">
        <w:rPr>
          <w:rFonts w:ascii="Times New Roman" w:hAnsi="Times New Roman" w:cs="Times New Roman"/>
          <w:color w:val="000000"/>
        </w:rPr>
        <w:t xml:space="preserve"> korekty pozostającej do rozliczenia straty podatkowej, kwoty odliczeń pozostających do rozliczenia lub wartości początkowej aktywów.</w:t>
      </w:r>
    </w:p>
  </w:footnote>
  <w:footnote w:id="130">
    <w:p w14:paraId="3634D26B" w14:textId="77777777" w:rsidR="00C73DB2" w:rsidRPr="00C0038D" w:rsidRDefault="00C73DB2" w:rsidP="00C73DB2">
      <w:pPr>
        <w:pStyle w:val="Tekstprzypisudolnego"/>
        <w:jc w:val="both"/>
        <w:rPr>
          <w:rFonts w:ascii="Times New Roman" w:hAnsi="Times New Roman" w:cs="Times New Roman"/>
          <w:bCs/>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Przy czym za </w:t>
      </w:r>
      <w:r w:rsidRPr="00C0038D">
        <w:rPr>
          <w:rFonts w:ascii="Times New Roman" w:hAnsi="Times New Roman" w:cs="Times New Roman"/>
          <w:bCs/>
        </w:rPr>
        <w:t xml:space="preserve">ekwiwalent środków pieniężnych uznaje się czeki, krótkoterminowe instrumenty dłużne sektora instytucji rządowych i samorządowych oraz wszelkie inne środki i wartości traktowane jako ekwiwalent środków pieniężnych zgodnie ze standardem rachunkowości finansowej stosowanym w skonsolidowanym sprawozdaniu finansowym; </w:t>
      </w:r>
      <w:r w:rsidRPr="00C0038D">
        <w:rPr>
          <w:rFonts w:ascii="Times New Roman" w:hAnsi="Times New Roman" w:cs="Times New Roman"/>
          <w:bCs/>
          <w:u w:val="single"/>
        </w:rPr>
        <w:t>za ekwiwalent środków pieniężnych uważa się</w:t>
      </w:r>
      <w:r w:rsidRPr="00C0038D">
        <w:rPr>
          <w:rFonts w:ascii="Times New Roman" w:hAnsi="Times New Roman" w:cs="Times New Roman"/>
          <w:bCs/>
        </w:rPr>
        <w:t xml:space="preserve"> także możliwość wykorzystania </w:t>
      </w:r>
      <w:r w:rsidRPr="00C0038D">
        <w:rPr>
          <w:rFonts w:ascii="Times New Roman" w:hAnsi="Times New Roman" w:cs="Times New Roman"/>
          <w:bCs/>
          <w:u w:val="single"/>
        </w:rPr>
        <w:t>ulgi</w:t>
      </w:r>
      <w:r w:rsidRPr="00C0038D">
        <w:rPr>
          <w:rFonts w:ascii="Times New Roman" w:hAnsi="Times New Roman" w:cs="Times New Roman"/>
          <w:bCs/>
        </w:rPr>
        <w:t xml:space="preserve"> do wywiązania się ze zobowiązań innych niż zobowiązanie z tytułu podatku kwalifikowanego.</w:t>
      </w:r>
    </w:p>
    <w:p w14:paraId="23791A0E" w14:textId="77777777" w:rsidR="00C73DB2" w:rsidRPr="00AD772A" w:rsidRDefault="00C73DB2" w:rsidP="00C73DB2">
      <w:pPr>
        <w:pStyle w:val="Tekstprzypisudolnego"/>
        <w:rPr>
          <w:rFonts w:cstheme="minorHAnsi"/>
        </w:rPr>
      </w:pPr>
    </w:p>
  </w:footnote>
  <w:footnote w:id="131">
    <w:p w14:paraId="28DB57B8" w14:textId="77777777" w:rsidR="00737841" w:rsidRPr="00C0038D" w:rsidRDefault="00737841" w:rsidP="00737841">
      <w:pPr>
        <w:pStyle w:val="Tekstprzypisudolnego"/>
        <w:rPr>
          <w:rFonts w:ascii="Times New Roman" w:hAnsi="Times New Roman" w:cs="Times New Roman"/>
        </w:rPr>
      </w:pPr>
      <w:r w:rsidRPr="00C0038D">
        <w:rPr>
          <w:rStyle w:val="Odwoanieprzypisudolnego"/>
          <w:rFonts w:ascii="Times New Roman" w:hAnsi="Times New Roman" w:cs="Times New Roman"/>
        </w:rPr>
        <w:footnoteRef/>
      </w:r>
      <w:r w:rsidRPr="00C0038D">
        <w:rPr>
          <w:rFonts w:ascii="Times New Roman" w:hAnsi="Times New Roman" w:cs="Times New Roman"/>
        </w:rPr>
        <w:t xml:space="preserve"> Wytyczne Administracyjne z lipca 2023 r., pkt 2 </w:t>
      </w:r>
      <w:r w:rsidRPr="00C0038D">
        <w:rPr>
          <w:rFonts w:ascii="Times New Roman" w:hAnsi="Times New Roman" w:cs="Times New Roman"/>
          <w:i/>
          <w:iCs/>
        </w:rPr>
        <w:t>Tax credits</w:t>
      </w:r>
      <w:r w:rsidRPr="00C0038D">
        <w:rPr>
          <w:rFonts w:ascii="Times New Roman" w:hAnsi="Times New Roman" w:cs="Times New Roman"/>
        </w:rPr>
        <w:t>, str. 31 par. 31 oraz str. 36 par. 14.4.</w:t>
      </w:r>
    </w:p>
  </w:footnote>
  <w:footnote w:id="132">
    <w:p w14:paraId="7A7A7DDA" w14:textId="411C2465" w:rsidR="008A2D79" w:rsidRPr="00D724B9" w:rsidRDefault="008A2D79" w:rsidP="00F73D4E">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Zawarte w przepisie art. 69 ust. 1 pkt 1 projektu wyrażenie </w:t>
      </w:r>
      <w:r w:rsidRPr="00D724B9">
        <w:rPr>
          <w:rFonts w:ascii="Times New Roman" w:hAnsi="Times New Roman" w:cs="Times New Roman"/>
          <w:i/>
          <w:iCs/>
        </w:rPr>
        <w:t>„(…)</w:t>
      </w:r>
      <w:r w:rsidR="00536217" w:rsidRPr="00D724B9">
        <w:rPr>
          <w:rFonts w:ascii="Times New Roman" w:hAnsi="Times New Roman" w:cs="Times New Roman"/>
          <w:i/>
          <w:iCs/>
        </w:rPr>
        <w:t xml:space="preserve"> </w:t>
      </w:r>
      <w:r w:rsidRPr="00D724B9">
        <w:rPr>
          <w:rFonts w:ascii="Times New Roman" w:hAnsi="Times New Roman" w:cs="Times New Roman"/>
          <w:i/>
          <w:iCs/>
        </w:rPr>
        <w:t>bez względu na wysokość dochodu podlegającego opodatkowaniu oraz wysokość kosztów podlegających odliczeniu (…)”</w:t>
      </w:r>
      <w:r w:rsidRPr="00D724B9">
        <w:rPr>
          <w:rFonts w:ascii="Times New Roman" w:hAnsi="Times New Roman" w:cs="Times New Roman"/>
        </w:rPr>
        <w:t xml:space="preserve"> ma na celu rozróżnienie między przepisami podatkowymi dotyczącymi przypisywania dochodu stałemu zakładowi a przepisami podatkowymi, w tym zasadami dotyczącymi terminów, w zakresie obliczania dochodu podlegającego opodatkowaniu.</w:t>
      </w:r>
    </w:p>
  </w:footnote>
  <w:footnote w:id="133">
    <w:p w14:paraId="483B0AF5" w14:textId="7547E19B" w:rsidR="008A2D79" w:rsidRPr="00D724B9" w:rsidRDefault="008A2D79" w:rsidP="00F73D4E">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Choć zgodnie z Zasadami GloBE ETR centrali oblicza się bez uwzględnienia kwalifikowanego dochodu lub straty GloBE stałego zakładu</w:t>
      </w:r>
      <w:r w:rsidR="008776B5" w:rsidRPr="00D724B9">
        <w:rPr>
          <w:rFonts w:ascii="Times New Roman" w:hAnsi="Times New Roman" w:cs="Times New Roman"/>
        </w:rPr>
        <w:t>,</w:t>
      </w:r>
      <w:r w:rsidRPr="00D724B9">
        <w:rPr>
          <w:rFonts w:ascii="Times New Roman" w:hAnsi="Times New Roman" w:cs="Times New Roman"/>
        </w:rPr>
        <w:t xml:space="preserve"> to jednak należy pamiętać, że niektóre</w:t>
      </w:r>
      <w:r w:rsidR="008776B5" w:rsidRPr="00D724B9">
        <w:rPr>
          <w:rFonts w:ascii="Times New Roman" w:hAnsi="Times New Roman" w:cs="Times New Roman"/>
        </w:rPr>
        <w:t xml:space="preserve"> </w:t>
      </w:r>
      <w:r w:rsidR="00554B05" w:rsidRPr="00D724B9">
        <w:rPr>
          <w:rFonts w:ascii="Times New Roman" w:hAnsi="Times New Roman" w:cs="Times New Roman"/>
        </w:rPr>
        <w:t>jurysdykcje</w:t>
      </w:r>
      <w:r w:rsidR="00554B05" w:rsidRPr="00D724B9" w:rsidDel="00554B05">
        <w:rPr>
          <w:rFonts w:ascii="Times New Roman" w:hAnsi="Times New Roman" w:cs="Times New Roman"/>
        </w:rPr>
        <w:t xml:space="preserve"> </w:t>
      </w:r>
      <w:r w:rsidRPr="00D724B9">
        <w:rPr>
          <w:rFonts w:ascii="Times New Roman" w:hAnsi="Times New Roman" w:cs="Times New Roman"/>
        </w:rPr>
        <w:t xml:space="preserve">uwzględniają dochód lub stratę stałego zakładu przy obliczaniu krajowego dochodu podlegającego opodatkowaniu jego centrali (np. </w:t>
      </w:r>
      <w:r w:rsidR="00554B05" w:rsidRPr="00D724B9">
        <w:rPr>
          <w:rFonts w:ascii="Times New Roman" w:hAnsi="Times New Roman" w:cs="Times New Roman"/>
        </w:rPr>
        <w:t>jurysdykcj</w:t>
      </w:r>
      <w:r w:rsidR="0045776E" w:rsidRPr="00D724B9">
        <w:rPr>
          <w:rFonts w:ascii="Times New Roman" w:hAnsi="Times New Roman" w:cs="Times New Roman"/>
        </w:rPr>
        <w:t>e</w:t>
      </w:r>
      <w:r w:rsidR="00554B05" w:rsidRPr="00D724B9" w:rsidDel="00554B05">
        <w:rPr>
          <w:rFonts w:ascii="Times New Roman" w:hAnsi="Times New Roman" w:cs="Times New Roman"/>
        </w:rPr>
        <w:t xml:space="preserve"> </w:t>
      </w:r>
      <w:r w:rsidRPr="00D724B9">
        <w:rPr>
          <w:rFonts w:ascii="Times New Roman" w:hAnsi="Times New Roman" w:cs="Times New Roman"/>
        </w:rPr>
        <w:t xml:space="preserve">o ogólnoświatowym systemie podatkowym z zagranicznym systemem ulg podatkowych). Dlatego też przy braku szczególnej regulacji w tym zakresie, ETR centrali może zostać zaniżona </w:t>
      </w:r>
      <w:r w:rsidR="00F73EC1" w:rsidRPr="00D724B9">
        <w:rPr>
          <w:rFonts w:ascii="Times New Roman" w:hAnsi="Times New Roman" w:cs="Times New Roman"/>
        </w:rPr>
        <w:t xml:space="preserve">za </w:t>
      </w:r>
      <w:r w:rsidRPr="00D724B9">
        <w:rPr>
          <w:rFonts w:ascii="Times New Roman" w:hAnsi="Times New Roman" w:cs="Times New Roman"/>
        </w:rPr>
        <w:t>rok podatkowy, tj. gdyby strata stałego zakładu była uwzględniana dla krajowych celów podatkowych, ale nie dla celów kwalifikowanego dochodu lub straty. Oznacza to, że krajowe podejście może zostać zachowane po dokonaniu odpowiednich</w:t>
      </w:r>
      <w:r w:rsidR="004A2AB8" w:rsidRPr="00D724B9">
        <w:rPr>
          <w:rFonts w:ascii="Times New Roman" w:hAnsi="Times New Roman" w:cs="Times New Roman"/>
        </w:rPr>
        <w:t xml:space="preserve"> </w:t>
      </w:r>
      <w:r w:rsidRPr="00D724B9">
        <w:rPr>
          <w:rFonts w:ascii="Times New Roman" w:hAnsi="Times New Roman" w:cs="Times New Roman"/>
        </w:rPr>
        <w:t>dostosowań.</w:t>
      </w:r>
    </w:p>
  </w:footnote>
  <w:footnote w:id="134">
    <w:p w14:paraId="1C202F19" w14:textId="610EC794" w:rsidR="008A2D79" w:rsidRPr="00D724B9" w:rsidRDefault="008A2D79" w:rsidP="008776B5">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Nie ma przy tym znaczenia czy podstawa opodatkowania centrali uwzględnia</w:t>
      </w:r>
      <w:r w:rsidR="00F55AC0" w:rsidRPr="00D724B9">
        <w:rPr>
          <w:rFonts w:ascii="Times New Roman" w:hAnsi="Times New Roman" w:cs="Times New Roman"/>
        </w:rPr>
        <w:t xml:space="preserve"> </w:t>
      </w:r>
      <w:r w:rsidRPr="00D724B9">
        <w:rPr>
          <w:rFonts w:ascii="Times New Roman" w:hAnsi="Times New Roman" w:cs="Times New Roman"/>
        </w:rPr>
        <w:t xml:space="preserve">stratę netto stałego zakładu, czy też każdą z jego pozycji przychodów i kosztów. </w:t>
      </w:r>
    </w:p>
  </w:footnote>
  <w:footnote w:id="135">
    <w:p w14:paraId="19BBA09C" w14:textId="0F92CF3C" w:rsidR="008A2D79" w:rsidRPr="00D724B9" w:rsidRDefault="008A2D79" w:rsidP="00BE4222">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Dotyczącego traktowania kwalifikowanej straty GloBE stałego zakładu jako koszt centrali. </w:t>
      </w:r>
    </w:p>
  </w:footnote>
  <w:footnote w:id="136">
    <w:p w14:paraId="3EA446B9" w14:textId="16B6BB31" w:rsidR="00DE0ED7" w:rsidRPr="00D724B9" w:rsidRDefault="00DE0ED7" w:rsidP="00DE0ED7">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Ustawa posługuje się sformułowaniem „przydzielić”, co ma odzwierciedlić angielski zwrot „allocate” stosowany w Modelowych </w:t>
      </w:r>
      <w:r w:rsidR="00595132" w:rsidRPr="00D724B9">
        <w:rPr>
          <w:rFonts w:ascii="Times New Roman" w:hAnsi="Times New Roman" w:cs="Times New Roman"/>
        </w:rPr>
        <w:t>z</w:t>
      </w:r>
      <w:r w:rsidRPr="00D724B9">
        <w:rPr>
          <w:rFonts w:ascii="Times New Roman" w:hAnsi="Times New Roman" w:cs="Times New Roman"/>
        </w:rPr>
        <w:t>asadach OECD i Dyrektywy. Niemniej, ze względów redakcyjnych w uzasadnienie odnosi się zamiennie do „przydzielania”, jak i „alokowania”.</w:t>
      </w:r>
    </w:p>
  </w:footnote>
  <w:footnote w:id="137">
    <w:p w14:paraId="426D25BF" w14:textId="5EAE601C" w:rsidR="00CE1F09" w:rsidRPr="00D724B9" w:rsidRDefault="00CE1F09" w:rsidP="00CE1F09">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Której przychody, koszty, dochody oraz straty są traktowane zgodnie z przepisami </w:t>
      </w:r>
      <w:r w:rsidR="00554B05" w:rsidRPr="00D724B9">
        <w:rPr>
          <w:rFonts w:ascii="Times New Roman" w:hAnsi="Times New Roman" w:cs="Times New Roman"/>
        </w:rPr>
        <w:t>danej jurysdykcji</w:t>
      </w:r>
      <w:r w:rsidRPr="00D724B9">
        <w:rPr>
          <w:rFonts w:ascii="Times New Roman" w:hAnsi="Times New Roman" w:cs="Times New Roman"/>
        </w:rPr>
        <w:t xml:space="preserve">, tak jak gdyby zostały osiągnięte lub poniesione przez jej właścicieli proporcjonalnie do posiadanego bezpośrednio lub pośrednio udziału w tej jednostce (art. 3 ust. 1 ustawy). </w:t>
      </w:r>
    </w:p>
  </w:footnote>
  <w:footnote w:id="138">
    <w:p w14:paraId="704DE7D3" w14:textId="77777777" w:rsidR="00CE1F09" w:rsidRPr="00D724B9" w:rsidRDefault="00CE1F09" w:rsidP="00CE1F09">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W określonej, narzuconej przez System GloBE kolejności, zależnej również od danego stanu faktycznego. </w:t>
      </w:r>
    </w:p>
  </w:footnote>
  <w:footnote w:id="139">
    <w:p w14:paraId="77C388E1" w14:textId="0A3D825A" w:rsidR="00CE1F09" w:rsidRPr="00D724B9" w:rsidRDefault="00CE1F09" w:rsidP="00CE1F09">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Zasady traktowania takich jednostek regulują przepisy art. 113 niniejszego projektu ustawy (implementujący art. 38 Dyrektywy).</w:t>
      </w:r>
    </w:p>
  </w:footnote>
  <w:footnote w:id="140">
    <w:p w14:paraId="5EB2A9C2" w14:textId="7B381193" w:rsidR="00D25419" w:rsidRPr="00D724B9" w:rsidRDefault="00D25419" w:rsidP="00D25419">
      <w:pPr>
        <w:pStyle w:val="Tekstprzypisudolnego"/>
        <w:jc w:val="both"/>
        <w:rPr>
          <w:rFonts w:ascii="Times New Roman" w:hAnsi="Times New Roman" w:cs="Times New Roman"/>
        </w:rPr>
      </w:pPr>
      <w:r w:rsidRPr="00D724B9">
        <w:rPr>
          <w:rStyle w:val="Odwoanieprzypisudolnego"/>
          <w:rFonts w:ascii="Times New Roman" w:hAnsi="Times New Roman" w:cs="Times New Roman"/>
        </w:rPr>
        <w:footnoteRef/>
      </w:r>
      <w:r w:rsidRPr="00D724B9">
        <w:rPr>
          <w:rFonts w:ascii="Times New Roman" w:hAnsi="Times New Roman" w:cs="Times New Roman"/>
        </w:rPr>
        <w:t xml:space="preserve"> Por. art. 10.1 Modelowych </w:t>
      </w:r>
      <w:r w:rsidR="00595132" w:rsidRPr="00D724B9">
        <w:rPr>
          <w:rFonts w:ascii="Times New Roman" w:hAnsi="Times New Roman" w:cs="Times New Roman"/>
        </w:rPr>
        <w:t>z</w:t>
      </w:r>
      <w:r w:rsidRPr="00D724B9">
        <w:rPr>
          <w:rFonts w:ascii="Times New Roman" w:hAnsi="Times New Roman" w:cs="Times New Roman"/>
        </w:rPr>
        <w:t xml:space="preserve">asad i Komentarz [4.2.1; 24]. </w:t>
      </w:r>
      <w:r w:rsidRPr="00D724B9">
        <w:rPr>
          <w:rFonts w:ascii="Times New Roman" w:hAnsi="Times New Roman" w:cs="Times New Roman"/>
          <w:bCs/>
        </w:rPr>
        <w:t>W rozumieniu tej definicji podatki są nieodpłatne w tym sensie, że wszelkie korzyści zapewniane przez rząd podatnikowi nie są proporcjonalne do jego płatności. W związku z tym opłaty i płatności za przywileje, usługi, własność lub inne korzyści dostarczane przez rząd nie kwalifikują się jako podatki (i efektywnie, jako podatki kwalifikowane). Podobnie, podatki nie obejmują grzywien i kar, ani odsetek lub podobnych opłat nakładanych w związku z zapłatą zobowiązań podatkowych po terminie płatności.</w:t>
      </w:r>
    </w:p>
  </w:footnote>
  <w:footnote w:id="141">
    <w:p w14:paraId="072752D1" w14:textId="77777777" w:rsidR="00D25419" w:rsidRPr="00D724B9" w:rsidRDefault="00D25419" w:rsidP="00D25419">
      <w:pPr>
        <w:pStyle w:val="Tekstprzypisudolnego"/>
        <w:ind w:left="-426" w:right="-455"/>
        <w:jc w:val="both"/>
        <w:rPr>
          <w:rFonts w:ascii="Times New Roman" w:hAnsi="Times New Roman" w:cs="Times New Roman"/>
          <w:lang w:val="en-US"/>
        </w:rPr>
      </w:pPr>
      <w:r w:rsidRPr="00D724B9">
        <w:rPr>
          <w:rStyle w:val="Odwoanieprzypisudolnego"/>
          <w:rFonts w:ascii="Times New Roman" w:hAnsi="Times New Roman" w:cs="Times New Roman"/>
        </w:rPr>
        <w:footnoteRef/>
      </w:r>
      <w:r w:rsidRPr="00D724B9">
        <w:rPr>
          <w:rFonts w:ascii="Times New Roman" w:hAnsi="Times New Roman" w:cs="Times New Roman"/>
          <w:lang w:val="en-US"/>
        </w:rPr>
        <w:t xml:space="preserve"> “Frequently Asked Questions on Pillar 2 Directive”, art. 16, Question 2 (https://taxation-customs.ec.europa.eu/system/files/2023-12/20231222%20Pillar%202%20technical%20FAQ.pdf)</w:t>
      </w:r>
    </w:p>
  </w:footnote>
  <w:footnote w:id="142">
    <w:p w14:paraId="0AA0DF84" w14:textId="77777777" w:rsidR="00D25419" w:rsidRPr="005C703A" w:rsidRDefault="00D25419" w:rsidP="00D25419">
      <w:pPr>
        <w:pStyle w:val="Tekstprzypisudolnego"/>
        <w:rPr>
          <w:rFonts w:ascii="Times New Roman" w:hAnsi="Times New Roman" w:cs="Times New Roman"/>
          <w:lang w:val="en-US"/>
        </w:rPr>
      </w:pPr>
      <w:r w:rsidRPr="005C703A">
        <w:rPr>
          <w:rStyle w:val="Odwoanieprzypisudolnego"/>
          <w:rFonts w:ascii="Times New Roman" w:hAnsi="Times New Roman" w:cs="Times New Roman"/>
        </w:rPr>
        <w:footnoteRef/>
      </w:r>
      <w:r w:rsidRPr="005C703A">
        <w:rPr>
          <w:rFonts w:ascii="Times New Roman" w:hAnsi="Times New Roman" w:cs="Times New Roman"/>
          <w:lang w:val="en-US"/>
        </w:rPr>
        <w:t xml:space="preserve"> Pkt 1.3. (</w:t>
      </w:r>
      <w:r w:rsidRPr="005C703A">
        <w:rPr>
          <w:rFonts w:ascii="Times New Roman" w:hAnsi="Times New Roman" w:cs="Times New Roman"/>
          <w:i/>
          <w:iCs/>
          <w:lang w:val="en-US"/>
        </w:rPr>
        <w:t>Consolidated deferred tax amounts</w:t>
      </w:r>
      <w:r w:rsidRPr="005C703A">
        <w:rPr>
          <w:rFonts w:ascii="Times New Roman" w:hAnsi="Times New Roman" w:cs="Times New Roman"/>
          <w:lang w:val="en-US"/>
        </w:rPr>
        <w:t>)</w:t>
      </w:r>
    </w:p>
  </w:footnote>
  <w:footnote w:id="143">
    <w:p w14:paraId="45325E3D" w14:textId="31073F3F" w:rsidR="00D25419" w:rsidRPr="005C703A" w:rsidRDefault="00D25419" w:rsidP="00D25419">
      <w:pPr>
        <w:pStyle w:val="Tekstprzypisudolnego"/>
        <w:jc w:val="both"/>
        <w:rPr>
          <w:rFonts w:ascii="Times New Roman" w:hAnsi="Times New Roman" w:cs="Times New Roman"/>
          <w:lang w:val="en-AU"/>
        </w:rPr>
      </w:pPr>
      <w:r w:rsidRPr="005C703A">
        <w:rPr>
          <w:rStyle w:val="Odwoanieprzypisudolnego"/>
          <w:rFonts w:ascii="Times New Roman" w:hAnsi="Times New Roman" w:cs="Times New Roman"/>
        </w:rPr>
        <w:footnoteRef/>
      </w:r>
      <w:r w:rsidRPr="005C703A">
        <w:rPr>
          <w:rFonts w:ascii="Times New Roman" w:hAnsi="Times New Roman" w:cs="Times New Roman"/>
        </w:rPr>
        <w:t xml:space="preserve"> Wytyczne wydane w ramach wdrażania Systemu GloBE dot. stosowania art. 84 – Rozdział „2.6. </w:t>
      </w:r>
      <w:r w:rsidRPr="005C703A">
        <w:rPr>
          <w:rFonts w:ascii="Times New Roman" w:hAnsi="Times New Roman" w:cs="Times New Roman"/>
          <w:lang w:val="en-AU"/>
        </w:rPr>
        <w:t>Covered Taxes on deemed distributions”</w:t>
      </w:r>
      <w:r w:rsidRPr="005C703A">
        <w:rPr>
          <w:rFonts w:ascii="Times New Roman" w:hAnsi="Times New Roman" w:cs="Times New Roman"/>
          <w:sz w:val="22"/>
          <w:szCs w:val="22"/>
          <w:lang w:val="en-AU"/>
        </w:rPr>
        <w:t xml:space="preserve"> </w:t>
      </w:r>
      <w:r w:rsidRPr="005C703A">
        <w:rPr>
          <w:rFonts w:ascii="Times New Roman" w:hAnsi="Times New Roman" w:cs="Times New Roman"/>
          <w:lang w:val="en-AU"/>
        </w:rPr>
        <w:t xml:space="preserve">[AG22.04.T11], dot. art. 4.3.2 lit e Modelowych </w:t>
      </w:r>
      <w:r w:rsidR="00595132" w:rsidRPr="005C703A">
        <w:rPr>
          <w:rFonts w:ascii="Times New Roman" w:hAnsi="Times New Roman" w:cs="Times New Roman"/>
          <w:lang w:val="en-AU"/>
        </w:rPr>
        <w:t>z</w:t>
      </w:r>
      <w:r w:rsidRPr="005C703A">
        <w:rPr>
          <w:rFonts w:ascii="Times New Roman" w:hAnsi="Times New Roman" w:cs="Times New Roman"/>
          <w:lang w:val="en-AU"/>
        </w:rPr>
        <w:t>asad.</w:t>
      </w:r>
    </w:p>
  </w:footnote>
  <w:footnote w:id="144">
    <w:p w14:paraId="38561C35" w14:textId="77777777" w:rsidR="00D25419" w:rsidRPr="005C703A" w:rsidRDefault="00D25419" w:rsidP="00D25419">
      <w:pPr>
        <w:pStyle w:val="Tekstprzypisudolnego"/>
        <w:jc w:val="both"/>
        <w:rPr>
          <w:rFonts w:ascii="Times New Roman" w:hAnsi="Times New Roman" w:cs="Times New Roman"/>
        </w:rPr>
      </w:pPr>
      <w:r w:rsidRPr="005C703A">
        <w:rPr>
          <w:rStyle w:val="Odwoanieprzypisudolnego"/>
          <w:rFonts w:ascii="Times New Roman" w:hAnsi="Times New Roman" w:cs="Times New Roman"/>
        </w:rPr>
        <w:footnoteRef/>
      </w:r>
      <w:r w:rsidRPr="005C703A">
        <w:rPr>
          <w:rFonts w:ascii="Times New Roman" w:hAnsi="Times New Roman" w:cs="Times New Roman"/>
        </w:rPr>
        <w:t xml:space="preserve"> Lub odpowiedni podatek na gruncie przepisów o krajowym podatku wyrównawczym (jurysdykcyjny krajowy podatek wyrównawczy)</w:t>
      </w:r>
    </w:p>
  </w:footnote>
  <w:footnote w:id="145">
    <w:p w14:paraId="29F5B9C3" w14:textId="072FD041" w:rsidR="00E62BA1" w:rsidRPr="005C703A" w:rsidRDefault="00E62BA1" w:rsidP="00E62BA1">
      <w:pPr>
        <w:pStyle w:val="Tekstprzypisudolnego1"/>
        <w:jc w:val="both"/>
        <w:rPr>
          <w:rFonts w:ascii="Times New Roman" w:hAnsi="Times New Roman" w:cs="Times New Roman"/>
        </w:rPr>
      </w:pPr>
      <w:r w:rsidRPr="005C703A">
        <w:rPr>
          <w:rStyle w:val="Odwoanieprzypisudolnego"/>
          <w:rFonts w:ascii="Times New Roman" w:hAnsi="Times New Roman" w:cs="Times New Roman"/>
        </w:rPr>
        <w:footnoteRef/>
      </w:r>
      <w:r w:rsidRPr="005C703A">
        <w:rPr>
          <w:rFonts w:ascii="Times New Roman" w:hAnsi="Times New Roman" w:cs="Times New Roman"/>
        </w:rPr>
        <w:t xml:space="preserve"> W ramach implementacji art. 27</w:t>
      </w:r>
      <w:r w:rsidR="008B225D" w:rsidRPr="005C703A">
        <w:rPr>
          <w:rFonts w:ascii="Times New Roman" w:hAnsi="Times New Roman" w:cs="Times New Roman"/>
        </w:rPr>
        <w:t>.</w:t>
      </w:r>
      <w:r w:rsidRPr="005C703A">
        <w:rPr>
          <w:rFonts w:ascii="Times New Roman" w:hAnsi="Times New Roman" w:cs="Times New Roman"/>
        </w:rPr>
        <w:t xml:space="preserve">3 i </w:t>
      </w:r>
      <w:r w:rsidR="008B225D" w:rsidRPr="005C703A">
        <w:rPr>
          <w:rFonts w:ascii="Times New Roman" w:hAnsi="Times New Roman" w:cs="Times New Roman"/>
        </w:rPr>
        <w:t>27.</w:t>
      </w:r>
      <w:r w:rsidRPr="005C703A">
        <w:rPr>
          <w:rFonts w:ascii="Times New Roman" w:hAnsi="Times New Roman" w:cs="Times New Roman"/>
        </w:rPr>
        <w:t>4 Dyrektywy, patrz także komentarz do art. 13</w:t>
      </w:r>
      <w:r w:rsidR="00D8650E" w:rsidRPr="005C703A">
        <w:rPr>
          <w:rFonts w:ascii="Times New Roman" w:hAnsi="Times New Roman" w:cs="Times New Roman"/>
        </w:rPr>
        <w:t xml:space="preserve"> ustawy</w:t>
      </w:r>
      <w:r w:rsidRPr="005C703A">
        <w:rPr>
          <w:rFonts w:ascii="Times New Roman" w:hAnsi="Times New Roman" w:cs="Times New Roman"/>
        </w:rPr>
        <w:t>.</w:t>
      </w:r>
    </w:p>
  </w:footnote>
  <w:footnote w:id="146">
    <w:p w14:paraId="52E42702" w14:textId="7E78C303" w:rsidR="00E62BA1" w:rsidRPr="005C703A" w:rsidRDefault="00E62BA1" w:rsidP="00E62BA1">
      <w:pPr>
        <w:pStyle w:val="Tekstprzypisudolnego1"/>
        <w:jc w:val="both"/>
        <w:rPr>
          <w:rFonts w:ascii="Times New Roman" w:hAnsi="Times New Roman" w:cs="Times New Roman"/>
          <w:color w:val="000000"/>
        </w:rPr>
      </w:pPr>
      <w:r w:rsidRPr="005C703A">
        <w:rPr>
          <w:rStyle w:val="Odwoanieprzypisudolnego"/>
          <w:rFonts w:ascii="Times New Roman" w:hAnsi="Times New Roman" w:cs="Times New Roman"/>
        </w:rPr>
        <w:footnoteRef/>
      </w:r>
      <w:r w:rsidRPr="005C703A">
        <w:rPr>
          <w:rFonts w:ascii="Times New Roman" w:hAnsi="Times New Roman" w:cs="Times New Roman"/>
        </w:rPr>
        <w:t xml:space="preserve"> C</w:t>
      </w:r>
      <w:r w:rsidRPr="005C703A">
        <w:rPr>
          <w:rFonts w:ascii="Times New Roman" w:hAnsi="Times New Roman" w:cs="Times New Roman"/>
          <w:color w:val="000000"/>
        </w:rPr>
        <w:t>hyba, że istnieje dodatkowy podatek wyrównawczy, o którym mowa w art. 16 i 17</w:t>
      </w:r>
      <w:r w:rsidR="00D8650E" w:rsidRPr="005C703A">
        <w:rPr>
          <w:rFonts w:ascii="Times New Roman" w:hAnsi="Times New Roman" w:cs="Times New Roman"/>
          <w:color w:val="000000"/>
        </w:rPr>
        <w:t xml:space="preserve"> ustawy</w:t>
      </w:r>
      <w:r w:rsidRPr="005C703A">
        <w:rPr>
          <w:rFonts w:ascii="Times New Roman" w:hAnsi="Times New Roman" w:cs="Times New Roman"/>
          <w:color w:val="000000"/>
        </w:rPr>
        <w:t>, w ramach implementacji art. 29 Dyrektywy.</w:t>
      </w:r>
    </w:p>
  </w:footnote>
  <w:footnote w:id="147">
    <w:p w14:paraId="15B96846" w14:textId="6D5CF09A" w:rsidR="00E62BA1" w:rsidRDefault="00E62BA1" w:rsidP="00E62BA1">
      <w:pPr>
        <w:pStyle w:val="Tekstprzypisudolnego1"/>
        <w:jc w:val="both"/>
      </w:pPr>
      <w:r>
        <w:rPr>
          <w:rStyle w:val="Odwoanieprzypisudolnego"/>
        </w:rPr>
        <w:footnoteRef/>
      </w:r>
      <w:r>
        <w:t xml:space="preserve"> Sprawozdawczość CbCR (</w:t>
      </w:r>
      <w:r w:rsidRPr="00E83303">
        <w:rPr>
          <w:i/>
          <w:iCs/>
        </w:rPr>
        <w:t>country-by-country reporting</w:t>
      </w:r>
      <w:r>
        <w:t>) - R</w:t>
      </w:r>
      <w:r w:rsidRPr="002C0B94">
        <w:t xml:space="preserve">aport z </w:t>
      </w:r>
      <w:r>
        <w:t>D</w:t>
      </w:r>
      <w:r w:rsidRPr="002C0B94">
        <w:t>ziałania nr 13</w:t>
      </w:r>
      <w:r>
        <w:t xml:space="preserve"> BEPS </w:t>
      </w:r>
      <w:r w:rsidRPr="002C0B94">
        <w:t>opublikowany w 2015</w:t>
      </w:r>
      <w:r>
        <w:t> </w:t>
      </w:r>
      <w:r w:rsidRPr="002C0B94">
        <w:t xml:space="preserve">r. dotyczący dokumentacji cen transferowych i raportowania Country-by-Country (ang. </w:t>
      </w:r>
      <w:r w:rsidRPr="000416A5">
        <w:rPr>
          <w:i/>
          <w:iCs/>
        </w:rPr>
        <w:t>Action 13: 2015 Final Report</w:t>
      </w:r>
      <w:r w:rsidRPr="002C0B94">
        <w:t>, OECD).</w:t>
      </w:r>
    </w:p>
  </w:footnote>
  <w:footnote w:id="148">
    <w:p w14:paraId="04E1F22A" w14:textId="77777777" w:rsidR="00E62BA1" w:rsidRPr="005C703A" w:rsidRDefault="00E62BA1" w:rsidP="00E62BA1">
      <w:pPr>
        <w:pStyle w:val="Tekstprzypisudolnego1"/>
        <w:jc w:val="both"/>
        <w:rPr>
          <w:rFonts w:ascii="Times New Roman" w:hAnsi="Times New Roman" w:cs="Times New Roman"/>
          <w:bCs/>
        </w:rPr>
      </w:pPr>
      <w:r w:rsidRPr="005C703A">
        <w:rPr>
          <w:rStyle w:val="Odwoanieprzypisudolnego"/>
          <w:rFonts w:ascii="Times New Roman" w:hAnsi="Times New Roman" w:cs="Times New Roman"/>
        </w:rPr>
        <w:footnoteRef/>
      </w:r>
      <w:r w:rsidRPr="005C703A">
        <w:rPr>
          <w:rFonts w:ascii="Times New Roman" w:hAnsi="Times New Roman" w:cs="Times New Roman"/>
        </w:rPr>
        <w:t xml:space="preserve"> </w:t>
      </w:r>
      <w:r w:rsidRPr="005C703A">
        <w:rPr>
          <w:rFonts w:ascii="Times New Roman" w:hAnsi="Times New Roman" w:cs="Times New Roman"/>
          <w:bCs/>
        </w:rPr>
        <w:t xml:space="preserve">Zgodnie z tym przepisem </w:t>
      </w:r>
      <w:r w:rsidRPr="005C703A">
        <w:rPr>
          <w:rFonts w:ascii="Times New Roman" w:hAnsi="Times New Roman" w:cs="Times New Roman"/>
        </w:rPr>
        <w:t xml:space="preserve">korekta wynikająca z wyboru w zakresie wynagrodzenia w formie akcji polega na zastąpieniu kwoty ujętej w księgowym dochodzie (stracie) netto jako kosztu lub wydatku na wynagrodzenia </w:t>
      </w:r>
      <w:bookmarkStart w:id="50" w:name="_Hlk162450733"/>
      <w:r w:rsidRPr="005C703A">
        <w:rPr>
          <w:rFonts w:ascii="Times New Roman" w:hAnsi="Times New Roman" w:cs="Times New Roman"/>
        </w:rPr>
        <w:t xml:space="preserve">w formie akcji </w:t>
      </w:r>
      <w:bookmarkEnd w:id="50"/>
      <w:r w:rsidRPr="005C703A">
        <w:rPr>
          <w:rFonts w:ascii="Times New Roman" w:hAnsi="Times New Roman" w:cs="Times New Roman"/>
        </w:rPr>
        <w:t xml:space="preserve">w wysokości wartości rynkowej tych akcji, określonej na dzień ich wydania, </w:t>
      </w:r>
      <w:bookmarkStart w:id="51" w:name="_Hlk160621565"/>
      <w:r w:rsidRPr="005C703A">
        <w:rPr>
          <w:rFonts w:ascii="Times New Roman" w:hAnsi="Times New Roman" w:cs="Times New Roman"/>
        </w:rPr>
        <w:t xml:space="preserve">kwotą takiego kosztu lub wydatku w wysokości wartości rynkowej </w:t>
      </w:r>
      <w:bookmarkEnd w:id="51"/>
      <w:r w:rsidRPr="005C703A">
        <w:rPr>
          <w:rFonts w:ascii="Times New Roman" w:hAnsi="Times New Roman" w:cs="Times New Roman"/>
        </w:rPr>
        <w:t>tych akcji określonej na dzień ich realizacji, w części w jakiej taki koszt lub wydatek może zostać odliczony przy obliczaniu dochodu podlegającego opodatkowaniu podatkiem kwalifikowanym.</w:t>
      </w:r>
    </w:p>
  </w:footnote>
  <w:footnote w:id="149">
    <w:p w14:paraId="6B13F997" w14:textId="77777777" w:rsidR="00E62BA1" w:rsidRPr="005C703A" w:rsidRDefault="00E62BA1" w:rsidP="00E62BA1">
      <w:pPr>
        <w:pStyle w:val="Tekstprzypisudolnego1"/>
        <w:jc w:val="both"/>
        <w:rPr>
          <w:rFonts w:ascii="Times New Roman" w:hAnsi="Times New Roman" w:cs="Times New Roman"/>
        </w:rPr>
      </w:pPr>
      <w:r w:rsidRPr="005C703A">
        <w:rPr>
          <w:rStyle w:val="Odwoanieprzypisudolnego"/>
          <w:rFonts w:ascii="Times New Roman" w:hAnsi="Times New Roman" w:cs="Times New Roman"/>
        </w:rPr>
        <w:footnoteRef/>
      </w:r>
      <w:r w:rsidRPr="005C703A">
        <w:rPr>
          <w:rFonts w:ascii="Times New Roman" w:hAnsi="Times New Roman" w:cs="Times New Roman"/>
        </w:rPr>
        <w:t xml:space="preserve"> Wyłączenie proporcjonalne do wyłączonego dochodu, tj. na podstawie stosunku kwalifikowanego dochodu z działalności dodatkowej w zakresie żeglugi międzynarodowej mieszczącego się w limicie, do całkowitego kwalifikowanego dochodu z działalności dodatkowej.</w:t>
      </w:r>
      <w:r w:rsidRPr="005C703A">
        <w:rPr>
          <w:rFonts w:ascii="Times New Roman" w:hAnsi="Times New Roman" w:cs="Times New Roman"/>
          <w:bCs/>
          <w:iCs/>
        </w:rPr>
        <w:t xml:space="preserve"> </w:t>
      </w:r>
    </w:p>
  </w:footnote>
  <w:footnote w:id="150">
    <w:p w14:paraId="263E0450" w14:textId="388A9138" w:rsidR="007A546E" w:rsidRPr="00887625" w:rsidRDefault="007A546E">
      <w:pPr>
        <w:pStyle w:val="Tekstprzypisudolnego"/>
        <w:rPr>
          <w:rFonts w:ascii="Times New Roman" w:hAnsi="Times New Roman" w:cs="Times New Roman"/>
        </w:rPr>
      </w:pPr>
      <w:r w:rsidRPr="00887625">
        <w:rPr>
          <w:rStyle w:val="Odwoanieprzypisudolnego"/>
          <w:rFonts w:ascii="Times New Roman" w:hAnsi="Times New Roman" w:cs="Times New Roman"/>
        </w:rPr>
        <w:footnoteRef/>
      </w:r>
      <w:r w:rsidRPr="00887625">
        <w:rPr>
          <w:rFonts w:ascii="Times New Roman" w:hAnsi="Times New Roman" w:cs="Times New Roman"/>
        </w:rPr>
        <w:t xml:space="preserve"> </w:t>
      </w:r>
      <w:r w:rsidR="004F4C0F" w:rsidRPr="00887625">
        <w:rPr>
          <w:rFonts w:ascii="Times New Roman" w:hAnsi="Times New Roman" w:cs="Times New Roman"/>
        </w:rPr>
        <w:t xml:space="preserve">Zob. </w:t>
      </w:r>
      <w:r w:rsidRPr="00887625">
        <w:rPr>
          <w:rFonts w:ascii="Times New Roman" w:hAnsi="Times New Roman" w:cs="Times New Roman"/>
        </w:rPr>
        <w:t>Komentarz [6.1.1; 22]</w:t>
      </w:r>
    </w:p>
  </w:footnote>
  <w:footnote w:id="151">
    <w:p w14:paraId="0AADF916" w14:textId="2DD8495B" w:rsidR="00A16FDB" w:rsidRPr="00887625" w:rsidRDefault="00A16FDB" w:rsidP="00A16FDB">
      <w:pPr>
        <w:pStyle w:val="Tekstprzypisudolnego"/>
        <w:jc w:val="both"/>
        <w:rPr>
          <w:rFonts w:ascii="Times New Roman" w:hAnsi="Times New Roman" w:cs="Times New Roman"/>
        </w:rPr>
      </w:pPr>
      <w:r w:rsidRPr="00887625">
        <w:rPr>
          <w:rStyle w:val="Odwoanieprzypisudolnego"/>
          <w:rFonts w:ascii="Times New Roman" w:hAnsi="Times New Roman" w:cs="Times New Roman"/>
        </w:rPr>
        <w:footnoteRef/>
      </w:r>
      <w:r w:rsidRPr="00887625">
        <w:rPr>
          <w:rFonts w:ascii="Times New Roman" w:hAnsi="Times New Roman" w:cs="Times New Roman"/>
        </w:rPr>
        <w:t xml:space="preserve"> </w:t>
      </w:r>
      <w:r w:rsidRPr="00887625">
        <w:rPr>
          <w:rFonts w:ascii="Times New Roman" w:hAnsi="Times New Roman" w:cs="Times New Roman"/>
          <w:bCs/>
        </w:rPr>
        <w:t xml:space="preserve">Oznacza to, że nabycie udziałów konsolidacyjnych w jednostce spowoduje podwyższenie wartości bilansowej aktywów uwzględnianej na potrzeby określenia substratu majątkowo-osobowego, niezależnie od tego, że nie powoduje analogicznego podwyższenia do celów obliczenia kwalifikowanego dochodu (straty). Wynika to z tego, że wyłączenie z tytułu substratu majątkowo-osobowego opiera się na koszcie ekonomicznym inwestycji dokonanej przez grupę w środek trwały zlokalizowany w </w:t>
      </w:r>
      <w:r w:rsidR="00554B05" w:rsidRPr="00887625">
        <w:rPr>
          <w:rFonts w:ascii="Times New Roman" w:hAnsi="Times New Roman" w:cs="Times New Roman"/>
          <w:bCs/>
        </w:rPr>
        <w:t>określonej jurysdykcji</w:t>
      </w:r>
      <w:r w:rsidRPr="00887625">
        <w:rPr>
          <w:rFonts w:ascii="Times New Roman" w:hAnsi="Times New Roman" w:cs="Times New Roman"/>
          <w:bCs/>
        </w:rPr>
        <w:t>, a koszt ten można dokładniej określić sprawdzając wartość godziwą tego składnika aktywów w momencie nabycia niż poprzez koszt historyczny tego składnika aktywów przyjęty przez jednostkę, której udziały są przejmowane. [6.2.1; 54]</w:t>
      </w:r>
    </w:p>
  </w:footnote>
  <w:footnote w:id="152">
    <w:p w14:paraId="4F396495" w14:textId="77777777" w:rsidR="00A16FDB" w:rsidRPr="00887625" w:rsidRDefault="00A16FDB" w:rsidP="00A16FDB">
      <w:pPr>
        <w:spacing w:after="120" w:line="240" w:lineRule="auto"/>
        <w:jc w:val="both"/>
        <w:rPr>
          <w:rFonts w:ascii="Times New Roman" w:hAnsi="Times New Roman" w:cs="Times New Roman"/>
          <w:sz w:val="20"/>
          <w:szCs w:val="20"/>
          <w:lang w:val="en-US"/>
        </w:rPr>
      </w:pPr>
      <w:r w:rsidRPr="00887625">
        <w:rPr>
          <w:rStyle w:val="Odwoanieprzypisudolnego"/>
          <w:rFonts w:ascii="Times New Roman" w:hAnsi="Times New Roman" w:cs="Times New Roman"/>
          <w:sz w:val="20"/>
          <w:szCs w:val="20"/>
        </w:rPr>
        <w:footnoteRef/>
      </w:r>
      <w:r w:rsidRPr="00887625">
        <w:rPr>
          <w:rFonts w:ascii="Times New Roman" w:hAnsi="Times New Roman" w:cs="Times New Roman"/>
          <w:sz w:val="20"/>
          <w:szCs w:val="20"/>
        </w:rPr>
        <w:t xml:space="preserve"> </w:t>
      </w:r>
      <w:r w:rsidRPr="00887625">
        <w:rPr>
          <w:rFonts w:ascii="Times New Roman" w:hAnsi="Times New Roman" w:cs="Times New Roman"/>
          <w:bCs/>
          <w:sz w:val="20"/>
          <w:szCs w:val="20"/>
        </w:rPr>
        <w:t xml:space="preserve">Jednakże w każdym przypadku, gdy dla celów ustalenia kwalifikowanego dochodu (straty) wykorzystywana jest skorygowana wartość bilansowa aktywów i zobowiązań, wszelkie aktywa i rezerwy z tytułu odroczonego podatku dochodowego powstałe w związku z nabyciem tych aktywów i zobowiązań należy uwzględnić dla potrzeb opodatkowania wyrównawczego. W takich przypadkach rezerwę z tytułu odroczonego podatku dochodowego ujmuje się jako powstałą za rok podatkowy, obejmujący rok przejęcia, zastosowany dla celów art. 89, z zastrzeżeniem wyjątków z art. 89 ust. 3 i szczególnym uwzględnieniem niezrealizowanych zysków z wyceny według wartości godziwej. </w:t>
      </w:r>
      <w:r w:rsidRPr="00887625">
        <w:rPr>
          <w:rFonts w:ascii="Times New Roman" w:hAnsi="Times New Roman" w:cs="Times New Roman"/>
          <w:bCs/>
          <w:sz w:val="20"/>
          <w:szCs w:val="20"/>
          <w:lang w:val="en-US"/>
        </w:rPr>
        <w:t>[Komentarz, 6.2.1; 60]</w:t>
      </w:r>
    </w:p>
  </w:footnote>
  <w:footnote w:id="153">
    <w:p w14:paraId="67D48CAE" w14:textId="77777777" w:rsidR="00A16FDB" w:rsidRPr="00887625" w:rsidRDefault="00A16FDB" w:rsidP="00A16FDB">
      <w:pPr>
        <w:pStyle w:val="Tekstprzypisudolnego"/>
        <w:rPr>
          <w:rFonts w:ascii="Times New Roman" w:hAnsi="Times New Roman" w:cs="Times New Roman"/>
          <w:lang w:val="en-US"/>
        </w:rPr>
      </w:pPr>
      <w:r w:rsidRPr="00887625">
        <w:rPr>
          <w:rStyle w:val="Odwoanieprzypisudolnego"/>
          <w:rFonts w:ascii="Times New Roman" w:hAnsi="Times New Roman" w:cs="Times New Roman"/>
        </w:rPr>
        <w:footnoteRef/>
      </w:r>
      <w:r w:rsidRPr="00887625">
        <w:rPr>
          <w:rFonts w:ascii="Times New Roman" w:hAnsi="Times New Roman" w:cs="Times New Roman"/>
          <w:lang w:val="en-US"/>
        </w:rPr>
        <w:t xml:space="preserve"> Pkt 2.1.</w:t>
      </w:r>
    </w:p>
  </w:footnote>
  <w:footnote w:id="154">
    <w:p w14:paraId="23CBF070" w14:textId="72AF86FD" w:rsidR="00C4081A" w:rsidRPr="00E577D5" w:rsidRDefault="00C4081A" w:rsidP="00C4081A">
      <w:pPr>
        <w:pStyle w:val="Tekstprzypisudolnego"/>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US"/>
        </w:rPr>
        <w:t xml:space="preserve"> Ang</w:t>
      </w:r>
      <w:r w:rsidR="000416A5" w:rsidRPr="00E577D5">
        <w:rPr>
          <w:rFonts w:ascii="Times New Roman" w:hAnsi="Times New Roman" w:cs="Times New Roman"/>
          <w:lang w:val="en-US"/>
        </w:rPr>
        <w:t>.</w:t>
      </w:r>
      <w:r w:rsidRPr="00E577D5">
        <w:rPr>
          <w:rFonts w:ascii="Times New Roman" w:hAnsi="Times New Roman" w:cs="Times New Roman"/>
          <w:lang w:val="en-US"/>
        </w:rPr>
        <w:t xml:space="preserve"> „</w:t>
      </w:r>
      <w:r w:rsidRPr="00E577D5">
        <w:rPr>
          <w:rFonts w:ascii="Times New Roman" w:hAnsi="Times New Roman" w:cs="Times New Roman"/>
          <w:i/>
          <w:iCs/>
          <w:lang w:val="en-US"/>
        </w:rPr>
        <w:t>holder of an ownership interest (the ownership holder)</w:t>
      </w:r>
      <w:r w:rsidRPr="00E577D5">
        <w:rPr>
          <w:rFonts w:ascii="Times New Roman" w:hAnsi="Times New Roman" w:cs="Times New Roman"/>
          <w:lang w:val="en-US"/>
        </w:rPr>
        <w:t>”.</w:t>
      </w:r>
    </w:p>
  </w:footnote>
  <w:footnote w:id="155">
    <w:p w14:paraId="61D3AC9C" w14:textId="77777777" w:rsidR="00C4081A" w:rsidRPr="00E577D5" w:rsidRDefault="00C4081A" w:rsidP="00C4081A">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w:t>
      </w:r>
      <w:r w:rsidRPr="00E577D5">
        <w:rPr>
          <w:rFonts w:ascii="Times New Roman" w:eastAsia="Times New Roman" w:hAnsi="Times New Roman" w:cs="Times New Roman"/>
          <w:bCs/>
          <w:lang w:eastAsia="pl-PL"/>
        </w:rPr>
        <w:t>Istotną różnicą jest jednak sposób traktowania strat poniesionych przez takie jednostki. W przeciwieństwie do traktowania strat poniesionych przez jednostkę pośredniczącą na podstawie lokalnych przepisów podatkowych (w szczególności jednostkę transparentną podatkowo), straty jednostki podlegającej systemowi odliczanej dywidendy nie są przenoszone na właścicieli.</w:t>
      </w:r>
    </w:p>
  </w:footnote>
  <w:footnote w:id="156">
    <w:p w14:paraId="3AD25E6E" w14:textId="5B54F5D9" w:rsidR="00E44FB3" w:rsidRPr="00E577D5" w:rsidRDefault="00E44FB3" w:rsidP="00E44FB3">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Przesłanki, które zostały określone w art. 3</w:t>
      </w:r>
      <w:r w:rsidR="00357A10" w:rsidRPr="00E577D5">
        <w:rPr>
          <w:rFonts w:ascii="Times New Roman" w:hAnsi="Times New Roman" w:cs="Times New Roman"/>
        </w:rPr>
        <w:t xml:space="preserve"> pkt </w:t>
      </w:r>
      <w:r w:rsidRPr="00E577D5">
        <w:rPr>
          <w:rFonts w:ascii="Times New Roman" w:hAnsi="Times New Roman" w:cs="Times New Roman"/>
        </w:rPr>
        <w:t xml:space="preserve">42 Dyrektywy, to (i) nakładanie podatku według stawki nie niższej niż 15% (minimalnej) z tytułu faktycznej lub „domniemanej” wypłaty zysków, płatności równoważnych z wypłatą zysku oraz wydatków niezwiązanych z prowadzeniem działalności gospodarczej oraz (ii) obowiązywanie w </w:t>
      </w:r>
      <w:r w:rsidR="00554B05" w:rsidRPr="00E577D5">
        <w:rPr>
          <w:rFonts w:ascii="Times New Roman" w:hAnsi="Times New Roman" w:cs="Times New Roman"/>
        </w:rPr>
        <w:t>danej jurysdykcji</w:t>
      </w:r>
      <w:r w:rsidR="00554B05" w:rsidRPr="00E577D5" w:rsidDel="00554B05">
        <w:rPr>
          <w:rFonts w:ascii="Times New Roman" w:hAnsi="Times New Roman" w:cs="Times New Roman"/>
        </w:rPr>
        <w:t xml:space="preserve"> </w:t>
      </w:r>
      <w:r w:rsidRPr="00E577D5">
        <w:rPr>
          <w:rFonts w:ascii="Times New Roman" w:hAnsi="Times New Roman" w:cs="Times New Roman"/>
        </w:rPr>
        <w:t xml:space="preserve">na dzień 1 lipca 2021 r. lub przed tą datą. Należy wskazać, że warunek w zakresie obowiązywania jest uznawany za spełniony, jeśli reżim opodatkowania wypłaty zysków obowiązywał w </w:t>
      </w:r>
      <w:r w:rsidR="00554B05" w:rsidRPr="00E577D5">
        <w:rPr>
          <w:rFonts w:ascii="Times New Roman" w:hAnsi="Times New Roman" w:cs="Times New Roman"/>
        </w:rPr>
        <w:t>danej jurysdykcji</w:t>
      </w:r>
      <w:r w:rsidR="00554B05" w:rsidRPr="00E577D5" w:rsidDel="00554B05">
        <w:rPr>
          <w:rFonts w:ascii="Times New Roman" w:hAnsi="Times New Roman" w:cs="Times New Roman"/>
        </w:rPr>
        <w:t xml:space="preserve"> </w:t>
      </w:r>
      <w:r w:rsidRPr="00E577D5">
        <w:rPr>
          <w:rFonts w:ascii="Times New Roman" w:hAnsi="Times New Roman" w:cs="Times New Roman"/>
        </w:rPr>
        <w:t>1 lipca 2021 r. lub przed tą datą, a następnie  zostały wprowadzone zmiany zgodne z konstrukcją reżimu.</w:t>
      </w:r>
    </w:p>
  </w:footnote>
  <w:footnote w:id="157">
    <w:p w14:paraId="4F2353A5" w14:textId="1AA39F72" w:rsidR="00350E8E" w:rsidRPr="00E577D5" w:rsidRDefault="00350E8E" w:rsidP="003E7A67">
      <w:pPr>
        <w:pStyle w:val="Tekstprzypisudolnego"/>
        <w:jc w:val="both"/>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AU"/>
        </w:rPr>
        <w:t xml:space="preserve"> </w:t>
      </w:r>
      <w:r w:rsidRPr="00E577D5">
        <w:rPr>
          <w:rFonts w:ascii="Times New Roman" w:hAnsi="Times New Roman" w:cs="Times New Roman"/>
          <w:lang w:val="en-US"/>
        </w:rPr>
        <w:t>OECD (2020), Safe Harbours and Penalty Relief: Global Anti-Base Erosion Rules (Pillar Two), OECD/G20 Inclusive Framework on BEPS, OECD, Paris. www.oecd.org/tax/beps/safe-harbours-and-penalty-relief-global-anti-base-erosion-rules-pillar-two.pdf</w:t>
      </w:r>
    </w:p>
  </w:footnote>
  <w:footnote w:id="158">
    <w:p w14:paraId="4F4D181D" w14:textId="52044407" w:rsidR="002644E7" w:rsidRPr="00E577D5" w:rsidRDefault="002644E7" w:rsidP="003E7A67">
      <w:pPr>
        <w:pStyle w:val="Tekstprzypisudolnego"/>
        <w:jc w:val="both"/>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US"/>
        </w:rPr>
        <w:t xml:space="preserve"> Ibidem.</w:t>
      </w:r>
    </w:p>
  </w:footnote>
  <w:footnote w:id="159">
    <w:p w14:paraId="792AE934" w14:textId="46E89DEC" w:rsidR="008F6451" w:rsidRPr="00E577D5" w:rsidRDefault="008F6451" w:rsidP="008F6451">
      <w:pPr>
        <w:pStyle w:val="Tekstprzypisudolnego"/>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AU"/>
        </w:rPr>
        <w:t xml:space="preserve"> </w:t>
      </w:r>
      <w:r w:rsidR="00350E8E" w:rsidRPr="00E577D5">
        <w:rPr>
          <w:rFonts w:ascii="Times New Roman" w:hAnsi="Times New Roman" w:cs="Times New Roman"/>
          <w:lang w:val="en-US"/>
        </w:rPr>
        <w:t>Ibidem.</w:t>
      </w:r>
    </w:p>
  </w:footnote>
  <w:footnote w:id="160">
    <w:p w14:paraId="0A41A88D" w14:textId="7894EF8E" w:rsidR="00BA541D" w:rsidRPr="00E577D5" w:rsidRDefault="00BA541D" w:rsidP="00BA541D">
      <w:pPr>
        <w:pStyle w:val="Tekstprzypisudolnego"/>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AU"/>
        </w:rPr>
        <w:t xml:space="preserve"> </w:t>
      </w:r>
      <w:r w:rsidR="00394B47" w:rsidRPr="00E577D5">
        <w:rPr>
          <w:rFonts w:ascii="Times New Roman" w:hAnsi="Times New Roman" w:cs="Times New Roman"/>
          <w:lang w:val="en-AU"/>
        </w:rPr>
        <w:t>Pkt</w:t>
      </w:r>
      <w:r w:rsidRPr="00E577D5">
        <w:rPr>
          <w:rFonts w:ascii="Times New Roman" w:hAnsi="Times New Roman" w:cs="Times New Roman"/>
          <w:lang w:val="en-AU"/>
        </w:rPr>
        <w:t xml:space="preserve"> 4.1 </w:t>
      </w:r>
      <w:r w:rsidRPr="00E577D5">
        <w:rPr>
          <w:rFonts w:ascii="Times New Roman" w:hAnsi="Times New Roman" w:cs="Times New Roman"/>
          <w:lang w:val="en-US"/>
        </w:rPr>
        <w:t>(</w:t>
      </w:r>
      <w:r w:rsidRPr="00E577D5">
        <w:rPr>
          <w:rFonts w:ascii="Times New Roman" w:hAnsi="Times New Roman" w:cs="Times New Roman"/>
          <w:i/>
          <w:iCs/>
          <w:lang w:val="en-US"/>
        </w:rPr>
        <w:t>Deferred tax assets with respect to tax credits under Article 9.1.1</w:t>
      </w:r>
      <w:r w:rsidRPr="00E577D5">
        <w:rPr>
          <w:rFonts w:ascii="Times New Roman" w:hAnsi="Times New Roman" w:cs="Times New Roman"/>
          <w:lang w:val="en-US"/>
        </w:rPr>
        <w:t>)</w:t>
      </w:r>
    </w:p>
  </w:footnote>
  <w:footnote w:id="161">
    <w:p w14:paraId="13EBEC83" w14:textId="04B70AC2" w:rsidR="00BA541D" w:rsidRPr="00E577D5" w:rsidRDefault="00BA541D" w:rsidP="00BA541D">
      <w:pPr>
        <w:pStyle w:val="Tekstprzypisudolnego"/>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US"/>
        </w:rPr>
        <w:t xml:space="preserve"> </w:t>
      </w:r>
      <w:r w:rsidR="00696BBC" w:rsidRPr="00E577D5">
        <w:rPr>
          <w:rFonts w:ascii="Times New Roman" w:hAnsi="Times New Roman" w:cs="Times New Roman"/>
          <w:lang w:val="en-US"/>
        </w:rPr>
        <w:t>Pkt</w:t>
      </w:r>
      <w:r w:rsidRPr="00E577D5">
        <w:rPr>
          <w:rFonts w:ascii="Times New Roman" w:hAnsi="Times New Roman" w:cs="Times New Roman"/>
          <w:lang w:val="en-US"/>
        </w:rPr>
        <w:t xml:space="preserve"> 4.2 (</w:t>
      </w:r>
      <w:r w:rsidRPr="00E577D5">
        <w:rPr>
          <w:rFonts w:ascii="Times New Roman" w:hAnsi="Times New Roman" w:cs="Times New Roman"/>
          <w:i/>
          <w:iCs/>
          <w:lang w:val="en-US"/>
        </w:rPr>
        <w:t>Applicability of Article 9.1.3 to transactions similar to asset transfers</w:t>
      </w:r>
      <w:r w:rsidRPr="00E577D5">
        <w:rPr>
          <w:rFonts w:ascii="Times New Roman" w:hAnsi="Times New Roman" w:cs="Times New Roman"/>
          <w:lang w:val="en-US"/>
        </w:rPr>
        <w:t>)</w:t>
      </w:r>
    </w:p>
  </w:footnote>
  <w:footnote w:id="162">
    <w:p w14:paraId="5CDD1569" w14:textId="7D2464CD" w:rsidR="00BA541D" w:rsidRPr="00E577D5" w:rsidRDefault="00BA541D" w:rsidP="00BA541D">
      <w:pPr>
        <w:pStyle w:val="Tekstprzypisudolnego"/>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US"/>
        </w:rPr>
        <w:t xml:space="preserve"> </w:t>
      </w:r>
      <w:r w:rsidR="00696BBC" w:rsidRPr="00E577D5">
        <w:rPr>
          <w:rFonts w:ascii="Times New Roman" w:hAnsi="Times New Roman" w:cs="Times New Roman"/>
          <w:lang w:val="en-US"/>
        </w:rPr>
        <w:t>Pkt</w:t>
      </w:r>
      <w:r w:rsidRPr="00E577D5">
        <w:rPr>
          <w:rFonts w:ascii="Times New Roman" w:hAnsi="Times New Roman" w:cs="Times New Roman"/>
          <w:lang w:val="en-US"/>
        </w:rPr>
        <w:t xml:space="preserve"> 4.3 (</w:t>
      </w:r>
      <w:r w:rsidRPr="00E577D5">
        <w:rPr>
          <w:rFonts w:ascii="Times New Roman" w:hAnsi="Times New Roman" w:cs="Times New Roman"/>
          <w:i/>
          <w:iCs/>
          <w:lang w:val="en-US"/>
        </w:rPr>
        <w:t>Asset carrying value and deferred taxes under 9.1.3</w:t>
      </w:r>
      <w:r w:rsidRPr="00E577D5">
        <w:rPr>
          <w:rFonts w:ascii="Times New Roman" w:hAnsi="Times New Roman" w:cs="Times New Roman"/>
          <w:lang w:val="en-US"/>
        </w:rPr>
        <w:t>)</w:t>
      </w:r>
    </w:p>
  </w:footnote>
  <w:footnote w:id="163">
    <w:p w14:paraId="288B4359" w14:textId="77777777" w:rsidR="00BA541D" w:rsidRPr="00E577D5" w:rsidRDefault="00BA541D" w:rsidP="00BA541D">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Jest to instrument finansowy, umożliwiający stronom transakcji wymianę przepływów pieniężnych opartych na konkretnym instrumencie bazowym, bez fizycznego kupna albo sprzedaży tego aktywu (instrumentu bazowego). W umowie tego typu jedna strona rozlicza transakcję w oparciu o stawkę ustaloną o oprocentowanie stałe lub zmienne, natomiast druga strona dokonuje płatności w oparciu o zwrot z aktywów bazowych, przy czym do rozliczenia brane są pod uwagę wszystkie dochody wygenerowane przez dany instrument (np. odsetki, dywidendy czy premie). Instrument ten może być oparty na najróżniejszych aktywach (np. obligacje czy akcje). Prawa własności do aktywu bazowego pozostają niezmienne.</w:t>
      </w:r>
    </w:p>
  </w:footnote>
  <w:footnote w:id="164">
    <w:p w14:paraId="06249BE8" w14:textId="5E8B1884" w:rsidR="0036037E" w:rsidRPr="00E577D5" w:rsidRDefault="0036037E" w:rsidP="0036037E">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Techniczne aspekty przesyłania GIR w ramach wymiany automatycznej określone są w: OECD (2023), Tax Challenges Arising from the Digitalisation of the Economy – GloBE Information Return (Pillar Two), OECD/G20 Inclusive Framework on BEPS, OECD, Paris, jak również będą przedmiotem dalszych prac OECD w ramach forum Inclusive Framework on BEPS. </w:t>
      </w:r>
    </w:p>
  </w:footnote>
  <w:footnote w:id="165">
    <w:p w14:paraId="0EA5807F" w14:textId="77777777" w:rsidR="00F33620" w:rsidRPr="00E577D5" w:rsidRDefault="00F33620" w:rsidP="00F33620">
      <w:pPr>
        <w:pStyle w:val="Tekstprzypisudolnego"/>
        <w:jc w:val="both"/>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US"/>
        </w:rPr>
        <w:t xml:space="preserve"> 45. It is intended that the GloBE Rules apply after the application of the Subject to Tax Rule and domestic tax regimes, including regimes for the taxation of PEs or CFCs. Therefore, to preserve the intended rule order, domestic tax regimes should not provide a foreign tax credit for any tax imposed under a Qualified UTPR or IIR which is implemented in a foreign jurisdiction, otherwise the application of that domestic tax regime would create circularity issues since those Taxes have already been determined prior to applying the Qualified UTPR or IIR.</w:t>
      </w:r>
    </w:p>
    <w:p w14:paraId="7E3F3CCF" w14:textId="77777777" w:rsidR="00F33620" w:rsidRPr="00E577D5" w:rsidRDefault="00F33620" w:rsidP="00F33620">
      <w:pPr>
        <w:pStyle w:val="Tekstprzypisudolnego"/>
        <w:jc w:val="both"/>
        <w:rPr>
          <w:rFonts w:ascii="Times New Roman" w:hAnsi="Times New Roman" w:cs="Times New Roman"/>
          <w:lang w:val="en-US"/>
        </w:rPr>
      </w:pPr>
    </w:p>
    <w:p w14:paraId="5B0CC5A3" w14:textId="77777777" w:rsidR="00F33620" w:rsidRPr="00E577D5" w:rsidRDefault="00F33620" w:rsidP="00F33620">
      <w:pPr>
        <w:pStyle w:val="Tekstprzypisudolnego"/>
        <w:jc w:val="both"/>
        <w:rPr>
          <w:rFonts w:ascii="Times New Roman" w:hAnsi="Times New Roman" w:cs="Times New Roman"/>
          <w:lang w:val="en-US"/>
        </w:rPr>
      </w:pPr>
      <w:r w:rsidRPr="00E577D5">
        <w:rPr>
          <w:rFonts w:ascii="Times New Roman" w:hAnsi="Times New Roman" w:cs="Times New Roman"/>
          <w:lang w:val="en-US"/>
        </w:rPr>
        <w:t>OECD (2022), Tax Challenges Arising from the Digitalisation of the Economy – Commentary to the Global Anti-Base Erosion Model Rules (Pillar Two), First Edition: Inclusive Framework on BEPS, OECD Publishing, Paris, https://doi.org/10.1787/1e0e9cd8-en , s. 96</w:t>
      </w:r>
    </w:p>
  </w:footnote>
  <w:footnote w:id="166">
    <w:p w14:paraId="5138F530" w14:textId="54D037FB" w:rsidR="002C7C46" w:rsidRPr="00E577D5" w:rsidRDefault="002C7C46" w:rsidP="002C7C46">
      <w:pPr>
        <w:pStyle w:val="Tekstprzypisudolnego"/>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Międzynarodowe Standardy Sprawozdawczości Finansowej oraz uznane standardy krajowe obowiązujące w niektórych jurysdykcjach.</w:t>
      </w:r>
    </w:p>
  </w:footnote>
  <w:footnote w:id="167">
    <w:p w14:paraId="094469D7" w14:textId="12F2CB95" w:rsidR="002C7C46" w:rsidRPr="00E577D5" w:rsidRDefault="002C7C46" w:rsidP="002C7C46">
      <w:pPr>
        <w:pStyle w:val="Tekstprzypisudolnego"/>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Ocena ta będzie brała pod uwagę również aspekt wykładni i stosowania krajowych przepisów wdrażających </w:t>
      </w:r>
      <w:r w:rsidR="007C4C22" w:rsidRPr="00E577D5">
        <w:rPr>
          <w:rFonts w:ascii="Times New Roman" w:hAnsi="Times New Roman" w:cs="Times New Roman"/>
        </w:rPr>
        <w:t xml:space="preserve">Zasady </w:t>
      </w:r>
      <w:r w:rsidRPr="00E577D5">
        <w:rPr>
          <w:rFonts w:ascii="Times New Roman" w:hAnsi="Times New Roman" w:cs="Times New Roman"/>
        </w:rPr>
        <w:t>GloBE.</w:t>
      </w:r>
    </w:p>
  </w:footnote>
  <w:footnote w:id="168">
    <w:p w14:paraId="209D032C" w14:textId="6BEAE3DE" w:rsidR="002C7C46" w:rsidRPr="00E577D5" w:rsidRDefault="002C7C46" w:rsidP="002C7C46">
      <w:pPr>
        <w:pStyle w:val="Tekstprzypisudolnego"/>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Art. 11d ust. 1 ustawy o podatku dochodowym od osób prawnych</w:t>
      </w:r>
    </w:p>
  </w:footnote>
  <w:footnote w:id="169">
    <w:p w14:paraId="428F6CF3" w14:textId="2D34ABE4" w:rsidR="002C7C46" w:rsidRPr="00E577D5" w:rsidRDefault="002C7C46" w:rsidP="002C7C46">
      <w:pPr>
        <w:pStyle w:val="Tekstprzypisudolnego"/>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Art. 21 ust. 3 pkt 4 </w:t>
      </w:r>
      <w:r w:rsidR="007C4C22" w:rsidRPr="00E577D5">
        <w:rPr>
          <w:rFonts w:ascii="Times New Roman" w:hAnsi="Times New Roman" w:cs="Times New Roman"/>
        </w:rPr>
        <w:t>ustawy o CIT</w:t>
      </w:r>
    </w:p>
  </w:footnote>
  <w:footnote w:id="170">
    <w:p w14:paraId="13538870" w14:textId="77777777" w:rsidR="002C7C46" w:rsidRPr="00E577D5" w:rsidRDefault="002C7C46" w:rsidP="002C7C46">
      <w:pPr>
        <w:pStyle w:val="Tekstprzypisudolnego"/>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Zob. wyroki Naczelnego Sądu Administracyjnego: </w:t>
      </w:r>
      <w:r w:rsidRPr="00E577D5">
        <w:rPr>
          <w:rFonts w:ascii="Times New Roman" w:hAnsi="Times New Roman" w:cs="Times New Roman"/>
          <w:color w:val="333333"/>
          <w:shd w:val="clear" w:color="auto" w:fill="FCFBFC"/>
        </w:rPr>
        <w:t xml:space="preserve">II FSK 1665/16, </w:t>
      </w:r>
      <w:r w:rsidRPr="00E577D5">
        <w:rPr>
          <w:rFonts w:ascii="Times New Roman" w:hAnsi="Times New Roman" w:cs="Times New Roman"/>
          <w:color w:val="333333"/>
          <w:shd w:val="clear" w:color="auto" w:fill="FFFFFF"/>
        </w:rPr>
        <w:t>II FSK 2781/19, II FSK 2655/19.</w:t>
      </w:r>
    </w:p>
  </w:footnote>
  <w:footnote w:id="171">
    <w:p w14:paraId="06A5E238" w14:textId="74FDFE36" w:rsidR="002C7C46" w:rsidRPr="00E577D5" w:rsidRDefault="002C7C46" w:rsidP="002C7C46">
      <w:pPr>
        <w:shd w:val="clear" w:color="auto" w:fill="FFFFFF"/>
        <w:spacing w:after="100" w:afterAutospacing="1" w:line="240" w:lineRule="auto"/>
        <w:jc w:val="both"/>
        <w:rPr>
          <w:rFonts w:ascii="Times New Roman" w:eastAsia="Times New Roman" w:hAnsi="Times New Roman" w:cs="Times New Roman"/>
          <w:color w:val="000000"/>
          <w:sz w:val="20"/>
          <w:szCs w:val="20"/>
          <w:lang w:eastAsia="pl-PL"/>
        </w:rPr>
      </w:pPr>
      <w:r w:rsidRPr="00E577D5">
        <w:rPr>
          <w:rStyle w:val="Odwoanieprzypisudolnego"/>
          <w:rFonts w:ascii="Times New Roman" w:hAnsi="Times New Roman" w:cs="Times New Roman"/>
          <w:sz w:val="20"/>
          <w:szCs w:val="20"/>
        </w:rPr>
        <w:footnoteRef/>
      </w:r>
      <w:r w:rsidRPr="00E577D5">
        <w:rPr>
          <w:rFonts w:ascii="Times New Roman" w:hAnsi="Times New Roman" w:cs="Times New Roman"/>
          <w:sz w:val="20"/>
          <w:szCs w:val="20"/>
        </w:rPr>
        <w:t xml:space="preserve"> </w:t>
      </w:r>
      <w:r w:rsidRPr="00E577D5">
        <w:rPr>
          <w:rFonts w:ascii="Times New Roman" w:eastAsia="Times New Roman" w:hAnsi="Times New Roman" w:cs="Times New Roman"/>
          <w:color w:val="000000"/>
          <w:sz w:val="20"/>
          <w:szCs w:val="20"/>
          <w:lang w:eastAsia="pl-PL"/>
        </w:rPr>
        <w:t>Raportowanie Country-by-Country obejmuje duże międzynarodowe grupy kapitałowe i dotyczy informacji o: wielkości prowadzonej działalności (wielkości aktywów, kapitału zakładowego, liczby zatrudnionych osób), wielkości zrealizowanych przychodów, osiąganych zysków (bądź strat), zapłaconego (i należnego) podatku, miejsc prowadzenia działalności oraz przedmiotu tej działalności. Charakter tych danych nie daje możliwości dokładnego ustalenia liczby podatników podatk</w:t>
      </w:r>
      <w:r w:rsidR="00696BBC" w:rsidRPr="00E577D5">
        <w:rPr>
          <w:rFonts w:ascii="Times New Roman" w:eastAsia="Times New Roman" w:hAnsi="Times New Roman" w:cs="Times New Roman"/>
          <w:color w:val="000000"/>
          <w:sz w:val="20"/>
          <w:szCs w:val="20"/>
          <w:lang w:eastAsia="pl-PL"/>
        </w:rPr>
        <w:t>ów</w:t>
      </w:r>
      <w:r w:rsidRPr="00E577D5">
        <w:rPr>
          <w:rFonts w:ascii="Times New Roman" w:eastAsia="Times New Roman" w:hAnsi="Times New Roman" w:cs="Times New Roman"/>
          <w:color w:val="000000"/>
          <w:sz w:val="20"/>
          <w:szCs w:val="20"/>
          <w:lang w:eastAsia="pl-PL"/>
        </w:rPr>
        <w:t xml:space="preserve"> wyrównawcz</w:t>
      </w:r>
      <w:r w:rsidR="00696BBC" w:rsidRPr="00E577D5">
        <w:rPr>
          <w:rFonts w:ascii="Times New Roman" w:eastAsia="Times New Roman" w:hAnsi="Times New Roman" w:cs="Times New Roman"/>
          <w:color w:val="000000"/>
          <w:sz w:val="20"/>
          <w:szCs w:val="20"/>
          <w:lang w:eastAsia="pl-PL"/>
        </w:rPr>
        <w:t>ych</w:t>
      </w:r>
      <w:r w:rsidRPr="00E577D5">
        <w:rPr>
          <w:rFonts w:ascii="Times New Roman" w:eastAsia="Times New Roman" w:hAnsi="Times New Roman" w:cs="Times New Roman"/>
          <w:color w:val="000000"/>
          <w:sz w:val="20"/>
          <w:szCs w:val="20"/>
          <w:lang w:eastAsia="pl-PL"/>
        </w:rPr>
        <w:t>, lecz pozwala na jej oszacowanie.</w:t>
      </w:r>
    </w:p>
    <w:p w14:paraId="24E4344B" w14:textId="77777777" w:rsidR="002C7C46" w:rsidRDefault="002C7C46" w:rsidP="002C7C46">
      <w:pPr>
        <w:pStyle w:val="Tekstprzypisudolnego"/>
      </w:pPr>
    </w:p>
  </w:footnote>
  <w:footnote w:id="172">
    <w:p w14:paraId="42895B26" w14:textId="47068214" w:rsidR="002C7C46" w:rsidRPr="00E577D5" w:rsidRDefault="002C7C46" w:rsidP="00E15014">
      <w:pPr>
        <w:spacing w:line="240" w:lineRule="auto"/>
        <w:jc w:val="both"/>
        <w:rPr>
          <w:rFonts w:ascii="Times New Roman" w:hAnsi="Times New Roman" w:cs="Times New Roman"/>
          <w:i/>
          <w:sz w:val="20"/>
          <w:szCs w:val="20"/>
        </w:rPr>
      </w:pPr>
      <w:r w:rsidRPr="00E577D5">
        <w:rPr>
          <w:rStyle w:val="Odwoanieprzypisudolnego"/>
          <w:rFonts w:ascii="Times New Roman" w:hAnsi="Times New Roman" w:cs="Times New Roman"/>
          <w:sz w:val="20"/>
          <w:szCs w:val="20"/>
        </w:rPr>
        <w:footnoteRef/>
      </w:r>
      <w:r w:rsidRPr="00E577D5">
        <w:rPr>
          <w:rFonts w:ascii="Times New Roman" w:hAnsi="Times New Roman" w:cs="Times New Roman"/>
          <w:sz w:val="20"/>
          <w:szCs w:val="20"/>
        </w:rPr>
        <w:t xml:space="preserve"> Metryka aktu wprowadzającego możliwość wnioskowanie o VRIK w zakresie podatku wyrównawczego: </w:t>
      </w:r>
      <w:r w:rsidRPr="00E577D5">
        <w:rPr>
          <w:rFonts w:ascii="Times New Roman" w:hAnsi="Times New Roman" w:cs="Times New Roman"/>
          <w:i/>
          <w:iCs/>
          <w:sz w:val="20"/>
          <w:szCs w:val="20"/>
        </w:rPr>
        <w:t>Wijziging van het Besluit vooroverleg rulings met een internationaal karakter,</w:t>
      </w:r>
      <w:r w:rsidRPr="00E577D5">
        <w:rPr>
          <w:rFonts w:ascii="Times New Roman" w:hAnsi="Times New Roman" w:cs="Times New Roman"/>
          <w:sz w:val="20"/>
          <w:szCs w:val="20"/>
        </w:rPr>
        <w:t xml:space="preserve"> </w:t>
      </w:r>
      <w:r w:rsidRPr="00E577D5">
        <w:rPr>
          <w:rStyle w:val="Kkursywa"/>
          <w:rFonts w:ascii="Times New Roman" w:hAnsi="Times New Roman" w:cs="Times New Roman"/>
          <w:sz w:val="20"/>
          <w:szCs w:val="20"/>
        </w:rPr>
        <w:t>Directoraat-generaal Belastingdienst/Corporate Dienst Vaktechniek</w:t>
      </w:r>
      <w:r w:rsidRPr="00E577D5">
        <w:rPr>
          <w:rFonts w:ascii="Times New Roman" w:hAnsi="Times New Roman" w:cs="Times New Roman"/>
          <w:sz w:val="20"/>
          <w:szCs w:val="20"/>
        </w:rPr>
        <w:t xml:space="preserve"> </w:t>
      </w:r>
      <w:r w:rsidRPr="00E577D5">
        <w:rPr>
          <w:rFonts w:ascii="Times New Roman" w:hAnsi="Times New Roman" w:cs="Times New Roman"/>
          <w:i/>
          <w:iCs/>
          <w:sz w:val="20"/>
          <w:szCs w:val="20"/>
        </w:rPr>
        <w:t>Besluit van 19 december 2023, nr. 2023-0000020007,</w:t>
      </w:r>
      <w:r w:rsidRPr="00E577D5">
        <w:rPr>
          <w:rFonts w:ascii="Times New Roman" w:hAnsi="Times New Roman" w:cs="Times New Roman"/>
          <w:sz w:val="20"/>
          <w:szCs w:val="20"/>
        </w:rPr>
        <w:t xml:space="preserve"> </w:t>
      </w:r>
      <w:r w:rsidRPr="00E577D5">
        <w:rPr>
          <w:rStyle w:val="Kkursywa"/>
          <w:rFonts w:ascii="Times New Roman" w:hAnsi="Times New Roman" w:cs="Times New Roman"/>
          <w:sz w:val="20"/>
          <w:szCs w:val="20"/>
        </w:rPr>
        <w:t>Stcrt. 2023, 25745</w:t>
      </w:r>
    </w:p>
  </w:footnote>
  <w:footnote w:id="173">
    <w:p w14:paraId="14446E53" w14:textId="5802FDC8" w:rsidR="003B7AD7" w:rsidRPr="00E577D5" w:rsidRDefault="003B7AD7" w:rsidP="00646DD4">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w:t>
      </w:r>
      <w:r w:rsidR="00525B1D" w:rsidRPr="00E577D5">
        <w:rPr>
          <w:rFonts w:ascii="Times New Roman" w:hAnsi="Times New Roman" w:cs="Times New Roman"/>
        </w:rPr>
        <w:t>Patrz: w</w:t>
      </w:r>
      <w:r w:rsidR="00C118DB" w:rsidRPr="00E577D5">
        <w:rPr>
          <w:rFonts w:ascii="Times New Roman" w:hAnsi="Times New Roman" w:cs="Times New Roman"/>
        </w:rPr>
        <w:t>yrok WSA w Białymstoku z 8 listopada 2023 (</w:t>
      </w:r>
      <w:r w:rsidR="00C118DB" w:rsidRPr="00E577D5">
        <w:rPr>
          <w:rFonts w:ascii="Times New Roman" w:hAnsi="Times New Roman" w:cs="Times New Roman"/>
          <w:shd w:val="clear" w:color="auto" w:fill="FFFFFF"/>
        </w:rPr>
        <w:t>I SA/Bk 374/23);</w:t>
      </w:r>
      <w:r w:rsidR="00525B1D" w:rsidRPr="00E577D5">
        <w:rPr>
          <w:rFonts w:ascii="Times New Roman" w:hAnsi="Times New Roman" w:cs="Times New Roman"/>
          <w:shd w:val="clear" w:color="auto" w:fill="FFFFFF"/>
        </w:rPr>
        <w:t xml:space="preserve"> wyrok WSA w Gliwicach z 25 lutego 2020 r. (I SA/Gl 938/19)</w:t>
      </w:r>
      <w:r w:rsidR="00091C24" w:rsidRPr="00E577D5">
        <w:rPr>
          <w:rFonts w:ascii="Times New Roman" w:hAnsi="Times New Roman" w:cs="Times New Roman"/>
          <w:shd w:val="clear" w:color="auto" w:fill="FFFFFF"/>
        </w:rPr>
        <w:t>;</w:t>
      </w:r>
      <w:r w:rsidR="00C118DB" w:rsidRPr="00E577D5">
        <w:rPr>
          <w:rFonts w:ascii="Times New Roman" w:hAnsi="Times New Roman" w:cs="Times New Roman"/>
          <w:shd w:val="clear" w:color="auto" w:fill="FFFFFF"/>
        </w:rPr>
        <w:t xml:space="preserve"> </w:t>
      </w:r>
      <w:r w:rsidR="00525B1D" w:rsidRPr="00E577D5">
        <w:rPr>
          <w:rFonts w:ascii="Times New Roman" w:hAnsi="Times New Roman" w:cs="Times New Roman"/>
          <w:shd w:val="clear" w:color="auto" w:fill="FFFFFF"/>
        </w:rPr>
        <w:t>w</w:t>
      </w:r>
      <w:r w:rsidR="00C118DB" w:rsidRPr="00E577D5">
        <w:rPr>
          <w:rFonts w:ascii="Times New Roman" w:hAnsi="Times New Roman" w:cs="Times New Roman"/>
          <w:shd w:val="clear" w:color="auto" w:fill="FFFFFF"/>
        </w:rPr>
        <w:t>yrok NSA z 2 sierpnia 2019 r.</w:t>
      </w:r>
      <w:r w:rsidR="00525B1D" w:rsidRPr="00E577D5">
        <w:rPr>
          <w:rFonts w:ascii="Times New Roman" w:hAnsi="Times New Roman" w:cs="Times New Roman"/>
          <w:shd w:val="clear" w:color="auto" w:fill="FFFFFF"/>
        </w:rPr>
        <w:t xml:space="preserve"> (</w:t>
      </w:r>
      <w:r w:rsidR="00C118DB" w:rsidRPr="00E577D5">
        <w:rPr>
          <w:rFonts w:ascii="Times New Roman" w:hAnsi="Times New Roman" w:cs="Times New Roman"/>
          <w:shd w:val="clear" w:color="auto" w:fill="FFFFFF"/>
        </w:rPr>
        <w:t>II FSK 2483/17</w:t>
      </w:r>
      <w:r w:rsidR="00525B1D" w:rsidRPr="00E577D5">
        <w:rPr>
          <w:rFonts w:ascii="Times New Roman" w:hAnsi="Times New Roman" w:cs="Times New Roman"/>
          <w:shd w:val="clear" w:color="auto" w:fill="FFFFFF"/>
        </w:rPr>
        <w:t>).</w:t>
      </w:r>
    </w:p>
  </w:footnote>
  <w:footnote w:id="174">
    <w:p w14:paraId="352C5B30" w14:textId="77777777" w:rsidR="00D92C71" w:rsidRPr="00E577D5" w:rsidRDefault="00D92C71" w:rsidP="00D92C71">
      <w:pPr>
        <w:pStyle w:val="Tekstprzypisudolnego"/>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Ustawa z dnia 10 września 1999 r. – Kodeks karny skarbowy (Dz. U. z 2023 poz. 654, z późn. zm.). </w:t>
      </w:r>
    </w:p>
  </w:footnote>
  <w:footnote w:id="175">
    <w:p w14:paraId="01B302D4" w14:textId="3B5206D4" w:rsidR="00D92C71" w:rsidRPr="00E577D5" w:rsidRDefault="00D92C71" w:rsidP="00D92C71">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Informacja GloBE, jest deklaracją w rozumieniu KKS (art. 53 § 30)</w:t>
      </w:r>
      <w:r w:rsidR="00F337DF" w:rsidRPr="00E577D5">
        <w:rPr>
          <w:rFonts w:ascii="Times New Roman" w:hAnsi="Times New Roman" w:cs="Times New Roman"/>
        </w:rPr>
        <w:t xml:space="preserve">. </w:t>
      </w:r>
      <w:r w:rsidRPr="00E577D5">
        <w:rPr>
          <w:rFonts w:ascii="Times New Roman" w:hAnsi="Times New Roman" w:cs="Times New Roman"/>
        </w:rPr>
        <w:t>Zgodnie bowiem z art. 3 pkt 5 ustawy - Ordynacja podatkowa, do której w tym zakresie odsyła KKS</w:t>
      </w:r>
      <w:r w:rsidR="00F337DF" w:rsidRPr="00E577D5">
        <w:rPr>
          <w:rFonts w:ascii="Times New Roman" w:hAnsi="Times New Roman" w:cs="Times New Roman"/>
        </w:rPr>
        <w:t>,</w:t>
      </w:r>
      <w:r w:rsidRPr="00E577D5">
        <w:rPr>
          <w:rFonts w:ascii="Times New Roman" w:hAnsi="Times New Roman" w:cs="Times New Roman"/>
        </w:rPr>
        <w:t xml:space="preserve"> za deklarację uznaje się zeznania, wykazy, zestawienia, sprawozdania oraz informacje, do których składania obowiązani są na podstawie przepisów prawa podatkowego podatnicy, płatnicy i inkasenci. </w:t>
      </w:r>
    </w:p>
  </w:footnote>
  <w:footnote w:id="176">
    <w:p w14:paraId="4B802FF2" w14:textId="77777777" w:rsidR="00D92C71" w:rsidRPr="00E577D5" w:rsidRDefault="00D92C71" w:rsidP="00D92C71">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Zob. np. Wyrok Sądu Okręgowego w Gliwicach - VI Wydział Karny Odwoławczy z dnia 28 listopada 2017 r., VI Ka 920/17,  Wyrok Sądu Okręgowego w Poznaniu z dnia 2 listopada 2017 r., XVII Ka 1228/17 Wyrok Sądu Okręgowego w Toruniu z dnia 19 stycznia 2017 r., IX Ka 748/16 Wyrok Sądu Okręgowego w Szczecinie z dnia 19 września 2016 r., IV Ka 687/16</w:t>
      </w:r>
    </w:p>
  </w:footnote>
  <w:footnote w:id="177">
    <w:p w14:paraId="0E1FC7F5" w14:textId="12BD26E9" w:rsidR="00EA25D7" w:rsidRPr="00E577D5" w:rsidRDefault="00EA25D7">
      <w:pPr>
        <w:pStyle w:val="Tekstprzypisudolnego"/>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Wytyczne z lipca 2023 r., pkt 4, par. 54.</w:t>
      </w:r>
    </w:p>
  </w:footnote>
  <w:footnote w:id="178">
    <w:p w14:paraId="52A5AA88" w14:textId="77777777" w:rsidR="005B5330" w:rsidRPr="00E577D5" w:rsidRDefault="005B5330" w:rsidP="005B5330">
      <w:pPr>
        <w:pStyle w:val="Tekstprzypisudolnego"/>
        <w:jc w:val="both"/>
        <w:rPr>
          <w:rFonts w:ascii="Times New Roman" w:hAnsi="Times New Roman" w:cs="Times New Roman"/>
        </w:rPr>
      </w:pPr>
      <w:r w:rsidRPr="00E577D5">
        <w:rPr>
          <w:rStyle w:val="Odwoanieprzypisudolnego"/>
          <w:rFonts w:ascii="Times New Roman" w:hAnsi="Times New Roman" w:cs="Times New Roman"/>
        </w:rPr>
        <w:footnoteRef/>
      </w:r>
      <w:r w:rsidRPr="00E577D5">
        <w:rPr>
          <w:rFonts w:ascii="Times New Roman" w:hAnsi="Times New Roman" w:cs="Times New Roman"/>
        </w:rPr>
        <w:t xml:space="preserve"> Pewne różnice w tym zakresie mogą wynikać z wysokości posiadanych przez daną jednostkę dominującą udziałów własnościowych w LTCE, a zatem przypisania im innych kwot dochodu (podatku) LTCE.        </w:t>
      </w:r>
    </w:p>
  </w:footnote>
  <w:footnote w:id="179">
    <w:p w14:paraId="3758EBC0" w14:textId="77777777" w:rsidR="007C67ED" w:rsidRPr="00E577D5" w:rsidRDefault="007C67ED" w:rsidP="007C67ED">
      <w:pPr>
        <w:pStyle w:val="Tekstprzypisudolnego"/>
        <w:rPr>
          <w:rFonts w:ascii="Times New Roman" w:hAnsi="Times New Roman" w:cs="Times New Roman"/>
          <w:lang w:val="en-US"/>
        </w:rPr>
      </w:pPr>
      <w:r w:rsidRPr="00E577D5">
        <w:rPr>
          <w:rStyle w:val="Odwoanieprzypisudolnego"/>
          <w:rFonts w:ascii="Times New Roman" w:hAnsi="Times New Roman" w:cs="Times New Roman"/>
        </w:rPr>
        <w:footnoteRef/>
      </w:r>
      <w:r w:rsidRPr="00E577D5">
        <w:rPr>
          <w:rFonts w:ascii="Times New Roman" w:hAnsi="Times New Roman" w:cs="Times New Roman"/>
          <w:lang w:val="en-US"/>
        </w:rPr>
        <w:t xml:space="preserve"> Pkt 5 “</w:t>
      </w:r>
      <w:r w:rsidRPr="00E577D5">
        <w:rPr>
          <w:rFonts w:ascii="Times New Roman" w:hAnsi="Times New Roman" w:cs="Times New Roman"/>
          <w:i/>
          <w:lang w:val="en-US"/>
        </w:rPr>
        <w:t>Transitional Filing Deadlines for MNE Groups with Short Reporting Fiscal Years</w:t>
      </w:r>
      <w:r w:rsidRPr="00E577D5">
        <w:rPr>
          <w:rFonts w:ascii="Times New Roman" w:hAnsi="Times New Roman" w:cs="Times New Roman"/>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B4F"/>
    <w:multiLevelType w:val="hybridMultilevel"/>
    <w:tmpl w:val="D2C67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200164"/>
    <w:multiLevelType w:val="hybridMultilevel"/>
    <w:tmpl w:val="F40AC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381AC3"/>
    <w:multiLevelType w:val="hybridMultilevel"/>
    <w:tmpl w:val="A34C3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473A9A"/>
    <w:multiLevelType w:val="hybridMultilevel"/>
    <w:tmpl w:val="BF2A6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1E3DF1"/>
    <w:multiLevelType w:val="hybridMultilevel"/>
    <w:tmpl w:val="EC3E9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89399D"/>
    <w:multiLevelType w:val="hybridMultilevel"/>
    <w:tmpl w:val="D870B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0839B5"/>
    <w:multiLevelType w:val="hybridMultilevel"/>
    <w:tmpl w:val="48B014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676136"/>
    <w:multiLevelType w:val="hybridMultilevel"/>
    <w:tmpl w:val="278EE424"/>
    <w:lvl w:ilvl="0" w:tplc="04150001">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8" w15:restartNumberingAfterBreak="0">
    <w:nsid w:val="05901093"/>
    <w:multiLevelType w:val="hybridMultilevel"/>
    <w:tmpl w:val="2CFE7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B76D52"/>
    <w:multiLevelType w:val="hybridMultilevel"/>
    <w:tmpl w:val="7F766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34199A"/>
    <w:multiLevelType w:val="hybridMultilevel"/>
    <w:tmpl w:val="BA142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C2464E"/>
    <w:multiLevelType w:val="hybridMultilevel"/>
    <w:tmpl w:val="D214C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567D4D"/>
    <w:multiLevelType w:val="hybridMultilevel"/>
    <w:tmpl w:val="C94045FC"/>
    <w:lvl w:ilvl="0" w:tplc="DF44B40C">
      <w:start w:val="1"/>
      <w:numFmt w:val="lowerLetter"/>
      <w:lvlText w:val="%1)"/>
      <w:lvlJc w:val="left"/>
      <w:pPr>
        <w:ind w:left="990" w:hanging="48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13" w15:restartNumberingAfterBreak="0">
    <w:nsid w:val="09704636"/>
    <w:multiLevelType w:val="hybridMultilevel"/>
    <w:tmpl w:val="B4FC97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9A1AF9"/>
    <w:multiLevelType w:val="hybridMultilevel"/>
    <w:tmpl w:val="E9A29B6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15:restartNumberingAfterBreak="0">
    <w:nsid w:val="09B0462C"/>
    <w:multiLevelType w:val="hybridMultilevel"/>
    <w:tmpl w:val="8878055E"/>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16" w15:restartNumberingAfterBreak="0">
    <w:nsid w:val="0A54597F"/>
    <w:multiLevelType w:val="hybridMultilevel"/>
    <w:tmpl w:val="70447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545B96"/>
    <w:multiLevelType w:val="hybridMultilevel"/>
    <w:tmpl w:val="94E6A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5D3328"/>
    <w:multiLevelType w:val="hybridMultilevel"/>
    <w:tmpl w:val="979482A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906267"/>
    <w:multiLevelType w:val="hybridMultilevel"/>
    <w:tmpl w:val="B7D85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B770BFF"/>
    <w:multiLevelType w:val="hybridMultilevel"/>
    <w:tmpl w:val="ED86F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B83419C"/>
    <w:multiLevelType w:val="hybridMultilevel"/>
    <w:tmpl w:val="7F6A94D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C6E10A7"/>
    <w:multiLevelType w:val="hybridMultilevel"/>
    <w:tmpl w:val="03F046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9A2D07"/>
    <w:multiLevelType w:val="hybridMultilevel"/>
    <w:tmpl w:val="3E521D60"/>
    <w:lvl w:ilvl="0" w:tplc="4B0C65A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C9E3BD2"/>
    <w:multiLevelType w:val="hybridMultilevel"/>
    <w:tmpl w:val="4E3CE6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CF126A2"/>
    <w:multiLevelType w:val="hybridMultilevel"/>
    <w:tmpl w:val="A7260AD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0DC03FCA"/>
    <w:multiLevelType w:val="hybridMultilevel"/>
    <w:tmpl w:val="CF3E17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2851BE"/>
    <w:multiLevelType w:val="hybridMultilevel"/>
    <w:tmpl w:val="4E382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F04484C"/>
    <w:multiLevelType w:val="hybridMultilevel"/>
    <w:tmpl w:val="79982CB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15:restartNumberingAfterBreak="0">
    <w:nsid w:val="0F142F52"/>
    <w:multiLevelType w:val="hybridMultilevel"/>
    <w:tmpl w:val="3E606FC8"/>
    <w:lvl w:ilvl="0" w:tplc="04150001">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0112112"/>
    <w:multiLevelType w:val="hybridMultilevel"/>
    <w:tmpl w:val="B1C69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14E1FE8"/>
    <w:multiLevelType w:val="hybridMultilevel"/>
    <w:tmpl w:val="C742C3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11DB26DB"/>
    <w:multiLevelType w:val="hybridMultilevel"/>
    <w:tmpl w:val="9CDE7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30B4731"/>
    <w:multiLevelType w:val="hybridMultilevel"/>
    <w:tmpl w:val="ABE4C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36840CE"/>
    <w:multiLevelType w:val="hybridMultilevel"/>
    <w:tmpl w:val="A454C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3B41324"/>
    <w:multiLevelType w:val="hybridMultilevel"/>
    <w:tmpl w:val="ED161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49F56FE"/>
    <w:multiLevelType w:val="hybridMultilevel"/>
    <w:tmpl w:val="33883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50B0B20"/>
    <w:multiLevelType w:val="hybridMultilevel"/>
    <w:tmpl w:val="F27E6E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6131ABB"/>
    <w:multiLevelType w:val="hybridMultilevel"/>
    <w:tmpl w:val="5B380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6282639"/>
    <w:multiLevelType w:val="hybridMultilevel"/>
    <w:tmpl w:val="306CE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6DE7EBE"/>
    <w:multiLevelType w:val="hybridMultilevel"/>
    <w:tmpl w:val="3126D040"/>
    <w:lvl w:ilvl="0" w:tplc="0415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17B238F4"/>
    <w:multiLevelType w:val="hybridMultilevel"/>
    <w:tmpl w:val="504AB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83D1028"/>
    <w:multiLevelType w:val="hybridMultilevel"/>
    <w:tmpl w:val="DE0022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8494D33"/>
    <w:multiLevelType w:val="hybridMultilevel"/>
    <w:tmpl w:val="C8A29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86337C0"/>
    <w:multiLevelType w:val="hybridMultilevel"/>
    <w:tmpl w:val="07F46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A9507A4"/>
    <w:multiLevelType w:val="hybridMultilevel"/>
    <w:tmpl w:val="0D3C0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B541070"/>
    <w:multiLevelType w:val="hybridMultilevel"/>
    <w:tmpl w:val="982A136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BB11932"/>
    <w:multiLevelType w:val="hybridMultilevel"/>
    <w:tmpl w:val="9A145E86"/>
    <w:lvl w:ilvl="0" w:tplc="04150001">
      <w:start w:val="1"/>
      <w:numFmt w:val="bullet"/>
      <w:lvlText w:val=""/>
      <w:lvlJc w:val="left"/>
      <w:pPr>
        <w:ind w:left="1072" w:hanging="360"/>
      </w:pPr>
      <w:rPr>
        <w:rFonts w:ascii="Symbol" w:hAnsi="Symbol" w:hint="default"/>
      </w:rPr>
    </w:lvl>
    <w:lvl w:ilvl="1" w:tplc="04150003" w:tentative="1">
      <w:start w:val="1"/>
      <w:numFmt w:val="bullet"/>
      <w:lvlText w:val="o"/>
      <w:lvlJc w:val="left"/>
      <w:pPr>
        <w:ind w:left="1792" w:hanging="360"/>
      </w:pPr>
      <w:rPr>
        <w:rFonts w:ascii="Courier New" w:hAnsi="Courier New" w:cs="Courier New" w:hint="default"/>
      </w:rPr>
    </w:lvl>
    <w:lvl w:ilvl="2" w:tplc="04150005" w:tentative="1">
      <w:start w:val="1"/>
      <w:numFmt w:val="bullet"/>
      <w:lvlText w:val=""/>
      <w:lvlJc w:val="left"/>
      <w:pPr>
        <w:ind w:left="2512" w:hanging="360"/>
      </w:pPr>
      <w:rPr>
        <w:rFonts w:ascii="Wingdings" w:hAnsi="Wingdings" w:hint="default"/>
      </w:rPr>
    </w:lvl>
    <w:lvl w:ilvl="3" w:tplc="04150001" w:tentative="1">
      <w:start w:val="1"/>
      <w:numFmt w:val="bullet"/>
      <w:lvlText w:val=""/>
      <w:lvlJc w:val="left"/>
      <w:pPr>
        <w:ind w:left="3232" w:hanging="360"/>
      </w:pPr>
      <w:rPr>
        <w:rFonts w:ascii="Symbol" w:hAnsi="Symbol" w:hint="default"/>
      </w:rPr>
    </w:lvl>
    <w:lvl w:ilvl="4" w:tplc="04150003" w:tentative="1">
      <w:start w:val="1"/>
      <w:numFmt w:val="bullet"/>
      <w:lvlText w:val="o"/>
      <w:lvlJc w:val="left"/>
      <w:pPr>
        <w:ind w:left="3952" w:hanging="360"/>
      </w:pPr>
      <w:rPr>
        <w:rFonts w:ascii="Courier New" w:hAnsi="Courier New" w:cs="Courier New" w:hint="default"/>
      </w:rPr>
    </w:lvl>
    <w:lvl w:ilvl="5" w:tplc="04150005" w:tentative="1">
      <w:start w:val="1"/>
      <w:numFmt w:val="bullet"/>
      <w:lvlText w:val=""/>
      <w:lvlJc w:val="left"/>
      <w:pPr>
        <w:ind w:left="4672" w:hanging="360"/>
      </w:pPr>
      <w:rPr>
        <w:rFonts w:ascii="Wingdings" w:hAnsi="Wingdings" w:hint="default"/>
      </w:rPr>
    </w:lvl>
    <w:lvl w:ilvl="6" w:tplc="04150001" w:tentative="1">
      <w:start w:val="1"/>
      <w:numFmt w:val="bullet"/>
      <w:lvlText w:val=""/>
      <w:lvlJc w:val="left"/>
      <w:pPr>
        <w:ind w:left="5392" w:hanging="360"/>
      </w:pPr>
      <w:rPr>
        <w:rFonts w:ascii="Symbol" w:hAnsi="Symbol" w:hint="default"/>
      </w:rPr>
    </w:lvl>
    <w:lvl w:ilvl="7" w:tplc="04150003" w:tentative="1">
      <w:start w:val="1"/>
      <w:numFmt w:val="bullet"/>
      <w:lvlText w:val="o"/>
      <w:lvlJc w:val="left"/>
      <w:pPr>
        <w:ind w:left="6112" w:hanging="360"/>
      </w:pPr>
      <w:rPr>
        <w:rFonts w:ascii="Courier New" w:hAnsi="Courier New" w:cs="Courier New" w:hint="default"/>
      </w:rPr>
    </w:lvl>
    <w:lvl w:ilvl="8" w:tplc="04150005" w:tentative="1">
      <w:start w:val="1"/>
      <w:numFmt w:val="bullet"/>
      <w:lvlText w:val=""/>
      <w:lvlJc w:val="left"/>
      <w:pPr>
        <w:ind w:left="6832" w:hanging="360"/>
      </w:pPr>
      <w:rPr>
        <w:rFonts w:ascii="Wingdings" w:hAnsi="Wingdings" w:hint="default"/>
      </w:rPr>
    </w:lvl>
  </w:abstractNum>
  <w:abstractNum w:abstractNumId="48" w15:restartNumberingAfterBreak="0">
    <w:nsid w:val="1C3B27D8"/>
    <w:multiLevelType w:val="hybridMultilevel"/>
    <w:tmpl w:val="AC801B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E514D93"/>
    <w:multiLevelType w:val="hybridMultilevel"/>
    <w:tmpl w:val="072465DE"/>
    <w:lvl w:ilvl="0" w:tplc="B3D6ACC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EB2443F"/>
    <w:multiLevelType w:val="hybridMultilevel"/>
    <w:tmpl w:val="E3863B0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1" w15:restartNumberingAfterBreak="0">
    <w:nsid w:val="20226488"/>
    <w:multiLevelType w:val="hybridMultilevel"/>
    <w:tmpl w:val="E1DA118E"/>
    <w:lvl w:ilvl="0" w:tplc="CACC7588">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01">
      <w:start w:val="1"/>
      <w:numFmt w:val="bullet"/>
      <w:lvlText w:val=""/>
      <w:lvlJc w:val="left"/>
      <w:pPr>
        <w:ind w:left="3600" w:hanging="360"/>
      </w:pPr>
      <w:rPr>
        <w:rFonts w:ascii="Symbol" w:hAnsi="Symbol"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0AF0E87"/>
    <w:multiLevelType w:val="hybridMultilevel"/>
    <w:tmpl w:val="F29AA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0DB1D3B"/>
    <w:multiLevelType w:val="hybridMultilevel"/>
    <w:tmpl w:val="1AF20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14B024A"/>
    <w:multiLevelType w:val="hybridMultilevel"/>
    <w:tmpl w:val="1F56B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2054AF5"/>
    <w:multiLevelType w:val="hybridMultilevel"/>
    <w:tmpl w:val="C28C2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29F5D6B"/>
    <w:multiLevelType w:val="hybridMultilevel"/>
    <w:tmpl w:val="28AE11A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7" w15:restartNumberingAfterBreak="0">
    <w:nsid w:val="22C17DFA"/>
    <w:multiLevelType w:val="hybridMultilevel"/>
    <w:tmpl w:val="673E41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2DD1E1E"/>
    <w:multiLevelType w:val="hybridMultilevel"/>
    <w:tmpl w:val="551C887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3E71D26"/>
    <w:multiLevelType w:val="hybridMultilevel"/>
    <w:tmpl w:val="C55A811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4411A46"/>
    <w:multiLevelType w:val="hybridMultilevel"/>
    <w:tmpl w:val="356E1C30"/>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61" w15:restartNumberingAfterBreak="0">
    <w:nsid w:val="249F3127"/>
    <w:multiLevelType w:val="hybridMultilevel"/>
    <w:tmpl w:val="C562B2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4CB305D"/>
    <w:multiLevelType w:val="hybridMultilevel"/>
    <w:tmpl w:val="28F0F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5BD6C27"/>
    <w:multiLevelType w:val="hybridMultilevel"/>
    <w:tmpl w:val="B802A38C"/>
    <w:lvl w:ilvl="0" w:tplc="04150001">
      <w:start w:val="1"/>
      <w:numFmt w:val="bullet"/>
      <w:lvlText w:val=""/>
      <w:lvlJc w:val="left"/>
      <w:pPr>
        <w:ind w:left="720" w:hanging="360"/>
      </w:pPr>
      <w:rPr>
        <w:rFonts w:ascii="Symbol" w:hAnsi="Symbo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60D709F"/>
    <w:multiLevelType w:val="hybridMultilevel"/>
    <w:tmpl w:val="C1E06132"/>
    <w:lvl w:ilvl="0" w:tplc="1E8AEBDA">
      <w:start w:val="1"/>
      <w:numFmt w:val="decimal"/>
      <w:lvlText w:val="%1."/>
      <w:lvlJc w:val="left"/>
      <w:pPr>
        <w:ind w:left="720" w:hanging="360"/>
      </w:pPr>
      <w:rPr>
        <w:rFonts w:hint="default"/>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6275840"/>
    <w:multiLevelType w:val="hybridMultilevel"/>
    <w:tmpl w:val="D35C1CE4"/>
    <w:lvl w:ilvl="0" w:tplc="04150001">
      <w:start w:val="1"/>
      <w:numFmt w:val="bullet"/>
      <w:lvlText w:val=""/>
      <w:lvlJc w:val="left"/>
      <w:pPr>
        <w:ind w:left="864" w:hanging="360"/>
      </w:pPr>
      <w:rPr>
        <w:rFonts w:ascii="Symbol" w:hAnsi="Symbol" w:hint="default"/>
      </w:rPr>
    </w:lvl>
    <w:lvl w:ilvl="1" w:tplc="04150003" w:tentative="1">
      <w:start w:val="1"/>
      <w:numFmt w:val="bullet"/>
      <w:lvlText w:val="o"/>
      <w:lvlJc w:val="left"/>
      <w:pPr>
        <w:ind w:left="1584" w:hanging="360"/>
      </w:pPr>
      <w:rPr>
        <w:rFonts w:ascii="Courier New" w:hAnsi="Courier New" w:cs="Courier New" w:hint="default"/>
      </w:rPr>
    </w:lvl>
    <w:lvl w:ilvl="2" w:tplc="04150005" w:tentative="1">
      <w:start w:val="1"/>
      <w:numFmt w:val="bullet"/>
      <w:lvlText w:val=""/>
      <w:lvlJc w:val="left"/>
      <w:pPr>
        <w:ind w:left="2304" w:hanging="360"/>
      </w:pPr>
      <w:rPr>
        <w:rFonts w:ascii="Wingdings" w:hAnsi="Wingdings" w:hint="default"/>
      </w:rPr>
    </w:lvl>
    <w:lvl w:ilvl="3" w:tplc="04150001" w:tentative="1">
      <w:start w:val="1"/>
      <w:numFmt w:val="bullet"/>
      <w:lvlText w:val=""/>
      <w:lvlJc w:val="left"/>
      <w:pPr>
        <w:ind w:left="3024" w:hanging="360"/>
      </w:pPr>
      <w:rPr>
        <w:rFonts w:ascii="Symbol" w:hAnsi="Symbol" w:hint="default"/>
      </w:rPr>
    </w:lvl>
    <w:lvl w:ilvl="4" w:tplc="04150003" w:tentative="1">
      <w:start w:val="1"/>
      <w:numFmt w:val="bullet"/>
      <w:lvlText w:val="o"/>
      <w:lvlJc w:val="left"/>
      <w:pPr>
        <w:ind w:left="3744" w:hanging="360"/>
      </w:pPr>
      <w:rPr>
        <w:rFonts w:ascii="Courier New" w:hAnsi="Courier New" w:cs="Courier New" w:hint="default"/>
      </w:rPr>
    </w:lvl>
    <w:lvl w:ilvl="5" w:tplc="04150005" w:tentative="1">
      <w:start w:val="1"/>
      <w:numFmt w:val="bullet"/>
      <w:lvlText w:val=""/>
      <w:lvlJc w:val="left"/>
      <w:pPr>
        <w:ind w:left="4464" w:hanging="360"/>
      </w:pPr>
      <w:rPr>
        <w:rFonts w:ascii="Wingdings" w:hAnsi="Wingdings" w:hint="default"/>
      </w:rPr>
    </w:lvl>
    <w:lvl w:ilvl="6" w:tplc="04150001" w:tentative="1">
      <w:start w:val="1"/>
      <w:numFmt w:val="bullet"/>
      <w:lvlText w:val=""/>
      <w:lvlJc w:val="left"/>
      <w:pPr>
        <w:ind w:left="5184" w:hanging="360"/>
      </w:pPr>
      <w:rPr>
        <w:rFonts w:ascii="Symbol" w:hAnsi="Symbol" w:hint="default"/>
      </w:rPr>
    </w:lvl>
    <w:lvl w:ilvl="7" w:tplc="04150003" w:tentative="1">
      <w:start w:val="1"/>
      <w:numFmt w:val="bullet"/>
      <w:lvlText w:val="o"/>
      <w:lvlJc w:val="left"/>
      <w:pPr>
        <w:ind w:left="5904" w:hanging="360"/>
      </w:pPr>
      <w:rPr>
        <w:rFonts w:ascii="Courier New" w:hAnsi="Courier New" w:cs="Courier New" w:hint="default"/>
      </w:rPr>
    </w:lvl>
    <w:lvl w:ilvl="8" w:tplc="04150005" w:tentative="1">
      <w:start w:val="1"/>
      <w:numFmt w:val="bullet"/>
      <w:lvlText w:val=""/>
      <w:lvlJc w:val="left"/>
      <w:pPr>
        <w:ind w:left="6624" w:hanging="360"/>
      </w:pPr>
      <w:rPr>
        <w:rFonts w:ascii="Wingdings" w:hAnsi="Wingdings" w:hint="default"/>
      </w:rPr>
    </w:lvl>
  </w:abstractNum>
  <w:abstractNum w:abstractNumId="66" w15:restartNumberingAfterBreak="0">
    <w:nsid w:val="266C4869"/>
    <w:multiLevelType w:val="hybridMultilevel"/>
    <w:tmpl w:val="73A4D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6A0131A"/>
    <w:multiLevelType w:val="hybridMultilevel"/>
    <w:tmpl w:val="1F9ACCA8"/>
    <w:lvl w:ilvl="0" w:tplc="1E8AEBDA">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8146C432">
      <w:start w:val="1"/>
      <w:numFmt w:val="lowerLetter"/>
      <w:lvlText w:val="%3)"/>
      <w:lvlJc w:val="left"/>
      <w:pPr>
        <w:ind w:left="2688" w:hanging="708"/>
      </w:pPr>
      <w:rPr>
        <w:rFonts w:hint="default"/>
      </w:rPr>
    </w:lvl>
    <w:lvl w:ilvl="3" w:tplc="2BB88962">
      <w:start w:val="1"/>
      <w:numFmt w:val="decimal"/>
      <w:lvlText w:val="%4)"/>
      <w:lvlJc w:val="left"/>
      <w:pPr>
        <w:ind w:left="3228" w:hanging="708"/>
      </w:pPr>
      <w:rPr>
        <w:rFonts w:hint="default"/>
      </w:rPr>
    </w:lvl>
    <w:lvl w:ilvl="4" w:tplc="CACC7588">
      <w:start w:val="1"/>
      <w:numFmt w:val="lowerRoman"/>
      <w:lvlText w:val="(%5)"/>
      <w:lvlJc w:val="left"/>
      <w:pPr>
        <w:ind w:left="3960" w:hanging="72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8307474"/>
    <w:multiLevelType w:val="hybridMultilevel"/>
    <w:tmpl w:val="CC320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8503177"/>
    <w:multiLevelType w:val="hybridMultilevel"/>
    <w:tmpl w:val="CED45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8DE7517"/>
    <w:multiLevelType w:val="hybridMultilevel"/>
    <w:tmpl w:val="7BD05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93D536E"/>
    <w:multiLevelType w:val="hybridMultilevel"/>
    <w:tmpl w:val="CF80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9CE6E29"/>
    <w:multiLevelType w:val="hybridMultilevel"/>
    <w:tmpl w:val="F7C6E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9FB3FC3"/>
    <w:multiLevelType w:val="hybridMultilevel"/>
    <w:tmpl w:val="D0003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A164412"/>
    <w:multiLevelType w:val="hybridMultilevel"/>
    <w:tmpl w:val="AE50C620"/>
    <w:lvl w:ilvl="0" w:tplc="11AC451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ACE5411"/>
    <w:multiLevelType w:val="hybridMultilevel"/>
    <w:tmpl w:val="9A6461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B7B4A2C"/>
    <w:multiLevelType w:val="hybridMultilevel"/>
    <w:tmpl w:val="58587ED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C61380F"/>
    <w:multiLevelType w:val="hybridMultilevel"/>
    <w:tmpl w:val="8B744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D9320AD"/>
    <w:multiLevelType w:val="hybridMultilevel"/>
    <w:tmpl w:val="6A1C2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E7574D2"/>
    <w:multiLevelType w:val="hybridMultilevel"/>
    <w:tmpl w:val="F034B7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0863016"/>
    <w:multiLevelType w:val="hybridMultilevel"/>
    <w:tmpl w:val="07CC816A"/>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0D93D09"/>
    <w:multiLevelType w:val="hybridMultilevel"/>
    <w:tmpl w:val="6E4A9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39D3C10"/>
    <w:multiLevelType w:val="hybridMultilevel"/>
    <w:tmpl w:val="BF5CB9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66217C4"/>
    <w:multiLevelType w:val="hybridMultilevel"/>
    <w:tmpl w:val="AA728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7323AE1"/>
    <w:multiLevelType w:val="hybridMultilevel"/>
    <w:tmpl w:val="25A22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74B7B72"/>
    <w:multiLevelType w:val="hybridMultilevel"/>
    <w:tmpl w:val="43B27A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7E17397"/>
    <w:multiLevelType w:val="hybridMultilevel"/>
    <w:tmpl w:val="5126B1D6"/>
    <w:lvl w:ilvl="0" w:tplc="08B424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8A13DAC"/>
    <w:multiLevelType w:val="hybridMultilevel"/>
    <w:tmpl w:val="4B60F9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39C3261E"/>
    <w:multiLevelType w:val="hybridMultilevel"/>
    <w:tmpl w:val="F0385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C00124C"/>
    <w:multiLevelType w:val="hybridMultilevel"/>
    <w:tmpl w:val="2208D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C3E50FE"/>
    <w:multiLevelType w:val="hybridMultilevel"/>
    <w:tmpl w:val="F9DC000E"/>
    <w:lvl w:ilvl="0" w:tplc="7DC8CD8C">
      <w:start w:val="1"/>
      <w:numFmt w:val="decimal"/>
      <w:lvlText w:val="%1)"/>
      <w:lvlJc w:val="left"/>
      <w:pPr>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CAD0786"/>
    <w:multiLevelType w:val="hybridMultilevel"/>
    <w:tmpl w:val="8B62A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D3317A2"/>
    <w:multiLevelType w:val="hybridMultilevel"/>
    <w:tmpl w:val="A1581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D9C56C7"/>
    <w:multiLevelType w:val="hybridMultilevel"/>
    <w:tmpl w:val="ADF66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ECB3326"/>
    <w:multiLevelType w:val="hybridMultilevel"/>
    <w:tmpl w:val="F3802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F055561"/>
    <w:multiLevelType w:val="hybridMultilevel"/>
    <w:tmpl w:val="0ED8F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F753BD3"/>
    <w:multiLevelType w:val="hybridMultilevel"/>
    <w:tmpl w:val="8DEACB2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7" w15:restartNumberingAfterBreak="0">
    <w:nsid w:val="405E0729"/>
    <w:multiLevelType w:val="hybridMultilevel"/>
    <w:tmpl w:val="C29A3B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3457CF2"/>
    <w:multiLevelType w:val="hybridMultilevel"/>
    <w:tmpl w:val="069013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3AB3D89"/>
    <w:multiLevelType w:val="hybridMultilevel"/>
    <w:tmpl w:val="BC640038"/>
    <w:lvl w:ilvl="0" w:tplc="CAD6317C">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59E7683"/>
    <w:multiLevelType w:val="hybridMultilevel"/>
    <w:tmpl w:val="AC2E16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6A330D7"/>
    <w:multiLevelType w:val="hybridMultilevel"/>
    <w:tmpl w:val="4B36D67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7DD1C0D"/>
    <w:multiLevelType w:val="hybridMultilevel"/>
    <w:tmpl w:val="C92AE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9645852"/>
    <w:multiLevelType w:val="hybridMultilevel"/>
    <w:tmpl w:val="E8280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A8A5D8A"/>
    <w:multiLevelType w:val="multilevel"/>
    <w:tmpl w:val="E19839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AE14DA9"/>
    <w:multiLevelType w:val="hybridMultilevel"/>
    <w:tmpl w:val="09CADDC2"/>
    <w:lvl w:ilvl="0" w:tplc="04150017">
      <w:start w:val="1"/>
      <w:numFmt w:val="lowerLetter"/>
      <w:lvlText w:val="%1)"/>
      <w:lvlJc w:val="left"/>
      <w:pPr>
        <w:ind w:left="720" w:hanging="360"/>
      </w:pPr>
    </w:lvl>
    <w:lvl w:ilvl="1" w:tplc="E51633F6">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B356715"/>
    <w:multiLevelType w:val="hybridMultilevel"/>
    <w:tmpl w:val="9DB84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B525282"/>
    <w:multiLevelType w:val="hybridMultilevel"/>
    <w:tmpl w:val="36AE2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CD95A47"/>
    <w:multiLevelType w:val="hybridMultilevel"/>
    <w:tmpl w:val="2F58C76A"/>
    <w:lvl w:ilvl="0" w:tplc="04150011">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109" w15:restartNumberingAfterBreak="0">
    <w:nsid w:val="4D656BCD"/>
    <w:multiLevelType w:val="hybridMultilevel"/>
    <w:tmpl w:val="C0F02E98"/>
    <w:lvl w:ilvl="0" w:tplc="CACC7588">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E1F4BAA"/>
    <w:multiLevelType w:val="hybridMultilevel"/>
    <w:tmpl w:val="DE9C8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F7C2126"/>
    <w:multiLevelType w:val="hybridMultilevel"/>
    <w:tmpl w:val="D94CE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05879E3"/>
    <w:multiLevelType w:val="hybridMultilevel"/>
    <w:tmpl w:val="A7DAF1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51283947"/>
    <w:multiLevelType w:val="hybridMultilevel"/>
    <w:tmpl w:val="375E7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1B60A72"/>
    <w:multiLevelType w:val="hybridMultilevel"/>
    <w:tmpl w:val="E44A6C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2D206CB"/>
    <w:multiLevelType w:val="hybridMultilevel"/>
    <w:tmpl w:val="7C0A1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2EE41FF"/>
    <w:multiLevelType w:val="hybridMultilevel"/>
    <w:tmpl w:val="B9905642"/>
    <w:lvl w:ilvl="0" w:tplc="10FC10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4E76249"/>
    <w:multiLevelType w:val="hybridMultilevel"/>
    <w:tmpl w:val="B32AE58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1">
      <w:start w:val="1"/>
      <w:numFmt w:val="bullet"/>
      <w:lvlText w:val=""/>
      <w:lvlJc w:val="left"/>
      <w:pPr>
        <w:ind w:left="4025" w:hanging="360"/>
      </w:pPr>
      <w:rPr>
        <w:rFonts w:ascii="Symbol" w:hAnsi="Symbol"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18" w15:restartNumberingAfterBreak="0">
    <w:nsid w:val="557D6582"/>
    <w:multiLevelType w:val="hybridMultilevel"/>
    <w:tmpl w:val="49BE883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9" w15:restartNumberingAfterBreak="0">
    <w:nsid w:val="57274B37"/>
    <w:multiLevelType w:val="hybridMultilevel"/>
    <w:tmpl w:val="E0F822DA"/>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20" w15:restartNumberingAfterBreak="0">
    <w:nsid w:val="572A1F1D"/>
    <w:multiLevelType w:val="hybridMultilevel"/>
    <w:tmpl w:val="A0C63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9B96848"/>
    <w:multiLevelType w:val="hybridMultilevel"/>
    <w:tmpl w:val="B592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BBD3DCD"/>
    <w:multiLevelType w:val="hybridMultilevel"/>
    <w:tmpl w:val="37566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D3222BC"/>
    <w:multiLevelType w:val="hybridMultilevel"/>
    <w:tmpl w:val="9508D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E315B4E"/>
    <w:multiLevelType w:val="hybridMultilevel"/>
    <w:tmpl w:val="2EA26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EC86C27"/>
    <w:multiLevelType w:val="hybridMultilevel"/>
    <w:tmpl w:val="B35A3C24"/>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26" w15:restartNumberingAfterBreak="0">
    <w:nsid w:val="5F9D5592"/>
    <w:multiLevelType w:val="hybridMultilevel"/>
    <w:tmpl w:val="4156FB96"/>
    <w:lvl w:ilvl="0" w:tplc="2BB889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FB27E5F"/>
    <w:multiLevelType w:val="hybridMultilevel"/>
    <w:tmpl w:val="98601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0782B9F"/>
    <w:multiLevelType w:val="hybridMultilevel"/>
    <w:tmpl w:val="51E416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096266E"/>
    <w:multiLevelType w:val="hybridMultilevel"/>
    <w:tmpl w:val="14346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11C3303"/>
    <w:multiLevelType w:val="hybridMultilevel"/>
    <w:tmpl w:val="918C435A"/>
    <w:lvl w:ilvl="0" w:tplc="08B424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47C2712"/>
    <w:multiLevelType w:val="hybridMultilevel"/>
    <w:tmpl w:val="2DD846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64ED34A6"/>
    <w:multiLevelType w:val="hybridMultilevel"/>
    <w:tmpl w:val="28301F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654F5E39"/>
    <w:multiLevelType w:val="hybridMultilevel"/>
    <w:tmpl w:val="01C66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87C2DE1"/>
    <w:multiLevelType w:val="hybridMultilevel"/>
    <w:tmpl w:val="7C72B0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88347E2"/>
    <w:multiLevelType w:val="hybridMultilevel"/>
    <w:tmpl w:val="BCF6D410"/>
    <w:lvl w:ilvl="0" w:tplc="4B0C65A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A4D4D18"/>
    <w:multiLevelType w:val="multilevel"/>
    <w:tmpl w:val="A820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B003490"/>
    <w:multiLevelType w:val="hybridMultilevel"/>
    <w:tmpl w:val="5A3C47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8" w15:restartNumberingAfterBreak="0">
    <w:nsid w:val="6CA410A9"/>
    <w:multiLevelType w:val="hybridMultilevel"/>
    <w:tmpl w:val="B7664760"/>
    <w:lvl w:ilvl="0" w:tplc="4B0C65A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CC51112"/>
    <w:multiLevelType w:val="hybridMultilevel"/>
    <w:tmpl w:val="30C2E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CF41F93"/>
    <w:multiLevelType w:val="hybridMultilevel"/>
    <w:tmpl w:val="1A3E34F6"/>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1" w15:restartNumberingAfterBreak="0">
    <w:nsid w:val="6E8D719F"/>
    <w:multiLevelType w:val="hybridMultilevel"/>
    <w:tmpl w:val="70527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EDA035E"/>
    <w:multiLevelType w:val="hybridMultilevel"/>
    <w:tmpl w:val="C68A11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3" w15:restartNumberingAfterBreak="0">
    <w:nsid w:val="70A11CA8"/>
    <w:multiLevelType w:val="hybridMultilevel"/>
    <w:tmpl w:val="07D84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0AF2D17"/>
    <w:multiLevelType w:val="hybridMultilevel"/>
    <w:tmpl w:val="F224E9EA"/>
    <w:lvl w:ilvl="0" w:tplc="CAD6317C">
      <w:start w:val="1"/>
      <w:numFmt w:val="decimal"/>
      <w:lvlText w:val="%1)"/>
      <w:lvlJc w:val="left"/>
      <w:pPr>
        <w:ind w:left="990" w:hanging="48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145" w15:restartNumberingAfterBreak="0">
    <w:nsid w:val="7399180F"/>
    <w:multiLevelType w:val="hybridMultilevel"/>
    <w:tmpl w:val="4DD0956A"/>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6" w15:restartNumberingAfterBreak="0">
    <w:nsid w:val="73F00239"/>
    <w:multiLevelType w:val="hybridMultilevel"/>
    <w:tmpl w:val="31283370"/>
    <w:lvl w:ilvl="0" w:tplc="E1BA41DE">
      <w:start w:val="1"/>
      <w:numFmt w:val="decimal"/>
      <w:lvlText w:val="%1)"/>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54E04A3"/>
    <w:multiLevelType w:val="hybridMultilevel"/>
    <w:tmpl w:val="27183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5657010"/>
    <w:multiLevelType w:val="hybridMultilevel"/>
    <w:tmpl w:val="DF4AA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70C5417"/>
    <w:multiLevelType w:val="hybridMultilevel"/>
    <w:tmpl w:val="8EB8BD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90A52B1"/>
    <w:multiLevelType w:val="hybridMultilevel"/>
    <w:tmpl w:val="4D923D6A"/>
    <w:lvl w:ilvl="0" w:tplc="04150011">
      <w:start w:val="1"/>
      <w:numFmt w:val="decimal"/>
      <w:lvlText w:val="%1)"/>
      <w:lvlJc w:val="left"/>
      <w:pPr>
        <w:ind w:left="720" w:hanging="360"/>
      </w:pPr>
    </w:lvl>
    <w:lvl w:ilvl="1" w:tplc="8146C4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A061A6A"/>
    <w:multiLevelType w:val="hybridMultilevel"/>
    <w:tmpl w:val="18084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AA72C95"/>
    <w:multiLevelType w:val="hybridMultilevel"/>
    <w:tmpl w:val="3236B990"/>
    <w:lvl w:ilvl="0" w:tplc="8146C432">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AE91F35"/>
    <w:multiLevelType w:val="hybridMultilevel"/>
    <w:tmpl w:val="D042E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B0F43E4"/>
    <w:multiLevelType w:val="hybridMultilevel"/>
    <w:tmpl w:val="711A5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B680D43"/>
    <w:multiLevelType w:val="hybridMultilevel"/>
    <w:tmpl w:val="07FA6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D0B4FDD"/>
    <w:multiLevelType w:val="hybridMultilevel"/>
    <w:tmpl w:val="45A42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DBF6320"/>
    <w:multiLevelType w:val="hybridMultilevel"/>
    <w:tmpl w:val="223CCA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E4274C7"/>
    <w:multiLevelType w:val="hybridMultilevel"/>
    <w:tmpl w:val="74008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F007083"/>
    <w:multiLevelType w:val="hybridMultilevel"/>
    <w:tmpl w:val="3F109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F385BD8"/>
    <w:multiLevelType w:val="multilevel"/>
    <w:tmpl w:val="E19839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15:restartNumberingAfterBreak="0">
    <w:nsid w:val="7FF05BE5"/>
    <w:multiLevelType w:val="hybridMultilevel"/>
    <w:tmpl w:val="4A868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50871611">
    <w:abstractNumId w:val="118"/>
  </w:num>
  <w:num w:numId="2" w16cid:durableId="1947540530">
    <w:abstractNumId w:val="19"/>
  </w:num>
  <w:num w:numId="3" w16cid:durableId="1176386632">
    <w:abstractNumId w:val="43"/>
  </w:num>
  <w:num w:numId="4" w16cid:durableId="1762792406">
    <w:abstractNumId w:val="20"/>
  </w:num>
  <w:num w:numId="5" w16cid:durableId="1013653487">
    <w:abstractNumId w:val="27"/>
  </w:num>
  <w:num w:numId="6" w16cid:durableId="475877736">
    <w:abstractNumId w:val="35"/>
  </w:num>
  <w:num w:numId="7" w16cid:durableId="1962803924">
    <w:abstractNumId w:val="102"/>
  </w:num>
  <w:num w:numId="8" w16cid:durableId="1195846202">
    <w:abstractNumId w:val="154"/>
  </w:num>
  <w:num w:numId="9" w16cid:durableId="1438870867">
    <w:abstractNumId w:val="113"/>
  </w:num>
  <w:num w:numId="10" w16cid:durableId="1439327905">
    <w:abstractNumId w:val="1"/>
  </w:num>
  <w:num w:numId="11" w16cid:durableId="764572318">
    <w:abstractNumId w:val="8"/>
  </w:num>
  <w:num w:numId="12" w16cid:durableId="245193699">
    <w:abstractNumId w:val="50"/>
  </w:num>
  <w:num w:numId="13" w16cid:durableId="702752758">
    <w:abstractNumId w:val="65"/>
  </w:num>
  <w:num w:numId="14" w16cid:durableId="2069304189">
    <w:abstractNumId w:val="45"/>
  </w:num>
  <w:num w:numId="15" w16cid:durableId="460074266">
    <w:abstractNumId w:val="55"/>
  </w:num>
  <w:num w:numId="16" w16cid:durableId="918096745">
    <w:abstractNumId w:val="111"/>
  </w:num>
  <w:num w:numId="17" w16cid:durableId="1597980225">
    <w:abstractNumId w:val="77"/>
  </w:num>
  <w:num w:numId="18" w16cid:durableId="1326661534">
    <w:abstractNumId w:val="5"/>
  </w:num>
  <w:num w:numId="19" w16cid:durableId="1115900732">
    <w:abstractNumId w:val="80"/>
  </w:num>
  <w:num w:numId="20" w16cid:durableId="1549225715">
    <w:abstractNumId w:val="114"/>
  </w:num>
  <w:num w:numId="21" w16cid:durableId="1340081310">
    <w:abstractNumId w:val="129"/>
  </w:num>
  <w:num w:numId="22" w16cid:durableId="727412707">
    <w:abstractNumId w:val="67"/>
  </w:num>
  <w:num w:numId="23" w16cid:durableId="840699535">
    <w:abstractNumId w:val="64"/>
  </w:num>
  <w:num w:numId="24" w16cid:durableId="1552692327">
    <w:abstractNumId w:val="7"/>
  </w:num>
  <w:num w:numId="25" w16cid:durableId="2004430756">
    <w:abstractNumId w:val="32"/>
  </w:num>
  <w:num w:numId="26" w16cid:durableId="864175060">
    <w:abstractNumId w:val="103"/>
  </w:num>
  <w:num w:numId="27" w16cid:durableId="1337882883">
    <w:abstractNumId w:val="11"/>
  </w:num>
  <w:num w:numId="28" w16cid:durableId="201554812">
    <w:abstractNumId w:val="75"/>
  </w:num>
  <w:num w:numId="29" w16cid:durableId="1354722607">
    <w:abstractNumId w:val="52"/>
  </w:num>
  <w:num w:numId="30" w16cid:durableId="1626961316">
    <w:abstractNumId w:val="121"/>
  </w:num>
  <w:num w:numId="31" w16cid:durableId="1872259978">
    <w:abstractNumId w:val="17"/>
  </w:num>
  <w:num w:numId="32" w16cid:durableId="834801971">
    <w:abstractNumId w:val="101"/>
  </w:num>
  <w:num w:numId="33" w16cid:durableId="1505583174">
    <w:abstractNumId w:val="130"/>
  </w:num>
  <w:num w:numId="34" w16cid:durableId="1770007526">
    <w:abstractNumId w:val="86"/>
  </w:num>
  <w:num w:numId="35" w16cid:durableId="258097848">
    <w:abstractNumId w:val="78"/>
  </w:num>
  <w:num w:numId="36" w16cid:durableId="425032339">
    <w:abstractNumId w:val="99"/>
  </w:num>
  <w:num w:numId="37" w16cid:durableId="1644505296">
    <w:abstractNumId w:val="144"/>
  </w:num>
  <w:num w:numId="38" w16cid:durableId="1391885171">
    <w:abstractNumId w:val="84"/>
  </w:num>
  <w:num w:numId="39" w16cid:durableId="2052656613">
    <w:abstractNumId w:val="56"/>
  </w:num>
  <w:num w:numId="40" w16cid:durableId="486943564">
    <w:abstractNumId w:val="119"/>
  </w:num>
  <w:num w:numId="41" w16cid:durableId="1897735531">
    <w:abstractNumId w:val="14"/>
  </w:num>
  <w:num w:numId="42" w16cid:durableId="1875268784">
    <w:abstractNumId w:val="28"/>
  </w:num>
  <w:num w:numId="43" w16cid:durableId="1454903646">
    <w:abstractNumId w:val="16"/>
  </w:num>
  <w:num w:numId="44" w16cid:durableId="160051819">
    <w:abstractNumId w:val="0"/>
  </w:num>
  <w:num w:numId="45" w16cid:durableId="11611695">
    <w:abstractNumId w:val="128"/>
  </w:num>
  <w:num w:numId="46" w16cid:durableId="1021780605">
    <w:abstractNumId w:val="83"/>
  </w:num>
  <w:num w:numId="47" w16cid:durableId="1391029488">
    <w:abstractNumId w:val="23"/>
  </w:num>
  <w:num w:numId="48" w16cid:durableId="981159096">
    <w:abstractNumId w:val="135"/>
  </w:num>
  <w:num w:numId="49" w16cid:durableId="1987053663">
    <w:abstractNumId w:val="138"/>
  </w:num>
  <w:num w:numId="50" w16cid:durableId="1735424981">
    <w:abstractNumId w:val="87"/>
  </w:num>
  <w:num w:numId="51" w16cid:durableId="175580073">
    <w:abstractNumId w:val="81"/>
  </w:num>
  <w:num w:numId="52" w16cid:durableId="1764691351">
    <w:abstractNumId w:val="98"/>
  </w:num>
  <w:num w:numId="53" w16cid:durableId="1636330392">
    <w:abstractNumId w:val="12"/>
  </w:num>
  <w:num w:numId="54" w16cid:durableId="2013603503">
    <w:abstractNumId w:val="149"/>
  </w:num>
  <w:num w:numId="55" w16cid:durableId="1825655483">
    <w:abstractNumId w:val="59"/>
  </w:num>
  <w:num w:numId="56" w16cid:durableId="1452015846">
    <w:abstractNumId w:val="140"/>
  </w:num>
  <w:num w:numId="57" w16cid:durableId="1699742857">
    <w:abstractNumId w:val="6"/>
  </w:num>
  <w:num w:numId="58" w16cid:durableId="1899591448">
    <w:abstractNumId w:val="53"/>
  </w:num>
  <w:num w:numId="59" w16cid:durableId="1102258651">
    <w:abstractNumId w:val="29"/>
  </w:num>
  <w:num w:numId="60" w16cid:durableId="1007906142">
    <w:abstractNumId w:val="63"/>
  </w:num>
  <w:num w:numId="61" w16cid:durableId="763962778">
    <w:abstractNumId w:val="15"/>
  </w:num>
  <w:num w:numId="62" w16cid:durableId="580992370">
    <w:abstractNumId w:val="72"/>
  </w:num>
  <w:num w:numId="63" w16cid:durableId="222644564">
    <w:abstractNumId w:val="13"/>
  </w:num>
  <w:num w:numId="64" w16cid:durableId="1912808296">
    <w:abstractNumId w:val="117"/>
  </w:num>
  <w:num w:numId="65" w16cid:durableId="1011444547">
    <w:abstractNumId w:val="79"/>
  </w:num>
  <w:num w:numId="66" w16cid:durableId="1624269020">
    <w:abstractNumId w:val="73"/>
  </w:num>
  <w:num w:numId="67" w16cid:durableId="323582210">
    <w:abstractNumId w:val="142"/>
  </w:num>
  <w:num w:numId="68" w16cid:durableId="808322775">
    <w:abstractNumId w:val="120"/>
  </w:num>
  <w:num w:numId="69" w16cid:durableId="1554274633">
    <w:abstractNumId w:val="24"/>
  </w:num>
  <w:num w:numId="70" w16cid:durableId="974985896">
    <w:abstractNumId w:val="105"/>
  </w:num>
  <w:num w:numId="71" w16cid:durableId="207182008">
    <w:abstractNumId w:val="147"/>
  </w:num>
  <w:num w:numId="72" w16cid:durableId="694966877">
    <w:abstractNumId w:val="122"/>
  </w:num>
  <w:num w:numId="73" w16cid:durableId="516240331">
    <w:abstractNumId w:val="108"/>
  </w:num>
  <w:num w:numId="74" w16cid:durableId="1674600457">
    <w:abstractNumId w:val="96"/>
  </w:num>
  <w:num w:numId="75" w16cid:durableId="1416318727">
    <w:abstractNumId w:val="125"/>
  </w:num>
  <w:num w:numId="76" w16cid:durableId="893082600">
    <w:abstractNumId w:val="69"/>
  </w:num>
  <w:num w:numId="77" w16cid:durableId="1759981645">
    <w:abstractNumId w:val="139"/>
  </w:num>
  <w:num w:numId="78" w16cid:durableId="1890143057">
    <w:abstractNumId w:val="51"/>
  </w:num>
  <w:num w:numId="79" w16cid:durableId="2056737175">
    <w:abstractNumId w:val="37"/>
  </w:num>
  <w:num w:numId="80" w16cid:durableId="1387144080">
    <w:abstractNumId w:val="94"/>
  </w:num>
  <w:num w:numId="81" w16cid:durableId="831987890">
    <w:abstractNumId w:val="109"/>
  </w:num>
  <w:num w:numId="82" w16cid:durableId="24379598">
    <w:abstractNumId w:val="58"/>
  </w:num>
  <w:num w:numId="83" w16cid:durableId="935093481">
    <w:abstractNumId w:val="110"/>
  </w:num>
  <w:num w:numId="84" w16cid:durableId="1748569860">
    <w:abstractNumId w:val="107"/>
  </w:num>
  <w:num w:numId="85" w16cid:durableId="1905678040">
    <w:abstractNumId w:val="92"/>
  </w:num>
  <w:num w:numId="86" w16cid:durableId="2056544598">
    <w:abstractNumId w:val="68"/>
  </w:num>
  <w:num w:numId="87" w16cid:durableId="1660692993">
    <w:abstractNumId w:val="124"/>
  </w:num>
  <w:num w:numId="88" w16cid:durableId="588004678">
    <w:abstractNumId w:val="132"/>
  </w:num>
  <w:num w:numId="89" w16cid:durableId="191960315">
    <w:abstractNumId w:val="112"/>
  </w:num>
  <w:num w:numId="90" w16cid:durableId="1550649124">
    <w:abstractNumId w:val="18"/>
  </w:num>
  <w:num w:numId="91" w16cid:durableId="2122993884">
    <w:abstractNumId w:val="26"/>
  </w:num>
  <w:num w:numId="92" w16cid:durableId="95248578">
    <w:abstractNumId w:val="159"/>
  </w:num>
  <w:num w:numId="93" w16cid:durableId="85347029">
    <w:abstractNumId w:val="126"/>
  </w:num>
  <w:num w:numId="94" w16cid:durableId="1972978777">
    <w:abstractNumId w:val="36"/>
  </w:num>
  <w:num w:numId="95" w16cid:durableId="196234720">
    <w:abstractNumId w:val="74"/>
  </w:num>
  <w:num w:numId="96" w16cid:durableId="1088503390">
    <w:abstractNumId w:val="97"/>
  </w:num>
  <w:num w:numId="97" w16cid:durableId="123542132">
    <w:abstractNumId w:val="131"/>
  </w:num>
  <w:num w:numId="98" w16cid:durableId="2081050554">
    <w:abstractNumId w:val="88"/>
  </w:num>
  <w:num w:numId="99" w16cid:durableId="8086724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09402470">
    <w:abstractNumId w:val="85"/>
  </w:num>
  <w:num w:numId="101" w16cid:durableId="489637352">
    <w:abstractNumId w:val="34"/>
  </w:num>
  <w:num w:numId="102" w16cid:durableId="919942530">
    <w:abstractNumId w:val="42"/>
  </w:num>
  <w:num w:numId="103" w16cid:durableId="377508378">
    <w:abstractNumId w:val="95"/>
  </w:num>
  <w:num w:numId="104" w16cid:durableId="510922314">
    <w:abstractNumId w:val="47"/>
  </w:num>
  <w:num w:numId="105" w16cid:durableId="200829791">
    <w:abstractNumId w:val="141"/>
  </w:num>
  <w:num w:numId="106" w16cid:durableId="813908678">
    <w:abstractNumId w:val="160"/>
  </w:num>
  <w:num w:numId="107" w16cid:durableId="891189430">
    <w:abstractNumId w:val="156"/>
  </w:num>
  <w:num w:numId="108" w16cid:durableId="420955721">
    <w:abstractNumId w:val="9"/>
  </w:num>
  <w:num w:numId="109" w16cid:durableId="592980244">
    <w:abstractNumId w:val="48"/>
  </w:num>
  <w:num w:numId="110" w16cid:durableId="475146003">
    <w:abstractNumId w:val="57"/>
  </w:num>
  <w:num w:numId="111" w16cid:durableId="1985426935">
    <w:abstractNumId w:val="143"/>
  </w:num>
  <w:num w:numId="112" w16cid:durableId="775443291">
    <w:abstractNumId w:val="100"/>
  </w:num>
  <w:num w:numId="113" w16cid:durableId="1582838078">
    <w:abstractNumId w:val="41"/>
  </w:num>
  <w:num w:numId="114" w16cid:durableId="377776603">
    <w:abstractNumId w:val="54"/>
  </w:num>
  <w:num w:numId="115" w16cid:durableId="1008825098">
    <w:abstractNumId w:val="153"/>
  </w:num>
  <w:num w:numId="116" w16cid:durableId="649486569">
    <w:abstractNumId w:val="39"/>
  </w:num>
  <w:num w:numId="117" w16cid:durableId="306324093">
    <w:abstractNumId w:val="25"/>
  </w:num>
  <w:num w:numId="118" w16cid:durableId="653677667">
    <w:abstractNumId w:val="46"/>
  </w:num>
  <w:num w:numId="119" w16cid:durableId="464003132">
    <w:abstractNumId w:val="106"/>
  </w:num>
  <w:num w:numId="120" w16cid:durableId="774635798">
    <w:abstractNumId w:val="133"/>
  </w:num>
  <w:num w:numId="121" w16cid:durableId="1876187631">
    <w:abstractNumId w:val="30"/>
  </w:num>
  <w:num w:numId="122" w16cid:durableId="1470122978">
    <w:abstractNumId w:val="123"/>
  </w:num>
  <w:num w:numId="123" w16cid:durableId="1050806920">
    <w:abstractNumId w:val="70"/>
  </w:num>
  <w:num w:numId="124" w16cid:durableId="840044606">
    <w:abstractNumId w:val="62"/>
  </w:num>
  <w:num w:numId="125" w16cid:durableId="902568629">
    <w:abstractNumId w:val="61"/>
  </w:num>
  <w:num w:numId="126" w16cid:durableId="1765299116">
    <w:abstractNumId w:val="157"/>
  </w:num>
  <w:num w:numId="127" w16cid:durableId="322511196">
    <w:abstractNumId w:val="2"/>
  </w:num>
  <w:num w:numId="128" w16cid:durableId="680157835">
    <w:abstractNumId w:val="21"/>
  </w:num>
  <w:num w:numId="129" w16cid:durableId="1223325486">
    <w:abstractNumId w:val="150"/>
  </w:num>
  <w:num w:numId="130" w16cid:durableId="1244532219">
    <w:abstractNumId w:val="152"/>
  </w:num>
  <w:num w:numId="131" w16cid:durableId="563179582">
    <w:abstractNumId w:val="145"/>
  </w:num>
  <w:num w:numId="132" w16cid:durableId="581108459">
    <w:abstractNumId w:val="136"/>
  </w:num>
  <w:num w:numId="133" w16cid:durableId="2081638283">
    <w:abstractNumId w:val="151"/>
  </w:num>
  <w:num w:numId="134" w16cid:durableId="2012562967">
    <w:abstractNumId w:val="89"/>
  </w:num>
  <w:num w:numId="135" w16cid:durableId="93018995">
    <w:abstractNumId w:val="10"/>
  </w:num>
  <w:num w:numId="136" w16cid:durableId="754404136">
    <w:abstractNumId w:val="33"/>
  </w:num>
  <w:num w:numId="137" w16cid:durableId="813376556">
    <w:abstractNumId w:val="38"/>
  </w:num>
  <w:num w:numId="138" w16cid:durableId="675959703">
    <w:abstractNumId w:val="3"/>
  </w:num>
  <w:num w:numId="139" w16cid:durableId="1562597990">
    <w:abstractNumId w:val="44"/>
  </w:num>
  <w:num w:numId="140" w16cid:durableId="128788538">
    <w:abstractNumId w:val="115"/>
  </w:num>
  <w:num w:numId="141" w16cid:durableId="1855537216">
    <w:abstractNumId w:val="71"/>
  </w:num>
  <w:num w:numId="142" w16cid:durableId="454249789">
    <w:abstractNumId w:val="91"/>
  </w:num>
  <w:num w:numId="143" w16cid:durableId="1273709085">
    <w:abstractNumId w:val="161"/>
  </w:num>
  <w:num w:numId="144" w16cid:durableId="905724329">
    <w:abstractNumId w:val="82"/>
  </w:num>
  <w:num w:numId="145" w16cid:durableId="998340396">
    <w:abstractNumId w:val="76"/>
  </w:num>
  <w:num w:numId="146" w16cid:durableId="847402261">
    <w:abstractNumId w:val="49"/>
  </w:num>
  <w:num w:numId="147" w16cid:durableId="265814473">
    <w:abstractNumId w:val="66"/>
  </w:num>
  <w:num w:numId="148" w16cid:durableId="1021056465">
    <w:abstractNumId w:val="40"/>
  </w:num>
  <w:num w:numId="149" w16cid:durableId="48312105">
    <w:abstractNumId w:val="134"/>
  </w:num>
  <w:num w:numId="150" w16cid:durableId="1010061297">
    <w:abstractNumId w:val="104"/>
  </w:num>
  <w:num w:numId="151" w16cid:durableId="597520360">
    <w:abstractNumId w:val="4"/>
  </w:num>
  <w:num w:numId="152" w16cid:durableId="1616446172">
    <w:abstractNumId w:val="137"/>
  </w:num>
  <w:num w:numId="153" w16cid:durableId="47069365">
    <w:abstractNumId w:val="148"/>
  </w:num>
  <w:num w:numId="154" w16cid:durableId="368604792">
    <w:abstractNumId w:val="22"/>
  </w:num>
  <w:num w:numId="155" w16cid:durableId="787817773">
    <w:abstractNumId w:val="158"/>
  </w:num>
  <w:num w:numId="156" w16cid:durableId="1832257638">
    <w:abstractNumId w:val="93"/>
  </w:num>
  <w:num w:numId="157" w16cid:durableId="1597178267">
    <w:abstractNumId w:val="146"/>
  </w:num>
  <w:num w:numId="158" w16cid:durableId="1907109389">
    <w:abstractNumId w:val="116"/>
  </w:num>
  <w:num w:numId="159" w16cid:durableId="1285695740">
    <w:abstractNumId w:val="127"/>
  </w:num>
  <w:num w:numId="160" w16cid:durableId="1911887096">
    <w:abstractNumId w:val="60"/>
  </w:num>
  <w:num w:numId="161" w16cid:durableId="547181742">
    <w:abstractNumId w:val="155"/>
  </w:num>
  <w:num w:numId="162" w16cid:durableId="970356776">
    <w:abstractNumId w:val="9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e0MDcxMDQ0M7I0MbBQ0lEKTi0uzszPAykwrQUAzUQ9nSwAAAA="/>
  </w:docVars>
  <w:rsids>
    <w:rsidRoot w:val="00C605D1"/>
    <w:rsid w:val="0000024F"/>
    <w:rsid w:val="000003B5"/>
    <w:rsid w:val="0000041C"/>
    <w:rsid w:val="00001261"/>
    <w:rsid w:val="00001C57"/>
    <w:rsid w:val="00002706"/>
    <w:rsid w:val="000035D2"/>
    <w:rsid w:val="0000377E"/>
    <w:rsid w:val="00004D1B"/>
    <w:rsid w:val="0000572A"/>
    <w:rsid w:val="0000686F"/>
    <w:rsid w:val="00006AC9"/>
    <w:rsid w:val="00006E75"/>
    <w:rsid w:val="00006F58"/>
    <w:rsid w:val="00007061"/>
    <w:rsid w:val="00007C8A"/>
    <w:rsid w:val="000101C0"/>
    <w:rsid w:val="00010736"/>
    <w:rsid w:val="00010E73"/>
    <w:rsid w:val="000110AE"/>
    <w:rsid w:val="0001126C"/>
    <w:rsid w:val="000118EC"/>
    <w:rsid w:val="00011A07"/>
    <w:rsid w:val="00012099"/>
    <w:rsid w:val="00012847"/>
    <w:rsid w:val="00012BD2"/>
    <w:rsid w:val="00013083"/>
    <w:rsid w:val="000139DE"/>
    <w:rsid w:val="00013B81"/>
    <w:rsid w:val="00015154"/>
    <w:rsid w:val="00015532"/>
    <w:rsid w:val="000159FC"/>
    <w:rsid w:val="00015B42"/>
    <w:rsid w:val="000160DA"/>
    <w:rsid w:val="0001611C"/>
    <w:rsid w:val="00016130"/>
    <w:rsid w:val="0001639E"/>
    <w:rsid w:val="000170F0"/>
    <w:rsid w:val="00017455"/>
    <w:rsid w:val="000202F1"/>
    <w:rsid w:val="00020A26"/>
    <w:rsid w:val="00020E6F"/>
    <w:rsid w:val="00020E8C"/>
    <w:rsid w:val="00020F7B"/>
    <w:rsid w:val="00021832"/>
    <w:rsid w:val="00022ED1"/>
    <w:rsid w:val="00024414"/>
    <w:rsid w:val="00025385"/>
    <w:rsid w:val="00025C86"/>
    <w:rsid w:val="00025CC0"/>
    <w:rsid w:val="00025F53"/>
    <w:rsid w:val="0002622D"/>
    <w:rsid w:val="000266E1"/>
    <w:rsid w:val="000275C9"/>
    <w:rsid w:val="0003009F"/>
    <w:rsid w:val="00031085"/>
    <w:rsid w:val="0003112F"/>
    <w:rsid w:val="0003149C"/>
    <w:rsid w:val="000320C7"/>
    <w:rsid w:val="000320E0"/>
    <w:rsid w:val="00032C00"/>
    <w:rsid w:val="00033A34"/>
    <w:rsid w:val="00033F18"/>
    <w:rsid w:val="00034B06"/>
    <w:rsid w:val="000350A0"/>
    <w:rsid w:val="00035ADC"/>
    <w:rsid w:val="00036978"/>
    <w:rsid w:val="00037C2A"/>
    <w:rsid w:val="00040BA6"/>
    <w:rsid w:val="000416A5"/>
    <w:rsid w:val="00041CA4"/>
    <w:rsid w:val="00041F39"/>
    <w:rsid w:val="00044588"/>
    <w:rsid w:val="0004472C"/>
    <w:rsid w:val="00044B38"/>
    <w:rsid w:val="00044BAF"/>
    <w:rsid w:val="00044CCF"/>
    <w:rsid w:val="000455BE"/>
    <w:rsid w:val="00045B56"/>
    <w:rsid w:val="00047AE0"/>
    <w:rsid w:val="00047DAA"/>
    <w:rsid w:val="00050B90"/>
    <w:rsid w:val="00050D8B"/>
    <w:rsid w:val="000514F6"/>
    <w:rsid w:val="00051CFC"/>
    <w:rsid w:val="00051E96"/>
    <w:rsid w:val="0005277C"/>
    <w:rsid w:val="000529F7"/>
    <w:rsid w:val="0005462B"/>
    <w:rsid w:val="0005472D"/>
    <w:rsid w:val="0005710A"/>
    <w:rsid w:val="0006068A"/>
    <w:rsid w:val="00061729"/>
    <w:rsid w:val="00061E85"/>
    <w:rsid w:val="00061EE0"/>
    <w:rsid w:val="000623EB"/>
    <w:rsid w:val="000626F6"/>
    <w:rsid w:val="00062BDE"/>
    <w:rsid w:val="0006300E"/>
    <w:rsid w:val="00063405"/>
    <w:rsid w:val="000635C2"/>
    <w:rsid w:val="000637CF"/>
    <w:rsid w:val="0006425B"/>
    <w:rsid w:val="00065421"/>
    <w:rsid w:val="000655CC"/>
    <w:rsid w:val="000655E8"/>
    <w:rsid w:val="000656FE"/>
    <w:rsid w:val="00065F63"/>
    <w:rsid w:val="00067138"/>
    <w:rsid w:val="00067BDA"/>
    <w:rsid w:val="00067DFE"/>
    <w:rsid w:val="00067F9E"/>
    <w:rsid w:val="00070338"/>
    <w:rsid w:val="000717DB"/>
    <w:rsid w:val="00071A48"/>
    <w:rsid w:val="00071C43"/>
    <w:rsid w:val="000722A6"/>
    <w:rsid w:val="0007259A"/>
    <w:rsid w:val="00072C24"/>
    <w:rsid w:val="00072F07"/>
    <w:rsid w:val="00073C06"/>
    <w:rsid w:val="00073DD8"/>
    <w:rsid w:val="00075A9C"/>
    <w:rsid w:val="0007608D"/>
    <w:rsid w:val="0007799D"/>
    <w:rsid w:val="00080C0B"/>
    <w:rsid w:val="0008126B"/>
    <w:rsid w:val="0008235A"/>
    <w:rsid w:val="000824FD"/>
    <w:rsid w:val="000830D9"/>
    <w:rsid w:val="00083502"/>
    <w:rsid w:val="00083A48"/>
    <w:rsid w:val="00083D1B"/>
    <w:rsid w:val="000842D3"/>
    <w:rsid w:val="00084ACF"/>
    <w:rsid w:val="000851A6"/>
    <w:rsid w:val="00085B95"/>
    <w:rsid w:val="00086156"/>
    <w:rsid w:val="00086F2D"/>
    <w:rsid w:val="00087128"/>
    <w:rsid w:val="0008736F"/>
    <w:rsid w:val="0009007E"/>
    <w:rsid w:val="00091C24"/>
    <w:rsid w:val="00092215"/>
    <w:rsid w:val="00092FA2"/>
    <w:rsid w:val="00093380"/>
    <w:rsid w:val="000934E7"/>
    <w:rsid w:val="000944B8"/>
    <w:rsid w:val="0009509A"/>
    <w:rsid w:val="00095834"/>
    <w:rsid w:val="00095873"/>
    <w:rsid w:val="00095FE5"/>
    <w:rsid w:val="000960E9"/>
    <w:rsid w:val="00096308"/>
    <w:rsid w:val="000970E8"/>
    <w:rsid w:val="00097E3B"/>
    <w:rsid w:val="000A00DA"/>
    <w:rsid w:val="000A09F4"/>
    <w:rsid w:val="000A0A0C"/>
    <w:rsid w:val="000A0DB3"/>
    <w:rsid w:val="000A0E6D"/>
    <w:rsid w:val="000A1763"/>
    <w:rsid w:val="000A1E91"/>
    <w:rsid w:val="000A1EE5"/>
    <w:rsid w:val="000A28DB"/>
    <w:rsid w:val="000A342B"/>
    <w:rsid w:val="000A3795"/>
    <w:rsid w:val="000A3D52"/>
    <w:rsid w:val="000A4314"/>
    <w:rsid w:val="000A4855"/>
    <w:rsid w:val="000A4DA9"/>
    <w:rsid w:val="000A5480"/>
    <w:rsid w:val="000A6860"/>
    <w:rsid w:val="000A6BC2"/>
    <w:rsid w:val="000A6DCD"/>
    <w:rsid w:val="000A73CC"/>
    <w:rsid w:val="000A770C"/>
    <w:rsid w:val="000A7E1E"/>
    <w:rsid w:val="000B14C9"/>
    <w:rsid w:val="000B1587"/>
    <w:rsid w:val="000B3747"/>
    <w:rsid w:val="000B3C47"/>
    <w:rsid w:val="000B43C9"/>
    <w:rsid w:val="000B4428"/>
    <w:rsid w:val="000B4E93"/>
    <w:rsid w:val="000B519D"/>
    <w:rsid w:val="000B55D8"/>
    <w:rsid w:val="000B5625"/>
    <w:rsid w:val="000B73BC"/>
    <w:rsid w:val="000B780A"/>
    <w:rsid w:val="000B7F84"/>
    <w:rsid w:val="000B7FC7"/>
    <w:rsid w:val="000C153E"/>
    <w:rsid w:val="000C1BCD"/>
    <w:rsid w:val="000C1EFF"/>
    <w:rsid w:val="000C1FCC"/>
    <w:rsid w:val="000C2005"/>
    <w:rsid w:val="000C2CD8"/>
    <w:rsid w:val="000C2D6C"/>
    <w:rsid w:val="000C2F97"/>
    <w:rsid w:val="000C400A"/>
    <w:rsid w:val="000C4AC7"/>
    <w:rsid w:val="000C555C"/>
    <w:rsid w:val="000C5879"/>
    <w:rsid w:val="000C63F4"/>
    <w:rsid w:val="000C6F1A"/>
    <w:rsid w:val="000C6FEC"/>
    <w:rsid w:val="000C7E3B"/>
    <w:rsid w:val="000D0377"/>
    <w:rsid w:val="000D1643"/>
    <w:rsid w:val="000D1942"/>
    <w:rsid w:val="000D244B"/>
    <w:rsid w:val="000D3156"/>
    <w:rsid w:val="000D3D77"/>
    <w:rsid w:val="000D481C"/>
    <w:rsid w:val="000D5560"/>
    <w:rsid w:val="000D56A0"/>
    <w:rsid w:val="000D5E20"/>
    <w:rsid w:val="000D600C"/>
    <w:rsid w:val="000D635A"/>
    <w:rsid w:val="000D6FB1"/>
    <w:rsid w:val="000D75F3"/>
    <w:rsid w:val="000D7C41"/>
    <w:rsid w:val="000E0018"/>
    <w:rsid w:val="000E004A"/>
    <w:rsid w:val="000E1EA3"/>
    <w:rsid w:val="000E235F"/>
    <w:rsid w:val="000E2673"/>
    <w:rsid w:val="000E28BD"/>
    <w:rsid w:val="000E3729"/>
    <w:rsid w:val="000E3AC9"/>
    <w:rsid w:val="000E45A1"/>
    <w:rsid w:val="000E4616"/>
    <w:rsid w:val="000E4DBD"/>
    <w:rsid w:val="000E5210"/>
    <w:rsid w:val="000E5254"/>
    <w:rsid w:val="000E6029"/>
    <w:rsid w:val="000E64E6"/>
    <w:rsid w:val="000E661E"/>
    <w:rsid w:val="000E759E"/>
    <w:rsid w:val="000E7AB0"/>
    <w:rsid w:val="000F0272"/>
    <w:rsid w:val="000F031C"/>
    <w:rsid w:val="000F0379"/>
    <w:rsid w:val="000F1371"/>
    <w:rsid w:val="000F152D"/>
    <w:rsid w:val="000F1831"/>
    <w:rsid w:val="000F2F78"/>
    <w:rsid w:val="000F31E6"/>
    <w:rsid w:val="000F39AB"/>
    <w:rsid w:val="000F3DE5"/>
    <w:rsid w:val="000F469F"/>
    <w:rsid w:val="000F4C85"/>
    <w:rsid w:val="000F5B35"/>
    <w:rsid w:val="000F6232"/>
    <w:rsid w:val="000F64B1"/>
    <w:rsid w:val="000F6726"/>
    <w:rsid w:val="000F6CC4"/>
    <w:rsid w:val="000F6EA2"/>
    <w:rsid w:val="000F73C9"/>
    <w:rsid w:val="000F74FC"/>
    <w:rsid w:val="000F7D57"/>
    <w:rsid w:val="000F7FCA"/>
    <w:rsid w:val="00101C77"/>
    <w:rsid w:val="00101C82"/>
    <w:rsid w:val="001025E1"/>
    <w:rsid w:val="00103C89"/>
    <w:rsid w:val="00103F2E"/>
    <w:rsid w:val="00105B34"/>
    <w:rsid w:val="001102CC"/>
    <w:rsid w:val="0011093B"/>
    <w:rsid w:val="00110A2D"/>
    <w:rsid w:val="00110C2E"/>
    <w:rsid w:val="00110C54"/>
    <w:rsid w:val="0011154A"/>
    <w:rsid w:val="00113486"/>
    <w:rsid w:val="00113919"/>
    <w:rsid w:val="00114071"/>
    <w:rsid w:val="00114269"/>
    <w:rsid w:val="00114AE1"/>
    <w:rsid w:val="00114B10"/>
    <w:rsid w:val="00115C50"/>
    <w:rsid w:val="00115C60"/>
    <w:rsid w:val="001161F5"/>
    <w:rsid w:val="00116211"/>
    <w:rsid w:val="00116543"/>
    <w:rsid w:val="00116D0C"/>
    <w:rsid w:val="00116DD8"/>
    <w:rsid w:val="00117E91"/>
    <w:rsid w:val="00120520"/>
    <w:rsid w:val="001205EF"/>
    <w:rsid w:val="00120873"/>
    <w:rsid w:val="00120DDD"/>
    <w:rsid w:val="00121659"/>
    <w:rsid w:val="00121BB5"/>
    <w:rsid w:val="00123283"/>
    <w:rsid w:val="00123BDD"/>
    <w:rsid w:val="00124155"/>
    <w:rsid w:val="0012557D"/>
    <w:rsid w:val="0012633F"/>
    <w:rsid w:val="00127120"/>
    <w:rsid w:val="001303F3"/>
    <w:rsid w:val="00130516"/>
    <w:rsid w:val="00130CE6"/>
    <w:rsid w:val="00130EDB"/>
    <w:rsid w:val="00130F0E"/>
    <w:rsid w:val="00131A3B"/>
    <w:rsid w:val="0013292C"/>
    <w:rsid w:val="00132A58"/>
    <w:rsid w:val="00132DE2"/>
    <w:rsid w:val="00133735"/>
    <w:rsid w:val="001344FF"/>
    <w:rsid w:val="00134888"/>
    <w:rsid w:val="00135B91"/>
    <w:rsid w:val="00135CBC"/>
    <w:rsid w:val="00135E6E"/>
    <w:rsid w:val="00136924"/>
    <w:rsid w:val="00136A0D"/>
    <w:rsid w:val="00137319"/>
    <w:rsid w:val="00140451"/>
    <w:rsid w:val="001405C7"/>
    <w:rsid w:val="00141A1D"/>
    <w:rsid w:val="00141E9B"/>
    <w:rsid w:val="00142109"/>
    <w:rsid w:val="001421DF"/>
    <w:rsid w:val="001428F6"/>
    <w:rsid w:val="00143683"/>
    <w:rsid w:val="00143810"/>
    <w:rsid w:val="001443F3"/>
    <w:rsid w:val="001452CB"/>
    <w:rsid w:val="001456EA"/>
    <w:rsid w:val="00145ACD"/>
    <w:rsid w:val="0014619A"/>
    <w:rsid w:val="00146B60"/>
    <w:rsid w:val="00146E9E"/>
    <w:rsid w:val="001514CD"/>
    <w:rsid w:val="001519A8"/>
    <w:rsid w:val="00151C55"/>
    <w:rsid w:val="00151D24"/>
    <w:rsid w:val="00151F87"/>
    <w:rsid w:val="001523B9"/>
    <w:rsid w:val="001529CA"/>
    <w:rsid w:val="00152C8B"/>
    <w:rsid w:val="001539D7"/>
    <w:rsid w:val="00154021"/>
    <w:rsid w:val="00155408"/>
    <w:rsid w:val="00155E11"/>
    <w:rsid w:val="00155EA7"/>
    <w:rsid w:val="00156398"/>
    <w:rsid w:val="00156B08"/>
    <w:rsid w:val="00156CF0"/>
    <w:rsid w:val="00156D17"/>
    <w:rsid w:val="00156E1C"/>
    <w:rsid w:val="00157783"/>
    <w:rsid w:val="00157D8B"/>
    <w:rsid w:val="00160533"/>
    <w:rsid w:val="001618CD"/>
    <w:rsid w:val="00161D58"/>
    <w:rsid w:val="00161D59"/>
    <w:rsid w:val="00161EAB"/>
    <w:rsid w:val="001621B9"/>
    <w:rsid w:val="00162845"/>
    <w:rsid w:val="00163257"/>
    <w:rsid w:val="00163553"/>
    <w:rsid w:val="00163771"/>
    <w:rsid w:val="00163899"/>
    <w:rsid w:val="00163DED"/>
    <w:rsid w:val="00163FFF"/>
    <w:rsid w:val="00164363"/>
    <w:rsid w:val="00164A54"/>
    <w:rsid w:val="00164FC9"/>
    <w:rsid w:val="00165111"/>
    <w:rsid w:val="00165179"/>
    <w:rsid w:val="00165523"/>
    <w:rsid w:val="00165909"/>
    <w:rsid w:val="00165F21"/>
    <w:rsid w:val="00165F96"/>
    <w:rsid w:val="00166028"/>
    <w:rsid w:val="001673CF"/>
    <w:rsid w:val="00170216"/>
    <w:rsid w:val="00170543"/>
    <w:rsid w:val="00170B94"/>
    <w:rsid w:val="00170EDA"/>
    <w:rsid w:val="00171275"/>
    <w:rsid w:val="00171480"/>
    <w:rsid w:val="00171E92"/>
    <w:rsid w:val="00172029"/>
    <w:rsid w:val="001723D5"/>
    <w:rsid w:val="00172D4F"/>
    <w:rsid w:val="00172E9A"/>
    <w:rsid w:val="00173906"/>
    <w:rsid w:val="00174157"/>
    <w:rsid w:val="00174274"/>
    <w:rsid w:val="00174571"/>
    <w:rsid w:val="00174E00"/>
    <w:rsid w:val="00174F00"/>
    <w:rsid w:val="0017575F"/>
    <w:rsid w:val="00177F03"/>
    <w:rsid w:val="001815FF"/>
    <w:rsid w:val="00181D34"/>
    <w:rsid w:val="00182537"/>
    <w:rsid w:val="001828C3"/>
    <w:rsid w:val="001829C7"/>
    <w:rsid w:val="00182B3F"/>
    <w:rsid w:val="00183757"/>
    <w:rsid w:val="00183CC5"/>
    <w:rsid w:val="00184330"/>
    <w:rsid w:val="00184454"/>
    <w:rsid w:val="00184D0F"/>
    <w:rsid w:val="00184D50"/>
    <w:rsid w:val="00185118"/>
    <w:rsid w:val="001857F7"/>
    <w:rsid w:val="00186575"/>
    <w:rsid w:val="00186DED"/>
    <w:rsid w:val="00187239"/>
    <w:rsid w:val="00187BE5"/>
    <w:rsid w:val="001910A8"/>
    <w:rsid w:val="00191592"/>
    <w:rsid w:val="0019356B"/>
    <w:rsid w:val="00193750"/>
    <w:rsid w:val="001938FC"/>
    <w:rsid w:val="00193B46"/>
    <w:rsid w:val="0019436E"/>
    <w:rsid w:val="0019437B"/>
    <w:rsid w:val="00194614"/>
    <w:rsid w:val="0019586F"/>
    <w:rsid w:val="00196F76"/>
    <w:rsid w:val="00197484"/>
    <w:rsid w:val="00197EC6"/>
    <w:rsid w:val="001A0178"/>
    <w:rsid w:val="001A080A"/>
    <w:rsid w:val="001A0EB7"/>
    <w:rsid w:val="001A1111"/>
    <w:rsid w:val="001A1220"/>
    <w:rsid w:val="001A12BC"/>
    <w:rsid w:val="001A1663"/>
    <w:rsid w:val="001A2808"/>
    <w:rsid w:val="001A3EB9"/>
    <w:rsid w:val="001A490D"/>
    <w:rsid w:val="001A5277"/>
    <w:rsid w:val="001A60D2"/>
    <w:rsid w:val="001A61C9"/>
    <w:rsid w:val="001A6611"/>
    <w:rsid w:val="001A6E26"/>
    <w:rsid w:val="001A7582"/>
    <w:rsid w:val="001A7BB2"/>
    <w:rsid w:val="001B09A3"/>
    <w:rsid w:val="001B0F7B"/>
    <w:rsid w:val="001B142A"/>
    <w:rsid w:val="001B223E"/>
    <w:rsid w:val="001B2465"/>
    <w:rsid w:val="001B27B1"/>
    <w:rsid w:val="001B2AA5"/>
    <w:rsid w:val="001B320A"/>
    <w:rsid w:val="001B33B5"/>
    <w:rsid w:val="001B3D57"/>
    <w:rsid w:val="001B424B"/>
    <w:rsid w:val="001B496E"/>
    <w:rsid w:val="001B4B45"/>
    <w:rsid w:val="001B4F85"/>
    <w:rsid w:val="001B5375"/>
    <w:rsid w:val="001B58BC"/>
    <w:rsid w:val="001B65DB"/>
    <w:rsid w:val="001B6B50"/>
    <w:rsid w:val="001B6B6E"/>
    <w:rsid w:val="001B7290"/>
    <w:rsid w:val="001B74C1"/>
    <w:rsid w:val="001B7BD1"/>
    <w:rsid w:val="001B7C4C"/>
    <w:rsid w:val="001C01BD"/>
    <w:rsid w:val="001C02F9"/>
    <w:rsid w:val="001C19BA"/>
    <w:rsid w:val="001C1C1B"/>
    <w:rsid w:val="001C1CF9"/>
    <w:rsid w:val="001C2065"/>
    <w:rsid w:val="001C3628"/>
    <w:rsid w:val="001C3ECA"/>
    <w:rsid w:val="001C4628"/>
    <w:rsid w:val="001C555A"/>
    <w:rsid w:val="001C56E8"/>
    <w:rsid w:val="001C6037"/>
    <w:rsid w:val="001C6C28"/>
    <w:rsid w:val="001C6CF6"/>
    <w:rsid w:val="001C72ED"/>
    <w:rsid w:val="001D01E3"/>
    <w:rsid w:val="001D01FD"/>
    <w:rsid w:val="001D0627"/>
    <w:rsid w:val="001D09AA"/>
    <w:rsid w:val="001D0E1F"/>
    <w:rsid w:val="001D19C4"/>
    <w:rsid w:val="001D1A66"/>
    <w:rsid w:val="001D1AF2"/>
    <w:rsid w:val="001D1E1F"/>
    <w:rsid w:val="001D21D0"/>
    <w:rsid w:val="001D2AD6"/>
    <w:rsid w:val="001D320E"/>
    <w:rsid w:val="001D4690"/>
    <w:rsid w:val="001D57CA"/>
    <w:rsid w:val="001D6B60"/>
    <w:rsid w:val="001D6DAC"/>
    <w:rsid w:val="001D7024"/>
    <w:rsid w:val="001D7176"/>
    <w:rsid w:val="001D73D8"/>
    <w:rsid w:val="001D7772"/>
    <w:rsid w:val="001E0833"/>
    <w:rsid w:val="001E0F7A"/>
    <w:rsid w:val="001E24E8"/>
    <w:rsid w:val="001E2C9C"/>
    <w:rsid w:val="001E358A"/>
    <w:rsid w:val="001E39B9"/>
    <w:rsid w:val="001E3C60"/>
    <w:rsid w:val="001E3D0E"/>
    <w:rsid w:val="001E3FA4"/>
    <w:rsid w:val="001E40E0"/>
    <w:rsid w:val="001E488F"/>
    <w:rsid w:val="001E4CD2"/>
    <w:rsid w:val="001E555D"/>
    <w:rsid w:val="001E5B4E"/>
    <w:rsid w:val="001E66C3"/>
    <w:rsid w:val="001E7007"/>
    <w:rsid w:val="001E77B6"/>
    <w:rsid w:val="001E7BCA"/>
    <w:rsid w:val="001F0154"/>
    <w:rsid w:val="001F184C"/>
    <w:rsid w:val="001F2512"/>
    <w:rsid w:val="001F347A"/>
    <w:rsid w:val="001F3966"/>
    <w:rsid w:val="001F3D8A"/>
    <w:rsid w:val="001F4B84"/>
    <w:rsid w:val="001F5809"/>
    <w:rsid w:val="001F6675"/>
    <w:rsid w:val="001F68C4"/>
    <w:rsid w:val="001F6E79"/>
    <w:rsid w:val="001F74E3"/>
    <w:rsid w:val="001F7816"/>
    <w:rsid w:val="002004D8"/>
    <w:rsid w:val="0020065D"/>
    <w:rsid w:val="002019A0"/>
    <w:rsid w:val="00201CD8"/>
    <w:rsid w:val="002027E4"/>
    <w:rsid w:val="00202898"/>
    <w:rsid w:val="00202CC8"/>
    <w:rsid w:val="0020316C"/>
    <w:rsid w:val="0020337B"/>
    <w:rsid w:val="00203866"/>
    <w:rsid w:val="002038F8"/>
    <w:rsid w:val="00204B6E"/>
    <w:rsid w:val="00205D63"/>
    <w:rsid w:val="00205DEF"/>
    <w:rsid w:val="002070A0"/>
    <w:rsid w:val="00207901"/>
    <w:rsid w:val="00207A1D"/>
    <w:rsid w:val="00207BDF"/>
    <w:rsid w:val="002103F5"/>
    <w:rsid w:val="00210655"/>
    <w:rsid w:val="00210888"/>
    <w:rsid w:val="00212D26"/>
    <w:rsid w:val="0021333D"/>
    <w:rsid w:val="00214622"/>
    <w:rsid w:val="0021494F"/>
    <w:rsid w:val="00215FEB"/>
    <w:rsid w:val="00216435"/>
    <w:rsid w:val="0022166B"/>
    <w:rsid w:val="00223B3D"/>
    <w:rsid w:val="002244C3"/>
    <w:rsid w:val="0022479B"/>
    <w:rsid w:val="00224853"/>
    <w:rsid w:val="0022575D"/>
    <w:rsid w:val="002259FE"/>
    <w:rsid w:val="00225CF0"/>
    <w:rsid w:val="00226524"/>
    <w:rsid w:val="002266B2"/>
    <w:rsid w:val="002266BC"/>
    <w:rsid w:val="002268AB"/>
    <w:rsid w:val="00226AAC"/>
    <w:rsid w:val="00226F4F"/>
    <w:rsid w:val="002272A6"/>
    <w:rsid w:val="0022766E"/>
    <w:rsid w:val="00227BA7"/>
    <w:rsid w:val="0023055E"/>
    <w:rsid w:val="0023057F"/>
    <w:rsid w:val="00230645"/>
    <w:rsid w:val="00231255"/>
    <w:rsid w:val="002315E9"/>
    <w:rsid w:val="00231D74"/>
    <w:rsid w:val="00232911"/>
    <w:rsid w:val="002338AF"/>
    <w:rsid w:val="00234647"/>
    <w:rsid w:val="002371CC"/>
    <w:rsid w:val="0023753B"/>
    <w:rsid w:val="002375CE"/>
    <w:rsid w:val="00240136"/>
    <w:rsid w:val="0024097F"/>
    <w:rsid w:val="00241B8B"/>
    <w:rsid w:val="002423A2"/>
    <w:rsid w:val="00242693"/>
    <w:rsid w:val="002442FE"/>
    <w:rsid w:val="00244426"/>
    <w:rsid w:val="00244826"/>
    <w:rsid w:val="00244E39"/>
    <w:rsid w:val="00245D7E"/>
    <w:rsid w:val="00245E8F"/>
    <w:rsid w:val="00246A97"/>
    <w:rsid w:val="00250700"/>
    <w:rsid w:val="0025202F"/>
    <w:rsid w:val="00252874"/>
    <w:rsid w:val="00252AA2"/>
    <w:rsid w:val="0025387A"/>
    <w:rsid w:val="00253903"/>
    <w:rsid w:val="00254E27"/>
    <w:rsid w:val="00256695"/>
    <w:rsid w:val="00256D1F"/>
    <w:rsid w:val="00257804"/>
    <w:rsid w:val="00257BF3"/>
    <w:rsid w:val="002603A3"/>
    <w:rsid w:val="00260A5B"/>
    <w:rsid w:val="00260CF5"/>
    <w:rsid w:val="00260E7D"/>
    <w:rsid w:val="00261677"/>
    <w:rsid w:val="00261682"/>
    <w:rsid w:val="00261911"/>
    <w:rsid w:val="00261C6D"/>
    <w:rsid w:val="00261DA6"/>
    <w:rsid w:val="0026384F"/>
    <w:rsid w:val="002639C1"/>
    <w:rsid w:val="00263B17"/>
    <w:rsid w:val="00263FE5"/>
    <w:rsid w:val="002640FC"/>
    <w:rsid w:val="002644E7"/>
    <w:rsid w:val="00264C7A"/>
    <w:rsid w:val="00265AF5"/>
    <w:rsid w:val="00265DA0"/>
    <w:rsid w:val="002669AF"/>
    <w:rsid w:val="00267E67"/>
    <w:rsid w:val="00272AB7"/>
    <w:rsid w:val="002735D0"/>
    <w:rsid w:val="002738D6"/>
    <w:rsid w:val="00273B84"/>
    <w:rsid w:val="002750A1"/>
    <w:rsid w:val="0027544B"/>
    <w:rsid w:val="00275612"/>
    <w:rsid w:val="00275828"/>
    <w:rsid w:val="00275F55"/>
    <w:rsid w:val="002765CD"/>
    <w:rsid w:val="002765F8"/>
    <w:rsid w:val="00276CC7"/>
    <w:rsid w:val="00276DB3"/>
    <w:rsid w:val="00276E78"/>
    <w:rsid w:val="00276EE0"/>
    <w:rsid w:val="00277192"/>
    <w:rsid w:val="002773A6"/>
    <w:rsid w:val="00277945"/>
    <w:rsid w:val="00277EE3"/>
    <w:rsid w:val="00280DA2"/>
    <w:rsid w:val="00280E01"/>
    <w:rsid w:val="0028105B"/>
    <w:rsid w:val="00281341"/>
    <w:rsid w:val="00282671"/>
    <w:rsid w:val="00282C9A"/>
    <w:rsid w:val="00282F1B"/>
    <w:rsid w:val="00286071"/>
    <w:rsid w:val="0028609F"/>
    <w:rsid w:val="002860F6"/>
    <w:rsid w:val="00286189"/>
    <w:rsid w:val="00286EB8"/>
    <w:rsid w:val="00286F5D"/>
    <w:rsid w:val="00286FC5"/>
    <w:rsid w:val="0029014C"/>
    <w:rsid w:val="002923F4"/>
    <w:rsid w:val="002930CF"/>
    <w:rsid w:val="0029326E"/>
    <w:rsid w:val="002934EB"/>
    <w:rsid w:val="00293AE0"/>
    <w:rsid w:val="00293E1C"/>
    <w:rsid w:val="0029443A"/>
    <w:rsid w:val="002949B6"/>
    <w:rsid w:val="002949D2"/>
    <w:rsid w:val="00295018"/>
    <w:rsid w:val="00295CAE"/>
    <w:rsid w:val="002961BF"/>
    <w:rsid w:val="00296813"/>
    <w:rsid w:val="00297137"/>
    <w:rsid w:val="00297172"/>
    <w:rsid w:val="002976CF"/>
    <w:rsid w:val="00297E78"/>
    <w:rsid w:val="002A007A"/>
    <w:rsid w:val="002A05EB"/>
    <w:rsid w:val="002A0983"/>
    <w:rsid w:val="002A09C2"/>
    <w:rsid w:val="002A17CC"/>
    <w:rsid w:val="002A1886"/>
    <w:rsid w:val="002A1FC6"/>
    <w:rsid w:val="002A20BD"/>
    <w:rsid w:val="002A210E"/>
    <w:rsid w:val="002A24CA"/>
    <w:rsid w:val="002A26B3"/>
    <w:rsid w:val="002A282E"/>
    <w:rsid w:val="002A3481"/>
    <w:rsid w:val="002A361C"/>
    <w:rsid w:val="002A3E9C"/>
    <w:rsid w:val="002A423C"/>
    <w:rsid w:val="002A4560"/>
    <w:rsid w:val="002A4916"/>
    <w:rsid w:val="002A4C92"/>
    <w:rsid w:val="002A5441"/>
    <w:rsid w:val="002A57DE"/>
    <w:rsid w:val="002A5FD8"/>
    <w:rsid w:val="002A617F"/>
    <w:rsid w:val="002A6509"/>
    <w:rsid w:val="002A6594"/>
    <w:rsid w:val="002A6724"/>
    <w:rsid w:val="002A723A"/>
    <w:rsid w:val="002A7535"/>
    <w:rsid w:val="002A775E"/>
    <w:rsid w:val="002A7A53"/>
    <w:rsid w:val="002B0950"/>
    <w:rsid w:val="002B0C2F"/>
    <w:rsid w:val="002B12B7"/>
    <w:rsid w:val="002B1330"/>
    <w:rsid w:val="002B2743"/>
    <w:rsid w:val="002B2F73"/>
    <w:rsid w:val="002B42A3"/>
    <w:rsid w:val="002B67B7"/>
    <w:rsid w:val="002B6E22"/>
    <w:rsid w:val="002B7537"/>
    <w:rsid w:val="002C1177"/>
    <w:rsid w:val="002C1A7C"/>
    <w:rsid w:val="002C273B"/>
    <w:rsid w:val="002C364F"/>
    <w:rsid w:val="002C3D8F"/>
    <w:rsid w:val="002C508B"/>
    <w:rsid w:val="002C5227"/>
    <w:rsid w:val="002C5385"/>
    <w:rsid w:val="002C5C6C"/>
    <w:rsid w:val="002C7296"/>
    <w:rsid w:val="002C73CB"/>
    <w:rsid w:val="002C7467"/>
    <w:rsid w:val="002C75E4"/>
    <w:rsid w:val="002C786B"/>
    <w:rsid w:val="002C7AA9"/>
    <w:rsid w:val="002C7C46"/>
    <w:rsid w:val="002D0BDB"/>
    <w:rsid w:val="002D1512"/>
    <w:rsid w:val="002D21FA"/>
    <w:rsid w:val="002D25C1"/>
    <w:rsid w:val="002D2DD3"/>
    <w:rsid w:val="002D3006"/>
    <w:rsid w:val="002D3517"/>
    <w:rsid w:val="002D50DC"/>
    <w:rsid w:val="002D5506"/>
    <w:rsid w:val="002D5A29"/>
    <w:rsid w:val="002D619A"/>
    <w:rsid w:val="002D6475"/>
    <w:rsid w:val="002D7723"/>
    <w:rsid w:val="002E1707"/>
    <w:rsid w:val="002E1776"/>
    <w:rsid w:val="002E1877"/>
    <w:rsid w:val="002E23FF"/>
    <w:rsid w:val="002E2C4D"/>
    <w:rsid w:val="002E2E93"/>
    <w:rsid w:val="002E38C0"/>
    <w:rsid w:val="002E3F9A"/>
    <w:rsid w:val="002E45E4"/>
    <w:rsid w:val="002E4BB2"/>
    <w:rsid w:val="002E4F4D"/>
    <w:rsid w:val="002E5E56"/>
    <w:rsid w:val="002E5FC1"/>
    <w:rsid w:val="002E61CC"/>
    <w:rsid w:val="002E6BCE"/>
    <w:rsid w:val="002E6F64"/>
    <w:rsid w:val="002E7C5D"/>
    <w:rsid w:val="002F091C"/>
    <w:rsid w:val="002F0B2F"/>
    <w:rsid w:val="002F1EE7"/>
    <w:rsid w:val="002F1F91"/>
    <w:rsid w:val="002F2681"/>
    <w:rsid w:val="002F2BC8"/>
    <w:rsid w:val="002F34F0"/>
    <w:rsid w:val="002F3716"/>
    <w:rsid w:val="002F3786"/>
    <w:rsid w:val="002F3F24"/>
    <w:rsid w:val="002F5643"/>
    <w:rsid w:val="002F5CA0"/>
    <w:rsid w:val="002F5DB3"/>
    <w:rsid w:val="002F64A8"/>
    <w:rsid w:val="002F6CB1"/>
    <w:rsid w:val="002F6FA6"/>
    <w:rsid w:val="003000E9"/>
    <w:rsid w:val="003001D6"/>
    <w:rsid w:val="0030036A"/>
    <w:rsid w:val="00300524"/>
    <w:rsid w:val="00300967"/>
    <w:rsid w:val="00300DD1"/>
    <w:rsid w:val="00301C80"/>
    <w:rsid w:val="00301EEC"/>
    <w:rsid w:val="003024CF"/>
    <w:rsid w:val="00302F65"/>
    <w:rsid w:val="00303199"/>
    <w:rsid w:val="00304350"/>
    <w:rsid w:val="00304D73"/>
    <w:rsid w:val="00304D7F"/>
    <w:rsid w:val="00304EA2"/>
    <w:rsid w:val="0030515D"/>
    <w:rsid w:val="00305667"/>
    <w:rsid w:val="003060AC"/>
    <w:rsid w:val="00307121"/>
    <w:rsid w:val="00310418"/>
    <w:rsid w:val="003104CB"/>
    <w:rsid w:val="00310E3F"/>
    <w:rsid w:val="00313584"/>
    <w:rsid w:val="003144E3"/>
    <w:rsid w:val="0031489F"/>
    <w:rsid w:val="0031554E"/>
    <w:rsid w:val="00315F8D"/>
    <w:rsid w:val="003174C2"/>
    <w:rsid w:val="00317555"/>
    <w:rsid w:val="003204DA"/>
    <w:rsid w:val="00320795"/>
    <w:rsid w:val="00320A30"/>
    <w:rsid w:val="00320EAE"/>
    <w:rsid w:val="003212E2"/>
    <w:rsid w:val="00321C6E"/>
    <w:rsid w:val="00321FF9"/>
    <w:rsid w:val="00322C98"/>
    <w:rsid w:val="00323613"/>
    <w:rsid w:val="00323EE5"/>
    <w:rsid w:val="00324416"/>
    <w:rsid w:val="00324CA7"/>
    <w:rsid w:val="003250C3"/>
    <w:rsid w:val="00325217"/>
    <w:rsid w:val="00325E7F"/>
    <w:rsid w:val="00325F0F"/>
    <w:rsid w:val="0032684C"/>
    <w:rsid w:val="0033046C"/>
    <w:rsid w:val="00330FD6"/>
    <w:rsid w:val="0033206D"/>
    <w:rsid w:val="00332226"/>
    <w:rsid w:val="0033278B"/>
    <w:rsid w:val="00333575"/>
    <w:rsid w:val="00333E03"/>
    <w:rsid w:val="003345C9"/>
    <w:rsid w:val="003352DA"/>
    <w:rsid w:val="00337BDD"/>
    <w:rsid w:val="0034048F"/>
    <w:rsid w:val="0034054E"/>
    <w:rsid w:val="00340B5C"/>
    <w:rsid w:val="00341671"/>
    <w:rsid w:val="003419E1"/>
    <w:rsid w:val="00342DAB"/>
    <w:rsid w:val="00343451"/>
    <w:rsid w:val="00343F44"/>
    <w:rsid w:val="003442FD"/>
    <w:rsid w:val="003444AC"/>
    <w:rsid w:val="00344B70"/>
    <w:rsid w:val="00344C69"/>
    <w:rsid w:val="00345E80"/>
    <w:rsid w:val="003461F4"/>
    <w:rsid w:val="00346E2D"/>
    <w:rsid w:val="00347E65"/>
    <w:rsid w:val="00350488"/>
    <w:rsid w:val="00350B49"/>
    <w:rsid w:val="00350E8E"/>
    <w:rsid w:val="00351254"/>
    <w:rsid w:val="003514A5"/>
    <w:rsid w:val="003528F5"/>
    <w:rsid w:val="0035315B"/>
    <w:rsid w:val="003537A7"/>
    <w:rsid w:val="00354642"/>
    <w:rsid w:val="00354B67"/>
    <w:rsid w:val="00355F1E"/>
    <w:rsid w:val="003564D4"/>
    <w:rsid w:val="0035768E"/>
    <w:rsid w:val="00357A10"/>
    <w:rsid w:val="0036037E"/>
    <w:rsid w:val="003609A5"/>
    <w:rsid w:val="00361B27"/>
    <w:rsid w:val="0036219C"/>
    <w:rsid w:val="0036292A"/>
    <w:rsid w:val="00363014"/>
    <w:rsid w:val="00364BF1"/>
    <w:rsid w:val="003650FF"/>
    <w:rsid w:val="0036543A"/>
    <w:rsid w:val="00365469"/>
    <w:rsid w:val="00365632"/>
    <w:rsid w:val="00365EFE"/>
    <w:rsid w:val="00366035"/>
    <w:rsid w:val="003675F0"/>
    <w:rsid w:val="003704BB"/>
    <w:rsid w:val="0037157E"/>
    <w:rsid w:val="00372710"/>
    <w:rsid w:val="0037271B"/>
    <w:rsid w:val="00372A5C"/>
    <w:rsid w:val="00372ADC"/>
    <w:rsid w:val="0037322E"/>
    <w:rsid w:val="0037357C"/>
    <w:rsid w:val="003739A3"/>
    <w:rsid w:val="0037477A"/>
    <w:rsid w:val="00374CB0"/>
    <w:rsid w:val="003753B0"/>
    <w:rsid w:val="003756FC"/>
    <w:rsid w:val="00375CB1"/>
    <w:rsid w:val="00376A46"/>
    <w:rsid w:val="00377818"/>
    <w:rsid w:val="00380D92"/>
    <w:rsid w:val="00380F84"/>
    <w:rsid w:val="003810DE"/>
    <w:rsid w:val="00381484"/>
    <w:rsid w:val="003819F0"/>
    <w:rsid w:val="00382472"/>
    <w:rsid w:val="003832CC"/>
    <w:rsid w:val="00383497"/>
    <w:rsid w:val="003856AF"/>
    <w:rsid w:val="00385821"/>
    <w:rsid w:val="0038588C"/>
    <w:rsid w:val="003868F6"/>
    <w:rsid w:val="00386A98"/>
    <w:rsid w:val="00386B1C"/>
    <w:rsid w:val="0038772F"/>
    <w:rsid w:val="0039044C"/>
    <w:rsid w:val="00390F81"/>
    <w:rsid w:val="00391687"/>
    <w:rsid w:val="00392359"/>
    <w:rsid w:val="0039264D"/>
    <w:rsid w:val="00392BF7"/>
    <w:rsid w:val="00393275"/>
    <w:rsid w:val="0039395C"/>
    <w:rsid w:val="0039403A"/>
    <w:rsid w:val="00394B47"/>
    <w:rsid w:val="00395953"/>
    <w:rsid w:val="00395CA8"/>
    <w:rsid w:val="00397323"/>
    <w:rsid w:val="00397922"/>
    <w:rsid w:val="003A02F6"/>
    <w:rsid w:val="003A0AEC"/>
    <w:rsid w:val="003A22DE"/>
    <w:rsid w:val="003A2326"/>
    <w:rsid w:val="003A261A"/>
    <w:rsid w:val="003A2B0D"/>
    <w:rsid w:val="003A30E7"/>
    <w:rsid w:val="003A35D3"/>
    <w:rsid w:val="003A3F1B"/>
    <w:rsid w:val="003A4197"/>
    <w:rsid w:val="003A5789"/>
    <w:rsid w:val="003A5B14"/>
    <w:rsid w:val="003A605B"/>
    <w:rsid w:val="003A6659"/>
    <w:rsid w:val="003A6E9A"/>
    <w:rsid w:val="003B0998"/>
    <w:rsid w:val="003B10AB"/>
    <w:rsid w:val="003B1340"/>
    <w:rsid w:val="003B1B69"/>
    <w:rsid w:val="003B1C66"/>
    <w:rsid w:val="003B1F19"/>
    <w:rsid w:val="003B394D"/>
    <w:rsid w:val="003B4AFD"/>
    <w:rsid w:val="003B509C"/>
    <w:rsid w:val="003B5552"/>
    <w:rsid w:val="003B5B12"/>
    <w:rsid w:val="003B5F4A"/>
    <w:rsid w:val="003B6413"/>
    <w:rsid w:val="003B6EF4"/>
    <w:rsid w:val="003B7655"/>
    <w:rsid w:val="003B78D7"/>
    <w:rsid w:val="003B7AD7"/>
    <w:rsid w:val="003B7F21"/>
    <w:rsid w:val="003C10CE"/>
    <w:rsid w:val="003C1A7E"/>
    <w:rsid w:val="003C1F1E"/>
    <w:rsid w:val="003C36A1"/>
    <w:rsid w:val="003C3AD8"/>
    <w:rsid w:val="003C4AB0"/>
    <w:rsid w:val="003C4E7D"/>
    <w:rsid w:val="003C708C"/>
    <w:rsid w:val="003D0210"/>
    <w:rsid w:val="003D1079"/>
    <w:rsid w:val="003D16AD"/>
    <w:rsid w:val="003D1945"/>
    <w:rsid w:val="003D248B"/>
    <w:rsid w:val="003D27AF"/>
    <w:rsid w:val="003D2B54"/>
    <w:rsid w:val="003D3346"/>
    <w:rsid w:val="003D3762"/>
    <w:rsid w:val="003D3B0B"/>
    <w:rsid w:val="003D4240"/>
    <w:rsid w:val="003D456D"/>
    <w:rsid w:val="003D5888"/>
    <w:rsid w:val="003D684C"/>
    <w:rsid w:val="003D68F4"/>
    <w:rsid w:val="003D6CD6"/>
    <w:rsid w:val="003D6EB3"/>
    <w:rsid w:val="003D78F5"/>
    <w:rsid w:val="003D7D02"/>
    <w:rsid w:val="003E050B"/>
    <w:rsid w:val="003E0CC2"/>
    <w:rsid w:val="003E20AB"/>
    <w:rsid w:val="003E22A5"/>
    <w:rsid w:val="003E28C8"/>
    <w:rsid w:val="003E2AE8"/>
    <w:rsid w:val="003E2F2C"/>
    <w:rsid w:val="003E3445"/>
    <w:rsid w:val="003E3DE0"/>
    <w:rsid w:val="003E486E"/>
    <w:rsid w:val="003E4926"/>
    <w:rsid w:val="003E55B9"/>
    <w:rsid w:val="003E56ED"/>
    <w:rsid w:val="003E5AAA"/>
    <w:rsid w:val="003E7002"/>
    <w:rsid w:val="003E7A67"/>
    <w:rsid w:val="003F03B6"/>
    <w:rsid w:val="003F0531"/>
    <w:rsid w:val="003F1A8F"/>
    <w:rsid w:val="003F2B69"/>
    <w:rsid w:val="003F2D66"/>
    <w:rsid w:val="003F328F"/>
    <w:rsid w:val="003F3E11"/>
    <w:rsid w:val="003F4776"/>
    <w:rsid w:val="003F47DD"/>
    <w:rsid w:val="003F4A4C"/>
    <w:rsid w:val="003F4D57"/>
    <w:rsid w:val="003F5387"/>
    <w:rsid w:val="003F5450"/>
    <w:rsid w:val="003F57F0"/>
    <w:rsid w:val="003F58E8"/>
    <w:rsid w:val="003F5AB3"/>
    <w:rsid w:val="003F5D69"/>
    <w:rsid w:val="003F6183"/>
    <w:rsid w:val="003F6B23"/>
    <w:rsid w:val="003F7397"/>
    <w:rsid w:val="003F7AA2"/>
    <w:rsid w:val="003F7E40"/>
    <w:rsid w:val="003F7EFB"/>
    <w:rsid w:val="004004D0"/>
    <w:rsid w:val="004010CF"/>
    <w:rsid w:val="0040221F"/>
    <w:rsid w:val="0040274E"/>
    <w:rsid w:val="00402A8C"/>
    <w:rsid w:val="00403378"/>
    <w:rsid w:val="00403481"/>
    <w:rsid w:val="00403508"/>
    <w:rsid w:val="004039DA"/>
    <w:rsid w:val="0040412A"/>
    <w:rsid w:val="00404C7A"/>
    <w:rsid w:val="0040530C"/>
    <w:rsid w:val="00406432"/>
    <w:rsid w:val="0040643A"/>
    <w:rsid w:val="00406B7A"/>
    <w:rsid w:val="0040767D"/>
    <w:rsid w:val="00410A2C"/>
    <w:rsid w:val="00410D84"/>
    <w:rsid w:val="00411DCF"/>
    <w:rsid w:val="0041270C"/>
    <w:rsid w:val="0041314A"/>
    <w:rsid w:val="00413BAA"/>
    <w:rsid w:val="00415338"/>
    <w:rsid w:val="00415430"/>
    <w:rsid w:val="00416433"/>
    <w:rsid w:val="004165B0"/>
    <w:rsid w:val="0042035C"/>
    <w:rsid w:val="0042042C"/>
    <w:rsid w:val="0042058C"/>
    <w:rsid w:val="004209D6"/>
    <w:rsid w:val="00420B87"/>
    <w:rsid w:val="004213B7"/>
    <w:rsid w:val="004228A5"/>
    <w:rsid w:val="00423C9C"/>
    <w:rsid w:val="004254ED"/>
    <w:rsid w:val="00425576"/>
    <w:rsid w:val="00426A7F"/>
    <w:rsid w:val="00427BA4"/>
    <w:rsid w:val="004311FE"/>
    <w:rsid w:val="00431A51"/>
    <w:rsid w:val="0043220A"/>
    <w:rsid w:val="004322BF"/>
    <w:rsid w:val="00433076"/>
    <w:rsid w:val="0043355C"/>
    <w:rsid w:val="004341B4"/>
    <w:rsid w:val="00434341"/>
    <w:rsid w:val="00434649"/>
    <w:rsid w:val="004348F4"/>
    <w:rsid w:val="004354A8"/>
    <w:rsid w:val="00435961"/>
    <w:rsid w:val="00435F24"/>
    <w:rsid w:val="00436A1A"/>
    <w:rsid w:val="0043760B"/>
    <w:rsid w:val="00437C2E"/>
    <w:rsid w:val="00437EB0"/>
    <w:rsid w:val="00437ED0"/>
    <w:rsid w:val="00440804"/>
    <w:rsid w:val="004422F3"/>
    <w:rsid w:val="00442594"/>
    <w:rsid w:val="004425F8"/>
    <w:rsid w:val="00442C39"/>
    <w:rsid w:val="0044392C"/>
    <w:rsid w:val="00445BE8"/>
    <w:rsid w:val="00446A2E"/>
    <w:rsid w:val="0044713A"/>
    <w:rsid w:val="00447611"/>
    <w:rsid w:val="00451512"/>
    <w:rsid w:val="00451B67"/>
    <w:rsid w:val="00452A66"/>
    <w:rsid w:val="00452C9D"/>
    <w:rsid w:val="00453064"/>
    <w:rsid w:val="004531A7"/>
    <w:rsid w:val="00453216"/>
    <w:rsid w:val="00453F93"/>
    <w:rsid w:val="00454B42"/>
    <w:rsid w:val="00454BF6"/>
    <w:rsid w:val="0045542A"/>
    <w:rsid w:val="004560C6"/>
    <w:rsid w:val="00456AD3"/>
    <w:rsid w:val="00456B73"/>
    <w:rsid w:val="00456BD9"/>
    <w:rsid w:val="00457222"/>
    <w:rsid w:val="0045776E"/>
    <w:rsid w:val="00457F4C"/>
    <w:rsid w:val="00460FFD"/>
    <w:rsid w:val="0046143F"/>
    <w:rsid w:val="0046166C"/>
    <w:rsid w:val="00461768"/>
    <w:rsid w:val="004618C0"/>
    <w:rsid w:val="00461CEE"/>
    <w:rsid w:val="00462794"/>
    <w:rsid w:val="00462A63"/>
    <w:rsid w:val="00462D29"/>
    <w:rsid w:val="00463094"/>
    <w:rsid w:val="004638B6"/>
    <w:rsid w:val="00465097"/>
    <w:rsid w:val="004655A9"/>
    <w:rsid w:val="00465709"/>
    <w:rsid w:val="00467649"/>
    <w:rsid w:val="00467DA3"/>
    <w:rsid w:val="00467EC8"/>
    <w:rsid w:val="0047023F"/>
    <w:rsid w:val="00470B74"/>
    <w:rsid w:val="00471603"/>
    <w:rsid w:val="004717BB"/>
    <w:rsid w:val="00471EE9"/>
    <w:rsid w:val="0047239C"/>
    <w:rsid w:val="00472CD9"/>
    <w:rsid w:val="00473AAB"/>
    <w:rsid w:val="00474F35"/>
    <w:rsid w:val="00475649"/>
    <w:rsid w:val="00475C46"/>
    <w:rsid w:val="00476B32"/>
    <w:rsid w:val="00477677"/>
    <w:rsid w:val="00480BC0"/>
    <w:rsid w:val="00480E1A"/>
    <w:rsid w:val="00481448"/>
    <w:rsid w:val="004816EE"/>
    <w:rsid w:val="00482667"/>
    <w:rsid w:val="00482AB5"/>
    <w:rsid w:val="00482CD9"/>
    <w:rsid w:val="0048384B"/>
    <w:rsid w:val="004847DF"/>
    <w:rsid w:val="00485A12"/>
    <w:rsid w:val="00486529"/>
    <w:rsid w:val="00486FB6"/>
    <w:rsid w:val="004875C6"/>
    <w:rsid w:val="004904B8"/>
    <w:rsid w:val="00490C6E"/>
    <w:rsid w:val="00491010"/>
    <w:rsid w:val="00491795"/>
    <w:rsid w:val="004918AC"/>
    <w:rsid w:val="0049195E"/>
    <w:rsid w:val="00491A6B"/>
    <w:rsid w:val="00492171"/>
    <w:rsid w:val="004926DB"/>
    <w:rsid w:val="004926FF"/>
    <w:rsid w:val="004927E8"/>
    <w:rsid w:val="00492843"/>
    <w:rsid w:val="0049382E"/>
    <w:rsid w:val="00493B04"/>
    <w:rsid w:val="0049437B"/>
    <w:rsid w:val="004943D2"/>
    <w:rsid w:val="00494CE0"/>
    <w:rsid w:val="00494F50"/>
    <w:rsid w:val="0049500E"/>
    <w:rsid w:val="004950BA"/>
    <w:rsid w:val="004955FB"/>
    <w:rsid w:val="00495647"/>
    <w:rsid w:val="004959C8"/>
    <w:rsid w:val="00495AF8"/>
    <w:rsid w:val="004969F3"/>
    <w:rsid w:val="0049731F"/>
    <w:rsid w:val="004979DE"/>
    <w:rsid w:val="00497B7B"/>
    <w:rsid w:val="00497EF5"/>
    <w:rsid w:val="004A058D"/>
    <w:rsid w:val="004A0EBF"/>
    <w:rsid w:val="004A1169"/>
    <w:rsid w:val="004A16C4"/>
    <w:rsid w:val="004A1D93"/>
    <w:rsid w:val="004A25E6"/>
    <w:rsid w:val="004A268B"/>
    <w:rsid w:val="004A2AB8"/>
    <w:rsid w:val="004A2C40"/>
    <w:rsid w:val="004A309F"/>
    <w:rsid w:val="004A353C"/>
    <w:rsid w:val="004A4065"/>
    <w:rsid w:val="004A48B9"/>
    <w:rsid w:val="004A4EB8"/>
    <w:rsid w:val="004A59B3"/>
    <w:rsid w:val="004A5A0F"/>
    <w:rsid w:val="004A6FF8"/>
    <w:rsid w:val="004A7198"/>
    <w:rsid w:val="004A7F35"/>
    <w:rsid w:val="004B02BA"/>
    <w:rsid w:val="004B1125"/>
    <w:rsid w:val="004B1133"/>
    <w:rsid w:val="004B1C84"/>
    <w:rsid w:val="004B1EF2"/>
    <w:rsid w:val="004B27A7"/>
    <w:rsid w:val="004B3D94"/>
    <w:rsid w:val="004B52A0"/>
    <w:rsid w:val="004B5713"/>
    <w:rsid w:val="004B5C7E"/>
    <w:rsid w:val="004B63C3"/>
    <w:rsid w:val="004B6AAD"/>
    <w:rsid w:val="004B75D8"/>
    <w:rsid w:val="004B76F4"/>
    <w:rsid w:val="004B7C15"/>
    <w:rsid w:val="004C049F"/>
    <w:rsid w:val="004C07B5"/>
    <w:rsid w:val="004C11AE"/>
    <w:rsid w:val="004C1934"/>
    <w:rsid w:val="004C198D"/>
    <w:rsid w:val="004C1C9A"/>
    <w:rsid w:val="004C1CF9"/>
    <w:rsid w:val="004C1E44"/>
    <w:rsid w:val="004C1F6E"/>
    <w:rsid w:val="004C29BD"/>
    <w:rsid w:val="004C3DD2"/>
    <w:rsid w:val="004C4054"/>
    <w:rsid w:val="004C4096"/>
    <w:rsid w:val="004C4520"/>
    <w:rsid w:val="004C5D3A"/>
    <w:rsid w:val="004C5F9E"/>
    <w:rsid w:val="004C62AB"/>
    <w:rsid w:val="004C72A7"/>
    <w:rsid w:val="004D030C"/>
    <w:rsid w:val="004D03FC"/>
    <w:rsid w:val="004D05CC"/>
    <w:rsid w:val="004D0D89"/>
    <w:rsid w:val="004D107E"/>
    <w:rsid w:val="004D11EA"/>
    <w:rsid w:val="004D133C"/>
    <w:rsid w:val="004D1AF3"/>
    <w:rsid w:val="004D1C36"/>
    <w:rsid w:val="004D2460"/>
    <w:rsid w:val="004D28CD"/>
    <w:rsid w:val="004D29D2"/>
    <w:rsid w:val="004D2B8C"/>
    <w:rsid w:val="004D3BB6"/>
    <w:rsid w:val="004D410F"/>
    <w:rsid w:val="004D47C8"/>
    <w:rsid w:val="004D4B32"/>
    <w:rsid w:val="004D52BE"/>
    <w:rsid w:val="004D688F"/>
    <w:rsid w:val="004E17A4"/>
    <w:rsid w:val="004E1811"/>
    <w:rsid w:val="004E1942"/>
    <w:rsid w:val="004E23AC"/>
    <w:rsid w:val="004E25B9"/>
    <w:rsid w:val="004E2AC7"/>
    <w:rsid w:val="004E3D75"/>
    <w:rsid w:val="004E3DFA"/>
    <w:rsid w:val="004E609B"/>
    <w:rsid w:val="004F005E"/>
    <w:rsid w:val="004F033D"/>
    <w:rsid w:val="004F065E"/>
    <w:rsid w:val="004F0B5D"/>
    <w:rsid w:val="004F0F8B"/>
    <w:rsid w:val="004F179D"/>
    <w:rsid w:val="004F1868"/>
    <w:rsid w:val="004F2172"/>
    <w:rsid w:val="004F2C7E"/>
    <w:rsid w:val="004F3A29"/>
    <w:rsid w:val="004F3F69"/>
    <w:rsid w:val="004F4001"/>
    <w:rsid w:val="004F462B"/>
    <w:rsid w:val="004F4C0F"/>
    <w:rsid w:val="004F72C3"/>
    <w:rsid w:val="004F753B"/>
    <w:rsid w:val="004F7A19"/>
    <w:rsid w:val="00501A97"/>
    <w:rsid w:val="0050301C"/>
    <w:rsid w:val="005038B2"/>
    <w:rsid w:val="005042A8"/>
    <w:rsid w:val="00504F45"/>
    <w:rsid w:val="0050502D"/>
    <w:rsid w:val="005067D6"/>
    <w:rsid w:val="00506B42"/>
    <w:rsid w:val="00506CA3"/>
    <w:rsid w:val="00506D7A"/>
    <w:rsid w:val="00507879"/>
    <w:rsid w:val="005104CD"/>
    <w:rsid w:val="00510C9D"/>
    <w:rsid w:val="005113EA"/>
    <w:rsid w:val="00511C1F"/>
    <w:rsid w:val="00511CC1"/>
    <w:rsid w:val="00512974"/>
    <w:rsid w:val="00512A11"/>
    <w:rsid w:val="005134BD"/>
    <w:rsid w:val="00515D60"/>
    <w:rsid w:val="005162EE"/>
    <w:rsid w:val="0051654B"/>
    <w:rsid w:val="0052026B"/>
    <w:rsid w:val="00520CFD"/>
    <w:rsid w:val="005241B7"/>
    <w:rsid w:val="00524527"/>
    <w:rsid w:val="00524A88"/>
    <w:rsid w:val="00524E34"/>
    <w:rsid w:val="00524E82"/>
    <w:rsid w:val="00525301"/>
    <w:rsid w:val="00525417"/>
    <w:rsid w:val="0052559C"/>
    <w:rsid w:val="005256B9"/>
    <w:rsid w:val="00525B1D"/>
    <w:rsid w:val="00526660"/>
    <w:rsid w:val="00530010"/>
    <w:rsid w:val="00530B94"/>
    <w:rsid w:val="0053129C"/>
    <w:rsid w:val="0053132E"/>
    <w:rsid w:val="00531AAA"/>
    <w:rsid w:val="00531FA9"/>
    <w:rsid w:val="00532304"/>
    <w:rsid w:val="00532392"/>
    <w:rsid w:val="005323F4"/>
    <w:rsid w:val="005332B9"/>
    <w:rsid w:val="005333BD"/>
    <w:rsid w:val="005336C3"/>
    <w:rsid w:val="005336DC"/>
    <w:rsid w:val="00533F2E"/>
    <w:rsid w:val="00534AAB"/>
    <w:rsid w:val="0053570A"/>
    <w:rsid w:val="00535B87"/>
    <w:rsid w:val="00536217"/>
    <w:rsid w:val="00537619"/>
    <w:rsid w:val="00537867"/>
    <w:rsid w:val="005402D2"/>
    <w:rsid w:val="00540AB5"/>
    <w:rsid w:val="005416D9"/>
    <w:rsid w:val="00541B2C"/>
    <w:rsid w:val="00541DF1"/>
    <w:rsid w:val="00543E9F"/>
    <w:rsid w:val="00544682"/>
    <w:rsid w:val="0054535C"/>
    <w:rsid w:val="0054540C"/>
    <w:rsid w:val="005454B3"/>
    <w:rsid w:val="00546608"/>
    <w:rsid w:val="00546ABB"/>
    <w:rsid w:val="005474AB"/>
    <w:rsid w:val="0054753D"/>
    <w:rsid w:val="00547776"/>
    <w:rsid w:val="0054784A"/>
    <w:rsid w:val="00550165"/>
    <w:rsid w:val="00551EEC"/>
    <w:rsid w:val="00552AE1"/>
    <w:rsid w:val="00553566"/>
    <w:rsid w:val="00554388"/>
    <w:rsid w:val="00554B05"/>
    <w:rsid w:val="00554FC8"/>
    <w:rsid w:val="00556606"/>
    <w:rsid w:val="00556735"/>
    <w:rsid w:val="0055716F"/>
    <w:rsid w:val="005575C5"/>
    <w:rsid w:val="00557A0D"/>
    <w:rsid w:val="00557D0A"/>
    <w:rsid w:val="00557EB8"/>
    <w:rsid w:val="00560934"/>
    <w:rsid w:val="00560B4E"/>
    <w:rsid w:val="00560D48"/>
    <w:rsid w:val="00561191"/>
    <w:rsid w:val="005612BA"/>
    <w:rsid w:val="00563797"/>
    <w:rsid w:val="005641E8"/>
    <w:rsid w:val="00564823"/>
    <w:rsid w:val="00564CD7"/>
    <w:rsid w:val="00565775"/>
    <w:rsid w:val="00565DBF"/>
    <w:rsid w:val="005664E5"/>
    <w:rsid w:val="00566BE9"/>
    <w:rsid w:val="00567800"/>
    <w:rsid w:val="00570DB7"/>
    <w:rsid w:val="00571A12"/>
    <w:rsid w:val="00571B43"/>
    <w:rsid w:val="00571DC9"/>
    <w:rsid w:val="00572B31"/>
    <w:rsid w:val="00572E69"/>
    <w:rsid w:val="00573EA9"/>
    <w:rsid w:val="005746D3"/>
    <w:rsid w:val="00576016"/>
    <w:rsid w:val="00576FB9"/>
    <w:rsid w:val="00580449"/>
    <w:rsid w:val="00581669"/>
    <w:rsid w:val="0058238C"/>
    <w:rsid w:val="00582448"/>
    <w:rsid w:val="00582EC0"/>
    <w:rsid w:val="0058552F"/>
    <w:rsid w:val="00585A73"/>
    <w:rsid w:val="00586332"/>
    <w:rsid w:val="00586F8E"/>
    <w:rsid w:val="005908B9"/>
    <w:rsid w:val="00590E19"/>
    <w:rsid w:val="005915E0"/>
    <w:rsid w:val="00592125"/>
    <w:rsid w:val="0059272C"/>
    <w:rsid w:val="00592B0F"/>
    <w:rsid w:val="00593295"/>
    <w:rsid w:val="005936C0"/>
    <w:rsid w:val="00593958"/>
    <w:rsid w:val="00593D54"/>
    <w:rsid w:val="00593E62"/>
    <w:rsid w:val="00594207"/>
    <w:rsid w:val="00594303"/>
    <w:rsid w:val="005946CA"/>
    <w:rsid w:val="0059496E"/>
    <w:rsid w:val="0059503C"/>
    <w:rsid w:val="00595132"/>
    <w:rsid w:val="0059526F"/>
    <w:rsid w:val="00595CA7"/>
    <w:rsid w:val="005962CD"/>
    <w:rsid w:val="00596CE8"/>
    <w:rsid w:val="00596D72"/>
    <w:rsid w:val="005973F9"/>
    <w:rsid w:val="005A0510"/>
    <w:rsid w:val="005A0D50"/>
    <w:rsid w:val="005A1273"/>
    <w:rsid w:val="005A245B"/>
    <w:rsid w:val="005A32A3"/>
    <w:rsid w:val="005A44A8"/>
    <w:rsid w:val="005A458E"/>
    <w:rsid w:val="005A4A8C"/>
    <w:rsid w:val="005A53AD"/>
    <w:rsid w:val="005A56D2"/>
    <w:rsid w:val="005A78A8"/>
    <w:rsid w:val="005A7CF7"/>
    <w:rsid w:val="005B0488"/>
    <w:rsid w:val="005B094C"/>
    <w:rsid w:val="005B114B"/>
    <w:rsid w:val="005B1D7D"/>
    <w:rsid w:val="005B1F47"/>
    <w:rsid w:val="005B3166"/>
    <w:rsid w:val="005B3342"/>
    <w:rsid w:val="005B4487"/>
    <w:rsid w:val="005B51D1"/>
    <w:rsid w:val="005B5330"/>
    <w:rsid w:val="005B551A"/>
    <w:rsid w:val="005B576E"/>
    <w:rsid w:val="005B59FD"/>
    <w:rsid w:val="005B6656"/>
    <w:rsid w:val="005C1020"/>
    <w:rsid w:val="005C1A9A"/>
    <w:rsid w:val="005C1B49"/>
    <w:rsid w:val="005C22FF"/>
    <w:rsid w:val="005C27F7"/>
    <w:rsid w:val="005C40CB"/>
    <w:rsid w:val="005C41AB"/>
    <w:rsid w:val="005C4414"/>
    <w:rsid w:val="005C4AC0"/>
    <w:rsid w:val="005C4B99"/>
    <w:rsid w:val="005C50D2"/>
    <w:rsid w:val="005C644C"/>
    <w:rsid w:val="005C6960"/>
    <w:rsid w:val="005C6A7C"/>
    <w:rsid w:val="005C6ADE"/>
    <w:rsid w:val="005C703A"/>
    <w:rsid w:val="005C78C4"/>
    <w:rsid w:val="005D3DA4"/>
    <w:rsid w:val="005D438E"/>
    <w:rsid w:val="005D44A1"/>
    <w:rsid w:val="005D4818"/>
    <w:rsid w:val="005D4FC9"/>
    <w:rsid w:val="005D6897"/>
    <w:rsid w:val="005E009B"/>
    <w:rsid w:val="005E074A"/>
    <w:rsid w:val="005E0D06"/>
    <w:rsid w:val="005E1C77"/>
    <w:rsid w:val="005E21A8"/>
    <w:rsid w:val="005E2499"/>
    <w:rsid w:val="005E2E18"/>
    <w:rsid w:val="005E3177"/>
    <w:rsid w:val="005E31EA"/>
    <w:rsid w:val="005E4130"/>
    <w:rsid w:val="005E4FC3"/>
    <w:rsid w:val="005E602F"/>
    <w:rsid w:val="005E6431"/>
    <w:rsid w:val="005E6B73"/>
    <w:rsid w:val="005E6DC7"/>
    <w:rsid w:val="005E6E40"/>
    <w:rsid w:val="005E74A6"/>
    <w:rsid w:val="005E76D0"/>
    <w:rsid w:val="005E7D18"/>
    <w:rsid w:val="005F00D0"/>
    <w:rsid w:val="005F0F63"/>
    <w:rsid w:val="005F1739"/>
    <w:rsid w:val="005F1C2F"/>
    <w:rsid w:val="005F1E44"/>
    <w:rsid w:val="005F312F"/>
    <w:rsid w:val="005F359E"/>
    <w:rsid w:val="005F369F"/>
    <w:rsid w:val="005F3740"/>
    <w:rsid w:val="005F5869"/>
    <w:rsid w:val="005F58AE"/>
    <w:rsid w:val="005F6519"/>
    <w:rsid w:val="005F6AC4"/>
    <w:rsid w:val="005F6BCB"/>
    <w:rsid w:val="005F70C7"/>
    <w:rsid w:val="005F75A0"/>
    <w:rsid w:val="005F773D"/>
    <w:rsid w:val="006000B2"/>
    <w:rsid w:val="006014A4"/>
    <w:rsid w:val="00601C1F"/>
    <w:rsid w:val="00603023"/>
    <w:rsid w:val="006036AD"/>
    <w:rsid w:val="00603DD7"/>
    <w:rsid w:val="0060407F"/>
    <w:rsid w:val="00604A92"/>
    <w:rsid w:val="00604B5C"/>
    <w:rsid w:val="00604B73"/>
    <w:rsid w:val="00604EC5"/>
    <w:rsid w:val="00606063"/>
    <w:rsid w:val="00606313"/>
    <w:rsid w:val="006064AA"/>
    <w:rsid w:val="00606C89"/>
    <w:rsid w:val="006078AA"/>
    <w:rsid w:val="0060796A"/>
    <w:rsid w:val="00607D20"/>
    <w:rsid w:val="00610424"/>
    <w:rsid w:val="00611F71"/>
    <w:rsid w:val="00612BC5"/>
    <w:rsid w:val="006130A4"/>
    <w:rsid w:val="00613404"/>
    <w:rsid w:val="00614FDC"/>
    <w:rsid w:val="006163D9"/>
    <w:rsid w:val="006178AE"/>
    <w:rsid w:val="00617BBE"/>
    <w:rsid w:val="00617DD3"/>
    <w:rsid w:val="0062068F"/>
    <w:rsid w:val="00621367"/>
    <w:rsid w:val="006215B3"/>
    <w:rsid w:val="00621DAE"/>
    <w:rsid w:val="006229A5"/>
    <w:rsid w:val="00622A7D"/>
    <w:rsid w:val="00622C11"/>
    <w:rsid w:val="00622CB2"/>
    <w:rsid w:val="00622ED1"/>
    <w:rsid w:val="006231DA"/>
    <w:rsid w:val="00623785"/>
    <w:rsid w:val="006244B6"/>
    <w:rsid w:val="00624647"/>
    <w:rsid w:val="00624A37"/>
    <w:rsid w:val="00625207"/>
    <w:rsid w:val="006258C7"/>
    <w:rsid w:val="0062614E"/>
    <w:rsid w:val="0062647E"/>
    <w:rsid w:val="006264DF"/>
    <w:rsid w:val="006269F3"/>
    <w:rsid w:val="006274B3"/>
    <w:rsid w:val="00627ED9"/>
    <w:rsid w:val="00630127"/>
    <w:rsid w:val="00630676"/>
    <w:rsid w:val="00630E78"/>
    <w:rsid w:val="00630EBC"/>
    <w:rsid w:val="00630F9F"/>
    <w:rsid w:val="00631A79"/>
    <w:rsid w:val="00631E25"/>
    <w:rsid w:val="006320EE"/>
    <w:rsid w:val="00632749"/>
    <w:rsid w:val="00632C6D"/>
    <w:rsid w:val="00632DCA"/>
    <w:rsid w:val="00633318"/>
    <w:rsid w:val="00633C34"/>
    <w:rsid w:val="00635051"/>
    <w:rsid w:val="00635526"/>
    <w:rsid w:val="00635874"/>
    <w:rsid w:val="0063594D"/>
    <w:rsid w:val="00636FDD"/>
    <w:rsid w:val="006373BB"/>
    <w:rsid w:val="00637EA1"/>
    <w:rsid w:val="00640306"/>
    <w:rsid w:val="006416E4"/>
    <w:rsid w:val="00643233"/>
    <w:rsid w:val="006437B7"/>
    <w:rsid w:val="00643D4A"/>
    <w:rsid w:val="0064445F"/>
    <w:rsid w:val="00645B57"/>
    <w:rsid w:val="00646363"/>
    <w:rsid w:val="00646DD4"/>
    <w:rsid w:val="00646E49"/>
    <w:rsid w:val="00646F5B"/>
    <w:rsid w:val="00646FFA"/>
    <w:rsid w:val="00647E7C"/>
    <w:rsid w:val="00647EAC"/>
    <w:rsid w:val="006500D3"/>
    <w:rsid w:val="00650154"/>
    <w:rsid w:val="006507C5"/>
    <w:rsid w:val="0065116D"/>
    <w:rsid w:val="00651C80"/>
    <w:rsid w:val="00652FE5"/>
    <w:rsid w:val="00653636"/>
    <w:rsid w:val="00654079"/>
    <w:rsid w:val="006544C5"/>
    <w:rsid w:val="00654C46"/>
    <w:rsid w:val="00654C4E"/>
    <w:rsid w:val="00654C9A"/>
    <w:rsid w:val="00655083"/>
    <w:rsid w:val="006550BD"/>
    <w:rsid w:val="00655AA7"/>
    <w:rsid w:val="00656F70"/>
    <w:rsid w:val="006573F4"/>
    <w:rsid w:val="00657C2E"/>
    <w:rsid w:val="00660148"/>
    <w:rsid w:val="006606DA"/>
    <w:rsid w:val="00660F13"/>
    <w:rsid w:val="0066166F"/>
    <w:rsid w:val="00662EB7"/>
    <w:rsid w:val="006637A1"/>
    <w:rsid w:val="00664297"/>
    <w:rsid w:val="0066586F"/>
    <w:rsid w:val="00665E2A"/>
    <w:rsid w:val="006664CD"/>
    <w:rsid w:val="006664E7"/>
    <w:rsid w:val="00667186"/>
    <w:rsid w:val="006704ED"/>
    <w:rsid w:val="00670895"/>
    <w:rsid w:val="00671B26"/>
    <w:rsid w:val="0067202E"/>
    <w:rsid w:val="00672DDB"/>
    <w:rsid w:val="00673F37"/>
    <w:rsid w:val="00674717"/>
    <w:rsid w:val="00675188"/>
    <w:rsid w:val="00675627"/>
    <w:rsid w:val="006774FB"/>
    <w:rsid w:val="00677659"/>
    <w:rsid w:val="0068020D"/>
    <w:rsid w:val="006802D9"/>
    <w:rsid w:val="00680500"/>
    <w:rsid w:val="006812EE"/>
    <w:rsid w:val="0068161D"/>
    <w:rsid w:val="00682AD6"/>
    <w:rsid w:val="00682F18"/>
    <w:rsid w:val="00682F27"/>
    <w:rsid w:val="006835B9"/>
    <w:rsid w:val="00683E8D"/>
    <w:rsid w:val="00685C89"/>
    <w:rsid w:val="006868D0"/>
    <w:rsid w:val="00686A35"/>
    <w:rsid w:val="00687D35"/>
    <w:rsid w:val="0069013A"/>
    <w:rsid w:val="0069053E"/>
    <w:rsid w:val="00690ED3"/>
    <w:rsid w:val="00692084"/>
    <w:rsid w:val="00693AA1"/>
    <w:rsid w:val="00693E0B"/>
    <w:rsid w:val="00694CF6"/>
    <w:rsid w:val="00694D7B"/>
    <w:rsid w:val="00695046"/>
    <w:rsid w:val="006957C0"/>
    <w:rsid w:val="0069623F"/>
    <w:rsid w:val="006965B9"/>
    <w:rsid w:val="00696BBC"/>
    <w:rsid w:val="006975F2"/>
    <w:rsid w:val="006A1928"/>
    <w:rsid w:val="006A212D"/>
    <w:rsid w:val="006A22C4"/>
    <w:rsid w:val="006A5740"/>
    <w:rsid w:val="006A5B8D"/>
    <w:rsid w:val="006A60EC"/>
    <w:rsid w:val="006A62B7"/>
    <w:rsid w:val="006A6AC5"/>
    <w:rsid w:val="006A768D"/>
    <w:rsid w:val="006B01A5"/>
    <w:rsid w:val="006B0924"/>
    <w:rsid w:val="006B11BC"/>
    <w:rsid w:val="006B12E7"/>
    <w:rsid w:val="006B2AB9"/>
    <w:rsid w:val="006B2C10"/>
    <w:rsid w:val="006B319A"/>
    <w:rsid w:val="006B38A2"/>
    <w:rsid w:val="006B3EE0"/>
    <w:rsid w:val="006B4B18"/>
    <w:rsid w:val="006B5909"/>
    <w:rsid w:val="006B612B"/>
    <w:rsid w:val="006B64ED"/>
    <w:rsid w:val="006B6723"/>
    <w:rsid w:val="006B76EB"/>
    <w:rsid w:val="006B7C98"/>
    <w:rsid w:val="006C027A"/>
    <w:rsid w:val="006C247F"/>
    <w:rsid w:val="006C378B"/>
    <w:rsid w:val="006C3E2B"/>
    <w:rsid w:val="006C5D49"/>
    <w:rsid w:val="006C60EB"/>
    <w:rsid w:val="006C6FE0"/>
    <w:rsid w:val="006C72AF"/>
    <w:rsid w:val="006C77EB"/>
    <w:rsid w:val="006C781B"/>
    <w:rsid w:val="006C7F52"/>
    <w:rsid w:val="006D0FA4"/>
    <w:rsid w:val="006D12D4"/>
    <w:rsid w:val="006D1893"/>
    <w:rsid w:val="006D1DA9"/>
    <w:rsid w:val="006D216B"/>
    <w:rsid w:val="006D27FF"/>
    <w:rsid w:val="006D2A71"/>
    <w:rsid w:val="006D33B3"/>
    <w:rsid w:val="006D366F"/>
    <w:rsid w:val="006D36B4"/>
    <w:rsid w:val="006D3A66"/>
    <w:rsid w:val="006D484D"/>
    <w:rsid w:val="006D5B2D"/>
    <w:rsid w:val="006D60E1"/>
    <w:rsid w:val="006D690E"/>
    <w:rsid w:val="006D6F7D"/>
    <w:rsid w:val="006D7220"/>
    <w:rsid w:val="006E00BD"/>
    <w:rsid w:val="006E1331"/>
    <w:rsid w:val="006E1502"/>
    <w:rsid w:val="006E1E4B"/>
    <w:rsid w:val="006E2DA7"/>
    <w:rsid w:val="006E2E27"/>
    <w:rsid w:val="006E2FF8"/>
    <w:rsid w:val="006E4095"/>
    <w:rsid w:val="006E415A"/>
    <w:rsid w:val="006E416B"/>
    <w:rsid w:val="006E50A8"/>
    <w:rsid w:val="006E5581"/>
    <w:rsid w:val="006E5EF3"/>
    <w:rsid w:val="006E60E5"/>
    <w:rsid w:val="006E6A90"/>
    <w:rsid w:val="006E6D3A"/>
    <w:rsid w:val="006E71DA"/>
    <w:rsid w:val="006E73EC"/>
    <w:rsid w:val="006E76B1"/>
    <w:rsid w:val="006E7CBF"/>
    <w:rsid w:val="006F030F"/>
    <w:rsid w:val="006F06E4"/>
    <w:rsid w:val="006F205E"/>
    <w:rsid w:val="006F3F57"/>
    <w:rsid w:val="006F4D99"/>
    <w:rsid w:val="006F4E05"/>
    <w:rsid w:val="006F5BFB"/>
    <w:rsid w:val="006F721A"/>
    <w:rsid w:val="006F77B4"/>
    <w:rsid w:val="006F7853"/>
    <w:rsid w:val="006F7918"/>
    <w:rsid w:val="0070062D"/>
    <w:rsid w:val="00700862"/>
    <w:rsid w:val="007009FE"/>
    <w:rsid w:val="00700AC3"/>
    <w:rsid w:val="00700E28"/>
    <w:rsid w:val="007012AD"/>
    <w:rsid w:val="00701A0C"/>
    <w:rsid w:val="00701D33"/>
    <w:rsid w:val="00702096"/>
    <w:rsid w:val="00702C79"/>
    <w:rsid w:val="00702CBC"/>
    <w:rsid w:val="0070319C"/>
    <w:rsid w:val="007036AB"/>
    <w:rsid w:val="00704AD2"/>
    <w:rsid w:val="0070531C"/>
    <w:rsid w:val="007057EF"/>
    <w:rsid w:val="00706D8F"/>
    <w:rsid w:val="00707CB5"/>
    <w:rsid w:val="00707E33"/>
    <w:rsid w:val="00710683"/>
    <w:rsid w:val="0071078B"/>
    <w:rsid w:val="00711380"/>
    <w:rsid w:val="00711481"/>
    <w:rsid w:val="00711EA2"/>
    <w:rsid w:val="00711F3A"/>
    <w:rsid w:val="00712F0C"/>
    <w:rsid w:val="0071316B"/>
    <w:rsid w:val="00713495"/>
    <w:rsid w:val="00713CF2"/>
    <w:rsid w:val="00714748"/>
    <w:rsid w:val="00714B31"/>
    <w:rsid w:val="0071524E"/>
    <w:rsid w:val="00715ABA"/>
    <w:rsid w:val="00715E21"/>
    <w:rsid w:val="00716128"/>
    <w:rsid w:val="00716467"/>
    <w:rsid w:val="007179BD"/>
    <w:rsid w:val="00717BF7"/>
    <w:rsid w:val="007205C3"/>
    <w:rsid w:val="00720717"/>
    <w:rsid w:val="00721723"/>
    <w:rsid w:val="00722600"/>
    <w:rsid w:val="0072298F"/>
    <w:rsid w:val="00722F19"/>
    <w:rsid w:val="00724489"/>
    <w:rsid w:val="0072465C"/>
    <w:rsid w:val="007246D1"/>
    <w:rsid w:val="00724777"/>
    <w:rsid w:val="00725BD4"/>
    <w:rsid w:val="007265FC"/>
    <w:rsid w:val="00727768"/>
    <w:rsid w:val="00727FAD"/>
    <w:rsid w:val="00730165"/>
    <w:rsid w:val="007302A3"/>
    <w:rsid w:val="00730FE4"/>
    <w:rsid w:val="00731375"/>
    <w:rsid w:val="00731B17"/>
    <w:rsid w:val="00731B80"/>
    <w:rsid w:val="00731D81"/>
    <w:rsid w:val="00732129"/>
    <w:rsid w:val="0073475C"/>
    <w:rsid w:val="007348D9"/>
    <w:rsid w:val="0073582B"/>
    <w:rsid w:val="00737841"/>
    <w:rsid w:val="00737DFC"/>
    <w:rsid w:val="007405F7"/>
    <w:rsid w:val="007406AF"/>
    <w:rsid w:val="0074302F"/>
    <w:rsid w:val="00743305"/>
    <w:rsid w:val="00743A16"/>
    <w:rsid w:val="00743FB3"/>
    <w:rsid w:val="00744585"/>
    <w:rsid w:val="00744B03"/>
    <w:rsid w:val="00744D9B"/>
    <w:rsid w:val="007457ED"/>
    <w:rsid w:val="00745AC9"/>
    <w:rsid w:val="00746E64"/>
    <w:rsid w:val="00747084"/>
    <w:rsid w:val="0075165A"/>
    <w:rsid w:val="00751E45"/>
    <w:rsid w:val="00752FB4"/>
    <w:rsid w:val="00753A9F"/>
    <w:rsid w:val="00756589"/>
    <w:rsid w:val="007565F8"/>
    <w:rsid w:val="0075672A"/>
    <w:rsid w:val="00756BF0"/>
    <w:rsid w:val="007576C9"/>
    <w:rsid w:val="00757E0B"/>
    <w:rsid w:val="00757FEB"/>
    <w:rsid w:val="00760131"/>
    <w:rsid w:val="0076068A"/>
    <w:rsid w:val="00760B57"/>
    <w:rsid w:val="00761D36"/>
    <w:rsid w:val="00762795"/>
    <w:rsid w:val="00762A34"/>
    <w:rsid w:val="007630EB"/>
    <w:rsid w:val="00763C03"/>
    <w:rsid w:val="00765365"/>
    <w:rsid w:val="0076563D"/>
    <w:rsid w:val="007656FC"/>
    <w:rsid w:val="0076699B"/>
    <w:rsid w:val="007669AA"/>
    <w:rsid w:val="00766BE2"/>
    <w:rsid w:val="00767810"/>
    <w:rsid w:val="007706AD"/>
    <w:rsid w:val="0077091F"/>
    <w:rsid w:val="00770E04"/>
    <w:rsid w:val="00770F63"/>
    <w:rsid w:val="00771344"/>
    <w:rsid w:val="00772192"/>
    <w:rsid w:val="007724CC"/>
    <w:rsid w:val="00772B09"/>
    <w:rsid w:val="00772C25"/>
    <w:rsid w:val="00772E64"/>
    <w:rsid w:val="007731E3"/>
    <w:rsid w:val="007739B6"/>
    <w:rsid w:val="00773EC7"/>
    <w:rsid w:val="00774506"/>
    <w:rsid w:val="00774558"/>
    <w:rsid w:val="00774CDD"/>
    <w:rsid w:val="00775649"/>
    <w:rsid w:val="00775A14"/>
    <w:rsid w:val="00775C86"/>
    <w:rsid w:val="00776066"/>
    <w:rsid w:val="00776A29"/>
    <w:rsid w:val="007777AE"/>
    <w:rsid w:val="00777C86"/>
    <w:rsid w:val="007802BE"/>
    <w:rsid w:val="00780D72"/>
    <w:rsid w:val="0078103D"/>
    <w:rsid w:val="00781C83"/>
    <w:rsid w:val="00781DE3"/>
    <w:rsid w:val="00783364"/>
    <w:rsid w:val="00783603"/>
    <w:rsid w:val="007836F3"/>
    <w:rsid w:val="007839B0"/>
    <w:rsid w:val="00783EB5"/>
    <w:rsid w:val="007864DE"/>
    <w:rsid w:val="0078658B"/>
    <w:rsid w:val="007879F8"/>
    <w:rsid w:val="007910D6"/>
    <w:rsid w:val="0079195E"/>
    <w:rsid w:val="00792A12"/>
    <w:rsid w:val="00792E03"/>
    <w:rsid w:val="007949ED"/>
    <w:rsid w:val="00794B16"/>
    <w:rsid w:val="0079505F"/>
    <w:rsid w:val="007951DD"/>
    <w:rsid w:val="00796999"/>
    <w:rsid w:val="00796C5F"/>
    <w:rsid w:val="0079741A"/>
    <w:rsid w:val="0079776B"/>
    <w:rsid w:val="007A02B9"/>
    <w:rsid w:val="007A0E8B"/>
    <w:rsid w:val="007A1B8C"/>
    <w:rsid w:val="007A2392"/>
    <w:rsid w:val="007A2834"/>
    <w:rsid w:val="007A2C09"/>
    <w:rsid w:val="007A3021"/>
    <w:rsid w:val="007A3184"/>
    <w:rsid w:val="007A3596"/>
    <w:rsid w:val="007A39C1"/>
    <w:rsid w:val="007A49D5"/>
    <w:rsid w:val="007A546E"/>
    <w:rsid w:val="007A568D"/>
    <w:rsid w:val="007A571F"/>
    <w:rsid w:val="007A5902"/>
    <w:rsid w:val="007A59B0"/>
    <w:rsid w:val="007A6538"/>
    <w:rsid w:val="007A695A"/>
    <w:rsid w:val="007A6BEF"/>
    <w:rsid w:val="007B07E3"/>
    <w:rsid w:val="007B12DC"/>
    <w:rsid w:val="007B20FA"/>
    <w:rsid w:val="007B296F"/>
    <w:rsid w:val="007B2D6E"/>
    <w:rsid w:val="007B2FCD"/>
    <w:rsid w:val="007B3E94"/>
    <w:rsid w:val="007B42EA"/>
    <w:rsid w:val="007B4693"/>
    <w:rsid w:val="007B4840"/>
    <w:rsid w:val="007B4FD3"/>
    <w:rsid w:val="007B554F"/>
    <w:rsid w:val="007B60DC"/>
    <w:rsid w:val="007B6DDF"/>
    <w:rsid w:val="007B7568"/>
    <w:rsid w:val="007C076C"/>
    <w:rsid w:val="007C09E1"/>
    <w:rsid w:val="007C0F39"/>
    <w:rsid w:val="007C12DB"/>
    <w:rsid w:val="007C1BEC"/>
    <w:rsid w:val="007C1D20"/>
    <w:rsid w:val="007C1E86"/>
    <w:rsid w:val="007C214E"/>
    <w:rsid w:val="007C2556"/>
    <w:rsid w:val="007C267E"/>
    <w:rsid w:val="007C2F33"/>
    <w:rsid w:val="007C342B"/>
    <w:rsid w:val="007C3542"/>
    <w:rsid w:val="007C3C7F"/>
    <w:rsid w:val="007C3D9D"/>
    <w:rsid w:val="007C4686"/>
    <w:rsid w:val="007C4C22"/>
    <w:rsid w:val="007C5736"/>
    <w:rsid w:val="007C5F97"/>
    <w:rsid w:val="007C67ED"/>
    <w:rsid w:val="007C6851"/>
    <w:rsid w:val="007C6E2D"/>
    <w:rsid w:val="007C7B8F"/>
    <w:rsid w:val="007D01B0"/>
    <w:rsid w:val="007D107D"/>
    <w:rsid w:val="007D13D7"/>
    <w:rsid w:val="007D2772"/>
    <w:rsid w:val="007D2A02"/>
    <w:rsid w:val="007D353B"/>
    <w:rsid w:val="007D3E6B"/>
    <w:rsid w:val="007D4DAD"/>
    <w:rsid w:val="007D4F49"/>
    <w:rsid w:val="007D7C45"/>
    <w:rsid w:val="007E050D"/>
    <w:rsid w:val="007E1291"/>
    <w:rsid w:val="007E140B"/>
    <w:rsid w:val="007E169D"/>
    <w:rsid w:val="007E1953"/>
    <w:rsid w:val="007E2A14"/>
    <w:rsid w:val="007E43C5"/>
    <w:rsid w:val="007E44BC"/>
    <w:rsid w:val="007E45F7"/>
    <w:rsid w:val="007E464F"/>
    <w:rsid w:val="007E46B5"/>
    <w:rsid w:val="007E4990"/>
    <w:rsid w:val="007E4C99"/>
    <w:rsid w:val="007E588A"/>
    <w:rsid w:val="007E5CCE"/>
    <w:rsid w:val="007E6F1A"/>
    <w:rsid w:val="007E7D02"/>
    <w:rsid w:val="007E7F6F"/>
    <w:rsid w:val="007F056F"/>
    <w:rsid w:val="007F05F2"/>
    <w:rsid w:val="007F0C4D"/>
    <w:rsid w:val="007F0F07"/>
    <w:rsid w:val="007F1201"/>
    <w:rsid w:val="007F238F"/>
    <w:rsid w:val="007F26DC"/>
    <w:rsid w:val="007F2C5B"/>
    <w:rsid w:val="007F6F2D"/>
    <w:rsid w:val="007F736F"/>
    <w:rsid w:val="007F738B"/>
    <w:rsid w:val="00800374"/>
    <w:rsid w:val="00800397"/>
    <w:rsid w:val="00800472"/>
    <w:rsid w:val="008008C5"/>
    <w:rsid w:val="00800A51"/>
    <w:rsid w:val="00800EA6"/>
    <w:rsid w:val="008011BE"/>
    <w:rsid w:val="008018F0"/>
    <w:rsid w:val="0080218D"/>
    <w:rsid w:val="00802252"/>
    <w:rsid w:val="00802E4A"/>
    <w:rsid w:val="00803401"/>
    <w:rsid w:val="008035B6"/>
    <w:rsid w:val="00803839"/>
    <w:rsid w:val="008043AC"/>
    <w:rsid w:val="00804F4A"/>
    <w:rsid w:val="008063BB"/>
    <w:rsid w:val="008064D7"/>
    <w:rsid w:val="0080678E"/>
    <w:rsid w:val="008077CE"/>
    <w:rsid w:val="008101E0"/>
    <w:rsid w:val="00811074"/>
    <w:rsid w:val="00811788"/>
    <w:rsid w:val="00812564"/>
    <w:rsid w:val="008130D5"/>
    <w:rsid w:val="00813197"/>
    <w:rsid w:val="0081378D"/>
    <w:rsid w:val="00814306"/>
    <w:rsid w:val="0081539A"/>
    <w:rsid w:val="00815CD8"/>
    <w:rsid w:val="00816EDD"/>
    <w:rsid w:val="0081744B"/>
    <w:rsid w:val="008179EF"/>
    <w:rsid w:val="0082073B"/>
    <w:rsid w:val="0082078B"/>
    <w:rsid w:val="00822230"/>
    <w:rsid w:val="008225EB"/>
    <w:rsid w:val="008226BA"/>
    <w:rsid w:val="008231CF"/>
    <w:rsid w:val="008235AD"/>
    <w:rsid w:val="00824410"/>
    <w:rsid w:val="00824A38"/>
    <w:rsid w:val="0082522D"/>
    <w:rsid w:val="00826A66"/>
    <w:rsid w:val="00826B5D"/>
    <w:rsid w:val="00826E19"/>
    <w:rsid w:val="008279FB"/>
    <w:rsid w:val="00827C49"/>
    <w:rsid w:val="0083053C"/>
    <w:rsid w:val="00830647"/>
    <w:rsid w:val="00830F96"/>
    <w:rsid w:val="00831319"/>
    <w:rsid w:val="0083139F"/>
    <w:rsid w:val="0083170C"/>
    <w:rsid w:val="008326AB"/>
    <w:rsid w:val="00833440"/>
    <w:rsid w:val="0083388A"/>
    <w:rsid w:val="008338B6"/>
    <w:rsid w:val="0083399F"/>
    <w:rsid w:val="00833AA6"/>
    <w:rsid w:val="00834748"/>
    <w:rsid w:val="008366CF"/>
    <w:rsid w:val="00837424"/>
    <w:rsid w:val="00837542"/>
    <w:rsid w:val="00837BD3"/>
    <w:rsid w:val="008405AC"/>
    <w:rsid w:val="008407E6"/>
    <w:rsid w:val="00840DE5"/>
    <w:rsid w:val="008412A9"/>
    <w:rsid w:val="00842276"/>
    <w:rsid w:val="008423BE"/>
    <w:rsid w:val="0084286A"/>
    <w:rsid w:val="00843BD8"/>
    <w:rsid w:val="00844485"/>
    <w:rsid w:val="0084477A"/>
    <w:rsid w:val="0084533E"/>
    <w:rsid w:val="00845410"/>
    <w:rsid w:val="00845934"/>
    <w:rsid w:val="00846A9D"/>
    <w:rsid w:val="00846CFF"/>
    <w:rsid w:val="00847E57"/>
    <w:rsid w:val="00850550"/>
    <w:rsid w:val="008508F9"/>
    <w:rsid w:val="00851441"/>
    <w:rsid w:val="00852777"/>
    <w:rsid w:val="00852A8A"/>
    <w:rsid w:val="008535F5"/>
    <w:rsid w:val="008539BE"/>
    <w:rsid w:val="00853C0A"/>
    <w:rsid w:val="00853D69"/>
    <w:rsid w:val="0085441B"/>
    <w:rsid w:val="00854A5D"/>
    <w:rsid w:val="0085567C"/>
    <w:rsid w:val="00855E9D"/>
    <w:rsid w:val="00856503"/>
    <w:rsid w:val="00856C28"/>
    <w:rsid w:val="00857355"/>
    <w:rsid w:val="008573A5"/>
    <w:rsid w:val="008576B8"/>
    <w:rsid w:val="0085784B"/>
    <w:rsid w:val="0086011A"/>
    <w:rsid w:val="008603F6"/>
    <w:rsid w:val="0086084A"/>
    <w:rsid w:val="008608AC"/>
    <w:rsid w:val="008609C1"/>
    <w:rsid w:val="00860E83"/>
    <w:rsid w:val="00860E8D"/>
    <w:rsid w:val="008615BD"/>
    <w:rsid w:val="008617CD"/>
    <w:rsid w:val="0086183C"/>
    <w:rsid w:val="008641D3"/>
    <w:rsid w:val="008647AA"/>
    <w:rsid w:val="008648BC"/>
    <w:rsid w:val="00864F01"/>
    <w:rsid w:val="008652D7"/>
    <w:rsid w:val="00865E40"/>
    <w:rsid w:val="00866452"/>
    <w:rsid w:val="00866554"/>
    <w:rsid w:val="00866EC9"/>
    <w:rsid w:val="00867038"/>
    <w:rsid w:val="008674F9"/>
    <w:rsid w:val="0087067D"/>
    <w:rsid w:val="00870DC6"/>
    <w:rsid w:val="00870EB0"/>
    <w:rsid w:val="008715DB"/>
    <w:rsid w:val="00872877"/>
    <w:rsid w:val="0087340F"/>
    <w:rsid w:val="00873869"/>
    <w:rsid w:val="00874C8C"/>
    <w:rsid w:val="00875037"/>
    <w:rsid w:val="00875FBA"/>
    <w:rsid w:val="0087629B"/>
    <w:rsid w:val="008766DF"/>
    <w:rsid w:val="00876835"/>
    <w:rsid w:val="00876EF2"/>
    <w:rsid w:val="008776B5"/>
    <w:rsid w:val="00877C49"/>
    <w:rsid w:val="00877FD7"/>
    <w:rsid w:val="0088036D"/>
    <w:rsid w:val="00880716"/>
    <w:rsid w:val="00880898"/>
    <w:rsid w:val="00880C40"/>
    <w:rsid w:val="008815EB"/>
    <w:rsid w:val="0088248F"/>
    <w:rsid w:val="00882966"/>
    <w:rsid w:val="00882CD9"/>
    <w:rsid w:val="0088355D"/>
    <w:rsid w:val="008841CE"/>
    <w:rsid w:val="00884EC2"/>
    <w:rsid w:val="008851EE"/>
    <w:rsid w:val="0088667B"/>
    <w:rsid w:val="008874BB"/>
    <w:rsid w:val="008874C7"/>
    <w:rsid w:val="00887625"/>
    <w:rsid w:val="00890410"/>
    <w:rsid w:val="00890BF0"/>
    <w:rsid w:val="008910FF"/>
    <w:rsid w:val="00891338"/>
    <w:rsid w:val="00891B49"/>
    <w:rsid w:val="00891C2D"/>
    <w:rsid w:val="00892022"/>
    <w:rsid w:val="00893846"/>
    <w:rsid w:val="008939FE"/>
    <w:rsid w:val="00895033"/>
    <w:rsid w:val="00895104"/>
    <w:rsid w:val="00895E47"/>
    <w:rsid w:val="008965F7"/>
    <w:rsid w:val="00896B86"/>
    <w:rsid w:val="00896CE1"/>
    <w:rsid w:val="008A03A4"/>
    <w:rsid w:val="008A0459"/>
    <w:rsid w:val="008A055D"/>
    <w:rsid w:val="008A08C7"/>
    <w:rsid w:val="008A10BB"/>
    <w:rsid w:val="008A114C"/>
    <w:rsid w:val="008A143E"/>
    <w:rsid w:val="008A1BB2"/>
    <w:rsid w:val="008A1BC3"/>
    <w:rsid w:val="008A20A0"/>
    <w:rsid w:val="008A2D79"/>
    <w:rsid w:val="008A3AE5"/>
    <w:rsid w:val="008A43CC"/>
    <w:rsid w:val="008A5F36"/>
    <w:rsid w:val="008A6F41"/>
    <w:rsid w:val="008A6F65"/>
    <w:rsid w:val="008B0666"/>
    <w:rsid w:val="008B0FB5"/>
    <w:rsid w:val="008B12C2"/>
    <w:rsid w:val="008B1999"/>
    <w:rsid w:val="008B20F7"/>
    <w:rsid w:val="008B225D"/>
    <w:rsid w:val="008B2CAF"/>
    <w:rsid w:val="008B3B9E"/>
    <w:rsid w:val="008B3CDF"/>
    <w:rsid w:val="008B3ECF"/>
    <w:rsid w:val="008B403E"/>
    <w:rsid w:val="008B4A9C"/>
    <w:rsid w:val="008B6078"/>
    <w:rsid w:val="008B69B6"/>
    <w:rsid w:val="008B7C6E"/>
    <w:rsid w:val="008C0216"/>
    <w:rsid w:val="008C085D"/>
    <w:rsid w:val="008C097D"/>
    <w:rsid w:val="008C0FE9"/>
    <w:rsid w:val="008C192E"/>
    <w:rsid w:val="008C2573"/>
    <w:rsid w:val="008C2F8B"/>
    <w:rsid w:val="008C438F"/>
    <w:rsid w:val="008C449F"/>
    <w:rsid w:val="008C4E1E"/>
    <w:rsid w:val="008C5BE9"/>
    <w:rsid w:val="008C5DAA"/>
    <w:rsid w:val="008C5FC8"/>
    <w:rsid w:val="008C686F"/>
    <w:rsid w:val="008C6B27"/>
    <w:rsid w:val="008C6C2F"/>
    <w:rsid w:val="008C7399"/>
    <w:rsid w:val="008C7811"/>
    <w:rsid w:val="008C7F1C"/>
    <w:rsid w:val="008D0753"/>
    <w:rsid w:val="008D0F3D"/>
    <w:rsid w:val="008D1782"/>
    <w:rsid w:val="008D1B2D"/>
    <w:rsid w:val="008D1F5D"/>
    <w:rsid w:val="008D266D"/>
    <w:rsid w:val="008D2787"/>
    <w:rsid w:val="008D27E1"/>
    <w:rsid w:val="008D27E9"/>
    <w:rsid w:val="008D2AEC"/>
    <w:rsid w:val="008D2E02"/>
    <w:rsid w:val="008D2E97"/>
    <w:rsid w:val="008D3314"/>
    <w:rsid w:val="008D3805"/>
    <w:rsid w:val="008D3D6D"/>
    <w:rsid w:val="008D3FEA"/>
    <w:rsid w:val="008D4073"/>
    <w:rsid w:val="008D43BA"/>
    <w:rsid w:val="008D46E1"/>
    <w:rsid w:val="008D4840"/>
    <w:rsid w:val="008D4DC9"/>
    <w:rsid w:val="008D6585"/>
    <w:rsid w:val="008D699D"/>
    <w:rsid w:val="008D7CAC"/>
    <w:rsid w:val="008D7DA5"/>
    <w:rsid w:val="008E016C"/>
    <w:rsid w:val="008E0185"/>
    <w:rsid w:val="008E0301"/>
    <w:rsid w:val="008E0C8C"/>
    <w:rsid w:val="008E0FE7"/>
    <w:rsid w:val="008E11A1"/>
    <w:rsid w:val="008E1581"/>
    <w:rsid w:val="008E1CAE"/>
    <w:rsid w:val="008E1EF2"/>
    <w:rsid w:val="008E1FCC"/>
    <w:rsid w:val="008E22F9"/>
    <w:rsid w:val="008E2861"/>
    <w:rsid w:val="008E2CA7"/>
    <w:rsid w:val="008E3061"/>
    <w:rsid w:val="008E3AA7"/>
    <w:rsid w:val="008E5EC1"/>
    <w:rsid w:val="008E5F2F"/>
    <w:rsid w:val="008E6294"/>
    <w:rsid w:val="008E65B6"/>
    <w:rsid w:val="008E6936"/>
    <w:rsid w:val="008E6955"/>
    <w:rsid w:val="008E6BD2"/>
    <w:rsid w:val="008E732D"/>
    <w:rsid w:val="008E74D3"/>
    <w:rsid w:val="008E7829"/>
    <w:rsid w:val="008E7936"/>
    <w:rsid w:val="008E7D91"/>
    <w:rsid w:val="008F047B"/>
    <w:rsid w:val="008F159C"/>
    <w:rsid w:val="008F1B9A"/>
    <w:rsid w:val="008F2097"/>
    <w:rsid w:val="008F21C1"/>
    <w:rsid w:val="008F30B9"/>
    <w:rsid w:val="008F39CD"/>
    <w:rsid w:val="008F45DC"/>
    <w:rsid w:val="008F480B"/>
    <w:rsid w:val="008F4C2E"/>
    <w:rsid w:val="008F5681"/>
    <w:rsid w:val="008F6451"/>
    <w:rsid w:val="008F7ABC"/>
    <w:rsid w:val="008F7DC8"/>
    <w:rsid w:val="008F7FB3"/>
    <w:rsid w:val="00900085"/>
    <w:rsid w:val="0090072C"/>
    <w:rsid w:val="00900F53"/>
    <w:rsid w:val="00901015"/>
    <w:rsid w:val="00901ADF"/>
    <w:rsid w:val="00901CCF"/>
    <w:rsid w:val="00902E76"/>
    <w:rsid w:val="00902FD0"/>
    <w:rsid w:val="00903944"/>
    <w:rsid w:val="00904980"/>
    <w:rsid w:val="00904C2D"/>
    <w:rsid w:val="00905500"/>
    <w:rsid w:val="009058F6"/>
    <w:rsid w:val="00906114"/>
    <w:rsid w:val="00906E50"/>
    <w:rsid w:val="0090767D"/>
    <w:rsid w:val="00910B29"/>
    <w:rsid w:val="00910F40"/>
    <w:rsid w:val="00911D8C"/>
    <w:rsid w:val="00913208"/>
    <w:rsid w:val="009134A8"/>
    <w:rsid w:val="009135D4"/>
    <w:rsid w:val="00913956"/>
    <w:rsid w:val="00913B74"/>
    <w:rsid w:val="00913FD9"/>
    <w:rsid w:val="00914FA2"/>
    <w:rsid w:val="009152CC"/>
    <w:rsid w:val="00916DAF"/>
    <w:rsid w:val="009175D3"/>
    <w:rsid w:val="00921898"/>
    <w:rsid w:val="00921996"/>
    <w:rsid w:val="00921E25"/>
    <w:rsid w:val="009221FD"/>
    <w:rsid w:val="00922857"/>
    <w:rsid w:val="009236B9"/>
    <w:rsid w:val="0092414D"/>
    <w:rsid w:val="00924880"/>
    <w:rsid w:val="0092519C"/>
    <w:rsid w:val="009254E0"/>
    <w:rsid w:val="00925A28"/>
    <w:rsid w:val="00926015"/>
    <w:rsid w:val="0092669D"/>
    <w:rsid w:val="00926990"/>
    <w:rsid w:val="00926D65"/>
    <w:rsid w:val="00926E80"/>
    <w:rsid w:val="0092734E"/>
    <w:rsid w:val="009275B0"/>
    <w:rsid w:val="00927E1F"/>
    <w:rsid w:val="0093059A"/>
    <w:rsid w:val="00930A86"/>
    <w:rsid w:val="00930A92"/>
    <w:rsid w:val="009312DB"/>
    <w:rsid w:val="0093143D"/>
    <w:rsid w:val="0093189B"/>
    <w:rsid w:val="00931CFD"/>
    <w:rsid w:val="00931DB8"/>
    <w:rsid w:val="009320A1"/>
    <w:rsid w:val="009323A7"/>
    <w:rsid w:val="00932944"/>
    <w:rsid w:val="00934D58"/>
    <w:rsid w:val="00935044"/>
    <w:rsid w:val="0093507E"/>
    <w:rsid w:val="0093521A"/>
    <w:rsid w:val="00935D07"/>
    <w:rsid w:val="00936BA2"/>
    <w:rsid w:val="00936CCE"/>
    <w:rsid w:val="00936FD5"/>
    <w:rsid w:val="00937899"/>
    <w:rsid w:val="009378F9"/>
    <w:rsid w:val="009405D2"/>
    <w:rsid w:val="00941194"/>
    <w:rsid w:val="00941C07"/>
    <w:rsid w:val="0094276A"/>
    <w:rsid w:val="009429BE"/>
    <w:rsid w:val="00942E04"/>
    <w:rsid w:val="00943654"/>
    <w:rsid w:val="009436FC"/>
    <w:rsid w:val="0094382B"/>
    <w:rsid w:val="0094397B"/>
    <w:rsid w:val="00943FEF"/>
    <w:rsid w:val="009443CB"/>
    <w:rsid w:val="009456F1"/>
    <w:rsid w:val="009457AB"/>
    <w:rsid w:val="0094596C"/>
    <w:rsid w:val="00945AE8"/>
    <w:rsid w:val="0094639E"/>
    <w:rsid w:val="009464B6"/>
    <w:rsid w:val="00946DDF"/>
    <w:rsid w:val="00947532"/>
    <w:rsid w:val="0094758A"/>
    <w:rsid w:val="00947CF3"/>
    <w:rsid w:val="00950712"/>
    <w:rsid w:val="0095099F"/>
    <w:rsid w:val="00950A3E"/>
    <w:rsid w:val="0095280B"/>
    <w:rsid w:val="00952A88"/>
    <w:rsid w:val="0095324F"/>
    <w:rsid w:val="009543CC"/>
    <w:rsid w:val="009562D8"/>
    <w:rsid w:val="009567A7"/>
    <w:rsid w:val="00957420"/>
    <w:rsid w:val="00960A85"/>
    <w:rsid w:val="0096195B"/>
    <w:rsid w:val="009622F5"/>
    <w:rsid w:val="00963211"/>
    <w:rsid w:val="00965134"/>
    <w:rsid w:val="00965408"/>
    <w:rsid w:val="009665B8"/>
    <w:rsid w:val="00966AFC"/>
    <w:rsid w:val="00966B2A"/>
    <w:rsid w:val="00966C7D"/>
    <w:rsid w:val="00966CCE"/>
    <w:rsid w:val="00967059"/>
    <w:rsid w:val="009670F6"/>
    <w:rsid w:val="009675E0"/>
    <w:rsid w:val="00967B5A"/>
    <w:rsid w:val="00970B71"/>
    <w:rsid w:val="00971ED6"/>
    <w:rsid w:val="0097216A"/>
    <w:rsid w:val="00972391"/>
    <w:rsid w:val="009723F3"/>
    <w:rsid w:val="00972665"/>
    <w:rsid w:val="009727A9"/>
    <w:rsid w:val="00974496"/>
    <w:rsid w:val="00974B95"/>
    <w:rsid w:val="00974EF0"/>
    <w:rsid w:val="009752E0"/>
    <w:rsid w:val="009771BD"/>
    <w:rsid w:val="00977DC2"/>
    <w:rsid w:val="00981732"/>
    <w:rsid w:val="00983835"/>
    <w:rsid w:val="00983AFD"/>
    <w:rsid w:val="00984FA0"/>
    <w:rsid w:val="0098504B"/>
    <w:rsid w:val="009851AC"/>
    <w:rsid w:val="00985A14"/>
    <w:rsid w:val="00985AC5"/>
    <w:rsid w:val="00986105"/>
    <w:rsid w:val="00986BC6"/>
    <w:rsid w:val="009871E5"/>
    <w:rsid w:val="00987B54"/>
    <w:rsid w:val="009908F3"/>
    <w:rsid w:val="009911BB"/>
    <w:rsid w:val="00991338"/>
    <w:rsid w:val="0099263F"/>
    <w:rsid w:val="00994198"/>
    <w:rsid w:val="00994407"/>
    <w:rsid w:val="00994B80"/>
    <w:rsid w:val="00995CEA"/>
    <w:rsid w:val="00996D06"/>
    <w:rsid w:val="009A00EA"/>
    <w:rsid w:val="009A03C1"/>
    <w:rsid w:val="009A16B1"/>
    <w:rsid w:val="009A19D9"/>
    <w:rsid w:val="009A1BD7"/>
    <w:rsid w:val="009A1C3B"/>
    <w:rsid w:val="009A1C43"/>
    <w:rsid w:val="009A1D13"/>
    <w:rsid w:val="009A1E4F"/>
    <w:rsid w:val="009A24C2"/>
    <w:rsid w:val="009A2EDD"/>
    <w:rsid w:val="009A3576"/>
    <w:rsid w:val="009A3C86"/>
    <w:rsid w:val="009A3E3F"/>
    <w:rsid w:val="009A4351"/>
    <w:rsid w:val="009A45BD"/>
    <w:rsid w:val="009A7039"/>
    <w:rsid w:val="009A71E1"/>
    <w:rsid w:val="009A7801"/>
    <w:rsid w:val="009A7964"/>
    <w:rsid w:val="009B0882"/>
    <w:rsid w:val="009B0B8A"/>
    <w:rsid w:val="009B1C43"/>
    <w:rsid w:val="009B1C8E"/>
    <w:rsid w:val="009B24D8"/>
    <w:rsid w:val="009B2A3C"/>
    <w:rsid w:val="009B2A90"/>
    <w:rsid w:val="009B36DC"/>
    <w:rsid w:val="009B4B9A"/>
    <w:rsid w:val="009B54C0"/>
    <w:rsid w:val="009B6736"/>
    <w:rsid w:val="009B6E73"/>
    <w:rsid w:val="009B7B31"/>
    <w:rsid w:val="009C1A09"/>
    <w:rsid w:val="009C1DF4"/>
    <w:rsid w:val="009C21FF"/>
    <w:rsid w:val="009C2B8D"/>
    <w:rsid w:val="009C362C"/>
    <w:rsid w:val="009C39B7"/>
    <w:rsid w:val="009C3B95"/>
    <w:rsid w:val="009C42FB"/>
    <w:rsid w:val="009C45EB"/>
    <w:rsid w:val="009C5181"/>
    <w:rsid w:val="009C51FE"/>
    <w:rsid w:val="009C53A5"/>
    <w:rsid w:val="009C5697"/>
    <w:rsid w:val="009C581D"/>
    <w:rsid w:val="009C5892"/>
    <w:rsid w:val="009C5B1A"/>
    <w:rsid w:val="009C6544"/>
    <w:rsid w:val="009C6E93"/>
    <w:rsid w:val="009C7155"/>
    <w:rsid w:val="009C7872"/>
    <w:rsid w:val="009C7B07"/>
    <w:rsid w:val="009C7BB0"/>
    <w:rsid w:val="009C7EA6"/>
    <w:rsid w:val="009D1C79"/>
    <w:rsid w:val="009D25D3"/>
    <w:rsid w:val="009D2CCB"/>
    <w:rsid w:val="009D2EFC"/>
    <w:rsid w:val="009D324B"/>
    <w:rsid w:val="009D32E2"/>
    <w:rsid w:val="009D3B94"/>
    <w:rsid w:val="009D3CDF"/>
    <w:rsid w:val="009D4073"/>
    <w:rsid w:val="009D451E"/>
    <w:rsid w:val="009D477C"/>
    <w:rsid w:val="009D5AA2"/>
    <w:rsid w:val="009D6A5D"/>
    <w:rsid w:val="009E06A2"/>
    <w:rsid w:val="009E0B33"/>
    <w:rsid w:val="009E0E82"/>
    <w:rsid w:val="009E0FFB"/>
    <w:rsid w:val="009E111D"/>
    <w:rsid w:val="009E124E"/>
    <w:rsid w:val="009E188F"/>
    <w:rsid w:val="009E18D9"/>
    <w:rsid w:val="009E1F0E"/>
    <w:rsid w:val="009E2174"/>
    <w:rsid w:val="009E2E14"/>
    <w:rsid w:val="009E3192"/>
    <w:rsid w:val="009E3296"/>
    <w:rsid w:val="009E369C"/>
    <w:rsid w:val="009E4265"/>
    <w:rsid w:val="009E457D"/>
    <w:rsid w:val="009E4BBC"/>
    <w:rsid w:val="009E4FE6"/>
    <w:rsid w:val="009E672B"/>
    <w:rsid w:val="009E6983"/>
    <w:rsid w:val="009E727C"/>
    <w:rsid w:val="009E73F7"/>
    <w:rsid w:val="009E7440"/>
    <w:rsid w:val="009E760B"/>
    <w:rsid w:val="009E787E"/>
    <w:rsid w:val="009E7BA0"/>
    <w:rsid w:val="009F01F7"/>
    <w:rsid w:val="009F084A"/>
    <w:rsid w:val="009F12AF"/>
    <w:rsid w:val="009F190B"/>
    <w:rsid w:val="009F251A"/>
    <w:rsid w:val="009F42C1"/>
    <w:rsid w:val="009F4D66"/>
    <w:rsid w:val="009F522F"/>
    <w:rsid w:val="009F5331"/>
    <w:rsid w:val="009F562F"/>
    <w:rsid w:val="009F5C2F"/>
    <w:rsid w:val="009F6014"/>
    <w:rsid w:val="009F63F4"/>
    <w:rsid w:val="009F64C6"/>
    <w:rsid w:val="009F72C2"/>
    <w:rsid w:val="00A00280"/>
    <w:rsid w:val="00A0237B"/>
    <w:rsid w:val="00A02F4A"/>
    <w:rsid w:val="00A034B0"/>
    <w:rsid w:val="00A05400"/>
    <w:rsid w:val="00A0550B"/>
    <w:rsid w:val="00A055EA"/>
    <w:rsid w:val="00A0649F"/>
    <w:rsid w:val="00A06B66"/>
    <w:rsid w:val="00A07168"/>
    <w:rsid w:val="00A074D4"/>
    <w:rsid w:val="00A10D6E"/>
    <w:rsid w:val="00A12B58"/>
    <w:rsid w:val="00A13772"/>
    <w:rsid w:val="00A14C08"/>
    <w:rsid w:val="00A14C95"/>
    <w:rsid w:val="00A15540"/>
    <w:rsid w:val="00A15745"/>
    <w:rsid w:val="00A15961"/>
    <w:rsid w:val="00A15DDD"/>
    <w:rsid w:val="00A163F4"/>
    <w:rsid w:val="00A16FDB"/>
    <w:rsid w:val="00A16FEC"/>
    <w:rsid w:val="00A1716A"/>
    <w:rsid w:val="00A17272"/>
    <w:rsid w:val="00A174C1"/>
    <w:rsid w:val="00A17606"/>
    <w:rsid w:val="00A205E8"/>
    <w:rsid w:val="00A206F6"/>
    <w:rsid w:val="00A20CD5"/>
    <w:rsid w:val="00A217E1"/>
    <w:rsid w:val="00A21AF4"/>
    <w:rsid w:val="00A21C87"/>
    <w:rsid w:val="00A222F9"/>
    <w:rsid w:val="00A2321B"/>
    <w:rsid w:val="00A23294"/>
    <w:rsid w:val="00A2334F"/>
    <w:rsid w:val="00A23445"/>
    <w:rsid w:val="00A23774"/>
    <w:rsid w:val="00A23C1A"/>
    <w:rsid w:val="00A24EB5"/>
    <w:rsid w:val="00A25119"/>
    <w:rsid w:val="00A25402"/>
    <w:rsid w:val="00A25F04"/>
    <w:rsid w:val="00A268E5"/>
    <w:rsid w:val="00A26C99"/>
    <w:rsid w:val="00A26DA1"/>
    <w:rsid w:val="00A2773A"/>
    <w:rsid w:val="00A3072D"/>
    <w:rsid w:val="00A30913"/>
    <w:rsid w:val="00A30960"/>
    <w:rsid w:val="00A31536"/>
    <w:rsid w:val="00A3157F"/>
    <w:rsid w:val="00A31852"/>
    <w:rsid w:val="00A32B74"/>
    <w:rsid w:val="00A32F1E"/>
    <w:rsid w:val="00A33023"/>
    <w:rsid w:val="00A332EF"/>
    <w:rsid w:val="00A338F1"/>
    <w:rsid w:val="00A339F5"/>
    <w:rsid w:val="00A33E8D"/>
    <w:rsid w:val="00A34B0E"/>
    <w:rsid w:val="00A34B44"/>
    <w:rsid w:val="00A358C9"/>
    <w:rsid w:val="00A3631B"/>
    <w:rsid w:val="00A37892"/>
    <w:rsid w:val="00A379E2"/>
    <w:rsid w:val="00A403A5"/>
    <w:rsid w:val="00A414EE"/>
    <w:rsid w:val="00A4156E"/>
    <w:rsid w:val="00A41E9C"/>
    <w:rsid w:val="00A4233A"/>
    <w:rsid w:val="00A43264"/>
    <w:rsid w:val="00A43FAE"/>
    <w:rsid w:val="00A450D1"/>
    <w:rsid w:val="00A452D1"/>
    <w:rsid w:val="00A46826"/>
    <w:rsid w:val="00A46D9B"/>
    <w:rsid w:val="00A46DE5"/>
    <w:rsid w:val="00A46FF9"/>
    <w:rsid w:val="00A50A24"/>
    <w:rsid w:val="00A5105B"/>
    <w:rsid w:val="00A51B81"/>
    <w:rsid w:val="00A527E0"/>
    <w:rsid w:val="00A53606"/>
    <w:rsid w:val="00A5473B"/>
    <w:rsid w:val="00A547B8"/>
    <w:rsid w:val="00A54AA0"/>
    <w:rsid w:val="00A54D0B"/>
    <w:rsid w:val="00A54F94"/>
    <w:rsid w:val="00A54FD7"/>
    <w:rsid w:val="00A55612"/>
    <w:rsid w:val="00A55F8E"/>
    <w:rsid w:val="00A57093"/>
    <w:rsid w:val="00A579A8"/>
    <w:rsid w:val="00A57C26"/>
    <w:rsid w:val="00A60166"/>
    <w:rsid w:val="00A6075E"/>
    <w:rsid w:val="00A6095D"/>
    <w:rsid w:val="00A62C34"/>
    <w:rsid w:val="00A6343A"/>
    <w:rsid w:val="00A63A2F"/>
    <w:rsid w:val="00A6413D"/>
    <w:rsid w:val="00A642A7"/>
    <w:rsid w:val="00A64342"/>
    <w:rsid w:val="00A64C98"/>
    <w:rsid w:val="00A654CA"/>
    <w:rsid w:val="00A65C13"/>
    <w:rsid w:val="00A660C4"/>
    <w:rsid w:val="00A6708F"/>
    <w:rsid w:val="00A6724B"/>
    <w:rsid w:val="00A7046C"/>
    <w:rsid w:val="00A70868"/>
    <w:rsid w:val="00A70EC9"/>
    <w:rsid w:val="00A70FBB"/>
    <w:rsid w:val="00A71FBF"/>
    <w:rsid w:val="00A72085"/>
    <w:rsid w:val="00A72319"/>
    <w:rsid w:val="00A7231E"/>
    <w:rsid w:val="00A7286C"/>
    <w:rsid w:val="00A73272"/>
    <w:rsid w:val="00A741FB"/>
    <w:rsid w:val="00A74C26"/>
    <w:rsid w:val="00A74DC6"/>
    <w:rsid w:val="00A75EF6"/>
    <w:rsid w:val="00A8035B"/>
    <w:rsid w:val="00A80460"/>
    <w:rsid w:val="00A80B82"/>
    <w:rsid w:val="00A80DDE"/>
    <w:rsid w:val="00A80FA1"/>
    <w:rsid w:val="00A81092"/>
    <w:rsid w:val="00A828FE"/>
    <w:rsid w:val="00A836F9"/>
    <w:rsid w:val="00A83F85"/>
    <w:rsid w:val="00A83FDC"/>
    <w:rsid w:val="00A84A13"/>
    <w:rsid w:val="00A85A40"/>
    <w:rsid w:val="00A87023"/>
    <w:rsid w:val="00A90093"/>
    <w:rsid w:val="00A9086E"/>
    <w:rsid w:val="00A9091C"/>
    <w:rsid w:val="00A91562"/>
    <w:rsid w:val="00A92275"/>
    <w:rsid w:val="00A9288A"/>
    <w:rsid w:val="00A93003"/>
    <w:rsid w:val="00A93AE9"/>
    <w:rsid w:val="00A94122"/>
    <w:rsid w:val="00A95BB2"/>
    <w:rsid w:val="00A966CE"/>
    <w:rsid w:val="00A96998"/>
    <w:rsid w:val="00A97F33"/>
    <w:rsid w:val="00AA0376"/>
    <w:rsid w:val="00AA0B16"/>
    <w:rsid w:val="00AA0B2B"/>
    <w:rsid w:val="00AA0EE0"/>
    <w:rsid w:val="00AA1B9F"/>
    <w:rsid w:val="00AA1DF6"/>
    <w:rsid w:val="00AA2327"/>
    <w:rsid w:val="00AA2E24"/>
    <w:rsid w:val="00AA314E"/>
    <w:rsid w:val="00AA3F57"/>
    <w:rsid w:val="00AA4035"/>
    <w:rsid w:val="00AA41FF"/>
    <w:rsid w:val="00AA47A3"/>
    <w:rsid w:val="00AA4E10"/>
    <w:rsid w:val="00AA50FF"/>
    <w:rsid w:val="00AA536D"/>
    <w:rsid w:val="00AA56A5"/>
    <w:rsid w:val="00AA6AAD"/>
    <w:rsid w:val="00AA7517"/>
    <w:rsid w:val="00AB1113"/>
    <w:rsid w:val="00AB19F9"/>
    <w:rsid w:val="00AB2E55"/>
    <w:rsid w:val="00AB34CB"/>
    <w:rsid w:val="00AB3D8E"/>
    <w:rsid w:val="00AB4251"/>
    <w:rsid w:val="00AB4300"/>
    <w:rsid w:val="00AB4414"/>
    <w:rsid w:val="00AB460E"/>
    <w:rsid w:val="00AB4FB4"/>
    <w:rsid w:val="00AB527B"/>
    <w:rsid w:val="00AB54CD"/>
    <w:rsid w:val="00AB61DC"/>
    <w:rsid w:val="00AB6648"/>
    <w:rsid w:val="00AB6C7E"/>
    <w:rsid w:val="00AB6EBA"/>
    <w:rsid w:val="00AB6F1E"/>
    <w:rsid w:val="00AB799E"/>
    <w:rsid w:val="00AB7E36"/>
    <w:rsid w:val="00AC051A"/>
    <w:rsid w:val="00AC053F"/>
    <w:rsid w:val="00AC076F"/>
    <w:rsid w:val="00AC09B4"/>
    <w:rsid w:val="00AC0AAD"/>
    <w:rsid w:val="00AC0CE8"/>
    <w:rsid w:val="00AC1D3E"/>
    <w:rsid w:val="00AC2CC6"/>
    <w:rsid w:val="00AC33E3"/>
    <w:rsid w:val="00AC3777"/>
    <w:rsid w:val="00AC445E"/>
    <w:rsid w:val="00AC49A1"/>
    <w:rsid w:val="00AC49F0"/>
    <w:rsid w:val="00AC5189"/>
    <w:rsid w:val="00AC5B3E"/>
    <w:rsid w:val="00AC6919"/>
    <w:rsid w:val="00AC7210"/>
    <w:rsid w:val="00AC7BE9"/>
    <w:rsid w:val="00AD16AF"/>
    <w:rsid w:val="00AD179E"/>
    <w:rsid w:val="00AD20AC"/>
    <w:rsid w:val="00AD22B6"/>
    <w:rsid w:val="00AD3332"/>
    <w:rsid w:val="00AD35F5"/>
    <w:rsid w:val="00AD393B"/>
    <w:rsid w:val="00AD4845"/>
    <w:rsid w:val="00AD494A"/>
    <w:rsid w:val="00AD4B1B"/>
    <w:rsid w:val="00AD54AF"/>
    <w:rsid w:val="00AD59BA"/>
    <w:rsid w:val="00AD5C6F"/>
    <w:rsid w:val="00AD66E2"/>
    <w:rsid w:val="00AD6A27"/>
    <w:rsid w:val="00AD6F00"/>
    <w:rsid w:val="00AD772A"/>
    <w:rsid w:val="00AD78C6"/>
    <w:rsid w:val="00AD7EB1"/>
    <w:rsid w:val="00AE0E6C"/>
    <w:rsid w:val="00AE1284"/>
    <w:rsid w:val="00AE1F37"/>
    <w:rsid w:val="00AE1F45"/>
    <w:rsid w:val="00AE274F"/>
    <w:rsid w:val="00AE2B5E"/>
    <w:rsid w:val="00AE4B6A"/>
    <w:rsid w:val="00AE4F00"/>
    <w:rsid w:val="00AE5D4B"/>
    <w:rsid w:val="00AE63F8"/>
    <w:rsid w:val="00AE7B4B"/>
    <w:rsid w:val="00AE7BD2"/>
    <w:rsid w:val="00AF01A0"/>
    <w:rsid w:val="00AF0715"/>
    <w:rsid w:val="00AF0BB8"/>
    <w:rsid w:val="00AF221E"/>
    <w:rsid w:val="00AF2629"/>
    <w:rsid w:val="00AF3439"/>
    <w:rsid w:val="00AF4287"/>
    <w:rsid w:val="00AF4A04"/>
    <w:rsid w:val="00AF4E7A"/>
    <w:rsid w:val="00AF4F44"/>
    <w:rsid w:val="00AF5157"/>
    <w:rsid w:val="00AF551A"/>
    <w:rsid w:val="00AF65E9"/>
    <w:rsid w:val="00AF6663"/>
    <w:rsid w:val="00AF794F"/>
    <w:rsid w:val="00AF7C97"/>
    <w:rsid w:val="00B0066C"/>
    <w:rsid w:val="00B007E7"/>
    <w:rsid w:val="00B00CC6"/>
    <w:rsid w:val="00B00FFB"/>
    <w:rsid w:val="00B01171"/>
    <w:rsid w:val="00B018FA"/>
    <w:rsid w:val="00B01A15"/>
    <w:rsid w:val="00B02522"/>
    <w:rsid w:val="00B028BA"/>
    <w:rsid w:val="00B028DB"/>
    <w:rsid w:val="00B033C7"/>
    <w:rsid w:val="00B03927"/>
    <w:rsid w:val="00B03B60"/>
    <w:rsid w:val="00B04594"/>
    <w:rsid w:val="00B04635"/>
    <w:rsid w:val="00B04A38"/>
    <w:rsid w:val="00B04EFE"/>
    <w:rsid w:val="00B05FFD"/>
    <w:rsid w:val="00B06147"/>
    <w:rsid w:val="00B067C3"/>
    <w:rsid w:val="00B0687D"/>
    <w:rsid w:val="00B06936"/>
    <w:rsid w:val="00B073F6"/>
    <w:rsid w:val="00B07400"/>
    <w:rsid w:val="00B07401"/>
    <w:rsid w:val="00B07DB7"/>
    <w:rsid w:val="00B10884"/>
    <w:rsid w:val="00B10C92"/>
    <w:rsid w:val="00B12145"/>
    <w:rsid w:val="00B12393"/>
    <w:rsid w:val="00B1263D"/>
    <w:rsid w:val="00B13F4A"/>
    <w:rsid w:val="00B147FF"/>
    <w:rsid w:val="00B14A5A"/>
    <w:rsid w:val="00B14F5F"/>
    <w:rsid w:val="00B151D8"/>
    <w:rsid w:val="00B1571F"/>
    <w:rsid w:val="00B16206"/>
    <w:rsid w:val="00B16C24"/>
    <w:rsid w:val="00B17411"/>
    <w:rsid w:val="00B1743C"/>
    <w:rsid w:val="00B17B77"/>
    <w:rsid w:val="00B17D64"/>
    <w:rsid w:val="00B21DCB"/>
    <w:rsid w:val="00B2241A"/>
    <w:rsid w:val="00B22590"/>
    <w:rsid w:val="00B22AFB"/>
    <w:rsid w:val="00B233D1"/>
    <w:rsid w:val="00B24989"/>
    <w:rsid w:val="00B2584E"/>
    <w:rsid w:val="00B25A59"/>
    <w:rsid w:val="00B25BC9"/>
    <w:rsid w:val="00B25F40"/>
    <w:rsid w:val="00B25F62"/>
    <w:rsid w:val="00B262C9"/>
    <w:rsid w:val="00B26333"/>
    <w:rsid w:val="00B26397"/>
    <w:rsid w:val="00B271F4"/>
    <w:rsid w:val="00B2797B"/>
    <w:rsid w:val="00B279C2"/>
    <w:rsid w:val="00B3140D"/>
    <w:rsid w:val="00B31F08"/>
    <w:rsid w:val="00B31FBC"/>
    <w:rsid w:val="00B32155"/>
    <w:rsid w:val="00B32202"/>
    <w:rsid w:val="00B329F1"/>
    <w:rsid w:val="00B32CE7"/>
    <w:rsid w:val="00B33A6C"/>
    <w:rsid w:val="00B34095"/>
    <w:rsid w:val="00B3436C"/>
    <w:rsid w:val="00B34471"/>
    <w:rsid w:val="00B34DC9"/>
    <w:rsid w:val="00B351DD"/>
    <w:rsid w:val="00B35770"/>
    <w:rsid w:val="00B35DE0"/>
    <w:rsid w:val="00B360A6"/>
    <w:rsid w:val="00B370C8"/>
    <w:rsid w:val="00B37249"/>
    <w:rsid w:val="00B37AF5"/>
    <w:rsid w:val="00B37EA9"/>
    <w:rsid w:val="00B401C8"/>
    <w:rsid w:val="00B406B4"/>
    <w:rsid w:val="00B40D6F"/>
    <w:rsid w:val="00B415F3"/>
    <w:rsid w:val="00B42434"/>
    <w:rsid w:val="00B42E09"/>
    <w:rsid w:val="00B42E19"/>
    <w:rsid w:val="00B431B9"/>
    <w:rsid w:val="00B43C9C"/>
    <w:rsid w:val="00B4518C"/>
    <w:rsid w:val="00B45C98"/>
    <w:rsid w:val="00B466A5"/>
    <w:rsid w:val="00B4702C"/>
    <w:rsid w:val="00B47033"/>
    <w:rsid w:val="00B50339"/>
    <w:rsid w:val="00B50904"/>
    <w:rsid w:val="00B511E4"/>
    <w:rsid w:val="00B517D5"/>
    <w:rsid w:val="00B522F5"/>
    <w:rsid w:val="00B52C48"/>
    <w:rsid w:val="00B53190"/>
    <w:rsid w:val="00B53472"/>
    <w:rsid w:val="00B53582"/>
    <w:rsid w:val="00B538EF"/>
    <w:rsid w:val="00B539D6"/>
    <w:rsid w:val="00B53C40"/>
    <w:rsid w:val="00B54948"/>
    <w:rsid w:val="00B5534E"/>
    <w:rsid w:val="00B55616"/>
    <w:rsid w:val="00B558EB"/>
    <w:rsid w:val="00B55B54"/>
    <w:rsid w:val="00B55EB6"/>
    <w:rsid w:val="00B55F43"/>
    <w:rsid w:val="00B575A1"/>
    <w:rsid w:val="00B60E01"/>
    <w:rsid w:val="00B61217"/>
    <w:rsid w:val="00B612C8"/>
    <w:rsid w:val="00B61491"/>
    <w:rsid w:val="00B62233"/>
    <w:rsid w:val="00B62E5A"/>
    <w:rsid w:val="00B62F6E"/>
    <w:rsid w:val="00B63BB3"/>
    <w:rsid w:val="00B64393"/>
    <w:rsid w:val="00B64768"/>
    <w:rsid w:val="00B6504F"/>
    <w:rsid w:val="00B6512E"/>
    <w:rsid w:val="00B65304"/>
    <w:rsid w:val="00B66291"/>
    <w:rsid w:val="00B66E9F"/>
    <w:rsid w:val="00B670D5"/>
    <w:rsid w:val="00B671C9"/>
    <w:rsid w:val="00B67C10"/>
    <w:rsid w:val="00B72127"/>
    <w:rsid w:val="00B72307"/>
    <w:rsid w:val="00B72320"/>
    <w:rsid w:val="00B724F9"/>
    <w:rsid w:val="00B73367"/>
    <w:rsid w:val="00B744BC"/>
    <w:rsid w:val="00B75144"/>
    <w:rsid w:val="00B76018"/>
    <w:rsid w:val="00B7668A"/>
    <w:rsid w:val="00B7682E"/>
    <w:rsid w:val="00B768DB"/>
    <w:rsid w:val="00B76B63"/>
    <w:rsid w:val="00B774E1"/>
    <w:rsid w:val="00B77645"/>
    <w:rsid w:val="00B7766D"/>
    <w:rsid w:val="00B815D5"/>
    <w:rsid w:val="00B8165D"/>
    <w:rsid w:val="00B81E55"/>
    <w:rsid w:val="00B81FD0"/>
    <w:rsid w:val="00B8268E"/>
    <w:rsid w:val="00B83632"/>
    <w:rsid w:val="00B84290"/>
    <w:rsid w:val="00B8488E"/>
    <w:rsid w:val="00B850D0"/>
    <w:rsid w:val="00B85A7D"/>
    <w:rsid w:val="00B863A3"/>
    <w:rsid w:val="00B86B7E"/>
    <w:rsid w:val="00B9019F"/>
    <w:rsid w:val="00B90409"/>
    <w:rsid w:val="00B90530"/>
    <w:rsid w:val="00B90AED"/>
    <w:rsid w:val="00B91E66"/>
    <w:rsid w:val="00B926CE"/>
    <w:rsid w:val="00B92B27"/>
    <w:rsid w:val="00B9367C"/>
    <w:rsid w:val="00B94C9F"/>
    <w:rsid w:val="00B94EB0"/>
    <w:rsid w:val="00B952E8"/>
    <w:rsid w:val="00B953A7"/>
    <w:rsid w:val="00B955AE"/>
    <w:rsid w:val="00B971E8"/>
    <w:rsid w:val="00B97652"/>
    <w:rsid w:val="00BA1896"/>
    <w:rsid w:val="00BA1B10"/>
    <w:rsid w:val="00BA2126"/>
    <w:rsid w:val="00BA2AA6"/>
    <w:rsid w:val="00BA2FB5"/>
    <w:rsid w:val="00BA362B"/>
    <w:rsid w:val="00BA541D"/>
    <w:rsid w:val="00BA64D2"/>
    <w:rsid w:val="00BA704A"/>
    <w:rsid w:val="00BA76E2"/>
    <w:rsid w:val="00BA7D05"/>
    <w:rsid w:val="00BB078D"/>
    <w:rsid w:val="00BB07AA"/>
    <w:rsid w:val="00BB0E97"/>
    <w:rsid w:val="00BB1032"/>
    <w:rsid w:val="00BB1355"/>
    <w:rsid w:val="00BB17DA"/>
    <w:rsid w:val="00BB1D89"/>
    <w:rsid w:val="00BB1DEC"/>
    <w:rsid w:val="00BB2029"/>
    <w:rsid w:val="00BB2264"/>
    <w:rsid w:val="00BB3A95"/>
    <w:rsid w:val="00BB3D79"/>
    <w:rsid w:val="00BB4129"/>
    <w:rsid w:val="00BB47E4"/>
    <w:rsid w:val="00BB518C"/>
    <w:rsid w:val="00BB5959"/>
    <w:rsid w:val="00BC006E"/>
    <w:rsid w:val="00BC02C1"/>
    <w:rsid w:val="00BC0499"/>
    <w:rsid w:val="00BC09E4"/>
    <w:rsid w:val="00BC1CFC"/>
    <w:rsid w:val="00BC228E"/>
    <w:rsid w:val="00BC234D"/>
    <w:rsid w:val="00BC2525"/>
    <w:rsid w:val="00BC29D4"/>
    <w:rsid w:val="00BC2B25"/>
    <w:rsid w:val="00BC2F07"/>
    <w:rsid w:val="00BC3D04"/>
    <w:rsid w:val="00BC3D8C"/>
    <w:rsid w:val="00BC3FD9"/>
    <w:rsid w:val="00BC4120"/>
    <w:rsid w:val="00BC53A9"/>
    <w:rsid w:val="00BC5417"/>
    <w:rsid w:val="00BC5578"/>
    <w:rsid w:val="00BC6DA5"/>
    <w:rsid w:val="00BC6FD5"/>
    <w:rsid w:val="00BC77BE"/>
    <w:rsid w:val="00BC7A56"/>
    <w:rsid w:val="00BC7D26"/>
    <w:rsid w:val="00BD033C"/>
    <w:rsid w:val="00BD081C"/>
    <w:rsid w:val="00BD1640"/>
    <w:rsid w:val="00BD1B4C"/>
    <w:rsid w:val="00BD1E18"/>
    <w:rsid w:val="00BD2258"/>
    <w:rsid w:val="00BD2A59"/>
    <w:rsid w:val="00BD3439"/>
    <w:rsid w:val="00BD3A48"/>
    <w:rsid w:val="00BD4869"/>
    <w:rsid w:val="00BD4D9D"/>
    <w:rsid w:val="00BD537E"/>
    <w:rsid w:val="00BD5726"/>
    <w:rsid w:val="00BD5774"/>
    <w:rsid w:val="00BD7147"/>
    <w:rsid w:val="00BD768B"/>
    <w:rsid w:val="00BD7ED3"/>
    <w:rsid w:val="00BE1463"/>
    <w:rsid w:val="00BE2742"/>
    <w:rsid w:val="00BE2FAF"/>
    <w:rsid w:val="00BE33B7"/>
    <w:rsid w:val="00BE33E4"/>
    <w:rsid w:val="00BE3EC1"/>
    <w:rsid w:val="00BE4222"/>
    <w:rsid w:val="00BE470D"/>
    <w:rsid w:val="00BE5383"/>
    <w:rsid w:val="00BE53E9"/>
    <w:rsid w:val="00BE5C19"/>
    <w:rsid w:val="00BE5EE8"/>
    <w:rsid w:val="00BE7439"/>
    <w:rsid w:val="00BF04B8"/>
    <w:rsid w:val="00BF0E69"/>
    <w:rsid w:val="00BF1479"/>
    <w:rsid w:val="00BF1987"/>
    <w:rsid w:val="00BF1C60"/>
    <w:rsid w:val="00BF255B"/>
    <w:rsid w:val="00BF2994"/>
    <w:rsid w:val="00BF2D04"/>
    <w:rsid w:val="00BF31F7"/>
    <w:rsid w:val="00BF3674"/>
    <w:rsid w:val="00BF3F7E"/>
    <w:rsid w:val="00BF4587"/>
    <w:rsid w:val="00BF46FE"/>
    <w:rsid w:val="00BF4E0E"/>
    <w:rsid w:val="00BF5143"/>
    <w:rsid w:val="00BF51C8"/>
    <w:rsid w:val="00BF544F"/>
    <w:rsid w:val="00BF5854"/>
    <w:rsid w:val="00BF5A39"/>
    <w:rsid w:val="00BF645F"/>
    <w:rsid w:val="00BF716F"/>
    <w:rsid w:val="00BF7A88"/>
    <w:rsid w:val="00BF7E06"/>
    <w:rsid w:val="00BF7FF1"/>
    <w:rsid w:val="00C0038D"/>
    <w:rsid w:val="00C01424"/>
    <w:rsid w:val="00C01869"/>
    <w:rsid w:val="00C01A17"/>
    <w:rsid w:val="00C01ABE"/>
    <w:rsid w:val="00C01D92"/>
    <w:rsid w:val="00C02A28"/>
    <w:rsid w:val="00C030ED"/>
    <w:rsid w:val="00C03BDE"/>
    <w:rsid w:val="00C0400D"/>
    <w:rsid w:val="00C0400F"/>
    <w:rsid w:val="00C043C7"/>
    <w:rsid w:val="00C05E25"/>
    <w:rsid w:val="00C06AE6"/>
    <w:rsid w:val="00C07476"/>
    <w:rsid w:val="00C100C8"/>
    <w:rsid w:val="00C101C3"/>
    <w:rsid w:val="00C10782"/>
    <w:rsid w:val="00C118DB"/>
    <w:rsid w:val="00C11BD8"/>
    <w:rsid w:val="00C121B9"/>
    <w:rsid w:val="00C1298E"/>
    <w:rsid w:val="00C12AD9"/>
    <w:rsid w:val="00C13269"/>
    <w:rsid w:val="00C1336E"/>
    <w:rsid w:val="00C140FF"/>
    <w:rsid w:val="00C14F0B"/>
    <w:rsid w:val="00C1533D"/>
    <w:rsid w:val="00C15FA3"/>
    <w:rsid w:val="00C16558"/>
    <w:rsid w:val="00C166F4"/>
    <w:rsid w:val="00C172E9"/>
    <w:rsid w:val="00C2051D"/>
    <w:rsid w:val="00C20FFD"/>
    <w:rsid w:val="00C21187"/>
    <w:rsid w:val="00C2186F"/>
    <w:rsid w:val="00C23C9E"/>
    <w:rsid w:val="00C23D1C"/>
    <w:rsid w:val="00C24663"/>
    <w:rsid w:val="00C2483D"/>
    <w:rsid w:val="00C2503F"/>
    <w:rsid w:val="00C250DA"/>
    <w:rsid w:val="00C251E0"/>
    <w:rsid w:val="00C26DA0"/>
    <w:rsid w:val="00C271E6"/>
    <w:rsid w:val="00C27359"/>
    <w:rsid w:val="00C2737D"/>
    <w:rsid w:val="00C276EA"/>
    <w:rsid w:val="00C27774"/>
    <w:rsid w:val="00C300BD"/>
    <w:rsid w:val="00C30388"/>
    <w:rsid w:val="00C303B9"/>
    <w:rsid w:val="00C305B2"/>
    <w:rsid w:val="00C3071B"/>
    <w:rsid w:val="00C309DC"/>
    <w:rsid w:val="00C312EF"/>
    <w:rsid w:val="00C3199C"/>
    <w:rsid w:val="00C31C6C"/>
    <w:rsid w:val="00C32209"/>
    <w:rsid w:val="00C32E3B"/>
    <w:rsid w:val="00C32EBC"/>
    <w:rsid w:val="00C32FA6"/>
    <w:rsid w:val="00C334BF"/>
    <w:rsid w:val="00C34568"/>
    <w:rsid w:val="00C3474F"/>
    <w:rsid w:val="00C3596C"/>
    <w:rsid w:val="00C35D53"/>
    <w:rsid w:val="00C36AC5"/>
    <w:rsid w:val="00C371D2"/>
    <w:rsid w:val="00C379C2"/>
    <w:rsid w:val="00C37C47"/>
    <w:rsid w:val="00C37F79"/>
    <w:rsid w:val="00C4081A"/>
    <w:rsid w:val="00C41753"/>
    <w:rsid w:val="00C418A6"/>
    <w:rsid w:val="00C42254"/>
    <w:rsid w:val="00C42760"/>
    <w:rsid w:val="00C4351A"/>
    <w:rsid w:val="00C436BD"/>
    <w:rsid w:val="00C44B35"/>
    <w:rsid w:val="00C44B8E"/>
    <w:rsid w:val="00C45A48"/>
    <w:rsid w:val="00C45BC7"/>
    <w:rsid w:val="00C45C42"/>
    <w:rsid w:val="00C45D43"/>
    <w:rsid w:val="00C4615D"/>
    <w:rsid w:val="00C461A8"/>
    <w:rsid w:val="00C4697D"/>
    <w:rsid w:val="00C4719A"/>
    <w:rsid w:val="00C47384"/>
    <w:rsid w:val="00C47B4E"/>
    <w:rsid w:val="00C50B90"/>
    <w:rsid w:val="00C50C4C"/>
    <w:rsid w:val="00C51111"/>
    <w:rsid w:val="00C51A1F"/>
    <w:rsid w:val="00C51E61"/>
    <w:rsid w:val="00C52077"/>
    <w:rsid w:val="00C52230"/>
    <w:rsid w:val="00C5230A"/>
    <w:rsid w:val="00C523A5"/>
    <w:rsid w:val="00C52409"/>
    <w:rsid w:val="00C525DD"/>
    <w:rsid w:val="00C529B7"/>
    <w:rsid w:val="00C539D3"/>
    <w:rsid w:val="00C53B7E"/>
    <w:rsid w:val="00C54FCD"/>
    <w:rsid w:val="00C55232"/>
    <w:rsid w:val="00C55401"/>
    <w:rsid w:val="00C556B4"/>
    <w:rsid w:val="00C55794"/>
    <w:rsid w:val="00C55F82"/>
    <w:rsid w:val="00C57ACD"/>
    <w:rsid w:val="00C603A3"/>
    <w:rsid w:val="00C60427"/>
    <w:rsid w:val="00C605D1"/>
    <w:rsid w:val="00C60CD0"/>
    <w:rsid w:val="00C61866"/>
    <w:rsid w:val="00C63F0D"/>
    <w:rsid w:val="00C63FF1"/>
    <w:rsid w:val="00C64FD0"/>
    <w:rsid w:val="00C6538B"/>
    <w:rsid w:val="00C66522"/>
    <w:rsid w:val="00C6656B"/>
    <w:rsid w:val="00C66A1F"/>
    <w:rsid w:val="00C66E47"/>
    <w:rsid w:val="00C67A65"/>
    <w:rsid w:val="00C700BF"/>
    <w:rsid w:val="00C71590"/>
    <w:rsid w:val="00C71764"/>
    <w:rsid w:val="00C71903"/>
    <w:rsid w:val="00C71956"/>
    <w:rsid w:val="00C7219F"/>
    <w:rsid w:val="00C72C8B"/>
    <w:rsid w:val="00C73DB2"/>
    <w:rsid w:val="00C744D1"/>
    <w:rsid w:val="00C7513B"/>
    <w:rsid w:val="00C7618B"/>
    <w:rsid w:val="00C76723"/>
    <w:rsid w:val="00C76D71"/>
    <w:rsid w:val="00C7728B"/>
    <w:rsid w:val="00C777EF"/>
    <w:rsid w:val="00C77CD7"/>
    <w:rsid w:val="00C77D60"/>
    <w:rsid w:val="00C80130"/>
    <w:rsid w:val="00C81E83"/>
    <w:rsid w:val="00C82B5A"/>
    <w:rsid w:val="00C82C1F"/>
    <w:rsid w:val="00C82ECD"/>
    <w:rsid w:val="00C83190"/>
    <w:rsid w:val="00C83220"/>
    <w:rsid w:val="00C833EA"/>
    <w:rsid w:val="00C834AB"/>
    <w:rsid w:val="00C83754"/>
    <w:rsid w:val="00C837E4"/>
    <w:rsid w:val="00C83E2D"/>
    <w:rsid w:val="00C84A42"/>
    <w:rsid w:val="00C85E97"/>
    <w:rsid w:val="00C867E7"/>
    <w:rsid w:val="00C872D0"/>
    <w:rsid w:val="00C87D2C"/>
    <w:rsid w:val="00C87E1F"/>
    <w:rsid w:val="00C912C9"/>
    <w:rsid w:val="00C918D1"/>
    <w:rsid w:val="00C91F6A"/>
    <w:rsid w:val="00C9293C"/>
    <w:rsid w:val="00C92A71"/>
    <w:rsid w:val="00C947CC"/>
    <w:rsid w:val="00C951FB"/>
    <w:rsid w:val="00C95276"/>
    <w:rsid w:val="00C956F7"/>
    <w:rsid w:val="00C9574C"/>
    <w:rsid w:val="00C96268"/>
    <w:rsid w:val="00C969A0"/>
    <w:rsid w:val="00CA0EDC"/>
    <w:rsid w:val="00CA1656"/>
    <w:rsid w:val="00CA1C3D"/>
    <w:rsid w:val="00CA1E7D"/>
    <w:rsid w:val="00CA21AC"/>
    <w:rsid w:val="00CA2F39"/>
    <w:rsid w:val="00CA3713"/>
    <w:rsid w:val="00CA376E"/>
    <w:rsid w:val="00CA37CF"/>
    <w:rsid w:val="00CA39D5"/>
    <w:rsid w:val="00CA3C67"/>
    <w:rsid w:val="00CA42F9"/>
    <w:rsid w:val="00CA44FF"/>
    <w:rsid w:val="00CA4586"/>
    <w:rsid w:val="00CA4F31"/>
    <w:rsid w:val="00CA5759"/>
    <w:rsid w:val="00CA5D86"/>
    <w:rsid w:val="00CA61EE"/>
    <w:rsid w:val="00CA642C"/>
    <w:rsid w:val="00CA6981"/>
    <w:rsid w:val="00CA69FB"/>
    <w:rsid w:val="00CA7A8C"/>
    <w:rsid w:val="00CB0084"/>
    <w:rsid w:val="00CB01EA"/>
    <w:rsid w:val="00CB03F6"/>
    <w:rsid w:val="00CB0F13"/>
    <w:rsid w:val="00CB132B"/>
    <w:rsid w:val="00CB141B"/>
    <w:rsid w:val="00CB243D"/>
    <w:rsid w:val="00CB2EF5"/>
    <w:rsid w:val="00CB312C"/>
    <w:rsid w:val="00CB3B48"/>
    <w:rsid w:val="00CB3BD0"/>
    <w:rsid w:val="00CB46C4"/>
    <w:rsid w:val="00CB4EA8"/>
    <w:rsid w:val="00CB554B"/>
    <w:rsid w:val="00CB592E"/>
    <w:rsid w:val="00CB7498"/>
    <w:rsid w:val="00CC053E"/>
    <w:rsid w:val="00CC0CC1"/>
    <w:rsid w:val="00CC0E3A"/>
    <w:rsid w:val="00CC2015"/>
    <w:rsid w:val="00CC2086"/>
    <w:rsid w:val="00CC29FC"/>
    <w:rsid w:val="00CC31F4"/>
    <w:rsid w:val="00CC326B"/>
    <w:rsid w:val="00CC331E"/>
    <w:rsid w:val="00CC3A15"/>
    <w:rsid w:val="00CC3E22"/>
    <w:rsid w:val="00CC42DB"/>
    <w:rsid w:val="00CC4ACF"/>
    <w:rsid w:val="00CC4C98"/>
    <w:rsid w:val="00CC518B"/>
    <w:rsid w:val="00CC540F"/>
    <w:rsid w:val="00CC61AE"/>
    <w:rsid w:val="00CC6F12"/>
    <w:rsid w:val="00CC71A8"/>
    <w:rsid w:val="00CC762A"/>
    <w:rsid w:val="00CC77B0"/>
    <w:rsid w:val="00CC7B04"/>
    <w:rsid w:val="00CD08DC"/>
    <w:rsid w:val="00CD1BDB"/>
    <w:rsid w:val="00CD332B"/>
    <w:rsid w:val="00CD519C"/>
    <w:rsid w:val="00CD556B"/>
    <w:rsid w:val="00CD5ACC"/>
    <w:rsid w:val="00CD77F5"/>
    <w:rsid w:val="00CD78CF"/>
    <w:rsid w:val="00CD7A90"/>
    <w:rsid w:val="00CE05E6"/>
    <w:rsid w:val="00CE0E69"/>
    <w:rsid w:val="00CE101D"/>
    <w:rsid w:val="00CE148F"/>
    <w:rsid w:val="00CE1675"/>
    <w:rsid w:val="00CE16D0"/>
    <w:rsid w:val="00CE1E57"/>
    <w:rsid w:val="00CE1F09"/>
    <w:rsid w:val="00CE20E8"/>
    <w:rsid w:val="00CE3327"/>
    <w:rsid w:val="00CE3428"/>
    <w:rsid w:val="00CE53DA"/>
    <w:rsid w:val="00CE6C90"/>
    <w:rsid w:val="00CE7D46"/>
    <w:rsid w:val="00CF13AF"/>
    <w:rsid w:val="00CF1A1B"/>
    <w:rsid w:val="00CF1D03"/>
    <w:rsid w:val="00CF1F30"/>
    <w:rsid w:val="00CF202F"/>
    <w:rsid w:val="00CF2FAA"/>
    <w:rsid w:val="00CF2FFB"/>
    <w:rsid w:val="00CF3383"/>
    <w:rsid w:val="00CF350B"/>
    <w:rsid w:val="00CF3627"/>
    <w:rsid w:val="00CF4294"/>
    <w:rsid w:val="00CF4E8E"/>
    <w:rsid w:val="00CF555B"/>
    <w:rsid w:val="00CF5D38"/>
    <w:rsid w:val="00CF7568"/>
    <w:rsid w:val="00D00EC1"/>
    <w:rsid w:val="00D01696"/>
    <w:rsid w:val="00D02894"/>
    <w:rsid w:val="00D029ED"/>
    <w:rsid w:val="00D02F4D"/>
    <w:rsid w:val="00D0466B"/>
    <w:rsid w:val="00D05863"/>
    <w:rsid w:val="00D06A28"/>
    <w:rsid w:val="00D077C1"/>
    <w:rsid w:val="00D07F97"/>
    <w:rsid w:val="00D10369"/>
    <w:rsid w:val="00D108F1"/>
    <w:rsid w:val="00D10A9A"/>
    <w:rsid w:val="00D10DC3"/>
    <w:rsid w:val="00D1132F"/>
    <w:rsid w:val="00D120E3"/>
    <w:rsid w:val="00D13B60"/>
    <w:rsid w:val="00D15CD0"/>
    <w:rsid w:val="00D16303"/>
    <w:rsid w:val="00D16A08"/>
    <w:rsid w:val="00D16C3C"/>
    <w:rsid w:val="00D16EB5"/>
    <w:rsid w:val="00D17B33"/>
    <w:rsid w:val="00D17C25"/>
    <w:rsid w:val="00D20108"/>
    <w:rsid w:val="00D206B4"/>
    <w:rsid w:val="00D20A7C"/>
    <w:rsid w:val="00D20BAA"/>
    <w:rsid w:val="00D218B5"/>
    <w:rsid w:val="00D23967"/>
    <w:rsid w:val="00D244B1"/>
    <w:rsid w:val="00D249DC"/>
    <w:rsid w:val="00D25419"/>
    <w:rsid w:val="00D27469"/>
    <w:rsid w:val="00D3011B"/>
    <w:rsid w:val="00D3109B"/>
    <w:rsid w:val="00D31CBD"/>
    <w:rsid w:val="00D31E08"/>
    <w:rsid w:val="00D3274D"/>
    <w:rsid w:val="00D32AEB"/>
    <w:rsid w:val="00D332E0"/>
    <w:rsid w:val="00D33CD4"/>
    <w:rsid w:val="00D33CDC"/>
    <w:rsid w:val="00D349ED"/>
    <w:rsid w:val="00D352B7"/>
    <w:rsid w:val="00D355CC"/>
    <w:rsid w:val="00D358D2"/>
    <w:rsid w:val="00D35A4F"/>
    <w:rsid w:val="00D36607"/>
    <w:rsid w:val="00D36F2F"/>
    <w:rsid w:val="00D371D4"/>
    <w:rsid w:val="00D40112"/>
    <w:rsid w:val="00D401E5"/>
    <w:rsid w:val="00D40A42"/>
    <w:rsid w:val="00D40DAA"/>
    <w:rsid w:val="00D412CF"/>
    <w:rsid w:val="00D41329"/>
    <w:rsid w:val="00D4141B"/>
    <w:rsid w:val="00D41A5A"/>
    <w:rsid w:val="00D4251F"/>
    <w:rsid w:val="00D429DE"/>
    <w:rsid w:val="00D43FDA"/>
    <w:rsid w:val="00D44AAF"/>
    <w:rsid w:val="00D46DF7"/>
    <w:rsid w:val="00D4730A"/>
    <w:rsid w:val="00D478E2"/>
    <w:rsid w:val="00D47DEC"/>
    <w:rsid w:val="00D50159"/>
    <w:rsid w:val="00D50EE1"/>
    <w:rsid w:val="00D51BA0"/>
    <w:rsid w:val="00D521BC"/>
    <w:rsid w:val="00D52338"/>
    <w:rsid w:val="00D52343"/>
    <w:rsid w:val="00D52D91"/>
    <w:rsid w:val="00D53150"/>
    <w:rsid w:val="00D53EF4"/>
    <w:rsid w:val="00D541FF"/>
    <w:rsid w:val="00D5437E"/>
    <w:rsid w:val="00D54753"/>
    <w:rsid w:val="00D54A8F"/>
    <w:rsid w:val="00D54E45"/>
    <w:rsid w:val="00D54FF1"/>
    <w:rsid w:val="00D55586"/>
    <w:rsid w:val="00D55E0E"/>
    <w:rsid w:val="00D55E31"/>
    <w:rsid w:val="00D568C4"/>
    <w:rsid w:val="00D57966"/>
    <w:rsid w:val="00D60813"/>
    <w:rsid w:val="00D60AF5"/>
    <w:rsid w:val="00D60B5C"/>
    <w:rsid w:val="00D60BDA"/>
    <w:rsid w:val="00D60C0A"/>
    <w:rsid w:val="00D6159A"/>
    <w:rsid w:val="00D61AA1"/>
    <w:rsid w:val="00D61B71"/>
    <w:rsid w:val="00D62440"/>
    <w:rsid w:val="00D6331C"/>
    <w:rsid w:val="00D63B78"/>
    <w:rsid w:val="00D63F00"/>
    <w:rsid w:val="00D64A8D"/>
    <w:rsid w:val="00D655F4"/>
    <w:rsid w:val="00D661A2"/>
    <w:rsid w:val="00D66AB6"/>
    <w:rsid w:val="00D66B89"/>
    <w:rsid w:val="00D66C14"/>
    <w:rsid w:val="00D677E8"/>
    <w:rsid w:val="00D67D23"/>
    <w:rsid w:val="00D67EBF"/>
    <w:rsid w:val="00D724B9"/>
    <w:rsid w:val="00D72DDA"/>
    <w:rsid w:val="00D73114"/>
    <w:rsid w:val="00D73811"/>
    <w:rsid w:val="00D739D7"/>
    <w:rsid w:val="00D74986"/>
    <w:rsid w:val="00D763EA"/>
    <w:rsid w:val="00D76F2A"/>
    <w:rsid w:val="00D76F76"/>
    <w:rsid w:val="00D80391"/>
    <w:rsid w:val="00D806E8"/>
    <w:rsid w:val="00D810BA"/>
    <w:rsid w:val="00D81B03"/>
    <w:rsid w:val="00D820B3"/>
    <w:rsid w:val="00D825BE"/>
    <w:rsid w:val="00D825CB"/>
    <w:rsid w:val="00D8275A"/>
    <w:rsid w:val="00D830CD"/>
    <w:rsid w:val="00D83A9C"/>
    <w:rsid w:val="00D849DB"/>
    <w:rsid w:val="00D853CF"/>
    <w:rsid w:val="00D85513"/>
    <w:rsid w:val="00D85606"/>
    <w:rsid w:val="00D85EFF"/>
    <w:rsid w:val="00D85FB4"/>
    <w:rsid w:val="00D86435"/>
    <w:rsid w:val="00D8650E"/>
    <w:rsid w:val="00D86AA7"/>
    <w:rsid w:val="00D86CA4"/>
    <w:rsid w:val="00D8774A"/>
    <w:rsid w:val="00D90012"/>
    <w:rsid w:val="00D90E3C"/>
    <w:rsid w:val="00D90FFF"/>
    <w:rsid w:val="00D91CBD"/>
    <w:rsid w:val="00D91DF6"/>
    <w:rsid w:val="00D9256B"/>
    <w:rsid w:val="00D92AEB"/>
    <w:rsid w:val="00D92C71"/>
    <w:rsid w:val="00D933B5"/>
    <w:rsid w:val="00D9404B"/>
    <w:rsid w:val="00D941AE"/>
    <w:rsid w:val="00D94388"/>
    <w:rsid w:val="00D943C4"/>
    <w:rsid w:val="00D944FD"/>
    <w:rsid w:val="00D9454B"/>
    <w:rsid w:val="00D954B7"/>
    <w:rsid w:val="00D95B73"/>
    <w:rsid w:val="00D96B97"/>
    <w:rsid w:val="00D97D75"/>
    <w:rsid w:val="00DA044F"/>
    <w:rsid w:val="00DA0DF9"/>
    <w:rsid w:val="00DA162F"/>
    <w:rsid w:val="00DA1C4B"/>
    <w:rsid w:val="00DA1D66"/>
    <w:rsid w:val="00DA2183"/>
    <w:rsid w:val="00DA2384"/>
    <w:rsid w:val="00DA2FFC"/>
    <w:rsid w:val="00DA3408"/>
    <w:rsid w:val="00DA3EBB"/>
    <w:rsid w:val="00DA41AC"/>
    <w:rsid w:val="00DA5234"/>
    <w:rsid w:val="00DA5443"/>
    <w:rsid w:val="00DA552D"/>
    <w:rsid w:val="00DA65A2"/>
    <w:rsid w:val="00DA670F"/>
    <w:rsid w:val="00DA7685"/>
    <w:rsid w:val="00DA7D2F"/>
    <w:rsid w:val="00DA7D69"/>
    <w:rsid w:val="00DB024E"/>
    <w:rsid w:val="00DB0D57"/>
    <w:rsid w:val="00DB141E"/>
    <w:rsid w:val="00DB1D60"/>
    <w:rsid w:val="00DB2067"/>
    <w:rsid w:val="00DB2197"/>
    <w:rsid w:val="00DB22C9"/>
    <w:rsid w:val="00DB2A92"/>
    <w:rsid w:val="00DB2CEB"/>
    <w:rsid w:val="00DB32E5"/>
    <w:rsid w:val="00DB3942"/>
    <w:rsid w:val="00DB3EE3"/>
    <w:rsid w:val="00DB41E0"/>
    <w:rsid w:val="00DB5008"/>
    <w:rsid w:val="00DB5149"/>
    <w:rsid w:val="00DB5335"/>
    <w:rsid w:val="00DB5DE9"/>
    <w:rsid w:val="00DB6BE0"/>
    <w:rsid w:val="00DB7D51"/>
    <w:rsid w:val="00DB7DD5"/>
    <w:rsid w:val="00DB7FF9"/>
    <w:rsid w:val="00DC001F"/>
    <w:rsid w:val="00DC0714"/>
    <w:rsid w:val="00DC1E58"/>
    <w:rsid w:val="00DC3253"/>
    <w:rsid w:val="00DC393C"/>
    <w:rsid w:val="00DC4282"/>
    <w:rsid w:val="00DC4A38"/>
    <w:rsid w:val="00DC51F9"/>
    <w:rsid w:val="00DC547E"/>
    <w:rsid w:val="00DC5837"/>
    <w:rsid w:val="00DC6D31"/>
    <w:rsid w:val="00DC721C"/>
    <w:rsid w:val="00DC7229"/>
    <w:rsid w:val="00DC7CEC"/>
    <w:rsid w:val="00DD0806"/>
    <w:rsid w:val="00DD1289"/>
    <w:rsid w:val="00DD1B29"/>
    <w:rsid w:val="00DD2002"/>
    <w:rsid w:val="00DD3056"/>
    <w:rsid w:val="00DD4B45"/>
    <w:rsid w:val="00DD514B"/>
    <w:rsid w:val="00DD5F8A"/>
    <w:rsid w:val="00DD7588"/>
    <w:rsid w:val="00DD7608"/>
    <w:rsid w:val="00DD7C59"/>
    <w:rsid w:val="00DE0CE8"/>
    <w:rsid w:val="00DE0ED7"/>
    <w:rsid w:val="00DE0F13"/>
    <w:rsid w:val="00DE2211"/>
    <w:rsid w:val="00DE31D8"/>
    <w:rsid w:val="00DE344B"/>
    <w:rsid w:val="00DE3DB2"/>
    <w:rsid w:val="00DE4A71"/>
    <w:rsid w:val="00DE50D1"/>
    <w:rsid w:val="00DE5671"/>
    <w:rsid w:val="00DE5674"/>
    <w:rsid w:val="00DE5699"/>
    <w:rsid w:val="00DE59FE"/>
    <w:rsid w:val="00DE624A"/>
    <w:rsid w:val="00DE6A1B"/>
    <w:rsid w:val="00DE6C21"/>
    <w:rsid w:val="00DE7224"/>
    <w:rsid w:val="00DE7E04"/>
    <w:rsid w:val="00DF02D4"/>
    <w:rsid w:val="00DF0759"/>
    <w:rsid w:val="00DF1499"/>
    <w:rsid w:val="00DF14D6"/>
    <w:rsid w:val="00DF17E6"/>
    <w:rsid w:val="00DF2433"/>
    <w:rsid w:val="00DF29B0"/>
    <w:rsid w:val="00DF29B5"/>
    <w:rsid w:val="00DF30EF"/>
    <w:rsid w:val="00DF36C7"/>
    <w:rsid w:val="00DF3EA4"/>
    <w:rsid w:val="00DF532F"/>
    <w:rsid w:val="00DF5CB0"/>
    <w:rsid w:val="00DF62E4"/>
    <w:rsid w:val="00E0009E"/>
    <w:rsid w:val="00E00139"/>
    <w:rsid w:val="00E00146"/>
    <w:rsid w:val="00E00400"/>
    <w:rsid w:val="00E00831"/>
    <w:rsid w:val="00E00ECC"/>
    <w:rsid w:val="00E01556"/>
    <w:rsid w:val="00E01BC0"/>
    <w:rsid w:val="00E0210C"/>
    <w:rsid w:val="00E025C7"/>
    <w:rsid w:val="00E02CCF"/>
    <w:rsid w:val="00E02EB1"/>
    <w:rsid w:val="00E04228"/>
    <w:rsid w:val="00E04378"/>
    <w:rsid w:val="00E05E39"/>
    <w:rsid w:val="00E061A0"/>
    <w:rsid w:val="00E063A6"/>
    <w:rsid w:val="00E066E9"/>
    <w:rsid w:val="00E0691A"/>
    <w:rsid w:val="00E07488"/>
    <w:rsid w:val="00E103D9"/>
    <w:rsid w:val="00E10416"/>
    <w:rsid w:val="00E10AD2"/>
    <w:rsid w:val="00E11D87"/>
    <w:rsid w:val="00E12093"/>
    <w:rsid w:val="00E13DCD"/>
    <w:rsid w:val="00E1413D"/>
    <w:rsid w:val="00E1457B"/>
    <w:rsid w:val="00E149D1"/>
    <w:rsid w:val="00E14A13"/>
    <w:rsid w:val="00E14D12"/>
    <w:rsid w:val="00E15014"/>
    <w:rsid w:val="00E15208"/>
    <w:rsid w:val="00E163E3"/>
    <w:rsid w:val="00E1735D"/>
    <w:rsid w:val="00E17696"/>
    <w:rsid w:val="00E17D11"/>
    <w:rsid w:val="00E203DD"/>
    <w:rsid w:val="00E21164"/>
    <w:rsid w:val="00E2290B"/>
    <w:rsid w:val="00E23ED8"/>
    <w:rsid w:val="00E24085"/>
    <w:rsid w:val="00E24AE4"/>
    <w:rsid w:val="00E2560E"/>
    <w:rsid w:val="00E25A0E"/>
    <w:rsid w:val="00E2613B"/>
    <w:rsid w:val="00E26494"/>
    <w:rsid w:val="00E264D1"/>
    <w:rsid w:val="00E266F8"/>
    <w:rsid w:val="00E26939"/>
    <w:rsid w:val="00E277F7"/>
    <w:rsid w:val="00E30B14"/>
    <w:rsid w:val="00E311D9"/>
    <w:rsid w:val="00E31701"/>
    <w:rsid w:val="00E3278C"/>
    <w:rsid w:val="00E32DF6"/>
    <w:rsid w:val="00E336F3"/>
    <w:rsid w:val="00E33969"/>
    <w:rsid w:val="00E34C4F"/>
    <w:rsid w:val="00E35459"/>
    <w:rsid w:val="00E35755"/>
    <w:rsid w:val="00E3626A"/>
    <w:rsid w:val="00E37054"/>
    <w:rsid w:val="00E3728C"/>
    <w:rsid w:val="00E3738F"/>
    <w:rsid w:val="00E374FA"/>
    <w:rsid w:val="00E37FAA"/>
    <w:rsid w:val="00E40673"/>
    <w:rsid w:val="00E4079F"/>
    <w:rsid w:val="00E407AA"/>
    <w:rsid w:val="00E40B99"/>
    <w:rsid w:val="00E40D25"/>
    <w:rsid w:val="00E41D6A"/>
    <w:rsid w:val="00E4297E"/>
    <w:rsid w:val="00E4300F"/>
    <w:rsid w:val="00E4382C"/>
    <w:rsid w:val="00E44003"/>
    <w:rsid w:val="00E4426B"/>
    <w:rsid w:val="00E444C6"/>
    <w:rsid w:val="00E44FB3"/>
    <w:rsid w:val="00E450CC"/>
    <w:rsid w:val="00E45F7B"/>
    <w:rsid w:val="00E46F15"/>
    <w:rsid w:val="00E4714C"/>
    <w:rsid w:val="00E474FB"/>
    <w:rsid w:val="00E475AE"/>
    <w:rsid w:val="00E4775A"/>
    <w:rsid w:val="00E504EF"/>
    <w:rsid w:val="00E51A17"/>
    <w:rsid w:val="00E51DC8"/>
    <w:rsid w:val="00E52E50"/>
    <w:rsid w:val="00E5463E"/>
    <w:rsid w:val="00E56B07"/>
    <w:rsid w:val="00E577D5"/>
    <w:rsid w:val="00E57C6A"/>
    <w:rsid w:val="00E6050B"/>
    <w:rsid w:val="00E60EF3"/>
    <w:rsid w:val="00E6111C"/>
    <w:rsid w:val="00E61257"/>
    <w:rsid w:val="00E623F6"/>
    <w:rsid w:val="00E62BA1"/>
    <w:rsid w:val="00E641AA"/>
    <w:rsid w:val="00E65ADF"/>
    <w:rsid w:val="00E66062"/>
    <w:rsid w:val="00E66371"/>
    <w:rsid w:val="00E669EE"/>
    <w:rsid w:val="00E677F8"/>
    <w:rsid w:val="00E67A5A"/>
    <w:rsid w:val="00E70676"/>
    <w:rsid w:val="00E70D49"/>
    <w:rsid w:val="00E70D90"/>
    <w:rsid w:val="00E71235"/>
    <w:rsid w:val="00E7129C"/>
    <w:rsid w:val="00E7145E"/>
    <w:rsid w:val="00E714E5"/>
    <w:rsid w:val="00E71ACF"/>
    <w:rsid w:val="00E71AD8"/>
    <w:rsid w:val="00E723D6"/>
    <w:rsid w:val="00E72A17"/>
    <w:rsid w:val="00E7309A"/>
    <w:rsid w:val="00E73938"/>
    <w:rsid w:val="00E73B00"/>
    <w:rsid w:val="00E75593"/>
    <w:rsid w:val="00E7758B"/>
    <w:rsid w:val="00E80FD6"/>
    <w:rsid w:val="00E811D9"/>
    <w:rsid w:val="00E826C1"/>
    <w:rsid w:val="00E8326B"/>
    <w:rsid w:val="00E83303"/>
    <w:rsid w:val="00E83E30"/>
    <w:rsid w:val="00E83FDA"/>
    <w:rsid w:val="00E84D83"/>
    <w:rsid w:val="00E85B07"/>
    <w:rsid w:val="00E869AE"/>
    <w:rsid w:val="00E869C8"/>
    <w:rsid w:val="00E86BEA"/>
    <w:rsid w:val="00E87047"/>
    <w:rsid w:val="00E87E75"/>
    <w:rsid w:val="00E90666"/>
    <w:rsid w:val="00E90977"/>
    <w:rsid w:val="00E90E0A"/>
    <w:rsid w:val="00E91074"/>
    <w:rsid w:val="00E918D8"/>
    <w:rsid w:val="00E92463"/>
    <w:rsid w:val="00E92576"/>
    <w:rsid w:val="00E92AD4"/>
    <w:rsid w:val="00E93F00"/>
    <w:rsid w:val="00E94D53"/>
    <w:rsid w:val="00E94FC2"/>
    <w:rsid w:val="00E95678"/>
    <w:rsid w:val="00E95CA2"/>
    <w:rsid w:val="00E96938"/>
    <w:rsid w:val="00E97227"/>
    <w:rsid w:val="00EA0B2D"/>
    <w:rsid w:val="00EA10AE"/>
    <w:rsid w:val="00EA1543"/>
    <w:rsid w:val="00EA25D7"/>
    <w:rsid w:val="00EA329B"/>
    <w:rsid w:val="00EA3B48"/>
    <w:rsid w:val="00EA40D0"/>
    <w:rsid w:val="00EA5791"/>
    <w:rsid w:val="00EA7321"/>
    <w:rsid w:val="00EA7B8D"/>
    <w:rsid w:val="00EB018B"/>
    <w:rsid w:val="00EB055A"/>
    <w:rsid w:val="00EB07DC"/>
    <w:rsid w:val="00EB225A"/>
    <w:rsid w:val="00EB3610"/>
    <w:rsid w:val="00EB39F6"/>
    <w:rsid w:val="00EB4027"/>
    <w:rsid w:val="00EB5531"/>
    <w:rsid w:val="00EB5E89"/>
    <w:rsid w:val="00EB63FB"/>
    <w:rsid w:val="00EC03CC"/>
    <w:rsid w:val="00EC0821"/>
    <w:rsid w:val="00EC08D2"/>
    <w:rsid w:val="00EC0E6C"/>
    <w:rsid w:val="00EC2362"/>
    <w:rsid w:val="00EC27A2"/>
    <w:rsid w:val="00EC390C"/>
    <w:rsid w:val="00EC432D"/>
    <w:rsid w:val="00EC4795"/>
    <w:rsid w:val="00EC4A9F"/>
    <w:rsid w:val="00EC4F8B"/>
    <w:rsid w:val="00EC59E8"/>
    <w:rsid w:val="00EC6117"/>
    <w:rsid w:val="00EC6367"/>
    <w:rsid w:val="00EC6A37"/>
    <w:rsid w:val="00EC6EDE"/>
    <w:rsid w:val="00EC77C8"/>
    <w:rsid w:val="00EC780F"/>
    <w:rsid w:val="00ED00FA"/>
    <w:rsid w:val="00ED0CCE"/>
    <w:rsid w:val="00ED0F45"/>
    <w:rsid w:val="00ED1FEA"/>
    <w:rsid w:val="00ED20AB"/>
    <w:rsid w:val="00ED247C"/>
    <w:rsid w:val="00ED31C8"/>
    <w:rsid w:val="00ED31EF"/>
    <w:rsid w:val="00ED385F"/>
    <w:rsid w:val="00ED39D4"/>
    <w:rsid w:val="00ED3A9E"/>
    <w:rsid w:val="00ED4449"/>
    <w:rsid w:val="00ED4510"/>
    <w:rsid w:val="00ED4B4B"/>
    <w:rsid w:val="00ED4D43"/>
    <w:rsid w:val="00ED4EE5"/>
    <w:rsid w:val="00ED5A92"/>
    <w:rsid w:val="00ED5E60"/>
    <w:rsid w:val="00ED5E82"/>
    <w:rsid w:val="00ED61DC"/>
    <w:rsid w:val="00ED65C1"/>
    <w:rsid w:val="00ED670E"/>
    <w:rsid w:val="00ED710F"/>
    <w:rsid w:val="00EE04E1"/>
    <w:rsid w:val="00EE09B1"/>
    <w:rsid w:val="00EE0A29"/>
    <w:rsid w:val="00EE0FCA"/>
    <w:rsid w:val="00EE14CA"/>
    <w:rsid w:val="00EE2B68"/>
    <w:rsid w:val="00EE2E52"/>
    <w:rsid w:val="00EE3B0C"/>
    <w:rsid w:val="00EE41F2"/>
    <w:rsid w:val="00EE460C"/>
    <w:rsid w:val="00EE5D26"/>
    <w:rsid w:val="00EE61D7"/>
    <w:rsid w:val="00EE677F"/>
    <w:rsid w:val="00EE6993"/>
    <w:rsid w:val="00EE6B80"/>
    <w:rsid w:val="00EE70A0"/>
    <w:rsid w:val="00EE7526"/>
    <w:rsid w:val="00EF0219"/>
    <w:rsid w:val="00EF1155"/>
    <w:rsid w:val="00EF163D"/>
    <w:rsid w:val="00EF17F2"/>
    <w:rsid w:val="00EF1DDD"/>
    <w:rsid w:val="00EF1E07"/>
    <w:rsid w:val="00EF3AEE"/>
    <w:rsid w:val="00EF3C65"/>
    <w:rsid w:val="00EF3F13"/>
    <w:rsid w:val="00EF4D95"/>
    <w:rsid w:val="00EF5318"/>
    <w:rsid w:val="00EF5D25"/>
    <w:rsid w:val="00EF72A2"/>
    <w:rsid w:val="00EF73D7"/>
    <w:rsid w:val="00EF7BC3"/>
    <w:rsid w:val="00F002CC"/>
    <w:rsid w:val="00F01701"/>
    <w:rsid w:val="00F02078"/>
    <w:rsid w:val="00F024A7"/>
    <w:rsid w:val="00F02B55"/>
    <w:rsid w:val="00F0351C"/>
    <w:rsid w:val="00F04D91"/>
    <w:rsid w:val="00F0612E"/>
    <w:rsid w:val="00F06A03"/>
    <w:rsid w:val="00F06BC6"/>
    <w:rsid w:val="00F07531"/>
    <w:rsid w:val="00F0768A"/>
    <w:rsid w:val="00F07B0E"/>
    <w:rsid w:val="00F07D2C"/>
    <w:rsid w:val="00F07EE2"/>
    <w:rsid w:val="00F10350"/>
    <w:rsid w:val="00F111AF"/>
    <w:rsid w:val="00F1124D"/>
    <w:rsid w:val="00F11397"/>
    <w:rsid w:val="00F1149B"/>
    <w:rsid w:val="00F12E7E"/>
    <w:rsid w:val="00F12FE7"/>
    <w:rsid w:val="00F1311A"/>
    <w:rsid w:val="00F13EE7"/>
    <w:rsid w:val="00F151F8"/>
    <w:rsid w:val="00F15908"/>
    <w:rsid w:val="00F17A4A"/>
    <w:rsid w:val="00F17A5B"/>
    <w:rsid w:val="00F2007A"/>
    <w:rsid w:val="00F20A0F"/>
    <w:rsid w:val="00F20C74"/>
    <w:rsid w:val="00F21CCE"/>
    <w:rsid w:val="00F21D6A"/>
    <w:rsid w:val="00F22284"/>
    <w:rsid w:val="00F2276E"/>
    <w:rsid w:val="00F229F9"/>
    <w:rsid w:val="00F22E85"/>
    <w:rsid w:val="00F2347F"/>
    <w:rsid w:val="00F23667"/>
    <w:rsid w:val="00F237AD"/>
    <w:rsid w:val="00F239F5"/>
    <w:rsid w:val="00F23BDF"/>
    <w:rsid w:val="00F24715"/>
    <w:rsid w:val="00F25670"/>
    <w:rsid w:val="00F258FE"/>
    <w:rsid w:val="00F2682C"/>
    <w:rsid w:val="00F26948"/>
    <w:rsid w:val="00F27E2D"/>
    <w:rsid w:val="00F30001"/>
    <w:rsid w:val="00F3037E"/>
    <w:rsid w:val="00F31EBF"/>
    <w:rsid w:val="00F3246A"/>
    <w:rsid w:val="00F32517"/>
    <w:rsid w:val="00F32576"/>
    <w:rsid w:val="00F32C74"/>
    <w:rsid w:val="00F33620"/>
    <w:rsid w:val="00F337C1"/>
    <w:rsid w:val="00F337DF"/>
    <w:rsid w:val="00F33830"/>
    <w:rsid w:val="00F33998"/>
    <w:rsid w:val="00F33FAA"/>
    <w:rsid w:val="00F34B85"/>
    <w:rsid w:val="00F35EF9"/>
    <w:rsid w:val="00F3675F"/>
    <w:rsid w:val="00F37213"/>
    <w:rsid w:val="00F37883"/>
    <w:rsid w:val="00F404DE"/>
    <w:rsid w:val="00F40A34"/>
    <w:rsid w:val="00F40E3E"/>
    <w:rsid w:val="00F40E68"/>
    <w:rsid w:val="00F417D7"/>
    <w:rsid w:val="00F431A4"/>
    <w:rsid w:val="00F435CA"/>
    <w:rsid w:val="00F44358"/>
    <w:rsid w:val="00F44E64"/>
    <w:rsid w:val="00F45610"/>
    <w:rsid w:val="00F46AF9"/>
    <w:rsid w:val="00F47042"/>
    <w:rsid w:val="00F47B8F"/>
    <w:rsid w:val="00F47D54"/>
    <w:rsid w:val="00F507C8"/>
    <w:rsid w:val="00F50951"/>
    <w:rsid w:val="00F50C6B"/>
    <w:rsid w:val="00F50D54"/>
    <w:rsid w:val="00F5142C"/>
    <w:rsid w:val="00F51781"/>
    <w:rsid w:val="00F52591"/>
    <w:rsid w:val="00F534B2"/>
    <w:rsid w:val="00F53A9C"/>
    <w:rsid w:val="00F542C5"/>
    <w:rsid w:val="00F54FD6"/>
    <w:rsid w:val="00F557BC"/>
    <w:rsid w:val="00F55AC0"/>
    <w:rsid w:val="00F55B9C"/>
    <w:rsid w:val="00F55D08"/>
    <w:rsid w:val="00F5613A"/>
    <w:rsid w:val="00F57451"/>
    <w:rsid w:val="00F57585"/>
    <w:rsid w:val="00F5761A"/>
    <w:rsid w:val="00F576FE"/>
    <w:rsid w:val="00F60574"/>
    <w:rsid w:val="00F60D19"/>
    <w:rsid w:val="00F611A3"/>
    <w:rsid w:val="00F6223C"/>
    <w:rsid w:val="00F624BA"/>
    <w:rsid w:val="00F625FE"/>
    <w:rsid w:val="00F640D2"/>
    <w:rsid w:val="00F645C5"/>
    <w:rsid w:val="00F64B48"/>
    <w:rsid w:val="00F65AA5"/>
    <w:rsid w:val="00F672DF"/>
    <w:rsid w:val="00F67446"/>
    <w:rsid w:val="00F674C3"/>
    <w:rsid w:val="00F7034A"/>
    <w:rsid w:val="00F70433"/>
    <w:rsid w:val="00F70465"/>
    <w:rsid w:val="00F704C0"/>
    <w:rsid w:val="00F707E7"/>
    <w:rsid w:val="00F7139E"/>
    <w:rsid w:val="00F713DB"/>
    <w:rsid w:val="00F71507"/>
    <w:rsid w:val="00F71BE7"/>
    <w:rsid w:val="00F72C13"/>
    <w:rsid w:val="00F73365"/>
    <w:rsid w:val="00F73D4E"/>
    <w:rsid w:val="00F73EC1"/>
    <w:rsid w:val="00F74E8E"/>
    <w:rsid w:val="00F7508F"/>
    <w:rsid w:val="00F751A0"/>
    <w:rsid w:val="00F76861"/>
    <w:rsid w:val="00F7696B"/>
    <w:rsid w:val="00F769B5"/>
    <w:rsid w:val="00F77841"/>
    <w:rsid w:val="00F8040D"/>
    <w:rsid w:val="00F80FBD"/>
    <w:rsid w:val="00F815D5"/>
    <w:rsid w:val="00F81752"/>
    <w:rsid w:val="00F81773"/>
    <w:rsid w:val="00F824A0"/>
    <w:rsid w:val="00F83509"/>
    <w:rsid w:val="00F8455D"/>
    <w:rsid w:val="00F84A7E"/>
    <w:rsid w:val="00F84DA2"/>
    <w:rsid w:val="00F85833"/>
    <w:rsid w:val="00F85B95"/>
    <w:rsid w:val="00F85DFB"/>
    <w:rsid w:val="00F8745B"/>
    <w:rsid w:val="00F87AC8"/>
    <w:rsid w:val="00F87F60"/>
    <w:rsid w:val="00F90447"/>
    <w:rsid w:val="00F91D3A"/>
    <w:rsid w:val="00F92679"/>
    <w:rsid w:val="00F9367E"/>
    <w:rsid w:val="00F936CE"/>
    <w:rsid w:val="00F93D34"/>
    <w:rsid w:val="00F94C44"/>
    <w:rsid w:val="00F94DD0"/>
    <w:rsid w:val="00F94E93"/>
    <w:rsid w:val="00F97033"/>
    <w:rsid w:val="00FA02B0"/>
    <w:rsid w:val="00FA11EC"/>
    <w:rsid w:val="00FA1E46"/>
    <w:rsid w:val="00FA2198"/>
    <w:rsid w:val="00FA3520"/>
    <w:rsid w:val="00FA3C0C"/>
    <w:rsid w:val="00FA3DA8"/>
    <w:rsid w:val="00FA4910"/>
    <w:rsid w:val="00FA4A4F"/>
    <w:rsid w:val="00FA4C71"/>
    <w:rsid w:val="00FA5646"/>
    <w:rsid w:val="00FA5857"/>
    <w:rsid w:val="00FA59AA"/>
    <w:rsid w:val="00FA5C00"/>
    <w:rsid w:val="00FA6A20"/>
    <w:rsid w:val="00FA7282"/>
    <w:rsid w:val="00FA77F0"/>
    <w:rsid w:val="00FA7DA3"/>
    <w:rsid w:val="00FA7F84"/>
    <w:rsid w:val="00FB06C1"/>
    <w:rsid w:val="00FB0B36"/>
    <w:rsid w:val="00FB132E"/>
    <w:rsid w:val="00FB1A32"/>
    <w:rsid w:val="00FB1B43"/>
    <w:rsid w:val="00FB2282"/>
    <w:rsid w:val="00FB2BF0"/>
    <w:rsid w:val="00FB3CFD"/>
    <w:rsid w:val="00FB45FF"/>
    <w:rsid w:val="00FB4A31"/>
    <w:rsid w:val="00FB58F5"/>
    <w:rsid w:val="00FB5F56"/>
    <w:rsid w:val="00FB6574"/>
    <w:rsid w:val="00FB67F6"/>
    <w:rsid w:val="00FB6E87"/>
    <w:rsid w:val="00FB71CD"/>
    <w:rsid w:val="00FB781A"/>
    <w:rsid w:val="00FB7AC1"/>
    <w:rsid w:val="00FC0B5F"/>
    <w:rsid w:val="00FC0DB1"/>
    <w:rsid w:val="00FC1BA8"/>
    <w:rsid w:val="00FC1C08"/>
    <w:rsid w:val="00FC24AC"/>
    <w:rsid w:val="00FC29D4"/>
    <w:rsid w:val="00FC33CE"/>
    <w:rsid w:val="00FC3CA1"/>
    <w:rsid w:val="00FC3DEE"/>
    <w:rsid w:val="00FC4009"/>
    <w:rsid w:val="00FC4055"/>
    <w:rsid w:val="00FC4274"/>
    <w:rsid w:val="00FC45ED"/>
    <w:rsid w:val="00FC4C04"/>
    <w:rsid w:val="00FC55D8"/>
    <w:rsid w:val="00FC55FD"/>
    <w:rsid w:val="00FC5E63"/>
    <w:rsid w:val="00FC6F70"/>
    <w:rsid w:val="00FC70EA"/>
    <w:rsid w:val="00FC7180"/>
    <w:rsid w:val="00FC7E89"/>
    <w:rsid w:val="00FD22CC"/>
    <w:rsid w:val="00FD3162"/>
    <w:rsid w:val="00FD3C03"/>
    <w:rsid w:val="00FD3C5A"/>
    <w:rsid w:val="00FD535C"/>
    <w:rsid w:val="00FD5682"/>
    <w:rsid w:val="00FD5DBC"/>
    <w:rsid w:val="00FD63FD"/>
    <w:rsid w:val="00FD699E"/>
    <w:rsid w:val="00FD7297"/>
    <w:rsid w:val="00FD7D2B"/>
    <w:rsid w:val="00FE03AA"/>
    <w:rsid w:val="00FE0D27"/>
    <w:rsid w:val="00FE147B"/>
    <w:rsid w:val="00FE2665"/>
    <w:rsid w:val="00FE278F"/>
    <w:rsid w:val="00FE2D3B"/>
    <w:rsid w:val="00FE3E8B"/>
    <w:rsid w:val="00FE3EFB"/>
    <w:rsid w:val="00FE4CC3"/>
    <w:rsid w:val="00FE4F48"/>
    <w:rsid w:val="00FE5367"/>
    <w:rsid w:val="00FE623B"/>
    <w:rsid w:val="00FE628A"/>
    <w:rsid w:val="00FE656A"/>
    <w:rsid w:val="00FE681A"/>
    <w:rsid w:val="00FE71B1"/>
    <w:rsid w:val="00FE737A"/>
    <w:rsid w:val="00FF0289"/>
    <w:rsid w:val="00FF0C97"/>
    <w:rsid w:val="00FF1739"/>
    <w:rsid w:val="00FF1B4F"/>
    <w:rsid w:val="00FF4074"/>
    <w:rsid w:val="00FF45B8"/>
    <w:rsid w:val="00FF5333"/>
    <w:rsid w:val="00FF6025"/>
    <w:rsid w:val="00FF607C"/>
    <w:rsid w:val="00FF60F6"/>
    <w:rsid w:val="00FF74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378556"/>
  <w15:chartTrackingRefBased/>
  <w15:docId w15:val="{0CB9E0A0-9A6B-4B47-809C-6E18ACE2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A7F"/>
  </w:style>
  <w:style w:type="paragraph" w:styleId="Nagwek1">
    <w:name w:val="heading 1"/>
    <w:basedOn w:val="Normalny"/>
    <w:next w:val="Normalny"/>
    <w:link w:val="Nagwek1Znak"/>
    <w:uiPriority w:val="9"/>
    <w:qFormat/>
    <w:rsid w:val="00160533"/>
    <w:pPr>
      <w:keepNext/>
      <w:keepLines/>
      <w:spacing w:before="360" w:after="120"/>
      <w:outlineLvl w:val="0"/>
    </w:pPr>
    <w:rPr>
      <w:rFonts w:ascii="Calibri" w:eastAsiaTheme="majorEastAsia" w:hAnsi="Calibri" w:cstheme="majorBidi"/>
      <w:b/>
      <w:color w:val="000000" w:themeColor="text1"/>
      <w:szCs w:val="32"/>
    </w:rPr>
  </w:style>
  <w:style w:type="paragraph" w:styleId="Nagwek2">
    <w:name w:val="heading 2"/>
    <w:basedOn w:val="Normalny"/>
    <w:next w:val="Normalny"/>
    <w:link w:val="Nagwek2Znak"/>
    <w:uiPriority w:val="9"/>
    <w:unhideWhenUsed/>
    <w:qFormat/>
    <w:rsid w:val="00160533"/>
    <w:pPr>
      <w:keepNext/>
      <w:keepLines/>
      <w:spacing w:before="240" w:after="240"/>
      <w:outlineLvl w:val="1"/>
    </w:pPr>
    <w:rPr>
      <w:rFonts w:ascii="Calibri" w:eastAsiaTheme="majorEastAsia" w:hAnsi="Calibri" w:cstheme="majorBidi"/>
      <w:color w:val="2E74B5" w:themeColor="accent1" w:themeShade="BF"/>
      <w:szCs w:val="26"/>
    </w:rPr>
  </w:style>
  <w:style w:type="paragraph" w:styleId="Nagwek3">
    <w:name w:val="heading 3"/>
    <w:basedOn w:val="Normalny"/>
    <w:next w:val="Normalny"/>
    <w:link w:val="Nagwek3Znak"/>
    <w:uiPriority w:val="9"/>
    <w:unhideWhenUsed/>
    <w:qFormat/>
    <w:rsid w:val="00B1571F"/>
    <w:pPr>
      <w:keepNext/>
      <w:keepLines/>
      <w:spacing w:before="40" w:after="240"/>
      <w:outlineLvl w:val="2"/>
    </w:pPr>
    <w:rPr>
      <w:rFonts w:ascii="Calibri" w:eastAsiaTheme="majorEastAsia" w:hAnsi="Calibri" w:cstheme="majorBidi"/>
      <w:color w:val="2E74B5" w:themeColor="accent1" w:themeShade="BF"/>
      <w:szCs w:val="24"/>
    </w:rPr>
  </w:style>
  <w:style w:type="paragraph" w:styleId="Nagwek4">
    <w:name w:val="heading 4"/>
    <w:basedOn w:val="Normalny"/>
    <w:next w:val="Normalny"/>
    <w:link w:val="Nagwek4Znak"/>
    <w:uiPriority w:val="9"/>
    <w:unhideWhenUsed/>
    <w:qFormat/>
    <w:rsid w:val="00BD768B"/>
    <w:pPr>
      <w:keepNext/>
      <w:keepLines/>
      <w:spacing w:before="40" w:after="120"/>
      <w:outlineLvl w:val="3"/>
    </w:pPr>
    <w:rPr>
      <w:rFonts w:ascii="Calibri" w:eastAsiaTheme="majorEastAsia" w:hAnsi="Calibri" w:cstheme="majorBidi"/>
      <w:i/>
      <w:iCs/>
      <w:color w:val="2E74B5" w:themeColor="accent1" w:themeShade="BF"/>
    </w:rPr>
  </w:style>
  <w:style w:type="paragraph" w:styleId="Nagwek5">
    <w:name w:val="heading 5"/>
    <w:basedOn w:val="Normalny"/>
    <w:next w:val="Normalny"/>
    <w:link w:val="Nagwek5Znak"/>
    <w:uiPriority w:val="9"/>
    <w:unhideWhenUsed/>
    <w:qFormat/>
    <w:rsid w:val="00B1571F"/>
    <w:pPr>
      <w:keepNext/>
      <w:keepLines/>
      <w:spacing w:before="40" w:after="120"/>
      <w:outlineLvl w:val="4"/>
    </w:pPr>
    <w:rPr>
      <w:rFonts w:ascii="Calibri" w:eastAsiaTheme="majorEastAsia" w:hAnsi="Calibri" w:cstheme="majorBidi"/>
      <w:i/>
      <w:color w:val="2E74B5" w:themeColor="accent1" w:themeShade="BF"/>
    </w:rPr>
  </w:style>
  <w:style w:type="paragraph" w:styleId="Nagwek6">
    <w:name w:val="heading 6"/>
    <w:basedOn w:val="Normalny"/>
    <w:next w:val="Normalny"/>
    <w:link w:val="Nagwek6Znak"/>
    <w:uiPriority w:val="9"/>
    <w:unhideWhenUsed/>
    <w:qFormat/>
    <w:rsid w:val="00B0693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BD1640"/>
    <w:rPr>
      <w:sz w:val="16"/>
      <w:szCs w:val="16"/>
    </w:rPr>
  </w:style>
  <w:style w:type="paragraph" w:styleId="Tekstdymka">
    <w:name w:val="Balloon Text"/>
    <w:basedOn w:val="Normalny"/>
    <w:link w:val="TekstdymkaZnak"/>
    <w:uiPriority w:val="99"/>
    <w:semiHidden/>
    <w:unhideWhenUsed/>
    <w:rsid w:val="00BD164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1640"/>
    <w:rPr>
      <w:rFonts w:ascii="Segoe UI" w:hAnsi="Segoe UI" w:cs="Segoe UI"/>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paragraph" w:styleId="Nagwek">
    <w:name w:val="header"/>
    <w:basedOn w:val="Normalny"/>
    <w:link w:val="NagwekZnak"/>
    <w:uiPriority w:val="99"/>
    <w:unhideWhenUsed/>
    <w:rsid w:val="00F12E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2E7E"/>
  </w:style>
  <w:style w:type="paragraph" w:styleId="Stopka">
    <w:name w:val="footer"/>
    <w:basedOn w:val="Normalny"/>
    <w:link w:val="StopkaZnak"/>
    <w:uiPriority w:val="99"/>
    <w:unhideWhenUsed/>
    <w:rsid w:val="00F12E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2E7E"/>
  </w:style>
  <w:style w:type="character" w:customStyle="1" w:styleId="Nagwek1Znak">
    <w:name w:val="Nagłówek 1 Znak"/>
    <w:basedOn w:val="Domylnaczcionkaakapitu"/>
    <w:link w:val="Nagwek1"/>
    <w:uiPriority w:val="9"/>
    <w:rsid w:val="00160533"/>
    <w:rPr>
      <w:rFonts w:ascii="Calibri" w:eastAsiaTheme="majorEastAsia" w:hAnsi="Calibri" w:cstheme="majorBidi"/>
      <w:b/>
      <w:color w:val="000000" w:themeColor="text1"/>
      <w:szCs w:val="32"/>
    </w:rPr>
  </w:style>
  <w:style w:type="paragraph" w:styleId="Akapitzlist">
    <w:name w:val="List Paragraph"/>
    <w:basedOn w:val="Normalny"/>
    <w:link w:val="AkapitzlistZnak"/>
    <w:qFormat/>
    <w:rsid w:val="00ED61DC"/>
    <w:pPr>
      <w:ind w:left="720"/>
      <w:contextualSpacing/>
    </w:pPr>
  </w:style>
  <w:style w:type="paragraph" w:styleId="Tekstprzypisukocowego">
    <w:name w:val="endnote text"/>
    <w:basedOn w:val="Normalny"/>
    <w:link w:val="TekstprzypisukocowegoZnak"/>
    <w:uiPriority w:val="99"/>
    <w:semiHidden/>
    <w:unhideWhenUsed/>
    <w:rsid w:val="00BD48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D4869"/>
    <w:rPr>
      <w:sz w:val="20"/>
      <w:szCs w:val="20"/>
    </w:rPr>
  </w:style>
  <w:style w:type="character" w:styleId="Odwoanieprzypisukocowego">
    <w:name w:val="endnote reference"/>
    <w:basedOn w:val="Domylnaczcionkaakapitu"/>
    <w:uiPriority w:val="99"/>
    <w:semiHidden/>
    <w:unhideWhenUsed/>
    <w:rsid w:val="00BD4869"/>
    <w:rPr>
      <w:vertAlign w:val="superscript"/>
    </w:rPr>
  </w:style>
  <w:style w:type="paragraph" w:styleId="Tekstprzypisudolnego">
    <w:name w:val="footnote text"/>
    <w:basedOn w:val="Normalny"/>
    <w:link w:val="TekstprzypisudolnegoZnak"/>
    <w:uiPriority w:val="99"/>
    <w:unhideWhenUsed/>
    <w:rsid w:val="000E001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E0018"/>
    <w:rPr>
      <w:sz w:val="20"/>
      <w:szCs w:val="20"/>
    </w:rPr>
  </w:style>
  <w:style w:type="character" w:styleId="Odwoanieprzypisudolnego">
    <w:name w:val="footnote reference"/>
    <w:aliases w:val="BVI fnr,Footnote symbol,SUPERS,Footnote reference number,note TESI,-E Fußnotenzeichen,number,Appel note de bas de p,Nota,Footnote,Footnote number,Footnote Reference Superscript,EN Footnote Reference,number Char Char,Char1,Ref"/>
    <w:basedOn w:val="Domylnaczcionkaakapitu"/>
    <w:link w:val="FootnotesymbolCarZchn"/>
    <w:uiPriority w:val="99"/>
    <w:unhideWhenUsed/>
    <w:qFormat/>
    <w:rsid w:val="000E0018"/>
    <w:rPr>
      <w:vertAlign w:val="superscript"/>
    </w:rPr>
  </w:style>
  <w:style w:type="character" w:styleId="Hipercze">
    <w:name w:val="Hyperlink"/>
    <w:basedOn w:val="Domylnaczcionkaakapitu"/>
    <w:uiPriority w:val="99"/>
    <w:unhideWhenUsed/>
    <w:rsid w:val="000E64E6"/>
    <w:rPr>
      <w:color w:val="0563C1" w:themeColor="hyperlink"/>
      <w:u w:val="single"/>
    </w:rPr>
  </w:style>
  <w:style w:type="character" w:styleId="UyteHipercze">
    <w:name w:val="FollowedHyperlink"/>
    <w:basedOn w:val="Domylnaczcionkaakapitu"/>
    <w:uiPriority w:val="99"/>
    <w:semiHidden/>
    <w:unhideWhenUsed/>
    <w:rsid w:val="000E64E6"/>
    <w:rPr>
      <w:color w:val="954F72" w:themeColor="followedHyperlink"/>
      <w:u w:val="single"/>
    </w:rPr>
  </w:style>
  <w:style w:type="paragraph" w:styleId="Tematkomentarza">
    <w:name w:val="annotation subject"/>
    <w:basedOn w:val="Tekstkomentarza"/>
    <w:next w:val="Tekstkomentarza"/>
    <w:link w:val="TematkomentarzaZnak"/>
    <w:uiPriority w:val="99"/>
    <w:semiHidden/>
    <w:unhideWhenUsed/>
    <w:rsid w:val="007302A3"/>
    <w:rPr>
      <w:b/>
      <w:bCs/>
    </w:rPr>
  </w:style>
  <w:style w:type="character" w:customStyle="1" w:styleId="TematkomentarzaZnak">
    <w:name w:val="Temat komentarza Znak"/>
    <w:basedOn w:val="TekstkomentarzaZnak"/>
    <w:link w:val="Tematkomentarza"/>
    <w:uiPriority w:val="99"/>
    <w:semiHidden/>
    <w:rsid w:val="007302A3"/>
    <w:rPr>
      <w:b/>
      <w:bCs/>
      <w:sz w:val="20"/>
      <w:szCs w:val="20"/>
    </w:rPr>
  </w:style>
  <w:style w:type="paragraph" w:customStyle="1" w:styleId="Default">
    <w:name w:val="Default"/>
    <w:rsid w:val="0043220A"/>
    <w:pPr>
      <w:autoSpaceDE w:val="0"/>
      <w:autoSpaceDN w:val="0"/>
      <w:adjustRightInd w:val="0"/>
      <w:spacing w:after="0" w:line="240" w:lineRule="auto"/>
    </w:pPr>
    <w:rPr>
      <w:rFonts w:ascii="EUAlbertina" w:hAnsi="EUAlbertina" w:cs="EUAlbertina"/>
      <w:color w:val="000000"/>
      <w:sz w:val="24"/>
      <w:szCs w:val="24"/>
    </w:rPr>
  </w:style>
  <w:style w:type="paragraph" w:customStyle="1" w:styleId="USTustnpkodeksu">
    <w:name w:val="UST(§) – ust. (§ np. kodeksu)"/>
    <w:basedOn w:val="Normalny"/>
    <w:uiPriority w:val="12"/>
    <w:qFormat/>
    <w:rsid w:val="007B12DC"/>
    <w:pPr>
      <w:suppressAutoHyphens/>
      <w:autoSpaceDE w:val="0"/>
      <w:autoSpaceDN w:val="0"/>
      <w:adjustRightInd w:val="0"/>
      <w:spacing w:after="0" w:line="360" w:lineRule="auto"/>
      <w:ind w:firstLine="510"/>
      <w:jc w:val="both"/>
    </w:pPr>
    <w:rPr>
      <w:rFonts w:ascii="Times" w:eastAsiaTheme="minorEastAsia" w:hAnsi="Times" w:cs="Arial"/>
      <w:bCs/>
      <w:sz w:val="24"/>
      <w:szCs w:val="20"/>
      <w:lang w:eastAsia="pl-PL"/>
    </w:rPr>
  </w:style>
  <w:style w:type="character" w:customStyle="1" w:styleId="Ppogrubienie">
    <w:name w:val="_P_ – pogrubienie"/>
    <w:basedOn w:val="Domylnaczcionkaakapitu"/>
    <w:uiPriority w:val="1"/>
    <w:qFormat/>
    <w:rsid w:val="007B12DC"/>
    <w:rPr>
      <w:b/>
    </w:rPr>
  </w:style>
  <w:style w:type="paragraph" w:customStyle="1" w:styleId="PKTpunkt">
    <w:name w:val="PKT – punkt"/>
    <w:uiPriority w:val="13"/>
    <w:qFormat/>
    <w:rsid w:val="009C51FE"/>
    <w:pPr>
      <w:spacing w:after="0" w:line="360" w:lineRule="auto"/>
      <w:ind w:left="510" w:hanging="510"/>
      <w:jc w:val="both"/>
    </w:pPr>
    <w:rPr>
      <w:rFonts w:ascii="Times" w:eastAsiaTheme="minorEastAsia" w:hAnsi="Times" w:cs="Arial"/>
      <w:bCs/>
      <w:sz w:val="24"/>
      <w:szCs w:val="20"/>
      <w:lang w:eastAsia="pl-PL"/>
    </w:rPr>
  </w:style>
  <w:style w:type="paragraph" w:customStyle="1" w:styleId="LITlitera">
    <w:name w:val="LIT – litera"/>
    <w:basedOn w:val="PKTpunkt"/>
    <w:uiPriority w:val="14"/>
    <w:qFormat/>
    <w:rsid w:val="00226AAC"/>
    <w:pPr>
      <w:ind w:left="986" w:hanging="476"/>
    </w:pPr>
  </w:style>
  <w:style w:type="paragraph" w:customStyle="1" w:styleId="ARTartustawynprozporzdzenia">
    <w:name w:val="ART(§) – art. ustawy (§ np. rozporządzenia)"/>
    <w:uiPriority w:val="11"/>
    <w:qFormat/>
    <w:rsid w:val="00B50339"/>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character" w:customStyle="1" w:styleId="Nagwek2Znak">
    <w:name w:val="Nagłówek 2 Znak"/>
    <w:basedOn w:val="Domylnaczcionkaakapitu"/>
    <w:link w:val="Nagwek2"/>
    <w:uiPriority w:val="9"/>
    <w:rsid w:val="00160533"/>
    <w:rPr>
      <w:rFonts w:ascii="Calibri" w:eastAsiaTheme="majorEastAsia" w:hAnsi="Calibri" w:cstheme="majorBidi"/>
      <w:color w:val="2E74B5" w:themeColor="accent1" w:themeShade="BF"/>
      <w:szCs w:val="26"/>
    </w:rPr>
  </w:style>
  <w:style w:type="character" w:customStyle="1" w:styleId="Nagwek3Znak">
    <w:name w:val="Nagłówek 3 Znak"/>
    <w:basedOn w:val="Domylnaczcionkaakapitu"/>
    <w:link w:val="Nagwek3"/>
    <w:uiPriority w:val="9"/>
    <w:rsid w:val="00B1571F"/>
    <w:rPr>
      <w:rFonts w:ascii="Calibri" w:eastAsiaTheme="majorEastAsia" w:hAnsi="Calibri" w:cstheme="majorBidi"/>
      <w:color w:val="2E74B5" w:themeColor="accent1" w:themeShade="BF"/>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E23ED8"/>
    <w:pPr>
      <w:spacing w:line="240" w:lineRule="exact"/>
      <w:jc w:val="both"/>
    </w:pPr>
    <w:rPr>
      <w:vertAlign w:val="superscript"/>
    </w:rPr>
  </w:style>
  <w:style w:type="character" w:customStyle="1" w:styleId="Nagwek4Znak">
    <w:name w:val="Nagłówek 4 Znak"/>
    <w:basedOn w:val="Domylnaczcionkaakapitu"/>
    <w:link w:val="Nagwek4"/>
    <w:uiPriority w:val="9"/>
    <w:rsid w:val="00BD768B"/>
    <w:rPr>
      <w:rFonts w:ascii="Calibri" w:eastAsiaTheme="majorEastAsia" w:hAnsi="Calibri" w:cstheme="majorBidi"/>
      <w:i/>
      <w:iCs/>
      <w:color w:val="2E74B5" w:themeColor="accent1" w:themeShade="BF"/>
    </w:rPr>
  </w:style>
  <w:style w:type="character" w:customStyle="1" w:styleId="Nagwek5Znak">
    <w:name w:val="Nagłówek 5 Znak"/>
    <w:basedOn w:val="Domylnaczcionkaakapitu"/>
    <w:link w:val="Nagwek5"/>
    <w:uiPriority w:val="9"/>
    <w:rsid w:val="00B1571F"/>
    <w:rPr>
      <w:rFonts w:ascii="Calibri" w:eastAsiaTheme="majorEastAsia" w:hAnsi="Calibri" w:cstheme="majorBidi"/>
      <w:i/>
      <w:color w:val="2E74B5" w:themeColor="accent1" w:themeShade="BF"/>
    </w:rPr>
  </w:style>
  <w:style w:type="character" w:customStyle="1" w:styleId="Nierozpoznanawzmianka1">
    <w:name w:val="Nierozpoznana wzmianka1"/>
    <w:basedOn w:val="Domylnaczcionkaakapitu"/>
    <w:uiPriority w:val="99"/>
    <w:semiHidden/>
    <w:unhideWhenUsed/>
    <w:rsid w:val="00731D81"/>
    <w:rPr>
      <w:color w:val="605E5C"/>
      <w:shd w:val="clear" w:color="auto" w:fill="E1DFDD"/>
    </w:rPr>
  </w:style>
  <w:style w:type="character" w:customStyle="1" w:styleId="Kkursywa">
    <w:name w:val="_K_ – kursywa"/>
    <w:basedOn w:val="Domylnaczcionkaakapitu"/>
    <w:uiPriority w:val="1"/>
    <w:qFormat/>
    <w:rsid w:val="00C77D60"/>
    <w:rPr>
      <w:i/>
    </w:rPr>
  </w:style>
  <w:style w:type="paragraph" w:customStyle="1" w:styleId="CZWSPPKTczwsplnapunktw">
    <w:name w:val="CZ_WSP_PKT – część wspólna punktów"/>
    <w:basedOn w:val="PKTpunkt"/>
    <w:next w:val="USTustnpkodeksu"/>
    <w:uiPriority w:val="16"/>
    <w:qFormat/>
    <w:rsid w:val="00F5761A"/>
    <w:pPr>
      <w:ind w:left="0" w:firstLine="0"/>
    </w:pPr>
  </w:style>
  <w:style w:type="paragraph" w:customStyle="1" w:styleId="TIRtiret">
    <w:name w:val="TIR – tiret"/>
    <w:basedOn w:val="LITlitera"/>
    <w:uiPriority w:val="15"/>
    <w:qFormat/>
    <w:rsid w:val="007F736F"/>
    <w:pPr>
      <w:ind w:left="1384" w:hanging="397"/>
    </w:pPr>
  </w:style>
  <w:style w:type="paragraph" w:customStyle="1" w:styleId="Text1">
    <w:name w:val="Text 1"/>
    <w:basedOn w:val="Normalny"/>
    <w:rsid w:val="007F736F"/>
    <w:pPr>
      <w:spacing w:before="120" w:after="120" w:line="360" w:lineRule="auto"/>
      <w:ind w:left="850"/>
    </w:pPr>
    <w:rPr>
      <w:rFonts w:ascii="Times New Roman" w:hAnsi="Times New Roman" w:cs="Times New Roman"/>
      <w:sz w:val="24"/>
    </w:rPr>
  </w:style>
  <w:style w:type="paragraph" w:customStyle="1" w:styleId="Point1">
    <w:name w:val="Point 1"/>
    <w:basedOn w:val="Normalny"/>
    <w:rsid w:val="007F736F"/>
    <w:pPr>
      <w:spacing w:before="120" w:after="120" w:line="360" w:lineRule="auto"/>
      <w:ind w:left="1417" w:hanging="567"/>
    </w:pPr>
    <w:rPr>
      <w:rFonts w:ascii="Times New Roman" w:hAnsi="Times New Roman" w:cs="Times New Roman"/>
      <w:sz w:val="24"/>
    </w:rPr>
  </w:style>
  <w:style w:type="character" w:customStyle="1" w:styleId="AkapitzlistZnak">
    <w:name w:val="Akapit z listą Znak"/>
    <w:link w:val="Akapitzlist"/>
    <w:rsid w:val="00D4141B"/>
  </w:style>
  <w:style w:type="character" w:customStyle="1" w:styleId="Nierozpoznanawzmianka2">
    <w:name w:val="Nierozpoznana wzmianka2"/>
    <w:basedOn w:val="Domylnaczcionkaakapitu"/>
    <w:uiPriority w:val="99"/>
    <w:semiHidden/>
    <w:unhideWhenUsed/>
    <w:rsid w:val="0083388A"/>
    <w:rPr>
      <w:color w:val="605E5C"/>
      <w:shd w:val="clear" w:color="auto" w:fill="E1DFDD"/>
    </w:rPr>
  </w:style>
  <w:style w:type="paragraph" w:styleId="NormalnyWeb">
    <w:name w:val="Normal (Web)"/>
    <w:basedOn w:val="Normalny"/>
    <w:uiPriority w:val="99"/>
    <w:semiHidden/>
    <w:unhideWhenUsed/>
    <w:rsid w:val="000170F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4209D6"/>
    <w:pPr>
      <w:spacing w:after="0" w:line="240" w:lineRule="auto"/>
    </w:pPr>
  </w:style>
  <w:style w:type="table" w:styleId="Tabela-Siatka">
    <w:name w:val="Table Grid"/>
    <w:basedOn w:val="Standardowy"/>
    <w:uiPriority w:val="39"/>
    <w:rsid w:val="00B32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uiPriority w:val="9"/>
    <w:rsid w:val="00B06936"/>
    <w:rPr>
      <w:rFonts w:asciiTheme="majorHAnsi" w:eastAsiaTheme="majorEastAsia" w:hAnsiTheme="majorHAnsi" w:cstheme="majorBidi"/>
      <w:color w:val="1F4D78" w:themeColor="accent1" w:themeShade="7F"/>
    </w:rPr>
  </w:style>
  <w:style w:type="character" w:customStyle="1" w:styleId="ui-provider">
    <w:name w:val="ui-provider"/>
    <w:basedOn w:val="Domylnaczcionkaakapitu"/>
    <w:rsid w:val="007A3596"/>
  </w:style>
  <w:style w:type="character" w:customStyle="1" w:styleId="Nierozpoznanawzmianka20">
    <w:name w:val="Nierozpoznana wzmianka2"/>
    <w:basedOn w:val="Domylnaczcionkaakapitu"/>
    <w:uiPriority w:val="99"/>
    <w:semiHidden/>
    <w:unhideWhenUsed/>
    <w:rsid w:val="002C7C46"/>
    <w:rPr>
      <w:color w:val="605E5C"/>
      <w:shd w:val="clear" w:color="auto" w:fill="E1DFDD"/>
    </w:rPr>
  </w:style>
  <w:style w:type="character" w:styleId="Pogrubienie">
    <w:name w:val="Strong"/>
    <w:basedOn w:val="Domylnaczcionkaakapitu"/>
    <w:uiPriority w:val="22"/>
    <w:qFormat/>
    <w:rsid w:val="002C7C46"/>
    <w:rPr>
      <w:b/>
      <w:bCs/>
    </w:rPr>
  </w:style>
  <w:style w:type="character" w:styleId="Nierozpoznanawzmianka">
    <w:name w:val="Unresolved Mention"/>
    <w:basedOn w:val="Domylnaczcionkaakapitu"/>
    <w:uiPriority w:val="99"/>
    <w:semiHidden/>
    <w:unhideWhenUsed/>
    <w:rsid w:val="000F2F78"/>
    <w:rPr>
      <w:color w:val="605E5C"/>
      <w:shd w:val="clear" w:color="auto" w:fill="E1DFDD"/>
    </w:rPr>
  </w:style>
  <w:style w:type="paragraph" w:customStyle="1" w:styleId="Tekstprzypisudolnego1">
    <w:name w:val="Tekst przypisu dolnego1"/>
    <w:basedOn w:val="Normalny"/>
    <w:next w:val="Tekstprzypisudolnego"/>
    <w:uiPriority w:val="99"/>
    <w:unhideWhenUsed/>
    <w:rsid w:val="008F5681"/>
    <w:pPr>
      <w:spacing w:after="0" w:line="240" w:lineRule="auto"/>
    </w:pPr>
    <w:rPr>
      <w:sz w:val="20"/>
      <w:szCs w:val="20"/>
    </w:rPr>
  </w:style>
  <w:style w:type="paragraph" w:customStyle="1" w:styleId="ZPKTzmpktartykuempunktem">
    <w:name w:val="Z/PKT – zm. pkt artykułem (punktem)"/>
    <w:basedOn w:val="PKTpunkt"/>
    <w:uiPriority w:val="31"/>
    <w:qFormat/>
    <w:rsid w:val="00E918D8"/>
    <w:pPr>
      <w:ind w:left="1020"/>
    </w:pPr>
  </w:style>
  <w:style w:type="paragraph" w:customStyle="1" w:styleId="ZUSTzmustartykuempunktem">
    <w:name w:val="Z/UST(§) – zm. ust. (§) artykułem (punktem)"/>
    <w:basedOn w:val="Normalny"/>
    <w:uiPriority w:val="30"/>
    <w:qFormat/>
    <w:rsid w:val="00E918D8"/>
    <w:pPr>
      <w:suppressAutoHyphens/>
      <w:autoSpaceDE w:val="0"/>
      <w:autoSpaceDN w:val="0"/>
      <w:adjustRightInd w:val="0"/>
      <w:spacing w:after="0" w:line="360" w:lineRule="auto"/>
      <w:ind w:left="510" w:firstLine="510"/>
      <w:jc w:val="both"/>
    </w:pPr>
    <w:rPr>
      <w:rFonts w:ascii="Times" w:eastAsiaTheme="minorEastAsia" w:hAnsi="Times" w:cs="Arial"/>
      <w:sz w:val="24"/>
      <w:szCs w:val="20"/>
      <w:lang w:eastAsia="pl-PL"/>
    </w:rPr>
  </w:style>
  <w:style w:type="paragraph" w:customStyle="1" w:styleId="paragraph">
    <w:name w:val="paragraph"/>
    <w:basedOn w:val="Normalny"/>
    <w:rsid w:val="00BA541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BA541D"/>
  </w:style>
  <w:style w:type="character" w:customStyle="1" w:styleId="eop">
    <w:name w:val="eop"/>
    <w:basedOn w:val="Domylnaczcionkaakapitu"/>
    <w:rsid w:val="00BA541D"/>
  </w:style>
  <w:style w:type="paragraph" w:customStyle="1" w:styleId="ROZDZODDZPRZEDMprzedmiotregulacjirozdziauluboddziau">
    <w:name w:val="ROZDZ(ODDZ)_PRZEDM – przedmiot regulacji rozdziału lub oddziału"/>
    <w:next w:val="ARTartustawynprozporzdzenia"/>
    <w:uiPriority w:val="10"/>
    <w:qFormat/>
    <w:rsid w:val="005B114B"/>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SzanownaPani">
    <w:name w:val="Szanowna Pani"/>
    <w:basedOn w:val="Normalny"/>
    <w:rsid w:val="00DD7588"/>
    <w:pPr>
      <w:spacing w:before="240" w:after="0" w:line="260" w:lineRule="exact"/>
      <w:contextualSpacing/>
    </w:pPr>
    <w:rPr>
      <w:rFonts w:ascii="Lato" w:hAnsi="Lato"/>
    </w:rPr>
  </w:style>
  <w:style w:type="paragraph" w:customStyle="1" w:styleId="WMATFIZCHEMwzrmatfizlubchem">
    <w:name w:val="W_MAT(FIZ|CHEM) – wzór mat. (fiz. lub chem.)"/>
    <w:uiPriority w:val="18"/>
    <w:qFormat/>
    <w:rsid w:val="004165B0"/>
    <w:pPr>
      <w:spacing w:after="0" w:line="360" w:lineRule="auto"/>
      <w:jc w:val="center"/>
    </w:pPr>
    <w:rPr>
      <w:rFonts w:ascii="Times New Roman" w:eastAsiaTheme="minorEastAsia" w:hAnsi="Times New Roman" w:cs="Arial"/>
      <w:sz w:val="24"/>
      <w:szCs w:val="20"/>
      <w:lang w:eastAsia="pl-PL"/>
    </w:rPr>
  </w:style>
  <w:style w:type="paragraph" w:customStyle="1" w:styleId="Metryka3MF">
    <w:name w:val="Metryka 3 MF"/>
    <w:basedOn w:val="Normalny"/>
    <w:rsid w:val="002423A2"/>
    <w:pPr>
      <w:spacing w:before="480" w:after="0" w:line="260" w:lineRule="exact"/>
      <w:contextualSpacing/>
    </w:pPr>
    <w:rPr>
      <w:rFonts w:ascii="Lato" w:hAnsi="Lato"/>
    </w:rPr>
  </w:style>
  <w:style w:type="paragraph" w:styleId="Zwykytekst">
    <w:name w:val="Plain Text"/>
    <w:basedOn w:val="Normalny"/>
    <w:link w:val="ZwykytekstZnak"/>
    <w:uiPriority w:val="99"/>
    <w:unhideWhenUsed/>
    <w:rsid w:val="007A2834"/>
    <w:pPr>
      <w:spacing w:after="0" w:line="240" w:lineRule="auto"/>
    </w:pPr>
    <w:rPr>
      <w:rFonts w:ascii="Calibri" w:hAnsi="Calibri" w:cs="Calibri"/>
      <w:lang w:val="en-US"/>
    </w:rPr>
  </w:style>
  <w:style w:type="character" w:customStyle="1" w:styleId="ZwykytekstZnak">
    <w:name w:val="Zwykły tekst Znak"/>
    <w:basedOn w:val="Domylnaczcionkaakapitu"/>
    <w:link w:val="Zwykytekst"/>
    <w:uiPriority w:val="99"/>
    <w:rsid w:val="007A2834"/>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423">
      <w:bodyDiv w:val="1"/>
      <w:marLeft w:val="0"/>
      <w:marRight w:val="0"/>
      <w:marTop w:val="0"/>
      <w:marBottom w:val="0"/>
      <w:divBdr>
        <w:top w:val="none" w:sz="0" w:space="0" w:color="auto"/>
        <w:left w:val="none" w:sz="0" w:space="0" w:color="auto"/>
        <w:bottom w:val="none" w:sz="0" w:space="0" w:color="auto"/>
        <w:right w:val="none" w:sz="0" w:space="0" w:color="auto"/>
      </w:divBdr>
    </w:div>
    <w:div w:id="50887819">
      <w:bodyDiv w:val="1"/>
      <w:marLeft w:val="0"/>
      <w:marRight w:val="0"/>
      <w:marTop w:val="0"/>
      <w:marBottom w:val="0"/>
      <w:divBdr>
        <w:top w:val="none" w:sz="0" w:space="0" w:color="auto"/>
        <w:left w:val="none" w:sz="0" w:space="0" w:color="auto"/>
        <w:bottom w:val="none" w:sz="0" w:space="0" w:color="auto"/>
        <w:right w:val="none" w:sz="0" w:space="0" w:color="auto"/>
      </w:divBdr>
    </w:div>
    <w:div w:id="75247641">
      <w:bodyDiv w:val="1"/>
      <w:marLeft w:val="0"/>
      <w:marRight w:val="0"/>
      <w:marTop w:val="0"/>
      <w:marBottom w:val="0"/>
      <w:divBdr>
        <w:top w:val="none" w:sz="0" w:space="0" w:color="auto"/>
        <w:left w:val="none" w:sz="0" w:space="0" w:color="auto"/>
        <w:bottom w:val="none" w:sz="0" w:space="0" w:color="auto"/>
        <w:right w:val="none" w:sz="0" w:space="0" w:color="auto"/>
      </w:divBdr>
    </w:div>
    <w:div w:id="101340153">
      <w:bodyDiv w:val="1"/>
      <w:marLeft w:val="0"/>
      <w:marRight w:val="0"/>
      <w:marTop w:val="0"/>
      <w:marBottom w:val="0"/>
      <w:divBdr>
        <w:top w:val="none" w:sz="0" w:space="0" w:color="auto"/>
        <w:left w:val="none" w:sz="0" w:space="0" w:color="auto"/>
        <w:bottom w:val="none" w:sz="0" w:space="0" w:color="auto"/>
        <w:right w:val="none" w:sz="0" w:space="0" w:color="auto"/>
      </w:divBdr>
    </w:div>
    <w:div w:id="104423667">
      <w:bodyDiv w:val="1"/>
      <w:marLeft w:val="0"/>
      <w:marRight w:val="0"/>
      <w:marTop w:val="0"/>
      <w:marBottom w:val="0"/>
      <w:divBdr>
        <w:top w:val="none" w:sz="0" w:space="0" w:color="auto"/>
        <w:left w:val="none" w:sz="0" w:space="0" w:color="auto"/>
        <w:bottom w:val="none" w:sz="0" w:space="0" w:color="auto"/>
        <w:right w:val="none" w:sz="0" w:space="0" w:color="auto"/>
      </w:divBdr>
    </w:div>
    <w:div w:id="144469475">
      <w:bodyDiv w:val="1"/>
      <w:marLeft w:val="0"/>
      <w:marRight w:val="0"/>
      <w:marTop w:val="0"/>
      <w:marBottom w:val="0"/>
      <w:divBdr>
        <w:top w:val="none" w:sz="0" w:space="0" w:color="auto"/>
        <w:left w:val="none" w:sz="0" w:space="0" w:color="auto"/>
        <w:bottom w:val="none" w:sz="0" w:space="0" w:color="auto"/>
        <w:right w:val="none" w:sz="0" w:space="0" w:color="auto"/>
      </w:divBdr>
    </w:div>
    <w:div w:id="159467700">
      <w:bodyDiv w:val="1"/>
      <w:marLeft w:val="0"/>
      <w:marRight w:val="0"/>
      <w:marTop w:val="0"/>
      <w:marBottom w:val="0"/>
      <w:divBdr>
        <w:top w:val="none" w:sz="0" w:space="0" w:color="auto"/>
        <w:left w:val="none" w:sz="0" w:space="0" w:color="auto"/>
        <w:bottom w:val="none" w:sz="0" w:space="0" w:color="auto"/>
        <w:right w:val="none" w:sz="0" w:space="0" w:color="auto"/>
      </w:divBdr>
    </w:div>
    <w:div w:id="201291838">
      <w:bodyDiv w:val="1"/>
      <w:marLeft w:val="0"/>
      <w:marRight w:val="0"/>
      <w:marTop w:val="0"/>
      <w:marBottom w:val="0"/>
      <w:divBdr>
        <w:top w:val="none" w:sz="0" w:space="0" w:color="auto"/>
        <w:left w:val="none" w:sz="0" w:space="0" w:color="auto"/>
        <w:bottom w:val="none" w:sz="0" w:space="0" w:color="auto"/>
        <w:right w:val="none" w:sz="0" w:space="0" w:color="auto"/>
      </w:divBdr>
    </w:div>
    <w:div w:id="275065824">
      <w:bodyDiv w:val="1"/>
      <w:marLeft w:val="0"/>
      <w:marRight w:val="0"/>
      <w:marTop w:val="0"/>
      <w:marBottom w:val="0"/>
      <w:divBdr>
        <w:top w:val="none" w:sz="0" w:space="0" w:color="auto"/>
        <w:left w:val="none" w:sz="0" w:space="0" w:color="auto"/>
        <w:bottom w:val="none" w:sz="0" w:space="0" w:color="auto"/>
        <w:right w:val="none" w:sz="0" w:space="0" w:color="auto"/>
      </w:divBdr>
    </w:div>
    <w:div w:id="298800022">
      <w:bodyDiv w:val="1"/>
      <w:marLeft w:val="0"/>
      <w:marRight w:val="0"/>
      <w:marTop w:val="0"/>
      <w:marBottom w:val="0"/>
      <w:divBdr>
        <w:top w:val="none" w:sz="0" w:space="0" w:color="auto"/>
        <w:left w:val="none" w:sz="0" w:space="0" w:color="auto"/>
        <w:bottom w:val="none" w:sz="0" w:space="0" w:color="auto"/>
        <w:right w:val="none" w:sz="0" w:space="0" w:color="auto"/>
      </w:divBdr>
    </w:div>
    <w:div w:id="300352627">
      <w:bodyDiv w:val="1"/>
      <w:marLeft w:val="0"/>
      <w:marRight w:val="0"/>
      <w:marTop w:val="0"/>
      <w:marBottom w:val="0"/>
      <w:divBdr>
        <w:top w:val="none" w:sz="0" w:space="0" w:color="auto"/>
        <w:left w:val="none" w:sz="0" w:space="0" w:color="auto"/>
        <w:bottom w:val="none" w:sz="0" w:space="0" w:color="auto"/>
        <w:right w:val="none" w:sz="0" w:space="0" w:color="auto"/>
      </w:divBdr>
    </w:div>
    <w:div w:id="330913086">
      <w:bodyDiv w:val="1"/>
      <w:marLeft w:val="0"/>
      <w:marRight w:val="0"/>
      <w:marTop w:val="0"/>
      <w:marBottom w:val="0"/>
      <w:divBdr>
        <w:top w:val="none" w:sz="0" w:space="0" w:color="auto"/>
        <w:left w:val="none" w:sz="0" w:space="0" w:color="auto"/>
        <w:bottom w:val="none" w:sz="0" w:space="0" w:color="auto"/>
        <w:right w:val="none" w:sz="0" w:space="0" w:color="auto"/>
      </w:divBdr>
    </w:div>
    <w:div w:id="349181661">
      <w:bodyDiv w:val="1"/>
      <w:marLeft w:val="0"/>
      <w:marRight w:val="0"/>
      <w:marTop w:val="0"/>
      <w:marBottom w:val="0"/>
      <w:divBdr>
        <w:top w:val="none" w:sz="0" w:space="0" w:color="auto"/>
        <w:left w:val="none" w:sz="0" w:space="0" w:color="auto"/>
        <w:bottom w:val="none" w:sz="0" w:space="0" w:color="auto"/>
        <w:right w:val="none" w:sz="0" w:space="0" w:color="auto"/>
      </w:divBdr>
    </w:div>
    <w:div w:id="352538633">
      <w:bodyDiv w:val="1"/>
      <w:marLeft w:val="0"/>
      <w:marRight w:val="0"/>
      <w:marTop w:val="0"/>
      <w:marBottom w:val="0"/>
      <w:divBdr>
        <w:top w:val="none" w:sz="0" w:space="0" w:color="auto"/>
        <w:left w:val="none" w:sz="0" w:space="0" w:color="auto"/>
        <w:bottom w:val="none" w:sz="0" w:space="0" w:color="auto"/>
        <w:right w:val="none" w:sz="0" w:space="0" w:color="auto"/>
      </w:divBdr>
    </w:div>
    <w:div w:id="377318637">
      <w:bodyDiv w:val="1"/>
      <w:marLeft w:val="0"/>
      <w:marRight w:val="0"/>
      <w:marTop w:val="0"/>
      <w:marBottom w:val="0"/>
      <w:divBdr>
        <w:top w:val="none" w:sz="0" w:space="0" w:color="auto"/>
        <w:left w:val="none" w:sz="0" w:space="0" w:color="auto"/>
        <w:bottom w:val="none" w:sz="0" w:space="0" w:color="auto"/>
        <w:right w:val="none" w:sz="0" w:space="0" w:color="auto"/>
      </w:divBdr>
    </w:div>
    <w:div w:id="420300755">
      <w:bodyDiv w:val="1"/>
      <w:marLeft w:val="0"/>
      <w:marRight w:val="0"/>
      <w:marTop w:val="0"/>
      <w:marBottom w:val="0"/>
      <w:divBdr>
        <w:top w:val="none" w:sz="0" w:space="0" w:color="auto"/>
        <w:left w:val="none" w:sz="0" w:space="0" w:color="auto"/>
        <w:bottom w:val="none" w:sz="0" w:space="0" w:color="auto"/>
        <w:right w:val="none" w:sz="0" w:space="0" w:color="auto"/>
      </w:divBdr>
    </w:div>
    <w:div w:id="437877297">
      <w:bodyDiv w:val="1"/>
      <w:marLeft w:val="0"/>
      <w:marRight w:val="0"/>
      <w:marTop w:val="0"/>
      <w:marBottom w:val="0"/>
      <w:divBdr>
        <w:top w:val="none" w:sz="0" w:space="0" w:color="auto"/>
        <w:left w:val="none" w:sz="0" w:space="0" w:color="auto"/>
        <w:bottom w:val="none" w:sz="0" w:space="0" w:color="auto"/>
        <w:right w:val="none" w:sz="0" w:space="0" w:color="auto"/>
      </w:divBdr>
    </w:div>
    <w:div w:id="483545591">
      <w:bodyDiv w:val="1"/>
      <w:marLeft w:val="0"/>
      <w:marRight w:val="0"/>
      <w:marTop w:val="0"/>
      <w:marBottom w:val="0"/>
      <w:divBdr>
        <w:top w:val="none" w:sz="0" w:space="0" w:color="auto"/>
        <w:left w:val="none" w:sz="0" w:space="0" w:color="auto"/>
        <w:bottom w:val="none" w:sz="0" w:space="0" w:color="auto"/>
        <w:right w:val="none" w:sz="0" w:space="0" w:color="auto"/>
      </w:divBdr>
    </w:div>
    <w:div w:id="495388526">
      <w:bodyDiv w:val="1"/>
      <w:marLeft w:val="0"/>
      <w:marRight w:val="0"/>
      <w:marTop w:val="0"/>
      <w:marBottom w:val="0"/>
      <w:divBdr>
        <w:top w:val="none" w:sz="0" w:space="0" w:color="auto"/>
        <w:left w:val="none" w:sz="0" w:space="0" w:color="auto"/>
        <w:bottom w:val="none" w:sz="0" w:space="0" w:color="auto"/>
        <w:right w:val="none" w:sz="0" w:space="0" w:color="auto"/>
      </w:divBdr>
    </w:div>
    <w:div w:id="614485555">
      <w:bodyDiv w:val="1"/>
      <w:marLeft w:val="0"/>
      <w:marRight w:val="0"/>
      <w:marTop w:val="0"/>
      <w:marBottom w:val="0"/>
      <w:divBdr>
        <w:top w:val="none" w:sz="0" w:space="0" w:color="auto"/>
        <w:left w:val="none" w:sz="0" w:space="0" w:color="auto"/>
        <w:bottom w:val="none" w:sz="0" w:space="0" w:color="auto"/>
        <w:right w:val="none" w:sz="0" w:space="0" w:color="auto"/>
      </w:divBdr>
    </w:div>
    <w:div w:id="625158748">
      <w:bodyDiv w:val="1"/>
      <w:marLeft w:val="0"/>
      <w:marRight w:val="0"/>
      <w:marTop w:val="0"/>
      <w:marBottom w:val="0"/>
      <w:divBdr>
        <w:top w:val="none" w:sz="0" w:space="0" w:color="auto"/>
        <w:left w:val="none" w:sz="0" w:space="0" w:color="auto"/>
        <w:bottom w:val="none" w:sz="0" w:space="0" w:color="auto"/>
        <w:right w:val="none" w:sz="0" w:space="0" w:color="auto"/>
      </w:divBdr>
    </w:div>
    <w:div w:id="666251489">
      <w:bodyDiv w:val="1"/>
      <w:marLeft w:val="0"/>
      <w:marRight w:val="0"/>
      <w:marTop w:val="0"/>
      <w:marBottom w:val="0"/>
      <w:divBdr>
        <w:top w:val="none" w:sz="0" w:space="0" w:color="auto"/>
        <w:left w:val="none" w:sz="0" w:space="0" w:color="auto"/>
        <w:bottom w:val="none" w:sz="0" w:space="0" w:color="auto"/>
        <w:right w:val="none" w:sz="0" w:space="0" w:color="auto"/>
      </w:divBdr>
    </w:div>
    <w:div w:id="668869736">
      <w:bodyDiv w:val="1"/>
      <w:marLeft w:val="0"/>
      <w:marRight w:val="0"/>
      <w:marTop w:val="0"/>
      <w:marBottom w:val="0"/>
      <w:divBdr>
        <w:top w:val="none" w:sz="0" w:space="0" w:color="auto"/>
        <w:left w:val="none" w:sz="0" w:space="0" w:color="auto"/>
        <w:bottom w:val="none" w:sz="0" w:space="0" w:color="auto"/>
        <w:right w:val="none" w:sz="0" w:space="0" w:color="auto"/>
      </w:divBdr>
    </w:div>
    <w:div w:id="709107014">
      <w:bodyDiv w:val="1"/>
      <w:marLeft w:val="0"/>
      <w:marRight w:val="0"/>
      <w:marTop w:val="0"/>
      <w:marBottom w:val="0"/>
      <w:divBdr>
        <w:top w:val="none" w:sz="0" w:space="0" w:color="auto"/>
        <w:left w:val="none" w:sz="0" w:space="0" w:color="auto"/>
        <w:bottom w:val="none" w:sz="0" w:space="0" w:color="auto"/>
        <w:right w:val="none" w:sz="0" w:space="0" w:color="auto"/>
      </w:divBdr>
    </w:div>
    <w:div w:id="742407307">
      <w:bodyDiv w:val="1"/>
      <w:marLeft w:val="0"/>
      <w:marRight w:val="0"/>
      <w:marTop w:val="0"/>
      <w:marBottom w:val="0"/>
      <w:divBdr>
        <w:top w:val="none" w:sz="0" w:space="0" w:color="auto"/>
        <w:left w:val="none" w:sz="0" w:space="0" w:color="auto"/>
        <w:bottom w:val="none" w:sz="0" w:space="0" w:color="auto"/>
        <w:right w:val="none" w:sz="0" w:space="0" w:color="auto"/>
      </w:divBdr>
    </w:div>
    <w:div w:id="809519127">
      <w:bodyDiv w:val="1"/>
      <w:marLeft w:val="0"/>
      <w:marRight w:val="0"/>
      <w:marTop w:val="0"/>
      <w:marBottom w:val="0"/>
      <w:divBdr>
        <w:top w:val="none" w:sz="0" w:space="0" w:color="auto"/>
        <w:left w:val="none" w:sz="0" w:space="0" w:color="auto"/>
        <w:bottom w:val="none" w:sz="0" w:space="0" w:color="auto"/>
        <w:right w:val="none" w:sz="0" w:space="0" w:color="auto"/>
      </w:divBdr>
    </w:div>
    <w:div w:id="890074895">
      <w:bodyDiv w:val="1"/>
      <w:marLeft w:val="0"/>
      <w:marRight w:val="0"/>
      <w:marTop w:val="0"/>
      <w:marBottom w:val="0"/>
      <w:divBdr>
        <w:top w:val="none" w:sz="0" w:space="0" w:color="auto"/>
        <w:left w:val="none" w:sz="0" w:space="0" w:color="auto"/>
        <w:bottom w:val="none" w:sz="0" w:space="0" w:color="auto"/>
        <w:right w:val="none" w:sz="0" w:space="0" w:color="auto"/>
      </w:divBdr>
    </w:div>
    <w:div w:id="903444276">
      <w:bodyDiv w:val="1"/>
      <w:marLeft w:val="0"/>
      <w:marRight w:val="0"/>
      <w:marTop w:val="0"/>
      <w:marBottom w:val="0"/>
      <w:divBdr>
        <w:top w:val="none" w:sz="0" w:space="0" w:color="auto"/>
        <w:left w:val="none" w:sz="0" w:space="0" w:color="auto"/>
        <w:bottom w:val="none" w:sz="0" w:space="0" w:color="auto"/>
        <w:right w:val="none" w:sz="0" w:space="0" w:color="auto"/>
      </w:divBdr>
      <w:divsChild>
        <w:div w:id="1166937796">
          <w:marLeft w:val="0"/>
          <w:marRight w:val="0"/>
          <w:marTop w:val="0"/>
          <w:marBottom w:val="0"/>
          <w:divBdr>
            <w:top w:val="none" w:sz="0" w:space="0" w:color="auto"/>
            <w:left w:val="none" w:sz="0" w:space="0" w:color="auto"/>
            <w:bottom w:val="none" w:sz="0" w:space="0" w:color="auto"/>
            <w:right w:val="none" w:sz="0" w:space="0" w:color="auto"/>
          </w:divBdr>
          <w:divsChild>
            <w:div w:id="1092623814">
              <w:marLeft w:val="0"/>
              <w:marRight w:val="0"/>
              <w:marTop w:val="0"/>
              <w:marBottom w:val="0"/>
              <w:divBdr>
                <w:top w:val="none" w:sz="0" w:space="0" w:color="auto"/>
                <w:left w:val="none" w:sz="0" w:space="0" w:color="auto"/>
                <w:bottom w:val="none" w:sz="0" w:space="0" w:color="auto"/>
                <w:right w:val="none" w:sz="0" w:space="0" w:color="auto"/>
              </w:divBdr>
            </w:div>
          </w:divsChild>
        </w:div>
        <w:div w:id="74592362">
          <w:marLeft w:val="0"/>
          <w:marRight w:val="0"/>
          <w:marTop w:val="0"/>
          <w:marBottom w:val="0"/>
          <w:divBdr>
            <w:top w:val="none" w:sz="0" w:space="0" w:color="auto"/>
            <w:left w:val="none" w:sz="0" w:space="0" w:color="auto"/>
            <w:bottom w:val="none" w:sz="0" w:space="0" w:color="auto"/>
            <w:right w:val="none" w:sz="0" w:space="0" w:color="auto"/>
          </w:divBdr>
          <w:divsChild>
            <w:div w:id="78840449">
              <w:marLeft w:val="0"/>
              <w:marRight w:val="0"/>
              <w:marTop w:val="0"/>
              <w:marBottom w:val="0"/>
              <w:divBdr>
                <w:top w:val="none" w:sz="0" w:space="0" w:color="auto"/>
                <w:left w:val="none" w:sz="0" w:space="0" w:color="auto"/>
                <w:bottom w:val="none" w:sz="0" w:space="0" w:color="auto"/>
                <w:right w:val="none" w:sz="0" w:space="0" w:color="auto"/>
              </w:divBdr>
            </w:div>
          </w:divsChild>
        </w:div>
        <w:div w:id="733623598">
          <w:marLeft w:val="0"/>
          <w:marRight w:val="0"/>
          <w:marTop w:val="0"/>
          <w:marBottom w:val="0"/>
          <w:divBdr>
            <w:top w:val="none" w:sz="0" w:space="0" w:color="auto"/>
            <w:left w:val="none" w:sz="0" w:space="0" w:color="auto"/>
            <w:bottom w:val="none" w:sz="0" w:space="0" w:color="auto"/>
            <w:right w:val="none" w:sz="0" w:space="0" w:color="auto"/>
          </w:divBdr>
          <w:divsChild>
            <w:div w:id="18041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12297">
      <w:bodyDiv w:val="1"/>
      <w:marLeft w:val="0"/>
      <w:marRight w:val="0"/>
      <w:marTop w:val="0"/>
      <w:marBottom w:val="0"/>
      <w:divBdr>
        <w:top w:val="none" w:sz="0" w:space="0" w:color="auto"/>
        <w:left w:val="none" w:sz="0" w:space="0" w:color="auto"/>
        <w:bottom w:val="none" w:sz="0" w:space="0" w:color="auto"/>
        <w:right w:val="none" w:sz="0" w:space="0" w:color="auto"/>
      </w:divBdr>
    </w:div>
    <w:div w:id="1008292312">
      <w:bodyDiv w:val="1"/>
      <w:marLeft w:val="0"/>
      <w:marRight w:val="0"/>
      <w:marTop w:val="0"/>
      <w:marBottom w:val="0"/>
      <w:divBdr>
        <w:top w:val="none" w:sz="0" w:space="0" w:color="auto"/>
        <w:left w:val="none" w:sz="0" w:space="0" w:color="auto"/>
        <w:bottom w:val="none" w:sz="0" w:space="0" w:color="auto"/>
        <w:right w:val="none" w:sz="0" w:space="0" w:color="auto"/>
      </w:divBdr>
    </w:div>
    <w:div w:id="1019939676">
      <w:bodyDiv w:val="1"/>
      <w:marLeft w:val="0"/>
      <w:marRight w:val="0"/>
      <w:marTop w:val="0"/>
      <w:marBottom w:val="0"/>
      <w:divBdr>
        <w:top w:val="none" w:sz="0" w:space="0" w:color="auto"/>
        <w:left w:val="none" w:sz="0" w:space="0" w:color="auto"/>
        <w:bottom w:val="none" w:sz="0" w:space="0" w:color="auto"/>
        <w:right w:val="none" w:sz="0" w:space="0" w:color="auto"/>
      </w:divBdr>
    </w:div>
    <w:div w:id="1020273937">
      <w:bodyDiv w:val="1"/>
      <w:marLeft w:val="0"/>
      <w:marRight w:val="0"/>
      <w:marTop w:val="0"/>
      <w:marBottom w:val="0"/>
      <w:divBdr>
        <w:top w:val="none" w:sz="0" w:space="0" w:color="auto"/>
        <w:left w:val="none" w:sz="0" w:space="0" w:color="auto"/>
        <w:bottom w:val="none" w:sz="0" w:space="0" w:color="auto"/>
        <w:right w:val="none" w:sz="0" w:space="0" w:color="auto"/>
      </w:divBdr>
    </w:div>
    <w:div w:id="1029067097">
      <w:bodyDiv w:val="1"/>
      <w:marLeft w:val="0"/>
      <w:marRight w:val="0"/>
      <w:marTop w:val="0"/>
      <w:marBottom w:val="0"/>
      <w:divBdr>
        <w:top w:val="none" w:sz="0" w:space="0" w:color="auto"/>
        <w:left w:val="none" w:sz="0" w:space="0" w:color="auto"/>
        <w:bottom w:val="none" w:sz="0" w:space="0" w:color="auto"/>
        <w:right w:val="none" w:sz="0" w:space="0" w:color="auto"/>
      </w:divBdr>
    </w:div>
    <w:div w:id="1168982003">
      <w:bodyDiv w:val="1"/>
      <w:marLeft w:val="0"/>
      <w:marRight w:val="0"/>
      <w:marTop w:val="0"/>
      <w:marBottom w:val="0"/>
      <w:divBdr>
        <w:top w:val="none" w:sz="0" w:space="0" w:color="auto"/>
        <w:left w:val="none" w:sz="0" w:space="0" w:color="auto"/>
        <w:bottom w:val="none" w:sz="0" w:space="0" w:color="auto"/>
        <w:right w:val="none" w:sz="0" w:space="0" w:color="auto"/>
      </w:divBdr>
    </w:div>
    <w:div w:id="1202716789">
      <w:bodyDiv w:val="1"/>
      <w:marLeft w:val="0"/>
      <w:marRight w:val="0"/>
      <w:marTop w:val="0"/>
      <w:marBottom w:val="0"/>
      <w:divBdr>
        <w:top w:val="none" w:sz="0" w:space="0" w:color="auto"/>
        <w:left w:val="none" w:sz="0" w:space="0" w:color="auto"/>
        <w:bottom w:val="none" w:sz="0" w:space="0" w:color="auto"/>
        <w:right w:val="none" w:sz="0" w:space="0" w:color="auto"/>
      </w:divBdr>
    </w:div>
    <w:div w:id="1253010842">
      <w:bodyDiv w:val="1"/>
      <w:marLeft w:val="0"/>
      <w:marRight w:val="0"/>
      <w:marTop w:val="0"/>
      <w:marBottom w:val="0"/>
      <w:divBdr>
        <w:top w:val="none" w:sz="0" w:space="0" w:color="auto"/>
        <w:left w:val="none" w:sz="0" w:space="0" w:color="auto"/>
        <w:bottom w:val="none" w:sz="0" w:space="0" w:color="auto"/>
        <w:right w:val="none" w:sz="0" w:space="0" w:color="auto"/>
      </w:divBdr>
    </w:div>
    <w:div w:id="1258253444">
      <w:bodyDiv w:val="1"/>
      <w:marLeft w:val="0"/>
      <w:marRight w:val="0"/>
      <w:marTop w:val="0"/>
      <w:marBottom w:val="0"/>
      <w:divBdr>
        <w:top w:val="none" w:sz="0" w:space="0" w:color="auto"/>
        <w:left w:val="none" w:sz="0" w:space="0" w:color="auto"/>
        <w:bottom w:val="none" w:sz="0" w:space="0" w:color="auto"/>
        <w:right w:val="none" w:sz="0" w:space="0" w:color="auto"/>
      </w:divBdr>
    </w:div>
    <w:div w:id="1268654963">
      <w:bodyDiv w:val="1"/>
      <w:marLeft w:val="0"/>
      <w:marRight w:val="0"/>
      <w:marTop w:val="0"/>
      <w:marBottom w:val="0"/>
      <w:divBdr>
        <w:top w:val="none" w:sz="0" w:space="0" w:color="auto"/>
        <w:left w:val="none" w:sz="0" w:space="0" w:color="auto"/>
        <w:bottom w:val="none" w:sz="0" w:space="0" w:color="auto"/>
        <w:right w:val="none" w:sz="0" w:space="0" w:color="auto"/>
      </w:divBdr>
    </w:div>
    <w:div w:id="1334725497">
      <w:bodyDiv w:val="1"/>
      <w:marLeft w:val="0"/>
      <w:marRight w:val="0"/>
      <w:marTop w:val="0"/>
      <w:marBottom w:val="0"/>
      <w:divBdr>
        <w:top w:val="none" w:sz="0" w:space="0" w:color="auto"/>
        <w:left w:val="none" w:sz="0" w:space="0" w:color="auto"/>
        <w:bottom w:val="none" w:sz="0" w:space="0" w:color="auto"/>
        <w:right w:val="none" w:sz="0" w:space="0" w:color="auto"/>
      </w:divBdr>
    </w:div>
    <w:div w:id="1339118180">
      <w:bodyDiv w:val="1"/>
      <w:marLeft w:val="0"/>
      <w:marRight w:val="0"/>
      <w:marTop w:val="0"/>
      <w:marBottom w:val="0"/>
      <w:divBdr>
        <w:top w:val="none" w:sz="0" w:space="0" w:color="auto"/>
        <w:left w:val="none" w:sz="0" w:space="0" w:color="auto"/>
        <w:bottom w:val="none" w:sz="0" w:space="0" w:color="auto"/>
        <w:right w:val="none" w:sz="0" w:space="0" w:color="auto"/>
      </w:divBdr>
    </w:div>
    <w:div w:id="1394042909">
      <w:bodyDiv w:val="1"/>
      <w:marLeft w:val="0"/>
      <w:marRight w:val="0"/>
      <w:marTop w:val="0"/>
      <w:marBottom w:val="0"/>
      <w:divBdr>
        <w:top w:val="none" w:sz="0" w:space="0" w:color="auto"/>
        <w:left w:val="none" w:sz="0" w:space="0" w:color="auto"/>
        <w:bottom w:val="none" w:sz="0" w:space="0" w:color="auto"/>
        <w:right w:val="none" w:sz="0" w:space="0" w:color="auto"/>
      </w:divBdr>
    </w:div>
    <w:div w:id="1453011121">
      <w:bodyDiv w:val="1"/>
      <w:marLeft w:val="0"/>
      <w:marRight w:val="0"/>
      <w:marTop w:val="0"/>
      <w:marBottom w:val="0"/>
      <w:divBdr>
        <w:top w:val="none" w:sz="0" w:space="0" w:color="auto"/>
        <w:left w:val="none" w:sz="0" w:space="0" w:color="auto"/>
        <w:bottom w:val="none" w:sz="0" w:space="0" w:color="auto"/>
        <w:right w:val="none" w:sz="0" w:space="0" w:color="auto"/>
      </w:divBdr>
    </w:div>
    <w:div w:id="1555000030">
      <w:bodyDiv w:val="1"/>
      <w:marLeft w:val="0"/>
      <w:marRight w:val="0"/>
      <w:marTop w:val="0"/>
      <w:marBottom w:val="0"/>
      <w:divBdr>
        <w:top w:val="none" w:sz="0" w:space="0" w:color="auto"/>
        <w:left w:val="none" w:sz="0" w:space="0" w:color="auto"/>
        <w:bottom w:val="none" w:sz="0" w:space="0" w:color="auto"/>
        <w:right w:val="none" w:sz="0" w:space="0" w:color="auto"/>
      </w:divBdr>
    </w:div>
    <w:div w:id="1640719672">
      <w:bodyDiv w:val="1"/>
      <w:marLeft w:val="0"/>
      <w:marRight w:val="0"/>
      <w:marTop w:val="0"/>
      <w:marBottom w:val="0"/>
      <w:divBdr>
        <w:top w:val="none" w:sz="0" w:space="0" w:color="auto"/>
        <w:left w:val="none" w:sz="0" w:space="0" w:color="auto"/>
        <w:bottom w:val="none" w:sz="0" w:space="0" w:color="auto"/>
        <w:right w:val="none" w:sz="0" w:space="0" w:color="auto"/>
      </w:divBdr>
    </w:div>
    <w:div w:id="1662392141">
      <w:bodyDiv w:val="1"/>
      <w:marLeft w:val="0"/>
      <w:marRight w:val="0"/>
      <w:marTop w:val="0"/>
      <w:marBottom w:val="0"/>
      <w:divBdr>
        <w:top w:val="none" w:sz="0" w:space="0" w:color="auto"/>
        <w:left w:val="none" w:sz="0" w:space="0" w:color="auto"/>
        <w:bottom w:val="none" w:sz="0" w:space="0" w:color="auto"/>
        <w:right w:val="none" w:sz="0" w:space="0" w:color="auto"/>
      </w:divBdr>
    </w:div>
    <w:div w:id="1665667366">
      <w:bodyDiv w:val="1"/>
      <w:marLeft w:val="0"/>
      <w:marRight w:val="0"/>
      <w:marTop w:val="0"/>
      <w:marBottom w:val="0"/>
      <w:divBdr>
        <w:top w:val="none" w:sz="0" w:space="0" w:color="auto"/>
        <w:left w:val="none" w:sz="0" w:space="0" w:color="auto"/>
        <w:bottom w:val="none" w:sz="0" w:space="0" w:color="auto"/>
        <w:right w:val="none" w:sz="0" w:space="0" w:color="auto"/>
      </w:divBdr>
    </w:div>
    <w:div w:id="1685207231">
      <w:bodyDiv w:val="1"/>
      <w:marLeft w:val="0"/>
      <w:marRight w:val="0"/>
      <w:marTop w:val="0"/>
      <w:marBottom w:val="0"/>
      <w:divBdr>
        <w:top w:val="none" w:sz="0" w:space="0" w:color="auto"/>
        <w:left w:val="none" w:sz="0" w:space="0" w:color="auto"/>
        <w:bottom w:val="none" w:sz="0" w:space="0" w:color="auto"/>
        <w:right w:val="none" w:sz="0" w:space="0" w:color="auto"/>
      </w:divBdr>
    </w:div>
    <w:div w:id="1803885167">
      <w:bodyDiv w:val="1"/>
      <w:marLeft w:val="0"/>
      <w:marRight w:val="0"/>
      <w:marTop w:val="0"/>
      <w:marBottom w:val="0"/>
      <w:divBdr>
        <w:top w:val="none" w:sz="0" w:space="0" w:color="auto"/>
        <w:left w:val="none" w:sz="0" w:space="0" w:color="auto"/>
        <w:bottom w:val="none" w:sz="0" w:space="0" w:color="auto"/>
        <w:right w:val="none" w:sz="0" w:space="0" w:color="auto"/>
      </w:divBdr>
    </w:div>
    <w:div w:id="1909076479">
      <w:bodyDiv w:val="1"/>
      <w:marLeft w:val="0"/>
      <w:marRight w:val="0"/>
      <w:marTop w:val="0"/>
      <w:marBottom w:val="0"/>
      <w:divBdr>
        <w:top w:val="none" w:sz="0" w:space="0" w:color="auto"/>
        <w:left w:val="none" w:sz="0" w:space="0" w:color="auto"/>
        <w:bottom w:val="none" w:sz="0" w:space="0" w:color="auto"/>
        <w:right w:val="none" w:sz="0" w:space="0" w:color="auto"/>
      </w:divBdr>
    </w:div>
    <w:div w:id="1974750031">
      <w:bodyDiv w:val="1"/>
      <w:marLeft w:val="0"/>
      <w:marRight w:val="0"/>
      <w:marTop w:val="0"/>
      <w:marBottom w:val="0"/>
      <w:divBdr>
        <w:top w:val="none" w:sz="0" w:space="0" w:color="auto"/>
        <w:left w:val="none" w:sz="0" w:space="0" w:color="auto"/>
        <w:bottom w:val="none" w:sz="0" w:space="0" w:color="auto"/>
        <w:right w:val="none" w:sz="0" w:space="0" w:color="auto"/>
      </w:divBdr>
    </w:div>
    <w:div w:id="1985548059">
      <w:bodyDiv w:val="1"/>
      <w:marLeft w:val="0"/>
      <w:marRight w:val="0"/>
      <w:marTop w:val="0"/>
      <w:marBottom w:val="0"/>
      <w:divBdr>
        <w:top w:val="none" w:sz="0" w:space="0" w:color="auto"/>
        <w:left w:val="none" w:sz="0" w:space="0" w:color="auto"/>
        <w:bottom w:val="none" w:sz="0" w:space="0" w:color="auto"/>
        <w:right w:val="none" w:sz="0" w:space="0" w:color="auto"/>
      </w:divBdr>
    </w:div>
    <w:div w:id="2011789840">
      <w:bodyDiv w:val="1"/>
      <w:marLeft w:val="0"/>
      <w:marRight w:val="0"/>
      <w:marTop w:val="0"/>
      <w:marBottom w:val="0"/>
      <w:divBdr>
        <w:top w:val="none" w:sz="0" w:space="0" w:color="auto"/>
        <w:left w:val="none" w:sz="0" w:space="0" w:color="auto"/>
        <w:bottom w:val="none" w:sz="0" w:space="0" w:color="auto"/>
        <w:right w:val="none" w:sz="0" w:space="0" w:color="auto"/>
      </w:divBdr>
    </w:div>
    <w:div w:id="2080245195">
      <w:bodyDiv w:val="1"/>
      <w:marLeft w:val="0"/>
      <w:marRight w:val="0"/>
      <w:marTop w:val="0"/>
      <w:marBottom w:val="0"/>
      <w:divBdr>
        <w:top w:val="none" w:sz="0" w:space="0" w:color="auto"/>
        <w:left w:val="none" w:sz="0" w:space="0" w:color="auto"/>
        <w:bottom w:val="none" w:sz="0" w:space="0" w:color="auto"/>
        <w:right w:val="none" w:sz="0" w:space="0" w:color="auto"/>
      </w:divBdr>
      <w:divsChild>
        <w:div w:id="1838688819">
          <w:marLeft w:val="0"/>
          <w:marRight w:val="0"/>
          <w:marTop w:val="0"/>
          <w:marBottom w:val="0"/>
          <w:divBdr>
            <w:top w:val="none" w:sz="0" w:space="0" w:color="auto"/>
            <w:left w:val="none" w:sz="0" w:space="0" w:color="auto"/>
            <w:bottom w:val="none" w:sz="0" w:space="0" w:color="auto"/>
            <w:right w:val="none" w:sz="0" w:space="0" w:color="auto"/>
          </w:divBdr>
          <w:divsChild>
            <w:div w:id="923876202">
              <w:marLeft w:val="0"/>
              <w:marRight w:val="0"/>
              <w:marTop w:val="0"/>
              <w:marBottom w:val="0"/>
              <w:divBdr>
                <w:top w:val="none" w:sz="0" w:space="0" w:color="auto"/>
                <w:left w:val="none" w:sz="0" w:space="0" w:color="auto"/>
                <w:bottom w:val="none" w:sz="0" w:space="0" w:color="auto"/>
                <w:right w:val="none" w:sz="0" w:space="0" w:color="auto"/>
              </w:divBdr>
            </w:div>
          </w:divsChild>
        </w:div>
        <w:div w:id="693193119">
          <w:marLeft w:val="0"/>
          <w:marRight w:val="0"/>
          <w:marTop w:val="0"/>
          <w:marBottom w:val="0"/>
          <w:divBdr>
            <w:top w:val="none" w:sz="0" w:space="0" w:color="auto"/>
            <w:left w:val="none" w:sz="0" w:space="0" w:color="auto"/>
            <w:bottom w:val="none" w:sz="0" w:space="0" w:color="auto"/>
            <w:right w:val="none" w:sz="0" w:space="0" w:color="auto"/>
          </w:divBdr>
          <w:divsChild>
            <w:div w:id="98961286">
              <w:marLeft w:val="0"/>
              <w:marRight w:val="0"/>
              <w:marTop w:val="0"/>
              <w:marBottom w:val="0"/>
              <w:divBdr>
                <w:top w:val="none" w:sz="0" w:space="0" w:color="auto"/>
                <w:left w:val="none" w:sz="0" w:space="0" w:color="auto"/>
                <w:bottom w:val="none" w:sz="0" w:space="0" w:color="auto"/>
                <w:right w:val="none" w:sz="0" w:space="0" w:color="auto"/>
              </w:divBdr>
            </w:div>
          </w:divsChild>
        </w:div>
        <w:div w:id="1151408943">
          <w:marLeft w:val="0"/>
          <w:marRight w:val="0"/>
          <w:marTop w:val="0"/>
          <w:marBottom w:val="0"/>
          <w:divBdr>
            <w:top w:val="none" w:sz="0" w:space="0" w:color="auto"/>
            <w:left w:val="none" w:sz="0" w:space="0" w:color="auto"/>
            <w:bottom w:val="none" w:sz="0" w:space="0" w:color="auto"/>
            <w:right w:val="none" w:sz="0" w:space="0" w:color="auto"/>
          </w:divBdr>
          <w:divsChild>
            <w:div w:id="17072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2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cid:image001.jpg@01DA1101.AF087EE0"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diagramQuickStyle" Target="diagrams/quickStyle1.xml"/><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gif"/><Relationship Id="rId30" Type="http://schemas.openxmlformats.org/officeDocument/2006/relationships/image" Target="media/image17.emf"/><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D672DF-F918-40C6-88FD-68C18F88A20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l-PL"/>
        </a:p>
      </dgm:t>
    </dgm:pt>
    <dgm:pt modelId="{B3F61569-7350-4B1C-A391-4D30F0C664BC}">
      <dgm:prSet phldrT="[Tekst]"/>
      <dgm:spPr/>
      <dgm:t>
        <a:bodyPr/>
        <a:lstStyle/>
        <a:p>
          <a:pPr algn="ctr"/>
          <a:r>
            <a:rPr lang="pl-PL" dirty="0"/>
            <a:t>BEPS 2</a:t>
          </a:r>
        </a:p>
      </dgm:t>
    </dgm:pt>
    <dgm:pt modelId="{3E1155E3-B3E2-4645-B43C-25C61BFB12A1}" type="parTrans" cxnId="{259BC055-5436-4713-9D51-E1A1043560C5}">
      <dgm:prSet/>
      <dgm:spPr/>
      <dgm:t>
        <a:bodyPr/>
        <a:lstStyle/>
        <a:p>
          <a:pPr algn="ctr"/>
          <a:endParaRPr lang="pl-PL"/>
        </a:p>
      </dgm:t>
    </dgm:pt>
    <dgm:pt modelId="{A4F96655-475A-4333-AAE2-3E6C86F4EE6A}" type="sibTrans" cxnId="{259BC055-5436-4713-9D51-E1A1043560C5}">
      <dgm:prSet/>
      <dgm:spPr/>
      <dgm:t>
        <a:bodyPr/>
        <a:lstStyle/>
        <a:p>
          <a:pPr algn="ctr"/>
          <a:endParaRPr lang="pl-PL" dirty="0"/>
        </a:p>
      </dgm:t>
    </dgm:pt>
    <dgm:pt modelId="{54F4AA99-F1A5-4B80-B1DD-9CA7F95F78E5}">
      <dgm:prSet phldrT="[Tekst]"/>
      <dgm:spPr/>
      <dgm:t>
        <a:bodyPr/>
        <a:lstStyle/>
        <a:p>
          <a:pPr algn="ctr"/>
          <a:r>
            <a:rPr lang="pl-PL" dirty="0"/>
            <a:t>Filar I</a:t>
          </a:r>
        </a:p>
      </dgm:t>
    </dgm:pt>
    <dgm:pt modelId="{7D1E60B8-8A8A-491D-85BD-E589971355D5}" type="parTrans" cxnId="{9CC175B3-EA47-4CAD-A205-5F3460BF33C0}">
      <dgm:prSet/>
      <dgm:spPr/>
      <dgm:t>
        <a:bodyPr/>
        <a:lstStyle/>
        <a:p>
          <a:pPr algn="ctr"/>
          <a:endParaRPr lang="pl-PL"/>
        </a:p>
      </dgm:t>
    </dgm:pt>
    <dgm:pt modelId="{FC887EC8-2B29-44F8-A57B-4C2C0118337A}" type="sibTrans" cxnId="{9CC175B3-EA47-4CAD-A205-5F3460BF33C0}">
      <dgm:prSet/>
      <dgm:spPr/>
      <dgm:t>
        <a:bodyPr/>
        <a:lstStyle/>
        <a:p>
          <a:pPr algn="ctr"/>
          <a:endParaRPr lang="pl-PL"/>
        </a:p>
      </dgm:t>
    </dgm:pt>
    <dgm:pt modelId="{81C32D4A-8C32-44F6-847F-C5E81C519C50}">
      <dgm:prSet phldrT="[Tekst]">
        <dgm:style>
          <a:lnRef idx="3">
            <a:schemeClr val="lt1"/>
          </a:lnRef>
          <a:fillRef idx="1">
            <a:schemeClr val="accent2"/>
          </a:fillRef>
          <a:effectRef idx="1">
            <a:schemeClr val="accent2"/>
          </a:effectRef>
          <a:fontRef idx="minor">
            <a:schemeClr val="lt1"/>
          </a:fontRef>
        </dgm:style>
      </dgm:prSet>
      <dgm:spPr>
        <a:solidFill>
          <a:schemeClr val="accent1"/>
        </a:solidFill>
      </dgm:spPr>
      <dgm:t>
        <a:bodyPr/>
        <a:lstStyle/>
        <a:p>
          <a:pPr algn="ctr"/>
          <a:r>
            <a:rPr lang="pl-PL" dirty="0"/>
            <a:t>Globalny Minimalny Podatek</a:t>
          </a:r>
        </a:p>
      </dgm:t>
    </dgm:pt>
    <dgm:pt modelId="{0E915859-8BCD-4D5B-B7EB-2E0FB136B6D2}" type="parTrans" cxnId="{1FFA8B26-4E3F-401D-9884-CCA563DD0EB0}">
      <dgm:prSet/>
      <dgm:spPr/>
      <dgm:t>
        <a:bodyPr/>
        <a:lstStyle/>
        <a:p>
          <a:pPr algn="ctr"/>
          <a:endParaRPr lang="pl-PL"/>
        </a:p>
      </dgm:t>
    </dgm:pt>
    <dgm:pt modelId="{5E2F112D-3285-4E1B-B7ED-EB9EC7658952}" type="sibTrans" cxnId="{1FFA8B26-4E3F-401D-9884-CCA563DD0EB0}">
      <dgm:prSet/>
      <dgm:spPr/>
      <dgm:t>
        <a:bodyPr/>
        <a:lstStyle/>
        <a:p>
          <a:pPr algn="ctr"/>
          <a:endParaRPr lang="pl-PL"/>
        </a:p>
      </dgm:t>
    </dgm:pt>
    <dgm:pt modelId="{C22A60FB-B490-4186-A882-C8DAD59AE940}">
      <dgm:prSet/>
      <dgm:spPr>
        <a:solidFill>
          <a:schemeClr val="accent1"/>
        </a:solidFill>
      </dgm:spPr>
      <dgm:t>
        <a:bodyPr/>
        <a:lstStyle/>
        <a:p>
          <a:pPr algn="ctr"/>
          <a:r>
            <a:rPr lang="pl-PL" dirty="0"/>
            <a:t>STTR</a:t>
          </a:r>
        </a:p>
      </dgm:t>
    </dgm:pt>
    <dgm:pt modelId="{47F5C8A9-050D-464C-BCBE-AAAD137750B5}" type="parTrans" cxnId="{F9B408B8-70B5-4408-8F88-1E46F5CEF62C}">
      <dgm:prSet/>
      <dgm:spPr/>
      <dgm:t>
        <a:bodyPr/>
        <a:lstStyle/>
        <a:p>
          <a:pPr algn="ctr"/>
          <a:endParaRPr lang="pl-PL"/>
        </a:p>
      </dgm:t>
    </dgm:pt>
    <dgm:pt modelId="{625ACAEA-1B1F-42A8-9946-98954034C31C}" type="sibTrans" cxnId="{F9B408B8-70B5-4408-8F88-1E46F5CEF62C}">
      <dgm:prSet/>
      <dgm:spPr/>
      <dgm:t>
        <a:bodyPr/>
        <a:lstStyle/>
        <a:p>
          <a:pPr algn="ctr"/>
          <a:endParaRPr lang="pl-PL"/>
        </a:p>
      </dgm:t>
    </dgm:pt>
    <dgm:pt modelId="{C66E25FB-486A-4B30-ACE6-4FDC106CCC67}">
      <dgm:prSet/>
      <dgm:spPr/>
      <dgm:t>
        <a:bodyPr/>
        <a:lstStyle/>
        <a:p>
          <a:pPr algn="ctr"/>
          <a:r>
            <a:rPr lang="pl-PL" dirty="0"/>
            <a:t>Kwota A</a:t>
          </a:r>
        </a:p>
      </dgm:t>
    </dgm:pt>
    <dgm:pt modelId="{999BE413-1103-46F8-8B57-F7C93A9889C4}" type="parTrans" cxnId="{E1B8FAAF-73E7-47F8-B40D-9E06E5102035}">
      <dgm:prSet/>
      <dgm:spPr/>
      <dgm:t>
        <a:bodyPr/>
        <a:lstStyle/>
        <a:p>
          <a:pPr algn="ctr"/>
          <a:endParaRPr lang="pl-PL"/>
        </a:p>
      </dgm:t>
    </dgm:pt>
    <dgm:pt modelId="{17950333-859F-4F6A-B6B3-803A185CE23F}" type="sibTrans" cxnId="{E1B8FAAF-73E7-47F8-B40D-9E06E5102035}">
      <dgm:prSet/>
      <dgm:spPr/>
      <dgm:t>
        <a:bodyPr/>
        <a:lstStyle/>
        <a:p>
          <a:pPr algn="ctr"/>
          <a:endParaRPr lang="pl-PL"/>
        </a:p>
      </dgm:t>
    </dgm:pt>
    <dgm:pt modelId="{DC1E8316-2225-4D5D-9647-2EA0F09F3CD2}">
      <dgm:prSet phldrT="[Tekst]"/>
      <dgm:spPr/>
      <dgm:t>
        <a:bodyPr/>
        <a:lstStyle/>
        <a:p>
          <a:pPr algn="ctr"/>
          <a:r>
            <a:rPr lang="pl-PL" dirty="0"/>
            <a:t>Filar II</a:t>
          </a:r>
        </a:p>
      </dgm:t>
    </dgm:pt>
    <dgm:pt modelId="{E17A25F9-7282-4CB3-940E-B9EF8E0A0257}" type="sibTrans" cxnId="{6F0D63F0-29CF-4A50-9E1A-7F091A917F59}">
      <dgm:prSet/>
      <dgm:spPr/>
      <dgm:t>
        <a:bodyPr/>
        <a:lstStyle/>
        <a:p>
          <a:pPr algn="ctr"/>
          <a:endParaRPr lang="pl-PL"/>
        </a:p>
      </dgm:t>
    </dgm:pt>
    <dgm:pt modelId="{48B59746-4679-4A09-8B0D-F0E2FD864586}" type="parTrans" cxnId="{6F0D63F0-29CF-4A50-9E1A-7F091A917F59}">
      <dgm:prSet/>
      <dgm:spPr/>
      <dgm:t>
        <a:bodyPr/>
        <a:lstStyle/>
        <a:p>
          <a:pPr algn="ctr"/>
          <a:endParaRPr lang="pl-PL"/>
        </a:p>
      </dgm:t>
    </dgm:pt>
    <dgm:pt modelId="{540551F0-4360-40C8-9134-6ED210BB23C4}">
      <dgm:prSet/>
      <dgm:spPr/>
      <dgm:t>
        <a:bodyPr/>
        <a:lstStyle/>
        <a:p>
          <a:pPr algn="ctr"/>
          <a:r>
            <a:rPr lang="pl-PL" dirty="0"/>
            <a:t>Kwota B</a:t>
          </a:r>
        </a:p>
      </dgm:t>
    </dgm:pt>
    <dgm:pt modelId="{5EA4EFFB-AB65-480F-A894-22EE5958C9D1}" type="parTrans" cxnId="{324408AB-1998-4796-B301-0D686559F120}">
      <dgm:prSet/>
      <dgm:spPr/>
      <dgm:t>
        <a:bodyPr/>
        <a:lstStyle/>
        <a:p>
          <a:pPr algn="ctr"/>
          <a:endParaRPr lang="pl-PL"/>
        </a:p>
      </dgm:t>
    </dgm:pt>
    <dgm:pt modelId="{4D8B9377-CCFE-4B98-81B9-03CDF735849F}" type="sibTrans" cxnId="{324408AB-1998-4796-B301-0D686559F120}">
      <dgm:prSet/>
      <dgm:spPr/>
      <dgm:t>
        <a:bodyPr/>
        <a:lstStyle/>
        <a:p>
          <a:pPr algn="ctr"/>
          <a:endParaRPr lang="pl-PL"/>
        </a:p>
      </dgm:t>
    </dgm:pt>
    <dgm:pt modelId="{2DC209D7-60D2-40EE-9A8F-6973F8678A47}" type="pres">
      <dgm:prSet presAssocID="{7AD672DF-F918-40C6-88FD-68C18F88A20F}" presName="hierChild1" presStyleCnt="0">
        <dgm:presLayoutVars>
          <dgm:orgChart val="1"/>
          <dgm:chPref val="1"/>
          <dgm:dir/>
          <dgm:animOne val="branch"/>
          <dgm:animLvl val="lvl"/>
          <dgm:resizeHandles/>
        </dgm:presLayoutVars>
      </dgm:prSet>
      <dgm:spPr/>
    </dgm:pt>
    <dgm:pt modelId="{6C3EDB9F-0E19-48BE-9929-AFD132D3668A}" type="pres">
      <dgm:prSet presAssocID="{B3F61569-7350-4B1C-A391-4D30F0C664BC}" presName="hierRoot1" presStyleCnt="0">
        <dgm:presLayoutVars>
          <dgm:hierBranch val="init"/>
        </dgm:presLayoutVars>
      </dgm:prSet>
      <dgm:spPr/>
    </dgm:pt>
    <dgm:pt modelId="{11CACE9D-AD9A-4827-BEEA-E3C56922DFB1}" type="pres">
      <dgm:prSet presAssocID="{B3F61569-7350-4B1C-A391-4D30F0C664BC}" presName="rootComposite1" presStyleCnt="0"/>
      <dgm:spPr/>
    </dgm:pt>
    <dgm:pt modelId="{37F34014-65E9-4DDF-8B49-245189D3832A}" type="pres">
      <dgm:prSet presAssocID="{B3F61569-7350-4B1C-A391-4D30F0C664BC}" presName="rootText1" presStyleLbl="node0" presStyleIdx="0" presStyleCnt="1">
        <dgm:presLayoutVars>
          <dgm:chPref val="3"/>
        </dgm:presLayoutVars>
      </dgm:prSet>
      <dgm:spPr/>
    </dgm:pt>
    <dgm:pt modelId="{D536F75F-DA0F-4C00-ABAB-1B6282B0F508}" type="pres">
      <dgm:prSet presAssocID="{B3F61569-7350-4B1C-A391-4D30F0C664BC}" presName="rootConnector1" presStyleLbl="node1" presStyleIdx="0" presStyleCnt="0"/>
      <dgm:spPr/>
    </dgm:pt>
    <dgm:pt modelId="{65C17968-5F69-4E1E-B5E1-BEC5A9115913}" type="pres">
      <dgm:prSet presAssocID="{B3F61569-7350-4B1C-A391-4D30F0C664BC}" presName="hierChild2" presStyleCnt="0"/>
      <dgm:spPr/>
    </dgm:pt>
    <dgm:pt modelId="{DFE20C4E-21A3-4701-979C-266212CF83AC}" type="pres">
      <dgm:prSet presAssocID="{7D1E60B8-8A8A-491D-85BD-E589971355D5}" presName="Name37" presStyleLbl="parChTrans1D2" presStyleIdx="0" presStyleCnt="2"/>
      <dgm:spPr/>
    </dgm:pt>
    <dgm:pt modelId="{151EFDC1-5498-43FD-A599-E92F464C80FF}" type="pres">
      <dgm:prSet presAssocID="{54F4AA99-F1A5-4B80-B1DD-9CA7F95F78E5}" presName="hierRoot2" presStyleCnt="0">
        <dgm:presLayoutVars>
          <dgm:hierBranch val="hang"/>
        </dgm:presLayoutVars>
      </dgm:prSet>
      <dgm:spPr/>
    </dgm:pt>
    <dgm:pt modelId="{65436ED5-01F9-4317-915D-42786A02BBB6}" type="pres">
      <dgm:prSet presAssocID="{54F4AA99-F1A5-4B80-B1DD-9CA7F95F78E5}" presName="rootComposite" presStyleCnt="0"/>
      <dgm:spPr/>
    </dgm:pt>
    <dgm:pt modelId="{AB2AE4C9-4090-4403-A489-94AA8FAC5200}" type="pres">
      <dgm:prSet presAssocID="{54F4AA99-F1A5-4B80-B1DD-9CA7F95F78E5}" presName="rootText" presStyleLbl="node2" presStyleIdx="0" presStyleCnt="2">
        <dgm:presLayoutVars>
          <dgm:chPref val="3"/>
        </dgm:presLayoutVars>
      </dgm:prSet>
      <dgm:spPr/>
    </dgm:pt>
    <dgm:pt modelId="{F0E087A9-DA3B-4240-B4E0-674B14CD4102}" type="pres">
      <dgm:prSet presAssocID="{54F4AA99-F1A5-4B80-B1DD-9CA7F95F78E5}" presName="rootConnector" presStyleLbl="node2" presStyleIdx="0" presStyleCnt="2"/>
      <dgm:spPr/>
    </dgm:pt>
    <dgm:pt modelId="{33581C18-5CA4-4400-8987-C2C948B11F8F}" type="pres">
      <dgm:prSet presAssocID="{54F4AA99-F1A5-4B80-B1DD-9CA7F95F78E5}" presName="hierChild4" presStyleCnt="0"/>
      <dgm:spPr/>
    </dgm:pt>
    <dgm:pt modelId="{C44E9F2A-A588-4835-ABC3-9F3B5FCBBB4E}" type="pres">
      <dgm:prSet presAssocID="{999BE413-1103-46F8-8B57-F7C93A9889C4}" presName="Name48" presStyleLbl="parChTrans1D3" presStyleIdx="0" presStyleCnt="4"/>
      <dgm:spPr/>
    </dgm:pt>
    <dgm:pt modelId="{07709BD9-9BB3-4075-8901-499BE36BD235}" type="pres">
      <dgm:prSet presAssocID="{C66E25FB-486A-4B30-ACE6-4FDC106CCC67}" presName="hierRoot2" presStyleCnt="0">
        <dgm:presLayoutVars>
          <dgm:hierBranch/>
        </dgm:presLayoutVars>
      </dgm:prSet>
      <dgm:spPr/>
    </dgm:pt>
    <dgm:pt modelId="{EE51EA76-1AC9-484D-8354-3122EB27B668}" type="pres">
      <dgm:prSet presAssocID="{C66E25FB-486A-4B30-ACE6-4FDC106CCC67}" presName="rootComposite" presStyleCnt="0"/>
      <dgm:spPr/>
    </dgm:pt>
    <dgm:pt modelId="{58C83220-BB57-4038-A06A-CA41E401BE2C}" type="pres">
      <dgm:prSet presAssocID="{C66E25FB-486A-4B30-ACE6-4FDC106CCC67}" presName="rootText" presStyleLbl="node3" presStyleIdx="0" presStyleCnt="4">
        <dgm:presLayoutVars>
          <dgm:chPref val="3"/>
        </dgm:presLayoutVars>
      </dgm:prSet>
      <dgm:spPr/>
    </dgm:pt>
    <dgm:pt modelId="{8064C5F6-46F5-43BA-B7A0-3DF29B30A2EF}" type="pres">
      <dgm:prSet presAssocID="{C66E25FB-486A-4B30-ACE6-4FDC106CCC67}" presName="rootConnector" presStyleLbl="node3" presStyleIdx="0" presStyleCnt="4"/>
      <dgm:spPr/>
    </dgm:pt>
    <dgm:pt modelId="{6E0205B0-2E1F-4335-8078-2C28B904B6E3}" type="pres">
      <dgm:prSet presAssocID="{C66E25FB-486A-4B30-ACE6-4FDC106CCC67}" presName="hierChild4" presStyleCnt="0"/>
      <dgm:spPr/>
    </dgm:pt>
    <dgm:pt modelId="{AE981EDA-C79A-4935-B48F-65B35077FAD9}" type="pres">
      <dgm:prSet presAssocID="{C66E25FB-486A-4B30-ACE6-4FDC106CCC67}" presName="hierChild5" presStyleCnt="0"/>
      <dgm:spPr/>
    </dgm:pt>
    <dgm:pt modelId="{9134B147-3247-4C9B-8D66-A65570196C41}" type="pres">
      <dgm:prSet presAssocID="{5EA4EFFB-AB65-480F-A894-22EE5958C9D1}" presName="Name48" presStyleLbl="parChTrans1D3" presStyleIdx="1" presStyleCnt="4"/>
      <dgm:spPr/>
    </dgm:pt>
    <dgm:pt modelId="{37D8B479-E07C-4177-B978-1AF3C85D0E77}" type="pres">
      <dgm:prSet presAssocID="{540551F0-4360-40C8-9134-6ED210BB23C4}" presName="hierRoot2" presStyleCnt="0">
        <dgm:presLayoutVars>
          <dgm:hierBranch val="init"/>
        </dgm:presLayoutVars>
      </dgm:prSet>
      <dgm:spPr/>
    </dgm:pt>
    <dgm:pt modelId="{7E006257-F87A-42B4-8F77-51852C46D916}" type="pres">
      <dgm:prSet presAssocID="{540551F0-4360-40C8-9134-6ED210BB23C4}" presName="rootComposite" presStyleCnt="0"/>
      <dgm:spPr/>
    </dgm:pt>
    <dgm:pt modelId="{82BC4626-ACF2-436F-914E-715807C74E65}" type="pres">
      <dgm:prSet presAssocID="{540551F0-4360-40C8-9134-6ED210BB23C4}" presName="rootText" presStyleLbl="node3" presStyleIdx="1" presStyleCnt="4">
        <dgm:presLayoutVars>
          <dgm:chPref val="3"/>
        </dgm:presLayoutVars>
      </dgm:prSet>
      <dgm:spPr/>
    </dgm:pt>
    <dgm:pt modelId="{BD6A5FAA-E5BD-4FB4-BC94-7461705CE4A7}" type="pres">
      <dgm:prSet presAssocID="{540551F0-4360-40C8-9134-6ED210BB23C4}" presName="rootConnector" presStyleLbl="node3" presStyleIdx="1" presStyleCnt="4"/>
      <dgm:spPr/>
    </dgm:pt>
    <dgm:pt modelId="{66E5B64D-0152-49DB-9067-48EE18B27906}" type="pres">
      <dgm:prSet presAssocID="{540551F0-4360-40C8-9134-6ED210BB23C4}" presName="hierChild4" presStyleCnt="0"/>
      <dgm:spPr/>
    </dgm:pt>
    <dgm:pt modelId="{896E3325-6956-4059-8081-FB54EEBF6E26}" type="pres">
      <dgm:prSet presAssocID="{540551F0-4360-40C8-9134-6ED210BB23C4}" presName="hierChild5" presStyleCnt="0"/>
      <dgm:spPr/>
    </dgm:pt>
    <dgm:pt modelId="{1B3480C8-0C45-4E2B-997F-F292154EEDD0}" type="pres">
      <dgm:prSet presAssocID="{54F4AA99-F1A5-4B80-B1DD-9CA7F95F78E5}" presName="hierChild5" presStyleCnt="0"/>
      <dgm:spPr/>
    </dgm:pt>
    <dgm:pt modelId="{CCD7EDFE-3093-46CB-9DE0-AE8093626DCF}" type="pres">
      <dgm:prSet presAssocID="{48B59746-4679-4A09-8B0D-F0E2FD864586}" presName="Name37" presStyleLbl="parChTrans1D2" presStyleIdx="1" presStyleCnt="2"/>
      <dgm:spPr/>
    </dgm:pt>
    <dgm:pt modelId="{96DF86B6-A206-4B19-A73D-1166D579F22B}" type="pres">
      <dgm:prSet presAssocID="{DC1E8316-2225-4D5D-9647-2EA0F09F3CD2}" presName="hierRoot2" presStyleCnt="0">
        <dgm:presLayoutVars>
          <dgm:hierBranch val="hang"/>
        </dgm:presLayoutVars>
      </dgm:prSet>
      <dgm:spPr/>
    </dgm:pt>
    <dgm:pt modelId="{3D2A8900-A7D9-426B-949B-0C2DC5D46FD4}" type="pres">
      <dgm:prSet presAssocID="{DC1E8316-2225-4D5D-9647-2EA0F09F3CD2}" presName="rootComposite" presStyleCnt="0"/>
      <dgm:spPr/>
    </dgm:pt>
    <dgm:pt modelId="{96E716FC-48E1-4ABD-AF97-079AF59A46E7}" type="pres">
      <dgm:prSet presAssocID="{DC1E8316-2225-4D5D-9647-2EA0F09F3CD2}" presName="rootText" presStyleLbl="node2" presStyleIdx="1" presStyleCnt="2">
        <dgm:presLayoutVars>
          <dgm:chPref val="3"/>
        </dgm:presLayoutVars>
      </dgm:prSet>
      <dgm:spPr/>
    </dgm:pt>
    <dgm:pt modelId="{CAFD4EDB-9871-43AD-B56A-CD839016EF92}" type="pres">
      <dgm:prSet presAssocID="{DC1E8316-2225-4D5D-9647-2EA0F09F3CD2}" presName="rootConnector" presStyleLbl="node2" presStyleIdx="1" presStyleCnt="2"/>
      <dgm:spPr/>
    </dgm:pt>
    <dgm:pt modelId="{9513616A-7880-467B-9FDA-B0B5CA11991E}" type="pres">
      <dgm:prSet presAssocID="{DC1E8316-2225-4D5D-9647-2EA0F09F3CD2}" presName="hierChild4" presStyleCnt="0"/>
      <dgm:spPr/>
    </dgm:pt>
    <dgm:pt modelId="{E36EC70A-A345-4AB5-A080-B5CF8207EC59}" type="pres">
      <dgm:prSet presAssocID="{0E915859-8BCD-4D5B-B7EB-2E0FB136B6D2}" presName="Name48" presStyleLbl="parChTrans1D3" presStyleIdx="2" presStyleCnt="4"/>
      <dgm:spPr/>
    </dgm:pt>
    <dgm:pt modelId="{4DEE5D7F-C1D9-496A-AA0D-88BADD1169BE}" type="pres">
      <dgm:prSet presAssocID="{81C32D4A-8C32-44F6-847F-C5E81C519C50}" presName="hierRoot2" presStyleCnt="0">
        <dgm:presLayoutVars>
          <dgm:hierBranch val="init"/>
        </dgm:presLayoutVars>
      </dgm:prSet>
      <dgm:spPr/>
    </dgm:pt>
    <dgm:pt modelId="{0C323465-C1B6-44CE-8B63-2646E622345A}" type="pres">
      <dgm:prSet presAssocID="{81C32D4A-8C32-44F6-847F-C5E81C519C50}" presName="rootComposite" presStyleCnt="0"/>
      <dgm:spPr/>
    </dgm:pt>
    <dgm:pt modelId="{597815CA-630F-4C83-9994-225BB3BA6956}" type="pres">
      <dgm:prSet presAssocID="{81C32D4A-8C32-44F6-847F-C5E81C519C50}" presName="rootText" presStyleLbl="node3" presStyleIdx="2" presStyleCnt="4">
        <dgm:presLayoutVars>
          <dgm:chPref val="3"/>
        </dgm:presLayoutVars>
      </dgm:prSet>
      <dgm:spPr/>
    </dgm:pt>
    <dgm:pt modelId="{19D9BA0E-3B89-460C-9FBC-0442146354B0}" type="pres">
      <dgm:prSet presAssocID="{81C32D4A-8C32-44F6-847F-C5E81C519C50}" presName="rootConnector" presStyleLbl="node3" presStyleIdx="2" presStyleCnt="4"/>
      <dgm:spPr/>
    </dgm:pt>
    <dgm:pt modelId="{F09D76AC-402F-4249-BA2F-C53C8AB39E79}" type="pres">
      <dgm:prSet presAssocID="{81C32D4A-8C32-44F6-847F-C5E81C519C50}" presName="hierChild4" presStyleCnt="0"/>
      <dgm:spPr/>
    </dgm:pt>
    <dgm:pt modelId="{C990D1B7-D492-43C8-8415-9C225E0B51C9}" type="pres">
      <dgm:prSet presAssocID="{81C32D4A-8C32-44F6-847F-C5E81C519C50}" presName="hierChild5" presStyleCnt="0"/>
      <dgm:spPr/>
    </dgm:pt>
    <dgm:pt modelId="{339EB203-DA7F-42F7-9B08-E1F8EA389056}" type="pres">
      <dgm:prSet presAssocID="{47F5C8A9-050D-464C-BCBE-AAAD137750B5}" presName="Name48" presStyleLbl="parChTrans1D3" presStyleIdx="3" presStyleCnt="4"/>
      <dgm:spPr/>
    </dgm:pt>
    <dgm:pt modelId="{D66EE2E3-7925-49CB-B4EA-6C8B42163B5B}" type="pres">
      <dgm:prSet presAssocID="{C22A60FB-B490-4186-A882-C8DAD59AE940}" presName="hierRoot2" presStyleCnt="0">
        <dgm:presLayoutVars>
          <dgm:hierBranch val="init"/>
        </dgm:presLayoutVars>
      </dgm:prSet>
      <dgm:spPr/>
    </dgm:pt>
    <dgm:pt modelId="{37E50F22-7F4F-4280-9169-0BD1BDD56284}" type="pres">
      <dgm:prSet presAssocID="{C22A60FB-B490-4186-A882-C8DAD59AE940}" presName="rootComposite" presStyleCnt="0"/>
      <dgm:spPr/>
    </dgm:pt>
    <dgm:pt modelId="{40451F65-7318-4D8F-8747-E4261DD243C6}" type="pres">
      <dgm:prSet presAssocID="{C22A60FB-B490-4186-A882-C8DAD59AE940}" presName="rootText" presStyleLbl="node3" presStyleIdx="3" presStyleCnt="4">
        <dgm:presLayoutVars>
          <dgm:chPref val="3"/>
        </dgm:presLayoutVars>
      </dgm:prSet>
      <dgm:spPr/>
    </dgm:pt>
    <dgm:pt modelId="{2E785DCF-29D3-4250-8D4E-01D84E0A1A86}" type="pres">
      <dgm:prSet presAssocID="{C22A60FB-B490-4186-A882-C8DAD59AE940}" presName="rootConnector" presStyleLbl="node3" presStyleIdx="3" presStyleCnt="4"/>
      <dgm:spPr/>
    </dgm:pt>
    <dgm:pt modelId="{07BC4EF9-9059-478F-BDBF-919BA812CA6E}" type="pres">
      <dgm:prSet presAssocID="{C22A60FB-B490-4186-A882-C8DAD59AE940}" presName="hierChild4" presStyleCnt="0"/>
      <dgm:spPr/>
    </dgm:pt>
    <dgm:pt modelId="{349D4922-E370-42EC-AD94-DBAC4842B7D7}" type="pres">
      <dgm:prSet presAssocID="{C22A60FB-B490-4186-A882-C8DAD59AE940}" presName="hierChild5" presStyleCnt="0"/>
      <dgm:spPr/>
    </dgm:pt>
    <dgm:pt modelId="{EE8A53E4-ECB9-4E6A-B773-DE6C2640E921}" type="pres">
      <dgm:prSet presAssocID="{DC1E8316-2225-4D5D-9647-2EA0F09F3CD2}" presName="hierChild5" presStyleCnt="0"/>
      <dgm:spPr/>
    </dgm:pt>
    <dgm:pt modelId="{0C30E34C-104A-46EE-A8BB-4B03E4DD986B}" type="pres">
      <dgm:prSet presAssocID="{B3F61569-7350-4B1C-A391-4D30F0C664BC}" presName="hierChild3" presStyleCnt="0"/>
      <dgm:spPr/>
    </dgm:pt>
  </dgm:ptLst>
  <dgm:cxnLst>
    <dgm:cxn modelId="{B8044A04-8423-48E3-8318-4C659D35BD72}" type="presOf" srcId="{C22A60FB-B490-4186-A882-C8DAD59AE940}" destId="{2E785DCF-29D3-4250-8D4E-01D84E0A1A86}" srcOrd="1" destOrd="0" presId="urn:microsoft.com/office/officeart/2005/8/layout/orgChart1"/>
    <dgm:cxn modelId="{4BF24E0A-F49F-4185-9F5D-8F26F1159F88}" type="presOf" srcId="{C66E25FB-486A-4B30-ACE6-4FDC106CCC67}" destId="{8064C5F6-46F5-43BA-B7A0-3DF29B30A2EF}" srcOrd="1" destOrd="0" presId="urn:microsoft.com/office/officeart/2005/8/layout/orgChart1"/>
    <dgm:cxn modelId="{E781800B-2A53-478D-AAA9-12FD1774210F}" type="presOf" srcId="{54F4AA99-F1A5-4B80-B1DD-9CA7F95F78E5}" destId="{AB2AE4C9-4090-4403-A489-94AA8FAC5200}" srcOrd="0" destOrd="0" presId="urn:microsoft.com/office/officeart/2005/8/layout/orgChart1"/>
    <dgm:cxn modelId="{0BF6990C-EA10-4D79-9265-CFEA25754882}" type="presOf" srcId="{47F5C8A9-050D-464C-BCBE-AAAD137750B5}" destId="{339EB203-DA7F-42F7-9B08-E1F8EA389056}" srcOrd="0" destOrd="0" presId="urn:microsoft.com/office/officeart/2005/8/layout/orgChart1"/>
    <dgm:cxn modelId="{AA498F0E-4A2B-48F3-AA07-AF7A2CB5C8DB}" type="presOf" srcId="{7D1E60B8-8A8A-491D-85BD-E589971355D5}" destId="{DFE20C4E-21A3-4701-979C-266212CF83AC}" srcOrd="0" destOrd="0" presId="urn:microsoft.com/office/officeart/2005/8/layout/orgChart1"/>
    <dgm:cxn modelId="{4A91D620-7B72-41FC-B4AC-C4569A646C15}" type="presOf" srcId="{5EA4EFFB-AB65-480F-A894-22EE5958C9D1}" destId="{9134B147-3247-4C9B-8D66-A65570196C41}" srcOrd="0" destOrd="0" presId="urn:microsoft.com/office/officeart/2005/8/layout/orgChart1"/>
    <dgm:cxn modelId="{1FFA8B26-4E3F-401D-9884-CCA563DD0EB0}" srcId="{DC1E8316-2225-4D5D-9647-2EA0F09F3CD2}" destId="{81C32D4A-8C32-44F6-847F-C5E81C519C50}" srcOrd="0" destOrd="0" parTransId="{0E915859-8BCD-4D5B-B7EB-2E0FB136B6D2}" sibTransId="{5E2F112D-3285-4E1B-B7ED-EB9EC7658952}"/>
    <dgm:cxn modelId="{54791836-C4DE-4CF6-A548-8F317DF8B62E}" type="presOf" srcId="{48B59746-4679-4A09-8B0D-F0E2FD864586}" destId="{CCD7EDFE-3093-46CB-9DE0-AE8093626DCF}" srcOrd="0" destOrd="0" presId="urn:microsoft.com/office/officeart/2005/8/layout/orgChart1"/>
    <dgm:cxn modelId="{F26B775F-89BA-4059-A427-23C75C59DE77}" type="presOf" srcId="{7AD672DF-F918-40C6-88FD-68C18F88A20F}" destId="{2DC209D7-60D2-40EE-9A8F-6973F8678A47}" srcOrd="0" destOrd="0" presId="urn:microsoft.com/office/officeart/2005/8/layout/orgChart1"/>
    <dgm:cxn modelId="{7E501960-D89E-4D8B-8577-BE27E7014D8B}" type="presOf" srcId="{DC1E8316-2225-4D5D-9647-2EA0F09F3CD2}" destId="{CAFD4EDB-9871-43AD-B56A-CD839016EF92}" srcOrd="1" destOrd="0" presId="urn:microsoft.com/office/officeart/2005/8/layout/orgChart1"/>
    <dgm:cxn modelId="{29886863-C07D-4250-8040-6D5D784B3D63}" type="presOf" srcId="{540551F0-4360-40C8-9134-6ED210BB23C4}" destId="{BD6A5FAA-E5BD-4FB4-BC94-7461705CE4A7}" srcOrd="1" destOrd="0" presId="urn:microsoft.com/office/officeart/2005/8/layout/orgChart1"/>
    <dgm:cxn modelId="{DB65C251-204E-4A18-A5C6-FBAD3C0E3853}" type="presOf" srcId="{0E915859-8BCD-4D5B-B7EB-2E0FB136B6D2}" destId="{E36EC70A-A345-4AB5-A080-B5CF8207EC59}" srcOrd="0" destOrd="0" presId="urn:microsoft.com/office/officeart/2005/8/layout/orgChart1"/>
    <dgm:cxn modelId="{68E48972-8468-4943-AF70-5254361A6063}" type="presOf" srcId="{81C32D4A-8C32-44F6-847F-C5E81C519C50}" destId="{597815CA-630F-4C83-9994-225BB3BA6956}" srcOrd="0" destOrd="0" presId="urn:microsoft.com/office/officeart/2005/8/layout/orgChart1"/>
    <dgm:cxn modelId="{B8861B75-EDB3-4108-AB1A-5135652E10CF}" type="presOf" srcId="{C66E25FB-486A-4B30-ACE6-4FDC106CCC67}" destId="{58C83220-BB57-4038-A06A-CA41E401BE2C}" srcOrd="0" destOrd="0" presId="urn:microsoft.com/office/officeart/2005/8/layout/orgChart1"/>
    <dgm:cxn modelId="{259BC055-5436-4713-9D51-E1A1043560C5}" srcId="{7AD672DF-F918-40C6-88FD-68C18F88A20F}" destId="{B3F61569-7350-4B1C-A391-4D30F0C664BC}" srcOrd="0" destOrd="0" parTransId="{3E1155E3-B3E2-4645-B43C-25C61BFB12A1}" sibTransId="{A4F96655-475A-4333-AAE2-3E6C86F4EE6A}"/>
    <dgm:cxn modelId="{C21D2656-1D65-4F5E-932F-C1AF3CB5CFC3}" type="presOf" srcId="{DC1E8316-2225-4D5D-9647-2EA0F09F3CD2}" destId="{96E716FC-48E1-4ABD-AF97-079AF59A46E7}" srcOrd="0" destOrd="0" presId="urn:microsoft.com/office/officeart/2005/8/layout/orgChart1"/>
    <dgm:cxn modelId="{BA424E90-FC64-4231-B917-F85B810656AE}" type="presOf" srcId="{999BE413-1103-46F8-8B57-F7C93A9889C4}" destId="{C44E9F2A-A588-4835-ABC3-9F3B5FCBBB4E}" srcOrd="0" destOrd="0" presId="urn:microsoft.com/office/officeart/2005/8/layout/orgChart1"/>
    <dgm:cxn modelId="{324408AB-1998-4796-B301-0D686559F120}" srcId="{54F4AA99-F1A5-4B80-B1DD-9CA7F95F78E5}" destId="{540551F0-4360-40C8-9134-6ED210BB23C4}" srcOrd="1" destOrd="0" parTransId="{5EA4EFFB-AB65-480F-A894-22EE5958C9D1}" sibTransId="{4D8B9377-CCFE-4B98-81B9-03CDF735849F}"/>
    <dgm:cxn modelId="{F18011AF-F599-464E-93B7-6D0375781418}" type="presOf" srcId="{B3F61569-7350-4B1C-A391-4D30F0C664BC}" destId="{37F34014-65E9-4DDF-8B49-245189D3832A}" srcOrd="0" destOrd="0" presId="urn:microsoft.com/office/officeart/2005/8/layout/orgChart1"/>
    <dgm:cxn modelId="{E1B8FAAF-73E7-47F8-B40D-9E06E5102035}" srcId="{54F4AA99-F1A5-4B80-B1DD-9CA7F95F78E5}" destId="{C66E25FB-486A-4B30-ACE6-4FDC106CCC67}" srcOrd="0" destOrd="0" parTransId="{999BE413-1103-46F8-8B57-F7C93A9889C4}" sibTransId="{17950333-859F-4F6A-B6B3-803A185CE23F}"/>
    <dgm:cxn modelId="{9CC175B3-EA47-4CAD-A205-5F3460BF33C0}" srcId="{B3F61569-7350-4B1C-A391-4D30F0C664BC}" destId="{54F4AA99-F1A5-4B80-B1DD-9CA7F95F78E5}" srcOrd="0" destOrd="0" parTransId="{7D1E60B8-8A8A-491D-85BD-E589971355D5}" sibTransId="{FC887EC8-2B29-44F8-A57B-4C2C0118337A}"/>
    <dgm:cxn modelId="{F9B408B8-70B5-4408-8F88-1E46F5CEF62C}" srcId="{DC1E8316-2225-4D5D-9647-2EA0F09F3CD2}" destId="{C22A60FB-B490-4186-A882-C8DAD59AE940}" srcOrd="1" destOrd="0" parTransId="{47F5C8A9-050D-464C-BCBE-AAAD137750B5}" sibTransId="{625ACAEA-1B1F-42A8-9946-98954034C31C}"/>
    <dgm:cxn modelId="{4207C6CA-F9EB-4642-AF91-D96FD284EC18}" type="presOf" srcId="{81C32D4A-8C32-44F6-847F-C5E81C519C50}" destId="{19D9BA0E-3B89-460C-9FBC-0442146354B0}" srcOrd="1" destOrd="0" presId="urn:microsoft.com/office/officeart/2005/8/layout/orgChart1"/>
    <dgm:cxn modelId="{A09A86DC-F166-4334-8F33-E66559B153CD}" type="presOf" srcId="{C22A60FB-B490-4186-A882-C8DAD59AE940}" destId="{40451F65-7318-4D8F-8747-E4261DD243C6}" srcOrd="0" destOrd="0" presId="urn:microsoft.com/office/officeart/2005/8/layout/orgChart1"/>
    <dgm:cxn modelId="{70724CE1-895D-4388-9CBE-A399FA3E181A}" type="presOf" srcId="{B3F61569-7350-4B1C-A391-4D30F0C664BC}" destId="{D536F75F-DA0F-4C00-ABAB-1B6282B0F508}" srcOrd="1" destOrd="0" presId="urn:microsoft.com/office/officeart/2005/8/layout/orgChart1"/>
    <dgm:cxn modelId="{53FF4DE3-C33B-4AB0-B7D6-A949AC824D3A}" type="presOf" srcId="{54F4AA99-F1A5-4B80-B1DD-9CA7F95F78E5}" destId="{F0E087A9-DA3B-4240-B4E0-674B14CD4102}" srcOrd="1" destOrd="0" presId="urn:microsoft.com/office/officeart/2005/8/layout/orgChart1"/>
    <dgm:cxn modelId="{6F0D63F0-29CF-4A50-9E1A-7F091A917F59}" srcId="{B3F61569-7350-4B1C-A391-4D30F0C664BC}" destId="{DC1E8316-2225-4D5D-9647-2EA0F09F3CD2}" srcOrd="1" destOrd="0" parTransId="{48B59746-4679-4A09-8B0D-F0E2FD864586}" sibTransId="{E17A25F9-7282-4CB3-940E-B9EF8E0A0257}"/>
    <dgm:cxn modelId="{F3B07FF5-C89C-43CC-B580-1EEBEA36EA1D}" type="presOf" srcId="{540551F0-4360-40C8-9134-6ED210BB23C4}" destId="{82BC4626-ACF2-436F-914E-715807C74E65}" srcOrd="0" destOrd="0" presId="urn:microsoft.com/office/officeart/2005/8/layout/orgChart1"/>
    <dgm:cxn modelId="{7677C87A-32D3-44C3-ABF3-5FBEBB101CA9}" type="presParOf" srcId="{2DC209D7-60D2-40EE-9A8F-6973F8678A47}" destId="{6C3EDB9F-0E19-48BE-9929-AFD132D3668A}" srcOrd="0" destOrd="0" presId="urn:microsoft.com/office/officeart/2005/8/layout/orgChart1"/>
    <dgm:cxn modelId="{FA7D1A28-4504-4B99-9DDD-90686AD51D9E}" type="presParOf" srcId="{6C3EDB9F-0E19-48BE-9929-AFD132D3668A}" destId="{11CACE9D-AD9A-4827-BEEA-E3C56922DFB1}" srcOrd="0" destOrd="0" presId="urn:microsoft.com/office/officeart/2005/8/layout/orgChart1"/>
    <dgm:cxn modelId="{60DE601A-86A8-48A0-96D6-6B1DF3216802}" type="presParOf" srcId="{11CACE9D-AD9A-4827-BEEA-E3C56922DFB1}" destId="{37F34014-65E9-4DDF-8B49-245189D3832A}" srcOrd="0" destOrd="0" presId="urn:microsoft.com/office/officeart/2005/8/layout/orgChart1"/>
    <dgm:cxn modelId="{BFE1D726-70A9-4BD1-AE76-B6BD8E51E81F}" type="presParOf" srcId="{11CACE9D-AD9A-4827-BEEA-E3C56922DFB1}" destId="{D536F75F-DA0F-4C00-ABAB-1B6282B0F508}" srcOrd="1" destOrd="0" presId="urn:microsoft.com/office/officeart/2005/8/layout/orgChart1"/>
    <dgm:cxn modelId="{15E4A831-33B3-491D-8C35-00140D6ED3C5}" type="presParOf" srcId="{6C3EDB9F-0E19-48BE-9929-AFD132D3668A}" destId="{65C17968-5F69-4E1E-B5E1-BEC5A9115913}" srcOrd="1" destOrd="0" presId="urn:microsoft.com/office/officeart/2005/8/layout/orgChart1"/>
    <dgm:cxn modelId="{E3425FEF-83C1-48D4-8A87-887D02BE5B88}" type="presParOf" srcId="{65C17968-5F69-4E1E-B5E1-BEC5A9115913}" destId="{DFE20C4E-21A3-4701-979C-266212CF83AC}" srcOrd="0" destOrd="0" presId="urn:microsoft.com/office/officeart/2005/8/layout/orgChart1"/>
    <dgm:cxn modelId="{7B417D22-CCE3-4CA0-9E1A-003B0243DED5}" type="presParOf" srcId="{65C17968-5F69-4E1E-B5E1-BEC5A9115913}" destId="{151EFDC1-5498-43FD-A599-E92F464C80FF}" srcOrd="1" destOrd="0" presId="urn:microsoft.com/office/officeart/2005/8/layout/orgChart1"/>
    <dgm:cxn modelId="{7FC6A369-D2A2-43CC-B9F5-D40FB2C58280}" type="presParOf" srcId="{151EFDC1-5498-43FD-A599-E92F464C80FF}" destId="{65436ED5-01F9-4317-915D-42786A02BBB6}" srcOrd="0" destOrd="0" presId="urn:microsoft.com/office/officeart/2005/8/layout/orgChart1"/>
    <dgm:cxn modelId="{8BA3A28A-99CB-44AF-8130-09166F4A9AC5}" type="presParOf" srcId="{65436ED5-01F9-4317-915D-42786A02BBB6}" destId="{AB2AE4C9-4090-4403-A489-94AA8FAC5200}" srcOrd="0" destOrd="0" presId="urn:microsoft.com/office/officeart/2005/8/layout/orgChart1"/>
    <dgm:cxn modelId="{892A70DB-D54F-4F03-9802-1F02EBC3EDAD}" type="presParOf" srcId="{65436ED5-01F9-4317-915D-42786A02BBB6}" destId="{F0E087A9-DA3B-4240-B4E0-674B14CD4102}" srcOrd="1" destOrd="0" presId="urn:microsoft.com/office/officeart/2005/8/layout/orgChart1"/>
    <dgm:cxn modelId="{8FAEED38-13AC-41A2-90AD-2171224E971B}" type="presParOf" srcId="{151EFDC1-5498-43FD-A599-E92F464C80FF}" destId="{33581C18-5CA4-4400-8987-C2C948B11F8F}" srcOrd="1" destOrd="0" presId="urn:microsoft.com/office/officeart/2005/8/layout/orgChart1"/>
    <dgm:cxn modelId="{6408D4C8-23D5-4681-8624-D7D4BE548959}" type="presParOf" srcId="{33581C18-5CA4-4400-8987-C2C948B11F8F}" destId="{C44E9F2A-A588-4835-ABC3-9F3B5FCBBB4E}" srcOrd="0" destOrd="0" presId="urn:microsoft.com/office/officeart/2005/8/layout/orgChart1"/>
    <dgm:cxn modelId="{9D659A99-80F9-44F4-BB48-99958C55BE23}" type="presParOf" srcId="{33581C18-5CA4-4400-8987-C2C948B11F8F}" destId="{07709BD9-9BB3-4075-8901-499BE36BD235}" srcOrd="1" destOrd="0" presId="urn:microsoft.com/office/officeart/2005/8/layout/orgChart1"/>
    <dgm:cxn modelId="{649AA252-2032-4A97-AA55-8CF170F9518E}" type="presParOf" srcId="{07709BD9-9BB3-4075-8901-499BE36BD235}" destId="{EE51EA76-1AC9-484D-8354-3122EB27B668}" srcOrd="0" destOrd="0" presId="urn:microsoft.com/office/officeart/2005/8/layout/orgChart1"/>
    <dgm:cxn modelId="{FC077E59-E350-4146-BAEF-9B7DFD675CF6}" type="presParOf" srcId="{EE51EA76-1AC9-484D-8354-3122EB27B668}" destId="{58C83220-BB57-4038-A06A-CA41E401BE2C}" srcOrd="0" destOrd="0" presId="urn:microsoft.com/office/officeart/2005/8/layout/orgChart1"/>
    <dgm:cxn modelId="{DBF88283-0C2D-4076-A870-40CC7A67851B}" type="presParOf" srcId="{EE51EA76-1AC9-484D-8354-3122EB27B668}" destId="{8064C5F6-46F5-43BA-B7A0-3DF29B30A2EF}" srcOrd="1" destOrd="0" presId="urn:microsoft.com/office/officeart/2005/8/layout/orgChart1"/>
    <dgm:cxn modelId="{D30837F4-5CE5-4C08-8449-66CC5588F459}" type="presParOf" srcId="{07709BD9-9BB3-4075-8901-499BE36BD235}" destId="{6E0205B0-2E1F-4335-8078-2C28B904B6E3}" srcOrd="1" destOrd="0" presId="urn:microsoft.com/office/officeart/2005/8/layout/orgChart1"/>
    <dgm:cxn modelId="{E4D55E3B-9CF9-45EF-950F-78A41F45D1A0}" type="presParOf" srcId="{07709BD9-9BB3-4075-8901-499BE36BD235}" destId="{AE981EDA-C79A-4935-B48F-65B35077FAD9}" srcOrd="2" destOrd="0" presId="urn:microsoft.com/office/officeart/2005/8/layout/orgChart1"/>
    <dgm:cxn modelId="{79B6FEB3-90C7-413A-963F-1E408392A26D}" type="presParOf" srcId="{33581C18-5CA4-4400-8987-C2C948B11F8F}" destId="{9134B147-3247-4C9B-8D66-A65570196C41}" srcOrd="2" destOrd="0" presId="urn:microsoft.com/office/officeart/2005/8/layout/orgChart1"/>
    <dgm:cxn modelId="{6BA88404-D06D-41FE-838C-2F31D13C0CC4}" type="presParOf" srcId="{33581C18-5CA4-4400-8987-C2C948B11F8F}" destId="{37D8B479-E07C-4177-B978-1AF3C85D0E77}" srcOrd="3" destOrd="0" presId="urn:microsoft.com/office/officeart/2005/8/layout/orgChart1"/>
    <dgm:cxn modelId="{F05CFE81-7FD4-437B-8230-FC7972937179}" type="presParOf" srcId="{37D8B479-E07C-4177-B978-1AF3C85D0E77}" destId="{7E006257-F87A-42B4-8F77-51852C46D916}" srcOrd="0" destOrd="0" presId="urn:microsoft.com/office/officeart/2005/8/layout/orgChart1"/>
    <dgm:cxn modelId="{7DF0E813-7723-4C0A-BE10-BC710D802852}" type="presParOf" srcId="{7E006257-F87A-42B4-8F77-51852C46D916}" destId="{82BC4626-ACF2-436F-914E-715807C74E65}" srcOrd="0" destOrd="0" presId="urn:microsoft.com/office/officeart/2005/8/layout/orgChart1"/>
    <dgm:cxn modelId="{34A39157-0E5E-403F-AF4A-E091BDBCFC1E}" type="presParOf" srcId="{7E006257-F87A-42B4-8F77-51852C46D916}" destId="{BD6A5FAA-E5BD-4FB4-BC94-7461705CE4A7}" srcOrd="1" destOrd="0" presId="urn:microsoft.com/office/officeart/2005/8/layout/orgChart1"/>
    <dgm:cxn modelId="{8B1FBD8D-577A-4C28-8A8E-1788DEF5CBB5}" type="presParOf" srcId="{37D8B479-E07C-4177-B978-1AF3C85D0E77}" destId="{66E5B64D-0152-49DB-9067-48EE18B27906}" srcOrd="1" destOrd="0" presId="urn:microsoft.com/office/officeart/2005/8/layout/orgChart1"/>
    <dgm:cxn modelId="{F4546C79-E98C-44CD-AACF-461DEF1EB3CB}" type="presParOf" srcId="{37D8B479-E07C-4177-B978-1AF3C85D0E77}" destId="{896E3325-6956-4059-8081-FB54EEBF6E26}" srcOrd="2" destOrd="0" presId="urn:microsoft.com/office/officeart/2005/8/layout/orgChart1"/>
    <dgm:cxn modelId="{1E9CB174-974C-43F6-94B8-056BD3C4E911}" type="presParOf" srcId="{151EFDC1-5498-43FD-A599-E92F464C80FF}" destId="{1B3480C8-0C45-4E2B-997F-F292154EEDD0}" srcOrd="2" destOrd="0" presId="urn:microsoft.com/office/officeart/2005/8/layout/orgChart1"/>
    <dgm:cxn modelId="{EF7101CB-6C36-4683-A54A-F7BDF1E30B14}" type="presParOf" srcId="{65C17968-5F69-4E1E-B5E1-BEC5A9115913}" destId="{CCD7EDFE-3093-46CB-9DE0-AE8093626DCF}" srcOrd="2" destOrd="0" presId="urn:microsoft.com/office/officeart/2005/8/layout/orgChart1"/>
    <dgm:cxn modelId="{5D0649D1-C574-4CEE-85D3-CA8BAD30DD4F}" type="presParOf" srcId="{65C17968-5F69-4E1E-B5E1-BEC5A9115913}" destId="{96DF86B6-A206-4B19-A73D-1166D579F22B}" srcOrd="3" destOrd="0" presId="urn:microsoft.com/office/officeart/2005/8/layout/orgChart1"/>
    <dgm:cxn modelId="{24322041-35F9-4AF2-8DE2-F775B3E88FEB}" type="presParOf" srcId="{96DF86B6-A206-4B19-A73D-1166D579F22B}" destId="{3D2A8900-A7D9-426B-949B-0C2DC5D46FD4}" srcOrd="0" destOrd="0" presId="urn:microsoft.com/office/officeart/2005/8/layout/orgChart1"/>
    <dgm:cxn modelId="{54B08C98-FFF7-42A1-94AF-6E68154F2C07}" type="presParOf" srcId="{3D2A8900-A7D9-426B-949B-0C2DC5D46FD4}" destId="{96E716FC-48E1-4ABD-AF97-079AF59A46E7}" srcOrd="0" destOrd="0" presId="urn:microsoft.com/office/officeart/2005/8/layout/orgChart1"/>
    <dgm:cxn modelId="{23F204D8-3B2D-4EA0-92AA-59A8E19410EC}" type="presParOf" srcId="{3D2A8900-A7D9-426B-949B-0C2DC5D46FD4}" destId="{CAFD4EDB-9871-43AD-B56A-CD839016EF92}" srcOrd="1" destOrd="0" presId="urn:microsoft.com/office/officeart/2005/8/layout/orgChart1"/>
    <dgm:cxn modelId="{C8F48736-0996-4F8C-91C8-3431E299BEE5}" type="presParOf" srcId="{96DF86B6-A206-4B19-A73D-1166D579F22B}" destId="{9513616A-7880-467B-9FDA-B0B5CA11991E}" srcOrd="1" destOrd="0" presId="urn:microsoft.com/office/officeart/2005/8/layout/orgChart1"/>
    <dgm:cxn modelId="{F79F19FE-14D9-4991-BFE3-AB3FE18203DE}" type="presParOf" srcId="{9513616A-7880-467B-9FDA-B0B5CA11991E}" destId="{E36EC70A-A345-4AB5-A080-B5CF8207EC59}" srcOrd="0" destOrd="0" presId="urn:microsoft.com/office/officeart/2005/8/layout/orgChart1"/>
    <dgm:cxn modelId="{AB151435-9ECC-48F2-81FB-AD5B28FC551F}" type="presParOf" srcId="{9513616A-7880-467B-9FDA-B0B5CA11991E}" destId="{4DEE5D7F-C1D9-496A-AA0D-88BADD1169BE}" srcOrd="1" destOrd="0" presId="urn:microsoft.com/office/officeart/2005/8/layout/orgChart1"/>
    <dgm:cxn modelId="{4E74D936-6680-40F2-A3F2-78B691046B97}" type="presParOf" srcId="{4DEE5D7F-C1D9-496A-AA0D-88BADD1169BE}" destId="{0C323465-C1B6-44CE-8B63-2646E622345A}" srcOrd="0" destOrd="0" presId="urn:microsoft.com/office/officeart/2005/8/layout/orgChart1"/>
    <dgm:cxn modelId="{5D84C312-41F7-4B89-83BF-E5B5543D1212}" type="presParOf" srcId="{0C323465-C1B6-44CE-8B63-2646E622345A}" destId="{597815CA-630F-4C83-9994-225BB3BA6956}" srcOrd="0" destOrd="0" presId="urn:microsoft.com/office/officeart/2005/8/layout/orgChart1"/>
    <dgm:cxn modelId="{C327BB62-67C9-43A2-9C7A-71054498775E}" type="presParOf" srcId="{0C323465-C1B6-44CE-8B63-2646E622345A}" destId="{19D9BA0E-3B89-460C-9FBC-0442146354B0}" srcOrd="1" destOrd="0" presId="urn:microsoft.com/office/officeart/2005/8/layout/orgChart1"/>
    <dgm:cxn modelId="{C60B9ECE-5F30-4C41-AE4A-BA52ED3FF026}" type="presParOf" srcId="{4DEE5D7F-C1D9-496A-AA0D-88BADD1169BE}" destId="{F09D76AC-402F-4249-BA2F-C53C8AB39E79}" srcOrd="1" destOrd="0" presId="urn:microsoft.com/office/officeart/2005/8/layout/orgChart1"/>
    <dgm:cxn modelId="{9C82FEA2-56CB-4508-B047-28F492563999}" type="presParOf" srcId="{4DEE5D7F-C1D9-496A-AA0D-88BADD1169BE}" destId="{C990D1B7-D492-43C8-8415-9C225E0B51C9}" srcOrd="2" destOrd="0" presId="urn:microsoft.com/office/officeart/2005/8/layout/orgChart1"/>
    <dgm:cxn modelId="{96B23123-AE7D-41B7-A076-30B2FEA8C1E5}" type="presParOf" srcId="{9513616A-7880-467B-9FDA-B0B5CA11991E}" destId="{339EB203-DA7F-42F7-9B08-E1F8EA389056}" srcOrd="2" destOrd="0" presId="urn:microsoft.com/office/officeart/2005/8/layout/orgChart1"/>
    <dgm:cxn modelId="{832C1713-46B1-4BC0-BC75-A8DA940A7019}" type="presParOf" srcId="{9513616A-7880-467B-9FDA-B0B5CA11991E}" destId="{D66EE2E3-7925-49CB-B4EA-6C8B42163B5B}" srcOrd="3" destOrd="0" presId="urn:microsoft.com/office/officeart/2005/8/layout/orgChart1"/>
    <dgm:cxn modelId="{1152D2CD-8F9B-47B4-A4CC-23A34C51FBC5}" type="presParOf" srcId="{D66EE2E3-7925-49CB-B4EA-6C8B42163B5B}" destId="{37E50F22-7F4F-4280-9169-0BD1BDD56284}" srcOrd="0" destOrd="0" presId="urn:microsoft.com/office/officeart/2005/8/layout/orgChart1"/>
    <dgm:cxn modelId="{94441213-AC51-43A1-A3D1-DDE56202F7A8}" type="presParOf" srcId="{37E50F22-7F4F-4280-9169-0BD1BDD56284}" destId="{40451F65-7318-4D8F-8747-E4261DD243C6}" srcOrd="0" destOrd="0" presId="urn:microsoft.com/office/officeart/2005/8/layout/orgChart1"/>
    <dgm:cxn modelId="{E7DDC7F9-EF1F-4CC6-8231-93DBF1FE7327}" type="presParOf" srcId="{37E50F22-7F4F-4280-9169-0BD1BDD56284}" destId="{2E785DCF-29D3-4250-8D4E-01D84E0A1A86}" srcOrd="1" destOrd="0" presId="urn:microsoft.com/office/officeart/2005/8/layout/orgChart1"/>
    <dgm:cxn modelId="{A9DF81E3-10E5-4ACC-8DAA-2FC68975CDDB}" type="presParOf" srcId="{D66EE2E3-7925-49CB-B4EA-6C8B42163B5B}" destId="{07BC4EF9-9059-478F-BDBF-919BA812CA6E}" srcOrd="1" destOrd="0" presId="urn:microsoft.com/office/officeart/2005/8/layout/orgChart1"/>
    <dgm:cxn modelId="{E0A272E3-0E45-4BF5-B0E4-D8A24656D252}" type="presParOf" srcId="{D66EE2E3-7925-49CB-B4EA-6C8B42163B5B}" destId="{349D4922-E370-42EC-AD94-DBAC4842B7D7}" srcOrd="2" destOrd="0" presId="urn:microsoft.com/office/officeart/2005/8/layout/orgChart1"/>
    <dgm:cxn modelId="{8663FA14-7F35-4DF9-9A38-AAF27C276320}" type="presParOf" srcId="{96DF86B6-A206-4B19-A73D-1166D579F22B}" destId="{EE8A53E4-ECB9-4E6A-B773-DE6C2640E921}" srcOrd="2" destOrd="0" presId="urn:microsoft.com/office/officeart/2005/8/layout/orgChart1"/>
    <dgm:cxn modelId="{B9268C95-27AE-42D7-8614-2B9CB8F48647}" type="presParOf" srcId="{6C3EDB9F-0E19-48BE-9929-AFD132D3668A}" destId="{0C30E34C-104A-46EE-A8BB-4B03E4DD986B}"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EB203-DA7F-42F7-9B08-E1F8EA389056}">
      <dsp:nvSpPr>
        <dsp:cNvPr id="0" name=""/>
        <dsp:cNvSpPr/>
      </dsp:nvSpPr>
      <dsp:spPr>
        <a:xfrm>
          <a:off x="3663252" y="1580428"/>
          <a:ext cx="109043" cy="477716"/>
        </a:xfrm>
        <a:custGeom>
          <a:avLst/>
          <a:gdLst/>
          <a:ahLst/>
          <a:cxnLst/>
          <a:rect l="0" t="0" r="0" b="0"/>
          <a:pathLst>
            <a:path>
              <a:moveTo>
                <a:pt x="0" y="0"/>
              </a:moveTo>
              <a:lnTo>
                <a:pt x="0" y="477716"/>
              </a:lnTo>
              <a:lnTo>
                <a:pt x="109043" y="477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6EC70A-A345-4AB5-A080-B5CF8207EC59}">
      <dsp:nvSpPr>
        <dsp:cNvPr id="0" name=""/>
        <dsp:cNvSpPr/>
      </dsp:nvSpPr>
      <dsp:spPr>
        <a:xfrm>
          <a:off x="3554208" y="1580428"/>
          <a:ext cx="109043" cy="477716"/>
        </a:xfrm>
        <a:custGeom>
          <a:avLst/>
          <a:gdLst/>
          <a:ahLst/>
          <a:cxnLst/>
          <a:rect l="0" t="0" r="0" b="0"/>
          <a:pathLst>
            <a:path>
              <a:moveTo>
                <a:pt x="109043" y="0"/>
              </a:moveTo>
              <a:lnTo>
                <a:pt x="109043" y="477716"/>
              </a:lnTo>
              <a:lnTo>
                <a:pt x="0" y="477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7EDFE-3093-46CB-9DE0-AE8093626DCF}">
      <dsp:nvSpPr>
        <dsp:cNvPr id="0" name=""/>
        <dsp:cNvSpPr/>
      </dsp:nvSpPr>
      <dsp:spPr>
        <a:xfrm>
          <a:off x="2406649" y="843083"/>
          <a:ext cx="1256602" cy="218087"/>
        </a:xfrm>
        <a:custGeom>
          <a:avLst/>
          <a:gdLst/>
          <a:ahLst/>
          <a:cxnLst/>
          <a:rect l="0" t="0" r="0" b="0"/>
          <a:pathLst>
            <a:path>
              <a:moveTo>
                <a:pt x="0" y="0"/>
              </a:moveTo>
              <a:lnTo>
                <a:pt x="0" y="109043"/>
              </a:lnTo>
              <a:lnTo>
                <a:pt x="1256602" y="109043"/>
              </a:lnTo>
              <a:lnTo>
                <a:pt x="1256602" y="2180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4B147-3247-4C9B-8D66-A65570196C41}">
      <dsp:nvSpPr>
        <dsp:cNvPr id="0" name=""/>
        <dsp:cNvSpPr/>
      </dsp:nvSpPr>
      <dsp:spPr>
        <a:xfrm>
          <a:off x="1150047" y="1580428"/>
          <a:ext cx="109043" cy="477716"/>
        </a:xfrm>
        <a:custGeom>
          <a:avLst/>
          <a:gdLst/>
          <a:ahLst/>
          <a:cxnLst/>
          <a:rect l="0" t="0" r="0" b="0"/>
          <a:pathLst>
            <a:path>
              <a:moveTo>
                <a:pt x="0" y="0"/>
              </a:moveTo>
              <a:lnTo>
                <a:pt x="0" y="477716"/>
              </a:lnTo>
              <a:lnTo>
                <a:pt x="109043" y="477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4E9F2A-A588-4835-ABC3-9F3B5FCBBB4E}">
      <dsp:nvSpPr>
        <dsp:cNvPr id="0" name=""/>
        <dsp:cNvSpPr/>
      </dsp:nvSpPr>
      <dsp:spPr>
        <a:xfrm>
          <a:off x="1041003" y="1580428"/>
          <a:ext cx="109043" cy="477716"/>
        </a:xfrm>
        <a:custGeom>
          <a:avLst/>
          <a:gdLst/>
          <a:ahLst/>
          <a:cxnLst/>
          <a:rect l="0" t="0" r="0" b="0"/>
          <a:pathLst>
            <a:path>
              <a:moveTo>
                <a:pt x="109043" y="0"/>
              </a:moveTo>
              <a:lnTo>
                <a:pt x="109043" y="477716"/>
              </a:lnTo>
              <a:lnTo>
                <a:pt x="0" y="477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20C4E-21A3-4701-979C-266212CF83AC}">
      <dsp:nvSpPr>
        <dsp:cNvPr id="0" name=""/>
        <dsp:cNvSpPr/>
      </dsp:nvSpPr>
      <dsp:spPr>
        <a:xfrm>
          <a:off x="1150047" y="843083"/>
          <a:ext cx="1256602" cy="218087"/>
        </a:xfrm>
        <a:custGeom>
          <a:avLst/>
          <a:gdLst/>
          <a:ahLst/>
          <a:cxnLst/>
          <a:rect l="0" t="0" r="0" b="0"/>
          <a:pathLst>
            <a:path>
              <a:moveTo>
                <a:pt x="1256602" y="0"/>
              </a:moveTo>
              <a:lnTo>
                <a:pt x="1256602" y="109043"/>
              </a:lnTo>
              <a:lnTo>
                <a:pt x="0" y="109043"/>
              </a:lnTo>
              <a:lnTo>
                <a:pt x="0" y="2180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F34014-65E9-4DDF-8B49-245189D3832A}">
      <dsp:nvSpPr>
        <dsp:cNvPr id="0" name=""/>
        <dsp:cNvSpPr/>
      </dsp:nvSpPr>
      <dsp:spPr>
        <a:xfrm>
          <a:off x="1887392" y="323826"/>
          <a:ext cx="1038514" cy="5192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dirty="0"/>
            <a:t>BEPS 2</a:t>
          </a:r>
        </a:p>
      </dsp:txBody>
      <dsp:txXfrm>
        <a:off x="1887392" y="323826"/>
        <a:ext cx="1038514" cy="519257"/>
      </dsp:txXfrm>
    </dsp:sp>
    <dsp:sp modelId="{AB2AE4C9-4090-4403-A489-94AA8FAC5200}">
      <dsp:nvSpPr>
        <dsp:cNvPr id="0" name=""/>
        <dsp:cNvSpPr/>
      </dsp:nvSpPr>
      <dsp:spPr>
        <a:xfrm>
          <a:off x="630790" y="1061171"/>
          <a:ext cx="1038514" cy="5192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dirty="0"/>
            <a:t>Filar I</a:t>
          </a:r>
        </a:p>
      </dsp:txBody>
      <dsp:txXfrm>
        <a:off x="630790" y="1061171"/>
        <a:ext cx="1038514" cy="519257"/>
      </dsp:txXfrm>
    </dsp:sp>
    <dsp:sp modelId="{58C83220-BB57-4038-A06A-CA41E401BE2C}">
      <dsp:nvSpPr>
        <dsp:cNvPr id="0" name=""/>
        <dsp:cNvSpPr/>
      </dsp:nvSpPr>
      <dsp:spPr>
        <a:xfrm>
          <a:off x="2489" y="1798516"/>
          <a:ext cx="1038514" cy="5192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dirty="0"/>
            <a:t>Kwota A</a:t>
          </a:r>
        </a:p>
      </dsp:txBody>
      <dsp:txXfrm>
        <a:off x="2489" y="1798516"/>
        <a:ext cx="1038514" cy="519257"/>
      </dsp:txXfrm>
    </dsp:sp>
    <dsp:sp modelId="{82BC4626-ACF2-436F-914E-715807C74E65}">
      <dsp:nvSpPr>
        <dsp:cNvPr id="0" name=""/>
        <dsp:cNvSpPr/>
      </dsp:nvSpPr>
      <dsp:spPr>
        <a:xfrm>
          <a:off x="1259091" y="1798516"/>
          <a:ext cx="1038514" cy="5192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dirty="0"/>
            <a:t>Kwota B</a:t>
          </a:r>
        </a:p>
      </dsp:txBody>
      <dsp:txXfrm>
        <a:off x="1259091" y="1798516"/>
        <a:ext cx="1038514" cy="519257"/>
      </dsp:txXfrm>
    </dsp:sp>
    <dsp:sp modelId="{96E716FC-48E1-4ABD-AF97-079AF59A46E7}">
      <dsp:nvSpPr>
        <dsp:cNvPr id="0" name=""/>
        <dsp:cNvSpPr/>
      </dsp:nvSpPr>
      <dsp:spPr>
        <a:xfrm>
          <a:off x="3143995" y="1061171"/>
          <a:ext cx="1038514" cy="5192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dirty="0"/>
            <a:t>Filar II</a:t>
          </a:r>
        </a:p>
      </dsp:txBody>
      <dsp:txXfrm>
        <a:off x="3143995" y="1061171"/>
        <a:ext cx="1038514" cy="519257"/>
      </dsp:txXfrm>
    </dsp:sp>
    <dsp:sp modelId="{597815CA-630F-4C83-9994-225BB3BA6956}">
      <dsp:nvSpPr>
        <dsp:cNvPr id="0" name=""/>
        <dsp:cNvSpPr/>
      </dsp:nvSpPr>
      <dsp:spPr>
        <a:xfrm>
          <a:off x="2515693" y="1798516"/>
          <a:ext cx="1038514" cy="519257"/>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dirty="0"/>
            <a:t>Globalny Minimalny Podatek</a:t>
          </a:r>
        </a:p>
      </dsp:txBody>
      <dsp:txXfrm>
        <a:off x="2515693" y="1798516"/>
        <a:ext cx="1038514" cy="519257"/>
      </dsp:txXfrm>
    </dsp:sp>
    <dsp:sp modelId="{40451F65-7318-4D8F-8747-E4261DD243C6}">
      <dsp:nvSpPr>
        <dsp:cNvPr id="0" name=""/>
        <dsp:cNvSpPr/>
      </dsp:nvSpPr>
      <dsp:spPr>
        <a:xfrm>
          <a:off x="3772296" y="1798516"/>
          <a:ext cx="1038514" cy="519257"/>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dirty="0"/>
            <a:t>STTR</a:t>
          </a:r>
        </a:p>
      </dsp:txBody>
      <dsp:txXfrm>
        <a:off x="3772296" y="1798516"/>
        <a:ext cx="1038514" cy="5192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96C31-84C6-4706-8D5E-8D1679531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140595</Words>
  <Characters>843575</Characters>
  <Application>Microsoft Office Word</Application>
  <DocSecurity>4</DocSecurity>
  <Lines>7029</Lines>
  <Paragraphs>1964</Paragraphs>
  <ScaleCrop>false</ScaleCrop>
  <HeadingPairs>
    <vt:vector size="2" baseType="variant">
      <vt:variant>
        <vt:lpstr>Tytuł</vt:lpstr>
      </vt:variant>
      <vt:variant>
        <vt:i4>1</vt:i4>
      </vt:variant>
    </vt:vector>
  </HeadingPairs>
  <TitlesOfParts>
    <vt:vector size="1" baseType="lpstr">
      <vt:lpstr/>
    </vt:vector>
  </TitlesOfParts>
  <Company>Ministerstwo Finansów</Company>
  <LinksUpToDate>false</LinksUpToDate>
  <CharactersWithSpaces>982206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Sidor Joanna 2</dc:creator>
  <cp:keywords/>
  <dc:description/>
  <cp:lastModifiedBy>Binkowska Joanna</cp:lastModifiedBy>
  <cp:revision>2</cp:revision>
  <dcterms:created xsi:type="dcterms:W3CDTF">2024-09-24T16:12:00Z</dcterms:created>
  <dcterms:modified xsi:type="dcterms:W3CDTF">2024-09-24T16:12:00Z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InformacjePrzeznaczoneWylacznieDoUzytkuWewnetrznego</vt:lpwstr>
  </property>
  <property fmtid="{D5CDD505-2E9C-101B-9397-08002B2CF9AE}" pid="3" name="MFClassifiedBy">
    <vt:lpwstr>UxC4dwLulzfINJ8nQH+xvX5LNGipWa4BRSZhPgxsCvlWSKd6UDE3oRYtZXoeIpSPjJ0qQYRlsJyZOy0f5S03Fg==</vt:lpwstr>
  </property>
  <property fmtid="{D5CDD505-2E9C-101B-9397-08002B2CF9AE}" pid="4" name="MFClassificationDate">
    <vt:lpwstr>2023-05-19T14:58:16.5203928+02:00</vt:lpwstr>
  </property>
  <property fmtid="{D5CDD505-2E9C-101B-9397-08002B2CF9AE}" pid="5" name="MFClassifiedBySID">
    <vt:lpwstr>UxC4dwLulzfINJ8nQH+xvX5LNGipWa4BRSZhPgxsCvm42mrIC/DSDv0ggS+FjUN/2v1BBotkLlY5aAiEhoi6ubyjF4YwCkvmEqX++xOvxoXTebtDc8L9Dp3p8B7qi3y1</vt:lpwstr>
  </property>
  <property fmtid="{D5CDD505-2E9C-101B-9397-08002B2CF9AE}" pid="6" name="MFGRNItemId">
    <vt:lpwstr>GRN-c9c5dd03-4166-461d-863a-7e7f3242eaf3</vt:lpwstr>
  </property>
  <property fmtid="{D5CDD505-2E9C-101B-9397-08002B2CF9AE}" pid="7" name="MFHash">
    <vt:lpwstr>ieU3c8rKPCOv4h5wOc+cdQ9bWhtg62MmU8EUvpvT1Xc=</vt:lpwstr>
  </property>
  <property fmtid="{D5CDD505-2E9C-101B-9397-08002B2CF9AE}" pid="8" name="MFVisualMarkingsSettings">
    <vt:lpwstr>HeaderAlignment=1;FooterAlignment=1</vt:lpwstr>
  </property>
  <property fmtid="{D5CDD505-2E9C-101B-9397-08002B2CF9AE}" pid="9" name="DLPManualFileClassification">
    <vt:lpwstr>{5fdfc941-3fcf-4a5b-87be-4848800d39d0}</vt:lpwstr>
  </property>
  <property fmtid="{D5CDD505-2E9C-101B-9397-08002B2CF9AE}" pid="10" name="MFRefresh">
    <vt:lpwstr>False</vt:lpwstr>
  </property>
</Properties>
</file>