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C5DA9" w14:textId="77777777" w:rsidR="00EB4763" w:rsidRPr="005C50DF" w:rsidRDefault="00EB4763" w:rsidP="00EB4763">
      <w:pPr>
        <w:pStyle w:val="OZNPROJEKTUwskazaniedatylubwersjiprojektu"/>
      </w:pPr>
      <w:r w:rsidRPr="005C50DF">
        <w:t>Projekt</w:t>
      </w:r>
    </w:p>
    <w:p w14:paraId="3A8211CF" w14:textId="77777777" w:rsidR="00EB4763" w:rsidRPr="005C50DF" w:rsidRDefault="00EB4763" w:rsidP="00EB4763">
      <w:pPr>
        <w:pStyle w:val="OZNRODZAKTUtznustawalubrozporzdzenieiorganwydajcy"/>
      </w:pPr>
      <w:r w:rsidRPr="005C50DF">
        <w:t xml:space="preserve">Ustawa </w:t>
      </w:r>
    </w:p>
    <w:p w14:paraId="2AF1FDE1" w14:textId="77777777" w:rsidR="00EB4763" w:rsidRPr="005C50DF" w:rsidRDefault="00EB4763" w:rsidP="00EB4763">
      <w:pPr>
        <w:pStyle w:val="DATAAKTUdatauchwalenialubwydaniaaktu"/>
      </w:pPr>
      <w:r w:rsidRPr="005C50DF">
        <w:t xml:space="preserve">z dnia </w:t>
      </w:r>
      <w:r>
        <w:t>...</w:t>
      </w:r>
    </w:p>
    <w:p w14:paraId="20A565C0" w14:textId="77777777" w:rsidR="00EB4763" w:rsidRPr="00255CF8" w:rsidRDefault="00EB4763" w:rsidP="00EB4763">
      <w:pPr>
        <w:pStyle w:val="TYTUAKTUprzedmiotregulacjiustawylubrozporzdzenia"/>
      </w:pPr>
      <w:r w:rsidRPr="005C50DF">
        <w:t>o zmianie ustawy</w:t>
      </w:r>
      <w:r>
        <w:t xml:space="preserve"> –</w:t>
      </w:r>
      <w:r w:rsidRPr="005C50DF">
        <w:t xml:space="preserve"> </w:t>
      </w:r>
      <w:r>
        <w:t>K</w:t>
      </w:r>
      <w:r w:rsidRPr="005C50DF">
        <w:t>odeks postępowania cywilnego oraz niektórych innych ustaw</w:t>
      </w:r>
      <w:r>
        <w:rPr>
          <w:rStyle w:val="Odwoanieprzypisudolnego"/>
        </w:rPr>
        <w:footnoteReference w:id="1"/>
      </w:r>
      <w:r>
        <w:rPr>
          <w:rStyle w:val="IGindeksgrny"/>
        </w:rPr>
        <w:t>)</w:t>
      </w:r>
    </w:p>
    <w:p w14:paraId="043D3565" w14:textId="77777777" w:rsidR="00EB4763" w:rsidRPr="005C50DF" w:rsidRDefault="00EB4763" w:rsidP="00EB4763">
      <w:pPr>
        <w:pStyle w:val="ARTartustawynprozporzdzenia"/>
      </w:pPr>
      <w:r w:rsidRPr="005C50DF">
        <w:rPr>
          <w:rStyle w:val="Ppogrubienie"/>
        </w:rPr>
        <w:t>Art. 1.</w:t>
      </w:r>
      <w:r w:rsidRPr="005C50DF">
        <w:t xml:space="preserve"> W ustawie z dnia 17 listopada 1964 r. – Kodeks postępowania cywilnego (Dz. U. z 2023 r. poz. 1550</w:t>
      </w:r>
      <w:r>
        <w:t xml:space="preserve"> z późn. zm.</w:t>
      </w:r>
      <w:r>
        <w:rPr>
          <w:rStyle w:val="Odwoanieprzypisudolnego"/>
        </w:rPr>
        <w:footnoteReference w:id="2"/>
      </w:r>
      <w:r>
        <w:rPr>
          <w:rStyle w:val="IGindeksgrny"/>
        </w:rPr>
        <w:t>)</w:t>
      </w:r>
      <w:r w:rsidRPr="005C50DF">
        <w:t xml:space="preserve">) w części pierwszej w księdze pierwszej w tytule VII dodaje się dział </w:t>
      </w:r>
      <w:r>
        <w:t>IX</w:t>
      </w:r>
      <w:r w:rsidRPr="005C50DF">
        <w:t xml:space="preserve"> w brzmieniu: </w:t>
      </w:r>
    </w:p>
    <w:p w14:paraId="3B361179" w14:textId="77777777" w:rsidR="00EB4763" w:rsidRPr="005C50DF" w:rsidRDefault="00EB4763" w:rsidP="00EB4763">
      <w:pPr>
        <w:pStyle w:val="ZTYTDZPRZEDMzmprzedmtytuulubdziauartykuempunktem"/>
      </w:pPr>
      <w:r w:rsidRPr="005C50DF">
        <w:t xml:space="preserve">„Dział </w:t>
      </w:r>
      <w:r>
        <w:t>IX</w:t>
      </w:r>
    </w:p>
    <w:p w14:paraId="24492820" w14:textId="77777777" w:rsidR="00EB4763" w:rsidRPr="005C50DF" w:rsidRDefault="00EB4763" w:rsidP="00EB4763">
      <w:pPr>
        <w:pStyle w:val="ZTYTDZPRZEDMzmprzedmtytuulubdziauartykuempunktem"/>
        <w:rPr>
          <w:rStyle w:val="Ppogrubienie"/>
        </w:rPr>
      </w:pPr>
      <w:r w:rsidRPr="005C50DF">
        <w:rPr>
          <w:rStyle w:val="Ppogrubienie"/>
        </w:rPr>
        <w:t>Postępowanie w sprawie ochrony dóbr osobistych przeciwko osobom o nieznanej tożsamości</w:t>
      </w:r>
    </w:p>
    <w:p w14:paraId="25950CF2" w14:textId="77777777" w:rsidR="00EB4763" w:rsidRPr="005C50DF" w:rsidRDefault="00EB4763" w:rsidP="00EB4763">
      <w:pPr>
        <w:pStyle w:val="ZARTzmartartykuempunktem"/>
      </w:pPr>
      <w:r w:rsidRPr="005C50DF">
        <w:t>Art. 505</w:t>
      </w:r>
      <w:r w:rsidRPr="005C50DF">
        <w:rPr>
          <w:rStyle w:val="IGindeksgrny"/>
        </w:rPr>
        <w:t>40</w:t>
      </w:r>
      <w:r w:rsidRPr="005C50DF">
        <w:t>. § 1. Przepisy niniejszego działu stosuje się w sprawach o ochronę dóbr osobistych, jeżeli do ich naruszenia doszło drogą elektroniczną, a powód nie zna imienia i nazwiska albo nazwy lub adresu miejsca zamieszkania albo siedziby pozwanego, który naruszył jego dobra osobiste.</w:t>
      </w:r>
    </w:p>
    <w:p w14:paraId="621E7807" w14:textId="77777777" w:rsidR="00EB4763" w:rsidRPr="005C50DF" w:rsidRDefault="00EB4763" w:rsidP="00EB4763">
      <w:pPr>
        <w:pStyle w:val="ZARTzmartartykuempunktem"/>
      </w:pPr>
      <w:r w:rsidRPr="005C50DF">
        <w:t xml:space="preserve">§ 2. Sprawy, o których mowa w § 1, rozpoznaje sąd okręgowy właściwy dla miejsca zamieszkania lub siedziby powoda na terytorium Rzeczypospolitej Polskiej. </w:t>
      </w:r>
    </w:p>
    <w:p w14:paraId="45EF95C2" w14:textId="77777777" w:rsidR="00EB4763" w:rsidRPr="005C50DF" w:rsidRDefault="00EB4763" w:rsidP="00EB4763">
      <w:pPr>
        <w:pStyle w:val="ZARTzmartartykuempunktem"/>
      </w:pPr>
      <w:r w:rsidRPr="005C50DF">
        <w:t>§ 3. W sprawach, o których mowa w § 1, w pozwie zamiast imienia i nazwiska albo nazwy lub adresu pozwanego powód wskazuj</w:t>
      </w:r>
      <w:r>
        <w:t>e</w:t>
      </w:r>
      <w:r w:rsidRPr="005C50DF">
        <w:t xml:space="preserve"> jako pozwanego „osoba nieznana”.</w:t>
      </w:r>
    </w:p>
    <w:p w14:paraId="13511EED" w14:textId="77777777" w:rsidR="00EB4763" w:rsidRPr="005C50DF" w:rsidRDefault="00EB4763" w:rsidP="00EB4763">
      <w:pPr>
        <w:pStyle w:val="ZARTzmartartykuempunktem"/>
      </w:pPr>
      <w:r w:rsidRPr="005C50DF">
        <w:t>Art. 505</w:t>
      </w:r>
      <w:r w:rsidRPr="005C50DF">
        <w:rPr>
          <w:rStyle w:val="IGindeksgrny"/>
        </w:rPr>
        <w:t>41</w:t>
      </w:r>
      <w:r w:rsidRPr="005C50DF">
        <w:t>. § 1. Pozew, o którym mowa w art. 505</w:t>
      </w:r>
      <w:r w:rsidRPr="005C50DF">
        <w:rPr>
          <w:rStyle w:val="IGindeksgrny"/>
        </w:rPr>
        <w:t>40</w:t>
      </w:r>
      <w:r w:rsidRPr="005C50DF">
        <w:t xml:space="preserve"> § 3, powinien zawierać: </w:t>
      </w:r>
    </w:p>
    <w:p w14:paraId="2A1C2FB5" w14:textId="77777777" w:rsidR="00EB4763" w:rsidRDefault="00EB4763" w:rsidP="00EB4763">
      <w:pPr>
        <w:pStyle w:val="ZPKTzmpktartykuempunktem"/>
      </w:pPr>
      <w:r w:rsidRPr="005C50DF">
        <w:t>1)</w:t>
      </w:r>
      <w:r>
        <w:tab/>
      </w:r>
      <w:r w:rsidRPr="005C50DF">
        <w:t>wniosek o zobowiązanie osoby fizycznej, osoby prawnej albo jednostki organizacyjn</w:t>
      </w:r>
      <w:r>
        <w:t>ej</w:t>
      </w:r>
      <w:r w:rsidRPr="005C50DF">
        <w:t xml:space="preserve"> nieposiadającej osobowości prawnej, która prowadząc, chociażby ubocznie, działalność zarobkową, zawodową lub pożytku publicznego świadczy usługi drogą elektroniczną, w tym również oferując usługi pośrednictwa internetowego w rozumieniu </w:t>
      </w:r>
      <w:r>
        <w:t>r</w:t>
      </w:r>
      <w:r w:rsidRPr="005C50DF">
        <w:t>ozporządzenia Parlamentu Europejskiego i Rady (UE) 2019/1150 z dnia 20 czerwca 2019 r. w sprawie propagowania sprawiedliwości i przejrzystości dla użytkowników biznesowych korzystających z usług pośrednictwa internetowego (Dz.</w:t>
      </w:r>
      <w:r>
        <w:t xml:space="preserve"> </w:t>
      </w:r>
      <w:r w:rsidRPr="005C50DF">
        <w:t>U</w:t>
      </w:r>
      <w:r>
        <w:t>rz</w:t>
      </w:r>
      <w:r w:rsidRPr="005C50DF">
        <w:t>.</w:t>
      </w:r>
      <w:r>
        <w:t xml:space="preserve"> </w:t>
      </w:r>
      <w:r w:rsidRPr="005C50DF">
        <w:t>UE.</w:t>
      </w:r>
      <w:r>
        <w:t xml:space="preserve"> </w:t>
      </w:r>
      <w:r w:rsidRPr="005C50DF">
        <w:t>L.</w:t>
      </w:r>
      <w:r>
        <w:t xml:space="preserve"> </w:t>
      </w:r>
      <w:r w:rsidRPr="00D81EB2">
        <w:t>186 z 11.07.2019, str. 57</w:t>
      </w:r>
      <w:r w:rsidRPr="005C50DF">
        <w:t>) (usługodawca), za pośrednictwem</w:t>
      </w:r>
      <w:r>
        <w:t xml:space="preserve">, </w:t>
      </w:r>
      <w:r w:rsidRPr="005C50DF">
        <w:t xml:space="preserve">którego doszło do naruszenia dóbr osobistych powoda, do </w:t>
      </w:r>
      <w:r w:rsidRPr="005C50DF">
        <w:lastRenderedPageBreak/>
        <w:t xml:space="preserve">wskazania danych </w:t>
      </w:r>
      <w:r>
        <w:t xml:space="preserve">pozwanego, </w:t>
      </w:r>
      <w:r w:rsidRPr="005C50DF">
        <w:t xml:space="preserve">określonych w art. 18 ust. 1 i 5 ustawy z dnia 18 lipca 2002 r. o świadczeniu usług drogą elektroniczną </w:t>
      </w:r>
      <w:r w:rsidRPr="009D771E">
        <w:t>(Dz. U. z 2020 r. poz. 344 oraz z 2024 r. poz. 1222</w:t>
      </w:r>
      <w:r>
        <w:t xml:space="preserve"> i ...</w:t>
      </w:r>
      <w:r w:rsidRPr="009D771E">
        <w:t xml:space="preserve">) </w:t>
      </w:r>
      <w:r w:rsidRPr="005C50DF">
        <w:t>w oparciu o podane przez powoda informacje;</w:t>
      </w:r>
    </w:p>
    <w:p w14:paraId="165F02C8" w14:textId="77777777" w:rsidR="00EB4763" w:rsidRPr="005C50DF" w:rsidRDefault="00EB4763" w:rsidP="00EB4763">
      <w:pPr>
        <w:pStyle w:val="ZPKTzmpktartykuempunktem"/>
      </w:pPr>
      <w:r>
        <w:t xml:space="preserve">2) </w:t>
      </w:r>
      <w:r>
        <w:tab/>
      </w:r>
      <w:r w:rsidRPr="002D7BC7">
        <w:t>oznaczenie usługodawcy, za pośrednictwem którego drogą elektroniczną doszło do naruszenia dóbr osobistych powoda</w:t>
      </w:r>
      <w:r>
        <w:t>;</w:t>
      </w:r>
    </w:p>
    <w:p w14:paraId="55FA65D5" w14:textId="77777777" w:rsidR="00EB4763" w:rsidRPr="005C50DF" w:rsidRDefault="00EB4763" w:rsidP="00EB4763">
      <w:pPr>
        <w:pStyle w:val="ZPKTzmpktartykuempunktem"/>
      </w:pPr>
      <w:r>
        <w:t>3</w:t>
      </w:r>
      <w:r w:rsidRPr="005C50DF">
        <w:t>)</w:t>
      </w:r>
      <w:r>
        <w:tab/>
      </w:r>
      <w:r w:rsidRPr="005C50DF">
        <w:t>wskazanie w jaki sposób doszło do naruszenia dóbr osobistych powoda, w szczególności poprzez podanie publikacji naruszającej dobra osobiste powoda wraz z godziną i datą publikacji;</w:t>
      </w:r>
    </w:p>
    <w:p w14:paraId="0221788B" w14:textId="77777777" w:rsidR="00EB4763" w:rsidRPr="005C50DF" w:rsidRDefault="00EB4763" w:rsidP="00EB4763">
      <w:pPr>
        <w:pStyle w:val="ZPKTzmpktartykuempunktem"/>
      </w:pPr>
      <w:r>
        <w:t>4</w:t>
      </w:r>
      <w:r w:rsidRPr="005C50DF">
        <w:t>)</w:t>
      </w:r>
      <w:r>
        <w:tab/>
      </w:r>
      <w:r w:rsidRPr="005C50DF">
        <w:t>nazwę profilu lub login pozwanego</w:t>
      </w:r>
      <w:r>
        <w:t>,</w:t>
      </w:r>
      <w:r w:rsidRPr="005C50DF">
        <w:t xml:space="preserve"> o ile wskazanie takich danych jest możliwe</w:t>
      </w:r>
      <w:r>
        <w:t>.</w:t>
      </w:r>
    </w:p>
    <w:p w14:paraId="591A3001" w14:textId="77777777" w:rsidR="00EB4763" w:rsidRPr="005C50DF" w:rsidRDefault="00EB4763" w:rsidP="00EB4763">
      <w:pPr>
        <w:pStyle w:val="ZUSTzmustartykuempunktem"/>
      </w:pPr>
      <w:r w:rsidRPr="005C50DF">
        <w:t xml:space="preserve">§ 2. Do pozwu należy dołączyć czytelne odwzorowanie publikacji, o której mowa w § 1 pkt </w:t>
      </w:r>
      <w:r>
        <w:t>3</w:t>
      </w:r>
      <w:r w:rsidRPr="005C50DF">
        <w:t>, sporządzone w formie zapisu elektronicznego umieszczonego na nośniku danych oraz w formie wydruku przedstawiającego skopiowany obraz ekranu z widocznym adresem URL, o ile wskazanie adresu URL jest możliwe</w:t>
      </w:r>
      <w:r>
        <w:t>,</w:t>
      </w:r>
      <w:r w:rsidRPr="005C50DF">
        <w:t xml:space="preserve"> oraz datą i godziną publikacji.</w:t>
      </w:r>
      <w:bookmarkStart w:id="0" w:name="_Hlk168933114"/>
    </w:p>
    <w:p w14:paraId="5CB08974" w14:textId="77777777" w:rsidR="00EB4763" w:rsidRDefault="00EB4763" w:rsidP="00EB4763">
      <w:pPr>
        <w:pStyle w:val="ZARTzmartartykuempunktem"/>
      </w:pPr>
      <w:r w:rsidRPr="005C50DF">
        <w:t>Art. 505</w:t>
      </w:r>
      <w:r w:rsidRPr="005C50DF">
        <w:rPr>
          <w:rStyle w:val="IGindeksgrny"/>
        </w:rPr>
        <w:t>42</w:t>
      </w:r>
      <w:r>
        <w:rPr>
          <w:rStyle w:val="IGindeksgrny"/>
        </w:rPr>
        <w:t>.</w:t>
      </w:r>
      <w:r w:rsidRPr="005C50DF">
        <w:t xml:space="preserve"> </w:t>
      </w:r>
      <w:bookmarkEnd w:id="0"/>
      <w:r w:rsidRPr="005C50DF">
        <w:t>§ 1. Sąd w terminie 7 dni od dnia złożenia pozwu, występuje</w:t>
      </w:r>
      <w:r>
        <w:t xml:space="preserve"> z żądaniem </w:t>
      </w:r>
      <w:r w:rsidRPr="005C50DF">
        <w:t>do</w:t>
      </w:r>
      <w:r>
        <w:t xml:space="preserve"> </w:t>
      </w:r>
      <w:r w:rsidRPr="005C50DF">
        <w:t>usługodawcy</w:t>
      </w:r>
      <w:r>
        <w:t>,</w:t>
      </w:r>
      <w:r w:rsidRPr="005C50DF">
        <w:t xml:space="preserve"> za pośrednictwem którego doszło do naruszenia d</w:t>
      </w:r>
      <w:r>
        <w:t>óbr</w:t>
      </w:r>
      <w:r w:rsidRPr="005C50DF">
        <w:t xml:space="preserve"> osobistych powoda</w:t>
      </w:r>
      <w:r>
        <w:t>,</w:t>
      </w:r>
      <w:r w:rsidRPr="005C50DF">
        <w:t xml:space="preserve"> o nadesłanie </w:t>
      </w:r>
      <w:r>
        <w:t xml:space="preserve">wszystkich posiadanych </w:t>
      </w:r>
      <w:r w:rsidRPr="005C50DF">
        <w:t>danych</w:t>
      </w:r>
      <w:r>
        <w:t xml:space="preserve"> pozwanego</w:t>
      </w:r>
      <w:r w:rsidRPr="005C50DF">
        <w:t>, o których mowa w art. 505</w:t>
      </w:r>
      <w:r w:rsidRPr="005C50DF">
        <w:rPr>
          <w:rStyle w:val="IGindeksgrny"/>
        </w:rPr>
        <w:t>41</w:t>
      </w:r>
      <w:r w:rsidRPr="005C50DF">
        <w:t xml:space="preserve"> § 1 pkt 1</w:t>
      </w:r>
      <w:r>
        <w:t xml:space="preserve"> oraz </w:t>
      </w:r>
      <w:bookmarkStart w:id="1" w:name="_Hlk175835239"/>
      <w:r>
        <w:t>o wskazanie danych przedsiębiorcy telekomunikacyjnego w rozumieniu art. 2 pkt. 40 ustawy z dnia 12 lipca 2024 r. - Prawo komunikacji elektronicznej, będącego dostawcą systemu teleinformatycznego dla pozwanego wraz z pouczeniem o nałożeniu kary grzywny w przypadku nieprzekazania wszystkich posiadanych danych w wyznaczonym terminie.</w:t>
      </w:r>
    </w:p>
    <w:bookmarkEnd w:id="1"/>
    <w:p w14:paraId="7B9617FB" w14:textId="77777777" w:rsidR="00EB4763" w:rsidRPr="005C50DF" w:rsidRDefault="00EB4763" w:rsidP="00EB4763">
      <w:pPr>
        <w:pStyle w:val="ZARTzmartartykuempunktem"/>
      </w:pPr>
      <w:r w:rsidRPr="00884EDE">
        <w:t>§ 2.</w:t>
      </w:r>
      <w:r>
        <w:t xml:space="preserve"> Usługodawca przekazuje wszystkie posiadane przez siebie dane, o których mowa w </w:t>
      </w:r>
      <w:r w:rsidRPr="00884EDE">
        <w:t>§ 1</w:t>
      </w:r>
      <w:r>
        <w:t xml:space="preserve">, w terminie 7 dni od dnia doręczenia żądania sądu. </w:t>
      </w:r>
    </w:p>
    <w:p w14:paraId="4822E727" w14:textId="77777777" w:rsidR="00EB4763" w:rsidRDefault="00EB4763" w:rsidP="00EB4763">
      <w:pPr>
        <w:pStyle w:val="ZARTzmartartykuempunktem"/>
      </w:pPr>
      <w:r w:rsidRPr="00884EDE">
        <w:t>§</w:t>
      </w:r>
      <w:r>
        <w:t> </w:t>
      </w:r>
      <w:r w:rsidRPr="00884EDE">
        <w:t>3</w:t>
      </w:r>
      <w:r>
        <w:t xml:space="preserve">. Sąd w terminie 7 dni od dnia uzyskania danych przedsiębiorcy </w:t>
      </w:r>
      <w:r w:rsidRPr="005C50DF">
        <w:t>telekomunikacyjnego</w:t>
      </w:r>
      <w:r>
        <w:t xml:space="preserve">, o których mowa w </w:t>
      </w:r>
      <w:r w:rsidRPr="001B43DE">
        <w:t>§</w:t>
      </w:r>
      <w:r>
        <w:t xml:space="preserve"> 1, występuje do przedsiębiorcy telekomunikacyjnego</w:t>
      </w:r>
      <w:r w:rsidRPr="005C50DF">
        <w:t xml:space="preserve"> </w:t>
      </w:r>
      <w:r>
        <w:t>będącego dostawcą systemu teleinformatycznego dla pozwanego z żądaniem</w:t>
      </w:r>
      <w:r w:rsidRPr="005C50DF">
        <w:t xml:space="preserve"> nadesłani</w:t>
      </w:r>
      <w:r>
        <w:t>a wszystkich posiadanych</w:t>
      </w:r>
      <w:r w:rsidRPr="005C50DF">
        <w:t xml:space="preserve"> danych</w:t>
      </w:r>
      <w:r>
        <w:t xml:space="preserve"> pozwanego</w:t>
      </w:r>
      <w:r w:rsidRPr="005C50DF">
        <w:t xml:space="preserve">, o których mowa w art. </w:t>
      </w:r>
      <w:r>
        <w:t xml:space="preserve">386 ust. 1 pkt. 1 ustawy z dnia 12 lipca 2024 r. – Prawo komunikacji elektronicznej </w:t>
      </w:r>
      <w:r w:rsidRPr="005C50DF">
        <w:t xml:space="preserve">wraz z pouczeniem o nałożeniu kary grzywny w przypadku nieprzekazania </w:t>
      </w:r>
      <w:r>
        <w:t xml:space="preserve">wszystkich posiadanych </w:t>
      </w:r>
      <w:r w:rsidRPr="005C50DF">
        <w:t>danych</w:t>
      </w:r>
      <w:r>
        <w:t xml:space="preserve"> pozwanego</w:t>
      </w:r>
      <w:r w:rsidRPr="005C50DF">
        <w:t xml:space="preserve"> w wyznaczonym terminie.</w:t>
      </w:r>
    </w:p>
    <w:p w14:paraId="7E0A9D74" w14:textId="77777777" w:rsidR="00EB4763" w:rsidRPr="005C50DF" w:rsidRDefault="00EB4763" w:rsidP="00EB4763">
      <w:pPr>
        <w:pStyle w:val="ZARTzmartartykuempunktem"/>
      </w:pPr>
      <w:r w:rsidRPr="00884EDE">
        <w:t>§ 4</w:t>
      </w:r>
      <w:r>
        <w:t xml:space="preserve">. Przedsiębiorca telekomunikacyjny przekazuje wszystkie posiadane przez siebie dane, o których mowa w </w:t>
      </w:r>
      <w:r w:rsidRPr="00884EDE">
        <w:t xml:space="preserve">§ </w:t>
      </w:r>
      <w:r>
        <w:t xml:space="preserve">3 w terminie 7 dni od dnia otrzymania żądania. </w:t>
      </w:r>
    </w:p>
    <w:p w14:paraId="7847669F" w14:textId="77777777" w:rsidR="00EB4763" w:rsidRPr="005C50DF" w:rsidRDefault="00EB4763" w:rsidP="00EB4763">
      <w:pPr>
        <w:pStyle w:val="ZARTzmartartykuempunktem"/>
        <w:ind w:firstLine="483"/>
      </w:pPr>
      <w:r w:rsidRPr="005C50DF">
        <w:lastRenderedPageBreak/>
        <w:t xml:space="preserve">§ </w:t>
      </w:r>
      <w:r>
        <w:t>5</w:t>
      </w:r>
      <w:r w:rsidRPr="005C50DF">
        <w:t>.</w:t>
      </w:r>
      <w:bookmarkStart w:id="2" w:name="_Hlk168921313"/>
      <w:r w:rsidRPr="005C50DF">
        <w:t xml:space="preserve"> </w:t>
      </w:r>
      <w:bookmarkEnd w:id="2"/>
      <w:r w:rsidRPr="005C50DF">
        <w:t xml:space="preserve">Jeżeli usługodawca lub przedsiębiorca telekomunikacyjny o którym mowa w § </w:t>
      </w:r>
      <w:r>
        <w:t xml:space="preserve">3 </w:t>
      </w:r>
      <w:r w:rsidRPr="005C50DF">
        <w:t xml:space="preserve">bez usprawiedliwionych powodów nie nadesłał </w:t>
      </w:r>
      <w:r>
        <w:t xml:space="preserve">wszystkich posiadanych </w:t>
      </w:r>
      <w:r w:rsidRPr="005C50DF">
        <w:t xml:space="preserve">danych, sąd nakłada karę grzywny w wysokości od </w:t>
      </w:r>
      <w:r>
        <w:t>stu tysięcy</w:t>
      </w:r>
      <w:r w:rsidRPr="005C50DF">
        <w:t xml:space="preserve"> do </w:t>
      </w:r>
      <w:r>
        <w:t xml:space="preserve">miliona </w:t>
      </w:r>
      <w:r w:rsidRPr="005C50DF">
        <w:t xml:space="preserve">złotych. </w:t>
      </w:r>
    </w:p>
    <w:p w14:paraId="6638C8C9" w14:textId="77777777" w:rsidR="00EB4763" w:rsidRPr="005C50DF" w:rsidRDefault="00EB4763" w:rsidP="00EB4763">
      <w:pPr>
        <w:pStyle w:val="ZARTzmartartykuempunktem"/>
      </w:pPr>
      <w:r w:rsidRPr="005C50DF">
        <w:t>Art. 505</w:t>
      </w:r>
      <w:r w:rsidRPr="005C50DF">
        <w:rPr>
          <w:rStyle w:val="IGindeksgrny"/>
        </w:rPr>
        <w:t>43</w:t>
      </w:r>
      <w:r w:rsidRPr="005C50DF">
        <w:t>. Sąd rozpoznaje sprawę według przepisów ogólnych po uzyskaniu danych pozwanego.</w:t>
      </w:r>
    </w:p>
    <w:p w14:paraId="2B7BBDEF" w14:textId="77777777" w:rsidR="00EB4763" w:rsidRPr="005C50DF" w:rsidRDefault="00EB4763" w:rsidP="00EB4763">
      <w:pPr>
        <w:pStyle w:val="ZARTzmartartykuempunktem"/>
      </w:pPr>
      <w:r w:rsidRPr="005C50DF">
        <w:t>Art. 505</w:t>
      </w:r>
      <w:r w:rsidRPr="005C50DF">
        <w:rPr>
          <w:rStyle w:val="IGindeksgrny"/>
        </w:rPr>
        <w:t>44</w:t>
      </w:r>
      <w:r>
        <w:rPr>
          <w:rStyle w:val="IGindeksgrny"/>
        </w:rPr>
        <w:t>.</w:t>
      </w:r>
      <w:r w:rsidRPr="005C50DF">
        <w:t xml:space="preserve"> Sąd umarza postępowanie, jeżeli usługodawca bądź przedsiębiorca telekomunikacyjny w rozumieniu art. 2 pkt </w:t>
      </w:r>
      <w:r>
        <w:t>40</w:t>
      </w:r>
      <w:r w:rsidRPr="005C50DF">
        <w:t xml:space="preserve"> ustawy z dnia </w:t>
      </w:r>
      <w:r w:rsidRPr="00D457A4">
        <w:t>12 lipca 2024 r. – Prawo komunikacji elektronicznej</w:t>
      </w:r>
      <w:r w:rsidRPr="005C50DF">
        <w:t>, nie wskazał wystarczających danych identyfikujących pozwanego bądź ich pozyskanie byłoby niemożliwe. Sąd z urzędu sporządza uzasadnienie postanowienia. Postanowienie z uzasadnieniem sąd z urzędu doręcza tylko powodowi</w:t>
      </w:r>
      <w:r>
        <w:t>,</w:t>
      </w:r>
      <w:r w:rsidRPr="005C50DF">
        <w:t xml:space="preserve"> z pouczeniem o sposobie i terminie wniesienia środka zaskarżenia.”</w:t>
      </w:r>
      <w:r>
        <w:t>.</w:t>
      </w:r>
    </w:p>
    <w:p w14:paraId="4532376A" w14:textId="77777777" w:rsidR="00EB4763" w:rsidRPr="005C50DF" w:rsidRDefault="00EB4763" w:rsidP="00EB4763">
      <w:pPr>
        <w:pStyle w:val="ARTartustawynprozporzdzenia"/>
      </w:pPr>
      <w:r w:rsidRPr="005C50DF">
        <w:rPr>
          <w:rStyle w:val="Ppogrubienie"/>
        </w:rPr>
        <w:t>Art. 2.</w:t>
      </w:r>
      <w:r w:rsidRPr="005C50DF">
        <w:t xml:space="preserve"> W ustawie z dnia 18 lipca 2002 r. o świadczeniu usług drogą elektroniczną (Dz. U. z 2020 r. poz. 344</w:t>
      </w:r>
      <w:r>
        <w:t xml:space="preserve"> oraz z 2024 r. poz. 1222</w:t>
      </w:r>
      <w:r w:rsidRPr="005C50DF">
        <w:t>) wprowadza się następujące zmiany:</w:t>
      </w:r>
    </w:p>
    <w:p w14:paraId="3284C330" w14:textId="77777777" w:rsidR="00EB4763" w:rsidRDefault="00EB4763" w:rsidP="00EB4763">
      <w:pPr>
        <w:pStyle w:val="PKTpunkt"/>
      </w:pPr>
      <w:r w:rsidRPr="005C50DF">
        <w:t>1)</w:t>
      </w:r>
      <w:r>
        <w:tab/>
      </w:r>
      <w:r w:rsidRPr="005C50DF">
        <w:t>w art. 18</w:t>
      </w:r>
      <w:r>
        <w:t>:</w:t>
      </w:r>
    </w:p>
    <w:p w14:paraId="2A40CE92" w14:textId="77777777" w:rsidR="00EB4763" w:rsidRDefault="00EB4763" w:rsidP="00EB4763">
      <w:pPr>
        <w:pStyle w:val="LITlitera"/>
      </w:pPr>
      <w:r>
        <w:t>a)</w:t>
      </w:r>
      <w:r>
        <w:tab/>
        <w:t xml:space="preserve">w </w:t>
      </w:r>
      <w:r w:rsidRPr="005C50DF">
        <w:t>ust. 1</w:t>
      </w:r>
      <w:r>
        <w:t>:</w:t>
      </w:r>
    </w:p>
    <w:p w14:paraId="1341917B" w14:textId="77777777" w:rsidR="00EB4763" w:rsidRPr="005C50DF" w:rsidRDefault="00EB4763" w:rsidP="00EB4763">
      <w:pPr>
        <w:pStyle w:val="TIRtiret"/>
      </w:pPr>
      <w:r>
        <w:t>–</w:t>
      </w:r>
      <w:r>
        <w:tab/>
      </w:r>
      <w:r w:rsidRPr="00423F00">
        <w:t>wprowadzenie</w:t>
      </w:r>
      <w:r>
        <w:t xml:space="preserve"> do wyliczenia</w:t>
      </w:r>
      <w:r w:rsidRPr="005C50DF">
        <w:t xml:space="preserve"> otrzymuje brzmienie: </w:t>
      </w:r>
    </w:p>
    <w:p w14:paraId="5576D860" w14:textId="77777777" w:rsidR="00EB4763" w:rsidRPr="005C50DF" w:rsidRDefault="00EB4763" w:rsidP="00EB4763">
      <w:pPr>
        <w:pStyle w:val="ZTIRFRAGMzmnpwprdowyliczeniatiret"/>
      </w:pPr>
      <w:r>
        <w:t>"</w:t>
      </w:r>
      <w:r w:rsidRPr="005C50DF">
        <w:t>Osoba fizyczna, osoba prawna albo jednostk</w:t>
      </w:r>
      <w:r>
        <w:t>a</w:t>
      </w:r>
      <w:r w:rsidRPr="005C50DF">
        <w:t xml:space="preserve"> organizacyjn</w:t>
      </w:r>
      <w:r>
        <w:t>a</w:t>
      </w:r>
      <w:r w:rsidRPr="005C50DF">
        <w:t xml:space="preserve"> nieposiadając</w:t>
      </w:r>
      <w:r>
        <w:t>a</w:t>
      </w:r>
      <w:r w:rsidRPr="005C50DF">
        <w:t xml:space="preserve"> osobowości prawnej, która prowadząc, chociażby ubocznie, działalność zarobkową, zawodową lub pożytku publicznego świadczy usługi drogą elektroniczną, w tym również oferując usługi pośrednictwa internetowego w rozumieniu </w:t>
      </w:r>
      <w:r>
        <w:t>r</w:t>
      </w:r>
      <w:r w:rsidRPr="005C50DF">
        <w:t>ozporządzenia Parlamentu Europejskiego i Rady (UE) 2019/1150 z dnia 20 czerwca 2019 r. w sprawie propagowania sprawiedliwości i przejrzystości dla użytkowników biznesowych korzystających z usług pośrednictwa internetowego (Dz.</w:t>
      </w:r>
      <w:r>
        <w:t xml:space="preserve"> </w:t>
      </w:r>
      <w:r w:rsidRPr="005C50DF">
        <w:t>U</w:t>
      </w:r>
      <w:r>
        <w:t>rz</w:t>
      </w:r>
      <w:r w:rsidRPr="005C50DF">
        <w:t>.</w:t>
      </w:r>
      <w:r>
        <w:t xml:space="preserve"> </w:t>
      </w:r>
      <w:r w:rsidRPr="005C50DF">
        <w:t>UE</w:t>
      </w:r>
      <w:r>
        <w:t xml:space="preserve"> </w:t>
      </w:r>
      <w:r w:rsidRPr="005C50DF">
        <w:t>L.</w:t>
      </w:r>
      <w:r>
        <w:t xml:space="preserve"> </w:t>
      </w:r>
      <w:r w:rsidRPr="00423F00">
        <w:t>186 z 11.07.2019, str. 57</w:t>
      </w:r>
      <w:r w:rsidRPr="005C50DF">
        <w:t>) (usługodawca) może przetwarzać następujące dane osobowe usługobiorcy niezbędne do nawiązania, ukształtowania treści, zmiany lub rozwiązania stosunku prawnego między nimi:</w:t>
      </w:r>
      <w:r>
        <w:t>";</w:t>
      </w:r>
    </w:p>
    <w:p w14:paraId="4B57B9A9" w14:textId="77777777" w:rsidR="00EB4763" w:rsidRDefault="00EB4763" w:rsidP="00EB4763">
      <w:pPr>
        <w:pStyle w:val="TIRtiret"/>
      </w:pPr>
      <w:r>
        <w:t>–</w:t>
      </w:r>
      <w:r>
        <w:tab/>
        <w:t>w pkt. 6 kropkę zastępuje się średnikiem i dodaje się pkt 7 w brzmieniu:</w:t>
      </w:r>
    </w:p>
    <w:p w14:paraId="7F7A599D" w14:textId="77777777" w:rsidR="00EB4763" w:rsidRPr="005C50DF" w:rsidRDefault="00EB4763" w:rsidP="00EB4763">
      <w:pPr>
        <w:pStyle w:val="ZTIRPKTzmpkttiret"/>
      </w:pPr>
      <w:r>
        <w:t>"</w:t>
      </w:r>
      <w:r w:rsidRPr="005C50DF">
        <w:t>7)</w:t>
      </w:r>
      <w:r>
        <w:tab/>
      </w:r>
      <w:r w:rsidRPr="005C50DF">
        <w:t>numer telefonu podany przez usługobiorcę.”;</w:t>
      </w:r>
    </w:p>
    <w:p w14:paraId="13CCD858" w14:textId="77777777" w:rsidR="00EB4763" w:rsidRPr="005C50DF" w:rsidRDefault="00EB4763" w:rsidP="00EB4763">
      <w:pPr>
        <w:pStyle w:val="LITlitera"/>
      </w:pPr>
      <w:r>
        <w:t>b)</w:t>
      </w:r>
      <w:r>
        <w:tab/>
      </w:r>
      <w:r w:rsidRPr="005C50DF">
        <w:t>ust. 5 otrzymuje brzmienie:</w:t>
      </w:r>
    </w:p>
    <w:p w14:paraId="349468A2" w14:textId="77777777" w:rsidR="00EB4763" w:rsidRPr="005C50DF" w:rsidRDefault="00EB4763" w:rsidP="00EB4763">
      <w:pPr>
        <w:pStyle w:val="ZLITUSTzmustliter"/>
      </w:pPr>
      <w:r w:rsidRPr="005C50DF">
        <w:t xml:space="preserve">„5. Usługodawca ma prawo przetwarzać następujące dane charakteryzujące sposób korzystania przez usługobiorcę z usługi świadczonej drogą elektroniczną (dane eksploatacyjne): </w:t>
      </w:r>
    </w:p>
    <w:p w14:paraId="3C7EDF53" w14:textId="77777777" w:rsidR="00EB4763" w:rsidRPr="005C50DF" w:rsidRDefault="00EB4763" w:rsidP="00EB4763">
      <w:pPr>
        <w:pStyle w:val="ZLITwPKTzmlitwpktartykuempunktem"/>
      </w:pPr>
      <w:r w:rsidRPr="005C50DF">
        <w:lastRenderedPageBreak/>
        <w:t>1)</w:t>
      </w:r>
      <w:r w:rsidRPr="005C50DF">
        <w:tab/>
        <w:t>oznaczenia identyfikujące usługobiorcę nadawane na podstawie danych, o których mowa w ust. 1;</w:t>
      </w:r>
    </w:p>
    <w:p w14:paraId="6A4A5023" w14:textId="77777777" w:rsidR="00EB4763" w:rsidRPr="005C50DF" w:rsidRDefault="00EB4763" w:rsidP="00EB4763">
      <w:pPr>
        <w:pStyle w:val="ZLITwPKTzmlitwpktartykuempunktem"/>
      </w:pPr>
      <w:r w:rsidRPr="005C50DF">
        <w:t>2)</w:t>
      </w:r>
      <w:r w:rsidRPr="005C50DF">
        <w:tab/>
        <w:t xml:space="preserve">oznaczenia jednoznacznie identyfikujące zakończenie sieci telekomunikacyjnej lub zespół współpracujących ze sobą urządzeń informatycznych i oprogramowania, zapewniający przetwarzanie i przechowywanie, a także wysyłanie i odbieranie danych poprzez sieci telekomunikacyjne za pomocą właściwego dla danego rodzaju sieci telekomunikacyjnego urządzenia końcowego w rozumieniu ustawy z dnia </w:t>
      </w:r>
      <w:bookmarkStart w:id="3" w:name="_Hlk175685678"/>
      <w:r w:rsidRPr="00D81EB2">
        <w:t>12 lipca 2024 r. – Prawo komunikacji elektronicznej</w:t>
      </w:r>
      <w:r w:rsidRPr="00D81EB2" w:rsidDel="00D81EB2">
        <w:t xml:space="preserve"> </w:t>
      </w:r>
      <w:r w:rsidRPr="005C50DF">
        <w:t>(Dz.</w:t>
      </w:r>
      <w:r>
        <w:t xml:space="preserve"> </w:t>
      </w:r>
      <w:r w:rsidRPr="005C50DF">
        <w:t>U.</w:t>
      </w:r>
      <w:r>
        <w:t xml:space="preserve"> poz. 1221 i ...</w:t>
      </w:r>
      <w:r w:rsidRPr="005C50DF">
        <w:t>)</w:t>
      </w:r>
      <w:bookmarkEnd w:id="3"/>
      <w:r w:rsidRPr="005C50DF">
        <w:t>, z którego korzystał usługobiorca</w:t>
      </w:r>
      <w:r>
        <w:t>,</w:t>
      </w:r>
      <w:r w:rsidRPr="005C50DF">
        <w:t xml:space="preserve"> w tym adres używany w sieci wykorzystującej protokół komunikacyjny IP (adres IP) wraz z portem źródłowym; </w:t>
      </w:r>
    </w:p>
    <w:p w14:paraId="3FF13884" w14:textId="77777777" w:rsidR="00EB4763" w:rsidRPr="005C50DF" w:rsidRDefault="00EB4763" w:rsidP="00EB4763">
      <w:pPr>
        <w:pStyle w:val="ZLITwPKTzmlitwpktartykuempunktem"/>
      </w:pPr>
      <w:r w:rsidRPr="005C50DF">
        <w:t>3)</w:t>
      </w:r>
      <w:r w:rsidRPr="005C50DF">
        <w:tab/>
        <w:t>datę, godzinę, minutę i sekundę każdorazowego rozpoczęcia</w:t>
      </w:r>
      <w:r>
        <w:t xml:space="preserve"> i zakończenia</w:t>
      </w:r>
      <w:r w:rsidRPr="005C50DF">
        <w:t xml:space="preserve"> połączenia z systemem teleinformatycznym, do którego mają dostęp użytkownicy, w formacie (dd.mm.rr hh:mm:ss), zgodnie z czasem urzędowym w rozumieniu ustawy z dnia 10 grudnia 2003 r. o czasie urzędowym na obszarze Rzeczypospolitej Polskiej (Dz. U. z 2004 r. poz. 144), węzeł wyjścia tzw. „exit node” lub inne w zależności od zastosowanych technologii;</w:t>
      </w:r>
    </w:p>
    <w:p w14:paraId="2411E5B7" w14:textId="77777777" w:rsidR="00EB4763" w:rsidRPr="005C50DF" w:rsidRDefault="00EB4763" w:rsidP="00EB4763">
      <w:pPr>
        <w:pStyle w:val="ZLITwPKTzmlitwpktartykuempunktem"/>
      </w:pPr>
      <w:r w:rsidRPr="005C50DF">
        <w:t>4)</w:t>
      </w:r>
      <w:r w:rsidRPr="005C50DF">
        <w:tab/>
        <w:t xml:space="preserve">informacje o rozpoczęciu, zakończeniu oraz zakresie każdorazowego korzystania z usługi świadczonej drogą elektroniczną; </w:t>
      </w:r>
    </w:p>
    <w:p w14:paraId="5DA65513" w14:textId="77777777" w:rsidR="00EB4763" w:rsidRPr="005C50DF" w:rsidRDefault="00EB4763" w:rsidP="00EB4763">
      <w:pPr>
        <w:pStyle w:val="ZLITwPKTzmlitwpktartykuempunktem"/>
      </w:pPr>
      <w:r w:rsidRPr="005C50DF">
        <w:t>5)</w:t>
      </w:r>
      <w:r w:rsidRPr="005C50DF">
        <w:tab/>
        <w:t xml:space="preserve">informacje o skorzystaniu przez usługobiorcę z usług świadczonych drogą elektroniczną.”; </w:t>
      </w:r>
    </w:p>
    <w:p w14:paraId="511AB190" w14:textId="77777777" w:rsidR="00EB4763" w:rsidRPr="005C50DF" w:rsidRDefault="00EB4763" w:rsidP="00EB4763">
      <w:r w:rsidRPr="005C50DF">
        <w:t>3)</w:t>
      </w:r>
      <w:r w:rsidRPr="005C50DF">
        <w:tab/>
        <w:t>po art. 18 dodaje się art. 18a i</w:t>
      </w:r>
      <w:r>
        <w:t xml:space="preserve"> art.</w:t>
      </w:r>
      <w:r w:rsidRPr="005C50DF">
        <w:t xml:space="preserve"> 18b w brzmieniu: </w:t>
      </w:r>
    </w:p>
    <w:p w14:paraId="081ABE3A" w14:textId="77777777" w:rsidR="00EB4763" w:rsidRPr="005C50DF" w:rsidRDefault="00EB4763" w:rsidP="00EB4763">
      <w:pPr>
        <w:pStyle w:val="ZARTzmartartykuempunktem"/>
      </w:pPr>
      <w:r w:rsidRPr="005C50DF">
        <w:t>„Art. 18a. 1. Usługodawca jest obowiązany na własny koszt przechowywać dane, o których mowa w art. 18 ust. 1 i 5, generowane lub przetwarzane w trakcie prowadzonej przez niego działalności na terytorium Rzeczypospolitej Polskiej, przez okres 6 miesięcy, licząc od dnia wprowadzenia ich do systemu teleinformatycznego, do którego mają dostęp użytkownicy.</w:t>
      </w:r>
    </w:p>
    <w:p w14:paraId="0500738B" w14:textId="77777777" w:rsidR="00EB4763" w:rsidRPr="005C50DF" w:rsidRDefault="00EB4763" w:rsidP="00EB4763">
      <w:pPr>
        <w:pStyle w:val="ZARTzmartartykuempunktem"/>
      </w:pPr>
      <w:r w:rsidRPr="005C50DF">
        <w:t xml:space="preserve">2. W przypadku danych osób dopuszczających się naruszenia dóbr osobistych użytkowników, usługodawca przechowuje i zabezpiecza dane, o których mowa w art. 18 ust. 1 i 5 oraz dane, o których mowa w art. </w:t>
      </w:r>
      <w:r w:rsidRPr="00D81EB2">
        <w:t>386 ust. 1</w:t>
      </w:r>
      <w:r>
        <w:t xml:space="preserve"> pkt 1</w:t>
      </w:r>
      <w:r w:rsidRPr="00D81EB2">
        <w:t xml:space="preserve"> ustawy z dnia 12 lipca 2024 r. – Prawo komunikacji elektronicznej</w:t>
      </w:r>
      <w:r w:rsidRPr="005C50DF">
        <w:t>,</w:t>
      </w:r>
      <w:r>
        <w:t xml:space="preserve"> </w:t>
      </w:r>
      <w:r w:rsidRPr="005C50DF">
        <w:t xml:space="preserve">przez okres nie krótszy niż 12 miesięcy od dnia ich wprowadzenia do systemu teleinformatycznego, do którego mają dostęp użytkownicy. </w:t>
      </w:r>
    </w:p>
    <w:p w14:paraId="7D5D3F02" w14:textId="77777777" w:rsidR="00EB4763" w:rsidRPr="005C50DF" w:rsidRDefault="00EB4763" w:rsidP="00EB4763">
      <w:pPr>
        <w:pStyle w:val="ZARTzmartartykuempunktem"/>
      </w:pPr>
      <w:r w:rsidRPr="005C50DF">
        <w:lastRenderedPageBreak/>
        <w:t xml:space="preserve">Art. 18b. Usługodawca jest obowiązany udostępnić dane, o których mowa w art. 18 ust. 1 i 5 oraz dane, o których mowa w art. </w:t>
      </w:r>
      <w:r w:rsidRPr="00D81EB2">
        <w:t>386 ust. 1 pkt 1 ustawy z dnia 12 lipca 2024 r. – Prawo komunikacji elektronicznej</w:t>
      </w:r>
      <w:r>
        <w:t>,</w:t>
      </w:r>
      <w:r w:rsidRPr="00D81EB2" w:rsidDel="00D81EB2">
        <w:t xml:space="preserve"> </w:t>
      </w:r>
      <w:r w:rsidRPr="005C50DF">
        <w:t xml:space="preserve">na każdorazowe wezwanie sądu albo organu administracji publicznej na podstawie </w:t>
      </w:r>
      <w:r>
        <w:t>r</w:t>
      </w:r>
      <w:r w:rsidRPr="005C50DF">
        <w:t>ozporządzeni</w:t>
      </w:r>
      <w:r>
        <w:t>a</w:t>
      </w:r>
      <w:r w:rsidRPr="005C50DF">
        <w:t xml:space="preserve"> Parlamentu Europejskiego i Rady (UE) 2022/2065 z dnia 19 października 2022 r. w sprawie jednolitego rynku usług cyfrowych oraz zmiany dyrektywy 2000/31/WE (akt o usługach cyfrowych) (</w:t>
      </w:r>
      <w:r w:rsidRPr="0030229B">
        <w:t>Dz. Urz. UE L 277 z 27.10.2022, str. 1, z późn. zm</w:t>
      </w:r>
      <w:r w:rsidRPr="00974F95">
        <w:rPr>
          <w:rStyle w:val="IGindeksgrny"/>
        </w:rPr>
        <w:footnoteReference w:id="3"/>
      </w:r>
      <w:r w:rsidRPr="0030435E">
        <w:rPr>
          <w:rStyle w:val="IGindeksgrny"/>
        </w:rPr>
        <w:t>)</w:t>
      </w:r>
      <w:r w:rsidRPr="0030435E">
        <w:t>).”;</w:t>
      </w:r>
    </w:p>
    <w:p w14:paraId="7D4733AC" w14:textId="77777777" w:rsidR="00EB4763" w:rsidRPr="005C50DF" w:rsidRDefault="00EB4763" w:rsidP="00EB4763">
      <w:pPr>
        <w:pStyle w:val="ARTartustawynprozporzdzenia"/>
      </w:pPr>
      <w:r w:rsidRPr="005C50DF">
        <w:rPr>
          <w:rStyle w:val="Ppogrubienie"/>
        </w:rPr>
        <w:t>Art. 3</w:t>
      </w:r>
      <w:r w:rsidRPr="005C50DF">
        <w:t xml:space="preserve">. W ustawie </w:t>
      </w:r>
      <w:bookmarkStart w:id="4" w:name="_Hlk175562778"/>
      <w:r w:rsidRPr="005C50DF">
        <w:t xml:space="preserve">z dnia </w:t>
      </w:r>
      <w:r w:rsidRPr="00D81EB2">
        <w:t>12 lipca 2024 r. – Prawo komunikacji elektronicznej</w:t>
      </w:r>
      <w:r w:rsidRPr="00D81EB2" w:rsidDel="00D81EB2">
        <w:t xml:space="preserve"> </w:t>
      </w:r>
      <w:bookmarkEnd w:id="4"/>
      <w:r w:rsidRPr="005C50DF">
        <w:t xml:space="preserve">(Dz. U. </w:t>
      </w:r>
      <w:r w:rsidRPr="00D81EB2">
        <w:t>poz. 1221</w:t>
      </w:r>
      <w:r w:rsidRPr="005C50DF">
        <w:t xml:space="preserve">) wprowadza się następujące zmiany: </w:t>
      </w:r>
    </w:p>
    <w:p w14:paraId="2F9648BE" w14:textId="77777777" w:rsidR="00EB4763" w:rsidRPr="005C50DF" w:rsidRDefault="00EB4763" w:rsidP="00EB4763">
      <w:r w:rsidRPr="005C50DF">
        <w:t xml:space="preserve">1) w art. </w:t>
      </w:r>
      <w:r>
        <w:t>386 w</w:t>
      </w:r>
      <w:r w:rsidRPr="005C50DF">
        <w:t xml:space="preserve"> ust. 1</w:t>
      </w:r>
      <w:r>
        <w:t xml:space="preserve"> pkt 1</w:t>
      </w:r>
      <w:r w:rsidRPr="005C50DF">
        <w:t xml:space="preserve"> otrzymuje brzmienie:</w:t>
      </w:r>
    </w:p>
    <w:p w14:paraId="33717339" w14:textId="77777777" w:rsidR="00EB4763" w:rsidRPr="005C50DF" w:rsidRDefault="00EB4763" w:rsidP="00EB4763">
      <w:pPr>
        <w:pStyle w:val="ZPKTzmpktartykuempunktem"/>
      </w:pPr>
      <w:r w:rsidRPr="005C50DF">
        <w:t>„1) dane dotyczące podmiotu korzystającego z publicznie dostępnej usługi telekomunikacyjnej lub żądającego świadczenia takiej usługi (użytkownika),</w:t>
      </w:r>
      <w:r w:rsidRPr="005C50DF" w:rsidDel="00757B52">
        <w:t xml:space="preserve"> </w:t>
      </w:r>
      <w:r w:rsidRPr="005C50DF">
        <w:t xml:space="preserve">w tym w szczególności: nazwisko i imiona użytkownika, numer ewidencyjny PESEL lub – gdy ten numer nie został nadany – numer paszportu, dowodu osobistego lub innego dokumentu potwierdzającego tożsamość, adres zameldowania na pobyt stały, adres do korespondencji, jeżeli jest inny niż adres </w:t>
      </w:r>
      <w:r>
        <w:t>zameldowania na pobyt stały</w:t>
      </w:r>
      <w:r w:rsidRPr="005C50DF">
        <w:t>, dane służące do weryfikacji podpisu elektronicznego, adresy elektroniczne, numer telefonu</w:t>
      </w:r>
      <w:r>
        <w:t>;</w:t>
      </w:r>
      <w:r w:rsidRPr="005C50DF">
        <w:t>”</w:t>
      </w:r>
      <w:r>
        <w:t>;</w:t>
      </w:r>
    </w:p>
    <w:p w14:paraId="225E0F26" w14:textId="77777777" w:rsidR="00EB4763" w:rsidRPr="005C50DF" w:rsidRDefault="00EB4763" w:rsidP="00EB4763">
      <w:r w:rsidRPr="005C50DF">
        <w:t xml:space="preserve">2) po </w:t>
      </w:r>
      <w:r>
        <w:t xml:space="preserve">art. 405 </w:t>
      </w:r>
      <w:r w:rsidRPr="005C50DF">
        <w:t xml:space="preserve">dodaje się </w:t>
      </w:r>
      <w:r>
        <w:t xml:space="preserve">art. 405a </w:t>
      </w:r>
      <w:r w:rsidRPr="005C50DF">
        <w:t>w brzmieniu:</w:t>
      </w:r>
    </w:p>
    <w:p w14:paraId="0D77FC8D" w14:textId="77777777" w:rsidR="00EB4763" w:rsidRPr="005C50DF" w:rsidRDefault="00EB4763" w:rsidP="00EB4763">
      <w:pPr>
        <w:pStyle w:val="ZARTzmartartykuempunktem"/>
      </w:pPr>
      <w:r w:rsidRPr="005C50DF">
        <w:t xml:space="preserve">„Art. </w:t>
      </w:r>
      <w:r>
        <w:t>405a</w:t>
      </w:r>
      <w:r w:rsidRPr="005C50DF">
        <w:t xml:space="preserve">. Przedsiębiorca telekomunikacyjny udostępnia na żądanie </w:t>
      </w:r>
      <w:r>
        <w:t>s</w:t>
      </w:r>
      <w:r w:rsidRPr="005C50DF">
        <w:t>ądu albo organu administracji publicznej</w:t>
      </w:r>
      <w:r>
        <w:t>,</w:t>
      </w:r>
      <w:r w:rsidRPr="005C50DF">
        <w:t xml:space="preserve"> na podstawie </w:t>
      </w:r>
      <w:r>
        <w:t>r</w:t>
      </w:r>
      <w:r w:rsidRPr="005C50DF">
        <w:t>ozporządzenie Parlamentu Europejskiego i Rady (UE) 2022/2065 z dnia 19 października 2022 r. w sprawie jednolitego rynku usług cyfrowych oraz zmiany dyrektywy 2000/31/WE (akt o usługach cyfrowych), dane osobowe użytkownika</w:t>
      </w:r>
      <w:r>
        <w:t>,</w:t>
      </w:r>
      <w:r w:rsidRPr="005C50DF">
        <w:t xml:space="preserve"> o których mowa w art. </w:t>
      </w:r>
      <w:r>
        <w:t xml:space="preserve">386 </w:t>
      </w:r>
      <w:r w:rsidRPr="005C50DF">
        <w:t>ust. 1 pkt 1.”.</w:t>
      </w:r>
    </w:p>
    <w:p w14:paraId="4F20553C" w14:textId="77777777" w:rsidR="00EB4763" w:rsidRPr="005C50DF" w:rsidRDefault="00EB4763" w:rsidP="00EB4763">
      <w:pPr>
        <w:pStyle w:val="ARTartustawynprozporzdzenia"/>
      </w:pPr>
      <w:r w:rsidRPr="005C50DF">
        <w:rPr>
          <w:rStyle w:val="Ppogrubienie"/>
        </w:rPr>
        <w:t>Art. 4</w:t>
      </w:r>
      <w:r w:rsidRPr="005C50DF">
        <w:t xml:space="preserve">. Ustawa wchodzi w życie po upływie 12 miesięcy od dnia ogłoszenia. </w:t>
      </w:r>
    </w:p>
    <w:p w14:paraId="2672B87D" w14:textId="77777777" w:rsidR="00EB4763" w:rsidRPr="005C50DF" w:rsidRDefault="00EB4763" w:rsidP="00EB4763"/>
    <w:p w14:paraId="1A1C5726" w14:textId="77777777" w:rsidR="00EB4763" w:rsidRPr="00737F6A" w:rsidRDefault="00EB4763" w:rsidP="00EB4763"/>
    <w:p w14:paraId="71ED7D01" w14:textId="77777777" w:rsidR="00F740E1" w:rsidRDefault="00F740E1"/>
    <w:sectPr w:rsidR="00F740E1" w:rsidSect="00EB4763"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AFBBE" w14:textId="77777777" w:rsidR="005B2620" w:rsidRDefault="005B2620" w:rsidP="00EB4763">
      <w:pPr>
        <w:spacing w:line="240" w:lineRule="auto"/>
      </w:pPr>
      <w:r>
        <w:separator/>
      </w:r>
    </w:p>
  </w:endnote>
  <w:endnote w:type="continuationSeparator" w:id="0">
    <w:p w14:paraId="06E201D7" w14:textId="77777777" w:rsidR="005B2620" w:rsidRDefault="005B2620" w:rsidP="00EB4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1DB94" w14:textId="77777777" w:rsidR="005B2620" w:rsidRDefault="005B2620" w:rsidP="00EB4763">
      <w:pPr>
        <w:spacing w:line="240" w:lineRule="auto"/>
      </w:pPr>
      <w:r>
        <w:separator/>
      </w:r>
    </w:p>
  </w:footnote>
  <w:footnote w:type="continuationSeparator" w:id="0">
    <w:p w14:paraId="5BD33B3C" w14:textId="77777777" w:rsidR="005B2620" w:rsidRDefault="005B2620" w:rsidP="00EB4763">
      <w:pPr>
        <w:spacing w:line="240" w:lineRule="auto"/>
      </w:pPr>
      <w:r>
        <w:continuationSeparator/>
      </w:r>
    </w:p>
  </w:footnote>
  <w:footnote w:id="1">
    <w:p w14:paraId="4C480813" w14:textId="77777777" w:rsidR="00EB4763" w:rsidRPr="00255CF8" w:rsidRDefault="00EB4763" w:rsidP="00EB4763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255CF8">
        <w:t xml:space="preserve">Niniejszą ustawą zmienia się ustawy: ustawę z dnia 18 lipca 2002 r. o świadczeniu usług drogą elektroniczną i ustawę z dnia 16 lipca 2004 r. – Prawo telekomunikacyjne </w:t>
      </w:r>
    </w:p>
  </w:footnote>
  <w:footnote w:id="2">
    <w:p w14:paraId="026A8E62" w14:textId="77777777" w:rsidR="00EB4763" w:rsidRPr="005C50DF" w:rsidRDefault="00EB4763" w:rsidP="00EB4763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255CF8">
        <w:t>Zmiany tekstu jednolitego wymienionej ustawy zostały ogłoszone w</w:t>
      </w:r>
      <w:r>
        <w:t xml:space="preserve"> Dz. U. z 2023 r. poz. 1429, </w:t>
      </w:r>
      <w:r w:rsidRPr="00255CF8">
        <w:t>1606, 1615, 1667, 1860</w:t>
      </w:r>
      <w:r>
        <w:t xml:space="preserve"> i</w:t>
      </w:r>
      <w:r w:rsidRPr="00255CF8">
        <w:t xml:space="preserve"> 2760</w:t>
      </w:r>
      <w:r>
        <w:t xml:space="preserve"> oraz</w:t>
      </w:r>
      <w:r w:rsidRPr="00255CF8">
        <w:t xml:space="preserve"> z 2024 r. poz. 858, 859</w:t>
      </w:r>
      <w:r>
        <w:t xml:space="preserve"> i</w:t>
      </w:r>
      <w:r w:rsidRPr="00255CF8">
        <w:t xml:space="preserve"> 863</w:t>
      </w:r>
    </w:p>
  </w:footnote>
  <w:footnote w:id="3">
    <w:p w14:paraId="4CE4F209" w14:textId="77777777" w:rsidR="00EB4763" w:rsidRPr="0030435E" w:rsidRDefault="00EB4763" w:rsidP="00EB4763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30435E">
        <w:t>Zmiany wymienionego rozporządzenia zostały ogłoszone w Dz. Urz. UE L 163 z 29.06.2023, str. 107.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63"/>
    <w:rsid w:val="001B7544"/>
    <w:rsid w:val="0035424B"/>
    <w:rsid w:val="003E4437"/>
    <w:rsid w:val="005B2620"/>
    <w:rsid w:val="006912C3"/>
    <w:rsid w:val="00AB751D"/>
    <w:rsid w:val="00CE7AEB"/>
    <w:rsid w:val="00EB4763"/>
    <w:rsid w:val="00F7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B83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763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4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4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4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4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4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47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47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47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47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4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4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4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476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476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47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47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47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47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4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4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4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4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4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47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47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47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4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47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4763"/>
    <w:rPr>
      <w:b/>
      <w:bCs/>
      <w:smallCaps/>
      <w:color w:val="0F4761" w:themeColor="accent1" w:themeShade="BF"/>
      <w:spacing w:val="5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EB4763"/>
    <w:pPr>
      <w:ind w:left="1497"/>
    </w:pPr>
  </w:style>
  <w:style w:type="character" w:styleId="Odwoanieprzypisudolnego">
    <w:name w:val="footnote reference"/>
    <w:uiPriority w:val="99"/>
    <w:semiHidden/>
    <w:rsid w:val="00EB4763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EB476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EB4763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EB4763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EB4763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kern w:val="0"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EB4763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EB4763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PKTpunkt">
    <w:name w:val="PKT – punkt"/>
    <w:uiPriority w:val="13"/>
    <w:qFormat/>
    <w:rsid w:val="00EB4763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EB4763"/>
    <w:pPr>
      <w:ind w:left="986" w:hanging="476"/>
    </w:pPr>
  </w:style>
  <w:style w:type="paragraph" w:customStyle="1" w:styleId="TIRtiret">
    <w:name w:val="TIR – tiret"/>
    <w:basedOn w:val="LITlitera"/>
    <w:uiPriority w:val="15"/>
    <w:qFormat/>
    <w:rsid w:val="00EB4763"/>
    <w:pPr>
      <w:ind w:left="1384" w:hanging="397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EB4763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kern w:val="0"/>
      <w:sz w:val="24"/>
      <w:szCs w:val="26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EB4763"/>
    <w:pPr>
      <w:widowControl/>
      <w:suppressAutoHyphens/>
      <w:ind w:left="987" w:firstLine="510"/>
      <w:jc w:val="both"/>
    </w:pPr>
    <w:rPr>
      <w:rFonts w:ascii="Times" w:hAnsi="Times"/>
      <w:bCs/>
    </w:rPr>
  </w:style>
  <w:style w:type="paragraph" w:customStyle="1" w:styleId="ZTIRPKTzmpkttiret">
    <w:name w:val="Z_TIR/PKT – zm. pkt tiret"/>
    <w:basedOn w:val="PKTpunkt"/>
    <w:uiPriority w:val="56"/>
    <w:qFormat/>
    <w:rsid w:val="00EB4763"/>
    <w:pPr>
      <w:ind w:left="1893"/>
    </w:pPr>
  </w:style>
  <w:style w:type="paragraph" w:customStyle="1" w:styleId="ODNONIKtreodnonika">
    <w:name w:val="ODNOŚNIK – treść odnośnika"/>
    <w:uiPriority w:val="19"/>
    <w:qFormat/>
    <w:rsid w:val="00EB4763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kern w:val="0"/>
      <w:sz w:val="20"/>
      <w:szCs w:val="20"/>
      <w:lang w:eastAsia="pl-PL"/>
    </w:rPr>
  </w:style>
  <w:style w:type="paragraph" w:customStyle="1" w:styleId="ZTIRFRAGMzmnpwprdowyliczeniatiret">
    <w:name w:val="Z_TIR/FRAGM – zm. np. wpr. do wyliczenia tiret"/>
    <w:basedOn w:val="Normalny"/>
    <w:next w:val="TIRtiret"/>
    <w:uiPriority w:val="60"/>
    <w:qFormat/>
    <w:rsid w:val="00EB4763"/>
    <w:pPr>
      <w:widowControl/>
      <w:autoSpaceDE/>
      <w:autoSpaceDN/>
      <w:adjustRightInd/>
      <w:ind w:left="1383"/>
      <w:jc w:val="both"/>
    </w:pPr>
    <w:rPr>
      <w:bCs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EB4763"/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EB4763"/>
    <w:pPr>
      <w:spacing w:after="0" w:line="360" w:lineRule="auto"/>
      <w:jc w:val="right"/>
    </w:pPr>
    <w:rPr>
      <w:rFonts w:ascii="Times New Roman" w:eastAsiaTheme="minorEastAsia" w:hAnsi="Times New Roman" w:cs="Arial"/>
      <w:kern w:val="0"/>
      <w:sz w:val="24"/>
      <w:szCs w:val="20"/>
      <w:u w:val="single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EB4763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EB4763"/>
    <w:rPr>
      <w:b/>
    </w:rPr>
  </w:style>
  <w:style w:type="paragraph" w:styleId="Nagwek">
    <w:name w:val="header"/>
    <w:basedOn w:val="Normalny"/>
    <w:link w:val="NagwekZnak"/>
    <w:uiPriority w:val="99"/>
    <w:unhideWhenUsed/>
    <w:rsid w:val="00AB751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51D"/>
    <w:rPr>
      <w:rFonts w:ascii="Times New Roman" w:eastAsiaTheme="minorEastAsia" w:hAnsi="Times New Roman" w:cs="Arial"/>
      <w:kern w:val="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751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51D"/>
    <w:rPr>
      <w:rFonts w:ascii="Times New Roman" w:eastAsiaTheme="minorEastAsia" w:hAnsi="Times New Roman" w:cs="Arial"/>
      <w:kern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8748</Characters>
  <Application>Microsoft Office Word</Application>
  <DocSecurity>0</DocSecurity>
  <Lines>72</Lines>
  <Paragraphs>20</Paragraphs>
  <ScaleCrop>false</ScaleCrop>
  <Company/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2024-10-15T17:00:00Z</dcterms:created>
  <dcterms:modified xsi:type="dcterms:W3CDTF">2024-10-15T17:00:00Z</dcterms:modified>
</cp:coreProperties>
</file>