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AC" w:rsidRDefault="007E26CA" w:rsidP="00C769AB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00256F" w:rsidRDefault="0000256F" w:rsidP="00C769AB">
      <w:pPr>
        <w:pStyle w:val="ARTartustawynprozporzdzenia"/>
        <w:spacing w:before="60"/>
      </w:pPr>
      <w:r>
        <w:t>Agresja na Ukrainę oraz kryzys energetyczny w Unii</w:t>
      </w:r>
      <w:r w:rsidR="00D1540E">
        <w:t xml:space="preserve"> Europejskiej spowodowały, że w </w:t>
      </w:r>
      <w:r>
        <w:t xml:space="preserve">2022 r. doszło do znaczących wzrostów cen węgla kamiennego na rynku światowym oraz wzrostu zapotrzebowania na węgiel kamienny. Wydarzenia te były konsekwencją wprowadzenia embarga na węgiel rosyjski i drastycznych wzrostów cen gazu. Powyższe wydarzenia nie pozostały również bez wpływu na Nowy System Wsparcia. Skutki wyżej wymienionych negatywnych zjawisk </w:t>
      </w:r>
      <w:r w:rsidR="00D1540E">
        <w:t xml:space="preserve">są </w:t>
      </w:r>
      <w:r>
        <w:t>odczuwane do chwil</w:t>
      </w:r>
      <w:r w:rsidR="00C769AB">
        <w:t>i obecnej w całej gospodarce, w </w:t>
      </w:r>
      <w:r>
        <w:t>tym również w sektorze górnictwa węgla kamiennego.</w:t>
      </w:r>
    </w:p>
    <w:p w:rsidR="0000256F" w:rsidRDefault="0000256F" w:rsidP="0000256F">
      <w:pPr>
        <w:pStyle w:val="ARTartustawynprozporzdzenia"/>
      </w:pPr>
      <w:r>
        <w:t>Mając na uwadze wydarzenia z 2022 r. (wojna w Ukrainie, kryzys energetyczny), Ministerstwo Aktywów Państwowych w maju 2023 r. zaktualizowało wniosek notyfikacyjny dotyczący pomocy dla sektora górnictwa węgla kamiennego (tzw. Nowy System Wsparcia).</w:t>
      </w:r>
    </w:p>
    <w:p w:rsidR="0000256F" w:rsidRDefault="0000256F" w:rsidP="0000256F">
      <w:pPr>
        <w:pStyle w:val="ARTartustawynprozporzdzenia"/>
      </w:pPr>
      <w:r>
        <w:t>Aktualizacja programu pomocowego spowodowała, że Komisja Eu</w:t>
      </w:r>
      <w:r w:rsidR="00C769AB">
        <w:t>ropejska w </w:t>
      </w:r>
      <w:r>
        <w:t>najbliższym czasie będzie występowała z pytaniami dotyczącymi wprowadzonych zmian. To niestety powoduje, że oddala się w czasie wydanie prz</w:t>
      </w:r>
      <w:r w:rsidR="00C769AB">
        <w:t>ez Komisję Europejską decyzji o </w:t>
      </w:r>
      <w:r>
        <w:t xml:space="preserve">zgodności programu z rynkiem wewnętrznym. W związku z tym </w:t>
      </w:r>
      <w:r w:rsidR="00D1540E">
        <w:t xml:space="preserve">są </w:t>
      </w:r>
      <w:r>
        <w:t>niezbędne zmiany ustawy o funkcjonowaniu górnictwa węgla kamiennego, m.in. w zakresie wydłużenia terminu zawieszenia spłaty zobowiązań z tytułu niezapłaconych składek na ubezpieczenia społeczne oraz pożyczki udzielonej przez Polski Fundusz Rozwoju Polskiej Grupie Górniczej S.A.</w:t>
      </w:r>
      <w:r w:rsidR="00D1540E">
        <w:t>,</w:t>
      </w:r>
      <w:r>
        <w:t xml:space="preserve"> bowiem nie ma możliwości uzyskania decyzji KE przed 31 grudnia 2023 r., jak poprzednio planowano.</w:t>
      </w:r>
    </w:p>
    <w:p w:rsidR="0000256F" w:rsidRDefault="0000256F" w:rsidP="0000256F">
      <w:pPr>
        <w:pStyle w:val="ARTartustawynprozporzdzenia"/>
      </w:pPr>
      <w:r>
        <w:t>Konieczne są również zmiany założeń systemu dopłat do redukcji zdolności produkcyjnych. Proponuje się zwolnić podmioty objęte Nowym Systemem Wsparc</w:t>
      </w:r>
      <w:r w:rsidR="00C769AB">
        <w:t>ia z </w:t>
      </w:r>
      <w:r>
        <w:t>obowiązku wpłaty do urzędu skarbowego zaliczek na podatek dochodowy od osób prawnych.</w:t>
      </w:r>
    </w:p>
    <w:p w:rsidR="0000256F" w:rsidRDefault="0000256F" w:rsidP="0000256F">
      <w:pPr>
        <w:pStyle w:val="ARTartustawynprozporzdzenia"/>
      </w:pPr>
      <w:r>
        <w:t>Wcześniejsze nowelizacje ustawy o funkcjonowaniu górnictwa węgla kamiennego wprowadziły zmiany do obowiązujących regulacji prawnych dotyczących górnictwa węgla kamiennego, w tym w zakresie wypracowania mechanizmów wsparcia publicznego spółek sektora węgla kamiennego (pomoc na koszty nadzwyczajne i dopłaty do redukcji zdolności produkcyjnych), których celem było zapewnienie stabilności funkcjonowania sektora do momentu jego zamknięcia, w całym okresie funkcjonowania Umowy Społecznej (tzw. Nowy System Wsparcia).</w:t>
      </w:r>
    </w:p>
    <w:p w:rsidR="0000256F" w:rsidRDefault="0000256F" w:rsidP="0000256F">
      <w:pPr>
        <w:pStyle w:val="ARTartustawynprozporzdzenia"/>
      </w:pPr>
      <w:r>
        <w:t>Jednym z elementów Nowego Systemu było również czasowe zawieszenie i następnie umorzenie zobowiązań pieniężnych spółek w postaci odroczonych składek na ubezpieczenia społeczne i zobowiązań wynikających z udzielonej przez Polski Fundusz Rozwoju pomocy kryzysowej.</w:t>
      </w:r>
    </w:p>
    <w:p w:rsidR="0000256F" w:rsidRDefault="0000256F" w:rsidP="0000256F">
      <w:pPr>
        <w:pStyle w:val="ARTartustawynprozporzdzenia"/>
      </w:pPr>
      <w:r>
        <w:lastRenderedPageBreak/>
        <w:t>W projektowanej ustawie wydłużeniu ulega termin zawieszenia spłaty przez Polską Grupę Górniczą S.A. zobowiązań z tytułu niezapłaconych składek na ubezpieczenia społeczne oraz pożyczki udzielonej przez Polski Fundusz Rozwoju. W obecnie obowiązujących przepisach jest wskazany termin zawieszenia do dnia wydania decyzji Komisji Europejskiej nie później niż do dnia 31 grudnia 2023 r. Z uwagi na przedłużający się proces notyfikacji programu pomocowego, wynikający ze złożenia aktualizacji wniosku notyfikacyjnego, proponuje się wydłużenie terminu zawieszenia spłat do dnia 31 grudnia 2025 r.</w:t>
      </w:r>
    </w:p>
    <w:p w:rsidR="0000256F" w:rsidRDefault="0000256F" w:rsidP="0000256F">
      <w:pPr>
        <w:pStyle w:val="ARTartustawynprozporzdzenia"/>
      </w:pPr>
      <w:r>
        <w:t xml:space="preserve">W związku z powyższym </w:t>
      </w:r>
      <w:r w:rsidR="00D1540E">
        <w:t xml:space="preserve">jest </w:t>
      </w:r>
      <w:r>
        <w:t>konieczna nowelizacja art. 5a i art. 5b obowiązującej ustawy, która polega na wydłużeniu terminu spłaty zobowiązań z tytułu składek na: ubezpieczenia społeczne w części finansowanej przez pracownika i płatnika, Fundusz Pracy, Fundusz Solidarnościowy, Fundusz Gwarantowanych Świadczeń Pracowniczych, Fundusz Emerytur Pomostowych oraz ubezpieczenie zdrowotne, jak również z tytułu wsparcia finansowego udzielonego przez Polski Funduszu Rozwoju Spółka Akcyjna, w ramach programów rządowych, o których mowa w art. 21a ustawy z dnia 4 lipca 2019 r. o systemie instytucji rozwoju (Dz. U. z 2023 r. poz. 1103 i 1941) do dnia 31 grudnia 2025 r.</w:t>
      </w:r>
    </w:p>
    <w:p w:rsidR="0000256F" w:rsidRDefault="0000256F" w:rsidP="0000256F">
      <w:pPr>
        <w:pStyle w:val="ARTartustawynprozporzdzenia"/>
      </w:pPr>
      <w:r>
        <w:t xml:space="preserve">Ponadto po art. 5g dodaje się art. 5h, zgodnie z którym zwalnia się z obowiązku wpłaty do urzędu skarbowego zaliczek na podatek dochodowy od osób prawnych dla podmiotów Nowego Systemu Wsparcia (Polska Grupa Górnicza S.A., Tauron Wydobycie S.A., Węglokoks Kraj S.A.). Zwolnienie z zaliczek będzie miało charakter trwały, a uregulowanie należnego podatku </w:t>
      </w:r>
      <w:r w:rsidR="00D1540E">
        <w:t xml:space="preserve">będzie </w:t>
      </w:r>
      <w:r>
        <w:t>realizowane przez podmioty zgodnie z us</w:t>
      </w:r>
      <w:r w:rsidR="00C769AB">
        <w:t>tawą z dnia 15 lutego 1992 r. o </w:t>
      </w:r>
      <w:r>
        <w:t>podatku dochodowym od osób prawnych (Dz. U. z 2022 r. poz. 2587, z późn. zm.), tj. do końca 3. miesiąca następnego roku.</w:t>
      </w:r>
    </w:p>
    <w:p w:rsidR="0000256F" w:rsidRDefault="0000256F" w:rsidP="0000256F">
      <w:pPr>
        <w:pStyle w:val="ARTartustawynprozporzdzenia"/>
      </w:pPr>
      <w:r>
        <w:t>Uzasadnieniem jest „sezonowość” generowania przychodów (wyższa sprzedaż w okresie jesienno-zimowym), a co za tym idzie zysku do opodatkowania. Konieczność odprowadzenia zaliczki powoduje faktyczne wydatkowanie środków. Beneficjenci pomocy publicznej mogą nie dysponować w tym czasie gotówką i byliby zmuszeni do sięgnięcia po środki z budżetu państwa w ramach dopłaty do redukcji zdolności produkcyjnych, aby następnie przekazać te środki do urzędu skarbowego w formie zaliczek na podatek dochodowy od osób prawnych, które w następnej kolejności zostałyby odprowadzone na dochody budżetu państwa. W ocenie projektodawcy byłoby to działanie nieracjonalne z punktu widzenia efektywnego gospodarowania środkami budżetowymi.</w:t>
      </w:r>
    </w:p>
    <w:p w:rsidR="0000256F" w:rsidRDefault="0000256F" w:rsidP="0000256F">
      <w:pPr>
        <w:pStyle w:val="ARTartustawynprozporzdzenia"/>
      </w:pPr>
      <w:r>
        <w:t>Z uwagi na potrzebę bardzo pilnej realizacji działań restrukturyzacyjnych wobec sektora górnictwa węgla kamiennego i jak najszybsze wprowadzenie mechanizmów przewidzianych projektowaną ustawą, proponowane je</w:t>
      </w:r>
      <w:r w:rsidR="00E744BD">
        <w:t xml:space="preserve">st jej wejście w życie z dniem </w:t>
      </w:r>
      <w:bookmarkStart w:id="0" w:name="_GoBack"/>
      <w:bookmarkEnd w:id="0"/>
      <w:r>
        <w:t>1 stycznia 2024 r.</w:t>
      </w:r>
    </w:p>
    <w:p w:rsidR="0000256F" w:rsidRDefault="0000256F" w:rsidP="0000256F">
      <w:pPr>
        <w:pStyle w:val="ARTartustawynprozporzdzenia"/>
      </w:pPr>
      <w:r>
        <w:lastRenderedPageBreak/>
        <w:t>Niezwłoczne wdrożenie przepisów ustawy umożliwi przedsiębiorstwom górniczym skorzystanie z planowanych zwolnień, co w efekcie wpłynie pozytywnie na płynność spółek. Najistotniejszym jest przedłużenie zawieszenia spłaty skład</w:t>
      </w:r>
      <w:r w:rsidR="00C769AB">
        <w:t>ek na ubezpieczenia społeczne i </w:t>
      </w:r>
      <w:r>
        <w:t>pożyczki udzielonej przez Polski Fundusz Rozwoju na kolejne 2 lata, przy założeniu, że do tego czasu Komisja Europejska wyda decyzję odnośnie programu pomocowego. Należy zwrócić uwagę, że wraz z upływem terminu zawieszenia spłaty zobowiązań wobec ZUS i PFR</w:t>
      </w:r>
      <w:r w:rsidR="00D1540E">
        <w:t>,</w:t>
      </w:r>
      <w:r>
        <w:t xml:space="preserve"> tj. 31 grudnia 2023 r.</w:t>
      </w:r>
      <w:r w:rsidR="00D1540E">
        <w:t>,</w:t>
      </w:r>
      <w:r>
        <w:t xml:space="preserve"> zobowiązania te staną się wymagalne. Według informacji Zarządu PGG S.A., Spółka nie posiadając zdolności obsługi tych zobowiązań będzie zmuszona złożyć wniosek</w:t>
      </w:r>
      <w:r w:rsidR="00C769AB">
        <w:t xml:space="preserve"> o </w:t>
      </w:r>
      <w:r>
        <w:t>ogłoszenie upadłości.</w:t>
      </w:r>
    </w:p>
    <w:p w:rsidR="0000256F" w:rsidRDefault="0000256F" w:rsidP="0000256F">
      <w:pPr>
        <w:pStyle w:val="ARTartustawynprozporzdzenia"/>
      </w:pPr>
      <w:r>
        <w:t>Określenie takiego terminu wejścia w życie przepisów w przypadku ustawy, która umożliwi niezwłoczną realizację uprawnień adresatów ustawy, nie narusza zasad demokratycznego państwa prawnego.</w:t>
      </w:r>
    </w:p>
    <w:p w:rsidR="0000256F" w:rsidRDefault="0000256F" w:rsidP="00D1540E">
      <w:pPr>
        <w:pStyle w:val="ARTartustawynprozporzdzenia"/>
      </w:pPr>
      <w:r>
        <w:t xml:space="preserve">Projekt ustawy wymaga notyfikacji i akceptacji Komisji Europejskiej, ze względu na wynikającą z niego pomoc publiczną. W dniu 4 marca 2022 r. została dokonana notyfikacja projektu programu pn. SA.63236 (2022/N) </w:t>
      </w:r>
      <w:r w:rsidR="00D1540E">
        <w:t>–</w:t>
      </w:r>
      <w:r>
        <w:t xml:space="preserve"> System wsparcia dla górnictwa węgla kamiennego w perspektywie do 2056 r. W związku z wydarzeniami 2022 r. (wojna w Ukrainie, kryzys energetyczny) w maju 2023 r. złożono aktualizację ww. wniosku. Załącznikiem do notyfikowanego Komisji Europejskiej wniosku jest ust</w:t>
      </w:r>
      <w:r w:rsidR="00C769AB">
        <w:t>awa z dnia 7 września 2007 r. o </w:t>
      </w:r>
      <w:r>
        <w:t>funkcjonowaniu górnictwa węgla kamiennego z uwzględnieniem zmian wprowadzonych ustawą z dnia 17 grudnia 2021 r. o zmianie ustawy o funkcjonowaniu górnictwa węgla kamiennego (Dz.</w:t>
      </w:r>
      <w:r w:rsidR="00D1540E">
        <w:t xml:space="preserve"> </w:t>
      </w:r>
      <w:r>
        <w:t xml:space="preserve">U. z 2022 r. poz. 241), w której </w:t>
      </w:r>
      <w:r w:rsidR="00D1540E">
        <w:t xml:space="preserve">jest </w:t>
      </w:r>
      <w:r>
        <w:t>wskazany termin zawieszenia spłaty zobowiązań wobec ZUS i PFR do 31 grudnia 2023 r. Po wejściu w życie przedmiotowego projektu ustawy notyfikowany wniosek do Komisji Europejskiej zostanie zaktualizowany.</w:t>
      </w:r>
    </w:p>
    <w:p w:rsidR="0000256F" w:rsidRDefault="0000256F" w:rsidP="0000256F">
      <w:pPr>
        <w:pStyle w:val="ARTartustawynprozporzdzenia"/>
      </w:pPr>
      <w:r>
        <w:t>Projekt ustawy nie zawiera przepisów technicznych, w związku z powyższym nie podlega procedurze notyfikacji w rozumieniu przepisów rozporzą</w:t>
      </w:r>
      <w:r w:rsidR="00C769AB">
        <w:t>dzenia Rady Ministrów z dnia 23 </w:t>
      </w:r>
      <w:r>
        <w:t>grudnia 2002 r. w sprawie sposobu funkcjonowania krajo</w:t>
      </w:r>
      <w:r w:rsidR="00C769AB">
        <w:t>wego systemu notyfikacji norm i </w:t>
      </w:r>
      <w:r>
        <w:t>aktów prawnych (Dz. U. poz. 2039 oraz z 2004 r. poz. 597).</w:t>
      </w:r>
    </w:p>
    <w:p w:rsidR="0000256F" w:rsidRDefault="0000256F" w:rsidP="0000256F">
      <w:pPr>
        <w:pStyle w:val="ARTartustawynprozporzdzenia"/>
      </w:pPr>
      <w:r>
        <w:t>Stosownie do § 52 ust. 1 uchwały nr 190 Rady Ministrów z dnia 29 października 2013 r. – Regulamin pracy Rady Ministrów (M.P. z 2022 r. poz. 348) projekt ustawy zostanie udostępniony w Biuletynie Informacji Publicznej na stronie podmiotowej Rządowego Centrum Legislacji w serwisie Rządowy Proces Legislacyjny.</w:t>
      </w:r>
    </w:p>
    <w:p w:rsidR="00DE0567" w:rsidRPr="00343DF1" w:rsidRDefault="0000256F" w:rsidP="0000256F">
      <w:pPr>
        <w:pStyle w:val="ARTartustawynprozporzdzenia"/>
      </w:pPr>
      <w:r>
        <w:t>Projekt ustawy nie jest sprzeczny z prawem Unii Europejskiej.</w:t>
      </w:r>
    </w:p>
    <w:sectPr w:rsidR="00DE0567" w:rsidRPr="00343DF1" w:rsidSect="00C769AB">
      <w:footerReference w:type="defaul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2B" w:rsidRDefault="00FB182B" w:rsidP="009D78F9">
      <w:pPr>
        <w:spacing w:after="0" w:line="240" w:lineRule="auto"/>
      </w:pPr>
      <w:r>
        <w:separator/>
      </w:r>
    </w:p>
  </w:endnote>
  <w:endnote w:type="continuationSeparator" w:id="0">
    <w:p w:rsidR="00FB182B" w:rsidRDefault="00FB182B" w:rsidP="009D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441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2C21" w:rsidRPr="00392C21" w:rsidRDefault="00392C21" w:rsidP="00392C21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2C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2C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2C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44B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92C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2B" w:rsidRDefault="00FB182B" w:rsidP="009D78F9">
      <w:pPr>
        <w:spacing w:after="0" w:line="240" w:lineRule="auto"/>
      </w:pPr>
      <w:r>
        <w:separator/>
      </w:r>
    </w:p>
  </w:footnote>
  <w:footnote w:type="continuationSeparator" w:id="0">
    <w:p w:rsidR="00FB182B" w:rsidRDefault="00FB182B" w:rsidP="009D7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EA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254F"/>
    <w:multiLevelType w:val="hybridMultilevel"/>
    <w:tmpl w:val="20CA3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869C6"/>
    <w:multiLevelType w:val="hybridMultilevel"/>
    <w:tmpl w:val="4E9A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E3D318B"/>
    <w:multiLevelType w:val="hybridMultilevel"/>
    <w:tmpl w:val="0D7E1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45A51BA"/>
    <w:multiLevelType w:val="hybridMultilevel"/>
    <w:tmpl w:val="4970A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3FD6"/>
    <w:multiLevelType w:val="hybridMultilevel"/>
    <w:tmpl w:val="8048D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F4C0EBE"/>
    <w:multiLevelType w:val="multilevel"/>
    <w:tmpl w:val="7C6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B5719"/>
    <w:multiLevelType w:val="hybridMultilevel"/>
    <w:tmpl w:val="5CD61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1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7D5579E"/>
    <w:multiLevelType w:val="hybridMultilevel"/>
    <w:tmpl w:val="0AD26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05729A9"/>
    <w:multiLevelType w:val="hybridMultilevel"/>
    <w:tmpl w:val="E06E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CF7D78"/>
    <w:multiLevelType w:val="hybridMultilevel"/>
    <w:tmpl w:val="EC5C0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1"/>
  </w:num>
  <w:num w:numId="5">
    <w:abstractNumId w:val="27"/>
  </w:num>
  <w:num w:numId="6">
    <w:abstractNumId w:val="2"/>
  </w:num>
  <w:num w:numId="7">
    <w:abstractNumId w:val="12"/>
  </w:num>
  <w:num w:numId="8">
    <w:abstractNumId w:val="19"/>
  </w:num>
  <w:num w:numId="9">
    <w:abstractNumId w:val="8"/>
  </w:num>
  <w:num w:numId="10">
    <w:abstractNumId w:val="21"/>
  </w:num>
  <w:num w:numId="11">
    <w:abstractNumId w:val="16"/>
  </w:num>
  <w:num w:numId="12">
    <w:abstractNumId w:val="20"/>
  </w:num>
  <w:num w:numId="13">
    <w:abstractNumId w:val="5"/>
  </w:num>
  <w:num w:numId="14">
    <w:abstractNumId w:val="15"/>
  </w:num>
  <w:num w:numId="15">
    <w:abstractNumId w:val="28"/>
  </w:num>
  <w:num w:numId="16">
    <w:abstractNumId w:val="23"/>
  </w:num>
  <w:num w:numId="17">
    <w:abstractNumId w:val="25"/>
  </w:num>
  <w:num w:numId="18">
    <w:abstractNumId w:val="9"/>
  </w:num>
  <w:num w:numId="19">
    <w:abstractNumId w:val="29"/>
  </w:num>
  <w:num w:numId="20">
    <w:abstractNumId w:val="31"/>
  </w:num>
  <w:num w:numId="21">
    <w:abstractNumId w:val="24"/>
  </w:num>
  <w:num w:numId="22">
    <w:abstractNumId w:val="10"/>
  </w:num>
  <w:num w:numId="23">
    <w:abstractNumId w:val="1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3"/>
  </w:num>
  <w:num w:numId="27">
    <w:abstractNumId w:val="11"/>
  </w:num>
  <w:num w:numId="28">
    <w:abstractNumId w:val="26"/>
  </w:num>
  <w:num w:numId="29">
    <w:abstractNumId w:val="4"/>
  </w:num>
  <w:num w:numId="30">
    <w:abstractNumId w:val="6"/>
  </w:num>
  <w:num w:numId="31">
    <w:abstractNumId w:val="3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95"/>
    <w:rsid w:val="0000256F"/>
    <w:rsid w:val="00056E79"/>
    <w:rsid w:val="000F55B6"/>
    <w:rsid w:val="001B3166"/>
    <w:rsid w:val="001E469B"/>
    <w:rsid w:val="00236955"/>
    <w:rsid w:val="002D3299"/>
    <w:rsid w:val="00392C21"/>
    <w:rsid w:val="003938F7"/>
    <w:rsid w:val="003F6C95"/>
    <w:rsid w:val="00445210"/>
    <w:rsid w:val="00453BA3"/>
    <w:rsid w:val="004A2B6D"/>
    <w:rsid w:val="004A37A6"/>
    <w:rsid w:val="004E0A95"/>
    <w:rsid w:val="004F3862"/>
    <w:rsid w:val="005F249D"/>
    <w:rsid w:val="005F4005"/>
    <w:rsid w:val="006466AC"/>
    <w:rsid w:val="00725B90"/>
    <w:rsid w:val="00726F0A"/>
    <w:rsid w:val="00727934"/>
    <w:rsid w:val="007455B5"/>
    <w:rsid w:val="007A3A37"/>
    <w:rsid w:val="007E26CA"/>
    <w:rsid w:val="00867028"/>
    <w:rsid w:val="00874676"/>
    <w:rsid w:val="00877B10"/>
    <w:rsid w:val="00882207"/>
    <w:rsid w:val="00887DB4"/>
    <w:rsid w:val="008D1573"/>
    <w:rsid w:val="008F6235"/>
    <w:rsid w:val="009B51A0"/>
    <w:rsid w:val="009C601D"/>
    <w:rsid w:val="009D78F9"/>
    <w:rsid w:val="009E788D"/>
    <w:rsid w:val="009F03C5"/>
    <w:rsid w:val="00AB053F"/>
    <w:rsid w:val="00AD453B"/>
    <w:rsid w:val="00AF2B4E"/>
    <w:rsid w:val="00C04DCD"/>
    <w:rsid w:val="00C769AB"/>
    <w:rsid w:val="00CF08F2"/>
    <w:rsid w:val="00D033A0"/>
    <w:rsid w:val="00D03895"/>
    <w:rsid w:val="00D1540E"/>
    <w:rsid w:val="00DE0567"/>
    <w:rsid w:val="00DF4048"/>
    <w:rsid w:val="00DF5F5A"/>
    <w:rsid w:val="00E435E6"/>
    <w:rsid w:val="00E744BD"/>
    <w:rsid w:val="00EE2731"/>
    <w:rsid w:val="00F736BD"/>
    <w:rsid w:val="00FB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2852"/>
  <w15:docId w15:val="{7E59353C-FF48-4A97-9338-2D0045D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F08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08F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08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C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5F400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4005"/>
    <w:rPr>
      <w:bCs/>
    </w:rPr>
  </w:style>
  <w:style w:type="paragraph" w:customStyle="1" w:styleId="PKTpunkt">
    <w:name w:val="PKT – punkt"/>
    <w:uiPriority w:val="13"/>
    <w:qFormat/>
    <w:rsid w:val="005F400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8F9"/>
  </w:style>
  <w:style w:type="paragraph" w:styleId="Stopka">
    <w:name w:val="footer"/>
    <w:basedOn w:val="Normalny"/>
    <w:link w:val="StopkaZnak"/>
    <w:uiPriority w:val="99"/>
    <w:unhideWhenUsed/>
    <w:rsid w:val="009D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8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8F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08F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F08F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F0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F08F2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F08F2"/>
  </w:style>
  <w:style w:type="table" w:styleId="Tabela-Siatka">
    <w:name w:val="Table Grid"/>
    <w:basedOn w:val="Standardowy"/>
    <w:uiPriority w:val="99"/>
    <w:rsid w:val="00CF08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8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8F2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8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8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F0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08F2"/>
    <w:pPr>
      <w:spacing w:after="0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CF0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8F2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8F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8F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CF08F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F08F2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CF08F2"/>
    <w:rPr>
      <w:b/>
      <w:bCs/>
    </w:rPr>
  </w:style>
  <w:style w:type="table" w:styleId="Jasnecieniowanieakcent1">
    <w:name w:val="Light Shading Accent 1"/>
    <w:basedOn w:val="Standardowy"/>
    <w:uiPriority w:val="60"/>
    <w:rsid w:val="00CF08F2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ps">
    <w:name w:val="hps"/>
    <w:rsid w:val="00CF08F2"/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C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C04DC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Binkowska Joanna</dc:creator>
  <cp:lastModifiedBy>Wójcik Aleksandra</cp:lastModifiedBy>
  <cp:revision>4</cp:revision>
  <cp:lastPrinted>2018-10-02T13:01:00Z</cp:lastPrinted>
  <dcterms:created xsi:type="dcterms:W3CDTF">2023-11-24T14:43:00Z</dcterms:created>
  <dcterms:modified xsi:type="dcterms:W3CDTF">2023-11-24T14:50:00Z</dcterms:modified>
</cp:coreProperties>
</file>