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F2AD" w14:textId="77777777" w:rsidR="008937BA" w:rsidRPr="001A3D38" w:rsidRDefault="008937BA" w:rsidP="00A530DC">
      <w:pPr>
        <w:pStyle w:val="Nagwek1"/>
        <w:spacing w:before="60" w:after="60" w:line="360" w:lineRule="auto"/>
        <w:jc w:val="center"/>
        <w:rPr>
          <w:b w:val="0"/>
          <w:bCs w:val="0"/>
        </w:rPr>
      </w:pPr>
      <w:r w:rsidRPr="001A3D38">
        <w:rPr>
          <w:b w:val="0"/>
          <w:bCs w:val="0"/>
        </w:rPr>
        <w:t>UZASADNIENIE</w:t>
      </w:r>
    </w:p>
    <w:p w14:paraId="43C75276" w14:textId="77777777" w:rsidR="008937BA" w:rsidRPr="001A3D38" w:rsidRDefault="008937BA" w:rsidP="001A3D38">
      <w:pPr>
        <w:pStyle w:val="BodyText31"/>
        <w:keepNext w:val="0"/>
        <w:widowControl w:val="0"/>
        <w:numPr>
          <w:ilvl w:val="0"/>
          <w:numId w:val="4"/>
        </w:numPr>
        <w:spacing w:after="120" w:line="360" w:lineRule="auto"/>
        <w:rPr>
          <w:b/>
          <w:bCs/>
          <w:szCs w:val="24"/>
        </w:rPr>
      </w:pPr>
      <w:r w:rsidRPr="001A3D38">
        <w:rPr>
          <w:b/>
          <w:bCs/>
          <w:szCs w:val="24"/>
        </w:rPr>
        <w:t>Potrzeba i cel związ</w:t>
      </w:r>
      <w:r w:rsidR="007D376C" w:rsidRPr="001A3D38">
        <w:rPr>
          <w:b/>
          <w:bCs/>
          <w:szCs w:val="24"/>
        </w:rPr>
        <w:t>ania Rzeczypospolitej Polskiej u</w:t>
      </w:r>
      <w:r w:rsidRPr="001A3D38">
        <w:rPr>
          <w:b/>
          <w:bCs/>
          <w:szCs w:val="24"/>
        </w:rPr>
        <w:t xml:space="preserve">mową międzynarodową </w:t>
      </w:r>
    </w:p>
    <w:p w14:paraId="50B3575A" w14:textId="77777777" w:rsidR="008937BA" w:rsidRPr="001A3D38" w:rsidRDefault="008937BA" w:rsidP="001A3D38">
      <w:pPr>
        <w:spacing w:after="120" w:line="360" w:lineRule="auto"/>
        <w:ind w:firstLine="360"/>
        <w:jc w:val="both"/>
      </w:pPr>
      <w:r w:rsidRPr="001A3D38">
        <w:t>Idea stworzenia programu wymiany edukacyjnej krajów Europy Środkowej, przedstawiona prz</w:t>
      </w:r>
      <w:r w:rsidR="006E2364" w:rsidRPr="001A3D38">
        <w:t>ez Stronę austriacką w 1992 r.</w:t>
      </w:r>
      <w:r w:rsidRPr="001A3D38">
        <w:t>, zyskała aprobatę Bułgarii, Polski, Słowacji, Słowenii i Węgier. Kraje te podpisały w dniu 8 grudnia 1993 r. Porozumienie w sprawie ustanowienia współpracy w dziedzinie edukacji i kształce</w:t>
      </w:r>
      <w:r w:rsidR="00EB1E6B" w:rsidRPr="001A3D38">
        <w:t>nia w </w:t>
      </w:r>
      <w:r w:rsidRPr="001A3D38">
        <w:t xml:space="preserve">ramach Środkowoeuropejskiego programu studiów uniwersyteckich (CEEPUS). </w:t>
      </w:r>
    </w:p>
    <w:p w14:paraId="0B2B0A6A" w14:textId="77777777" w:rsidR="008937BA" w:rsidRPr="001A3D38" w:rsidRDefault="008937BA" w:rsidP="001A3D38">
      <w:pPr>
        <w:spacing w:after="120" w:line="360" w:lineRule="auto"/>
        <w:ind w:firstLine="360"/>
        <w:jc w:val="both"/>
        <w:rPr>
          <w:iCs/>
        </w:rPr>
      </w:pPr>
      <w:r w:rsidRPr="001A3D38">
        <w:t xml:space="preserve">Dnia 22 sierpnia 1994 r. Rząd Rzeczypospolitej Polskiej złożył Ministerstwu Edukacji i Kultury Republiki Węgierskiej, jako depozytariuszowi, dokument ratyfikacyjny do </w:t>
      </w:r>
      <w:r w:rsidRPr="001A3D38">
        <w:rPr>
          <w:iCs/>
        </w:rPr>
        <w:t xml:space="preserve">Porozumienia pomiędzy Republiką Austrii, Republiką Bułgarii, Republiką Węgierską, Rzecząpospolitą Polską, Republiką Słowacką i Republiką Słowenii ustanawiającego współpracę w dziedzinie edukacji i kształcenia w ramach Środkowoeuropejskiego programu wymiany uniwersyteckiej (CEEPUS), sporządzonego w Budapeszcie dnia 8 grudnia 1993 r. </w:t>
      </w:r>
    </w:p>
    <w:p w14:paraId="0D3B3B82" w14:textId="77777777" w:rsidR="008937BA" w:rsidRPr="001A3D38" w:rsidRDefault="008937BA" w:rsidP="001A3D38">
      <w:pPr>
        <w:spacing w:after="120" w:line="360" w:lineRule="auto"/>
        <w:ind w:firstLine="360"/>
        <w:jc w:val="both"/>
      </w:pPr>
      <w:r w:rsidRPr="001A3D38">
        <w:t xml:space="preserve">Program CEEPUS był pierwszym programem współpracy wielostronnej w dziedzinie edukacji krajów Europy Środkowej. Z upływem czasu, doceniając znaczenie ustanowionego Programu, do Porozumienia przystępowały kolejne państwa: Chorwacja, Czechy i Rumunia. Podstawowym celem Programu było wspieranie międzynarodowej mobilności w zakresie kształcenia i doskonalenia zawodowego zarówno uczniów i nauczycieli szkół policealnych, jak i studentów oraz nauczycieli akademickich. Umożliwiał on intensyfikację kontaktów między szkołami i szkołami wyższymi krajów, będących Stronami Porozumienia. </w:t>
      </w:r>
    </w:p>
    <w:p w14:paraId="3466AA24" w14:textId="77777777" w:rsidR="008937BA" w:rsidRPr="001A3D38" w:rsidRDefault="008937BA" w:rsidP="001A3D38">
      <w:pPr>
        <w:pStyle w:val="Tekstpodstawowy"/>
        <w:spacing w:line="360" w:lineRule="auto"/>
        <w:ind w:firstLine="360"/>
        <w:jc w:val="both"/>
      </w:pPr>
      <w:r w:rsidRPr="001A3D38">
        <w:t>W Zagrzebiu dnia 9 marca 2003 r. podpisane zostało nowe Porozumienie pomiędzy Republiką Austrii, Republiką Bułgarii, Republiką Chorwacji, Republiką Czeską, Republiką Węgierską, Rzecząpospolitą Polską, Rumunią, Republiką Słowacką i Republiką Słowenii promujące współpracę w dziedzinie szkolnictwa wyższego w ramach Środkowoeuropejskiego Programu Wymiany Uniwersyteckiej (CEEPUS II). Porozumienie to zawężało zakres przedmiotowy realizacji współpracy i wymiany, ograniczając go tylko do obszaru szkolnictwa wyższego oraz zawierało rozwiązania sprzyjające realizacji celów „procesu Bolońskiego”.</w:t>
      </w:r>
    </w:p>
    <w:p w14:paraId="6199FE98" w14:textId="79ADE42A" w:rsidR="00152D38" w:rsidRPr="001A3D38" w:rsidRDefault="00152D38" w:rsidP="001A3D38">
      <w:pPr>
        <w:pStyle w:val="Tekstpodstawowy"/>
        <w:spacing w:line="360" w:lineRule="auto"/>
        <w:ind w:firstLine="360"/>
        <w:jc w:val="both"/>
      </w:pPr>
      <w:r w:rsidRPr="001A3D38">
        <w:t xml:space="preserve">W </w:t>
      </w:r>
      <w:proofErr w:type="spellStart"/>
      <w:r w:rsidRPr="001A3D38">
        <w:t>Budvie</w:t>
      </w:r>
      <w:proofErr w:type="spellEnd"/>
      <w:r w:rsidRPr="001A3D38">
        <w:t xml:space="preserve"> dnia 25 marca 2010 r. podp</w:t>
      </w:r>
      <w:r w:rsidR="00AC6EF9" w:rsidRPr="001A3D38">
        <w:t>isane</w:t>
      </w:r>
      <w:r w:rsidR="00A401DC" w:rsidRPr="001A3D38">
        <w:t xml:space="preserve"> zostało kolejne Porozumienie</w:t>
      </w:r>
      <w:r w:rsidR="0063634D" w:rsidRPr="001A3D38">
        <w:t xml:space="preserve"> w sprawie Środkowoeuropejskiego Programu Wymiany Uniwersyteckiej („CEEPUS III”). Sygnatariuszami Porozumienia były</w:t>
      </w:r>
      <w:r w:rsidR="005C2418">
        <w:t>:</w:t>
      </w:r>
      <w:r w:rsidR="0063634D" w:rsidRPr="001A3D38">
        <w:t xml:space="preserve"> </w:t>
      </w:r>
      <w:r w:rsidR="00AF4F70" w:rsidRPr="001A3D38">
        <w:t>Republik</w:t>
      </w:r>
      <w:r w:rsidR="0063634D" w:rsidRPr="001A3D38">
        <w:t>a</w:t>
      </w:r>
      <w:r w:rsidR="00AF4F70" w:rsidRPr="001A3D38">
        <w:t xml:space="preserve"> Albanii, Republik</w:t>
      </w:r>
      <w:r w:rsidR="0063634D" w:rsidRPr="001A3D38">
        <w:t>a</w:t>
      </w:r>
      <w:r w:rsidR="00AF4F70" w:rsidRPr="001A3D38">
        <w:t xml:space="preserve"> Austrii, Republik</w:t>
      </w:r>
      <w:r w:rsidR="0063634D" w:rsidRPr="001A3D38">
        <w:t>a</w:t>
      </w:r>
      <w:r w:rsidR="00AF4F70" w:rsidRPr="001A3D38">
        <w:t xml:space="preserve"> Bułgarii, Bośni</w:t>
      </w:r>
      <w:r w:rsidR="00601AC8" w:rsidRPr="001A3D38">
        <w:t>a</w:t>
      </w:r>
      <w:r w:rsidR="00AF4F70" w:rsidRPr="001A3D38">
        <w:t xml:space="preserve"> i</w:t>
      </w:r>
      <w:r w:rsidR="00F306E2" w:rsidRPr="001A3D38">
        <w:t> </w:t>
      </w:r>
      <w:r w:rsidR="00AF4F70" w:rsidRPr="001A3D38">
        <w:t>Hercegowin</w:t>
      </w:r>
      <w:r w:rsidR="00601AC8" w:rsidRPr="001A3D38">
        <w:t>a</w:t>
      </w:r>
      <w:r w:rsidR="00AF4F70" w:rsidRPr="001A3D38">
        <w:t>, Republik</w:t>
      </w:r>
      <w:r w:rsidR="0063634D" w:rsidRPr="001A3D38">
        <w:t>a</w:t>
      </w:r>
      <w:r w:rsidR="00AF4F70" w:rsidRPr="001A3D38">
        <w:t xml:space="preserve"> Chorwacji, Republik</w:t>
      </w:r>
      <w:r w:rsidR="0063634D" w:rsidRPr="001A3D38">
        <w:t>a</w:t>
      </w:r>
      <w:r w:rsidR="00AF4F70" w:rsidRPr="001A3D38">
        <w:t xml:space="preserve"> Czesk</w:t>
      </w:r>
      <w:r w:rsidR="0063634D" w:rsidRPr="001A3D38">
        <w:t>a</w:t>
      </w:r>
      <w:r w:rsidR="00AF4F70" w:rsidRPr="001A3D38">
        <w:t xml:space="preserve">, </w:t>
      </w:r>
      <w:r w:rsidR="0033393F" w:rsidRPr="001A3D38">
        <w:t xml:space="preserve">Republika </w:t>
      </w:r>
      <w:r w:rsidR="00020A65" w:rsidRPr="001A3D38">
        <w:lastRenderedPageBreak/>
        <w:t>Węg</w:t>
      </w:r>
      <w:r w:rsidR="0033393F" w:rsidRPr="001A3D38">
        <w:t>ierska</w:t>
      </w:r>
      <w:r w:rsidR="00AF4F70" w:rsidRPr="001A3D38">
        <w:t xml:space="preserve">, </w:t>
      </w:r>
      <w:r w:rsidR="0063634D" w:rsidRPr="001A3D38">
        <w:t xml:space="preserve">Rzeczpospolita Polska, </w:t>
      </w:r>
      <w:r w:rsidR="00AF4F70" w:rsidRPr="001A3D38">
        <w:t>Czarnogór</w:t>
      </w:r>
      <w:r w:rsidR="00C01314" w:rsidRPr="001A3D38">
        <w:t>a</w:t>
      </w:r>
      <w:r w:rsidR="00AF4F70" w:rsidRPr="001A3D38">
        <w:t>, Republik</w:t>
      </w:r>
      <w:r w:rsidR="0063634D" w:rsidRPr="001A3D38">
        <w:t>a</w:t>
      </w:r>
      <w:r w:rsidR="00AF4F70" w:rsidRPr="001A3D38">
        <w:t xml:space="preserve"> Macedonii, Rumuni</w:t>
      </w:r>
      <w:r w:rsidR="0063634D" w:rsidRPr="001A3D38">
        <w:t>a</w:t>
      </w:r>
      <w:r w:rsidR="00AF4F70" w:rsidRPr="001A3D38">
        <w:t>, Republik</w:t>
      </w:r>
      <w:r w:rsidR="0063634D" w:rsidRPr="001A3D38">
        <w:t>a</w:t>
      </w:r>
      <w:r w:rsidR="00AF4F70" w:rsidRPr="001A3D38">
        <w:t xml:space="preserve"> Serb</w:t>
      </w:r>
      <w:r w:rsidR="00C01314" w:rsidRPr="001A3D38">
        <w:t>ii</w:t>
      </w:r>
      <w:r w:rsidR="00AF4F70" w:rsidRPr="001A3D38">
        <w:t>, Republik</w:t>
      </w:r>
      <w:r w:rsidR="0063634D" w:rsidRPr="001A3D38">
        <w:t>a</w:t>
      </w:r>
      <w:r w:rsidR="00AF4F70" w:rsidRPr="001A3D38">
        <w:t xml:space="preserve"> Słowack</w:t>
      </w:r>
      <w:r w:rsidR="0063634D" w:rsidRPr="001A3D38">
        <w:t>a</w:t>
      </w:r>
      <w:r w:rsidR="00AF4F70" w:rsidRPr="001A3D38">
        <w:t xml:space="preserve"> oraz Republik</w:t>
      </w:r>
      <w:r w:rsidR="0063634D" w:rsidRPr="001A3D38">
        <w:t>a</w:t>
      </w:r>
      <w:r w:rsidR="00AF4F70" w:rsidRPr="001A3D38">
        <w:t xml:space="preserve"> Słowenii.</w:t>
      </w:r>
    </w:p>
    <w:p w14:paraId="6BC8ED0D" w14:textId="77777777" w:rsidR="008937BA" w:rsidRPr="001A3D38" w:rsidRDefault="008937BA" w:rsidP="001A3D38">
      <w:pPr>
        <w:pStyle w:val="Tekstpodstawowy"/>
        <w:spacing w:line="360" w:lineRule="auto"/>
        <w:ind w:firstLine="360"/>
        <w:jc w:val="both"/>
      </w:pPr>
      <w:r w:rsidRPr="001A3D38">
        <w:t>Aktualnie ze Strony polskiej w realizacji Programu CEEPUS II</w:t>
      </w:r>
      <w:r w:rsidR="0063634D" w:rsidRPr="001A3D38">
        <w:t>I</w:t>
      </w:r>
      <w:r w:rsidRPr="001A3D38">
        <w:t xml:space="preserve"> uczestniczą głównie szkoły wyższe nadzorowane przez </w:t>
      </w:r>
      <w:r w:rsidR="00232007" w:rsidRPr="001A3D38">
        <w:t xml:space="preserve">ministra właściwego do spraw szkolnictwa wyższego i nauki, ministra właściwego do spraw kultury i dziedzictwa narodowego, ministra właściwego do spraw zdrowia oraz ministra właściwego do spraw infrastruktury. </w:t>
      </w:r>
    </w:p>
    <w:p w14:paraId="163AF1C7" w14:textId="77777777" w:rsidR="008937BA" w:rsidRPr="001A3D38" w:rsidRDefault="001957B8" w:rsidP="001A3D38">
      <w:pPr>
        <w:pStyle w:val="Tekstpodstawowy"/>
        <w:spacing w:line="360" w:lineRule="auto"/>
        <w:ind w:firstLine="360"/>
        <w:jc w:val="both"/>
      </w:pPr>
      <w:r w:rsidRPr="001A3D38">
        <w:t>W ramach Programu</w:t>
      </w:r>
      <w:r w:rsidR="008937BA" w:rsidRPr="001A3D38">
        <w:t>:</w:t>
      </w:r>
    </w:p>
    <w:p w14:paraId="6E5A220D" w14:textId="77777777" w:rsidR="001957B8" w:rsidRPr="001A3D38" w:rsidRDefault="00F306E2" w:rsidP="001A3D38">
      <w:pPr>
        <w:pStyle w:val="Tekstpodstawowy"/>
        <w:keepLines/>
        <w:widowControl w:val="0"/>
        <w:numPr>
          <w:ilvl w:val="0"/>
          <w:numId w:val="8"/>
        </w:numPr>
        <w:tabs>
          <w:tab w:val="clear" w:pos="1080"/>
          <w:tab w:val="num" w:pos="720"/>
        </w:tabs>
        <w:suppressAutoHyphens/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</w:pPr>
      <w:r w:rsidRPr="001A3D38">
        <w:t xml:space="preserve">tworzone są </w:t>
      </w:r>
      <w:r w:rsidR="005419AF" w:rsidRPr="001A3D38">
        <w:t>s</w:t>
      </w:r>
      <w:r w:rsidRPr="001A3D38">
        <w:t xml:space="preserve">ieci </w:t>
      </w:r>
      <w:r w:rsidR="005419AF" w:rsidRPr="001A3D38">
        <w:t>a</w:t>
      </w:r>
      <w:r w:rsidR="001957B8" w:rsidRPr="001A3D38">
        <w:t xml:space="preserve">kademickie przy udziale partnerów z </w:t>
      </w:r>
      <w:r w:rsidR="00995870" w:rsidRPr="001A3D38">
        <w:t>Państw</w:t>
      </w:r>
      <w:r w:rsidR="001957B8" w:rsidRPr="001A3D38">
        <w:t xml:space="preserve"> </w:t>
      </w:r>
      <w:r w:rsidR="00613090" w:rsidRPr="001A3D38">
        <w:t>Stron</w:t>
      </w:r>
      <w:r w:rsidR="001957B8" w:rsidRPr="001A3D38">
        <w:t xml:space="preserve"> Porozumienia;</w:t>
      </w:r>
    </w:p>
    <w:p w14:paraId="12D946DC" w14:textId="77777777" w:rsidR="001957B8" w:rsidRPr="001A3D38" w:rsidRDefault="001957B8" w:rsidP="001A3D38">
      <w:pPr>
        <w:pStyle w:val="Tekstpodstawowy"/>
        <w:keepLines/>
        <w:widowControl w:val="0"/>
        <w:numPr>
          <w:ilvl w:val="0"/>
          <w:numId w:val="8"/>
        </w:numPr>
        <w:tabs>
          <w:tab w:val="clear" w:pos="1080"/>
          <w:tab w:val="num" w:pos="720"/>
        </w:tabs>
        <w:suppressAutoHyphens/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</w:pPr>
      <w:r w:rsidRPr="001A3D38">
        <w:t>przyznawane są stypendia na staże krótkoterminowe, studia semestralne, praktyki oraz inne formy kształcenie zgodnie z Programem Wykonawczym;</w:t>
      </w:r>
    </w:p>
    <w:p w14:paraId="34801C65" w14:textId="66A4773E" w:rsidR="001957B8" w:rsidRPr="001A3D38" w:rsidRDefault="001957B8" w:rsidP="001A3D38">
      <w:pPr>
        <w:pStyle w:val="Tekstpodstawowy"/>
        <w:keepLines/>
        <w:widowControl w:val="0"/>
        <w:numPr>
          <w:ilvl w:val="0"/>
          <w:numId w:val="8"/>
        </w:numPr>
        <w:tabs>
          <w:tab w:val="clear" w:pos="1080"/>
          <w:tab w:val="num" w:pos="720"/>
        </w:tabs>
        <w:suppressAutoHyphens/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</w:pPr>
      <w:r w:rsidRPr="001A3D38">
        <w:t xml:space="preserve">o stypendia CEEPUS </w:t>
      </w:r>
      <w:r w:rsidR="00D00D86" w:rsidRPr="001A3D38">
        <w:t>III</w:t>
      </w:r>
      <w:r w:rsidRPr="001A3D38">
        <w:t xml:space="preserve"> mogą aplikować studenci, </w:t>
      </w:r>
      <w:r w:rsidR="00463940" w:rsidRPr="001A3D38">
        <w:t>doktoranci oraz</w:t>
      </w:r>
      <w:r w:rsidRPr="001A3D38">
        <w:t xml:space="preserve"> nauczyciele akademic</w:t>
      </w:r>
      <w:r w:rsidR="005C2418">
        <w:t>c</w:t>
      </w:r>
      <w:r w:rsidRPr="001A3D38">
        <w:t>y.</w:t>
      </w:r>
    </w:p>
    <w:p w14:paraId="31CE2A8E" w14:textId="77777777" w:rsidR="008937BA" w:rsidRPr="001A3D38" w:rsidRDefault="008937BA" w:rsidP="001A3D38">
      <w:pPr>
        <w:pStyle w:val="Tekstpodstawowy"/>
        <w:spacing w:line="360" w:lineRule="auto"/>
        <w:jc w:val="both"/>
      </w:pPr>
      <w:r w:rsidRPr="001A3D38">
        <w:t xml:space="preserve">Funkcjonowanie Programu opiera się na następujących zasadach: </w:t>
      </w:r>
    </w:p>
    <w:p w14:paraId="4D435796" w14:textId="77777777" w:rsidR="005208BE" w:rsidRPr="001A3D38" w:rsidRDefault="008937BA" w:rsidP="001A3D38">
      <w:pPr>
        <w:pStyle w:val="Tekstpodstawowy"/>
        <w:keepLines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line="360" w:lineRule="auto"/>
        <w:ind w:left="709"/>
        <w:jc w:val="both"/>
        <w:textAlignment w:val="baseline"/>
      </w:pPr>
      <w:r w:rsidRPr="001A3D38">
        <w:t>brak transferu pieniędzy (tzw. współpraca bezdewizowa) – każdy kraj uczestniczący zabezpiecza odpowiednią pulę miesięcy stypendialnych i pokrywa koszty pod</w:t>
      </w:r>
      <w:r w:rsidR="00EB1E6B" w:rsidRPr="001A3D38">
        <w:t>róży swoich stypendystów do i z </w:t>
      </w:r>
      <w:r w:rsidRPr="001A3D38">
        <w:t xml:space="preserve">miejsca odbywania stażu oraz koszty pobytu obcokrajowców w ramach zadeklarowanej puli stypendialnej, </w:t>
      </w:r>
    </w:p>
    <w:p w14:paraId="2B83F2B4" w14:textId="77777777" w:rsidR="008937BA" w:rsidRPr="001A3D38" w:rsidRDefault="008937BA" w:rsidP="001A3D38">
      <w:pPr>
        <w:pStyle w:val="Tekstpodstawowy"/>
        <w:keepLines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line="360" w:lineRule="auto"/>
        <w:ind w:left="709"/>
        <w:jc w:val="both"/>
        <w:textAlignment w:val="baseline"/>
      </w:pPr>
      <w:r w:rsidRPr="001A3D38">
        <w:t>nie tworzy się w krajach uczestniczących żadnych dodatkowych struktur zarządzających Programem:</w:t>
      </w:r>
    </w:p>
    <w:p w14:paraId="0002BBBC" w14:textId="77777777" w:rsidR="008937BA" w:rsidRPr="001A3D38" w:rsidRDefault="008937BA" w:rsidP="001A3D38">
      <w:pPr>
        <w:pStyle w:val="Tekstpodstawowy"/>
        <w:keepLines/>
        <w:widowControl w:val="0"/>
        <w:numPr>
          <w:ilvl w:val="1"/>
          <w:numId w:val="8"/>
        </w:numPr>
        <w:tabs>
          <w:tab w:val="clear" w:pos="1723"/>
          <w:tab w:val="num" w:pos="1080"/>
        </w:tabs>
        <w:suppressAutoHyphens/>
        <w:overflowPunct w:val="0"/>
        <w:autoSpaceDE w:val="0"/>
        <w:autoSpaceDN w:val="0"/>
        <w:adjustRightInd w:val="0"/>
        <w:spacing w:line="360" w:lineRule="auto"/>
        <w:ind w:left="1080" w:hanging="360"/>
        <w:jc w:val="both"/>
        <w:textAlignment w:val="baseline"/>
      </w:pPr>
      <w:r w:rsidRPr="001A3D38">
        <w:t xml:space="preserve">do obsługi wykorzystywane są istniejące jednostki/komórki organizacyjne, w strukturach których wyodrębniane są tzw. </w:t>
      </w:r>
      <w:r w:rsidR="00784629" w:rsidRPr="001A3D38">
        <w:t>Krajowe Biura Programu CEEPUS </w:t>
      </w:r>
      <w:r w:rsidR="00D00D86" w:rsidRPr="001A3D38">
        <w:t>III</w:t>
      </w:r>
      <w:r w:rsidRPr="001A3D38">
        <w:t xml:space="preserve"> (</w:t>
      </w:r>
      <w:r w:rsidR="001957B8" w:rsidRPr="001A3D38">
        <w:t xml:space="preserve">Polskie Biuro CEEPUS jest umiejscowione w Narodowej Agencji Wymiany Akademickiej nadzorowanej przez Ministra </w:t>
      </w:r>
      <w:r w:rsidR="00232007" w:rsidRPr="001A3D38">
        <w:t>Nauki</w:t>
      </w:r>
      <w:r w:rsidR="001957B8" w:rsidRPr="001A3D38">
        <w:t>),</w:t>
      </w:r>
    </w:p>
    <w:p w14:paraId="03E8D4B2" w14:textId="77777777" w:rsidR="008937BA" w:rsidRPr="001A3D38" w:rsidRDefault="008937BA" w:rsidP="001A3D38">
      <w:pPr>
        <w:pStyle w:val="Tekstpodstawowy"/>
        <w:keepLines/>
        <w:widowControl w:val="0"/>
        <w:numPr>
          <w:ilvl w:val="1"/>
          <w:numId w:val="8"/>
        </w:numPr>
        <w:tabs>
          <w:tab w:val="clear" w:pos="1723"/>
          <w:tab w:val="num" w:pos="1080"/>
        </w:tabs>
        <w:suppressAutoHyphens/>
        <w:overflowPunct w:val="0"/>
        <w:autoSpaceDE w:val="0"/>
        <w:autoSpaceDN w:val="0"/>
        <w:adjustRightInd w:val="0"/>
        <w:spacing w:line="360" w:lineRule="auto"/>
        <w:ind w:left="1080" w:hanging="360"/>
        <w:jc w:val="both"/>
        <w:textAlignment w:val="baseline"/>
      </w:pPr>
      <w:r w:rsidRPr="001A3D38">
        <w:t xml:space="preserve">w sytuacji, kiedy szkoła wyższa wchodzi do projektu jako uczelnia partnerska, wyznaczani są koordynatorzy, którzy ustalają „ruch osobowy” wewnątrz danego projektu, w ramach przyznanych limitów stypendialnych. </w:t>
      </w:r>
    </w:p>
    <w:p w14:paraId="16346964" w14:textId="58288447" w:rsidR="008937BA" w:rsidRPr="001A3D38" w:rsidRDefault="008937BA" w:rsidP="001A3D38">
      <w:pPr>
        <w:pStyle w:val="Tekstpodstawowy"/>
        <w:spacing w:line="360" w:lineRule="auto"/>
        <w:ind w:firstLine="360"/>
        <w:jc w:val="both"/>
      </w:pPr>
      <w:r w:rsidRPr="001A3D38">
        <w:t>Do koordynacji realizacji oraz promowania Programu na forum mię</w:t>
      </w:r>
      <w:r w:rsidR="00EB1E6B" w:rsidRPr="001A3D38">
        <w:t>dzynarodowym powołane zostało w </w:t>
      </w:r>
      <w:r w:rsidRPr="001A3D38">
        <w:t>1993 r. Centralne Biuro Programu CEEPUS, finansowane w całości przez Stronę austriacką.</w:t>
      </w:r>
    </w:p>
    <w:p w14:paraId="73BBCF87" w14:textId="25676F89" w:rsidR="008937BA" w:rsidRPr="001A3D38" w:rsidRDefault="008937BA" w:rsidP="001A3D38">
      <w:pPr>
        <w:pStyle w:val="Tekstpodstawowy"/>
        <w:spacing w:line="360" w:lineRule="auto"/>
        <w:ind w:firstLine="360"/>
        <w:jc w:val="both"/>
      </w:pPr>
      <w:r w:rsidRPr="001A3D38">
        <w:lastRenderedPageBreak/>
        <w:t>Zgod</w:t>
      </w:r>
      <w:r w:rsidR="0007052E" w:rsidRPr="001A3D38">
        <w:t>nie z art. 10</w:t>
      </w:r>
      <w:r w:rsidRPr="001A3D38">
        <w:t xml:space="preserve"> ust.</w:t>
      </w:r>
      <w:r w:rsidR="006E2364" w:rsidRPr="001A3D38">
        <w:t xml:space="preserve"> </w:t>
      </w:r>
      <w:r w:rsidR="0007052E" w:rsidRPr="001A3D38">
        <w:t>1</w:t>
      </w:r>
      <w:r w:rsidRPr="001A3D38">
        <w:t xml:space="preserve"> Porozumienia podpisanego w </w:t>
      </w:r>
      <w:proofErr w:type="spellStart"/>
      <w:r w:rsidR="0007052E" w:rsidRPr="001A3D38">
        <w:t>Budvie</w:t>
      </w:r>
      <w:proofErr w:type="spellEnd"/>
      <w:r w:rsidR="0007052E" w:rsidRPr="001A3D38">
        <w:t xml:space="preserve"> dnia 25 marca 2010</w:t>
      </w:r>
      <w:r w:rsidRPr="001A3D38">
        <w:t xml:space="preserve"> r., po</w:t>
      </w:r>
      <w:r w:rsidR="0007052E" w:rsidRPr="001A3D38">
        <w:t>zostaje ono w mocy przez okres 7</w:t>
      </w:r>
      <w:r w:rsidRPr="001A3D38">
        <w:t xml:space="preserve"> lat i </w:t>
      </w:r>
      <w:r w:rsidR="003A6F84" w:rsidRPr="001A3D38">
        <w:t xml:space="preserve">zgodnie z art. 10 ust. 3 </w:t>
      </w:r>
      <w:r w:rsidR="0007052E" w:rsidRPr="001A3D38">
        <w:t xml:space="preserve">będzie automatycznie przedłużone na kolejny okres 7 lat, chyba że Wspólny Komitet jednogłośnie podejmie inną decyzję. </w:t>
      </w:r>
      <w:r w:rsidR="000C3A42" w:rsidRPr="001A3D38">
        <w:t xml:space="preserve">Działając na podstawie art. 10 ust. 3 Porozumienia CEEPUS III, </w:t>
      </w:r>
      <w:r w:rsidRPr="001A3D38">
        <w:t xml:space="preserve">Strona polska notyfikowała </w:t>
      </w:r>
      <w:r w:rsidR="000C3A42" w:rsidRPr="001A3D38">
        <w:t>chęć przedłużenia obowiązywania Porozumienia CEEPUS o kolejne 7 lat</w:t>
      </w:r>
      <w:r w:rsidRPr="001A3D38">
        <w:t>, przedłużając</w:t>
      </w:r>
      <w:r w:rsidR="000C3A42" w:rsidRPr="001A3D38">
        <w:t xml:space="preserve"> tym samym</w:t>
      </w:r>
      <w:r w:rsidRPr="001A3D38">
        <w:t xml:space="preserve"> jego </w:t>
      </w:r>
      <w:r w:rsidR="000C3A42" w:rsidRPr="001A3D38">
        <w:t>obowiązywanie do 30 kwietnia 2025 r.</w:t>
      </w:r>
      <w:r w:rsidRPr="001A3D38">
        <w:t xml:space="preserve"> Rzeczpospolita Polska jest więc jego Stroną i aktywnie uczestniczy w realizacji ustanowionego programu współpracy. </w:t>
      </w:r>
    </w:p>
    <w:p w14:paraId="0715699B" w14:textId="77777777" w:rsidR="008937BA" w:rsidRPr="001A3D38" w:rsidRDefault="008937BA" w:rsidP="001A3D38">
      <w:pPr>
        <w:pStyle w:val="Tekstpodstawowy"/>
        <w:spacing w:line="360" w:lineRule="auto"/>
        <w:ind w:firstLine="360"/>
        <w:jc w:val="both"/>
      </w:pPr>
      <w:r w:rsidRPr="001A3D38">
        <w:t xml:space="preserve">W roku </w:t>
      </w:r>
      <w:r w:rsidR="00F306E2" w:rsidRPr="001A3D38">
        <w:t xml:space="preserve">2019 Sygnatariusze Porozumienia CEEPUS III podczas XXI posiedzenia Komitetu Wspólnego Ministrów Programu CEEPUS w Zagrzebiu w 2019 r. wyrazili chęć kontynuowania współpracy </w:t>
      </w:r>
      <w:r w:rsidR="00A41434" w:rsidRPr="001A3D38">
        <w:t>w tym formacie oraz zadeklarowal</w:t>
      </w:r>
      <w:r w:rsidR="00F306E2" w:rsidRPr="001A3D38">
        <w:t>i gotowość podjęcia negocjacji nad nową umową międzynarodową regulującą działanie programu CEEPUS</w:t>
      </w:r>
      <w:r w:rsidRPr="001A3D38">
        <w:t xml:space="preserve"> </w:t>
      </w:r>
      <w:r w:rsidR="00F306E2" w:rsidRPr="001A3D38">
        <w:t>po 30 kwietnia 2025 r. Projekt Porozumienia został wypracowany w trakcie roboczych uzgodnień między stronami Porozumienia CEEPUS III oraz Centralnym Biurem CEEPUS, w tym podczas IX Spotkania Wyższych Urzędników Programu CEEPUS III w Wiedniu w 2021 r. oraz prac Wirtualnej Grupy Roboczej Wyższych Urzędników w marcu 2022 r.</w:t>
      </w:r>
    </w:p>
    <w:p w14:paraId="5B8100A6" w14:textId="77777777" w:rsidR="008937BA" w:rsidRPr="001A3D38" w:rsidRDefault="008937BA" w:rsidP="001A3D38">
      <w:pPr>
        <w:pStyle w:val="Tekstpodstawowy"/>
        <w:spacing w:line="360" w:lineRule="auto"/>
        <w:ind w:firstLine="360"/>
        <w:jc w:val="both"/>
      </w:pPr>
      <w:r w:rsidRPr="001A3D38">
        <w:t>W nowym Porozumieniu proponuje się, aby zasady organizacji i przebiegu współpracy międzyuczelnianej w r</w:t>
      </w:r>
      <w:r w:rsidR="00F306E2" w:rsidRPr="001A3D38">
        <w:t>amach nowego Programu CEEPUS IV</w:t>
      </w:r>
      <w:r w:rsidRPr="001A3D38">
        <w:t xml:space="preserve"> były podobne do określonych w</w:t>
      </w:r>
      <w:r w:rsidR="00F306E2" w:rsidRPr="001A3D38">
        <w:t> </w:t>
      </w:r>
      <w:r w:rsidRPr="001A3D38">
        <w:t xml:space="preserve">aktualnie obowiązującym Porozumieniu, z tym że dodatkowo </w:t>
      </w:r>
      <w:r w:rsidR="00F306E2" w:rsidRPr="001A3D38">
        <w:t>możliwe będzie przyznawanie stypendiów na udział w kształceniu zdalnym, nauczaniu zdalnym oraz hybrydowych formach kształcenia oraz nauczania.</w:t>
      </w:r>
      <w:r w:rsidR="00232007" w:rsidRPr="001A3D38">
        <w:t xml:space="preserve"> Ponadto </w:t>
      </w:r>
      <w:r w:rsidR="00232007" w:rsidRPr="001A3D38">
        <w:rPr>
          <w:lang w:val="pl"/>
        </w:rPr>
        <w:t>Stypendium CEEPUS IV będzie mogło być przyznane również pracownikom uczelni będącej członkiem sieci akademickiej w celu rozwoju potencjału oraz wsparcia wspólnych działań podejmowanych przez partnerów w ramach sieci akademickiej.</w:t>
      </w:r>
    </w:p>
    <w:p w14:paraId="7F02D9FC" w14:textId="751BCA21" w:rsidR="005208BE" w:rsidRPr="001A3D38" w:rsidRDefault="005208BE" w:rsidP="001A3D38">
      <w:pPr>
        <w:pStyle w:val="Tekstpodstawowy"/>
        <w:spacing w:line="360" w:lineRule="auto"/>
        <w:ind w:firstLine="360"/>
        <w:jc w:val="both"/>
      </w:pPr>
      <w:r w:rsidRPr="001A3D38">
        <w:t>Porozumienie w sprawie Środkowoeuropejskiego Programu Wymiany Uniwersyteckiej (</w:t>
      </w:r>
      <w:r w:rsidR="002C14EB" w:rsidRPr="00FA5244">
        <w:t>„</w:t>
      </w:r>
      <w:r w:rsidRPr="001A3D38">
        <w:t>CEEPUS IV</w:t>
      </w:r>
      <w:r w:rsidR="002C14EB" w:rsidRPr="00FA5244">
        <w:t>”</w:t>
      </w:r>
      <w:r w:rsidRPr="001A3D38">
        <w:t>) zostało podpisane 20 września 2023 r. w Warszawie przez</w:t>
      </w:r>
      <w:r w:rsidR="00261D6C" w:rsidRPr="001A3D38">
        <w:t xml:space="preserve"> Republikę Albanii, Republikę Austrii, Bośni</w:t>
      </w:r>
      <w:r w:rsidR="0041266E" w:rsidRPr="001A3D38">
        <w:t>ę</w:t>
      </w:r>
      <w:r w:rsidR="00EB1E6B" w:rsidRPr="001A3D38">
        <w:t xml:space="preserve"> i </w:t>
      </w:r>
      <w:r w:rsidR="00261D6C" w:rsidRPr="001A3D38">
        <w:t>Hercegowin</w:t>
      </w:r>
      <w:r w:rsidR="0041266E" w:rsidRPr="001A3D38">
        <w:t>ę</w:t>
      </w:r>
      <w:r w:rsidR="00261D6C" w:rsidRPr="001A3D38">
        <w:t xml:space="preserve">, Republikę Bułgarii, Republikę Chorwacji, Republikę Czeską, </w:t>
      </w:r>
      <w:r w:rsidR="0099484E" w:rsidRPr="001A3D38">
        <w:t>Węg</w:t>
      </w:r>
      <w:r w:rsidR="00261D6C" w:rsidRPr="001A3D38">
        <w:t>r</w:t>
      </w:r>
      <w:r w:rsidR="0099484E" w:rsidRPr="001A3D38">
        <w:t>y</w:t>
      </w:r>
      <w:r w:rsidR="00261D6C" w:rsidRPr="001A3D38">
        <w:t>, Rzeczpospolitą Polską, Republikę Mołdawii, Czarnogór</w:t>
      </w:r>
      <w:r w:rsidR="008C4A32" w:rsidRPr="001A3D38">
        <w:t>ę</w:t>
      </w:r>
      <w:r w:rsidR="00261D6C" w:rsidRPr="001A3D38">
        <w:t>, Republikę Macedonii Północnej, Rumunię, Republikę Serb</w:t>
      </w:r>
      <w:r w:rsidR="008C4A32" w:rsidRPr="001A3D38">
        <w:t>ii</w:t>
      </w:r>
      <w:r w:rsidR="00261D6C" w:rsidRPr="001A3D38">
        <w:t>, Republikę Słowacką oraz Republikę Słowenii.</w:t>
      </w:r>
    </w:p>
    <w:p w14:paraId="2B719827" w14:textId="6AB5D84B" w:rsidR="00261D6C" w:rsidRPr="001A3D38" w:rsidRDefault="00261D6C" w:rsidP="001A3D38">
      <w:pPr>
        <w:pStyle w:val="Tekstpodstawowy"/>
        <w:spacing w:line="360" w:lineRule="auto"/>
        <w:ind w:firstLine="360"/>
        <w:jc w:val="both"/>
      </w:pPr>
      <w:r w:rsidRPr="001A3D38">
        <w:t>Strona czeska w dniu 6 lutego 2024 r. złożyła do depozytariusza umowy (</w:t>
      </w:r>
      <w:r w:rsidR="0099484E" w:rsidRPr="001A3D38">
        <w:t xml:space="preserve">Centralnego </w:t>
      </w:r>
      <w:r w:rsidRPr="001A3D38">
        <w:t>Biur</w:t>
      </w:r>
      <w:r w:rsidR="0099484E" w:rsidRPr="001A3D38">
        <w:t>a</w:t>
      </w:r>
      <w:r w:rsidRPr="001A3D38">
        <w:t xml:space="preserve"> CEEPUS) dokument zatwierdzający Porozumienie, zawierający zastrzeżenie w </w:t>
      </w:r>
      <w:r w:rsidRPr="001A3D38">
        <w:lastRenderedPageBreak/>
        <w:t>odniesieniu do artykułu 8 Porozumienia. Artykuł 8 ustanawia procedurę arbitrażową jako sposób rozstrzygania wszelkich sporów dotyczących interpretacji lub stosowania Porozumienia albo programu wykonawczego. Republika Czeska nie jest gotowa do ponoszenia jakichkolwiek kosztów, które mogą powstać w związku z przewidywanym trybunałem arbitrażowym lub samą procedurą arbitrażową</w:t>
      </w:r>
      <w:r w:rsidR="002C14EB">
        <w:t>,</w:t>
      </w:r>
      <w:r w:rsidRPr="001A3D38">
        <w:t xml:space="preserve"> oraz </w:t>
      </w:r>
      <w:r w:rsidR="002F15DB" w:rsidRPr="001A3D38">
        <w:t xml:space="preserve">uważa, że </w:t>
      </w:r>
      <w:r w:rsidRPr="001A3D38">
        <w:t xml:space="preserve">Centralne Biuro CEEPUS </w:t>
      </w:r>
      <w:r w:rsidR="002F15DB" w:rsidRPr="001A3D38">
        <w:t xml:space="preserve">nie może </w:t>
      </w:r>
      <w:r w:rsidRPr="001A3D38">
        <w:t xml:space="preserve">być, zgodnie z </w:t>
      </w:r>
      <w:r w:rsidR="002F15DB" w:rsidRPr="001A3D38">
        <w:t>art.</w:t>
      </w:r>
      <w:r w:rsidRPr="001A3D38">
        <w:t xml:space="preserve"> 8 ust</w:t>
      </w:r>
      <w:r w:rsidR="002F15DB" w:rsidRPr="001A3D38">
        <w:t xml:space="preserve">. </w:t>
      </w:r>
      <w:r w:rsidRPr="001A3D38">
        <w:t xml:space="preserve">1, stroną sporu. </w:t>
      </w:r>
    </w:p>
    <w:p w14:paraId="14DACC5F" w14:textId="46263E16" w:rsidR="007D376C" w:rsidRPr="001A3D38" w:rsidRDefault="007D376C" w:rsidP="001A3D38">
      <w:pPr>
        <w:pStyle w:val="BodyText31"/>
        <w:keepNext w:val="0"/>
        <w:widowControl w:val="0"/>
        <w:numPr>
          <w:ilvl w:val="0"/>
          <w:numId w:val="4"/>
        </w:numPr>
        <w:spacing w:after="120" w:line="360" w:lineRule="auto"/>
        <w:rPr>
          <w:b/>
          <w:bCs/>
          <w:szCs w:val="24"/>
        </w:rPr>
      </w:pPr>
      <w:r w:rsidRPr="001A3D38">
        <w:rPr>
          <w:b/>
          <w:bCs/>
          <w:szCs w:val="24"/>
        </w:rPr>
        <w:t xml:space="preserve">Różnice między dotychczasowym </w:t>
      </w:r>
      <w:r w:rsidR="002C14EB">
        <w:rPr>
          <w:b/>
          <w:bCs/>
          <w:szCs w:val="24"/>
        </w:rPr>
        <w:t>a</w:t>
      </w:r>
      <w:r w:rsidRPr="001A3D38">
        <w:rPr>
          <w:b/>
          <w:bCs/>
          <w:szCs w:val="24"/>
        </w:rPr>
        <w:t xml:space="preserve"> projektowanym stanem prawnym</w:t>
      </w:r>
    </w:p>
    <w:p w14:paraId="28DF1F9F" w14:textId="77777777" w:rsidR="006D304D" w:rsidRPr="001A3D38" w:rsidRDefault="008937BA" w:rsidP="001A3D38">
      <w:pPr>
        <w:pStyle w:val="Tekstpodstawowy"/>
        <w:spacing w:line="360" w:lineRule="auto"/>
        <w:ind w:firstLine="360"/>
        <w:jc w:val="both"/>
      </w:pPr>
      <w:r w:rsidRPr="001A3D38">
        <w:t>Najważniejsze różnice między dotychczasowym a projektowanym stane</w:t>
      </w:r>
      <w:r w:rsidR="00EB1E6B" w:rsidRPr="001A3D38">
        <w:t>m prawnym polegają na tym, że w </w:t>
      </w:r>
      <w:r w:rsidRPr="001A3D38">
        <w:t>ramach nowego Programu będą wspierane</w:t>
      </w:r>
      <w:r w:rsidR="005419AF" w:rsidRPr="001A3D38">
        <w:t xml:space="preserve"> nie tylko</w:t>
      </w:r>
      <w:r w:rsidRPr="001A3D38">
        <w:t xml:space="preserve"> osoby wyjeżdżające do uczelni państw współpracujących </w:t>
      </w:r>
      <w:r w:rsidR="005419AF" w:rsidRPr="001A3D38">
        <w:t>w celu odbycia części studiów,</w:t>
      </w:r>
      <w:r w:rsidRPr="001A3D38">
        <w:t xml:space="preserve"> </w:t>
      </w:r>
      <w:r w:rsidR="005419AF" w:rsidRPr="001A3D38">
        <w:t>prowadzenia zajęć dydaktycznych</w:t>
      </w:r>
      <w:r w:rsidRPr="001A3D38">
        <w:t xml:space="preserve"> </w:t>
      </w:r>
      <w:r w:rsidR="005419AF" w:rsidRPr="001A3D38">
        <w:t xml:space="preserve">lub </w:t>
      </w:r>
      <w:r w:rsidRPr="001A3D38">
        <w:t>realizacji projektó</w:t>
      </w:r>
      <w:r w:rsidR="005419AF" w:rsidRPr="001A3D38">
        <w:t xml:space="preserve">w badawczych, ale również osoby biorące udział w kształceniu zdalnym, nauczaniu zdalnym oraz hybrydowych formach kształcenia oraz nauczania. </w:t>
      </w:r>
    </w:p>
    <w:p w14:paraId="12CCD8B4" w14:textId="4428B3A0" w:rsidR="006D304D" w:rsidRPr="001A3D38" w:rsidRDefault="005419AF" w:rsidP="001A3D38">
      <w:pPr>
        <w:pStyle w:val="Tekstpodstawowy"/>
        <w:spacing w:line="360" w:lineRule="auto"/>
        <w:ind w:firstLine="360"/>
        <w:jc w:val="both"/>
      </w:pPr>
      <w:r w:rsidRPr="001A3D38">
        <w:t>Ponadto stypendium CEEPUS IV może być również przyznane pracownikom uniwersytet</w:t>
      </w:r>
      <w:r w:rsidR="00806616" w:rsidRPr="001A3D38">
        <w:t>ów</w:t>
      </w:r>
      <w:r w:rsidRPr="001A3D38">
        <w:t xml:space="preserve"> tworzących sieci akademickie</w:t>
      </w:r>
      <w:r w:rsidR="00806616" w:rsidRPr="001A3D38">
        <w:t xml:space="preserve"> CEEPUS IV</w:t>
      </w:r>
      <w:r w:rsidRPr="001A3D38">
        <w:t xml:space="preserve"> na realizację wspólnych działań podejmowanych przez partnerów w</w:t>
      </w:r>
      <w:r w:rsidR="006D304D" w:rsidRPr="001A3D38">
        <w:t> </w:t>
      </w:r>
      <w:r w:rsidRPr="001A3D38">
        <w:t xml:space="preserve">ramach danej sieci. </w:t>
      </w:r>
      <w:r w:rsidR="005B4243" w:rsidRPr="001A3D38">
        <w:t xml:space="preserve">Kraj wysyłający może również </w:t>
      </w:r>
      <w:r w:rsidR="006D304D" w:rsidRPr="001A3D38">
        <w:t xml:space="preserve">wprowadzić dodatkowe świadczenia </w:t>
      </w:r>
      <w:r w:rsidR="00EB1E6B" w:rsidRPr="001A3D38">
        <w:t>na rzecz osób pozostających w </w:t>
      </w:r>
      <w:r w:rsidR="006D304D" w:rsidRPr="001A3D38">
        <w:t>trudnej sytuacji materialnej, osób niedostatecznie reprezentowanych lub osób z</w:t>
      </w:r>
      <w:r w:rsidR="005B4243" w:rsidRPr="001A3D38">
        <w:t> </w:t>
      </w:r>
      <w:r w:rsidR="006D304D" w:rsidRPr="001A3D38">
        <w:t xml:space="preserve">niepełnosprawnościami, zachęcające </w:t>
      </w:r>
      <w:r w:rsidR="00806616" w:rsidRPr="001A3D38">
        <w:t>tym samym do wzięcia udziału w wymianie</w:t>
      </w:r>
      <w:r w:rsidR="006D304D" w:rsidRPr="001A3D38">
        <w:t xml:space="preserve"> </w:t>
      </w:r>
      <w:r w:rsidR="00806616" w:rsidRPr="001A3D38">
        <w:t>nowe grupy stypendystów.</w:t>
      </w:r>
    </w:p>
    <w:p w14:paraId="57A21EDF" w14:textId="687FCE99" w:rsidR="00725112" w:rsidRPr="001A3D38" w:rsidRDefault="00A41434" w:rsidP="001A3D38">
      <w:pPr>
        <w:pStyle w:val="Tekstpodstawowy"/>
        <w:spacing w:line="360" w:lineRule="auto"/>
        <w:ind w:firstLine="360"/>
        <w:jc w:val="both"/>
      </w:pPr>
      <w:r w:rsidRPr="001A3D38">
        <w:t>Porozumienie przewiduje również</w:t>
      </w:r>
      <w:r w:rsidR="00784629" w:rsidRPr="001A3D38">
        <w:t xml:space="preserve"> możliwość </w:t>
      </w:r>
      <w:r w:rsidR="00EC3AD2" w:rsidRPr="001A3D38">
        <w:t xml:space="preserve">otwarcia się </w:t>
      </w:r>
      <w:r w:rsidR="00A903D9" w:rsidRPr="001A3D38">
        <w:t>Państw Stron</w:t>
      </w:r>
      <w:r w:rsidR="00FE10AB" w:rsidRPr="001A3D38">
        <w:t xml:space="preserve"> Porozumienia</w:t>
      </w:r>
      <w:r w:rsidR="00EC3AD2" w:rsidRPr="001A3D38">
        <w:t>, na podstawie indywidualnej decyzji każdego kraju i w ramach dodatkowej puli</w:t>
      </w:r>
      <w:r w:rsidR="00F67C83" w:rsidRPr="001A3D38">
        <w:t xml:space="preserve"> stypendiów</w:t>
      </w:r>
      <w:r w:rsidR="00EC3AD2" w:rsidRPr="001A3D38">
        <w:t>, na udział w</w:t>
      </w:r>
      <w:r w:rsidR="00BD5BD7" w:rsidRPr="001A3D38">
        <w:t> </w:t>
      </w:r>
      <w:r w:rsidR="00EC3AD2" w:rsidRPr="001A3D38">
        <w:t>wymianie</w:t>
      </w:r>
      <w:r w:rsidR="00BD5BD7" w:rsidRPr="001A3D38">
        <w:t xml:space="preserve"> w</w:t>
      </w:r>
      <w:r w:rsidR="00EC3AD2" w:rsidRPr="001A3D38">
        <w:t xml:space="preserve"> rama</w:t>
      </w:r>
      <w:r w:rsidR="002F70B8" w:rsidRPr="001A3D38">
        <w:t>ch sieci akademickich CEEPUS IV studentów i nauczycieli akademickich</w:t>
      </w:r>
      <w:r w:rsidR="002D1027" w:rsidRPr="001A3D38">
        <w:t xml:space="preserve"> </w:t>
      </w:r>
      <w:r w:rsidR="00C16BE0" w:rsidRPr="001A3D38">
        <w:t>z </w:t>
      </w:r>
      <w:r w:rsidR="00725112" w:rsidRPr="001A3D38">
        <w:t>instytucji szkolnictwa wyższego działających w krajach niebędących stroną Porozumienia</w:t>
      </w:r>
      <w:r w:rsidR="00EC3AD2" w:rsidRPr="001A3D38">
        <w:t xml:space="preserve">. </w:t>
      </w:r>
      <w:r w:rsidR="00F67C83" w:rsidRPr="001A3D38">
        <w:t>Rozwiązanie to pozwoli nawiązać współpracę z</w:t>
      </w:r>
      <w:r w:rsidR="005B4243" w:rsidRPr="001A3D38">
        <w:t> </w:t>
      </w:r>
      <w:r w:rsidR="00F67C83" w:rsidRPr="001A3D38">
        <w:t>instytucjami z</w:t>
      </w:r>
      <w:r w:rsidR="002D1027" w:rsidRPr="001A3D38">
        <w:t> </w:t>
      </w:r>
      <w:r w:rsidR="00F67C83" w:rsidRPr="001A3D38">
        <w:t xml:space="preserve">krajów trzecich oraz wzbogacić realizowane formy kształcenia przez odmienną perspektywę akademicką. Współpraca ta będzie stanowiła formę przygotowania dla krajów trzecich przed pełnym przystąpieniem do Porozumienia. </w:t>
      </w:r>
      <w:r w:rsidR="00BD5BD7" w:rsidRPr="001A3D38">
        <w:t xml:space="preserve">Nowe Porozumienie dopuszcza również, aby </w:t>
      </w:r>
      <w:r w:rsidR="00725112" w:rsidRPr="001A3D38">
        <w:t>Wspólny Komitet Ministrów uznał</w:t>
      </w:r>
      <w:r w:rsidR="00BD5BD7" w:rsidRPr="001A3D38">
        <w:t xml:space="preserve"> jednogłośnie </w:t>
      </w:r>
      <w:r w:rsidR="00725112" w:rsidRPr="001A3D38">
        <w:t xml:space="preserve">współpracę z wybranym krajem niebędącym stroną Porozumienia za wspólne zainteresowanie. Pozwoli to na przyznanie przez </w:t>
      </w:r>
      <w:r w:rsidR="00FE10AB" w:rsidRPr="001A3D38">
        <w:t>Państwa Strony Porozumienia</w:t>
      </w:r>
      <w:r w:rsidR="00725112" w:rsidRPr="001A3D38">
        <w:t xml:space="preserve"> studentom i nauczycielom akademickim z powyższego kraju stypendiów z puli </w:t>
      </w:r>
      <w:r w:rsidR="006F7097" w:rsidRPr="001A3D38">
        <w:t>miesięcy stypendialny</w:t>
      </w:r>
      <w:r w:rsidR="002C14EB">
        <w:t>ch</w:t>
      </w:r>
      <w:r w:rsidR="006F7097" w:rsidRPr="001A3D38">
        <w:t xml:space="preserve"> CEEPUS IV </w:t>
      </w:r>
      <w:r w:rsidR="00725112" w:rsidRPr="001A3D38">
        <w:t>niewykorzystanych w ramach sieci akademickich CEEPUS IV.</w:t>
      </w:r>
    </w:p>
    <w:p w14:paraId="018734AC" w14:textId="77777777" w:rsidR="001B2970" w:rsidRPr="001A3D38" w:rsidRDefault="001B2970" w:rsidP="001A3D38">
      <w:pPr>
        <w:pStyle w:val="Tekstpodstawowy"/>
        <w:spacing w:line="360" w:lineRule="auto"/>
        <w:ind w:firstLine="360"/>
        <w:jc w:val="both"/>
      </w:pPr>
      <w:r w:rsidRPr="001A3D38">
        <w:lastRenderedPageBreak/>
        <w:t>Dodatkowo</w:t>
      </w:r>
      <w:r w:rsidR="00784629" w:rsidRPr="001A3D38">
        <w:t xml:space="preserve"> Porozumienie doprecyzowuje </w:t>
      </w:r>
      <w:r w:rsidRPr="001A3D38">
        <w:t xml:space="preserve">zadania realizowane przez </w:t>
      </w:r>
      <w:r w:rsidR="00784629" w:rsidRPr="001A3D38">
        <w:t xml:space="preserve">Krajowe Biura Programu CEEPUS IV, nakładając jednocześnie na nie nowe </w:t>
      </w:r>
      <w:r w:rsidR="006A1A12" w:rsidRPr="001A3D38">
        <w:t>obowiązki</w:t>
      </w:r>
      <w:r w:rsidR="00784629" w:rsidRPr="001A3D38">
        <w:t xml:space="preserve"> polegające m.in. na z</w:t>
      </w:r>
      <w:r w:rsidR="006A1A12" w:rsidRPr="001A3D38">
        <w:t>apewnieniu</w:t>
      </w:r>
      <w:r w:rsidRPr="001A3D38">
        <w:t xml:space="preserve"> doradztwa potencjalnym </w:t>
      </w:r>
      <w:r w:rsidR="00013E66" w:rsidRPr="001A3D38">
        <w:t>beneficjentom</w:t>
      </w:r>
      <w:r w:rsidRPr="001A3D38">
        <w:t xml:space="preserve"> w zakresie współpracy w sieci</w:t>
      </w:r>
      <w:r w:rsidR="00013E66" w:rsidRPr="001A3D38">
        <w:t>ach</w:t>
      </w:r>
      <w:r w:rsidRPr="001A3D38">
        <w:t xml:space="preserve"> akademickich CEEPUS IV oraz oferty stypendialnej</w:t>
      </w:r>
      <w:r w:rsidR="00013E66" w:rsidRPr="001A3D38">
        <w:t>, a także</w:t>
      </w:r>
      <w:r w:rsidR="006A1A12" w:rsidRPr="001A3D38">
        <w:t xml:space="preserve"> podejmowaniu</w:t>
      </w:r>
      <w:r w:rsidRPr="001A3D38">
        <w:t xml:space="preserve"> niezbędnych działań we współpracy z Centralnym Biurem CEEPUS w celu pełnej realizacji ogólne</w:t>
      </w:r>
      <w:r w:rsidR="006A1A12" w:rsidRPr="001A3D38">
        <w:t>go rozporządzenia o ochronie danych.</w:t>
      </w:r>
      <w:r w:rsidR="00725112" w:rsidRPr="001A3D38">
        <w:t xml:space="preserve"> Porozumienie dookreśla również, iż Dyrektorem Centralnego Biura CEEPUS jest Sekretarz Generalny.</w:t>
      </w:r>
    </w:p>
    <w:p w14:paraId="3AFC4DED" w14:textId="77777777" w:rsidR="00A37E3A" w:rsidRPr="001A3D38" w:rsidRDefault="00A37E3A" w:rsidP="001A3D38">
      <w:pPr>
        <w:pStyle w:val="Tekstpodstawowy"/>
        <w:spacing w:line="360" w:lineRule="auto"/>
        <w:ind w:firstLine="360"/>
        <w:jc w:val="both"/>
      </w:pPr>
      <w:r w:rsidRPr="001A3D38">
        <w:t>Porozumienie pozostanie w mocy przez siedem lat od daty wejścia w życie, tj. od 1 maja 2025 r. Nie został przewidziany mechanizm prze</w:t>
      </w:r>
      <w:r w:rsidR="005B4243" w:rsidRPr="001A3D38">
        <w:t>dłużenia okresu obowiązywania Porozumienia.</w:t>
      </w:r>
    </w:p>
    <w:p w14:paraId="7C4653B6" w14:textId="77777777" w:rsidR="008937BA" w:rsidRPr="001A3D38" w:rsidRDefault="008937BA" w:rsidP="001A3D38">
      <w:pPr>
        <w:pStyle w:val="Tekstpodstawowy"/>
        <w:spacing w:line="360" w:lineRule="auto"/>
        <w:ind w:firstLine="360"/>
        <w:jc w:val="both"/>
      </w:pPr>
      <w:r w:rsidRPr="001A3D38">
        <w:t>Pozostałe zmiany odróżniające zapisy aktualnie obwiązującego Porozumienia (CEEPUS II</w:t>
      </w:r>
      <w:r w:rsidR="006A1A12" w:rsidRPr="001A3D38">
        <w:t>I</w:t>
      </w:r>
      <w:r w:rsidRPr="001A3D38">
        <w:t xml:space="preserve">) od </w:t>
      </w:r>
      <w:r w:rsidR="006A1A12" w:rsidRPr="001A3D38">
        <w:t>Porozumienia (CEEPUS IV</w:t>
      </w:r>
      <w:r w:rsidRPr="001A3D38">
        <w:t>) mają raczej charakter zmian redakcyjnych ora</w:t>
      </w:r>
      <w:r w:rsidR="00EB1E6B" w:rsidRPr="001A3D38">
        <w:t>z precyzujących i wynikają z </w:t>
      </w:r>
      <w:r w:rsidRPr="001A3D38">
        <w:t>doświadczeń związanych z wieloletnim okresem funkcjonowania Programu CEEPUS II</w:t>
      </w:r>
      <w:r w:rsidR="006A1A12" w:rsidRPr="001A3D38">
        <w:t>I</w:t>
      </w:r>
      <w:r w:rsidRPr="001A3D38">
        <w:t xml:space="preserve">. </w:t>
      </w:r>
    </w:p>
    <w:p w14:paraId="60320239" w14:textId="77777777" w:rsidR="008937BA" w:rsidRPr="001A3D38" w:rsidRDefault="008937BA" w:rsidP="001A3D38">
      <w:pPr>
        <w:pStyle w:val="BodyText31"/>
        <w:keepNext w:val="0"/>
        <w:widowControl w:val="0"/>
        <w:numPr>
          <w:ilvl w:val="0"/>
          <w:numId w:val="4"/>
        </w:numPr>
        <w:spacing w:after="120" w:line="360" w:lineRule="auto"/>
        <w:rPr>
          <w:b/>
          <w:bCs/>
          <w:szCs w:val="24"/>
        </w:rPr>
      </w:pPr>
      <w:r w:rsidRPr="001A3D38">
        <w:rPr>
          <w:b/>
          <w:bCs/>
          <w:szCs w:val="24"/>
        </w:rPr>
        <w:t>Skut</w:t>
      </w:r>
      <w:r w:rsidR="007D376C" w:rsidRPr="001A3D38">
        <w:rPr>
          <w:b/>
          <w:bCs/>
          <w:szCs w:val="24"/>
        </w:rPr>
        <w:t>ki związane z wejściem w życie u</w:t>
      </w:r>
      <w:r w:rsidRPr="001A3D38">
        <w:rPr>
          <w:b/>
          <w:bCs/>
          <w:szCs w:val="24"/>
        </w:rPr>
        <w:t>mowy międzynarodowej</w:t>
      </w:r>
    </w:p>
    <w:p w14:paraId="798C3ED6" w14:textId="77777777" w:rsidR="00501CF3" w:rsidRPr="001A3D38" w:rsidRDefault="00501CF3" w:rsidP="001A3D38">
      <w:pPr>
        <w:spacing w:after="120" w:line="360" w:lineRule="auto"/>
        <w:ind w:firstLine="360"/>
        <w:jc w:val="both"/>
        <w:rPr>
          <w:i/>
          <w:u w:val="single"/>
        </w:rPr>
      </w:pPr>
      <w:r w:rsidRPr="001A3D38">
        <w:rPr>
          <w:i/>
          <w:u w:val="single"/>
        </w:rPr>
        <w:t>Skutki polityczne i społeczne</w:t>
      </w:r>
    </w:p>
    <w:p w14:paraId="14539ACB" w14:textId="77777777" w:rsidR="008937BA" w:rsidRPr="001A3D38" w:rsidRDefault="008937BA" w:rsidP="001A3D38">
      <w:pPr>
        <w:spacing w:after="120" w:line="360" w:lineRule="auto"/>
        <w:ind w:firstLine="360"/>
        <w:jc w:val="both"/>
      </w:pPr>
      <w:r w:rsidRPr="001A3D38">
        <w:t xml:space="preserve">Dzięki </w:t>
      </w:r>
      <w:r w:rsidR="00827BDC" w:rsidRPr="001A3D38">
        <w:t>związaniu się</w:t>
      </w:r>
      <w:r w:rsidRPr="001A3D38">
        <w:t xml:space="preserve"> Polski Porozumieni</w:t>
      </w:r>
      <w:r w:rsidR="00827BDC" w:rsidRPr="001A3D38">
        <w:t>em</w:t>
      </w:r>
      <w:r w:rsidRPr="001A3D38">
        <w:t xml:space="preserve"> u</w:t>
      </w:r>
      <w:r w:rsidR="0007052E" w:rsidRPr="001A3D38">
        <w:t>stanawiając</w:t>
      </w:r>
      <w:r w:rsidR="00827BDC" w:rsidRPr="001A3D38">
        <w:t>ym</w:t>
      </w:r>
      <w:r w:rsidR="0007052E" w:rsidRPr="001A3D38">
        <w:t xml:space="preserve"> Program CEEPUS IV</w:t>
      </w:r>
      <w:r w:rsidRPr="001A3D38">
        <w:t>, utrzymane zostaną korzystne i stabilne warunki, pozwalające na bardziej intensywny rozwó</w:t>
      </w:r>
      <w:r w:rsidR="00EB1E6B" w:rsidRPr="001A3D38">
        <w:t>j współpracy w obszarze nauki i </w:t>
      </w:r>
      <w:r w:rsidRPr="001A3D38">
        <w:t>szkolnictwa wyższego z krajami Europy Środkowej i Połud</w:t>
      </w:r>
      <w:r w:rsidR="00EB1E6B" w:rsidRPr="001A3D38">
        <w:t>niowej. Polskie szkoły wyższe i </w:t>
      </w:r>
      <w:r w:rsidRPr="001A3D38">
        <w:t xml:space="preserve">jednostki naukowe będą miały zagwarantowaną możliwość kontynuowania współpracy, pogłębiania nawiązanych kontaktów i prowadzenia wymiany z partnerami zagranicznymi, </w:t>
      </w:r>
      <w:r w:rsidR="0007052E" w:rsidRPr="001A3D38">
        <w:t xml:space="preserve">w tym również w formie zdalnej, </w:t>
      </w:r>
      <w:r w:rsidRPr="001A3D38">
        <w:t>uzyskując wsparcie w formie stypendiów przyznawanych osobom uczestniczącym w tej formie współpra</w:t>
      </w:r>
      <w:r w:rsidR="00501CF3" w:rsidRPr="001A3D38">
        <w:t>cy międzynarodowej.</w:t>
      </w:r>
    </w:p>
    <w:p w14:paraId="66662BBF" w14:textId="0A25BCBF" w:rsidR="008937BA" w:rsidRPr="001A3D38" w:rsidRDefault="008937BA" w:rsidP="001A3D38">
      <w:pPr>
        <w:pStyle w:val="Tekstpodstawowy"/>
        <w:spacing w:line="360" w:lineRule="auto"/>
        <w:ind w:firstLine="360"/>
        <w:jc w:val="both"/>
      </w:pPr>
      <w:r w:rsidRPr="001A3D38">
        <w:t xml:space="preserve">Realizacja Programu CEEPUS </w:t>
      </w:r>
      <w:r w:rsidR="001B2970" w:rsidRPr="001A3D38">
        <w:t>IV</w:t>
      </w:r>
      <w:r w:rsidRPr="001A3D38">
        <w:t xml:space="preserve"> </w:t>
      </w:r>
      <w:r w:rsidR="00B46E56" w:rsidRPr="00FA5244">
        <w:t>będzie</w:t>
      </w:r>
      <w:r w:rsidR="00B46E56" w:rsidRPr="00B46E56">
        <w:t xml:space="preserve"> </w:t>
      </w:r>
      <w:r w:rsidRPr="001A3D38">
        <w:t xml:space="preserve">stanowić istotny element współpracy państw </w:t>
      </w:r>
      <w:r w:rsidR="0007052E" w:rsidRPr="001A3D38">
        <w:t>leżących w Europie Środkowej i Południowej, która wp</w:t>
      </w:r>
      <w:r w:rsidRPr="001A3D38">
        <w:t xml:space="preserve">łynie na podniesienie poziomu i jakości kształcenia oraz prowadzonych badań naukowych, a także na podnoszenie kwalifikacji zawodowych nauczycieli akademickich i rozwój młodej kadry naukowej. Kontynuowana będzie wymiana stażystów, mająca charakter bezdewizowy. </w:t>
      </w:r>
    </w:p>
    <w:p w14:paraId="78A91B98" w14:textId="1E84A378" w:rsidR="00B864CB" w:rsidRPr="001A3D38" w:rsidRDefault="008937BA" w:rsidP="001A3D38">
      <w:pPr>
        <w:pStyle w:val="Tekstpodstawowy"/>
        <w:spacing w:line="360" w:lineRule="auto"/>
        <w:ind w:firstLine="360"/>
        <w:jc w:val="both"/>
      </w:pPr>
      <w:r w:rsidRPr="001A3D38">
        <w:t xml:space="preserve">W ramach obecnie </w:t>
      </w:r>
      <w:r w:rsidR="001B2970" w:rsidRPr="001A3D38">
        <w:t>realizowanego Programu CEEPUS III</w:t>
      </w:r>
      <w:r w:rsidRPr="001A3D38">
        <w:t xml:space="preserve"> dotychczas uczestniczyło co roku w różnych formach kształcenia i podnoszenia kwalifikacji zawodowych ok</w:t>
      </w:r>
      <w:r w:rsidR="001B2970" w:rsidRPr="001A3D38">
        <w:t xml:space="preserve">. </w:t>
      </w:r>
      <w:r w:rsidR="00B864CB" w:rsidRPr="001A3D38">
        <w:t>300 polskich studentów i</w:t>
      </w:r>
      <w:r w:rsidR="001B2970" w:rsidRPr="001A3D38">
        <w:t> </w:t>
      </w:r>
      <w:r w:rsidR="00B864CB" w:rsidRPr="001A3D38">
        <w:t xml:space="preserve">uczestników studiów doktoranckich oraz ok. 350 nauczycieli akademickich. </w:t>
      </w:r>
      <w:r w:rsidR="00B864CB" w:rsidRPr="001A3D38">
        <w:lastRenderedPageBreak/>
        <w:t>Ponadto średnio w</w:t>
      </w:r>
      <w:r w:rsidR="00013E66" w:rsidRPr="001A3D38">
        <w:t> </w:t>
      </w:r>
      <w:r w:rsidR="00B864CB" w:rsidRPr="001A3D38">
        <w:t>ciągu roku akademickiego przyjeżdża do Polski ok. 300 zagranicznych studentów i doktorantów oraz ok.</w:t>
      </w:r>
      <w:r w:rsidR="001B2970" w:rsidRPr="001A3D38">
        <w:t> </w:t>
      </w:r>
      <w:r w:rsidR="00B864CB" w:rsidRPr="001A3D38">
        <w:t>300 nauczycieli akademickich (co daje ok</w:t>
      </w:r>
      <w:r w:rsidR="00B46E56">
        <w:t>.</w:t>
      </w:r>
      <w:r w:rsidR="00B864CB" w:rsidRPr="001A3D38">
        <w:t xml:space="preserve"> 550</w:t>
      </w:r>
      <w:r w:rsidR="00B46E56" w:rsidRPr="00FA5244">
        <w:t>–</w:t>
      </w:r>
      <w:r w:rsidR="00B864CB" w:rsidRPr="001A3D38">
        <w:t xml:space="preserve">600 staży rocznie). </w:t>
      </w:r>
      <w:r w:rsidR="00A41434" w:rsidRPr="001A3D38">
        <w:t>Polska jest też wiodącym uczestnikiem Programu zarówno pod względem liczby realizowanych staży akademickich, jak i liczby instytucji uczestniczących w sieciach akademickich.</w:t>
      </w:r>
    </w:p>
    <w:p w14:paraId="0A9494ED" w14:textId="77777777" w:rsidR="00501CF3" w:rsidRPr="001A3D38" w:rsidRDefault="00501CF3" w:rsidP="001A3D38">
      <w:pPr>
        <w:pStyle w:val="Tekstpodstawowy"/>
        <w:spacing w:line="360" w:lineRule="auto"/>
        <w:ind w:firstLine="360"/>
        <w:jc w:val="both"/>
        <w:rPr>
          <w:i/>
          <w:u w:val="single"/>
        </w:rPr>
      </w:pPr>
      <w:r w:rsidRPr="001A3D38">
        <w:rPr>
          <w:i/>
          <w:u w:val="single"/>
        </w:rPr>
        <w:t>Skutki gospodarcze i finansowe</w:t>
      </w:r>
    </w:p>
    <w:p w14:paraId="01220192" w14:textId="77777777" w:rsidR="008937BA" w:rsidRPr="001A3D38" w:rsidRDefault="0067283D" w:rsidP="001A3D38">
      <w:pPr>
        <w:spacing w:after="120" w:line="360" w:lineRule="auto"/>
        <w:ind w:firstLine="360"/>
        <w:jc w:val="both"/>
      </w:pPr>
      <w:r w:rsidRPr="001A3D38">
        <w:t xml:space="preserve">Związanie się </w:t>
      </w:r>
      <w:r w:rsidR="008937BA" w:rsidRPr="001A3D38">
        <w:t xml:space="preserve">Polski </w:t>
      </w:r>
      <w:r w:rsidR="0099484E" w:rsidRPr="001A3D38">
        <w:t>u</w:t>
      </w:r>
      <w:r w:rsidR="008937BA" w:rsidRPr="001A3D38">
        <w:t>mow</w:t>
      </w:r>
      <w:r w:rsidRPr="001A3D38">
        <w:t>ą</w:t>
      </w:r>
      <w:r w:rsidR="008937BA" w:rsidRPr="001A3D38">
        <w:t xml:space="preserve"> międzynarodow</w:t>
      </w:r>
      <w:r w:rsidRPr="001A3D38">
        <w:t>ą</w:t>
      </w:r>
      <w:r w:rsidR="008937BA" w:rsidRPr="001A3D38">
        <w:t xml:space="preserve"> nie spowoduje dodatkowych skutków finansowych dla budżetu państwa i budżetów jednostek sektora finansów publicznych. W projektach budżetu państwa na poszczególne lata są planowane odpowiednie środki finansowe na realizację wymiany stypendialnej w ramach aktualnie realizowanego Programu CEEPUS II</w:t>
      </w:r>
      <w:r w:rsidR="00B864CB" w:rsidRPr="001A3D38">
        <w:t>I</w:t>
      </w:r>
      <w:r w:rsidR="008937BA" w:rsidRPr="001A3D38">
        <w:t xml:space="preserve"> i będą również przewidzi</w:t>
      </w:r>
      <w:r w:rsidR="00EB1E6B" w:rsidRPr="001A3D38">
        <w:t>ane na współpracę realizowaną w </w:t>
      </w:r>
      <w:r w:rsidR="008937BA" w:rsidRPr="001A3D38">
        <w:t>r</w:t>
      </w:r>
      <w:r w:rsidR="00B864CB" w:rsidRPr="001A3D38">
        <w:t>amach przedsięwzięcia CEEPUS IV</w:t>
      </w:r>
      <w:r w:rsidR="008937BA" w:rsidRPr="001A3D38">
        <w:t xml:space="preserve">, </w:t>
      </w:r>
      <w:r w:rsidR="00501CF3" w:rsidRPr="001A3D38">
        <w:t>głównie w części pozostającej w </w:t>
      </w:r>
      <w:r w:rsidR="008937BA" w:rsidRPr="001A3D38">
        <w:t xml:space="preserve">dyspozycji Ministra </w:t>
      </w:r>
      <w:r w:rsidR="0099484E" w:rsidRPr="001A3D38">
        <w:t>Nauki</w:t>
      </w:r>
      <w:r w:rsidR="008937BA" w:rsidRPr="001A3D38">
        <w:t>. Ponadto ministrowie n</w:t>
      </w:r>
      <w:r w:rsidR="00B864CB" w:rsidRPr="001A3D38">
        <w:t xml:space="preserve">adzorujący uczelnie artystyczne, </w:t>
      </w:r>
      <w:r w:rsidR="008937BA" w:rsidRPr="001A3D38">
        <w:t xml:space="preserve">medyczne </w:t>
      </w:r>
      <w:r w:rsidR="00501CF3" w:rsidRPr="001A3D38">
        <w:t>i </w:t>
      </w:r>
      <w:r w:rsidR="00B864CB" w:rsidRPr="001A3D38">
        <w:t xml:space="preserve">morskie </w:t>
      </w:r>
      <w:r w:rsidR="008937BA" w:rsidRPr="001A3D38">
        <w:t xml:space="preserve">deklarują co roku pulę kilkunastu lub kilkudziesięciu miesięcy stypendialnych. </w:t>
      </w:r>
    </w:p>
    <w:p w14:paraId="10A2FDBB" w14:textId="77777777" w:rsidR="008937BA" w:rsidRPr="001A3D38" w:rsidRDefault="008937BA" w:rsidP="001A3D38">
      <w:pPr>
        <w:spacing w:after="120" w:line="360" w:lineRule="auto"/>
        <w:ind w:firstLine="360"/>
        <w:jc w:val="both"/>
      </w:pPr>
      <w:r w:rsidRPr="001A3D38">
        <w:t xml:space="preserve">W budżecie Ministerstwa </w:t>
      </w:r>
      <w:r w:rsidR="0099484E" w:rsidRPr="001A3D38">
        <w:t>Nauki i Szkolnictwa Wyższego</w:t>
      </w:r>
      <w:r w:rsidR="006E2364" w:rsidRPr="001A3D38">
        <w:t xml:space="preserve"> zapewniane</w:t>
      </w:r>
      <w:r w:rsidRPr="001A3D38">
        <w:t xml:space="preserve"> są również co roku środki finansowe na pokrycie kosztów funkcjonowania </w:t>
      </w:r>
      <w:r w:rsidR="00B864CB" w:rsidRPr="001A3D38">
        <w:t>Narodowej Agencji Wymiany Akademickiej</w:t>
      </w:r>
      <w:r w:rsidRPr="001A3D38">
        <w:t>, któr</w:t>
      </w:r>
      <w:r w:rsidR="0099484E" w:rsidRPr="001A3D38">
        <w:t>a</w:t>
      </w:r>
      <w:r w:rsidRPr="001A3D38">
        <w:t xml:space="preserve"> pełni rolę Krajowego Biura Programu CEEPUS i nadal będzie pełnić tę rolę po przekształceniu Programu CEEPUS II</w:t>
      </w:r>
      <w:r w:rsidR="00B864CB" w:rsidRPr="001A3D38">
        <w:t>I w Program CEEPUS IV</w:t>
      </w:r>
      <w:r w:rsidRPr="001A3D38">
        <w:t xml:space="preserve">. </w:t>
      </w:r>
    </w:p>
    <w:p w14:paraId="57ECB18B" w14:textId="77777777" w:rsidR="00501CF3" w:rsidRPr="001A3D38" w:rsidRDefault="00501CF3" w:rsidP="001A3D38">
      <w:pPr>
        <w:spacing w:after="120" w:line="360" w:lineRule="auto"/>
        <w:ind w:firstLine="360"/>
        <w:jc w:val="both"/>
        <w:rPr>
          <w:i/>
          <w:u w:val="single"/>
        </w:rPr>
      </w:pPr>
      <w:r w:rsidRPr="001A3D38">
        <w:rPr>
          <w:i/>
          <w:u w:val="single"/>
        </w:rPr>
        <w:t>Skutki prawne</w:t>
      </w:r>
    </w:p>
    <w:p w14:paraId="2E641932" w14:textId="77777777" w:rsidR="00EB1E6B" w:rsidRPr="001A3D38" w:rsidRDefault="00EB1E6B" w:rsidP="001A3D38">
      <w:pPr>
        <w:pStyle w:val="Tekstpodstawowy"/>
        <w:spacing w:line="360" w:lineRule="auto"/>
        <w:ind w:firstLine="360"/>
        <w:jc w:val="both"/>
      </w:pPr>
      <w:r w:rsidRPr="001A3D38">
        <w:t xml:space="preserve">Podmiotami prawa krajowego, których dotyczy Porozumienie będą: szkoły wyższe i jednostki naukowe, Narodowa Agencja Wymiany Akademickiej jako Krajowe Biuro CEEPUS oraz ministrowie nadzorujący szkoły wyższe. Ponadto jego postanowienia dotyczą studentów, uczestników studiów doktoranckich, nauczycieli akademickich oraz pracowników uczelni. </w:t>
      </w:r>
    </w:p>
    <w:p w14:paraId="51276057" w14:textId="22C11CD7" w:rsidR="00EB1E6B" w:rsidRPr="001A3D38" w:rsidRDefault="00EB1E6B" w:rsidP="001A3D38">
      <w:pPr>
        <w:pStyle w:val="Tekstpodstawowy"/>
        <w:spacing w:line="360" w:lineRule="auto"/>
        <w:ind w:firstLine="360"/>
        <w:jc w:val="both"/>
      </w:pPr>
      <w:r w:rsidRPr="001A3D38">
        <w:t xml:space="preserve">W celu wykonania postanowień Porozumienia nie będzie konieczne wydanie dodatkowych aktów normatywnych lub dokonywanie zmian w przepisach prawa wewnętrznego. Realizacja Porozumienia będzie następowała z uwzględnieniem istniejących przepisów prawnych: ustawy z dnia 20 lipca 2018 r. </w:t>
      </w:r>
      <w:r w:rsidR="001771C4" w:rsidRPr="00FA5244">
        <w:t>–</w:t>
      </w:r>
      <w:r w:rsidR="001771C4">
        <w:t xml:space="preserve"> </w:t>
      </w:r>
      <w:r w:rsidRPr="001A3D38">
        <w:rPr>
          <w:i/>
        </w:rPr>
        <w:t>Prawo o szkolnictwie wyższym i nauce</w:t>
      </w:r>
      <w:r w:rsidRPr="001A3D38">
        <w:t xml:space="preserve"> (Dz. U. z 202</w:t>
      </w:r>
      <w:r w:rsidR="001771C4">
        <w:t>3</w:t>
      </w:r>
      <w:r w:rsidRPr="001A3D38">
        <w:t xml:space="preserve"> r. poz. </w:t>
      </w:r>
      <w:r w:rsidR="001771C4">
        <w:t xml:space="preserve">742, z </w:t>
      </w:r>
      <w:proofErr w:type="spellStart"/>
      <w:r w:rsidR="001771C4">
        <w:t>późn</w:t>
      </w:r>
      <w:proofErr w:type="spellEnd"/>
      <w:r w:rsidR="001771C4">
        <w:t>. zm.</w:t>
      </w:r>
      <w:r w:rsidRPr="001A3D38">
        <w:t xml:space="preserve">) oraz ustawy z dnia 7 lipca 2017 r. o </w:t>
      </w:r>
      <w:r w:rsidRPr="001A3D38">
        <w:rPr>
          <w:i/>
        </w:rPr>
        <w:t>Narodowej Agencji Wymiany Akademickiej</w:t>
      </w:r>
      <w:r w:rsidRPr="001A3D38">
        <w:t xml:space="preserve"> (Dz. U. z 20</w:t>
      </w:r>
      <w:r w:rsidR="00646E9E">
        <w:t>23</w:t>
      </w:r>
      <w:r w:rsidRPr="001A3D38">
        <w:t xml:space="preserve"> r. poz. </w:t>
      </w:r>
      <w:r w:rsidR="00646E9E">
        <w:t>843</w:t>
      </w:r>
      <w:r w:rsidRPr="001A3D38">
        <w:t>).</w:t>
      </w:r>
    </w:p>
    <w:p w14:paraId="3585F823" w14:textId="77777777" w:rsidR="008937BA" w:rsidRPr="001A3D38" w:rsidRDefault="007D376C" w:rsidP="001A3D38">
      <w:pPr>
        <w:pStyle w:val="BodyText31"/>
        <w:widowControl w:val="0"/>
        <w:numPr>
          <w:ilvl w:val="0"/>
          <w:numId w:val="4"/>
        </w:numPr>
        <w:spacing w:after="120" w:line="360" w:lineRule="auto"/>
        <w:ind w:left="714" w:hanging="357"/>
        <w:rPr>
          <w:b/>
          <w:bCs/>
          <w:szCs w:val="24"/>
        </w:rPr>
      </w:pPr>
      <w:r w:rsidRPr="001A3D38">
        <w:rPr>
          <w:b/>
          <w:bCs/>
          <w:szCs w:val="24"/>
        </w:rPr>
        <w:lastRenderedPageBreak/>
        <w:t>Tryb związania u</w:t>
      </w:r>
      <w:r w:rsidR="008937BA" w:rsidRPr="001A3D38">
        <w:rPr>
          <w:b/>
          <w:bCs/>
          <w:szCs w:val="24"/>
        </w:rPr>
        <w:t xml:space="preserve">mową międzynarodową </w:t>
      </w:r>
    </w:p>
    <w:p w14:paraId="6F8D3259" w14:textId="77777777" w:rsidR="008937BA" w:rsidRPr="001A3D38" w:rsidRDefault="008937BA" w:rsidP="001A3D38">
      <w:pPr>
        <w:pStyle w:val="Tekstpodstawowy"/>
        <w:spacing w:line="360" w:lineRule="auto"/>
        <w:ind w:firstLine="360"/>
        <w:jc w:val="both"/>
      </w:pPr>
      <w:r w:rsidRPr="001A3D38">
        <w:t xml:space="preserve">Wybór trybu związania Polski </w:t>
      </w:r>
      <w:r w:rsidR="000C60CB" w:rsidRPr="001A3D38">
        <w:t>u</w:t>
      </w:r>
      <w:r w:rsidRPr="001A3D38">
        <w:t xml:space="preserve">mową międzynarodową podyktowany został zakresem przedmiotowym Porozumienia. Mając na uwadze fakt, że postanowienia Porozumienia: </w:t>
      </w:r>
    </w:p>
    <w:p w14:paraId="16D18628" w14:textId="77777777" w:rsidR="008937BA" w:rsidRPr="001A3D38" w:rsidRDefault="008937BA" w:rsidP="001A3D38">
      <w:pPr>
        <w:pStyle w:val="Tekstpodstawowy"/>
        <w:keepLines/>
        <w:widowControl w:val="0"/>
        <w:numPr>
          <w:ilvl w:val="0"/>
          <w:numId w:val="9"/>
        </w:numPr>
        <w:tabs>
          <w:tab w:val="clear" w:pos="567"/>
          <w:tab w:val="num" w:pos="720"/>
        </w:tabs>
        <w:suppressAutoHyphens/>
        <w:overflowPunct w:val="0"/>
        <w:autoSpaceDE w:val="0"/>
        <w:autoSpaceDN w:val="0"/>
        <w:adjustRightInd w:val="0"/>
        <w:spacing w:line="360" w:lineRule="auto"/>
        <w:ind w:left="720" w:hanging="360"/>
        <w:jc w:val="both"/>
        <w:textAlignment w:val="baseline"/>
      </w:pPr>
      <w:r w:rsidRPr="001A3D38">
        <w:t xml:space="preserve">nakładają na </w:t>
      </w:r>
      <w:r w:rsidR="006F5C3B" w:rsidRPr="001A3D38">
        <w:t>P</w:t>
      </w:r>
      <w:r w:rsidRPr="001A3D38">
        <w:t xml:space="preserve">aństwa będące Stronami określone zobowiązania (np. obowiązek ustanowienia narodowych biur Programu, zabezpieczenia środków finansowych na ich działalność oraz na wymianę stypendialną), </w:t>
      </w:r>
    </w:p>
    <w:p w14:paraId="7F146FE3" w14:textId="77777777" w:rsidR="008937BA" w:rsidRPr="001A3D38" w:rsidRDefault="008937BA" w:rsidP="001A3D38">
      <w:pPr>
        <w:pStyle w:val="Tekstpodstawowy"/>
        <w:keepLines/>
        <w:widowControl w:val="0"/>
        <w:numPr>
          <w:ilvl w:val="0"/>
          <w:numId w:val="9"/>
        </w:numPr>
        <w:tabs>
          <w:tab w:val="clear" w:pos="567"/>
          <w:tab w:val="num" w:pos="720"/>
        </w:tabs>
        <w:suppressAutoHyphens/>
        <w:overflowPunct w:val="0"/>
        <w:autoSpaceDE w:val="0"/>
        <w:autoSpaceDN w:val="0"/>
        <w:adjustRightInd w:val="0"/>
        <w:spacing w:line="360" w:lineRule="auto"/>
        <w:ind w:left="720" w:hanging="360"/>
        <w:jc w:val="both"/>
        <w:textAlignment w:val="baseline"/>
      </w:pPr>
      <w:r w:rsidRPr="001A3D38">
        <w:t>wymagają, aby uczelnie zaintereso</w:t>
      </w:r>
      <w:r w:rsidR="00B864CB" w:rsidRPr="001A3D38">
        <w:t>wane udziałem w sieci CEEPUS IV</w:t>
      </w:r>
      <w:r w:rsidRPr="001A3D38">
        <w:t xml:space="preserve"> spełniały określone warunki, </w:t>
      </w:r>
    </w:p>
    <w:p w14:paraId="4E1562FB" w14:textId="77777777" w:rsidR="008937BA" w:rsidRPr="001A3D38" w:rsidRDefault="008937BA" w:rsidP="001A3D38">
      <w:pPr>
        <w:pStyle w:val="Tekstpodstawowy"/>
        <w:keepLines/>
        <w:widowControl w:val="0"/>
        <w:numPr>
          <w:ilvl w:val="0"/>
          <w:numId w:val="9"/>
        </w:numPr>
        <w:tabs>
          <w:tab w:val="clear" w:pos="567"/>
          <w:tab w:val="num" w:pos="720"/>
        </w:tabs>
        <w:suppressAutoHyphens/>
        <w:overflowPunct w:val="0"/>
        <w:autoSpaceDE w:val="0"/>
        <w:autoSpaceDN w:val="0"/>
        <w:adjustRightInd w:val="0"/>
        <w:spacing w:line="360" w:lineRule="auto"/>
        <w:ind w:left="720" w:hanging="360"/>
        <w:jc w:val="both"/>
        <w:textAlignment w:val="baseline"/>
      </w:pPr>
      <w:r w:rsidRPr="001A3D38">
        <w:t>ustalają kryteria związane z ubieganiem się o stype</w:t>
      </w:r>
      <w:r w:rsidR="00B864CB" w:rsidRPr="001A3D38">
        <w:t>ndia w ramach Programu CEEPUS IV</w:t>
      </w:r>
      <w:r w:rsidRPr="001A3D38">
        <w:t>,</w:t>
      </w:r>
    </w:p>
    <w:p w14:paraId="2583196B" w14:textId="77777777" w:rsidR="008937BA" w:rsidRPr="001A3D38" w:rsidRDefault="008937BA" w:rsidP="001A3D38">
      <w:pPr>
        <w:pStyle w:val="Tekstpodstawowy"/>
        <w:spacing w:line="360" w:lineRule="auto"/>
        <w:jc w:val="both"/>
      </w:pPr>
      <w:r w:rsidRPr="001A3D38">
        <w:t xml:space="preserve">związanie Rzeczypospolitej Polskiej </w:t>
      </w:r>
      <w:r w:rsidR="00C41FE4" w:rsidRPr="001A3D38">
        <w:t>u</w:t>
      </w:r>
      <w:r w:rsidRPr="001A3D38">
        <w:t>mową międzynarodową powinno nastąpić w trybie ratyfikacji.</w:t>
      </w:r>
    </w:p>
    <w:p w14:paraId="3172D65E" w14:textId="657C3121" w:rsidR="00F76B82" w:rsidRPr="001A3D38" w:rsidRDefault="00B864CB" w:rsidP="001A3D38">
      <w:pPr>
        <w:pStyle w:val="Tekstpodstawowy"/>
        <w:spacing w:line="360" w:lineRule="auto"/>
        <w:ind w:firstLine="360"/>
        <w:jc w:val="both"/>
      </w:pPr>
      <w:r w:rsidRPr="001A3D38">
        <w:t>R</w:t>
      </w:r>
      <w:r w:rsidR="00F76B82" w:rsidRPr="001A3D38">
        <w:t>egulacje określone w Porozumieniu są zgodne z ustawodawstwem wewnętrznym, a</w:t>
      </w:r>
      <w:r w:rsidR="00C025CD" w:rsidRPr="001A3D38">
        <w:t> </w:t>
      </w:r>
      <w:r w:rsidR="00F76B82" w:rsidRPr="001A3D38">
        <w:t>w</w:t>
      </w:r>
      <w:r w:rsidR="00C025CD" w:rsidRPr="001A3D38">
        <w:t> </w:t>
      </w:r>
      <w:r w:rsidR="00EB1E6B" w:rsidRPr="001A3D38">
        <w:t>szczególności z </w:t>
      </w:r>
      <w:r w:rsidR="00F76B82" w:rsidRPr="001A3D38">
        <w:t xml:space="preserve">przepisami ustawy – </w:t>
      </w:r>
      <w:r w:rsidR="00C025CD" w:rsidRPr="001A3D38">
        <w:rPr>
          <w:i/>
        </w:rPr>
        <w:t xml:space="preserve">Prawo o </w:t>
      </w:r>
      <w:r w:rsidR="00F76B82" w:rsidRPr="001A3D38">
        <w:rPr>
          <w:i/>
        </w:rPr>
        <w:t xml:space="preserve">szkolnictwie wyższym i </w:t>
      </w:r>
      <w:r w:rsidRPr="001A3D38">
        <w:rPr>
          <w:i/>
        </w:rPr>
        <w:t>nauce</w:t>
      </w:r>
      <w:r w:rsidR="00F76B82" w:rsidRPr="001A3D38">
        <w:t xml:space="preserve">, które </w:t>
      </w:r>
      <w:r w:rsidR="00013E66" w:rsidRPr="001A3D38">
        <w:t>regulują</w:t>
      </w:r>
      <w:r w:rsidR="00C025CD" w:rsidRPr="001A3D38">
        <w:t xml:space="preserve"> przyjmowanie</w:t>
      </w:r>
      <w:r w:rsidR="00F76B82" w:rsidRPr="001A3D38">
        <w:t xml:space="preserve"> cudzoziemców </w:t>
      </w:r>
      <w:r w:rsidRPr="001A3D38">
        <w:t>na różne formy kształcenia</w:t>
      </w:r>
      <w:r w:rsidR="00F76B82" w:rsidRPr="001A3D38">
        <w:t xml:space="preserve"> oraz </w:t>
      </w:r>
      <w:r w:rsidR="00C025CD" w:rsidRPr="001A3D38">
        <w:t xml:space="preserve">udzielenie urlopu nauczycielowi akademickiemu m.in. w celu odbycia za granicą kształcenia, stażu naukowego albo dydaktycznego, albo uczestnictwa we wspólnych badaniach naukowych. </w:t>
      </w:r>
      <w:r w:rsidR="00F76B82" w:rsidRPr="001A3D38">
        <w:t>Respektują one autonomię szkół wyższych i</w:t>
      </w:r>
      <w:r w:rsidR="00013E66" w:rsidRPr="001A3D38">
        <w:t> </w:t>
      </w:r>
      <w:r w:rsidR="00F76B82" w:rsidRPr="001A3D38">
        <w:t>dają możliwość wszystkim zainteresowanym osobom, które spełniają określone wymagania formalne, udział w realizacji współpracy z partnerami regionu Europy Środkowej i Południowej.</w:t>
      </w:r>
    </w:p>
    <w:p w14:paraId="1D96AC57" w14:textId="77777777" w:rsidR="00A440ED" w:rsidRPr="001A3D38" w:rsidRDefault="00A93FEB" w:rsidP="001A3D38">
      <w:pPr>
        <w:pStyle w:val="Tekstpodstawowy"/>
        <w:spacing w:line="360" w:lineRule="auto"/>
        <w:ind w:firstLine="360"/>
        <w:jc w:val="both"/>
      </w:pPr>
      <w:r w:rsidRPr="001A3D38">
        <w:t>P</w:t>
      </w:r>
      <w:r w:rsidR="008937BA" w:rsidRPr="001A3D38">
        <w:t>ostanowienia Porozumienia spełniają przesłanki określone w</w:t>
      </w:r>
      <w:r w:rsidR="0033393F" w:rsidRPr="001A3D38">
        <w:t xml:space="preserve"> </w:t>
      </w:r>
      <w:r w:rsidR="00A440ED" w:rsidRPr="001A3D38">
        <w:t>art. 89 ust. 1 pkt 5 Konstytucji RP</w:t>
      </w:r>
      <w:r w:rsidR="00333E7C" w:rsidRPr="001A3D38">
        <w:t xml:space="preserve"> –</w:t>
      </w:r>
      <w:r w:rsidR="00847333" w:rsidRPr="001A3D38">
        <w:t xml:space="preserve"> spraw uregulowanych w ustawie lub w kt</w:t>
      </w:r>
      <w:r w:rsidR="00745C3F" w:rsidRPr="001A3D38">
        <w:t xml:space="preserve">órych Konstytucja wymaga ustawy, ponieważ </w:t>
      </w:r>
      <w:r w:rsidR="0033393F" w:rsidRPr="001A3D38">
        <w:t>wymiana akademicka w </w:t>
      </w:r>
      <w:r w:rsidR="002737FB" w:rsidRPr="001A3D38">
        <w:t xml:space="preserve">ramach Porozumienia będzie się odbywać zgodnie z ustawą – </w:t>
      </w:r>
      <w:r w:rsidR="002737FB" w:rsidRPr="001A3D38">
        <w:rPr>
          <w:i/>
        </w:rPr>
        <w:t>Prawo o szkolnictwie wyższym i nauce</w:t>
      </w:r>
      <w:r w:rsidR="0033393F" w:rsidRPr="001A3D38">
        <w:t>, w tym z </w:t>
      </w:r>
      <w:r w:rsidR="002737FB" w:rsidRPr="001A3D38">
        <w:t>przepisami ro</w:t>
      </w:r>
      <w:r w:rsidR="00EB1E6B" w:rsidRPr="001A3D38">
        <w:t>zdziału VIII Cudzoziemcy w </w:t>
      </w:r>
      <w:r w:rsidR="002737FB" w:rsidRPr="001A3D38">
        <w:t>systemie szkolnictwa wyższego i nauki</w:t>
      </w:r>
      <w:r w:rsidRPr="001A3D38">
        <w:t>.</w:t>
      </w:r>
    </w:p>
    <w:p w14:paraId="385E576E" w14:textId="6875B4B3" w:rsidR="008937BA" w:rsidRPr="001A3D38" w:rsidRDefault="00A93FEB" w:rsidP="001A3D38">
      <w:pPr>
        <w:pStyle w:val="Tekstpodstawowy"/>
        <w:spacing w:line="360" w:lineRule="auto"/>
        <w:ind w:firstLine="360"/>
        <w:jc w:val="both"/>
      </w:pPr>
      <w:r w:rsidRPr="001A3D38">
        <w:t xml:space="preserve">Mając powyższe na względzie, </w:t>
      </w:r>
      <w:r w:rsidR="008937BA" w:rsidRPr="001A3D38">
        <w:t xml:space="preserve">zachodzi </w:t>
      </w:r>
      <w:r w:rsidRPr="001A3D38">
        <w:t>zatem</w:t>
      </w:r>
      <w:r w:rsidR="008937BA" w:rsidRPr="001A3D38">
        <w:t xml:space="preserve"> potrzeba ratyfikowania </w:t>
      </w:r>
      <w:r w:rsidRPr="001A3D38">
        <w:t xml:space="preserve">Porozumienia za uprzednią </w:t>
      </w:r>
      <w:r w:rsidR="008937BA" w:rsidRPr="001A3D38">
        <w:t>zgodą wyrażoną w ustawie.</w:t>
      </w:r>
    </w:p>
    <w:p w14:paraId="164CD7ED" w14:textId="06A21E95" w:rsidR="0099484E" w:rsidRPr="001A3D38" w:rsidRDefault="0099484E" w:rsidP="001A3D38">
      <w:pPr>
        <w:pStyle w:val="Tekstpodstawowy"/>
        <w:spacing w:line="360" w:lineRule="auto"/>
        <w:ind w:firstLine="360"/>
        <w:jc w:val="both"/>
      </w:pPr>
      <w:r w:rsidRPr="001A3D38">
        <w:t xml:space="preserve">Porozumienie wejdzie w życie </w:t>
      </w:r>
      <w:r w:rsidRPr="001A3D38">
        <w:rPr>
          <w:lang w:val="pl"/>
        </w:rPr>
        <w:t>1 maja 2025 r</w:t>
      </w:r>
      <w:r w:rsidR="00084CF5">
        <w:rPr>
          <w:lang w:val="pl"/>
        </w:rPr>
        <w:t>.</w:t>
      </w:r>
      <w:r w:rsidRPr="001A3D38">
        <w:rPr>
          <w:lang w:val="pl"/>
        </w:rPr>
        <w:t xml:space="preserve"> dla Państw Sygnatariuszy, które złożą do tego czasu dokumenty </w:t>
      </w:r>
      <w:r w:rsidR="00E17FD5" w:rsidRPr="001A3D38">
        <w:rPr>
          <w:lang w:val="pl"/>
        </w:rPr>
        <w:t>potwierdzające przyjęcie Porozumienia</w:t>
      </w:r>
      <w:r w:rsidRPr="001A3D38">
        <w:rPr>
          <w:lang w:val="pl"/>
        </w:rPr>
        <w:t xml:space="preserve">. Porozumienie pozostanie w mocy przez siedem lat od dnia wejścia w życie. Dla Państw Sygnatariuszy, które złożą dokument przyjęcia Porozumienia po tym jak wejdzie ono w życie zgodnie z artykułem 10 </w:t>
      </w:r>
      <w:r w:rsidRPr="001A3D38">
        <w:rPr>
          <w:lang w:val="pl"/>
        </w:rPr>
        <w:lastRenderedPageBreak/>
        <w:t>ustęp 1, niniejsze Porozumienie wejdzie w życie pierwszego dnia miesiąca następującego po dniu złożenia dokumentu przyjęcia.</w:t>
      </w:r>
    </w:p>
    <w:p w14:paraId="4CA6A321" w14:textId="77777777" w:rsidR="007D376C" w:rsidRPr="001A3D38" w:rsidRDefault="007D376C" w:rsidP="001A3D38">
      <w:pPr>
        <w:numPr>
          <w:ilvl w:val="0"/>
          <w:numId w:val="4"/>
        </w:numPr>
        <w:spacing w:after="120" w:line="360" w:lineRule="auto"/>
        <w:jc w:val="both"/>
        <w:rPr>
          <w:b/>
          <w:bCs/>
        </w:rPr>
      </w:pPr>
      <w:r w:rsidRPr="001A3D38">
        <w:rPr>
          <w:b/>
        </w:rPr>
        <w:t>Porozumieni</w:t>
      </w:r>
      <w:r w:rsidR="00C51DD1" w:rsidRPr="001A3D38">
        <w:rPr>
          <w:b/>
        </w:rPr>
        <w:t>e</w:t>
      </w:r>
      <w:r w:rsidRPr="001A3D38">
        <w:rPr>
          <w:b/>
        </w:rPr>
        <w:t xml:space="preserve"> nie jest sprzeczn</w:t>
      </w:r>
      <w:r w:rsidR="00067B59" w:rsidRPr="001A3D38">
        <w:rPr>
          <w:b/>
        </w:rPr>
        <w:t>e</w:t>
      </w:r>
      <w:r w:rsidRPr="001A3D38">
        <w:rPr>
          <w:b/>
        </w:rPr>
        <w:t xml:space="preserve"> z prawem Unii Europejskiej.</w:t>
      </w:r>
    </w:p>
    <w:p w14:paraId="20E9E3A3" w14:textId="77777777" w:rsidR="007E01A4" w:rsidRPr="00A530DC" w:rsidRDefault="007E01A4" w:rsidP="00084CF5">
      <w:pPr>
        <w:pStyle w:val="Tekstpodstawowy"/>
        <w:spacing w:before="60" w:after="60" w:line="360" w:lineRule="auto"/>
        <w:ind w:firstLine="360"/>
        <w:jc w:val="both"/>
      </w:pPr>
    </w:p>
    <w:sectPr w:rsidR="007E01A4" w:rsidRPr="00A530DC" w:rsidSect="001A3D38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953C" w14:textId="77777777" w:rsidR="00F00869" w:rsidRDefault="00F00869">
      <w:r>
        <w:separator/>
      </w:r>
    </w:p>
  </w:endnote>
  <w:endnote w:type="continuationSeparator" w:id="0">
    <w:p w14:paraId="2E66A5A2" w14:textId="77777777" w:rsidR="00F00869" w:rsidRDefault="00F0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AED3" w14:textId="2C23BEF6" w:rsidR="00FB4CF9" w:rsidRDefault="00FB4CF9" w:rsidP="003C6C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2FF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A19EFA" w14:textId="77777777" w:rsidR="00FB4CF9" w:rsidRDefault="00FB4C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F483" w14:textId="77777777" w:rsidR="00FB4CF9" w:rsidRPr="00C64143" w:rsidRDefault="00FB4CF9" w:rsidP="003C6C5B">
    <w:pPr>
      <w:pStyle w:val="Stopka"/>
      <w:framePr w:wrap="around" w:vAnchor="text" w:hAnchor="margin" w:xAlign="center" w:y="1"/>
      <w:rPr>
        <w:rStyle w:val="Numerstrony"/>
      </w:rPr>
    </w:pPr>
    <w:r w:rsidRPr="00C64143">
      <w:rPr>
        <w:rStyle w:val="Numerstrony"/>
      </w:rPr>
      <w:fldChar w:fldCharType="begin"/>
    </w:r>
    <w:r w:rsidRPr="00C64143">
      <w:rPr>
        <w:rStyle w:val="Numerstrony"/>
      </w:rPr>
      <w:instrText xml:space="preserve">PAGE  </w:instrText>
    </w:r>
    <w:r w:rsidRPr="00C64143">
      <w:rPr>
        <w:rStyle w:val="Numerstrony"/>
      </w:rPr>
      <w:fldChar w:fldCharType="separate"/>
    </w:r>
    <w:r w:rsidR="0033393F" w:rsidRPr="00C64143">
      <w:rPr>
        <w:rStyle w:val="Numerstrony"/>
        <w:noProof/>
      </w:rPr>
      <w:t>4</w:t>
    </w:r>
    <w:r w:rsidRPr="00C64143">
      <w:rPr>
        <w:rStyle w:val="Numerstrony"/>
      </w:rPr>
      <w:fldChar w:fldCharType="end"/>
    </w:r>
  </w:p>
  <w:p w14:paraId="15D019F6" w14:textId="77777777" w:rsidR="00FB4CF9" w:rsidRPr="00EB1E6B" w:rsidRDefault="00FB4CF9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CEFB" w14:textId="77777777" w:rsidR="00F00869" w:rsidRDefault="00F00869">
      <w:r>
        <w:separator/>
      </w:r>
    </w:p>
  </w:footnote>
  <w:footnote w:type="continuationSeparator" w:id="0">
    <w:p w14:paraId="36E86B6C" w14:textId="77777777" w:rsidR="00F00869" w:rsidRDefault="00F0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577"/>
    <w:multiLevelType w:val="hybridMultilevel"/>
    <w:tmpl w:val="CBC61F92"/>
    <w:lvl w:ilvl="0" w:tplc="A47EFEE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C04342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09577B13"/>
    <w:multiLevelType w:val="hybridMultilevel"/>
    <w:tmpl w:val="BF46537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990740"/>
    <w:multiLevelType w:val="hybridMultilevel"/>
    <w:tmpl w:val="8CA89638"/>
    <w:lvl w:ilvl="0" w:tplc="4C827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E58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26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C4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8F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ECA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49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88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5E0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5FEE"/>
    <w:multiLevelType w:val="hybridMultilevel"/>
    <w:tmpl w:val="C0842A16"/>
    <w:lvl w:ilvl="0" w:tplc="E3582B5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D0ECC"/>
    <w:multiLevelType w:val="hybridMultilevel"/>
    <w:tmpl w:val="D902BAAE"/>
    <w:lvl w:ilvl="0" w:tplc="604814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D40B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E02A13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2EE8F9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251999"/>
    <w:multiLevelType w:val="hybridMultilevel"/>
    <w:tmpl w:val="5A108A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33D9D"/>
    <w:multiLevelType w:val="hybridMultilevel"/>
    <w:tmpl w:val="3F72739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5BDC"/>
    <w:multiLevelType w:val="hybridMultilevel"/>
    <w:tmpl w:val="C1BE44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BE0056"/>
    <w:multiLevelType w:val="hybridMultilevel"/>
    <w:tmpl w:val="5A108A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F2350"/>
    <w:multiLevelType w:val="hybridMultilevel"/>
    <w:tmpl w:val="7F00B0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F49B7"/>
    <w:multiLevelType w:val="hybridMultilevel"/>
    <w:tmpl w:val="A710C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67361"/>
    <w:multiLevelType w:val="hybridMultilevel"/>
    <w:tmpl w:val="77E05A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5A2FE3"/>
    <w:multiLevelType w:val="hybridMultilevel"/>
    <w:tmpl w:val="611E54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60F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D50A6C"/>
    <w:multiLevelType w:val="hybridMultilevel"/>
    <w:tmpl w:val="D9DC6842"/>
    <w:lvl w:ilvl="0" w:tplc="D062F37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9658B1"/>
    <w:multiLevelType w:val="hybridMultilevel"/>
    <w:tmpl w:val="611E54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60F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15C579D"/>
    <w:multiLevelType w:val="hybridMultilevel"/>
    <w:tmpl w:val="D9A4E41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F2EB61C">
      <w:start w:val="1"/>
      <w:numFmt w:val="bullet"/>
      <w:lvlText w:val="−"/>
      <w:lvlJc w:val="left"/>
      <w:pPr>
        <w:tabs>
          <w:tab w:val="num" w:pos="1723"/>
        </w:tabs>
        <w:ind w:left="1723" w:hanging="283"/>
      </w:pPr>
      <w:rPr>
        <w:rFonts w:ascii="Century" w:hAnsi="Century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2B224E1"/>
    <w:multiLevelType w:val="hybridMultilevel"/>
    <w:tmpl w:val="2B56F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430C4"/>
    <w:multiLevelType w:val="hybridMultilevel"/>
    <w:tmpl w:val="0F2EB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6046A"/>
    <w:multiLevelType w:val="hybridMultilevel"/>
    <w:tmpl w:val="EAAC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D027E"/>
    <w:multiLevelType w:val="hybridMultilevel"/>
    <w:tmpl w:val="B04CC2BE"/>
    <w:lvl w:ilvl="0" w:tplc="6F2EB61C">
      <w:start w:val="1"/>
      <w:numFmt w:val="bullet"/>
      <w:lvlText w:val="−"/>
      <w:lvlJc w:val="left"/>
      <w:pPr>
        <w:tabs>
          <w:tab w:val="num" w:pos="927"/>
        </w:tabs>
        <w:ind w:left="927" w:hanging="283"/>
      </w:pPr>
      <w:rPr>
        <w:rFonts w:ascii="Century" w:hAnsi="Century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6F7851"/>
    <w:multiLevelType w:val="hybridMultilevel"/>
    <w:tmpl w:val="26E4509E"/>
    <w:lvl w:ilvl="0" w:tplc="6F2EB61C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Century" w:hAnsi="Century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655E7"/>
    <w:multiLevelType w:val="hybridMultilevel"/>
    <w:tmpl w:val="718A387C"/>
    <w:lvl w:ilvl="0" w:tplc="6F2EB61C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Century" w:hAnsi="Century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A3464"/>
    <w:multiLevelType w:val="hybridMultilevel"/>
    <w:tmpl w:val="B2889D52"/>
    <w:lvl w:ilvl="0" w:tplc="6F2EB61C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Century" w:hAnsi="Century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F2A01"/>
    <w:multiLevelType w:val="hybridMultilevel"/>
    <w:tmpl w:val="6D2E19F6"/>
    <w:lvl w:ilvl="0" w:tplc="45925F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2"/>
  </w:num>
  <w:num w:numId="5">
    <w:abstractNumId w:val="21"/>
  </w:num>
  <w:num w:numId="6">
    <w:abstractNumId w:val="22"/>
  </w:num>
  <w:num w:numId="7">
    <w:abstractNumId w:val="19"/>
  </w:num>
  <w:num w:numId="8">
    <w:abstractNumId w:val="15"/>
  </w:num>
  <w:num w:numId="9">
    <w:abstractNumId w:val="20"/>
  </w:num>
  <w:num w:numId="10">
    <w:abstractNumId w:val="16"/>
  </w:num>
  <w:num w:numId="11">
    <w:abstractNumId w:val="9"/>
  </w:num>
  <w:num w:numId="12">
    <w:abstractNumId w:val="2"/>
  </w:num>
  <w:num w:numId="13">
    <w:abstractNumId w:val="3"/>
  </w:num>
  <w:num w:numId="14">
    <w:abstractNumId w:val="13"/>
  </w:num>
  <w:num w:numId="15">
    <w:abstractNumId w:val="18"/>
  </w:num>
  <w:num w:numId="16">
    <w:abstractNumId w:val="1"/>
  </w:num>
  <w:num w:numId="17">
    <w:abstractNumId w:val="5"/>
  </w:num>
  <w:num w:numId="18">
    <w:abstractNumId w:val="7"/>
  </w:num>
  <w:num w:numId="19">
    <w:abstractNumId w:val="11"/>
  </w:num>
  <w:num w:numId="20">
    <w:abstractNumId w:val="8"/>
  </w:num>
  <w:num w:numId="21">
    <w:abstractNumId w:val="17"/>
  </w:num>
  <w:num w:numId="22">
    <w:abstractNumId w:val="23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5E8"/>
    <w:rsid w:val="00011892"/>
    <w:rsid w:val="00013E66"/>
    <w:rsid w:val="000200DB"/>
    <w:rsid w:val="00020A65"/>
    <w:rsid w:val="00042EF3"/>
    <w:rsid w:val="000533C3"/>
    <w:rsid w:val="00067B59"/>
    <w:rsid w:val="0007052E"/>
    <w:rsid w:val="00084CF5"/>
    <w:rsid w:val="00085C63"/>
    <w:rsid w:val="00091F41"/>
    <w:rsid w:val="00095FF7"/>
    <w:rsid w:val="000A3145"/>
    <w:rsid w:val="000C0CA9"/>
    <w:rsid w:val="000C1BCE"/>
    <w:rsid w:val="000C20E1"/>
    <w:rsid w:val="000C3A42"/>
    <w:rsid w:val="000C60CB"/>
    <w:rsid w:val="000D1AD4"/>
    <w:rsid w:val="00106FBB"/>
    <w:rsid w:val="00114112"/>
    <w:rsid w:val="00115F8B"/>
    <w:rsid w:val="0012379B"/>
    <w:rsid w:val="00152D38"/>
    <w:rsid w:val="001771C4"/>
    <w:rsid w:val="00187BD0"/>
    <w:rsid w:val="00192CD5"/>
    <w:rsid w:val="001957B8"/>
    <w:rsid w:val="00195DF3"/>
    <w:rsid w:val="001A3D38"/>
    <w:rsid w:val="001B2970"/>
    <w:rsid w:val="001B38B4"/>
    <w:rsid w:val="001B7F50"/>
    <w:rsid w:val="001C6A97"/>
    <w:rsid w:val="001F319E"/>
    <w:rsid w:val="002021AD"/>
    <w:rsid w:val="002106D6"/>
    <w:rsid w:val="00226EEA"/>
    <w:rsid w:val="00230D6E"/>
    <w:rsid w:val="00232007"/>
    <w:rsid w:val="0024603C"/>
    <w:rsid w:val="00261D6C"/>
    <w:rsid w:val="00265BE9"/>
    <w:rsid w:val="002737FB"/>
    <w:rsid w:val="00294BED"/>
    <w:rsid w:val="002B3691"/>
    <w:rsid w:val="002C14EB"/>
    <w:rsid w:val="002D1027"/>
    <w:rsid w:val="002D4EF4"/>
    <w:rsid w:val="002D730A"/>
    <w:rsid w:val="002E1856"/>
    <w:rsid w:val="002F0B13"/>
    <w:rsid w:val="002F15DB"/>
    <w:rsid w:val="002F70B8"/>
    <w:rsid w:val="00312AEB"/>
    <w:rsid w:val="00332854"/>
    <w:rsid w:val="0033393F"/>
    <w:rsid w:val="00333E7C"/>
    <w:rsid w:val="00337323"/>
    <w:rsid w:val="00350A6F"/>
    <w:rsid w:val="00362937"/>
    <w:rsid w:val="003669D2"/>
    <w:rsid w:val="00367C19"/>
    <w:rsid w:val="003714ED"/>
    <w:rsid w:val="003757DD"/>
    <w:rsid w:val="003908B4"/>
    <w:rsid w:val="003A3474"/>
    <w:rsid w:val="003A6F84"/>
    <w:rsid w:val="003C0154"/>
    <w:rsid w:val="003C2808"/>
    <w:rsid w:val="003C6C5B"/>
    <w:rsid w:val="003D05DE"/>
    <w:rsid w:val="003E62A7"/>
    <w:rsid w:val="003F28A2"/>
    <w:rsid w:val="0041266E"/>
    <w:rsid w:val="00437F4A"/>
    <w:rsid w:val="00450E1F"/>
    <w:rsid w:val="00463940"/>
    <w:rsid w:val="0048173F"/>
    <w:rsid w:val="00482567"/>
    <w:rsid w:val="00484F5D"/>
    <w:rsid w:val="00486649"/>
    <w:rsid w:val="00487084"/>
    <w:rsid w:val="00487811"/>
    <w:rsid w:val="004A63EB"/>
    <w:rsid w:val="004B53E4"/>
    <w:rsid w:val="004C09D4"/>
    <w:rsid w:val="004E3E9E"/>
    <w:rsid w:val="004F1FBF"/>
    <w:rsid w:val="00501CF3"/>
    <w:rsid w:val="005026E4"/>
    <w:rsid w:val="005119DC"/>
    <w:rsid w:val="005208BE"/>
    <w:rsid w:val="005419AF"/>
    <w:rsid w:val="005436D9"/>
    <w:rsid w:val="00547538"/>
    <w:rsid w:val="005518E0"/>
    <w:rsid w:val="0057197E"/>
    <w:rsid w:val="0058175D"/>
    <w:rsid w:val="005950CB"/>
    <w:rsid w:val="005B4243"/>
    <w:rsid w:val="005B5A06"/>
    <w:rsid w:val="005C2418"/>
    <w:rsid w:val="005E3C98"/>
    <w:rsid w:val="00601AC8"/>
    <w:rsid w:val="00604352"/>
    <w:rsid w:val="00613090"/>
    <w:rsid w:val="0063057B"/>
    <w:rsid w:val="0063634D"/>
    <w:rsid w:val="00642BBC"/>
    <w:rsid w:val="00646E9E"/>
    <w:rsid w:val="0067283D"/>
    <w:rsid w:val="00683471"/>
    <w:rsid w:val="006A0AE2"/>
    <w:rsid w:val="006A1A12"/>
    <w:rsid w:val="006A7281"/>
    <w:rsid w:val="006B037E"/>
    <w:rsid w:val="006B05A3"/>
    <w:rsid w:val="006C115A"/>
    <w:rsid w:val="006C175C"/>
    <w:rsid w:val="006C669C"/>
    <w:rsid w:val="006D304D"/>
    <w:rsid w:val="006E2364"/>
    <w:rsid w:val="006F5C3B"/>
    <w:rsid w:val="006F7097"/>
    <w:rsid w:val="0070061B"/>
    <w:rsid w:val="00725112"/>
    <w:rsid w:val="00733C03"/>
    <w:rsid w:val="00745C3F"/>
    <w:rsid w:val="00774BE6"/>
    <w:rsid w:val="00775668"/>
    <w:rsid w:val="00784629"/>
    <w:rsid w:val="00796F9D"/>
    <w:rsid w:val="007A317E"/>
    <w:rsid w:val="007C2727"/>
    <w:rsid w:val="007D376C"/>
    <w:rsid w:val="007D43D0"/>
    <w:rsid w:val="007E01A4"/>
    <w:rsid w:val="007E15F5"/>
    <w:rsid w:val="007E1992"/>
    <w:rsid w:val="007E58FF"/>
    <w:rsid w:val="00806616"/>
    <w:rsid w:val="00811B65"/>
    <w:rsid w:val="0081324D"/>
    <w:rsid w:val="00827BDC"/>
    <w:rsid w:val="00847333"/>
    <w:rsid w:val="008526CE"/>
    <w:rsid w:val="00865E59"/>
    <w:rsid w:val="00877DBE"/>
    <w:rsid w:val="00892788"/>
    <w:rsid w:val="008937BA"/>
    <w:rsid w:val="008B4E2C"/>
    <w:rsid w:val="008C4A32"/>
    <w:rsid w:val="00903A9E"/>
    <w:rsid w:val="009148FC"/>
    <w:rsid w:val="00927CE9"/>
    <w:rsid w:val="00956EA0"/>
    <w:rsid w:val="009876A2"/>
    <w:rsid w:val="0099484E"/>
    <w:rsid w:val="00995870"/>
    <w:rsid w:val="00996D8E"/>
    <w:rsid w:val="009B4124"/>
    <w:rsid w:val="009C01DC"/>
    <w:rsid w:val="009D0ED0"/>
    <w:rsid w:val="009E0611"/>
    <w:rsid w:val="009E267C"/>
    <w:rsid w:val="009E2759"/>
    <w:rsid w:val="009F78D7"/>
    <w:rsid w:val="00A12A96"/>
    <w:rsid w:val="00A322DE"/>
    <w:rsid w:val="00A3511B"/>
    <w:rsid w:val="00A37E3A"/>
    <w:rsid w:val="00A401DC"/>
    <w:rsid w:val="00A41434"/>
    <w:rsid w:val="00A440ED"/>
    <w:rsid w:val="00A530DC"/>
    <w:rsid w:val="00A64D49"/>
    <w:rsid w:val="00A65E6D"/>
    <w:rsid w:val="00A725BF"/>
    <w:rsid w:val="00A7315C"/>
    <w:rsid w:val="00A7751E"/>
    <w:rsid w:val="00A8081B"/>
    <w:rsid w:val="00A903D9"/>
    <w:rsid w:val="00A93FEB"/>
    <w:rsid w:val="00AA234F"/>
    <w:rsid w:val="00AB5F0A"/>
    <w:rsid w:val="00AC6EF9"/>
    <w:rsid w:val="00AD6DA9"/>
    <w:rsid w:val="00AF4F70"/>
    <w:rsid w:val="00AF6E4B"/>
    <w:rsid w:val="00B3625E"/>
    <w:rsid w:val="00B46E56"/>
    <w:rsid w:val="00B65890"/>
    <w:rsid w:val="00B663EC"/>
    <w:rsid w:val="00B761CA"/>
    <w:rsid w:val="00B864CB"/>
    <w:rsid w:val="00B9420C"/>
    <w:rsid w:val="00BD5BD7"/>
    <w:rsid w:val="00BF57DD"/>
    <w:rsid w:val="00C01314"/>
    <w:rsid w:val="00C025CD"/>
    <w:rsid w:val="00C02BBE"/>
    <w:rsid w:val="00C07EB9"/>
    <w:rsid w:val="00C16BE0"/>
    <w:rsid w:val="00C41FE4"/>
    <w:rsid w:val="00C42E35"/>
    <w:rsid w:val="00C44706"/>
    <w:rsid w:val="00C51DD1"/>
    <w:rsid w:val="00C51E50"/>
    <w:rsid w:val="00C5586C"/>
    <w:rsid w:val="00C64143"/>
    <w:rsid w:val="00C64FE1"/>
    <w:rsid w:val="00C85419"/>
    <w:rsid w:val="00CB24F3"/>
    <w:rsid w:val="00CC489E"/>
    <w:rsid w:val="00CD0F28"/>
    <w:rsid w:val="00CE531B"/>
    <w:rsid w:val="00CF1F76"/>
    <w:rsid w:val="00D00D86"/>
    <w:rsid w:val="00D038B6"/>
    <w:rsid w:val="00D20583"/>
    <w:rsid w:val="00D323ED"/>
    <w:rsid w:val="00D37A31"/>
    <w:rsid w:val="00D4098B"/>
    <w:rsid w:val="00D47B3B"/>
    <w:rsid w:val="00D72737"/>
    <w:rsid w:val="00D86337"/>
    <w:rsid w:val="00D92FF5"/>
    <w:rsid w:val="00D95F17"/>
    <w:rsid w:val="00DB2036"/>
    <w:rsid w:val="00DC55F2"/>
    <w:rsid w:val="00DD568B"/>
    <w:rsid w:val="00DE2F9C"/>
    <w:rsid w:val="00DE4FB3"/>
    <w:rsid w:val="00DF05E8"/>
    <w:rsid w:val="00DF5602"/>
    <w:rsid w:val="00E15BB6"/>
    <w:rsid w:val="00E17FD5"/>
    <w:rsid w:val="00E403C8"/>
    <w:rsid w:val="00E473B0"/>
    <w:rsid w:val="00E56FB2"/>
    <w:rsid w:val="00E93EF2"/>
    <w:rsid w:val="00EB1E6B"/>
    <w:rsid w:val="00EB590E"/>
    <w:rsid w:val="00EC3AD2"/>
    <w:rsid w:val="00EC4C37"/>
    <w:rsid w:val="00EF7B5C"/>
    <w:rsid w:val="00F00869"/>
    <w:rsid w:val="00F013B7"/>
    <w:rsid w:val="00F0201B"/>
    <w:rsid w:val="00F10080"/>
    <w:rsid w:val="00F13F4C"/>
    <w:rsid w:val="00F261E1"/>
    <w:rsid w:val="00F306E2"/>
    <w:rsid w:val="00F54428"/>
    <w:rsid w:val="00F67C83"/>
    <w:rsid w:val="00F76B82"/>
    <w:rsid w:val="00F90119"/>
    <w:rsid w:val="00F906E1"/>
    <w:rsid w:val="00FA1CD8"/>
    <w:rsid w:val="00FA40E1"/>
    <w:rsid w:val="00FB308E"/>
    <w:rsid w:val="00FB4CF9"/>
    <w:rsid w:val="00FE10AB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5CF91"/>
  <w15:chartTrackingRefBased/>
  <w15:docId w15:val="{A6DEACF2-D4C3-40F8-93B1-CED6E531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05E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F05E8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7C2727"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DF05E8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7C2727"/>
    <w:rPr>
      <w:rFonts w:cs="Times New Roman"/>
      <w:sz w:val="24"/>
      <w:szCs w:val="24"/>
    </w:rPr>
  </w:style>
  <w:style w:type="paragraph" w:customStyle="1" w:styleId="BodyText31">
    <w:name w:val="Body Text 31"/>
    <w:basedOn w:val="Normalny"/>
    <w:rsid w:val="00DF05E8"/>
    <w:pPr>
      <w:keepNext/>
      <w:suppressAutoHyphens/>
      <w:spacing w:line="360" w:lineRule="atLeast"/>
      <w:jc w:val="both"/>
    </w:pPr>
    <w:rPr>
      <w:szCs w:val="20"/>
    </w:rPr>
  </w:style>
  <w:style w:type="paragraph" w:styleId="Nagwek">
    <w:name w:val="header"/>
    <w:basedOn w:val="Normalny"/>
    <w:link w:val="NagwekZnak"/>
    <w:rsid w:val="00DF0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7C272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CF1F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7C2727"/>
    <w:rPr>
      <w:rFonts w:cs="Times New Roman"/>
      <w:sz w:val="24"/>
      <w:szCs w:val="24"/>
    </w:rPr>
  </w:style>
  <w:style w:type="character" w:styleId="Numerstrony">
    <w:name w:val="page number"/>
    <w:rsid w:val="00106FBB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1957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7B8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19AF"/>
    <w:pPr>
      <w:spacing w:after="160"/>
    </w:pPr>
    <w:rPr>
      <w:rFonts w:ascii="Calibri" w:eastAsia="Calibri" w:hAnsi="Calibri"/>
      <w:sz w:val="20"/>
      <w:szCs w:val="20"/>
      <w:lang w:val="de-AT" w:eastAsia="en-US"/>
    </w:rPr>
  </w:style>
  <w:style w:type="character" w:customStyle="1" w:styleId="TekstkomentarzaZnak">
    <w:name w:val="Tekst komentarza Znak"/>
    <w:link w:val="Tekstkomentarza"/>
    <w:uiPriority w:val="99"/>
    <w:rsid w:val="005419AF"/>
    <w:rPr>
      <w:rFonts w:ascii="Calibri" w:eastAsia="Calibri" w:hAnsi="Calibri"/>
      <w:lang w:val="de-AT" w:eastAsia="en-US"/>
    </w:rPr>
  </w:style>
  <w:style w:type="character" w:styleId="Odwoaniedokomentarza">
    <w:name w:val="annotation reference"/>
    <w:uiPriority w:val="99"/>
    <w:unhideWhenUsed/>
    <w:rsid w:val="005419AF"/>
    <w:rPr>
      <w:sz w:val="16"/>
      <w:szCs w:val="16"/>
    </w:rPr>
  </w:style>
  <w:style w:type="paragraph" w:customStyle="1" w:styleId="Tekstpodstawowy31">
    <w:name w:val="Tekst podstawowy 31"/>
    <w:basedOn w:val="Normalny"/>
    <w:rsid w:val="007D376C"/>
    <w:pPr>
      <w:keepNext/>
      <w:suppressAutoHyphens/>
      <w:spacing w:line="360" w:lineRule="atLeast"/>
      <w:jc w:val="both"/>
    </w:pPr>
    <w:rPr>
      <w:szCs w:val="20"/>
    </w:rPr>
  </w:style>
  <w:style w:type="paragraph" w:styleId="Tekstdymka">
    <w:name w:val="Balloon Text"/>
    <w:basedOn w:val="Normalny"/>
    <w:link w:val="TekstdymkaZnak"/>
    <w:rsid w:val="005208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08B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99484E"/>
    <w:pPr>
      <w:spacing w:after="0"/>
    </w:pPr>
    <w:rPr>
      <w:rFonts w:ascii="Times New Roman" w:eastAsia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link w:val="Tematkomentarza"/>
    <w:rsid w:val="0099484E"/>
    <w:rPr>
      <w:rFonts w:ascii="Calibri" w:eastAsia="Calibri" w:hAnsi="Calibri"/>
      <w:b/>
      <w:bCs/>
      <w:lang w:val="de-AT" w:eastAsia="en-US"/>
    </w:rPr>
  </w:style>
  <w:style w:type="paragraph" w:styleId="Poprawka">
    <w:name w:val="Revision"/>
    <w:hidden/>
    <w:uiPriority w:val="99"/>
    <w:semiHidden/>
    <w:rsid w:val="00B362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61BA6-1BC2-4BF1-B431-39DDC7FC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2296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MNiSW</Company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Małgorzta Setkowicz</dc:creator>
  <cp:keywords/>
  <dc:description/>
  <cp:lastModifiedBy>Olszak Krzysztof</cp:lastModifiedBy>
  <cp:revision>7</cp:revision>
  <cp:lastPrinted>2010-07-07T13:06:00Z</cp:lastPrinted>
  <dcterms:created xsi:type="dcterms:W3CDTF">2024-10-15T11:08:00Z</dcterms:created>
  <dcterms:modified xsi:type="dcterms:W3CDTF">2024-10-23T07:48:00Z</dcterms:modified>
</cp:coreProperties>
</file>