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99F07" w14:textId="4560F319" w:rsidR="00EF7560" w:rsidRPr="001D23AD" w:rsidRDefault="009E4179" w:rsidP="00EF7560">
      <w:pPr>
        <w:pStyle w:val="Tytu"/>
        <w:rPr>
          <w:rFonts w:ascii="Arial" w:hAnsi="Arial" w:cs="Arial"/>
          <w:lang w:val="pt-PT"/>
        </w:rPr>
      </w:pPr>
      <w:r>
        <w:rPr>
          <w:rFonts w:ascii="Arial" w:hAnsi="Arial" w:cs="Arial"/>
          <w:lang w:val="pt-PT"/>
        </w:rPr>
        <w:t>M I N I S T E R   F I N A N S Ó W</w:t>
      </w:r>
    </w:p>
    <w:p w14:paraId="3CD696BA" w14:textId="77777777" w:rsidR="00EF7560" w:rsidRPr="001D23AD" w:rsidRDefault="00EF7560" w:rsidP="00EF7560">
      <w:pPr>
        <w:pStyle w:val="Tytu"/>
        <w:spacing w:before="120"/>
        <w:rPr>
          <w:rFonts w:ascii="Arial" w:hAnsi="Arial" w:cs="Arial"/>
          <w:lang w:val="pt-PT"/>
        </w:rPr>
      </w:pPr>
    </w:p>
    <w:p w14:paraId="0F61267B" w14:textId="77777777" w:rsidR="00EF7560" w:rsidRPr="001D23AD" w:rsidRDefault="00EF7560" w:rsidP="00EF7560">
      <w:pPr>
        <w:jc w:val="center"/>
        <w:rPr>
          <w:rFonts w:ascii="Arial" w:hAnsi="Arial" w:cs="Arial"/>
          <w:sz w:val="32"/>
          <w:lang w:val="pt-PT"/>
        </w:rPr>
      </w:pPr>
    </w:p>
    <w:p w14:paraId="1D0DE60C" w14:textId="77777777" w:rsidR="00EF7560" w:rsidRPr="001D23AD" w:rsidRDefault="00EF7560" w:rsidP="00EF7560">
      <w:pPr>
        <w:jc w:val="center"/>
        <w:rPr>
          <w:rFonts w:ascii="Arial" w:hAnsi="Arial" w:cs="Arial"/>
          <w:b/>
          <w:sz w:val="32"/>
          <w:lang w:val="pt-PT"/>
        </w:rPr>
      </w:pPr>
    </w:p>
    <w:p w14:paraId="393F1807" w14:textId="77777777" w:rsidR="00EF7560" w:rsidRPr="001D23AD" w:rsidRDefault="00EF7560" w:rsidP="00EF7560">
      <w:pPr>
        <w:spacing w:after="60" w:line="240" w:lineRule="auto"/>
        <w:jc w:val="center"/>
        <w:rPr>
          <w:rFonts w:ascii="Arial" w:hAnsi="Arial" w:cs="Arial"/>
          <w:b/>
          <w:sz w:val="28"/>
          <w:lang w:val="pt-PT"/>
        </w:rPr>
      </w:pPr>
    </w:p>
    <w:p w14:paraId="44898AD3" w14:textId="77777777" w:rsidR="00EF7560" w:rsidRPr="001D23AD" w:rsidRDefault="00EF7560" w:rsidP="00EF7560">
      <w:pPr>
        <w:spacing w:after="60" w:line="240" w:lineRule="auto"/>
        <w:jc w:val="center"/>
        <w:rPr>
          <w:rFonts w:ascii="Arial" w:hAnsi="Arial" w:cs="Arial"/>
          <w:b/>
          <w:sz w:val="28"/>
          <w:lang w:val="pt-PT"/>
        </w:rPr>
      </w:pPr>
    </w:p>
    <w:p w14:paraId="6B9FA906" w14:textId="77777777" w:rsidR="00EF7560" w:rsidRPr="001D23AD" w:rsidRDefault="00EF7560" w:rsidP="00EF7560">
      <w:pPr>
        <w:spacing w:after="60" w:line="240" w:lineRule="auto"/>
        <w:jc w:val="center"/>
        <w:rPr>
          <w:rFonts w:ascii="Arial" w:hAnsi="Arial" w:cs="Arial"/>
          <w:b/>
          <w:sz w:val="28"/>
          <w:lang w:val="pt-PT"/>
        </w:rPr>
      </w:pPr>
    </w:p>
    <w:p w14:paraId="67244C5B" w14:textId="77777777" w:rsidR="00EF7560" w:rsidRPr="001D23AD" w:rsidRDefault="00EF7560" w:rsidP="00EF7560">
      <w:pPr>
        <w:spacing w:after="60" w:line="240" w:lineRule="auto"/>
        <w:jc w:val="center"/>
        <w:rPr>
          <w:rFonts w:ascii="Arial" w:hAnsi="Arial" w:cs="Arial"/>
          <w:b/>
          <w:sz w:val="28"/>
          <w:lang w:val="pt-PT"/>
        </w:rPr>
      </w:pPr>
    </w:p>
    <w:p w14:paraId="76921E97" w14:textId="77777777" w:rsidR="00EF7560" w:rsidRPr="001D23AD" w:rsidRDefault="00EF7560" w:rsidP="00EF7560">
      <w:pPr>
        <w:spacing w:after="60" w:line="240" w:lineRule="auto"/>
        <w:jc w:val="center"/>
        <w:rPr>
          <w:rFonts w:ascii="Arial" w:hAnsi="Arial" w:cs="Arial"/>
          <w:b/>
          <w:sz w:val="28"/>
          <w:lang w:val="pt-PT"/>
        </w:rPr>
      </w:pPr>
    </w:p>
    <w:p w14:paraId="5EAC7765" w14:textId="77777777" w:rsidR="00EF7560" w:rsidRPr="001D23AD" w:rsidRDefault="00EF7560" w:rsidP="00EF7560">
      <w:pPr>
        <w:spacing w:after="60" w:line="240" w:lineRule="auto"/>
        <w:jc w:val="center"/>
        <w:rPr>
          <w:rFonts w:ascii="Arial" w:hAnsi="Arial" w:cs="Arial"/>
          <w:b/>
          <w:sz w:val="28"/>
          <w:lang w:val="pt-PT"/>
        </w:rPr>
      </w:pPr>
    </w:p>
    <w:p w14:paraId="196D574D" w14:textId="77777777" w:rsidR="00EF7560" w:rsidRPr="001D23AD" w:rsidRDefault="00EF7560" w:rsidP="00EF7560">
      <w:pPr>
        <w:spacing w:after="60" w:line="240" w:lineRule="auto"/>
        <w:rPr>
          <w:rFonts w:ascii="Arial" w:hAnsi="Arial" w:cs="Arial"/>
          <w:b/>
          <w:sz w:val="28"/>
          <w:lang w:val="pt-PT"/>
        </w:rPr>
      </w:pPr>
    </w:p>
    <w:p w14:paraId="12BAF73F" w14:textId="77777777" w:rsidR="00EF7560" w:rsidRPr="001D23AD" w:rsidRDefault="00EF7560" w:rsidP="00EF7560">
      <w:pPr>
        <w:spacing w:after="60" w:line="240" w:lineRule="auto"/>
        <w:jc w:val="center"/>
        <w:rPr>
          <w:rFonts w:ascii="Arial" w:hAnsi="Arial" w:cs="Arial"/>
          <w:b/>
          <w:sz w:val="28"/>
          <w:lang w:val="pt-PT"/>
        </w:rPr>
      </w:pPr>
    </w:p>
    <w:p w14:paraId="29ABF04C" w14:textId="70C98577" w:rsidR="00EF7560" w:rsidRPr="001D23AD" w:rsidRDefault="00EF7560" w:rsidP="00EF7560">
      <w:pPr>
        <w:jc w:val="center"/>
        <w:rPr>
          <w:rFonts w:ascii="Arial" w:hAnsi="Arial" w:cs="Arial"/>
          <w:b/>
          <w:bCs/>
          <w:sz w:val="44"/>
          <w:szCs w:val="44"/>
        </w:rPr>
      </w:pPr>
      <w:r w:rsidRPr="001D23AD">
        <w:rPr>
          <w:rFonts w:ascii="Arial" w:hAnsi="Arial" w:cs="Arial"/>
          <w:b/>
          <w:bCs/>
          <w:sz w:val="44"/>
          <w:szCs w:val="44"/>
        </w:rPr>
        <w:t xml:space="preserve">U S T A W A   O   Z M I A N I E </w:t>
      </w:r>
    </w:p>
    <w:p w14:paraId="442E673B" w14:textId="77777777" w:rsidR="00EF7560" w:rsidRPr="001D23AD" w:rsidRDefault="00EF7560" w:rsidP="00EF7560">
      <w:pPr>
        <w:jc w:val="center"/>
        <w:rPr>
          <w:rFonts w:ascii="Arial" w:hAnsi="Arial" w:cs="Arial"/>
          <w:b/>
          <w:bCs/>
          <w:sz w:val="44"/>
          <w:szCs w:val="44"/>
        </w:rPr>
      </w:pPr>
      <w:r w:rsidRPr="001D23AD">
        <w:rPr>
          <w:rFonts w:ascii="Arial" w:hAnsi="Arial" w:cs="Arial"/>
          <w:b/>
          <w:bCs/>
          <w:sz w:val="44"/>
          <w:szCs w:val="44"/>
        </w:rPr>
        <w:t>U S T A W Y   B U D Ż E T O W E J</w:t>
      </w:r>
    </w:p>
    <w:p w14:paraId="433B112F" w14:textId="4305940D" w:rsidR="00EF7560" w:rsidRPr="001D23AD" w:rsidRDefault="00EF7560" w:rsidP="00EF7560">
      <w:pPr>
        <w:spacing w:after="60" w:line="240" w:lineRule="auto"/>
        <w:jc w:val="center"/>
        <w:rPr>
          <w:rFonts w:ascii="Arial" w:hAnsi="Arial" w:cs="Arial"/>
          <w:b/>
          <w:sz w:val="44"/>
          <w:szCs w:val="44"/>
        </w:rPr>
      </w:pPr>
      <w:r>
        <w:rPr>
          <w:rFonts w:ascii="Arial" w:hAnsi="Arial" w:cs="Arial"/>
          <w:b/>
          <w:sz w:val="44"/>
          <w:szCs w:val="44"/>
        </w:rPr>
        <w:t xml:space="preserve">N A   R O K   2 0 2 </w:t>
      </w:r>
      <w:r w:rsidR="009E4179">
        <w:rPr>
          <w:rFonts w:ascii="Arial" w:hAnsi="Arial" w:cs="Arial"/>
          <w:b/>
          <w:sz w:val="44"/>
          <w:szCs w:val="44"/>
        </w:rPr>
        <w:t>4</w:t>
      </w:r>
    </w:p>
    <w:p w14:paraId="4C0F0E3E" w14:textId="77777777" w:rsidR="00EF7560" w:rsidRPr="001D23AD" w:rsidRDefault="00EF7560" w:rsidP="00EF7560">
      <w:pPr>
        <w:spacing w:after="60" w:line="240" w:lineRule="auto"/>
        <w:jc w:val="center"/>
        <w:rPr>
          <w:rFonts w:ascii="Arial" w:hAnsi="Arial" w:cs="Arial"/>
          <w:b/>
          <w:sz w:val="28"/>
        </w:rPr>
      </w:pPr>
    </w:p>
    <w:p w14:paraId="78A23603" w14:textId="77777777" w:rsidR="00EF7560" w:rsidRPr="001D23AD" w:rsidRDefault="00EF7560" w:rsidP="00EF7560">
      <w:pPr>
        <w:spacing w:after="60" w:line="240" w:lineRule="auto"/>
        <w:jc w:val="center"/>
        <w:rPr>
          <w:rFonts w:ascii="Arial" w:hAnsi="Arial" w:cs="Arial"/>
          <w:b/>
          <w:sz w:val="28"/>
        </w:rPr>
      </w:pPr>
    </w:p>
    <w:p w14:paraId="01FF1AF6" w14:textId="77777777" w:rsidR="00EF7560" w:rsidRPr="001D23AD" w:rsidRDefault="00EF7560" w:rsidP="00EF7560">
      <w:pPr>
        <w:jc w:val="center"/>
        <w:rPr>
          <w:rFonts w:ascii="Arial" w:hAnsi="Arial" w:cs="Arial"/>
          <w:sz w:val="28"/>
        </w:rPr>
      </w:pPr>
      <w:r w:rsidRPr="001D23AD">
        <w:rPr>
          <w:rFonts w:ascii="Arial" w:hAnsi="Arial" w:cs="Arial"/>
          <w:sz w:val="28"/>
        </w:rPr>
        <w:t>U Z A S A D N I E N I E</w:t>
      </w:r>
    </w:p>
    <w:p w14:paraId="32BA0B3C" w14:textId="77777777" w:rsidR="00EF7560" w:rsidRPr="001D23AD" w:rsidRDefault="00EF7560" w:rsidP="00EF7560">
      <w:pPr>
        <w:spacing w:after="60"/>
        <w:jc w:val="center"/>
        <w:rPr>
          <w:rFonts w:ascii="Arial" w:hAnsi="Arial" w:cs="Arial"/>
          <w:b/>
        </w:rPr>
      </w:pPr>
    </w:p>
    <w:p w14:paraId="264DDBA9" w14:textId="77777777" w:rsidR="00EF7560" w:rsidRPr="001D23AD" w:rsidRDefault="00EF7560" w:rsidP="00EF7560">
      <w:pPr>
        <w:jc w:val="center"/>
        <w:rPr>
          <w:rFonts w:ascii="Arial" w:hAnsi="Arial" w:cs="Arial"/>
        </w:rPr>
      </w:pPr>
    </w:p>
    <w:p w14:paraId="13F0AB3A" w14:textId="77777777" w:rsidR="00EF7560" w:rsidRPr="001D23AD" w:rsidRDefault="00EF7560" w:rsidP="00EF7560">
      <w:pPr>
        <w:jc w:val="center"/>
        <w:rPr>
          <w:rFonts w:ascii="Arial" w:hAnsi="Arial" w:cs="Arial"/>
        </w:rPr>
      </w:pPr>
    </w:p>
    <w:p w14:paraId="12E598D4" w14:textId="77777777" w:rsidR="00EF7560" w:rsidRPr="001D23AD" w:rsidRDefault="00EF7560" w:rsidP="00EF7560">
      <w:pPr>
        <w:jc w:val="center"/>
        <w:rPr>
          <w:rFonts w:ascii="Arial" w:hAnsi="Arial" w:cs="Arial"/>
        </w:rPr>
      </w:pPr>
    </w:p>
    <w:p w14:paraId="0D24BECE" w14:textId="77777777" w:rsidR="00EF7560" w:rsidRPr="001D23AD" w:rsidRDefault="00EF7560" w:rsidP="00EF7560">
      <w:pPr>
        <w:jc w:val="center"/>
        <w:rPr>
          <w:rFonts w:ascii="Arial" w:hAnsi="Arial" w:cs="Arial"/>
        </w:rPr>
      </w:pPr>
    </w:p>
    <w:p w14:paraId="55B8AABE" w14:textId="77777777" w:rsidR="00EF7560" w:rsidRPr="001D23AD" w:rsidRDefault="00EF7560" w:rsidP="00EF7560">
      <w:pPr>
        <w:jc w:val="center"/>
        <w:rPr>
          <w:rFonts w:ascii="Arial" w:hAnsi="Arial" w:cs="Arial"/>
        </w:rPr>
      </w:pPr>
    </w:p>
    <w:p w14:paraId="287B26EC" w14:textId="77777777" w:rsidR="00EF7560" w:rsidRPr="001D23AD" w:rsidRDefault="00EF7560" w:rsidP="00EF7560">
      <w:pPr>
        <w:jc w:val="center"/>
        <w:rPr>
          <w:rFonts w:ascii="Arial" w:hAnsi="Arial" w:cs="Arial"/>
        </w:rPr>
      </w:pPr>
    </w:p>
    <w:p w14:paraId="1790F4CB" w14:textId="77777777" w:rsidR="00EF7560" w:rsidRPr="001D23AD" w:rsidRDefault="00EF7560" w:rsidP="00EF7560">
      <w:pPr>
        <w:jc w:val="center"/>
        <w:rPr>
          <w:rFonts w:ascii="Arial" w:hAnsi="Arial" w:cs="Arial"/>
        </w:rPr>
      </w:pPr>
    </w:p>
    <w:p w14:paraId="2F0BC70B" w14:textId="77777777" w:rsidR="00EF7560" w:rsidRPr="001D23AD" w:rsidRDefault="00EF7560" w:rsidP="00EF7560">
      <w:pPr>
        <w:jc w:val="center"/>
        <w:rPr>
          <w:rFonts w:ascii="Arial" w:hAnsi="Arial" w:cs="Arial"/>
        </w:rPr>
      </w:pPr>
    </w:p>
    <w:p w14:paraId="71DFCCC8" w14:textId="77777777" w:rsidR="00EF7560" w:rsidRPr="001D23AD" w:rsidRDefault="00EF7560" w:rsidP="00EF7560">
      <w:pPr>
        <w:jc w:val="center"/>
        <w:rPr>
          <w:rFonts w:ascii="Arial" w:hAnsi="Arial" w:cs="Arial"/>
        </w:rPr>
      </w:pPr>
    </w:p>
    <w:p w14:paraId="31C0020E" w14:textId="77777777" w:rsidR="00EF7560" w:rsidRDefault="00EF7560" w:rsidP="00EF7560">
      <w:pPr>
        <w:jc w:val="center"/>
        <w:rPr>
          <w:rFonts w:ascii="Arial" w:hAnsi="Arial" w:cs="Arial"/>
        </w:rPr>
      </w:pPr>
    </w:p>
    <w:p w14:paraId="2E1B8E0E" w14:textId="77777777" w:rsidR="00EF7560" w:rsidRPr="001D23AD" w:rsidRDefault="00EF7560" w:rsidP="00EF7560">
      <w:pPr>
        <w:jc w:val="center"/>
        <w:rPr>
          <w:rFonts w:ascii="Arial" w:hAnsi="Arial" w:cs="Arial"/>
        </w:rPr>
      </w:pPr>
    </w:p>
    <w:p w14:paraId="7225870D" w14:textId="62B01F4F" w:rsidR="00EF7560" w:rsidRPr="001D23AD" w:rsidRDefault="001508E2" w:rsidP="00EF7560">
      <w:pPr>
        <w:jc w:val="center"/>
        <w:rPr>
          <w:rFonts w:ascii="Arial" w:hAnsi="Arial" w:cs="Arial"/>
          <w:sz w:val="28"/>
        </w:rPr>
      </w:pPr>
      <w:r>
        <w:rPr>
          <w:rFonts w:ascii="Arial" w:hAnsi="Arial" w:cs="Arial"/>
          <w:sz w:val="28"/>
        </w:rPr>
        <w:t xml:space="preserve">Warszawa, </w:t>
      </w:r>
      <w:r w:rsidR="009E4179">
        <w:rPr>
          <w:rFonts w:ascii="Arial" w:hAnsi="Arial" w:cs="Arial"/>
          <w:sz w:val="28"/>
        </w:rPr>
        <w:t>październik</w:t>
      </w:r>
      <w:r w:rsidR="00EF7560">
        <w:rPr>
          <w:rFonts w:ascii="Arial" w:hAnsi="Arial" w:cs="Arial"/>
          <w:sz w:val="28"/>
        </w:rPr>
        <w:t xml:space="preserve"> 202</w:t>
      </w:r>
      <w:r w:rsidR="009E4179">
        <w:rPr>
          <w:rFonts w:ascii="Arial" w:hAnsi="Arial" w:cs="Arial"/>
          <w:sz w:val="28"/>
        </w:rPr>
        <w:t>4</w:t>
      </w:r>
    </w:p>
    <w:p w14:paraId="24BAE101" w14:textId="77777777" w:rsidR="00EF7560" w:rsidRDefault="00EF7560" w:rsidP="00EF7560">
      <w:pPr>
        <w:jc w:val="center"/>
        <w:rPr>
          <w:sz w:val="28"/>
        </w:rPr>
        <w:sectPr w:rsidR="00EF7560" w:rsidSect="007C2C53">
          <w:footerReference w:type="even" r:id="rId8"/>
          <w:footerReference w:type="default" r:id="rId9"/>
          <w:pgSz w:w="11906" w:h="16838"/>
          <w:pgMar w:top="1417" w:right="1417" w:bottom="1417" w:left="1417" w:header="708" w:footer="708" w:gutter="0"/>
          <w:cols w:space="708"/>
          <w:titlePg/>
          <w:docGrid w:linePitch="360"/>
        </w:sectPr>
      </w:pPr>
    </w:p>
    <w:p w14:paraId="3056B0C4" w14:textId="77777777" w:rsidR="00EF7560" w:rsidRDefault="00EF7560" w:rsidP="00EF7560">
      <w:pPr>
        <w:jc w:val="center"/>
        <w:rPr>
          <w:sz w:val="28"/>
        </w:rPr>
      </w:pPr>
    </w:p>
    <w:p w14:paraId="08C81B09" w14:textId="77777777" w:rsidR="00EF7560" w:rsidRDefault="00EF7560" w:rsidP="00EF7560">
      <w:pPr>
        <w:jc w:val="center"/>
        <w:rPr>
          <w:sz w:val="28"/>
        </w:rPr>
      </w:pPr>
    </w:p>
    <w:p w14:paraId="7FC1D4D9" w14:textId="77777777" w:rsidR="00EF7560" w:rsidRDefault="00EF7560" w:rsidP="00EF7560">
      <w:pPr>
        <w:jc w:val="center"/>
        <w:rPr>
          <w:sz w:val="28"/>
        </w:rPr>
      </w:pPr>
    </w:p>
    <w:p w14:paraId="4A0F8BF5" w14:textId="77777777" w:rsidR="00EF7560" w:rsidRDefault="00EF7560" w:rsidP="00EF7560">
      <w:pPr>
        <w:jc w:val="center"/>
        <w:rPr>
          <w:sz w:val="28"/>
        </w:rPr>
      </w:pPr>
    </w:p>
    <w:p w14:paraId="51790B0C" w14:textId="77777777" w:rsidR="00EF7560" w:rsidRDefault="00EF7560" w:rsidP="00EF7560">
      <w:pPr>
        <w:jc w:val="center"/>
        <w:rPr>
          <w:sz w:val="28"/>
        </w:rPr>
      </w:pPr>
    </w:p>
    <w:p w14:paraId="2BA9AB6B" w14:textId="77777777" w:rsidR="00EF7560" w:rsidRDefault="00EF7560" w:rsidP="00EF7560">
      <w:pPr>
        <w:jc w:val="center"/>
        <w:rPr>
          <w:sz w:val="28"/>
        </w:rPr>
      </w:pPr>
    </w:p>
    <w:p w14:paraId="2721FC78" w14:textId="77777777" w:rsidR="00EF7560" w:rsidRDefault="00EF7560" w:rsidP="00EF7560">
      <w:pPr>
        <w:jc w:val="center"/>
        <w:rPr>
          <w:sz w:val="28"/>
        </w:rPr>
      </w:pPr>
    </w:p>
    <w:p w14:paraId="5DDF3DD7" w14:textId="77777777" w:rsidR="00EF7560" w:rsidRDefault="00EF7560" w:rsidP="00EF7560">
      <w:pPr>
        <w:jc w:val="center"/>
        <w:rPr>
          <w:sz w:val="28"/>
        </w:rPr>
      </w:pPr>
    </w:p>
    <w:p w14:paraId="58544E6D" w14:textId="77777777" w:rsidR="00EF7560" w:rsidRDefault="00EF7560" w:rsidP="00EF7560">
      <w:pPr>
        <w:jc w:val="center"/>
        <w:rPr>
          <w:sz w:val="28"/>
        </w:rPr>
      </w:pPr>
    </w:p>
    <w:p w14:paraId="355185F6" w14:textId="77777777" w:rsidR="00EF7560" w:rsidRDefault="00EF7560" w:rsidP="00EF7560">
      <w:pPr>
        <w:jc w:val="center"/>
        <w:rPr>
          <w:sz w:val="28"/>
        </w:rPr>
      </w:pPr>
    </w:p>
    <w:p w14:paraId="138D0A75" w14:textId="77777777" w:rsidR="00EF7560" w:rsidRDefault="00EF7560" w:rsidP="00EF7560">
      <w:pPr>
        <w:jc w:val="center"/>
        <w:rPr>
          <w:sz w:val="28"/>
        </w:rPr>
      </w:pPr>
    </w:p>
    <w:p w14:paraId="24D6E70C" w14:textId="77777777" w:rsidR="00EF7560" w:rsidRDefault="00EF7560" w:rsidP="00EF7560">
      <w:pPr>
        <w:jc w:val="center"/>
        <w:rPr>
          <w:sz w:val="28"/>
        </w:rPr>
      </w:pPr>
    </w:p>
    <w:p w14:paraId="636A8835" w14:textId="77777777" w:rsidR="00EF7560" w:rsidRDefault="00EF7560" w:rsidP="00EF7560">
      <w:pPr>
        <w:jc w:val="center"/>
        <w:rPr>
          <w:sz w:val="28"/>
        </w:rPr>
      </w:pPr>
    </w:p>
    <w:p w14:paraId="08F832B9" w14:textId="77777777" w:rsidR="00EF7560" w:rsidRDefault="00EF7560" w:rsidP="00EF7560">
      <w:pPr>
        <w:jc w:val="center"/>
        <w:rPr>
          <w:sz w:val="28"/>
        </w:rPr>
      </w:pPr>
    </w:p>
    <w:p w14:paraId="34BE920A" w14:textId="77777777" w:rsidR="009D4976" w:rsidRDefault="009D4976" w:rsidP="00EF7560">
      <w:pPr>
        <w:jc w:val="center"/>
        <w:rPr>
          <w:sz w:val="28"/>
        </w:rPr>
      </w:pPr>
    </w:p>
    <w:p w14:paraId="0DF55145" w14:textId="77777777" w:rsidR="009D4976" w:rsidRDefault="009D4976" w:rsidP="00EF7560">
      <w:pPr>
        <w:jc w:val="center"/>
        <w:rPr>
          <w:sz w:val="28"/>
        </w:rPr>
      </w:pPr>
    </w:p>
    <w:p w14:paraId="173B6A0F" w14:textId="77777777" w:rsidR="009D4976" w:rsidRDefault="009D4976" w:rsidP="00EF7560">
      <w:pPr>
        <w:jc w:val="center"/>
        <w:rPr>
          <w:sz w:val="28"/>
        </w:rPr>
      </w:pPr>
    </w:p>
    <w:p w14:paraId="5D607872" w14:textId="77777777" w:rsidR="009D4976" w:rsidRDefault="009D4976" w:rsidP="00EF7560">
      <w:pPr>
        <w:jc w:val="center"/>
        <w:rPr>
          <w:sz w:val="28"/>
        </w:rPr>
      </w:pPr>
    </w:p>
    <w:p w14:paraId="58F993B1" w14:textId="77777777" w:rsidR="009D4976" w:rsidRDefault="009D4976" w:rsidP="00EF7560">
      <w:pPr>
        <w:jc w:val="center"/>
        <w:rPr>
          <w:sz w:val="28"/>
        </w:rPr>
      </w:pPr>
    </w:p>
    <w:p w14:paraId="79A3C4D0" w14:textId="77777777" w:rsidR="009D4976" w:rsidRDefault="009D4976" w:rsidP="00EF7560">
      <w:pPr>
        <w:jc w:val="center"/>
        <w:rPr>
          <w:sz w:val="28"/>
        </w:rPr>
      </w:pPr>
    </w:p>
    <w:p w14:paraId="1AC265C3" w14:textId="77777777" w:rsidR="00EF7560" w:rsidRDefault="00EF7560" w:rsidP="00EF7560">
      <w:pPr>
        <w:jc w:val="center"/>
        <w:rPr>
          <w:sz w:val="28"/>
        </w:rPr>
      </w:pPr>
    </w:p>
    <w:p w14:paraId="2EC6A99B" w14:textId="77777777" w:rsidR="00EF7560" w:rsidRDefault="00EF7560" w:rsidP="00EF7560">
      <w:pPr>
        <w:jc w:val="center"/>
        <w:rPr>
          <w:sz w:val="28"/>
        </w:rPr>
      </w:pPr>
    </w:p>
    <w:p w14:paraId="166568E4" w14:textId="77777777" w:rsidR="00EF7560" w:rsidRDefault="00EF7560" w:rsidP="00EF7560">
      <w:pPr>
        <w:jc w:val="center"/>
        <w:rPr>
          <w:sz w:val="28"/>
        </w:rPr>
      </w:pPr>
    </w:p>
    <w:p w14:paraId="4B75B48A" w14:textId="77777777" w:rsidR="00EF7560" w:rsidRDefault="00EF7560" w:rsidP="00EF7560">
      <w:pPr>
        <w:jc w:val="center"/>
        <w:rPr>
          <w:sz w:val="28"/>
        </w:rPr>
      </w:pPr>
    </w:p>
    <w:p w14:paraId="7D9BF76F" w14:textId="77777777" w:rsidR="00EF7560" w:rsidRDefault="00EF7560" w:rsidP="00EF7560">
      <w:pPr>
        <w:jc w:val="center"/>
        <w:rPr>
          <w:sz w:val="28"/>
        </w:rPr>
      </w:pPr>
    </w:p>
    <w:p w14:paraId="63704D57" w14:textId="77777777" w:rsidR="00EF7560" w:rsidRDefault="00EF7560" w:rsidP="00EF7560">
      <w:pPr>
        <w:jc w:val="center"/>
        <w:rPr>
          <w:sz w:val="28"/>
        </w:rPr>
      </w:pPr>
    </w:p>
    <w:p w14:paraId="6653F1B9" w14:textId="77777777" w:rsidR="00EF7560" w:rsidRDefault="00EF7560" w:rsidP="00EF7560">
      <w:pPr>
        <w:jc w:val="center"/>
        <w:rPr>
          <w:sz w:val="28"/>
        </w:rPr>
        <w:sectPr w:rsidR="00EF7560" w:rsidSect="003B6004">
          <w:footerReference w:type="default" r:id="rId10"/>
          <w:pgSz w:w="11906" w:h="16838"/>
          <w:pgMar w:top="1417" w:right="1417" w:bottom="1417" w:left="1417" w:header="708" w:footer="708" w:gutter="0"/>
          <w:cols w:space="708"/>
          <w:titlePg/>
          <w:docGrid w:linePitch="360"/>
        </w:sectPr>
      </w:pPr>
    </w:p>
    <w:p w14:paraId="3D6D2E5C" w14:textId="77777777" w:rsidR="00EF7560" w:rsidRPr="00EF7560" w:rsidRDefault="00EF7560" w:rsidP="00EF7560">
      <w:pPr>
        <w:pStyle w:val="Nagwek3"/>
        <w:tabs>
          <w:tab w:val="left" w:pos="1440"/>
          <w:tab w:val="right" w:pos="9000"/>
        </w:tabs>
        <w:spacing w:before="120" w:after="240" w:line="300" w:lineRule="atLeast"/>
        <w:jc w:val="center"/>
        <w:rPr>
          <w:szCs w:val="24"/>
          <w:u w:val="single"/>
        </w:rPr>
      </w:pPr>
      <w:r w:rsidRPr="00EF7560">
        <w:rPr>
          <w:szCs w:val="24"/>
          <w:u w:val="single"/>
        </w:rPr>
        <w:lastRenderedPageBreak/>
        <w:t>SPIS TREŚCI:</w:t>
      </w:r>
    </w:p>
    <w:p w14:paraId="20984555" w14:textId="77777777" w:rsidR="00EF7560" w:rsidRPr="00EF7560" w:rsidRDefault="00EF7560" w:rsidP="007A3F8C">
      <w:pPr>
        <w:pStyle w:val="Default"/>
        <w:spacing w:line="340" w:lineRule="atLeast"/>
      </w:pPr>
    </w:p>
    <w:p w14:paraId="0CA8936A" w14:textId="4D0B4D5A" w:rsidR="00EF7560" w:rsidRPr="00EF7560" w:rsidRDefault="00EF7560" w:rsidP="007A3F8C">
      <w:pPr>
        <w:tabs>
          <w:tab w:val="right" w:pos="9072"/>
        </w:tabs>
        <w:spacing w:before="120" w:line="340" w:lineRule="atLeast"/>
        <w:rPr>
          <w:rFonts w:ascii="Arial" w:hAnsi="Arial" w:cs="Arial"/>
          <w:sz w:val="24"/>
          <w:szCs w:val="24"/>
        </w:rPr>
      </w:pPr>
      <w:r w:rsidRPr="00EF7560">
        <w:rPr>
          <w:rFonts w:ascii="Arial" w:hAnsi="Arial" w:cs="Arial"/>
          <w:sz w:val="24"/>
          <w:szCs w:val="24"/>
        </w:rPr>
        <w:t xml:space="preserve">Wstęp </w:t>
      </w:r>
      <w:r w:rsidR="00EC0A27">
        <w:rPr>
          <w:rFonts w:ascii="Arial" w:hAnsi="Arial" w:cs="Arial"/>
          <w:sz w:val="24"/>
          <w:szCs w:val="24"/>
        </w:rPr>
        <w:t>–</w:t>
      </w:r>
      <w:r w:rsidRPr="00EF7560">
        <w:rPr>
          <w:rFonts w:ascii="Arial" w:hAnsi="Arial" w:cs="Arial"/>
          <w:sz w:val="24"/>
          <w:szCs w:val="24"/>
        </w:rPr>
        <w:t xml:space="preserve"> uwarunkowania nowelizacj</w:t>
      </w:r>
      <w:r w:rsidR="009D4976">
        <w:rPr>
          <w:rFonts w:ascii="Arial" w:hAnsi="Arial" w:cs="Arial"/>
          <w:sz w:val="24"/>
          <w:szCs w:val="24"/>
        </w:rPr>
        <w:t>i ustawy budżetowej na rok 202</w:t>
      </w:r>
      <w:r w:rsidR="009E4179">
        <w:rPr>
          <w:rFonts w:ascii="Arial" w:hAnsi="Arial" w:cs="Arial"/>
          <w:sz w:val="24"/>
          <w:szCs w:val="24"/>
        </w:rPr>
        <w:t>4</w:t>
      </w:r>
      <w:r w:rsidR="009D4976">
        <w:rPr>
          <w:rFonts w:ascii="Arial" w:hAnsi="Arial" w:cs="Arial"/>
          <w:sz w:val="24"/>
          <w:szCs w:val="24"/>
        </w:rPr>
        <w:tab/>
      </w:r>
      <w:r w:rsidR="003E1B9F">
        <w:rPr>
          <w:rFonts w:ascii="Arial" w:hAnsi="Arial" w:cs="Arial"/>
          <w:sz w:val="24"/>
          <w:szCs w:val="24"/>
        </w:rPr>
        <w:t>5</w:t>
      </w:r>
    </w:p>
    <w:p w14:paraId="375F5B3F" w14:textId="17F9E83E" w:rsidR="00EF7560" w:rsidRPr="00EF7560" w:rsidRDefault="00EF7560" w:rsidP="007A3F8C">
      <w:pPr>
        <w:pStyle w:val="Akapitzlist"/>
        <w:numPr>
          <w:ilvl w:val="0"/>
          <w:numId w:val="1"/>
        </w:numPr>
        <w:tabs>
          <w:tab w:val="right" w:pos="9072"/>
        </w:tabs>
        <w:spacing w:before="120" w:line="340" w:lineRule="atLeast"/>
        <w:ind w:left="284" w:hanging="284"/>
        <w:contextualSpacing w:val="0"/>
        <w:jc w:val="left"/>
        <w:rPr>
          <w:sz w:val="24"/>
          <w:szCs w:val="24"/>
        </w:rPr>
      </w:pPr>
      <w:r w:rsidRPr="00EF7560">
        <w:rPr>
          <w:sz w:val="24"/>
          <w:szCs w:val="24"/>
        </w:rPr>
        <w:t>Zmiany podstawowych wielkości budżetu państwa w 202</w:t>
      </w:r>
      <w:r w:rsidR="009E4179">
        <w:rPr>
          <w:sz w:val="24"/>
          <w:szCs w:val="24"/>
        </w:rPr>
        <w:t>4</w:t>
      </w:r>
      <w:r w:rsidRPr="00EF7560">
        <w:rPr>
          <w:sz w:val="24"/>
          <w:szCs w:val="24"/>
        </w:rPr>
        <w:t xml:space="preserve"> r. </w:t>
      </w:r>
      <w:r w:rsidRPr="00EF7560">
        <w:rPr>
          <w:sz w:val="24"/>
          <w:szCs w:val="24"/>
        </w:rPr>
        <w:tab/>
      </w:r>
      <w:r w:rsidR="003E1B9F">
        <w:rPr>
          <w:sz w:val="24"/>
          <w:szCs w:val="24"/>
        </w:rPr>
        <w:t>8</w:t>
      </w:r>
    </w:p>
    <w:p w14:paraId="603C46EB" w14:textId="3141DF1D" w:rsidR="00EF7560" w:rsidRPr="00EF7560" w:rsidRDefault="00EF7560" w:rsidP="007A3F8C">
      <w:pPr>
        <w:pStyle w:val="Akapitzlist"/>
        <w:numPr>
          <w:ilvl w:val="0"/>
          <w:numId w:val="1"/>
        </w:numPr>
        <w:tabs>
          <w:tab w:val="right" w:pos="9072"/>
        </w:tabs>
        <w:spacing w:before="120" w:line="340" w:lineRule="atLeast"/>
        <w:ind w:left="284" w:hanging="284"/>
        <w:contextualSpacing w:val="0"/>
        <w:jc w:val="left"/>
        <w:rPr>
          <w:sz w:val="24"/>
          <w:szCs w:val="24"/>
        </w:rPr>
      </w:pPr>
      <w:r w:rsidRPr="00EF7560">
        <w:rPr>
          <w:sz w:val="24"/>
          <w:szCs w:val="24"/>
        </w:rPr>
        <w:t>Dochody budżetu państwa w 202</w:t>
      </w:r>
      <w:r w:rsidR="009E4179">
        <w:rPr>
          <w:sz w:val="24"/>
          <w:szCs w:val="24"/>
        </w:rPr>
        <w:t>4</w:t>
      </w:r>
      <w:r w:rsidRPr="00EF7560">
        <w:rPr>
          <w:sz w:val="24"/>
          <w:szCs w:val="24"/>
        </w:rPr>
        <w:t xml:space="preserve"> r. </w:t>
      </w:r>
      <w:r w:rsidRPr="00EF7560">
        <w:rPr>
          <w:sz w:val="24"/>
          <w:szCs w:val="24"/>
        </w:rPr>
        <w:tab/>
      </w:r>
      <w:r w:rsidR="00616CE6">
        <w:rPr>
          <w:sz w:val="24"/>
          <w:szCs w:val="24"/>
        </w:rPr>
        <w:t>9</w:t>
      </w:r>
    </w:p>
    <w:p w14:paraId="037986B5" w14:textId="2958C122" w:rsidR="00EF7560" w:rsidRPr="00EF7560" w:rsidRDefault="00EF7560" w:rsidP="007A3F8C">
      <w:pPr>
        <w:pStyle w:val="Akapitzlist"/>
        <w:numPr>
          <w:ilvl w:val="0"/>
          <w:numId w:val="1"/>
        </w:numPr>
        <w:tabs>
          <w:tab w:val="right" w:pos="9072"/>
        </w:tabs>
        <w:spacing w:before="120" w:line="340" w:lineRule="atLeast"/>
        <w:ind w:left="284" w:hanging="284"/>
        <w:contextualSpacing w:val="0"/>
        <w:jc w:val="left"/>
        <w:rPr>
          <w:sz w:val="24"/>
          <w:szCs w:val="24"/>
        </w:rPr>
      </w:pPr>
      <w:r w:rsidRPr="00EF7560">
        <w:rPr>
          <w:sz w:val="24"/>
          <w:szCs w:val="24"/>
        </w:rPr>
        <w:t>Wydatki budżetu państwa w 202</w:t>
      </w:r>
      <w:r w:rsidR="009E4179">
        <w:rPr>
          <w:sz w:val="24"/>
          <w:szCs w:val="24"/>
        </w:rPr>
        <w:t>4</w:t>
      </w:r>
      <w:r w:rsidRPr="00EF7560">
        <w:rPr>
          <w:sz w:val="24"/>
          <w:szCs w:val="24"/>
        </w:rPr>
        <w:t xml:space="preserve"> r. </w:t>
      </w:r>
      <w:r w:rsidRPr="00EF7560">
        <w:rPr>
          <w:sz w:val="24"/>
          <w:szCs w:val="24"/>
        </w:rPr>
        <w:tab/>
      </w:r>
      <w:r w:rsidR="007D6DD9">
        <w:rPr>
          <w:sz w:val="24"/>
          <w:szCs w:val="24"/>
        </w:rPr>
        <w:t>1</w:t>
      </w:r>
      <w:r w:rsidR="00616CE6">
        <w:rPr>
          <w:sz w:val="24"/>
          <w:szCs w:val="24"/>
        </w:rPr>
        <w:t>6</w:t>
      </w:r>
    </w:p>
    <w:p w14:paraId="68317F5B" w14:textId="018418B3" w:rsidR="00EF7560" w:rsidRPr="00E2219E" w:rsidRDefault="00EF7560" w:rsidP="007A3F8C">
      <w:pPr>
        <w:pStyle w:val="Akapitzlist"/>
        <w:numPr>
          <w:ilvl w:val="0"/>
          <w:numId w:val="1"/>
        </w:numPr>
        <w:tabs>
          <w:tab w:val="right" w:pos="9072"/>
        </w:tabs>
        <w:spacing w:before="120" w:line="340" w:lineRule="atLeast"/>
        <w:ind w:left="284" w:hanging="284"/>
        <w:contextualSpacing w:val="0"/>
        <w:jc w:val="left"/>
        <w:rPr>
          <w:sz w:val="24"/>
          <w:szCs w:val="24"/>
        </w:rPr>
      </w:pPr>
      <w:r w:rsidRPr="00E2219E">
        <w:rPr>
          <w:sz w:val="24"/>
          <w:szCs w:val="24"/>
        </w:rPr>
        <w:t>Zmiany w planach finansowych</w:t>
      </w:r>
      <w:r w:rsidR="00EB1E41" w:rsidRPr="00E2219E">
        <w:rPr>
          <w:sz w:val="24"/>
          <w:szCs w:val="24"/>
        </w:rPr>
        <w:t xml:space="preserve"> państwowych</w:t>
      </w:r>
      <w:r w:rsidRPr="00E2219E">
        <w:rPr>
          <w:sz w:val="24"/>
          <w:szCs w:val="24"/>
        </w:rPr>
        <w:t xml:space="preserve"> funduszy c</w:t>
      </w:r>
      <w:r w:rsidR="009179D5" w:rsidRPr="00E2219E">
        <w:rPr>
          <w:sz w:val="24"/>
          <w:szCs w:val="24"/>
        </w:rPr>
        <w:t xml:space="preserve">elowych </w:t>
      </w:r>
      <w:r w:rsidRPr="00E2219E">
        <w:rPr>
          <w:sz w:val="24"/>
          <w:szCs w:val="24"/>
        </w:rPr>
        <w:t>i państwowych</w:t>
      </w:r>
      <w:r w:rsidR="007D09FC">
        <w:rPr>
          <w:sz w:val="24"/>
          <w:szCs w:val="24"/>
        </w:rPr>
        <w:t> </w:t>
      </w:r>
      <w:r w:rsidRPr="00E2219E">
        <w:rPr>
          <w:sz w:val="24"/>
          <w:szCs w:val="24"/>
        </w:rPr>
        <w:t>osób prawnych</w:t>
      </w:r>
      <w:r w:rsidR="00EB1E41" w:rsidRPr="00E2219E">
        <w:rPr>
          <w:sz w:val="24"/>
          <w:szCs w:val="24"/>
        </w:rPr>
        <w:t>, o których mowa</w:t>
      </w:r>
      <w:r w:rsidR="007D09FC">
        <w:rPr>
          <w:sz w:val="24"/>
          <w:szCs w:val="24"/>
        </w:rPr>
        <w:t> </w:t>
      </w:r>
      <w:r w:rsidR="00EB1E41" w:rsidRPr="00E2219E">
        <w:rPr>
          <w:sz w:val="24"/>
          <w:szCs w:val="24"/>
        </w:rPr>
        <w:t xml:space="preserve">w art. 9 pkt 14 ustawy </w:t>
      </w:r>
      <w:r w:rsidR="00600D2F">
        <w:rPr>
          <w:sz w:val="24"/>
          <w:szCs w:val="24"/>
        </w:rPr>
        <w:t xml:space="preserve">z dnia 27 sierpnia 2009 r. </w:t>
      </w:r>
      <w:r w:rsidR="00EB1E41" w:rsidRPr="00E2219E">
        <w:rPr>
          <w:sz w:val="24"/>
          <w:szCs w:val="24"/>
        </w:rPr>
        <w:t>o</w:t>
      </w:r>
      <w:r w:rsidR="007D09FC">
        <w:rPr>
          <w:sz w:val="24"/>
          <w:szCs w:val="24"/>
        </w:rPr>
        <w:t> </w:t>
      </w:r>
      <w:r w:rsidR="00EB1E41" w:rsidRPr="00E2219E">
        <w:rPr>
          <w:sz w:val="24"/>
          <w:szCs w:val="24"/>
        </w:rPr>
        <w:t>finansach</w:t>
      </w:r>
      <w:r w:rsidR="007D09FC">
        <w:rPr>
          <w:sz w:val="24"/>
          <w:szCs w:val="24"/>
        </w:rPr>
        <w:t> </w:t>
      </w:r>
      <w:r w:rsidR="00EB1E41" w:rsidRPr="00E2219E">
        <w:rPr>
          <w:sz w:val="24"/>
          <w:szCs w:val="24"/>
        </w:rPr>
        <w:t>publicznych</w:t>
      </w:r>
      <w:r w:rsidR="006147E2" w:rsidRPr="00E2219E">
        <w:rPr>
          <w:sz w:val="24"/>
          <w:szCs w:val="24"/>
        </w:rPr>
        <w:tab/>
      </w:r>
      <w:r w:rsidR="007D6DD9">
        <w:rPr>
          <w:sz w:val="24"/>
          <w:szCs w:val="24"/>
        </w:rPr>
        <w:t>2</w:t>
      </w:r>
      <w:r w:rsidR="00BF44EE">
        <w:rPr>
          <w:sz w:val="24"/>
          <w:szCs w:val="24"/>
        </w:rPr>
        <w:t>5</w:t>
      </w:r>
    </w:p>
    <w:p w14:paraId="4DEFA957" w14:textId="70A88E0C" w:rsidR="00EF7560" w:rsidRPr="007D09FC" w:rsidRDefault="00EF7560" w:rsidP="007A3F8C">
      <w:pPr>
        <w:pStyle w:val="Akapitzlist"/>
        <w:numPr>
          <w:ilvl w:val="0"/>
          <w:numId w:val="1"/>
        </w:numPr>
        <w:tabs>
          <w:tab w:val="right" w:pos="9072"/>
        </w:tabs>
        <w:spacing w:before="120" w:line="340" w:lineRule="atLeast"/>
        <w:ind w:left="284" w:hanging="284"/>
        <w:contextualSpacing w:val="0"/>
        <w:jc w:val="left"/>
        <w:rPr>
          <w:sz w:val="24"/>
          <w:szCs w:val="24"/>
        </w:rPr>
      </w:pPr>
      <w:r w:rsidRPr="007D09FC">
        <w:rPr>
          <w:sz w:val="24"/>
          <w:szCs w:val="24"/>
        </w:rPr>
        <w:t>Finansowanie potrzeb pożyczkowych budżetu państwa</w:t>
      </w:r>
      <w:r w:rsidR="006147E2" w:rsidRPr="007D09FC">
        <w:rPr>
          <w:sz w:val="24"/>
          <w:szCs w:val="24"/>
        </w:rPr>
        <w:tab/>
      </w:r>
      <w:r w:rsidR="007D6DD9">
        <w:rPr>
          <w:sz w:val="24"/>
          <w:szCs w:val="24"/>
        </w:rPr>
        <w:t>2</w:t>
      </w:r>
      <w:r w:rsidR="00BF44EE">
        <w:rPr>
          <w:sz w:val="24"/>
          <w:szCs w:val="24"/>
        </w:rPr>
        <w:t>7</w:t>
      </w:r>
    </w:p>
    <w:p w14:paraId="7E403BEE" w14:textId="77777777" w:rsidR="00EF7560" w:rsidRPr="00EF7560" w:rsidRDefault="00EF7560" w:rsidP="007A3F8C">
      <w:pPr>
        <w:pStyle w:val="Akapitzlist"/>
        <w:tabs>
          <w:tab w:val="right" w:pos="9072"/>
        </w:tabs>
        <w:spacing w:before="120" w:line="340" w:lineRule="atLeast"/>
        <w:ind w:left="284"/>
        <w:contextualSpacing w:val="0"/>
        <w:jc w:val="left"/>
        <w:rPr>
          <w:sz w:val="24"/>
          <w:szCs w:val="24"/>
        </w:rPr>
      </w:pPr>
    </w:p>
    <w:p w14:paraId="42E884B7" w14:textId="77777777" w:rsidR="00EF7560" w:rsidRDefault="00EF7560" w:rsidP="00EF7560">
      <w:pPr>
        <w:rPr>
          <w:sz w:val="28"/>
        </w:rPr>
      </w:pPr>
    </w:p>
    <w:p w14:paraId="6D3843D6" w14:textId="77777777" w:rsidR="00EF7560" w:rsidRDefault="00EF7560" w:rsidP="00EF7560">
      <w:pPr>
        <w:tabs>
          <w:tab w:val="right" w:pos="9000"/>
        </w:tabs>
        <w:spacing w:before="120"/>
      </w:pPr>
    </w:p>
    <w:p w14:paraId="228F4881" w14:textId="77777777" w:rsidR="00EF7560" w:rsidRDefault="00EF7560" w:rsidP="00EF7560"/>
    <w:p w14:paraId="6DDD35BB" w14:textId="77777777" w:rsidR="00EF7560" w:rsidRDefault="00EF7560" w:rsidP="00EF7560"/>
    <w:p w14:paraId="5A6341F7" w14:textId="77777777" w:rsidR="00EF7560" w:rsidRDefault="00EF7560" w:rsidP="00EF7560"/>
    <w:p w14:paraId="2CE68476" w14:textId="77777777" w:rsidR="00EF7560" w:rsidRDefault="00EF7560" w:rsidP="00EF7560"/>
    <w:p w14:paraId="227473A4" w14:textId="77777777" w:rsidR="00EF7560" w:rsidRDefault="00EF7560" w:rsidP="00EF7560"/>
    <w:p w14:paraId="68852D12" w14:textId="77777777" w:rsidR="00EF7560" w:rsidRDefault="00EF7560" w:rsidP="00EF7560"/>
    <w:p w14:paraId="581F0B37" w14:textId="77777777" w:rsidR="00EF7560" w:rsidRDefault="00EF7560" w:rsidP="00EF7560"/>
    <w:p w14:paraId="39FE2A9A" w14:textId="77777777" w:rsidR="00EF7560" w:rsidRDefault="00EF7560" w:rsidP="00EF7560"/>
    <w:p w14:paraId="66B525D1" w14:textId="77777777" w:rsidR="00EF7560" w:rsidRDefault="00EF7560" w:rsidP="00EF7560"/>
    <w:p w14:paraId="4E78B4E4" w14:textId="77777777" w:rsidR="00EF7560" w:rsidRDefault="00EF7560" w:rsidP="00EF7560"/>
    <w:p w14:paraId="07C0733C" w14:textId="77777777" w:rsidR="00EF7560" w:rsidRDefault="00EF7560" w:rsidP="00EF7560"/>
    <w:p w14:paraId="7D11878E" w14:textId="77777777" w:rsidR="00EF7560" w:rsidRDefault="00EF7560" w:rsidP="00EF7560"/>
    <w:p w14:paraId="248A4CB9" w14:textId="77777777" w:rsidR="00EF7560" w:rsidRDefault="00EF7560" w:rsidP="00EF7560"/>
    <w:p w14:paraId="68AE0BAE" w14:textId="77777777" w:rsidR="00EF7560" w:rsidRDefault="00EF7560" w:rsidP="00EF7560"/>
    <w:p w14:paraId="7802EE12" w14:textId="77777777" w:rsidR="00EF7560" w:rsidRDefault="00EF7560" w:rsidP="00EF7560"/>
    <w:p w14:paraId="23741CE8" w14:textId="77777777" w:rsidR="00EF7560" w:rsidRDefault="00EF7560" w:rsidP="00EF7560"/>
    <w:p w14:paraId="3CCC0847" w14:textId="77777777" w:rsidR="00EF7560" w:rsidRDefault="00EF7560" w:rsidP="00EF7560"/>
    <w:p w14:paraId="19E8525C" w14:textId="77777777" w:rsidR="008610B1" w:rsidRDefault="008610B1" w:rsidP="00EF7560"/>
    <w:p w14:paraId="603157E3" w14:textId="77777777" w:rsidR="008610B1" w:rsidRDefault="008610B1" w:rsidP="00EF7560"/>
    <w:p w14:paraId="3885A734" w14:textId="6420FA5B" w:rsidR="008610B1" w:rsidRDefault="008610B1" w:rsidP="00EF7560">
      <w:pPr>
        <w:sectPr w:rsidR="008610B1" w:rsidSect="003B6004">
          <w:pgSz w:w="11906" w:h="16838"/>
          <w:pgMar w:top="1417" w:right="1417" w:bottom="1417" w:left="1417" w:header="708" w:footer="708" w:gutter="0"/>
          <w:cols w:space="708"/>
          <w:titlePg/>
          <w:docGrid w:linePitch="360"/>
        </w:sectPr>
      </w:pPr>
    </w:p>
    <w:p w14:paraId="7A6C5532" w14:textId="79F6ED71" w:rsidR="00EF7560" w:rsidRDefault="00EF7560" w:rsidP="00EF7560">
      <w:pPr>
        <w:rPr>
          <w:rFonts w:ascii="Arial" w:hAnsi="Arial" w:cs="Arial"/>
          <w:b/>
          <w:sz w:val="24"/>
          <w:szCs w:val="24"/>
        </w:rPr>
      </w:pPr>
      <w:r w:rsidRPr="0080763F">
        <w:rPr>
          <w:rFonts w:ascii="Arial" w:hAnsi="Arial" w:cs="Arial"/>
          <w:b/>
          <w:sz w:val="24"/>
          <w:szCs w:val="24"/>
        </w:rPr>
        <w:lastRenderedPageBreak/>
        <w:t xml:space="preserve">Wstęp </w:t>
      </w:r>
      <w:r w:rsidRPr="00810362">
        <w:rPr>
          <w:rFonts w:ascii="Arial" w:hAnsi="Arial" w:cs="Arial"/>
          <w:b/>
          <w:sz w:val="24"/>
          <w:szCs w:val="24"/>
        </w:rPr>
        <w:t>–</w:t>
      </w:r>
      <w:r w:rsidRPr="0080763F">
        <w:rPr>
          <w:rFonts w:ascii="Arial" w:hAnsi="Arial" w:cs="Arial"/>
          <w:b/>
          <w:sz w:val="24"/>
          <w:szCs w:val="24"/>
        </w:rPr>
        <w:t xml:space="preserve"> </w:t>
      </w:r>
      <w:r>
        <w:rPr>
          <w:rFonts w:ascii="Arial" w:hAnsi="Arial" w:cs="Arial"/>
          <w:b/>
          <w:sz w:val="24"/>
          <w:szCs w:val="24"/>
        </w:rPr>
        <w:t>u</w:t>
      </w:r>
      <w:r w:rsidRPr="0080763F">
        <w:rPr>
          <w:rFonts w:ascii="Arial" w:hAnsi="Arial" w:cs="Arial"/>
          <w:b/>
          <w:sz w:val="24"/>
          <w:szCs w:val="24"/>
        </w:rPr>
        <w:t>warunkowania nowelizac</w:t>
      </w:r>
      <w:r w:rsidR="00593B67">
        <w:rPr>
          <w:rFonts w:ascii="Arial" w:hAnsi="Arial" w:cs="Arial"/>
          <w:b/>
          <w:sz w:val="24"/>
          <w:szCs w:val="24"/>
        </w:rPr>
        <w:t>ji ustawy budżetowej na rok 202</w:t>
      </w:r>
      <w:r w:rsidR="009E4179">
        <w:rPr>
          <w:rFonts w:ascii="Arial" w:hAnsi="Arial" w:cs="Arial"/>
          <w:b/>
          <w:sz w:val="24"/>
          <w:szCs w:val="24"/>
        </w:rPr>
        <w:t>4</w:t>
      </w:r>
    </w:p>
    <w:p w14:paraId="5DA44ABE" w14:textId="350A2144" w:rsidR="00F66333" w:rsidRDefault="00F66333" w:rsidP="00F66333">
      <w:pPr>
        <w:pStyle w:val="Tekst"/>
        <w:spacing w:before="120" w:line="340" w:lineRule="atLeast"/>
      </w:pPr>
      <w:r>
        <w:t>Powodami</w:t>
      </w:r>
      <w:r w:rsidR="001521D7">
        <w:t>,</w:t>
      </w:r>
      <w:r>
        <w:t xml:space="preserve"> dla któr</w:t>
      </w:r>
      <w:r w:rsidR="001521D7">
        <w:t>ych</w:t>
      </w:r>
      <w:r>
        <w:t xml:space="preserve"> rząd dokonuje obecnej nowelizacji budżetu państwa na rok 2024</w:t>
      </w:r>
      <w:r w:rsidR="001521D7">
        <w:t>,</w:t>
      </w:r>
      <w:r>
        <w:t xml:space="preserve"> jest zapewnienie jednostkom samorządu terytorialnego (JST) wsparcia finansowego w realizacji ich zadań własnych oraz aktualizacj</w:t>
      </w:r>
      <w:r w:rsidR="00225691">
        <w:t>i</w:t>
      </w:r>
      <w:r>
        <w:t xml:space="preserve"> prognozy dochodów budżetu, która wynika z</w:t>
      </w:r>
      <w:r w:rsidR="00E3385B">
        <w:t> </w:t>
      </w:r>
      <w:r>
        <w:t>uwzględnienia dostępnych danych o dotychczasowym wykonaniu i projekcji na ostatni kwartał br.</w:t>
      </w:r>
    </w:p>
    <w:p w14:paraId="02D43AB6" w14:textId="63C357FA" w:rsidR="00F66333" w:rsidRDefault="00F66333" w:rsidP="00F66333">
      <w:pPr>
        <w:pStyle w:val="Tekst"/>
        <w:spacing w:before="120" w:line="340" w:lineRule="atLeast"/>
      </w:pPr>
      <w:r>
        <w:t>Jednym z najistotniejszych źródeł dochodów JST są udziały we wpływach z podatku dochodowego od osób fizycznych (PIT). Zmiany wprowadzone w latach 2019</w:t>
      </w:r>
      <w:r w:rsidR="00EC0A27">
        <w:t>–</w:t>
      </w:r>
      <w:r>
        <w:t>2022 w</w:t>
      </w:r>
      <w:r w:rsidR="00E3385B">
        <w:t> </w:t>
      </w:r>
      <w:r>
        <w:t>przepisach dotyczących tego podatku (reformy w ramach Polskiego Ładu) spowodowały ubytek dochodów JST z tego tytułu. Niekorzystnie na finanse JST wpłynęła także pandemia COVID-19, a w samorządach na południu Polski także powódź, która miała miejsce we wrześniu br. Ponadto wydatki bieżące samorządów zwiększają się corocznie na skutek m.in. inflacji. Prowadzi to do pog</w:t>
      </w:r>
      <w:r w:rsidR="00B74467">
        <w:t>a</w:t>
      </w:r>
      <w:r>
        <w:t>rszania się sytuacji finansowej JST i pogłębiania trudności JST w realizacji ich budżetów, a tym samym w realizacji zadań własnych samorządu terytorialnego.</w:t>
      </w:r>
    </w:p>
    <w:p w14:paraId="22DD09DF" w14:textId="7BE35A83" w:rsidR="00F66333" w:rsidRDefault="00F66333" w:rsidP="00F66333">
      <w:pPr>
        <w:pStyle w:val="Tekst"/>
        <w:spacing w:before="120" w:line="340" w:lineRule="atLeast"/>
      </w:pPr>
      <w:r>
        <w:t xml:space="preserve">Aby zapewnić JST płynność finansową w roku 2024, bez konieczności wdrażania programów postępowania ostrożnościowego lub naprawczego i w celu umożliwienia jednostkom samorządu terytorialnego dysponowania dodatkowymi środkami w sposób dostosowany do ich aktualnej sytuacji finansowej i potrzeb, w wyniku nowelizacji </w:t>
      </w:r>
      <w:r w:rsidR="00225691">
        <w:t xml:space="preserve">ustawy </w:t>
      </w:r>
      <w:r>
        <w:t>budżet</w:t>
      </w:r>
      <w:r w:rsidR="00225691">
        <w:t>owej na rok 2024</w:t>
      </w:r>
      <w:r>
        <w:t xml:space="preserve"> zostaną przekazane samorządom dodatkowe środki finansowe w łącznej wysokości 10</w:t>
      </w:r>
      <w:r w:rsidR="00E3385B">
        <w:t> </w:t>
      </w:r>
      <w:r>
        <w:t>mld</w:t>
      </w:r>
      <w:r w:rsidR="00E3385B">
        <w:t> </w:t>
      </w:r>
      <w:r>
        <w:t xml:space="preserve">zł, z czego w wysokości: </w:t>
      </w:r>
    </w:p>
    <w:p w14:paraId="14D07ADF" w14:textId="5C1443D5" w:rsidR="00F66333" w:rsidRDefault="00F66333" w:rsidP="00433FDD">
      <w:pPr>
        <w:pStyle w:val="Tekst"/>
        <w:numPr>
          <w:ilvl w:val="0"/>
          <w:numId w:val="10"/>
        </w:numPr>
        <w:spacing w:before="120" w:line="340" w:lineRule="atLeast"/>
        <w:ind w:left="426" w:hanging="426"/>
      </w:pPr>
      <w:r>
        <w:t xml:space="preserve">8,2 mld zł </w:t>
      </w:r>
      <w:r w:rsidR="00B11E75">
        <w:t xml:space="preserve">– </w:t>
      </w:r>
      <w:r>
        <w:t>z tytułu udziału we wpływach z PIT</w:t>
      </w:r>
      <w:r w:rsidR="00B11E75">
        <w:t>, które – pierwotnie planowane jako dochody budżetu państwa – zostaną przekierowane do JST</w:t>
      </w:r>
      <w:r>
        <w:t>;</w:t>
      </w:r>
    </w:p>
    <w:p w14:paraId="1D0672BD" w14:textId="7D9AEECE" w:rsidR="00F66333" w:rsidRDefault="00F66333" w:rsidP="00433FDD">
      <w:pPr>
        <w:pStyle w:val="Tekst"/>
        <w:numPr>
          <w:ilvl w:val="0"/>
          <w:numId w:val="10"/>
        </w:numPr>
        <w:spacing w:before="120" w:line="340" w:lineRule="atLeast"/>
        <w:ind w:left="426" w:hanging="426"/>
      </w:pPr>
      <w:r>
        <w:t>1,8 mld zł – z tytułu uzupełnienia subwencji ogólnej.</w:t>
      </w:r>
    </w:p>
    <w:p w14:paraId="1B6C7934" w14:textId="6E036938" w:rsidR="00F66333" w:rsidRDefault="00B11E75" w:rsidP="00F66333">
      <w:pPr>
        <w:pStyle w:val="Tekst"/>
        <w:spacing w:before="120" w:line="340" w:lineRule="atLeast"/>
      </w:pPr>
      <w:r>
        <w:t>Jednocześnie zmiana poziomu prognozowanych dochodów budżetu państwa na rok 2024 w znaczącym stopniu wynika z bieżącej sytuacji makroekonomicznej.</w:t>
      </w:r>
      <w:r w:rsidR="00F66333">
        <w:t xml:space="preserve"> </w:t>
      </w:r>
      <w:r>
        <w:t>Z</w:t>
      </w:r>
      <w:r w:rsidR="00F66333">
        <w:t xml:space="preserve">miany w porównaniu do scenariusza </w:t>
      </w:r>
      <w:r w:rsidR="00225691">
        <w:t>przyjętego w</w:t>
      </w:r>
      <w:r w:rsidR="00F66333">
        <w:t xml:space="preserve"> ustaw</w:t>
      </w:r>
      <w:r w:rsidR="00225691">
        <w:t>ie</w:t>
      </w:r>
      <w:r w:rsidR="00F66333">
        <w:t xml:space="preserve"> budżetowej na </w:t>
      </w:r>
      <w:r w:rsidR="00225691">
        <w:t xml:space="preserve">rok </w:t>
      </w:r>
      <w:r w:rsidR="00F66333">
        <w:t>2024, które występują głównie w</w:t>
      </w:r>
      <w:r w:rsidR="00E3385B">
        <w:t> </w:t>
      </w:r>
      <w:r w:rsidR="00F66333">
        <w:t>sferze nominalnej gospodarki, wpływa</w:t>
      </w:r>
      <w:r>
        <w:t>ją</w:t>
      </w:r>
      <w:r w:rsidR="00F66333">
        <w:t xml:space="preserve"> na obniżenie prognozy dochodów budżetowych, poprzez niższy szacunek – od pierwotnie prognozowanej </w:t>
      </w:r>
      <w:r w:rsidR="0004610B">
        <w:t xml:space="preserve">– </w:t>
      </w:r>
      <w:r w:rsidR="00F66333">
        <w:t>bazy podatkowej. Ponadto</w:t>
      </w:r>
      <w:r w:rsidR="00EB7D8D">
        <w:t>,</w:t>
      </w:r>
      <w:r w:rsidR="00F66333">
        <w:t xml:space="preserve"> uwzględniając dane z wykonania budżetu państwa w ostatnich miesiącach oraz aktualne projekcje</w:t>
      </w:r>
      <w:r w:rsidR="00EB7D8D">
        <w:t>,</w:t>
      </w:r>
      <w:r w:rsidR="00F66333">
        <w:t xml:space="preserve"> można oczekiwać, że w całym 2024 roku dochody będą niższe od planowanych pierwotnie.</w:t>
      </w:r>
    </w:p>
    <w:p w14:paraId="2B7290BD" w14:textId="181551C0" w:rsidR="00F66333" w:rsidRDefault="00F66333" w:rsidP="00F66333">
      <w:pPr>
        <w:pStyle w:val="Tekst"/>
        <w:spacing w:before="120" w:line="340" w:lineRule="atLeast"/>
      </w:pPr>
      <w:r>
        <w:t xml:space="preserve">Perspektywy dla 2024 roku w zakresie sytuacji makroekonomicznej, determinującej bazę podatkową, uległy pogorszeniu w stosunku do </w:t>
      </w:r>
      <w:r w:rsidR="00EB7D8D">
        <w:t xml:space="preserve">okresu </w:t>
      </w:r>
      <w:r>
        <w:t xml:space="preserve">prac nad projektem ustawy budżetowej. Według obecnej prognozy tempo wzrostu PKB w ujęciu nominalnym w 2024 r. wyniesie 6,8%, wobec planowanego w ustawie budżetowej na </w:t>
      </w:r>
      <w:r w:rsidR="00EB7D8D">
        <w:t xml:space="preserve">rok </w:t>
      </w:r>
      <w:r>
        <w:t xml:space="preserve">2024 tempa wzrostu w wysokości 9,5%. Przewidywane w chwili obecnej tempo nominalnego wzrostu spożycia prywatnego wynosi 8,0%, wobec planowanego w ustawie budżetowej na </w:t>
      </w:r>
      <w:r w:rsidR="00EB7D8D">
        <w:t xml:space="preserve">rok </w:t>
      </w:r>
      <w:r>
        <w:t>2024 tempa wzrostu w</w:t>
      </w:r>
      <w:r w:rsidR="00E3385B">
        <w:t> </w:t>
      </w:r>
      <w:r>
        <w:t>wysokości 10,2%.</w:t>
      </w:r>
    </w:p>
    <w:p w14:paraId="65277C1F" w14:textId="04EDE601" w:rsidR="00F66333" w:rsidRDefault="00F66333" w:rsidP="00F66333">
      <w:pPr>
        <w:pStyle w:val="Tekst"/>
        <w:spacing w:before="120" w:line="340" w:lineRule="atLeast"/>
      </w:pPr>
      <w:r>
        <w:lastRenderedPageBreak/>
        <w:t xml:space="preserve">W momencie przygotowania prognoz do ustawy budżetowej na </w:t>
      </w:r>
      <w:r w:rsidR="00EB7D8D">
        <w:t xml:space="preserve">rok </w:t>
      </w:r>
      <w:r>
        <w:t>2024 przewidywano, że w 2024 r. nastąpi spadek średniorocznej inflacji do 6,6% wobec 12,0% średnio w 2023 r. Dotychczasowy przebieg procesów inflacyjnych w 2024 r. wskazuje na konieczność obniżenia prognozy inflacji na 2024 r. do 3,7% średnio w roku.</w:t>
      </w:r>
    </w:p>
    <w:p w14:paraId="36D1ACD2" w14:textId="359D7122" w:rsidR="00F66333" w:rsidRDefault="00F66333" w:rsidP="00F66333">
      <w:pPr>
        <w:pStyle w:val="Tekst"/>
        <w:spacing w:before="120" w:line="340" w:lineRule="atLeast"/>
      </w:pPr>
      <w:r>
        <w:t xml:space="preserve">Pogorszeniu uległa również ocena wzrostu gospodarczego odnotowanego w 2023 r. Według skorygowanego szacunku GUS, produkt krajowy brutto w 2023 r. wzrósł realnie o 0,1% r/r (poprzednie dane wskazywały na wzrost 0,2% r/r), co było widoczne w istotnie gorszym dla dochodów budżetu w roku bieżącym rozliczeniu </w:t>
      </w:r>
      <w:r w:rsidR="00EB7D8D">
        <w:t xml:space="preserve">podatku dochodowego od osób prawnych (CIT) </w:t>
      </w:r>
      <w:r>
        <w:t xml:space="preserve">za 2023 r. </w:t>
      </w:r>
    </w:p>
    <w:p w14:paraId="24DFBBEC" w14:textId="77777777" w:rsidR="00F66333" w:rsidRDefault="00F66333" w:rsidP="00F66333">
      <w:pPr>
        <w:pStyle w:val="Tekst"/>
        <w:spacing w:before="120" w:line="340" w:lineRule="atLeast"/>
      </w:pPr>
      <w:r>
        <w:t>Zmiany w zakresie poszczególnych wielkości dochodów budżetu państwa zostały omówione w dalszej części uzasadnienia w rozdziale 2. Dochody budżetu państwa w 2024 r.</w:t>
      </w:r>
    </w:p>
    <w:p w14:paraId="36391916" w14:textId="7EE8C7D9" w:rsidR="00F66333" w:rsidRDefault="00F66333" w:rsidP="00F66333">
      <w:pPr>
        <w:pStyle w:val="Tekst"/>
        <w:spacing w:before="120" w:line="340" w:lineRule="atLeast"/>
      </w:pPr>
      <w:r>
        <w:t xml:space="preserve">Na zakres oraz tryb dokonywania nowelizacji ustawy budżetowej </w:t>
      </w:r>
      <w:r w:rsidR="00EB7D8D">
        <w:t xml:space="preserve">na rok 2024 </w:t>
      </w:r>
      <w:r>
        <w:t>ma wpływ przede wszystkim zakres proponowanych zmian, jak również powody, dla których zdecydowano o</w:t>
      </w:r>
      <w:r w:rsidR="00E3385B">
        <w:t> </w:t>
      </w:r>
      <w:r>
        <w:t xml:space="preserve">potrzebie </w:t>
      </w:r>
      <w:r w:rsidR="00EB7D8D">
        <w:t>dokonania tej nowelizacji</w:t>
      </w:r>
      <w:r>
        <w:t xml:space="preserve">. Zmiana ustalonego w ustawie budżetowej </w:t>
      </w:r>
      <w:r w:rsidR="00EB7D8D">
        <w:t xml:space="preserve">na rok 2024 </w:t>
      </w:r>
      <w:r>
        <w:t>planu dochodów i wydatków budżetu państwa ma zapewnić realne wykonanie ustawy budżetowej w danym roku budżetowym, z uwzględnieniem skutków zdarzeń</w:t>
      </w:r>
      <w:r w:rsidR="00EB7D8D">
        <w:t xml:space="preserve"> lub </w:t>
      </w:r>
      <w:r>
        <w:t xml:space="preserve">okoliczności niemożliwych do przewidzenia na etapie prac planistycznych dotyczących projektu ustawy budżetowej. Nowelizacja </w:t>
      </w:r>
      <w:r w:rsidR="00EB7D8D">
        <w:t>ustawy budżetowej na rok 2024</w:t>
      </w:r>
      <w:r>
        <w:t xml:space="preserve"> nie dostosowuje wszystkich pozycji planu do wykonania, są to osobne kategorie procesu budżetowego i służą różnym celom. </w:t>
      </w:r>
    </w:p>
    <w:p w14:paraId="47843E5A" w14:textId="13E88DD2" w:rsidR="00F66333" w:rsidRDefault="00F66333" w:rsidP="00F66333">
      <w:pPr>
        <w:pStyle w:val="Tekst"/>
        <w:spacing w:before="120" w:line="340" w:lineRule="atLeast"/>
      </w:pPr>
      <w:r>
        <w:t xml:space="preserve">Przedłożona nowelizacja ustawy budżetowej </w:t>
      </w:r>
      <w:r w:rsidR="00EB7D8D">
        <w:t xml:space="preserve">na rok 2024 </w:t>
      </w:r>
      <w:r>
        <w:t>dotyczy aktualizacji prognoz strony dochodowej</w:t>
      </w:r>
      <w:r w:rsidR="00EC0A27">
        <w:t>,</w:t>
      </w:r>
      <w:r>
        <w:t xml:space="preserve"> co wpływa na kwotę ustanowionego w </w:t>
      </w:r>
      <w:r w:rsidR="00EB7D8D">
        <w:t xml:space="preserve">tej </w:t>
      </w:r>
      <w:r>
        <w:t xml:space="preserve">ustawie maksymalnego poziomu deficytu budżetu państwa. Podkreślić przy tym należy, że planowany deficyt budżetu państwa jest jego limitem wg stanu na dzień 31 grudnia danego roku. </w:t>
      </w:r>
    </w:p>
    <w:p w14:paraId="3758E8F9" w14:textId="349D3FAC" w:rsidR="00F66333" w:rsidRDefault="00F66333" w:rsidP="00F66333">
      <w:pPr>
        <w:pStyle w:val="Tekst"/>
        <w:spacing w:before="120" w:line="340" w:lineRule="atLeast"/>
      </w:pPr>
      <w:r>
        <w:t xml:space="preserve">Kwota wydatków zaplanowana w ustawie budżetowej na </w:t>
      </w:r>
      <w:r w:rsidR="00EB7D8D">
        <w:t xml:space="preserve">rok </w:t>
      </w:r>
      <w:r>
        <w:t>2024 w przedkładanej nowelizacji per saldo pozostaje na niezmienionym poziomie. Projekt nowelizacji ustawy budżetowej na rok 2024 zakłada jedynie przesunięcia pomiędzy poszczególnymi częściami budżetowymi w</w:t>
      </w:r>
      <w:r w:rsidR="00E3385B">
        <w:t> </w:t>
      </w:r>
      <w:r>
        <w:t xml:space="preserve">ramach tej samej łącznej kwoty wydatków budżetu państwa. </w:t>
      </w:r>
    </w:p>
    <w:p w14:paraId="68EE6FF9" w14:textId="5C75C6D0" w:rsidR="00F66333" w:rsidRDefault="00F66333" w:rsidP="00F66333">
      <w:pPr>
        <w:pStyle w:val="Tekst"/>
        <w:spacing w:before="120" w:line="340" w:lineRule="atLeast"/>
      </w:pPr>
      <w:r>
        <w:t>Bez zmiany pozostaje także kwota planowanych wydatków stabilizującej reguły wydatkowej na rok 2024, obliczona zgodnie z art. 112aa ust. 1 ustawy z dnia 27 sierpnia 2009 r. o</w:t>
      </w:r>
      <w:r w:rsidR="00E3385B">
        <w:t> </w:t>
      </w:r>
      <w:r>
        <w:t xml:space="preserve">finansach publicznych </w:t>
      </w:r>
      <w:r w:rsidR="00EB7D8D">
        <w:t xml:space="preserve">(Dz. U. z 2024 r. poz. 1530, z późn. zm.) </w:t>
      </w:r>
      <w:r>
        <w:t xml:space="preserve">oraz kwota limitu wydatków, o którym mowa w art. 112aa ust. 3 </w:t>
      </w:r>
      <w:r w:rsidR="00E3385B">
        <w:t>przedmiotowej</w:t>
      </w:r>
      <w:r>
        <w:t xml:space="preserve"> ustawy.</w:t>
      </w:r>
    </w:p>
    <w:p w14:paraId="1E4A834B" w14:textId="5B956A29" w:rsidR="00F66333" w:rsidRDefault="00F66333" w:rsidP="00F66333">
      <w:pPr>
        <w:pStyle w:val="Tekst"/>
        <w:spacing w:before="120" w:line="340" w:lineRule="atLeast"/>
      </w:pPr>
      <w:r>
        <w:t xml:space="preserve">Kwoty wydatków budżetu państwa ujęte w ustawie budżetowej, zgodnie z przepisami art. 52 ust. 1 pkt 2 ustawy </w:t>
      </w:r>
      <w:r w:rsidR="00EB7D8D">
        <w:t xml:space="preserve">z dnia 27 sierpnia 2009 r. </w:t>
      </w:r>
      <w:r w:rsidR="00EC0A27">
        <w:t xml:space="preserve">o </w:t>
      </w:r>
      <w:r>
        <w:t>finansach publicznych, stanowią nieprzekraczalny limit i tym samym określają dysponentom części budżetowych górny pułap ich możliwości wydatkowych.</w:t>
      </w:r>
    </w:p>
    <w:p w14:paraId="2B9B93F0" w14:textId="1C11765F" w:rsidR="00F66333" w:rsidRDefault="00F66333" w:rsidP="00F66333">
      <w:pPr>
        <w:pStyle w:val="Tekst"/>
        <w:spacing w:before="120" w:line="340" w:lineRule="atLeast"/>
      </w:pPr>
      <w:r>
        <w:lastRenderedPageBreak/>
        <w:t xml:space="preserve">W trakcie prac nad nowelizacją ustawy budżetowej na rok 2024, co do zasady, nie można </w:t>
      </w:r>
      <w:r w:rsidR="00B11E75">
        <w:t xml:space="preserve">w pełni </w:t>
      </w:r>
      <w:r>
        <w:t xml:space="preserve">przewidzieć, czy lub ewentualnie w jakim stopniu środki na wydatki ujęte w ustawie budżetowej na </w:t>
      </w:r>
      <w:r w:rsidR="00EB7D8D">
        <w:t xml:space="preserve">rok </w:t>
      </w:r>
      <w:r>
        <w:t xml:space="preserve">2024 nie zostaną wykorzystane do końca roku. Plan wydatków zawartych w ustawie budżetowej jest limitem wydatków możliwym do wykorzystania do końca roku przez poszczególnych dysponentów. Jednakże podkreślić należy, że praktyka budżetowa pokazuje, że realizacja strony wydatkowej budżetu państwa wiąże się corocznie z powstawaniem oszczędności w wydatkach przy końcu roku. Wiele z tych oszczędności ma charakter naturalny i nie jest związana z brakiem realizacji konkretnych zaplanowanych zadań – a jedynie wynika z ich niższych kosztów realizacji niż planowano, np.: oszczędności w ramach niższego zapotrzebowania na dotacje z budżetu państwa lub niższe wydatki związane z oszczędnościami w ramach realizowanych procedur przetargowych. </w:t>
      </w:r>
    </w:p>
    <w:p w14:paraId="0A8720CD" w14:textId="0F8F26E5" w:rsidR="00F66333" w:rsidRDefault="00F66333" w:rsidP="00F66333">
      <w:pPr>
        <w:pStyle w:val="Tekst"/>
        <w:spacing w:before="120" w:line="340" w:lineRule="atLeast"/>
      </w:pPr>
      <w:r>
        <w:t>W toku wykonywania budżetu dysponentów części budżetowych obowiązują określone w</w:t>
      </w:r>
      <w:r w:rsidR="00E3385B">
        <w:t> </w:t>
      </w:r>
      <w:r>
        <w:t>art.</w:t>
      </w:r>
      <w:r w:rsidR="00E3385B">
        <w:t> </w:t>
      </w:r>
      <w:r>
        <w:t xml:space="preserve">162 ustawy </w:t>
      </w:r>
      <w:r w:rsidR="00EB7D8D">
        <w:t xml:space="preserve">z dnia 27 sierpnia 2009 r. </w:t>
      </w:r>
      <w:r>
        <w:t>o finansach publicznych zasady gospodarki finansowej, w tym m.in. zasada racjonalnego gospodarowania środkami publicznymi w sposób celowy i oszczędny, z</w:t>
      </w:r>
      <w:r w:rsidR="00E3385B">
        <w:t> </w:t>
      </w:r>
      <w:r>
        <w:t>zachowaniem warunku uzyskiwania najlepszych efektów z danych nakładów. Powyższe działania oraz inne czynniki obiektywne powodują, iż corocznie powstają tzw. naturalne oszczędności wydatków wynikające z realizacji zadań w kwotach niższych niż pierwotnie zakładano. Dysponenci części budżetowych, sprawujący zgodnie z art. 175 ustawy</w:t>
      </w:r>
      <w:r w:rsidR="00EB7D8D">
        <w:t xml:space="preserve"> z dnia 27 sierpnia 2009 r.</w:t>
      </w:r>
      <w:r>
        <w:t xml:space="preserve"> o finansach publicznych nadzór i kontrolę nad całością gospodarki finansowej podległych im jednostek organizacyjnych, w przypadku stwierdzenia opóźnień w realizacji zadań, nadmiaru posiadanych środków albo niegospodarności w określonych jednostkach czy też naruszenia zasad gospodarki finansowej, o których mowa w art. 162 </w:t>
      </w:r>
      <w:r w:rsidR="00EB7D8D">
        <w:t>tej ustawy</w:t>
      </w:r>
      <w:r w:rsidR="00EC0A27">
        <w:t>,</w:t>
      </w:r>
      <w:r w:rsidR="00EB7D8D">
        <w:t xml:space="preserve"> </w:t>
      </w:r>
      <w:r>
        <w:t xml:space="preserve">podejmują – zgodnie z art. 177 ustawy </w:t>
      </w:r>
      <w:bookmarkStart w:id="0" w:name="_Hlk180771935"/>
      <w:r w:rsidR="00EB7D8D">
        <w:t xml:space="preserve">z dnia 27 sierpnia 2009 r. </w:t>
      </w:r>
      <w:bookmarkEnd w:id="0"/>
      <w:r>
        <w:t>o finansach publicznych – decyzje o blokowaniu planowanych wydatków.</w:t>
      </w:r>
    </w:p>
    <w:p w14:paraId="7D021E4D" w14:textId="4F1C4FCD" w:rsidR="00F66333" w:rsidRDefault="00F66333" w:rsidP="00F66333">
      <w:pPr>
        <w:pStyle w:val="Tekst"/>
        <w:spacing w:before="120" w:line="340" w:lineRule="atLeast"/>
      </w:pPr>
      <w:r>
        <w:t>Potwierdzają to aktualne dane sprawozdawcze i szacunkowe o wydatkach budżetu państwa w skali całego 2024 r. Wydatki te w niektórych częściach budżetowych, a przede wszystkim w części 83 – rezerwy celowe – w związku z upływem daty, do której mogą być podzielone – będą niższe od zakładanych w ustawie budżetowej</w:t>
      </w:r>
      <w:r w:rsidR="000B75A6">
        <w:t xml:space="preserve"> na rok 2024</w:t>
      </w:r>
      <w:r>
        <w:t xml:space="preserve">, co pozwala przekierować te środki na inne obszary, w tym z tytułu uzupełnienia subwencji ogólnej JST. </w:t>
      </w:r>
    </w:p>
    <w:p w14:paraId="147F9CA9" w14:textId="55517B43" w:rsidR="00F865C8" w:rsidRDefault="00F66333" w:rsidP="00F66333">
      <w:pPr>
        <w:pStyle w:val="Tekst"/>
        <w:spacing w:before="120" w:line="340" w:lineRule="atLeast"/>
      </w:pPr>
      <w:r>
        <w:t>Wobec powyższego w przedkładanej nowelizacji dokonano rewizji podstawowych parametrów budżetowych, w tym w zakresie kwoty dochodów oraz maksymalnej wielkości deficytu na koniec 2024 roku.</w:t>
      </w:r>
    </w:p>
    <w:p w14:paraId="50B875BE" w14:textId="4BDC5C48" w:rsidR="00F865C8" w:rsidRDefault="00F865C8" w:rsidP="00F865C8">
      <w:pPr>
        <w:pStyle w:val="Tekst"/>
        <w:spacing w:before="120" w:line="340" w:lineRule="atLeast"/>
      </w:pPr>
    </w:p>
    <w:p w14:paraId="5FCD1769" w14:textId="5A080E81" w:rsidR="00171C18" w:rsidRDefault="00171C18" w:rsidP="00F865C8">
      <w:pPr>
        <w:pStyle w:val="Tekst"/>
        <w:spacing w:before="120" w:line="340" w:lineRule="atLeast"/>
      </w:pPr>
    </w:p>
    <w:p w14:paraId="02215245" w14:textId="77777777" w:rsidR="00171C18" w:rsidRDefault="00171C18" w:rsidP="00F865C8">
      <w:pPr>
        <w:pStyle w:val="Tekst"/>
        <w:spacing w:before="120" w:line="340" w:lineRule="atLeast"/>
      </w:pPr>
    </w:p>
    <w:p w14:paraId="5023F0B1" w14:textId="77777777" w:rsidR="00E3385B" w:rsidRDefault="00E3385B" w:rsidP="00F865C8">
      <w:pPr>
        <w:pStyle w:val="Tekst"/>
        <w:spacing w:before="120" w:line="340" w:lineRule="atLeast"/>
      </w:pPr>
    </w:p>
    <w:p w14:paraId="061ADF99" w14:textId="0D248526" w:rsidR="009D4976" w:rsidRPr="009D4976" w:rsidRDefault="00420442" w:rsidP="00433FDD">
      <w:pPr>
        <w:pStyle w:val="Akapitzlist"/>
        <w:numPr>
          <w:ilvl w:val="0"/>
          <w:numId w:val="2"/>
        </w:numPr>
        <w:spacing w:before="360"/>
        <w:ind w:left="425" w:hanging="425"/>
        <w:contextualSpacing w:val="0"/>
        <w:rPr>
          <w:rFonts w:cs="Arial"/>
          <w:b/>
          <w:sz w:val="24"/>
          <w:szCs w:val="24"/>
        </w:rPr>
      </w:pPr>
      <w:r w:rsidRPr="0090317A">
        <w:rPr>
          <w:rFonts w:cs="Arial"/>
          <w:b/>
          <w:sz w:val="24"/>
          <w:szCs w:val="24"/>
        </w:rPr>
        <w:lastRenderedPageBreak/>
        <w:t xml:space="preserve">Zmiany podstawowych </w:t>
      </w:r>
      <w:r>
        <w:rPr>
          <w:rFonts w:cs="Arial"/>
          <w:b/>
          <w:sz w:val="24"/>
          <w:szCs w:val="24"/>
        </w:rPr>
        <w:t>wielkości budżetu państwa w 202</w:t>
      </w:r>
      <w:r w:rsidR="009E4179">
        <w:rPr>
          <w:rFonts w:cs="Arial"/>
          <w:b/>
          <w:sz w:val="24"/>
          <w:szCs w:val="24"/>
        </w:rPr>
        <w:t>4</w:t>
      </w:r>
      <w:r w:rsidRPr="0090317A">
        <w:rPr>
          <w:rFonts w:cs="Arial"/>
          <w:b/>
          <w:sz w:val="24"/>
          <w:szCs w:val="24"/>
        </w:rPr>
        <w:t xml:space="preserve"> r.</w:t>
      </w:r>
    </w:p>
    <w:p w14:paraId="50009931" w14:textId="31875877" w:rsidR="00420442" w:rsidRPr="007D5180" w:rsidRDefault="00420442" w:rsidP="009D4976">
      <w:pPr>
        <w:spacing w:before="360" w:after="0"/>
        <w:rPr>
          <w:b/>
          <w:bCs/>
          <w:sz w:val="40"/>
          <w:szCs w:val="40"/>
        </w:rPr>
      </w:pPr>
      <w:r w:rsidRPr="007D5180">
        <w:rPr>
          <w:rFonts w:ascii="Arial" w:hAnsi="Arial" w:cs="Arial"/>
        </w:rPr>
        <w:t>W projekcie ustawy o zmianie ustawy budżetowej na rok 202</w:t>
      </w:r>
      <w:r w:rsidR="009E4179">
        <w:rPr>
          <w:rFonts w:ascii="Arial" w:hAnsi="Arial" w:cs="Arial"/>
        </w:rPr>
        <w:t>4</w:t>
      </w:r>
      <w:r w:rsidRPr="007D5180">
        <w:rPr>
          <w:rFonts w:ascii="Arial" w:hAnsi="Arial" w:cs="Arial"/>
        </w:rPr>
        <w:t xml:space="preserve"> w zakresie środków krajowych zaplanowano:</w:t>
      </w:r>
      <w:r w:rsidRPr="007D5180">
        <w:rPr>
          <w:b/>
          <w:bCs/>
          <w:sz w:val="40"/>
          <w:szCs w:val="40"/>
        </w:rPr>
        <w:t xml:space="preserve"> </w:t>
      </w:r>
    </w:p>
    <w:tbl>
      <w:tblPr>
        <w:tblW w:w="9256" w:type="dxa"/>
        <w:tblCellMar>
          <w:left w:w="70" w:type="dxa"/>
          <w:right w:w="70" w:type="dxa"/>
        </w:tblCellMar>
        <w:tblLook w:val="04A0" w:firstRow="1" w:lastRow="0" w:firstColumn="1" w:lastColumn="0" w:noHBand="0" w:noVBand="1"/>
      </w:tblPr>
      <w:tblGrid>
        <w:gridCol w:w="3681"/>
        <w:gridCol w:w="1843"/>
        <w:gridCol w:w="1984"/>
        <w:gridCol w:w="1748"/>
      </w:tblGrid>
      <w:tr w:rsidR="00343757" w:rsidRPr="009E4179" w14:paraId="7A3F270D" w14:textId="77777777" w:rsidTr="00B21CFB">
        <w:trPr>
          <w:trHeight w:val="853"/>
        </w:trPr>
        <w:tc>
          <w:tcPr>
            <w:tcW w:w="3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01D7E0" w14:textId="77777777" w:rsidR="00343757" w:rsidRPr="002B4198" w:rsidRDefault="00343757" w:rsidP="003B6004">
            <w:pPr>
              <w:spacing w:after="0" w:line="240" w:lineRule="auto"/>
              <w:jc w:val="center"/>
              <w:rPr>
                <w:rFonts w:ascii="Arial" w:eastAsia="Times New Roman" w:hAnsi="Arial" w:cs="Arial"/>
                <w:sz w:val="20"/>
                <w:szCs w:val="20"/>
                <w:lang w:eastAsia="pl-PL"/>
              </w:rPr>
            </w:pPr>
            <w:bookmarkStart w:id="1" w:name="_Hlk180763474"/>
            <w:r w:rsidRPr="002B4198">
              <w:rPr>
                <w:rFonts w:ascii="Arial" w:eastAsia="Times New Roman" w:hAnsi="Arial" w:cs="Arial"/>
                <w:sz w:val="20"/>
                <w:szCs w:val="20"/>
                <w:lang w:eastAsia="pl-PL"/>
              </w:rPr>
              <w:t>Wyszczególnienie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37581" w14:textId="509B1272" w:rsidR="00343757" w:rsidRPr="002B4198" w:rsidRDefault="00343757" w:rsidP="003B6004">
            <w:pPr>
              <w:spacing w:after="0" w:line="240" w:lineRule="auto"/>
              <w:jc w:val="center"/>
              <w:rPr>
                <w:rFonts w:ascii="Arial" w:eastAsia="Times New Roman" w:hAnsi="Arial" w:cs="Arial"/>
                <w:sz w:val="20"/>
                <w:szCs w:val="20"/>
                <w:lang w:eastAsia="pl-PL"/>
              </w:rPr>
            </w:pPr>
            <w:r w:rsidRPr="002B4198">
              <w:rPr>
                <w:rFonts w:ascii="Arial" w:eastAsia="Times New Roman" w:hAnsi="Arial" w:cs="Arial"/>
                <w:sz w:val="20"/>
                <w:szCs w:val="20"/>
                <w:lang w:eastAsia="pl-PL"/>
              </w:rPr>
              <w:t>Ustawa budżetowa 202</w:t>
            </w:r>
            <w:r w:rsidR="002B4198" w:rsidRPr="002B4198">
              <w:rPr>
                <w:rFonts w:ascii="Arial" w:eastAsia="Times New Roman" w:hAnsi="Arial" w:cs="Arial"/>
                <w:sz w:val="20"/>
                <w:szCs w:val="20"/>
                <w:lang w:eastAsia="pl-PL"/>
              </w:rPr>
              <w:t>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227BC" w14:textId="77777777" w:rsidR="006A0F62" w:rsidRPr="002B4198" w:rsidRDefault="006A0F62" w:rsidP="006A0F62">
            <w:pPr>
              <w:spacing w:after="0" w:line="240" w:lineRule="auto"/>
              <w:jc w:val="center"/>
              <w:rPr>
                <w:rFonts w:ascii="Arial" w:eastAsia="Times New Roman" w:hAnsi="Arial" w:cs="Arial"/>
                <w:sz w:val="20"/>
                <w:szCs w:val="20"/>
                <w:lang w:eastAsia="pl-PL"/>
              </w:rPr>
            </w:pPr>
            <w:r w:rsidRPr="002B4198">
              <w:rPr>
                <w:rFonts w:ascii="Arial" w:eastAsia="Times New Roman" w:hAnsi="Arial" w:cs="Arial"/>
                <w:sz w:val="20"/>
                <w:szCs w:val="20"/>
                <w:lang w:eastAsia="pl-PL"/>
              </w:rPr>
              <w:t>Zmiana</w:t>
            </w:r>
          </w:p>
          <w:p w14:paraId="747FBA7D" w14:textId="277DA1B9" w:rsidR="00343757" w:rsidRPr="002B4198" w:rsidRDefault="006A0F62" w:rsidP="006A0F62">
            <w:pPr>
              <w:spacing w:after="0" w:line="240" w:lineRule="auto"/>
              <w:jc w:val="center"/>
              <w:rPr>
                <w:rFonts w:ascii="Arial" w:eastAsia="Times New Roman" w:hAnsi="Arial" w:cs="Arial"/>
                <w:sz w:val="20"/>
                <w:szCs w:val="20"/>
                <w:lang w:eastAsia="pl-PL"/>
              </w:rPr>
            </w:pPr>
            <w:r w:rsidRPr="002B4198">
              <w:rPr>
                <w:rFonts w:ascii="Arial" w:eastAsia="Times New Roman" w:hAnsi="Arial" w:cs="Arial"/>
                <w:sz w:val="20"/>
                <w:szCs w:val="20"/>
                <w:lang w:eastAsia="pl-PL"/>
              </w:rPr>
              <w:t>(</w:t>
            </w:r>
            <w:r w:rsidR="000432AC">
              <w:rPr>
                <w:rFonts w:ascii="Arial" w:eastAsia="Times New Roman" w:hAnsi="Arial" w:cs="Arial"/>
                <w:sz w:val="20"/>
                <w:szCs w:val="20"/>
                <w:lang w:eastAsia="pl-PL"/>
              </w:rPr>
              <w:t>4</w:t>
            </w:r>
            <w:r w:rsidRPr="002B4198">
              <w:rPr>
                <w:rFonts w:ascii="Arial" w:eastAsia="Times New Roman" w:hAnsi="Arial" w:cs="Arial"/>
                <w:sz w:val="20"/>
                <w:szCs w:val="20"/>
                <w:lang w:eastAsia="pl-PL"/>
              </w:rPr>
              <w:t>-2)</w:t>
            </w:r>
          </w:p>
        </w:tc>
        <w:tc>
          <w:tcPr>
            <w:tcW w:w="1748" w:type="dxa"/>
            <w:tcBorders>
              <w:top w:val="single" w:sz="4" w:space="0" w:color="auto"/>
              <w:left w:val="single" w:sz="4" w:space="0" w:color="auto"/>
              <w:right w:val="single" w:sz="4" w:space="0" w:color="auto"/>
            </w:tcBorders>
            <w:vAlign w:val="center"/>
          </w:tcPr>
          <w:p w14:paraId="35B4F59C" w14:textId="05FC7DA1" w:rsidR="00B21F50" w:rsidRPr="002B4198" w:rsidRDefault="006A0F62" w:rsidP="00343757">
            <w:pPr>
              <w:spacing w:after="0" w:line="240" w:lineRule="auto"/>
              <w:jc w:val="center"/>
              <w:rPr>
                <w:rFonts w:ascii="Arial" w:eastAsia="Times New Roman" w:hAnsi="Arial" w:cs="Arial"/>
                <w:sz w:val="20"/>
                <w:szCs w:val="20"/>
                <w:lang w:eastAsia="pl-PL"/>
              </w:rPr>
            </w:pPr>
            <w:r w:rsidRPr="002B4198">
              <w:rPr>
                <w:rFonts w:ascii="Arial" w:eastAsia="Times New Roman" w:hAnsi="Arial" w:cs="Arial"/>
                <w:sz w:val="20"/>
                <w:szCs w:val="20"/>
                <w:lang w:eastAsia="pl-PL"/>
              </w:rPr>
              <w:t>Projekt nowelizacji 2024</w:t>
            </w:r>
          </w:p>
        </w:tc>
      </w:tr>
      <w:tr w:rsidR="00343757" w:rsidRPr="009E4179" w14:paraId="4C8215AC" w14:textId="77777777" w:rsidTr="00B21CFB">
        <w:trPr>
          <w:trHeight w:val="239"/>
        </w:trPr>
        <w:tc>
          <w:tcPr>
            <w:tcW w:w="3681" w:type="dxa"/>
            <w:vMerge/>
            <w:tcBorders>
              <w:top w:val="single" w:sz="4" w:space="0" w:color="auto"/>
              <w:left w:val="single" w:sz="4" w:space="0" w:color="auto"/>
              <w:bottom w:val="single" w:sz="4" w:space="0" w:color="auto"/>
              <w:right w:val="single" w:sz="4" w:space="0" w:color="auto"/>
            </w:tcBorders>
            <w:vAlign w:val="center"/>
            <w:hideMark/>
          </w:tcPr>
          <w:p w14:paraId="63CA2591" w14:textId="77777777" w:rsidR="00343757" w:rsidRPr="002B4198" w:rsidRDefault="00343757" w:rsidP="003B6004">
            <w:pPr>
              <w:spacing w:after="0" w:line="240" w:lineRule="auto"/>
              <w:rPr>
                <w:rFonts w:ascii="Arial" w:eastAsia="Times New Roman" w:hAnsi="Arial" w:cs="Arial"/>
                <w:sz w:val="20"/>
                <w:szCs w:val="20"/>
                <w:lang w:eastAsia="pl-PL"/>
              </w:rPr>
            </w:pPr>
          </w:p>
        </w:tc>
        <w:tc>
          <w:tcPr>
            <w:tcW w:w="5575" w:type="dxa"/>
            <w:gridSpan w:val="3"/>
            <w:tcBorders>
              <w:top w:val="single" w:sz="4" w:space="0" w:color="auto"/>
              <w:left w:val="nil"/>
              <w:bottom w:val="single" w:sz="4" w:space="0" w:color="auto"/>
              <w:right w:val="single" w:sz="4" w:space="0" w:color="auto"/>
            </w:tcBorders>
            <w:shd w:val="clear" w:color="auto" w:fill="auto"/>
            <w:vAlign w:val="center"/>
            <w:hideMark/>
          </w:tcPr>
          <w:p w14:paraId="5D1011A7" w14:textId="77777777" w:rsidR="00343757" w:rsidRPr="002B4198" w:rsidRDefault="00343757" w:rsidP="003B6004">
            <w:pPr>
              <w:spacing w:after="0" w:line="240" w:lineRule="auto"/>
              <w:jc w:val="center"/>
              <w:rPr>
                <w:rFonts w:ascii="Arial" w:eastAsia="Times New Roman" w:hAnsi="Arial" w:cs="Arial"/>
                <w:i/>
                <w:iCs/>
                <w:sz w:val="18"/>
                <w:szCs w:val="18"/>
                <w:lang w:eastAsia="pl-PL"/>
              </w:rPr>
            </w:pPr>
            <w:r w:rsidRPr="002B4198">
              <w:rPr>
                <w:rFonts w:ascii="Arial" w:eastAsia="Times New Roman" w:hAnsi="Arial" w:cs="Arial"/>
                <w:i/>
                <w:iCs/>
                <w:sz w:val="18"/>
                <w:szCs w:val="18"/>
                <w:lang w:eastAsia="pl-PL"/>
              </w:rPr>
              <w:t>w tys. zł</w:t>
            </w:r>
          </w:p>
        </w:tc>
      </w:tr>
      <w:tr w:rsidR="00343757" w:rsidRPr="009E4179" w14:paraId="37974B08" w14:textId="77777777" w:rsidTr="00B21CFB">
        <w:trPr>
          <w:trHeight w:val="239"/>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58657CE" w14:textId="77777777" w:rsidR="00343757" w:rsidRPr="002B4198" w:rsidRDefault="00343757" w:rsidP="003B6004">
            <w:pPr>
              <w:spacing w:after="0" w:line="240" w:lineRule="auto"/>
              <w:jc w:val="center"/>
              <w:rPr>
                <w:rFonts w:ascii="Arial" w:eastAsia="Times New Roman" w:hAnsi="Arial" w:cs="Arial"/>
                <w:i/>
                <w:iCs/>
                <w:sz w:val="16"/>
                <w:szCs w:val="16"/>
                <w:lang w:eastAsia="pl-PL"/>
              </w:rPr>
            </w:pPr>
            <w:r w:rsidRPr="002B4198">
              <w:rPr>
                <w:rFonts w:ascii="Arial" w:eastAsia="Times New Roman" w:hAnsi="Arial" w:cs="Arial"/>
                <w:i/>
                <w:iCs/>
                <w:sz w:val="16"/>
                <w:szCs w:val="16"/>
                <w:lang w:eastAsia="pl-PL"/>
              </w:rPr>
              <w:t>1</w:t>
            </w:r>
          </w:p>
        </w:tc>
        <w:tc>
          <w:tcPr>
            <w:tcW w:w="1843" w:type="dxa"/>
            <w:tcBorders>
              <w:top w:val="nil"/>
              <w:left w:val="nil"/>
              <w:bottom w:val="single" w:sz="4" w:space="0" w:color="auto"/>
              <w:right w:val="single" w:sz="4" w:space="0" w:color="auto"/>
            </w:tcBorders>
            <w:shd w:val="clear" w:color="auto" w:fill="auto"/>
            <w:vAlign w:val="center"/>
            <w:hideMark/>
          </w:tcPr>
          <w:p w14:paraId="7DE33806" w14:textId="77777777" w:rsidR="00343757" w:rsidRPr="002B4198" w:rsidRDefault="00343757" w:rsidP="003B6004">
            <w:pPr>
              <w:spacing w:after="0" w:line="240" w:lineRule="auto"/>
              <w:jc w:val="center"/>
              <w:rPr>
                <w:rFonts w:ascii="Arial" w:eastAsia="Times New Roman" w:hAnsi="Arial" w:cs="Arial"/>
                <w:i/>
                <w:iCs/>
                <w:sz w:val="16"/>
                <w:szCs w:val="16"/>
                <w:lang w:eastAsia="pl-PL"/>
              </w:rPr>
            </w:pPr>
            <w:r w:rsidRPr="002B4198">
              <w:rPr>
                <w:rFonts w:ascii="Arial" w:eastAsia="Times New Roman" w:hAnsi="Arial" w:cs="Arial"/>
                <w:i/>
                <w:iCs/>
                <w:sz w:val="16"/>
                <w:szCs w:val="16"/>
                <w:lang w:eastAsia="pl-PL"/>
              </w:rPr>
              <w:t>2</w:t>
            </w:r>
          </w:p>
        </w:tc>
        <w:tc>
          <w:tcPr>
            <w:tcW w:w="1984" w:type="dxa"/>
            <w:tcBorders>
              <w:top w:val="nil"/>
              <w:left w:val="nil"/>
              <w:bottom w:val="single" w:sz="4" w:space="0" w:color="auto"/>
              <w:right w:val="single" w:sz="4" w:space="0" w:color="auto"/>
            </w:tcBorders>
            <w:shd w:val="clear" w:color="auto" w:fill="auto"/>
            <w:vAlign w:val="center"/>
            <w:hideMark/>
          </w:tcPr>
          <w:p w14:paraId="10E9353E" w14:textId="77777777" w:rsidR="00343757" w:rsidRPr="002B4198" w:rsidRDefault="00343757" w:rsidP="003B6004">
            <w:pPr>
              <w:spacing w:after="0" w:line="240" w:lineRule="auto"/>
              <w:jc w:val="center"/>
              <w:rPr>
                <w:rFonts w:ascii="Arial" w:eastAsia="Times New Roman" w:hAnsi="Arial" w:cs="Arial"/>
                <w:i/>
                <w:iCs/>
                <w:sz w:val="16"/>
                <w:szCs w:val="16"/>
                <w:lang w:eastAsia="pl-PL"/>
              </w:rPr>
            </w:pPr>
            <w:r w:rsidRPr="002B4198">
              <w:rPr>
                <w:rFonts w:ascii="Arial" w:eastAsia="Times New Roman" w:hAnsi="Arial" w:cs="Arial"/>
                <w:i/>
                <w:iCs/>
                <w:sz w:val="16"/>
                <w:szCs w:val="16"/>
                <w:lang w:eastAsia="pl-PL"/>
              </w:rPr>
              <w:t>3</w:t>
            </w:r>
          </w:p>
        </w:tc>
        <w:tc>
          <w:tcPr>
            <w:tcW w:w="1748" w:type="dxa"/>
            <w:tcBorders>
              <w:top w:val="nil"/>
              <w:left w:val="nil"/>
              <w:bottom w:val="single" w:sz="4" w:space="0" w:color="auto"/>
              <w:right w:val="single" w:sz="4" w:space="0" w:color="auto"/>
            </w:tcBorders>
          </w:tcPr>
          <w:p w14:paraId="5DAC5720" w14:textId="77777777" w:rsidR="00343757" w:rsidRPr="002B4198" w:rsidRDefault="00343757" w:rsidP="003B6004">
            <w:pPr>
              <w:spacing w:after="0" w:line="240" w:lineRule="auto"/>
              <w:jc w:val="center"/>
              <w:rPr>
                <w:rFonts w:ascii="Arial" w:eastAsia="Times New Roman" w:hAnsi="Arial" w:cs="Arial"/>
                <w:i/>
                <w:iCs/>
                <w:sz w:val="16"/>
                <w:szCs w:val="16"/>
                <w:lang w:eastAsia="pl-PL"/>
              </w:rPr>
            </w:pPr>
            <w:r w:rsidRPr="002B4198">
              <w:rPr>
                <w:rFonts w:ascii="Arial" w:eastAsia="Times New Roman" w:hAnsi="Arial" w:cs="Arial"/>
                <w:i/>
                <w:iCs/>
                <w:sz w:val="16"/>
                <w:szCs w:val="16"/>
                <w:lang w:eastAsia="pl-PL"/>
              </w:rPr>
              <w:t>4</w:t>
            </w:r>
          </w:p>
        </w:tc>
      </w:tr>
      <w:tr w:rsidR="00343757" w:rsidRPr="009E4179" w14:paraId="4FEEE0FB" w14:textId="77777777" w:rsidTr="000D7228">
        <w:trPr>
          <w:trHeight w:val="618"/>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22634AB" w14:textId="77777777" w:rsidR="00343757" w:rsidRPr="002B4198" w:rsidRDefault="00343757" w:rsidP="00343757">
            <w:pPr>
              <w:spacing w:after="0" w:line="240" w:lineRule="auto"/>
              <w:jc w:val="center"/>
              <w:rPr>
                <w:rFonts w:ascii="Arial" w:eastAsia="Times New Roman" w:hAnsi="Arial" w:cs="Arial"/>
                <w:sz w:val="20"/>
                <w:szCs w:val="20"/>
                <w:lang w:eastAsia="pl-PL"/>
              </w:rPr>
            </w:pPr>
            <w:r w:rsidRPr="002B4198">
              <w:rPr>
                <w:rFonts w:ascii="Arial" w:eastAsia="Times New Roman" w:hAnsi="Arial" w:cs="Arial"/>
                <w:sz w:val="20"/>
                <w:szCs w:val="20"/>
                <w:lang w:eastAsia="pl-PL"/>
              </w:rPr>
              <w:t>Dochody ogółem</w:t>
            </w:r>
          </w:p>
        </w:tc>
        <w:tc>
          <w:tcPr>
            <w:tcW w:w="1843" w:type="dxa"/>
            <w:tcBorders>
              <w:top w:val="nil"/>
              <w:left w:val="nil"/>
              <w:bottom w:val="single" w:sz="4" w:space="0" w:color="auto"/>
              <w:right w:val="single" w:sz="4" w:space="0" w:color="auto"/>
            </w:tcBorders>
            <w:shd w:val="clear" w:color="auto" w:fill="auto"/>
            <w:vAlign w:val="center"/>
            <w:hideMark/>
          </w:tcPr>
          <w:p w14:paraId="4EBF57E4" w14:textId="3AEB3A52" w:rsidR="00343757" w:rsidRPr="009E4179" w:rsidRDefault="002B4198" w:rsidP="00343757">
            <w:pPr>
              <w:spacing w:after="0" w:line="240" w:lineRule="auto"/>
              <w:jc w:val="right"/>
              <w:rPr>
                <w:rFonts w:ascii="Arial" w:eastAsia="Times New Roman" w:hAnsi="Arial" w:cs="Arial"/>
                <w:sz w:val="20"/>
                <w:szCs w:val="20"/>
                <w:highlight w:val="yellow"/>
                <w:lang w:eastAsia="pl-PL"/>
              </w:rPr>
            </w:pPr>
            <w:r w:rsidRPr="002B4198">
              <w:rPr>
                <w:rFonts w:ascii="Arial" w:eastAsia="Times New Roman" w:hAnsi="Arial" w:cs="Arial"/>
                <w:sz w:val="20"/>
                <w:szCs w:val="20"/>
                <w:lang w:eastAsia="pl-PL"/>
              </w:rPr>
              <w:t>682.375.747</w:t>
            </w:r>
          </w:p>
        </w:tc>
        <w:tc>
          <w:tcPr>
            <w:tcW w:w="1984" w:type="dxa"/>
            <w:tcBorders>
              <w:top w:val="nil"/>
              <w:left w:val="nil"/>
              <w:bottom w:val="single" w:sz="4" w:space="0" w:color="auto"/>
              <w:right w:val="single" w:sz="4" w:space="0" w:color="auto"/>
            </w:tcBorders>
            <w:shd w:val="clear" w:color="auto" w:fill="auto"/>
            <w:vAlign w:val="center"/>
            <w:hideMark/>
          </w:tcPr>
          <w:p w14:paraId="1D9BA284" w14:textId="298A3B06" w:rsidR="00343757" w:rsidRPr="009E4179" w:rsidRDefault="00557CB6" w:rsidP="00343757">
            <w:pPr>
              <w:spacing w:after="0" w:line="240" w:lineRule="auto"/>
              <w:jc w:val="right"/>
              <w:rPr>
                <w:rFonts w:ascii="Arial" w:eastAsia="Times New Roman" w:hAnsi="Arial" w:cs="Arial"/>
                <w:sz w:val="20"/>
                <w:szCs w:val="20"/>
                <w:highlight w:val="yellow"/>
                <w:lang w:eastAsia="pl-PL"/>
              </w:rPr>
            </w:pPr>
            <w:r>
              <w:rPr>
                <w:rFonts w:ascii="Arial" w:eastAsia="Times New Roman" w:hAnsi="Arial" w:cs="Arial"/>
                <w:sz w:val="20"/>
                <w:szCs w:val="20"/>
                <w:lang w:eastAsia="pl-PL"/>
              </w:rPr>
              <w:t>-</w:t>
            </w:r>
            <w:r w:rsidR="006A0F62" w:rsidRPr="000D7228">
              <w:rPr>
                <w:rFonts w:ascii="Arial" w:eastAsia="Times New Roman" w:hAnsi="Arial" w:cs="Arial"/>
                <w:sz w:val="20"/>
                <w:szCs w:val="20"/>
                <w:lang w:eastAsia="pl-PL"/>
              </w:rPr>
              <w:t>5</w:t>
            </w:r>
            <w:r w:rsidR="006A0F62">
              <w:rPr>
                <w:rFonts w:ascii="Arial" w:eastAsia="Times New Roman" w:hAnsi="Arial" w:cs="Arial"/>
                <w:sz w:val="20"/>
                <w:szCs w:val="20"/>
                <w:lang w:eastAsia="pl-PL"/>
              </w:rPr>
              <w:t>6</w:t>
            </w:r>
            <w:r w:rsidR="006A0F62" w:rsidRPr="000D7228">
              <w:rPr>
                <w:rFonts w:ascii="Arial" w:eastAsia="Times New Roman" w:hAnsi="Arial" w:cs="Arial"/>
                <w:sz w:val="20"/>
                <w:szCs w:val="20"/>
                <w:lang w:eastAsia="pl-PL"/>
              </w:rPr>
              <w:t>.300.000</w:t>
            </w:r>
          </w:p>
        </w:tc>
        <w:tc>
          <w:tcPr>
            <w:tcW w:w="1748" w:type="dxa"/>
            <w:tcBorders>
              <w:top w:val="nil"/>
              <w:left w:val="nil"/>
              <w:bottom w:val="single" w:sz="4" w:space="0" w:color="auto"/>
              <w:right w:val="single" w:sz="4" w:space="0" w:color="auto"/>
            </w:tcBorders>
            <w:shd w:val="clear" w:color="auto" w:fill="auto"/>
            <w:vAlign w:val="center"/>
          </w:tcPr>
          <w:p w14:paraId="76B66FE0" w14:textId="21524DAB" w:rsidR="00343757" w:rsidRPr="009E4179" w:rsidRDefault="006A0F62" w:rsidP="00343757">
            <w:pPr>
              <w:spacing w:after="0" w:line="240" w:lineRule="auto"/>
              <w:jc w:val="right"/>
              <w:rPr>
                <w:rFonts w:ascii="Arial" w:eastAsia="Times New Roman" w:hAnsi="Arial" w:cs="Arial"/>
                <w:sz w:val="20"/>
                <w:szCs w:val="20"/>
                <w:highlight w:val="yellow"/>
                <w:lang w:eastAsia="pl-PL"/>
              </w:rPr>
            </w:pPr>
            <w:r w:rsidRPr="000D7228">
              <w:rPr>
                <w:rFonts w:ascii="Arial" w:eastAsia="Times New Roman" w:hAnsi="Arial" w:cs="Arial"/>
                <w:sz w:val="20"/>
                <w:szCs w:val="20"/>
                <w:lang w:eastAsia="pl-PL"/>
              </w:rPr>
              <w:t>62</w:t>
            </w:r>
            <w:r>
              <w:rPr>
                <w:rFonts w:ascii="Arial" w:eastAsia="Times New Roman" w:hAnsi="Arial" w:cs="Arial"/>
                <w:sz w:val="20"/>
                <w:szCs w:val="20"/>
                <w:lang w:eastAsia="pl-PL"/>
              </w:rPr>
              <w:t>6</w:t>
            </w:r>
            <w:r w:rsidRPr="000D7228">
              <w:rPr>
                <w:rFonts w:ascii="Arial" w:eastAsia="Times New Roman" w:hAnsi="Arial" w:cs="Arial"/>
                <w:sz w:val="20"/>
                <w:szCs w:val="20"/>
                <w:lang w:eastAsia="pl-PL"/>
              </w:rPr>
              <w:t>.075.747</w:t>
            </w:r>
          </w:p>
        </w:tc>
      </w:tr>
      <w:tr w:rsidR="00343757" w:rsidRPr="009E4179" w14:paraId="316E8DE2" w14:textId="77777777" w:rsidTr="00B21CFB">
        <w:trPr>
          <w:trHeight w:val="661"/>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A39D9B9" w14:textId="77777777" w:rsidR="00343757" w:rsidRPr="002B4198" w:rsidRDefault="00343757" w:rsidP="00343757">
            <w:pPr>
              <w:spacing w:after="0" w:line="240" w:lineRule="auto"/>
              <w:jc w:val="center"/>
              <w:rPr>
                <w:rFonts w:ascii="Arial" w:eastAsia="Times New Roman" w:hAnsi="Arial" w:cs="Arial"/>
                <w:sz w:val="20"/>
                <w:szCs w:val="20"/>
                <w:lang w:eastAsia="pl-PL"/>
              </w:rPr>
            </w:pPr>
            <w:r w:rsidRPr="002B4198">
              <w:rPr>
                <w:rFonts w:ascii="Arial" w:eastAsia="Times New Roman" w:hAnsi="Arial" w:cs="Arial"/>
                <w:sz w:val="20"/>
                <w:szCs w:val="20"/>
                <w:lang w:eastAsia="pl-PL"/>
              </w:rPr>
              <w:t>Wydatki ogółem</w:t>
            </w:r>
          </w:p>
        </w:tc>
        <w:tc>
          <w:tcPr>
            <w:tcW w:w="1843" w:type="dxa"/>
            <w:tcBorders>
              <w:top w:val="nil"/>
              <w:left w:val="nil"/>
              <w:bottom w:val="single" w:sz="4" w:space="0" w:color="auto"/>
              <w:right w:val="single" w:sz="4" w:space="0" w:color="auto"/>
            </w:tcBorders>
            <w:shd w:val="clear" w:color="auto" w:fill="auto"/>
            <w:vAlign w:val="center"/>
            <w:hideMark/>
          </w:tcPr>
          <w:p w14:paraId="38624E32" w14:textId="348882DF" w:rsidR="00343757" w:rsidRPr="009E4179" w:rsidRDefault="002B4198" w:rsidP="00343757">
            <w:pPr>
              <w:spacing w:after="0" w:line="240" w:lineRule="auto"/>
              <w:jc w:val="right"/>
              <w:rPr>
                <w:rFonts w:ascii="Arial" w:eastAsia="Times New Roman" w:hAnsi="Arial" w:cs="Arial"/>
                <w:sz w:val="20"/>
                <w:szCs w:val="20"/>
                <w:highlight w:val="yellow"/>
                <w:lang w:eastAsia="pl-PL"/>
              </w:rPr>
            </w:pPr>
            <w:r w:rsidRPr="002B4198">
              <w:rPr>
                <w:rFonts w:ascii="Arial" w:eastAsia="Times New Roman" w:hAnsi="Arial" w:cs="Arial"/>
                <w:sz w:val="20"/>
                <w:szCs w:val="20"/>
                <w:lang w:eastAsia="pl-PL"/>
              </w:rPr>
              <w:t>866.375.747</w:t>
            </w:r>
          </w:p>
        </w:tc>
        <w:tc>
          <w:tcPr>
            <w:tcW w:w="1984" w:type="dxa"/>
            <w:tcBorders>
              <w:top w:val="nil"/>
              <w:left w:val="nil"/>
              <w:bottom w:val="single" w:sz="4" w:space="0" w:color="auto"/>
              <w:right w:val="single" w:sz="4" w:space="0" w:color="auto"/>
            </w:tcBorders>
            <w:shd w:val="clear" w:color="auto" w:fill="auto"/>
            <w:vAlign w:val="center"/>
            <w:hideMark/>
          </w:tcPr>
          <w:p w14:paraId="2E5EB2A6" w14:textId="21E4B8D9" w:rsidR="00343757" w:rsidRPr="009E4179" w:rsidRDefault="00343757" w:rsidP="00343757">
            <w:pPr>
              <w:spacing w:after="0" w:line="240" w:lineRule="auto"/>
              <w:jc w:val="right"/>
              <w:rPr>
                <w:rFonts w:ascii="Arial" w:eastAsia="Times New Roman" w:hAnsi="Arial" w:cs="Arial"/>
                <w:sz w:val="20"/>
                <w:szCs w:val="20"/>
                <w:highlight w:val="yellow"/>
                <w:lang w:eastAsia="pl-PL"/>
              </w:rPr>
            </w:pPr>
          </w:p>
        </w:tc>
        <w:tc>
          <w:tcPr>
            <w:tcW w:w="1748" w:type="dxa"/>
            <w:tcBorders>
              <w:top w:val="nil"/>
              <w:left w:val="nil"/>
              <w:bottom w:val="single" w:sz="4" w:space="0" w:color="auto"/>
              <w:right w:val="single" w:sz="4" w:space="0" w:color="auto"/>
            </w:tcBorders>
            <w:vAlign w:val="center"/>
          </w:tcPr>
          <w:p w14:paraId="01F86605" w14:textId="6A591B55" w:rsidR="00343757" w:rsidRPr="009E4179" w:rsidRDefault="006A0F62" w:rsidP="00343757">
            <w:pPr>
              <w:spacing w:after="0" w:line="240" w:lineRule="auto"/>
              <w:jc w:val="right"/>
              <w:rPr>
                <w:rFonts w:ascii="Arial" w:eastAsia="Times New Roman" w:hAnsi="Arial" w:cs="Arial"/>
                <w:sz w:val="20"/>
                <w:szCs w:val="20"/>
                <w:highlight w:val="yellow"/>
                <w:lang w:eastAsia="pl-PL"/>
              </w:rPr>
            </w:pPr>
            <w:r w:rsidRPr="002B4198">
              <w:rPr>
                <w:rFonts w:ascii="Arial" w:eastAsia="Times New Roman" w:hAnsi="Arial" w:cs="Arial"/>
                <w:sz w:val="20"/>
                <w:szCs w:val="20"/>
                <w:lang w:eastAsia="pl-PL"/>
              </w:rPr>
              <w:t>866.375.747</w:t>
            </w:r>
          </w:p>
        </w:tc>
      </w:tr>
      <w:tr w:rsidR="00343757" w:rsidRPr="009E4179" w14:paraId="2B36D1F9" w14:textId="77777777" w:rsidTr="00B21CFB">
        <w:trPr>
          <w:trHeight w:val="618"/>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945D631" w14:textId="77777777" w:rsidR="00343757" w:rsidRPr="002B4198" w:rsidRDefault="00343757" w:rsidP="00343757">
            <w:pPr>
              <w:spacing w:after="0" w:line="240" w:lineRule="auto"/>
              <w:jc w:val="center"/>
              <w:rPr>
                <w:rFonts w:ascii="Arial" w:eastAsia="Times New Roman" w:hAnsi="Arial" w:cs="Arial"/>
                <w:sz w:val="20"/>
                <w:szCs w:val="20"/>
                <w:lang w:eastAsia="pl-PL"/>
              </w:rPr>
            </w:pPr>
            <w:r w:rsidRPr="002B4198">
              <w:rPr>
                <w:rFonts w:ascii="Arial" w:eastAsia="Times New Roman" w:hAnsi="Arial" w:cs="Arial"/>
                <w:sz w:val="20"/>
                <w:szCs w:val="20"/>
                <w:lang w:eastAsia="pl-PL"/>
              </w:rPr>
              <w:t>Deficyt</w:t>
            </w:r>
          </w:p>
        </w:tc>
        <w:tc>
          <w:tcPr>
            <w:tcW w:w="1843" w:type="dxa"/>
            <w:tcBorders>
              <w:top w:val="nil"/>
              <w:left w:val="nil"/>
              <w:bottom w:val="single" w:sz="4" w:space="0" w:color="auto"/>
              <w:right w:val="single" w:sz="4" w:space="0" w:color="auto"/>
            </w:tcBorders>
            <w:shd w:val="clear" w:color="auto" w:fill="auto"/>
            <w:vAlign w:val="center"/>
            <w:hideMark/>
          </w:tcPr>
          <w:p w14:paraId="07370466" w14:textId="5FD325C9" w:rsidR="00343757" w:rsidRPr="009E4179" w:rsidRDefault="002B4198" w:rsidP="00343757">
            <w:pPr>
              <w:spacing w:after="0" w:line="240" w:lineRule="auto"/>
              <w:jc w:val="right"/>
              <w:rPr>
                <w:rFonts w:ascii="Arial" w:eastAsia="Times New Roman" w:hAnsi="Arial" w:cs="Arial"/>
                <w:sz w:val="20"/>
                <w:szCs w:val="20"/>
                <w:highlight w:val="yellow"/>
                <w:lang w:eastAsia="pl-PL"/>
              </w:rPr>
            </w:pPr>
            <w:r w:rsidRPr="002B4198">
              <w:rPr>
                <w:rFonts w:ascii="Arial" w:eastAsia="Times New Roman" w:hAnsi="Arial" w:cs="Arial"/>
                <w:sz w:val="20"/>
                <w:szCs w:val="20"/>
                <w:lang w:eastAsia="pl-PL"/>
              </w:rPr>
              <w:t>184.000.000</w:t>
            </w:r>
          </w:p>
        </w:tc>
        <w:tc>
          <w:tcPr>
            <w:tcW w:w="1984" w:type="dxa"/>
            <w:tcBorders>
              <w:top w:val="nil"/>
              <w:left w:val="nil"/>
              <w:bottom w:val="single" w:sz="4" w:space="0" w:color="auto"/>
              <w:right w:val="single" w:sz="4" w:space="0" w:color="auto"/>
            </w:tcBorders>
            <w:shd w:val="clear" w:color="auto" w:fill="auto"/>
            <w:vAlign w:val="center"/>
            <w:hideMark/>
          </w:tcPr>
          <w:p w14:paraId="64B0746D" w14:textId="170BCD68" w:rsidR="00343757" w:rsidRPr="009E4179" w:rsidRDefault="006A0F62" w:rsidP="00343757">
            <w:pPr>
              <w:spacing w:after="0" w:line="240" w:lineRule="auto"/>
              <w:jc w:val="right"/>
              <w:rPr>
                <w:rFonts w:ascii="Arial" w:eastAsia="Times New Roman" w:hAnsi="Arial" w:cs="Arial"/>
                <w:sz w:val="20"/>
                <w:szCs w:val="20"/>
                <w:highlight w:val="yellow"/>
                <w:lang w:eastAsia="pl-PL"/>
              </w:rPr>
            </w:pPr>
            <w:r w:rsidRPr="000D7228">
              <w:rPr>
                <w:rFonts w:ascii="Arial" w:eastAsia="Times New Roman" w:hAnsi="Arial" w:cs="Arial"/>
                <w:sz w:val="20"/>
                <w:szCs w:val="20"/>
                <w:lang w:eastAsia="pl-PL"/>
              </w:rPr>
              <w:t>5</w:t>
            </w:r>
            <w:r>
              <w:rPr>
                <w:rFonts w:ascii="Arial" w:eastAsia="Times New Roman" w:hAnsi="Arial" w:cs="Arial"/>
                <w:sz w:val="20"/>
                <w:szCs w:val="20"/>
                <w:lang w:eastAsia="pl-PL"/>
              </w:rPr>
              <w:t>6</w:t>
            </w:r>
            <w:r w:rsidRPr="000D7228">
              <w:rPr>
                <w:rFonts w:ascii="Arial" w:eastAsia="Times New Roman" w:hAnsi="Arial" w:cs="Arial"/>
                <w:sz w:val="20"/>
                <w:szCs w:val="20"/>
                <w:lang w:eastAsia="pl-PL"/>
              </w:rPr>
              <w:t>.300.000</w:t>
            </w:r>
          </w:p>
        </w:tc>
        <w:tc>
          <w:tcPr>
            <w:tcW w:w="1748" w:type="dxa"/>
            <w:tcBorders>
              <w:top w:val="nil"/>
              <w:left w:val="nil"/>
              <w:bottom w:val="single" w:sz="4" w:space="0" w:color="auto"/>
              <w:right w:val="single" w:sz="4" w:space="0" w:color="auto"/>
            </w:tcBorders>
            <w:vAlign w:val="center"/>
          </w:tcPr>
          <w:p w14:paraId="606F5C5A" w14:textId="2632A455" w:rsidR="00343757" w:rsidRPr="009E4179" w:rsidRDefault="006A0F62" w:rsidP="00343757">
            <w:pPr>
              <w:spacing w:after="0" w:line="240" w:lineRule="auto"/>
              <w:jc w:val="right"/>
              <w:rPr>
                <w:rFonts w:ascii="Arial" w:eastAsia="Times New Roman" w:hAnsi="Arial" w:cs="Arial"/>
                <w:sz w:val="20"/>
                <w:szCs w:val="20"/>
                <w:highlight w:val="yellow"/>
                <w:lang w:eastAsia="pl-PL"/>
              </w:rPr>
            </w:pPr>
            <w:r w:rsidRPr="000D7228">
              <w:rPr>
                <w:rFonts w:ascii="Arial" w:eastAsia="Times New Roman" w:hAnsi="Arial" w:cs="Arial"/>
                <w:sz w:val="20"/>
                <w:szCs w:val="20"/>
                <w:lang w:eastAsia="pl-PL"/>
              </w:rPr>
              <w:t>24</w:t>
            </w:r>
            <w:r>
              <w:rPr>
                <w:rFonts w:ascii="Arial" w:eastAsia="Times New Roman" w:hAnsi="Arial" w:cs="Arial"/>
                <w:sz w:val="20"/>
                <w:szCs w:val="20"/>
                <w:lang w:eastAsia="pl-PL"/>
              </w:rPr>
              <w:t>0</w:t>
            </w:r>
            <w:r w:rsidRPr="000D7228">
              <w:rPr>
                <w:rFonts w:ascii="Arial" w:eastAsia="Times New Roman" w:hAnsi="Arial" w:cs="Arial"/>
                <w:sz w:val="20"/>
                <w:szCs w:val="20"/>
                <w:lang w:eastAsia="pl-PL"/>
              </w:rPr>
              <w:t>.300.000</w:t>
            </w:r>
          </w:p>
        </w:tc>
      </w:tr>
      <w:tr w:rsidR="00343757" w:rsidRPr="009E4179" w14:paraId="4898EA74" w14:textId="77777777" w:rsidTr="00B21CFB">
        <w:trPr>
          <w:trHeight w:val="59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121F8CC" w14:textId="48C084DF" w:rsidR="00343757" w:rsidRPr="002B4198" w:rsidRDefault="000E0465" w:rsidP="000E0465">
            <w:pPr>
              <w:spacing w:after="0" w:line="240" w:lineRule="auto"/>
              <w:jc w:val="center"/>
              <w:rPr>
                <w:rFonts w:ascii="Arial" w:eastAsia="Times New Roman" w:hAnsi="Arial" w:cs="Arial"/>
                <w:sz w:val="20"/>
                <w:szCs w:val="20"/>
                <w:lang w:eastAsia="pl-PL"/>
              </w:rPr>
            </w:pPr>
            <w:r w:rsidRPr="002B4198">
              <w:rPr>
                <w:rFonts w:ascii="Arial" w:eastAsia="Times New Roman" w:hAnsi="Arial" w:cs="Arial"/>
                <w:sz w:val="20"/>
                <w:szCs w:val="20"/>
                <w:lang w:eastAsia="pl-PL"/>
              </w:rPr>
              <w:t>Kwota wydatków</w:t>
            </w:r>
            <w:r w:rsidR="00343757" w:rsidRPr="002B4198">
              <w:rPr>
                <w:rFonts w:ascii="Arial" w:eastAsia="Times New Roman" w:hAnsi="Arial" w:cs="Arial"/>
                <w:sz w:val="20"/>
                <w:szCs w:val="20"/>
                <w:lang w:eastAsia="pl-PL"/>
              </w:rPr>
              <w:t xml:space="preserve"> </w:t>
            </w:r>
            <w:r w:rsidRPr="002B4198">
              <w:rPr>
                <w:rFonts w:ascii="Arial" w:eastAsia="Times New Roman" w:hAnsi="Arial" w:cs="Arial"/>
                <w:sz w:val="20"/>
                <w:szCs w:val="20"/>
                <w:lang w:eastAsia="pl-PL"/>
              </w:rPr>
              <w:t>(</w:t>
            </w:r>
            <w:r w:rsidR="00343757" w:rsidRPr="002B4198">
              <w:rPr>
                <w:rFonts w:ascii="Arial" w:eastAsia="Times New Roman" w:hAnsi="Arial" w:cs="Arial"/>
                <w:sz w:val="20"/>
                <w:szCs w:val="20"/>
                <w:lang w:eastAsia="pl-PL"/>
              </w:rPr>
              <w:t xml:space="preserve">art. 112aa ust.1 </w:t>
            </w:r>
            <w:proofErr w:type="spellStart"/>
            <w:r w:rsidR="00343757" w:rsidRPr="002B4198">
              <w:rPr>
                <w:rFonts w:ascii="Arial" w:eastAsia="Times New Roman" w:hAnsi="Arial" w:cs="Arial"/>
                <w:sz w:val="20"/>
                <w:szCs w:val="20"/>
                <w:lang w:eastAsia="pl-PL"/>
              </w:rPr>
              <w:t>ufp</w:t>
            </w:r>
            <w:proofErr w:type="spellEnd"/>
            <w:r w:rsidR="00B21CFB">
              <w:rPr>
                <w:rFonts w:ascii="Arial" w:eastAsia="Times New Roman" w:hAnsi="Arial" w:cs="Arial"/>
                <w:sz w:val="20"/>
                <w:szCs w:val="20"/>
                <w:lang w:eastAsia="pl-PL"/>
              </w:rPr>
              <w:t>)</w:t>
            </w:r>
          </w:p>
        </w:tc>
        <w:tc>
          <w:tcPr>
            <w:tcW w:w="1843" w:type="dxa"/>
            <w:tcBorders>
              <w:top w:val="nil"/>
              <w:left w:val="nil"/>
              <w:bottom w:val="single" w:sz="4" w:space="0" w:color="auto"/>
              <w:right w:val="single" w:sz="4" w:space="0" w:color="auto"/>
            </w:tcBorders>
            <w:shd w:val="clear" w:color="auto" w:fill="auto"/>
            <w:vAlign w:val="center"/>
            <w:hideMark/>
          </w:tcPr>
          <w:p w14:paraId="3F52A4EB" w14:textId="7EB5508F" w:rsidR="00343757" w:rsidRPr="009E4179" w:rsidRDefault="002B4198" w:rsidP="00343757">
            <w:pPr>
              <w:spacing w:after="0" w:line="240" w:lineRule="auto"/>
              <w:jc w:val="right"/>
              <w:rPr>
                <w:rFonts w:ascii="Arial" w:eastAsia="Times New Roman" w:hAnsi="Arial" w:cs="Arial"/>
                <w:sz w:val="20"/>
                <w:szCs w:val="20"/>
                <w:highlight w:val="yellow"/>
                <w:lang w:eastAsia="pl-PL"/>
              </w:rPr>
            </w:pPr>
            <w:r w:rsidRPr="002B4198">
              <w:rPr>
                <w:rFonts w:ascii="Arial" w:eastAsia="Times New Roman" w:hAnsi="Arial" w:cs="Arial"/>
                <w:sz w:val="20"/>
                <w:szCs w:val="20"/>
                <w:lang w:eastAsia="pl-PL"/>
              </w:rPr>
              <w:t>1.703.995.918</w:t>
            </w:r>
          </w:p>
        </w:tc>
        <w:tc>
          <w:tcPr>
            <w:tcW w:w="1984" w:type="dxa"/>
            <w:tcBorders>
              <w:top w:val="nil"/>
              <w:left w:val="nil"/>
              <w:bottom w:val="single" w:sz="4" w:space="0" w:color="auto"/>
              <w:right w:val="single" w:sz="4" w:space="0" w:color="auto"/>
            </w:tcBorders>
            <w:shd w:val="clear" w:color="auto" w:fill="auto"/>
            <w:vAlign w:val="center"/>
            <w:hideMark/>
          </w:tcPr>
          <w:p w14:paraId="608D9A1E" w14:textId="38667738" w:rsidR="00343757" w:rsidRPr="009E4179" w:rsidRDefault="00343757" w:rsidP="00343757">
            <w:pPr>
              <w:spacing w:after="0" w:line="240" w:lineRule="auto"/>
              <w:jc w:val="right"/>
              <w:rPr>
                <w:rFonts w:ascii="Arial" w:eastAsia="Times New Roman" w:hAnsi="Arial" w:cs="Arial"/>
                <w:sz w:val="20"/>
                <w:szCs w:val="20"/>
                <w:highlight w:val="yellow"/>
                <w:lang w:eastAsia="pl-PL"/>
              </w:rPr>
            </w:pPr>
          </w:p>
        </w:tc>
        <w:tc>
          <w:tcPr>
            <w:tcW w:w="1748" w:type="dxa"/>
            <w:tcBorders>
              <w:top w:val="nil"/>
              <w:left w:val="nil"/>
              <w:bottom w:val="single" w:sz="4" w:space="0" w:color="auto"/>
              <w:right w:val="single" w:sz="4" w:space="0" w:color="auto"/>
            </w:tcBorders>
            <w:vAlign w:val="center"/>
          </w:tcPr>
          <w:p w14:paraId="335E6D6E" w14:textId="43995869" w:rsidR="00343757" w:rsidRPr="009E4179" w:rsidRDefault="006A0F62" w:rsidP="00343757">
            <w:pPr>
              <w:spacing w:after="0" w:line="240" w:lineRule="auto"/>
              <w:jc w:val="right"/>
              <w:rPr>
                <w:rFonts w:ascii="Arial" w:eastAsia="Times New Roman" w:hAnsi="Arial" w:cs="Arial"/>
                <w:sz w:val="20"/>
                <w:szCs w:val="20"/>
                <w:highlight w:val="yellow"/>
                <w:lang w:eastAsia="pl-PL"/>
              </w:rPr>
            </w:pPr>
            <w:r w:rsidRPr="002B4198">
              <w:rPr>
                <w:rFonts w:ascii="Arial" w:eastAsia="Times New Roman" w:hAnsi="Arial" w:cs="Arial"/>
                <w:sz w:val="20"/>
                <w:szCs w:val="20"/>
                <w:lang w:eastAsia="pl-PL"/>
              </w:rPr>
              <w:t>1.703.995.918</w:t>
            </w:r>
          </w:p>
        </w:tc>
      </w:tr>
      <w:tr w:rsidR="00343757" w:rsidRPr="009E4179" w14:paraId="57802C08" w14:textId="77777777" w:rsidTr="00B21CFB">
        <w:trPr>
          <w:trHeight w:val="618"/>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D6747A6" w14:textId="77777777" w:rsidR="00343757" w:rsidRPr="002B4198" w:rsidRDefault="00343757" w:rsidP="00343757">
            <w:pPr>
              <w:spacing w:after="0" w:line="240" w:lineRule="auto"/>
              <w:jc w:val="center"/>
              <w:rPr>
                <w:rFonts w:ascii="Arial" w:eastAsia="Times New Roman" w:hAnsi="Arial" w:cs="Arial"/>
                <w:sz w:val="20"/>
                <w:szCs w:val="20"/>
                <w:lang w:eastAsia="pl-PL"/>
              </w:rPr>
            </w:pPr>
            <w:r w:rsidRPr="002B4198">
              <w:rPr>
                <w:rFonts w:ascii="Arial" w:eastAsia="Times New Roman" w:hAnsi="Arial" w:cs="Arial"/>
                <w:sz w:val="20"/>
                <w:szCs w:val="20"/>
                <w:lang w:eastAsia="pl-PL"/>
              </w:rPr>
              <w:t xml:space="preserve">Limit wydatków (art. 112aa ust. 3 </w:t>
            </w:r>
            <w:proofErr w:type="spellStart"/>
            <w:r w:rsidRPr="002B4198">
              <w:rPr>
                <w:rFonts w:ascii="Arial" w:eastAsia="Times New Roman" w:hAnsi="Arial" w:cs="Arial"/>
                <w:sz w:val="20"/>
                <w:szCs w:val="20"/>
                <w:lang w:eastAsia="pl-PL"/>
              </w:rPr>
              <w:t>ufp</w:t>
            </w:r>
            <w:proofErr w:type="spellEnd"/>
            <w:r w:rsidRPr="002B4198">
              <w:rPr>
                <w:rFonts w:ascii="Arial" w:eastAsia="Times New Roman" w:hAnsi="Arial" w:cs="Arial"/>
                <w:sz w:val="20"/>
                <w:szCs w:val="20"/>
                <w:lang w:eastAsia="pl-PL"/>
              </w:rPr>
              <w:t>)</w:t>
            </w:r>
          </w:p>
        </w:tc>
        <w:tc>
          <w:tcPr>
            <w:tcW w:w="1843" w:type="dxa"/>
            <w:tcBorders>
              <w:top w:val="nil"/>
              <w:left w:val="nil"/>
              <w:bottom w:val="single" w:sz="4" w:space="0" w:color="auto"/>
              <w:right w:val="single" w:sz="4" w:space="0" w:color="auto"/>
            </w:tcBorders>
            <w:shd w:val="clear" w:color="auto" w:fill="auto"/>
            <w:vAlign w:val="center"/>
            <w:hideMark/>
          </w:tcPr>
          <w:p w14:paraId="6E34672B" w14:textId="3A7928B9" w:rsidR="00343757" w:rsidRPr="002B4198" w:rsidRDefault="002B4198" w:rsidP="00343757">
            <w:pPr>
              <w:spacing w:after="0" w:line="240" w:lineRule="auto"/>
              <w:jc w:val="right"/>
              <w:rPr>
                <w:rFonts w:ascii="Arial" w:eastAsia="Times New Roman" w:hAnsi="Arial" w:cs="Arial"/>
                <w:sz w:val="20"/>
                <w:szCs w:val="20"/>
                <w:lang w:eastAsia="pl-PL"/>
              </w:rPr>
            </w:pPr>
            <w:r w:rsidRPr="002B4198">
              <w:rPr>
                <w:rFonts w:ascii="Arial" w:eastAsia="Times New Roman" w:hAnsi="Arial" w:cs="Arial"/>
                <w:sz w:val="20"/>
                <w:szCs w:val="20"/>
                <w:lang w:eastAsia="pl-PL"/>
              </w:rPr>
              <w:t>1.319.104.776</w:t>
            </w:r>
          </w:p>
        </w:tc>
        <w:tc>
          <w:tcPr>
            <w:tcW w:w="1984" w:type="dxa"/>
            <w:tcBorders>
              <w:top w:val="nil"/>
              <w:left w:val="nil"/>
              <w:bottom w:val="single" w:sz="4" w:space="0" w:color="auto"/>
              <w:right w:val="single" w:sz="4" w:space="0" w:color="auto"/>
            </w:tcBorders>
            <w:shd w:val="clear" w:color="auto" w:fill="auto"/>
            <w:vAlign w:val="center"/>
            <w:hideMark/>
          </w:tcPr>
          <w:p w14:paraId="6B66E1D7" w14:textId="296C3CD5" w:rsidR="00343757" w:rsidRPr="002B4198" w:rsidRDefault="00343757" w:rsidP="00343757">
            <w:pPr>
              <w:spacing w:after="0" w:line="240" w:lineRule="auto"/>
              <w:jc w:val="right"/>
              <w:rPr>
                <w:rFonts w:ascii="Arial" w:eastAsia="Times New Roman" w:hAnsi="Arial" w:cs="Arial"/>
                <w:sz w:val="20"/>
                <w:szCs w:val="20"/>
                <w:lang w:eastAsia="pl-PL"/>
              </w:rPr>
            </w:pPr>
          </w:p>
        </w:tc>
        <w:tc>
          <w:tcPr>
            <w:tcW w:w="1748" w:type="dxa"/>
            <w:tcBorders>
              <w:top w:val="nil"/>
              <w:left w:val="nil"/>
              <w:bottom w:val="single" w:sz="4" w:space="0" w:color="auto"/>
              <w:right w:val="single" w:sz="4" w:space="0" w:color="auto"/>
            </w:tcBorders>
            <w:vAlign w:val="center"/>
          </w:tcPr>
          <w:p w14:paraId="64F2F3CF" w14:textId="1B91B213" w:rsidR="00343757" w:rsidRPr="009E4179" w:rsidRDefault="006A0F62" w:rsidP="00343757">
            <w:pPr>
              <w:spacing w:after="0" w:line="240" w:lineRule="auto"/>
              <w:jc w:val="right"/>
              <w:rPr>
                <w:rFonts w:ascii="Arial" w:eastAsia="Times New Roman" w:hAnsi="Arial" w:cs="Arial"/>
                <w:sz w:val="20"/>
                <w:szCs w:val="20"/>
                <w:highlight w:val="yellow"/>
                <w:lang w:eastAsia="pl-PL"/>
              </w:rPr>
            </w:pPr>
            <w:r w:rsidRPr="002B4198">
              <w:rPr>
                <w:rFonts w:ascii="Arial" w:eastAsia="Times New Roman" w:hAnsi="Arial" w:cs="Arial"/>
                <w:sz w:val="20"/>
                <w:szCs w:val="20"/>
                <w:lang w:eastAsia="pl-PL"/>
              </w:rPr>
              <w:t>1.319.104.776</w:t>
            </w:r>
          </w:p>
        </w:tc>
      </w:tr>
    </w:tbl>
    <w:bookmarkEnd w:id="1"/>
    <w:p w14:paraId="6B2614F5" w14:textId="50F6095D" w:rsidR="00420442" w:rsidRPr="007D5180" w:rsidRDefault="00420442" w:rsidP="009924E9">
      <w:pPr>
        <w:spacing w:before="360" w:after="120" w:line="340" w:lineRule="atLeast"/>
        <w:rPr>
          <w:rFonts w:ascii="Arial" w:hAnsi="Arial" w:cs="Arial"/>
        </w:rPr>
      </w:pPr>
      <w:r w:rsidRPr="007D5180">
        <w:rPr>
          <w:rFonts w:ascii="Arial" w:hAnsi="Arial" w:cs="Arial"/>
        </w:rPr>
        <w:t xml:space="preserve">Zmiany w zakresie poszczególnych wielkości budżetu państwa zostały omówione w dalszej części uzasadnienia w rozdziale </w:t>
      </w:r>
      <w:r w:rsidR="009E4179">
        <w:rPr>
          <w:rFonts w:ascii="Arial" w:hAnsi="Arial" w:cs="Arial"/>
        </w:rPr>
        <w:t>3</w:t>
      </w:r>
      <w:r w:rsidRPr="007D5180">
        <w:rPr>
          <w:rFonts w:ascii="Arial" w:hAnsi="Arial" w:cs="Arial"/>
        </w:rPr>
        <w:t xml:space="preserve">. </w:t>
      </w:r>
      <w:r w:rsidRPr="007D5180">
        <w:rPr>
          <w:rFonts w:ascii="Arial" w:hAnsi="Arial" w:cs="Arial"/>
          <w:i/>
        </w:rPr>
        <w:t>Wy</w:t>
      </w:r>
      <w:r w:rsidR="007D5180" w:rsidRPr="007D5180">
        <w:rPr>
          <w:rFonts w:ascii="Arial" w:hAnsi="Arial" w:cs="Arial"/>
          <w:i/>
        </w:rPr>
        <w:t>datki budżetu państwa w 202</w:t>
      </w:r>
      <w:r w:rsidR="009E4179">
        <w:rPr>
          <w:rFonts w:ascii="Arial" w:hAnsi="Arial" w:cs="Arial"/>
          <w:i/>
        </w:rPr>
        <w:t>4</w:t>
      </w:r>
      <w:r w:rsidRPr="007D5180">
        <w:rPr>
          <w:rFonts w:ascii="Arial" w:hAnsi="Arial" w:cs="Arial"/>
          <w:i/>
        </w:rPr>
        <w:t xml:space="preserve"> r.</w:t>
      </w:r>
    </w:p>
    <w:p w14:paraId="2EFEE3FB" w14:textId="1CE7C66A" w:rsidR="008D6607" w:rsidRDefault="009E0C5E" w:rsidP="007A3F8C">
      <w:pPr>
        <w:spacing w:before="120" w:after="120" w:line="340" w:lineRule="atLeast"/>
        <w:rPr>
          <w:rFonts w:ascii="Arial" w:hAnsi="Arial" w:cs="Arial"/>
          <w:i/>
        </w:rPr>
      </w:pPr>
      <w:r>
        <w:rPr>
          <w:rFonts w:ascii="Arial" w:hAnsi="Arial" w:cs="Arial"/>
        </w:rPr>
        <w:t>W</w:t>
      </w:r>
      <w:r w:rsidR="00420442" w:rsidRPr="007D5180">
        <w:rPr>
          <w:rFonts w:ascii="Arial" w:hAnsi="Arial" w:cs="Arial"/>
        </w:rPr>
        <w:t xml:space="preserve"> związku ze zmianami wydatków w poszczególnych częściach budżetu państwa dotyczącymi transferów do państwowych funduszy celowych oraz państwowych osób prawnych zmianie uległy równ</w:t>
      </w:r>
      <w:r w:rsidR="00343757">
        <w:rPr>
          <w:rFonts w:ascii="Arial" w:hAnsi="Arial" w:cs="Arial"/>
        </w:rPr>
        <w:t>ież plany finansowe wybranych jednostek. O</w:t>
      </w:r>
      <w:r w:rsidR="00420442" w:rsidRPr="007D5180">
        <w:rPr>
          <w:rFonts w:ascii="Arial" w:hAnsi="Arial" w:cs="Arial"/>
        </w:rPr>
        <w:t xml:space="preserve">pis </w:t>
      </w:r>
      <w:r w:rsidR="008D6607">
        <w:rPr>
          <w:rFonts w:ascii="Arial" w:hAnsi="Arial" w:cs="Arial"/>
        </w:rPr>
        <w:t>zmian przedstawiono w rozdziale</w:t>
      </w:r>
      <w:r w:rsidR="008D6607">
        <w:rPr>
          <w:rFonts w:ascii="Arial" w:hAnsi="Arial" w:cs="Arial"/>
          <w:i/>
        </w:rPr>
        <w:t xml:space="preserve"> </w:t>
      </w:r>
      <w:r w:rsidR="009E36FE" w:rsidRPr="009E36FE">
        <w:rPr>
          <w:rFonts w:ascii="Arial" w:hAnsi="Arial" w:cs="Arial"/>
          <w:iCs/>
        </w:rPr>
        <w:t>4</w:t>
      </w:r>
      <w:r w:rsidR="008D6607" w:rsidRPr="009E36FE">
        <w:rPr>
          <w:rFonts w:ascii="Arial" w:hAnsi="Arial" w:cs="Arial"/>
          <w:iCs/>
        </w:rPr>
        <w:t>.</w:t>
      </w:r>
      <w:r w:rsidR="003A0C27">
        <w:rPr>
          <w:rFonts w:ascii="Arial" w:hAnsi="Arial" w:cs="Arial"/>
          <w:i/>
        </w:rPr>
        <w:t xml:space="preserve"> </w:t>
      </w:r>
      <w:r w:rsidR="003A0C27" w:rsidRPr="003A0C27">
        <w:rPr>
          <w:rFonts w:ascii="Arial" w:hAnsi="Arial" w:cs="Arial"/>
          <w:i/>
        </w:rPr>
        <w:t xml:space="preserve">Zmiany w planach finansowych państwowych funduszy celowych i państwowych osób prawnych, o których mowa w art. 9 pkt 14 ustawy </w:t>
      </w:r>
      <w:r w:rsidR="000B75A6" w:rsidRPr="000B75A6">
        <w:rPr>
          <w:rFonts w:ascii="Arial" w:hAnsi="Arial" w:cs="Arial"/>
          <w:i/>
        </w:rPr>
        <w:t xml:space="preserve">z dnia 27 sierpnia 2009 r. </w:t>
      </w:r>
      <w:r w:rsidR="003A0C27" w:rsidRPr="003A0C27">
        <w:rPr>
          <w:rFonts w:ascii="Arial" w:hAnsi="Arial" w:cs="Arial"/>
          <w:i/>
        </w:rPr>
        <w:t>o finansach publicznych</w:t>
      </w:r>
      <w:r w:rsidR="008D6607">
        <w:rPr>
          <w:rFonts w:ascii="Arial" w:hAnsi="Arial" w:cs="Arial"/>
          <w:i/>
        </w:rPr>
        <w:t>.</w:t>
      </w:r>
    </w:p>
    <w:p w14:paraId="1DE2F626" w14:textId="01D3E208" w:rsidR="009E0C5E" w:rsidRPr="009E0C5E" w:rsidRDefault="009E0C5E" w:rsidP="007A3F8C">
      <w:pPr>
        <w:spacing w:before="120" w:after="120" w:line="340" w:lineRule="atLeast"/>
        <w:rPr>
          <w:rFonts w:ascii="Arial" w:hAnsi="Arial" w:cs="Arial"/>
          <w:iCs/>
        </w:rPr>
      </w:pPr>
      <w:r>
        <w:rPr>
          <w:rFonts w:ascii="Arial" w:hAnsi="Arial" w:cs="Arial"/>
          <w:iCs/>
        </w:rPr>
        <w:t xml:space="preserve">Ponadto, w art. </w:t>
      </w:r>
      <w:r w:rsidR="0004610B">
        <w:rPr>
          <w:rFonts w:ascii="Arial" w:hAnsi="Arial" w:cs="Arial"/>
          <w:iCs/>
        </w:rPr>
        <w:t>1</w:t>
      </w:r>
      <w:r>
        <w:rPr>
          <w:rFonts w:ascii="Arial" w:hAnsi="Arial" w:cs="Arial"/>
          <w:iCs/>
        </w:rPr>
        <w:t xml:space="preserve"> pkt </w:t>
      </w:r>
      <w:r w:rsidR="0004610B">
        <w:rPr>
          <w:rFonts w:ascii="Arial" w:hAnsi="Arial" w:cs="Arial"/>
          <w:iCs/>
        </w:rPr>
        <w:t xml:space="preserve">3 </w:t>
      </w:r>
      <w:r>
        <w:rPr>
          <w:rFonts w:ascii="Arial" w:hAnsi="Arial" w:cs="Arial"/>
          <w:iCs/>
        </w:rPr>
        <w:t>części tekstowej projektu ustawy</w:t>
      </w:r>
      <w:r w:rsidR="0004610B">
        <w:rPr>
          <w:rFonts w:ascii="Arial" w:hAnsi="Arial" w:cs="Arial"/>
          <w:iCs/>
        </w:rPr>
        <w:t xml:space="preserve"> o zmianie ustawy budżetowej na </w:t>
      </w:r>
      <w:r w:rsidR="000B75A6">
        <w:rPr>
          <w:rFonts w:ascii="Arial" w:hAnsi="Arial" w:cs="Arial"/>
          <w:iCs/>
        </w:rPr>
        <w:t xml:space="preserve">rok </w:t>
      </w:r>
      <w:r w:rsidR="0004610B">
        <w:rPr>
          <w:rFonts w:ascii="Arial" w:hAnsi="Arial" w:cs="Arial"/>
          <w:iCs/>
        </w:rPr>
        <w:t>2024</w:t>
      </w:r>
      <w:r>
        <w:rPr>
          <w:rFonts w:ascii="Arial" w:hAnsi="Arial" w:cs="Arial"/>
          <w:iCs/>
        </w:rPr>
        <w:t>, podwyższono do 500</w:t>
      </w:r>
      <w:r w:rsidR="0004610B">
        <w:rPr>
          <w:rFonts w:ascii="Arial" w:hAnsi="Arial" w:cs="Arial"/>
          <w:iCs/>
        </w:rPr>
        <w:t>.</w:t>
      </w:r>
      <w:r>
        <w:rPr>
          <w:rFonts w:ascii="Arial" w:hAnsi="Arial" w:cs="Arial"/>
          <w:iCs/>
        </w:rPr>
        <w:t>000 tys. zł limit pożyczek</w:t>
      </w:r>
      <w:r w:rsidR="0004610B">
        <w:rPr>
          <w:rFonts w:ascii="Arial" w:hAnsi="Arial" w:cs="Arial"/>
          <w:iCs/>
        </w:rPr>
        <w:t xml:space="preserve"> ze środków budżetu państwa</w:t>
      </w:r>
      <w:r>
        <w:rPr>
          <w:rFonts w:ascii="Arial" w:hAnsi="Arial" w:cs="Arial"/>
          <w:iCs/>
        </w:rPr>
        <w:t xml:space="preserve"> </w:t>
      </w:r>
      <w:r w:rsidR="00557CB6">
        <w:rPr>
          <w:rFonts w:ascii="Arial" w:hAnsi="Arial" w:cs="Arial"/>
          <w:iCs/>
        </w:rPr>
        <w:t xml:space="preserve">dla </w:t>
      </w:r>
      <w:r w:rsidR="000B75A6">
        <w:rPr>
          <w:rFonts w:ascii="Arial" w:hAnsi="Arial" w:cs="Arial"/>
          <w:iCs/>
        </w:rPr>
        <w:t>JST</w:t>
      </w:r>
      <w:r w:rsidR="00557CB6">
        <w:rPr>
          <w:rFonts w:ascii="Arial" w:hAnsi="Arial" w:cs="Arial"/>
          <w:iCs/>
        </w:rPr>
        <w:t xml:space="preserve"> w ramach postępowania naprawczego lub ostrożnościowego. Udzielanie tych pożyczek</w:t>
      </w:r>
      <w:r w:rsidR="0004610B">
        <w:rPr>
          <w:rFonts w:ascii="Arial" w:hAnsi="Arial" w:cs="Arial"/>
          <w:iCs/>
        </w:rPr>
        <w:t xml:space="preserve"> </w:t>
      </w:r>
      <w:r w:rsidR="00557CB6">
        <w:rPr>
          <w:rFonts w:ascii="Arial" w:hAnsi="Arial" w:cs="Arial"/>
          <w:iCs/>
        </w:rPr>
        <w:t>(zgodnie z art. 115 w związku z art. 224 ustawy</w:t>
      </w:r>
      <w:r w:rsidR="000B75A6">
        <w:rPr>
          <w:rFonts w:ascii="Arial" w:hAnsi="Arial" w:cs="Arial"/>
          <w:iCs/>
        </w:rPr>
        <w:t xml:space="preserve"> </w:t>
      </w:r>
      <w:r w:rsidR="000B75A6" w:rsidRPr="00597310">
        <w:rPr>
          <w:rFonts w:ascii="Arial" w:hAnsi="Arial" w:cs="Arial"/>
          <w:iCs/>
        </w:rPr>
        <w:t>z dnia 27 sierpnia 2009 r.</w:t>
      </w:r>
      <w:r w:rsidR="00557CB6">
        <w:rPr>
          <w:rFonts w:ascii="Arial" w:hAnsi="Arial" w:cs="Arial"/>
          <w:iCs/>
        </w:rPr>
        <w:t xml:space="preserve"> o finansach publicznych) stanowi istotny element polityki rządu ukierunkowanej na restrukturyzację zobowiązań </w:t>
      </w:r>
      <w:r w:rsidR="000B75A6">
        <w:rPr>
          <w:rFonts w:ascii="Arial" w:hAnsi="Arial" w:cs="Arial"/>
          <w:iCs/>
        </w:rPr>
        <w:t>JST</w:t>
      </w:r>
      <w:r w:rsidR="00557CB6">
        <w:rPr>
          <w:rFonts w:ascii="Arial" w:hAnsi="Arial" w:cs="Arial"/>
          <w:iCs/>
        </w:rPr>
        <w:t>. Zwiększenie wynika z aktualnie zgłaszanego zapotrzebowania na środki pożyczkowe.</w:t>
      </w:r>
    </w:p>
    <w:p w14:paraId="666FD95F" w14:textId="775B761B" w:rsidR="009E0C5E" w:rsidRPr="009E0C5E" w:rsidRDefault="009E0C5E" w:rsidP="007A3F8C">
      <w:pPr>
        <w:spacing w:before="120" w:after="120" w:line="340" w:lineRule="atLeast"/>
        <w:rPr>
          <w:rFonts w:ascii="Arial" w:hAnsi="Arial" w:cs="Arial"/>
          <w:iCs/>
        </w:rPr>
      </w:pPr>
    </w:p>
    <w:p w14:paraId="6B532350" w14:textId="697220E5" w:rsidR="00F24CD2" w:rsidRDefault="00F24CD2" w:rsidP="007A3F8C">
      <w:pPr>
        <w:spacing w:before="120" w:after="120" w:line="340" w:lineRule="atLeast"/>
        <w:rPr>
          <w:rFonts w:ascii="Arial" w:hAnsi="Arial" w:cs="Arial"/>
          <w:i/>
        </w:rPr>
      </w:pPr>
    </w:p>
    <w:p w14:paraId="2B4D0BC8" w14:textId="129B2DBE" w:rsidR="00F24CD2" w:rsidRDefault="00F24CD2" w:rsidP="007A3F8C">
      <w:pPr>
        <w:spacing w:before="120" w:after="120" w:line="340" w:lineRule="atLeast"/>
        <w:rPr>
          <w:rFonts w:ascii="Arial" w:hAnsi="Arial" w:cs="Arial"/>
          <w:i/>
        </w:rPr>
      </w:pPr>
    </w:p>
    <w:p w14:paraId="6636954F" w14:textId="77777777" w:rsidR="001521D7" w:rsidRDefault="001521D7" w:rsidP="007A3F8C">
      <w:pPr>
        <w:spacing w:before="120" w:after="120" w:line="340" w:lineRule="atLeast"/>
        <w:rPr>
          <w:rFonts w:ascii="Arial" w:hAnsi="Arial" w:cs="Arial"/>
          <w:i/>
        </w:rPr>
      </w:pPr>
    </w:p>
    <w:p w14:paraId="037CDA19" w14:textId="083A89B8" w:rsidR="00712D37" w:rsidRDefault="00420442" w:rsidP="00433FDD">
      <w:pPr>
        <w:pStyle w:val="Akapitzlist"/>
        <w:numPr>
          <w:ilvl w:val="0"/>
          <w:numId w:val="2"/>
        </w:numPr>
        <w:spacing w:before="360"/>
        <w:ind w:left="425" w:hanging="425"/>
        <w:contextualSpacing w:val="0"/>
        <w:rPr>
          <w:rFonts w:cs="Arial"/>
          <w:b/>
          <w:sz w:val="24"/>
          <w:szCs w:val="24"/>
        </w:rPr>
      </w:pPr>
      <w:r>
        <w:rPr>
          <w:rFonts w:cs="Arial"/>
          <w:b/>
          <w:sz w:val="24"/>
          <w:szCs w:val="24"/>
        </w:rPr>
        <w:lastRenderedPageBreak/>
        <w:t>Dochody budżetu państwa w 202</w:t>
      </w:r>
      <w:r w:rsidR="009E4179">
        <w:rPr>
          <w:rFonts w:cs="Arial"/>
          <w:b/>
          <w:sz w:val="24"/>
          <w:szCs w:val="24"/>
        </w:rPr>
        <w:t>4</w:t>
      </w:r>
      <w:r w:rsidRPr="001D23AD">
        <w:rPr>
          <w:rFonts w:cs="Arial"/>
          <w:b/>
          <w:sz w:val="24"/>
          <w:szCs w:val="24"/>
        </w:rPr>
        <w:t xml:space="preserve"> r.</w:t>
      </w:r>
    </w:p>
    <w:p w14:paraId="00B7AFC0" w14:textId="5F8910D5" w:rsidR="00D61338" w:rsidRPr="00826752" w:rsidRDefault="00D61338" w:rsidP="00D61338">
      <w:pPr>
        <w:spacing w:before="120" w:after="120" w:line="340" w:lineRule="atLeast"/>
        <w:rPr>
          <w:rFonts w:ascii="Arial" w:hAnsi="Arial" w:cs="Arial"/>
          <w:bCs/>
        </w:rPr>
      </w:pPr>
      <w:r w:rsidRPr="00826752">
        <w:rPr>
          <w:rFonts w:ascii="Arial" w:hAnsi="Arial" w:cs="Arial"/>
          <w:bCs/>
        </w:rPr>
        <w:t xml:space="preserve">Odmienne od pierwotnej prognozy zawartej w ustawie budżetowej na </w:t>
      </w:r>
      <w:r w:rsidR="000B75A6">
        <w:rPr>
          <w:rFonts w:ascii="Arial" w:hAnsi="Arial" w:cs="Arial"/>
          <w:bCs/>
        </w:rPr>
        <w:t xml:space="preserve">rok </w:t>
      </w:r>
      <w:r w:rsidRPr="00826752">
        <w:rPr>
          <w:rFonts w:ascii="Arial" w:hAnsi="Arial" w:cs="Arial"/>
          <w:bCs/>
        </w:rPr>
        <w:t>2024 kształtowanie się procesów inflacyjnych oznacza znaczącą rewizję scenariusza makroekonomicznego w</w:t>
      </w:r>
      <w:r w:rsidR="00F24CD2">
        <w:rPr>
          <w:rFonts w:ascii="Arial" w:hAnsi="Arial" w:cs="Arial"/>
          <w:bCs/>
        </w:rPr>
        <w:t> </w:t>
      </w:r>
      <w:r w:rsidRPr="00826752">
        <w:rPr>
          <w:rFonts w:ascii="Arial" w:hAnsi="Arial" w:cs="Arial"/>
          <w:bCs/>
        </w:rPr>
        <w:t>ujęciu nominalnym. Według obecnej prognozy tempo wzrostu PKB w ujęciu nominalnym w</w:t>
      </w:r>
      <w:r w:rsidR="00F24CD2">
        <w:rPr>
          <w:rFonts w:ascii="Arial" w:hAnsi="Arial" w:cs="Arial"/>
          <w:bCs/>
        </w:rPr>
        <w:t> </w:t>
      </w:r>
      <w:r w:rsidRPr="00826752">
        <w:rPr>
          <w:rFonts w:ascii="Arial" w:hAnsi="Arial" w:cs="Arial"/>
          <w:bCs/>
        </w:rPr>
        <w:t xml:space="preserve">2024 r. wyniesie 6,8%, wobec planowanego w ustawie budżetowej na </w:t>
      </w:r>
      <w:r w:rsidR="000B75A6">
        <w:rPr>
          <w:rFonts w:ascii="Arial" w:hAnsi="Arial" w:cs="Arial"/>
          <w:bCs/>
        </w:rPr>
        <w:t xml:space="preserve">rok </w:t>
      </w:r>
      <w:r w:rsidRPr="00826752">
        <w:rPr>
          <w:rFonts w:ascii="Arial" w:hAnsi="Arial" w:cs="Arial"/>
          <w:bCs/>
        </w:rPr>
        <w:t>2024 wzrostu w</w:t>
      </w:r>
      <w:r w:rsidR="00F24CD2">
        <w:rPr>
          <w:rFonts w:ascii="Arial" w:hAnsi="Arial" w:cs="Arial"/>
          <w:bCs/>
        </w:rPr>
        <w:t> </w:t>
      </w:r>
      <w:r w:rsidRPr="00826752">
        <w:rPr>
          <w:rFonts w:ascii="Arial" w:hAnsi="Arial" w:cs="Arial"/>
          <w:bCs/>
        </w:rPr>
        <w:t xml:space="preserve">wysokości 9,5%. Przewidywane w chwili obecnej tempo wzrostu spożycia prywatnego wynosi 8,0%, wobec planowanego w ustawie budżetowej na </w:t>
      </w:r>
      <w:r w:rsidR="000B75A6">
        <w:rPr>
          <w:rFonts w:ascii="Arial" w:hAnsi="Arial" w:cs="Arial"/>
          <w:bCs/>
        </w:rPr>
        <w:t xml:space="preserve">rok </w:t>
      </w:r>
      <w:r w:rsidRPr="00826752">
        <w:rPr>
          <w:rFonts w:ascii="Arial" w:hAnsi="Arial" w:cs="Arial"/>
          <w:bCs/>
        </w:rPr>
        <w:t>2024 wzrostu w wysokości 10,2%. Rewizja scenariusza makroekonomicznego pociąga za sobą konieczność zrewidowania prognoz w zakresie dochodów budżetu państwa.</w:t>
      </w:r>
    </w:p>
    <w:p w14:paraId="21DDF6F3" w14:textId="2857A508" w:rsidR="00D61338" w:rsidRPr="00826752" w:rsidRDefault="00D61338" w:rsidP="00D61338">
      <w:pPr>
        <w:spacing w:before="120" w:after="120" w:line="340" w:lineRule="atLeast"/>
        <w:rPr>
          <w:rFonts w:ascii="Arial" w:hAnsi="Arial" w:cs="Arial"/>
          <w:bCs/>
        </w:rPr>
      </w:pPr>
      <w:r w:rsidRPr="00826752">
        <w:rPr>
          <w:rFonts w:ascii="Arial" w:hAnsi="Arial" w:cs="Arial"/>
          <w:bCs/>
        </w:rPr>
        <w:t xml:space="preserve">W momencie przygotowania prognoz do ustawy budżetowej na </w:t>
      </w:r>
      <w:r w:rsidR="000B75A6">
        <w:rPr>
          <w:rFonts w:ascii="Arial" w:hAnsi="Arial" w:cs="Arial"/>
          <w:bCs/>
        </w:rPr>
        <w:t xml:space="preserve">rok </w:t>
      </w:r>
      <w:r w:rsidRPr="00826752">
        <w:rPr>
          <w:rFonts w:ascii="Arial" w:hAnsi="Arial" w:cs="Arial"/>
          <w:bCs/>
        </w:rPr>
        <w:t>2024 przewidywano, że w 2024 r. nastąpi spadek średniorocznej inflacji do 6,6% wobec 12,0% średnio w 2023 r. Dotychczasowy przebieg procesów inflacyjnych w 2024 r. wskazuje jednak na konieczność obniżenia prognozy inflacji na 2024 r. do 3,7% średnio w roku.</w:t>
      </w:r>
    </w:p>
    <w:p w14:paraId="5B578378" w14:textId="38930148" w:rsidR="00D61338" w:rsidRPr="00826752" w:rsidRDefault="00D61338" w:rsidP="00D61338">
      <w:pPr>
        <w:spacing w:before="120" w:after="120" w:line="340" w:lineRule="atLeast"/>
        <w:rPr>
          <w:rFonts w:ascii="Arial" w:hAnsi="Arial" w:cs="Arial"/>
          <w:bCs/>
        </w:rPr>
      </w:pPr>
      <w:r w:rsidRPr="00826752">
        <w:rPr>
          <w:rFonts w:ascii="Arial" w:hAnsi="Arial" w:cs="Arial"/>
          <w:bCs/>
        </w:rPr>
        <w:t xml:space="preserve">Na poziom dochodów podatkowych budżetu państwa oddziałują głównie procesy nominalne. Większość dochodów podatkowych jest gromadzona z podatków, które co do zasady pobierane są od wartości. Przykładem takich dochodów budżetowych jest podatek VAT, jak również podatki dochodowe </w:t>
      </w:r>
      <w:r w:rsidR="00EC0A27">
        <w:rPr>
          <w:rFonts w:ascii="Arial" w:hAnsi="Arial" w:cs="Arial"/>
          <w:bCs/>
        </w:rPr>
        <w:t>–</w:t>
      </w:r>
      <w:r w:rsidRPr="00826752">
        <w:rPr>
          <w:rFonts w:ascii="Arial" w:hAnsi="Arial" w:cs="Arial"/>
          <w:bCs/>
        </w:rPr>
        <w:t xml:space="preserve"> PIT i CIT, w przypadku których wysokość wpływów zależy od nominalnej wielkości podstawy opodatkowania. W przypadku podatku akcyzowego sytuacja jest nieco inna. Z uwagi na fakt, że podatek akcyzowy w zdecydowanej większości przypadków pobierany jest od ilości towarów akcyzowych</w:t>
      </w:r>
      <w:r w:rsidR="000B75A6">
        <w:rPr>
          <w:rFonts w:ascii="Arial" w:hAnsi="Arial" w:cs="Arial"/>
          <w:bCs/>
        </w:rPr>
        <w:t>,</w:t>
      </w:r>
      <w:r w:rsidRPr="00826752">
        <w:rPr>
          <w:rFonts w:ascii="Arial" w:hAnsi="Arial" w:cs="Arial"/>
          <w:bCs/>
        </w:rPr>
        <w:t xml:space="preserve"> na wielkość wpływów z tego podatku wpływ ma w większym stopniu realna sfera gospodarki. </w:t>
      </w:r>
    </w:p>
    <w:p w14:paraId="475B8AF7" w14:textId="7C9454C5" w:rsidR="00D61338" w:rsidRPr="00826752" w:rsidRDefault="00D61338" w:rsidP="00D61338">
      <w:pPr>
        <w:spacing w:before="120" w:after="120" w:line="340" w:lineRule="atLeast"/>
        <w:rPr>
          <w:rFonts w:ascii="Arial" w:hAnsi="Arial" w:cs="Arial"/>
          <w:bCs/>
        </w:rPr>
      </w:pPr>
      <w:r w:rsidRPr="00826752">
        <w:rPr>
          <w:rFonts w:ascii="Arial" w:hAnsi="Arial" w:cs="Arial"/>
          <w:bCs/>
        </w:rPr>
        <w:t xml:space="preserve">Na dochody budżetu państwa z tytułu podatku </w:t>
      </w:r>
      <w:r w:rsidR="000B75A6">
        <w:rPr>
          <w:rFonts w:ascii="Arial" w:hAnsi="Arial" w:cs="Arial"/>
          <w:bCs/>
        </w:rPr>
        <w:t>PIT, CIT</w:t>
      </w:r>
      <w:r w:rsidRPr="00826752">
        <w:rPr>
          <w:rFonts w:ascii="Arial" w:hAnsi="Arial" w:cs="Arial"/>
          <w:bCs/>
        </w:rPr>
        <w:t xml:space="preserve"> oraz VAT w 2024 r. wpływa również przesunięcie terminu płatności podatku dla podatników dotkniętych skutkami powodzi, która we wrześniu 2024 r. nawiedziła południe Polski. Skutkować to będzie przesunięciem na kolejny rok płatności należnych zaliczek za 2024 r.</w:t>
      </w:r>
    </w:p>
    <w:p w14:paraId="1DEF0B56" w14:textId="46702C59" w:rsidR="00D61338" w:rsidRPr="00826752" w:rsidRDefault="00D61338" w:rsidP="00D61338">
      <w:pPr>
        <w:spacing w:before="120" w:after="120" w:line="340" w:lineRule="atLeast"/>
        <w:rPr>
          <w:rFonts w:ascii="Arial" w:hAnsi="Arial" w:cs="Arial"/>
          <w:bCs/>
        </w:rPr>
      </w:pPr>
      <w:r w:rsidRPr="00826752">
        <w:rPr>
          <w:rFonts w:ascii="Arial" w:hAnsi="Arial" w:cs="Arial"/>
          <w:bCs/>
        </w:rPr>
        <w:t>Analiza dotychczasowego wykonania dochodów budżetu państwa wskazuje, że w 2024 r. dochody budżetu państwa nie zostaną zrealizowane w wysokościach prognozowanych w</w:t>
      </w:r>
      <w:r w:rsidR="00F24CD2">
        <w:rPr>
          <w:rFonts w:ascii="Arial" w:hAnsi="Arial" w:cs="Arial"/>
          <w:bCs/>
        </w:rPr>
        <w:t> </w:t>
      </w:r>
      <w:r w:rsidRPr="00826752">
        <w:rPr>
          <w:rFonts w:ascii="Arial" w:hAnsi="Arial" w:cs="Arial"/>
          <w:bCs/>
        </w:rPr>
        <w:t xml:space="preserve">ustawie budżetowej na </w:t>
      </w:r>
      <w:r w:rsidR="000B75A6">
        <w:rPr>
          <w:rFonts w:ascii="Arial" w:hAnsi="Arial" w:cs="Arial"/>
          <w:bCs/>
        </w:rPr>
        <w:t xml:space="preserve">rok </w:t>
      </w:r>
      <w:r w:rsidRPr="00826752">
        <w:rPr>
          <w:rFonts w:ascii="Arial" w:hAnsi="Arial" w:cs="Arial"/>
          <w:bCs/>
        </w:rPr>
        <w:t>2024</w:t>
      </w:r>
      <w:r w:rsidR="000B75A6">
        <w:rPr>
          <w:rFonts w:ascii="Arial" w:hAnsi="Arial" w:cs="Arial"/>
          <w:bCs/>
        </w:rPr>
        <w:t>.</w:t>
      </w:r>
      <w:r w:rsidRPr="00826752">
        <w:rPr>
          <w:rFonts w:ascii="Arial" w:hAnsi="Arial" w:cs="Arial"/>
          <w:bCs/>
        </w:rPr>
        <w:t xml:space="preserve"> Zmiany prognoz dochodów budżetu państwa w stosunku do ustawy budżetowej na </w:t>
      </w:r>
      <w:r w:rsidR="000B75A6">
        <w:rPr>
          <w:rFonts w:ascii="Arial" w:hAnsi="Arial" w:cs="Arial"/>
          <w:bCs/>
        </w:rPr>
        <w:t xml:space="preserve">rok </w:t>
      </w:r>
      <w:r w:rsidRPr="00826752">
        <w:rPr>
          <w:rFonts w:ascii="Arial" w:hAnsi="Arial" w:cs="Arial"/>
          <w:bCs/>
        </w:rPr>
        <w:t>2024 dotyczą następujących tytułów:</w:t>
      </w:r>
    </w:p>
    <w:p w14:paraId="7692A167" w14:textId="77777777" w:rsidR="00D61338" w:rsidRPr="00826752" w:rsidRDefault="00D61338" w:rsidP="00D61338">
      <w:pPr>
        <w:spacing w:before="360" w:after="120" w:line="340" w:lineRule="atLeast"/>
        <w:rPr>
          <w:rFonts w:ascii="Arial" w:hAnsi="Arial" w:cs="Arial"/>
          <w:b/>
          <w:u w:val="single"/>
        </w:rPr>
      </w:pPr>
      <w:r w:rsidRPr="00826752">
        <w:rPr>
          <w:rFonts w:ascii="Arial" w:hAnsi="Arial" w:cs="Arial"/>
          <w:b/>
          <w:u w:val="single"/>
        </w:rPr>
        <w:t>Podatek od towarów i usług (VAT)</w:t>
      </w:r>
    </w:p>
    <w:p w14:paraId="7246F157" w14:textId="58623EFA" w:rsidR="00D61338" w:rsidRDefault="00D61338" w:rsidP="00D61338">
      <w:pPr>
        <w:spacing w:before="120" w:after="120" w:line="340" w:lineRule="atLeast"/>
        <w:rPr>
          <w:rFonts w:ascii="Arial" w:hAnsi="Arial" w:cs="Arial"/>
          <w:bCs/>
        </w:rPr>
      </w:pPr>
      <w:r w:rsidRPr="00826752">
        <w:rPr>
          <w:rFonts w:ascii="Arial" w:hAnsi="Arial" w:cs="Arial"/>
          <w:bCs/>
        </w:rPr>
        <w:t>Przewiduje się, że dochody z podatku VAT w 2024 r. wyniosą 29</w:t>
      </w:r>
      <w:r w:rsidR="00E3385B">
        <w:rPr>
          <w:rFonts w:ascii="Arial" w:hAnsi="Arial" w:cs="Arial"/>
          <w:bCs/>
        </w:rPr>
        <w:t>3</w:t>
      </w:r>
      <w:r w:rsidRPr="00826752">
        <w:rPr>
          <w:rFonts w:ascii="Arial" w:hAnsi="Arial" w:cs="Arial"/>
          <w:bCs/>
        </w:rPr>
        <w:t>.500.000 tys. zł, tj. mniej o</w:t>
      </w:r>
      <w:r w:rsidR="00F24CD2">
        <w:rPr>
          <w:rFonts w:ascii="Arial" w:hAnsi="Arial" w:cs="Arial"/>
          <w:bCs/>
        </w:rPr>
        <w:t> </w:t>
      </w:r>
      <w:r w:rsidRPr="00826752">
        <w:rPr>
          <w:rFonts w:ascii="Arial" w:hAnsi="Arial" w:cs="Arial"/>
          <w:bCs/>
        </w:rPr>
        <w:t>2</w:t>
      </w:r>
      <w:r w:rsidR="00E3385B">
        <w:rPr>
          <w:rFonts w:ascii="Arial" w:hAnsi="Arial" w:cs="Arial"/>
          <w:bCs/>
        </w:rPr>
        <w:t>2</w:t>
      </w:r>
      <w:r w:rsidRPr="00826752">
        <w:rPr>
          <w:rFonts w:ascii="Arial" w:hAnsi="Arial" w:cs="Arial"/>
          <w:bCs/>
        </w:rPr>
        <w:t>.925.000 tys. zł (</w:t>
      </w:r>
      <w:r w:rsidR="00E3385B">
        <w:rPr>
          <w:rFonts w:ascii="Arial" w:hAnsi="Arial" w:cs="Arial"/>
          <w:bCs/>
        </w:rPr>
        <w:t>7</w:t>
      </w:r>
      <w:r w:rsidRPr="00826752">
        <w:rPr>
          <w:rFonts w:ascii="Arial" w:hAnsi="Arial" w:cs="Arial"/>
          <w:bCs/>
        </w:rPr>
        <w:t xml:space="preserve">,2%) w porównaniu do ustawy budżetowej na </w:t>
      </w:r>
      <w:r w:rsidR="000B75A6">
        <w:rPr>
          <w:rFonts w:ascii="Arial" w:hAnsi="Arial" w:cs="Arial"/>
          <w:bCs/>
        </w:rPr>
        <w:t xml:space="preserve">rok </w:t>
      </w:r>
      <w:r w:rsidRPr="00826752">
        <w:rPr>
          <w:rFonts w:ascii="Arial" w:hAnsi="Arial" w:cs="Arial"/>
          <w:bCs/>
        </w:rPr>
        <w:t>2024</w:t>
      </w:r>
      <w:r w:rsidR="000B75A6">
        <w:rPr>
          <w:rFonts w:ascii="Arial" w:hAnsi="Arial" w:cs="Arial"/>
          <w:bCs/>
        </w:rPr>
        <w:t>.</w:t>
      </w:r>
      <w:r w:rsidRPr="00826752">
        <w:rPr>
          <w:rFonts w:ascii="Arial" w:hAnsi="Arial" w:cs="Arial"/>
          <w:bCs/>
        </w:rPr>
        <w:t xml:space="preserve"> Głównym powodem niewykonania prognozy dochodów w 2024 r. jest znacząco mniej korzystny, z</w:t>
      </w:r>
      <w:r w:rsidR="00F24CD2">
        <w:rPr>
          <w:rFonts w:ascii="Arial" w:hAnsi="Arial" w:cs="Arial"/>
          <w:bCs/>
        </w:rPr>
        <w:t> </w:t>
      </w:r>
      <w:r w:rsidRPr="00826752">
        <w:rPr>
          <w:rFonts w:ascii="Arial" w:hAnsi="Arial" w:cs="Arial"/>
          <w:bCs/>
        </w:rPr>
        <w:t xml:space="preserve">punktu widzenia realizacji dochodów z VAT, nominalny wzrost spożycia prywatnego. </w:t>
      </w:r>
    </w:p>
    <w:p w14:paraId="57CF52A6" w14:textId="77777777" w:rsidR="00433FDD" w:rsidRPr="00826752" w:rsidRDefault="00433FDD" w:rsidP="00D61338">
      <w:pPr>
        <w:spacing w:before="120" w:after="120" w:line="340" w:lineRule="atLeast"/>
        <w:rPr>
          <w:rFonts w:ascii="Arial" w:hAnsi="Arial" w:cs="Arial"/>
          <w:bCs/>
        </w:rPr>
      </w:pPr>
    </w:p>
    <w:p w14:paraId="26A57970" w14:textId="77777777" w:rsidR="00D61338" w:rsidRPr="00826752" w:rsidRDefault="00D61338" w:rsidP="00D61338">
      <w:pPr>
        <w:spacing w:before="360" w:after="120" w:line="340" w:lineRule="atLeast"/>
        <w:rPr>
          <w:rFonts w:ascii="Arial" w:hAnsi="Arial" w:cs="Arial"/>
          <w:b/>
          <w:u w:val="single"/>
        </w:rPr>
      </w:pPr>
      <w:r w:rsidRPr="00826752">
        <w:rPr>
          <w:rFonts w:ascii="Arial" w:hAnsi="Arial" w:cs="Arial"/>
          <w:b/>
          <w:u w:val="single"/>
        </w:rPr>
        <w:lastRenderedPageBreak/>
        <w:t>Podatek akcyzowy</w:t>
      </w:r>
    </w:p>
    <w:p w14:paraId="353087A5" w14:textId="4C16E532" w:rsidR="00D61338" w:rsidRPr="00826752" w:rsidRDefault="00D61338" w:rsidP="00D61338">
      <w:pPr>
        <w:spacing w:before="120" w:after="120" w:line="340" w:lineRule="atLeast"/>
        <w:rPr>
          <w:rFonts w:ascii="Arial" w:hAnsi="Arial" w:cs="Arial"/>
          <w:bCs/>
        </w:rPr>
      </w:pPr>
      <w:r w:rsidRPr="00826752">
        <w:rPr>
          <w:rFonts w:ascii="Arial" w:hAnsi="Arial" w:cs="Arial"/>
          <w:bCs/>
        </w:rPr>
        <w:t>Przewiduje się, że dochody z podatku akcyzowego w 2024 r. wyniosą 90.311.000 tys. zł, tj.</w:t>
      </w:r>
      <w:r w:rsidR="00F24CD2">
        <w:rPr>
          <w:rFonts w:ascii="Arial" w:hAnsi="Arial" w:cs="Arial"/>
          <w:bCs/>
        </w:rPr>
        <w:t> </w:t>
      </w:r>
      <w:r w:rsidRPr="00826752">
        <w:rPr>
          <w:rFonts w:ascii="Arial" w:hAnsi="Arial" w:cs="Arial"/>
          <w:bCs/>
        </w:rPr>
        <w:t xml:space="preserve">więcej o 1.342.000 tys. zł (1,5%) w porównaniu do ustawy budżetowej na </w:t>
      </w:r>
      <w:r w:rsidR="000B75A6">
        <w:rPr>
          <w:rFonts w:ascii="Arial" w:hAnsi="Arial" w:cs="Arial"/>
          <w:bCs/>
        </w:rPr>
        <w:t xml:space="preserve">rok </w:t>
      </w:r>
      <w:r w:rsidRPr="00826752">
        <w:rPr>
          <w:rFonts w:ascii="Arial" w:hAnsi="Arial" w:cs="Arial"/>
          <w:bCs/>
        </w:rPr>
        <w:t xml:space="preserve">2024. </w:t>
      </w:r>
    </w:p>
    <w:p w14:paraId="21D08322" w14:textId="03733C3E" w:rsidR="00D61338" w:rsidRPr="00826752" w:rsidRDefault="00D61338" w:rsidP="00D61338">
      <w:pPr>
        <w:spacing w:before="120" w:after="120" w:line="340" w:lineRule="atLeast"/>
        <w:rPr>
          <w:rFonts w:ascii="Arial" w:hAnsi="Arial" w:cs="Arial"/>
          <w:bCs/>
        </w:rPr>
      </w:pPr>
      <w:r w:rsidRPr="00826752">
        <w:rPr>
          <w:rFonts w:ascii="Arial" w:hAnsi="Arial" w:cs="Arial"/>
          <w:bCs/>
        </w:rPr>
        <w:t xml:space="preserve">W zakresie podatku akcyzowego należy zauważyć, że aktualne prognozy wskaźników makroekonomicznych (główne indykatory bazy podatkowej podatku akcyzowego) są wyższe w porównaniu z prognozami z ustawy budżetowej na </w:t>
      </w:r>
      <w:r w:rsidR="000B75A6">
        <w:rPr>
          <w:rFonts w:ascii="Arial" w:hAnsi="Arial" w:cs="Arial"/>
          <w:bCs/>
        </w:rPr>
        <w:t xml:space="preserve">rok </w:t>
      </w:r>
      <w:r w:rsidRPr="00826752">
        <w:rPr>
          <w:rFonts w:ascii="Arial" w:hAnsi="Arial" w:cs="Arial"/>
          <w:bCs/>
        </w:rPr>
        <w:t>2024. Prognoza</w:t>
      </w:r>
      <w:r w:rsidR="00433FDD">
        <w:rPr>
          <w:rFonts w:ascii="Arial" w:hAnsi="Arial" w:cs="Arial"/>
          <w:bCs/>
        </w:rPr>
        <w:t xml:space="preserve"> wzrostu</w:t>
      </w:r>
      <w:r w:rsidRPr="00826752">
        <w:rPr>
          <w:rFonts w:ascii="Arial" w:hAnsi="Arial" w:cs="Arial"/>
          <w:bCs/>
        </w:rPr>
        <w:t xml:space="preserve"> PKB realnego na 2024 r. wynosi 3,1% w stosunku do 3,0% w ustawie budżetowej na</w:t>
      </w:r>
      <w:r w:rsidR="000B75A6">
        <w:rPr>
          <w:rFonts w:ascii="Arial" w:hAnsi="Arial" w:cs="Arial"/>
          <w:bCs/>
        </w:rPr>
        <w:t xml:space="preserve"> rok</w:t>
      </w:r>
      <w:r w:rsidRPr="00826752">
        <w:rPr>
          <w:rFonts w:ascii="Arial" w:hAnsi="Arial" w:cs="Arial"/>
          <w:bCs/>
        </w:rPr>
        <w:t xml:space="preserve"> 2024, natomiast prognoza</w:t>
      </w:r>
      <w:r w:rsidR="00433FDD">
        <w:rPr>
          <w:rFonts w:ascii="Arial" w:hAnsi="Arial" w:cs="Arial"/>
          <w:bCs/>
        </w:rPr>
        <w:t xml:space="preserve"> wzrostu</w:t>
      </w:r>
      <w:r w:rsidRPr="00826752">
        <w:rPr>
          <w:rFonts w:ascii="Arial" w:hAnsi="Arial" w:cs="Arial"/>
          <w:bCs/>
        </w:rPr>
        <w:t xml:space="preserve"> spożycia prywatnego realnego na 2024 r. wynosi 4,2% w porównaniu do 3,3% w</w:t>
      </w:r>
      <w:r w:rsidR="00F24CD2">
        <w:rPr>
          <w:rFonts w:ascii="Arial" w:hAnsi="Arial" w:cs="Arial"/>
          <w:bCs/>
        </w:rPr>
        <w:t> </w:t>
      </w:r>
      <w:r w:rsidRPr="00826752">
        <w:rPr>
          <w:rFonts w:ascii="Arial" w:hAnsi="Arial" w:cs="Arial"/>
          <w:bCs/>
        </w:rPr>
        <w:t xml:space="preserve">ustawie budżetowej na </w:t>
      </w:r>
      <w:r w:rsidR="000B75A6">
        <w:rPr>
          <w:rFonts w:ascii="Arial" w:hAnsi="Arial" w:cs="Arial"/>
          <w:bCs/>
        </w:rPr>
        <w:t xml:space="preserve">rok </w:t>
      </w:r>
      <w:r w:rsidRPr="00826752">
        <w:rPr>
          <w:rFonts w:ascii="Arial" w:hAnsi="Arial" w:cs="Arial"/>
          <w:bCs/>
        </w:rPr>
        <w:t>2024.</w:t>
      </w:r>
    </w:p>
    <w:p w14:paraId="5743800C" w14:textId="76DAC367" w:rsidR="00D61338" w:rsidRPr="00826752" w:rsidRDefault="00D61338" w:rsidP="00D61338">
      <w:pPr>
        <w:spacing w:before="120" w:after="120" w:line="340" w:lineRule="atLeast"/>
        <w:rPr>
          <w:rFonts w:ascii="Arial" w:hAnsi="Arial" w:cs="Arial"/>
          <w:bCs/>
        </w:rPr>
      </w:pPr>
      <w:r w:rsidRPr="00826752">
        <w:rPr>
          <w:rFonts w:ascii="Arial" w:hAnsi="Arial" w:cs="Arial"/>
          <w:bCs/>
        </w:rPr>
        <w:t xml:space="preserve">Prognozuje się, że wyższe w porównaniu z ustawą budżetową na </w:t>
      </w:r>
      <w:r w:rsidR="000B75A6">
        <w:rPr>
          <w:rFonts w:ascii="Arial" w:hAnsi="Arial" w:cs="Arial"/>
          <w:bCs/>
        </w:rPr>
        <w:t xml:space="preserve">rok </w:t>
      </w:r>
      <w:r w:rsidRPr="00826752">
        <w:rPr>
          <w:rFonts w:ascii="Arial" w:hAnsi="Arial" w:cs="Arial"/>
          <w:bCs/>
        </w:rPr>
        <w:t>2024 będą dochody z</w:t>
      </w:r>
      <w:r w:rsidR="00F24CD2">
        <w:rPr>
          <w:rFonts w:ascii="Arial" w:hAnsi="Arial" w:cs="Arial"/>
          <w:bCs/>
        </w:rPr>
        <w:t> </w:t>
      </w:r>
      <w:r w:rsidRPr="00826752">
        <w:rPr>
          <w:rFonts w:ascii="Arial" w:hAnsi="Arial" w:cs="Arial"/>
          <w:bCs/>
        </w:rPr>
        <w:t>akcyzy od samochodów osobowych. Spodziewane są również wyższe dochody z</w:t>
      </w:r>
      <w:r w:rsidR="00F24CD2">
        <w:rPr>
          <w:rFonts w:ascii="Arial" w:hAnsi="Arial" w:cs="Arial"/>
          <w:bCs/>
        </w:rPr>
        <w:t> </w:t>
      </w:r>
      <w:r w:rsidRPr="00826752">
        <w:rPr>
          <w:rFonts w:ascii="Arial" w:hAnsi="Arial" w:cs="Arial"/>
          <w:bCs/>
        </w:rPr>
        <w:t>opodatkowania paliw silnikowych, energii elektrycznej, wyrobów nowatorskich i płynu do papierosów elektronicznych. Niższe wpływy natomiast spodziewane są w przypadku akcyzy od piwa.</w:t>
      </w:r>
    </w:p>
    <w:p w14:paraId="53943E40" w14:textId="77777777" w:rsidR="00D61338" w:rsidRPr="00826752" w:rsidRDefault="00D61338" w:rsidP="00D61338">
      <w:pPr>
        <w:spacing w:before="360" w:after="120" w:line="340" w:lineRule="atLeast"/>
        <w:rPr>
          <w:rFonts w:ascii="Arial" w:hAnsi="Arial" w:cs="Arial"/>
          <w:b/>
          <w:u w:val="single"/>
        </w:rPr>
      </w:pPr>
      <w:r w:rsidRPr="00826752">
        <w:rPr>
          <w:rFonts w:ascii="Arial" w:hAnsi="Arial" w:cs="Arial"/>
          <w:b/>
          <w:u w:val="single"/>
        </w:rPr>
        <w:t>Podatek dochodowy od osób prawnych (CIT)</w:t>
      </w:r>
    </w:p>
    <w:p w14:paraId="7924FAAF" w14:textId="41873F0E" w:rsidR="00D61338" w:rsidRPr="00826752" w:rsidRDefault="00D61338" w:rsidP="00D61338">
      <w:pPr>
        <w:spacing w:before="120" w:after="120" w:line="340" w:lineRule="atLeast"/>
        <w:rPr>
          <w:rFonts w:ascii="Arial" w:hAnsi="Arial" w:cs="Arial"/>
          <w:bCs/>
        </w:rPr>
      </w:pPr>
      <w:r w:rsidRPr="00826752">
        <w:rPr>
          <w:rFonts w:ascii="Arial" w:hAnsi="Arial" w:cs="Arial"/>
          <w:bCs/>
        </w:rPr>
        <w:t>Przewiduje się, że dochody z podatku CIT w 2024 r. wyniosą 58.556.935 tys. zł, tj. mniej o</w:t>
      </w:r>
      <w:r w:rsidR="00F865C8">
        <w:rPr>
          <w:rFonts w:ascii="Arial" w:hAnsi="Arial" w:cs="Arial"/>
          <w:bCs/>
        </w:rPr>
        <w:t> </w:t>
      </w:r>
      <w:r w:rsidRPr="00826752">
        <w:rPr>
          <w:rFonts w:ascii="Arial" w:hAnsi="Arial" w:cs="Arial"/>
          <w:bCs/>
        </w:rPr>
        <w:t xml:space="preserve">11.480.470 tys. zł (16,4%) w porównaniu do ustawy budżetowej na </w:t>
      </w:r>
      <w:r w:rsidR="000B75A6">
        <w:rPr>
          <w:rFonts w:ascii="Arial" w:hAnsi="Arial" w:cs="Arial"/>
          <w:bCs/>
        </w:rPr>
        <w:t xml:space="preserve">rok </w:t>
      </w:r>
      <w:r w:rsidRPr="00826752">
        <w:rPr>
          <w:rFonts w:ascii="Arial" w:hAnsi="Arial" w:cs="Arial"/>
          <w:bCs/>
        </w:rPr>
        <w:t xml:space="preserve">2024. </w:t>
      </w:r>
    </w:p>
    <w:p w14:paraId="1AB1F8D3" w14:textId="7C8AC0A4" w:rsidR="00D61338" w:rsidRPr="00826752" w:rsidRDefault="00D61338" w:rsidP="00D61338">
      <w:pPr>
        <w:spacing w:before="120" w:after="120" w:line="340" w:lineRule="atLeast"/>
        <w:rPr>
          <w:rFonts w:ascii="Arial" w:hAnsi="Arial" w:cs="Arial"/>
          <w:bCs/>
        </w:rPr>
      </w:pPr>
      <w:r w:rsidRPr="00826752">
        <w:rPr>
          <w:rFonts w:ascii="Arial" w:hAnsi="Arial" w:cs="Arial"/>
          <w:bCs/>
        </w:rPr>
        <w:t>W przypadku podatku CIT prognozowane niewykonanie dochodów zaplanowanych w</w:t>
      </w:r>
      <w:r w:rsidR="00F865C8">
        <w:rPr>
          <w:rFonts w:ascii="Arial" w:hAnsi="Arial" w:cs="Arial"/>
          <w:bCs/>
        </w:rPr>
        <w:t> </w:t>
      </w:r>
      <w:r w:rsidRPr="00826752">
        <w:rPr>
          <w:rFonts w:ascii="Arial" w:hAnsi="Arial" w:cs="Arial"/>
          <w:bCs/>
        </w:rPr>
        <w:t xml:space="preserve">ustawie budżetowej na </w:t>
      </w:r>
      <w:r w:rsidR="000B75A6">
        <w:rPr>
          <w:rFonts w:ascii="Arial" w:hAnsi="Arial" w:cs="Arial"/>
          <w:bCs/>
        </w:rPr>
        <w:t xml:space="preserve">rok </w:t>
      </w:r>
      <w:r w:rsidRPr="00826752">
        <w:rPr>
          <w:rFonts w:ascii="Arial" w:hAnsi="Arial" w:cs="Arial"/>
          <w:bCs/>
        </w:rPr>
        <w:t xml:space="preserve">2024 wynika z: </w:t>
      </w:r>
    </w:p>
    <w:p w14:paraId="38A363D6" w14:textId="1542E3B4" w:rsidR="00D61338" w:rsidRPr="00D61338" w:rsidRDefault="00D61338" w:rsidP="00433FDD">
      <w:pPr>
        <w:pStyle w:val="Akapitzlist"/>
        <w:numPr>
          <w:ilvl w:val="0"/>
          <w:numId w:val="5"/>
        </w:numPr>
        <w:spacing w:before="120" w:after="0"/>
        <w:ind w:left="426" w:hanging="426"/>
        <w:contextualSpacing w:val="0"/>
        <w:jc w:val="left"/>
        <w:rPr>
          <w:rFonts w:cs="Arial"/>
        </w:rPr>
      </w:pPr>
      <w:r w:rsidRPr="00D61338">
        <w:rPr>
          <w:rFonts w:cs="Arial"/>
        </w:rPr>
        <w:t>negatywnego w ujęciu r/r efektu rozliczenia rocznego podatku za 2023 r.; saldo tego rozliczenia było o ok. 6 mld zł niższe niż saldo rozliczenia rocznego za 2022 r. – wpływającego na dochody z CIT w 2023 r.;</w:t>
      </w:r>
    </w:p>
    <w:p w14:paraId="6F39D085" w14:textId="3D9B34A0" w:rsidR="00D61338" w:rsidRPr="00D61338" w:rsidRDefault="00D61338" w:rsidP="00433FDD">
      <w:pPr>
        <w:pStyle w:val="Akapitzlist"/>
        <w:numPr>
          <w:ilvl w:val="0"/>
          <w:numId w:val="6"/>
        </w:numPr>
        <w:spacing w:before="360"/>
        <w:ind w:left="426" w:hanging="426"/>
        <w:jc w:val="left"/>
        <w:rPr>
          <w:rFonts w:cs="Arial"/>
          <w:bCs/>
          <w:szCs w:val="22"/>
        </w:rPr>
      </w:pPr>
      <w:r w:rsidRPr="00D61338">
        <w:rPr>
          <w:rFonts w:cs="Arial"/>
          <w:bCs/>
          <w:szCs w:val="22"/>
        </w:rPr>
        <w:t>pogorszenia się wyników finansowych przedsiębiorstw, zwłaszcza przedsiębiorstw niefinansowych (w I półroczu 2024 r. zysk brutto przedsiębiorstw niefinansowych badanych przez GUS spadł o 20,7% r/r, strata brutto wzrosła zaś o 20,6% r/r). Wynik finansowy banków (wg KNF) wzrósł o 17,7% r/r., co spowodowane jest m.in. jednymi z</w:t>
      </w:r>
      <w:r w:rsidR="00F865C8">
        <w:rPr>
          <w:rFonts w:cs="Arial"/>
          <w:bCs/>
          <w:szCs w:val="22"/>
        </w:rPr>
        <w:t> </w:t>
      </w:r>
      <w:r w:rsidRPr="00D61338">
        <w:rPr>
          <w:rFonts w:cs="Arial"/>
          <w:bCs/>
          <w:szCs w:val="22"/>
        </w:rPr>
        <w:t xml:space="preserve">najwyższych nominalnych stóp procentowych w UE i wysokim wzrostem kosztów pracy. Dodatkowo negatywnie na wyniki finansowe przedsiębiorstw wpływa słaby popyt na towary eksportowe zgłaszany przez naszych głównych partnerów handlowych. Prognozy eksportu w ujęciu nominalnym zostały zrewidowane w dół z 6,8% wzrostu r/r do 1,3%. Pogorszenie się kondycji przedsiębiorstw przekłada się bezpośrednio na wysokość wpływów z podatku CIT. </w:t>
      </w:r>
    </w:p>
    <w:p w14:paraId="18017EF9" w14:textId="77777777" w:rsidR="00D61338" w:rsidRPr="00826752" w:rsidRDefault="00D61338" w:rsidP="00826752">
      <w:pPr>
        <w:spacing w:before="360" w:after="120" w:line="340" w:lineRule="atLeast"/>
        <w:rPr>
          <w:rFonts w:ascii="Arial" w:hAnsi="Arial" w:cs="Arial"/>
          <w:b/>
          <w:u w:val="single"/>
        </w:rPr>
      </w:pPr>
      <w:r w:rsidRPr="00826752">
        <w:rPr>
          <w:rFonts w:ascii="Arial" w:hAnsi="Arial" w:cs="Arial"/>
          <w:b/>
          <w:u w:val="single"/>
        </w:rPr>
        <w:t>Podatek dochodowy od osób fizycznych (PIT)</w:t>
      </w:r>
    </w:p>
    <w:p w14:paraId="7EBBE74D" w14:textId="7AA4FFB8" w:rsidR="00D61338" w:rsidRPr="00826752" w:rsidRDefault="00D61338" w:rsidP="00826752">
      <w:pPr>
        <w:spacing w:before="120" w:after="120" w:line="340" w:lineRule="atLeast"/>
        <w:rPr>
          <w:rFonts w:ascii="Arial" w:hAnsi="Arial" w:cs="Arial"/>
          <w:bCs/>
        </w:rPr>
      </w:pPr>
      <w:r w:rsidRPr="00826752">
        <w:rPr>
          <w:rFonts w:ascii="Arial" w:hAnsi="Arial" w:cs="Arial"/>
          <w:bCs/>
        </w:rPr>
        <w:t>Przewiduje się, że dochody z podatku PIT w 2024 r. wyniosą 97.745.431 tys. zł, tj. mniej o</w:t>
      </w:r>
      <w:r w:rsidR="00F865C8">
        <w:rPr>
          <w:rFonts w:ascii="Arial" w:hAnsi="Arial" w:cs="Arial"/>
          <w:bCs/>
        </w:rPr>
        <w:t> </w:t>
      </w:r>
      <w:r w:rsidRPr="00826752">
        <w:rPr>
          <w:rFonts w:ascii="Arial" w:hAnsi="Arial" w:cs="Arial"/>
          <w:bCs/>
        </w:rPr>
        <w:t xml:space="preserve">11.460.349 tys. zł (10,5%) w porównaniu do ustawy budżetowej na </w:t>
      </w:r>
      <w:r w:rsidR="005E2CEF">
        <w:rPr>
          <w:rFonts w:ascii="Arial" w:hAnsi="Arial" w:cs="Arial"/>
          <w:bCs/>
        </w:rPr>
        <w:t xml:space="preserve">rok </w:t>
      </w:r>
      <w:r w:rsidRPr="00826752">
        <w:rPr>
          <w:rFonts w:ascii="Arial" w:hAnsi="Arial" w:cs="Arial"/>
          <w:bCs/>
        </w:rPr>
        <w:t xml:space="preserve">2024. Jest to </w:t>
      </w:r>
      <w:r w:rsidRPr="00826752">
        <w:rPr>
          <w:rFonts w:ascii="Arial" w:hAnsi="Arial" w:cs="Arial"/>
          <w:bCs/>
        </w:rPr>
        <w:lastRenderedPageBreak/>
        <w:t xml:space="preserve">przede wszystkim skutek decyzji o jednorazowym przekazaniu </w:t>
      </w:r>
      <w:r w:rsidR="005E2CEF">
        <w:rPr>
          <w:rFonts w:ascii="Arial" w:hAnsi="Arial" w:cs="Arial"/>
          <w:bCs/>
        </w:rPr>
        <w:t>JST</w:t>
      </w:r>
      <w:r w:rsidRPr="00826752">
        <w:rPr>
          <w:rFonts w:ascii="Arial" w:hAnsi="Arial" w:cs="Arial"/>
          <w:bCs/>
        </w:rPr>
        <w:t xml:space="preserve"> z budżetu państwa dodatkowych ok. 8.216.795 tys. zł z tytułu udziału</w:t>
      </w:r>
      <w:r w:rsidR="00826752" w:rsidRPr="00826752">
        <w:rPr>
          <w:rFonts w:ascii="Arial" w:hAnsi="Arial" w:cs="Arial"/>
          <w:bCs/>
        </w:rPr>
        <w:t xml:space="preserve"> </w:t>
      </w:r>
      <w:r w:rsidRPr="00826752">
        <w:rPr>
          <w:rFonts w:ascii="Arial" w:hAnsi="Arial" w:cs="Arial"/>
          <w:bCs/>
        </w:rPr>
        <w:t>w</w:t>
      </w:r>
      <w:r w:rsidR="00F865C8">
        <w:rPr>
          <w:rFonts w:ascii="Arial" w:hAnsi="Arial" w:cs="Arial"/>
          <w:bCs/>
        </w:rPr>
        <w:t> </w:t>
      </w:r>
      <w:r w:rsidRPr="00826752">
        <w:rPr>
          <w:rFonts w:ascii="Arial" w:hAnsi="Arial" w:cs="Arial"/>
          <w:bCs/>
        </w:rPr>
        <w:t>dochodach z PIT. Obecna prognoza uwzględnia również niższe o ok. 1,9 mld zł od prognozowanego wykonanie dochodów w okresie styczeń</w:t>
      </w:r>
      <w:r w:rsidR="00B51250">
        <w:rPr>
          <w:rFonts w:ascii="Arial" w:hAnsi="Arial" w:cs="Arial"/>
          <w:bCs/>
        </w:rPr>
        <w:t>–</w:t>
      </w:r>
      <w:r w:rsidRPr="00826752">
        <w:rPr>
          <w:rFonts w:ascii="Arial" w:hAnsi="Arial" w:cs="Arial"/>
          <w:bCs/>
        </w:rPr>
        <w:t>wrzesień, będące skutkiem przede wszystkim niższego wykonania dochodów z PIT od podatników prowadzących pozarolniczą działalność gospodarczą.</w:t>
      </w:r>
    </w:p>
    <w:p w14:paraId="09A578B3" w14:textId="77777777" w:rsidR="00D61338" w:rsidRPr="00826752" w:rsidRDefault="00D61338" w:rsidP="00826752">
      <w:pPr>
        <w:spacing w:before="120" w:after="120" w:line="340" w:lineRule="atLeast"/>
        <w:rPr>
          <w:rFonts w:ascii="Arial" w:hAnsi="Arial" w:cs="Arial"/>
          <w:bCs/>
        </w:rPr>
      </w:pPr>
      <w:r w:rsidRPr="00826752">
        <w:rPr>
          <w:rFonts w:ascii="Arial" w:hAnsi="Arial" w:cs="Arial"/>
          <w:bCs/>
        </w:rPr>
        <w:t xml:space="preserve">Słabsze wykonanie oraz obniżenie prognozy dochodów z PIT na 2024 r. wynika przede wszystkim z niższej niż prognozowano dynamiki zaliczek opłacanych według liniowej 19% stawki. Obniżenie prognozowanego nominalnego tempa wzrostu PKB negatywnie wpłynęło na wykonanie dochodów w pierwszych miesiącach roku i w związku z tym skutkuje obniżeniem prognozy całorocznych dochodów podatkowych. Dodatkowo szacunkowa liczba podatników odprowadzających w ciągu roku zaliczki według 19% stawki liniowej jest niższa w porównaniu z rokiem poprzedzającym. Jest to kolejny rok, począwszy od 2022 r., kiedy liczba przedsiębiorców opłacających zaliczki według liniowej 19% stawki maleje. </w:t>
      </w:r>
    </w:p>
    <w:p w14:paraId="2C142B18" w14:textId="77777777" w:rsidR="00D61338" w:rsidRPr="00826752" w:rsidRDefault="00D61338" w:rsidP="00826752">
      <w:pPr>
        <w:spacing w:before="120" w:after="120" w:line="340" w:lineRule="atLeast"/>
        <w:rPr>
          <w:rFonts w:ascii="Arial" w:hAnsi="Arial" w:cs="Arial"/>
          <w:bCs/>
        </w:rPr>
      </w:pPr>
      <w:r w:rsidRPr="00826752">
        <w:rPr>
          <w:rFonts w:ascii="Arial" w:hAnsi="Arial" w:cs="Arial"/>
          <w:bCs/>
        </w:rPr>
        <w:t xml:space="preserve">W porównaniu z prognozą z etapu ustawy budżetowej na 2024 r. obniżono również prognozowane dochody podatkowe ze skali podatkowej. Podobnie jak w przypadku liniowej 19% stawki, jest to skutek słabszego niż prognozowano wykonania zaliczek z tej kategorii PIT w okresie styczeń-wrzesień 2024 r., głównie w zakresie szacunkowych wartości zaliczek pobieranych od dochodów osiągniętych z pozarolniczej działalność gospodarczej. </w:t>
      </w:r>
    </w:p>
    <w:p w14:paraId="1CC5F6D0" w14:textId="26F34183" w:rsidR="00D61338" w:rsidRPr="00826752" w:rsidRDefault="00D61338" w:rsidP="00826752">
      <w:pPr>
        <w:spacing w:before="120" w:after="120" w:line="340" w:lineRule="atLeast"/>
        <w:rPr>
          <w:rFonts w:ascii="Arial" w:hAnsi="Arial" w:cs="Arial"/>
          <w:bCs/>
        </w:rPr>
      </w:pPr>
      <w:r w:rsidRPr="00826752">
        <w:rPr>
          <w:rFonts w:ascii="Arial" w:hAnsi="Arial" w:cs="Arial"/>
          <w:bCs/>
        </w:rPr>
        <w:t>Podwyższeniu uległa natomiast prognozowana kwota dochodów podatkowych z ryczałtu od przychodów z odsetek oraz z pozostałych ryczałtów. Jest to wynikiem lepszych niż prognozowano szacunkowych dochodów z zaliczek ze zryczałtowanego podatku dochodowego od wypłaconych dywidend w okresie styczeń</w:t>
      </w:r>
      <w:r w:rsidR="00B51250">
        <w:rPr>
          <w:rFonts w:ascii="Arial" w:hAnsi="Arial" w:cs="Arial"/>
          <w:bCs/>
        </w:rPr>
        <w:t>–</w:t>
      </w:r>
      <w:r w:rsidRPr="00826752">
        <w:rPr>
          <w:rFonts w:ascii="Arial" w:hAnsi="Arial" w:cs="Arial"/>
          <w:bCs/>
        </w:rPr>
        <w:t>wrzesień 2024 r.</w:t>
      </w:r>
    </w:p>
    <w:p w14:paraId="719A3ACA" w14:textId="01B85777" w:rsidR="00D61338" w:rsidRPr="00826752" w:rsidRDefault="00D61338" w:rsidP="00826752">
      <w:pPr>
        <w:spacing w:before="120" w:after="120" w:line="340" w:lineRule="atLeast"/>
        <w:rPr>
          <w:rFonts w:ascii="Arial" w:hAnsi="Arial" w:cs="Arial"/>
          <w:bCs/>
        </w:rPr>
      </w:pPr>
      <w:r w:rsidRPr="00826752">
        <w:rPr>
          <w:rFonts w:ascii="Arial" w:hAnsi="Arial" w:cs="Arial"/>
          <w:bCs/>
        </w:rPr>
        <w:t xml:space="preserve">Na podobnym poziomie, w porównaniu z poziomem z etapu ustawy budżetowej na </w:t>
      </w:r>
      <w:r w:rsidR="005E2CEF">
        <w:rPr>
          <w:rFonts w:ascii="Arial" w:hAnsi="Arial" w:cs="Arial"/>
          <w:bCs/>
        </w:rPr>
        <w:t xml:space="preserve">rok </w:t>
      </w:r>
      <w:r w:rsidRPr="00826752">
        <w:rPr>
          <w:rFonts w:ascii="Arial" w:hAnsi="Arial" w:cs="Arial"/>
          <w:bCs/>
        </w:rPr>
        <w:t>2024, kształtują się prognozowane kwoty dochodów z ryczałtu od przychodów ewidencjonowanych oraz z podatku od dochodów z odpłatnego zbycia papierów wartościowych.</w:t>
      </w:r>
    </w:p>
    <w:p w14:paraId="44CE3E2F" w14:textId="77777777" w:rsidR="00D61338" w:rsidRPr="00826752" w:rsidRDefault="00D61338" w:rsidP="00826752">
      <w:pPr>
        <w:spacing w:before="360" w:after="120" w:line="340" w:lineRule="atLeast"/>
        <w:rPr>
          <w:rFonts w:ascii="Arial" w:hAnsi="Arial" w:cs="Arial"/>
          <w:b/>
          <w:u w:val="single"/>
        </w:rPr>
      </w:pPr>
      <w:r w:rsidRPr="00826752">
        <w:rPr>
          <w:rFonts w:ascii="Arial" w:hAnsi="Arial" w:cs="Arial"/>
          <w:b/>
          <w:u w:val="single"/>
        </w:rPr>
        <w:t>Podatek od gier</w:t>
      </w:r>
    </w:p>
    <w:p w14:paraId="2399F0D6" w14:textId="5D25083E" w:rsidR="0004610B" w:rsidRPr="00826752" w:rsidRDefault="00D61338" w:rsidP="00826752">
      <w:pPr>
        <w:spacing w:before="120" w:after="120" w:line="340" w:lineRule="atLeast"/>
        <w:rPr>
          <w:rFonts w:ascii="Arial" w:hAnsi="Arial" w:cs="Arial"/>
          <w:bCs/>
        </w:rPr>
      </w:pPr>
      <w:r w:rsidRPr="00826752">
        <w:rPr>
          <w:rFonts w:ascii="Arial" w:hAnsi="Arial" w:cs="Arial"/>
          <w:bCs/>
        </w:rPr>
        <w:t xml:space="preserve">W porównaniu z prognozą z etapu ustawy budżetowej na </w:t>
      </w:r>
      <w:r w:rsidR="005E2CEF">
        <w:rPr>
          <w:rFonts w:ascii="Arial" w:hAnsi="Arial" w:cs="Arial"/>
          <w:bCs/>
        </w:rPr>
        <w:t xml:space="preserve">rok </w:t>
      </w:r>
      <w:r w:rsidRPr="00826752">
        <w:rPr>
          <w:rFonts w:ascii="Arial" w:hAnsi="Arial" w:cs="Arial"/>
          <w:bCs/>
        </w:rPr>
        <w:t>2024, podwyższono prognozowane dochody podatkowe z podatku od gier o 300.000 tys. zł do wysokości 5.000.000 tys. zł. Przyczyną większej niż pierwotnie zakładano prognozy podatku jest m.in. zaobserwowana wyższa dynamika deklarowanych wpływów podatkowych z tego tytułu w</w:t>
      </w:r>
      <w:r w:rsidR="00F865C8">
        <w:rPr>
          <w:rFonts w:ascii="Arial" w:hAnsi="Arial" w:cs="Arial"/>
          <w:bCs/>
        </w:rPr>
        <w:t> </w:t>
      </w:r>
      <w:r w:rsidRPr="00826752">
        <w:rPr>
          <w:rFonts w:ascii="Arial" w:hAnsi="Arial" w:cs="Arial"/>
          <w:bCs/>
        </w:rPr>
        <w:t>okresie styczeń</w:t>
      </w:r>
      <w:r w:rsidR="00B51250">
        <w:rPr>
          <w:rFonts w:ascii="Arial" w:hAnsi="Arial" w:cs="Arial"/>
          <w:bCs/>
        </w:rPr>
        <w:t>–</w:t>
      </w:r>
      <w:r w:rsidRPr="00826752">
        <w:rPr>
          <w:rFonts w:ascii="Arial" w:hAnsi="Arial" w:cs="Arial"/>
          <w:bCs/>
        </w:rPr>
        <w:t>wrzesień 2024 r.</w:t>
      </w:r>
    </w:p>
    <w:p w14:paraId="722CD6B6" w14:textId="77777777" w:rsidR="00D61338" w:rsidRPr="00826752" w:rsidRDefault="00D61338" w:rsidP="00826752">
      <w:pPr>
        <w:spacing w:before="360" w:after="120" w:line="340" w:lineRule="atLeast"/>
        <w:rPr>
          <w:rFonts w:ascii="Arial" w:hAnsi="Arial" w:cs="Arial"/>
          <w:b/>
          <w:u w:val="single"/>
        </w:rPr>
      </w:pPr>
      <w:r w:rsidRPr="00826752">
        <w:rPr>
          <w:rFonts w:ascii="Arial" w:hAnsi="Arial" w:cs="Arial"/>
          <w:b/>
          <w:u w:val="single"/>
        </w:rPr>
        <w:t>Podatek od wydobycia niektórych kopalin</w:t>
      </w:r>
    </w:p>
    <w:p w14:paraId="58C9F825" w14:textId="6E32178A" w:rsidR="00D61338" w:rsidRPr="00F865C8" w:rsidRDefault="00D61338" w:rsidP="00826752">
      <w:pPr>
        <w:spacing w:before="120" w:after="120" w:line="340" w:lineRule="atLeast"/>
        <w:rPr>
          <w:rFonts w:ascii="Arial" w:hAnsi="Arial" w:cs="Arial"/>
          <w:bCs/>
          <w:spacing w:val="2"/>
        </w:rPr>
      </w:pPr>
      <w:r w:rsidRPr="00F865C8">
        <w:rPr>
          <w:rFonts w:ascii="Arial" w:hAnsi="Arial" w:cs="Arial"/>
          <w:bCs/>
          <w:spacing w:val="2"/>
        </w:rPr>
        <w:t>Uwzględniając obecne wykonanie dochodów z podatku od wydobycia niektórych kopalin (3</w:t>
      </w:r>
      <w:r w:rsidR="00F865C8">
        <w:rPr>
          <w:rFonts w:ascii="Arial" w:hAnsi="Arial" w:cs="Arial"/>
          <w:bCs/>
          <w:spacing w:val="2"/>
        </w:rPr>
        <w:t> </w:t>
      </w:r>
      <w:r w:rsidRPr="00F865C8">
        <w:rPr>
          <w:rFonts w:ascii="Arial" w:hAnsi="Arial" w:cs="Arial"/>
          <w:bCs/>
          <w:spacing w:val="2"/>
        </w:rPr>
        <w:t xml:space="preserve">mld zł wg danych wstępnych za 9 miesięcy br.) oraz zakładając utrzymanie się obecnego trendu dochodów do końca 2024 roku, szacuje się, że wykonanie na koniec roku </w:t>
      </w:r>
      <w:r w:rsidRPr="00F865C8">
        <w:rPr>
          <w:rFonts w:ascii="Arial" w:hAnsi="Arial" w:cs="Arial"/>
          <w:bCs/>
          <w:spacing w:val="2"/>
        </w:rPr>
        <w:lastRenderedPageBreak/>
        <w:t xml:space="preserve">będzie wyższe o 200.000 tys. zł w porównaniu do ustawy budżetowej na </w:t>
      </w:r>
      <w:r w:rsidR="005E2CEF">
        <w:rPr>
          <w:rFonts w:ascii="Arial" w:hAnsi="Arial" w:cs="Arial"/>
          <w:bCs/>
          <w:spacing w:val="2"/>
        </w:rPr>
        <w:t xml:space="preserve">rok </w:t>
      </w:r>
      <w:r w:rsidRPr="00F865C8">
        <w:rPr>
          <w:rFonts w:ascii="Arial" w:hAnsi="Arial" w:cs="Arial"/>
          <w:bCs/>
          <w:spacing w:val="2"/>
        </w:rPr>
        <w:t>2024, tj.</w:t>
      </w:r>
      <w:r w:rsidR="00206C6E">
        <w:rPr>
          <w:rFonts w:ascii="Arial" w:hAnsi="Arial" w:cs="Arial"/>
          <w:bCs/>
          <w:spacing w:val="2"/>
        </w:rPr>
        <w:t> </w:t>
      </w:r>
      <w:r w:rsidRPr="00F865C8">
        <w:rPr>
          <w:rFonts w:ascii="Arial" w:hAnsi="Arial" w:cs="Arial"/>
          <w:bCs/>
          <w:spacing w:val="2"/>
        </w:rPr>
        <w:t>wyniesie 3.900.000 tys. zł.</w:t>
      </w:r>
    </w:p>
    <w:p w14:paraId="57417975" w14:textId="77777777" w:rsidR="00D61338" w:rsidRPr="00826752" w:rsidRDefault="00D61338" w:rsidP="00826752">
      <w:pPr>
        <w:spacing w:before="360" w:after="120" w:line="340" w:lineRule="atLeast"/>
        <w:rPr>
          <w:rFonts w:ascii="Arial" w:hAnsi="Arial" w:cs="Arial"/>
          <w:b/>
          <w:u w:val="single"/>
        </w:rPr>
      </w:pPr>
      <w:r w:rsidRPr="00826752">
        <w:rPr>
          <w:rFonts w:ascii="Arial" w:hAnsi="Arial" w:cs="Arial"/>
          <w:b/>
          <w:u w:val="single"/>
        </w:rPr>
        <w:t>Podatek od sprzedaży detalicznej</w:t>
      </w:r>
    </w:p>
    <w:p w14:paraId="05DD6B6D" w14:textId="12BDF2A3" w:rsidR="00D61338" w:rsidRPr="00826752" w:rsidRDefault="00D61338" w:rsidP="00826752">
      <w:pPr>
        <w:spacing w:before="120" w:after="120" w:line="340" w:lineRule="atLeast"/>
        <w:rPr>
          <w:rFonts w:ascii="Arial" w:hAnsi="Arial" w:cs="Arial"/>
          <w:bCs/>
        </w:rPr>
      </w:pPr>
      <w:r w:rsidRPr="00826752">
        <w:rPr>
          <w:rFonts w:ascii="Arial" w:hAnsi="Arial" w:cs="Arial"/>
          <w:bCs/>
        </w:rPr>
        <w:t>Przewiduje się, że dochody z podatku od sprzedaży detalicznej w 2024 r. wyniosą 4.342.460</w:t>
      </w:r>
      <w:r w:rsidR="00511D62">
        <w:rPr>
          <w:rFonts w:ascii="Arial" w:hAnsi="Arial" w:cs="Arial"/>
          <w:bCs/>
        </w:rPr>
        <w:t> </w:t>
      </w:r>
      <w:r w:rsidRPr="00826752">
        <w:rPr>
          <w:rFonts w:ascii="Arial" w:hAnsi="Arial" w:cs="Arial"/>
          <w:bCs/>
        </w:rPr>
        <w:t xml:space="preserve">tys. zł, tj. mniej o 287.540 tys. zł (6,2%) w porównaniu do ustawy budżetowej na </w:t>
      </w:r>
      <w:r w:rsidR="005E2CEF">
        <w:rPr>
          <w:rFonts w:ascii="Arial" w:hAnsi="Arial" w:cs="Arial"/>
          <w:bCs/>
        </w:rPr>
        <w:t xml:space="preserve">rok </w:t>
      </w:r>
      <w:r w:rsidRPr="00826752">
        <w:rPr>
          <w:rFonts w:ascii="Arial" w:hAnsi="Arial" w:cs="Arial"/>
          <w:bCs/>
        </w:rPr>
        <w:t>2024. Prognoza uwzględnia dotychczasowe wykonanie dochodów z tego tytułu oraz fakt, że w</w:t>
      </w:r>
      <w:r w:rsidR="00F865C8">
        <w:rPr>
          <w:rFonts w:ascii="Arial" w:hAnsi="Arial" w:cs="Arial"/>
          <w:bCs/>
        </w:rPr>
        <w:t> </w:t>
      </w:r>
      <w:r w:rsidRPr="00826752">
        <w:rPr>
          <w:rFonts w:ascii="Arial" w:hAnsi="Arial" w:cs="Arial"/>
          <w:bCs/>
        </w:rPr>
        <w:t xml:space="preserve">obecnym roku wzrost cen dóbr i usług konsumpcyjnych będzie niższy niż pierwotnie planowano. </w:t>
      </w:r>
    </w:p>
    <w:p w14:paraId="1A6EF9FC" w14:textId="77777777" w:rsidR="00D61338" w:rsidRPr="001B1BEB" w:rsidRDefault="00D61338" w:rsidP="001B1BEB">
      <w:pPr>
        <w:spacing w:before="360" w:after="120" w:line="340" w:lineRule="atLeast"/>
        <w:rPr>
          <w:rFonts w:ascii="Arial" w:hAnsi="Arial" w:cs="Arial"/>
          <w:b/>
          <w:u w:val="single"/>
        </w:rPr>
      </w:pPr>
      <w:r w:rsidRPr="001B1BEB">
        <w:rPr>
          <w:rFonts w:ascii="Arial" w:hAnsi="Arial" w:cs="Arial"/>
          <w:b/>
          <w:u w:val="single"/>
        </w:rPr>
        <w:t xml:space="preserve">Dochody niepodatkowe </w:t>
      </w:r>
    </w:p>
    <w:p w14:paraId="2E78F3AB" w14:textId="77777777" w:rsidR="00D61338" w:rsidRPr="009C44A9" w:rsidRDefault="00D61338" w:rsidP="00D61338">
      <w:pPr>
        <w:spacing w:before="360"/>
        <w:rPr>
          <w:rFonts w:ascii="Arial" w:hAnsi="Arial" w:cs="Arial"/>
          <w:bCs/>
        </w:rPr>
      </w:pPr>
      <w:r w:rsidRPr="009C44A9">
        <w:rPr>
          <w:rFonts w:ascii="Arial" w:hAnsi="Arial" w:cs="Arial"/>
          <w:bCs/>
        </w:rPr>
        <w:t>Dochody niepodatkowe ulęgają zmianie w następujących tytułach:</w:t>
      </w:r>
    </w:p>
    <w:p w14:paraId="7128A6A8" w14:textId="75E478AA" w:rsidR="00D61338" w:rsidRPr="009C44A9" w:rsidRDefault="00D61338" w:rsidP="00433FDD">
      <w:pPr>
        <w:pStyle w:val="Akapitzlist"/>
        <w:numPr>
          <w:ilvl w:val="0"/>
          <w:numId w:val="7"/>
        </w:numPr>
        <w:spacing w:before="360"/>
        <w:rPr>
          <w:rFonts w:cs="Arial"/>
          <w:bCs/>
        </w:rPr>
      </w:pPr>
      <w:r w:rsidRPr="009C44A9">
        <w:rPr>
          <w:rFonts w:cs="Arial"/>
          <w:bCs/>
        </w:rPr>
        <w:t>dywidendy i wpłaty z zysku</w:t>
      </w:r>
    </w:p>
    <w:p w14:paraId="3F8E7C6F" w14:textId="77777777" w:rsidR="00D61338" w:rsidRPr="009C44A9" w:rsidRDefault="00D61338" w:rsidP="009C44A9">
      <w:pPr>
        <w:spacing w:before="120" w:after="120" w:line="340" w:lineRule="atLeast"/>
        <w:rPr>
          <w:rFonts w:ascii="Arial" w:hAnsi="Arial" w:cs="Arial"/>
          <w:bCs/>
        </w:rPr>
      </w:pPr>
      <w:r w:rsidRPr="009C44A9">
        <w:rPr>
          <w:rFonts w:ascii="Arial" w:hAnsi="Arial" w:cs="Arial"/>
          <w:bCs/>
        </w:rPr>
        <w:t>W zakresie dochodów budżetu państwa z tytułu dywidend dokonano aktualizacji przewidywanych kwot wpłat od spółek z udziałem Skarbu Państwa. Prognozuje się, że wykonanie dochodów z dywidend w 2024 r. wyniesie 3.854.275 tys. zł i będzie wyższe niż określono na etapie ustawy budżetowej na 2024 r. o ok. 25,5%. Wzrost planowanych dochodów wynika głównie ze zrealizowanej wpłaty przez PKO B.P. S.A. na poziomie wyższym w stosunku do zakładanej.</w:t>
      </w:r>
    </w:p>
    <w:p w14:paraId="58487C79" w14:textId="1C12011A" w:rsidR="00D61338" w:rsidRPr="009C44A9" w:rsidRDefault="00D61338" w:rsidP="009C44A9">
      <w:pPr>
        <w:spacing w:before="120" w:after="120" w:line="340" w:lineRule="atLeast"/>
        <w:rPr>
          <w:rFonts w:ascii="Arial" w:hAnsi="Arial" w:cs="Arial"/>
          <w:bCs/>
        </w:rPr>
      </w:pPr>
      <w:r w:rsidRPr="009C44A9">
        <w:rPr>
          <w:rFonts w:ascii="Arial" w:hAnsi="Arial" w:cs="Arial"/>
          <w:bCs/>
        </w:rPr>
        <w:t xml:space="preserve">W obecnej prognozie uwzględniono także nieplanowaną w ustawie budżetowej na </w:t>
      </w:r>
      <w:r w:rsidR="005E2CEF">
        <w:rPr>
          <w:rFonts w:ascii="Arial" w:hAnsi="Arial" w:cs="Arial"/>
          <w:bCs/>
        </w:rPr>
        <w:t xml:space="preserve">rok </w:t>
      </w:r>
      <w:r w:rsidRPr="009C44A9">
        <w:rPr>
          <w:rFonts w:ascii="Arial" w:hAnsi="Arial" w:cs="Arial"/>
          <w:bCs/>
        </w:rPr>
        <w:t>2024 wpłatę z Banku Gospodarstwa Krajowego.</w:t>
      </w:r>
    </w:p>
    <w:p w14:paraId="6FDC191A" w14:textId="3324EF3A" w:rsidR="00D61338" w:rsidRPr="009C44A9" w:rsidRDefault="00D61338" w:rsidP="00433FDD">
      <w:pPr>
        <w:pStyle w:val="Akapitzlist"/>
        <w:numPr>
          <w:ilvl w:val="0"/>
          <w:numId w:val="7"/>
        </w:numPr>
        <w:spacing w:before="360"/>
        <w:jc w:val="left"/>
        <w:rPr>
          <w:rFonts w:cs="Arial"/>
          <w:bCs/>
        </w:rPr>
      </w:pPr>
      <w:r w:rsidRPr="009C44A9">
        <w:rPr>
          <w:rFonts w:cs="Arial"/>
          <w:bCs/>
        </w:rPr>
        <w:t>wpłaty z zysku</w:t>
      </w:r>
      <w:r w:rsidR="00BB7D59">
        <w:rPr>
          <w:rFonts w:cs="Arial"/>
          <w:bCs/>
        </w:rPr>
        <w:t xml:space="preserve"> z</w:t>
      </w:r>
      <w:r w:rsidRPr="009C44A9">
        <w:rPr>
          <w:rFonts w:cs="Arial"/>
          <w:bCs/>
        </w:rPr>
        <w:t xml:space="preserve"> NBP</w:t>
      </w:r>
    </w:p>
    <w:p w14:paraId="69BBF0E8" w14:textId="7DBDACD7" w:rsidR="00D61338" w:rsidRPr="009C44A9" w:rsidRDefault="00D61338" w:rsidP="009C44A9">
      <w:pPr>
        <w:spacing w:before="120" w:after="120" w:line="340" w:lineRule="atLeast"/>
        <w:rPr>
          <w:rFonts w:ascii="Arial" w:hAnsi="Arial" w:cs="Arial"/>
          <w:bCs/>
        </w:rPr>
      </w:pPr>
      <w:r w:rsidRPr="009C44A9">
        <w:rPr>
          <w:rFonts w:ascii="Arial" w:hAnsi="Arial" w:cs="Arial"/>
          <w:bCs/>
        </w:rPr>
        <w:t xml:space="preserve">W przypadku dochodów niepodatkowych głównymi powodami oczekiwanej niższej ich realizacji jest brak planowanej przez </w:t>
      </w:r>
      <w:r w:rsidR="005E2CEF" w:rsidRPr="009C44A9">
        <w:rPr>
          <w:rFonts w:ascii="Arial" w:hAnsi="Arial" w:cs="Arial"/>
          <w:bCs/>
        </w:rPr>
        <w:t xml:space="preserve">Narodowy Bank Polski </w:t>
      </w:r>
      <w:r w:rsidR="005E2CEF">
        <w:rPr>
          <w:rFonts w:ascii="Arial" w:hAnsi="Arial" w:cs="Arial"/>
          <w:bCs/>
        </w:rPr>
        <w:t>(</w:t>
      </w:r>
      <w:r w:rsidRPr="009C44A9">
        <w:rPr>
          <w:rFonts w:ascii="Arial" w:hAnsi="Arial" w:cs="Arial"/>
          <w:bCs/>
        </w:rPr>
        <w:t>NBP</w:t>
      </w:r>
      <w:r w:rsidR="005E2CEF">
        <w:rPr>
          <w:rFonts w:ascii="Arial" w:hAnsi="Arial" w:cs="Arial"/>
          <w:bCs/>
        </w:rPr>
        <w:t>)</w:t>
      </w:r>
      <w:r w:rsidRPr="009C44A9">
        <w:rPr>
          <w:rFonts w:ascii="Arial" w:hAnsi="Arial" w:cs="Arial"/>
          <w:bCs/>
        </w:rPr>
        <w:t xml:space="preserve"> wpłaty z zysku (6 mld zł). Pomimo przedstawionej przez NBP informacji o wpłacie zysku NBP do budżetu, </w:t>
      </w:r>
      <w:r w:rsidR="005E2CEF">
        <w:rPr>
          <w:rFonts w:ascii="Arial" w:hAnsi="Arial" w:cs="Arial"/>
          <w:bCs/>
        </w:rPr>
        <w:t xml:space="preserve">NBP </w:t>
      </w:r>
      <w:r w:rsidRPr="009C44A9">
        <w:rPr>
          <w:rFonts w:ascii="Arial" w:hAnsi="Arial" w:cs="Arial"/>
          <w:bCs/>
        </w:rPr>
        <w:t xml:space="preserve">nie dokonał wpłaty z uwagi na ujemny wynik finansowy, który wyniósł za 2023 r. 20.800.024,0 tys. zł. </w:t>
      </w:r>
    </w:p>
    <w:p w14:paraId="6A15D4DD" w14:textId="443EBF42" w:rsidR="00D61338" w:rsidRPr="009C44A9" w:rsidRDefault="00D61338" w:rsidP="00433FDD">
      <w:pPr>
        <w:pStyle w:val="Akapitzlist"/>
        <w:numPr>
          <w:ilvl w:val="0"/>
          <w:numId w:val="7"/>
        </w:numPr>
        <w:spacing w:before="360"/>
        <w:rPr>
          <w:rFonts w:cs="Arial"/>
          <w:bCs/>
        </w:rPr>
      </w:pPr>
      <w:r w:rsidRPr="009C44A9">
        <w:rPr>
          <w:rFonts w:cs="Arial"/>
          <w:bCs/>
        </w:rPr>
        <w:t>cło</w:t>
      </w:r>
    </w:p>
    <w:p w14:paraId="3D91F39F" w14:textId="0A5FACAF" w:rsidR="005E2CEF" w:rsidRPr="00395399" w:rsidRDefault="00D61338" w:rsidP="009C44A9">
      <w:pPr>
        <w:spacing w:before="120" w:after="120" w:line="340" w:lineRule="atLeast"/>
        <w:rPr>
          <w:rFonts w:ascii="Arial" w:hAnsi="Arial" w:cs="Arial"/>
          <w:bCs/>
          <w:spacing w:val="4"/>
        </w:rPr>
      </w:pPr>
      <w:r w:rsidRPr="00395399">
        <w:rPr>
          <w:rFonts w:ascii="Arial" w:hAnsi="Arial" w:cs="Arial"/>
          <w:bCs/>
          <w:spacing w:val="4"/>
        </w:rPr>
        <w:t xml:space="preserve">Prognozuje się, że niższe w porównaniu z ustawą budżetową na </w:t>
      </w:r>
      <w:r w:rsidR="005E2CEF">
        <w:rPr>
          <w:rFonts w:ascii="Arial" w:hAnsi="Arial" w:cs="Arial"/>
          <w:bCs/>
          <w:spacing w:val="4"/>
        </w:rPr>
        <w:t xml:space="preserve">rok </w:t>
      </w:r>
      <w:r w:rsidRPr="00395399">
        <w:rPr>
          <w:rFonts w:ascii="Arial" w:hAnsi="Arial" w:cs="Arial"/>
          <w:bCs/>
          <w:spacing w:val="4"/>
        </w:rPr>
        <w:t>2024 będą dochody z</w:t>
      </w:r>
      <w:r w:rsidR="00395399">
        <w:rPr>
          <w:rFonts w:ascii="Arial" w:hAnsi="Arial" w:cs="Arial"/>
          <w:bCs/>
          <w:spacing w:val="4"/>
        </w:rPr>
        <w:t> </w:t>
      </w:r>
      <w:r w:rsidRPr="00395399">
        <w:rPr>
          <w:rFonts w:ascii="Arial" w:hAnsi="Arial" w:cs="Arial"/>
          <w:bCs/>
          <w:spacing w:val="4"/>
        </w:rPr>
        <w:t>cła. Przewidywane wykonanie dochodów z cła w 2024 r. wyniesie 6.849.000 tys. zł i</w:t>
      </w:r>
      <w:r w:rsidR="00395399">
        <w:rPr>
          <w:rFonts w:ascii="Arial" w:hAnsi="Arial" w:cs="Arial"/>
          <w:bCs/>
          <w:spacing w:val="4"/>
        </w:rPr>
        <w:t> </w:t>
      </w:r>
      <w:r w:rsidRPr="00395399">
        <w:rPr>
          <w:rFonts w:ascii="Arial" w:hAnsi="Arial" w:cs="Arial"/>
          <w:bCs/>
          <w:spacing w:val="4"/>
        </w:rPr>
        <w:t xml:space="preserve">będzie niższe o 20,9% od kwoty zaplanowanej w ustawie budżetowej na </w:t>
      </w:r>
      <w:r w:rsidR="005E2CEF">
        <w:rPr>
          <w:rFonts w:ascii="Arial" w:hAnsi="Arial" w:cs="Arial"/>
          <w:bCs/>
          <w:spacing w:val="4"/>
        </w:rPr>
        <w:t xml:space="preserve">rok </w:t>
      </w:r>
      <w:r w:rsidRPr="00395399">
        <w:rPr>
          <w:rFonts w:ascii="Arial" w:hAnsi="Arial" w:cs="Arial"/>
          <w:bCs/>
          <w:spacing w:val="4"/>
        </w:rPr>
        <w:t>2024 (8.659.000 tys. zł).</w:t>
      </w:r>
    </w:p>
    <w:p w14:paraId="7203AC74" w14:textId="77777777" w:rsidR="00D61338" w:rsidRPr="009C44A9" w:rsidRDefault="00D61338" w:rsidP="00E63BC8">
      <w:pPr>
        <w:spacing w:before="120" w:after="120" w:line="340" w:lineRule="atLeast"/>
        <w:rPr>
          <w:rFonts w:ascii="Arial" w:hAnsi="Arial" w:cs="Arial"/>
          <w:bCs/>
        </w:rPr>
      </w:pPr>
      <w:r w:rsidRPr="009C44A9">
        <w:rPr>
          <w:rFonts w:ascii="Arial" w:hAnsi="Arial" w:cs="Arial"/>
          <w:bCs/>
        </w:rPr>
        <w:t>Prognozowany w 2024 r. spadek dochodów z cła wynika z przyjętych, zgodnych z projekcją makroekonomiczną, następujących wskaźników, które determinują dochody z cła:</w:t>
      </w:r>
    </w:p>
    <w:p w14:paraId="11FBC638" w14:textId="7961F3B5" w:rsidR="00D61338" w:rsidRPr="009C44A9" w:rsidRDefault="00D61338" w:rsidP="00433FDD">
      <w:pPr>
        <w:pStyle w:val="Akapitzlist"/>
        <w:numPr>
          <w:ilvl w:val="0"/>
          <w:numId w:val="8"/>
        </w:numPr>
        <w:spacing w:before="120" w:after="0"/>
        <w:ind w:left="425" w:hanging="425"/>
        <w:contextualSpacing w:val="0"/>
        <w:rPr>
          <w:rFonts w:cs="Arial"/>
          <w:bCs/>
        </w:rPr>
      </w:pPr>
      <w:r w:rsidRPr="009C44A9">
        <w:rPr>
          <w:rFonts w:cs="Arial"/>
          <w:bCs/>
        </w:rPr>
        <w:lastRenderedPageBreak/>
        <w:t xml:space="preserve">prognozowany import spoza obszaru krajów Unii Europejskiej </w:t>
      </w:r>
      <w:r w:rsidR="00D14661">
        <w:rPr>
          <w:rFonts w:cs="Arial"/>
          <w:bCs/>
        </w:rPr>
        <w:t>–</w:t>
      </w:r>
      <w:r w:rsidRPr="009C44A9">
        <w:rPr>
          <w:rFonts w:cs="Arial"/>
          <w:bCs/>
        </w:rPr>
        <w:t xml:space="preserve"> 176</w:t>
      </w:r>
      <w:r w:rsidR="00D14661">
        <w:rPr>
          <w:rFonts w:cs="Arial"/>
          <w:bCs/>
        </w:rPr>
        <w:t>.</w:t>
      </w:r>
      <w:r w:rsidRPr="009C44A9">
        <w:rPr>
          <w:rFonts w:cs="Arial"/>
          <w:bCs/>
        </w:rPr>
        <w:t>316 mln EUR,</w:t>
      </w:r>
    </w:p>
    <w:p w14:paraId="02F0115D" w14:textId="62ED26E4" w:rsidR="00D61338" w:rsidRPr="009C44A9" w:rsidRDefault="00D61338" w:rsidP="00433FDD">
      <w:pPr>
        <w:pStyle w:val="Akapitzlist"/>
        <w:numPr>
          <w:ilvl w:val="0"/>
          <w:numId w:val="8"/>
        </w:numPr>
        <w:spacing w:before="120" w:after="0"/>
        <w:ind w:left="425" w:hanging="425"/>
        <w:contextualSpacing w:val="0"/>
        <w:rPr>
          <w:rFonts w:cs="Arial"/>
          <w:bCs/>
        </w:rPr>
      </w:pPr>
      <w:r w:rsidRPr="009C44A9">
        <w:rPr>
          <w:rFonts w:cs="Arial"/>
          <w:bCs/>
        </w:rPr>
        <w:t>średni kurs złotego – 4,30 PLN/EUR,</w:t>
      </w:r>
    </w:p>
    <w:p w14:paraId="4ED6C70B" w14:textId="71ACC3E3" w:rsidR="00D61338" w:rsidRPr="009C44A9" w:rsidRDefault="00D61338" w:rsidP="00433FDD">
      <w:pPr>
        <w:pStyle w:val="Akapitzlist"/>
        <w:numPr>
          <w:ilvl w:val="0"/>
          <w:numId w:val="8"/>
        </w:numPr>
        <w:spacing w:before="120" w:after="0"/>
        <w:ind w:left="425" w:hanging="425"/>
        <w:contextualSpacing w:val="0"/>
        <w:rPr>
          <w:rFonts w:cs="Arial"/>
          <w:bCs/>
        </w:rPr>
      </w:pPr>
      <w:r w:rsidRPr="009C44A9">
        <w:rPr>
          <w:rFonts w:cs="Arial"/>
          <w:bCs/>
        </w:rPr>
        <w:t>stawka celna na poziomie 0,90%.</w:t>
      </w:r>
    </w:p>
    <w:p w14:paraId="209EDBEC" w14:textId="454425F6" w:rsidR="00D61338" w:rsidRPr="009C44A9" w:rsidRDefault="00D61338" w:rsidP="00433FDD">
      <w:pPr>
        <w:pStyle w:val="Akapitzlist"/>
        <w:numPr>
          <w:ilvl w:val="0"/>
          <w:numId w:val="7"/>
        </w:numPr>
        <w:spacing w:before="360"/>
        <w:ind w:left="357" w:hanging="357"/>
        <w:contextualSpacing w:val="0"/>
        <w:rPr>
          <w:rFonts w:cs="Arial"/>
          <w:bCs/>
        </w:rPr>
      </w:pPr>
      <w:r w:rsidRPr="009C44A9">
        <w:rPr>
          <w:rFonts w:cs="Arial"/>
          <w:bCs/>
        </w:rPr>
        <w:t>dochody z tytułu sprzedaży uprawnień do emisji gazów cieplarnianych</w:t>
      </w:r>
    </w:p>
    <w:p w14:paraId="0967BEEF" w14:textId="137069BA" w:rsidR="00D61338" w:rsidRPr="009C44A9" w:rsidRDefault="00D61338" w:rsidP="009C44A9">
      <w:pPr>
        <w:spacing w:before="120" w:after="120" w:line="340" w:lineRule="atLeast"/>
        <w:rPr>
          <w:rFonts w:ascii="Arial" w:hAnsi="Arial" w:cs="Arial"/>
          <w:bCs/>
        </w:rPr>
      </w:pPr>
      <w:r w:rsidRPr="009C44A9">
        <w:rPr>
          <w:rFonts w:ascii="Arial" w:hAnsi="Arial" w:cs="Arial"/>
          <w:bCs/>
        </w:rPr>
        <w:t>Dochody budżetu państwa ze sprzedaży uprawnień do emisji będą niższe od planowanych w</w:t>
      </w:r>
      <w:r w:rsidR="00F865C8">
        <w:rPr>
          <w:rFonts w:ascii="Arial" w:hAnsi="Arial" w:cs="Arial"/>
          <w:bCs/>
        </w:rPr>
        <w:t> </w:t>
      </w:r>
      <w:r w:rsidRPr="009C44A9">
        <w:rPr>
          <w:rFonts w:ascii="Arial" w:hAnsi="Arial" w:cs="Arial"/>
          <w:bCs/>
        </w:rPr>
        <w:t xml:space="preserve">ustawie budżetowej na </w:t>
      </w:r>
      <w:r w:rsidR="005E2CEF">
        <w:rPr>
          <w:rFonts w:ascii="Arial" w:hAnsi="Arial" w:cs="Arial"/>
          <w:bCs/>
        </w:rPr>
        <w:t xml:space="preserve">rok </w:t>
      </w:r>
      <w:r w:rsidRPr="009C44A9">
        <w:rPr>
          <w:rFonts w:ascii="Arial" w:hAnsi="Arial" w:cs="Arial"/>
          <w:bCs/>
        </w:rPr>
        <w:t>2024 o ok. 8,8 mld zł z uwagi na to, że średnia ważona cena uprawnień do emisji na aukcjach w okresie styczeń-wrzesień zarówno w walucie oryginalnej – euro – jak i w złotych była znacząco niższa od wartości przyjętej na etapie planowania ustawy budżetowej. Różnica ta w złotych przekracza 1/3. Nie ma też przesłanek, aby w</w:t>
      </w:r>
      <w:r w:rsidR="00F865C8">
        <w:rPr>
          <w:rFonts w:ascii="Arial" w:hAnsi="Arial" w:cs="Arial"/>
          <w:bCs/>
        </w:rPr>
        <w:t> </w:t>
      </w:r>
      <w:r w:rsidRPr="009C44A9">
        <w:rPr>
          <w:rFonts w:ascii="Arial" w:hAnsi="Arial" w:cs="Arial"/>
          <w:bCs/>
        </w:rPr>
        <w:t>pozostałym do końca roku okresie cena ta ulec miała znaczącemu wzrostowi.</w:t>
      </w:r>
    </w:p>
    <w:p w14:paraId="6C149443" w14:textId="07A69129" w:rsidR="00D61338" w:rsidRPr="009C44A9" w:rsidRDefault="00D61338" w:rsidP="00433FDD">
      <w:pPr>
        <w:pStyle w:val="Akapitzlist"/>
        <w:numPr>
          <w:ilvl w:val="0"/>
          <w:numId w:val="7"/>
        </w:numPr>
        <w:spacing w:before="360"/>
        <w:rPr>
          <w:rFonts w:cs="Arial"/>
          <w:bCs/>
        </w:rPr>
      </w:pPr>
      <w:r w:rsidRPr="009C44A9">
        <w:rPr>
          <w:rFonts w:cs="Arial"/>
          <w:bCs/>
        </w:rPr>
        <w:t>dochody z obsługi długu Skarbu Państwa</w:t>
      </w:r>
    </w:p>
    <w:p w14:paraId="6C88CC71" w14:textId="5A94C83B" w:rsidR="00D61338" w:rsidRPr="009C44A9" w:rsidRDefault="00D61338" w:rsidP="009C44A9">
      <w:pPr>
        <w:spacing w:before="120" w:after="120" w:line="340" w:lineRule="atLeast"/>
        <w:rPr>
          <w:rFonts w:ascii="Arial" w:hAnsi="Arial" w:cs="Arial"/>
          <w:bCs/>
        </w:rPr>
      </w:pPr>
      <w:r w:rsidRPr="009C44A9">
        <w:rPr>
          <w:rFonts w:ascii="Arial" w:hAnsi="Arial" w:cs="Arial"/>
          <w:bCs/>
        </w:rPr>
        <w:t xml:space="preserve">Aktualna prognoza dochodów z obsługi długu Skarbu Państwa przewiduje wpływy wyższe niż planowano na etapie ustawy budżetowej na </w:t>
      </w:r>
      <w:r w:rsidR="005E2CEF">
        <w:rPr>
          <w:rFonts w:ascii="Arial" w:hAnsi="Arial" w:cs="Arial"/>
          <w:bCs/>
        </w:rPr>
        <w:t xml:space="preserve">rok </w:t>
      </w:r>
      <w:r w:rsidRPr="009C44A9">
        <w:rPr>
          <w:rFonts w:ascii="Arial" w:hAnsi="Arial" w:cs="Arial"/>
          <w:bCs/>
        </w:rPr>
        <w:t>2024 o 1.573.552 tys. zł. Zwiększenie prognozy jest wypadkową zmniejszenia dochodów w części krajowej (dostosowanie struktury sprzedawanych skarbowych papierów wartościowych do bieżącej sytuacji rynkowej i</w:t>
      </w:r>
      <w:r w:rsidR="00F865C8">
        <w:rPr>
          <w:rFonts w:ascii="Arial" w:hAnsi="Arial" w:cs="Arial"/>
          <w:bCs/>
        </w:rPr>
        <w:t> </w:t>
      </w:r>
      <w:r w:rsidRPr="009C44A9">
        <w:rPr>
          <w:rFonts w:ascii="Arial" w:hAnsi="Arial" w:cs="Arial"/>
          <w:bCs/>
        </w:rPr>
        <w:t>budżetowej) oraz zwiększenia w części zagranicznej (wyższy poziom środków na rachunku walutowym).</w:t>
      </w:r>
    </w:p>
    <w:p w14:paraId="5717FFDD" w14:textId="643C9856" w:rsidR="00D61338" w:rsidRPr="009C44A9" w:rsidRDefault="00D61338" w:rsidP="00433FDD">
      <w:pPr>
        <w:pStyle w:val="Akapitzlist"/>
        <w:numPr>
          <w:ilvl w:val="0"/>
          <w:numId w:val="7"/>
        </w:numPr>
        <w:spacing w:before="360"/>
        <w:rPr>
          <w:rFonts w:cs="Arial"/>
          <w:bCs/>
        </w:rPr>
      </w:pPr>
      <w:r w:rsidRPr="009C44A9">
        <w:rPr>
          <w:rFonts w:cs="Arial"/>
          <w:bCs/>
        </w:rPr>
        <w:t xml:space="preserve">dochody Urzędu Komunikacji Elektronicznej (UKE) z tytułu m.in. wpływów z dystrybucji częstotliwości </w:t>
      </w:r>
    </w:p>
    <w:p w14:paraId="1F348866" w14:textId="5525DFA2" w:rsidR="000B666B" w:rsidRPr="009C44A9" w:rsidRDefault="00D61338" w:rsidP="00F865C8">
      <w:pPr>
        <w:spacing w:before="120" w:after="120" w:line="340" w:lineRule="atLeast"/>
        <w:rPr>
          <w:rFonts w:ascii="Arial" w:hAnsi="Arial" w:cs="Arial"/>
          <w:bCs/>
        </w:rPr>
      </w:pPr>
      <w:r w:rsidRPr="009C44A9">
        <w:rPr>
          <w:rFonts w:ascii="Arial" w:hAnsi="Arial" w:cs="Arial"/>
          <w:bCs/>
        </w:rPr>
        <w:t>Zmianie uległy planowane przez Urząd Komunikacji Elektronicznej dochody z tytułu dystrybucji częstotliwości. Zmniejszenie o 1.802.997 tys. zł jest wynikiem przesunięcia na 2025 r. planowanych wpływów z aukcji częstotliwości z pasma 700 MHz (2.313.187 tys. zł) oraz pasma 800 MHz (914.000 tys. zł). Dodatkowo uwzględniono uzyskane w 2024 r. nieplanowane dochody z tytułu aukcji częstotliwości z pasma 3400-3800 MHz (1.424.190</w:t>
      </w:r>
      <w:r w:rsidR="0039679E">
        <w:rPr>
          <w:rFonts w:ascii="Arial" w:hAnsi="Arial" w:cs="Arial"/>
          <w:bCs/>
        </w:rPr>
        <w:t> </w:t>
      </w:r>
      <w:r w:rsidRPr="009C44A9">
        <w:rPr>
          <w:rFonts w:ascii="Arial" w:hAnsi="Arial" w:cs="Arial"/>
          <w:bCs/>
        </w:rPr>
        <w:t>tys. zł). Dochody z tego tytułu ujęte były w planie dochodów na rok 2023 i zostały częściowo zrealizowane w 2024 r. w przywołanej wysokości.</w:t>
      </w:r>
    </w:p>
    <w:p w14:paraId="1DFA06F1" w14:textId="6D8D49FF" w:rsidR="00D61338" w:rsidRPr="009C44A9" w:rsidRDefault="00D61338" w:rsidP="00433FDD">
      <w:pPr>
        <w:pStyle w:val="Akapitzlist"/>
        <w:numPr>
          <w:ilvl w:val="0"/>
          <w:numId w:val="7"/>
        </w:numPr>
        <w:spacing w:before="360"/>
        <w:rPr>
          <w:rFonts w:cs="Arial"/>
          <w:bCs/>
        </w:rPr>
      </w:pPr>
      <w:r w:rsidRPr="009C44A9">
        <w:rPr>
          <w:rFonts w:cs="Arial"/>
          <w:bCs/>
        </w:rPr>
        <w:t>dochody w c</w:t>
      </w:r>
      <w:r w:rsidR="008610B1">
        <w:rPr>
          <w:rFonts w:cs="Arial"/>
          <w:bCs/>
        </w:rPr>
        <w:t>zęści</w:t>
      </w:r>
      <w:r w:rsidRPr="009C44A9">
        <w:rPr>
          <w:rFonts w:cs="Arial"/>
          <w:bCs/>
        </w:rPr>
        <w:t xml:space="preserve"> 33 – Rozwój wsi </w:t>
      </w:r>
    </w:p>
    <w:p w14:paraId="57F939C5" w14:textId="4E5AEB97" w:rsidR="00D61338" w:rsidRPr="009C44A9" w:rsidRDefault="00D61338" w:rsidP="009C44A9">
      <w:pPr>
        <w:spacing w:before="120" w:after="120" w:line="340" w:lineRule="atLeast"/>
        <w:rPr>
          <w:rFonts w:ascii="Arial" w:hAnsi="Arial" w:cs="Arial"/>
          <w:bCs/>
        </w:rPr>
      </w:pPr>
      <w:r w:rsidRPr="009C44A9">
        <w:rPr>
          <w:rFonts w:ascii="Arial" w:hAnsi="Arial" w:cs="Arial"/>
          <w:bCs/>
        </w:rPr>
        <w:t xml:space="preserve">Dochody planowane w </w:t>
      </w:r>
      <w:r w:rsidR="008610B1">
        <w:rPr>
          <w:rFonts w:ascii="Arial" w:hAnsi="Arial" w:cs="Arial"/>
          <w:bCs/>
        </w:rPr>
        <w:t>części</w:t>
      </w:r>
      <w:r w:rsidRPr="009C44A9">
        <w:rPr>
          <w:rFonts w:ascii="Arial" w:hAnsi="Arial" w:cs="Arial"/>
          <w:bCs/>
        </w:rPr>
        <w:t xml:space="preserve"> 33 uległy zwiększeniu o kwotę 1.777.239 tys. zł, w związku z</w:t>
      </w:r>
      <w:r w:rsidR="00F865C8">
        <w:rPr>
          <w:rFonts w:ascii="Arial" w:hAnsi="Arial" w:cs="Arial"/>
          <w:bCs/>
        </w:rPr>
        <w:t> </w:t>
      </w:r>
      <w:r w:rsidRPr="009C44A9">
        <w:rPr>
          <w:rFonts w:ascii="Arial" w:hAnsi="Arial" w:cs="Arial"/>
          <w:bCs/>
        </w:rPr>
        <w:t>przekazaniem do budżetu państwa, w wysokości wyższej niż planowano, nadwyżki środków finansowych przez Krajowy Ośrodek Wsparcia Rolnictwa wraz z Zasobem Własności Rolnej Skarbu Państwa, na po</w:t>
      </w:r>
      <w:r w:rsidR="0082778F">
        <w:rPr>
          <w:rFonts w:ascii="Arial" w:hAnsi="Arial" w:cs="Arial"/>
          <w:bCs/>
        </w:rPr>
        <w:t>d</w:t>
      </w:r>
      <w:r w:rsidRPr="009C44A9">
        <w:rPr>
          <w:rFonts w:ascii="Arial" w:hAnsi="Arial" w:cs="Arial"/>
          <w:bCs/>
        </w:rPr>
        <w:t>stawie art. 22 ustawy z dnia 27 sierpnia 2009 r. o</w:t>
      </w:r>
      <w:r w:rsidR="00F865C8">
        <w:rPr>
          <w:rFonts w:ascii="Arial" w:hAnsi="Arial" w:cs="Arial"/>
          <w:bCs/>
        </w:rPr>
        <w:t> </w:t>
      </w:r>
      <w:r w:rsidRPr="009C44A9">
        <w:rPr>
          <w:rFonts w:ascii="Arial" w:hAnsi="Arial" w:cs="Arial"/>
          <w:bCs/>
        </w:rPr>
        <w:t>finansach publicznych oraz art. 20 ust. 5c ustawy z dnia 19 października 1991 r. o</w:t>
      </w:r>
      <w:r w:rsidR="00F865C8">
        <w:rPr>
          <w:rFonts w:ascii="Arial" w:hAnsi="Arial" w:cs="Arial"/>
          <w:bCs/>
        </w:rPr>
        <w:t> </w:t>
      </w:r>
      <w:r w:rsidRPr="009C44A9">
        <w:rPr>
          <w:rFonts w:ascii="Arial" w:hAnsi="Arial" w:cs="Arial"/>
          <w:bCs/>
        </w:rPr>
        <w:t>gospodarowaniu nieruchomościami rolnymi Skarbu Państwa</w:t>
      </w:r>
      <w:r w:rsidR="005E2CEF">
        <w:rPr>
          <w:rFonts w:ascii="Arial" w:hAnsi="Arial" w:cs="Arial"/>
          <w:bCs/>
        </w:rPr>
        <w:t xml:space="preserve"> (Dz. U. z 2024 r. poz. 589, z </w:t>
      </w:r>
      <w:r w:rsidR="005E2CEF">
        <w:rPr>
          <w:rFonts w:ascii="Arial" w:hAnsi="Arial" w:cs="Arial"/>
          <w:bCs/>
        </w:rPr>
        <w:lastRenderedPageBreak/>
        <w:t>późn. zm.)</w:t>
      </w:r>
      <w:r w:rsidRPr="009C44A9">
        <w:rPr>
          <w:rFonts w:ascii="Arial" w:hAnsi="Arial" w:cs="Arial"/>
          <w:bCs/>
        </w:rPr>
        <w:t>. Dochody z tego tytułu ujęte zostały w planie dochodów na 2024 r. w kwocie 30.000 tys. zł.</w:t>
      </w:r>
    </w:p>
    <w:p w14:paraId="0F2A1D07" w14:textId="41559A60" w:rsidR="00D61338" w:rsidRPr="009C44A9" w:rsidRDefault="00894B03" w:rsidP="00433FDD">
      <w:pPr>
        <w:pStyle w:val="Akapitzlist"/>
        <w:numPr>
          <w:ilvl w:val="0"/>
          <w:numId w:val="7"/>
        </w:numPr>
        <w:spacing w:before="360"/>
        <w:rPr>
          <w:rFonts w:cs="Arial"/>
          <w:bCs/>
        </w:rPr>
      </w:pPr>
      <w:r>
        <w:rPr>
          <w:rFonts w:cs="Arial"/>
          <w:bCs/>
        </w:rPr>
        <w:t>o</w:t>
      </w:r>
      <w:r w:rsidR="00D61338" w:rsidRPr="009C44A9">
        <w:rPr>
          <w:rFonts w:cs="Arial"/>
          <w:bCs/>
        </w:rPr>
        <w:t>dsetki od lokat</w:t>
      </w:r>
    </w:p>
    <w:p w14:paraId="1A28EBF5" w14:textId="61E1C66B" w:rsidR="00D61338" w:rsidRPr="009C44A9" w:rsidRDefault="00D61338" w:rsidP="009C44A9">
      <w:pPr>
        <w:spacing w:before="120" w:after="120" w:line="340" w:lineRule="atLeast"/>
        <w:rPr>
          <w:rFonts w:ascii="Arial" w:hAnsi="Arial" w:cs="Arial"/>
          <w:bCs/>
        </w:rPr>
      </w:pPr>
      <w:r w:rsidRPr="009C44A9">
        <w:rPr>
          <w:rFonts w:ascii="Arial" w:hAnsi="Arial" w:cs="Arial"/>
          <w:bCs/>
        </w:rPr>
        <w:t>Dokonano aktualizacji prognozy dochodów z tytułu odsetek od lokat wolnych środków budżetowych. Kwoty odsetek od lokat ujęte w planie finansowym szacowane były na podstawie analizy danych z lat poprzednich oraz wskaźników makroekonomicznych. Znacznie wyższe wykonanie planu dochodów z tytułu odsetek od lokat terminowych wynika z</w:t>
      </w:r>
      <w:r w:rsidR="006E4C68">
        <w:rPr>
          <w:rFonts w:ascii="Arial" w:hAnsi="Arial" w:cs="Arial"/>
          <w:bCs/>
        </w:rPr>
        <w:t> </w:t>
      </w:r>
      <w:r w:rsidRPr="009C44A9">
        <w:rPr>
          <w:rFonts w:ascii="Arial" w:hAnsi="Arial" w:cs="Arial"/>
          <w:bCs/>
        </w:rPr>
        <w:t>większej ilości wolnych środków dostępnych na centralnym rachunku bieżącym budżetu państwa oraz obowiązujących stóp procentowych ustalanych przez Radę Polityki Pieniężnej Narodowego Banku Polskiego, które nie uległy zmianie od 5 października 2023 r.</w:t>
      </w:r>
    </w:p>
    <w:p w14:paraId="2EF0E8F3" w14:textId="60AC98E1" w:rsidR="00D61338" w:rsidRPr="009C44A9" w:rsidRDefault="00894B03" w:rsidP="00433FDD">
      <w:pPr>
        <w:pStyle w:val="Akapitzlist"/>
        <w:numPr>
          <w:ilvl w:val="0"/>
          <w:numId w:val="7"/>
        </w:numPr>
        <w:spacing w:before="360"/>
        <w:rPr>
          <w:rFonts w:cs="Arial"/>
          <w:bCs/>
        </w:rPr>
      </w:pPr>
      <w:r>
        <w:rPr>
          <w:rFonts w:cs="Arial"/>
          <w:bCs/>
        </w:rPr>
        <w:t>w</w:t>
      </w:r>
      <w:r w:rsidR="00D61338" w:rsidRPr="009C44A9">
        <w:rPr>
          <w:rFonts w:cs="Arial"/>
          <w:bCs/>
        </w:rPr>
        <w:t>pływy z odsetek od nieterminowych wpłat z tytułu podatków i opłat oraz nieterminowe rozliczenia</w:t>
      </w:r>
    </w:p>
    <w:p w14:paraId="48C1F9DC" w14:textId="70BA2191" w:rsidR="00D61338" w:rsidRDefault="00D61338" w:rsidP="009C44A9">
      <w:pPr>
        <w:spacing w:before="120" w:after="120" w:line="340" w:lineRule="atLeast"/>
        <w:rPr>
          <w:rFonts w:ascii="Arial" w:hAnsi="Arial" w:cs="Arial"/>
          <w:bCs/>
        </w:rPr>
      </w:pPr>
      <w:r w:rsidRPr="009C44A9">
        <w:rPr>
          <w:rFonts w:ascii="Arial" w:hAnsi="Arial" w:cs="Arial"/>
          <w:bCs/>
        </w:rPr>
        <w:t>Dokonano aktualizacji prognozy wpłat z tytułu odsetek od nieterminowych wpłat z tytułu podatków i opłat. Przyczyną niższej niż pierwotnie zakładano prognozy wpłat z odsetek jest m.in. zaobserwowana wyższa dynamika odsetek od nieterminowych rozliczeń, płaconych przez urzędy obsługujące organy podatkowe w okresie styczeń</w:t>
      </w:r>
      <w:r w:rsidR="00B51250">
        <w:rPr>
          <w:rFonts w:ascii="Arial" w:hAnsi="Arial" w:cs="Arial"/>
          <w:bCs/>
        </w:rPr>
        <w:t>–</w:t>
      </w:r>
      <w:r w:rsidRPr="009C44A9">
        <w:rPr>
          <w:rFonts w:ascii="Arial" w:hAnsi="Arial" w:cs="Arial"/>
          <w:bCs/>
        </w:rPr>
        <w:t>sierpień 2024 r.</w:t>
      </w:r>
    </w:p>
    <w:p w14:paraId="7CA24468" w14:textId="130BA39B" w:rsidR="00894B03" w:rsidRDefault="00894B03" w:rsidP="009C44A9">
      <w:pPr>
        <w:spacing w:before="120" w:after="120" w:line="340" w:lineRule="atLeast"/>
        <w:rPr>
          <w:rFonts w:ascii="Arial" w:hAnsi="Arial" w:cs="Arial"/>
          <w:bCs/>
        </w:rPr>
      </w:pPr>
    </w:p>
    <w:p w14:paraId="40903F76" w14:textId="737554BD" w:rsidR="00894B03" w:rsidRDefault="00894B03" w:rsidP="009C44A9">
      <w:pPr>
        <w:spacing w:before="120" w:after="120" w:line="340" w:lineRule="atLeast"/>
        <w:rPr>
          <w:noProof/>
        </w:rPr>
      </w:pPr>
      <w:r>
        <w:rPr>
          <w:rFonts w:ascii="Arial" w:hAnsi="Arial" w:cs="Arial"/>
          <w:bCs/>
        </w:rPr>
        <w:lastRenderedPageBreak/>
        <w:t>Tabela. Dochody budżetu państwa w 2024 r.</w:t>
      </w:r>
      <w:r w:rsidR="00E3385B" w:rsidRPr="00E3385B">
        <w:t xml:space="preserve"> </w:t>
      </w:r>
      <w:r w:rsidR="00E3385B" w:rsidRPr="00E3385B">
        <w:rPr>
          <w:noProof/>
        </w:rPr>
        <w:drawing>
          <wp:inline distT="0" distB="0" distL="0" distR="0" wp14:anchorId="3103B2E3" wp14:editId="49106E96">
            <wp:extent cx="5760720" cy="5313045"/>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5313045"/>
                    </a:xfrm>
                    <a:prstGeom prst="rect">
                      <a:avLst/>
                    </a:prstGeom>
                    <a:noFill/>
                    <a:ln>
                      <a:noFill/>
                    </a:ln>
                  </pic:spPr>
                </pic:pic>
              </a:graphicData>
            </a:graphic>
          </wp:inline>
        </w:drawing>
      </w:r>
      <w:r w:rsidR="00F24CD2" w:rsidRPr="00F24CD2">
        <w:rPr>
          <w:noProof/>
        </w:rPr>
        <w:t xml:space="preserve"> </w:t>
      </w:r>
    </w:p>
    <w:p w14:paraId="7AEFFBBC" w14:textId="77777777" w:rsidR="00E3385B" w:rsidRDefault="00E3385B" w:rsidP="009C44A9">
      <w:pPr>
        <w:spacing w:before="120" w:after="120" w:line="340" w:lineRule="atLeast"/>
      </w:pPr>
    </w:p>
    <w:p w14:paraId="6876138B" w14:textId="118F785B" w:rsidR="006B0A02" w:rsidRDefault="006B0A02" w:rsidP="009C44A9">
      <w:pPr>
        <w:spacing w:before="120" w:after="120" w:line="340" w:lineRule="atLeast"/>
      </w:pPr>
    </w:p>
    <w:p w14:paraId="26496DE5" w14:textId="4D1B5CCA" w:rsidR="006B0A02" w:rsidRDefault="006B0A02" w:rsidP="009C44A9">
      <w:pPr>
        <w:spacing w:before="120" w:after="120" w:line="340" w:lineRule="atLeast"/>
        <w:rPr>
          <w:noProof/>
        </w:rPr>
      </w:pPr>
    </w:p>
    <w:p w14:paraId="2ADB1364" w14:textId="4F6DA150" w:rsidR="00495F31" w:rsidRDefault="00495F31" w:rsidP="009C44A9">
      <w:pPr>
        <w:spacing w:before="120" w:after="120" w:line="340" w:lineRule="atLeast"/>
        <w:rPr>
          <w:rFonts w:ascii="Arial" w:hAnsi="Arial" w:cs="Arial"/>
          <w:bCs/>
        </w:rPr>
      </w:pPr>
    </w:p>
    <w:p w14:paraId="13EF9582" w14:textId="0F6C5AAA" w:rsidR="00894B03" w:rsidRDefault="00894B03" w:rsidP="009C44A9">
      <w:pPr>
        <w:spacing w:before="120" w:after="120" w:line="340" w:lineRule="atLeast"/>
        <w:rPr>
          <w:rFonts w:ascii="Arial" w:hAnsi="Arial" w:cs="Arial"/>
          <w:bCs/>
        </w:rPr>
      </w:pPr>
    </w:p>
    <w:p w14:paraId="4ADEDE09" w14:textId="62F8D489" w:rsidR="00F24CD2" w:rsidRDefault="00F24CD2" w:rsidP="009C44A9">
      <w:pPr>
        <w:spacing w:before="120" w:after="120" w:line="340" w:lineRule="atLeast"/>
        <w:rPr>
          <w:rFonts w:ascii="Arial" w:hAnsi="Arial" w:cs="Arial"/>
          <w:bCs/>
        </w:rPr>
      </w:pPr>
    </w:p>
    <w:p w14:paraId="7EFE80BB" w14:textId="049D7488" w:rsidR="00F24CD2" w:rsidRDefault="00F24CD2" w:rsidP="009C44A9">
      <w:pPr>
        <w:spacing w:before="120" w:after="120" w:line="340" w:lineRule="atLeast"/>
        <w:rPr>
          <w:rFonts w:ascii="Arial" w:hAnsi="Arial" w:cs="Arial"/>
          <w:bCs/>
        </w:rPr>
      </w:pPr>
    </w:p>
    <w:p w14:paraId="278C3CC8" w14:textId="4A04810C" w:rsidR="00F24CD2" w:rsidRDefault="00F24CD2" w:rsidP="009C44A9">
      <w:pPr>
        <w:spacing w:before="120" w:after="120" w:line="340" w:lineRule="atLeast"/>
        <w:rPr>
          <w:rFonts w:ascii="Arial" w:hAnsi="Arial" w:cs="Arial"/>
          <w:bCs/>
        </w:rPr>
      </w:pPr>
    </w:p>
    <w:p w14:paraId="29D792A3" w14:textId="4E21328F" w:rsidR="00F24CD2" w:rsidRDefault="00F24CD2" w:rsidP="009C44A9">
      <w:pPr>
        <w:spacing w:before="120" w:after="120" w:line="340" w:lineRule="atLeast"/>
        <w:rPr>
          <w:rFonts w:ascii="Arial" w:hAnsi="Arial" w:cs="Arial"/>
          <w:bCs/>
        </w:rPr>
      </w:pPr>
    </w:p>
    <w:p w14:paraId="543F0EE6" w14:textId="0C5C2B2B" w:rsidR="00495F31" w:rsidRDefault="00495F31" w:rsidP="009C44A9">
      <w:pPr>
        <w:spacing w:before="120" w:after="120" w:line="340" w:lineRule="atLeast"/>
        <w:rPr>
          <w:rFonts w:ascii="Arial" w:hAnsi="Arial" w:cs="Arial"/>
          <w:bCs/>
        </w:rPr>
      </w:pPr>
    </w:p>
    <w:p w14:paraId="46F0BE41" w14:textId="77777777" w:rsidR="006B0A02" w:rsidRPr="009C44A9" w:rsidRDefault="006B0A02" w:rsidP="009C44A9">
      <w:pPr>
        <w:spacing w:before="120" w:after="120" w:line="340" w:lineRule="atLeast"/>
        <w:rPr>
          <w:rFonts w:ascii="Arial" w:hAnsi="Arial" w:cs="Arial"/>
          <w:bCs/>
        </w:rPr>
      </w:pPr>
    </w:p>
    <w:p w14:paraId="6AA5D8D1" w14:textId="5839B743" w:rsidR="00BF6610" w:rsidRPr="003E1B9F" w:rsidRDefault="00ED4B3F" w:rsidP="00433FDD">
      <w:pPr>
        <w:pStyle w:val="Akapitzlist"/>
        <w:numPr>
          <w:ilvl w:val="0"/>
          <w:numId w:val="2"/>
        </w:numPr>
        <w:spacing w:before="360"/>
        <w:ind w:left="425" w:hanging="425"/>
        <w:contextualSpacing w:val="0"/>
        <w:rPr>
          <w:rFonts w:cs="Arial"/>
          <w:b/>
          <w:sz w:val="24"/>
          <w:szCs w:val="24"/>
        </w:rPr>
      </w:pPr>
      <w:r w:rsidRPr="003E1B9F">
        <w:rPr>
          <w:rFonts w:cs="Arial"/>
          <w:b/>
          <w:sz w:val="24"/>
          <w:szCs w:val="24"/>
        </w:rPr>
        <w:lastRenderedPageBreak/>
        <w:t>Wydatki budżetu państwa w 202</w:t>
      </w:r>
      <w:r w:rsidR="009E36FE" w:rsidRPr="003E1B9F">
        <w:rPr>
          <w:rFonts w:cs="Arial"/>
          <w:b/>
          <w:sz w:val="24"/>
          <w:szCs w:val="24"/>
        </w:rPr>
        <w:t>4</w:t>
      </w:r>
      <w:r w:rsidR="003B6004" w:rsidRPr="003E1B9F">
        <w:rPr>
          <w:rFonts w:cs="Arial"/>
          <w:b/>
          <w:sz w:val="24"/>
          <w:szCs w:val="24"/>
        </w:rPr>
        <w:t xml:space="preserve"> r.</w:t>
      </w:r>
    </w:p>
    <w:p w14:paraId="0C19DBF8" w14:textId="0B292081" w:rsidR="00161B02" w:rsidRPr="00894B03" w:rsidRDefault="00161B02" w:rsidP="00894B03">
      <w:pPr>
        <w:spacing w:before="120" w:after="120" w:line="340" w:lineRule="atLeast"/>
        <w:rPr>
          <w:rFonts w:ascii="Arial" w:hAnsi="Arial" w:cs="Arial"/>
          <w:bCs/>
        </w:rPr>
      </w:pPr>
      <w:r w:rsidRPr="00B21CFB">
        <w:rPr>
          <w:rFonts w:ascii="Arial" w:hAnsi="Arial" w:cs="Arial"/>
          <w:bCs/>
        </w:rPr>
        <w:t xml:space="preserve">W ustawie </w:t>
      </w:r>
      <w:r w:rsidR="005E2CEF">
        <w:rPr>
          <w:rFonts w:ascii="Arial" w:hAnsi="Arial" w:cs="Arial"/>
          <w:bCs/>
        </w:rPr>
        <w:t xml:space="preserve">budżetowej </w:t>
      </w:r>
      <w:r w:rsidRPr="00B21CFB">
        <w:rPr>
          <w:rFonts w:ascii="Arial" w:hAnsi="Arial" w:cs="Arial"/>
          <w:bCs/>
        </w:rPr>
        <w:t>na rok 2024, wydatki budżetu państwa zaplanowane zostały w wysokości 866.375.747 tys. zł. Projekt nowelizacji zakłada jedynie przesunięcia pomiędzy poszczególnymi częściami budżetowymi w ramach tej samej łącznej kwoty</w:t>
      </w:r>
      <w:r w:rsidR="009F6C8D" w:rsidRPr="00B21CFB">
        <w:rPr>
          <w:rFonts w:ascii="Arial" w:hAnsi="Arial" w:cs="Arial"/>
          <w:bCs/>
        </w:rPr>
        <w:t xml:space="preserve"> wydatków budżetu państwa</w:t>
      </w:r>
      <w:r w:rsidRPr="00B21CFB">
        <w:rPr>
          <w:rFonts w:ascii="Arial" w:hAnsi="Arial" w:cs="Arial"/>
          <w:bCs/>
        </w:rPr>
        <w:t>. Zmiany prezentuje poniższa tabela.</w:t>
      </w:r>
    </w:p>
    <w:tbl>
      <w:tblPr>
        <w:tblW w:w="9067" w:type="dxa"/>
        <w:tblCellMar>
          <w:left w:w="70" w:type="dxa"/>
          <w:right w:w="70" w:type="dxa"/>
        </w:tblCellMar>
        <w:tblLook w:val="04A0" w:firstRow="1" w:lastRow="0" w:firstColumn="1" w:lastColumn="0" w:noHBand="0" w:noVBand="1"/>
      </w:tblPr>
      <w:tblGrid>
        <w:gridCol w:w="363"/>
        <w:gridCol w:w="4877"/>
        <w:gridCol w:w="1276"/>
        <w:gridCol w:w="1276"/>
        <w:gridCol w:w="1275"/>
      </w:tblGrid>
      <w:tr w:rsidR="00F24475" w:rsidRPr="00FC6261" w14:paraId="2BB65D64" w14:textId="77777777" w:rsidTr="00F865C8">
        <w:trPr>
          <w:trHeight w:val="566"/>
          <w:tblHeader/>
        </w:trPr>
        <w:tc>
          <w:tcPr>
            <w:tcW w:w="52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D93E5" w14:textId="77777777" w:rsidR="00F24475" w:rsidRPr="00FC6261" w:rsidRDefault="00F24475" w:rsidP="003F22B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Część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A5FA6A2" w14:textId="0A4CBCA9" w:rsidR="00F24475" w:rsidRPr="00FC6261" w:rsidRDefault="00F24475" w:rsidP="003F22B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 xml:space="preserve">Ustawa budżetowa </w:t>
            </w:r>
            <w:r w:rsidRPr="003F2A4B">
              <w:rPr>
                <w:rFonts w:ascii="Arial" w:eastAsia="Times New Roman" w:hAnsi="Arial" w:cs="Arial"/>
                <w:sz w:val="18"/>
                <w:szCs w:val="18"/>
                <w:lang w:eastAsia="pl-PL"/>
              </w:rPr>
              <w:t>202</w:t>
            </w:r>
            <w:r w:rsidR="009E36FE">
              <w:rPr>
                <w:rFonts w:ascii="Arial" w:eastAsia="Times New Roman" w:hAnsi="Arial" w:cs="Arial"/>
                <w:sz w:val="18"/>
                <w:szCs w:val="18"/>
                <w:lang w:eastAsia="pl-PL"/>
              </w:rPr>
              <w:t>4</w:t>
            </w:r>
            <w:r w:rsidRPr="00FC6261">
              <w:rPr>
                <w:rFonts w:ascii="Arial" w:eastAsia="Times New Roman" w:hAnsi="Arial" w:cs="Arial"/>
                <w:sz w:val="18"/>
                <w:szCs w:val="18"/>
                <w:lang w:eastAsia="pl-PL"/>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2888B03" w14:textId="77777777" w:rsidR="00F24475" w:rsidRPr="00FC6261" w:rsidRDefault="00F24475" w:rsidP="003F22B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Zmiana</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B49DD2A" w14:textId="1FFEEEE4" w:rsidR="00F24475" w:rsidRPr="00FC6261" w:rsidRDefault="00F24475" w:rsidP="003F22B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Projekt nowelizacji 202</w:t>
            </w:r>
            <w:r w:rsidR="009E36FE">
              <w:rPr>
                <w:rFonts w:ascii="Arial" w:eastAsia="Times New Roman" w:hAnsi="Arial" w:cs="Arial"/>
                <w:sz w:val="18"/>
                <w:szCs w:val="18"/>
                <w:lang w:eastAsia="pl-PL"/>
              </w:rPr>
              <w:t>4</w:t>
            </w:r>
          </w:p>
        </w:tc>
      </w:tr>
      <w:tr w:rsidR="00F24475" w:rsidRPr="00FC6261" w14:paraId="41E20CDF" w14:textId="77777777" w:rsidTr="00F865C8">
        <w:trPr>
          <w:trHeight w:val="137"/>
          <w:tblHeader/>
        </w:trPr>
        <w:tc>
          <w:tcPr>
            <w:tcW w:w="5240" w:type="dxa"/>
            <w:gridSpan w:val="2"/>
            <w:vMerge/>
            <w:tcBorders>
              <w:top w:val="single" w:sz="4" w:space="0" w:color="auto"/>
              <w:left w:val="single" w:sz="4" w:space="0" w:color="auto"/>
              <w:bottom w:val="single" w:sz="4" w:space="0" w:color="auto"/>
              <w:right w:val="single" w:sz="4" w:space="0" w:color="auto"/>
            </w:tcBorders>
            <w:vAlign w:val="center"/>
            <w:hideMark/>
          </w:tcPr>
          <w:p w14:paraId="0E298399" w14:textId="77777777" w:rsidR="00F24475" w:rsidRPr="00FC6261" w:rsidRDefault="00F24475" w:rsidP="003F22BD">
            <w:pPr>
              <w:spacing w:after="0" w:line="240" w:lineRule="auto"/>
              <w:rPr>
                <w:rFonts w:ascii="Arial" w:eastAsia="Times New Roman" w:hAnsi="Arial" w:cs="Arial"/>
                <w:sz w:val="18"/>
                <w:szCs w:val="18"/>
                <w:lang w:eastAsia="pl-PL"/>
              </w:rPr>
            </w:pP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69AA35E2" w14:textId="77777777" w:rsidR="00F24475" w:rsidRPr="00FC6261" w:rsidRDefault="00F24475" w:rsidP="003F22BD">
            <w:pPr>
              <w:spacing w:after="0" w:line="240" w:lineRule="auto"/>
              <w:jc w:val="center"/>
              <w:rPr>
                <w:rFonts w:ascii="Arial" w:eastAsia="Times New Roman" w:hAnsi="Arial" w:cs="Arial"/>
                <w:i/>
                <w:iCs/>
                <w:sz w:val="18"/>
                <w:szCs w:val="18"/>
                <w:lang w:eastAsia="pl-PL"/>
              </w:rPr>
            </w:pPr>
            <w:r w:rsidRPr="00FC6261">
              <w:rPr>
                <w:rFonts w:ascii="Arial" w:eastAsia="Times New Roman" w:hAnsi="Arial" w:cs="Arial"/>
                <w:i/>
                <w:iCs/>
                <w:sz w:val="18"/>
                <w:szCs w:val="18"/>
                <w:lang w:eastAsia="pl-PL"/>
              </w:rPr>
              <w:t>w tys. zł</w:t>
            </w:r>
          </w:p>
        </w:tc>
      </w:tr>
      <w:tr w:rsidR="00F24475" w:rsidRPr="00FC6261" w14:paraId="6D75ACF8" w14:textId="77777777" w:rsidTr="003F22BD">
        <w:trPr>
          <w:trHeight w:val="161"/>
          <w:tblHeader/>
        </w:trPr>
        <w:tc>
          <w:tcPr>
            <w:tcW w:w="5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14A4D3" w14:textId="77777777" w:rsidR="00F24475" w:rsidRPr="00FC6261" w:rsidRDefault="00F24475" w:rsidP="003F22BD">
            <w:pPr>
              <w:spacing w:before="20" w:after="0" w:line="240" w:lineRule="auto"/>
              <w:jc w:val="center"/>
              <w:rPr>
                <w:rFonts w:ascii="Arial" w:eastAsia="Times New Roman" w:hAnsi="Arial" w:cs="Arial"/>
                <w:i/>
                <w:iCs/>
                <w:sz w:val="16"/>
                <w:szCs w:val="16"/>
                <w:lang w:eastAsia="pl-PL"/>
              </w:rPr>
            </w:pPr>
            <w:r w:rsidRPr="00FC6261">
              <w:rPr>
                <w:rFonts w:ascii="Arial" w:eastAsia="Times New Roman" w:hAnsi="Arial" w:cs="Arial"/>
                <w:i/>
                <w:iCs/>
                <w:sz w:val="16"/>
                <w:szCs w:val="16"/>
                <w:lang w:eastAsia="pl-PL"/>
              </w:rPr>
              <w:t>1</w:t>
            </w:r>
          </w:p>
        </w:tc>
        <w:tc>
          <w:tcPr>
            <w:tcW w:w="1276" w:type="dxa"/>
            <w:tcBorders>
              <w:top w:val="nil"/>
              <w:left w:val="nil"/>
              <w:bottom w:val="single" w:sz="4" w:space="0" w:color="auto"/>
              <w:right w:val="single" w:sz="4" w:space="0" w:color="auto"/>
            </w:tcBorders>
            <w:shd w:val="clear" w:color="auto" w:fill="auto"/>
            <w:vAlign w:val="center"/>
            <w:hideMark/>
          </w:tcPr>
          <w:p w14:paraId="6B03F603" w14:textId="77777777" w:rsidR="00F24475" w:rsidRPr="00FC6261" w:rsidRDefault="00F24475" w:rsidP="003F22BD">
            <w:pPr>
              <w:spacing w:before="20" w:after="0" w:line="240" w:lineRule="auto"/>
              <w:jc w:val="center"/>
              <w:rPr>
                <w:rFonts w:ascii="Arial" w:eastAsia="Times New Roman" w:hAnsi="Arial" w:cs="Arial"/>
                <w:i/>
                <w:iCs/>
                <w:sz w:val="16"/>
                <w:szCs w:val="16"/>
                <w:lang w:eastAsia="pl-PL"/>
              </w:rPr>
            </w:pPr>
            <w:r w:rsidRPr="00FC6261">
              <w:rPr>
                <w:rFonts w:ascii="Arial" w:eastAsia="Times New Roman" w:hAnsi="Arial" w:cs="Arial"/>
                <w:i/>
                <w:iCs/>
                <w:sz w:val="16"/>
                <w:szCs w:val="16"/>
                <w:lang w:eastAsia="pl-PL"/>
              </w:rPr>
              <w:t>2</w:t>
            </w:r>
          </w:p>
        </w:tc>
        <w:tc>
          <w:tcPr>
            <w:tcW w:w="1276" w:type="dxa"/>
            <w:tcBorders>
              <w:top w:val="nil"/>
              <w:left w:val="nil"/>
              <w:bottom w:val="single" w:sz="4" w:space="0" w:color="auto"/>
              <w:right w:val="single" w:sz="4" w:space="0" w:color="auto"/>
            </w:tcBorders>
            <w:shd w:val="clear" w:color="auto" w:fill="auto"/>
            <w:vAlign w:val="center"/>
            <w:hideMark/>
          </w:tcPr>
          <w:p w14:paraId="1201B63F" w14:textId="77777777" w:rsidR="00F24475" w:rsidRPr="00FC6261" w:rsidRDefault="00F24475" w:rsidP="003F22BD">
            <w:pPr>
              <w:spacing w:before="20" w:after="0" w:line="240" w:lineRule="auto"/>
              <w:jc w:val="center"/>
              <w:rPr>
                <w:rFonts w:ascii="Arial" w:eastAsia="Times New Roman" w:hAnsi="Arial" w:cs="Arial"/>
                <w:i/>
                <w:iCs/>
                <w:sz w:val="16"/>
                <w:szCs w:val="16"/>
                <w:lang w:eastAsia="pl-PL"/>
              </w:rPr>
            </w:pPr>
            <w:r w:rsidRPr="00FC6261">
              <w:rPr>
                <w:rFonts w:ascii="Arial" w:eastAsia="Times New Roman" w:hAnsi="Arial" w:cs="Arial"/>
                <w:i/>
                <w:iCs/>
                <w:sz w:val="16"/>
                <w:szCs w:val="16"/>
                <w:lang w:eastAsia="pl-PL"/>
              </w:rPr>
              <w:t>3</w:t>
            </w:r>
          </w:p>
        </w:tc>
        <w:tc>
          <w:tcPr>
            <w:tcW w:w="1275" w:type="dxa"/>
            <w:tcBorders>
              <w:top w:val="nil"/>
              <w:left w:val="nil"/>
              <w:bottom w:val="single" w:sz="4" w:space="0" w:color="auto"/>
              <w:right w:val="single" w:sz="4" w:space="0" w:color="auto"/>
            </w:tcBorders>
            <w:shd w:val="clear" w:color="auto" w:fill="auto"/>
            <w:vAlign w:val="center"/>
            <w:hideMark/>
          </w:tcPr>
          <w:p w14:paraId="66B94AC1" w14:textId="77777777" w:rsidR="00F24475" w:rsidRPr="00FC6261" w:rsidRDefault="00F24475" w:rsidP="003F22BD">
            <w:pPr>
              <w:spacing w:before="20" w:after="0" w:line="240" w:lineRule="auto"/>
              <w:jc w:val="center"/>
              <w:rPr>
                <w:rFonts w:ascii="Arial" w:eastAsia="Times New Roman" w:hAnsi="Arial" w:cs="Arial"/>
                <w:i/>
                <w:iCs/>
                <w:sz w:val="16"/>
                <w:szCs w:val="16"/>
                <w:lang w:eastAsia="pl-PL"/>
              </w:rPr>
            </w:pPr>
            <w:r w:rsidRPr="00FC6261">
              <w:rPr>
                <w:rFonts w:ascii="Arial" w:eastAsia="Times New Roman" w:hAnsi="Arial" w:cs="Arial"/>
                <w:i/>
                <w:iCs/>
                <w:sz w:val="16"/>
                <w:szCs w:val="16"/>
                <w:lang w:eastAsia="pl-PL"/>
              </w:rPr>
              <w:t>4</w:t>
            </w:r>
          </w:p>
        </w:tc>
      </w:tr>
      <w:tr w:rsidR="009A05ED" w:rsidRPr="00FC6261" w14:paraId="6399D0CA" w14:textId="77777777" w:rsidTr="009A05ED">
        <w:trPr>
          <w:trHeight w:val="405"/>
        </w:trPr>
        <w:tc>
          <w:tcPr>
            <w:tcW w:w="363" w:type="dxa"/>
            <w:tcBorders>
              <w:top w:val="nil"/>
              <w:left w:val="single" w:sz="4" w:space="0" w:color="auto"/>
              <w:bottom w:val="single" w:sz="4" w:space="0" w:color="auto"/>
              <w:right w:val="single" w:sz="4" w:space="0" w:color="auto"/>
            </w:tcBorders>
            <w:shd w:val="clear" w:color="auto" w:fill="auto"/>
            <w:vAlign w:val="center"/>
            <w:hideMark/>
          </w:tcPr>
          <w:p w14:paraId="5679A4A6" w14:textId="77777777" w:rsidR="009A05ED" w:rsidRPr="00FC6261" w:rsidRDefault="009A05ED" w:rsidP="009A05ED">
            <w:pPr>
              <w:spacing w:after="0" w:line="240" w:lineRule="auto"/>
              <w:jc w:val="center"/>
              <w:rPr>
                <w:rFonts w:ascii="Arial" w:eastAsia="Times New Roman" w:hAnsi="Arial" w:cs="Arial"/>
                <w:b/>
                <w:bCs/>
                <w:sz w:val="18"/>
                <w:szCs w:val="18"/>
                <w:lang w:eastAsia="pl-PL"/>
              </w:rPr>
            </w:pPr>
            <w:r w:rsidRPr="00FC6261">
              <w:rPr>
                <w:rFonts w:ascii="Arial" w:eastAsia="Times New Roman" w:hAnsi="Arial" w:cs="Arial"/>
                <w:b/>
                <w:bCs/>
                <w:sz w:val="18"/>
                <w:szCs w:val="18"/>
                <w:lang w:eastAsia="pl-PL"/>
              </w:rPr>
              <w:t> </w:t>
            </w:r>
          </w:p>
        </w:tc>
        <w:tc>
          <w:tcPr>
            <w:tcW w:w="4877" w:type="dxa"/>
            <w:tcBorders>
              <w:top w:val="nil"/>
              <w:left w:val="nil"/>
              <w:bottom w:val="single" w:sz="4" w:space="0" w:color="auto"/>
              <w:right w:val="single" w:sz="4" w:space="0" w:color="auto"/>
            </w:tcBorders>
            <w:shd w:val="clear" w:color="auto" w:fill="auto"/>
            <w:vAlign w:val="center"/>
            <w:hideMark/>
          </w:tcPr>
          <w:p w14:paraId="13AE4634" w14:textId="77777777" w:rsidR="009A05ED" w:rsidRPr="00FC6261" w:rsidRDefault="009A05ED" w:rsidP="009A05ED">
            <w:pPr>
              <w:spacing w:after="0" w:line="240" w:lineRule="auto"/>
              <w:rPr>
                <w:rFonts w:ascii="Arial" w:eastAsia="Times New Roman" w:hAnsi="Arial" w:cs="Arial"/>
                <w:b/>
                <w:bCs/>
                <w:sz w:val="18"/>
                <w:szCs w:val="18"/>
                <w:lang w:eastAsia="pl-PL"/>
              </w:rPr>
            </w:pPr>
            <w:r w:rsidRPr="00FC6261">
              <w:rPr>
                <w:rFonts w:ascii="Arial" w:eastAsia="Times New Roman" w:hAnsi="Arial" w:cs="Arial"/>
                <w:b/>
                <w:bCs/>
                <w:sz w:val="18"/>
                <w:szCs w:val="18"/>
                <w:lang w:eastAsia="pl-PL"/>
              </w:rPr>
              <w:t>Razem</w:t>
            </w:r>
          </w:p>
        </w:tc>
        <w:tc>
          <w:tcPr>
            <w:tcW w:w="1276" w:type="dxa"/>
            <w:tcBorders>
              <w:top w:val="nil"/>
              <w:left w:val="nil"/>
              <w:bottom w:val="single" w:sz="4" w:space="0" w:color="auto"/>
              <w:right w:val="single" w:sz="4" w:space="0" w:color="auto"/>
            </w:tcBorders>
            <w:shd w:val="clear" w:color="auto" w:fill="auto"/>
            <w:vAlign w:val="bottom"/>
          </w:tcPr>
          <w:p w14:paraId="1FC800D3" w14:textId="6089A5AC" w:rsidR="009A05ED" w:rsidRPr="009E2702" w:rsidRDefault="009A05ED" w:rsidP="009A05ED">
            <w:pPr>
              <w:spacing w:after="0" w:line="240" w:lineRule="auto"/>
              <w:jc w:val="right"/>
              <w:rPr>
                <w:rFonts w:ascii="Arial" w:eastAsia="Times New Roman" w:hAnsi="Arial" w:cs="Arial"/>
                <w:b/>
                <w:bCs/>
                <w:sz w:val="18"/>
                <w:szCs w:val="18"/>
                <w:lang w:eastAsia="pl-PL"/>
              </w:rPr>
            </w:pPr>
            <w:r w:rsidRPr="009E2702">
              <w:rPr>
                <w:rFonts w:ascii="Arial" w:hAnsi="Arial" w:cs="Arial"/>
                <w:sz w:val="18"/>
                <w:szCs w:val="18"/>
              </w:rPr>
              <w:t>866.375.747</w:t>
            </w:r>
          </w:p>
        </w:tc>
        <w:tc>
          <w:tcPr>
            <w:tcW w:w="1276" w:type="dxa"/>
            <w:tcBorders>
              <w:top w:val="nil"/>
              <w:left w:val="nil"/>
              <w:bottom w:val="single" w:sz="4" w:space="0" w:color="auto"/>
              <w:right w:val="single" w:sz="4" w:space="0" w:color="auto"/>
            </w:tcBorders>
            <w:shd w:val="clear" w:color="auto" w:fill="auto"/>
            <w:vAlign w:val="bottom"/>
          </w:tcPr>
          <w:p w14:paraId="56D46083" w14:textId="67E19D87" w:rsidR="009A05ED" w:rsidRPr="009A05ED" w:rsidRDefault="009A05ED" w:rsidP="009A05ED">
            <w:pPr>
              <w:spacing w:after="0" w:line="240" w:lineRule="auto"/>
              <w:jc w:val="right"/>
              <w:rPr>
                <w:rFonts w:ascii="Arial" w:eastAsia="Times New Roman" w:hAnsi="Arial" w:cs="Arial"/>
                <w:b/>
                <w:bCs/>
                <w:sz w:val="18"/>
                <w:szCs w:val="18"/>
                <w:lang w:eastAsia="pl-PL"/>
              </w:rPr>
            </w:pPr>
          </w:p>
        </w:tc>
        <w:tc>
          <w:tcPr>
            <w:tcW w:w="1275" w:type="dxa"/>
            <w:tcBorders>
              <w:top w:val="nil"/>
              <w:left w:val="nil"/>
              <w:bottom w:val="single" w:sz="4" w:space="0" w:color="auto"/>
              <w:right w:val="single" w:sz="4" w:space="0" w:color="auto"/>
            </w:tcBorders>
            <w:shd w:val="clear" w:color="auto" w:fill="auto"/>
            <w:vAlign w:val="bottom"/>
          </w:tcPr>
          <w:p w14:paraId="2C8774D5" w14:textId="05265D7B" w:rsidR="009A05ED" w:rsidRPr="00BB6ABC" w:rsidRDefault="003A5408" w:rsidP="009A05ED">
            <w:pPr>
              <w:spacing w:after="0" w:line="240" w:lineRule="auto"/>
              <w:jc w:val="right"/>
              <w:rPr>
                <w:rFonts w:ascii="Arial" w:eastAsia="Times New Roman" w:hAnsi="Arial" w:cs="Arial"/>
                <w:b/>
                <w:bCs/>
                <w:sz w:val="18"/>
                <w:szCs w:val="18"/>
                <w:lang w:eastAsia="pl-PL"/>
              </w:rPr>
            </w:pPr>
            <w:r w:rsidRPr="009E2702">
              <w:rPr>
                <w:rFonts w:ascii="Arial" w:hAnsi="Arial" w:cs="Arial"/>
                <w:sz w:val="18"/>
                <w:szCs w:val="18"/>
              </w:rPr>
              <w:t>866.375.747</w:t>
            </w:r>
          </w:p>
        </w:tc>
      </w:tr>
      <w:tr w:rsidR="009A05ED" w:rsidRPr="00FC6261" w14:paraId="01039C5E" w14:textId="77777777" w:rsidTr="009A05ED">
        <w:trPr>
          <w:trHeight w:val="276"/>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1EEBC52E"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01</w:t>
            </w:r>
          </w:p>
        </w:tc>
        <w:tc>
          <w:tcPr>
            <w:tcW w:w="4877" w:type="dxa"/>
            <w:tcBorders>
              <w:top w:val="nil"/>
              <w:left w:val="nil"/>
              <w:bottom w:val="single" w:sz="4" w:space="0" w:color="auto"/>
              <w:right w:val="single" w:sz="4" w:space="0" w:color="auto"/>
            </w:tcBorders>
            <w:shd w:val="clear" w:color="auto" w:fill="auto"/>
            <w:noWrap/>
            <w:vAlign w:val="center"/>
            <w:hideMark/>
          </w:tcPr>
          <w:p w14:paraId="55F8297C"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Kancelaria Prezydenta RP</w:t>
            </w:r>
          </w:p>
        </w:tc>
        <w:tc>
          <w:tcPr>
            <w:tcW w:w="1276" w:type="dxa"/>
            <w:tcBorders>
              <w:top w:val="nil"/>
              <w:left w:val="nil"/>
              <w:bottom w:val="single" w:sz="4" w:space="0" w:color="auto"/>
              <w:right w:val="single" w:sz="4" w:space="0" w:color="auto"/>
            </w:tcBorders>
            <w:shd w:val="clear" w:color="auto" w:fill="auto"/>
            <w:noWrap/>
            <w:vAlign w:val="bottom"/>
          </w:tcPr>
          <w:p w14:paraId="2C5C6798" w14:textId="1BA5B4B1"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274.281</w:t>
            </w:r>
          </w:p>
        </w:tc>
        <w:tc>
          <w:tcPr>
            <w:tcW w:w="1276" w:type="dxa"/>
            <w:tcBorders>
              <w:top w:val="nil"/>
              <w:left w:val="nil"/>
              <w:bottom w:val="single" w:sz="4" w:space="0" w:color="auto"/>
              <w:right w:val="single" w:sz="4" w:space="0" w:color="auto"/>
            </w:tcBorders>
            <w:shd w:val="clear" w:color="auto" w:fill="auto"/>
            <w:noWrap/>
            <w:vAlign w:val="bottom"/>
          </w:tcPr>
          <w:p w14:paraId="6FFEFB1F" w14:textId="556521DB"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3F4CA5A" w14:textId="06AFA804"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274.281</w:t>
            </w:r>
          </w:p>
        </w:tc>
      </w:tr>
      <w:tr w:rsidR="009A05ED" w:rsidRPr="00FC6261" w14:paraId="42C6732F" w14:textId="77777777" w:rsidTr="009A05ED">
        <w:trPr>
          <w:trHeight w:val="276"/>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02926212"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02</w:t>
            </w:r>
          </w:p>
        </w:tc>
        <w:tc>
          <w:tcPr>
            <w:tcW w:w="4877" w:type="dxa"/>
            <w:tcBorders>
              <w:top w:val="nil"/>
              <w:left w:val="nil"/>
              <w:bottom w:val="single" w:sz="4" w:space="0" w:color="auto"/>
              <w:right w:val="single" w:sz="4" w:space="0" w:color="auto"/>
            </w:tcBorders>
            <w:shd w:val="clear" w:color="auto" w:fill="auto"/>
            <w:noWrap/>
            <w:vAlign w:val="center"/>
            <w:hideMark/>
          </w:tcPr>
          <w:p w14:paraId="44C90E8D"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Kancelaria Sejmu</w:t>
            </w:r>
          </w:p>
        </w:tc>
        <w:tc>
          <w:tcPr>
            <w:tcW w:w="1276" w:type="dxa"/>
            <w:tcBorders>
              <w:top w:val="nil"/>
              <w:left w:val="nil"/>
              <w:bottom w:val="single" w:sz="4" w:space="0" w:color="auto"/>
              <w:right w:val="single" w:sz="4" w:space="0" w:color="auto"/>
            </w:tcBorders>
            <w:shd w:val="clear" w:color="auto" w:fill="auto"/>
            <w:noWrap/>
            <w:vAlign w:val="bottom"/>
          </w:tcPr>
          <w:p w14:paraId="70401D88" w14:textId="3F11B1C8"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765.283</w:t>
            </w:r>
          </w:p>
        </w:tc>
        <w:tc>
          <w:tcPr>
            <w:tcW w:w="1276" w:type="dxa"/>
            <w:tcBorders>
              <w:top w:val="nil"/>
              <w:left w:val="nil"/>
              <w:bottom w:val="single" w:sz="4" w:space="0" w:color="auto"/>
              <w:right w:val="single" w:sz="4" w:space="0" w:color="auto"/>
            </w:tcBorders>
            <w:shd w:val="clear" w:color="auto" w:fill="auto"/>
            <w:noWrap/>
            <w:vAlign w:val="bottom"/>
          </w:tcPr>
          <w:p w14:paraId="66B9E7FC" w14:textId="23D0A8ED"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50598E0" w14:textId="1BCD5887"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765.283</w:t>
            </w:r>
          </w:p>
        </w:tc>
      </w:tr>
      <w:tr w:rsidR="009A05ED" w:rsidRPr="00FC6261" w14:paraId="0673859D" w14:textId="77777777" w:rsidTr="009A05ED">
        <w:trPr>
          <w:trHeight w:val="276"/>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523DB98D"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03</w:t>
            </w:r>
          </w:p>
        </w:tc>
        <w:tc>
          <w:tcPr>
            <w:tcW w:w="4877" w:type="dxa"/>
            <w:tcBorders>
              <w:top w:val="nil"/>
              <w:left w:val="nil"/>
              <w:bottom w:val="single" w:sz="4" w:space="0" w:color="auto"/>
              <w:right w:val="single" w:sz="4" w:space="0" w:color="auto"/>
            </w:tcBorders>
            <w:shd w:val="clear" w:color="auto" w:fill="auto"/>
            <w:noWrap/>
            <w:vAlign w:val="center"/>
            <w:hideMark/>
          </w:tcPr>
          <w:p w14:paraId="25042A25"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Kancelaria Senatu</w:t>
            </w:r>
          </w:p>
        </w:tc>
        <w:tc>
          <w:tcPr>
            <w:tcW w:w="1276" w:type="dxa"/>
            <w:tcBorders>
              <w:top w:val="nil"/>
              <w:left w:val="nil"/>
              <w:bottom w:val="single" w:sz="4" w:space="0" w:color="auto"/>
              <w:right w:val="single" w:sz="4" w:space="0" w:color="auto"/>
            </w:tcBorders>
            <w:shd w:val="clear" w:color="auto" w:fill="auto"/>
            <w:noWrap/>
            <w:vAlign w:val="bottom"/>
          </w:tcPr>
          <w:p w14:paraId="2BD191B4" w14:textId="24DE2A70"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182.851</w:t>
            </w:r>
          </w:p>
        </w:tc>
        <w:tc>
          <w:tcPr>
            <w:tcW w:w="1276" w:type="dxa"/>
            <w:tcBorders>
              <w:top w:val="nil"/>
              <w:left w:val="nil"/>
              <w:bottom w:val="single" w:sz="4" w:space="0" w:color="auto"/>
              <w:right w:val="single" w:sz="4" w:space="0" w:color="auto"/>
            </w:tcBorders>
            <w:shd w:val="clear" w:color="auto" w:fill="auto"/>
            <w:noWrap/>
            <w:vAlign w:val="bottom"/>
          </w:tcPr>
          <w:p w14:paraId="21CF6C13" w14:textId="16ED41D3"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D71EBE5" w14:textId="2FC9F9ED"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182.851</w:t>
            </w:r>
          </w:p>
        </w:tc>
      </w:tr>
      <w:tr w:rsidR="009A05ED" w:rsidRPr="00FC6261" w14:paraId="53E823CE" w14:textId="77777777" w:rsidTr="009A05ED">
        <w:trPr>
          <w:trHeight w:val="276"/>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18D98E36"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04</w:t>
            </w:r>
          </w:p>
        </w:tc>
        <w:tc>
          <w:tcPr>
            <w:tcW w:w="4877" w:type="dxa"/>
            <w:tcBorders>
              <w:top w:val="nil"/>
              <w:left w:val="nil"/>
              <w:bottom w:val="single" w:sz="4" w:space="0" w:color="auto"/>
              <w:right w:val="single" w:sz="4" w:space="0" w:color="auto"/>
            </w:tcBorders>
            <w:shd w:val="clear" w:color="auto" w:fill="auto"/>
            <w:noWrap/>
            <w:vAlign w:val="center"/>
            <w:hideMark/>
          </w:tcPr>
          <w:p w14:paraId="6D316D9B"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Sąd Najwyższy</w:t>
            </w:r>
          </w:p>
        </w:tc>
        <w:tc>
          <w:tcPr>
            <w:tcW w:w="1276" w:type="dxa"/>
            <w:tcBorders>
              <w:top w:val="nil"/>
              <w:left w:val="nil"/>
              <w:bottom w:val="single" w:sz="4" w:space="0" w:color="auto"/>
              <w:right w:val="single" w:sz="4" w:space="0" w:color="auto"/>
            </w:tcBorders>
            <w:shd w:val="clear" w:color="auto" w:fill="auto"/>
            <w:noWrap/>
            <w:vAlign w:val="bottom"/>
          </w:tcPr>
          <w:p w14:paraId="1C46B1CC" w14:textId="7A0EC9EC"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269.742</w:t>
            </w:r>
          </w:p>
        </w:tc>
        <w:tc>
          <w:tcPr>
            <w:tcW w:w="1276" w:type="dxa"/>
            <w:tcBorders>
              <w:top w:val="nil"/>
              <w:left w:val="nil"/>
              <w:bottom w:val="single" w:sz="4" w:space="0" w:color="auto"/>
              <w:right w:val="single" w:sz="4" w:space="0" w:color="auto"/>
            </w:tcBorders>
            <w:shd w:val="clear" w:color="auto" w:fill="auto"/>
            <w:noWrap/>
            <w:vAlign w:val="bottom"/>
          </w:tcPr>
          <w:p w14:paraId="5F1F9488" w14:textId="2702F832"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99212CD" w14:textId="7285CC7D"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269.742</w:t>
            </w:r>
          </w:p>
        </w:tc>
      </w:tr>
      <w:tr w:rsidR="009A05ED" w:rsidRPr="00FC6261" w14:paraId="7E29DB80" w14:textId="77777777" w:rsidTr="009A05ED">
        <w:trPr>
          <w:trHeight w:val="276"/>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0BB26DCE"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05</w:t>
            </w:r>
          </w:p>
        </w:tc>
        <w:tc>
          <w:tcPr>
            <w:tcW w:w="4877" w:type="dxa"/>
            <w:tcBorders>
              <w:top w:val="nil"/>
              <w:left w:val="nil"/>
              <w:bottom w:val="single" w:sz="4" w:space="0" w:color="auto"/>
              <w:right w:val="single" w:sz="4" w:space="0" w:color="auto"/>
            </w:tcBorders>
            <w:shd w:val="clear" w:color="auto" w:fill="auto"/>
            <w:noWrap/>
            <w:vAlign w:val="center"/>
            <w:hideMark/>
          </w:tcPr>
          <w:p w14:paraId="572B34C0"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Naczelny Sąd Administracyjny</w:t>
            </w:r>
          </w:p>
        </w:tc>
        <w:tc>
          <w:tcPr>
            <w:tcW w:w="1276" w:type="dxa"/>
            <w:tcBorders>
              <w:top w:val="nil"/>
              <w:left w:val="nil"/>
              <w:bottom w:val="single" w:sz="4" w:space="0" w:color="auto"/>
              <w:right w:val="single" w:sz="4" w:space="0" w:color="auto"/>
            </w:tcBorders>
            <w:shd w:val="clear" w:color="auto" w:fill="auto"/>
            <w:noWrap/>
            <w:vAlign w:val="bottom"/>
          </w:tcPr>
          <w:p w14:paraId="2F939D71" w14:textId="24656EA1"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876.120</w:t>
            </w:r>
          </w:p>
        </w:tc>
        <w:tc>
          <w:tcPr>
            <w:tcW w:w="1276" w:type="dxa"/>
            <w:tcBorders>
              <w:top w:val="nil"/>
              <w:left w:val="nil"/>
              <w:bottom w:val="single" w:sz="4" w:space="0" w:color="auto"/>
              <w:right w:val="single" w:sz="4" w:space="0" w:color="auto"/>
            </w:tcBorders>
            <w:shd w:val="clear" w:color="auto" w:fill="auto"/>
            <w:noWrap/>
            <w:vAlign w:val="bottom"/>
          </w:tcPr>
          <w:p w14:paraId="4D0BBCE9" w14:textId="37F86703"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65B0DB6" w14:textId="1202DDFC"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876.120</w:t>
            </w:r>
          </w:p>
        </w:tc>
      </w:tr>
      <w:tr w:rsidR="009A05ED" w:rsidRPr="00FC6261" w14:paraId="4A3ACD6C" w14:textId="77777777" w:rsidTr="009A05ED">
        <w:trPr>
          <w:trHeight w:val="276"/>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26D6BC48"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06</w:t>
            </w:r>
          </w:p>
        </w:tc>
        <w:tc>
          <w:tcPr>
            <w:tcW w:w="4877" w:type="dxa"/>
            <w:tcBorders>
              <w:top w:val="nil"/>
              <w:left w:val="nil"/>
              <w:bottom w:val="single" w:sz="4" w:space="0" w:color="auto"/>
              <w:right w:val="single" w:sz="4" w:space="0" w:color="auto"/>
            </w:tcBorders>
            <w:shd w:val="clear" w:color="auto" w:fill="auto"/>
            <w:noWrap/>
            <w:vAlign w:val="center"/>
            <w:hideMark/>
          </w:tcPr>
          <w:p w14:paraId="1701D686"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Trybunał Konstytucyjny</w:t>
            </w:r>
          </w:p>
        </w:tc>
        <w:tc>
          <w:tcPr>
            <w:tcW w:w="1276" w:type="dxa"/>
            <w:tcBorders>
              <w:top w:val="nil"/>
              <w:left w:val="nil"/>
              <w:bottom w:val="single" w:sz="4" w:space="0" w:color="auto"/>
              <w:right w:val="single" w:sz="4" w:space="0" w:color="auto"/>
            </w:tcBorders>
            <w:shd w:val="clear" w:color="auto" w:fill="auto"/>
            <w:noWrap/>
            <w:vAlign w:val="bottom"/>
          </w:tcPr>
          <w:p w14:paraId="3C8F8748" w14:textId="6251CEC2"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57.186</w:t>
            </w:r>
          </w:p>
        </w:tc>
        <w:tc>
          <w:tcPr>
            <w:tcW w:w="1276" w:type="dxa"/>
            <w:tcBorders>
              <w:top w:val="nil"/>
              <w:left w:val="nil"/>
              <w:bottom w:val="single" w:sz="4" w:space="0" w:color="auto"/>
              <w:right w:val="single" w:sz="4" w:space="0" w:color="auto"/>
            </w:tcBorders>
            <w:shd w:val="clear" w:color="auto" w:fill="auto"/>
            <w:noWrap/>
            <w:vAlign w:val="bottom"/>
          </w:tcPr>
          <w:p w14:paraId="69459C43" w14:textId="4F94B78E"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E889EA4" w14:textId="130AC8B8"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57.186</w:t>
            </w:r>
          </w:p>
        </w:tc>
      </w:tr>
      <w:tr w:rsidR="009A05ED" w:rsidRPr="00FC6261" w14:paraId="5B767148" w14:textId="77777777" w:rsidTr="009A05ED">
        <w:trPr>
          <w:trHeight w:val="276"/>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4CE78BE3"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07</w:t>
            </w:r>
          </w:p>
        </w:tc>
        <w:tc>
          <w:tcPr>
            <w:tcW w:w="4877" w:type="dxa"/>
            <w:tcBorders>
              <w:top w:val="nil"/>
              <w:left w:val="nil"/>
              <w:bottom w:val="single" w:sz="4" w:space="0" w:color="auto"/>
              <w:right w:val="single" w:sz="4" w:space="0" w:color="auto"/>
            </w:tcBorders>
            <w:shd w:val="clear" w:color="auto" w:fill="auto"/>
            <w:noWrap/>
            <w:vAlign w:val="center"/>
            <w:hideMark/>
          </w:tcPr>
          <w:p w14:paraId="69EE73A1"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Najwyższa Izba Kontroli</w:t>
            </w:r>
          </w:p>
        </w:tc>
        <w:tc>
          <w:tcPr>
            <w:tcW w:w="1276" w:type="dxa"/>
            <w:tcBorders>
              <w:top w:val="nil"/>
              <w:left w:val="nil"/>
              <w:bottom w:val="single" w:sz="4" w:space="0" w:color="auto"/>
              <w:right w:val="single" w:sz="4" w:space="0" w:color="auto"/>
            </w:tcBorders>
            <w:shd w:val="clear" w:color="auto" w:fill="auto"/>
            <w:noWrap/>
            <w:vAlign w:val="bottom"/>
          </w:tcPr>
          <w:p w14:paraId="7BD6E477" w14:textId="7775D21F"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441.130</w:t>
            </w:r>
          </w:p>
        </w:tc>
        <w:tc>
          <w:tcPr>
            <w:tcW w:w="1276" w:type="dxa"/>
            <w:tcBorders>
              <w:top w:val="nil"/>
              <w:left w:val="nil"/>
              <w:bottom w:val="single" w:sz="4" w:space="0" w:color="auto"/>
              <w:right w:val="single" w:sz="4" w:space="0" w:color="auto"/>
            </w:tcBorders>
            <w:shd w:val="clear" w:color="auto" w:fill="auto"/>
            <w:noWrap/>
            <w:vAlign w:val="bottom"/>
          </w:tcPr>
          <w:p w14:paraId="7E07A888" w14:textId="175297C8"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6D95AA0" w14:textId="1FC2E8DA"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441.130</w:t>
            </w:r>
          </w:p>
        </w:tc>
      </w:tr>
      <w:tr w:rsidR="009A05ED" w:rsidRPr="00FC6261" w14:paraId="2232A2BD" w14:textId="77777777" w:rsidTr="009A05ED">
        <w:trPr>
          <w:trHeight w:val="276"/>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69E4CA18"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08</w:t>
            </w:r>
          </w:p>
        </w:tc>
        <w:tc>
          <w:tcPr>
            <w:tcW w:w="4877" w:type="dxa"/>
            <w:tcBorders>
              <w:top w:val="nil"/>
              <w:left w:val="nil"/>
              <w:bottom w:val="single" w:sz="4" w:space="0" w:color="auto"/>
              <w:right w:val="single" w:sz="4" w:space="0" w:color="auto"/>
            </w:tcBorders>
            <w:shd w:val="clear" w:color="auto" w:fill="auto"/>
            <w:noWrap/>
            <w:vAlign w:val="center"/>
            <w:hideMark/>
          </w:tcPr>
          <w:p w14:paraId="0929ECFD"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Rzecznik Praw Obywatelskich</w:t>
            </w:r>
          </w:p>
        </w:tc>
        <w:tc>
          <w:tcPr>
            <w:tcW w:w="1276" w:type="dxa"/>
            <w:tcBorders>
              <w:top w:val="nil"/>
              <w:left w:val="nil"/>
              <w:bottom w:val="single" w:sz="4" w:space="0" w:color="auto"/>
              <w:right w:val="single" w:sz="4" w:space="0" w:color="auto"/>
            </w:tcBorders>
            <w:shd w:val="clear" w:color="auto" w:fill="auto"/>
            <w:noWrap/>
            <w:vAlign w:val="bottom"/>
          </w:tcPr>
          <w:p w14:paraId="28755976" w14:textId="7E0AF3CE"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76.159</w:t>
            </w:r>
          </w:p>
        </w:tc>
        <w:tc>
          <w:tcPr>
            <w:tcW w:w="1276" w:type="dxa"/>
            <w:tcBorders>
              <w:top w:val="nil"/>
              <w:left w:val="nil"/>
              <w:bottom w:val="single" w:sz="4" w:space="0" w:color="auto"/>
              <w:right w:val="single" w:sz="4" w:space="0" w:color="auto"/>
            </w:tcBorders>
            <w:shd w:val="clear" w:color="auto" w:fill="auto"/>
            <w:noWrap/>
            <w:vAlign w:val="bottom"/>
          </w:tcPr>
          <w:p w14:paraId="38F5DC82" w14:textId="56959B49"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B193C7F" w14:textId="136BBAE8"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76.159</w:t>
            </w:r>
          </w:p>
        </w:tc>
      </w:tr>
      <w:tr w:rsidR="009A05ED" w:rsidRPr="00FC6261" w14:paraId="2CDA8E7E" w14:textId="77777777" w:rsidTr="009A05ED">
        <w:trPr>
          <w:trHeight w:val="276"/>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0B99F4E5"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09</w:t>
            </w:r>
          </w:p>
        </w:tc>
        <w:tc>
          <w:tcPr>
            <w:tcW w:w="4877" w:type="dxa"/>
            <w:tcBorders>
              <w:top w:val="nil"/>
              <w:left w:val="nil"/>
              <w:bottom w:val="single" w:sz="4" w:space="0" w:color="auto"/>
              <w:right w:val="single" w:sz="4" w:space="0" w:color="auto"/>
            </w:tcBorders>
            <w:shd w:val="clear" w:color="auto" w:fill="auto"/>
            <w:noWrap/>
            <w:vAlign w:val="center"/>
            <w:hideMark/>
          </w:tcPr>
          <w:p w14:paraId="2C54AC91"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Krajowa Rada Radiofonii i Telewizji</w:t>
            </w:r>
          </w:p>
        </w:tc>
        <w:tc>
          <w:tcPr>
            <w:tcW w:w="1276" w:type="dxa"/>
            <w:tcBorders>
              <w:top w:val="nil"/>
              <w:left w:val="nil"/>
              <w:bottom w:val="single" w:sz="4" w:space="0" w:color="auto"/>
              <w:right w:val="single" w:sz="4" w:space="0" w:color="auto"/>
            </w:tcBorders>
            <w:shd w:val="clear" w:color="auto" w:fill="auto"/>
            <w:noWrap/>
            <w:vAlign w:val="bottom"/>
          </w:tcPr>
          <w:p w14:paraId="476CF311" w14:textId="0538327B"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91.164</w:t>
            </w:r>
          </w:p>
        </w:tc>
        <w:tc>
          <w:tcPr>
            <w:tcW w:w="1276" w:type="dxa"/>
            <w:tcBorders>
              <w:top w:val="nil"/>
              <w:left w:val="nil"/>
              <w:bottom w:val="single" w:sz="4" w:space="0" w:color="auto"/>
              <w:right w:val="single" w:sz="4" w:space="0" w:color="auto"/>
            </w:tcBorders>
            <w:shd w:val="clear" w:color="auto" w:fill="auto"/>
            <w:noWrap/>
            <w:vAlign w:val="bottom"/>
          </w:tcPr>
          <w:p w14:paraId="39B5BC73" w14:textId="4473323C"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C0B697D" w14:textId="26EE033D"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91.164</w:t>
            </w:r>
          </w:p>
        </w:tc>
      </w:tr>
      <w:tr w:rsidR="009A05ED" w:rsidRPr="00FC6261" w14:paraId="406CDE4B" w14:textId="77777777" w:rsidTr="009A05ED">
        <w:trPr>
          <w:trHeight w:val="276"/>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57994672"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10</w:t>
            </w:r>
          </w:p>
        </w:tc>
        <w:tc>
          <w:tcPr>
            <w:tcW w:w="4877" w:type="dxa"/>
            <w:tcBorders>
              <w:top w:val="nil"/>
              <w:left w:val="nil"/>
              <w:bottom w:val="single" w:sz="4" w:space="0" w:color="auto"/>
              <w:right w:val="single" w:sz="4" w:space="0" w:color="auto"/>
            </w:tcBorders>
            <w:shd w:val="clear" w:color="auto" w:fill="auto"/>
            <w:noWrap/>
            <w:vAlign w:val="center"/>
            <w:hideMark/>
          </w:tcPr>
          <w:p w14:paraId="2E3078FA"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Urząd Ochrony Danych Osobowych</w:t>
            </w:r>
          </w:p>
        </w:tc>
        <w:tc>
          <w:tcPr>
            <w:tcW w:w="1276" w:type="dxa"/>
            <w:tcBorders>
              <w:top w:val="nil"/>
              <w:left w:val="nil"/>
              <w:bottom w:val="single" w:sz="4" w:space="0" w:color="auto"/>
              <w:right w:val="single" w:sz="4" w:space="0" w:color="auto"/>
            </w:tcBorders>
            <w:shd w:val="clear" w:color="auto" w:fill="auto"/>
            <w:noWrap/>
            <w:vAlign w:val="bottom"/>
          </w:tcPr>
          <w:p w14:paraId="149DE870" w14:textId="57F549E9"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54.828</w:t>
            </w:r>
          </w:p>
        </w:tc>
        <w:tc>
          <w:tcPr>
            <w:tcW w:w="1276" w:type="dxa"/>
            <w:tcBorders>
              <w:top w:val="nil"/>
              <w:left w:val="nil"/>
              <w:bottom w:val="single" w:sz="4" w:space="0" w:color="auto"/>
              <w:right w:val="single" w:sz="4" w:space="0" w:color="auto"/>
            </w:tcBorders>
            <w:shd w:val="clear" w:color="auto" w:fill="auto"/>
            <w:noWrap/>
            <w:vAlign w:val="bottom"/>
          </w:tcPr>
          <w:p w14:paraId="08EACD75" w14:textId="125B0529"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2D8C0E5" w14:textId="13FF1467"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54.828</w:t>
            </w:r>
          </w:p>
        </w:tc>
      </w:tr>
      <w:tr w:rsidR="009A05ED" w:rsidRPr="00FC6261" w14:paraId="34CCE1C5" w14:textId="77777777" w:rsidTr="009A05ED">
        <w:trPr>
          <w:trHeight w:val="276"/>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2B98B991"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11</w:t>
            </w:r>
          </w:p>
        </w:tc>
        <w:tc>
          <w:tcPr>
            <w:tcW w:w="4877" w:type="dxa"/>
            <w:tcBorders>
              <w:top w:val="nil"/>
              <w:left w:val="nil"/>
              <w:bottom w:val="single" w:sz="4" w:space="0" w:color="auto"/>
              <w:right w:val="single" w:sz="4" w:space="0" w:color="auto"/>
            </w:tcBorders>
            <w:shd w:val="clear" w:color="auto" w:fill="auto"/>
            <w:noWrap/>
            <w:vAlign w:val="center"/>
            <w:hideMark/>
          </w:tcPr>
          <w:p w14:paraId="1D13ACBF"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Krajowe Biuro Wyborcze</w:t>
            </w:r>
          </w:p>
        </w:tc>
        <w:tc>
          <w:tcPr>
            <w:tcW w:w="1276" w:type="dxa"/>
            <w:tcBorders>
              <w:top w:val="nil"/>
              <w:left w:val="nil"/>
              <w:bottom w:val="single" w:sz="4" w:space="0" w:color="auto"/>
              <w:right w:val="single" w:sz="4" w:space="0" w:color="auto"/>
            </w:tcBorders>
            <w:shd w:val="clear" w:color="auto" w:fill="auto"/>
            <w:noWrap/>
            <w:vAlign w:val="bottom"/>
          </w:tcPr>
          <w:p w14:paraId="16D6D04A" w14:textId="78215671"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102.556</w:t>
            </w:r>
          </w:p>
        </w:tc>
        <w:tc>
          <w:tcPr>
            <w:tcW w:w="1276" w:type="dxa"/>
            <w:tcBorders>
              <w:top w:val="nil"/>
              <w:left w:val="nil"/>
              <w:bottom w:val="single" w:sz="4" w:space="0" w:color="auto"/>
              <w:right w:val="single" w:sz="4" w:space="0" w:color="auto"/>
            </w:tcBorders>
            <w:shd w:val="clear" w:color="auto" w:fill="auto"/>
            <w:noWrap/>
            <w:vAlign w:val="bottom"/>
          </w:tcPr>
          <w:p w14:paraId="4A016380" w14:textId="48E1B5CF"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252FD51" w14:textId="3BBE73B5"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102.556</w:t>
            </w:r>
          </w:p>
        </w:tc>
      </w:tr>
      <w:tr w:rsidR="009A05ED" w:rsidRPr="00FC6261" w14:paraId="4763BB9E" w14:textId="77777777" w:rsidTr="009A05ED">
        <w:trPr>
          <w:trHeight w:val="276"/>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32FE1823"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12</w:t>
            </w:r>
          </w:p>
        </w:tc>
        <w:tc>
          <w:tcPr>
            <w:tcW w:w="4877" w:type="dxa"/>
            <w:tcBorders>
              <w:top w:val="nil"/>
              <w:left w:val="nil"/>
              <w:bottom w:val="single" w:sz="4" w:space="0" w:color="auto"/>
              <w:right w:val="single" w:sz="4" w:space="0" w:color="auto"/>
            </w:tcBorders>
            <w:shd w:val="clear" w:color="auto" w:fill="auto"/>
            <w:noWrap/>
            <w:vAlign w:val="center"/>
            <w:hideMark/>
          </w:tcPr>
          <w:p w14:paraId="58F0BAD3"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Państwowa Inspekcja Pracy</w:t>
            </w:r>
          </w:p>
        </w:tc>
        <w:tc>
          <w:tcPr>
            <w:tcW w:w="1276" w:type="dxa"/>
            <w:tcBorders>
              <w:top w:val="nil"/>
              <w:left w:val="nil"/>
              <w:bottom w:val="single" w:sz="4" w:space="0" w:color="auto"/>
              <w:right w:val="single" w:sz="4" w:space="0" w:color="auto"/>
            </w:tcBorders>
            <w:shd w:val="clear" w:color="auto" w:fill="auto"/>
            <w:noWrap/>
            <w:vAlign w:val="bottom"/>
          </w:tcPr>
          <w:p w14:paraId="263C0EC4" w14:textId="31FE3559"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551.478</w:t>
            </w:r>
          </w:p>
        </w:tc>
        <w:tc>
          <w:tcPr>
            <w:tcW w:w="1276" w:type="dxa"/>
            <w:tcBorders>
              <w:top w:val="nil"/>
              <w:left w:val="nil"/>
              <w:bottom w:val="single" w:sz="4" w:space="0" w:color="auto"/>
              <w:right w:val="single" w:sz="4" w:space="0" w:color="auto"/>
            </w:tcBorders>
            <w:shd w:val="clear" w:color="auto" w:fill="auto"/>
            <w:noWrap/>
            <w:vAlign w:val="bottom"/>
          </w:tcPr>
          <w:p w14:paraId="690F2E12" w14:textId="16089DB8"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6676393" w14:textId="1469BAC0"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551.478</w:t>
            </w:r>
          </w:p>
        </w:tc>
      </w:tr>
      <w:tr w:rsidR="009A05ED" w:rsidRPr="00FC6261" w14:paraId="5B87AB2B" w14:textId="77777777" w:rsidTr="009A05ED">
        <w:trPr>
          <w:trHeight w:val="52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58218599"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13</w:t>
            </w:r>
          </w:p>
        </w:tc>
        <w:tc>
          <w:tcPr>
            <w:tcW w:w="4877" w:type="dxa"/>
            <w:tcBorders>
              <w:top w:val="nil"/>
              <w:left w:val="nil"/>
              <w:bottom w:val="single" w:sz="4" w:space="0" w:color="auto"/>
              <w:right w:val="single" w:sz="4" w:space="0" w:color="auto"/>
            </w:tcBorders>
            <w:shd w:val="clear" w:color="auto" w:fill="auto"/>
            <w:vAlign w:val="center"/>
            <w:hideMark/>
          </w:tcPr>
          <w:p w14:paraId="190F1953"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Instytut Pamięci Narodowej – Komisja Ścigania Zbrodni przeciwko Narodowi Polskiemu</w:t>
            </w:r>
          </w:p>
        </w:tc>
        <w:tc>
          <w:tcPr>
            <w:tcW w:w="1276" w:type="dxa"/>
            <w:tcBorders>
              <w:top w:val="nil"/>
              <w:left w:val="nil"/>
              <w:bottom w:val="single" w:sz="4" w:space="0" w:color="auto"/>
              <w:right w:val="single" w:sz="4" w:space="0" w:color="auto"/>
            </w:tcBorders>
            <w:shd w:val="clear" w:color="auto" w:fill="auto"/>
            <w:noWrap/>
            <w:vAlign w:val="bottom"/>
          </w:tcPr>
          <w:p w14:paraId="734B375A" w14:textId="00515A66"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581.583</w:t>
            </w:r>
          </w:p>
        </w:tc>
        <w:tc>
          <w:tcPr>
            <w:tcW w:w="1276" w:type="dxa"/>
            <w:tcBorders>
              <w:top w:val="nil"/>
              <w:left w:val="nil"/>
              <w:bottom w:val="single" w:sz="4" w:space="0" w:color="auto"/>
              <w:right w:val="single" w:sz="4" w:space="0" w:color="auto"/>
            </w:tcBorders>
            <w:shd w:val="clear" w:color="auto" w:fill="auto"/>
            <w:noWrap/>
            <w:vAlign w:val="bottom"/>
          </w:tcPr>
          <w:p w14:paraId="27976C5C" w14:textId="63975550"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724D837" w14:textId="372E22FB"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581.583</w:t>
            </w:r>
          </w:p>
        </w:tc>
      </w:tr>
      <w:tr w:rsidR="009A05ED" w:rsidRPr="00FC6261" w14:paraId="54334C9C" w14:textId="77777777" w:rsidTr="009A05ED">
        <w:trPr>
          <w:trHeight w:val="276"/>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7EBE6DC1"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14</w:t>
            </w:r>
          </w:p>
        </w:tc>
        <w:tc>
          <w:tcPr>
            <w:tcW w:w="4877" w:type="dxa"/>
            <w:tcBorders>
              <w:top w:val="nil"/>
              <w:left w:val="nil"/>
              <w:bottom w:val="single" w:sz="4" w:space="0" w:color="auto"/>
              <w:right w:val="single" w:sz="4" w:space="0" w:color="auto"/>
            </w:tcBorders>
            <w:shd w:val="clear" w:color="auto" w:fill="auto"/>
            <w:noWrap/>
            <w:vAlign w:val="center"/>
            <w:hideMark/>
          </w:tcPr>
          <w:p w14:paraId="6A857CD9"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Rzecznik Praw Dziecka</w:t>
            </w:r>
          </w:p>
        </w:tc>
        <w:tc>
          <w:tcPr>
            <w:tcW w:w="1276" w:type="dxa"/>
            <w:tcBorders>
              <w:top w:val="nil"/>
              <w:left w:val="nil"/>
              <w:bottom w:val="single" w:sz="4" w:space="0" w:color="auto"/>
              <w:right w:val="single" w:sz="4" w:space="0" w:color="auto"/>
            </w:tcBorders>
            <w:shd w:val="clear" w:color="auto" w:fill="auto"/>
            <w:noWrap/>
            <w:vAlign w:val="bottom"/>
          </w:tcPr>
          <w:p w14:paraId="1E1374DD" w14:textId="4C059DF9"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31.004</w:t>
            </w:r>
          </w:p>
        </w:tc>
        <w:tc>
          <w:tcPr>
            <w:tcW w:w="1276" w:type="dxa"/>
            <w:tcBorders>
              <w:top w:val="nil"/>
              <w:left w:val="nil"/>
              <w:bottom w:val="single" w:sz="4" w:space="0" w:color="auto"/>
              <w:right w:val="single" w:sz="4" w:space="0" w:color="auto"/>
            </w:tcBorders>
            <w:shd w:val="clear" w:color="auto" w:fill="auto"/>
            <w:noWrap/>
            <w:vAlign w:val="bottom"/>
          </w:tcPr>
          <w:p w14:paraId="6B770891" w14:textId="3FB0C41D"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0908B0D" w14:textId="0000B8C0"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31.004</w:t>
            </w:r>
          </w:p>
        </w:tc>
      </w:tr>
      <w:tr w:rsidR="009A05ED" w:rsidRPr="00FC6261" w14:paraId="4F2CEB78" w14:textId="77777777" w:rsidTr="009A05ED">
        <w:trPr>
          <w:trHeight w:val="276"/>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4F0EE32C"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15</w:t>
            </w:r>
          </w:p>
        </w:tc>
        <w:tc>
          <w:tcPr>
            <w:tcW w:w="4877" w:type="dxa"/>
            <w:tcBorders>
              <w:top w:val="nil"/>
              <w:left w:val="nil"/>
              <w:bottom w:val="single" w:sz="4" w:space="0" w:color="auto"/>
              <w:right w:val="single" w:sz="4" w:space="0" w:color="auto"/>
            </w:tcBorders>
            <w:shd w:val="clear" w:color="auto" w:fill="auto"/>
            <w:noWrap/>
            <w:vAlign w:val="center"/>
            <w:hideMark/>
          </w:tcPr>
          <w:p w14:paraId="092DFB69"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Sądy powszechne</w:t>
            </w:r>
          </w:p>
        </w:tc>
        <w:tc>
          <w:tcPr>
            <w:tcW w:w="1276" w:type="dxa"/>
            <w:tcBorders>
              <w:top w:val="nil"/>
              <w:left w:val="nil"/>
              <w:bottom w:val="single" w:sz="4" w:space="0" w:color="auto"/>
              <w:right w:val="single" w:sz="4" w:space="0" w:color="auto"/>
            </w:tcBorders>
            <w:shd w:val="clear" w:color="auto" w:fill="auto"/>
            <w:noWrap/>
            <w:vAlign w:val="bottom"/>
          </w:tcPr>
          <w:p w14:paraId="44129840" w14:textId="0E8A25AA"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15.231.931</w:t>
            </w:r>
          </w:p>
        </w:tc>
        <w:tc>
          <w:tcPr>
            <w:tcW w:w="1276" w:type="dxa"/>
            <w:tcBorders>
              <w:top w:val="nil"/>
              <w:left w:val="nil"/>
              <w:bottom w:val="single" w:sz="4" w:space="0" w:color="auto"/>
              <w:right w:val="single" w:sz="4" w:space="0" w:color="auto"/>
            </w:tcBorders>
            <w:shd w:val="clear" w:color="auto" w:fill="auto"/>
            <w:noWrap/>
            <w:vAlign w:val="bottom"/>
          </w:tcPr>
          <w:p w14:paraId="1867B66E" w14:textId="7B607582"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DCE5201" w14:textId="36BC4EC1"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15.231.931</w:t>
            </w:r>
          </w:p>
        </w:tc>
      </w:tr>
      <w:tr w:rsidR="009A05ED" w:rsidRPr="00FC6261" w14:paraId="407E4BE7" w14:textId="77777777" w:rsidTr="009A05ED">
        <w:trPr>
          <w:trHeight w:val="276"/>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09524525"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16</w:t>
            </w:r>
          </w:p>
        </w:tc>
        <w:tc>
          <w:tcPr>
            <w:tcW w:w="4877" w:type="dxa"/>
            <w:tcBorders>
              <w:top w:val="nil"/>
              <w:left w:val="nil"/>
              <w:bottom w:val="single" w:sz="4" w:space="0" w:color="auto"/>
              <w:right w:val="single" w:sz="4" w:space="0" w:color="auto"/>
            </w:tcBorders>
            <w:shd w:val="clear" w:color="auto" w:fill="auto"/>
            <w:noWrap/>
            <w:vAlign w:val="center"/>
            <w:hideMark/>
          </w:tcPr>
          <w:p w14:paraId="34335B28"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Kancelaria Prezesa Rady Ministrów</w:t>
            </w:r>
          </w:p>
        </w:tc>
        <w:tc>
          <w:tcPr>
            <w:tcW w:w="1276" w:type="dxa"/>
            <w:tcBorders>
              <w:top w:val="nil"/>
              <w:left w:val="nil"/>
              <w:bottom w:val="single" w:sz="4" w:space="0" w:color="auto"/>
              <w:right w:val="single" w:sz="4" w:space="0" w:color="auto"/>
            </w:tcBorders>
            <w:shd w:val="clear" w:color="auto" w:fill="auto"/>
            <w:noWrap/>
            <w:vAlign w:val="bottom"/>
          </w:tcPr>
          <w:p w14:paraId="313CE8A5" w14:textId="64D3A234"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2.078.380</w:t>
            </w:r>
          </w:p>
        </w:tc>
        <w:tc>
          <w:tcPr>
            <w:tcW w:w="1276" w:type="dxa"/>
            <w:tcBorders>
              <w:top w:val="nil"/>
              <w:left w:val="nil"/>
              <w:bottom w:val="single" w:sz="4" w:space="0" w:color="auto"/>
              <w:right w:val="single" w:sz="4" w:space="0" w:color="auto"/>
            </w:tcBorders>
            <w:shd w:val="clear" w:color="auto" w:fill="auto"/>
            <w:noWrap/>
            <w:vAlign w:val="bottom"/>
          </w:tcPr>
          <w:p w14:paraId="08B5D6FD" w14:textId="3E88E86C"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305619B" w14:textId="71261402"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2.078.380</w:t>
            </w:r>
          </w:p>
        </w:tc>
      </w:tr>
      <w:tr w:rsidR="009A05ED" w:rsidRPr="00FC6261" w14:paraId="63294A25" w14:textId="77777777" w:rsidTr="009A05ED">
        <w:trPr>
          <w:trHeight w:val="276"/>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4832B987"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17</w:t>
            </w:r>
          </w:p>
        </w:tc>
        <w:tc>
          <w:tcPr>
            <w:tcW w:w="4877" w:type="dxa"/>
            <w:tcBorders>
              <w:top w:val="nil"/>
              <w:left w:val="nil"/>
              <w:bottom w:val="single" w:sz="4" w:space="0" w:color="auto"/>
              <w:right w:val="single" w:sz="4" w:space="0" w:color="auto"/>
            </w:tcBorders>
            <w:shd w:val="clear" w:color="auto" w:fill="auto"/>
            <w:noWrap/>
            <w:vAlign w:val="center"/>
            <w:hideMark/>
          </w:tcPr>
          <w:p w14:paraId="5D045D5D"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Administracja publiczna</w:t>
            </w:r>
          </w:p>
        </w:tc>
        <w:tc>
          <w:tcPr>
            <w:tcW w:w="1276" w:type="dxa"/>
            <w:tcBorders>
              <w:top w:val="nil"/>
              <w:left w:val="nil"/>
              <w:bottom w:val="single" w:sz="4" w:space="0" w:color="auto"/>
              <w:right w:val="single" w:sz="4" w:space="0" w:color="auto"/>
            </w:tcBorders>
            <w:shd w:val="clear" w:color="auto" w:fill="auto"/>
            <w:noWrap/>
            <w:vAlign w:val="bottom"/>
          </w:tcPr>
          <w:p w14:paraId="0B7E9327" w14:textId="26028E9E"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48.316</w:t>
            </w:r>
          </w:p>
        </w:tc>
        <w:tc>
          <w:tcPr>
            <w:tcW w:w="1276" w:type="dxa"/>
            <w:tcBorders>
              <w:top w:val="nil"/>
              <w:left w:val="nil"/>
              <w:bottom w:val="single" w:sz="4" w:space="0" w:color="auto"/>
              <w:right w:val="single" w:sz="4" w:space="0" w:color="auto"/>
            </w:tcBorders>
            <w:shd w:val="clear" w:color="auto" w:fill="auto"/>
            <w:noWrap/>
            <w:vAlign w:val="bottom"/>
          </w:tcPr>
          <w:p w14:paraId="11DFF4E5" w14:textId="25495C2A"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7C2B1BB" w14:textId="5CDA8CCE"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48.316</w:t>
            </w:r>
          </w:p>
        </w:tc>
      </w:tr>
      <w:tr w:rsidR="009A05ED" w:rsidRPr="00FC6261" w14:paraId="51DD8421" w14:textId="77777777" w:rsidTr="009A05ED">
        <w:trPr>
          <w:trHeight w:val="570"/>
        </w:trPr>
        <w:tc>
          <w:tcPr>
            <w:tcW w:w="363" w:type="dxa"/>
            <w:tcBorders>
              <w:top w:val="nil"/>
              <w:left w:val="single" w:sz="4" w:space="0" w:color="auto"/>
              <w:bottom w:val="single" w:sz="4" w:space="0" w:color="auto"/>
              <w:right w:val="single" w:sz="4" w:space="0" w:color="auto"/>
            </w:tcBorders>
            <w:shd w:val="clear" w:color="auto" w:fill="auto"/>
            <w:vAlign w:val="center"/>
            <w:hideMark/>
          </w:tcPr>
          <w:p w14:paraId="420E46E8"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18</w:t>
            </w:r>
          </w:p>
        </w:tc>
        <w:tc>
          <w:tcPr>
            <w:tcW w:w="4877" w:type="dxa"/>
            <w:tcBorders>
              <w:top w:val="nil"/>
              <w:left w:val="nil"/>
              <w:bottom w:val="single" w:sz="4" w:space="0" w:color="auto"/>
              <w:right w:val="single" w:sz="4" w:space="0" w:color="auto"/>
            </w:tcBorders>
            <w:shd w:val="clear" w:color="auto" w:fill="auto"/>
            <w:vAlign w:val="center"/>
            <w:hideMark/>
          </w:tcPr>
          <w:p w14:paraId="38C3077A"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Budownictwo, planowanie i zagospodarowanie przestrzenne oraz mieszkalnictwo</w:t>
            </w:r>
          </w:p>
        </w:tc>
        <w:tc>
          <w:tcPr>
            <w:tcW w:w="1276" w:type="dxa"/>
            <w:tcBorders>
              <w:top w:val="nil"/>
              <w:left w:val="nil"/>
              <w:bottom w:val="single" w:sz="4" w:space="0" w:color="auto"/>
              <w:right w:val="single" w:sz="4" w:space="0" w:color="auto"/>
            </w:tcBorders>
            <w:shd w:val="clear" w:color="auto" w:fill="auto"/>
            <w:vAlign w:val="bottom"/>
          </w:tcPr>
          <w:p w14:paraId="2D029AF4" w14:textId="4B260230"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2.533.740</w:t>
            </w:r>
          </w:p>
        </w:tc>
        <w:tc>
          <w:tcPr>
            <w:tcW w:w="1276" w:type="dxa"/>
            <w:tcBorders>
              <w:top w:val="nil"/>
              <w:left w:val="nil"/>
              <w:bottom w:val="single" w:sz="4" w:space="0" w:color="auto"/>
              <w:right w:val="single" w:sz="4" w:space="0" w:color="auto"/>
            </w:tcBorders>
            <w:shd w:val="clear" w:color="auto" w:fill="auto"/>
            <w:noWrap/>
            <w:vAlign w:val="bottom"/>
          </w:tcPr>
          <w:p w14:paraId="57FF4EFE" w14:textId="0A618470"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88643A2" w14:textId="4758B33F"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2.533.740</w:t>
            </w:r>
          </w:p>
        </w:tc>
      </w:tr>
      <w:tr w:rsidR="009A05ED" w:rsidRPr="00FC6261" w14:paraId="6E8924D1" w14:textId="77777777" w:rsidTr="009A05ED">
        <w:trPr>
          <w:trHeight w:val="276"/>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3A22BD95"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19</w:t>
            </w:r>
          </w:p>
        </w:tc>
        <w:tc>
          <w:tcPr>
            <w:tcW w:w="4877" w:type="dxa"/>
            <w:tcBorders>
              <w:top w:val="nil"/>
              <w:left w:val="nil"/>
              <w:bottom w:val="single" w:sz="4" w:space="0" w:color="auto"/>
              <w:right w:val="single" w:sz="4" w:space="0" w:color="auto"/>
            </w:tcBorders>
            <w:shd w:val="clear" w:color="auto" w:fill="auto"/>
            <w:noWrap/>
            <w:vAlign w:val="center"/>
            <w:hideMark/>
          </w:tcPr>
          <w:p w14:paraId="61CFBD91"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Budżet, finanse publiczne i instytucje finansowe</w:t>
            </w:r>
          </w:p>
        </w:tc>
        <w:tc>
          <w:tcPr>
            <w:tcW w:w="1276" w:type="dxa"/>
            <w:tcBorders>
              <w:top w:val="nil"/>
              <w:left w:val="nil"/>
              <w:bottom w:val="single" w:sz="4" w:space="0" w:color="auto"/>
              <w:right w:val="single" w:sz="4" w:space="0" w:color="auto"/>
            </w:tcBorders>
            <w:shd w:val="clear" w:color="auto" w:fill="auto"/>
            <w:noWrap/>
            <w:vAlign w:val="bottom"/>
          </w:tcPr>
          <w:p w14:paraId="79A8459B" w14:textId="0C2ECD86"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14.010.412</w:t>
            </w:r>
          </w:p>
        </w:tc>
        <w:tc>
          <w:tcPr>
            <w:tcW w:w="1276" w:type="dxa"/>
            <w:tcBorders>
              <w:top w:val="nil"/>
              <w:left w:val="nil"/>
              <w:bottom w:val="single" w:sz="4" w:space="0" w:color="auto"/>
              <w:right w:val="single" w:sz="4" w:space="0" w:color="auto"/>
            </w:tcBorders>
            <w:shd w:val="clear" w:color="auto" w:fill="auto"/>
            <w:noWrap/>
            <w:vAlign w:val="bottom"/>
          </w:tcPr>
          <w:p w14:paraId="478334A8" w14:textId="5A22739C"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F87F9DC" w14:textId="30E14DC1"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14.010.412</w:t>
            </w:r>
          </w:p>
        </w:tc>
      </w:tr>
      <w:tr w:rsidR="009A05ED" w:rsidRPr="00FC6261" w14:paraId="62F132B0" w14:textId="77777777" w:rsidTr="009A05ED">
        <w:trPr>
          <w:trHeight w:val="276"/>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1E565319"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20</w:t>
            </w:r>
          </w:p>
        </w:tc>
        <w:tc>
          <w:tcPr>
            <w:tcW w:w="4877" w:type="dxa"/>
            <w:tcBorders>
              <w:top w:val="nil"/>
              <w:left w:val="nil"/>
              <w:bottom w:val="single" w:sz="4" w:space="0" w:color="auto"/>
              <w:right w:val="single" w:sz="4" w:space="0" w:color="auto"/>
            </w:tcBorders>
            <w:shd w:val="clear" w:color="auto" w:fill="auto"/>
            <w:noWrap/>
            <w:vAlign w:val="center"/>
            <w:hideMark/>
          </w:tcPr>
          <w:p w14:paraId="70BEB295"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Gospodarka</w:t>
            </w:r>
          </w:p>
        </w:tc>
        <w:tc>
          <w:tcPr>
            <w:tcW w:w="1276" w:type="dxa"/>
            <w:tcBorders>
              <w:top w:val="nil"/>
              <w:left w:val="nil"/>
              <w:bottom w:val="single" w:sz="4" w:space="0" w:color="auto"/>
              <w:right w:val="single" w:sz="4" w:space="0" w:color="auto"/>
            </w:tcBorders>
            <w:shd w:val="clear" w:color="auto" w:fill="auto"/>
            <w:noWrap/>
            <w:vAlign w:val="bottom"/>
          </w:tcPr>
          <w:p w14:paraId="5ED5E96D" w14:textId="7A8F383C"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967.522</w:t>
            </w:r>
          </w:p>
        </w:tc>
        <w:tc>
          <w:tcPr>
            <w:tcW w:w="1276" w:type="dxa"/>
            <w:tcBorders>
              <w:top w:val="nil"/>
              <w:left w:val="nil"/>
              <w:bottom w:val="single" w:sz="4" w:space="0" w:color="auto"/>
              <w:right w:val="single" w:sz="4" w:space="0" w:color="auto"/>
            </w:tcBorders>
            <w:shd w:val="clear" w:color="auto" w:fill="auto"/>
            <w:noWrap/>
            <w:vAlign w:val="bottom"/>
          </w:tcPr>
          <w:p w14:paraId="4F68D8A2" w14:textId="76BA06FA"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44B971F" w14:textId="4E70C519"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967.522</w:t>
            </w:r>
          </w:p>
        </w:tc>
      </w:tr>
      <w:tr w:rsidR="009A05ED" w:rsidRPr="00FC6261" w14:paraId="1179238B" w14:textId="77777777" w:rsidTr="009A05ED">
        <w:trPr>
          <w:trHeight w:val="276"/>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5A326D24"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21</w:t>
            </w:r>
          </w:p>
        </w:tc>
        <w:tc>
          <w:tcPr>
            <w:tcW w:w="4877" w:type="dxa"/>
            <w:tcBorders>
              <w:top w:val="nil"/>
              <w:left w:val="nil"/>
              <w:bottom w:val="single" w:sz="4" w:space="0" w:color="auto"/>
              <w:right w:val="single" w:sz="4" w:space="0" w:color="auto"/>
            </w:tcBorders>
            <w:shd w:val="clear" w:color="auto" w:fill="auto"/>
            <w:noWrap/>
            <w:vAlign w:val="center"/>
            <w:hideMark/>
          </w:tcPr>
          <w:p w14:paraId="5B91EACC"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Gospodarka morska</w:t>
            </w:r>
          </w:p>
        </w:tc>
        <w:tc>
          <w:tcPr>
            <w:tcW w:w="1276" w:type="dxa"/>
            <w:tcBorders>
              <w:top w:val="nil"/>
              <w:left w:val="nil"/>
              <w:bottom w:val="single" w:sz="4" w:space="0" w:color="auto"/>
              <w:right w:val="single" w:sz="4" w:space="0" w:color="auto"/>
            </w:tcBorders>
            <w:shd w:val="clear" w:color="auto" w:fill="auto"/>
            <w:noWrap/>
            <w:vAlign w:val="bottom"/>
          </w:tcPr>
          <w:p w14:paraId="07E98375" w14:textId="636D5C97"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1.419.562</w:t>
            </w:r>
          </w:p>
        </w:tc>
        <w:tc>
          <w:tcPr>
            <w:tcW w:w="1276" w:type="dxa"/>
            <w:tcBorders>
              <w:top w:val="nil"/>
              <w:left w:val="nil"/>
              <w:bottom w:val="single" w:sz="4" w:space="0" w:color="auto"/>
              <w:right w:val="single" w:sz="4" w:space="0" w:color="auto"/>
            </w:tcBorders>
            <w:shd w:val="clear" w:color="auto" w:fill="auto"/>
            <w:noWrap/>
            <w:vAlign w:val="bottom"/>
          </w:tcPr>
          <w:p w14:paraId="2464CFD6" w14:textId="59AAA6D2"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A85FE49" w14:textId="57461DB5"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1.419.562</w:t>
            </w:r>
          </w:p>
        </w:tc>
      </w:tr>
      <w:tr w:rsidR="009A05ED" w:rsidRPr="00FC6261" w14:paraId="25C8D8FA" w14:textId="77777777" w:rsidTr="009A05ED">
        <w:trPr>
          <w:trHeight w:val="276"/>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6F5549FC"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22</w:t>
            </w:r>
          </w:p>
        </w:tc>
        <w:tc>
          <w:tcPr>
            <w:tcW w:w="4877" w:type="dxa"/>
            <w:tcBorders>
              <w:top w:val="nil"/>
              <w:left w:val="nil"/>
              <w:bottom w:val="single" w:sz="4" w:space="0" w:color="auto"/>
              <w:right w:val="single" w:sz="4" w:space="0" w:color="auto"/>
            </w:tcBorders>
            <w:shd w:val="clear" w:color="auto" w:fill="auto"/>
            <w:noWrap/>
            <w:vAlign w:val="center"/>
            <w:hideMark/>
          </w:tcPr>
          <w:p w14:paraId="3604351E"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Gospodarka wodna</w:t>
            </w:r>
          </w:p>
        </w:tc>
        <w:tc>
          <w:tcPr>
            <w:tcW w:w="1276" w:type="dxa"/>
            <w:tcBorders>
              <w:top w:val="nil"/>
              <w:left w:val="nil"/>
              <w:bottom w:val="single" w:sz="4" w:space="0" w:color="auto"/>
              <w:right w:val="single" w:sz="4" w:space="0" w:color="auto"/>
            </w:tcBorders>
            <w:shd w:val="clear" w:color="auto" w:fill="auto"/>
            <w:noWrap/>
            <w:vAlign w:val="bottom"/>
          </w:tcPr>
          <w:p w14:paraId="5A76A161" w14:textId="7586045D"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1.649.864</w:t>
            </w:r>
          </w:p>
        </w:tc>
        <w:tc>
          <w:tcPr>
            <w:tcW w:w="1276" w:type="dxa"/>
            <w:tcBorders>
              <w:top w:val="nil"/>
              <w:left w:val="nil"/>
              <w:bottom w:val="single" w:sz="4" w:space="0" w:color="auto"/>
              <w:right w:val="single" w:sz="4" w:space="0" w:color="auto"/>
            </w:tcBorders>
            <w:shd w:val="clear" w:color="auto" w:fill="auto"/>
            <w:noWrap/>
            <w:vAlign w:val="bottom"/>
          </w:tcPr>
          <w:p w14:paraId="1419EC25" w14:textId="02CEA5D4"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184FC1E" w14:textId="37EE897D"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1.649.864</w:t>
            </w:r>
          </w:p>
        </w:tc>
      </w:tr>
      <w:tr w:rsidR="009A05ED" w:rsidRPr="00FC6261" w14:paraId="0CC21688" w14:textId="77777777" w:rsidTr="009A05ED">
        <w:trPr>
          <w:trHeight w:val="276"/>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2538ACA3"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23</w:t>
            </w:r>
          </w:p>
        </w:tc>
        <w:tc>
          <w:tcPr>
            <w:tcW w:w="4877" w:type="dxa"/>
            <w:tcBorders>
              <w:top w:val="nil"/>
              <w:left w:val="nil"/>
              <w:bottom w:val="single" w:sz="4" w:space="0" w:color="auto"/>
              <w:right w:val="single" w:sz="4" w:space="0" w:color="auto"/>
            </w:tcBorders>
            <w:shd w:val="clear" w:color="auto" w:fill="auto"/>
            <w:noWrap/>
            <w:vAlign w:val="center"/>
            <w:hideMark/>
          </w:tcPr>
          <w:p w14:paraId="0A43BD70"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Członkostwo Rzeczypospolitej Polskiej w Unii Europejskiej</w:t>
            </w:r>
          </w:p>
        </w:tc>
        <w:tc>
          <w:tcPr>
            <w:tcW w:w="1276" w:type="dxa"/>
            <w:tcBorders>
              <w:top w:val="nil"/>
              <w:left w:val="nil"/>
              <w:bottom w:val="single" w:sz="4" w:space="0" w:color="auto"/>
              <w:right w:val="single" w:sz="4" w:space="0" w:color="auto"/>
            </w:tcBorders>
            <w:shd w:val="clear" w:color="auto" w:fill="auto"/>
            <w:noWrap/>
            <w:vAlign w:val="bottom"/>
          </w:tcPr>
          <w:p w14:paraId="63C72B75" w14:textId="31625920"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43.332</w:t>
            </w:r>
          </w:p>
        </w:tc>
        <w:tc>
          <w:tcPr>
            <w:tcW w:w="1276" w:type="dxa"/>
            <w:tcBorders>
              <w:top w:val="nil"/>
              <w:left w:val="nil"/>
              <w:bottom w:val="single" w:sz="4" w:space="0" w:color="auto"/>
              <w:right w:val="single" w:sz="4" w:space="0" w:color="auto"/>
            </w:tcBorders>
            <w:shd w:val="clear" w:color="auto" w:fill="auto"/>
            <w:noWrap/>
            <w:vAlign w:val="bottom"/>
          </w:tcPr>
          <w:p w14:paraId="6ADB0310" w14:textId="4CBC59D5"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F117BAA" w14:textId="551D46FE"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43.332</w:t>
            </w:r>
          </w:p>
        </w:tc>
      </w:tr>
      <w:tr w:rsidR="009A05ED" w:rsidRPr="00FC6261" w14:paraId="7E548540" w14:textId="77777777" w:rsidTr="009A05ED">
        <w:trPr>
          <w:trHeight w:val="276"/>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0CE716EE"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24</w:t>
            </w:r>
          </w:p>
        </w:tc>
        <w:tc>
          <w:tcPr>
            <w:tcW w:w="4877" w:type="dxa"/>
            <w:tcBorders>
              <w:top w:val="nil"/>
              <w:left w:val="nil"/>
              <w:bottom w:val="single" w:sz="4" w:space="0" w:color="auto"/>
              <w:right w:val="single" w:sz="4" w:space="0" w:color="auto"/>
            </w:tcBorders>
            <w:shd w:val="clear" w:color="auto" w:fill="auto"/>
            <w:noWrap/>
            <w:vAlign w:val="center"/>
            <w:hideMark/>
          </w:tcPr>
          <w:p w14:paraId="186772CB"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Kultura i ochrona dziedzictwa narodowego</w:t>
            </w:r>
          </w:p>
        </w:tc>
        <w:tc>
          <w:tcPr>
            <w:tcW w:w="1276" w:type="dxa"/>
            <w:tcBorders>
              <w:top w:val="nil"/>
              <w:left w:val="nil"/>
              <w:bottom w:val="single" w:sz="4" w:space="0" w:color="auto"/>
              <w:right w:val="single" w:sz="4" w:space="0" w:color="auto"/>
            </w:tcBorders>
            <w:shd w:val="clear" w:color="auto" w:fill="auto"/>
            <w:noWrap/>
            <w:vAlign w:val="bottom"/>
          </w:tcPr>
          <w:p w14:paraId="53AB906A" w14:textId="2501E57C"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8.160.849</w:t>
            </w:r>
          </w:p>
        </w:tc>
        <w:tc>
          <w:tcPr>
            <w:tcW w:w="1276" w:type="dxa"/>
            <w:tcBorders>
              <w:top w:val="nil"/>
              <w:left w:val="nil"/>
              <w:bottom w:val="single" w:sz="4" w:space="0" w:color="auto"/>
              <w:right w:val="single" w:sz="4" w:space="0" w:color="auto"/>
            </w:tcBorders>
            <w:shd w:val="clear" w:color="auto" w:fill="auto"/>
            <w:noWrap/>
            <w:vAlign w:val="bottom"/>
          </w:tcPr>
          <w:p w14:paraId="77D014F6" w14:textId="70CF1379"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4C11523" w14:textId="5F395C28"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8.160.849</w:t>
            </w:r>
          </w:p>
        </w:tc>
      </w:tr>
      <w:tr w:rsidR="009A05ED" w:rsidRPr="00FC6261" w14:paraId="510E9B4D" w14:textId="77777777" w:rsidTr="009A05ED">
        <w:trPr>
          <w:trHeight w:val="276"/>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0B88E888"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25</w:t>
            </w:r>
          </w:p>
        </w:tc>
        <w:tc>
          <w:tcPr>
            <w:tcW w:w="4877" w:type="dxa"/>
            <w:tcBorders>
              <w:top w:val="nil"/>
              <w:left w:val="nil"/>
              <w:bottom w:val="single" w:sz="4" w:space="0" w:color="auto"/>
              <w:right w:val="single" w:sz="4" w:space="0" w:color="auto"/>
            </w:tcBorders>
            <w:shd w:val="clear" w:color="auto" w:fill="auto"/>
            <w:noWrap/>
            <w:vAlign w:val="center"/>
            <w:hideMark/>
          </w:tcPr>
          <w:p w14:paraId="1E4D5BAF"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Kultura fizyczna</w:t>
            </w:r>
          </w:p>
        </w:tc>
        <w:tc>
          <w:tcPr>
            <w:tcW w:w="1276" w:type="dxa"/>
            <w:tcBorders>
              <w:top w:val="nil"/>
              <w:left w:val="nil"/>
              <w:bottom w:val="single" w:sz="4" w:space="0" w:color="auto"/>
              <w:right w:val="single" w:sz="4" w:space="0" w:color="auto"/>
            </w:tcBorders>
            <w:shd w:val="clear" w:color="auto" w:fill="auto"/>
            <w:noWrap/>
            <w:vAlign w:val="bottom"/>
          </w:tcPr>
          <w:p w14:paraId="18C31DD8" w14:textId="54CD9D1D"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2.568.522</w:t>
            </w:r>
          </w:p>
        </w:tc>
        <w:tc>
          <w:tcPr>
            <w:tcW w:w="1276" w:type="dxa"/>
            <w:tcBorders>
              <w:top w:val="nil"/>
              <w:left w:val="nil"/>
              <w:bottom w:val="single" w:sz="4" w:space="0" w:color="auto"/>
              <w:right w:val="single" w:sz="4" w:space="0" w:color="auto"/>
            </w:tcBorders>
            <w:shd w:val="clear" w:color="auto" w:fill="auto"/>
            <w:noWrap/>
            <w:vAlign w:val="bottom"/>
          </w:tcPr>
          <w:p w14:paraId="105CB612" w14:textId="201855F3" w:rsidR="009A05ED" w:rsidRPr="009A05ED" w:rsidRDefault="009A05ED" w:rsidP="009A05ED">
            <w:pPr>
              <w:spacing w:after="0" w:line="240" w:lineRule="auto"/>
              <w:jc w:val="right"/>
              <w:rPr>
                <w:rFonts w:ascii="Arial" w:eastAsia="Times New Roman" w:hAnsi="Arial" w:cs="Arial"/>
                <w:sz w:val="18"/>
                <w:szCs w:val="18"/>
                <w:lang w:eastAsia="pl-PL"/>
              </w:rPr>
            </w:pPr>
            <w:r w:rsidRPr="009A05ED">
              <w:rPr>
                <w:rFonts w:ascii="Arial" w:hAnsi="Arial" w:cs="Arial"/>
                <w:color w:val="000000"/>
                <w:sz w:val="18"/>
                <w:szCs w:val="18"/>
              </w:rPr>
              <w:t>-2.000</w:t>
            </w:r>
          </w:p>
        </w:tc>
        <w:tc>
          <w:tcPr>
            <w:tcW w:w="1275" w:type="dxa"/>
            <w:tcBorders>
              <w:top w:val="nil"/>
              <w:left w:val="nil"/>
              <w:bottom w:val="single" w:sz="4" w:space="0" w:color="auto"/>
              <w:right w:val="single" w:sz="4" w:space="0" w:color="auto"/>
            </w:tcBorders>
            <w:shd w:val="clear" w:color="auto" w:fill="auto"/>
            <w:noWrap/>
            <w:vAlign w:val="bottom"/>
          </w:tcPr>
          <w:p w14:paraId="4FC198C5" w14:textId="36915B39"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2.566.522</w:t>
            </w:r>
          </w:p>
        </w:tc>
      </w:tr>
      <w:tr w:rsidR="009A05ED" w:rsidRPr="00FC6261" w14:paraId="7A83596E" w14:textId="77777777" w:rsidTr="009A05ED">
        <w:trPr>
          <w:trHeight w:val="276"/>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3868BBBB"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26</w:t>
            </w:r>
          </w:p>
        </w:tc>
        <w:tc>
          <w:tcPr>
            <w:tcW w:w="4877" w:type="dxa"/>
            <w:tcBorders>
              <w:top w:val="nil"/>
              <w:left w:val="nil"/>
              <w:bottom w:val="single" w:sz="4" w:space="0" w:color="auto"/>
              <w:right w:val="single" w:sz="4" w:space="0" w:color="auto"/>
            </w:tcBorders>
            <w:shd w:val="clear" w:color="auto" w:fill="auto"/>
            <w:noWrap/>
            <w:vAlign w:val="center"/>
            <w:hideMark/>
          </w:tcPr>
          <w:p w14:paraId="24F6B7D9"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Łączność</w:t>
            </w:r>
          </w:p>
        </w:tc>
        <w:tc>
          <w:tcPr>
            <w:tcW w:w="1276" w:type="dxa"/>
            <w:tcBorders>
              <w:top w:val="nil"/>
              <w:left w:val="nil"/>
              <w:bottom w:val="single" w:sz="4" w:space="0" w:color="auto"/>
              <w:right w:val="single" w:sz="4" w:space="0" w:color="auto"/>
            </w:tcBorders>
            <w:shd w:val="clear" w:color="auto" w:fill="auto"/>
            <w:noWrap/>
            <w:vAlign w:val="bottom"/>
          </w:tcPr>
          <w:p w14:paraId="27F7BB2D" w14:textId="6F113DEB"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8.661</w:t>
            </w:r>
          </w:p>
        </w:tc>
        <w:tc>
          <w:tcPr>
            <w:tcW w:w="1276" w:type="dxa"/>
            <w:tcBorders>
              <w:top w:val="nil"/>
              <w:left w:val="nil"/>
              <w:bottom w:val="single" w:sz="4" w:space="0" w:color="auto"/>
              <w:right w:val="single" w:sz="4" w:space="0" w:color="auto"/>
            </w:tcBorders>
            <w:shd w:val="clear" w:color="auto" w:fill="auto"/>
            <w:noWrap/>
            <w:vAlign w:val="bottom"/>
          </w:tcPr>
          <w:p w14:paraId="65D481CA" w14:textId="532B0AA8"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484176C" w14:textId="01657ABE"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8.661</w:t>
            </w:r>
          </w:p>
        </w:tc>
      </w:tr>
      <w:tr w:rsidR="009A05ED" w:rsidRPr="00FC6261" w14:paraId="4056880A" w14:textId="77777777" w:rsidTr="009A05ED">
        <w:trPr>
          <w:trHeight w:val="276"/>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1C0AD0F1"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27</w:t>
            </w:r>
          </w:p>
        </w:tc>
        <w:tc>
          <w:tcPr>
            <w:tcW w:w="4877" w:type="dxa"/>
            <w:tcBorders>
              <w:top w:val="nil"/>
              <w:left w:val="nil"/>
              <w:bottom w:val="single" w:sz="4" w:space="0" w:color="auto"/>
              <w:right w:val="single" w:sz="4" w:space="0" w:color="auto"/>
            </w:tcBorders>
            <w:shd w:val="clear" w:color="auto" w:fill="auto"/>
            <w:noWrap/>
            <w:vAlign w:val="center"/>
            <w:hideMark/>
          </w:tcPr>
          <w:p w14:paraId="65FE6A51"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Informatyzacja</w:t>
            </w:r>
          </w:p>
        </w:tc>
        <w:tc>
          <w:tcPr>
            <w:tcW w:w="1276" w:type="dxa"/>
            <w:tcBorders>
              <w:top w:val="nil"/>
              <w:left w:val="nil"/>
              <w:bottom w:val="single" w:sz="4" w:space="0" w:color="auto"/>
              <w:right w:val="single" w:sz="4" w:space="0" w:color="auto"/>
            </w:tcBorders>
            <w:shd w:val="clear" w:color="auto" w:fill="auto"/>
            <w:noWrap/>
            <w:vAlign w:val="bottom"/>
          </w:tcPr>
          <w:p w14:paraId="6C418B2D" w14:textId="03815F27"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1.676.505</w:t>
            </w:r>
          </w:p>
        </w:tc>
        <w:tc>
          <w:tcPr>
            <w:tcW w:w="1276" w:type="dxa"/>
            <w:tcBorders>
              <w:top w:val="nil"/>
              <w:left w:val="nil"/>
              <w:bottom w:val="single" w:sz="4" w:space="0" w:color="auto"/>
              <w:right w:val="single" w:sz="4" w:space="0" w:color="auto"/>
            </w:tcBorders>
            <w:shd w:val="clear" w:color="auto" w:fill="auto"/>
            <w:noWrap/>
            <w:vAlign w:val="bottom"/>
          </w:tcPr>
          <w:p w14:paraId="298530D0" w14:textId="47BAF13A" w:rsidR="009A05ED" w:rsidRPr="009A05ED" w:rsidRDefault="0047052A" w:rsidP="009A05ED">
            <w:pPr>
              <w:spacing w:after="0" w:line="240" w:lineRule="auto"/>
              <w:jc w:val="right"/>
              <w:rPr>
                <w:rFonts w:ascii="Arial" w:hAnsi="Arial" w:cs="Arial"/>
                <w:sz w:val="18"/>
                <w:szCs w:val="18"/>
              </w:rPr>
            </w:pPr>
            <w:r w:rsidRPr="0047052A">
              <w:rPr>
                <w:rFonts w:ascii="Arial" w:hAnsi="Arial" w:cs="Arial"/>
                <w:color w:val="000000"/>
                <w:sz w:val="18"/>
                <w:szCs w:val="18"/>
              </w:rPr>
              <w:t>-21.600</w:t>
            </w:r>
          </w:p>
        </w:tc>
        <w:tc>
          <w:tcPr>
            <w:tcW w:w="1275" w:type="dxa"/>
            <w:tcBorders>
              <w:top w:val="nil"/>
              <w:left w:val="nil"/>
              <w:bottom w:val="single" w:sz="4" w:space="0" w:color="auto"/>
              <w:right w:val="single" w:sz="4" w:space="0" w:color="auto"/>
            </w:tcBorders>
            <w:shd w:val="clear" w:color="auto" w:fill="auto"/>
            <w:noWrap/>
            <w:vAlign w:val="bottom"/>
          </w:tcPr>
          <w:p w14:paraId="75AE71F4" w14:textId="7017F640" w:rsidR="009A05ED" w:rsidRPr="00BB6ABC" w:rsidRDefault="0047052A" w:rsidP="009A05ED">
            <w:pPr>
              <w:spacing w:after="0" w:line="240" w:lineRule="auto"/>
              <w:jc w:val="right"/>
              <w:rPr>
                <w:rFonts w:ascii="Arial" w:eastAsia="Times New Roman" w:hAnsi="Arial" w:cs="Arial"/>
                <w:sz w:val="18"/>
                <w:szCs w:val="18"/>
                <w:lang w:eastAsia="pl-PL"/>
              </w:rPr>
            </w:pPr>
            <w:r w:rsidRPr="0047052A">
              <w:rPr>
                <w:rFonts w:ascii="Arial" w:hAnsi="Arial" w:cs="Arial"/>
                <w:color w:val="000000"/>
                <w:sz w:val="18"/>
                <w:szCs w:val="18"/>
              </w:rPr>
              <w:t>1</w:t>
            </w:r>
            <w:r>
              <w:rPr>
                <w:rFonts w:ascii="Arial" w:hAnsi="Arial" w:cs="Arial"/>
                <w:color w:val="000000"/>
                <w:sz w:val="18"/>
                <w:szCs w:val="18"/>
              </w:rPr>
              <w:t>.</w:t>
            </w:r>
            <w:r w:rsidRPr="0047052A">
              <w:rPr>
                <w:rFonts w:ascii="Arial" w:hAnsi="Arial" w:cs="Arial"/>
                <w:color w:val="000000"/>
                <w:sz w:val="18"/>
                <w:szCs w:val="18"/>
              </w:rPr>
              <w:t>654</w:t>
            </w:r>
            <w:r>
              <w:rPr>
                <w:rFonts w:ascii="Arial" w:hAnsi="Arial" w:cs="Arial"/>
                <w:color w:val="000000"/>
                <w:sz w:val="18"/>
                <w:szCs w:val="18"/>
              </w:rPr>
              <w:t>.</w:t>
            </w:r>
            <w:r w:rsidRPr="0047052A">
              <w:rPr>
                <w:rFonts w:ascii="Arial" w:hAnsi="Arial" w:cs="Arial"/>
                <w:color w:val="000000"/>
                <w:sz w:val="18"/>
                <w:szCs w:val="18"/>
              </w:rPr>
              <w:t>905</w:t>
            </w:r>
          </w:p>
        </w:tc>
      </w:tr>
      <w:tr w:rsidR="009A05ED" w:rsidRPr="00FC6261" w14:paraId="7B6FEF48" w14:textId="77777777" w:rsidTr="009A05ED">
        <w:trPr>
          <w:trHeight w:val="276"/>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52ADBEC6"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28</w:t>
            </w:r>
          </w:p>
        </w:tc>
        <w:tc>
          <w:tcPr>
            <w:tcW w:w="4877" w:type="dxa"/>
            <w:tcBorders>
              <w:top w:val="nil"/>
              <w:left w:val="nil"/>
              <w:bottom w:val="single" w:sz="4" w:space="0" w:color="auto"/>
              <w:right w:val="single" w:sz="4" w:space="0" w:color="auto"/>
            </w:tcBorders>
            <w:shd w:val="clear" w:color="auto" w:fill="auto"/>
            <w:noWrap/>
            <w:vAlign w:val="center"/>
            <w:hideMark/>
          </w:tcPr>
          <w:p w14:paraId="6E7C9548"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Szkolnictwo wyższe i nauka</w:t>
            </w:r>
          </w:p>
        </w:tc>
        <w:tc>
          <w:tcPr>
            <w:tcW w:w="1276" w:type="dxa"/>
            <w:tcBorders>
              <w:top w:val="nil"/>
              <w:left w:val="nil"/>
              <w:bottom w:val="single" w:sz="4" w:space="0" w:color="auto"/>
              <w:right w:val="single" w:sz="4" w:space="0" w:color="auto"/>
            </w:tcBorders>
            <w:shd w:val="clear" w:color="auto" w:fill="auto"/>
            <w:noWrap/>
            <w:vAlign w:val="bottom"/>
          </w:tcPr>
          <w:p w14:paraId="3C77E5D0" w14:textId="152C1B89"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31.349.947</w:t>
            </w:r>
          </w:p>
        </w:tc>
        <w:tc>
          <w:tcPr>
            <w:tcW w:w="1276" w:type="dxa"/>
            <w:tcBorders>
              <w:top w:val="nil"/>
              <w:left w:val="nil"/>
              <w:bottom w:val="single" w:sz="4" w:space="0" w:color="auto"/>
              <w:right w:val="single" w:sz="4" w:space="0" w:color="auto"/>
            </w:tcBorders>
            <w:shd w:val="clear" w:color="auto" w:fill="auto"/>
            <w:noWrap/>
            <w:vAlign w:val="bottom"/>
          </w:tcPr>
          <w:p w14:paraId="5EB843BD" w14:textId="51B2D65F" w:rsidR="009A05ED" w:rsidRPr="009A05ED" w:rsidRDefault="002B0916" w:rsidP="009A05ED">
            <w:pPr>
              <w:spacing w:after="0" w:line="240" w:lineRule="auto"/>
              <w:jc w:val="right"/>
              <w:rPr>
                <w:rFonts w:ascii="Arial" w:eastAsia="Times New Roman" w:hAnsi="Arial" w:cs="Arial"/>
                <w:sz w:val="18"/>
                <w:szCs w:val="18"/>
                <w:lang w:eastAsia="pl-PL"/>
              </w:rPr>
            </w:pPr>
            <w:r>
              <w:rPr>
                <w:rFonts w:ascii="Arial" w:eastAsia="Times New Roman" w:hAnsi="Arial" w:cs="Arial"/>
                <w:sz w:val="18"/>
                <w:szCs w:val="18"/>
                <w:lang w:eastAsia="pl-PL"/>
              </w:rPr>
              <w:t>69.</w:t>
            </w:r>
            <w:r w:rsidR="006724C3">
              <w:rPr>
                <w:rFonts w:ascii="Arial" w:eastAsia="Times New Roman" w:hAnsi="Arial" w:cs="Arial"/>
                <w:sz w:val="18"/>
                <w:szCs w:val="18"/>
                <w:lang w:eastAsia="pl-PL"/>
              </w:rPr>
              <w:t>6</w:t>
            </w:r>
            <w:r>
              <w:rPr>
                <w:rFonts w:ascii="Arial" w:eastAsia="Times New Roman" w:hAnsi="Arial" w:cs="Arial"/>
                <w:sz w:val="18"/>
                <w:szCs w:val="18"/>
                <w:lang w:eastAsia="pl-PL"/>
              </w:rPr>
              <w:t>00</w:t>
            </w:r>
          </w:p>
        </w:tc>
        <w:tc>
          <w:tcPr>
            <w:tcW w:w="1275" w:type="dxa"/>
            <w:tcBorders>
              <w:top w:val="nil"/>
              <w:left w:val="nil"/>
              <w:bottom w:val="single" w:sz="4" w:space="0" w:color="auto"/>
              <w:right w:val="single" w:sz="4" w:space="0" w:color="auto"/>
            </w:tcBorders>
            <w:shd w:val="clear" w:color="auto" w:fill="auto"/>
            <w:noWrap/>
            <w:vAlign w:val="bottom"/>
          </w:tcPr>
          <w:p w14:paraId="5E0B8811" w14:textId="61D01CCF"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31.</w:t>
            </w:r>
            <w:r w:rsidR="002B0916">
              <w:rPr>
                <w:rFonts w:ascii="Arial" w:hAnsi="Arial" w:cs="Arial"/>
                <w:color w:val="000000"/>
                <w:sz w:val="18"/>
                <w:szCs w:val="18"/>
              </w:rPr>
              <w:t>419</w:t>
            </w:r>
            <w:r w:rsidRPr="00BB6ABC">
              <w:rPr>
                <w:rFonts w:ascii="Arial" w:hAnsi="Arial" w:cs="Arial"/>
                <w:color w:val="000000"/>
                <w:sz w:val="18"/>
                <w:szCs w:val="18"/>
              </w:rPr>
              <w:t>.</w:t>
            </w:r>
            <w:r w:rsidR="002B0916">
              <w:rPr>
                <w:rFonts w:ascii="Arial" w:hAnsi="Arial" w:cs="Arial"/>
                <w:color w:val="000000"/>
                <w:sz w:val="18"/>
                <w:szCs w:val="18"/>
              </w:rPr>
              <w:t>547</w:t>
            </w:r>
          </w:p>
        </w:tc>
      </w:tr>
      <w:tr w:rsidR="009A05ED" w:rsidRPr="00FC6261" w14:paraId="4E7459F4" w14:textId="77777777" w:rsidTr="009A05ED">
        <w:trPr>
          <w:trHeight w:val="276"/>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103B87B5"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29</w:t>
            </w:r>
          </w:p>
        </w:tc>
        <w:tc>
          <w:tcPr>
            <w:tcW w:w="4877" w:type="dxa"/>
            <w:tcBorders>
              <w:top w:val="nil"/>
              <w:left w:val="nil"/>
              <w:bottom w:val="single" w:sz="4" w:space="0" w:color="auto"/>
              <w:right w:val="single" w:sz="4" w:space="0" w:color="auto"/>
            </w:tcBorders>
            <w:shd w:val="clear" w:color="auto" w:fill="auto"/>
            <w:noWrap/>
            <w:vAlign w:val="center"/>
            <w:hideMark/>
          </w:tcPr>
          <w:p w14:paraId="56D1E99E"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Obrona narodowa</w:t>
            </w:r>
          </w:p>
        </w:tc>
        <w:tc>
          <w:tcPr>
            <w:tcW w:w="1276" w:type="dxa"/>
            <w:tcBorders>
              <w:top w:val="nil"/>
              <w:left w:val="nil"/>
              <w:bottom w:val="single" w:sz="4" w:space="0" w:color="auto"/>
              <w:right w:val="single" w:sz="4" w:space="0" w:color="auto"/>
            </w:tcBorders>
            <w:shd w:val="clear" w:color="auto" w:fill="auto"/>
            <w:noWrap/>
            <w:vAlign w:val="bottom"/>
          </w:tcPr>
          <w:p w14:paraId="4DFC3B73" w14:textId="58290B5E"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117.519.821</w:t>
            </w:r>
          </w:p>
        </w:tc>
        <w:tc>
          <w:tcPr>
            <w:tcW w:w="1276" w:type="dxa"/>
            <w:tcBorders>
              <w:top w:val="nil"/>
              <w:left w:val="nil"/>
              <w:bottom w:val="single" w:sz="4" w:space="0" w:color="auto"/>
              <w:right w:val="single" w:sz="4" w:space="0" w:color="auto"/>
            </w:tcBorders>
            <w:shd w:val="clear" w:color="auto" w:fill="auto"/>
            <w:noWrap/>
            <w:vAlign w:val="bottom"/>
          </w:tcPr>
          <w:p w14:paraId="60817794" w14:textId="3544B90E"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1D54992" w14:textId="286FFC4E"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117.519.821</w:t>
            </w:r>
          </w:p>
        </w:tc>
      </w:tr>
      <w:tr w:rsidR="009A05ED" w:rsidRPr="00FC6261" w14:paraId="152E4B1F" w14:textId="77777777" w:rsidTr="009A05ED">
        <w:trPr>
          <w:trHeight w:val="276"/>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60ABBF67"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30</w:t>
            </w:r>
          </w:p>
        </w:tc>
        <w:tc>
          <w:tcPr>
            <w:tcW w:w="4877" w:type="dxa"/>
            <w:tcBorders>
              <w:top w:val="nil"/>
              <w:left w:val="nil"/>
              <w:bottom w:val="single" w:sz="4" w:space="0" w:color="auto"/>
              <w:right w:val="single" w:sz="4" w:space="0" w:color="auto"/>
            </w:tcBorders>
            <w:shd w:val="clear" w:color="auto" w:fill="auto"/>
            <w:noWrap/>
            <w:vAlign w:val="center"/>
            <w:hideMark/>
          </w:tcPr>
          <w:p w14:paraId="37DAC37C"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Oświata i wychowanie</w:t>
            </w:r>
          </w:p>
        </w:tc>
        <w:tc>
          <w:tcPr>
            <w:tcW w:w="1276" w:type="dxa"/>
            <w:tcBorders>
              <w:top w:val="nil"/>
              <w:left w:val="nil"/>
              <w:bottom w:val="single" w:sz="4" w:space="0" w:color="auto"/>
              <w:right w:val="single" w:sz="4" w:space="0" w:color="auto"/>
            </w:tcBorders>
            <w:shd w:val="clear" w:color="auto" w:fill="auto"/>
            <w:noWrap/>
            <w:vAlign w:val="bottom"/>
          </w:tcPr>
          <w:p w14:paraId="5E8A498E" w14:textId="39A6029F"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785.929</w:t>
            </w:r>
          </w:p>
        </w:tc>
        <w:tc>
          <w:tcPr>
            <w:tcW w:w="1276" w:type="dxa"/>
            <w:tcBorders>
              <w:top w:val="nil"/>
              <w:left w:val="nil"/>
              <w:bottom w:val="single" w:sz="4" w:space="0" w:color="auto"/>
              <w:right w:val="single" w:sz="4" w:space="0" w:color="auto"/>
            </w:tcBorders>
            <w:shd w:val="clear" w:color="auto" w:fill="auto"/>
            <w:noWrap/>
            <w:vAlign w:val="bottom"/>
          </w:tcPr>
          <w:p w14:paraId="7A34C0CC" w14:textId="287C28C0"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4D547BF" w14:textId="6B2EF790"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785.929</w:t>
            </w:r>
          </w:p>
        </w:tc>
      </w:tr>
      <w:tr w:rsidR="009A05ED" w:rsidRPr="00FC6261" w14:paraId="3A5DE045" w14:textId="77777777" w:rsidTr="009A05ED">
        <w:trPr>
          <w:trHeight w:val="276"/>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2C04AAD9"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31</w:t>
            </w:r>
          </w:p>
        </w:tc>
        <w:tc>
          <w:tcPr>
            <w:tcW w:w="4877" w:type="dxa"/>
            <w:tcBorders>
              <w:top w:val="nil"/>
              <w:left w:val="nil"/>
              <w:bottom w:val="single" w:sz="4" w:space="0" w:color="auto"/>
              <w:right w:val="single" w:sz="4" w:space="0" w:color="auto"/>
            </w:tcBorders>
            <w:shd w:val="clear" w:color="auto" w:fill="auto"/>
            <w:noWrap/>
            <w:vAlign w:val="center"/>
            <w:hideMark/>
          </w:tcPr>
          <w:p w14:paraId="4A1AFE5B"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Praca</w:t>
            </w:r>
          </w:p>
        </w:tc>
        <w:tc>
          <w:tcPr>
            <w:tcW w:w="1276" w:type="dxa"/>
            <w:tcBorders>
              <w:top w:val="nil"/>
              <w:left w:val="nil"/>
              <w:bottom w:val="single" w:sz="4" w:space="0" w:color="auto"/>
              <w:right w:val="single" w:sz="4" w:space="0" w:color="auto"/>
            </w:tcBorders>
            <w:shd w:val="clear" w:color="auto" w:fill="auto"/>
            <w:noWrap/>
            <w:vAlign w:val="bottom"/>
          </w:tcPr>
          <w:p w14:paraId="089CB364" w14:textId="30BF4FB3"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632.584</w:t>
            </w:r>
          </w:p>
        </w:tc>
        <w:tc>
          <w:tcPr>
            <w:tcW w:w="1276" w:type="dxa"/>
            <w:tcBorders>
              <w:top w:val="nil"/>
              <w:left w:val="nil"/>
              <w:bottom w:val="single" w:sz="4" w:space="0" w:color="auto"/>
              <w:right w:val="single" w:sz="4" w:space="0" w:color="auto"/>
            </w:tcBorders>
            <w:shd w:val="clear" w:color="auto" w:fill="auto"/>
            <w:noWrap/>
            <w:vAlign w:val="bottom"/>
          </w:tcPr>
          <w:p w14:paraId="7E9ABDFE" w14:textId="3E341F59"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177C218" w14:textId="03DC52DA"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632.584</w:t>
            </w:r>
          </w:p>
        </w:tc>
      </w:tr>
      <w:tr w:rsidR="009A05ED" w:rsidRPr="00FC6261" w14:paraId="303618C0" w14:textId="77777777" w:rsidTr="009A05ED">
        <w:trPr>
          <w:trHeight w:val="276"/>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3E7190D5"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32</w:t>
            </w:r>
          </w:p>
        </w:tc>
        <w:tc>
          <w:tcPr>
            <w:tcW w:w="4877" w:type="dxa"/>
            <w:tcBorders>
              <w:top w:val="nil"/>
              <w:left w:val="nil"/>
              <w:bottom w:val="single" w:sz="4" w:space="0" w:color="auto"/>
              <w:right w:val="single" w:sz="4" w:space="0" w:color="auto"/>
            </w:tcBorders>
            <w:shd w:val="clear" w:color="auto" w:fill="auto"/>
            <w:noWrap/>
            <w:vAlign w:val="center"/>
            <w:hideMark/>
          </w:tcPr>
          <w:p w14:paraId="25CE0616"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Rolnictwo</w:t>
            </w:r>
          </w:p>
        </w:tc>
        <w:tc>
          <w:tcPr>
            <w:tcW w:w="1276" w:type="dxa"/>
            <w:tcBorders>
              <w:top w:val="nil"/>
              <w:left w:val="nil"/>
              <w:bottom w:val="single" w:sz="4" w:space="0" w:color="auto"/>
              <w:right w:val="single" w:sz="4" w:space="0" w:color="auto"/>
            </w:tcBorders>
            <w:shd w:val="clear" w:color="auto" w:fill="auto"/>
            <w:noWrap/>
            <w:vAlign w:val="bottom"/>
          </w:tcPr>
          <w:p w14:paraId="6BCC3123" w14:textId="366159DF"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2.550.550</w:t>
            </w:r>
          </w:p>
        </w:tc>
        <w:tc>
          <w:tcPr>
            <w:tcW w:w="1276" w:type="dxa"/>
            <w:tcBorders>
              <w:top w:val="nil"/>
              <w:left w:val="nil"/>
              <w:bottom w:val="single" w:sz="4" w:space="0" w:color="auto"/>
              <w:right w:val="single" w:sz="4" w:space="0" w:color="auto"/>
            </w:tcBorders>
            <w:shd w:val="clear" w:color="auto" w:fill="auto"/>
            <w:noWrap/>
            <w:vAlign w:val="bottom"/>
          </w:tcPr>
          <w:p w14:paraId="1385FFEF" w14:textId="70A36BC0"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6B81CD0" w14:textId="366336E9"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2.550.550</w:t>
            </w:r>
          </w:p>
        </w:tc>
      </w:tr>
      <w:tr w:rsidR="009A05ED" w:rsidRPr="00FC6261" w14:paraId="7A1F583A" w14:textId="77777777" w:rsidTr="009A05ED">
        <w:trPr>
          <w:trHeight w:val="276"/>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266058A4"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33</w:t>
            </w:r>
          </w:p>
        </w:tc>
        <w:tc>
          <w:tcPr>
            <w:tcW w:w="4877" w:type="dxa"/>
            <w:tcBorders>
              <w:top w:val="nil"/>
              <w:left w:val="nil"/>
              <w:bottom w:val="single" w:sz="4" w:space="0" w:color="auto"/>
              <w:right w:val="single" w:sz="4" w:space="0" w:color="auto"/>
            </w:tcBorders>
            <w:shd w:val="clear" w:color="auto" w:fill="auto"/>
            <w:noWrap/>
            <w:vAlign w:val="center"/>
            <w:hideMark/>
          </w:tcPr>
          <w:p w14:paraId="59354BB7"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Rozwój wsi</w:t>
            </w:r>
          </w:p>
        </w:tc>
        <w:tc>
          <w:tcPr>
            <w:tcW w:w="1276" w:type="dxa"/>
            <w:tcBorders>
              <w:top w:val="nil"/>
              <w:left w:val="nil"/>
              <w:bottom w:val="single" w:sz="4" w:space="0" w:color="auto"/>
              <w:right w:val="single" w:sz="4" w:space="0" w:color="auto"/>
            </w:tcBorders>
            <w:shd w:val="clear" w:color="auto" w:fill="auto"/>
            <w:noWrap/>
            <w:vAlign w:val="bottom"/>
          </w:tcPr>
          <w:p w14:paraId="6CA697E6" w14:textId="4FC1A3AA"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5.985.008</w:t>
            </w:r>
          </w:p>
        </w:tc>
        <w:tc>
          <w:tcPr>
            <w:tcW w:w="1276" w:type="dxa"/>
            <w:tcBorders>
              <w:top w:val="nil"/>
              <w:left w:val="nil"/>
              <w:bottom w:val="single" w:sz="4" w:space="0" w:color="auto"/>
              <w:right w:val="single" w:sz="4" w:space="0" w:color="auto"/>
            </w:tcBorders>
            <w:shd w:val="clear" w:color="auto" w:fill="auto"/>
            <w:noWrap/>
            <w:vAlign w:val="bottom"/>
          </w:tcPr>
          <w:p w14:paraId="4E1E4C63" w14:textId="48699D76"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B65594A" w14:textId="173E4796"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5.985.008</w:t>
            </w:r>
          </w:p>
        </w:tc>
      </w:tr>
      <w:tr w:rsidR="009A05ED" w:rsidRPr="00FC6261" w14:paraId="7F16EAA4" w14:textId="77777777" w:rsidTr="009A05ED">
        <w:trPr>
          <w:trHeight w:val="276"/>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1F889C16"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34</w:t>
            </w:r>
          </w:p>
        </w:tc>
        <w:tc>
          <w:tcPr>
            <w:tcW w:w="4877" w:type="dxa"/>
            <w:tcBorders>
              <w:top w:val="nil"/>
              <w:left w:val="nil"/>
              <w:bottom w:val="single" w:sz="4" w:space="0" w:color="auto"/>
              <w:right w:val="single" w:sz="4" w:space="0" w:color="auto"/>
            </w:tcBorders>
            <w:shd w:val="clear" w:color="auto" w:fill="auto"/>
            <w:noWrap/>
            <w:vAlign w:val="center"/>
            <w:hideMark/>
          </w:tcPr>
          <w:p w14:paraId="56D8CAF0"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Rozwój regionalny</w:t>
            </w:r>
          </w:p>
        </w:tc>
        <w:tc>
          <w:tcPr>
            <w:tcW w:w="1276" w:type="dxa"/>
            <w:tcBorders>
              <w:top w:val="nil"/>
              <w:left w:val="nil"/>
              <w:bottom w:val="single" w:sz="4" w:space="0" w:color="auto"/>
              <w:right w:val="single" w:sz="4" w:space="0" w:color="auto"/>
            </w:tcBorders>
            <w:shd w:val="clear" w:color="auto" w:fill="auto"/>
            <w:noWrap/>
            <w:vAlign w:val="bottom"/>
          </w:tcPr>
          <w:p w14:paraId="55EE35F3" w14:textId="52B0A0ED"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2.867.680</w:t>
            </w:r>
          </w:p>
        </w:tc>
        <w:tc>
          <w:tcPr>
            <w:tcW w:w="1276" w:type="dxa"/>
            <w:tcBorders>
              <w:top w:val="nil"/>
              <w:left w:val="nil"/>
              <w:bottom w:val="single" w:sz="4" w:space="0" w:color="auto"/>
              <w:right w:val="single" w:sz="4" w:space="0" w:color="auto"/>
            </w:tcBorders>
            <w:shd w:val="clear" w:color="auto" w:fill="auto"/>
            <w:noWrap/>
            <w:vAlign w:val="bottom"/>
          </w:tcPr>
          <w:p w14:paraId="2E98802C" w14:textId="16CA8353"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B79EA1B" w14:textId="4B4D0F25"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2.867.680</w:t>
            </w:r>
          </w:p>
        </w:tc>
      </w:tr>
      <w:tr w:rsidR="009A05ED" w:rsidRPr="00FC6261" w14:paraId="1B071C3F" w14:textId="77777777" w:rsidTr="009A05ED">
        <w:trPr>
          <w:trHeight w:val="276"/>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2D3497CE"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lastRenderedPageBreak/>
              <w:t>35</w:t>
            </w:r>
          </w:p>
        </w:tc>
        <w:tc>
          <w:tcPr>
            <w:tcW w:w="4877" w:type="dxa"/>
            <w:tcBorders>
              <w:top w:val="nil"/>
              <w:left w:val="nil"/>
              <w:bottom w:val="single" w:sz="4" w:space="0" w:color="auto"/>
              <w:right w:val="single" w:sz="4" w:space="0" w:color="auto"/>
            </w:tcBorders>
            <w:shd w:val="clear" w:color="auto" w:fill="auto"/>
            <w:noWrap/>
            <w:vAlign w:val="center"/>
            <w:hideMark/>
          </w:tcPr>
          <w:p w14:paraId="55B087FC"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Rynki rolne</w:t>
            </w:r>
          </w:p>
        </w:tc>
        <w:tc>
          <w:tcPr>
            <w:tcW w:w="1276" w:type="dxa"/>
            <w:tcBorders>
              <w:top w:val="nil"/>
              <w:left w:val="nil"/>
              <w:bottom w:val="single" w:sz="4" w:space="0" w:color="auto"/>
              <w:right w:val="single" w:sz="4" w:space="0" w:color="auto"/>
            </w:tcBorders>
            <w:shd w:val="clear" w:color="auto" w:fill="auto"/>
            <w:noWrap/>
            <w:vAlign w:val="bottom"/>
          </w:tcPr>
          <w:p w14:paraId="705DB9B1" w14:textId="5D1A7AB7"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76.231</w:t>
            </w:r>
          </w:p>
        </w:tc>
        <w:tc>
          <w:tcPr>
            <w:tcW w:w="1276" w:type="dxa"/>
            <w:tcBorders>
              <w:top w:val="nil"/>
              <w:left w:val="nil"/>
              <w:bottom w:val="single" w:sz="4" w:space="0" w:color="auto"/>
              <w:right w:val="single" w:sz="4" w:space="0" w:color="auto"/>
            </w:tcBorders>
            <w:shd w:val="clear" w:color="auto" w:fill="auto"/>
            <w:noWrap/>
            <w:vAlign w:val="bottom"/>
          </w:tcPr>
          <w:p w14:paraId="56A9B1C3" w14:textId="721CB741"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715666C" w14:textId="664AED7C"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76.231</w:t>
            </w:r>
          </w:p>
        </w:tc>
      </w:tr>
      <w:tr w:rsidR="009A05ED" w:rsidRPr="00FC6261" w14:paraId="66532429" w14:textId="77777777" w:rsidTr="009A05ED">
        <w:trPr>
          <w:trHeight w:val="276"/>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7AD35CA6"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37</w:t>
            </w:r>
          </w:p>
        </w:tc>
        <w:tc>
          <w:tcPr>
            <w:tcW w:w="4877" w:type="dxa"/>
            <w:tcBorders>
              <w:top w:val="nil"/>
              <w:left w:val="nil"/>
              <w:bottom w:val="single" w:sz="4" w:space="0" w:color="auto"/>
              <w:right w:val="single" w:sz="4" w:space="0" w:color="auto"/>
            </w:tcBorders>
            <w:shd w:val="clear" w:color="auto" w:fill="auto"/>
            <w:noWrap/>
            <w:vAlign w:val="center"/>
            <w:hideMark/>
          </w:tcPr>
          <w:p w14:paraId="19963C40"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Sprawiedliwość</w:t>
            </w:r>
          </w:p>
        </w:tc>
        <w:tc>
          <w:tcPr>
            <w:tcW w:w="1276" w:type="dxa"/>
            <w:tcBorders>
              <w:top w:val="nil"/>
              <w:left w:val="nil"/>
              <w:bottom w:val="single" w:sz="4" w:space="0" w:color="auto"/>
              <w:right w:val="single" w:sz="4" w:space="0" w:color="auto"/>
            </w:tcBorders>
            <w:shd w:val="clear" w:color="auto" w:fill="auto"/>
            <w:noWrap/>
            <w:vAlign w:val="bottom"/>
          </w:tcPr>
          <w:p w14:paraId="3392251D" w14:textId="5BE2976B"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9.512.392</w:t>
            </w:r>
          </w:p>
        </w:tc>
        <w:tc>
          <w:tcPr>
            <w:tcW w:w="1276" w:type="dxa"/>
            <w:tcBorders>
              <w:top w:val="nil"/>
              <w:left w:val="nil"/>
              <w:bottom w:val="single" w:sz="4" w:space="0" w:color="auto"/>
              <w:right w:val="single" w:sz="4" w:space="0" w:color="auto"/>
            </w:tcBorders>
            <w:shd w:val="clear" w:color="auto" w:fill="auto"/>
            <w:noWrap/>
            <w:vAlign w:val="bottom"/>
          </w:tcPr>
          <w:p w14:paraId="08A6966A" w14:textId="52AF29FB"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9E521EB" w14:textId="63858F3A"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9.512.392</w:t>
            </w:r>
          </w:p>
        </w:tc>
      </w:tr>
      <w:tr w:rsidR="009A05ED" w:rsidRPr="00FC6261" w14:paraId="6E4938C6" w14:textId="77777777" w:rsidTr="009A05ED">
        <w:trPr>
          <w:trHeight w:val="276"/>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1E9F3966"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39</w:t>
            </w:r>
          </w:p>
        </w:tc>
        <w:tc>
          <w:tcPr>
            <w:tcW w:w="4877" w:type="dxa"/>
            <w:tcBorders>
              <w:top w:val="nil"/>
              <w:left w:val="nil"/>
              <w:bottom w:val="single" w:sz="4" w:space="0" w:color="auto"/>
              <w:right w:val="single" w:sz="4" w:space="0" w:color="auto"/>
            </w:tcBorders>
            <w:shd w:val="clear" w:color="auto" w:fill="auto"/>
            <w:noWrap/>
            <w:vAlign w:val="center"/>
            <w:hideMark/>
          </w:tcPr>
          <w:p w14:paraId="5D69C53C"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Transport</w:t>
            </w:r>
          </w:p>
        </w:tc>
        <w:tc>
          <w:tcPr>
            <w:tcW w:w="1276" w:type="dxa"/>
            <w:tcBorders>
              <w:top w:val="nil"/>
              <w:left w:val="nil"/>
              <w:bottom w:val="single" w:sz="4" w:space="0" w:color="auto"/>
              <w:right w:val="single" w:sz="4" w:space="0" w:color="auto"/>
            </w:tcBorders>
            <w:shd w:val="clear" w:color="auto" w:fill="auto"/>
            <w:noWrap/>
            <w:vAlign w:val="bottom"/>
          </w:tcPr>
          <w:p w14:paraId="3DC07E11" w14:textId="1ED7D504"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17.217.453</w:t>
            </w:r>
          </w:p>
        </w:tc>
        <w:tc>
          <w:tcPr>
            <w:tcW w:w="1276" w:type="dxa"/>
            <w:tcBorders>
              <w:top w:val="nil"/>
              <w:left w:val="nil"/>
              <w:bottom w:val="single" w:sz="4" w:space="0" w:color="auto"/>
              <w:right w:val="single" w:sz="4" w:space="0" w:color="auto"/>
            </w:tcBorders>
            <w:shd w:val="clear" w:color="auto" w:fill="auto"/>
            <w:noWrap/>
            <w:vAlign w:val="bottom"/>
          </w:tcPr>
          <w:p w14:paraId="1CB121E7" w14:textId="24EA5548"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26E5895" w14:textId="15D49477"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17.217.453</w:t>
            </w:r>
          </w:p>
        </w:tc>
      </w:tr>
      <w:tr w:rsidR="009A05ED" w:rsidRPr="00FC6261" w14:paraId="6DA27B9A" w14:textId="77777777" w:rsidTr="009A05ED">
        <w:trPr>
          <w:trHeight w:val="276"/>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0A13EC4F"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40</w:t>
            </w:r>
          </w:p>
        </w:tc>
        <w:tc>
          <w:tcPr>
            <w:tcW w:w="4877" w:type="dxa"/>
            <w:tcBorders>
              <w:top w:val="nil"/>
              <w:left w:val="nil"/>
              <w:bottom w:val="single" w:sz="4" w:space="0" w:color="auto"/>
              <w:right w:val="single" w:sz="4" w:space="0" w:color="auto"/>
            </w:tcBorders>
            <w:shd w:val="clear" w:color="auto" w:fill="auto"/>
            <w:noWrap/>
            <w:vAlign w:val="center"/>
            <w:hideMark/>
          </w:tcPr>
          <w:p w14:paraId="395D473A"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Turystyka</w:t>
            </w:r>
          </w:p>
        </w:tc>
        <w:tc>
          <w:tcPr>
            <w:tcW w:w="1276" w:type="dxa"/>
            <w:tcBorders>
              <w:top w:val="nil"/>
              <w:left w:val="nil"/>
              <w:bottom w:val="single" w:sz="4" w:space="0" w:color="auto"/>
              <w:right w:val="single" w:sz="4" w:space="0" w:color="auto"/>
            </w:tcBorders>
            <w:shd w:val="clear" w:color="auto" w:fill="auto"/>
            <w:noWrap/>
            <w:vAlign w:val="bottom"/>
          </w:tcPr>
          <w:p w14:paraId="4A823C35" w14:textId="5913B891"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114.997</w:t>
            </w:r>
          </w:p>
        </w:tc>
        <w:tc>
          <w:tcPr>
            <w:tcW w:w="1276" w:type="dxa"/>
            <w:tcBorders>
              <w:top w:val="nil"/>
              <w:left w:val="nil"/>
              <w:bottom w:val="single" w:sz="4" w:space="0" w:color="auto"/>
              <w:right w:val="single" w:sz="4" w:space="0" w:color="auto"/>
            </w:tcBorders>
            <w:shd w:val="clear" w:color="auto" w:fill="auto"/>
            <w:noWrap/>
            <w:vAlign w:val="bottom"/>
          </w:tcPr>
          <w:p w14:paraId="014CA9AE" w14:textId="28ABF82F" w:rsidR="009A05ED" w:rsidRPr="009A05ED" w:rsidRDefault="009A05ED" w:rsidP="009A05ED">
            <w:pPr>
              <w:spacing w:after="0" w:line="240" w:lineRule="auto"/>
              <w:jc w:val="right"/>
              <w:rPr>
                <w:rFonts w:ascii="Arial" w:eastAsia="Times New Roman" w:hAnsi="Arial" w:cs="Arial"/>
                <w:sz w:val="18"/>
                <w:szCs w:val="18"/>
                <w:lang w:eastAsia="pl-PL"/>
              </w:rPr>
            </w:pPr>
            <w:r w:rsidRPr="009A05ED">
              <w:rPr>
                <w:rFonts w:ascii="Arial" w:hAnsi="Arial" w:cs="Arial"/>
                <w:color w:val="000000"/>
                <w:sz w:val="18"/>
                <w:szCs w:val="18"/>
              </w:rPr>
              <w:t>2.000</w:t>
            </w:r>
          </w:p>
        </w:tc>
        <w:tc>
          <w:tcPr>
            <w:tcW w:w="1275" w:type="dxa"/>
            <w:tcBorders>
              <w:top w:val="nil"/>
              <w:left w:val="nil"/>
              <w:bottom w:val="single" w:sz="4" w:space="0" w:color="auto"/>
              <w:right w:val="single" w:sz="4" w:space="0" w:color="auto"/>
            </w:tcBorders>
            <w:shd w:val="clear" w:color="auto" w:fill="auto"/>
            <w:noWrap/>
            <w:vAlign w:val="bottom"/>
          </w:tcPr>
          <w:p w14:paraId="75162551" w14:textId="17505E64"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116.997</w:t>
            </w:r>
          </w:p>
        </w:tc>
      </w:tr>
      <w:tr w:rsidR="009A05ED" w:rsidRPr="00FC6261" w14:paraId="44941940" w14:textId="77777777" w:rsidTr="009A05ED">
        <w:trPr>
          <w:trHeight w:val="276"/>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0D6CACF9"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41</w:t>
            </w:r>
          </w:p>
        </w:tc>
        <w:tc>
          <w:tcPr>
            <w:tcW w:w="4877" w:type="dxa"/>
            <w:tcBorders>
              <w:top w:val="nil"/>
              <w:left w:val="nil"/>
              <w:bottom w:val="single" w:sz="4" w:space="0" w:color="auto"/>
              <w:right w:val="single" w:sz="4" w:space="0" w:color="auto"/>
            </w:tcBorders>
            <w:shd w:val="clear" w:color="auto" w:fill="auto"/>
            <w:noWrap/>
            <w:vAlign w:val="center"/>
            <w:hideMark/>
          </w:tcPr>
          <w:p w14:paraId="1D3480D6"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Środowisko</w:t>
            </w:r>
          </w:p>
        </w:tc>
        <w:tc>
          <w:tcPr>
            <w:tcW w:w="1276" w:type="dxa"/>
            <w:tcBorders>
              <w:top w:val="nil"/>
              <w:left w:val="nil"/>
              <w:bottom w:val="single" w:sz="4" w:space="0" w:color="auto"/>
              <w:right w:val="single" w:sz="4" w:space="0" w:color="auto"/>
            </w:tcBorders>
            <w:shd w:val="clear" w:color="auto" w:fill="auto"/>
            <w:noWrap/>
            <w:vAlign w:val="bottom"/>
          </w:tcPr>
          <w:p w14:paraId="023F43F3" w14:textId="649C82C4"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631.203</w:t>
            </w:r>
          </w:p>
        </w:tc>
        <w:tc>
          <w:tcPr>
            <w:tcW w:w="1276" w:type="dxa"/>
            <w:tcBorders>
              <w:top w:val="nil"/>
              <w:left w:val="nil"/>
              <w:bottom w:val="single" w:sz="4" w:space="0" w:color="auto"/>
              <w:right w:val="single" w:sz="4" w:space="0" w:color="auto"/>
            </w:tcBorders>
            <w:shd w:val="clear" w:color="auto" w:fill="auto"/>
            <w:noWrap/>
            <w:vAlign w:val="bottom"/>
          </w:tcPr>
          <w:p w14:paraId="501E6937" w14:textId="4CD66F7E"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9B735B4" w14:textId="0141EEE9"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631.203</w:t>
            </w:r>
          </w:p>
        </w:tc>
      </w:tr>
      <w:tr w:rsidR="009A05ED" w:rsidRPr="00FC6261" w14:paraId="0B06BA94" w14:textId="77777777" w:rsidTr="009A05ED">
        <w:trPr>
          <w:trHeight w:val="276"/>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00998472"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42</w:t>
            </w:r>
          </w:p>
        </w:tc>
        <w:tc>
          <w:tcPr>
            <w:tcW w:w="4877" w:type="dxa"/>
            <w:tcBorders>
              <w:top w:val="nil"/>
              <w:left w:val="nil"/>
              <w:bottom w:val="single" w:sz="4" w:space="0" w:color="auto"/>
              <w:right w:val="single" w:sz="4" w:space="0" w:color="auto"/>
            </w:tcBorders>
            <w:shd w:val="clear" w:color="auto" w:fill="auto"/>
            <w:noWrap/>
            <w:vAlign w:val="center"/>
            <w:hideMark/>
          </w:tcPr>
          <w:p w14:paraId="1C7AB4E0"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Sprawy wewnętrzne</w:t>
            </w:r>
          </w:p>
        </w:tc>
        <w:tc>
          <w:tcPr>
            <w:tcW w:w="1276" w:type="dxa"/>
            <w:tcBorders>
              <w:top w:val="nil"/>
              <w:left w:val="nil"/>
              <w:bottom w:val="single" w:sz="4" w:space="0" w:color="auto"/>
              <w:right w:val="single" w:sz="4" w:space="0" w:color="auto"/>
            </w:tcBorders>
            <w:shd w:val="clear" w:color="auto" w:fill="auto"/>
            <w:noWrap/>
            <w:vAlign w:val="bottom"/>
          </w:tcPr>
          <w:p w14:paraId="2A79B657" w14:textId="63518F37"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42.932.523</w:t>
            </w:r>
          </w:p>
        </w:tc>
        <w:tc>
          <w:tcPr>
            <w:tcW w:w="1276" w:type="dxa"/>
            <w:tcBorders>
              <w:top w:val="nil"/>
              <w:left w:val="nil"/>
              <w:bottom w:val="single" w:sz="4" w:space="0" w:color="auto"/>
              <w:right w:val="single" w:sz="4" w:space="0" w:color="auto"/>
            </w:tcBorders>
            <w:shd w:val="clear" w:color="auto" w:fill="auto"/>
            <w:noWrap/>
            <w:vAlign w:val="bottom"/>
          </w:tcPr>
          <w:p w14:paraId="1A54F918" w14:textId="5980016D"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8E4C281" w14:textId="5977062F"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42.932.523</w:t>
            </w:r>
          </w:p>
        </w:tc>
      </w:tr>
      <w:tr w:rsidR="009A05ED" w:rsidRPr="00FC6261" w14:paraId="44B1A535" w14:textId="77777777" w:rsidTr="009A05ED">
        <w:trPr>
          <w:trHeight w:val="276"/>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1C30642F"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43</w:t>
            </w:r>
          </w:p>
        </w:tc>
        <w:tc>
          <w:tcPr>
            <w:tcW w:w="4877" w:type="dxa"/>
            <w:tcBorders>
              <w:top w:val="nil"/>
              <w:left w:val="nil"/>
              <w:bottom w:val="single" w:sz="4" w:space="0" w:color="auto"/>
              <w:right w:val="single" w:sz="4" w:space="0" w:color="auto"/>
            </w:tcBorders>
            <w:shd w:val="clear" w:color="auto" w:fill="auto"/>
            <w:noWrap/>
            <w:vAlign w:val="center"/>
            <w:hideMark/>
          </w:tcPr>
          <w:p w14:paraId="07801D32"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Wyznania religijne oraz mniejszości narodowe i etniczne</w:t>
            </w:r>
          </w:p>
        </w:tc>
        <w:tc>
          <w:tcPr>
            <w:tcW w:w="1276" w:type="dxa"/>
            <w:tcBorders>
              <w:top w:val="nil"/>
              <w:left w:val="nil"/>
              <w:bottom w:val="single" w:sz="4" w:space="0" w:color="auto"/>
              <w:right w:val="single" w:sz="4" w:space="0" w:color="auto"/>
            </w:tcBorders>
            <w:shd w:val="clear" w:color="auto" w:fill="auto"/>
            <w:noWrap/>
            <w:vAlign w:val="bottom"/>
          </w:tcPr>
          <w:p w14:paraId="58ECAA87" w14:textId="4AF00E0B"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284.857</w:t>
            </w:r>
          </w:p>
        </w:tc>
        <w:tc>
          <w:tcPr>
            <w:tcW w:w="1276" w:type="dxa"/>
            <w:tcBorders>
              <w:top w:val="nil"/>
              <w:left w:val="nil"/>
              <w:bottom w:val="single" w:sz="4" w:space="0" w:color="auto"/>
              <w:right w:val="single" w:sz="4" w:space="0" w:color="auto"/>
            </w:tcBorders>
            <w:shd w:val="clear" w:color="auto" w:fill="auto"/>
            <w:noWrap/>
            <w:vAlign w:val="bottom"/>
          </w:tcPr>
          <w:p w14:paraId="0A56F30F" w14:textId="1EC38578"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4B73D26" w14:textId="463512FD"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284.857</w:t>
            </w:r>
          </w:p>
        </w:tc>
      </w:tr>
      <w:tr w:rsidR="009A05ED" w:rsidRPr="00FC6261" w14:paraId="124C2C7D" w14:textId="77777777" w:rsidTr="009A05ED">
        <w:trPr>
          <w:trHeight w:val="276"/>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6E1BCA40"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44</w:t>
            </w:r>
          </w:p>
        </w:tc>
        <w:tc>
          <w:tcPr>
            <w:tcW w:w="4877" w:type="dxa"/>
            <w:tcBorders>
              <w:top w:val="nil"/>
              <w:left w:val="nil"/>
              <w:bottom w:val="single" w:sz="4" w:space="0" w:color="auto"/>
              <w:right w:val="single" w:sz="4" w:space="0" w:color="auto"/>
            </w:tcBorders>
            <w:shd w:val="clear" w:color="auto" w:fill="auto"/>
            <w:vAlign w:val="center"/>
            <w:hideMark/>
          </w:tcPr>
          <w:p w14:paraId="3B2AFDF3"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Zabezpieczenie społeczne</w:t>
            </w:r>
          </w:p>
        </w:tc>
        <w:tc>
          <w:tcPr>
            <w:tcW w:w="1276" w:type="dxa"/>
            <w:tcBorders>
              <w:top w:val="nil"/>
              <w:left w:val="nil"/>
              <w:bottom w:val="single" w:sz="4" w:space="0" w:color="auto"/>
              <w:right w:val="single" w:sz="4" w:space="0" w:color="auto"/>
            </w:tcBorders>
            <w:shd w:val="clear" w:color="auto" w:fill="auto"/>
            <w:noWrap/>
            <w:vAlign w:val="bottom"/>
          </w:tcPr>
          <w:p w14:paraId="7B5D2120" w14:textId="76578666"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3.948.195</w:t>
            </w:r>
          </w:p>
        </w:tc>
        <w:tc>
          <w:tcPr>
            <w:tcW w:w="1276" w:type="dxa"/>
            <w:tcBorders>
              <w:top w:val="nil"/>
              <w:left w:val="nil"/>
              <w:bottom w:val="single" w:sz="4" w:space="0" w:color="auto"/>
              <w:right w:val="single" w:sz="4" w:space="0" w:color="auto"/>
            </w:tcBorders>
            <w:shd w:val="clear" w:color="auto" w:fill="auto"/>
            <w:noWrap/>
            <w:vAlign w:val="bottom"/>
          </w:tcPr>
          <w:p w14:paraId="3ECCBE43" w14:textId="4DE42263"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FABF112" w14:textId="7D265803"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3.948.195</w:t>
            </w:r>
          </w:p>
        </w:tc>
      </w:tr>
      <w:tr w:rsidR="009A05ED" w:rsidRPr="00FC6261" w14:paraId="5EF0BA1A" w14:textId="77777777" w:rsidTr="009A05ED">
        <w:trPr>
          <w:trHeight w:val="276"/>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0F536EEF"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45</w:t>
            </w:r>
          </w:p>
        </w:tc>
        <w:tc>
          <w:tcPr>
            <w:tcW w:w="4877" w:type="dxa"/>
            <w:tcBorders>
              <w:top w:val="nil"/>
              <w:left w:val="nil"/>
              <w:bottom w:val="single" w:sz="4" w:space="0" w:color="auto"/>
              <w:right w:val="single" w:sz="4" w:space="0" w:color="auto"/>
            </w:tcBorders>
            <w:shd w:val="clear" w:color="auto" w:fill="auto"/>
            <w:noWrap/>
            <w:vAlign w:val="center"/>
            <w:hideMark/>
          </w:tcPr>
          <w:p w14:paraId="0ED39128"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Sprawy zagraniczne</w:t>
            </w:r>
          </w:p>
        </w:tc>
        <w:tc>
          <w:tcPr>
            <w:tcW w:w="1276" w:type="dxa"/>
            <w:tcBorders>
              <w:top w:val="nil"/>
              <w:left w:val="nil"/>
              <w:bottom w:val="single" w:sz="4" w:space="0" w:color="auto"/>
              <w:right w:val="single" w:sz="4" w:space="0" w:color="auto"/>
            </w:tcBorders>
            <w:shd w:val="clear" w:color="auto" w:fill="auto"/>
            <w:noWrap/>
            <w:vAlign w:val="bottom"/>
          </w:tcPr>
          <w:p w14:paraId="65746633" w14:textId="16CBDF0F"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3.223.772</w:t>
            </w:r>
          </w:p>
        </w:tc>
        <w:tc>
          <w:tcPr>
            <w:tcW w:w="1276" w:type="dxa"/>
            <w:tcBorders>
              <w:top w:val="nil"/>
              <w:left w:val="nil"/>
              <w:bottom w:val="single" w:sz="4" w:space="0" w:color="auto"/>
              <w:right w:val="single" w:sz="4" w:space="0" w:color="auto"/>
            </w:tcBorders>
            <w:shd w:val="clear" w:color="auto" w:fill="auto"/>
            <w:noWrap/>
            <w:vAlign w:val="bottom"/>
          </w:tcPr>
          <w:p w14:paraId="3D8194FC" w14:textId="440808FB"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F3D54F3" w14:textId="430B5EB4"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3.223.772</w:t>
            </w:r>
          </w:p>
        </w:tc>
      </w:tr>
      <w:tr w:rsidR="009A05ED" w:rsidRPr="00FC6261" w14:paraId="79A3002E" w14:textId="77777777" w:rsidTr="009A05ED">
        <w:trPr>
          <w:trHeight w:val="276"/>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542070C1"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46</w:t>
            </w:r>
          </w:p>
        </w:tc>
        <w:tc>
          <w:tcPr>
            <w:tcW w:w="4877" w:type="dxa"/>
            <w:tcBorders>
              <w:top w:val="nil"/>
              <w:left w:val="nil"/>
              <w:bottom w:val="single" w:sz="4" w:space="0" w:color="auto"/>
              <w:right w:val="single" w:sz="4" w:space="0" w:color="auto"/>
            </w:tcBorders>
            <w:shd w:val="clear" w:color="auto" w:fill="auto"/>
            <w:noWrap/>
            <w:vAlign w:val="center"/>
            <w:hideMark/>
          </w:tcPr>
          <w:p w14:paraId="7B9278DF"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Zdrowie</w:t>
            </w:r>
          </w:p>
        </w:tc>
        <w:tc>
          <w:tcPr>
            <w:tcW w:w="1276" w:type="dxa"/>
            <w:tcBorders>
              <w:top w:val="nil"/>
              <w:left w:val="nil"/>
              <w:bottom w:val="single" w:sz="4" w:space="0" w:color="auto"/>
              <w:right w:val="single" w:sz="4" w:space="0" w:color="auto"/>
            </w:tcBorders>
            <w:shd w:val="clear" w:color="auto" w:fill="auto"/>
            <w:noWrap/>
            <w:vAlign w:val="bottom"/>
          </w:tcPr>
          <w:p w14:paraId="3D33FE45" w14:textId="2638FA6C"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27.362.788</w:t>
            </w:r>
          </w:p>
        </w:tc>
        <w:tc>
          <w:tcPr>
            <w:tcW w:w="1276" w:type="dxa"/>
            <w:tcBorders>
              <w:top w:val="nil"/>
              <w:left w:val="nil"/>
              <w:bottom w:val="single" w:sz="4" w:space="0" w:color="auto"/>
              <w:right w:val="single" w:sz="4" w:space="0" w:color="auto"/>
            </w:tcBorders>
            <w:shd w:val="clear" w:color="auto" w:fill="auto"/>
            <w:noWrap/>
            <w:vAlign w:val="bottom"/>
          </w:tcPr>
          <w:p w14:paraId="0EAE6F44" w14:textId="0A12316D" w:rsidR="009A05ED" w:rsidRPr="009A05ED" w:rsidRDefault="009A05ED" w:rsidP="009A05ED">
            <w:pPr>
              <w:spacing w:after="0" w:line="240" w:lineRule="auto"/>
              <w:jc w:val="right"/>
              <w:rPr>
                <w:rFonts w:ascii="Arial" w:eastAsia="Times New Roman" w:hAnsi="Arial" w:cs="Arial"/>
                <w:sz w:val="18"/>
                <w:szCs w:val="18"/>
                <w:lang w:eastAsia="pl-PL"/>
              </w:rPr>
            </w:pPr>
            <w:r w:rsidRPr="009A05ED">
              <w:rPr>
                <w:rFonts w:ascii="Arial" w:hAnsi="Arial" w:cs="Arial"/>
                <w:color w:val="000000"/>
                <w:sz w:val="18"/>
                <w:szCs w:val="18"/>
              </w:rPr>
              <w:t>1.200.000</w:t>
            </w:r>
          </w:p>
        </w:tc>
        <w:tc>
          <w:tcPr>
            <w:tcW w:w="1275" w:type="dxa"/>
            <w:tcBorders>
              <w:top w:val="nil"/>
              <w:left w:val="nil"/>
              <w:bottom w:val="single" w:sz="4" w:space="0" w:color="auto"/>
              <w:right w:val="single" w:sz="4" w:space="0" w:color="auto"/>
            </w:tcBorders>
            <w:shd w:val="clear" w:color="auto" w:fill="auto"/>
            <w:noWrap/>
            <w:vAlign w:val="bottom"/>
          </w:tcPr>
          <w:p w14:paraId="54EF4125" w14:textId="263D03B9"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28.562.788</w:t>
            </w:r>
          </w:p>
        </w:tc>
      </w:tr>
      <w:tr w:rsidR="009A05ED" w:rsidRPr="00FC6261" w14:paraId="284F7BA3" w14:textId="77777777" w:rsidTr="009A05ED">
        <w:trPr>
          <w:trHeight w:val="276"/>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7D4AD972"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47</w:t>
            </w:r>
          </w:p>
        </w:tc>
        <w:tc>
          <w:tcPr>
            <w:tcW w:w="4877" w:type="dxa"/>
            <w:tcBorders>
              <w:top w:val="nil"/>
              <w:left w:val="nil"/>
              <w:bottom w:val="single" w:sz="4" w:space="0" w:color="auto"/>
              <w:right w:val="single" w:sz="4" w:space="0" w:color="auto"/>
            </w:tcBorders>
            <w:shd w:val="clear" w:color="auto" w:fill="auto"/>
            <w:noWrap/>
            <w:vAlign w:val="center"/>
            <w:hideMark/>
          </w:tcPr>
          <w:p w14:paraId="3B84EA9E"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Energia</w:t>
            </w:r>
          </w:p>
        </w:tc>
        <w:tc>
          <w:tcPr>
            <w:tcW w:w="1276" w:type="dxa"/>
            <w:tcBorders>
              <w:top w:val="nil"/>
              <w:left w:val="nil"/>
              <w:bottom w:val="single" w:sz="4" w:space="0" w:color="auto"/>
              <w:right w:val="single" w:sz="4" w:space="0" w:color="auto"/>
            </w:tcBorders>
            <w:shd w:val="clear" w:color="auto" w:fill="auto"/>
            <w:noWrap/>
            <w:vAlign w:val="bottom"/>
          </w:tcPr>
          <w:p w14:paraId="75298124" w14:textId="72EBCF02"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173.983</w:t>
            </w:r>
          </w:p>
        </w:tc>
        <w:tc>
          <w:tcPr>
            <w:tcW w:w="1276" w:type="dxa"/>
            <w:tcBorders>
              <w:top w:val="nil"/>
              <w:left w:val="nil"/>
              <w:bottom w:val="single" w:sz="4" w:space="0" w:color="auto"/>
              <w:right w:val="single" w:sz="4" w:space="0" w:color="auto"/>
            </w:tcBorders>
            <w:shd w:val="clear" w:color="auto" w:fill="auto"/>
            <w:noWrap/>
            <w:vAlign w:val="bottom"/>
          </w:tcPr>
          <w:p w14:paraId="544C48CC" w14:textId="034D56EF"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D91AABB" w14:textId="0DC48C01"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173.983</w:t>
            </w:r>
          </w:p>
        </w:tc>
      </w:tr>
      <w:tr w:rsidR="009A05ED" w:rsidRPr="00FC6261" w14:paraId="6AA6A5F6" w14:textId="77777777" w:rsidTr="009A05ED">
        <w:trPr>
          <w:trHeight w:val="276"/>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0C46DC6F"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48</w:t>
            </w:r>
          </w:p>
        </w:tc>
        <w:tc>
          <w:tcPr>
            <w:tcW w:w="4877" w:type="dxa"/>
            <w:tcBorders>
              <w:top w:val="nil"/>
              <w:left w:val="nil"/>
              <w:bottom w:val="single" w:sz="4" w:space="0" w:color="auto"/>
              <w:right w:val="single" w:sz="4" w:space="0" w:color="auto"/>
            </w:tcBorders>
            <w:shd w:val="clear" w:color="auto" w:fill="auto"/>
            <w:noWrap/>
            <w:vAlign w:val="center"/>
            <w:hideMark/>
          </w:tcPr>
          <w:p w14:paraId="158334FD" w14:textId="1720FAA4" w:rsidR="009A05ED" w:rsidRPr="00E1467D" w:rsidRDefault="009A05ED" w:rsidP="009A05ED">
            <w:pPr>
              <w:spacing w:after="0" w:line="240" w:lineRule="auto"/>
              <w:rPr>
                <w:rFonts w:ascii="Arial" w:eastAsia="Times New Roman" w:hAnsi="Arial" w:cs="Arial"/>
                <w:sz w:val="18"/>
                <w:szCs w:val="18"/>
                <w:lang w:eastAsia="pl-PL"/>
              </w:rPr>
            </w:pPr>
            <w:r w:rsidRPr="00E1467D">
              <w:rPr>
                <w:rFonts w:ascii="Arial" w:eastAsia="Times New Roman" w:hAnsi="Arial" w:cs="Arial"/>
                <w:sz w:val="18"/>
                <w:szCs w:val="18"/>
                <w:lang w:eastAsia="pl-PL"/>
              </w:rPr>
              <w:t xml:space="preserve">Gospodarka </w:t>
            </w:r>
            <w:r>
              <w:rPr>
                <w:rFonts w:ascii="Arial" w:eastAsia="Times New Roman" w:hAnsi="Arial" w:cs="Arial"/>
                <w:sz w:val="18"/>
                <w:szCs w:val="18"/>
                <w:lang w:eastAsia="pl-PL"/>
              </w:rPr>
              <w:t>z</w:t>
            </w:r>
            <w:r w:rsidRPr="00E1467D">
              <w:rPr>
                <w:rFonts w:ascii="Arial" w:eastAsia="Times New Roman" w:hAnsi="Arial" w:cs="Arial"/>
                <w:sz w:val="18"/>
                <w:szCs w:val="18"/>
                <w:lang w:eastAsia="pl-PL"/>
              </w:rPr>
              <w:t xml:space="preserve">łożami </w:t>
            </w:r>
            <w:r>
              <w:rPr>
                <w:rFonts w:ascii="Arial" w:eastAsia="Times New Roman" w:hAnsi="Arial" w:cs="Arial"/>
                <w:sz w:val="18"/>
                <w:szCs w:val="18"/>
                <w:lang w:eastAsia="pl-PL"/>
              </w:rPr>
              <w:t>k</w:t>
            </w:r>
            <w:r w:rsidRPr="00E1467D">
              <w:rPr>
                <w:rFonts w:ascii="Arial" w:eastAsia="Times New Roman" w:hAnsi="Arial" w:cs="Arial"/>
                <w:sz w:val="18"/>
                <w:szCs w:val="18"/>
                <w:lang w:eastAsia="pl-PL"/>
              </w:rPr>
              <w:t>opalin</w:t>
            </w:r>
          </w:p>
        </w:tc>
        <w:tc>
          <w:tcPr>
            <w:tcW w:w="1276" w:type="dxa"/>
            <w:tcBorders>
              <w:top w:val="nil"/>
              <w:left w:val="nil"/>
              <w:bottom w:val="single" w:sz="4" w:space="0" w:color="auto"/>
              <w:right w:val="single" w:sz="4" w:space="0" w:color="auto"/>
            </w:tcBorders>
            <w:shd w:val="clear" w:color="auto" w:fill="auto"/>
            <w:noWrap/>
            <w:vAlign w:val="bottom"/>
          </w:tcPr>
          <w:p w14:paraId="65949D42" w14:textId="5B716E65"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2.385.458</w:t>
            </w:r>
          </w:p>
        </w:tc>
        <w:tc>
          <w:tcPr>
            <w:tcW w:w="1276" w:type="dxa"/>
            <w:tcBorders>
              <w:top w:val="nil"/>
              <w:left w:val="nil"/>
              <w:bottom w:val="single" w:sz="4" w:space="0" w:color="auto"/>
              <w:right w:val="single" w:sz="4" w:space="0" w:color="auto"/>
            </w:tcBorders>
            <w:shd w:val="clear" w:color="auto" w:fill="auto"/>
            <w:noWrap/>
            <w:vAlign w:val="bottom"/>
          </w:tcPr>
          <w:p w14:paraId="1161D488" w14:textId="490CC8D2"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12319EE" w14:textId="483BB3E4"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2.385.458</w:t>
            </w:r>
          </w:p>
        </w:tc>
      </w:tr>
      <w:tr w:rsidR="009A05ED" w:rsidRPr="00FC6261" w14:paraId="345A6ADF" w14:textId="77777777" w:rsidTr="009A05ED">
        <w:trPr>
          <w:trHeight w:val="276"/>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1639BACB"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49</w:t>
            </w:r>
          </w:p>
        </w:tc>
        <w:tc>
          <w:tcPr>
            <w:tcW w:w="4877" w:type="dxa"/>
            <w:tcBorders>
              <w:top w:val="nil"/>
              <w:left w:val="nil"/>
              <w:bottom w:val="single" w:sz="4" w:space="0" w:color="auto"/>
              <w:right w:val="single" w:sz="4" w:space="0" w:color="auto"/>
            </w:tcBorders>
            <w:shd w:val="clear" w:color="auto" w:fill="auto"/>
            <w:noWrap/>
            <w:vAlign w:val="center"/>
            <w:hideMark/>
          </w:tcPr>
          <w:p w14:paraId="3FBFAADA"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Urząd Zamówień Publicznych</w:t>
            </w:r>
          </w:p>
        </w:tc>
        <w:tc>
          <w:tcPr>
            <w:tcW w:w="1276" w:type="dxa"/>
            <w:tcBorders>
              <w:top w:val="nil"/>
              <w:left w:val="nil"/>
              <w:bottom w:val="single" w:sz="4" w:space="0" w:color="auto"/>
              <w:right w:val="single" w:sz="4" w:space="0" w:color="auto"/>
            </w:tcBorders>
            <w:shd w:val="clear" w:color="auto" w:fill="auto"/>
            <w:noWrap/>
            <w:vAlign w:val="bottom"/>
          </w:tcPr>
          <w:p w14:paraId="370A545F" w14:textId="29A4FD79"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50.592</w:t>
            </w:r>
          </w:p>
        </w:tc>
        <w:tc>
          <w:tcPr>
            <w:tcW w:w="1276" w:type="dxa"/>
            <w:tcBorders>
              <w:top w:val="nil"/>
              <w:left w:val="nil"/>
              <w:bottom w:val="single" w:sz="4" w:space="0" w:color="auto"/>
              <w:right w:val="single" w:sz="4" w:space="0" w:color="auto"/>
            </w:tcBorders>
            <w:shd w:val="clear" w:color="auto" w:fill="auto"/>
            <w:noWrap/>
            <w:vAlign w:val="bottom"/>
          </w:tcPr>
          <w:p w14:paraId="22539EEC" w14:textId="0A80EA66"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D04987A" w14:textId="35710E24"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50.592</w:t>
            </w:r>
          </w:p>
        </w:tc>
      </w:tr>
      <w:tr w:rsidR="009A05ED" w:rsidRPr="00FC6261" w14:paraId="7D140E81" w14:textId="77777777" w:rsidTr="009A05ED">
        <w:trPr>
          <w:trHeight w:val="276"/>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0BC2ABE1"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50</w:t>
            </w:r>
          </w:p>
        </w:tc>
        <w:tc>
          <w:tcPr>
            <w:tcW w:w="4877" w:type="dxa"/>
            <w:tcBorders>
              <w:top w:val="nil"/>
              <w:left w:val="nil"/>
              <w:bottom w:val="single" w:sz="4" w:space="0" w:color="auto"/>
              <w:right w:val="single" w:sz="4" w:space="0" w:color="auto"/>
            </w:tcBorders>
            <w:shd w:val="clear" w:color="auto" w:fill="auto"/>
            <w:noWrap/>
            <w:vAlign w:val="center"/>
            <w:hideMark/>
          </w:tcPr>
          <w:p w14:paraId="4648996D"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Urząd Regulacji Energetyki</w:t>
            </w:r>
          </w:p>
        </w:tc>
        <w:tc>
          <w:tcPr>
            <w:tcW w:w="1276" w:type="dxa"/>
            <w:tcBorders>
              <w:top w:val="nil"/>
              <w:left w:val="nil"/>
              <w:bottom w:val="single" w:sz="4" w:space="0" w:color="auto"/>
              <w:right w:val="single" w:sz="4" w:space="0" w:color="auto"/>
            </w:tcBorders>
            <w:shd w:val="clear" w:color="auto" w:fill="auto"/>
            <w:noWrap/>
            <w:vAlign w:val="bottom"/>
          </w:tcPr>
          <w:p w14:paraId="6A32B766" w14:textId="399CCA32"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89.542</w:t>
            </w:r>
          </w:p>
        </w:tc>
        <w:tc>
          <w:tcPr>
            <w:tcW w:w="1276" w:type="dxa"/>
            <w:tcBorders>
              <w:top w:val="nil"/>
              <w:left w:val="nil"/>
              <w:bottom w:val="single" w:sz="4" w:space="0" w:color="auto"/>
              <w:right w:val="single" w:sz="4" w:space="0" w:color="auto"/>
            </w:tcBorders>
            <w:shd w:val="clear" w:color="auto" w:fill="auto"/>
            <w:noWrap/>
            <w:vAlign w:val="bottom"/>
          </w:tcPr>
          <w:p w14:paraId="36B2A4DD" w14:textId="0EAD07D3"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E6B7FD5" w14:textId="4D384C86"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89.542</w:t>
            </w:r>
          </w:p>
        </w:tc>
      </w:tr>
      <w:tr w:rsidR="009A05ED" w:rsidRPr="00FC6261" w14:paraId="1A6321D4" w14:textId="77777777" w:rsidTr="009A05ED">
        <w:trPr>
          <w:trHeight w:val="276"/>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057D5C15"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51</w:t>
            </w:r>
          </w:p>
        </w:tc>
        <w:tc>
          <w:tcPr>
            <w:tcW w:w="4877" w:type="dxa"/>
            <w:tcBorders>
              <w:top w:val="nil"/>
              <w:left w:val="nil"/>
              <w:bottom w:val="single" w:sz="4" w:space="0" w:color="auto"/>
              <w:right w:val="single" w:sz="4" w:space="0" w:color="auto"/>
            </w:tcBorders>
            <w:shd w:val="clear" w:color="auto" w:fill="auto"/>
            <w:noWrap/>
            <w:vAlign w:val="center"/>
            <w:hideMark/>
          </w:tcPr>
          <w:p w14:paraId="354256CA"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 xml:space="preserve">Klimat </w:t>
            </w:r>
          </w:p>
        </w:tc>
        <w:tc>
          <w:tcPr>
            <w:tcW w:w="1276" w:type="dxa"/>
            <w:tcBorders>
              <w:top w:val="nil"/>
              <w:left w:val="nil"/>
              <w:bottom w:val="single" w:sz="4" w:space="0" w:color="auto"/>
              <w:right w:val="single" w:sz="4" w:space="0" w:color="auto"/>
            </w:tcBorders>
            <w:shd w:val="clear" w:color="auto" w:fill="auto"/>
            <w:noWrap/>
            <w:vAlign w:val="bottom"/>
          </w:tcPr>
          <w:p w14:paraId="4D084FF6" w14:textId="4F05C5B1"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466.531</w:t>
            </w:r>
          </w:p>
        </w:tc>
        <w:tc>
          <w:tcPr>
            <w:tcW w:w="1276" w:type="dxa"/>
            <w:tcBorders>
              <w:top w:val="nil"/>
              <w:left w:val="nil"/>
              <w:bottom w:val="single" w:sz="4" w:space="0" w:color="auto"/>
              <w:right w:val="single" w:sz="4" w:space="0" w:color="auto"/>
            </w:tcBorders>
            <w:shd w:val="clear" w:color="auto" w:fill="auto"/>
            <w:noWrap/>
            <w:vAlign w:val="bottom"/>
          </w:tcPr>
          <w:p w14:paraId="52F05C45" w14:textId="1F11E90B"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A109CFA" w14:textId="03DC9B88"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466.531</w:t>
            </w:r>
          </w:p>
        </w:tc>
      </w:tr>
      <w:tr w:rsidR="009A05ED" w:rsidRPr="00FC6261" w14:paraId="14C8515D" w14:textId="77777777" w:rsidTr="009A05ED">
        <w:trPr>
          <w:trHeight w:val="276"/>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681570EB"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52</w:t>
            </w:r>
          </w:p>
        </w:tc>
        <w:tc>
          <w:tcPr>
            <w:tcW w:w="4877" w:type="dxa"/>
            <w:tcBorders>
              <w:top w:val="nil"/>
              <w:left w:val="nil"/>
              <w:bottom w:val="single" w:sz="4" w:space="0" w:color="auto"/>
              <w:right w:val="single" w:sz="4" w:space="0" w:color="auto"/>
            </w:tcBorders>
            <w:shd w:val="clear" w:color="auto" w:fill="auto"/>
            <w:noWrap/>
            <w:vAlign w:val="center"/>
            <w:hideMark/>
          </w:tcPr>
          <w:p w14:paraId="1999DC56"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Krajowa Rada Sądownictwa</w:t>
            </w:r>
          </w:p>
        </w:tc>
        <w:tc>
          <w:tcPr>
            <w:tcW w:w="1276" w:type="dxa"/>
            <w:tcBorders>
              <w:top w:val="nil"/>
              <w:left w:val="nil"/>
              <w:bottom w:val="single" w:sz="4" w:space="0" w:color="auto"/>
              <w:right w:val="single" w:sz="4" w:space="0" w:color="auto"/>
            </w:tcBorders>
            <w:shd w:val="clear" w:color="auto" w:fill="auto"/>
            <w:noWrap/>
            <w:vAlign w:val="bottom"/>
          </w:tcPr>
          <w:p w14:paraId="3EA69779" w14:textId="2B7DF5DD"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24.938</w:t>
            </w:r>
          </w:p>
        </w:tc>
        <w:tc>
          <w:tcPr>
            <w:tcW w:w="1276" w:type="dxa"/>
            <w:tcBorders>
              <w:top w:val="nil"/>
              <w:left w:val="nil"/>
              <w:bottom w:val="single" w:sz="4" w:space="0" w:color="auto"/>
              <w:right w:val="single" w:sz="4" w:space="0" w:color="auto"/>
            </w:tcBorders>
            <w:shd w:val="clear" w:color="auto" w:fill="auto"/>
            <w:noWrap/>
            <w:vAlign w:val="bottom"/>
          </w:tcPr>
          <w:p w14:paraId="180DDAB2" w14:textId="0D26181A"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68B9B0E" w14:textId="414764A2"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24.938</w:t>
            </w:r>
          </w:p>
        </w:tc>
      </w:tr>
      <w:tr w:rsidR="009A05ED" w:rsidRPr="00FC6261" w14:paraId="0FC5A836" w14:textId="77777777" w:rsidTr="009A05ED">
        <w:trPr>
          <w:trHeight w:val="288"/>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63E61820"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53</w:t>
            </w:r>
          </w:p>
        </w:tc>
        <w:tc>
          <w:tcPr>
            <w:tcW w:w="4877" w:type="dxa"/>
            <w:tcBorders>
              <w:top w:val="nil"/>
              <w:left w:val="nil"/>
              <w:bottom w:val="single" w:sz="4" w:space="0" w:color="auto"/>
              <w:right w:val="single" w:sz="4" w:space="0" w:color="auto"/>
            </w:tcBorders>
            <w:shd w:val="clear" w:color="auto" w:fill="auto"/>
            <w:noWrap/>
            <w:vAlign w:val="center"/>
            <w:hideMark/>
          </w:tcPr>
          <w:p w14:paraId="0D387E70"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Urząd Ochrony Konkurencji i Konsumentów</w:t>
            </w:r>
          </w:p>
        </w:tc>
        <w:tc>
          <w:tcPr>
            <w:tcW w:w="1276" w:type="dxa"/>
            <w:tcBorders>
              <w:top w:val="nil"/>
              <w:left w:val="nil"/>
              <w:bottom w:val="single" w:sz="4" w:space="0" w:color="auto"/>
              <w:right w:val="single" w:sz="4" w:space="0" w:color="auto"/>
            </w:tcBorders>
            <w:shd w:val="clear" w:color="auto" w:fill="auto"/>
            <w:noWrap/>
            <w:vAlign w:val="bottom"/>
          </w:tcPr>
          <w:p w14:paraId="4B573700" w14:textId="1A4DDB9B"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173.306</w:t>
            </w:r>
          </w:p>
        </w:tc>
        <w:tc>
          <w:tcPr>
            <w:tcW w:w="1276" w:type="dxa"/>
            <w:tcBorders>
              <w:top w:val="nil"/>
              <w:left w:val="nil"/>
              <w:bottom w:val="single" w:sz="4" w:space="0" w:color="auto"/>
              <w:right w:val="single" w:sz="4" w:space="0" w:color="auto"/>
            </w:tcBorders>
            <w:shd w:val="clear" w:color="auto" w:fill="auto"/>
            <w:noWrap/>
            <w:vAlign w:val="bottom"/>
          </w:tcPr>
          <w:p w14:paraId="6BE5CA32" w14:textId="09774D67"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98AE024" w14:textId="6AEC657A"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173.306</w:t>
            </w:r>
          </w:p>
        </w:tc>
      </w:tr>
      <w:tr w:rsidR="009A05ED" w:rsidRPr="00FC6261" w14:paraId="39629059" w14:textId="77777777" w:rsidTr="009A05ED">
        <w:trPr>
          <w:trHeight w:val="276"/>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2CD2DF02"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54</w:t>
            </w:r>
          </w:p>
        </w:tc>
        <w:tc>
          <w:tcPr>
            <w:tcW w:w="4877" w:type="dxa"/>
            <w:tcBorders>
              <w:top w:val="nil"/>
              <w:left w:val="nil"/>
              <w:bottom w:val="single" w:sz="4" w:space="0" w:color="auto"/>
              <w:right w:val="single" w:sz="4" w:space="0" w:color="auto"/>
            </w:tcBorders>
            <w:shd w:val="clear" w:color="auto" w:fill="auto"/>
            <w:noWrap/>
            <w:vAlign w:val="center"/>
            <w:hideMark/>
          </w:tcPr>
          <w:p w14:paraId="30C21CD4"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Urząd do Spraw Kombatantów i Osób Represjonowanych</w:t>
            </w:r>
          </w:p>
        </w:tc>
        <w:tc>
          <w:tcPr>
            <w:tcW w:w="1276" w:type="dxa"/>
            <w:tcBorders>
              <w:top w:val="nil"/>
              <w:left w:val="nil"/>
              <w:bottom w:val="single" w:sz="4" w:space="0" w:color="auto"/>
              <w:right w:val="single" w:sz="4" w:space="0" w:color="auto"/>
            </w:tcBorders>
            <w:shd w:val="clear" w:color="auto" w:fill="auto"/>
            <w:noWrap/>
            <w:vAlign w:val="bottom"/>
          </w:tcPr>
          <w:p w14:paraId="21D8C756" w14:textId="37EE8541"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390.065</w:t>
            </w:r>
          </w:p>
        </w:tc>
        <w:tc>
          <w:tcPr>
            <w:tcW w:w="1276" w:type="dxa"/>
            <w:tcBorders>
              <w:top w:val="nil"/>
              <w:left w:val="nil"/>
              <w:bottom w:val="single" w:sz="4" w:space="0" w:color="auto"/>
              <w:right w:val="single" w:sz="4" w:space="0" w:color="auto"/>
            </w:tcBorders>
            <w:shd w:val="clear" w:color="auto" w:fill="auto"/>
            <w:noWrap/>
            <w:vAlign w:val="bottom"/>
          </w:tcPr>
          <w:p w14:paraId="1463EB50" w14:textId="40E1257C"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84710F6" w14:textId="09FDF63B"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390.065</w:t>
            </w:r>
          </w:p>
        </w:tc>
      </w:tr>
      <w:tr w:rsidR="009A05ED" w:rsidRPr="00FC6261" w14:paraId="76BCBF22" w14:textId="77777777" w:rsidTr="009A05ED">
        <w:trPr>
          <w:trHeight w:val="264"/>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15487E27"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55</w:t>
            </w:r>
          </w:p>
        </w:tc>
        <w:tc>
          <w:tcPr>
            <w:tcW w:w="4877" w:type="dxa"/>
            <w:tcBorders>
              <w:top w:val="nil"/>
              <w:left w:val="nil"/>
              <w:bottom w:val="single" w:sz="4" w:space="0" w:color="auto"/>
              <w:right w:val="single" w:sz="4" w:space="0" w:color="auto"/>
            </w:tcBorders>
            <w:shd w:val="clear" w:color="auto" w:fill="auto"/>
            <w:noWrap/>
            <w:vAlign w:val="center"/>
            <w:hideMark/>
          </w:tcPr>
          <w:p w14:paraId="191C4D27"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 xml:space="preserve">Aktywa państwowe </w:t>
            </w:r>
          </w:p>
        </w:tc>
        <w:tc>
          <w:tcPr>
            <w:tcW w:w="1276" w:type="dxa"/>
            <w:tcBorders>
              <w:top w:val="nil"/>
              <w:left w:val="nil"/>
              <w:bottom w:val="single" w:sz="4" w:space="0" w:color="auto"/>
              <w:right w:val="single" w:sz="4" w:space="0" w:color="auto"/>
            </w:tcBorders>
            <w:shd w:val="clear" w:color="auto" w:fill="auto"/>
            <w:noWrap/>
            <w:vAlign w:val="bottom"/>
          </w:tcPr>
          <w:p w14:paraId="6DC8805F" w14:textId="547ACE14"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100.099</w:t>
            </w:r>
          </w:p>
        </w:tc>
        <w:tc>
          <w:tcPr>
            <w:tcW w:w="1276" w:type="dxa"/>
            <w:tcBorders>
              <w:top w:val="nil"/>
              <w:left w:val="nil"/>
              <w:bottom w:val="single" w:sz="4" w:space="0" w:color="auto"/>
              <w:right w:val="single" w:sz="4" w:space="0" w:color="auto"/>
            </w:tcBorders>
            <w:shd w:val="clear" w:color="auto" w:fill="auto"/>
            <w:noWrap/>
            <w:vAlign w:val="bottom"/>
          </w:tcPr>
          <w:p w14:paraId="3FF1A6FC" w14:textId="1867E150"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49FEFBC" w14:textId="6EDBE11D"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100.099</w:t>
            </w:r>
          </w:p>
        </w:tc>
      </w:tr>
      <w:tr w:rsidR="009A05ED" w:rsidRPr="00FC6261" w14:paraId="19600E70" w14:textId="77777777" w:rsidTr="009A05ED">
        <w:trPr>
          <w:trHeight w:val="264"/>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41FD7243"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56</w:t>
            </w:r>
          </w:p>
        </w:tc>
        <w:tc>
          <w:tcPr>
            <w:tcW w:w="4877" w:type="dxa"/>
            <w:tcBorders>
              <w:top w:val="nil"/>
              <w:left w:val="nil"/>
              <w:bottom w:val="single" w:sz="4" w:space="0" w:color="auto"/>
              <w:right w:val="single" w:sz="4" w:space="0" w:color="auto"/>
            </w:tcBorders>
            <w:shd w:val="clear" w:color="auto" w:fill="auto"/>
            <w:noWrap/>
            <w:vAlign w:val="center"/>
            <w:hideMark/>
          </w:tcPr>
          <w:p w14:paraId="3315585F"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Centralne Biuro Antykorupcyjne</w:t>
            </w:r>
          </w:p>
        </w:tc>
        <w:tc>
          <w:tcPr>
            <w:tcW w:w="1276" w:type="dxa"/>
            <w:tcBorders>
              <w:top w:val="nil"/>
              <w:left w:val="nil"/>
              <w:bottom w:val="single" w:sz="4" w:space="0" w:color="auto"/>
              <w:right w:val="single" w:sz="4" w:space="0" w:color="auto"/>
            </w:tcBorders>
            <w:shd w:val="clear" w:color="auto" w:fill="auto"/>
            <w:noWrap/>
            <w:vAlign w:val="bottom"/>
          </w:tcPr>
          <w:p w14:paraId="54EBFACB" w14:textId="0640A957"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312.185</w:t>
            </w:r>
          </w:p>
        </w:tc>
        <w:tc>
          <w:tcPr>
            <w:tcW w:w="1276" w:type="dxa"/>
            <w:tcBorders>
              <w:top w:val="nil"/>
              <w:left w:val="nil"/>
              <w:bottom w:val="single" w:sz="4" w:space="0" w:color="auto"/>
              <w:right w:val="single" w:sz="4" w:space="0" w:color="auto"/>
            </w:tcBorders>
            <w:shd w:val="clear" w:color="auto" w:fill="auto"/>
            <w:noWrap/>
            <w:vAlign w:val="bottom"/>
          </w:tcPr>
          <w:p w14:paraId="7C01261E" w14:textId="643B76AD"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3204E13" w14:textId="045811C5"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312.185</w:t>
            </w:r>
          </w:p>
        </w:tc>
      </w:tr>
      <w:tr w:rsidR="009A05ED" w:rsidRPr="00FC6261" w14:paraId="2A302E69" w14:textId="77777777" w:rsidTr="009A05ED">
        <w:trPr>
          <w:trHeight w:val="264"/>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1516A8DF"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57</w:t>
            </w:r>
          </w:p>
        </w:tc>
        <w:tc>
          <w:tcPr>
            <w:tcW w:w="4877" w:type="dxa"/>
            <w:tcBorders>
              <w:top w:val="nil"/>
              <w:left w:val="nil"/>
              <w:bottom w:val="single" w:sz="4" w:space="0" w:color="auto"/>
              <w:right w:val="single" w:sz="4" w:space="0" w:color="auto"/>
            </w:tcBorders>
            <w:shd w:val="clear" w:color="auto" w:fill="auto"/>
            <w:noWrap/>
            <w:vAlign w:val="center"/>
            <w:hideMark/>
          </w:tcPr>
          <w:p w14:paraId="21591FBF"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Agencja Bezpieczeństwa Wewnętrznego</w:t>
            </w:r>
          </w:p>
        </w:tc>
        <w:tc>
          <w:tcPr>
            <w:tcW w:w="1276" w:type="dxa"/>
            <w:tcBorders>
              <w:top w:val="nil"/>
              <w:left w:val="nil"/>
              <w:bottom w:val="single" w:sz="4" w:space="0" w:color="auto"/>
              <w:right w:val="single" w:sz="4" w:space="0" w:color="auto"/>
            </w:tcBorders>
            <w:shd w:val="clear" w:color="auto" w:fill="auto"/>
            <w:noWrap/>
            <w:vAlign w:val="bottom"/>
          </w:tcPr>
          <w:p w14:paraId="7323A6B8" w14:textId="79AD1A6F"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844.288</w:t>
            </w:r>
          </w:p>
        </w:tc>
        <w:tc>
          <w:tcPr>
            <w:tcW w:w="1276" w:type="dxa"/>
            <w:tcBorders>
              <w:top w:val="nil"/>
              <w:left w:val="nil"/>
              <w:bottom w:val="single" w:sz="4" w:space="0" w:color="auto"/>
              <w:right w:val="single" w:sz="4" w:space="0" w:color="auto"/>
            </w:tcBorders>
            <w:shd w:val="clear" w:color="auto" w:fill="auto"/>
            <w:noWrap/>
            <w:vAlign w:val="bottom"/>
          </w:tcPr>
          <w:p w14:paraId="39BFD3DC" w14:textId="5844C907"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F2F71DF" w14:textId="41AE6C56"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844.288</w:t>
            </w:r>
          </w:p>
        </w:tc>
      </w:tr>
      <w:tr w:rsidR="009A05ED" w:rsidRPr="00FC6261" w14:paraId="61FCDD37" w14:textId="77777777" w:rsidTr="009A05ED">
        <w:trPr>
          <w:trHeight w:val="264"/>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1571470B"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58</w:t>
            </w:r>
          </w:p>
        </w:tc>
        <w:tc>
          <w:tcPr>
            <w:tcW w:w="4877" w:type="dxa"/>
            <w:tcBorders>
              <w:top w:val="nil"/>
              <w:left w:val="nil"/>
              <w:bottom w:val="single" w:sz="4" w:space="0" w:color="auto"/>
              <w:right w:val="single" w:sz="4" w:space="0" w:color="auto"/>
            </w:tcBorders>
            <w:shd w:val="clear" w:color="auto" w:fill="auto"/>
            <w:noWrap/>
            <w:vAlign w:val="center"/>
            <w:hideMark/>
          </w:tcPr>
          <w:p w14:paraId="35BF1CC1"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Główny Urząd Statystyczny</w:t>
            </w:r>
          </w:p>
        </w:tc>
        <w:tc>
          <w:tcPr>
            <w:tcW w:w="1276" w:type="dxa"/>
            <w:tcBorders>
              <w:top w:val="nil"/>
              <w:left w:val="nil"/>
              <w:bottom w:val="single" w:sz="4" w:space="0" w:color="auto"/>
              <w:right w:val="single" w:sz="4" w:space="0" w:color="auto"/>
            </w:tcBorders>
            <w:shd w:val="clear" w:color="auto" w:fill="auto"/>
            <w:noWrap/>
            <w:vAlign w:val="bottom"/>
          </w:tcPr>
          <w:p w14:paraId="7FBEF4F2" w14:textId="00DC1E7F"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734.393</w:t>
            </w:r>
          </w:p>
        </w:tc>
        <w:tc>
          <w:tcPr>
            <w:tcW w:w="1276" w:type="dxa"/>
            <w:tcBorders>
              <w:top w:val="nil"/>
              <w:left w:val="nil"/>
              <w:bottom w:val="single" w:sz="4" w:space="0" w:color="auto"/>
              <w:right w:val="single" w:sz="4" w:space="0" w:color="auto"/>
            </w:tcBorders>
            <w:shd w:val="clear" w:color="auto" w:fill="auto"/>
            <w:noWrap/>
            <w:vAlign w:val="bottom"/>
          </w:tcPr>
          <w:p w14:paraId="5BC7EA23" w14:textId="61E0E6E2"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F6E353B" w14:textId="5B7EFACE"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734.393</w:t>
            </w:r>
          </w:p>
        </w:tc>
      </w:tr>
      <w:tr w:rsidR="009A05ED" w:rsidRPr="00FC6261" w14:paraId="4EF6A5AE" w14:textId="77777777" w:rsidTr="009A05ED">
        <w:trPr>
          <w:trHeight w:val="264"/>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3CBF7D71"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59</w:t>
            </w:r>
          </w:p>
        </w:tc>
        <w:tc>
          <w:tcPr>
            <w:tcW w:w="4877" w:type="dxa"/>
            <w:tcBorders>
              <w:top w:val="nil"/>
              <w:left w:val="nil"/>
              <w:bottom w:val="single" w:sz="4" w:space="0" w:color="auto"/>
              <w:right w:val="single" w:sz="4" w:space="0" w:color="auto"/>
            </w:tcBorders>
            <w:shd w:val="clear" w:color="auto" w:fill="auto"/>
            <w:noWrap/>
            <w:vAlign w:val="center"/>
            <w:hideMark/>
          </w:tcPr>
          <w:p w14:paraId="193C3890"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Agencja Wywiadu</w:t>
            </w:r>
          </w:p>
        </w:tc>
        <w:tc>
          <w:tcPr>
            <w:tcW w:w="1276" w:type="dxa"/>
            <w:tcBorders>
              <w:top w:val="nil"/>
              <w:left w:val="nil"/>
              <w:bottom w:val="single" w:sz="4" w:space="0" w:color="auto"/>
              <w:right w:val="single" w:sz="4" w:space="0" w:color="auto"/>
            </w:tcBorders>
            <w:shd w:val="clear" w:color="auto" w:fill="auto"/>
            <w:noWrap/>
            <w:vAlign w:val="bottom"/>
          </w:tcPr>
          <w:p w14:paraId="36529DFE" w14:textId="178A9F84"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329.864</w:t>
            </w:r>
          </w:p>
        </w:tc>
        <w:tc>
          <w:tcPr>
            <w:tcW w:w="1276" w:type="dxa"/>
            <w:tcBorders>
              <w:top w:val="nil"/>
              <w:left w:val="nil"/>
              <w:bottom w:val="single" w:sz="4" w:space="0" w:color="auto"/>
              <w:right w:val="single" w:sz="4" w:space="0" w:color="auto"/>
            </w:tcBorders>
            <w:shd w:val="clear" w:color="auto" w:fill="auto"/>
            <w:noWrap/>
            <w:vAlign w:val="bottom"/>
          </w:tcPr>
          <w:p w14:paraId="1A83DD29" w14:textId="0C066809"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FC83719" w14:textId="31688954"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329.864</w:t>
            </w:r>
          </w:p>
        </w:tc>
      </w:tr>
      <w:tr w:rsidR="009A05ED" w:rsidRPr="00FC6261" w14:paraId="042F88CB" w14:textId="77777777" w:rsidTr="009A05ED">
        <w:trPr>
          <w:trHeight w:val="264"/>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673ED7C1"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60</w:t>
            </w:r>
          </w:p>
        </w:tc>
        <w:tc>
          <w:tcPr>
            <w:tcW w:w="4877" w:type="dxa"/>
            <w:tcBorders>
              <w:top w:val="nil"/>
              <w:left w:val="nil"/>
              <w:bottom w:val="single" w:sz="4" w:space="0" w:color="auto"/>
              <w:right w:val="single" w:sz="4" w:space="0" w:color="auto"/>
            </w:tcBorders>
            <w:shd w:val="clear" w:color="auto" w:fill="auto"/>
            <w:noWrap/>
            <w:vAlign w:val="center"/>
            <w:hideMark/>
          </w:tcPr>
          <w:p w14:paraId="70E7F541"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Wyższy Urząd Górniczy</w:t>
            </w:r>
          </w:p>
        </w:tc>
        <w:tc>
          <w:tcPr>
            <w:tcW w:w="1276" w:type="dxa"/>
            <w:tcBorders>
              <w:top w:val="nil"/>
              <w:left w:val="nil"/>
              <w:bottom w:val="single" w:sz="4" w:space="0" w:color="auto"/>
              <w:right w:val="single" w:sz="4" w:space="0" w:color="auto"/>
            </w:tcBorders>
            <w:shd w:val="clear" w:color="auto" w:fill="auto"/>
            <w:noWrap/>
            <w:vAlign w:val="bottom"/>
          </w:tcPr>
          <w:p w14:paraId="0DB8BF45" w14:textId="3C165954"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89.794</w:t>
            </w:r>
          </w:p>
        </w:tc>
        <w:tc>
          <w:tcPr>
            <w:tcW w:w="1276" w:type="dxa"/>
            <w:tcBorders>
              <w:top w:val="nil"/>
              <w:left w:val="nil"/>
              <w:bottom w:val="single" w:sz="4" w:space="0" w:color="auto"/>
              <w:right w:val="single" w:sz="4" w:space="0" w:color="auto"/>
            </w:tcBorders>
            <w:shd w:val="clear" w:color="auto" w:fill="auto"/>
            <w:noWrap/>
            <w:vAlign w:val="bottom"/>
          </w:tcPr>
          <w:p w14:paraId="038E68E7" w14:textId="6CD1E560"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95B0731" w14:textId="126922DA"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89.794</w:t>
            </w:r>
          </w:p>
        </w:tc>
      </w:tr>
      <w:tr w:rsidR="009A05ED" w:rsidRPr="00FC6261" w14:paraId="5AE1293F" w14:textId="77777777" w:rsidTr="009A05ED">
        <w:trPr>
          <w:trHeight w:val="264"/>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2E9F8ABF"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61</w:t>
            </w:r>
          </w:p>
        </w:tc>
        <w:tc>
          <w:tcPr>
            <w:tcW w:w="4877" w:type="dxa"/>
            <w:tcBorders>
              <w:top w:val="nil"/>
              <w:left w:val="nil"/>
              <w:bottom w:val="single" w:sz="4" w:space="0" w:color="auto"/>
              <w:right w:val="single" w:sz="4" w:space="0" w:color="auto"/>
            </w:tcBorders>
            <w:shd w:val="clear" w:color="auto" w:fill="auto"/>
            <w:noWrap/>
            <w:vAlign w:val="center"/>
            <w:hideMark/>
          </w:tcPr>
          <w:p w14:paraId="399A814D"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Urząd Patentowy Rzeczypospolitej Polskiej</w:t>
            </w:r>
          </w:p>
        </w:tc>
        <w:tc>
          <w:tcPr>
            <w:tcW w:w="1276" w:type="dxa"/>
            <w:tcBorders>
              <w:top w:val="nil"/>
              <w:left w:val="nil"/>
              <w:bottom w:val="single" w:sz="4" w:space="0" w:color="auto"/>
              <w:right w:val="single" w:sz="4" w:space="0" w:color="auto"/>
            </w:tcBorders>
            <w:shd w:val="clear" w:color="auto" w:fill="auto"/>
            <w:noWrap/>
            <w:vAlign w:val="bottom"/>
          </w:tcPr>
          <w:p w14:paraId="775F3E7C" w14:textId="406DD0B5"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98.938</w:t>
            </w:r>
          </w:p>
        </w:tc>
        <w:tc>
          <w:tcPr>
            <w:tcW w:w="1276" w:type="dxa"/>
            <w:tcBorders>
              <w:top w:val="nil"/>
              <w:left w:val="nil"/>
              <w:bottom w:val="single" w:sz="4" w:space="0" w:color="auto"/>
              <w:right w:val="single" w:sz="4" w:space="0" w:color="auto"/>
            </w:tcBorders>
            <w:shd w:val="clear" w:color="auto" w:fill="auto"/>
            <w:noWrap/>
            <w:vAlign w:val="bottom"/>
          </w:tcPr>
          <w:p w14:paraId="1BED213F" w14:textId="4B599859"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3212DA6" w14:textId="666AB5AC"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98.938</w:t>
            </w:r>
          </w:p>
        </w:tc>
      </w:tr>
      <w:tr w:rsidR="009A05ED" w:rsidRPr="00FC6261" w14:paraId="2D915421" w14:textId="77777777" w:rsidTr="009A05ED">
        <w:trPr>
          <w:trHeight w:val="264"/>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0AF83E1E"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62</w:t>
            </w:r>
          </w:p>
        </w:tc>
        <w:tc>
          <w:tcPr>
            <w:tcW w:w="4877" w:type="dxa"/>
            <w:tcBorders>
              <w:top w:val="nil"/>
              <w:left w:val="nil"/>
              <w:bottom w:val="single" w:sz="4" w:space="0" w:color="auto"/>
              <w:right w:val="single" w:sz="4" w:space="0" w:color="auto"/>
            </w:tcBorders>
            <w:shd w:val="clear" w:color="auto" w:fill="auto"/>
            <w:noWrap/>
            <w:vAlign w:val="center"/>
            <w:hideMark/>
          </w:tcPr>
          <w:p w14:paraId="7073AB69"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Rybołówstwo</w:t>
            </w:r>
          </w:p>
        </w:tc>
        <w:tc>
          <w:tcPr>
            <w:tcW w:w="1276" w:type="dxa"/>
            <w:tcBorders>
              <w:top w:val="nil"/>
              <w:left w:val="nil"/>
              <w:bottom w:val="single" w:sz="4" w:space="0" w:color="auto"/>
              <w:right w:val="single" w:sz="4" w:space="0" w:color="auto"/>
            </w:tcBorders>
            <w:shd w:val="clear" w:color="auto" w:fill="auto"/>
            <w:noWrap/>
            <w:vAlign w:val="bottom"/>
          </w:tcPr>
          <w:p w14:paraId="2083C2EC" w14:textId="4FEC822D"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122.163</w:t>
            </w:r>
          </w:p>
        </w:tc>
        <w:tc>
          <w:tcPr>
            <w:tcW w:w="1276" w:type="dxa"/>
            <w:tcBorders>
              <w:top w:val="nil"/>
              <w:left w:val="nil"/>
              <w:bottom w:val="single" w:sz="4" w:space="0" w:color="auto"/>
              <w:right w:val="single" w:sz="4" w:space="0" w:color="auto"/>
            </w:tcBorders>
            <w:shd w:val="clear" w:color="auto" w:fill="auto"/>
            <w:noWrap/>
            <w:vAlign w:val="bottom"/>
          </w:tcPr>
          <w:p w14:paraId="79D9A13C" w14:textId="47366D91"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D0B8245" w14:textId="26C87555"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122.163</w:t>
            </w:r>
          </w:p>
        </w:tc>
      </w:tr>
      <w:tr w:rsidR="009A05ED" w:rsidRPr="00FC6261" w14:paraId="07C6C9F3" w14:textId="77777777" w:rsidTr="009A05ED">
        <w:trPr>
          <w:trHeight w:val="264"/>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3B553F45"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63</w:t>
            </w:r>
          </w:p>
        </w:tc>
        <w:tc>
          <w:tcPr>
            <w:tcW w:w="4877" w:type="dxa"/>
            <w:tcBorders>
              <w:top w:val="nil"/>
              <w:left w:val="nil"/>
              <w:bottom w:val="single" w:sz="4" w:space="0" w:color="auto"/>
              <w:right w:val="single" w:sz="4" w:space="0" w:color="auto"/>
            </w:tcBorders>
            <w:shd w:val="clear" w:color="auto" w:fill="auto"/>
            <w:noWrap/>
            <w:vAlign w:val="center"/>
            <w:hideMark/>
          </w:tcPr>
          <w:p w14:paraId="50690645"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Rodzina</w:t>
            </w:r>
          </w:p>
        </w:tc>
        <w:tc>
          <w:tcPr>
            <w:tcW w:w="1276" w:type="dxa"/>
            <w:tcBorders>
              <w:top w:val="nil"/>
              <w:left w:val="nil"/>
              <w:bottom w:val="single" w:sz="4" w:space="0" w:color="auto"/>
              <w:right w:val="single" w:sz="4" w:space="0" w:color="auto"/>
            </w:tcBorders>
            <w:shd w:val="clear" w:color="auto" w:fill="auto"/>
            <w:noWrap/>
            <w:vAlign w:val="bottom"/>
          </w:tcPr>
          <w:p w14:paraId="6822547D" w14:textId="3F4ACAB2"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63.132</w:t>
            </w:r>
          </w:p>
        </w:tc>
        <w:tc>
          <w:tcPr>
            <w:tcW w:w="1276" w:type="dxa"/>
            <w:tcBorders>
              <w:top w:val="nil"/>
              <w:left w:val="nil"/>
              <w:bottom w:val="single" w:sz="4" w:space="0" w:color="auto"/>
              <w:right w:val="single" w:sz="4" w:space="0" w:color="auto"/>
            </w:tcBorders>
            <w:shd w:val="clear" w:color="auto" w:fill="auto"/>
            <w:noWrap/>
            <w:vAlign w:val="bottom"/>
          </w:tcPr>
          <w:p w14:paraId="08102DEF" w14:textId="0E162859"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FBEDA3A" w14:textId="7349FC4B"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63.132</w:t>
            </w:r>
          </w:p>
        </w:tc>
      </w:tr>
      <w:tr w:rsidR="009A05ED" w:rsidRPr="00FC6261" w14:paraId="2946A8C8" w14:textId="77777777" w:rsidTr="009A05ED">
        <w:trPr>
          <w:trHeight w:val="264"/>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703E31E3"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64</w:t>
            </w:r>
          </w:p>
        </w:tc>
        <w:tc>
          <w:tcPr>
            <w:tcW w:w="4877" w:type="dxa"/>
            <w:tcBorders>
              <w:top w:val="nil"/>
              <w:left w:val="nil"/>
              <w:bottom w:val="single" w:sz="4" w:space="0" w:color="auto"/>
              <w:right w:val="single" w:sz="4" w:space="0" w:color="auto"/>
            </w:tcBorders>
            <w:shd w:val="clear" w:color="auto" w:fill="auto"/>
            <w:noWrap/>
            <w:vAlign w:val="center"/>
            <w:hideMark/>
          </w:tcPr>
          <w:p w14:paraId="1D0CBDAA"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Główny Urząd Miar</w:t>
            </w:r>
          </w:p>
        </w:tc>
        <w:tc>
          <w:tcPr>
            <w:tcW w:w="1276" w:type="dxa"/>
            <w:tcBorders>
              <w:top w:val="nil"/>
              <w:left w:val="nil"/>
              <w:bottom w:val="single" w:sz="4" w:space="0" w:color="auto"/>
              <w:right w:val="single" w:sz="4" w:space="0" w:color="auto"/>
            </w:tcBorders>
            <w:shd w:val="clear" w:color="auto" w:fill="auto"/>
            <w:noWrap/>
            <w:vAlign w:val="bottom"/>
          </w:tcPr>
          <w:p w14:paraId="0CD4E154" w14:textId="334EDA0B"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232.054</w:t>
            </w:r>
          </w:p>
        </w:tc>
        <w:tc>
          <w:tcPr>
            <w:tcW w:w="1276" w:type="dxa"/>
            <w:tcBorders>
              <w:top w:val="nil"/>
              <w:left w:val="nil"/>
              <w:bottom w:val="single" w:sz="4" w:space="0" w:color="auto"/>
              <w:right w:val="single" w:sz="4" w:space="0" w:color="auto"/>
            </w:tcBorders>
            <w:shd w:val="clear" w:color="auto" w:fill="auto"/>
            <w:noWrap/>
            <w:vAlign w:val="bottom"/>
          </w:tcPr>
          <w:p w14:paraId="5DD4FA54" w14:textId="03169B8D"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E9445CD" w14:textId="7860AED9"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232.054</w:t>
            </w:r>
          </w:p>
        </w:tc>
      </w:tr>
      <w:tr w:rsidR="009A05ED" w:rsidRPr="00FC6261" w14:paraId="49E4C655" w14:textId="77777777" w:rsidTr="009A05ED">
        <w:trPr>
          <w:trHeight w:val="264"/>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16C5DC4C"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65</w:t>
            </w:r>
          </w:p>
        </w:tc>
        <w:tc>
          <w:tcPr>
            <w:tcW w:w="4877" w:type="dxa"/>
            <w:tcBorders>
              <w:top w:val="nil"/>
              <w:left w:val="nil"/>
              <w:bottom w:val="single" w:sz="4" w:space="0" w:color="auto"/>
              <w:right w:val="single" w:sz="4" w:space="0" w:color="auto"/>
            </w:tcBorders>
            <w:shd w:val="clear" w:color="auto" w:fill="auto"/>
            <w:noWrap/>
            <w:vAlign w:val="center"/>
            <w:hideMark/>
          </w:tcPr>
          <w:p w14:paraId="3FA108B5"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Polski Komitet Normalizacyjny</w:t>
            </w:r>
          </w:p>
        </w:tc>
        <w:tc>
          <w:tcPr>
            <w:tcW w:w="1276" w:type="dxa"/>
            <w:tcBorders>
              <w:top w:val="nil"/>
              <w:left w:val="nil"/>
              <w:bottom w:val="single" w:sz="4" w:space="0" w:color="auto"/>
              <w:right w:val="single" w:sz="4" w:space="0" w:color="auto"/>
            </w:tcBorders>
            <w:shd w:val="clear" w:color="auto" w:fill="auto"/>
            <w:noWrap/>
            <w:vAlign w:val="bottom"/>
          </w:tcPr>
          <w:p w14:paraId="1FD7CAF8" w14:textId="730FA77E"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46.772</w:t>
            </w:r>
          </w:p>
        </w:tc>
        <w:tc>
          <w:tcPr>
            <w:tcW w:w="1276" w:type="dxa"/>
            <w:tcBorders>
              <w:top w:val="nil"/>
              <w:left w:val="nil"/>
              <w:bottom w:val="single" w:sz="4" w:space="0" w:color="auto"/>
              <w:right w:val="single" w:sz="4" w:space="0" w:color="auto"/>
            </w:tcBorders>
            <w:shd w:val="clear" w:color="auto" w:fill="auto"/>
            <w:noWrap/>
            <w:vAlign w:val="bottom"/>
          </w:tcPr>
          <w:p w14:paraId="34923CF3" w14:textId="155A3310"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938FA3C" w14:textId="3020A05C"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46.772</w:t>
            </w:r>
          </w:p>
        </w:tc>
      </w:tr>
      <w:tr w:rsidR="009A05ED" w:rsidRPr="00FC6261" w14:paraId="56B68452" w14:textId="77777777" w:rsidTr="009A05ED">
        <w:trPr>
          <w:trHeight w:val="264"/>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6899925A"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66</w:t>
            </w:r>
          </w:p>
        </w:tc>
        <w:tc>
          <w:tcPr>
            <w:tcW w:w="4877" w:type="dxa"/>
            <w:tcBorders>
              <w:top w:val="nil"/>
              <w:left w:val="nil"/>
              <w:bottom w:val="single" w:sz="4" w:space="0" w:color="auto"/>
              <w:right w:val="single" w:sz="4" w:space="0" w:color="auto"/>
            </w:tcBorders>
            <w:shd w:val="clear" w:color="auto" w:fill="auto"/>
            <w:noWrap/>
            <w:vAlign w:val="center"/>
            <w:hideMark/>
          </w:tcPr>
          <w:p w14:paraId="669080FA"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Rzecznik Praw Pacjenta</w:t>
            </w:r>
          </w:p>
        </w:tc>
        <w:tc>
          <w:tcPr>
            <w:tcW w:w="1276" w:type="dxa"/>
            <w:tcBorders>
              <w:top w:val="nil"/>
              <w:left w:val="nil"/>
              <w:bottom w:val="single" w:sz="4" w:space="0" w:color="auto"/>
              <w:right w:val="single" w:sz="4" w:space="0" w:color="auto"/>
            </w:tcBorders>
            <w:shd w:val="clear" w:color="auto" w:fill="auto"/>
            <w:noWrap/>
            <w:vAlign w:val="bottom"/>
          </w:tcPr>
          <w:p w14:paraId="50B0E171" w14:textId="3A998243"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26.699</w:t>
            </w:r>
          </w:p>
        </w:tc>
        <w:tc>
          <w:tcPr>
            <w:tcW w:w="1276" w:type="dxa"/>
            <w:tcBorders>
              <w:top w:val="nil"/>
              <w:left w:val="nil"/>
              <w:bottom w:val="single" w:sz="4" w:space="0" w:color="auto"/>
              <w:right w:val="single" w:sz="4" w:space="0" w:color="auto"/>
            </w:tcBorders>
            <w:shd w:val="clear" w:color="auto" w:fill="auto"/>
            <w:noWrap/>
            <w:vAlign w:val="bottom"/>
          </w:tcPr>
          <w:p w14:paraId="2CC59819" w14:textId="4065A131"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368CE13" w14:textId="6EB4C80E"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26.699</w:t>
            </w:r>
          </w:p>
        </w:tc>
      </w:tr>
      <w:tr w:rsidR="009A05ED" w:rsidRPr="00FC6261" w14:paraId="75F7C372" w14:textId="77777777" w:rsidTr="009A05ED">
        <w:trPr>
          <w:trHeight w:val="264"/>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32FF1A54"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67</w:t>
            </w:r>
          </w:p>
        </w:tc>
        <w:tc>
          <w:tcPr>
            <w:tcW w:w="4877" w:type="dxa"/>
            <w:tcBorders>
              <w:top w:val="nil"/>
              <w:left w:val="nil"/>
              <w:bottom w:val="single" w:sz="4" w:space="0" w:color="auto"/>
              <w:right w:val="single" w:sz="4" w:space="0" w:color="auto"/>
            </w:tcBorders>
            <w:shd w:val="clear" w:color="auto" w:fill="auto"/>
            <w:noWrap/>
            <w:vAlign w:val="center"/>
            <w:hideMark/>
          </w:tcPr>
          <w:p w14:paraId="7FA1C880"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Polska Akademia Nauk</w:t>
            </w:r>
          </w:p>
        </w:tc>
        <w:tc>
          <w:tcPr>
            <w:tcW w:w="1276" w:type="dxa"/>
            <w:tcBorders>
              <w:top w:val="nil"/>
              <w:left w:val="nil"/>
              <w:bottom w:val="single" w:sz="4" w:space="0" w:color="auto"/>
              <w:right w:val="single" w:sz="4" w:space="0" w:color="auto"/>
            </w:tcBorders>
            <w:shd w:val="clear" w:color="auto" w:fill="auto"/>
            <w:noWrap/>
            <w:vAlign w:val="bottom"/>
          </w:tcPr>
          <w:p w14:paraId="7C95DB58" w14:textId="2E2716FD"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122.083</w:t>
            </w:r>
          </w:p>
        </w:tc>
        <w:tc>
          <w:tcPr>
            <w:tcW w:w="1276" w:type="dxa"/>
            <w:tcBorders>
              <w:top w:val="nil"/>
              <w:left w:val="nil"/>
              <w:bottom w:val="single" w:sz="4" w:space="0" w:color="auto"/>
              <w:right w:val="single" w:sz="4" w:space="0" w:color="auto"/>
            </w:tcBorders>
            <w:shd w:val="clear" w:color="auto" w:fill="auto"/>
            <w:noWrap/>
            <w:vAlign w:val="bottom"/>
          </w:tcPr>
          <w:p w14:paraId="1C0CC11F" w14:textId="15E59E02"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059895F" w14:textId="286BAABD"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122.083</w:t>
            </w:r>
          </w:p>
        </w:tc>
      </w:tr>
      <w:tr w:rsidR="009A05ED" w:rsidRPr="00FC6261" w14:paraId="4554CDEA" w14:textId="77777777" w:rsidTr="009A05ED">
        <w:trPr>
          <w:trHeight w:val="264"/>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3D11E69F"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68</w:t>
            </w:r>
          </w:p>
        </w:tc>
        <w:tc>
          <w:tcPr>
            <w:tcW w:w="4877" w:type="dxa"/>
            <w:tcBorders>
              <w:top w:val="nil"/>
              <w:left w:val="nil"/>
              <w:bottom w:val="single" w:sz="4" w:space="0" w:color="auto"/>
              <w:right w:val="single" w:sz="4" w:space="0" w:color="auto"/>
            </w:tcBorders>
            <w:shd w:val="clear" w:color="auto" w:fill="auto"/>
            <w:noWrap/>
            <w:vAlign w:val="center"/>
            <w:hideMark/>
          </w:tcPr>
          <w:p w14:paraId="72C9457D"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Państwowa Agencja Atomistyki</w:t>
            </w:r>
          </w:p>
        </w:tc>
        <w:tc>
          <w:tcPr>
            <w:tcW w:w="1276" w:type="dxa"/>
            <w:tcBorders>
              <w:top w:val="nil"/>
              <w:left w:val="nil"/>
              <w:bottom w:val="single" w:sz="4" w:space="0" w:color="auto"/>
              <w:right w:val="single" w:sz="4" w:space="0" w:color="auto"/>
            </w:tcBorders>
            <w:shd w:val="clear" w:color="auto" w:fill="auto"/>
            <w:noWrap/>
            <w:vAlign w:val="bottom"/>
          </w:tcPr>
          <w:p w14:paraId="2E7BC38C" w14:textId="2CA9A8CD"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50.925</w:t>
            </w:r>
          </w:p>
        </w:tc>
        <w:tc>
          <w:tcPr>
            <w:tcW w:w="1276" w:type="dxa"/>
            <w:tcBorders>
              <w:top w:val="nil"/>
              <w:left w:val="nil"/>
              <w:bottom w:val="single" w:sz="4" w:space="0" w:color="auto"/>
              <w:right w:val="single" w:sz="4" w:space="0" w:color="auto"/>
            </w:tcBorders>
            <w:shd w:val="clear" w:color="auto" w:fill="auto"/>
            <w:noWrap/>
            <w:vAlign w:val="bottom"/>
          </w:tcPr>
          <w:p w14:paraId="5D09A481" w14:textId="24EB77F6"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5F8D01D" w14:textId="4581CCA2"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50.925</w:t>
            </w:r>
          </w:p>
        </w:tc>
      </w:tr>
      <w:tr w:rsidR="009A05ED" w:rsidRPr="00FC6261" w14:paraId="55639B68" w14:textId="77777777" w:rsidTr="009A05ED">
        <w:trPr>
          <w:trHeight w:val="264"/>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616C5AA1"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69</w:t>
            </w:r>
          </w:p>
        </w:tc>
        <w:tc>
          <w:tcPr>
            <w:tcW w:w="4877" w:type="dxa"/>
            <w:tcBorders>
              <w:top w:val="nil"/>
              <w:left w:val="nil"/>
              <w:bottom w:val="single" w:sz="4" w:space="0" w:color="auto"/>
              <w:right w:val="single" w:sz="4" w:space="0" w:color="auto"/>
            </w:tcBorders>
            <w:shd w:val="clear" w:color="auto" w:fill="auto"/>
            <w:noWrap/>
            <w:vAlign w:val="center"/>
            <w:hideMark/>
          </w:tcPr>
          <w:p w14:paraId="14DDBD6A"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Żegluga Śródlądowa</w:t>
            </w:r>
          </w:p>
        </w:tc>
        <w:tc>
          <w:tcPr>
            <w:tcW w:w="1276" w:type="dxa"/>
            <w:tcBorders>
              <w:top w:val="nil"/>
              <w:left w:val="nil"/>
              <w:bottom w:val="single" w:sz="4" w:space="0" w:color="auto"/>
              <w:right w:val="single" w:sz="4" w:space="0" w:color="auto"/>
            </w:tcBorders>
            <w:shd w:val="clear" w:color="auto" w:fill="auto"/>
            <w:noWrap/>
            <w:vAlign w:val="bottom"/>
          </w:tcPr>
          <w:p w14:paraId="19B846B4" w14:textId="03BD7F7E"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43.976</w:t>
            </w:r>
          </w:p>
        </w:tc>
        <w:tc>
          <w:tcPr>
            <w:tcW w:w="1276" w:type="dxa"/>
            <w:tcBorders>
              <w:top w:val="nil"/>
              <w:left w:val="nil"/>
              <w:bottom w:val="single" w:sz="4" w:space="0" w:color="auto"/>
              <w:right w:val="single" w:sz="4" w:space="0" w:color="auto"/>
            </w:tcBorders>
            <w:shd w:val="clear" w:color="auto" w:fill="auto"/>
            <w:noWrap/>
            <w:vAlign w:val="bottom"/>
          </w:tcPr>
          <w:p w14:paraId="4D7D2DE6" w14:textId="7865EBE9"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656A778" w14:textId="1F9430A1"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43.976</w:t>
            </w:r>
          </w:p>
        </w:tc>
      </w:tr>
      <w:tr w:rsidR="009A05ED" w:rsidRPr="00FC6261" w14:paraId="1DC0DA90" w14:textId="77777777" w:rsidTr="009A05ED">
        <w:trPr>
          <w:trHeight w:val="264"/>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694DC570"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71</w:t>
            </w:r>
          </w:p>
        </w:tc>
        <w:tc>
          <w:tcPr>
            <w:tcW w:w="4877" w:type="dxa"/>
            <w:tcBorders>
              <w:top w:val="nil"/>
              <w:left w:val="nil"/>
              <w:bottom w:val="single" w:sz="4" w:space="0" w:color="auto"/>
              <w:right w:val="single" w:sz="4" w:space="0" w:color="auto"/>
            </w:tcBorders>
            <w:shd w:val="clear" w:color="auto" w:fill="auto"/>
            <w:noWrap/>
            <w:vAlign w:val="center"/>
            <w:hideMark/>
          </w:tcPr>
          <w:p w14:paraId="679C3FAA"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Urząd Transportu Kolejowego</w:t>
            </w:r>
          </w:p>
        </w:tc>
        <w:tc>
          <w:tcPr>
            <w:tcW w:w="1276" w:type="dxa"/>
            <w:tcBorders>
              <w:top w:val="nil"/>
              <w:left w:val="nil"/>
              <w:bottom w:val="single" w:sz="4" w:space="0" w:color="auto"/>
              <w:right w:val="single" w:sz="4" w:space="0" w:color="auto"/>
            </w:tcBorders>
            <w:shd w:val="clear" w:color="auto" w:fill="auto"/>
            <w:noWrap/>
            <w:vAlign w:val="bottom"/>
          </w:tcPr>
          <w:p w14:paraId="70433EC3" w14:textId="17D0AF09"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70.636</w:t>
            </w:r>
          </w:p>
        </w:tc>
        <w:tc>
          <w:tcPr>
            <w:tcW w:w="1276" w:type="dxa"/>
            <w:tcBorders>
              <w:top w:val="nil"/>
              <w:left w:val="nil"/>
              <w:bottom w:val="single" w:sz="4" w:space="0" w:color="auto"/>
              <w:right w:val="single" w:sz="4" w:space="0" w:color="auto"/>
            </w:tcBorders>
            <w:shd w:val="clear" w:color="auto" w:fill="auto"/>
            <w:noWrap/>
            <w:vAlign w:val="bottom"/>
          </w:tcPr>
          <w:p w14:paraId="5ECBAF28" w14:textId="791837C9"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70B7629" w14:textId="131A58CC"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70.636</w:t>
            </w:r>
          </w:p>
        </w:tc>
      </w:tr>
      <w:tr w:rsidR="009A05ED" w:rsidRPr="00FC6261" w14:paraId="419CDBE3" w14:textId="77777777" w:rsidTr="009A05ED">
        <w:trPr>
          <w:trHeight w:val="264"/>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0A8D8DB9"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72</w:t>
            </w:r>
          </w:p>
        </w:tc>
        <w:tc>
          <w:tcPr>
            <w:tcW w:w="4877" w:type="dxa"/>
            <w:tcBorders>
              <w:top w:val="nil"/>
              <w:left w:val="nil"/>
              <w:bottom w:val="single" w:sz="4" w:space="0" w:color="auto"/>
              <w:right w:val="single" w:sz="4" w:space="0" w:color="auto"/>
            </w:tcBorders>
            <w:shd w:val="clear" w:color="auto" w:fill="auto"/>
            <w:noWrap/>
            <w:vAlign w:val="center"/>
            <w:hideMark/>
          </w:tcPr>
          <w:p w14:paraId="7382A9A7"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Kasa Rolniczego Ubezpieczenia Społecznego</w:t>
            </w:r>
          </w:p>
        </w:tc>
        <w:tc>
          <w:tcPr>
            <w:tcW w:w="1276" w:type="dxa"/>
            <w:tcBorders>
              <w:top w:val="nil"/>
              <w:left w:val="nil"/>
              <w:bottom w:val="single" w:sz="4" w:space="0" w:color="auto"/>
              <w:right w:val="single" w:sz="4" w:space="0" w:color="auto"/>
            </w:tcBorders>
            <w:shd w:val="clear" w:color="auto" w:fill="auto"/>
            <w:noWrap/>
            <w:vAlign w:val="bottom"/>
          </w:tcPr>
          <w:p w14:paraId="76B35564" w14:textId="3BD7B0D4"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27.427.610</w:t>
            </w:r>
          </w:p>
        </w:tc>
        <w:tc>
          <w:tcPr>
            <w:tcW w:w="1276" w:type="dxa"/>
            <w:tcBorders>
              <w:top w:val="nil"/>
              <w:left w:val="nil"/>
              <w:bottom w:val="single" w:sz="4" w:space="0" w:color="auto"/>
              <w:right w:val="single" w:sz="4" w:space="0" w:color="auto"/>
            </w:tcBorders>
            <w:shd w:val="clear" w:color="auto" w:fill="auto"/>
            <w:noWrap/>
            <w:vAlign w:val="bottom"/>
          </w:tcPr>
          <w:p w14:paraId="58DFC28E" w14:textId="15634EAB" w:rsidR="009A05ED" w:rsidRPr="009A05ED" w:rsidRDefault="009A05ED" w:rsidP="009A05ED">
            <w:pPr>
              <w:spacing w:after="0" w:line="240" w:lineRule="auto"/>
              <w:jc w:val="right"/>
              <w:rPr>
                <w:rFonts w:ascii="Arial" w:eastAsia="Times New Roman" w:hAnsi="Arial" w:cs="Arial"/>
                <w:sz w:val="18"/>
                <w:szCs w:val="18"/>
                <w:lang w:eastAsia="pl-PL"/>
              </w:rPr>
            </w:pPr>
            <w:r w:rsidRPr="009A05ED">
              <w:rPr>
                <w:rFonts w:ascii="Arial" w:hAnsi="Arial" w:cs="Arial"/>
                <w:color w:val="000000"/>
                <w:sz w:val="18"/>
                <w:szCs w:val="18"/>
              </w:rPr>
              <w:t>620.000</w:t>
            </w:r>
          </w:p>
        </w:tc>
        <w:tc>
          <w:tcPr>
            <w:tcW w:w="1275" w:type="dxa"/>
            <w:tcBorders>
              <w:top w:val="nil"/>
              <w:left w:val="nil"/>
              <w:bottom w:val="single" w:sz="4" w:space="0" w:color="auto"/>
              <w:right w:val="single" w:sz="4" w:space="0" w:color="auto"/>
            </w:tcBorders>
            <w:shd w:val="clear" w:color="auto" w:fill="auto"/>
            <w:noWrap/>
            <w:vAlign w:val="bottom"/>
          </w:tcPr>
          <w:p w14:paraId="1B37AAB7" w14:textId="74CD4872"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28.047.610</w:t>
            </w:r>
          </w:p>
        </w:tc>
      </w:tr>
      <w:tr w:rsidR="009A05ED" w:rsidRPr="00FC6261" w14:paraId="3A745CA9" w14:textId="77777777" w:rsidTr="009A05ED">
        <w:trPr>
          <w:trHeight w:val="264"/>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39AC7027"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73</w:t>
            </w:r>
          </w:p>
        </w:tc>
        <w:tc>
          <w:tcPr>
            <w:tcW w:w="4877" w:type="dxa"/>
            <w:tcBorders>
              <w:top w:val="nil"/>
              <w:left w:val="nil"/>
              <w:bottom w:val="single" w:sz="4" w:space="0" w:color="auto"/>
              <w:right w:val="single" w:sz="4" w:space="0" w:color="auto"/>
            </w:tcBorders>
            <w:shd w:val="clear" w:color="auto" w:fill="auto"/>
            <w:noWrap/>
            <w:vAlign w:val="center"/>
            <w:hideMark/>
          </w:tcPr>
          <w:p w14:paraId="27575618"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Zakład Ubezpieczeń Społecznych</w:t>
            </w:r>
          </w:p>
        </w:tc>
        <w:tc>
          <w:tcPr>
            <w:tcW w:w="1276" w:type="dxa"/>
            <w:tcBorders>
              <w:top w:val="nil"/>
              <w:left w:val="nil"/>
              <w:bottom w:val="single" w:sz="4" w:space="0" w:color="auto"/>
              <w:right w:val="single" w:sz="4" w:space="0" w:color="auto"/>
            </w:tcBorders>
            <w:shd w:val="clear" w:color="auto" w:fill="auto"/>
            <w:noWrap/>
            <w:vAlign w:val="bottom"/>
          </w:tcPr>
          <w:p w14:paraId="5C8EACF6" w14:textId="5CA79692"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180.495.239</w:t>
            </w:r>
          </w:p>
        </w:tc>
        <w:tc>
          <w:tcPr>
            <w:tcW w:w="1276" w:type="dxa"/>
            <w:tcBorders>
              <w:top w:val="nil"/>
              <w:left w:val="nil"/>
              <w:bottom w:val="single" w:sz="4" w:space="0" w:color="auto"/>
              <w:right w:val="single" w:sz="4" w:space="0" w:color="auto"/>
            </w:tcBorders>
            <w:shd w:val="clear" w:color="auto" w:fill="auto"/>
            <w:noWrap/>
            <w:vAlign w:val="bottom"/>
          </w:tcPr>
          <w:p w14:paraId="688E35D4" w14:textId="31211AD3"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2B3E567" w14:textId="0261426A"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180.495.239</w:t>
            </w:r>
          </w:p>
        </w:tc>
      </w:tr>
      <w:tr w:rsidR="009A05ED" w:rsidRPr="00FC6261" w14:paraId="37CE1BAE" w14:textId="77777777" w:rsidTr="009A05ED">
        <w:trPr>
          <w:trHeight w:val="264"/>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1D139ABC"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74</w:t>
            </w:r>
          </w:p>
        </w:tc>
        <w:tc>
          <w:tcPr>
            <w:tcW w:w="4877" w:type="dxa"/>
            <w:tcBorders>
              <w:top w:val="nil"/>
              <w:left w:val="nil"/>
              <w:bottom w:val="single" w:sz="4" w:space="0" w:color="auto"/>
              <w:right w:val="single" w:sz="4" w:space="0" w:color="auto"/>
            </w:tcBorders>
            <w:shd w:val="clear" w:color="auto" w:fill="auto"/>
            <w:noWrap/>
            <w:vAlign w:val="center"/>
            <w:hideMark/>
          </w:tcPr>
          <w:p w14:paraId="1423E1E3"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Prokuratoria Generalna Rzeczypospolitej Polskiej</w:t>
            </w:r>
          </w:p>
        </w:tc>
        <w:tc>
          <w:tcPr>
            <w:tcW w:w="1276" w:type="dxa"/>
            <w:tcBorders>
              <w:top w:val="nil"/>
              <w:left w:val="nil"/>
              <w:bottom w:val="single" w:sz="4" w:space="0" w:color="auto"/>
              <w:right w:val="single" w:sz="4" w:space="0" w:color="auto"/>
            </w:tcBorders>
            <w:shd w:val="clear" w:color="auto" w:fill="auto"/>
            <w:noWrap/>
            <w:vAlign w:val="bottom"/>
          </w:tcPr>
          <w:p w14:paraId="3F9D6ECC" w14:textId="24484BE9"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85.424</w:t>
            </w:r>
          </w:p>
        </w:tc>
        <w:tc>
          <w:tcPr>
            <w:tcW w:w="1276" w:type="dxa"/>
            <w:tcBorders>
              <w:top w:val="nil"/>
              <w:left w:val="nil"/>
              <w:bottom w:val="single" w:sz="4" w:space="0" w:color="auto"/>
              <w:right w:val="single" w:sz="4" w:space="0" w:color="auto"/>
            </w:tcBorders>
            <w:shd w:val="clear" w:color="auto" w:fill="auto"/>
            <w:noWrap/>
            <w:vAlign w:val="bottom"/>
          </w:tcPr>
          <w:p w14:paraId="15B05DD5" w14:textId="5E0ECD6B"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A0C6010" w14:textId="683D9FDE"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85.424</w:t>
            </w:r>
          </w:p>
        </w:tc>
      </w:tr>
      <w:tr w:rsidR="009A05ED" w:rsidRPr="00FC6261" w14:paraId="2323075F" w14:textId="77777777" w:rsidTr="009A05ED">
        <w:trPr>
          <w:trHeight w:val="264"/>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7908C231"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75</w:t>
            </w:r>
          </w:p>
        </w:tc>
        <w:tc>
          <w:tcPr>
            <w:tcW w:w="4877" w:type="dxa"/>
            <w:tcBorders>
              <w:top w:val="nil"/>
              <w:left w:val="nil"/>
              <w:bottom w:val="single" w:sz="4" w:space="0" w:color="auto"/>
              <w:right w:val="single" w:sz="4" w:space="0" w:color="auto"/>
            </w:tcBorders>
            <w:shd w:val="clear" w:color="auto" w:fill="auto"/>
            <w:noWrap/>
            <w:vAlign w:val="center"/>
            <w:hideMark/>
          </w:tcPr>
          <w:p w14:paraId="600EC5CA"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Rządowe Centrum Legislacji</w:t>
            </w:r>
          </w:p>
        </w:tc>
        <w:tc>
          <w:tcPr>
            <w:tcW w:w="1276" w:type="dxa"/>
            <w:tcBorders>
              <w:top w:val="nil"/>
              <w:left w:val="nil"/>
              <w:bottom w:val="single" w:sz="4" w:space="0" w:color="auto"/>
              <w:right w:val="single" w:sz="4" w:space="0" w:color="auto"/>
            </w:tcBorders>
            <w:shd w:val="clear" w:color="auto" w:fill="auto"/>
            <w:noWrap/>
            <w:vAlign w:val="bottom"/>
          </w:tcPr>
          <w:p w14:paraId="31C6B71E" w14:textId="04950091"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46.625</w:t>
            </w:r>
          </w:p>
        </w:tc>
        <w:tc>
          <w:tcPr>
            <w:tcW w:w="1276" w:type="dxa"/>
            <w:tcBorders>
              <w:top w:val="nil"/>
              <w:left w:val="nil"/>
              <w:bottom w:val="single" w:sz="4" w:space="0" w:color="auto"/>
              <w:right w:val="single" w:sz="4" w:space="0" w:color="auto"/>
            </w:tcBorders>
            <w:shd w:val="clear" w:color="auto" w:fill="auto"/>
            <w:noWrap/>
            <w:vAlign w:val="bottom"/>
          </w:tcPr>
          <w:p w14:paraId="2F6BC07B" w14:textId="78EB679F"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3C40C91" w14:textId="1F2AECCE"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46.625</w:t>
            </w:r>
          </w:p>
        </w:tc>
      </w:tr>
      <w:tr w:rsidR="009A05ED" w:rsidRPr="00FC6261" w14:paraId="45F4B452" w14:textId="77777777" w:rsidTr="009A05ED">
        <w:trPr>
          <w:trHeight w:val="264"/>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11DE822F"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76</w:t>
            </w:r>
          </w:p>
        </w:tc>
        <w:tc>
          <w:tcPr>
            <w:tcW w:w="4877" w:type="dxa"/>
            <w:tcBorders>
              <w:top w:val="nil"/>
              <w:left w:val="nil"/>
              <w:bottom w:val="single" w:sz="4" w:space="0" w:color="auto"/>
              <w:right w:val="single" w:sz="4" w:space="0" w:color="auto"/>
            </w:tcBorders>
            <w:shd w:val="clear" w:color="auto" w:fill="auto"/>
            <w:noWrap/>
            <w:vAlign w:val="center"/>
            <w:hideMark/>
          </w:tcPr>
          <w:p w14:paraId="2035012B"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Urząd Komunikacji Elektronicznej</w:t>
            </w:r>
          </w:p>
        </w:tc>
        <w:tc>
          <w:tcPr>
            <w:tcW w:w="1276" w:type="dxa"/>
            <w:tcBorders>
              <w:top w:val="nil"/>
              <w:left w:val="nil"/>
              <w:bottom w:val="single" w:sz="4" w:space="0" w:color="auto"/>
              <w:right w:val="single" w:sz="4" w:space="0" w:color="auto"/>
            </w:tcBorders>
            <w:shd w:val="clear" w:color="auto" w:fill="auto"/>
            <w:noWrap/>
            <w:vAlign w:val="bottom"/>
          </w:tcPr>
          <w:p w14:paraId="2C7A9C06" w14:textId="634362C3"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149.477</w:t>
            </w:r>
          </w:p>
        </w:tc>
        <w:tc>
          <w:tcPr>
            <w:tcW w:w="1276" w:type="dxa"/>
            <w:tcBorders>
              <w:top w:val="nil"/>
              <w:left w:val="nil"/>
              <w:bottom w:val="single" w:sz="4" w:space="0" w:color="auto"/>
              <w:right w:val="single" w:sz="4" w:space="0" w:color="auto"/>
            </w:tcBorders>
            <w:shd w:val="clear" w:color="auto" w:fill="auto"/>
            <w:noWrap/>
            <w:vAlign w:val="bottom"/>
          </w:tcPr>
          <w:p w14:paraId="76C05E01" w14:textId="79F33239"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CE345AC" w14:textId="4CCB6D8E"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149.477</w:t>
            </w:r>
          </w:p>
        </w:tc>
      </w:tr>
      <w:tr w:rsidR="009A05ED" w:rsidRPr="00FC6261" w14:paraId="502BAF66" w14:textId="77777777" w:rsidTr="009A05ED">
        <w:trPr>
          <w:trHeight w:val="264"/>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57B689A6"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79</w:t>
            </w:r>
          </w:p>
        </w:tc>
        <w:tc>
          <w:tcPr>
            <w:tcW w:w="4877" w:type="dxa"/>
            <w:tcBorders>
              <w:top w:val="nil"/>
              <w:left w:val="nil"/>
              <w:bottom w:val="single" w:sz="4" w:space="0" w:color="auto"/>
              <w:right w:val="single" w:sz="4" w:space="0" w:color="auto"/>
            </w:tcBorders>
            <w:shd w:val="clear" w:color="auto" w:fill="auto"/>
            <w:noWrap/>
            <w:vAlign w:val="center"/>
            <w:hideMark/>
          </w:tcPr>
          <w:p w14:paraId="10CB99AC"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Obsługa długu Skarbu Państwa</w:t>
            </w:r>
          </w:p>
        </w:tc>
        <w:tc>
          <w:tcPr>
            <w:tcW w:w="1276" w:type="dxa"/>
            <w:tcBorders>
              <w:top w:val="nil"/>
              <w:left w:val="nil"/>
              <w:bottom w:val="single" w:sz="4" w:space="0" w:color="auto"/>
              <w:right w:val="single" w:sz="4" w:space="0" w:color="auto"/>
            </w:tcBorders>
            <w:shd w:val="clear" w:color="auto" w:fill="auto"/>
            <w:noWrap/>
            <w:vAlign w:val="bottom"/>
          </w:tcPr>
          <w:p w14:paraId="6DD31254" w14:textId="2B30B380"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66.500.000</w:t>
            </w:r>
          </w:p>
        </w:tc>
        <w:tc>
          <w:tcPr>
            <w:tcW w:w="1276" w:type="dxa"/>
            <w:tcBorders>
              <w:top w:val="nil"/>
              <w:left w:val="nil"/>
              <w:bottom w:val="single" w:sz="4" w:space="0" w:color="auto"/>
              <w:right w:val="single" w:sz="4" w:space="0" w:color="auto"/>
            </w:tcBorders>
            <w:shd w:val="clear" w:color="auto" w:fill="auto"/>
            <w:noWrap/>
            <w:vAlign w:val="bottom"/>
          </w:tcPr>
          <w:p w14:paraId="55731F38" w14:textId="01DAB177"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C81872D" w14:textId="3336CECE"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66.500.000</w:t>
            </w:r>
          </w:p>
        </w:tc>
      </w:tr>
      <w:tr w:rsidR="009A05ED" w:rsidRPr="00FC6261" w14:paraId="5AD3511C" w14:textId="77777777" w:rsidTr="009A05ED">
        <w:trPr>
          <w:trHeight w:val="264"/>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36F4C508"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80</w:t>
            </w:r>
          </w:p>
        </w:tc>
        <w:tc>
          <w:tcPr>
            <w:tcW w:w="4877" w:type="dxa"/>
            <w:tcBorders>
              <w:top w:val="nil"/>
              <w:left w:val="nil"/>
              <w:bottom w:val="single" w:sz="4" w:space="0" w:color="auto"/>
              <w:right w:val="single" w:sz="4" w:space="0" w:color="auto"/>
            </w:tcBorders>
            <w:shd w:val="clear" w:color="auto" w:fill="auto"/>
            <w:noWrap/>
            <w:vAlign w:val="center"/>
            <w:hideMark/>
          </w:tcPr>
          <w:p w14:paraId="673789BD"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Regionalne izby obrachunkowe</w:t>
            </w:r>
          </w:p>
        </w:tc>
        <w:tc>
          <w:tcPr>
            <w:tcW w:w="1276" w:type="dxa"/>
            <w:tcBorders>
              <w:top w:val="nil"/>
              <w:left w:val="nil"/>
              <w:bottom w:val="single" w:sz="4" w:space="0" w:color="auto"/>
              <w:right w:val="single" w:sz="4" w:space="0" w:color="auto"/>
            </w:tcBorders>
            <w:shd w:val="clear" w:color="auto" w:fill="auto"/>
            <w:noWrap/>
            <w:vAlign w:val="bottom"/>
          </w:tcPr>
          <w:p w14:paraId="58ABFC96" w14:textId="0662F51E"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186.811</w:t>
            </w:r>
          </w:p>
        </w:tc>
        <w:tc>
          <w:tcPr>
            <w:tcW w:w="1276" w:type="dxa"/>
            <w:tcBorders>
              <w:top w:val="nil"/>
              <w:left w:val="nil"/>
              <w:bottom w:val="single" w:sz="4" w:space="0" w:color="auto"/>
              <w:right w:val="single" w:sz="4" w:space="0" w:color="auto"/>
            </w:tcBorders>
            <w:shd w:val="clear" w:color="auto" w:fill="auto"/>
            <w:noWrap/>
            <w:vAlign w:val="bottom"/>
          </w:tcPr>
          <w:p w14:paraId="5905FA08" w14:textId="3DD6E657"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555E231" w14:textId="58A89617"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186.811</w:t>
            </w:r>
          </w:p>
        </w:tc>
      </w:tr>
      <w:tr w:rsidR="009A05ED" w:rsidRPr="00FC6261" w14:paraId="53A216F1" w14:textId="77777777" w:rsidTr="009A05ED">
        <w:trPr>
          <w:trHeight w:val="264"/>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77DB7ACE"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81</w:t>
            </w:r>
          </w:p>
        </w:tc>
        <w:tc>
          <w:tcPr>
            <w:tcW w:w="4877" w:type="dxa"/>
            <w:tcBorders>
              <w:top w:val="nil"/>
              <w:left w:val="nil"/>
              <w:bottom w:val="single" w:sz="4" w:space="0" w:color="auto"/>
              <w:right w:val="single" w:sz="4" w:space="0" w:color="auto"/>
            </w:tcBorders>
            <w:shd w:val="clear" w:color="auto" w:fill="auto"/>
            <w:noWrap/>
            <w:vAlign w:val="center"/>
            <w:hideMark/>
          </w:tcPr>
          <w:p w14:paraId="3A0336A9"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Rezerwa ogólna</w:t>
            </w:r>
          </w:p>
        </w:tc>
        <w:tc>
          <w:tcPr>
            <w:tcW w:w="1276" w:type="dxa"/>
            <w:tcBorders>
              <w:top w:val="nil"/>
              <w:left w:val="nil"/>
              <w:bottom w:val="single" w:sz="4" w:space="0" w:color="auto"/>
              <w:right w:val="single" w:sz="4" w:space="0" w:color="auto"/>
            </w:tcBorders>
            <w:shd w:val="clear" w:color="auto" w:fill="auto"/>
            <w:noWrap/>
            <w:vAlign w:val="bottom"/>
          </w:tcPr>
          <w:p w14:paraId="2854B4C2" w14:textId="1D623B8B"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649.022</w:t>
            </w:r>
          </w:p>
        </w:tc>
        <w:tc>
          <w:tcPr>
            <w:tcW w:w="1276" w:type="dxa"/>
            <w:tcBorders>
              <w:top w:val="nil"/>
              <w:left w:val="nil"/>
              <w:bottom w:val="single" w:sz="4" w:space="0" w:color="auto"/>
              <w:right w:val="single" w:sz="4" w:space="0" w:color="auto"/>
            </w:tcBorders>
            <w:shd w:val="clear" w:color="auto" w:fill="auto"/>
            <w:noWrap/>
            <w:vAlign w:val="bottom"/>
          </w:tcPr>
          <w:p w14:paraId="54A73544" w14:textId="784F75B7"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DB353C9" w14:textId="5692E7B7"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649.022</w:t>
            </w:r>
          </w:p>
        </w:tc>
      </w:tr>
      <w:tr w:rsidR="009A05ED" w:rsidRPr="00FC6261" w14:paraId="393CBAD0" w14:textId="77777777" w:rsidTr="009A05ED">
        <w:trPr>
          <w:trHeight w:val="264"/>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0C56FBFD"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82</w:t>
            </w:r>
          </w:p>
        </w:tc>
        <w:tc>
          <w:tcPr>
            <w:tcW w:w="4877" w:type="dxa"/>
            <w:tcBorders>
              <w:top w:val="nil"/>
              <w:left w:val="nil"/>
              <w:bottom w:val="single" w:sz="4" w:space="0" w:color="auto"/>
              <w:right w:val="single" w:sz="4" w:space="0" w:color="auto"/>
            </w:tcBorders>
            <w:shd w:val="clear" w:color="auto" w:fill="auto"/>
            <w:noWrap/>
            <w:vAlign w:val="center"/>
            <w:hideMark/>
          </w:tcPr>
          <w:p w14:paraId="000DC3A0"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Subwencje ogólne dla jednostek samorządu terytorialnego</w:t>
            </w:r>
          </w:p>
        </w:tc>
        <w:tc>
          <w:tcPr>
            <w:tcW w:w="1276" w:type="dxa"/>
            <w:tcBorders>
              <w:top w:val="nil"/>
              <w:left w:val="nil"/>
              <w:bottom w:val="single" w:sz="4" w:space="0" w:color="auto"/>
              <w:right w:val="single" w:sz="4" w:space="0" w:color="auto"/>
            </w:tcBorders>
            <w:shd w:val="clear" w:color="auto" w:fill="auto"/>
            <w:noWrap/>
            <w:vAlign w:val="bottom"/>
          </w:tcPr>
          <w:p w14:paraId="2B1672C5" w14:textId="5C930D73"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117.935.031</w:t>
            </w:r>
          </w:p>
        </w:tc>
        <w:tc>
          <w:tcPr>
            <w:tcW w:w="1276" w:type="dxa"/>
            <w:tcBorders>
              <w:top w:val="nil"/>
              <w:left w:val="nil"/>
              <w:bottom w:val="single" w:sz="4" w:space="0" w:color="auto"/>
              <w:right w:val="single" w:sz="4" w:space="0" w:color="auto"/>
            </w:tcBorders>
            <w:shd w:val="clear" w:color="auto" w:fill="auto"/>
            <w:noWrap/>
            <w:vAlign w:val="bottom"/>
          </w:tcPr>
          <w:p w14:paraId="173DB867" w14:textId="3A2E034A" w:rsidR="009A05ED" w:rsidRPr="009A05ED" w:rsidRDefault="009A05ED" w:rsidP="009A05ED">
            <w:pPr>
              <w:spacing w:after="0" w:line="240" w:lineRule="auto"/>
              <w:jc w:val="right"/>
              <w:rPr>
                <w:rFonts w:ascii="Arial" w:eastAsia="Times New Roman" w:hAnsi="Arial" w:cs="Arial"/>
                <w:sz w:val="18"/>
                <w:szCs w:val="18"/>
                <w:lang w:eastAsia="pl-PL"/>
              </w:rPr>
            </w:pPr>
            <w:r w:rsidRPr="009A05ED">
              <w:rPr>
                <w:rFonts w:ascii="Arial" w:hAnsi="Arial" w:cs="Arial"/>
                <w:color w:val="000000"/>
                <w:sz w:val="18"/>
                <w:szCs w:val="18"/>
              </w:rPr>
              <w:t>1.783.206</w:t>
            </w:r>
          </w:p>
        </w:tc>
        <w:tc>
          <w:tcPr>
            <w:tcW w:w="1275" w:type="dxa"/>
            <w:tcBorders>
              <w:top w:val="nil"/>
              <w:left w:val="nil"/>
              <w:bottom w:val="single" w:sz="4" w:space="0" w:color="auto"/>
              <w:right w:val="single" w:sz="4" w:space="0" w:color="auto"/>
            </w:tcBorders>
            <w:shd w:val="clear" w:color="auto" w:fill="auto"/>
            <w:noWrap/>
            <w:vAlign w:val="bottom"/>
          </w:tcPr>
          <w:p w14:paraId="35D7F773" w14:textId="5CD03EE1"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119.718.237</w:t>
            </w:r>
          </w:p>
        </w:tc>
      </w:tr>
      <w:tr w:rsidR="009A05ED" w:rsidRPr="00FC6261" w14:paraId="0DC35ACE" w14:textId="77777777" w:rsidTr="003A5408">
        <w:trPr>
          <w:trHeight w:val="264"/>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69D794B4"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83</w:t>
            </w:r>
          </w:p>
        </w:tc>
        <w:tc>
          <w:tcPr>
            <w:tcW w:w="4877" w:type="dxa"/>
            <w:tcBorders>
              <w:top w:val="nil"/>
              <w:left w:val="nil"/>
              <w:bottom w:val="single" w:sz="4" w:space="0" w:color="auto"/>
              <w:right w:val="single" w:sz="4" w:space="0" w:color="auto"/>
            </w:tcBorders>
            <w:shd w:val="clear" w:color="auto" w:fill="auto"/>
            <w:noWrap/>
            <w:vAlign w:val="center"/>
            <w:hideMark/>
          </w:tcPr>
          <w:p w14:paraId="0E70A0C0"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Rezerwy celowe</w:t>
            </w:r>
          </w:p>
        </w:tc>
        <w:tc>
          <w:tcPr>
            <w:tcW w:w="1276" w:type="dxa"/>
            <w:tcBorders>
              <w:top w:val="nil"/>
              <w:left w:val="nil"/>
              <w:bottom w:val="single" w:sz="4" w:space="0" w:color="auto"/>
              <w:right w:val="single" w:sz="4" w:space="0" w:color="auto"/>
            </w:tcBorders>
            <w:shd w:val="clear" w:color="auto" w:fill="auto"/>
            <w:noWrap/>
            <w:vAlign w:val="bottom"/>
          </w:tcPr>
          <w:p w14:paraId="11D393AF" w14:textId="1077D956"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65.018.887</w:t>
            </w:r>
          </w:p>
        </w:tc>
        <w:tc>
          <w:tcPr>
            <w:tcW w:w="1276" w:type="dxa"/>
            <w:tcBorders>
              <w:top w:val="nil"/>
              <w:left w:val="nil"/>
              <w:bottom w:val="single" w:sz="4" w:space="0" w:color="auto"/>
              <w:right w:val="single" w:sz="4" w:space="0" w:color="auto"/>
            </w:tcBorders>
            <w:shd w:val="clear" w:color="auto" w:fill="auto"/>
            <w:noWrap/>
            <w:vAlign w:val="bottom"/>
          </w:tcPr>
          <w:p w14:paraId="7CD5614F" w14:textId="761CF133" w:rsidR="009A05ED" w:rsidRPr="009A05ED" w:rsidRDefault="00D76240" w:rsidP="009A05ED">
            <w:pPr>
              <w:spacing w:after="0" w:line="240" w:lineRule="auto"/>
              <w:jc w:val="right"/>
              <w:rPr>
                <w:rFonts w:ascii="Arial" w:eastAsia="Times New Roman" w:hAnsi="Arial" w:cs="Arial"/>
                <w:sz w:val="18"/>
                <w:szCs w:val="18"/>
                <w:lang w:eastAsia="pl-PL"/>
              </w:rPr>
            </w:pPr>
            <w:r w:rsidRPr="00D76240">
              <w:rPr>
                <w:rFonts w:ascii="Arial" w:hAnsi="Arial" w:cs="Arial"/>
                <w:color w:val="000000"/>
                <w:sz w:val="18"/>
                <w:szCs w:val="18"/>
              </w:rPr>
              <w:t>-3</w:t>
            </w:r>
            <w:r>
              <w:rPr>
                <w:rFonts w:ascii="Arial" w:hAnsi="Arial" w:cs="Arial"/>
                <w:color w:val="000000"/>
                <w:sz w:val="18"/>
                <w:szCs w:val="18"/>
              </w:rPr>
              <w:t>.</w:t>
            </w:r>
            <w:r w:rsidRPr="00D76240">
              <w:rPr>
                <w:rFonts w:ascii="Arial" w:hAnsi="Arial" w:cs="Arial"/>
                <w:color w:val="000000"/>
                <w:sz w:val="18"/>
                <w:szCs w:val="18"/>
              </w:rPr>
              <w:t>101</w:t>
            </w:r>
            <w:r>
              <w:rPr>
                <w:rFonts w:ascii="Arial" w:hAnsi="Arial" w:cs="Arial"/>
                <w:color w:val="000000"/>
                <w:sz w:val="18"/>
                <w:szCs w:val="18"/>
              </w:rPr>
              <w:t>.</w:t>
            </w:r>
            <w:r w:rsidRPr="00D76240">
              <w:rPr>
                <w:rFonts w:ascii="Arial" w:hAnsi="Arial" w:cs="Arial"/>
                <w:color w:val="000000"/>
                <w:sz w:val="18"/>
                <w:szCs w:val="18"/>
              </w:rPr>
              <w:t xml:space="preserve">206 </w:t>
            </w:r>
          </w:p>
        </w:tc>
        <w:tc>
          <w:tcPr>
            <w:tcW w:w="1275" w:type="dxa"/>
            <w:tcBorders>
              <w:top w:val="nil"/>
              <w:left w:val="nil"/>
              <w:bottom w:val="single" w:sz="4" w:space="0" w:color="auto"/>
              <w:right w:val="single" w:sz="4" w:space="0" w:color="auto"/>
            </w:tcBorders>
            <w:shd w:val="clear" w:color="auto" w:fill="auto"/>
            <w:noWrap/>
            <w:vAlign w:val="bottom"/>
          </w:tcPr>
          <w:p w14:paraId="21031182" w14:textId="13CE6EB1" w:rsidR="009A05ED" w:rsidRPr="00D043CC" w:rsidRDefault="003A5408" w:rsidP="009A05ED">
            <w:pPr>
              <w:spacing w:after="0" w:line="240" w:lineRule="auto"/>
              <w:jc w:val="right"/>
              <w:rPr>
                <w:rFonts w:ascii="Arial" w:eastAsia="Times New Roman" w:hAnsi="Arial" w:cs="Arial"/>
                <w:sz w:val="18"/>
                <w:szCs w:val="18"/>
                <w:lang w:eastAsia="pl-PL"/>
              </w:rPr>
            </w:pPr>
            <w:r w:rsidRPr="00D043CC">
              <w:rPr>
                <w:rFonts w:ascii="Arial" w:hAnsi="Arial" w:cs="Arial"/>
                <w:color w:val="000000"/>
                <w:sz w:val="18"/>
                <w:szCs w:val="18"/>
              </w:rPr>
              <w:t>61.</w:t>
            </w:r>
            <w:r w:rsidR="00D043CC" w:rsidRPr="00D043CC">
              <w:rPr>
                <w:rFonts w:ascii="Arial" w:hAnsi="Arial" w:cs="Arial"/>
                <w:color w:val="000000"/>
                <w:sz w:val="18"/>
                <w:szCs w:val="18"/>
              </w:rPr>
              <w:t>917</w:t>
            </w:r>
            <w:r w:rsidRPr="00D043CC">
              <w:rPr>
                <w:rFonts w:ascii="Arial" w:hAnsi="Arial" w:cs="Arial"/>
                <w:color w:val="000000"/>
                <w:sz w:val="18"/>
                <w:szCs w:val="18"/>
              </w:rPr>
              <w:t>.681</w:t>
            </w:r>
          </w:p>
        </w:tc>
      </w:tr>
      <w:tr w:rsidR="009A05ED" w:rsidRPr="00FC6261" w14:paraId="0DF43AF9" w14:textId="77777777" w:rsidTr="009A05ED">
        <w:trPr>
          <w:trHeight w:val="264"/>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1A7F5B9E"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84</w:t>
            </w:r>
          </w:p>
        </w:tc>
        <w:tc>
          <w:tcPr>
            <w:tcW w:w="4877" w:type="dxa"/>
            <w:tcBorders>
              <w:top w:val="nil"/>
              <w:left w:val="nil"/>
              <w:bottom w:val="single" w:sz="4" w:space="0" w:color="auto"/>
              <w:right w:val="single" w:sz="4" w:space="0" w:color="auto"/>
            </w:tcBorders>
            <w:shd w:val="clear" w:color="auto" w:fill="auto"/>
            <w:noWrap/>
            <w:vAlign w:val="center"/>
            <w:hideMark/>
          </w:tcPr>
          <w:p w14:paraId="22EA7A84"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Środki własne Unii Europejskiej</w:t>
            </w:r>
          </w:p>
        </w:tc>
        <w:tc>
          <w:tcPr>
            <w:tcW w:w="1276" w:type="dxa"/>
            <w:tcBorders>
              <w:top w:val="nil"/>
              <w:left w:val="nil"/>
              <w:bottom w:val="single" w:sz="4" w:space="0" w:color="auto"/>
              <w:right w:val="single" w:sz="4" w:space="0" w:color="auto"/>
            </w:tcBorders>
            <w:shd w:val="clear" w:color="auto" w:fill="auto"/>
            <w:noWrap/>
            <w:vAlign w:val="bottom"/>
          </w:tcPr>
          <w:p w14:paraId="186AE3AF" w14:textId="60D96293"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34.460.060</w:t>
            </w:r>
          </w:p>
        </w:tc>
        <w:tc>
          <w:tcPr>
            <w:tcW w:w="1276" w:type="dxa"/>
            <w:tcBorders>
              <w:top w:val="nil"/>
              <w:left w:val="nil"/>
              <w:bottom w:val="single" w:sz="4" w:space="0" w:color="auto"/>
              <w:right w:val="single" w:sz="4" w:space="0" w:color="auto"/>
            </w:tcBorders>
            <w:shd w:val="clear" w:color="auto" w:fill="auto"/>
            <w:noWrap/>
            <w:vAlign w:val="bottom"/>
          </w:tcPr>
          <w:p w14:paraId="57AD8039" w14:textId="14BCB863" w:rsidR="009A05ED" w:rsidRPr="009A05ED" w:rsidRDefault="00D76240" w:rsidP="009A05ED">
            <w:pPr>
              <w:spacing w:after="0" w:line="240" w:lineRule="auto"/>
              <w:jc w:val="right"/>
              <w:rPr>
                <w:rFonts w:ascii="Arial" w:eastAsia="Times New Roman" w:hAnsi="Arial" w:cs="Arial"/>
                <w:sz w:val="18"/>
                <w:szCs w:val="18"/>
                <w:lang w:eastAsia="pl-PL"/>
              </w:rPr>
            </w:pPr>
            <w:r>
              <w:rPr>
                <w:rFonts w:ascii="Arial" w:eastAsia="Times New Roman" w:hAnsi="Arial" w:cs="Arial"/>
                <w:sz w:val="18"/>
                <w:szCs w:val="18"/>
                <w:lang w:eastAsia="pl-PL"/>
              </w:rPr>
              <w:t>-550.000</w:t>
            </w:r>
          </w:p>
        </w:tc>
        <w:tc>
          <w:tcPr>
            <w:tcW w:w="1275" w:type="dxa"/>
            <w:tcBorders>
              <w:top w:val="nil"/>
              <w:left w:val="nil"/>
              <w:bottom w:val="single" w:sz="4" w:space="0" w:color="auto"/>
              <w:right w:val="single" w:sz="4" w:space="0" w:color="auto"/>
            </w:tcBorders>
            <w:shd w:val="clear" w:color="auto" w:fill="auto"/>
            <w:noWrap/>
            <w:vAlign w:val="bottom"/>
          </w:tcPr>
          <w:p w14:paraId="361CE7C5" w14:textId="1BF6DC91" w:rsidR="009A05ED" w:rsidRPr="00D043CC" w:rsidRDefault="009A05ED" w:rsidP="009A05ED">
            <w:pPr>
              <w:spacing w:after="0" w:line="240" w:lineRule="auto"/>
              <w:jc w:val="right"/>
              <w:rPr>
                <w:rFonts w:ascii="Arial" w:eastAsia="Times New Roman" w:hAnsi="Arial" w:cs="Arial"/>
                <w:sz w:val="18"/>
                <w:szCs w:val="18"/>
                <w:lang w:eastAsia="pl-PL"/>
              </w:rPr>
            </w:pPr>
            <w:r w:rsidRPr="00D043CC">
              <w:rPr>
                <w:rFonts w:ascii="Arial" w:hAnsi="Arial" w:cs="Arial"/>
                <w:color w:val="000000"/>
                <w:sz w:val="18"/>
                <w:szCs w:val="18"/>
              </w:rPr>
              <w:t>3</w:t>
            </w:r>
            <w:r w:rsidR="00D043CC" w:rsidRPr="00D043CC">
              <w:rPr>
                <w:rFonts w:ascii="Arial" w:hAnsi="Arial" w:cs="Arial"/>
                <w:color w:val="000000"/>
                <w:sz w:val="18"/>
                <w:szCs w:val="18"/>
              </w:rPr>
              <w:t>3</w:t>
            </w:r>
            <w:r w:rsidRPr="00D043CC">
              <w:rPr>
                <w:rFonts w:ascii="Arial" w:hAnsi="Arial" w:cs="Arial"/>
                <w:color w:val="000000"/>
                <w:sz w:val="18"/>
                <w:szCs w:val="18"/>
              </w:rPr>
              <w:t>.</w:t>
            </w:r>
            <w:r w:rsidR="00D043CC" w:rsidRPr="00D043CC">
              <w:rPr>
                <w:rFonts w:ascii="Arial" w:hAnsi="Arial" w:cs="Arial"/>
                <w:color w:val="000000"/>
                <w:sz w:val="18"/>
                <w:szCs w:val="18"/>
              </w:rPr>
              <w:t>910</w:t>
            </w:r>
            <w:r w:rsidRPr="00D043CC">
              <w:rPr>
                <w:rFonts w:ascii="Arial" w:hAnsi="Arial" w:cs="Arial"/>
                <w:color w:val="000000"/>
                <w:sz w:val="18"/>
                <w:szCs w:val="18"/>
              </w:rPr>
              <w:t>.</w:t>
            </w:r>
            <w:r w:rsidR="00D043CC" w:rsidRPr="00D043CC">
              <w:rPr>
                <w:rFonts w:ascii="Arial" w:hAnsi="Arial" w:cs="Arial"/>
                <w:color w:val="000000"/>
                <w:sz w:val="18"/>
                <w:szCs w:val="18"/>
              </w:rPr>
              <w:t>060</w:t>
            </w:r>
          </w:p>
        </w:tc>
      </w:tr>
      <w:tr w:rsidR="009A05ED" w:rsidRPr="00FC6261" w14:paraId="740AFDAD" w14:textId="77777777" w:rsidTr="009A05ED">
        <w:trPr>
          <w:trHeight w:val="264"/>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6D872417"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lastRenderedPageBreak/>
              <w:t>85</w:t>
            </w:r>
          </w:p>
        </w:tc>
        <w:tc>
          <w:tcPr>
            <w:tcW w:w="4877" w:type="dxa"/>
            <w:tcBorders>
              <w:top w:val="nil"/>
              <w:left w:val="nil"/>
              <w:bottom w:val="single" w:sz="4" w:space="0" w:color="auto"/>
              <w:right w:val="single" w:sz="4" w:space="0" w:color="auto"/>
            </w:tcBorders>
            <w:shd w:val="clear" w:color="auto" w:fill="auto"/>
            <w:noWrap/>
            <w:vAlign w:val="center"/>
            <w:hideMark/>
          </w:tcPr>
          <w:p w14:paraId="74808B0D"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Województwa</w:t>
            </w:r>
          </w:p>
        </w:tc>
        <w:tc>
          <w:tcPr>
            <w:tcW w:w="1276" w:type="dxa"/>
            <w:tcBorders>
              <w:top w:val="nil"/>
              <w:left w:val="nil"/>
              <w:bottom w:val="single" w:sz="4" w:space="0" w:color="auto"/>
              <w:right w:val="single" w:sz="4" w:space="0" w:color="auto"/>
            </w:tcBorders>
            <w:shd w:val="clear" w:color="auto" w:fill="auto"/>
            <w:noWrap/>
            <w:vAlign w:val="bottom"/>
          </w:tcPr>
          <w:p w14:paraId="026365F1" w14:textId="0EA7934C"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39.731.215</w:t>
            </w:r>
          </w:p>
        </w:tc>
        <w:tc>
          <w:tcPr>
            <w:tcW w:w="1276" w:type="dxa"/>
            <w:tcBorders>
              <w:top w:val="nil"/>
              <w:left w:val="nil"/>
              <w:bottom w:val="single" w:sz="4" w:space="0" w:color="auto"/>
              <w:right w:val="single" w:sz="4" w:space="0" w:color="auto"/>
            </w:tcBorders>
            <w:shd w:val="clear" w:color="auto" w:fill="auto"/>
            <w:noWrap/>
            <w:vAlign w:val="bottom"/>
          </w:tcPr>
          <w:p w14:paraId="3A4A778A" w14:textId="1B63E3B8"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5D8AA52" w14:textId="2050F6E8"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39.731.215</w:t>
            </w:r>
          </w:p>
        </w:tc>
      </w:tr>
      <w:tr w:rsidR="009A05ED" w:rsidRPr="00FC6261" w14:paraId="4FC10DEB" w14:textId="77777777" w:rsidTr="009A05ED">
        <w:trPr>
          <w:trHeight w:val="264"/>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64B2D9A5" w14:textId="77777777" w:rsidR="009A05ED" w:rsidRPr="00FC6261" w:rsidRDefault="009A05ED" w:rsidP="009A05ED">
            <w:pPr>
              <w:spacing w:after="0" w:line="240" w:lineRule="auto"/>
              <w:jc w:val="center"/>
              <w:rPr>
                <w:rFonts w:ascii="Arial" w:eastAsia="Times New Roman" w:hAnsi="Arial" w:cs="Arial"/>
                <w:sz w:val="18"/>
                <w:szCs w:val="18"/>
                <w:lang w:eastAsia="pl-PL"/>
              </w:rPr>
            </w:pPr>
            <w:r w:rsidRPr="00FC6261">
              <w:rPr>
                <w:rFonts w:ascii="Arial" w:eastAsia="Times New Roman" w:hAnsi="Arial" w:cs="Arial"/>
                <w:sz w:val="18"/>
                <w:szCs w:val="18"/>
                <w:lang w:eastAsia="pl-PL"/>
              </w:rPr>
              <w:t>86</w:t>
            </w:r>
          </w:p>
        </w:tc>
        <w:tc>
          <w:tcPr>
            <w:tcW w:w="4877" w:type="dxa"/>
            <w:tcBorders>
              <w:top w:val="nil"/>
              <w:left w:val="nil"/>
              <w:bottom w:val="single" w:sz="4" w:space="0" w:color="auto"/>
              <w:right w:val="single" w:sz="4" w:space="0" w:color="auto"/>
            </w:tcBorders>
            <w:shd w:val="clear" w:color="auto" w:fill="auto"/>
            <w:noWrap/>
            <w:vAlign w:val="center"/>
            <w:hideMark/>
          </w:tcPr>
          <w:p w14:paraId="3C547C43"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Samorządowe Kolegia Odwoławcze</w:t>
            </w:r>
          </w:p>
        </w:tc>
        <w:tc>
          <w:tcPr>
            <w:tcW w:w="1276" w:type="dxa"/>
            <w:tcBorders>
              <w:top w:val="nil"/>
              <w:left w:val="nil"/>
              <w:bottom w:val="single" w:sz="4" w:space="0" w:color="auto"/>
              <w:right w:val="single" w:sz="4" w:space="0" w:color="auto"/>
            </w:tcBorders>
            <w:shd w:val="clear" w:color="auto" w:fill="auto"/>
            <w:noWrap/>
            <w:vAlign w:val="bottom"/>
          </w:tcPr>
          <w:p w14:paraId="102FF0B5" w14:textId="4DCA81AE"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189.448</w:t>
            </w:r>
          </w:p>
        </w:tc>
        <w:tc>
          <w:tcPr>
            <w:tcW w:w="1276" w:type="dxa"/>
            <w:tcBorders>
              <w:top w:val="nil"/>
              <w:left w:val="nil"/>
              <w:bottom w:val="single" w:sz="4" w:space="0" w:color="auto"/>
              <w:right w:val="single" w:sz="4" w:space="0" w:color="auto"/>
            </w:tcBorders>
            <w:shd w:val="clear" w:color="auto" w:fill="auto"/>
            <w:noWrap/>
            <w:vAlign w:val="bottom"/>
          </w:tcPr>
          <w:p w14:paraId="1A32057B" w14:textId="6223D598"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C08FC3B" w14:textId="5D1CD66E"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189.448</w:t>
            </w:r>
          </w:p>
        </w:tc>
      </w:tr>
      <w:tr w:rsidR="009A05ED" w:rsidRPr="00FC6261" w14:paraId="399E8E01" w14:textId="77777777" w:rsidTr="009A05ED">
        <w:trPr>
          <w:trHeight w:val="264"/>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3C3FC9D6" w14:textId="77777777" w:rsidR="009A05ED" w:rsidRPr="00FC6261" w:rsidRDefault="009A05ED" w:rsidP="009A05ED">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88</w:t>
            </w:r>
          </w:p>
        </w:tc>
        <w:tc>
          <w:tcPr>
            <w:tcW w:w="4877" w:type="dxa"/>
            <w:tcBorders>
              <w:top w:val="nil"/>
              <w:left w:val="nil"/>
              <w:bottom w:val="single" w:sz="4" w:space="0" w:color="auto"/>
              <w:right w:val="single" w:sz="4" w:space="0" w:color="auto"/>
            </w:tcBorders>
            <w:shd w:val="clear" w:color="auto" w:fill="auto"/>
            <w:noWrap/>
            <w:vAlign w:val="center"/>
            <w:hideMark/>
          </w:tcPr>
          <w:p w14:paraId="762EEBEF" w14:textId="7777777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Powszechne jednostki organizacyjne prokuratury</w:t>
            </w:r>
          </w:p>
        </w:tc>
        <w:tc>
          <w:tcPr>
            <w:tcW w:w="1276" w:type="dxa"/>
            <w:tcBorders>
              <w:top w:val="nil"/>
              <w:left w:val="nil"/>
              <w:bottom w:val="single" w:sz="4" w:space="0" w:color="auto"/>
              <w:right w:val="single" w:sz="4" w:space="0" w:color="auto"/>
            </w:tcBorders>
            <w:shd w:val="clear" w:color="auto" w:fill="auto"/>
            <w:noWrap/>
            <w:vAlign w:val="bottom"/>
          </w:tcPr>
          <w:p w14:paraId="011E1DD3" w14:textId="6CDDDD74" w:rsidR="009A05ED" w:rsidRPr="009E2702" w:rsidRDefault="009A05ED" w:rsidP="009A05ED">
            <w:pPr>
              <w:spacing w:after="0" w:line="240" w:lineRule="auto"/>
              <w:jc w:val="right"/>
              <w:rPr>
                <w:rFonts w:ascii="Arial" w:eastAsia="Times New Roman" w:hAnsi="Arial" w:cs="Arial"/>
                <w:sz w:val="18"/>
                <w:szCs w:val="18"/>
                <w:lang w:eastAsia="pl-PL"/>
              </w:rPr>
            </w:pPr>
            <w:r w:rsidRPr="009E2702">
              <w:rPr>
                <w:rFonts w:ascii="Arial" w:hAnsi="Arial" w:cs="Arial"/>
                <w:sz w:val="18"/>
                <w:szCs w:val="18"/>
              </w:rPr>
              <w:t>4.667.614</w:t>
            </w:r>
          </w:p>
        </w:tc>
        <w:tc>
          <w:tcPr>
            <w:tcW w:w="1276" w:type="dxa"/>
            <w:tcBorders>
              <w:top w:val="nil"/>
              <w:left w:val="nil"/>
              <w:bottom w:val="single" w:sz="4" w:space="0" w:color="auto"/>
              <w:right w:val="single" w:sz="4" w:space="0" w:color="auto"/>
            </w:tcBorders>
            <w:shd w:val="clear" w:color="auto" w:fill="auto"/>
            <w:noWrap/>
            <w:vAlign w:val="bottom"/>
          </w:tcPr>
          <w:p w14:paraId="7B6ACDA3" w14:textId="13C61A90" w:rsidR="009A05ED" w:rsidRPr="009A05ED" w:rsidRDefault="009A05ED" w:rsidP="009A05ED">
            <w:pPr>
              <w:spacing w:after="0" w:line="240" w:lineRule="auto"/>
              <w:jc w:val="right"/>
              <w:rPr>
                <w:rFonts w:ascii="Arial" w:hAnsi="Arial" w:cs="Arial"/>
                <w:sz w:val="18"/>
                <w:szCs w:val="18"/>
              </w:rPr>
            </w:pPr>
          </w:p>
        </w:tc>
        <w:tc>
          <w:tcPr>
            <w:tcW w:w="1275" w:type="dxa"/>
            <w:tcBorders>
              <w:top w:val="nil"/>
              <w:left w:val="nil"/>
              <w:bottom w:val="single" w:sz="4" w:space="0" w:color="auto"/>
              <w:right w:val="single" w:sz="4" w:space="0" w:color="auto"/>
            </w:tcBorders>
            <w:shd w:val="clear" w:color="auto" w:fill="auto"/>
            <w:noWrap/>
            <w:vAlign w:val="bottom"/>
          </w:tcPr>
          <w:p w14:paraId="4B5FE9F1" w14:textId="365B23FC"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4.667.614</w:t>
            </w:r>
          </w:p>
        </w:tc>
      </w:tr>
      <w:tr w:rsidR="009A05ED" w:rsidRPr="00FC6261" w14:paraId="0A082AD2" w14:textId="77777777" w:rsidTr="00CC28C2">
        <w:trPr>
          <w:trHeight w:val="264"/>
        </w:trPr>
        <w:tc>
          <w:tcPr>
            <w:tcW w:w="363" w:type="dxa"/>
            <w:tcBorders>
              <w:top w:val="nil"/>
              <w:left w:val="single" w:sz="4" w:space="0" w:color="auto"/>
              <w:bottom w:val="single" w:sz="4" w:space="0" w:color="auto"/>
              <w:right w:val="single" w:sz="4" w:space="0" w:color="auto"/>
            </w:tcBorders>
            <w:shd w:val="clear" w:color="auto" w:fill="auto"/>
            <w:noWrap/>
            <w:vAlign w:val="center"/>
          </w:tcPr>
          <w:p w14:paraId="4DD32018" w14:textId="4A458767" w:rsidR="009A05ED" w:rsidRDefault="009A05ED" w:rsidP="009A05ED">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89</w:t>
            </w:r>
          </w:p>
        </w:tc>
        <w:tc>
          <w:tcPr>
            <w:tcW w:w="4877" w:type="dxa"/>
            <w:tcBorders>
              <w:top w:val="nil"/>
              <w:left w:val="nil"/>
              <w:bottom w:val="single" w:sz="4" w:space="0" w:color="auto"/>
              <w:right w:val="single" w:sz="4" w:space="0" w:color="auto"/>
            </w:tcBorders>
            <w:shd w:val="clear" w:color="auto" w:fill="auto"/>
            <w:noWrap/>
            <w:vAlign w:val="center"/>
          </w:tcPr>
          <w:p w14:paraId="37830C57" w14:textId="59C394E7" w:rsidR="009A05ED" w:rsidRPr="00FC6261" w:rsidRDefault="009A05ED" w:rsidP="009A05ED">
            <w:pPr>
              <w:spacing w:after="0" w:line="240" w:lineRule="auto"/>
              <w:rPr>
                <w:rFonts w:ascii="Arial" w:eastAsia="Times New Roman" w:hAnsi="Arial" w:cs="Arial"/>
                <w:sz w:val="18"/>
                <w:szCs w:val="18"/>
                <w:lang w:eastAsia="pl-PL"/>
              </w:rPr>
            </w:pPr>
            <w:r w:rsidRPr="00FC6261">
              <w:rPr>
                <w:rFonts w:ascii="Arial" w:eastAsia="Times New Roman" w:hAnsi="Arial" w:cs="Arial"/>
                <w:sz w:val="18"/>
                <w:szCs w:val="18"/>
                <w:lang w:eastAsia="pl-PL"/>
              </w:rPr>
              <w:t xml:space="preserve">Państwowa Komisja do spraw wyjaśniania przypadków czynności skierowanych przeciwko wolności seksualnej </w:t>
            </w:r>
            <w:r>
              <w:rPr>
                <w:rFonts w:ascii="Arial" w:eastAsia="Times New Roman" w:hAnsi="Arial" w:cs="Arial"/>
                <w:sz w:val="18"/>
                <w:szCs w:val="18"/>
                <w:lang w:eastAsia="pl-PL"/>
              </w:rPr>
              <w:br/>
            </w:r>
            <w:r w:rsidRPr="00FC6261">
              <w:rPr>
                <w:rFonts w:ascii="Arial" w:eastAsia="Times New Roman" w:hAnsi="Arial" w:cs="Arial"/>
                <w:sz w:val="18"/>
                <w:szCs w:val="18"/>
                <w:lang w:eastAsia="pl-PL"/>
              </w:rPr>
              <w:t>i obyczajności wobec małoletniego poniżej lat 15</w:t>
            </w:r>
          </w:p>
        </w:tc>
        <w:tc>
          <w:tcPr>
            <w:tcW w:w="1276" w:type="dxa"/>
            <w:tcBorders>
              <w:top w:val="nil"/>
              <w:left w:val="nil"/>
              <w:bottom w:val="single" w:sz="4" w:space="0" w:color="auto"/>
              <w:right w:val="single" w:sz="4" w:space="0" w:color="auto"/>
            </w:tcBorders>
            <w:shd w:val="clear" w:color="auto" w:fill="auto"/>
            <w:noWrap/>
            <w:vAlign w:val="center"/>
          </w:tcPr>
          <w:p w14:paraId="47DC064C" w14:textId="77777777" w:rsidR="009A05ED" w:rsidRDefault="009A05ED" w:rsidP="009A05ED">
            <w:pPr>
              <w:jc w:val="right"/>
              <w:rPr>
                <w:rFonts w:ascii="Arial" w:eastAsia="Times New Roman" w:hAnsi="Arial" w:cs="Arial"/>
                <w:sz w:val="18"/>
                <w:szCs w:val="18"/>
                <w:lang w:eastAsia="pl-PL"/>
              </w:rPr>
            </w:pPr>
          </w:p>
          <w:p w14:paraId="17E34231" w14:textId="1019C660" w:rsidR="009A05ED" w:rsidRPr="009E2702" w:rsidRDefault="009A05ED" w:rsidP="009A05ED">
            <w:pPr>
              <w:jc w:val="right"/>
              <w:rPr>
                <w:rFonts w:ascii="Arial" w:eastAsia="Times New Roman" w:hAnsi="Arial" w:cs="Arial"/>
                <w:sz w:val="18"/>
                <w:szCs w:val="18"/>
                <w:lang w:eastAsia="pl-PL"/>
              </w:rPr>
            </w:pPr>
            <w:r w:rsidRPr="009E2702">
              <w:rPr>
                <w:rFonts w:ascii="Arial" w:eastAsia="Times New Roman" w:hAnsi="Arial" w:cs="Arial"/>
                <w:sz w:val="18"/>
                <w:szCs w:val="18"/>
                <w:lang w:eastAsia="pl-PL"/>
              </w:rPr>
              <w:t>16.633</w:t>
            </w:r>
          </w:p>
          <w:p w14:paraId="397D345B" w14:textId="77777777" w:rsidR="009A05ED" w:rsidRPr="00FC6261" w:rsidRDefault="009A05ED" w:rsidP="009A05ED">
            <w:pPr>
              <w:spacing w:after="0" w:line="240" w:lineRule="auto"/>
              <w:jc w:val="right"/>
              <w:rPr>
                <w:rFonts w:ascii="Arial" w:eastAsia="Times New Roman" w:hAnsi="Arial" w:cs="Arial"/>
                <w:sz w:val="18"/>
                <w:szCs w:val="18"/>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34E5D3B" w14:textId="31F5C0D5"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center"/>
          </w:tcPr>
          <w:p w14:paraId="405B4F90" w14:textId="61805535"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16.633</w:t>
            </w:r>
          </w:p>
        </w:tc>
      </w:tr>
      <w:tr w:rsidR="009A05ED" w:rsidRPr="00FC6261" w14:paraId="4BC8503A" w14:textId="77777777" w:rsidTr="009A05ED">
        <w:trPr>
          <w:trHeight w:val="266"/>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12BA92D5" w14:textId="11F852F0" w:rsidR="009A05ED" w:rsidRPr="00FC6261" w:rsidRDefault="009A05ED" w:rsidP="009A05ED">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90</w:t>
            </w:r>
          </w:p>
        </w:tc>
        <w:tc>
          <w:tcPr>
            <w:tcW w:w="4877" w:type="dxa"/>
            <w:tcBorders>
              <w:top w:val="nil"/>
              <w:left w:val="nil"/>
              <w:bottom w:val="single" w:sz="4" w:space="0" w:color="auto"/>
              <w:right w:val="single" w:sz="4" w:space="0" w:color="auto"/>
            </w:tcBorders>
            <w:shd w:val="clear" w:color="auto" w:fill="auto"/>
            <w:vAlign w:val="center"/>
            <w:hideMark/>
          </w:tcPr>
          <w:p w14:paraId="1A9FC062" w14:textId="0C454F80" w:rsidR="009A05ED" w:rsidRPr="00FC6261" w:rsidRDefault="009A05ED" w:rsidP="009A05ED">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Akademia Kopernikańska</w:t>
            </w:r>
          </w:p>
        </w:tc>
        <w:tc>
          <w:tcPr>
            <w:tcW w:w="1276" w:type="dxa"/>
            <w:tcBorders>
              <w:top w:val="nil"/>
              <w:left w:val="nil"/>
              <w:bottom w:val="single" w:sz="4" w:space="0" w:color="auto"/>
              <w:right w:val="single" w:sz="4" w:space="0" w:color="auto"/>
            </w:tcBorders>
            <w:shd w:val="clear" w:color="auto" w:fill="auto"/>
            <w:noWrap/>
            <w:vAlign w:val="center"/>
          </w:tcPr>
          <w:p w14:paraId="7DA4429E" w14:textId="08D868BA" w:rsidR="009A05ED" w:rsidRPr="00FC6261" w:rsidRDefault="009A05ED" w:rsidP="009A05ED">
            <w:pPr>
              <w:spacing w:after="0" w:line="240" w:lineRule="auto"/>
              <w:jc w:val="right"/>
              <w:rPr>
                <w:rFonts w:ascii="Arial" w:eastAsia="Times New Roman" w:hAnsi="Arial" w:cs="Arial"/>
                <w:sz w:val="18"/>
                <w:szCs w:val="18"/>
                <w:lang w:eastAsia="pl-PL"/>
              </w:rPr>
            </w:pPr>
            <w:r w:rsidRPr="009E2702">
              <w:rPr>
                <w:rFonts w:ascii="Arial" w:eastAsia="Times New Roman" w:hAnsi="Arial" w:cs="Arial"/>
                <w:sz w:val="18"/>
                <w:szCs w:val="18"/>
                <w:lang w:eastAsia="pl-PL"/>
              </w:rPr>
              <w:t>25.344</w:t>
            </w:r>
          </w:p>
        </w:tc>
        <w:tc>
          <w:tcPr>
            <w:tcW w:w="1276" w:type="dxa"/>
            <w:tcBorders>
              <w:top w:val="nil"/>
              <w:left w:val="nil"/>
              <w:bottom w:val="single" w:sz="4" w:space="0" w:color="auto"/>
              <w:right w:val="single" w:sz="4" w:space="0" w:color="auto"/>
            </w:tcBorders>
            <w:shd w:val="clear" w:color="auto" w:fill="auto"/>
            <w:noWrap/>
            <w:vAlign w:val="bottom"/>
          </w:tcPr>
          <w:p w14:paraId="219CB17E" w14:textId="3BF37FE6" w:rsidR="009A05ED" w:rsidRPr="009A05ED" w:rsidRDefault="009A05ED" w:rsidP="009A05ED">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351FFA0" w14:textId="1351CA38" w:rsidR="009A05ED" w:rsidRPr="00BB6ABC" w:rsidRDefault="009A05ED" w:rsidP="009A05ED">
            <w:pPr>
              <w:spacing w:after="0" w:line="240" w:lineRule="auto"/>
              <w:jc w:val="right"/>
              <w:rPr>
                <w:rFonts w:ascii="Arial" w:eastAsia="Times New Roman" w:hAnsi="Arial" w:cs="Arial"/>
                <w:sz w:val="18"/>
                <w:szCs w:val="18"/>
                <w:lang w:eastAsia="pl-PL"/>
              </w:rPr>
            </w:pPr>
            <w:r w:rsidRPr="00BB6ABC">
              <w:rPr>
                <w:rFonts w:ascii="Arial" w:hAnsi="Arial" w:cs="Arial"/>
                <w:color w:val="000000"/>
                <w:sz w:val="18"/>
                <w:szCs w:val="18"/>
              </w:rPr>
              <w:t>25.344</w:t>
            </w:r>
          </w:p>
        </w:tc>
      </w:tr>
    </w:tbl>
    <w:p w14:paraId="6C6254A0" w14:textId="77777777" w:rsidR="00D61338" w:rsidRPr="009C44A9" w:rsidRDefault="00D61338" w:rsidP="009C44A9">
      <w:pPr>
        <w:spacing w:before="120" w:after="120" w:line="340" w:lineRule="atLeast"/>
        <w:rPr>
          <w:rFonts w:ascii="Arial" w:hAnsi="Arial" w:cs="Arial"/>
          <w:bCs/>
        </w:rPr>
      </w:pPr>
      <w:r w:rsidRPr="009C44A9">
        <w:rPr>
          <w:rFonts w:ascii="Arial" w:hAnsi="Arial" w:cs="Arial"/>
          <w:bCs/>
        </w:rPr>
        <w:t xml:space="preserve">W związku z tym, iż układ zadaniowy powinien zapewniać pełne odzwierciedlenie treści ustawy budżetowej na rok 2024 – zgodnie z uwarunkowaniami metodologicznymi funkcjonowania budżetu zadaniowego, po uchwaleniu i ogłoszeniu zmiany tej ustawy niezbędne będzie ponowne, analogiczne do procedury pierwotnej, dostosowanie układu zadaniowego, do treści prawnie wiążącej zmiany ustawy budżetowej na rok 2024. </w:t>
      </w:r>
    </w:p>
    <w:p w14:paraId="1355756A" w14:textId="66E5BD01" w:rsidR="00D61338" w:rsidRPr="009C44A9" w:rsidRDefault="00D61338" w:rsidP="009C44A9">
      <w:pPr>
        <w:spacing w:before="120" w:after="120" w:line="340" w:lineRule="atLeast"/>
        <w:rPr>
          <w:rFonts w:ascii="Arial" w:hAnsi="Arial" w:cs="Arial"/>
          <w:bCs/>
        </w:rPr>
      </w:pPr>
      <w:r w:rsidRPr="009C44A9">
        <w:rPr>
          <w:rFonts w:ascii="Arial" w:hAnsi="Arial" w:cs="Arial"/>
          <w:bCs/>
        </w:rPr>
        <w:t>Dostosowanie takie, w zakresie części finansowej zadaniowego układu wydatków będzie wykonane w takim zakresie, w jakim dokonane zostaną zmiany wydatków w ustawie budżetowej</w:t>
      </w:r>
      <w:r w:rsidR="005E5AF0">
        <w:rPr>
          <w:rFonts w:ascii="Arial" w:hAnsi="Arial" w:cs="Arial"/>
          <w:bCs/>
        </w:rPr>
        <w:t xml:space="preserve"> na rok 2024</w:t>
      </w:r>
      <w:r w:rsidRPr="009C44A9">
        <w:rPr>
          <w:rFonts w:ascii="Arial" w:hAnsi="Arial" w:cs="Arial"/>
          <w:bCs/>
        </w:rPr>
        <w:t>. Natomiast zmiany treści układu zadaniowego w zakresie części tzw.</w:t>
      </w:r>
      <w:r w:rsidR="00F24CD2">
        <w:rPr>
          <w:rFonts w:ascii="Arial" w:hAnsi="Arial" w:cs="Arial"/>
          <w:bCs/>
        </w:rPr>
        <w:t> </w:t>
      </w:r>
      <w:r w:rsidRPr="009C44A9">
        <w:rPr>
          <w:rFonts w:ascii="Arial" w:hAnsi="Arial" w:cs="Arial"/>
          <w:bCs/>
        </w:rPr>
        <w:t>sprawnościowej (tj. dotyczącej celów i mierników) zostaną uwzględnione, jeżeli (zgodnie z</w:t>
      </w:r>
      <w:r w:rsidR="00F865C8">
        <w:rPr>
          <w:rFonts w:ascii="Arial" w:hAnsi="Arial" w:cs="Arial"/>
          <w:bCs/>
        </w:rPr>
        <w:t> </w:t>
      </w:r>
      <w:r w:rsidRPr="009C44A9">
        <w:rPr>
          <w:rFonts w:ascii="Arial" w:hAnsi="Arial" w:cs="Arial"/>
          <w:bCs/>
        </w:rPr>
        <w:t xml:space="preserve">analizą oraz oceną dysponentów) ww. zmiany w części finansowej będą miały faktyczny oraz wymierny wpływ m.in. na planowaną dotychczas wartość stosowanych mierników. </w:t>
      </w:r>
    </w:p>
    <w:p w14:paraId="7860F8ED" w14:textId="2FA698DC" w:rsidR="00F24475" w:rsidRPr="009C44A9" w:rsidRDefault="00D61338" w:rsidP="009C44A9">
      <w:pPr>
        <w:spacing w:before="120" w:after="120" w:line="340" w:lineRule="atLeast"/>
        <w:rPr>
          <w:rFonts w:ascii="Arial" w:hAnsi="Arial" w:cs="Arial"/>
          <w:bCs/>
          <w:highlight w:val="yellow"/>
        </w:rPr>
      </w:pPr>
      <w:r w:rsidRPr="009C44A9">
        <w:rPr>
          <w:rFonts w:ascii="Arial" w:hAnsi="Arial" w:cs="Arial"/>
          <w:bCs/>
        </w:rPr>
        <w:t>Zestawienie zmian w układzie zadaniowym (zarówno w części finansowej jak też sprawnościowej) wynikające z przedmiotowej nowelizacji ustawy budżetowej na rok 2024 w związku z jej uchwaleniem i ogłoszeniem zostanie zaprezentowane w Informacji o</w:t>
      </w:r>
      <w:r w:rsidR="00F865C8">
        <w:rPr>
          <w:rFonts w:ascii="Arial" w:hAnsi="Arial" w:cs="Arial"/>
          <w:bCs/>
        </w:rPr>
        <w:t> </w:t>
      </w:r>
      <w:r w:rsidRPr="009C44A9">
        <w:rPr>
          <w:rFonts w:ascii="Arial" w:hAnsi="Arial" w:cs="Arial"/>
          <w:bCs/>
        </w:rPr>
        <w:t>wykonaniu wydatków w układzie zadaniowym w 2024 r.</w:t>
      </w:r>
    </w:p>
    <w:p w14:paraId="301F9307" w14:textId="77777777" w:rsidR="001140B1" w:rsidRDefault="001140B1" w:rsidP="001140B1">
      <w:pPr>
        <w:spacing w:before="360" w:after="120" w:line="340" w:lineRule="atLeast"/>
        <w:rPr>
          <w:rFonts w:ascii="Arial" w:hAnsi="Arial" w:cs="Arial"/>
          <w:b/>
          <w:u w:val="single"/>
        </w:rPr>
      </w:pPr>
      <w:r w:rsidRPr="009C3F59">
        <w:rPr>
          <w:rFonts w:ascii="Arial" w:hAnsi="Arial" w:cs="Arial"/>
          <w:b/>
          <w:u w:val="single"/>
        </w:rPr>
        <w:t>Zwiększenia wydatków budżetowych</w:t>
      </w:r>
    </w:p>
    <w:p w14:paraId="75AB7FD5" w14:textId="2C404F46" w:rsidR="00B327DA" w:rsidRPr="00FE19C9" w:rsidRDefault="00B327DA" w:rsidP="006E4C68">
      <w:pPr>
        <w:spacing w:before="360" w:after="120" w:line="340" w:lineRule="atLeast"/>
        <w:rPr>
          <w:rFonts w:ascii="Arial" w:hAnsi="Arial" w:cs="Arial"/>
          <w:b/>
        </w:rPr>
      </w:pPr>
      <w:r w:rsidRPr="00FE19C9">
        <w:rPr>
          <w:rFonts w:ascii="Arial" w:hAnsi="Arial" w:cs="Arial"/>
          <w:b/>
        </w:rPr>
        <w:t>Część 2</w:t>
      </w:r>
      <w:r w:rsidR="002B0916">
        <w:rPr>
          <w:rFonts w:ascii="Arial" w:hAnsi="Arial" w:cs="Arial"/>
          <w:b/>
        </w:rPr>
        <w:t>8</w:t>
      </w:r>
      <w:r w:rsidRPr="00FE19C9">
        <w:rPr>
          <w:rFonts w:ascii="Arial" w:hAnsi="Arial" w:cs="Arial"/>
          <w:b/>
        </w:rPr>
        <w:t xml:space="preserve"> – </w:t>
      </w:r>
      <w:r w:rsidR="002B0916">
        <w:rPr>
          <w:rFonts w:ascii="Arial" w:hAnsi="Arial" w:cs="Arial"/>
          <w:b/>
        </w:rPr>
        <w:t>Szkolnictwo wyższe i nauka</w:t>
      </w:r>
    </w:p>
    <w:p w14:paraId="32393F4E" w14:textId="77777777" w:rsidR="0004610B" w:rsidRPr="0004610B" w:rsidRDefault="0004610B" w:rsidP="0004610B">
      <w:pPr>
        <w:spacing w:before="240" w:after="120" w:line="340" w:lineRule="atLeast"/>
        <w:rPr>
          <w:rFonts w:ascii="Arial" w:hAnsi="Arial" w:cs="Arial"/>
          <w:bCs/>
        </w:rPr>
      </w:pPr>
      <w:r w:rsidRPr="0004610B">
        <w:rPr>
          <w:rFonts w:ascii="Arial" w:hAnsi="Arial" w:cs="Arial"/>
          <w:bCs/>
        </w:rPr>
        <w:t>W ustawie budżetowej na rok 2024 w części 28 – Szkolnictwo wyższe i nauka zaplanowano wydatki w kwocie 31.349.947 tys. zł, w tym na dotacje i subwencje 28.737.181 tys. zł.</w:t>
      </w:r>
    </w:p>
    <w:p w14:paraId="593E4F5A" w14:textId="4FF29A6D" w:rsidR="0004610B" w:rsidRPr="0004610B" w:rsidRDefault="0004610B" w:rsidP="0004610B">
      <w:pPr>
        <w:spacing w:before="240" w:after="120" w:line="340" w:lineRule="atLeast"/>
        <w:rPr>
          <w:rFonts w:ascii="Arial" w:hAnsi="Arial" w:cs="Arial"/>
          <w:bCs/>
        </w:rPr>
      </w:pPr>
      <w:r w:rsidRPr="0004610B">
        <w:rPr>
          <w:rFonts w:ascii="Arial" w:hAnsi="Arial" w:cs="Arial"/>
          <w:bCs/>
        </w:rPr>
        <w:t xml:space="preserve">W projekcie nowelizacji ustawy budżetowej </w:t>
      </w:r>
      <w:r w:rsidR="005E5AF0">
        <w:rPr>
          <w:rFonts w:ascii="Arial" w:hAnsi="Arial" w:cs="Arial"/>
          <w:bCs/>
        </w:rPr>
        <w:t xml:space="preserve">na rok 2024 </w:t>
      </w:r>
      <w:r w:rsidRPr="0004610B">
        <w:rPr>
          <w:rFonts w:ascii="Arial" w:hAnsi="Arial" w:cs="Arial"/>
          <w:bCs/>
        </w:rPr>
        <w:t>przewidziano zwiększenie planu wydatków części 28 – Szkolnictwo wyższe i nauka o 69.600 tys. zł z przeznaczeniem na subwencję dla Akademii Górniczo-Hutniczej w Krakowie w celu wsparcia finansowego realizacji projektu dotyczącego Budowy w Polsce Fabryki Sztucznej Inteligencji.</w:t>
      </w:r>
    </w:p>
    <w:p w14:paraId="46771C7E" w14:textId="77777777" w:rsidR="0004610B" w:rsidRPr="0004610B" w:rsidRDefault="0004610B" w:rsidP="0004610B">
      <w:pPr>
        <w:spacing w:before="240" w:after="120" w:line="340" w:lineRule="atLeast"/>
        <w:rPr>
          <w:rFonts w:ascii="Arial" w:hAnsi="Arial" w:cs="Arial"/>
          <w:bCs/>
        </w:rPr>
      </w:pPr>
      <w:r w:rsidRPr="0004610B">
        <w:rPr>
          <w:rFonts w:ascii="Arial" w:hAnsi="Arial" w:cs="Arial"/>
          <w:bCs/>
        </w:rPr>
        <w:t>Środki zostały przeniesione z części 27 – Informatyzacja.</w:t>
      </w:r>
    </w:p>
    <w:p w14:paraId="4049B693" w14:textId="2542FA07" w:rsidR="0004610B" w:rsidRDefault="0004610B" w:rsidP="0004610B">
      <w:pPr>
        <w:spacing w:before="240" w:after="120" w:line="340" w:lineRule="atLeast"/>
        <w:rPr>
          <w:rFonts w:ascii="Arial" w:hAnsi="Arial" w:cs="Arial"/>
          <w:bCs/>
        </w:rPr>
      </w:pPr>
      <w:r w:rsidRPr="0004610B">
        <w:rPr>
          <w:rFonts w:ascii="Arial" w:hAnsi="Arial" w:cs="Arial"/>
          <w:bCs/>
        </w:rPr>
        <w:lastRenderedPageBreak/>
        <w:t>Po dokonaniu powyższej zmiany wydatki w części 28 – Szkolnictwo wyższe i nauka zwiększą się do kwoty 31.419.547 tys. zł, w tym dotacje i subwencje do wysokości 28.806.781 tys. zł.</w:t>
      </w:r>
    </w:p>
    <w:p w14:paraId="6F631344" w14:textId="5122D4C7" w:rsidR="001140B1" w:rsidRPr="00FE19C9" w:rsidRDefault="001140B1" w:rsidP="0004610B">
      <w:pPr>
        <w:spacing w:before="360" w:after="120" w:line="340" w:lineRule="atLeast"/>
        <w:rPr>
          <w:rFonts w:ascii="Arial" w:hAnsi="Arial" w:cs="Arial"/>
          <w:b/>
        </w:rPr>
      </w:pPr>
      <w:r w:rsidRPr="00FE19C9">
        <w:rPr>
          <w:rFonts w:ascii="Arial" w:hAnsi="Arial" w:cs="Arial"/>
          <w:b/>
        </w:rPr>
        <w:t>Cz</w:t>
      </w:r>
      <w:r w:rsidR="009E36FE" w:rsidRPr="00FE19C9">
        <w:rPr>
          <w:rFonts w:ascii="Arial" w:hAnsi="Arial" w:cs="Arial"/>
          <w:b/>
        </w:rPr>
        <w:t>ę</w:t>
      </w:r>
      <w:r w:rsidRPr="00FE19C9">
        <w:rPr>
          <w:rFonts w:ascii="Arial" w:hAnsi="Arial" w:cs="Arial"/>
          <w:b/>
        </w:rPr>
        <w:t>ść 40 – Turystyka</w:t>
      </w:r>
    </w:p>
    <w:p w14:paraId="486B1047" w14:textId="6FCCB3BC" w:rsidR="00A239FD" w:rsidRPr="00A239FD" w:rsidRDefault="00A239FD" w:rsidP="00A239FD">
      <w:pPr>
        <w:spacing w:before="120" w:after="120" w:line="340" w:lineRule="atLeast"/>
        <w:rPr>
          <w:rFonts w:ascii="Arial" w:hAnsi="Arial" w:cs="Arial"/>
          <w:bCs/>
        </w:rPr>
      </w:pPr>
      <w:r w:rsidRPr="00A239FD">
        <w:rPr>
          <w:rFonts w:ascii="Arial" w:hAnsi="Arial" w:cs="Arial"/>
          <w:bCs/>
        </w:rPr>
        <w:t>W ustawie budżetowej na rok 2024 w części 40 – Turystyka zaplanowano wydatki w kwocie 114.997 tys. zł, z tego dotacje podmiotowe w wysokości 88.113 tys. zł</w:t>
      </w:r>
      <w:r w:rsidR="006724C3">
        <w:rPr>
          <w:rFonts w:ascii="Arial" w:hAnsi="Arial" w:cs="Arial"/>
          <w:bCs/>
        </w:rPr>
        <w:t>.</w:t>
      </w:r>
      <w:r w:rsidRPr="00A239FD">
        <w:rPr>
          <w:rFonts w:ascii="Arial" w:hAnsi="Arial" w:cs="Arial"/>
          <w:bCs/>
        </w:rPr>
        <w:t xml:space="preserve"> </w:t>
      </w:r>
    </w:p>
    <w:p w14:paraId="4E5C58F2" w14:textId="1FC54C02" w:rsidR="00A239FD" w:rsidRPr="00A239FD" w:rsidRDefault="00A239FD" w:rsidP="00A239FD">
      <w:pPr>
        <w:spacing w:before="120" w:after="120" w:line="340" w:lineRule="atLeast"/>
        <w:rPr>
          <w:rFonts w:ascii="Arial" w:hAnsi="Arial" w:cs="Arial"/>
          <w:bCs/>
        </w:rPr>
      </w:pPr>
      <w:r w:rsidRPr="00A239FD">
        <w:rPr>
          <w:rFonts w:ascii="Arial" w:hAnsi="Arial" w:cs="Arial"/>
          <w:bCs/>
        </w:rPr>
        <w:t>W projekcie nowelizacji ustawy budżetowej</w:t>
      </w:r>
      <w:r w:rsidR="005E5AF0">
        <w:rPr>
          <w:rFonts w:ascii="Arial" w:hAnsi="Arial" w:cs="Arial"/>
          <w:bCs/>
        </w:rPr>
        <w:t xml:space="preserve"> na rok</w:t>
      </w:r>
      <w:r w:rsidRPr="00A239FD">
        <w:rPr>
          <w:rFonts w:ascii="Arial" w:hAnsi="Arial" w:cs="Arial"/>
          <w:bCs/>
        </w:rPr>
        <w:t xml:space="preserve"> </w:t>
      </w:r>
      <w:r w:rsidR="00E63BC8">
        <w:rPr>
          <w:rFonts w:ascii="Arial" w:hAnsi="Arial" w:cs="Arial"/>
          <w:bCs/>
        </w:rPr>
        <w:t xml:space="preserve">2024 </w:t>
      </w:r>
      <w:r w:rsidRPr="00A239FD">
        <w:rPr>
          <w:rFonts w:ascii="Arial" w:hAnsi="Arial" w:cs="Arial"/>
          <w:bCs/>
        </w:rPr>
        <w:t>przewidziano zwiększenie wydatków w tej części o kwotę 2.000 tys. zł w całości w ramach dotacji i subwencji z jednoczesnym zmniejszeniem o tę kwotę wydatków w ramach dotacji i subwencji w części 25 – Kultura fizyczna</w:t>
      </w:r>
      <w:r w:rsidR="006724C3">
        <w:rPr>
          <w:rFonts w:ascii="Arial" w:hAnsi="Arial" w:cs="Arial"/>
          <w:bCs/>
        </w:rPr>
        <w:t>.</w:t>
      </w:r>
    </w:p>
    <w:p w14:paraId="47CD1DFF" w14:textId="06BD782C" w:rsidR="00A239FD" w:rsidRPr="00A239FD" w:rsidRDefault="00A239FD" w:rsidP="00A239FD">
      <w:pPr>
        <w:spacing w:before="120" w:after="120" w:line="340" w:lineRule="atLeast"/>
        <w:rPr>
          <w:rFonts w:ascii="Arial" w:hAnsi="Arial" w:cs="Arial"/>
          <w:bCs/>
        </w:rPr>
      </w:pPr>
      <w:r w:rsidRPr="00A239FD">
        <w:rPr>
          <w:rFonts w:ascii="Arial" w:hAnsi="Arial" w:cs="Arial"/>
          <w:bCs/>
        </w:rPr>
        <w:t xml:space="preserve">Zmiana poziomu wydatków </w:t>
      </w:r>
      <w:r w:rsidR="00433FDD">
        <w:rPr>
          <w:rFonts w:ascii="Arial" w:hAnsi="Arial" w:cs="Arial"/>
          <w:bCs/>
        </w:rPr>
        <w:t>dotyczy</w:t>
      </w:r>
      <w:r w:rsidRPr="00A239FD">
        <w:rPr>
          <w:rFonts w:ascii="Arial" w:hAnsi="Arial" w:cs="Arial"/>
          <w:bCs/>
        </w:rPr>
        <w:t xml:space="preserve"> zwiększenia dotacji podmiotowej z budżetu państwa dla Polskiej Organizacji Turystycznej w celu zabezpieczenia środków na podjęcie działań związanych z przeciwdziałaniem negatywnym skutkom powodzi w zakresie promowania atrakcyjności turystycznej i dostępności oferty turystycznej w części Polski dotkniętej powodzią.</w:t>
      </w:r>
    </w:p>
    <w:p w14:paraId="02B297A7" w14:textId="23049090" w:rsidR="00A239FD" w:rsidRPr="00A239FD" w:rsidRDefault="00A239FD" w:rsidP="00A239FD">
      <w:pPr>
        <w:spacing w:before="120" w:after="120" w:line="340" w:lineRule="atLeast"/>
        <w:rPr>
          <w:rFonts w:ascii="Arial" w:hAnsi="Arial" w:cs="Arial"/>
          <w:bCs/>
          <w:highlight w:val="yellow"/>
        </w:rPr>
      </w:pPr>
      <w:r w:rsidRPr="00A239FD">
        <w:rPr>
          <w:rFonts w:ascii="Arial" w:hAnsi="Arial" w:cs="Arial"/>
          <w:bCs/>
        </w:rPr>
        <w:t>Po dokonaniu powyższej zmiany wydatki w części 40 – Turystyka zwiększą się do kwoty 116.997 tys. zł, w tym dotacje podmiotowe do wysokości 90.113 tys. zł.</w:t>
      </w:r>
    </w:p>
    <w:p w14:paraId="52972D83" w14:textId="05D6BEFC" w:rsidR="00F66333" w:rsidRPr="00395399" w:rsidRDefault="001140B1" w:rsidP="00395399">
      <w:pPr>
        <w:spacing w:before="360" w:after="120" w:line="340" w:lineRule="atLeast"/>
        <w:rPr>
          <w:rFonts w:ascii="Arial" w:hAnsi="Arial" w:cs="Arial"/>
          <w:b/>
        </w:rPr>
      </w:pPr>
      <w:r w:rsidRPr="000D4F5F">
        <w:rPr>
          <w:rFonts w:ascii="Arial" w:hAnsi="Arial" w:cs="Arial"/>
          <w:b/>
        </w:rPr>
        <w:t>Cz</w:t>
      </w:r>
      <w:r w:rsidR="009E36FE" w:rsidRPr="000D4F5F">
        <w:rPr>
          <w:rFonts w:ascii="Arial" w:hAnsi="Arial" w:cs="Arial"/>
          <w:b/>
        </w:rPr>
        <w:t>ę</w:t>
      </w:r>
      <w:r w:rsidRPr="000D4F5F">
        <w:rPr>
          <w:rFonts w:ascii="Arial" w:hAnsi="Arial" w:cs="Arial"/>
          <w:b/>
        </w:rPr>
        <w:t xml:space="preserve">ść 46 </w:t>
      </w:r>
      <w:bookmarkStart w:id="2" w:name="_Hlk180683922"/>
      <w:r w:rsidRPr="000D4F5F">
        <w:rPr>
          <w:rFonts w:ascii="Arial" w:hAnsi="Arial" w:cs="Arial"/>
          <w:b/>
        </w:rPr>
        <w:t>–</w:t>
      </w:r>
      <w:bookmarkEnd w:id="2"/>
      <w:r w:rsidRPr="000D4F5F">
        <w:rPr>
          <w:rFonts w:ascii="Arial" w:hAnsi="Arial" w:cs="Arial"/>
          <w:b/>
        </w:rPr>
        <w:t xml:space="preserve"> Zdrowie</w:t>
      </w:r>
    </w:p>
    <w:p w14:paraId="37A95721" w14:textId="157EAAAC" w:rsidR="000D4F5F" w:rsidRPr="000D4F5F" w:rsidRDefault="00F66333" w:rsidP="000D4F5F">
      <w:pPr>
        <w:spacing w:before="120" w:after="120" w:line="340" w:lineRule="atLeast"/>
        <w:rPr>
          <w:rFonts w:ascii="Arial" w:hAnsi="Arial" w:cs="Arial"/>
          <w:bCs/>
        </w:rPr>
      </w:pPr>
      <w:r>
        <w:rPr>
          <w:rFonts w:ascii="Arial" w:hAnsi="Arial" w:cs="Arial"/>
          <w:bCs/>
        </w:rPr>
        <w:t>Zidentyfikowane w części 83 – Rezerwy celowe naturalne oszczędności powstałe w związku z upływem ustawowego terminu ich podziału pozwoliły na przekierowanie tych środków do części 46 – Zdrowie i zwiększenie planu wydatków w tej części o 1,2 mld zł</w:t>
      </w:r>
      <w:r w:rsidR="00B920E3">
        <w:rPr>
          <w:rFonts w:ascii="Arial" w:hAnsi="Arial" w:cs="Arial"/>
          <w:bCs/>
        </w:rPr>
        <w:t xml:space="preserve"> </w:t>
      </w:r>
      <w:r>
        <w:rPr>
          <w:rFonts w:ascii="Arial" w:hAnsi="Arial" w:cs="Arial"/>
          <w:bCs/>
        </w:rPr>
        <w:t>z</w:t>
      </w:r>
      <w:r w:rsidR="00B920E3">
        <w:rPr>
          <w:rFonts w:ascii="Arial" w:hAnsi="Arial" w:cs="Arial"/>
          <w:bCs/>
        </w:rPr>
        <w:t> </w:t>
      </w:r>
      <w:r>
        <w:rPr>
          <w:rFonts w:ascii="Arial" w:hAnsi="Arial" w:cs="Arial"/>
          <w:bCs/>
        </w:rPr>
        <w:t>przeznaczeniem na</w:t>
      </w:r>
      <w:r w:rsidR="000D4F5F" w:rsidRPr="000D4F5F">
        <w:rPr>
          <w:rFonts w:ascii="Arial" w:hAnsi="Arial" w:cs="Arial"/>
          <w:bCs/>
        </w:rPr>
        <w:t xml:space="preserve"> dotację podmiotową dla Narodowego Funduszu Zdrowia. </w:t>
      </w:r>
      <w:r>
        <w:rPr>
          <w:rFonts w:ascii="Arial" w:hAnsi="Arial" w:cs="Arial"/>
          <w:bCs/>
        </w:rPr>
        <w:t>Zwiększenie</w:t>
      </w:r>
      <w:r w:rsidR="000D4F5F" w:rsidRPr="000D4F5F">
        <w:rPr>
          <w:rFonts w:ascii="Arial" w:hAnsi="Arial" w:cs="Arial"/>
          <w:bCs/>
        </w:rPr>
        <w:t xml:space="preserve"> t</w:t>
      </w:r>
      <w:r>
        <w:rPr>
          <w:rFonts w:ascii="Arial" w:hAnsi="Arial" w:cs="Arial"/>
          <w:bCs/>
        </w:rPr>
        <w:t>o</w:t>
      </w:r>
      <w:r w:rsidR="000D4F5F" w:rsidRPr="000D4F5F">
        <w:rPr>
          <w:rFonts w:ascii="Arial" w:hAnsi="Arial" w:cs="Arial"/>
          <w:bCs/>
        </w:rPr>
        <w:t xml:space="preserve"> </w:t>
      </w:r>
      <w:r>
        <w:rPr>
          <w:rFonts w:ascii="Arial" w:hAnsi="Arial" w:cs="Arial"/>
          <w:bCs/>
        </w:rPr>
        <w:t>jest</w:t>
      </w:r>
      <w:r w:rsidR="000D4F5F" w:rsidRPr="000D4F5F">
        <w:rPr>
          <w:rFonts w:ascii="Arial" w:hAnsi="Arial" w:cs="Arial"/>
          <w:bCs/>
        </w:rPr>
        <w:t xml:space="preserve"> konieczne w celu zapewnienia zabezpieczenia przez NFZ sfinansowania niezbędnych świadczeń opieki zdrowotnej w</w:t>
      </w:r>
      <w:r w:rsidR="000D4F5F">
        <w:rPr>
          <w:rFonts w:ascii="Arial" w:hAnsi="Arial" w:cs="Arial"/>
          <w:bCs/>
        </w:rPr>
        <w:t> </w:t>
      </w:r>
      <w:r w:rsidR="000D4F5F" w:rsidRPr="000D4F5F">
        <w:rPr>
          <w:rFonts w:ascii="Arial" w:hAnsi="Arial" w:cs="Arial"/>
          <w:bCs/>
        </w:rPr>
        <w:t>2024</w:t>
      </w:r>
      <w:r w:rsidR="000D4F5F">
        <w:rPr>
          <w:rFonts w:ascii="Arial" w:hAnsi="Arial" w:cs="Arial"/>
          <w:bCs/>
        </w:rPr>
        <w:t> </w:t>
      </w:r>
      <w:r w:rsidR="000D4F5F" w:rsidRPr="000D4F5F">
        <w:rPr>
          <w:rFonts w:ascii="Arial" w:hAnsi="Arial" w:cs="Arial"/>
          <w:bCs/>
        </w:rPr>
        <w:t>r.</w:t>
      </w:r>
    </w:p>
    <w:p w14:paraId="76806EEB" w14:textId="71BBD6D5" w:rsidR="000D4F5F" w:rsidRPr="000D4F5F" w:rsidRDefault="000D4F5F" w:rsidP="000D4F5F">
      <w:pPr>
        <w:spacing w:before="120" w:after="120" w:line="340" w:lineRule="atLeast"/>
        <w:rPr>
          <w:rFonts w:ascii="Arial" w:hAnsi="Arial" w:cs="Arial"/>
          <w:bCs/>
        </w:rPr>
      </w:pPr>
      <w:r w:rsidRPr="000D4F5F">
        <w:rPr>
          <w:rFonts w:ascii="Arial" w:hAnsi="Arial" w:cs="Arial"/>
          <w:bCs/>
        </w:rPr>
        <w:t xml:space="preserve">Niedobór ten jest związany w szczególności ze zwiększeniem kosztów NFZ </w:t>
      </w:r>
      <w:r w:rsidR="000D6CDD">
        <w:rPr>
          <w:rFonts w:ascii="Arial" w:hAnsi="Arial" w:cs="Arial"/>
          <w:bCs/>
        </w:rPr>
        <w:t>w</w:t>
      </w:r>
      <w:r w:rsidRPr="000D4F5F">
        <w:rPr>
          <w:rFonts w:ascii="Arial" w:hAnsi="Arial" w:cs="Arial"/>
          <w:bCs/>
        </w:rPr>
        <w:t xml:space="preserve"> związku z</w:t>
      </w:r>
      <w:r>
        <w:rPr>
          <w:rFonts w:ascii="Arial" w:hAnsi="Arial" w:cs="Arial"/>
          <w:bCs/>
        </w:rPr>
        <w:t> </w:t>
      </w:r>
      <w:r w:rsidRPr="000D4F5F">
        <w:rPr>
          <w:rFonts w:ascii="Arial" w:hAnsi="Arial" w:cs="Arial"/>
          <w:bCs/>
        </w:rPr>
        <w:t>regulacjami ustawy z dnia 26 maja 2022 r. o zmianie ustawy o sposobie ustalania najniższego wynagrodzenia zasadniczego niektórych pracowników zatrudnionych w</w:t>
      </w:r>
      <w:r>
        <w:rPr>
          <w:rFonts w:ascii="Arial" w:hAnsi="Arial" w:cs="Arial"/>
          <w:bCs/>
        </w:rPr>
        <w:t> </w:t>
      </w:r>
      <w:r w:rsidRPr="000D4F5F">
        <w:rPr>
          <w:rFonts w:ascii="Arial" w:hAnsi="Arial" w:cs="Arial"/>
          <w:bCs/>
        </w:rPr>
        <w:t>podmiotach leczniczych oraz niektórych innych ustaw</w:t>
      </w:r>
      <w:r w:rsidR="005E5AF0">
        <w:rPr>
          <w:rFonts w:ascii="Arial" w:hAnsi="Arial" w:cs="Arial"/>
          <w:bCs/>
        </w:rPr>
        <w:t xml:space="preserve"> (Dz. U. poz. 1352)</w:t>
      </w:r>
      <w:r w:rsidRPr="000D4F5F">
        <w:rPr>
          <w:rFonts w:ascii="Arial" w:hAnsi="Arial" w:cs="Arial"/>
          <w:bCs/>
        </w:rPr>
        <w:t>.</w:t>
      </w:r>
    </w:p>
    <w:p w14:paraId="382C16B9" w14:textId="376650F1" w:rsidR="000D4F5F" w:rsidRPr="000D4F5F" w:rsidRDefault="000D4F5F" w:rsidP="000D4F5F">
      <w:pPr>
        <w:spacing w:before="120" w:after="120" w:line="340" w:lineRule="atLeast"/>
        <w:rPr>
          <w:rFonts w:ascii="Arial" w:hAnsi="Arial" w:cs="Arial"/>
          <w:bCs/>
        </w:rPr>
      </w:pPr>
      <w:r w:rsidRPr="000D4F5F">
        <w:rPr>
          <w:rFonts w:ascii="Arial" w:hAnsi="Arial" w:cs="Arial"/>
          <w:bCs/>
        </w:rPr>
        <w:t>Pomimo podjętych szeroko zakrojonych działań dotyczących przeniesienia wszelkich zidentyfikowanych oszczędności w puli środków pozostających w dyspozycji ministra właściwego d</w:t>
      </w:r>
      <w:r w:rsidR="007C24B3">
        <w:rPr>
          <w:rFonts w:ascii="Arial" w:hAnsi="Arial" w:cs="Arial"/>
          <w:bCs/>
        </w:rPr>
        <w:t xml:space="preserve">o </w:t>
      </w:r>
      <w:r w:rsidRPr="000D4F5F">
        <w:rPr>
          <w:rFonts w:ascii="Arial" w:hAnsi="Arial" w:cs="Arial"/>
          <w:bCs/>
        </w:rPr>
        <w:t>s</w:t>
      </w:r>
      <w:r w:rsidR="007C24B3">
        <w:rPr>
          <w:rFonts w:ascii="Arial" w:hAnsi="Arial" w:cs="Arial"/>
          <w:bCs/>
        </w:rPr>
        <w:t>praw</w:t>
      </w:r>
      <w:r w:rsidRPr="000D4F5F">
        <w:rPr>
          <w:rFonts w:ascii="Arial" w:hAnsi="Arial" w:cs="Arial"/>
          <w:bCs/>
        </w:rPr>
        <w:t xml:space="preserve"> zdrowia, zgodnie z art.131d ust. 2 ustawy z dnia 27 sierpnia 2004 r. o</w:t>
      </w:r>
      <w:r w:rsidR="000D6CDD">
        <w:rPr>
          <w:rFonts w:ascii="Arial" w:hAnsi="Arial" w:cs="Arial"/>
          <w:bCs/>
        </w:rPr>
        <w:t> </w:t>
      </w:r>
      <w:r w:rsidRPr="000D4F5F">
        <w:rPr>
          <w:rFonts w:ascii="Arial" w:hAnsi="Arial" w:cs="Arial"/>
          <w:bCs/>
        </w:rPr>
        <w:t xml:space="preserve">świadczeniach opieki zdrowotnej finansowanych ze środków publicznych </w:t>
      </w:r>
      <w:r w:rsidR="005E5AF0">
        <w:rPr>
          <w:rFonts w:ascii="Arial" w:hAnsi="Arial" w:cs="Arial"/>
          <w:bCs/>
        </w:rPr>
        <w:t xml:space="preserve">(Dz. U. z 2024 r. poz. 146, z późn. zm.) </w:t>
      </w:r>
      <w:r w:rsidRPr="000D4F5F">
        <w:rPr>
          <w:rFonts w:ascii="Arial" w:hAnsi="Arial" w:cs="Arial"/>
          <w:bCs/>
        </w:rPr>
        <w:t>wymagane jest dodatkowe zwiększenie środków w budżecie Ministra Zdrowia o kwotę 1</w:t>
      </w:r>
      <w:r>
        <w:rPr>
          <w:rFonts w:ascii="Arial" w:hAnsi="Arial" w:cs="Arial"/>
          <w:bCs/>
        </w:rPr>
        <w:t>.</w:t>
      </w:r>
      <w:r w:rsidRPr="000D4F5F">
        <w:rPr>
          <w:rFonts w:ascii="Arial" w:hAnsi="Arial" w:cs="Arial"/>
          <w:bCs/>
        </w:rPr>
        <w:t>200</w:t>
      </w:r>
      <w:r>
        <w:rPr>
          <w:rFonts w:ascii="Arial" w:hAnsi="Arial" w:cs="Arial"/>
          <w:bCs/>
        </w:rPr>
        <w:t>.</w:t>
      </w:r>
      <w:r w:rsidRPr="000D4F5F">
        <w:rPr>
          <w:rFonts w:ascii="Arial" w:hAnsi="Arial" w:cs="Arial"/>
          <w:bCs/>
        </w:rPr>
        <w:t>000 tys. zł w</w:t>
      </w:r>
      <w:r w:rsidR="000D6CDD">
        <w:rPr>
          <w:rFonts w:ascii="Arial" w:hAnsi="Arial" w:cs="Arial"/>
          <w:bCs/>
        </w:rPr>
        <w:t> </w:t>
      </w:r>
      <w:r w:rsidRPr="000D4F5F">
        <w:rPr>
          <w:rFonts w:ascii="Arial" w:hAnsi="Arial" w:cs="Arial"/>
          <w:bCs/>
        </w:rPr>
        <w:t>celu ich przeznaczenia na zwiększenie dotacji podmiotowej dla Narodowego Funduszu Zdrowia.</w:t>
      </w:r>
    </w:p>
    <w:p w14:paraId="2A6E13E6" w14:textId="2AFA4556" w:rsidR="00760BF4" w:rsidRPr="000D6CDD" w:rsidRDefault="000D4F5F" w:rsidP="000D4F5F">
      <w:pPr>
        <w:spacing w:before="120" w:after="120" w:line="340" w:lineRule="atLeast"/>
        <w:rPr>
          <w:rFonts w:ascii="Arial" w:hAnsi="Arial" w:cs="Arial"/>
          <w:bCs/>
          <w:spacing w:val="2"/>
        </w:rPr>
      </w:pPr>
      <w:r w:rsidRPr="000D6CDD">
        <w:rPr>
          <w:rFonts w:ascii="Arial" w:hAnsi="Arial" w:cs="Arial"/>
          <w:bCs/>
          <w:spacing w:val="2"/>
        </w:rPr>
        <w:lastRenderedPageBreak/>
        <w:t>Środki ujęte w aktualnym planie finansowym NFZ na 2024 r. przeznaczone na finansowanie szeroko rozumianych kosztów świadczeń opieki zdrowotnej (187.334 mln zł) są o 24.544 mln zł, tj. o 15,1% wyższe od kosztów poniesionych na te cele w 2023 r. (162.790 mln zł).</w:t>
      </w:r>
    </w:p>
    <w:p w14:paraId="44CB7834" w14:textId="77777777" w:rsidR="001140B1" w:rsidRPr="009C3F59" w:rsidRDefault="001140B1" w:rsidP="00E2219E">
      <w:pPr>
        <w:spacing w:before="360" w:after="120" w:line="340" w:lineRule="atLeast"/>
        <w:rPr>
          <w:rFonts w:ascii="Arial" w:hAnsi="Arial" w:cs="Arial"/>
          <w:b/>
        </w:rPr>
      </w:pPr>
      <w:r w:rsidRPr="009C3F59">
        <w:rPr>
          <w:rFonts w:ascii="Arial" w:hAnsi="Arial" w:cs="Arial"/>
          <w:b/>
        </w:rPr>
        <w:t>Część 72 – Kasa Rolniczego Ubezpieczenia Społecznego</w:t>
      </w:r>
    </w:p>
    <w:p w14:paraId="4CCF4712" w14:textId="2AA39BE8" w:rsidR="001140B1" w:rsidRPr="009C3F59" w:rsidRDefault="001140B1" w:rsidP="001140B1">
      <w:pPr>
        <w:spacing w:before="120" w:after="120" w:line="340" w:lineRule="atLeast"/>
        <w:rPr>
          <w:rFonts w:ascii="Arial" w:hAnsi="Arial" w:cs="Arial"/>
        </w:rPr>
      </w:pPr>
      <w:r w:rsidRPr="009C3F59">
        <w:rPr>
          <w:rFonts w:ascii="Arial" w:hAnsi="Arial" w:cs="Arial"/>
        </w:rPr>
        <w:t>W ustawie budżetowej na rok 2024 w części 72 – Kasa Rolniczego Ubezpieczenia Społecznego zaplanowano wydatki w kwocie 27.427.610 tys. zł, z tego dotacje i subwencje 24.202.788 tys. zł, świadczenia na rzecz osób fizycznych 3.224.817 tys. zł oraz wydatki bieżące jednostek budżetowych 5 tys. zł.</w:t>
      </w:r>
    </w:p>
    <w:p w14:paraId="46E651C2" w14:textId="6B3BF9D3" w:rsidR="001140B1" w:rsidRPr="009C3F59" w:rsidRDefault="00F66333" w:rsidP="001140B1">
      <w:pPr>
        <w:spacing w:before="120" w:after="120" w:line="340" w:lineRule="atLeast"/>
        <w:rPr>
          <w:rFonts w:ascii="Arial" w:hAnsi="Arial" w:cs="Arial"/>
        </w:rPr>
      </w:pPr>
      <w:r>
        <w:rPr>
          <w:rFonts w:ascii="Arial" w:hAnsi="Arial" w:cs="Arial"/>
          <w:bCs/>
        </w:rPr>
        <w:t xml:space="preserve">Zidentyfikowane w części 83 – Rezerwy celowe naturalne oszczędności powstałe w związku z upływem ustawowego terminu ich podziału pozwoliły na przekierowanie tych środków do części 72 – Kasa Rolniczego Ubezpieczenia Społecznego </w:t>
      </w:r>
      <w:r w:rsidR="001140B1" w:rsidRPr="009C3F59">
        <w:rPr>
          <w:rFonts w:ascii="Arial" w:hAnsi="Arial" w:cs="Arial"/>
        </w:rPr>
        <w:t xml:space="preserve">o kwotę 620.000 tys. zł </w:t>
      </w:r>
      <w:r>
        <w:rPr>
          <w:rFonts w:ascii="Arial" w:hAnsi="Arial" w:cs="Arial"/>
        </w:rPr>
        <w:t>(</w:t>
      </w:r>
      <w:r w:rsidR="001140B1" w:rsidRPr="009C3F59">
        <w:rPr>
          <w:rFonts w:ascii="Arial" w:hAnsi="Arial" w:cs="Arial"/>
        </w:rPr>
        <w:t>w całości w ramach dotacji i subwencji</w:t>
      </w:r>
      <w:r>
        <w:rPr>
          <w:rFonts w:ascii="Arial" w:hAnsi="Arial" w:cs="Arial"/>
        </w:rPr>
        <w:t>)</w:t>
      </w:r>
      <w:r w:rsidR="001140B1" w:rsidRPr="009C3F59">
        <w:rPr>
          <w:rFonts w:ascii="Arial" w:hAnsi="Arial" w:cs="Arial"/>
        </w:rPr>
        <w:t>.</w:t>
      </w:r>
    </w:p>
    <w:p w14:paraId="34F8935A" w14:textId="76EC1068" w:rsidR="006F5A98" w:rsidRDefault="001140B1" w:rsidP="001140B1">
      <w:pPr>
        <w:spacing w:before="120" w:after="120" w:line="340" w:lineRule="atLeast"/>
        <w:rPr>
          <w:rFonts w:ascii="Arial" w:hAnsi="Arial" w:cs="Arial"/>
        </w:rPr>
      </w:pPr>
      <w:r w:rsidRPr="006B4386">
        <w:rPr>
          <w:rFonts w:ascii="Arial" w:hAnsi="Arial" w:cs="Arial"/>
        </w:rPr>
        <w:t>Zmiana poziomu wydatków wystąpiła w zakresie zwiększenia dotacji z budżetu państwa dla Funduszu Emerytalno-Rentowego (FER) w związku z wyższym zapotrzebowaniem na uzupełniające środki dotacyjne dla FER</w:t>
      </w:r>
      <w:r w:rsidR="006F5A98">
        <w:rPr>
          <w:rFonts w:ascii="Arial" w:hAnsi="Arial" w:cs="Arial"/>
        </w:rPr>
        <w:t xml:space="preserve"> </w:t>
      </w:r>
      <w:r w:rsidR="006F5A98" w:rsidRPr="006F5A98">
        <w:rPr>
          <w:rFonts w:ascii="Arial" w:hAnsi="Arial" w:cs="Arial"/>
        </w:rPr>
        <w:t>przede wszystkim na skutek większej niż to pierwotnie planowano na etapie opracowywania projektu planu finansowego FER</w:t>
      </w:r>
      <w:r w:rsidR="006F5A98">
        <w:rPr>
          <w:rFonts w:ascii="Arial" w:hAnsi="Arial" w:cs="Arial"/>
        </w:rPr>
        <w:t xml:space="preserve"> na 2024 rok</w:t>
      </w:r>
      <w:r w:rsidR="006F5A98" w:rsidRPr="006F5A98">
        <w:rPr>
          <w:rFonts w:ascii="Arial" w:hAnsi="Arial" w:cs="Arial"/>
        </w:rPr>
        <w:t xml:space="preserve"> liczby osób pobierających emeryturę rolniczą. Wzrost liczby świadczeniobiorców jest m.in. skutkiem funkcjonowania ustawy z dnia 28 kwietnia 2022 r. o zmianie ustawy o</w:t>
      </w:r>
      <w:r w:rsidR="00700AD6">
        <w:rPr>
          <w:rFonts w:ascii="Arial" w:hAnsi="Arial" w:cs="Arial"/>
        </w:rPr>
        <w:t> </w:t>
      </w:r>
      <w:r w:rsidR="006F5A98" w:rsidRPr="006F5A98">
        <w:rPr>
          <w:rFonts w:ascii="Arial" w:hAnsi="Arial" w:cs="Arial"/>
        </w:rPr>
        <w:t>ubezpieczeniu społecznym rolników (Dz. U. poz. 1155), która zniosła konieczność spełnienia warunku zaprzestania prowadzenia działalności rolniczej w celu uzyskania przedmiotowego świadczenia</w:t>
      </w:r>
      <w:r w:rsidR="006F5A98">
        <w:rPr>
          <w:rFonts w:ascii="Arial" w:hAnsi="Arial" w:cs="Arial"/>
        </w:rPr>
        <w:t xml:space="preserve"> w warunkach utrzymującego się </w:t>
      </w:r>
      <w:r w:rsidR="006F5A98" w:rsidRPr="006F5A98">
        <w:rPr>
          <w:rFonts w:ascii="Arial" w:hAnsi="Arial" w:cs="Arial"/>
        </w:rPr>
        <w:t>wyżu demograficznego</w:t>
      </w:r>
      <w:r w:rsidR="006F5A98">
        <w:rPr>
          <w:rFonts w:ascii="Arial" w:hAnsi="Arial" w:cs="Arial"/>
        </w:rPr>
        <w:t xml:space="preserve"> wśród świadczeniobiorców</w:t>
      </w:r>
      <w:r w:rsidR="006F5A98" w:rsidRPr="006F5A98">
        <w:rPr>
          <w:rFonts w:ascii="Arial" w:hAnsi="Arial" w:cs="Arial"/>
        </w:rPr>
        <w:t>.</w:t>
      </w:r>
    </w:p>
    <w:p w14:paraId="4688394A" w14:textId="75305B83" w:rsidR="001140B1" w:rsidRPr="00700AD6" w:rsidRDefault="001140B1" w:rsidP="00700AD6">
      <w:pPr>
        <w:spacing w:before="120" w:after="120" w:line="340" w:lineRule="atLeast"/>
        <w:rPr>
          <w:rFonts w:ascii="Arial" w:hAnsi="Arial" w:cs="Arial"/>
        </w:rPr>
      </w:pPr>
      <w:r w:rsidRPr="006B4386">
        <w:rPr>
          <w:rFonts w:ascii="Arial" w:hAnsi="Arial" w:cs="Arial"/>
        </w:rPr>
        <w:t xml:space="preserve">Po dokonaniu powyższej zmiany wydatki w części 72 – Kasa Rolniczego Ubezpieczenia </w:t>
      </w:r>
      <w:r w:rsidR="006724C3">
        <w:rPr>
          <w:rFonts w:ascii="Arial" w:hAnsi="Arial" w:cs="Arial"/>
        </w:rPr>
        <w:t xml:space="preserve">Społecznego </w:t>
      </w:r>
      <w:r w:rsidRPr="006B4386">
        <w:rPr>
          <w:rFonts w:ascii="Arial" w:hAnsi="Arial" w:cs="Arial"/>
        </w:rPr>
        <w:t>zwiększą się do kwoty 28.047.610 tys. zł, w tym dotacje i subwencje do wysokości 24.822.788 tys. zł.</w:t>
      </w:r>
    </w:p>
    <w:p w14:paraId="730A9336" w14:textId="34D9B44A" w:rsidR="001140B1" w:rsidRPr="00700AD6" w:rsidRDefault="001140B1" w:rsidP="001140B1">
      <w:pPr>
        <w:spacing w:before="360" w:after="120" w:line="340" w:lineRule="atLeast"/>
        <w:rPr>
          <w:rFonts w:ascii="Arial" w:hAnsi="Arial" w:cs="Arial"/>
          <w:b/>
        </w:rPr>
      </w:pPr>
      <w:r w:rsidRPr="00700AD6">
        <w:rPr>
          <w:rFonts w:ascii="Arial" w:hAnsi="Arial" w:cs="Arial"/>
          <w:b/>
        </w:rPr>
        <w:t>Cz</w:t>
      </w:r>
      <w:r w:rsidR="009E36FE" w:rsidRPr="00700AD6">
        <w:rPr>
          <w:rFonts w:ascii="Arial" w:hAnsi="Arial" w:cs="Arial"/>
          <w:b/>
        </w:rPr>
        <w:t>ę</w:t>
      </w:r>
      <w:r w:rsidRPr="00700AD6">
        <w:rPr>
          <w:rFonts w:ascii="Arial" w:hAnsi="Arial" w:cs="Arial"/>
          <w:b/>
        </w:rPr>
        <w:t>ść 82 – Subwencje ogólne dla jednostek samorządu terytorialnego</w:t>
      </w:r>
    </w:p>
    <w:p w14:paraId="6A40FE0E" w14:textId="593E5041" w:rsidR="00D61338" w:rsidRPr="00D61338" w:rsidRDefault="00F66333" w:rsidP="009C44A9">
      <w:pPr>
        <w:spacing w:before="120" w:after="120" w:line="340" w:lineRule="atLeast"/>
        <w:rPr>
          <w:rFonts w:ascii="Arial" w:hAnsi="Arial" w:cs="Arial"/>
          <w:spacing w:val="2"/>
        </w:rPr>
      </w:pPr>
      <w:r>
        <w:rPr>
          <w:rFonts w:ascii="Arial" w:hAnsi="Arial" w:cs="Arial"/>
          <w:bCs/>
        </w:rPr>
        <w:t>Zidentyfikowane w części 83 – Rezerwy celowe naturalne oszczędności powstałe w związku z upływem ustawowego terminu ich podziału pozwoliły na przekierowanie środków</w:t>
      </w:r>
      <w:r w:rsidR="00557CB6">
        <w:rPr>
          <w:rFonts w:ascii="Arial" w:hAnsi="Arial" w:cs="Arial"/>
          <w:bCs/>
        </w:rPr>
        <w:t xml:space="preserve"> w</w:t>
      </w:r>
      <w:r w:rsidR="00EE45B0">
        <w:rPr>
          <w:rFonts w:ascii="Arial" w:hAnsi="Arial" w:cs="Arial"/>
          <w:bCs/>
        </w:rPr>
        <w:t> </w:t>
      </w:r>
      <w:r w:rsidR="00557CB6">
        <w:rPr>
          <w:rFonts w:ascii="Arial" w:hAnsi="Arial" w:cs="Arial"/>
          <w:bCs/>
        </w:rPr>
        <w:t xml:space="preserve">wysokości </w:t>
      </w:r>
      <w:r w:rsidR="00557CB6" w:rsidRPr="00D61338">
        <w:rPr>
          <w:rFonts w:ascii="Arial" w:hAnsi="Arial" w:cs="Arial"/>
          <w:spacing w:val="2"/>
        </w:rPr>
        <w:t>1.783.206 tys. zł</w:t>
      </w:r>
      <w:r>
        <w:rPr>
          <w:rFonts w:ascii="Arial" w:hAnsi="Arial" w:cs="Arial"/>
          <w:bCs/>
        </w:rPr>
        <w:t xml:space="preserve"> do części 82 </w:t>
      </w:r>
      <w:r w:rsidR="005E5AF0">
        <w:rPr>
          <w:rFonts w:ascii="Arial" w:hAnsi="Arial" w:cs="Arial"/>
          <w:bCs/>
        </w:rPr>
        <w:t>–</w:t>
      </w:r>
      <w:r>
        <w:rPr>
          <w:rFonts w:ascii="Arial" w:hAnsi="Arial" w:cs="Arial"/>
          <w:bCs/>
        </w:rPr>
        <w:t xml:space="preserve"> </w:t>
      </w:r>
      <w:r w:rsidRPr="00F66333">
        <w:rPr>
          <w:rFonts w:ascii="Arial" w:hAnsi="Arial" w:cs="Arial"/>
          <w:bCs/>
        </w:rPr>
        <w:t>Subwencje ogólne dla jednostek samorządu terytorialnego</w:t>
      </w:r>
      <w:r>
        <w:rPr>
          <w:rFonts w:ascii="Arial" w:hAnsi="Arial" w:cs="Arial"/>
          <w:spacing w:val="2"/>
        </w:rPr>
        <w:t>. Środki te</w:t>
      </w:r>
      <w:r w:rsidR="00A30436">
        <w:rPr>
          <w:rFonts w:ascii="Arial" w:hAnsi="Arial" w:cs="Arial"/>
          <w:spacing w:val="2"/>
        </w:rPr>
        <w:t xml:space="preserve"> </w:t>
      </w:r>
      <w:r w:rsidR="00D61338" w:rsidRPr="00D61338">
        <w:rPr>
          <w:rFonts w:ascii="Arial" w:hAnsi="Arial" w:cs="Arial"/>
          <w:spacing w:val="2"/>
        </w:rPr>
        <w:t>przeznaczon</w:t>
      </w:r>
      <w:r>
        <w:rPr>
          <w:rFonts w:ascii="Arial" w:hAnsi="Arial" w:cs="Arial"/>
          <w:spacing w:val="2"/>
        </w:rPr>
        <w:t>e będą</w:t>
      </w:r>
      <w:r w:rsidR="00D61338" w:rsidRPr="00D61338">
        <w:rPr>
          <w:rFonts w:ascii="Arial" w:hAnsi="Arial" w:cs="Arial"/>
          <w:spacing w:val="2"/>
        </w:rPr>
        <w:t xml:space="preserve"> na uzupełnienie subwencji ogólnej dla </w:t>
      </w:r>
      <w:r w:rsidR="005E5AF0">
        <w:rPr>
          <w:rFonts w:ascii="Arial" w:hAnsi="Arial" w:cs="Arial"/>
          <w:spacing w:val="2"/>
        </w:rPr>
        <w:t xml:space="preserve">JST, </w:t>
      </w:r>
      <w:r w:rsidR="00D61338" w:rsidRPr="00D61338">
        <w:rPr>
          <w:rFonts w:ascii="Arial" w:hAnsi="Arial" w:cs="Arial"/>
          <w:spacing w:val="2"/>
        </w:rPr>
        <w:t>w celu wsparcia finansowego realizacji zadań samorządowych.</w:t>
      </w:r>
    </w:p>
    <w:p w14:paraId="15B9B91A" w14:textId="14FBD94D" w:rsidR="00D61338" w:rsidRDefault="00D61338" w:rsidP="009C44A9">
      <w:pPr>
        <w:spacing w:before="120" w:after="120" w:line="340" w:lineRule="atLeast"/>
        <w:rPr>
          <w:rFonts w:ascii="Arial" w:hAnsi="Arial" w:cs="Arial"/>
          <w:spacing w:val="2"/>
        </w:rPr>
      </w:pPr>
      <w:r w:rsidRPr="00D61338">
        <w:rPr>
          <w:rFonts w:ascii="Arial" w:hAnsi="Arial" w:cs="Arial"/>
          <w:spacing w:val="2"/>
        </w:rPr>
        <w:t>Kwota 1.783.206 tys. zł jest częścią dodatkowych środków finansowych dla samorządów w</w:t>
      </w:r>
      <w:r w:rsidR="00F24CD2">
        <w:rPr>
          <w:rFonts w:ascii="Arial" w:hAnsi="Arial" w:cs="Arial"/>
          <w:spacing w:val="2"/>
        </w:rPr>
        <w:t> </w:t>
      </w:r>
      <w:r w:rsidRPr="00D61338">
        <w:rPr>
          <w:rFonts w:ascii="Arial" w:hAnsi="Arial" w:cs="Arial"/>
          <w:spacing w:val="2"/>
        </w:rPr>
        <w:t xml:space="preserve">roku 2024, w łącznej wysokości 10 mld zł. Przy czym podstawową formą wsparcia finansowego samorządów w 2024 roku będą dochody z tytułu udziału w </w:t>
      </w:r>
      <w:r w:rsidR="005E5AF0">
        <w:rPr>
          <w:rFonts w:ascii="Arial" w:hAnsi="Arial" w:cs="Arial"/>
          <w:spacing w:val="2"/>
        </w:rPr>
        <w:t>PIT</w:t>
      </w:r>
      <w:r w:rsidRPr="00D61338">
        <w:rPr>
          <w:rFonts w:ascii="Arial" w:hAnsi="Arial" w:cs="Arial"/>
          <w:spacing w:val="2"/>
        </w:rPr>
        <w:t>. Zasady ustalania dodatkowych dochodów określi znowelizowana ustaw</w:t>
      </w:r>
      <w:r w:rsidR="00433FDD">
        <w:rPr>
          <w:rFonts w:ascii="Arial" w:hAnsi="Arial" w:cs="Arial"/>
          <w:spacing w:val="2"/>
        </w:rPr>
        <w:t>a</w:t>
      </w:r>
      <w:r w:rsidRPr="00D61338">
        <w:rPr>
          <w:rFonts w:ascii="Arial" w:hAnsi="Arial" w:cs="Arial"/>
          <w:spacing w:val="2"/>
        </w:rPr>
        <w:t xml:space="preserve"> z dnia 16 stycznia 2024 r. </w:t>
      </w:r>
      <w:r w:rsidRPr="00D61338">
        <w:rPr>
          <w:rFonts w:ascii="Arial" w:hAnsi="Arial" w:cs="Arial"/>
          <w:spacing w:val="2"/>
        </w:rPr>
        <w:lastRenderedPageBreak/>
        <w:t>o szczególnych rozwiązaniach służących realizacji ustawy budżetowej na rok 2024</w:t>
      </w:r>
      <w:r w:rsidR="005E5AF0">
        <w:rPr>
          <w:rFonts w:ascii="Arial" w:hAnsi="Arial" w:cs="Arial"/>
          <w:spacing w:val="2"/>
        </w:rPr>
        <w:t xml:space="preserve"> (Dz. U. poz. 123, z późn. zm.)</w:t>
      </w:r>
      <w:r w:rsidRPr="00D61338">
        <w:rPr>
          <w:rFonts w:ascii="Arial" w:hAnsi="Arial" w:cs="Arial"/>
          <w:spacing w:val="2"/>
        </w:rPr>
        <w:t>. Jednocześnie przewiduje się kwoty gwarantowane dla gmin, powiatów i województw, których wysokość jest zależna od liczby mieszkańców. Jeżeli dodatkowe dochody danej jednostki z tytułu udziału w podatku dochodowym od osób fizycznych będą niższe od kwoty gwarantowanej, to otrzyma ona dodatkowe dochody w postaci uzupełnienia subwencji ogólnej, w wysokości zapewniającej osiągnięcie tej kwoty. Dlatego konieczne jest zwiększenie wydatków w części 82 – Subwencje ogólne dla jednostek samorządu terytorialnego.</w:t>
      </w:r>
    </w:p>
    <w:p w14:paraId="0FD80901" w14:textId="1300834C" w:rsidR="00AC2AB1" w:rsidRPr="0059656C" w:rsidRDefault="00941165" w:rsidP="00D61338">
      <w:pPr>
        <w:spacing w:before="360" w:after="120" w:line="340" w:lineRule="atLeast"/>
        <w:rPr>
          <w:rFonts w:ascii="Arial" w:hAnsi="Arial" w:cs="Arial"/>
          <w:b/>
          <w:u w:val="single"/>
        </w:rPr>
      </w:pPr>
      <w:r w:rsidRPr="0059656C">
        <w:rPr>
          <w:rFonts w:ascii="Arial" w:hAnsi="Arial" w:cs="Arial"/>
          <w:b/>
          <w:u w:val="single"/>
        </w:rPr>
        <w:t xml:space="preserve">Zmniejszenia wydatków budżetowych </w:t>
      </w:r>
    </w:p>
    <w:p w14:paraId="6DDE165F" w14:textId="3D212B37" w:rsidR="00E01EE9" w:rsidRPr="0059656C" w:rsidRDefault="00E01EE9" w:rsidP="006E4C68">
      <w:pPr>
        <w:spacing w:before="360" w:after="120" w:line="340" w:lineRule="atLeast"/>
        <w:rPr>
          <w:rFonts w:ascii="Arial" w:hAnsi="Arial" w:cs="Arial"/>
          <w:b/>
        </w:rPr>
      </w:pPr>
      <w:r w:rsidRPr="0059656C">
        <w:rPr>
          <w:rFonts w:ascii="Arial" w:hAnsi="Arial" w:cs="Arial"/>
          <w:b/>
        </w:rPr>
        <w:t xml:space="preserve">Część </w:t>
      </w:r>
      <w:r w:rsidR="001140B1" w:rsidRPr="0059656C">
        <w:rPr>
          <w:rFonts w:ascii="Arial" w:hAnsi="Arial" w:cs="Arial"/>
          <w:b/>
        </w:rPr>
        <w:t>25</w:t>
      </w:r>
      <w:r w:rsidRPr="0059656C">
        <w:rPr>
          <w:rFonts w:ascii="Arial" w:hAnsi="Arial" w:cs="Arial"/>
          <w:b/>
        </w:rPr>
        <w:t xml:space="preserve"> – </w:t>
      </w:r>
      <w:r w:rsidR="001140B1" w:rsidRPr="0059656C">
        <w:rPr>
          <w:rFonts w:ascii="Arial" w:hAnsi="Arial" w:cs="Arial"/>
          <w:b/>
        </w:rPr>
        <w:t>Kultura fizyczna</w:t>
      </w:r>
    </w:p>
    <w:p w14:paraId="5BAC74B7" w14:textId="0B7B8476" w:rsidR="00FE19C9" w:rsidRPr="00FE19C9" w:rsidRDefault="00FE19C9" w:rsidP="00FE19C9">
      <w:pPr>
        <w:spacing w:before="120" w:after="120" w:line="340" w:lineRule="atLeast"/>
        <w:rPr>
          <w:rFonts w:ascii="Arial" w:hAnsi="Arial" w:cs="Arial"/>
          <w:bCs/>
        </w:rPr>
      </w:pPr>
      <w:r w:rsidRPr="00FE19C9">
        <w:rPr>
          <w:rFonts w:ascii="Arial" w:hAnsi="Arial" w:cs="Arial"/>
          <w:bCs/>
        </w:rPr>
        <w:t>W ustawie budżetowej na rok 2024 w części 25 – Kultura fizyczna zaplanowano wydatki w</w:t>
      </w:r>
      <w:r w:rsidR="00B327DA">
        <w:rPr>
          <w:rFonts w:ascii="Arial" w:hAnsi="Arial" w:cs="Arial"/>
          <w:bCs/>
        </w:rPr>
        <w:t> </w:t>
      </w:r>
      <w:r w:rsidRPr="00FE19C9">
        <w:rPr>
          <w:rFonts w:ascii="Arial" w:hAnsi="Arial" w:cs="Arial"/>
          <w:bCs/>
        </w:rPr>
        <w:t>kwocie 2.568.522 tys. zł, z tego na dotację celową dla Polskiej Organizacji Turystycznej na promocję Polski przez polskich sportowców lub kluby sportowe w sportach drużynowych uczestniczące we współzawodnictwie sportowym organizowanym przez polskie związki sportowe oraz biorące udział w międzynarodowych rozgrywkach sportowych 60.000 tys. zł.</w:t>
      </w:r>
    </w:p>
    <w:p w14:paraId="02067E68" w14:textId="4358B360" w:rsidR="00FE19C9" w:rsidRPr="00FE19C9" w:rsidRDefault="00FE19C9" w:rsidP="00FE19C9">
      <w:pPr>
        <w:spacing w:before="120" w:after="120" w:line="340" w:lineRule="atLeast"/>
        <w:rPr>
          <w:rFonts w:ascii="Arial" w:hAnsi="Arial" w:cs="Arial"/>
          <w:bCs/>
        </w:rPr>
      </w:pPr>
      <w:r w:rsidRPr="00FE19C9">
        <w:rPr>
          <w:rFonts w:ascii="Arial" w:hAnsi="Arial" w:cs="Arial"/>
          <w:bCs/>
        </w:rPr>
        <w:t xml:space="preserve">W projekcie nowelizacji ustawy budżetowej </w:t>
      </w:r>
      <w:r w:rsidR="005E5AF0">
        <w:rPr>
          <w:rFonts w:ascii="Arial" w:hAnsi="Arial" w:cs="Arial"/>
          <w:bCs/>
        </w:rPr>
        <w:t xml:space="preserve">na rok 2024 </w:t>
      </w:r>
      <w:r w:rsidRPr="00FE19C9">
        <w:rPr>
          <w:rFonts w:ascii="Arial" w:hAnsi="Arial" w:cs="Arial"/>
          <w:bCs/>
        </w:rPr>
        <w:t xml:space="preserve">przewidziano zmniejszenie wydatków w tej części o kwotę 2.000 tys. zł w całości w ramach dotacji i subwencji z jednoczesnym zwiększeniem o tę kwotę dotacji i subwencji w części 40 </w:t>
      </w:r>
      <w:r w:rsidR="006B0A02" w:rsidRPr="00FE19C9">
        <w:rPr>
          <w:rFonts w:ascii="Arial" w:hAnsi="Arial" w:cs="Arial"/>
          <w:bCs/>
        </w:rPr>
        <w:t xml:space="preserve">– </w:t>
      </w:r>
      <w:r w:rsidRPr="00FE19C9">
        <w:rPr>
          <w:rFonts w:ascii="Arial" w:hAnsi="Arial" w:cs="Arial"/>
          <w:bCs/>
        </w:rPr>
        <w:t>Turystyka.</w:t>
      </w:r>
    </w:p>
    <w:p w14:paraId="3C83BD44" w14:textId="0177F3BD" w:rsidR="00FE19C9" w:rsidRDefault="00FE19C9" w:rsidP="00FE19C9">
      <w:pPr>
        <w:spacing w:before="120" w:after="120" w:line="340" w:lineRule="atLeast"/>
        <w:rPr>
          <w:rFonts w:ascii="Arial" w:hAnsi="Arial" w:cs="Arial"/>
          <w:bCs/>
        </w:rPr>
      </w:pPr>
      <w:r w:rsidRPr="00FE19C9">
        <w:rPr>
          <w:rFonts w:ascii="Arial" w:hAnsi="Arial" w:cs="Arial"/>
          <w:bCs/>
        </w:rPr>
        <w:t>Po dokonaniu powyższej zmiany wydatki w części 25 – Kultura fizyczna zmniejszą się do kwoty 2.566.522 tys. zł, w tym dotacje na promocję Polski przez polskich sportowców lub kluby sportowe w sportach drużynowych uczestniczące we współzawodnictwie sportowym organizowanym przez polskie związki sportowe oraz biorące udział w międzynarodowych rozgrywkach sportowych do wysokości 58.000 tys. zł.</w:t>
      </w:r>
    </w:p>
    <w:p w14:paraId="71CE4C29" w14:textId="1C6F217C" w:rsidR="00F865C8" w:rsidRDefault="00F865C8" w:rsidP="006E4C68">
      <w:pPr>
        <w:spacing w:before="360" w:after="120" w:line="340" w:lineRule="atLeast"/>
        <w:rPr>
          <w:rFonts w:ascii="Arial" w:hAnsi="Arial" w:cs="Arial"/>
          <w:b/>
        </w:rPr>
      </w:pPr>
      <w:r w:rsidRPr="00F865C8">
        <w:rPr>
          <w:rFonts w:ascii="Arial" w:hAnsi="Arial" w:cs="Arial"/>
          <w:b/>
        </w:rPr>
        <w:t>Część 27 – Informatyzacja</w:t>
      </w:r>
    </w:p>
    <w:p w14:paraId="27376D40" w14:textId="6B54AAEA" w:rsidR="00F865C8" w:rsidRPr="00F865C8" w:rsidRDefault="00F865C8" w:rsidP="00F865C8">
      <w:pPr>
        <w:spacing w:before="120" w:after="120" w:line="340" w:lineRule="atLeast"/>
        <w:rPr>
          <w:rFonts w:ascii="Arial" w:hAnsi="Arial" w:cs="Arial"/>
          <w:bCs/>
        </w:rPr>
      </w:pPr>
      <w:r w:rsidRPr="00F865C8">
        <w:rPr>
          <w:rFonts w:ascii="Arial" w:hAnsi="Arial" w:cs="Arial"/>
          <w:bCs/>
        </w:rPr>
        <w:t>W ustawie budżetowej na rok 2024 w części 27 – Informatyzacja zaplanowano wydatki w</w:t>
      </w:r>
      <w:r w:rsidR="00F24CD2">
        <w:rPr>
          <w:rFonts w:ascii="Arial" w:hAnsi="Arial" w:cs="Arial"/>
          <w:bCs/>
        </w:rPr>
        <w:t> </w:t>
      </w:r>
      <w:r w:rsidRPr="00F865C8">
        <w:rPr>
          <w:rFonts w:ascii="Arial" w:hAnsi="Arial" w:cs="Arial"/>
          <w:bCs/>
        </w:rPr>
        <w:t>kwocie 1.676.505 tys. zł, z tego dotacje i subwencje 548.028 tys. zł, świadczenia na rzecz osób fizycznych 4.065 tys. zł, wydatki bieżące jednostek budżetowych 868.827 tys. zł, wydatki majątkowe 105.705 tys. zł oraz współfinansowanie projektów z udziałem środków Unii Europejskiej 149.880 tys. zł.</w:t>
      </w:r>
    </w:p>
    <w:p w14:paraId="6E5E2584" w14:textId="43A6C837" w:rsidR="00433FDD" w:rsidRDefault="00F865C8" w:rsidP="00F865C8">
      <w:pPr>
        <w:spacing w:before="120" w:after="120" w:line="340" w:lineRule="atLeast"/>
        <w:rPr>
          <w:rFonts w:ascii="Arial" w:hAnsi="Arial" w:cs="Arial"/>
          <w:bCs/>
        </w:rPr>
      </w:pPr>
      <w:r w:rsidRPr="00F865C8">
        <w:rPr>
          <w:rFonts w:ascii="Arial" w:hAnsi="Arial" w:cs="Arial"/>
          <w:bCs/>
        </w:rPr>
        <w:t xml:space="preserve">W projekcie nowelizacji ustawy budżetowej </w:t>
      </w:r>
      <w:r w:rsidR="005E5AF0">
        <w:rPr>
          <w:rFonts w:ascii="Arial" w:hAnsi="Arial" w:cs="Arial"/>
          <w:bCs/>
        </w:rPr>
        <w:t xml:space="preserve">na rok 2024 </w:t>
      </w:r>
      <w:r w:rsidRPr="00F865C8">
        <w:rPr>
          <w:rFonts w:ascii="Arial" w:hAnsi="Arial" w:cs="Arial"/>
          <w:bCs/>
        </w:rPr>
        <w:t>przewidziano zmniejszenie wydatków w tej części per saldo o kwotę 21.600 tys. zł</w:t>
      </w:r>
      <w:r w:rsidR="00433FDD">
        <w:rPr>
          <w:rFonts w:ascii="Arial" w:hAnsi="Arial" w:cs="Arial"/>
          <w:bCs/>
        </w:rPr>
        <w:t>. Wynika to ze:</w:t>
      </w:r>
      <w:r w:rsidRPr="00F865C8">
        <w:rPr>
          <w:rFonts w:ascii="Arial" w:hAnsi="Arial" w:cs="Arial"/>
          <w:bCs/>
        </w:rPr>
        <w:t xml:space="preserve"> </w:t>
      </w:r>
    </w:p>
    <w:p w14:paraId="6717E9B4" w14:textId="048BAC9D" w:rsidR="00433FDD" w:rsidRPr="00433FDD" w:rsidRDefault="00F865C8" w:rsidP="00B920E3">
      <w:pPr>
        <w:pStyle w:val="Akapitzlist"/>
        <w:numPr>
          <w:ilvl w:val="0"/>
          <w:numId w:val="13"/>
        </w:numPr>
        <w:spacing w:before="120" w:line="340" w:lineRule="atLeast"/>
        <w:ind w:left="425" w:hanging="425"/>
        <w:contextualSpacing w:val="0"/>
        <w:rPr>
          <w:rFonts w:cs="Arial"/>
          <w:bCs/>
        </w:rPr>
      </w:pPr>
      <w:r w:rsidRPr="00433FDD">
        <w:rPr>
          <w:rFonts w:cs="Arial"/>
          <w:bCs/>
        </w:rPr>
        <w:t>zwiększeni</w:t>
      </w:r>
      <w:r w:rsidR="00433FDD" w:rsidRPr="00433FDD">
        <w:rPr>
          <w:rFonts w:cs="Arial"/>
          <w:bCs/>
        </w:rPr>
        <w:t>a</w:t>
      </w:r>
      <w:r w:rsidRPr="00433FDD">
        <w:rPr>
          <w:rFonts w:cs="Arial"/>
          <w:bCs/>
        </w:rPr>
        <w:t xml:space="preserve"> dotacji i subwencji o kwotę 48.000 tys. zł</w:t>
      </w:r>
      <w:r w:rsidR="00F62FE6">
        <w:rPr>
          <w:rFonts w:cs="Arial"/>
          <w:bCs/>
        </w:rPr>
        <w:t>,</w:t>
      </w:r>
      <w:r w:rsidRPr="00433FDD">
        <w:rPr>
          <w:rFonts w:cs="Arial"/>
          <w:bCs/>
        </w:rPr>
        <w:t xml:space="preserve"> </w:t>
      </w:r>
    </w:p>
    <w:p w14:paraId="5E930D40" w14:textId="0A204896" w:rsidR="00433FDD" w:rsidRPr="00433FDD" w:rsidRDefault="00F865C8" w:rsidP="00B920E3">
      <w:pPr>
        <w:pStyle w:val="Akapitzlist"/>
        <w:numPr>
          <w:ilvl w:val="0"/>
          <w:numId w:val="13"/>
        </w:numPr>
        <w:spacing w:before="120" w:line="340" w:lineRule="atLeast"/>
        <w:ind w:left="425" w:hanging="425"/>
        <w:contextualSpacing w:val="0"/>
        <w:rPr>
          <w:rFonts w:cs="Arial"/>
          <w:bCs/>
        </w:rPr>
      </w:pPr>
      <w:r w:rsidRPr="00433FDD">
        <w:rPr>
          <w:rFonts w:cs="Arial"/>
          <w:bCs/>
        </w:rPr>
        <w:t>zmniejszeni</w:t>
      </w:r>
      <w:r w:rsidR="00433FDD">
        <w:rPr>
          <w:rFonts w:cs="Arial"/>
          <w:bCs/>
        </w:rPr>
        <w:t>a</w:t>
      </w:r>
      <w:r w:rsidRPr="00433FDD">
        <w:rPr>
          <w:rFonts w:cs="Arial"/>
          <w:bCs/>
        </w:rPr>
        <w:t xml:space="preserve"> wydatków bieżących jednostek budżetowych o kwotę 69.600 tys. zł. </w:t>
      </w:r>
    </w:p>
    <w:p w14:paraId="1466E60D" w14:textId="4699ABCC" w:rsidR="00F865C8" w:rsidRPr="00F865C8" w:rsidRDefault="00F865C8" w:rsidP="00F865C8">
      <w:pPr>
        <w:spacing w:before="120" w:after="120" w:line="340" w:lineRule="atLeast"/>
        <w:rPr>
          <w:rFonts w:ascii="Arial" w:hAnsi="Arial" w:cs="Arial"/>
          <w:bCs/>
        </w:rPr>
      </w:pPr>
      <w:r w:rsidRPr="00F865C8">
        <w:rPr>
          <w:rFonts w:ascii="Arial" w:hAnsi="Arial" w:cs="Arial"/>
          <w:bCs/>
        </w:rPr>
        <w:lastRenderedPageBreak/>
        <w:t xml:space="preserve">Zmiana poziomu wydatków wystąpiła w zakresie zwiększenia dotacji z budżetu państwa dla Funduszu </w:t>
      </w:r>
      <w:proofErr w:type="spellStart"/>
      <w:r w:rsidRPr="00F865C8">
        <w:rPr>
          <w:rFonts w:ascii="Arial" w:hAnsi="Arial" w:cs="Arial"/>
          <w:bCs/>
        </w:rPr>
        <w:t>Cyberbezpieczeństwa</w:t>
      </w:r>
      <w:proofErr w:type="spellEnd"/>
      <w:r w:rsidRPr="00F865C8">
        <w:rPr>
          <w:rFonts w:ascii="Arial" w:hAnsi="Arial" w:cs="Arial"/>
          <w:bCs/>
        </w:rPr>
        <w:t xml:space="preserve"> o kwotę 73.351 tys. zł z przeznaczeniem na finansowanie świadczenia teleinformatycznego osobom realizującym zadania z zakresu</w:t>
      </w:r>
      <w:r w:rsidR="00433FDD">
        <w:rPr>
          <w:rFonts w:ascii="Arial" w:hAnsi="Arial" w:cs="Arial"/>
          <w:bCs/>
        </w:rPr>
        <w:t xml:space="preserve"> </w:t>
      </w:r>
      <w:proofErr w:type="spellStart"/>
      <w:r w:rsidRPr="00F865C8">
        <w:rPr>
          <w:rFonts w:ascii="Arial" w:hAnsi="Arial" w:cs="Arial"/>
          <w:bCs/>
        </w:rPr>
        <w:t>cyberbezpieczeństwa</w:t>
      </w:r>
      <w:proofErr w:type="spellEnd"/>
      <w:r w:rsidRPr="00F865C8">
        <w:rPr>
          <w:rFonts w:ascii="Arial" w:hAnsi="Arial" w:cs="Arial"/>
          <w:bCs/>
        </w:rPr>
        <w:t>, przy jednoczesnym zmniejszeniu dotacji na realizację innych zadań w tej części w wysokości 25.351 tys. zł. Zwiększenie dotacji dla funduszu nastąpiło w związku z większym zapotrzebowaniem, niż pierwotnie zakładano na świadczenie teleinformatyczne. Powyższe działanie jest możliwe w związku z nowelizacją ustawy z dnia 2 grudnia 2021 r. o</w:t>
      </w:r>
      <w:r w:rsidR="00F24CD2">
        <w:rPr>
          <w:rFonts w:ascii="Arial" w:hAnsi="Arial" w:cs="Arial"/>
          <w:bCs/>
        </w:rPr>
        <w:t> </w:t>
      </w:r>
      <w:r w:rsidRPr="00F865C8">
        <w:rPr>
          <w:rFonts w:ascii="Arial" w:hAnsi="Arial" w:cs="Arial"/>
          <w:bCs/>
        </w:rPr>
        <w:t xml:space="preserve">szczególnych zasadach wynagradzania osób realizujących zadania z zakresu </w:t>
      </w:r>
      <w:proofErr w:type="spellStart"/>
      <w:r w:rsidRPr="00F865C8">
        <w:rPr>
          <w:rFonts w:ascii="Arial" w:hAnsi="Arial" w:cs="Arial"/>
          <w:bCs/>
        </w:rPr>
        <w:t>cyberbezpieczeństwa</w:t>
      </w:r>
      <w:proofErr w:type="spellEnd"/>
      <w:r w:rsidR="005E5AF0">
        <w:rPr>
          <w:rFonts w:ascii="Arial" w:hAnsi="Arial" w:cs="Arial"/>
          <w:bCs/>
        </w:rPr>
        <w:t xml:space="preserve"> (Dz. U. z 2023 r. poz. 667, z późn. zm.)</w:t>
      </w:r>
      <w:r w:rsidRPr="00F865C8">
        <w:rPr>
          <w:rFonts w:ascii="Arial" w:hAnsi="Arial" w:cs="Arial"/>
          <w:bCs/>
        </w:rPr>
        <w:t xml:space="preserve">, w której został zwiększony maksymalny limit wydatków z budżetu państwa na ten cel. Natomiast zmniejszenie wydatków bieżących w tej części w wysokości 69.600 tys. </w:t>
      </w:r>
      <w:r w:rsidR="00F62FE6">
        <w:rPr>
          <w:rFonts w:ascii="Arial" w:hAnsi="Arial" w:cs="Arial"/>
          <w:bCs/>
        </w:rPr>
        <w:t xml:space="preserve">zł </w:t>
      </w:r>
      <w:r w:rsidRPr="00F865C8">
        <w:rPr>
          <w:rFonts w:ascii="Arial" w:hAnsi="Arial" w:cs="Arial"/>
          <w:bCs/>
        </w:rPr>
        <w:t>nastąpiło w związku z niższą niż planowano realizacją zadań związanych z</w:t>
      </w:r>
      <w:r w:rsidR="00F24CD2">
        <w:rPr>
          <w:rFonts w:ascii="Arial" w:hAnsi="Arial" w:cs="Arial"/>
          <w:bCs/>
        </w:rPr>
        <w:t> </w:t>
      </w:r>
      <w:r w:rsidRPr="00F865C8">
        <w:rPr>
          <w:rFonts w:ascii="Arial" w:hAnsi="Arial" w:cs="Arial"/>
          <w:bCs/>
        </w:rPr>
        <w:t xml:space="preserve">obsługą i utrzymaniem systemów państwowych szacowanych na etapie opracowywania ustawy budżetowej na rok 2024. </w:t>
      </w:r>
      <w:r w:rsidR="00433FDD">
        <w:rPr>
          <w:rFonts w:ascii="Arial" w:hAnsi="Arial" w:cs="Arial"/>
          <w:bCs/>
        </w:rPr>
        <w:t>P</w:t>
      </w:r>
      <w:r w:rsidRPr="00F865C8">
        <w:rPr>
          <w:rFonts w:ascii="Arial" w:hAnsi="Arial" w:cs="Arial"/>
          <w:bCs/>
        </w:rPr>
        <w:t>rzeniesiono te środki do części 28 – Szkolnictwo wyższe i nauka z przeznaczeniem na inwestycję w Fabrykę Sztucznej Inteligencji.</w:t>
      </w:r>
    </w:p>
    <w:p w14:paraId="18C6BF12" w14:textId="10609751" w:rsidR="00405237" w:rsidRPr="00F24CD2" w:rsidRDefault="00F865C8" w:rsidP="00F24CD2">
      <w:pPr>
        <w:spacing w:before="120" w:after="120" w:line="340" w:lineRule="atLeast"/>
        <w:rPr>
          <w:rFonts w:ascii="Arial" w:hAnsi="Arial" w:cs="Arial"/>
          <w:bCs/>
        </w:rPr>
      </w:pPr>
      <w:r w:rsidRPr="00F865C8">
        <w:rPr>
          <w:rFonts w:ascii="Arial" w:hAnsi="Arial" w:cs="Arial"/>
          <w:bCs/>
        </w:rPr>
        <w:t>Po dokonaniu powyższych zmian wydatki w części 27 – Informatyzacja zmniejszą się ogółem do kwoty 1.654.905 tys. zł, w tym dotacje i subwencje zwiększą się do wysokości</w:t>
      </w:r>
      <w:r w:rsidR="00433FDD">
        <w:rPr>
          <w:rFonts w:ascii="Arial" w:hAnsi="Arial" w:cs="Arial"/>
          <w:bCs/>
        </w:rPr>
        <w:t xml:space="preserve"> </w:t>
      </w:r>
      <w:r w:rsidRPr="00F865C8">
        <w:rPr>
          <w:rFonts w:ascii="Arial" w:hAnsi="Arial" w:cs="Arial"/>
          <w:bCs/>
        </w:rPr>
        <w:t>596.028 tys. zł</w:t>
      </w:r>
      <w:r w:rsidR="00433FDD">
        <w:rPr>
          <w:rFonts w:ascii="Arial" w:hAnsi="Arial" w:cs="Arial"/>
          <w:bCs/>
        </w:rPr>
        <w:t>, a</w:t>
      </w:r>
      <w:r w:rsidRPr="00F865C8">
        <w:rPr>
          <w:rFonts w:ascii="Arial" w:hAnsi="Arial" w:cs="Arial"/>
          <w:bCs/>
        </w:rPr>
        <w:t xml:space="preserve"> wydatki bieżące jednostek budżetowych</w:t>
      </w:r>
      <w:r w:rsidR="00433FDD">
        <w:rPr>
          <w:rFonts w:ascii="Arial" w:hAnsi="Arial" w:cs="Arial"/>
          <w:bCs/>
        </w:rPr>
        <w:t xml:space="preserve"> zmniejszą się</w:t>
      </w:r>
      <w:r w:rsidRPr="00F865C8">
        <w:rPr>
          <w:rFonts w:ascii="Arial" w:hAnsi="Arial" w:cs="Arial"/>
          <w:bCs/>
        </w:rPr>
        <w:t xml:space="preserve"> do wysokości 799.227 tys. zł</w:t>
      </w:r>
      <w:r w:rsidR="003629E1">
        <w:rPr>
          <w:rFonts w:ascii="Arial" w:hAnsi="Arial" w:cs="Arial"/>
          <w:bCs/>
        </w:rPr>
        <w:t>.</w:t>
      </w:r>
      <w:r w:rsidRPr="00F865C8">
        <w:rPr>
          <w:rFonts w:ascii="Arial" w:hAnsi="Arial" w:cs="Arial"/>
          <w:bCs/>
        </w:rPr>
        <w:t xml:space="preserve"> </w:t>
      </w:r>
    </w:p>
    <w:p w14:paraId="4B16A317" w14:textId="6BB8B64E" w:rsidR="00405237" w:rsidRPr="003E1B9F" w:rsidRDefault="009C5C2E" w:rsidP="006E4C68">
      <w:pPr>
        <w:spacing w:before="360" w:after="120" w:line="340" w:lineRule="atLeast"/>
        <w:rPr>
          <w:rFonts w:ascii="Arial" w:hAnsi="Arial" w:cs="Arial"/>
          <w:b/>
        </w:rPr>
      </w:pPr>
      <w:r w:rsidRPr="007D6DD9">
        <w:rPr>
          <w:rFonts w:ascii="Arial" w:hAnsi="Arial" w:cs="Arial"/>
          <w:b/>
        </w:rPr>
        <w:t>Część 83 – Rezerwy celowe</w:t>
      </w:r>
      <w:r w:rsidRPr="007D6DD9">
        <w:rPr>
          <w:rFonts w:ascii="Arial" w:hAnsi="Arial" w:cs="Arial"/>
          <w:b/>
        </w:rPr>
        <w:tab/>
      </w:r>
    </w:p>
    <w:p w14:paraId="6959CA4E" w14:textId="381E6D8F" w:rsidR="00405237" w:rsidRDefault="003E1B9F" w:rsidP="00894B03">
      <w:pPr>
        <w:spacing w:before="120" w:after="120" w:line="340" w:lineRule="atLeast"/>
        <w:rPr>
          <w:rFonts w:ascii="Arial" w:hAnsi="Arial" w:cs="Arial"/>
        </w:rPr>
      </w:pPr>
      <w:r w:rsidRPr="003E1B9F">
        <w:rPr>
          <w:noProof/>
        </w:rPr>
        <w:drawing>
          <wp:inline distT="0" distB="0" distL="0" distR="0" wp14:anchorId="4C55B1B9" wp14:editId="2B7968DD">
            <wp:extent cx="5760720" cy="2811780"/>
            <wp:effectExtent l="0" t="0" r="0"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811780"/>
                    </a:xfrm>
                    <a:prstGeom prst="rect">
                      <a:avLst/>
                    </a:prstGeom>
                    <a:noFill/>
                    <a:ln>
                      <a:noFill/>
                    </a:ln>
                  </pic:spPr>
                </pic:pic>
              </a:graphicData>
            </a:graphic>
          </wp:inline>
        </w:drawing>
      </w:r>
    </w:p>
    <w:p w14:paraId="096123C7" w14:textId="70797765" w:rsidR="00894B03" w:rsidRPr="00894B03" w:rsidRDefault="00894B03" w:rsidP="00894B03">
      <w:pPr>
        <w:spacing w:before="120" w:after="120" w:line="340" w:lineRule="atLeast"/>
        <w:rPr>
          <w:rFonts w:ascii="Arial" w:hAnsi="Arial" w:cs="Arial"/>
        </w:rPr>
      </w:pPr>
      <w:r w:rsidRPr="00894B03">
        <w:rPr>
          <w:rFonts w:ascii="Arial" w:hAnsi="Arial" w:cs="Arial"/>
        </w:rPr>
        <w:t>W ustawie budżetowej na rok 2024 zostały zaplanowane rezerwy celowe w 71 pozycjach na kwotę 65</w:t>
      </w:r>
      <w:r w:rsidR="00A30436">
        <w:rPr>
          <w:rFonts w:ascii="Arial" w:hAnsi="Arial" w:cs="Arial"/>
        </w:rPr>
        <w:t>.</w:t>
      </w:r>
      <w:r w:rsidRPr="00894B03">
        <w:rPr>
          <w:rFonts w:ascii="Arial" w:hAnsi="Arial" w:cs="Arial"/>
        </w:rPr>
        <w:t>018</w:t>
      </w:r>
      <w:r w:rsidR="00A30436">
        <w:rPr>
          <w:rFonts w:ascii="Arial" w:hAnsi="Arial" w:cs="Arial"/>
        </w:rPr>
        <w:t>.</w:t>
      </w:r>
      <w:r w:rsidRPr="00894B03">
        <w:rPr>
          <w:rFonts w:ascii="Arial" w:hAnsi="Arial" w:cs="Arial"/>
        </w:rPr>
        <w:t>887 tys. zł.</w:t>
      </w:r>
    </w:p>
    <w:p w14:paraId="6EA63BCB" w14:textId="628A4479" w:rsidR="00894B03" w:rsidRPr="00894B03" w:rsidRDefault="00894B03" w:rsidP="00894B03">
      <w:pPr>
        <w:spacing w:before="120" w:after="120" w:line="340" w:lineRule="atLeast"/>
        <w:rPr>
          <w:rFonts w:ascii="Arial" w:hAnsi="Arial" w:cs="Arial"/>
        </w:rPr>
      </w:pPr>
      <w:r w:rsidRPr="00894B03">
        <w:rPr>
          <w:rFonts w:ascii="Arial" w:hAnsi="Arial" w:cs="Arial"/>
        </w:rPr>
        <w:t xml:space="preserve">Zgodnie z art. 154 ust. 1 ustawy </w:t>
      </w:r>
      <w:r w:rsidR="009758F9" w:rsidRPr="009C44A9">
        <w:rPr>
          <w:rFonts w:ascii="Arial" w:hAnsi="Arial" w:cs="Arial"/>
          <w:bCs/>
        </w:rPr>
        <w:t>z dnia 27 sierpnia 2009 r.</w:t>
      </w:r>
      <w:r w:rsidR="009758F9">
        <w:rPr>
          <w:rFonts w:ascii="Arial" w:hAnsi="Arial" w:cs="Arial"/>
          <w:bCs/>
        </w:rPr>
        <w:t xml:space="preserve"> </w:t>
      </w:r>
      <w:r w:rsidRPr="00894B03">
        <w:rPr>
          <w:rFonts w:ascii="Arial" w:hAnsi="Arial" w:cs="Arial"/>
        </w:rPr>
        <w:t xml:space="preserve">o finansach publicznych podziału rezerw celowych dokonuje Minister Finansów w porozumieniu z właściwymi ministrami lub </w:t>
      </w:r>
      <w:r w:rsidRPr="00894B03">
        <w:rPr>
          <w:rFonts w:ascii="Arial" w:hAnsi="Arial" w:cs="Arial"/>
        </w:rPr>
        <w:lastRenderedPageBreak/>
        <w:t>innymi dysponentami części budżetowych i zasadniczo realizowany jest on do 15 października</w:t>
      </w:r>
      <w:r w:rsidR="00433FDD">
        <w:rPr>
          <w:rFonts w:ascii="Arial" w:hAnsi="Arial" w:cs="Arial"/>
        </w:rPr>
        <w:t xml:space="preserve"> danego roku budżetowego</w:t>
      </w:r>
      <w:r w:rsidRPr="00894B03">
        <w:rPr>
          <w:rFonts w:ascii="Arial" w:hAnsi="Arial" w:cs="Arial"/>
        </w:rPr>
        <w:t xml:space="preserve">. </w:t>
      </w:r>
    </w:p>
    <w:p w14:paraId="7A50DBE9" w14:textId="77777777" w:rsidR="00894B03" w:rsidRPr="00894B03" w:rsidRDefault="00894B03" w:rsidP="00894B03">
      <w:pPr>
        <w:spacing w:before="120" w:after="120" w:line="340" w:lineRule="atLeast"/>
        <w:rPr>
          <w:rFonts w:ascii="Arial" w:hAnsi="Arial" w:cs="Arial"/>
        </w:rPr>
      </w:pPr>
      <w:r w:rsidRPr="00894B03">
        <w:rPr>
          <w:rFonts w:ascii="Arial" w:hAnsi="Arial" w:cs="Arial"/>
        </w:rPr>
        <w:t>Podział rezerw celowych utworzonych w budżecie państwa następuje na podstawie decyzji Ministra Finansów o przeniesieniu do odpowiednich części budżetowych – przy zastosowaniu właściwej klasyfikacji wydatków budżetowych – określonych środków rezerw celowych, zgodnie z ich przeznaczeniem.</w:t>
      </w:r>
    </w:p>
    <w:p w14:paraId="0B117069" w14:textId="1CCC24F5" w:rsidR="00894B03" w:rsidRPr="00894B03" w:rsidRDefault="00894B03" w:rsidP="00894B03">
      <w:pPr>
        <w:spacing w:before="120" w:after="120" w:line="340" w:lineRule="atLeast"/>
        <w:rPr>
          <w:rFonts w:ascii="Arial" w:hAnsi="Arial" w:cs="Arial"/>
        </w:rPr>
      </w:pPr>
      <w:r w:rsidRPr="00894B03">
        <w:rPr>
          <w:rFonts w:ascii="Arial" w:hAnsi="Arial" w:cs="Arial"/>
        </w:rPr>
        <w:t>Wyjątek stanowią rezerwy celowe budżetu państwa, które funkcjonują do końca roku (np. rezerwy przeznaczone na finansowanie zobowiązań Skarbu Państwa</w:t>
      </w:r>
      <w:r w:rsidR="009758F9">
        <w:rPr>
          <w:rFonts w:ascii="Arial" w:hAnsi="Arial" w:cs="Arial"/>
        </w:rPr>
        <w:t>,</w:t>
      </w:r>
      <w:r w:rsidRPr="00894B03">
        <w:rPr>
          <w:rFonts w:ascii="Arial" w:hAnsi="Arial" w:cs="Arial"/>
        </w:rPr>
        <w:t xml:space="preserve"> rezerwy przeznaczone na przeciwdziałanie klęskom żywiołowym i usuwanie ich skutków czy też rezerwy celowe planowane na podstawie art. 140 ust. 2 pkt 2 i 3 ustawy</w:t>
      </w:r>
      <w:r w:rsidR="009758F9">
        <w:rPr>
          <w:rFonts w:ascii="Arial" w:hAnsi="Arial" w:cs="Arial"/>
        </w:rPr>
        <w:t xml:space="preserve"> </w:t>
      </w:r>
      <w:r w:rsidR="009758F9" w:rsidRPr="009C44A9">
        <w:rPr>
          <w:rFonts w:ascii="Arial" w:hAnsi="Arial" w:cs="Arial"/>
          <w:bCs/>
        </w:rPr>
        <w:t>z dnia 27 sierpnia 2009 r.</w:t>
      </w:r>
      <w:r w:rsidRPr="00894B03">
        <w:rPr>
          <w:rFonts w:ascii="Arial" w:hAnsi="Arial" w:cs="Arial"/>
        </w:rPr>
        <w:t xml:space="preserve"> o finansach publicznych).</w:t>
      </w:r>
    </w:p>
    <w:p w14:paraId="37121BE0" w14:textId="20E1FB81" w:rsidR="00894B03" w:rsidRPr="006B0A02" w:rsidRDefault="00894B03" w:rsidP="00894B03">
      <w:pPr>
        <w:spacing w:before="120" w:after="120" w:line="340" w:lineRule="atLeast"/>
        <w:rPr>
          <w:rFonts w:ascii="Arial" w:hAnsi="Arial" w:cs="Arial"/>
          <w:spacing w:val="2"/>
        </w:rPr>
      </w:pPr>
      <w:r w:rsidRPr="006B0A02">
        <w:rPr>
          <w:rFonts w:ascii="Arial" w:hAnsi="Arial" w:cs="Arial"/>
          <w:spacing w:val="2"/>
        </w:rPr>
        <w:t>Oprócz ogólnych zasad związanych z podziałem rezerw celowych zdarzają się również przepisy wprowadzające modyfikację systemowych rozwiązań, do których w 2024 roku możemy zaliczyć np. przepisy ustawy z dnia 1 października 2024 r. o zmianie ustawy o szczególnych rozwiązaniach związanych z usuwaniem skutków powodzi oraz niektórych innych ustaw</w:t>
      </w:r>
      <w:r w:rsidR="00602B02">
        <w:rPr>
          <w:rFonts w:ascii="Arial" w:hAnsi="Arial" w:cs="Arial"/>
          <w:spacing w:val="2"/>
        </w:rPr>
        <w:t xml:space="preserve"> (Dz</w:t>
      </w:r>
      <w:r w:rsidRPr="006B0A02">
        <w:rPr>
          <w:rFonts w:ascii="Arial" w:hAnsi="Arial" w:cs="Arial"/>
          <w:spacing w:val="2"/>
        </w:rPr>
        <w:t>.</w:t>
      </w:r>
      <w:r w:rsidR="00602B02">
        <w:rPr>
          <w:rFonts w:ascii="Arial" w:hAnsi="Arial" w:cs="Arial"/>
          <w:spacing w:val="2"/>
        </w:rPr>
        <w:t xml:space="preserve"> U. poz. 1473).</w:t>
      </w:r>
      <w:r w:rsidRPr="006B0A02">
        <w:rPr>
          <w:rFonts w:ascii="Arial" w:hAnsi="Arial" w:cs="Arial"/>
          <w:spacing w:val="2"/>
        </w:rPr>
        <w:t xml:space="preserve"> Tzw. ustawa powodziowa przewiduje dodatkową podstawę prawną do podziału rezerw celowych dla niektórych województw z terminem do dnia 29 listopada 2024 r. (przepis art. 25). Kolejne zmiany w terminie podziału rezerwy w przypadku</w:t>
      </w:r>
      <w:r w:rsidR="0004610B">
        <w:rPr>
          <w:rFonts w:ascii="Arial" w:hAnsi="Arial" w:cs="Arial"/>
          <w:spacing w:val="2"/>
        </w:rPr>
        <w:t xml:space="preserve"> rezerwy celowej</w:t>
      </w:r>
      <w:r w:rsidRPr="006B0A02">
        <w:rPr>
          <w:rFonts w:ascii="Arial" w:hAnsi="Arial" w:cs="Arial"/>
          <w:spacing w:val="2"/>
        </w:rPr>
        <w:t xml:space="preserve"> poz. 58 wprowadzają przepisy ustawy z dnia 15 maja </w:t>
      </w:r>
      <w:r w:rsidR="0004610B">
        <w:rPr>
          <w:rFonts w:ascii="Arial" w:hAnsi="Arial" w:cs="Arial"/>
          <w:spacing w:val="2"/>
        </w:rPr>
        <w:t xml:space="preserve">2024 r. </w:t>
      </w:r>
      <w:r w:rsidRPr="006B0A02">
        <w:rPr>
          <w:rFonts w:ascii="Arial" w:hAnsi="Arial" w:cs="Arial"/>
          <w:spacing w:val="2"/>
        </w:rPr>
        <w:t>o wspieraniu rodziców w aktywności zawodowej oraz w wychowaniu dziecka – „Aktywny rodzic”</w:t>
      </w:r>
      <w:r w:rsidR="00602B02">
        <w:rPr>
          <w:rFonts w:ascii="Arial" w:hAnsi="Arial" w:cs="Arial"/>
          <w:spacing w:val="2"/>
        </w:rPr>
        <w:t xml:space="preserve"> (Dz. U. poz. </w:t>
      </w:r>
      <w:r w:rsidR="0046571B">
        <w:rPr>
          <w:rFonts w:ascii="Arial" w:hAnsi="Arial" w:cs="Arial"/>
          <w:spacing w:val="2"/>
        </w:rPr>
        <w:t>858)</w:t>
      </w:r>
      <w:r w:rsidRPr="006B0A02">
        <w:rPr>
          <w:rFonts w:ascii="Arial" w:hAnsi="Arial" w:cs="Arial"/>
          <w:spacing w:val="2"/>
        </w:rPr>
        <w:t>. Art. 81 wprowadza podział ww.</w:t>
      </w:r>
      <w:r w:rsidR="00206C6E" w:rsidRPr="006B0A02">
        <w:rPr>
          <w:rFonts w:ascii="Arial" w:hAnsi="Arial" w:cs="Arial"/>
          <w:spacing w:val="2"/>
        </w:rPr>
        <w:t> </w:t>
      </w:r>
      <w:r w:rsidRPr="006B0A02">
        <w:rPr>
          <w:rFonts w:ascii="Arial" w:hAnsi="Arial" w:cs="Arial"/>
          <w:spacing w:val="2"/>
        </w:rPr>
        <w:t>rezerwy do 31 grudnia 2024 r.</w:t>
      </w:r>
    </w:p>
    <w:p w14:paraId="4CC42EE6" w14:textId="400B0460" w:rsidR="00894B03" w:rsidRPr="00894B03" w:rsidRDefault="00894B03" w:rsidP="00894B03">
      <w:pPr>
        <w:spacing w:before="120" w:after="120" w:line="340" w:lineRule="atLeast"/>
        <w:rPr>
          <w:rFonts w:ascii="Arial" w:hAnsi="Arial" w:cs="Arial"/>
        </w:rPr>
      </w:pPr>
      <w:r w:rsidRPr="00894B03">
        <w:rPr>
          <w:rFonts w:ascii="Arial" w:hAnsi="Arial" w:cs="Arial"/>
        </w:rPr>
        <w:t>Uwzględniając powyższe okoliczności</w:t>
      </w:r>
      <w:r w:rsidR="00F62FE6">
        <w:rPr>
          <w:rFonts w:ascii="Arial" w:hAnsi="Arial" w:cs="Arial"/>
        </w:rPr>
        <w:t>,</w:t>
      </w:r>
      <w:r w:rsidRPr="00894B03">
        <w:rPr>
          <w:rFonts w:ascii="Arial" w:hAnsi="Arial" w:cs="Arial"/>
        </w:rPr>
        <w:t xml:space="preserve"> dokonany został przegląd rezerw celowych w ramach którego zidentyfikowane zostały naturalne oszczędności budżetu państwa, które mogą zostać przesunięte na realizację innych wydatków budżetu państwa, które zostały zwiększone w projekcie niniejszej nowelizacji ustawy budżetowej na rok 2024. </w:t>
      </w:r>
    </w:p>
    <w:p w14:paraId="1D48152F" w14:textId="77777777" w:rsidR="00894B03" w:rsidRPr="00894B03" w:rsidRDefault="00894B03" w:rsidP="00894B03">
      <w:pPr>
        <w:spacing w:before="120" w:after="120" w:line="340" w:lineRule="atLeast"/>
        <w:rPr>
          <w:rFonts w:ascii="Arial" w:hAnsi="Arial" w:cs="Arial"/>
        </w:rPr>
      </w:pPr>
      <w:r w:rsidRPr="00894B03">
        <w:rPr>
          <w:rFonts w:ascii="Arial" w:hAnsi="Arial" w:cs="Arial"/>
        </w:rPr>
        <w:t>Oszczędności w rezerwach celowych wynikają z mniejszego niż pierwotnie planowano zapotrzebowania na środki.</w:t>
      </w:r>
    </w:p>
    <w:p w14:paraId="71616791" w14:textId="50955EFE" w:rsidR="00894B03" w:rsidRPr="00894B03" w:rsidRDefault="00894B03" w:rsidP="00894B03">
      <w:pPr>
        <w:spacing w:before="120" w:after="120" w:line="340" w:lineRule="atLeast"/>
        <w:rPr>
          <w:rFonts w:ascii="Arial" w:hAnsi="Arial" w:cs="Arial"/>
        </w:rPr>
      </w:pPr>
      <w:r w:rsidRPr="00894B03">
        <w:rPr>
          <w:rFonts w:ascii="Arial" w:hAnsi="Arial" w:cs="Arial"/>
        </w:rPr>
        <w:t>Środki w rezerwach celowych stanowią konglomerat szacunkowych kwot dotyczących wielu zróżnicowanych zadań. Planowanie poszczególnych zadań do sfinansowania związane jest zatem m.in. z oszacowaniem przez podmioty zgłaszające poszczególne zadania do sfinansowania kosztów ich realizacji. Rzeczywisty poziom zapotrzebowania na finansowanie zadań ujętych w ramach rezerw celowych uległ zmniejszeniu na skutek konkretyzacji potrzeb, w stosunku do tych, które były zgłaszane na etapie procesu planowania środków w</w:t>
      </w:r>
      <w:r>
        <w:rPr>
          <w:rFonts w:ascii="Arial" w:hAnsi="Arial" w:cs="Arial"/>
        </w:rPr>
        <w:t> </w:t>
      </w:r>
      <w:r w:rsidRPr="00894B03">
        <w:rPr>
          <w:rFonts w:ascii="Arial" w:hAnsi="Arial" w:cs="Arial"/>
        </w:rPr>
        <w:t>budżecie państwa.</w:t>
      </w:r>
    </w:p>
    <w:p w14:paraId="7C0E9219" w14:textId="7D0CA7EF" w:rsidR="00171C18" w:rsidRDefault="00171C18" w:rsidP="006E4C68">
      <w:pPr>
        <w:spacing w:before="360" w:after="120" w:line="340" w:lineRule="atLeast"/>
        <w:rPr>
          <w:rFonts w:ascii="Arial" w:hAnsi="Arial" w:cs="Arial"/>
          <w:b/>
        </w:rPr>
      </w:pPr>
      <w:r w:rsidRPr="007D6DD9">
        <w:rPr>
          <w:rFonts w:ascii="Arial" w:hAnsi="Arial" w:cs="Arial"/>
          <w:b/>
        </w:rPr>
        <w:t>Część 8</w:t>
      </w:r>
      <w:r>
        <w:rPr>
          <w:rFonts w:ascii="Arial" w:hAnsi="Arial" w:cs="Arial"/>
          <w:b/>
        </w:rPr>
        <w:t>4</w:t>
      </w:r>
      <w:r w:rsidRPr="007D6DD9">
        <w:rPr>
          <w:rFonts w:ascii="Arial" w:hAnsi="Arial" w:cs="Arial"/>
          <w:b/>
        </w:rPr>
        <w:t xml:space="preserve"> – </w:t>
      </w:r>
      <w:r w:rsidR="00405237" w:rsidRPr="00405237">
        <w:rPr>
          <w:rFonts w:ascii="Arial" w:hAnsi="Arial" w:cs="Arial"/>
          <w:b/>
        </w:rPr>
        <w:t>Środki własne Unii Europejskiej</w:t>
      </w:r>
    </w:p>
    <w:p w14:paraId="4A9BBF43" w14:textId="736B6FB9" w:rsidR="00F24CD2" w:rsidRDefault="00B729D9" w:rsidP="00171C18">
      <w:pPr>
        <w:spacing w:before="120" w:after="120" w:line="340" w:lineRule="atLeast"/>
        <w:rPr>
          <w:rFonts w:ascii="Arial" w:hAnsi="Arial" w:cs="Arial"/>
          <w:bCs/>
        </w:rPr>
      </w:pPr>
      <w:r w:rsidRPr="00B729D9">
        <w:rPr>
          <w:rFonts w:ascii="Arial" w:hAnsi="Arial" w:cs="Arial"/>
          <w:bCs/>
        </w:rPr>
        <w:t>W limicie dysponenta części budżetowej 84 – Środki własne UE wystąpił nadmiar środków. Szacowana obecnie wysokość polskiej składki do budżetu UE na 2024 r. wynosi 33.910</w:t>
      </w:r>
      <w:r w:rsidR="00E63BC8">
        <w:rPr>
          <w:rFonts w:ascii="Arial" w:hAnsi="Arial" w:cs="Arial"/>
          <w:bCs/>
        </w:rPr>
        <w:t>.060</w:t>
      </w:r>
      <w:r w:rsidRPr="00B729D9">
        <w:rPr>
          <w:rFonts w:ascii="Arial" w:hAnsi="Arial" w:cs="Arial"/>
          <w:bCs/>
        </w:rPr>
        <w:t xml:space="preserve"> </w:t>
      </w:r>
      <w:r w:rsidR="00E63BC8">
        <w:rPr>
          <w:rFonts w:ascii="Arial" w:hAnsi="Arial" w:cs="Arial"/>
          <w:bCs/>
        </w:rPr>
        <w:lastRenderedPageBreak/>
        <w:t>tys. zł</w:t>
      </w:r>
      <w:r w:rsidRPr="00B729D9">
        <w:rPr>
          <w:rFonts w:ascii="Arial" w:hAnsi="Arial" w:cs="Arial"/>
          <w:bCs/>
        </w:rPr>
        <w:t>. Kwota ta została skalkulowana w oparciu o aktualny poziom wydatków budżetu UE, rozliczenia płatności składki za lata poprzednie oraz szacowany poziom dodatkowych wpłat do UE w 2024 r. Uwzględnia również szacunek wysokości poboru opłat celnych do grudnia br., który okazał się być niższy niż zakładano, a także dokonanie ewentualnych dodatkowych płatności z tytułu ceł. W rezultacie szacowana składka jest niższa o 550</w:t>
      </w:r>
      <w:r w:rsidR="00E63BC8">
        <w:rPr>
          <w:rFonts w:ascii="Arial" w:hAnsi="Arial" w:cs="Arial"/>
          <w:bCs/>
        </w:rPr>
        <w:t>.000 tys. zł</w:t>
      </w:r>
      <w:r w:rsidRPr="00B729D9">
        <w:rPr>
          <w:rFonts w:ascii="Arial" w:hAnsi="Arial" w:cs="Arial"/>
          <w:bCs/>
        </w:rPr>
        <w:t xml:space="preserve"> od kwoty wydatków ujętych w limicie części 84 – Środki własne UE ustalonego w</w:t>
      </w:r>
      <w:r w:rsidR="00B8311E">
        <w:rPr>
          <w:rFonts w:ascii="Arial" w:hAnsi="Arial" w:cs="Arial"/>
          <w:bCs/>
        </w:rPr>
        <w:t> </w:t>
      </w:r>
      <w:r w:rsidRPr="00B729D9">
        <w:rPr>
          <w:rFonts w:ascii="Arial" w:hAnsi="Arial" w:cs="Arial"/>
          <w:bCs/>
        </w:rPr>
        <w:t>wysokości 34.460</w:t>
      </w:r>
      <w:r w:rsidR="00E63BC8">
        <w:rPr>
          <w:rFonts w:ascii="Arial" w:hAnsi="Arial" w:cs="Arial"/>
          <w:bCs/>
        </w:rPr>
        <w:t>.060 tys. zł</w:t>
      </w:r>
      <w:r w:rsidRPr="00B729D9">
        <w:rPr>
          <w:rFonts w:ascii="Arial" w:hAnsi="Arial" w:cs="Arial"/>
          <w:bCs/>
        </w:rPr>
        <w:t>.</w:t>
      </w:r>
    </w:p>
    <w:p w14:paraId="690CE6F1" w14:textId="0802C064" w:rsidR="00F24CD2" w:rsidRDefault="00F24CD2" w:rsidP="00171C18">
      <w:pPr>
        <w:spacing w:before="120" w:after="120" w:line="340" w:lineRule="atLeast"/>
        <w:rPr>
          <w:rFonts w:ascii="Arial" w:hAnsi="Arial" w:cs="Arial"/>
          <w:bCs/>
        </w:rPr>
      </w:pPr>
    </w:p>
    <w:p w14:paraId="6C9B659C" w14:textId="72D47EC9" w:rsidR="00F24CD2" w:rsidRDefault="00F24CD2" w:rsidP="00171C18">
      <w:pPr>
        <w:spacing w:before="120" w:after="120" w:line="340" w:lineRule="atLeast"/>
        <w:rPr>
          <w:rFonts w:ascii="Arial" w:hAnsi="Arial" w:cs="Arial"/>
          <w:bCs/>
        </w:rPr>
      </w:pPr>
    </w:p>
    <w:p w14:paraId="5D10E179" w14:textId="3DEFFD77" w:rsidR="00F24CD2" w:rsidRDefault="00F24CD2" w:rsidP="00171C18">
      <w:pPr>
        <w:spacing w:before="120" w:after="120" w:line="340" w:lineRule="atLeast"/>
        <w:rPr>
          <w:rFonts w:ascii="Arial" w:hAnsi="Arial" w:cs="Arial"/>
          <w:bCs/>
        </w:rPr>
      </w:pPr>
    </w:p>
    <w:p w14:paraId="3DC973AA" w14:textId="6AB7893A" w:rsidR="00F24CD2" w:rsidRDefault="00F24CD2" w:rsidP="00171C18">
      <w:pPr>
        <w:spacing w:before="120" w:after="120" w:line="340" w:lineRule="atLeast"/>
        <w:rPr>
          <w:rFonts w:ascii="Arial" w:hAnsi="Arial" w:cs="Arial"/>
          <w:bCs/>
        </w:rPr>
      </w:pPr>
    </w:p>
    <w:p w14:paraId="1E186232" w14:textId="287BCFC3" w:rsidR="00395399" w:rsidRDefault="00395399" w:rsidP="00171C18">
      <w:pPr>
        <w:spacing w:before="120" w:after="120" w:line="340" w:lineRule="atLeast"/>
        <w:rPr>
          <w:rFonts w:ascii="Arial" w:hAnsi="Arial" w:cs="Arial"/>
          <w:bCs/>
        </w:rPr>
      </w:pPr>
    </w:p>
    <w:p w14:paraId="30DE3D23" w14:textId="0F62D0E3" w:rsidR="00395399" w:rsidRDefault="00395399" w:rsidP="00171C18">
      <w:pPr>
        <w:spacing w:before="120" w:after="120" w:line="340" w:lineRule="atLeast"/>
        <w:rPr>
          <w:rFonts w:ascii="Arial" w:hAnsi="Arial" w:cs="Arial"/>
          <w:bCs/>
        </w:rPr>
      </w:pPr>
    </w:p>
    <w:p w14:paraId="5CF44BB0" w14:textId="3BB19572" w:rsidR="00395399" w:rsidRDefault="00395399" w:rsidP="00171C18">
      <w:pPr>
        <w:spacing w:before="120" w:after="120" w:line="340" w:lineRule="atLeast"/>
        <w:rPr>
          <w:rFonts w:ascii="Arial" w:hAnsi="Arial" w:cs="Arial"/>
          <w:bCs/>
        </w:rPr>
      </w:pPr>
    </w:p>
    <w:p w14:paraId="26BF11E7" w14:textId="16BD3955" w:rsidR="00395399" w:rsidRDefault="00395399" w:rsidP="00171C18">
      <w:pPr>
        <w:spacing w:before="120" w:after="120" w:line="340" w:lineRule="atLeast"/>
        <w:rPr>
          <w:rFonts w:ascii="Arial" w:hAnsi="Arial" w:cs="Arial"/>
          <w:bCs/>
        </w:rPr>
      </w:pPr>
    </w:p>
    <w:p w14:paraId="744D3CE1" w14:textId="7A796E0B" w:rsidR="00395399" w:rsidRDefault="00395399" w:rsidP="00171C18">
      <w:pPr>
        <w:spacing w:before="120" w:after="120" w:line="340" w:lineRule="atLeast"/>
        <w:rPr>
          <w:rFonts w:ascii="Arial" w:hAnsi="Arial" w:cs="Arial"/>
          <w:bCs/>
        </w:rPr>
      </w:pPr>
    </w:p>
    <w:p w14:paraId="1F7F94DC" w14:textId="42F6694F" w:rsidR="00395399" w:rsidRDefault="00395399" w:rsidP="00171C18">
      <w:pPr>
        <w:spacing w:before="120" w:after="120" w:line="340" w:lineRule="atLeast"/>
        <w:rPr>
          <w:rFonts w:ascii="Arial" w:hAnsi="Arial" w:cs="Arial"/>
          <w:bCs/>
        </w:rPr>
      </w:pPr>
    </w:p>
    <w:p w14:paraId="0232D52B" w14:textId="003FBD5D" w:rsidR="00395399" w:rsidRDefault="00395399" w:rsidP="00171C18">
      <w:pPr>
        <w:spacing w:before="120" w:after="120" w:line="340" w:lineRule="atLeast"/>
        <w:rPr>
          <w:rFonts w:ascii="Arial" w:hAnsi="Arial" w:cs="Arial"/>
          <w:bCs/>
        </w:rPr>
      </w:pPr>
    </w:p>
    <w:p w14:paraId="28504DC3" w14:textId="1EAA3C23" w:rsidR="00395399" w:rsidRDefault="00395399" w:rsidP="00171C18">
      <w:pPr>
        <w:spacing w:before="120" w:after="120" w:line="340" w:lineRule="atLeast"/>
        <w:rPr>
          <w:rFonts w:ascii="Arial" w:hAnsi="Arial" w:cs="Arial"/>
          <w:bCs/>
        </w:rPr>
      </w:pPr>
    </w:p>
    <w:p w14:paraId="03D1C4CA" w14:textId="767ACC66" w:rsidR="00395399" w:rsidRDefault="00395399" w:rsidP="00171C18">
      <w:pPr>
        <w:spacing w:before="120" w:after="120" w:line="340" w:lineRule="atLeast"/>
        <w:rPr>
          <w:rFonts w:ascii="Arial" w:hAnsi="Arial" w:cs="Arial"/>
          <w:bCs/>
        </w:rPr>
      </w:pPr>
    </w:p>
    <w:p w14:paraId="6000542C" w14:textId="10FFC18D" w:rsidR="00395399" w:rsidRDefault="00395399" w:rsidP="00171C18">
      <w:pPr>
        <w:spacing w:before="120" w:after="120" w:line="340" w:lineRule="atLeast"/>
        <w:rPr>
          <w:rFonts w:ascii="Arial" w:hAnsi="Arial" w:cs="Arial"/>
          <w:bCs/>
        </w:rPr>
      </w:pPr>
    </w:p>
    <w:p w14:paraId="3EB107A7" w14:textId="2D569782" w:rsidR="00395399" w:rsidRDefault="00395399" w:rsidP="00171C18">
      <w:pPr>
        <w:spacing w:before="120" w:after="120" w:line="340" w:lineRule="atLeast"/>
        <w:rPr>
          <w:rFonts w:ascii="Arial" w:hAnsi="Arial" w:cs="Arial"/>
          <w:bCs/>
        </w:rPr>
      </w:pPr>
    </w:p>
    <w:p w14:paraId="6DFF25F3" w14:textId="067E0882" w:rsidR="00395399" w:rsidRDefault="00395399" w:rsidP="00171C18">
      <w:pPr>
        <w:spacing w:before="120" w:after="120" w:line="340" w:lineRule="atLeast"/>
        <w:rPr>
          <w:rFonts w:ascii="Arial" w:hAnsi="Arial" w:cs="Arial"/>
          <w:bCs/>
        </w:rPr>
      </w:pPr>
    </w:p>
    <w:p w14:paraId="2C191A86" w14:textId="1AF74776" w:rsidR="00395399" w:rsidRDefault="00395399" w:rsidP="00171C18">
      <w:pPr>
        <w:spacing w:before="120" w:after="120" w:line="340" w:lineRule="atLeast"/>
        <w:rPr>
          <w:rFonts w:ascii="Arial" w:hAnsi="Arial" w:cs="Arial"/>
          <w:bCs/>
        </w:rPr>
      </w:pPr>
    </w:p>
    <w:p w14:paraId="1B7D2B79" w14:textId="58200940" w:rsidR="00395399" w:rsidRDefault="00395399" w:rsidP="00171C18">
      <w:pPr>
        <w:spacing w:before="120" w:after="120" w:line="340" w:lineRule="atLeast"/>
        <w:rPr>
          <w:rFonts w:ascii="Arial" w:hAnsi="Arial" w:cs="Arial"/>
          <w:bCs/>
        </w:rPr>
      </w:pPr>
    </w:p>
    <w:p w14:paraId="600FB351" w14:textId="2BAB2A8C" w:rsidR="00395399" w:rsidRDefault="00395399" w:rsidP="00171C18">
      <w:pPr>
        <w:spacing w:before="120" w:after="120" w:line="340" w:lineRule="atLeast"/>
        <w:rPr>
          <w:rFonts w:ascii="Arial" w:hAnsi="Arial" w:cs="Arial"/>
          <w:bCs/>
        </w:rPr>
      </w:pPr>
    </w:p>
    <w:p w14:paraId="608C17D2" w14:textId="75A73823" w:rsidR="00395399" w:rsidRDefault="00395399" w:rsidP="00171C18">
      <w:pPr>
        <w:spacing w:before="120" w:after="120" w:line="340" w:lineRule="atLeast"/>
        <w:rPr>
          <w:rFonts w:ascii="Arial" w:hAnsi="Arial" w:cs="Arial"/>
          <w:bCs/>
        </w:rPr>
      </w:pPr>
    </w:p>
    <w:p w14:paraId="2B217A72" w14:textId="5C6D2307" w:rsidR="00395399" w:rsidRDefault="00395399" w:rsidP="00171C18">
      <w:pPr>
        <w:spacing w:before="120" w:after="120" w:line="340" w:lineRule="atLeast"/>
        <w:rPr>
          <w:rFonts w:ascii="Arial" w:hAnsi="Arial" w:cs="Arial"/>
          <w:bCs/>
        </w:rPr>
      </w:pPr>
    </w:p>
    <w:p w14:paraId="61E5B19C" w14:textId="6CE07542" w:rsidR="00395399" w:rsidRDefault="00395399" w:rsidP="00171C18">
      <w:pPr>
        <w:spacing w:before="120" w:after="120" w:line="340" w:lineRule="atLeast"/>
        <w:rPr>
          <w:rFonts w:ascii="Arial" w:hAnsi="Arial" w:cs="Arial"/>
          <w:bCs/>
        </w:rPr>
      </w:pPr>
    </w:p>
    <w:p w14:paraId="79FF5F55" w14:textId="3491EB44" w:rsidR="00395399" w:rsidRDefault="00395399" w:rsidP="00171C18">
      <w:pPr>
        <w:spacing w:before="120" w:after="120" w:line="340" w:lineRule="atLeast"/>
        <w:rPr>
          <w:rFonts w:ascii="Arial" w:hAnsi="Arial" w:cs="Arial"/>
          <w:bCs/>
        </w:rPr>
      </w:pPr>
    </w:p>
    <w:p w14:paraId="74DC8690" w14:textId="77777777" w:rsidR="00395399" w:rsidRPr="00F24CD2" w:rsidRDefault="00395399" w:rsidP="00171C18">
      <w:pPr>
        <w:spacing w:before="120" w:after="120" w:line="340" w:lineRule="atLeast"/>
        <w:rPr>
          <w:rFonts w:ascii="Arial" w:hAnsi="Arial" w:cs="Arial"/>
          <w:bCs/>
        </w:rPr>
      </w:pPr>
    </w:p>
    <w:p w14:paraId="0E8585F4" w14:textId="690ABF27" w:rsidR="003B6004" w:rsidRPr="007D6DD9" w:rsidRDefault="003B6004" w:rsidP="00433FDD">
      <w:pPr>
        <w:pStyle w:val="Akapitzlist"/>
        <w:numPr>
          <w:ilvl w:val="0"/>
          <w:numId w:val="2"/>
        </w:numPr>
        <w:overflowPunct/>
        <w:autoSpaceDE/>
        <w:autoSpaceDN/>
        <w:adjustRightInd/>
        <w:spacing w:before="360"/>
        <w:ind w:left="425" w:hanging="425"/>
        <w:contextualSpacing w:val="0"/>
        <w:jc w:val="left"/>
        <w:textAlignment w:val="auto"/>
        <w:rPr>
          <w:rFonts w:cs="Arial"/>
          <w:b/>
          <w:sz w:val="28"/>
          <w:szCs w:val="28"/>
        </w:rPr>
      </w:pPr>
      <w:bookmarkStart w:id="3" w:name="_Hlk180662634"/>
      <w:r w:rsidRPr="007D6DD9">
        <w:rPr>
          <w:rFonts w:cs="Arial"/>
          <w:b/>
          <w:sz w:val="24"/>
          <w:szCs w:val="22"/>
        </w:rPr>
        <w:lastRenderedPageBreak/>
        <w:t xml:space="preserve">Zmiany w planach finansowych </w:t>
      </w:r>
      <w:r w:rsidR="00343757" w:rsidRPr="007D6DD9">
        <w:rPr>
          <w:rFonts w:cs="Arial"/>
          <w:b/>
          <w:sz w:val="24"/>
          <w:szCs w:val="22"/>
        </w:rPr>
        <w:t>państwowych funduszy celowych</w:t>
      </w:r>
      <w:r w:rsidRPr="007D6DD9">
        <w:rPr>
          <w:rFonts w:cs="Arial"/>
          <w:b/>
          <w:sz w:val="24"/>
          <w:szCs w:val="22"/>
        </w:rPr>
        <w:t xml:space="preserve"> i</w:t>
      </w:r>
      <w:r w:rsidR="00171C18">
        <w:rPr>
          <w:rFonts w:cs="Arial"/>
          <w:b/>
          <w:sz w:val="24"/>
          <w:szCs w:val="22"/>
        </w:rPr>
        <w:t> </w:t>
      </w:r>
      <w:r w:rsidRPr="007D6DD9">
        <w:rPr>
          <w:rFonts w:cs="Arial"/>
          <w:b/>
          <w:sz w:val="24"/>
          <w:szCs w:val="22"/>
        </w:rPr>
        <w:t>państwowych osób prawnych</w:t>
      </w:r>
      <w:r w:rsidR="00EB1E41" w:rsidRPr="007D6DD9">
        <w:rPr>
          <w:rFonts w:cs="Arial"/>
          <w:b/>
          <w:sz w:val="24"/>
          <w:szCs w:val="22"/>
        </w:rPr>
        <w:t xml:space="preserve">, o których mowa w art. 9 pkt 14 ustawy </w:t>
      </w:r>
      <w:r w:rsidR="0046571B">
        <w:rPr>
          <w:rFonts w:cs="Arial"/>
          <w:b/>
          <w:sz w:val="24"/>
          <w:szCs w:val="22"/>
        </w:rPr>
        <w:t xml:space="preserve">z dnia 27 sierpnia 2009 r. </w:t>
      </w:r>
      <w:r w:rsidR="00EB1E41" w:rsidRPr="007D6DD9">
        <w:rPr>
          <w:rFonts w:cs="Arial"/>
          <w:b/>
          <w:sz w:val="24"/>
          <w:szCs w:val="22"/>
        </w:rPr>
        <w:t>o</w:t>
      </w:r>
      <w:r w:rsidR="00171C18">
        <w:rPr>
          <w:rFonts w:cs="Arial"/>
          <w:b/>
          <w:sz w:val="24"/>
          <w:szCs w:val="22"/>
        </w:rPr>
        <w:t> </w:t>
      </w:r>
      <w:r w:rsidR="00EB1E41" w:rsidRPr="007D6DD9">
        <w:rPr>
          <w:rFonts w:cs="Arial"/>
          <w:b/>
          <w:sz w:val="24"/>
          <w:szCs w:val="22"/>
        </w:rPr>
        <w:t>finansach publicznych</w:t>
      </w:r>
    </w:p>
    <w:bookmarkEnd w:id="3"/>
    <w:p w14:paraId="33709365" w14:textId="4C963426" w:rsidR="009E36E4" w:rsidRPr="00D76240" w:rsidRDefault="009E36E4" w:rsidP="00EB1E41">
      <w:pPr>
        <w:spacing w:before="240" w:after="120" w:line="360" w:lineRule="atLeast"/>
        <w:rPr>
          <w:rFonts w:ascii="Arial" w:hAnsi="Arial" w:cs="Arial"/>
        </w:rPr>
      </w:pPr>
      <w:r w:rsidRPr="00D76240">
        <w:rPr>
          <w:rFonts w:ascii="Arial" w:hAnsi="Arial" w:cs="Arial"/>
        </w:rPr>
        <w:t>W związku ze zmianami wydatków w poszczególnych częściach budżetu państwa dotyczącymi transferów do państwowych funduszy celowych oraz państwowych osób prawnych zmianie uległy również plany finansowe jednostek wymienionych poniżej:</w:t>
      </w:r>
    </w:p>
    <w:p w14:paraId="4555CE1A" w14:textId="6499A89C" w:rsidR="007D6DD9" w:rsidRPr="007D6DD9" w:rsidRDefault="00244674" w:rsidP="00433FDD">
      <w:pPr>
        <w:numPr>
          <w:ilvl w:val="0"/>
          <w:numId w:val="3"/>
        </w:numPr>
        <w:spacing w:before="120" w:after="120" w:line="360" w:lineRule="atLeast"/>
        <w:rPr>
          <w:rFonts w:ascii="Arial" w:hAnsi="Arial" w:cs="Arial"/>
        </w:rPr>
      </w:pPr>
      <w:r w:rsidRPr="00FE19C9">
        <w:rPr>
          <w:rFonts w:ascii="Arial" w:hAnsi="Arial" w:cs="Arial"/>
        </w:rPr>
        <w:t xml:space="preserve">Funduszu </w:t>
      </w:r>
      <w:proofErr w:type="spellStart"/>
      <w:r w:rsidRPr="00FE19C9">
        <w:rPr>
          <w:rFonts w:ascii="Arial" w:hAnsi="Arial" w:cs="Arial"/>
        </w:rPr>
        <w:t>Cyberbezpieczeństwa</w:t>
      </w:r>
      <w:proofErr w:type="spellEnd"/>
      <w:r w:rsidR="007D6DD9">
        <w:rPr>
          <w:rFonts w:ascii="Arial" w:hAnsi="Arial" w:cs="Arial"/>
        </w:rPr>
        <w:t xml:space="preserve"> (FC)</w:t>
      </w:r>
      <w:r w:rsidRPr="00FE19C9">
        <w:rPr>
          <w:rFonts w:ascii="Arial" w:hAnsi="Arial" w:cs="Arial"/>
        </w:rPr>
        <w:t xml:space="preserve"> </w:t>
      </w:r>
      <w:r w:rsidRPr="006B4386">
        <w:rPr>
          <w:rFonts w:ascii="Arial" w:hAnsi="Arial" w:cs="Arial"/>
        </w:rPr>
        <w:t>–</w:t>
      </w:r>
      <w:r>
        <w:rPr>
          <w:rFonts w:ascii="Arial" w:hAnsi="Arial" w:cs="Arial"/>
        </w:rPr>
        <w:t xml:space="preserve"> </w:t>
      </w:r>
      <w:r w:rsidR="007D6DD9" w:rsidRPr="007D6DD9">
        <w:rPr>
          <w:rFonts w:ascii="Arial" w:hAnsi="Arial" w:cs="Arial"/>
        </w:rPr>
        <w:t xml:space="preserve">w związku ze zwiększeniem dotacji z budżetu państwa z przeznaczeniem na finansowanie świadczenia teleinformatycznego dla osób realizujących zadania z zakresu </w:t>
      </w:r>
      <w:proofErr w:type="spellStart"/>
      <w:r w:rsidR="007D6DD9" w:rsidRPr="007D6DD9">
        <w:rPr>
          <w:rFonts w:ascii="Arial" w:hAnsi="Arial" w:cs="Arial"/>
        </w:rPr>
        <w:t>cyberbezpieczeństwa</w:t>
      </w:r>
      <w:proofErr w:type="spellEnd"/>
      <w:r w:rsidR="007D6DD9" w:rsidRPr="007D6DD9">
        <w:rPr>
          <w:rFonts w:ascii="Arial" w:hAnsi="Arial" w:cs="Arial"/>
        </w:rPr>
        <w:t>. Wzrost dotacji jest związany z</w:t>
      </w:r>
      <w:r w:rsidR="00F24CD2">
        <w:rPr>
          <w:rFonts w:ascii="Arial" w:hAnsi="Arial" w:cs="Arial"/>
        </w:rPr>
        <w:t> </w:t>
      </w:r>
      <w:r w:rsidR="007D6DD9" w:rsidRPr="007D6DD9">
        <w:rPr>
          <w:rFonts w:ascii="Arial" w:hAnsi="Arial" w:cs="Arial"/>
        </w:rPr>
        <w:t>większym zapotrzebowaniem na świadczenie teleinformatyczne i jest możliwy w</w:t>
      </w:r>
      <w:r w:rsidR="00206C6E">
        <w:rPr>
          <w:rFonts w:ascii="Arial" w:hAnsi="Arial" w:cs="Arial"/>
        </w:rPr>
        <w:t> </w:t>
      </w:r>
      <w:r w:rsidR="007D6DD9" w:rsidRPr="007D6DD9">
        <w:rPr>
          <w:rFonts w:ascii="Arial" w:hAnsi="Arial" w:cs="Arial"/>
        </w:rPr>
        <w:t xml:space="preserve">związku z nowelizacją ustawy z dnia 2 grudnia 2021 r. o szczególnych zasadach wynagradzania osób realizujących zadania z zakresu </w:t>
      </w:r>
      <w:proofErr w:type="spellStart"/>
      <w:r w:rsidR="007D6DD9" w:rsidRPr="007D6DD9">
        <w:rPr>
          <w:rFonts w:ascii="Arial" w:hAnsi="Arial" w:cs="Arial"/>
        </w:rPr>
        <w:t>cyberbezpieczeństwa</w:t>
      </w:r>
      <w:proofErr w:type="spellEnd"/>
      <w:r w:rsidR="007D6DD9" w:rsidRPr="007D6DD9">
        <w:rPr>
          <w:rFonts w:ascii="Arial" w:hAnsi="Arial" w:cs="Arial"/>
        </w:rPr>
        <w:t xml:space="preserve">, w której został zwiększony maksymalny limit wydatków z budżetu państwa. Zgodnie z art. 2 ust. 4 pkt 3 ww. ustawy przychodami Funduszu </w:t>
      </w:r>
      <w:proofErr w:type="spellStart"/>
      <w:r w:rsidR="007D6DD9" w:rsidRPr="007D6DD9">
        <w:rPr>
          <w:rFonts w:ascii="Arial" w:hAnsi="Arial" w:cs="Arial"/>
        </w:rPr>
        <w:t>Cyberbezpieczeństwa</w:t>
      </w:r>
      <w:proofErr w:type="spellEnd"/>
      <w:r w:rsidR="007D6DD9" w:rsidRPr="007D6DD9">
        <w:rPr>
          <w:rFonts w:ascii="Arial" w:hAnsi="Arial" w:cs="Arial"/>
        </w:rPr>
        <w:t xml:space="preserve"> są dotacje z budżetu państwa. Wobec powyższego zaktualizowano odpowiednie pozycje w ramach:</w:t>
      </w:r>
    </w:p>
    <w:p w14:paraId="07D0A3F9" w14:textId="75E64CA0" w:rsidR="007D6DD9" w:rsidRPr="007D6DD9" w:rsidRDefault="007D6DD9" w:rsidP="00433FDD">
      <w:pPr>
        <w:pStyle w:val="Akapitzlist"/>
        <w:numPr>
          <w:ilvl w:val="0"/>
          <w:numId w:val="9"/>
        </w:numPr>
        <w:spacing w:before="120" w:after="0"/>
        <w:ind w:left="851" w:hanging="425"/>
        <w:contextualSpacing w:val="0"/>
        <w:rPr>
          <w:rFonts w:cs="Arial"/>
        </w:rPr>
      </w:pPr>
      <w:r w:rsidRPr="007D6DD9">
        <w:rPr>
          <w:rFonts w:cs="Arial"/>
        </w:rPr>
        <w:t xml:space="preserve">zadania wynikającego z ustawy tworzącej fundusz celowy </w:t>
      </w:r>
      <w:r w:rsidR="00F62FE6">
        <w:rPr>
          <w:rFonts w:cs="Arial"/>
        </w:rPr>
        <w:t>–</w:t>
      </w:r>
      <w:r w:rsidRPr="007D6DD9">
        <w:rPr>
          <w:rFonts w:cs="Arial"/>
        </w:rPr>
        <w:t xml:space="preserve"> Wspieranie działań zmierzających do zapewnienia bezpieczeństwa systemów teleinformatycznych przed </w:t>
      </w:r>
      <w:proofErr w:type="spellStart"/>
      <w:r w:rsidRPr="007D6DD9">
        <w:rPr>
          <w:rFonts w:cs="Arial"/>
        </w:rPr>
        <w:t>cyberzagrożeniami</w:t>
      </w:r>
      <w:proofErr w:type="spellEnd"/>
      <w:r w:rsidRPr="007D6DD9">
        <w:rPr>
          <w:rFonts w:cs="Arial"/>
        </w:rPr>
        <w:t xml:space="preserve"> (świadczenie teleinformatyczne i koszty z nim związane),</w:t>
      </w:r>
    </w:p>
    <w:p w14:paraId="6A2F49D7" w14:textId="77777777" w:rsidR="007D6DD9" w:rsidRPr="007D6DD9" w:rsidRDefault="007D6DD9" w:rsidP="00433FDD">
      <w:pPr>
        <w:pStyle w:val="Akapitzlist"/>
        <w:numPr>
          <w:ilvl w:val="0"/>
          <w:numId w:val="9"/>
        </w:numPr>
        <w:spacing w:before="120" w:after="0"/>
        <w:ind w:left="851" w:hanging="425"/>
        <w:contextualSpacing w:val="0"/>
        <w:rPr>
          <w:rFonts w:cs="Arial"/>
        </w:rPr>
      </w:pPr>
      <w:r w:rsidRPr="007D6DD9">
        <w:rPr>
          <w:rFonts w:cs="Arial"/>
        </w:rPr>
        <w:t>strony przychodowej (dochodowej) i kosztowej (wydatkowej), w tym w zakresie dotacji z budżetu państwa dla państwowego funduszu celowego.</w:t>
      </w:r>
    </w:p>
    <w:p w14:paraId="3E27750A" w14:textId="1F167BCE" w:rsidR="006F5A98" w:rsidRPr="006F5A98" w:rsidRDefault="009E36E4" w:rsidP="00433FDD">
      <w:pPr>
        <w:numPr>
          <w:ilvl w:val="0"/>
          <w:numId w:val="3"/>
        </w:numPr>
        <w:spacing w:before="120" w:after="120" w:line="360" w:lineRule="atLeast"/>
        <w:ind w:left="426" w:hanging="426"/>
        <w:rPr>
          <w:rFonts w:ascii="Arial" w:hAnsi="Arial" w:cs="Arial"/>
        </w:rPr>
      </w:pPr>
      <w:r w:rsidRPr="006F5A98">
        <w:rPr>
          <w:rFonts w:ascii="Arial" w:hAnsi="Arial" w:cs="Arial"/>
        </w:rPr>
        <w:t xml:space="preserve">Funduszu </w:t>
      </w:r>
      <w:r w:rsidR="006B4386" w:rsidRPr="006F5A98">
        <w:rPr>
          <w:rFonts w:ascii="Arial" w:hAnsi="Arial" w:cs="Arial"/>
        </w:rPr>
        <w:t>Emerytalno-Rentowego</w:t>
      </w:r>
      <w:r w:rsidR="008610B1">
        <w:rPr>
          <w:rFonts w:ascii="Arial" w:hAnsi="Arial" w:cs="Arial"/>
        </w:rPr>
        <w:t xml:space="preserve"> (FER)</w:t>
      </w:r>
      <w:r w:rsidRPr="006F5A98">
        <w:rPr>
          <w:rFonts w:ascii="Arial" w:hAnsi="Arial" w:cs="Arial"/>
        </w:rPr>
        <w:t xml:space="preserve"> –</w:t>
      </w:r>
      <w:r w:rsidR="006B4386" w:rsidRPr="006F5A98">
        <w:rPr>
          <w:rFonts w:ascii="Arial" w:hAnsi="Arial" w:cs="Arial"/>
        </w:rPr>
        <w:t xml:space="preserve"> </w:t>
      </w:r>
      <w:bookmarkStart w:id="4" w:name="_Hlk180578778"/>
      <w:r w:rsidRPr="006F5A98">
        <w:rPr>
          <w:rFonts w:ascii="Arial" w:hAnsi="Arial" w:cs="Arial"/>
        </w:rPr>
        <w:t xml:space="preserve">w związku ze </w:t>
      </w:r>
      <w:r w:rsidR="006B4386" w:rsidRPr="006F5A98">
        <w:rPr>
          <w:rFonts w:ascii="Arial" w:hAnsi="Arial" w:cs="Arial"/>
        </w:rPr>
        <w:t>zwiększeniem</w:t>
      </w:r>
      <w:r w:rsidRPr="006F5A98">
        <w:rPr>
          <w:rFonts w:ascii="Arial" w:hAnsi="Arial" w:cs="Arial"/>
        </w:rPr>
        <w:t xml:space="preserve"> dotacji z</w:t>
      </w:r>
      <w:r w:rsidR="00F24CD2">
        <w:rPr>
          <w:rFonts w:ascii="Arial" w:hAnsi="Arial" w:cs="Arial"/>
        </w:rPr>
        <w:t> </w:t>
      </w:r>
      <w:r w:rsidRPr="006F5A98">
        <w:rPr>
          <w:rFonts w:ascii="Arial" w:hAnsi="Arial" w:cs="Arial"/>
        </w:rPr>
        <w:t xml:space="preserve">budżetu państwa </w:t>
      </w:r>
      <w:r w:rsidR="004714EF" w:rsidRPr="006F5A98">
        <w:rPr>
          <w:rFonts w:ascii="Arial" w:hAnsi="Arial" w:cs="Arial"/>
        </w:rPr>
        <w:t xml:space="preserve">przede wszystkim </w:t>
      </w:r>
      <w:r w:rsidRPr="006F5A98">
        <w:rPr>
          <w:rFonts w:ascii="Arial" w:hAnsi="Arial" w:cs="Arial"/>
        </w:rPr>
        <w:t xml:space="preserve">na skutek </w:t>
      </w:r>
      <w:r w:rsidR="006B4386" w:rsidRPr="006F5A98">
        <w:rPr>
          <w:rFonts w:ascii="Arial" w:hAnsi="Arial" w:cs="Arial"/>
        </w:rPr>
        <w:t xml:space="preserve">większej niż to pierwotnie </w:t>
      </w:r>
      <w:r w:rsidR="004714EF" w:rsidRPr="006F5A98">
        <w:rPr>
          <w:rFonts w:ascii="Arial" w:hAnsi="Arial" w:cs="Arial"/>
        </w:rPr>
        <w:t xml:space="preserve">planowano </w:t>
      </w:r>
      <w:bookmarkEnd w:id="4"/>
      <w:r w:rsidR="006F5A98" w:rsidRPr="006F5A98">
        <w:rPr>
          <w:rFonts w:ascii="Arial" w:hAnsi="Arial" w:cs="Arial"/>
        </w:rPr>
        <w:t xml:space="preserve">na etapie opracowywania projektu planu finansowego FER na 2024 rok liczby osób pobierających emeryturę rolniczą. Wzrost liczby świadczeniobiorców jest m.in. skutkiem funkcjonowania ustawy z dnia 28 kwietnia 2022 r. o zmianie ustawy o ubezpieczeniu społecznym rolników , która zniosła konieczność spełnienia warunku zaprzestania prowadzenia działalności rolniczej w celu uzyskania przedmiotowego świadczenia w warunkach utrzymującego się wyżu demograficznego wśród świadczeniobiorców. </w:t>
      </w:r>
      <w:r w:rsidR="006F5A98" w:rsidRPr="006F5A98">
        <w:rPr>
          <w:rFonts w:ascii="Arial" w:hAnsi="Arial" w:cs="Arial"/>
        </w:rPr>
        <w:br/>
        <w:t>Ponadto zaktualizowano odpowiednie pozycje w ramach:</w:t>
      </w:r>
    </w:p>
    <w:p w14:paraId="7E9BF680" w14:textId="3C98540B" w:rsidR="006F5A98" w:rsidRPr="00B21CFB" w:rsidRDefault="006F5A98" w:rsidP="00433FDD">
      <w:pPr>
        <w:pStyle w:val="Akapitzlist"/>
        <w:numPr>
          <w:ilvl w:val="0"/>
          <w:numId w:val="4"/>
        </w:numPr>
        <w:spacing w:before="120" w:after="0"/>
        <w:ind w:left="850" w:hanging="425"/>
        <w:contextualSpacing w:val="0"/>
        <w:jc w:val="left"/>
        <w:rPr>
          <w:rFonts w:cs="Arial"/>
        </w:rPr>
      </w:pPr>
      <w:r w:rsidRPr="00B21CFB">
        <w:rPr>
          <w:rFonts w:cs="Arial"/>
        </w:rPr>
        <w:t xml:space="preserve">stanu funduszu na początek roku w oparciu o faktyczne wykonanie FER na koniec 2023 roku oraz </w:t>
      </w:r>
    </w:p>
    <w:p w14:paraId="681F822E" w14:textId="1F64A9B7" w:rsidR="006F5A98" w:rsidRPr="00FE19C9" w:rsidRDefault="006F5A98" w:rsidP="00433FDD">
      <w:pPr>
        <w:pStyle w:val="Akapitzlist"/>
        <w:numPr>
          <w:ilvl w:val="0"/>
          <w:numId w:val="4"/>
        </w:numPr>
        <w:spacing w:before="120" w:after="0"/>
        <w:ind w:left="850" w:hanging="425"/>
        <w:contextualSpacing w:val="0"/>
        <w:jc w:val="left"/>
        <w:rPr>
          <w:rFonts w:cs="Arial"/>
        </w:rPr>
      </w:pPr>
      <w:r w:rsidRPr="00FE19C9">
        <w:rPr>
          <w:rFonts w:cs="Arial"/>
        </w:rPr>
        <w:t>strony przychodowej (dochodowej) i kosztowej (wydatkowej) w oparciu o ich przewidywane wykonanie w roku bieżącym.</w:t>
      </w:r>
    </w:p>
    <w:p w14:paraId="1335F886" w14:textId="2DB27C9A" w:rsidR="00F24CD2" w:rsidRDefault="009E36E4" w:rsidP="00433FDD">
      <w:pPr>
        <w:numPr>
          <w:ilvl w:val="0"/>
          <w:numId w:val="3"/>
        </w:numPr>
        <w:spacing w:before="120" w:after="0" w:line="360" w:lineRule="atLeast"/>
        <w:ind w:left="425" w:hanging="425"/>
        <w:rPr>
          <w:rFonts w:ascii="Arial" w:hAnsi="Arial" w:cs="Arial"/>
        </w:rPr>
      </w:pPr>
      <w:r w:rsidRPr="00FE19C9">
        <w:rPr>
          <w:rFonts w:ascii="Arial" w:hAnsi="Arial" w:cs="Arial"/>
        </w:rPr>
        <w:t>Polskiej Organizacji Turystycznej</w:t>
      </w:r>
      <w:r w:rsidR="008610B1">
        <w:rPr>
          <w:rFonts w:ascii="Arial" w:hAnsi="Arial" w:cs="Arial"/>
        </w:rPr>
        <w:t xml:space="preserve"> (POT)</w:t>
      </w:r>
      <w:r w:rsidRPr="00FE19C9">
        <w:rPr>
          <w:rFonts w:ascii="Arial" w:hAnsi="Arial" w:cs="Arial"/>
        </w:rPr>
        <w:t xml:space="preserve"> –</w:t>
      </w:r>
      <w:r w:rsidR="00FE19C9" w:rsidRPr="00FE19C9">
        <w:rPr>
          <w:rFonts w:ascii="Arial" w:hAnsi="Arial" w:cs="Arial"/>
        </w:rPr>
        <w:t xml:space="preserve"> w związku ze zwiększeniem dotacji podmiotowej z</w:t>
      </w:r>
      <w:r w:rsidR="00B327DA">
        <w:rPr>
          <w:rFonts w:ascii="Arial" w:hAnsi="Arial" w:cs="Arial"/>
        </w:rPr>
        <w:t> </w:t>
      </w:r>
      <w:r w:rsidR="00FE19C9" w:rsidRPr="00FE19C9">
        <w:rPr>
          <w:rFonts w:ascii="Arial" w:hAnsi="Arial" w:cs="Arial"/>
        </w:rPr>
        <w:t xml:space="preserve">budżetu państwa o 2.000 tys. zł z przeznaczaniem na realizację działań </w:t>
      </w:r>
      <w:r w:rsidR="00FE19C9" w:rsidRPr="00FE19C9">
        <w:rPr>
          <w:rFonts w:ascii="Arial" w:hAnsi="Arial" w:cs="Arial"/>
        </w:rPr>
        <w:lastRenderedPageBreak/>
        <w:t>związanych z</w:t>
      </w:r>
      <w:r w:rsidR="00B327DA">
        <w:rPr>
          <w:rFonts w:ascii="Arial" w:hAnsi="Arial" w:cs="Arial"/>
        </w:rPr>
        <w:t> </w:t>
      </w:r>
      <w:r w:rsidR="00FE19C9" w:rsidRPr="00FE19C9">
        <w:rPr>
          <w:rFonts w:ascii="Arial" w:hAnsi="Arial" w:cs="Arial"/>
        </w:rPr>
        <w:t>przeciwdziałaniem negatywnym skutkom powodzi w zakresie promowania atrakcyjności turystycznej i dostępności oferty turystycznej w części Polski dotkniętej powodzią z jednoczesnym zmniejszeniem o tę kwotę dotacji celowej. W myśl ustawy z</w:t>
      </w:r>
      <w:r w:rsidR="00B327DA">
        <w:rPr>
          <w:rFonts w:ascii="Arial" w:hAnsi="Arial" w:cs="Arial"/>
        </w:rPr>
        <w:t> </w:t>
      </w:r>
      <w:r w:rsidR="00FE19C9" w:rsidRPr="00FE19C9">
        <w:rPr>
          <w:rFonts w:ascii="Arial" w:hAnsi="Arial" w:cs="Arial"/>
        </w:rPr>
        <w:t xml:space="preserve">dnia 25 czerwca 1999 r. o Polskiej Organizacji Turystycznej </w:t>
      </w:r>
      <w:r w:rsidR="009758F9">
        <w:rPr>
          <w:rFonts w:ascii="Arial" w:hAnsi="Arial" w:cs="Arial"/>
        </w:rPr>
        <w:t xml:space="preserve">(Dz. U. z 2024 r. poz. 1541) </w:t>
      </w:r>
      <w:r w:rsidR="00FE19C9" w:rsidRPr="00FE19C9">
        <w:rPr>
          <w:rFonts w:ascii="Arial" w:hAnsi="Arial" w:cs="Arial"/>
        </w:rPr>
        <w:t>POT może otrzymywać z</w:t>
      </w:r>
      <w:r w:rsidR="00B327DA">
        <w:rPr>
          <w:rFonts w:ascii="Arial" w:hAnsi="Arial" w:cs="Arial"/>
        </w:rPr>
        <w:t> </w:t>
      </w:r>
      <w:r w:rsidR="00FE19C9" w:rsidRPr="00FE19C9">
        <w:rPr>
          <w:rFonts w:ascii="Arial" w:hAnsi="Arial" w:cs="Arial"/>
        </w:rPr>
        <w:t xml:space="preserve">budżetu państwa dotacje podmiotowe. </w:t>
      </w:r>
    </w:p>
    <w:p w14:paraId="47F40E49" w14:textId="78D4DB09" w:rsidR="00F24CD2" w:rsidRDefault="00F24CD2" w:rsidP="00F24CD2">
      <w:pPr>
        <w:spacing w:before="120" w:after="0" w:line="360" w:lineRule="atLeast"/>
        <w:rPr>
          <w:rFonts w:ascii="Arial" w:hAnsi="Arial" w:cs="Arial"/>
        </w:rPr>
      </w:pPr>
    </w:p>
    <w:p w14:paraId="18E3E447" w14:textId="79B942F1" w:rsidR="00F24CD2" w:rsidRDefault="00F24CD2" w:rsidP="00F24CD2">
      <w:pPr>
        <w:spacing w:before="120" w:after="0" w:line="360" w:lineRule="atLeast"/>
        <w:rPr>
          <w:rFonts w:ascii="Arial" w:hAnsi="Arial" w:cs="Arial"/>
        </w:rPr>
      </w:pPr>
    </w:p>
    <w:p w14:paraId="534A1EDF" w14:textId="5D8F2CA6" w:rsidR="00F24CD2" w:rsidRDefault="00F24CD2" w:rsidP="00F24CD2">
      <w:pPr>
        <w:spacing w:before="120" w:after="0" w:line="360" w:lineRule="atLeast"/>
        <w:rPr>
          <w:rFonts w:ascii="Arial" w:hAnsi="Arial" w:cs="Arial"/>
        </w:rPr>
      </w:pPr>
    </w:p>
    <w:p w14:paraId="58B0BBC3" w14:textId="0F20116B" w:rsidR="00F24CD2" w:rsidRDefault="00F24CD2" w:rsidP="00F24CD2">
      <w:pPr>
        <w:spacing w:before="120" w:after="0" w:line="360" w:lineRule="atLeast"/>
        <w:rPr>
          <w:rFonts w:ascii="Arial" w:hAnsi="Arial" w:cs="Arial"/>
        </w:rPr>
      </w:pPr>
    </w:p>
    <w:p w14:paraId="5C48E6B9" w14:textId="73C83187" w:rsidR="00F24CD2" w:rsidRDefault="00F24CD2" w:rsidP="00F24CD2">
      <w:pPr>
        <w:spacing w:before="120" w:after="0" w:line="360" w:lineRule="atLeast"/>
        <w:rPr>
          <w:rFonts w:ascii="Arial" w:hAnsi="Arial" w:cs="Arial"/>
        </w:rPr>
      </w:pPr>
    </w:p>
    <w:p w14:paraId="6220FE94" w14:textId="26D35B65" w:rsidR="00F24CD2" w:rsidRDefault="00F24CD2" w:rsidP="00F24CD2">
      <w:pPr>
        <w:spacing w:before="120" w:after="0" w:line="360" w:lineRule="atLeast"/>
        <w:rPr>
          <w:rFonts w:ascii="Arial" w:hAnsi="Arial" w:cs="Arial"/>
        </w:rPr>
      </w:pPr>
    </w:p>
    <w:p w14:paraId="1565ED30" w14:textId="02490676" w:rsidR="00F24CD2" w:rsidRDefault="00F24CD2" w:rsidP="00F24CD2">
      <w:pPr>
        <w:spacing w:before="120" w:after="0" w:line="360" w:lineRule="atLeast"/>
        <w:rPr>
          <w:rFonts w:ascii="Arial" w:hAnsi="Arial" w:cs="Arial"/>
        </w:rPr>
      </w:pPr>
    </w:p>
    <w:p w14:paraId="46897CF0" w14:textId="238AD324" w:rsidR="00F24CD2" w:rsidRDefault="00F24CD2" w:rsidP="00F24CD2">
      <w:pPr>
        <w:spacing w:before="120" w:after="0" w:line="360" w:lineRule="atLeast"/>
        <w:rPr>
          <w:rFonts w:ascii="Arial" w:hAnsi="Arial" w:cs="Arial"/>
        </w:rPr>
      </w:pPr>
    </w:p>
    <w:p w14:paraId="1FD2CF4B" w14:textId="75672119" w:rsidR="00F24CD2" w:rsidRDefault="00F24CD2" w:rsidP="00F24CD2">
      <w:pPr>
        <w:spacing w:before="120" w:after="0" w:line="360" w:lineRule="atLeast"/>
        <w:rPr>
          <w:rFonts w:ascii="Arial" w:hAnsi="Arial" w:cs="Arial"/>
        </w:rPr>
      </w:pPr>
    </w:p>
    <w:p w14:paraId="106DA669" w14:textId="5995B407" w:rsidR="00F24CD2" w:rsidRDefault="00F24CD2" w:rsidP="00F24CD2">
      <w:pPr>
        <w:spacing w:before="120" w:after="0" w:line="360" w:lineRule="atLeast"/>
        <w:rPr>
          <w:rFonts w:ascii="Arial" w:hAnsi="Arial" w:cs="Arial"/>
        </w:rPr>
      </w:pPr>
    </w:p>
    <w:p w14:paraId="5F285EFC" w14:textId="2AD0DFB6" w:rsidR="00F24CD2" w:rsidRDefault="00F24CD2" w:rsidP="00F24CD2">
      <w:pPr>
        <w:spacing w:before="120" w:after="0" w:line="360" w:lineRule="atLeast"/>
        <w:rPr>
          <w:rFonts w:ascii="Arial" w:hAnsi="Arial" w:cs="Arial"/>
        </w:rPr>
      </w:pPr>
    </w:p>
    <w:p w14:paraId="2A230DC1" w14:textId="1DD36747" w:rsidR="00F24CD2" w:rsidRDefault="00F24CD2" w:rsidP="00F24CD2">
      <w:pPr>
        <w:spacing w:before="120" w:after="0" w:line="360" w:lineRule="atLeast"/>
        <w:rPr>
          <w:rFonts w:ascii="Arial" w:hAnsi="Arial" w:cs="Arial"/>
        </w:rPr>
      </w:pPr>
    </w:p>
    <w:p w14:paraId="522DD12E" w14:textId="42BEA901" w:rsidR="00F24CD2" w:rsidRDefault="00F24CD2" w:rsidP="00F24CD2">
      <w:pPr>
        <w:spacing w:before="120" w:after="0" w:line="360" w:lineRule="atLeast"/>
        <w:rPr>
          <w:rFonts w:ascii="Arial" w:hAnsi="Arial" w:cs="Arial"/>
        </w:rPr>
      </w:pPr>
    </w:p>
    <w:p w14:paraId="2766564B" w14:textId="1C09474D" w:rsidR="00F24CD2" w:rsidRDefault="00F24CD2" w:rsidP="00F24CD2">
      <w:pPr>
        <w:spacing w:before="120" w:after="0" w:line="360" w:lineRule="atLeast"/>
        <w:rPr>
          <w:rFonts w:ascii="Arial" w:hAnsi="Arial" w:cs="Arial"/>
        </w:rPr>
      </w:pPr>
    </w:p>
    <w:p w14:paraId="2B011676" w14:textId="63C77D43" w:rsidR="00F24CD2" w:rsidRDefault="00F24CD2" w:rsidP="00F24CD2">
      <w:pPr>
        <w:spacing w:before="120" w:after="0" w:line="360" w:lineRule="atLeast"/>
        <w:rPr>
          <w:rFonts w:ascii="Arial" w:hAnsi="Arial" w:cs="Arial"/>
        </w:rPr>
      </w:pPr>
    </w:p>
    <w:p w14:paraId="29EA94BD" w14:textId="77777777" w:rsidR="00F24CD2" w:rsidRDefault="00F24CD2" w:rsidP="00F24CD2">
      <w:pPr>
        <w:spacing w:before="120" w:after="0" w:line="360" w:lineRule="atLeast"/>
        <w:rPr>
          <w:rFonts w:ascii="Arial" w:hAnsi="Arial" w:cs="Arial"/>
        </w:rPr>
      </w:pPr>
    </w:p>
    <w:p w14:paraId="02AA0ED5" w14:textId="163A4EFB" w:rsidR="00F24CD2" w:rsidRDefault="00F24CD2" w:rsidP="00F24CD2">
      <w:pPr>
        <w:spacing w:before="120" w:after="0" w:line="360" w:lineRule="atLeast"/>
        <w:rPr>
          <w:rFonts w:ascii="Arial" w:hAnsi="Arial" w:cs="Arial"/>
        </w:rPr>
      </w:pPr>
    </w:p>
    <w:p w14:paraId="55F4A3A9" w14:textId="2537783E" w:rsidR="00434362" w:rsidRDefault="00434362" w:rsidP="00F24CD2">
      <w:pPr>
        <w:spacing w:before="120" w:after="0" w:line="360" w:lineRule="atLeast"/>
        <w:rPr>
          <w:rFonts w:ascii="Arial" w:hAnsi="Arial" w:cs="Arial"/>
        </w:rPr>
      </w:pPr>
    </w:p>
    <w:p w14:paraId="5C0CA0F0" w14:textId="6B86FCCA" w:rsidR="00434362" w:rsidRDefault="00434362" w:rsidP="00F24CD2">
      <w:pPr>
        <w:spacing w:before="120" w:after="0" w:line="360" w:lineRule="atLeast"/>
        <w:rPr>
          <w:rFonts w:ascii="Arial" w:hAnsi="Arial" w:cs="Arial"/>
        </w:rPr>
      </w:pPr>
    </w:p>
    <w:p w14:paraId="349CB6E9" w14:textId="7B21E747" w:rsidR="00434362" w:rsidRDefault="00434362" w:rsidP="00F24CD2">
      <w:pPr>
        <w:spacing w:before="120" w:after="0" w:line="360" w:lineRule="atLeast"/>
        <w:rPr>
          <w:rFonts w:ascii="Arial" w:hAnsi="Arial" w:cs="Arial"/>
        </w:rPr>
      </w:pPr>
    </w:p>
    <w:p w14:paraId="5EB27871" w14:textId="7FC36562" w:rsidR="00434362" w:rsidRDefault="00434362" w:rsidP="00F24CD2">
      <w:pPr>
        <w:spacing w:before="120" w:after="0" w:line="360" w:lineRule="atLeast"/>
        <w:rPr>
          <w:rFonts w:ascii="Arial" w:hAnsi="Arial" w:cs="Arial"/>
        </w:rPr>
      </w:pPr>
    </w:p>
    <w:p w14:paraId="061554BF" w14:textId="7B60C57A" w:rsidR="00434362" w:rsidRDefault="00434362" w:rsidP="00F24CD2">
      <w:pPr>
        <w:spacing w:before="120" w:after="0" w:line="360" w:lineRule="atLeast"/>
        <w:rPr>
          <w:rFonts w:ascii="Arial" w:hAnsi="Arial" w:cs="Arial"/>
        </w:rPr>
      </w:pPr>
    </w:p>
    <w:p w14:paraId="4A84CBF6" w14:textId="77777777" w:rsidR="00434362" w:rsidRPr="00F24CD2" w:rsidRDefault="00434362" w:rsidP="00F24CD2">
      <w:pPr>
        <w:spacing w:before="120" w:after="0" w:line="360" w:lineRule="atLeast"/>
        <w:rPr>
          <w:rFonts w:ascii="Arial" w:hAnsi="Arial" w:cs="Arial"/>
        </w:rPr>
      </w:pPr>
    </w:p>
    <w:p w14:paraId="676410A8" w14:textId="77777777" w:rsidR="00C57672" w:rsidRPr="00D76240" w:rsidRDefault="003B6004" w:rsidP="00291F2A">
      <w:pPr>
        <w:pStyle w:val="Akapitzlist"/>
        <w:keepNext/>
        <w:keepLines/>
        <w:numPr>
          <w:ilvl w:val="0"/>
          <w:numId w:val="2"/>
        </w:numPr>
        <w:ind w:left="425" w:hanging="425"/>
        <w:jc w:val="left"/>
        <w:rPr>
          <w:rFonts w:cs="Arial"/>
          <w:b/>
          <w:sz w:val="24"/>
          <w:szCs w:val="24"/>
        </w:rPr>
      </w:pPr>
      <w:r w:rsidRPr="00D76240">
        <w:rPr>
          <w:rFonts w:cs="Arial"/>
          <w:b/>
          <w:sz w:val="24"/>
          <w:szCs w:val="24"/>
        </w:rPr>
        <w:lastRenderedPageBreak/>
        <w:t>Finansowanie potrzeb pożyczkowych budżetu państwa</w:t>
      </w:r>
    </w:p>
    <w:p w14:paraId="71999059" w14:textId="3EBBAC6D" w:rsidR="00AD714C" w:rsidRPr="00AD714C" w:rsidRDefault="00AD714C" w:rsidP="00AD714C">
      <w:pPr>
        <w:spacing w:before="120" w:after="120" w:line="340" w:lineRule="atLeast"/>
        <w:rPr>
          <w:rFonts w:ascii="Arial" w:eastAsia="Times New Roman" w:hAnsi="Arial" w:cs="Arial"/>
          <w:lang w:eastAsia="pl-PL"/>
        </w:rPr>
      </w:pPr>
      <w:r w:rsidRPr="00AD714C">
        <w:rPr>
          <w:rFonts w:ascii="Arial" w:eastAsia="Times New Roman" w:hAnsi="Arial" w:cs="Arial"/>
          <w:lang w:eastAsia="pl-PL"/>
        </w:rPr>
        <w:t>W 2024 r. limit deficytu budżetu państwa wyniesie 240.300,0 mln zł wobec planowanej w</w:t>
      </w:r>
      <w:r w:rsidR="00251DC7">
        <w:rPr>
          <w:rFonts w:ascii="Arial" w:eastAsia="Times New Roman" w:hAnsi="Arial" w:cs="Arial"/>
          <w:lang w:eastAsia="pl-PL"/>
        </w:rPr>
        <w:t> </w:t>
      </w:r>
      <w:r w:rsidRPr="00AD714C">
        <w:rPr>
          <w:rFonts w:ascii="Arial" w:eastAsia="Times New Roman" w:hAnsi="Arial" w:cs="Arial"/>
          <w:lang w:eastAsia="pl-PL"/>
        </w:rPr>
        <w:t>ustawie kwoty 184.000,0 mln zł. Założenia o pozostałych potrzebach pożyczkowych netto nie zostały zmienione w stosunku do pierwotnej ustawy, gdzie zostały założone w łącznej wysokości 68.271,5 mln zł, w tym deficyt budżetu środków europejskich w kwocie 32.508,4 mln zł.</w:t>
      </w:r>
    </w:p>
    <w:p w14:paraId="2B43954D" w14:textId="3ADD0B67" w:rsidR="00AD714C" w:rsidRPr="00AD714C" w:rsidRDefault="00AD714C" w:rsidP="00AD714C">
      <w:pPr>
        <w:spacing w:before="120" w:after="120" w:line="340" w:lineRule="atLeast"/>
        <w:rPr>
          <w:rFonts w:ascii="Arial" w:eastAsia="Times New Roman" w:hAnsi="Arial" w:cs="Arial"/>
          <w:lang w:eastAsia="pl-PL"/>
        </w:rPr>
      </w:pPr>
      <w:r w:rsidRPr="00AD714C">
        <w:rPr>
          <w:rFonts w:ascii="Arial" w:eastAsia="Times New Roman" w:hAnsi="Arial" w:cs="Arial"/>
          <w:lang w:eastAsia="pl-PL"/>
        </w:rPr>
        <w:t>Planuje się, że łączne potrzeby pożyczkowe netto w kwocie 308.571,5 mln zł (wobec 252.271,5 mln zł w ustawie) zostaną sfinansowane następująco:</w:t>
      </w:r>
    </w:p>
    <w:p w14:paraId="5AC38543" w14:textId="77777777" w:rsidR="00AD714C" w:rsidRPr="00AD714C" w:rsidRDefault="00AD714C" w:rsidP="00433FDD">
      <w:pPr>
        <w:pStyle w:val="Akapitzlist"/>
        <w:numPr>
          <w:ilvl w:val="0"/>
          <w:numId w:val="12"/>
        </w:numPr>
        <w:spacing w:before="120" w:line="340" w:lineRule="atLeast"/>
        <w:ind w:left="426" w:hanging="426"/>
        <w:jc w:val="left"/>
        <w:rPr>
          <w:rFonts w:cs="Arial"/>
        </w:rPr>
      </w:pPr>
      <w:r w:rsidRPr="00AD714C">
        <w:rPr>
          <w:rFonts w:cs="Arial"/>
        </w:rPr>
        <w:t>finansowanie krajowe ukształtuje się na poziomie 203.910,3 mln zł (w ustawie 148.808,1 mln zł),</w:t>
      </w:r>
    </w:p>
    <w:p w14:paraId="19DC3076" w14:textId="77777777" w:rsidR="00AD714C" w:rsidRPr="00AD714C" w:rsidRDefault="00AD714C" w:rsidP="00433FDD">
      <w:pPr>
        <w:pStyle w:val="Akapitzlist"/>
        <w:numPr>
          <w:ilvl w:val="0"/>
          <w:numId w:val="12"/>
        </w:numPr>
        <w:spacing w:before="120" w:line="340" w:lineRule="atLeast"/>
        <w:ind w:left="426" w:hanging="426"/>
        <w:jc w:val="left"/>
        <w:rPr>
          <w:rFonts w:cs="Arial"/>
        </w:rPr>
      </w:pPr>
      <w:r w:rsidRPr="00AD714C">
        <w:rPr>
          <w:rFonts w:cs="Arial"/>
        </w:rPr>
        <w:t>finansowanie zagraniczne wyniesie 104.661,2 mln zł (w ustawie 103.463,4 mln zł).</w:t>
      </w:r>
    </w:p>
    <w:p w14:paraId="2F3BDF88" w14:textId="77777777" w:rsidR="00AD714C" w:rsidRPr="00AD714C" w:rsidRDefault="00AD714C" w:rsidP="00AD714C">
      <w:pPr>
        <w:spacing w:before="120" w:after="120" w:line="340" w:lineRule="atLeast"/>
        <w:rPr>
          <w:rFonts w:ascii="Arial" w:eastAsia="Times New Roman" w:hAnsi="Arial" w:cs="Arial"/>
          <w:lang w:eastAsia="pl-PL"/>
        </w:rPr>
      </w:pPr>
      <w:r w:rsidRPr="00AD714C">
        <w:rPr>
          <w:rFonts w:ascii="Arial" w:eastAsia="Times New Roman" w:hAnsi="Arial" w:cs="Arial"/>
          <w:lang w:eastAsia="pl-PL"/>
        </w:rPr>
        <w:t xml:space="preserve">Najważniejsze zmiany w finansowaniu dotyczą następujących wielkości: </w:t>
      </w:r>
    </w:p>
    <w:p w14:paraId="26FB34E2" w14:textId="77777777" w:rsidR="00AD714C" w:rsidRPr="00AD714C" w:rsidRDefault="00AD714C" w:rsidP="00433FDD">
      <w:pPr>
        <w:pStyle w:val="Akapitzlist"/>
        <w:numPr>
          <w:ilvl w:val="0"/>
          <w:numId w:val="11"/>
        </w:numPr>
        <w:spacing w:before="120" w:line="340" w:lineRule="atLeast"/>
        <w:ind w:left="426" w:hanging="426"/>
        <w:jc w:val="left"/>
        <w:rPr>
          <w:rFonts w:cs="Arial"/>
        </w:rPr>
      </w:pPr>
      <w:r w:rsidRPr="00AD714C">
        <w:rPr>
          <w:rFonts w:cs="Arial"/>
        </w:rPr>
        <w:t>zwiększenia finansowania krajowego o 55.102,2 mln zł w efekcie zwiększenia finansowania w skarbowych papierach wartościowych (o 11.032,7 mln zł) i wzrostu salda środków na rachunkach złotowych budżetu państwa (o 44.069,5 mln zł),</w:t>
      </w:r>
    </w:p>
    <w:p w14:paraId="0E2878BA" w14:textId="46B37069" w:rsidR="00AD714C" w:rsidRPr="00AD714C" w:rsidRDefault="00AD714C" w:rsidP="00433FDD">
      <w:pPr>
        <w:pStyle w:val="Akapitzlist"/>
        <w:numPr>
          <w:ilvl w:val="0"/>
          <w:numId w:val="11"/>
        </w:numPr>
        <w:spacing w:before="120" w:line="340" w:lineRule="atLeast"/>
        <w:ind w:left="426" w:hanging="426"/>
        <w:jc w:val="left"/>
        <w:rPr>
          <w:rFonts w:cs="Arial"/>
        </w:rPr>
      </w:pPr>
      <w:r w:rsidRPr="00AD714C">
        <w:rPr>
          <w:rFonts w:cs="Arial"/>
        </w:rPr>
        <w:t>zwiększenia finansowania zagranicznego o 1.197,8 mln zł w efekcie zmniejszenia finansowania w instrumentach dłużnych (obligacje na rynkach zagranicznych, kredyty w</w:t>
      </w:r>
      <w:r w:rsidR="00251DC7">
        <w:rPr>
          <w:rFonts w:cs="Arial"/>
        </w:rPr>
        <w:t> </w:t>
      </w:r>
      <w:r w:rsidRPr="00AD714C">
        <w:rPr>
          <w:rFonts w:cs="Arial"/>
        </w:rPr>
        <w:t>międzynarodowych instytucjach finansowych, pożyczka z Unii Europejskiej w ramach części zwrotnej Europejskiego Instrumentu na Rzecz Odbudowy i Zwiększenia Odporności) o 2.701,4 mln zł i większego wykorzystania zgromadzonych środków walutowych (saldo wyższe o 3.899,2 mln zł).</w:t>
      </w:r>
    </w:p>
    <w:p w14:paraId="6A98508C" w14:textId="4A8CAB06" w:rsidR="00F24475" w:rsidRPr="00D76240" w:rsidRDefault="00F24475" w:rsidP="00AD714C">
      <w:pPr>
        <w:spacing w:before="120" w:after="120" w:line="340" w:lineRule="atLeast"/>
        <w:rPr>
          <w:rFonts w:cs="Arial"/>
        </w:rPr>
      </w:pPr>
    </w:p>
    <w:sectPr w:rsidR="00F24475" w:rsidRPr="00D762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D7978" w14:textId="77777777" w:rsidR="00197176" w:rsidRDefault="00197176" w:rsidP="00EF7560">
      <w:pPr>
        <w:spacing w:after="0" w:line="240" w:lineRule="auto"/>
      </w:pPr>
      <w:r>
        <w:separator/>
      </w:r>
    </w:p>
  </w:endnote>
  <w:endnote w:type="continuationSeparator" w:id="0">
    <w:p w14:paraId="7F88C459" w14:textId="77777777" w:rsidR="00197176" w:rsidRDefault="00197176" w:rsidP="00EF7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E3A76" w14:textId="77777777" w:rsidR="0001613A" w:rsidRDefault="0001613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BD593BD" w14:textId="77777777" w:rsidR="0001613A" w:rsidRDefault="0001613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2853155"/>
      <w:docPartObj>
        <w:docPartGallery w:val="Page Numbers (Bottom of Page)"/>
        <w:docPartUnique/>
      </w:docPartObj>
    </w:sdtPr>
    <w:sdtEndPr>
      <w:rPr>
        <w:sz w:val="20"/>
      </w:rPr>
    </w:sdtEndPr>
    <w:sdtContent>
      <w:p w14:paraId="0A392E29" w14:textId="77777777" w:rsidR="0001613A" w:rsidRPr="001D23AD" w:rsidRDefault="0001613A">
        <w:pPr>
          <w:pStyle w:val="Stopka"/>
          <w:rPr>
            <w:sz w:val="20"/>
          </w:rPr>
        </w:pPr>
        <w:r w:rsidRPr="001D23AD">
          <w:rPr>
            <w:sz w:val="20"/>
          </w:rPr>
          <w:fldChar w:fldCharType="begin"/>
        </w:r>
        <w:r w:rsidRPr="001D23AD">
          <w:rPr>
            <w:sz w:val="20"/>
          </w:rPr>
          <w:instrText>PAGE   \* MERGEFORMAT</w:instrText>
        </w:r>
        <w:r w:rsidRPr="001D23AD">
          <w:rPr>
            <w:sz w:val="20"/>
          </w:rPr>
          <w:fldChar w:fldCharType="separate"/>
        </w:r>
        <w:r>
          <w:rPr>
            <w:noProof/>
            <w:sz w:val="20"/>
          </w:rPr>
          <w:t>2</w:t>
        </w:r>
        <w:r w:rsidRPr="001D23AD">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7247936"/>
      <w:docPartObj>
        <w:docPartGallery w:val="Page Numbers (Bottom of Page)"/>
        <w:docPartUnique/>
      </w:docPartObj>
    </w:sdtPr>
    <w:sdtContent>
      <w:p w14:paraId="44174D0F" w14:textId="77777777" w:rsidR="0001613A" w:rsidRDefault="0001613A">
        <w:pPr>
          <w:pStyle w:val="Stopka"/>
        </w:pPr>
        <w:r>
          <w:fldChar w:fldCharType="begin"/>
        </w:r>
        <w:r>
          <w:instrText>PAGE   \* MERGEFORMAT</w:instrText>
        </w:r>
        <w:r>
          <w:fldChar w:fldCharType="separate"/>
        </w:r>
        <w:r w:rsidR="00481697">
          <w:rPr>
            <w:noProof/>
          </w:rPr>
          <w:t>24</w:t>
        </w:r>
        <w:r>
          <w:fldChar w:fldCharType="end"/>
        </w:r>
      </w:p>
    </w:sdtContent>
  </w:sdt>
  <w:p w14:paraId="4CF40ED7" w14:textId="77777777" w:rsidR="0001613A" w:rsidRPr="001D23AD" w:rsidRDefault="0001613A">
    <w:pPr>
      <w:pStyle w:val="Stopka"/>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40E81" w14:textId="77777777" w:rsidR="00197176" w:rsidRDefault="00197176" w:rsidP="00EF7560">
      <w:pPr>
        <w:spacing w:after="0" w:line="240" w:lineRule="auto"/>
      </w:pPr>
      <w:r>
        <w:separator/>
      </w:r>
    </w:p>
  </w:footnote>
  <w:footnote w:type="continuationSeparator" w:id="0">
    <w:p w14:paraId="3080442B" w14:textId="77777777" w:rsidR="00197176" w:rsidRDefault="00197176" w:rsidP="00EF75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473F"/>
    <w:multiLevelType w:val="hybridMultilevel"/>
    <w:tmpl w:val="24B235FA"/>
    <w:lvl w:ilvl="0" w:tplc="F6F84108">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 w15:restartNumberingAfterBreak="0">
    <w:nsid w:val="0531605D"/>
    <w:multiLevelType w:val="hybridMultilevel"/>
    <w:tmpl w:val="1F0A40B2"/>
    <w:lvl w:ilvl="0" w:tplc="5D9224F6">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F442442"/>
    <w:multiLevelType w:val="hybridMultilevel"/>
    <w:tmpl w:val="6930D920"/>
    <w:lvl w:ilvl="0" w:tplc="F6F84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F1C666B"/>
    <w:multiLevelType w:val="hybridMultilevel"/>
    <w:tmpl w:val="352C6356"/>
    <w:lvl w:ilvl="0" w:tplc="F6F84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BA95D81"/>
    <w:multiLevelType w:val="hybridMultilevel"/>
    <w:tmpl w:val="CDE8C962"/>
    <w:lvl w:ilvl="0" w:tplc="F6F84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7C90EAB"/>
    <w:multiLevelType w:val="hybridMultilevel"/>
    <w:tmpl w:val="CEBEF372"/>
    <w:lvl w:ilvl="0" w:tplc="F6F84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1BD68CA"/>
    <w:multiLevelType w:val="hybridMultilevel"/>
    <w:tmpl w:val="094C17CC"/>
    <w:lvl w:ilvl="0" w:tplc="F6F84108">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7" w15:restartNumberingAfterBreak="0">
    <w:nsid w:val="62465739"/>
    <w:multiLevelType w:val="hybridMultilevel"/>
    <w:tmpl w:val="B73E4D80"/>
    <w:lvl w:ilvl="0" w:tplc="A4BA20E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 w15:restartNumberingAfterBreak="0">
    <w:nsid w:val="67381FCB"/>
    <w:multiLevelType w:val="hybridMultilevel"/>
    <w:tmpl w:val="E2D45D08"/>
    <w:lvl w:ilvl="0" w:tplc="F6F8410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9" w15:restartNumberingAfterBreak="0">
    <w:nsid w:val="69D43534"/>
    <w:multiLevelType w:val="hybridMultilevel"/>
    <w:tmpl w:val="AC7A6F2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DCF7C7E"/>
    <w:multiLevelType w:val="hybridMultilevel"/>
    <w:tmpl w:val="674C5D2A"/>
    <w:lvl w:ilvl="0" w:tplc="F6F841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78AC3AC8"/>
    <w:multiLevelType w:val="hybridMultilevel"/>
    <w:tmpl w:val="5784E986"/>
    <w:lvl w:ilvl="0" w:tplc="4E986E6A">
      <w:start w:val="1"/>
      <w:numFmt w:val="decimal"/>
      <w:lvlText w:val="%1."/>
      <w:lvlJc w:val="left"/>
      <w:pPr>
        <w:ind w:left="10673" w:hanging="4860"/>
      </w:pPr>
      <w:rPr>
        <w:rFonts w:ascii="Arial" w:hAnsi="Aria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F663C59"/>
    <w:multiLevelType w:val="hybridMultilevel"/>
    <w:tmpl w:val="D1E86AAA"/>
    <w:lvl w:ilvl="0" w:tplc="F6F84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82961979">
    <w:abstractNumId w:val="11"/>
  </w:num>
  <w:num w:numId="2" w16cid:durableId="2009166948">
    <w:abstractNumId w:val="1"/>
  </w:num>
  <w:num w:numId="3" w16cid:durableId="2044934987">
    <w:abstractNumId w:val="7"/>
  </w:num>
  <w:num w:numId="4" w16cid:durableId="713384886">
    <w:abstractNumId w:val="8"/>
  </w:num>
  <w:num w:numId="5" w16cid:durableId="1083987418">
    <w:abstractNumId w:val="6"/>
  </w:num>
  <w:num w:numId="6" w16cid:durableId="1657303330">
    <w:abstractNumId w:val="10"/>
  </w:num>
  <w:num w:numId="7" w16cid:durableId="2124375000">
    <w:abstractNumId w:val="9"/>
  </w:num>
  <w:num w:numId="8" w16cid:durableId="957298686">
    <w:abstractNumId w:val="12"/>
  </w:num>
  <w:num w:numId="9" w16cid:durableId="1972131450">
    <w:abstractNumId w:val="0"/>
  </w:num>
  <w:num w:numId="10" w16cid:durableId="974142688">
    <w:abstractNumId w:val="4"/>
  </w:num>
  <w:num w:numId="11" w16cid:durableId="175121229">
    <w:abstractNumId w:val="5"/>
  </w:num>
  <w:num w:numId="12" w16cid:durableId="1877816845">
    <w:abstractNumId w:val="2"/>
  </w:num>
  <w:num w:numId="13" w16cid:durableId="37004025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560"/>
    <w:rsid w:val="0001613A"/>
    <w:rsid w:val="000432AC"/>
    <w:rsid w:val="0004610B"/>
    <w:rsid w:val="000B666B"/>
    <w:rsid w:val="000B75A6"/>
    <w:rsid w:val="000C3D5C"/>
    <w:rsid w:val="000D4F5F"/>
    <w:rsid w:val="000D6CDD"/>
    <w:rsid w:val="000D7228"/>
    <w:rsid w:val="000E0465"/>
    <w:rsid w:val="000E620C"/>
    <w:rsid w:val="000F66BD"/>
    <w:rsid w:val="001140B1"/>
    <w:rsid w:val="00150772"/>
    <w:rsid w:val="001508E2"/>
    <w:rsid w:val="001521D7"/>
    <w:rsid w:val="00161B02"/>
    <w:rsid w:val="00164C8E"/>
    <w:rsid w:val="00171C18"/>
    <w:rsid w:val="00182E70"/>
    <w:rsid w:val="0018402C"/>
    <w:rsid w:val="00194A31"/>
    <w:rsid w:val="00197176"/>
    <w:rsid w:val="001A1F77"/>
    <w:rsid w:val="001B1BEB"/>
    <w:rsid w:val="001B79A1"/>
    <w:rsid w:val="001E0BCB"/>
    <w:rsid w:val="001E2EF3"/>
    <w:rsid w:val="00205E45"/>
    <w:rsid w:val="00206C6E"/>
    <w:rsid w:val="00225691"/>
    <w:rsid w:val="002267A4"/>
    <w:rsid w:val="002377AE"/>
    <w:rsid w:val="002431A4"/>
    <w:rsid w:val="00244674"/>
    <w:rsid w:val="00251DC7"/>
    <w:rsid w:val="002605FC"/>
    <w:rsid w:val="002712A1"/>
    <w:rsid w:val="00272163"/>
    <w:rsid w:val="00291F2A"/>
    <w:rsid w:val="002927CD"/>
    <w:rsid w:val="002A3106"/>
    <w:rsid w:val="002A64F8"/>
    <w:rsid w:val="002B0916"/>
    <w:rsid w:val="002B4198"/>
    <w:rsid w:val="002B75AF"/>
    <w:rsid w:val="002D1F65"/>
    <w:rsid w:val="00307F6A"/>
    <w:rsid w:val="003105CB"/>
    <w:rsid w:val="0033568D"/>
    <w:rsid w:val="00343757"/>
    <w:rsid w:val="00347C43"/>
    <w:rsid w:val="003629E1"/>
    <w:rsid w:val="00375029"/>
    <w:rsid w:val="00395399"/>
    <w:rsid w:val="0039679E"/>
    <w:rsid w:val="00397F0F"/>
    <w:rsid w:val="003A0C27"/>
    <w:rsid w:val="003A5408"/>
    <w:rsid w:val="003B6004"/>
    <w:rsid w:val="003D2163"/>
    <w:rsid w:val="003E1B9F"/>
    <w:rsid w:val="003E3957"/>
    <w:rsid w:val="003F7336"/>
    <w:rsid w:val="00403E5D"/>
    <w:rsid w:val="00405237"/>
    <w:rsid w:val="00413A0D"/>
    <w:rsid w:val="00420442"/>
    <w:rsid w:val="0042386B"/>
    <w:rsid w:val="00433FDD"/>
    <w:rsid w:val="00434362"/>
    <w:rsid w:val="00444CD6"/>
    <w:rsid w:val="00463831"/>
    <w:rsid w:val="0046571B"/>
    <w:rsid w:val="0047052A"/>
    <w:rsid w:val="004714EF"/>
    <w:rsid w:val="0047331B"/>
    <w:rsid w:val="004812E7"/>
    <w:rsid w:val="00481697"/>
    <w:rsid w:val="00495F31"/>
    <w:rsid w:val="004A2B40"/>
    <w:rsid w:val="004D61DD"/>
    <w:rsid w:val="004F17EC"/>
    <w:rsid w:val="00511D62"/>
    <w:rsid w:val="00550B13"/>
    <w:rsid w:val="00557CB6"/>
    <w:rsid w:val="0056162F"/>
    <w:rsid w:val="0057017E"/>
    <w:rsid w:val="00575008"/>
    <w:rsid w:val="00584081"/>
    <w:rsid w:val="00593B67"/>
    <w:rsid w:val="0059428D"/>
    <w:rsid w:val="0059656C"/>
    <w:rsid w:val="00597310"/>
    <w:rsid w:val="005975F1"/>
    <w:rsid w:val="005C3AF4"/>
    <w:rsid w:val="005C7626"/>
    <w:rsid w:val="005E2968"/>
    <w:rsid w:val="005E2CEF"/>
    <w:rsid w:val="005E5AF0"/>
    <w:rsid w:val="00600D2F"/>
    <w:rsid w:val="00602B02"/>
    <w:rsid w:val="00605137"/>
    <w:rsid w:val="006064D3"/>
    <w:rsid w:val="006147E2"/>
    <w:rsid w:val="0061582F"/>
    <w:rsid w:val="00616CE6"/>
    <w:rsid w:val="00626287"/>
    <w:rsid w:val="006351C4"/>
    <w:rsid w:val="006724C3"/>
    <w:rsid w:val="00676967"/>
    <w:rsid w:val="006A0F62"/>
    <w:rsid w:val="006B0A02"/>
    <w:rsid w:val="006B25B1"/>
    <w:rsid w:val="006B4386"/>
    <w:rsid w:val="006B50A0"/>
    <w:rsid w:val="006E1CE8"/>
    <w:rsid w:val="006E4C68"/>
    <w:rsid w:val="006E7D82"/>
    <w:rsid w:val="006F2618"/>
    <w:rsid w:val="006F5A98"/>
    <w:rsid w:val="00700AD6"/>
    <w:rsid w:val="00702B1C"/>
    <w:rsid w:val="00710246"/>
    <w:rsid w:val="00712D37"/>
    <w:rsid w:val="007245F9"/>
    <w:rsid w:val="00735034"/>
    <w:rsid w:val="00744B5B"/>
    <w:rsid w:val="00756EE9"/>
    <w:rsid w:val="00760BF4"/>
    <w:rsid w:val="00776BA4"/>
    <w:rsid w:val="00797EAE"/>
    <w:rsid w:val="007A2982"/>
    <w:rsid w:val="007A3F8C"/>
    <w:rsid w:val="007C2426"/>
    <w:rsid w:val="007C24B3"/>
    <w:rsid w:val="007C2C53"/>
    <w:rsid w:val="007D09FC"/>
    <w:rsid w:val="007D5180"/>
    <w:rsid w:val="007D6DD9"/>
    <w:rsid w:val="007F11C3"/>
    <w:rsid w:val="00805E40"/>
    <w:rsid w:val="00822474"/>
    <w:rsid w:val="00825AAD"/>
    <w:rsid w:val="00826752"/>
    <w:rsid w:val="0082730A"/>
    <w:rsid w:val="0082778F"/>
    <w:rsid w:val="00840F14"/>
    <w:rsid w:val="008610B1"/>
    <w:rsid w:val="00872742"/>
    <w:rsid w:val="0087730E"/>
    <w:rsid w:val="00877951"/>
    <w:rsid w:val="008946A2"/>
    <w:rsid w:val="00894B03"/>
    <w:rsid w:val="00897B15"/>
    <w:rsid w:val="008B00E4"/>
    <w:rsid w:val="008B2118"/>
    <w:rsid w:val="008C338C"/>
    <w:rsid w:val="008D3649"/>
    <w:rsid w:val="008D3939"/>
    <w:rsid w:val="008D6607"/>
    <w:rsid w:val="00903F6C"/>
    <w:rsid w:val="00914D99"/>
    <w:rsid w:val="009179D5"/>
    <w:rsid w:val="009373DF"/>
    <w:rsid w:val="00940502"/>
    <w:rsid w:val="00941165"/>
    <w:rsid w:val="009758F9"/>
    <w:rsid w:val="009764D3"/>
    <w:rsid w:val="009851B3"/>
    <w:rsid w:val="009924E9"/>
    <w:rsid w:val="00993FC8"/>
    <w:rsid w:val="009A05ED"/>
    <w:rsid w:val="009A63F7"/>
    <w:rsid w:val="009C3F4E"/>
    <w:rsid w:val="009C3F59"/>
    <w:rsid w:val="009C44A9"/>
    <w:rsid w:val="009C5C13"/>
    <w:rsid w:val="009C5C2E"/>
    <w:rsid w:val="009D4976"/>
    <w:rsid w:val="009D4BA0"/>
    <w:rsid w:val="009E0C5E"/>
    <w:rsid w:val="009E2702"/>
    <w:rsid w:val="009E36E4"/>
    <w:rsid w:val="009E36FE"/>
    <w:rsid w:val="009E4179"/>
    <w:rsid w:val="009F6C8D"/>
    <w:rsid w:val="00A0169C"/>
    <w:rsid w:val="00A04C97"/>
    <w:rsid w:val="00A239FD"/>
    <w:rsid w:val="00A30436"/>
    <w:rsid w:val="00A6653C"/>
    <w:rsid w:val="00A82EB1"/>
    <w:rsid w:val="00A95C85"/>
    <w:rsid w:val="00AB7601"/>
    <w:rsid w:val="00AC2AB1"/>
    <w:rsid w:val="00AD714C"/>
    <w:rsid w:val="00AE648E"/>
    <w:rsid w:val="00B006EE"/>
    <w:rsid w:val="00B11E75"/>
    <w:rsid w:val="00B21CFB"/>
    <w:rsid w:val="00B21F50"/>
    <w:rsid w:val="00B27E0E"/>
    <w:rsid w:val="00B327DA"/>
    <w:rsid w:val="00B3771C"/>
    <w:rsid w:val="00B43478"/>
    <w:rsid w:val="00B51250"/>
    <w:rsid w:val="00B554DF"/>
    <w:rsid w:val="00B67E0C"/>
    <w:rsid w:val="00B729D9"/>
    <w:rsid w:val="00B74467"/>
    <w:rsid w:val="00B751E8"/>
    <w:rsid w:val="00B772FA"/>
    <w:rsid w:val="00B8311E"/>
    <w:rsid w:val="00B911F0"/>
    <w:rsid w:val="00B920E3"/>
    <w:rsid w:val="00BB6ABC"/>
    <w:rsid w:val="00BB7D59"/>
    <w:rsid w:val="00BE2790"/>
    <w:rsid w:val="00BE36B1"/>
    <w:rsid w:val="00BF44EE"/>
    <w:rsid w:val="00BF6610"/>
    <w:rsid w:val="00C008AA"/>
    <w:rsid w:val="00C05D23"/>
    <w:rsid w:val="00C26792"/>
    <w:rsid w:val="00C346C3"/>
    <w:rsid w:val="00C57672"/>
    <w:rsid w:val="00C75472"/>
    <w:rsid w:val="00C84F2C"/>
    <w:rsid w:val="00CC28C2"/>
    <w:rsid w:val="00CC3485"/>
    <w:rsid w:val="00CD35DD"/>
    <w:rsid w:val="00CD60B2"/>
    <w:rsid w:val="00CD770C"/>
    <w:rsid w:val="00CF54B8"/>
    <w:rsid w:val="00D043CC"/>
    <w:rsid w:val="00D14661"/>
    <w:rsid w:val="00D222ED"/>
    <w:rsid w:val="00D24013"/>
    <w:rsid w:val="00D43956"/>
    <w:rsid w:val="00D56F2F"/>
    <w:rsid w:val="00D60310"/>
    <w:rsid w:val="00D61338"/>
    <w:rsid w:val="00D62051"/>
    <w:rsid w:val="00D67E91"/>
    <w:rsid w:val="00D76240"/>
    <w:rsid w:val="00D9607E"/>
    <w:rsid w:val="00DC0148"/>
    <w:rsid w:val="00DC2983"/>
    <w:rsid w:val="00E01EE9"/>
    <w:rsid w:val="00E1467D"/>
    <w:rsid w:val="00E20592"/>
    <w:rsid w:val="00E2219E"/>
    <w:rsid w:val="00E3306F"/>
    <w:rsid w:val="00E3385B"/>
    <w:rsid w:val="00E4736E"/>
    <w:rsid w:val="00E63BC8"/>
    <w:rsid w:val="00EA46DF"/>
    <w:rsid w:val="00EB1E41"/>
    <w:rsid w:val="00EB7D8D"/>
    <w:rsid w:val="00EC00C8"/>
    <w:rsid w:val="00EC033A"/>
    <w:rsid w:val="00EC0A27"/>
    <w:rsid w:val="00EC3A68"/>
    <w:rsid w:val="00ED07F5"/>
    <w:rsid w:val="00ED4B3F"/>
    <w:rsid w:val="00EE45B0"/>
    <w:rsid w:val="00EF0F2B"/>
    <w:rsid w:val="00EF7560"/>
    <w:rsid w:val="00F02EA3"/>
    <w:rsid w:val="00F22536"/>
    <w:rsid w:val="00F24475"/>
    <w:rsid w:val="00F24CD2"/>
    <w:rsid w:val="00F30554"/>
    <w:rsid w:val="00F62FE6"/>
    <w:rsid w:val="00F66333"/>
    <w:rsid w:val="00F865C8"/>
    <w:rsid w:val="00F90FE6"/>
    <w:rsid w:val="00FC2CD6"/>
    <w:rsid w:val="00FE19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DBA78"/>
  <w15:chartTrackingRefBased/>
  <w15:docId w15:val="{FAFCD985-CB67-45D9-A568-4F02C8DC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052A"/>
  </w:style>
  <w:style w:type="paragraph" w:styleId="Nagwek3">
    <w:name w:val="heading 3"/>
    <w:basedOn w:val="Normalny"/>
    <w:next w:val="Normalny"/>
    <w:link w:val="Nagwek3Znak"/>
    <w:qFormat/>
    <w:rsid w:val="00EF7560"/>
    <w:pPr>
      <w:overflowPunct w:val="0"/>
      <w:autoSpaceDE w:val="0"/>
      <w:autoSpaceDN w:val="0"/>
      <w:adjustRightInd w:val="0"/>
      <w:spacing w:before="360" w:after="120" w:line="360" w:lineRule="atLeast"/>
      <w:ind w:left="794" w:hanging="794"/>
      <w:textAlignment w:val="baseline"/>
      <w:outlineLvl w:val="2"/>
    </w:pPr>
    <w:rPr>
      <w:rFonts w:ascii="Arial" w:eastAsia="Times New Roman" w:hAnsi="Arial"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EF7560"/>
    <w:rPr>
      <w:rFonts w:ascii="Arial" w:eastAsia="Times New Roman" w:hAnsi="Arial" w:cs="Times New Roman"/>
      <w:b/>
      <w:sz w:val="24"/>
      <w:szCs w:val="20"/>
      <w:lang w:eastAsia="pl-PL"/>
    </w:rPr>
  </w:style>
  <w:style w:type="character" w:styleId="Numerstrony">
    <w:name w:val="page number"/>
    <w:basedOn w:val="Domylnaczcionkaakapitu"/>
    <w:rsid w:val="00EF7560"/>
  </w:style>
  <w:style w:type="paragraph" w:styleId="Stopka">
    <w:name w:val="footer"/>
    <w:basedOn w:val="Normalny"/>
    <w:link w:val="StopkaZnak"/>
    <w:uiPriority w:val="99"/>
    <w:rsid w:val="00EF7560"/>
    <w:pPr>
      <w:overflowPunct w:val="0"/>
      <w:autoSpaceDE w:val="0"/>
      <w:autoSpaceDN w:val="0"/>
      <w:adjustRightInd w:val="0"/>
      <w:spacing w:after="120" w:line="340" w:lineRule="atLeast"/>
      <w:jc w:val="center"/>
      <w:textAlignment w:val="baseline"/>
    </w:pPr>
    <w:rPr>
      <w:rFonts w:ascii="Arial" w:eastAsia="Times New Roman" w:hAnsi="Arial" w:cs="Arial"/>
      <w:szCs w:val="20"/>
      <w:lang w:eastAsia="pl-PL"/>
    </w:rPr>
  </w:style>
  <w:style w:type="character" w:customStyle="1" w:styleId="StopkaZnak">
    <w:name w:val="Stopka Znak"/>
    <w:basedOn w:val="Domylnaczcionkaakapitu"/>
    <w:link w:val="Stopka"/>
    <w:uiPriority w:val="99"/>
    <w:rsid w:val="00EF7560"/>
    <w:rPr>
      <w:rFonts w:ascii="Arial" w:eastAsia="Times New Roman" w:hAnsi="Arial" w:cs="Arial"/>
      <w:szCs w:val="20"/>
      <w:lang w:eastAsia="pl-PL"/>
    </w:rPr>
  </w:style>
  <w:style w:type="paragraph" w:styleId="Tytu">
    <w:name w:val="Title"/>
    <w:basedOn w:val="Normalny"/>
    <w:link w:val="TytuZnak"/>
    <w:qFormat/>
    <w:rsid w:val="00EF7560"/>
    <w:pPr>
      <w:overflowPunct w:val="0"/>
      <w:autoSpaceDE w:val="0"/>
      <w:autoSpaceDN w:val="0"/>
      <w:adjustRightInd w:val="0"/>
      <w:spacing w:after="60" w:line="240" w:lineRule="auto"/>
      <w:jc w:val="center"/>
      <w:textAlignment w:val="baseline"/>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rsid w:val="00EF7560"/>
    <w:rPr>
      <w:rFonts w:ascii="Times New Roman" w:eastAsia="Times New Roman" w:hAnsi="Times New Roman" w:cs="Times New Roman"/>
      <w:sz w:val="28"/>
      <w:szCs w:val="20"/>
      <w:lang w:eastAsia="pl-PL"/>
    </w:rPr>
  </w:style>
  <w:style w:type="paragraph" w:styleId="Akapitzlist">
    <w:name w:val="List Paragraph"/>
    <w:aliases w:val="BulletC,Wyliczanie,List Paragraph,List Paragraph1,Numerowanie"/>
    <w:basedOn w:val="Normalny"/>
    <w:link w:val="AkapitzlistZnak"/>
    <w:uiPriority w:val="34"/>
    <w:qFormat/>
    <w:rsid w:val="00EF7560"/>
    <w:pPr>
      <w:overflowPunct w:val="0"/>
      <w:autoSpaceDE w:val="0"/>
      <w:autoSpaceDN w:val="0"/>
      <w:adjustRightInd w:val="0"/>
      <w:spacing w:after="120" w:line="360" w:lineRule="atLeast"/>
      <w:ind w:left="720"/>
      <w:contextualSpacing/>
      <w:jc w:val="both"/>
      <w:textAlignment w:val="baseline"/>
    </w:pPr>
    <w:rPr>
      <w:rFonts w:ascii="Arial" w:eastAsia="Times New Roman" w:hAnsi="Arial" w:cs="Times New Roman"/>
      <w:szCs w:val="20"/>
      <w:lang w:eastAsia="pl-PL"/>
    </w:rPr>
  </w:style>
  <w:style w:type="paragraph" w:customStyle="1" w:styleId="Default">
    <w:name w:val="Default"/>
    <w:rsid w:val="00EF7560"/>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BulletC Znak,Wyliczanie Znak,List Paragraph Znak,List Paragraph1 Znak,Numerowanie Znak"/>
    <w:link w:val="Akapitzlist"/>
    <w:uiPriority w:val="34"/>
    <w:qFormat/>
    <w:rsid w:val="00EF7560"/>
    <w:rPr>
      <w:rFonts w:ascii="Arial" w:eastAsia="Times New Roman" w:hAnsi="Arial" w:cs="Times New Roman"/>
      <w:szCs w:val="20"/>
      <w:lang w:eastAsia="pl-PL"/>
    </w:rPr>
  </w:style>
  <w:style w:type="paragraph" w:styleId="Nagwek">
    <w:name w:val="header"/>
    <w:basedOn w:val="Normalny"/>
    <w:link w:val="NagwekZnak"/>
    <w:uiPriority w:val="99"/>
    <w:unhideWhenUsed/>
    <w:rsid w:val="00EF75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7560"/>
  </w:style>
  <w:style w:type="paragraph" w:customStyle="1" w:styleId="Tekst">
    <w:name w:val="Tekst"/>
    <w:basedOn w:val="Normalny"/>
    <w:link w:val="TekstZnak"/>
    <w:rsid w:val="00EF7560"/>
    <w:pPr>
      <w:spacing w:after="120" w:line="360" w:lineRule="atLeast"/>
    </w:pPr>
    <w:rPr>
      <w:rFonts w:ascii="Arial" w:eastAsia="Times New Roman" w:hAnsi="Arial" w:cs="Arial"/>
      <w:lang w:eastAsia="pl-PL"/>
    </w:rPr>
  </w:style>
  <w:style w:type="character" w:customStyle="1" w:styleId="TekstZnak">
    <w:name w:val="Tekst Znak"/>
    <w:link w:val="Tekst"/>
    <w:rsid w:val="00EF7560"/>
    <w:rPr>
      <w:rFonts w:ascii="Arial" w:eastAsia="Times New Roman" w:hAnsi="Arial" w:cs="Arial"/>
      <w:lang w:eastAsia="pl-PL"/>
    </w:rPr>
  </w:style>
  <w:style w:type="paragraph" w:customStyle="1" w:styleId="podrozdzia">
    <w:name w:val="podrozdział"/>
    <w:basedOn w:val="Nagwek3"/>
    <w:uiPriority w:val="99"/>
    <w:rsid w:val="00EF7560"/>
    <w:pPr>
      <w:tabs>
        <w:tab w:val="left" w:pos="8505"/>
      </w:tabs>
      <w:spacing w:before="240" w:after="240"/>
      <w:ind w:left="0" w:firstLine="0"/>
    </w:pPr>
    <w:rPr>
      <w:rFonts w:cs="Arial"/>
    </w:rPr>
  </w:style>
  <w:style w:type="paragraph" w:customStyle="1" w:styleId="footnotedescription">
    <w:name w:val="footnote description"/>
    <w:next w:val="Normalny"/>
    <w:link w:val="footnotedescriptionChar"/>
    <w:hidden/>
    <w:rsid w:val="00EF7560"/>
    <w:pPr>
      <w:spacing w:after="0" w:line="281" w:lineRule="auto"/>
      <w:ind w:left="10"/>
    </w:pPr>
    <w:rPr>
      <w:rFonts w:ascii="Arial" w:eastAsia="Arial" w:hAnsi="Arial" w:cs="Arial"/>
      <w:color w:val="000000"/>
      <w:sz w:val="18"/>
      <w:lang w:eastAsia="pl-PL"/>
    </w:rPr>
  </w:style>
  <w:style w:type="character" w:customStyle="1" w:styleId="footnotedescriptionChar">
    <w:name w:val="footnote description Char"/>
    <w:link w:val="footnotedescription"/>
    <w:rsid w:val="00EF7560"/>
    <w:rPr>
      <w:rFonts w:ascii="Arial" w:eastAsia="Arial" w:hAnsi="Arial" w:cs="Arial"/>
      <w:color w:val="000000"/>
      <w:sz w:val="18"/>
      <w:lang w:eastAsia="pl-PL"/>
    </w:rPr>
  </w:style>
  <w:style w:type="character" w:customStyle="1" w:styleId="footnotemark">
    <w:name w:val="footnote mark"/>
    <w:hidden/>
    <w:rsid w:val="00EF7560"/>
    <w:rPr>
      <w:rFonts w:ascii="Arial" w:eastAsia="Arial" w:hAnsi="Arial" w:cs="Arial"/>
      <w:color w:val="000000"/>
      <w:sz w:val="18"/>
      <w:vertAlign w:val="superscript"/>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ootnote Text OCR,footnote text"/>
    <w:basedOn w:val="Normalny"/>
    <w:link w:val="TekstprzypisudolnegoZnak"/>
    <w:uiPriority w:val="99"/>
    <w:unhideWhenUsed/>
    <w:rsid w:val="00EF7560"/>
    <w:pPr>
      <w:spacing w:after="0" w:line="240" w:lineRule="auto"/>
      <w:ind w:left="20" w:right="147" w:hanging="10"/>
    </w:pPr>
    <w:rPr>
      <w:rFonts w:ascii="Arial" w:eastAsia="Arial" w:hAnsi="Arial" w:cs="Arial"/>
      <w:color w:val="000000"/>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ootnote text Znak"/>
    <w:basedOn w:val="Domylnaczcionkaakapitu"/>
    <w:link w:val="Tekstprzypisudolnego"/>
    <w:uiPriority w:val="99"/>
    <w:rsid w:val="00EF7560"/>
    <w:rPr>
      <w:rFonts w:ascii="Arial" w:eastAsia="Arial" w:hAnsi="Arial" w:cs="Arial"/>
      <w:color w:val="000000"/>
      <w:sz w:val="20"/>
      <w:szCs w:val="20"/>
      <w:lang w:eastAsia="pl-PL"/>
    </w:rPr>
  </w:style>
  <w:style w:type="character" w:styleId="Odwoanieprzypisudolnego">
    <w:name w:val="footnote reference"/>
    <w:basedOn w:val="Domylnaczcionkaakapitu"/>
    <w:uiPriority w:val="99"/>
    <w:unhideWhenUsed/>
    <w:rsid w:val="00EF7560"/>
    <w:rPr>
      <w:vertAlign w:val="superscript"/>
    </w:rPr>
  </w:style>
  <w:style w:type="paragraph" w:customStyle="1" w:styleId="akapit1">
    <w:name w:val="akapit1"/>
    <w:basedOn w:val="Normalny"/>
    <w:next w:val="Normalny"/>
    <w:rsid w:val="003B6004"/>
    <w:pPr>
      <w:overflowPunct w:val="0"/>
      <w:autoSpaceDE w:val="0"/>
      <w:autoSpaceDN w:val="0"/>
      <w:adjustRightInd w:val="0"/>
      <w:spacing w:before="480" w:after="120" w:line="360" w:lineRule="atLeast"/>
      <w:ind w:firstLine="425"/>
      <w:jc w:val="both"/>
      <w:textAlignment w:val="baseline"/>
    </w:pPr>
    <w:rPr>
      <w:rFonts w:ascii="Arial" w:eastAsia="Times New Roman" w:hAnsi="Arial" w:cs="Times New Roman"/>
      <w:szCs w:val="20"/>
      <w:lang w:eastAsia="pl-PL"/>
    </w:rPr>
  </w:style>
  <w:style w:type="table" w:customStyle="1" w:styleId="TableGrid">
    <w:name w:val="TableGrid"/>
    <w:rsid w:val="003B6004"/>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akapit">
    <w:name w:val="akapit"/>
    <w:basedOn w:val="Normalny"/>
    <w:rsid w:val="00C57672"/>
    <w:pPr>
      <w:overflowPunct w:val="0"/>
      <w:autoSpaceDE w:val="0"/>
      <w:autoSpaceDN w:val="0"/>
      <w:adjustRightInd w:val="0"/>
      <w:spacing w:after="120" w:line="340" w:lineRule="atLeast"/>
      <w:ind w:firstLine="425"/>
      <w:jc w:val="both"/>
      <w:textAlignment w:val="baseline"/>
    </w:pPr>
    <w:rPr>
      <w:rFonts w:ascii="Arial" w:eastAsia="Times New Roman" w:hAnsi="Arial" w:cs="Arial"/>
      <w:sz w:val="24"/>
      <w:szCs w:val="20"/>
      <w:lang w:eastAsia="pl-PL"/>
    </w:rPr>
  </w:style>
  <w:style w:type="paragraph" w:customStyle="1" w:styleId="pktmyslnw2">
    <w:name w:val="pkt mysln w2"/>
    <w:basedOn w:val="Normalny"/>
    <w:rsid w:val="00C57672"/>
    <w:pPr>
      <w:tabs>
        <w:tab w:val="left" w:pos="1134"/>
      </w:tabs>
      <w:overflowPunct w:val="0"/>
      <w:autoSpaceDE w:val="0"/>
      <w:autoSpaceDN w:val="0"/>
      <w:adjustRightInd w:val="0"/>
      <w:spacing w:after="120" w:line="360" w:lineRule="atLeast"/>
      <w:ind w:left="1134" w:hanging="284"/>
      <w:jc w:val="both"/>
      <w:textAlignment w:val="baseline"/>
    </w:pPr>
    <w:rPr>
      <w:rFonts w:ascii="Arial" w:eastAsia="Times New Roman" w:hAnsi="Arial" w:cs="Times New Roman"/>
      <w:szCs w:val="20"/>
      <w:lang w:eastAsia="pl-PL"/>
    </w:rPr>
  </w:style>
  <w:style w:type="paragraph" w:styleId="Tekstdymka">
    <w:name w:val="Balloon Text"/>
    <w:basedOn w:val="Normalny"/>
    <w:link w:val="TekstdymkaZnak"/>
    <w:uiPriority w:val="99"/>
    <w:semiHidden/>
    <w:unhideWhenUsed/>
    <w:rsid w:val="007C2C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2C53"/>
    <w:rPr>
      <w:rFonts w:ascii="Segoe UI" w:hAnsi="Segoe UI" w:cs="Segoe UI"/>
      <w:sz w:val="18"/>
      <w:szCs w:val="18"/>
    </w:rPr>
  </w:style>
  <w:style w:type="paragraph" w:styleId="Poprawka">
    <w:name w:val="Revision"/>
    <w:hidden/>
    <w:uiPriority w:val="99"/>
    <w:semiHidden/>
    <w:rsid w:val="00EC0A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121280">
      <w:bodyDiv w:val="1"/>
      <w:marLeft w:val="0"/>
      <w:marRight w:val="0"/>
      <w:marTop w:val="0"/>
      <w:marBottom w:val="0"/>
      <w:divBdr>
        <w:top w:val="none" w:sz="0" w:space="0" w:color="auto"/>
        <w:left w:val="none" w:sz="0" w:space="0" w:color="auto"/>
        <w:bottom w:val="none" w:sz="0" w:space="0" w:color="auto"/>
        <w:right w:val="none" w:sz="0" w:space="0" w:color="auto"/>
      </w:divBdr>
    </w:div>
    <w:div w:id="551617508">
      <w:bodyDiv w:val="1"/>
      <w:marLeft w:val="0"/>
      <w:marRight w:val="0"/>
      <w:marTop w:val="0"/>
      <w:marBottom w:val="0"/>
      <w:divBdr>
        <w:top w:val="none" w:sz="0" w:space="0" w:color="auto"/>
        <w:left w:val="none" w:sz="0" w:space="0" w:color="auto"/>
        <w:bottom w:val="none" w:sz="0" w:space="0" w:color="auto"/>
        <w:right w:val="none" w:sz="0" w:space="0" w:color="auto"/>
      </w:divBdr>
    </w:div>
    <w:div w:id="610674000">
      <w:bodyDiv w:val="1"/>
      <w:marLeft w:val="0"/>
      <w:marRight w:val="0"/>
      <w:marTop w:val="0"/>
      <w:marBottom w:val="0"/>
      <w:divBdr>
        <w:top w:val="none" w:sz="0" w:space="0" w:color="auto"/>
        <w:left w:val="none" w:sz="0" w:space="0" w:color="auto"/>
        <w:bottom w:val="none" w:sz="0" w:space="0" w:color="auto"/>
        <w:right w:val="none" w:sz="0" w:space="0" w:color="auto"/>
      </w:divBdr>
    </w:div>
    <w:div w:id="665330159">
      <w:bodyDiv w:val="1"/>
      <w:marLeft w:val="0"/>
      <w:marRight w:val="0"/>
      <w:marTop w:val="0"/>
      <w:marBottom w:val="0"/>
      <w:divBdr>
        <w:top w:val="none" w:sz="0" w:space="0" w:color="auto"/>
        <w:left w:val="none" w:sz="0" w:space="0" w:color="auto"/>
        <w:bottom w:val="none" w:sz="0" w:space="0" w:color="auto"/>
        <w:right w:val="none" w:sz="0" w:space="0" w:color="auto"/>
      </w:divBdr>
    </w:div>
    <w:div w:id="926883861">
      <w:bodyDiv w:val="1"/>
      <w:marLeft w:val="0"/>
      <w:marRight w:val="0"/>
      <w:marTop w:val="0"/>
      <w:marBottom w:val="0"/>
      <w:divBdr>
        <w:top w:val="none" w:sz="0" w:space="0" w:color="auto"/>
        <w:left w:val="none" w:sz="0" w:space="0" w:color="auto"/>
        <w:bottom w:val="none" w:sz="0" w:space="0" w:color="auto"/>
        <w:right w:val="none" w:sz="0" w:space="0" w:color="auto"/>
      </w:divBdr>
    </w:div>
    <w:div w:id="982545351">
      <w:bodyDiv w:val="1"/>
      <w:marLeft w:val="0"/>
      <w:marRight w:val="0"/>
      <w:marTop w:val="0"/>
      <w:marBottom w:val="0"/>
      <w:divBdr>
        <w:top w:val="none" w:sz="0" w:space="0" w:color="auto"/>
        <w:left w:val="none" w:sz="0" w:space="0" w:color="auto"/>
        <w:bottom w:val="none" w:sz="0" w:space="0" w:color="auto"/>
        <w:right w:val="none" w:sz="0" w:space="0" w:color="auto"/>
      </w:divBdr>
    </w:div>
    <w:div w:id="1002898073">
      <w:bodyDiv w:val="1"/>
      <w:marLeft w:val="0"/>
      <w:marRight w:val="0"/>
      <w:marTop w:val="0"/>
      <w:marBottom w:val="0"/>
      <w:divBdr>
        <w:top w:val="none" w:sz="0" w:space="0" w:color="auto"/>
        <w:left w:val="none" w:sz="0" w:space="0" w:color="auto"/>
        <w:bottom w:val="none" w:sz="0" w:space="0" w:color="auto"/>
        <w:right w:val="none" w:sz="0" w:space="0" w:color="auto"/>
      </w:divBdr>
    </w:div>
    <w:div w:id="1010058761">
      <w:bodyDiv w:val="1"/>
      <w:marLeft w:val="0"/>
      <w:marRight w:val="0"/>
      <w:marTop w:val="0"/>
      <w:marBottom w:val="0"/>
      <w:divBdr>
        <w:top w:val="none" w:sz="0" w:space="0" w:color="auto"/>
        <w:left w:val="none" w:sz="0" w:space="0" w:color="auto"/>
        <w:bottom w:val="none" w:sz="0" w:space="0" w:color="auto"/>
        <w:right w:val="none" w:sz="0" w:space="0" w:color="auto"/>
      </w:divBdr>
    </w:div>
    <w:div w:id="1259099159">
      <w:bodyDiv w:val="1"/>
      <w:marLeft w:val="0"/>
      <w:marRight w:val="0"/>
      <w:marTop w:val="0"/>
      <w:marBottom w:val="0"/>
      <w:divBdr>
        <w:top w:val="none" w:sz="0" w:space="0" w:color="auto"/>
        <w:left w:val="none" w:sz="0" w:space="0" w:color="auto"/>
        <w:bottom w:val="none" w:sz="0" w:space="0" w:color="auto"/>
        <w:right w:val="none" w:sz="0" w:space="0" w:color="auto"/>
      </w:divBdr>
    </w:div>
    <w:div w:id="1340961240">
      <w:bodyDiv w:val="1"/>
      <w:marLeft w:val="0"/>
      <w:marRight w:val="0"/>
      <w:marTop w:val="0"/>
      <w:marBottom w:val="0"/>
      <w:divBdr>
        <w:top w:val="none" w:sz="0" w:space="0" w:color="auto"/>
        <w:left w:val="none" w:sz="0" w:space="0" w:color="auto"/>
        <w:bottom w:val="none" w:sz="0" w:space="0" w:color="auto"/>
        <w:right w:val="none" w:sz="0" w:space="0" w:color="auto"/>
      </w:divBdr>
    </w:div>
    <w:div w:id="1788084825">
      <w:bodyDiv w:val="1"/>
      <w:marLeft w:val="0"/>
      <w:marRight w:val="0"/>
      <w:marTop w:val="0"/>
      <w:marBottom w:val="0"/>
      <w:divBdr>
        <w:top w:val="none" w:sz="0" w:space="0" w:color="auto"/>
        <w:left w:val="none" w:sz="0" w:space="0" w:color="auto"/>
        <w:bottom w:val="none" w:sz="0" w:space="0" w:color="auto"/>
        <w:right w:val="none" w:sz="0" w:space="0" w:color="auto"/>
      </w:divBdr>
    </w:div>
    <w:div w:id="1806776449">
      <w:bodyDiv w:val="1"/>
      <w:marLeft w:val="0"/>
      <w:marRight w:val="0"/>
      <w:marTop w:val="0"/>
      <w:marBottom w:val="0"/>
      <w:divBdr>
        <w:top w:val="none" w:sz="0" w:space="0" w:color="auto"/>
        <w:left w:val="none" w:sz="0" w:space="0" w:color="auto"/>
        <w:bottom w:val="none" w:sz="0" w:space="0" w:color="auto"/>
        <w:right w:val="none" w:sz="0" w:space="0" w:color="auto"/>
      </w:divBdr>
    </w:div>
    <w:div w:id="1837916826">
      <w:bodyDiv w:val="1"/>
      <w:marLeft w:val="0"/>
      <w:marRight w:val="0"/>
      <w:marTop w:val="0"/>
      <w:marBottom w:val="0"/>
      <w:divBdr>
        <w:top w:val="none" w:sz="0" w:space="0" w:color="auto"/>
        <w:left w:val="none" w:sz="0" w:space="0" w:color="auto"/>
        <w:bottom w:val="none" w:sz="0" w:space="0" w:color="auto"/>
        <w:right w:val="none" w:sz="0" w:space="0" w:color="auto"/>
      </w:divBdr>
    </w:div>
    <w:div w:id="209165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83375-C4DA-4F96-82D2-42C845489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6822</Words>
  <Characters>40933</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47660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Gawron Mariusz</dc:creator>
  <cp:keywords/>
  <dc:description/>
  <cp:lastModifiedBy>Binkowska Joanna</cp:lastModifiedBy>
  <cp:revision>4</cp:revision>
  <cp:lastPrinted>2024-10-25T13:35:00Z</cp:lastPrinted>
  <dcterms:created xsi:type="dcterms:W3CDTF">2024-10-29T15:04:00Z</dcterms:created>
  <dcterms:modified xsi:type="dcterms:W3CDTF">2024-10-29T15:15:00Z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UxC4dwLulzfINJ8nQH+xvX5LNGipWa4BRSZhPgxsCvlZGcQBzlmZX7uhty2EQx/BJR2uA0qci53IaVAvoCuAvg==</vt:lpwstr>
  </property>
  <property fmtid="{D5CDD505-2E9C-101B-9397-08002B2CF9AE}" pid="4" name="MFClassificationDate">
    <vt:lpwstr>2023-05-15T14:52:06.7013360+02:00</vt:lpwstr>
  </property>
  <property fmtid="{D5CDD505-2E9C-101B-9397-08002B2CF9AE}" pid="5" name="MFClassifiedBySID">
    <vt:lpwstr>UxC4dwLulzfINJ8nQH+xvX5LNGipWa4BRSZhPgxsCvm42mrIC/DSDv0ggS+FjUN/2v1BBotkLlY5aAiEhoi6uV5Tj7ZfpbYMkamC2RUdmV6h+DRnL6lJHEKvfqNq0DKR</vt:lpwstr>
  </property>
  <property fmtid="{D5CDD505-2E9C-101B-9397-08002B2CF9AE}" pid="6" name="MFGRNItemId">
    <vt:lpwstr>GRN-809286dc-9ca6-459b-b76c-5e2242b29a52</vt:lpwstr>
  </property>
  <property fmtid="{D5CDD505-2E9C-101B-9397-08002B2CF9AE}" pid="7" name="MFHash">
    <vt:lpwstr>o0Rhr0MhLKe7Uo6Opg5K7X2qLBMAflEMl6uLOy6exZ8=</vt:lpwstr>
  </property>
  <property fmtid="{D5CDD505-2E9C-101B-9397-08002B2CF9AE}" pid="8" name="MFVisualMarkingsSettings">
    <vt:lpwstr>HeaderAlignment=1;FooterAlignment=1</vt:lpwstr>
  </property>
  <property fmtid="{D5CDD505-2E9C-101B-9397-08002B2CF9AE}" pid="9" name="DLPManualFileClassification">
    <vt:lpwstr>{5fdfc941-3fcf-4a5b-87be-4848800d39d0}</vt:lpwstr>
  </property>
  <property fmtid="{D5CDD505-2E9C-101B-9397-08002B2CF9AE}" pid="10" name="MFRefresh">
    <vt:lpwstr>False</vt:lpwstr>
  </property>
</Properties>
</file>