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8A2BBD9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60D2D3A" w14:textId="7F6D67A7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D8263D">
        <w:t>30 października 2024 r.</w:t>
      </w:r>
    </w:p>
    <w:p w14:paraId="328CE928" w14:textId="19147E23" w:rsidR="005B7070" w:rsidRPr="005B7070" w:rsidRDefault="008F40C5" w:rsidP="005B7070">
      <w:pPr>
        <w:pStyle w:val="TYTUAKTUprzedmiotregulacjiustawylubrozporzdzenia"/>
      </w:pPr>
      <w:r>
        <w:t xml:space="preserve">w sprawie ustawy </w:t>
      </w:r>
      <w:r w:rsidR="00A34966" w:rsidRPr="001E3782">
        <w:t xml:space="preserve">o </w:t>
      </w:r>
      <w:r w:rsidR="00F3282A">
        <w:t xml:space="preserve">zmianie </w:t>
      </w:r>
      <w:r w:rsidR="00702953" w:rsidRPr="006021CC">
        <w:t xml:space="preserve">ustawy o podatku od </w:t>
      </w:r>
      <w:r w:rsidR="00DE5DCC">
        <w:t>towarów i usług</w:t>
      </w:r>
      <w:r w:rsidR="00702953">
        <w:br/>
        <w:t>oraz niektórych innych ustaw</w:t>
      </w:r>
    </w:p>
    <w:p w14:paraId="62D96A43" w14:textId="31069073" w:rsidR="00912118" w:rsidRPr="004758A1" w:rsidRDefault="00912118" w:rsidP="00702953">
      <w:pPr>
        <w:pStyle w:val="NIEARTTEKSTtekstnieartykuowanynppodstprawnarozplubpreambua"/>
      </w:pPr>
      <w:r w:rsidRPr="004758A1">
        <w:t xml:space="preserve">Senat, po rozpatrzeniu uchwalonej przez Sejm na posiedzeniu w dniu </w:t>
      </w:r>
      <w:r w:rsidR="00DE5DCC">
        <w:t>18</w:t>
      </w:r>
      <w:r w:rsidR="00743882" w:rsidRPr="004758A1">
        <w:t xml:space="preserve"> </w:t>
      </w:r>
      <w:r w:rsidR="00DE5DCC">
        <w:t xml:space="preserve">października </w:t>
      </w:r>
      <w:r w:rsidR="00693B52" w:rsidRPr="004758A1">
        <w:t>202</w:t>
      </w:r>
      <w:r w:rsidR="00173DB6">
        <w:t>4</w:t>
      </w:r>
      <w:r w:rsidR="00676A3C" w:rsidRPr="004758A1">
        <w:t xml:space="preserve"> </w:t>
      </w:r>
      <w:r w:rsidR="00743882" w:rsidRPr="004758A1">
        <w:t xml:space="preserve">r. ustawy o </w:t>
      </w:r>
      <w:r w:rsidR="00F3282A" w:rsidRPr="004758A1">
        <w:t xml:space="preserve">zmianie </w:t>
      </w:r>
      <w:r w:rsidR="00702953" w:rsidRPr="006021CC">
        <w:t xml:space="preserve">ustawy o podatku od </w:t>
      </w:r>
      <w:r w:rsidR="00DE5DCC">
        <w:t xml:space="preserve">towarów i usług </w:t>
      </w:r>
      <w:r w:rsidR="00702953">
        <w:t>oraz niektórych innych ustaw</w:t>
      </w:r>
      <w:r w:rsidR="00173DB6">
        <w:t xml:space="preserve">, </w:t>
      </w:r>
      <w:r w:rsidRPr="004758A1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C638F" w:rsidRPr="00D5294F" w14:paraId="2307E1E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1719708" w14:textId="77777777" w:rsidR="00BC638F" w:rsidRPr="00D5294F" w:rsidRDefault="00BC638F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D54A70C" w14:textId="4AA417A7" w:rsidR="00DE5DCC" w:rsidRPr="00DE5DCC" w:rsidRDefault="00BC638F" w:rsidP="00DE5DCC">
            <w:pPr>
              <w:pStyle w:val="TREPUNKTUWUCHWALESENACKIEJ"/>
            </w:pPr>
            <w:r w:rsidRPr="00BC638F">
              <w:t xml:space="preserve">w </w:t>
            </w:r>
            <w:r w:rsidR="00DE5DCC">
              <w:t xml:space="preserve">art. </w:t>
            </w:r>
            <w:r w:rsidR="00DE5DCC" w:rsidRPr="00DE5DCC">
              <w:t>1 w pkt 16 lit. b otrzymuje brzmienie:</w:t>
            </w:r>
          </w:p>
          <w:p w14:paraId="23993B3F" w14:textId="5774BEF1" w:rsidR="00DE5DCC" w:rsidRDefault="00DE5DCC" w:rsidP="00DE5DCC">
            <w:pPr>
              <w:pStyle w:val="LITlitera"/>
            </w:pPr>
            <w:r w:rsidRPr="00DE5DCC">
              <w:t>„b)</w:t>
            </w:r>
            <w:r>
              <w:tab/>
            </w:r>
            <w:r w:rsidRPr="00DE5DCC">
              <w:t>w ust. 10:</w:t>
            </w:r>
          </w:p>
          <w:p w14:paraId="4882A917" w14:textId="6CC3E851" w:rsidR="00DE5DCC" w:rsidRDefault="00DE5DCC" w:rsidP="00DE5DCC">
            <w:pPr>
              <w:pStyle w:val="TIRtiret"/>
            </w:pPr>
            <w:r w:rsidRPr="00DE5DCC">
              <w:t>–</w:t>
            </w:r>
            <w:r>
              <w:tab/>
            </w:r>
            <w:r w:rsidRPr="00DE5DCC">
              <w:t>w pkt 2 wyrazy „art. 43 ust. 1 pkt 2 lub art. 113” zastępuje się wyrazami „art. 43 ust. 1 pkt 2, art. 113 lub art. 113a”,</w:t>
            </w:r>
          </w:p>
          <w:p w14:paraId="4B1C9834" w14:textId="709D5E40" w:rsidR="00DE5DCC" w:rsidRDefault="00DE5DCC" w:rsidP="00DE5DCC">
            <w:pPr>
              <w:pStyle w:val="TIRtiret"/>
            </w:pPr>
            <w:r w:rsidRPr="00DE5DCC">
              <w:t>–</w:t>
            </w:r>
            <w:r>
              <w:tab/>
            </w:r>
            <w:r w:rsidRPr="00DE5DCC">
              <w:t>w pkt 4 wyrazy „art. 43 ust. 1 pkt 2 lub art. 113” zastępuje się wyrazami „art. 43 ust. 1 pkt 2, art. 113 lub art. 113a”,”;</w:t>
            </w:r>
          </w:p>
        </w:tc>
      </w:tr>
      <w:tr w:rsidR="00B43C40" w:rsidRPr="00D5294F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D5294F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2BBBEF0" w14:textId="3C993ABC" w:rsidR="00DE5DCC" w:rsidRDefault="00DE5DCC" w:rsidP="00DE5DCC">
            <w:pPr>
              <w:pStyle w:val="TREPUNKTUWUCHWALESENACKIEJ"/>
            </w:pPr>
            <w:r>
              <w:t xml:space="preserve">w </w:t>
            </w:r>
            <w:r w:rsidR="006674EC" w:rsidRPr="006674EC">
              <w:t xml:space="preserve">art. </w:t>
            </w:r>
            <w:r w:rsidRPr="00DE5DCC">
              <w:t>5 pkt 1 otrzymuje brzmienie:</w:t>
            </w:r>
          </w:p>
          <w:p w14:paraId="3798CC76" w14:textId="7E8C2671" w:rsidR="00DE5DCC" w:rsidRDefault="00DE5DCC" w:rsidP="00DE5DCC">
            <w:pPr>
              <w:pStyle w:val="PKTpunkt"/>
            </w:pPr>
            <w:r w:rsidRPr="00DE5DCC">
              <w:t>„1)</w:t>
            </w:r>
            <w:r>
              <w:tab/>
            </w:r>
            <w:r w:rsidRPr="00DE5DCC">
              <w:t>w pkt 2, w art. 29a:</w:t>
            </w:r>
          </w:p>
          <w:p w14:paraId="7BE8AB72" w14:textId="2F41ABF3" w:rsidR="00DE5DCC" w:rsidRDefault="00DE5DCC" w:rsidP="00DE5DCC">
            <w:pPr>
              <w:pStyle w:val="LITlitera"/>
            </w:pPr>
            <w:r>
              <w:t>a)</w:t>
            </w:r>
            <w:r>
              <w:tab/>
            </w:r>
            <w:r w:rsidRPr="00DE5DCC">
              <w:t>w ust. 13b wyrazy „art. 106gb ust. 4 pkt 2 i 3” zastępuje się wyrazami „art.</w:t>
            </w:r>
            <w:r>
              <w:t> </w:t>
            </w:r>
            <w:r w:rsidRPr="00DE5DCC">
              <w:t>106gb ust. 4 pkt 2–4”,</w:t>
            </w:r>
          </w:p>
          <w:p w14:paraId="369E5C53" w14:textId="62ED8430" w:rsidR="0066731C" w:rsidRPr="00D5294F" w:rsidRDefault="00DE5DCC" w:rsidP="00DE5DCC">
            <w:pPr>
              <w:pStyle w:val="LITlitera"/>
            </w:pPr>
            <w:r>
              <w:t>b)</w:t>
            </w:r>
            <w:r>
              <w:tab/>
            </w:r>
            <w:r w:rsidRPr="00DE5DCC">
              <w:t>w ust. 15c wyrazy „art. 106gb ust. 4 pkt 2 i 3” zastępuje się wyrazami „art.</w:t>
            </w:r>
            <w:r>
              <w:t> </w:t>
            </w:r>
            <w:r w:rsidRPr="00DE5DCC">
              <w:t>106gb ust. 4 pkt 2–4”;”</w:t>
            </w:r>
            <w:r>
              <w:t>;</w:t>
            </w:r>
          </w:p>
        </w:tc>
      </w:tr>
      <w:tr w:rsidR="00DE5DCC" w:rsidRPr="00D5294F" w14:paraId="7695CE3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C881AE" w14:textId="77777777" w:rsidR="00DE5DCC" w:rsidRPr="00D5294F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A23B2F8" w14:textId="0E650E6C" w:rsidR="00463617" w:rsidRDefault="00765DF5" w:rsidP="007F643A">
            <w:pPr>
              <w:pStyle w:val="TREPUNKTUWUCHWALESENACKIEJ"/>
            </w:pPr>
            <w:r w:rsidRPr="00765DF5">
              <w:t>w art. 6 wyrazy „Na potrzeby stosowania zwolnień, o których mowa w art. 113 ust. 1 i 9, art. 113a ust. 1 i art. 113b ust. 1” zastępuje się wyrazami „Na potrzeby stosowania zwolnień, o których mowa w art. 113 ust. 1 i 9 ustawy zmienianej w art. 1, w brzmieniu nadanym niniejszą ustawą, oraz zwolnień, o których mowa w art. 113a ust. 1 i art. 113b ust. 1 ustawy zmienianej w art. 1”</w:t>
            </w:r>
            <w:r>
              <w:t>;</w:t>
            </w:r>
          </w:p>
        </w:tc>
      </w:tr>
      <w:tr w:rsidR="00DE5DCC" w:rsidRPr="00D5294F" w14:paraId="12A4CAA0" w14:textId="77777777" w:rsidTr="007F643A">
        <w:trPr>
          <w:trHeight w:val="14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1D459E2" w14:textId="77777777" w:rsidR="00DE5DCC" w:rsidRPr="00D5294F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A88F17B" w14:textId="292EC437" w:rsidR="00BD3540" w:rsidRDefault="00BD3540" w:rsidP="00DE5DCC">
            <w:pPr>
              <w:pStyle w:val="TREPUNKTUWUCHWALESENACKIEJ"/>
            </w:pPr>
            <w:r w:rsidRPr="00BD3540">
              <w:t xml:space="preserve">w art. 8 w ust. 2 wyrazy „powinien złożyć zawiadomienie” zastępuje się wyrazami „jest </w:t>
            </w:r>
            <w:r w:rsidRPr="00BD3540">
              <w:lastRenderedPageBreak/>
              <w:t>obowiązany złożyć zawiadomienie”</w:t>
            </w:r>
            <w:r>
              <w:t>;</w:t>
            </w:r>
          </w:p>
        </w:tc>
      </w:tr>
      <w:tr w:rsidR="00DE5DCC" w:rsidRPr="00D5294F" w14:paraId="241A7A81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B951176" w14:textId="77777777" w:rsidR="00DE5DCC" w:rsidRPr="00D5294F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4DAD4A8" w14:textId="77777777" w:rsidR="003D4111" w:rsidRPr="003D4111" w:rsidRDefault="003D4111" w:rsidP="003D4111">
            <w:pPr>
              <w:pStyle w:val="TREPUNKTUWUCHWALESENACKIEJ"/>
            </w:pPr>
            <w:r w:rsidRPr="003D4111">
              <w:t>art. 10 otrzymuje brzmienie:</w:t>
            </w:r>
          </w:p>
          <w:p w14:paraId="2A1CFBBD" w14:textId="52FCB4AA" w:rsidR="003D4111" w:rsidRDefault="003D4111" w:rsidP="003D4111">
            <w:pPr>
              <w:pStyle w:val="ARTartustawynprozporzdzenia"/>
            </w:pPr>
            <w:r w:rsidRPr="003D4111">
              <w:t>„Art. 10. Ustawa wchodzi w życie z dniem 1 stycznia 2025 r., z wyjątkiem:</w:t>
            </w:r>
          </w:p>
          <w:p w14:paraId="34F238CF" w14:textId="7BB5368B" w:rsidR="003D4111" w:rsidRDefault="003D4111" w:rsidP="003D4111">
            <w:pPr>
              <w:pStyle w:val="PKTpunkt"/>
            </w:pPr>
            <w:r>
              <w:t>1)</w:t>
            </w:r>
            <w:r>
              <w:tab/>
            </w:r>
            <w:r w:rsidRPr="003D4111">
              <w:t>art. 8, który wchodzi w życie z dniem następującym po dniu ogłoszenia;</w:t>
            </w:r>
          </w:p>
          <w:p w14:paraId="00CBC392" w14:textId="3D71639E" w:rsidR="003D4111" w:rsidRDefault="003D4111" w:rsidP="003D4111">
            <w:pPr>
              <w:pStyle w:val="PKTpunkt"/>
            </w:pPr>
            <w:r>
              <w:t>2)</w:t>
            </w:r>
            <w:r>
              <w:tab/>
            </w:r>
            <w:r w:rsidRPr="003D4111">
              <w:t>art. 5, który wchodzi w życie z dniem 1 lutego 2026 r.”.</w:t>
            </w:r>
          </w:p>
        </w:tc>
      </w:tr>
    </w:tbl>
    <w:p w14:paraId="7D20BD97" w14:textId="086E002F" w:rsidR="00912118" w:rsidRDefault="00912118" w:rsidP="00A054FD">
      <w:pPr>
        <w:pStyle w:val="POPIERAJCYPOPRAWKZAMIESZCZONWZESTAWIENIUWNIOSKW"/>
      </w:pPr>
    </w:p>
    <w:p w14:paraId="7F09B568" w14:textId="328148AC" w:rsidR="004A4E73" w:rsidRDefault="004A4E73" w:rsidP="00A054FD">
      <w:pPr>
        <w:pStyle w:val="POPIERAJCYPOPRAWKZAMIESZCZONWZESTAWIENIUWNIOSKW"/>
      </w:pPr>
    </w:p>
    <w:p w14:paraId="24CDCBEC" w14:textId="28E0BB6C" w:rsidR="004A4E73" w:rsidRDefault="004A4E73" w:rsidP="00A054FD">
      <w:pPr>
        <w:pStyle w:val="POPIERAJCYPOPRAWKZAMIESZCZONWZESTAWIENIUWNIOSKW"/>
      </w:pPr>
    </w:p>
    <w:p w14:paraId="5082D5AE" w14:textId="464C5DEF" w:rsidR="004A4E73" w:rsidRDefault="004A4E73" w:rsidP="00A054FD">
      <w:pPr>
        <w:pStyle w:val="POPIERAJCYPOPRAWKZAMIESZCZONWZESTAWIENIUWNIOSKW"/>
      </w:pPr>
    </w:p>
    <w:p w14:paraId="7ABC7EF9" w14:textId="2C601EE7" w:rsidR="004A4E73" w:rsidRDefault="004A4E73" w:rsidP="00A054FD">
      <w:pPr>
        <w:pStyle w:val="POPIERAJCYPOPRAWKZAMIESZCZONWZESTAWIENIUWNIOSKW"/>
      </w:pPr>
    </w:p>
    <w:p w14:paraId="7D8AC396" w14:textId="77777777" w:rsidR="004A4E73" w:rsidRPr="007A36AD" w:rsidRDefault="004A4E73" w:rsidP="004A4E73">
      <w:pPr>
        <w:pStyle w:val="POPIERAJCYPOPRAWKZAMIESZCZONWZESTAWIENIUWNIOSKW"/>
        <w:rPr>
          <w:color w:val="000000" w:themeColor="text1"/>
        </w:rPr>
      </w:pPr>
    </w:p>
    <w:p w14:paraId="4F7E475B" w14:textId="77777777" w:rsidR="004A4E73" w:rsidRPr="007A36AD" w:rsidRDefault="004A4E73" w:rsidP="004A4E73">
      <w:pPr>
        <w:pStyle w:val="POPIERAJCYPOPRAWKZAMIESZCZONWZESTAWIENIUWNIOSKW"/>
        <w:rPr>
          <w:color w:val="000000" w:themeColor="text1"/>
        </w:rPr>
      </w:pPr>
    </w:p>
    <w:p w14:paraId="3A843D42" w14:textId="77777777" w:rsidR="004A4E73" w:rsidRDefault="004A4E73" w:rsidP="004A4E73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7E2EE696" w14:textId="77777777" w:rsidR="004A4E73" w:rsidRDefault="004A4E73" w:rsidP="004A4E73">
      <w:pPr>
        <w:ind w:left="5103" w:firstLine="4"/>
        <w:rPr>
          <w:rStyle w:val="Ppogrubienie"/>
          <w:color w:val="000000" w:themeColor="text1"/>
        </w:rPr>
      </w:pPr>
    </w:p>
    <w:p w14:paraId="685111FC" w14:textId="77777777" w:rsidR="004A4E73" w:rsidRDefault="004A4E73" w:rsidP="004A4E73">
      <w:pPr>
        <w:ind w:left="5103" w:firstLine="4"/>
        <w:rPr>
          <w:rStyle w:val="Ppogrubienie"/>
          <w:color w:val="000000" w:themeColor="text1"/>
        </w:rPr>
      </w:pPr>
    </w:p>
    <w:p w14:paraId="092BD661" w14:textId="77777777" w:rsidR="004A4E73" w:rsidRDefault="004A4E73" w:rsidP="004A4E73">
      <w:pPr>
        <w:ind w:left="496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71CBF4F1" w14:textId="77777777" w:rsidR="004A4E73" w:rsidRPr="007A36AD" w:rsidRDefault="004A4E73" w:rsidP="004A4E7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7E8E54E9" w14:textId="77777777" w:rsidR="004A4E73" w:rsidRDefault="004A4E73" w:rsidP="00A054FD">
      <w:pPr>
        <w:pStyle w:val="POPIERAJCYPOPRAWKZAMIESZCZONWZESTAWIENIUWNIOSKW"/>
      </w:pPr>
    </w:p>
    <w:p w14:paraId="6A6CF7CB" w14:textId="716B06F4" w:rsidR="004A4E73" w:rsidRDefault="004A4E73" w:rsidP="00A054FD">
      <w:pPr>
        <w:pStyle w:val="POPIERAJCYPOPRAWKZAMIESZCZONWZESTAWIENIUWNIOSKW"/>
      </w:pPr>
    </w:p>
    <w:p w14:paraId="13D3CE6A" w14:textId="77777777" w:rsidR="004A4E73" w:rsidRDefault="004A4E73" w:rsidP="00A054FD">
      <w:pPr>
        <w:pStyle w:val="POPIERAJCYPOPRAWKZAMIESZCZONWZESTAWIENIUWNIOSKW"/>
        <w:sectPr w:rsidR="004A4E73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55299350" w14:textId="77777777" w:rsidR="004A4E73" w:rsidRPr="002F2D2B" w:rsidRDefault="004A4E73" w:rsidP="004A4E73">
      <w:pPr>
        <w:pStyle w:val="OZNRODZAKTUtznustawalubrozporzdzenieiorganwydajcy"/>
        <w:rPr>
          <w:rFonts w:ascii="Times New Roman" w:hAnsi="Times New Roman"/>
        </w:rPr>
      </w:pPr>
      <w:r w:rsidRPr="002F2D2B">
        <w:rPr>
          <w:rFonts w:ascii="Times New Roman" w:hAnsi="Times New Roman"/>
        </w:rPr>
        <w:lastRenderedPageBreak/>
        <w:t>uzasadnienie</w:t>
      </w:r>
    </w:p>
    <w:p w14:paraId="370546F8" w14:textId="77777777" w:rsidR="004A4E73" w:rsidRPr="002F2D2B" w:rsidRDefault="004A4E73" w:rsidP="004A4E73">
      <w:pPr>
        <w:pStyle w:val="DATAAKTUdatauchwalenialubwydaniaaktu"/>
        <w:jc w:val="both"/>
        <w:rPr>
          <w:rFonts w:ascii="Times New Roman" w:hAnsi="Times New Roman" w:cs="Times New Roman"/>
        </w:rPr>
      </w:pPr>
    </w:p>
    <w:p w14:paraId="608068F1" w14:textId="77777777" w:rsidR="004A4E73" w:rsidRPr="00B81D17" w:rsidRDefault="004A4E73" w:rsidP="004A4E73">
      <w:pPr>
        <w:pStyle w:val="NIEARTTEKSTtekstnieartykuowanynppodstprawnarozplubpreambua"/>
        <w:ind w:firstLine="380"/>
      </w:pPr>
      <w:r w:rsidRPr="002F2D2B">
        <w:rPr>
          <w:rFonts w:ascii="Times New Roman" w:hAnsi="Times New Roman" w:cs="Times New Roman"/>
        </w:rPr>
        <w:t xml:space="preserve">Senat – po rozpatrzeniu uchwalonej przez Sejm </w:t>
      </w:r>
      <w:r w:rsidRPr="004758A1">
        <w:t xml:space="preserve">w dniu </w:t>
      </w:r>
      <w:r w:rsidRPr="00211C5B">
        <w:rPr>
          <w:rFonts w:ascii="Times New Roman" w:hAnsi="Times New Roman" w:cs="Times New Roman"/>
          <w:szCs w:val="24"/>
        </w:rPr>
        <w:t xml:space="preserve">18 października 2024 r. </w:t>
      </w:r>
      <w:r w:rsidRPr="004758A1">
        <w:t>ustawy o</w:t>
      </w:r>
      <w:r>
        <w:t> </w:t>
      </w:r>
      <w:r w:rsidRPr="004758A1">
        <w:t xml:space="preserve">zmianie </w:t>
      </w:r>
      <w:r w:rsidRPr="006021CC">
        <w:t xml:space="preserve">ustawy o </w:t>
      </w:r>
      <w:r w:rsidRPr="00211C5B">
        <w:rPr>
          <w:rFonts w:ascii="Times New Roman" w:hAnsi="Times New Roman" w:cs="Times New Roman"/>
          <w:szCs w:val="24"/>
        </w:rPr>
        <w:t>podatku od towarów i usług oraz niektórych innych ustaw</w:t>
      </w:r>
      <w:r>
        <w:rPr>
          <w:rFonts w:ascii="Times New Roman" w:hAnsi="Times New Roman" w:cs="Times New Roman"/>
          <w:szCs w:val="24"/>
        </w:rPr>
        <w:t>,</w:t>
      </w:r>
      <w:r>
        <w:t xml:space="preserve"> </w:t>
      </w:r>
      <w:r w:rsidRPr="002F2D2B">
        <w:rPr>
          <w:rFonts w:ascii="Times New Roman" w:hAnsi="Times New Roman" w:cs="Times New Roman"/>
        </w:rPr>
        <w:t xml:space="preserve">określanej dalej jako „ustawa” – wprowadził do jej tekstu </w:t>
      </w:r>
      <w:r>
        <w:rPr>
          <w:rFonts w:ascii="Times New Roman" w:hAnsi="Times New Roman" w:cs="Times New Roman"/>
        </w:rPr>
        <w:t>5 poprawek.</w:t>
      </w:r>
    </w:p>
    <w:p w14:paraId="3946BF04" w14:textId="77777777" w:rsidR="004A4E73" w:rsidRPr="002F2D2B" w:rsidRDefault="004A4E73" w:rsidP="004A4E73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A1AD1A5" w14:textId="77777777" w:rsidR="004A4E73" w:rsidRPr="00B81D17" w:rsidRDefault="004A4E73" w:rsidP="004A4E73">
      <w:pPr>
        <w:pStyle w:val="ARTartustawynprozporzdzenia"/>
        <w:spacing w:before="0" w:after="120"/>
        <w:ind w:firstLine="380"/>
        <w:rPr>
          <w:rStyle w:val="Kkursywa"/>
          <w:rFonts w:ascii="Times New Roman" w:hAnsi="Times New Roman" w:cs="Times New Roman"/>
          <w:bCs/>
          <w:i w:val="0"/>
          <w:szCs w:val="24"/>
        </w:rPr>
      </w:pPr>
      <w:r>
        <w:rPr>
          <w:rStyle w:val="Ppogrubienie"/>
        </w:rPr>
        <w:t>1. </w:t>
      </w:r>
      <w:r w:rsidRPr="00211C5B">
        <w:rPr>
          <w:rFonts w:ascii="Times New Roman" w:hAnsi="Times New Roman" w:cs="Times New Roman"/>
          <w:szCs w:val="24"/>
        </w:rPr>
        <w:t xml:space="preserve">Sformułowane w art. 1 pkt 16 lit. b oraz art. 5 pkt 1 ustawy polecenia nowelizacyjne wymagają dostosowania do </w:t>
      </w:r>
      <w:r w:rsidRPr="00211C5B">
        <w:rPr>
          <w:rStyle w:val="Ppogrubienie"/>
          <w:rFonts w:ascii="Times New Roman" w:hAnsi="Times New Roman" w:cs="Times New Roman"/>
          <w:b w:val="0"/>
          <w:bCs/>
          <w:szCs w:val="24"/>
        </w:rPr>
        <w:t xml:space="preserve">§ 87 ust. 3 </w:t>
      </w:r>
      <w:r w:rsidRPr="00211C5B">
        <w:rPr>
          <w:rFonts w:ascii="Times New Roman" w:hAnsi="Times New Roman" w:cs="Times New Roman"/>
          <w:bCs/>
          <w:szCs w:val="24"/>
        </w:rPr>
        <w:t>„Zasad techniki prawodawczej”. Zgodnie z tym przepisem</w:t>
      </w:r>
      <w:r>
        <w:rPr>
          <w:rFonts w:ascii="Times New Roman" w:hAnsi="Times New Roman" w:cs="Times New Roman"/>
          <w:bCs/>
          <w:szCs w:val="24"/>
        </w:rPr>
        <w:t>,</w:t>
      </w:r>
      <w:r w:rsidRPr="00211C5B">
        <w:rPr>
          <w:rFonts w:ascii="Times New Roman" w:hAnsi="Times New Roman" w:cs="Times New Roman"/>
          <w:bCs/>
          <w:szCs w:val="24"/>
        </w:rPr>
        <w:t xml:space="preserve"> </w:t>
      </w:r>
      <w:r w:rsidRPr="00211C5B">
        <w:rPr>
          <w:rFonts w:ascii="Times New Roman" w:hAnsi="Times New Roman" w:cs="Times New Roman"/>
          <w:szCs w:val="24"/>
        </w:rPr>
        <w:t>jeżeli zmiana przepisu ustawy polega na zastąpieniu w nim niektórych wyrazów, a</w:t>
      </w:r>
      <w:r>
        <w:rPr>
          <w:rFonts w:ascii="Times New Roman" w:hAnsi="Times New Roman" w:cs="Times New Roman"/>
          <w:szCs w:val="24"/>
        </w:rPr>
        <w:t> </w:t>
      </w:r>
      <w:r w:rsidRPr="00211C5B">
        <w:rPr>
          <w:rFonts w:ascii="Times New Roman" w:hAnsi="Times New Roman" w:cs="Times New Roman"/>
          <w:szCs w:val="24"/>
        </w:rPr>
        <w:t>sprzyja to wyrażeniu intencji prawodawcy w sposób zrozumiały dla adresatów, można nie przytaczać jego pełnego nowego brzmienia, lecz wskazać jednoznacznie dokonywaną zmianę, stosując zwrot: „wyrazy „...”</w:t>
      </w:r>
      <w:r>
        <w:rPr>
          <w:rFonts w:ascii="Times New Roman" w:hAnsi="Times New Roman" w:cs="Times New Roman"/>
          <w:szCs w:val="24"/>
        </w:rPr>
        <w:t xml:space="preserve"> </w:t>
      </w:r>
      <w:r w:rsidRPr="00211C5B">
        <w:rPr>
          <w:rFonts w:ascii="Times New Roman" w:hAnsi="Times New Roman" w:cs="Times New Roman"/>
          <w:szCs w:val="24"/>
        </w:rPr>
        <w:t xml:space="preserve">zastępuje się wyrazami „...””. </w:t>
      </w:r>
      <w:r w:rsidRPr="00211C5B">
        <w:rPr>
          <w:rFonts w:ascii="Times New Roman" w:hAnsi="Times New Roman" w:cs="Times New Roman"/>
          <w:bCs/>
          <w:szCs w:val="24"/>
        </w:rPr>
        <w:t>Z</w:t>
      </w:r>
      <w:r w:rsidRPr="00211C5B">
        <w:rPr>
          <w:rFonts w:ascii="Times New Roman" w:hAnsi="Times New Roman" w:cs="Times New Roman"/>
          <w:szCs w:val="24"/>
        </w:rPr>
        <w:t>astosowanie techniki legislacyjnej, którą posługują się przepisy art. 1 pkt 16 lit. b oraz art. 5 pkt 1 ustawy („użyte w</w:t>
      </w:r>
      <w:r>
        <w:rPr>
          <w:rFonts w:ascii="Times New Roman" w:hAnsi="Times New Roman" w:cs="Times New Roman"/>
          <w:szCs w:val="24"/>
        </w:rPr>
        <w:t> </w:t>
      </w:r>
      <w:r w:rsidRPr="00211C5B">
        <w:rPr>
          <w:rFonts w:ascii="Times New Roman" w:hAnsi="Times New Roman" w:cs="Times New Roman"/>
          <w:szCs w:val="24"/>
        </w:rPr>
        <w:t xml:space="preserve">art. ... wyrazy „...” zastępuje się wyrazami „...””), jest uwarunkowane (stosownie do </w:t>
      </w:r>
      <w:r w:rsidRPr="00211C5B">
        <w:rPr>
          <w:rFonts w:ascii="Times New Roman" w:hAnsi="Times New Roman" w:cs="Times New Roman"/>
          <w:bCs/>
          <w:szCs w:val="24"/>
        </w:rPr>
        <w:t>§ 88 ust.</w:t>
      </w:r>
      <w:r>
        <w:rPr>
          <w:rFonts w:ascii="Times New Roman" w:hAnsi="Times New Roman" w:cs="Times New Roman"/>
          <w:bCs/>
          <w:szCs w:val="24"/>
        </w:rPr>
        <w:t> </w:t>
      </w:r>
      <w:r w:rsidRPr="00211C5B">
        <w:rPr>
          <w:rFonts w:ascii="Times New Roman" w:hAnsi="Times New Roman" w:cs="Times New Roman"/>
          <w:bCs/>
          <w:szCs w:val="24"/>
        </w:rPr>
        <w:t xml:space="preserve">1 „Zasad techniki prawodawczej”) </w:t>
      </w:r>
      <w:r w:rsidRPr="00211C5B">
        <w:rPr>
          <w:rFonts w:ascii="Times New Roman" w:hAnsi="Times New Roman" w:cs="Times New Roman"/>
          <w:szCs w:val="24"/>
        </w:rPr>
        <w:t>występowaniem zmienianego określenia „</w:t>
      </w:r>
      <w:r w:rsidRPr="00211C5B">
        <w:rPr>
          <w:rFonts w:ascii="Times New Roman" w:hAnsi="Times New Roman" w:cs="Times New Roman"/>
          <w:szCs w:val="24"/>
          <w:u w:val="single"/>
        </w:rPr>
        <w:t>w wielu przepisach</w:t>
      </w:r>
      <w:r w:rsidRPr="00211C5B">
        <w:rPr>
          <w:rFonts w:ascii="Times New Roman" w:hAnsi="Times New Roman" w:cs="Times New Roman"/>
          <w:szCs w:val="24"/>
        </w:rPr>
        <w:t xml:space="preserve"> zmienianej ustawy”. Trudno uznać, że warunek ten został spełniony, skoro zarówno art. 1 pkt</w:t>
      </w:r>
      <w:r>
        <w:rPr>
          <w:rFonts w:ascii="Times New Roman" w:hAnsi="Times New Roman" w:cs="Times New Roman"/>
          <w:szCs w:val="24"/>
        </w:rPr>
        <w:t xml:space="preserve"> </w:t>
      </w:r>
      <w:r w:rsidRPr="00211C5B">
        <w:rPr>
          <w:rFonts w:ascii="Times New Roman" w:hAnsi="Times New Roman" w:cs="Times New Roman"/>
          <w:szCs w:val="24"/>
        </w:rPr>
        <w:t>16 lit. b, jak również art. 5 pkt 1 ustawy dokonują zmian w dwóch jednostkach redakcyjnych.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211C5B">
        <w:rPr>
          <w:rFonts w:ascii="Times New Roman" w:hAnsi="Times New Roman" w:cs="Times New Roman"/>
          <w:szCs w:val="24"/>
        </w:rPr>
        <w:t>Mając zatem na uwadze konieczność respektowania § 87 ust. 3 „Zasad techniki prawodawczej”,</w:t>
      </w:r>
      <w:r>
        <w:rPr>
          <w:rFonts w:ascii="Times New Roman" w:hAnsi="Times New Roman" w:cs="Times New Roman"/>
          <w:szCs w:val="24"/>
        </w:rPr>
        <w:t xml:space="preserve"> Senat uchwalił poprawki </w:t>
      </w:r>
      <w:r w:rsidRPr="00B81D17">
        <w:rPr>
          <w:rStyle w:val="Ppogrubienie"/>
        </w:rPr>
        <w:t>nr 1 i 2</w:t>
      </w:r>
      <w:r>
        <w:rPr>
          <w:rFonts w:ascii="Times New Roman" w:hAnsi="Times New Roman" w:cs="Times New Roman"/>
          <w:szCs w:val="24"/>
        </w:rPr>
        <w:t>.</w:t>
      </w:r>
    </w:p>
    <w:p w14:paraId="21E994F0" w14:textId="77777777" w:rsidR="004A4E73" w:rsidRDefault="004A4E73" w:rsidP="004A4E73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1903878B" w14:textId="77777777" w:rsidR="004A4E73" w:rsidRDefault="004A4E73" w:rsidP="004A4E73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713DAB">
        <w:rPr>
          <w:rStyle w:val="Ppogrubienie"/>
          <w:rFonts w:ascii="Times New Roman" w:hAnsi="Times New Roman" w:cs="Times New Roman"/>
          <w:szCs w:val="24"/>
        </w:rPr>
        <w:t>2. </w:t>
      </w:r>
      <w:r w:rsidRPr="00211C5B">
        <w:rPr>
          <w:rFonts w:ascii="Times New Roman" w:hAnsi="Times New Roman" w:cs="Times New Roman"/>
          <w:szCs w:val="24"/>
        </w:rPr>
        <w:t>Przepis art. 6 ustawy nakazuje stosować art. 113 ust. 2 ustawy o podatku od</w:t>
      </w:r>
      <w:r>
        <w:rPr>
          <w:rFonts w:ascii="Times New Roman" w:hAnsi="Times New Roman" w:cs="Times New Roman"/>
          <w:szCs w:val="24"/>
        </w:rPr>
        <w:t xml:space="preserve"> </w:t>
      </w:r>
      <w:r w:rsidRPr="00211C5B">
        <w:rPr>
          <w:rFonts w:ascii="Times New Roman" w:hAnsi="Times New Roman" w:cs="Times New Roman"/>
          <w:szCs w:val="24"/>
        </w:rPr>
        <w:t>towarów i</w:t>
      </w:r>
      <w:r>
        <w:rPr>
          <w:rFonts w:ascii="Times New Roman" w:hAnsi="Times New Roman" w:cs="Times New Roman"/>
          <w:szCs w:val="24"/>
        </w:rPr>
        <w:t> </w:t>
      </w:r>
      <w:r w:rsidRPr="00211C5B">
        <w:rPr>
          <w:rFonts w:ascii="Times New Roman" w:hAnsi="Times New Roman" w:cs="Times New Roman"/>
          <w:szCs w:val="24"/>
        </w:rPr>
        <w:t>usług, w brzmieniu dotychczasowym, „na potrzeby stosowania zwolnień, o</w:t>
      </w:r>
      <w:r>
        <w:rPr>
          <w:rFonts w:ascii="Times New Roman" w:hAnsi="Times New Roman" w:cs="Times New Roman"/>
          <w:szCs w:val="24"/>
        </w:rPr>
        <w:t xml:space="preserve"> </w:t>
      </w:r>
      <w:r w:rsidRPr="00211C5B">
        <w:rPr>
          <w:rFonts w:ascii="Times New Roman" w:hAnsi="Times New Roman" w:cs="Times New Roman"/>
          <w:szCs w:val="24"/>
        </w:rPr>
        <w:t>których mowa w</w:t>
      </w:r>
      <w:r>
        <w:rPr>
          <w:rFonts w:ascii="Times New Roman" w:hAnsi="Times New Roman" w:cs="Times New Roman"/>
          <w:szCs w:val="24"/>
        </w:rPr>
        <w:t> </w:t>
      </w:r>
      <w:r w:rsidRPr="00211C5B">
        <w:rPr>
          <w:rFonts w:ascii="Times New Roman" w:hAnsi="Times New Roman" w:cs="Times New Roman"/>
          <w:szCs w:val="24"/>
        </w:rPr>
        <w:t>art. 113 ust. 1 i 9, art. 113a ust. 1 i art. 113b ust. 1, do określenia wartości sprzedaży za 2024</w:t>
      </w:r>
      <w:r>
        <w:rPr>
          <w:rFonts w:ascii="Times New Roman" w:hAnsi="Times New Roman" w:cs="Times New Roman"/>
          <w:szCs w:val="24"/>
        </w:rPr>
        <w:t> </w:t>
      </w:r>
      <w:r w:rsidRPr="00211C5B">
        <w:rPr>
          <w:rFonts w:ascii="Times New Roman" w:hAnsi="Times New Roman" w:cs="Times New Roman"/>
          <w:szCs w:val="24"/>
        </w:rPr>
        <w:t>r.”. Powołane wyliczenie wymaga jednak uzupełnienia o wskazanie aktu normatywnego, do którego następuje odesłanie.</w:t>
      </w:r>
      <w:r>
        <w:rPr>
          <w:rFonts w:ascii="Times New Roman" w:hAnsi="Times New Roman" w:cs="Times New Roman"/>
          <w:szCs w:val="24"/>
        </w:rPr>
        <w:t xml:space="preserve"> W tym celu Senat uchwalił poprawkę </w:t>
      </w:r>
      <w:r w:rsidRPr="00B81D17">
        <w:rPr>
          <w:rStyle w:val="Ppogrubienie"/>
        </w:rPr>
        <w:t>nr 3</w:t>
      </w:r>
      <w:r>
        <w:rPr>
          <w:rFonts w:ascii="Times New Roman" w:hAnsi="Times New Roman" w:cs="Times New Roman"/>
          <w:szCs w:val="24"/>
        </w:rPr>
        <w:t>.</w:t>
      </w:r>
    </w:p>
    <w:p w14:paraId="3773967F" w14:textId="77777777" w:rsidR="004A4E73" w:rsidRDefault="004A4E73" w:rsidP="004A4E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</w:p>
    <w:p w14:paraId="6861460C" w14:textId="77777777" w:rsidR="004A4E73" w:rsidRDefault="004A4E73" w:rsidP="004A4E73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B81D17">
        <w:rPr>
          <w:rStyle w:val="Ppogrubienie"/>
        </w:rPr>
        <w:t>3. </w:t>
      </w:r>
      <w:r w:rsidRPr="00211C5B">
        <w:rPr>
          <w:rFonts w:ascii="Times New Roman" w:hAnsi="Times New Roman" w:cs="Times New Roman"/>
          <w:szCs w:val="24"/>
        </w:rPr>
        <w:t>W świetle podnoszonej w doktrynie</w:t>
      </w:r>
      <w:r w:rsidRPr="00211C5B">
        <w:rPr>
          <w:rStyle w:val="Odwoanieprzypisudolnego"/>
          <w:rFonts w:ascii="Times New Roman" w:hAnsi="Times New Roman"/>
          <w:szCs w:val="24"/>
        </w:rPr>
        <w:footnoteReference w:id="1"/>
      </w:r>
      <w:r w:rsidRPr="00211C5B">
        <w:rPr>
          <w:rFonts w:ascii="Times New Roman" w:hAnsi="Times New Roman" w:cs="Times New Roman"/>
          <w:szCs w:val="24"/>
        </w:rPr>
        <w:t xml:space="preserve"> oraz w praktyce legislacji</w:t>
      </w:r>
      <w:r w:rsidRPr="00211C5B">
        <w:rPr>
          <w:rStyle w:val="Odwoanieprzypisudolnego"/>
          <w:rFonts w:ascii="Times New Roman" w:hAnsi="Times New Roman"/>
          <w:szCs w:val="24"/>
        </w:rPr>
        <w:footnoteReference w:id="2"/>
      </w:r>
      <w:r w:rsidRPr="00211C5B">
        <w:rPr>
          <w:rFonts w:ascii="Times New Roman" w:hAnsi="Times New Roman" w:cs="Times New Roman"/>
          <w:szCs w:val="24"/>
        </w:rPr>
        <w:t xml:space="preserve"> wieloznaczności czasownika modalnego „powinien”, a także mając na względzie konieczność stosowania </w:t>
      </w:r>
      <w:r w:rsidRPr="00211C5B">
        <w:rPr>
          <w:rFonts w:ascii="Times New Roman" w:hAnsi="Times New Roman" w:cs="Times New Roman"/>
          <w:szCs w:val="24"/>
        </w:rPr>
        <w:lastRenderedPageBreak/>
        <w:t>w ustawie jednolitych konstrukcj</w:t>
      </w:r>
      <w:r>
        <w:rPr>
          <w:rFonts w:ascii="Times New Roman" w:hAnsi="Times New Roman" w:cs="Times New Roman"/>
          <w:szCs w:val="24"/>
        </w:rPr>
        <w:t>i</w:t>
      </w:r>
      <w:r w:rsidRPr="00211C5B">
        <w:rPr>
          <w:rFonts w:ascii="Times New Roman" w:hAnsi="Times New Roman" w:cs="Times New Roman"/>
          <w:szCs w:val="24"/>
        </w:rPr>
        <w:t xml:space="preserve"> normatywnych, postulować należy, aby </w:t>
      </w:r>
      <w:r>
        <w:rPr>
          <w:rFonts w:ascii="Times New Roman" w:hAnsi="Times New Roman" w:cs="Times New Roman"/>
          <w:szCs w:val="24"/>
        </w:rPr>
        <w:t xml:space="preserve">w </w:t>
      </w:r>
      <w:r w:rsidRPr="00211C5B">
        <w:rPr>
          <w:rFonts w:ascii="Times New Roman" w:hAnsi="Times New Roman" w:cs="Times New Roman"/>
          <w:szCs w:val="24"/>
        </w:rPr>
        <w:t xml:space="preserve">art. 8 ust. 2 ustawy </w:t>
      </w:r>
      <w:r>
        <w:rPr>
          <w:rFonts w:ascii="Times New Roman" w:hAnsi="Times New Roman" w:cs="Times New Roman"/>
          <w:szCs w:val="24"/>
        </w:rPr>
        <w:t xml:space="preserve">wyrazy </w:t>
      </w:r>
      <w:r w:rsidRPr="00211C5B">
        <w:rPr>
          <w:rFonts w:ascii="Times New Roman" w:hAnsi="Times New Roman" w:cs="Times New Roman"/>
          <w:szCs w:val="24"/>
        </w:rPr>
        <w:t>„powinien złożyć zawiadomienie” zast</w:t>
      </w:r>
      <w:r>
        <w:rPr>
          <w:rFonts w:ascii="Times New Roman" w:hAnsi="Times New Roman" w:cs="Times New Roman"/>
          <w:szCs w:val="24"/>
        </w:rPr>
        <w:t>ąpić</w:t>
      </w:r>
      <w:r w:rsidRPr="00211C5B">
        <w:rPr>
          <w:rFonts w:ascii="Times New Roman" w:hAnsi="Times New Roman" w:cs="Times New Roman"/>
          <w:szCs w:val="24"/>
        </w:rPr>
        <w:t xml:space="preserve"> wyrazami „jest obowiązany złożyć zawiadomienie”.</w:t>
      </w:r>
      <w:r>
        <w:rPr>
          <w:rFonts w:ascii="Times New Roman" w:hAnsi="Times New Roman" w:cs="Times New Roman"/>
          <w:szCs w:val="24"/>
        </w:rPr>
        <w:t xml:space="preserve"> Mając to na uwadze, Senat uchwalił poprawkę </w:t>
      </w:r>
      <w:r w:rsidRPr="00B81D17">
        <w:rPr>
          <w:rStyle w:val="Ppogrubienie"/>
        </w:rPr>
        <w:t>nr 4</w:t>
      </w:r>
      <w:r>
        <w:rPr>
          <w:rFonts w:ascii="Times New Roman" w:hAnsi="Times New Roman" w:cs="Times New Roman"/>
          <w:szCs w:val="24"/>
        </w:rPr>
        <w:t>.</w:t>
      </w:r>
    </w:p>
    <w:p w14:paraId="76C9383C" w14:textId="77777777" w:rsidR="004A4E73" w:rsidRDefault="004A4E73" w:rsidP="004A4E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</w:p>
    <w:p w14:paraId="207F5BFF" w14:textId="77777777" w:rsidR="004A4E73" w:rsidRPr="00211C5B" w:rsidRDefault="004A4E73" w:rsidP="004A4E73">
      <w:pPr>
        <w:pStyle w:val="ARTartustawynprozporzdzenia"/>
        <w:ind w:firstLine="380"/>
        <w:rPr>
          <w:rFonts w:ascii="Times New Roman" w:hAnsi="Times New Roman" w:cs="Times New Roman"/>
          <w:szCs w:val="24"/>
        </w:rPr>
      </w:pPr>
      <w:r w:rsidRPr="00B81D17">
        <w:rPr>
          <w:rStyle w:val="Ppogrubienie"/>
        </w:rPr>
        <w:t>4. </w:t>
      </w:r>
      <w:r w:rsidRPr="00211C5B">
        <w:rPr>
          <w:rFonts w:ascii="Times New Roman" w:hAnsi="Times New Roman" w:cs="Times New Roman"/>
          <w:szCs w:val="24"/>
        </w:rPr>
        <w:t>Przepisy art. 5 w związku z art. 10 ustawy zmieniają z dniem 1 stycznia 2025 r. przepisy ustawy z dnia 16 czerwca 2023 r. o zmianie ustawy o podatku od towarów i</w:t>
      </w:r>
      <w:r>
        <w:rPr>
          <w:rFonts w:ascii="Times New Roman" w:hAnsi="Times New Roman" w:cs="Times New Roman"/>
          <w:szCs w:val="24"/>
        </w:rPr>
        <w:t xml:space="preserve"> </w:t>
      </w:r>
      <w:r w:rsidRPr="00211C5B">
        <w:rPr>
          <w:rFonts w:ascii="Times New Roman" w:hAnsi="Times New Roman" w:cs="Times New Roman"/>
          <w:szCs w:val="24"/>
        </w:rPr>
        <w:t>usług oraz niektórych innych ustaw, które wchodzą w życie z dniem 1 lutego 2026 r. Tymczasem zgodnie z § 91 ust. 3 „Zasad techniki prawodawczej”</w:t>
      </w:r>
      <w:r>
        <w:rPr>
          <w:rFonts w:ascii="Times New Roman" w:hAnsi="Times New Roman" w:cs="Times New Roman"/>
          <w:szCs w:val="24"/>
        </w:rPr>
        <w:t>,</w:t>
      </w:r>
      <w:r w:rsidRPr="00211C5B">
        <w:rPr>
          <w:rFonts w:ascii="Times New Roman" w:hAnsi="Times New Roman" w:cs="Times New Roman"/>
          <w:szCs w:val="24"/>
        </w:rPr>
        <w:t xml:space="preserve"> jeżeli nowelizuje się przepisy zmieniające ogłoszonej ustawy w okresie ich </w:t>
      </w:r>
      <w:r w:rsidRPr="00211C5B">
        <w:rPr>
          <w:rStyle w:val="Kkursywa"/>
          <w:rFonts w:ascii="Times New Roman" w:hAnsi="Times New Roman" w:cs="Times New Roman"/>
          <w:szCs w:val="24"/>
        </w:rPr>
        <w:t>vacatio legis</w:t>
      </w:r>
      <w:r w:rsidRPr="00211C5B">
        <w:rPr>
          <w:rFonts w:ascii="Times New Roman" w:hAnsi="Times New Roman" w:cs="Times New Roman"/>
          <w:szCs w:val="24"/>
        </w:rPr>
        <w:t>, to nowelizację tę „</w:t>
      </w:r>
      <w:r w:rsidRPr="00211C5B">
        <w:rPr>
          <w:rFonts w:ascii="Times New Roman" w:hAnsi="Times New Roman" w:cs="Times New Roman"/>
          <w:szCs w:val="24"/>
          <w:u w:val="single"/>
        </w:rPr>
        <w:t>wprowadza się w życie z</w:t>
      </w:r>
      <w:r>
        <w:rPr>
          <w:rFonts w:ascii="Times New Roman" w:hAnsi="Times New Roman" w:cs="Times New Roman"/>
          <w:szCs w:val="24"/>
          <w:u w:val="single"/>
        </w:rPr>
        <w:t> </w:t>
      </w:r>
      <w:r w:rsidRPr="00211C5B">
        <w:rPr>
          <w:rFonts w:ascii="Times New Roman" w:hAnsi="Times New Roman" w:cs="Times New Roman"/>
          <w:szCs w:val="24"/>
          <w:u w:val="single"/>
        </w:rPr>
        <w:t>dniem wejścia w życie tych przepisów zmieniających</w:t>
      </w:r>
      <w:r w:rsidRPr="00211C5B">
        <w:rPr>
          <w:rFonts w:ascii="Times New Roman" w:hAnsi="Times New Roman" w:cs="Times New Roman"/>
          <w:szCs w:val="24"/>
        </w:rPr>
        <w:t xml:space="preserve">”. </w:t>
      </w:r>
      <w:r>
        <w:rPr>
          <w:rFonts w:ascii="Times New Roman" w:hAnsi="Times New Roman" w:cs="Times New Roman"/>
          <w:szCs w:val="24"/>
        </w:rPr>
        <w:t xml:space="preserve">W tym stanie rzeczy Senat uchwalił poprawkę </w:t>
      </w:r>
      <w:r w:rsidRPr="00F5025D">
        <w:rPr>
          <w:rStyle w:val="Ppogrubienie"/>
        </w:rPr>
        <w:t>nr 5</w:t>
      </w:r>
      <w:r>
        <w:rPr>
          <w:rFonts w:ascii="Times New Roman" w:hAnsi="Times New Roman" w:cs="Times New Roman"/>
          <w:szCs w:val="24"/>
        </w:rPr>
        <w:t>.</w:t>
      </w:r>
    </w:p>
    <w:p w14:paraId="31F6A12C" w14:textId="10DD4604" w:rsidR="004A4E73" w:rsidRPr="00737F6A" w:rsidRDefault="004A4E73" w:rsidP="00A054FD">
      <w:pPr>
        <w:pStyle w:val="POPIERAJCYPOPRAWKZAMIESZCZONWZESTAWIENIUWNIOSKW"/>
      </w:pPr>
    </w:p>
    <w:sectPr w:rsidR="004A4E73" w:rsidRPr="00737F6A" w:rsidSect="004A4E73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  <w:footnote w:id="1">
    <w:p w14:paraId="50F90566" w14:textId="77777777" w:rsidR="004A4E73" w:rsidRPr="001E712A" w:rsidRDefault="004A4E73" w:rsidP="004A4E73">
      <w:pPr>
        <w:pStyle w:val="Tekstprzypisudolnego"/>
        <w:spacing w:line="240" w:lineRule="auto"/>
        <w:rPr>
          <w:rStyle w:val="Kkursywa"/>
          <w:rFonts w:ascii="Times New Roman" w:hAnsi="Times New Roman"/>
          <w:i w:val="0"/>
          <w:sz w:val="20"/>
          <w:szCs w:val="20"/>
        </w:rPr>
      </w:pPr>
      <w:r w:rsidRPr="001E712A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1E712A">
        <w:rPr>
          <w:rFonts w:ascii="Times New Roman" w:hAnsi="Times New Roman"/>
          <w:sz w:val="20"/>
          <w:szCs w:val="20"/>
        </w:rPr>
        <w:t xml:space="preserve"> M. Zieliński: </w:t>
      </w:r>
      <w:r w:rsidRPr="001E712A">
        <w:rPr>
          <w:rStyle w:val="Kkursywa"/>
          <w:rFonts w:ascii="Times New Roman" w:hAnsi="Times New Roman"/>
          <w:sz w:val="20"/>
          <w:szCs w:val="20"/>
        </w:rPr>
        <w:t>Wykładnia prawa. Zasady. Reguły. Wskazówki</w:t>
      </w:r>
      <w:r w:rsidRPr="001E712A">
        <w:rPr>
          <w:rStyle w:val="Kkursywa"/>
          <w:rFonts w:ascii="Times New Roman" w:hAnsi="Times New Roman"/>
          <w:i w:val="0"/>
          <w:sz w:val="20"/>
          <w:szCs w:val="20"/>
        </w:rPr>
        <w:t>, Warszawa 2002, str. 154–157.</w:t>
      </w:r>
    </w:p>
  </w:footnote>
  <w:footnote w:id="2">
    <w:p w14:paraId="7C5109FF" w14:textId="77777777" w:rsidR="004A4E73" w:rsidRPr="001E712A" w:rsidRDefault="004A4E73" w:rsidP="004A4E73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sz w:val="20"/>
        </w:rPr>
      </w:pPr>
      <w:r w:rsidRPr="001E712A">
        <w:rPr>
          <w:rStyle w:val="Odwoanieprzypisudolnego"/>
          <w:rFonts w:ascii="Times New Roman" w:hAnsi="Times New Roman"/>
          <w:sz w:val="20"/>
        </w:rPr>
        <w:footnoteRef/>
      </w:r>
      <w:r w:rsidRPr="001E712A">
        <w:rPr>
          <w:rFonts w:ascii="Times New Roman" w:hAnsi="Times New Roman" w:cs="Times New Roman"/>
          <w:sz w:val="20"/>
        </w:rPr>
        <w:t xml:space="preserve"> W. Paluch: </w:t>
      </w:r>
      <w:r w:rsidRPr="001E712A">
        <w:rPr>
          <w:rStyle w:val="Kkursywa"/>
          <w:rFonts w:ascii="Times New Roman" w:hAnsi="Times New Roman" w:cs="Times New Roman"/>
          <w:sz w:val="20"/>
        </w:rPr>
        <w:t>Formułowanie przepisów o charakterze obligatoryjnym w zakresie czasownika (modalnego) „powinien”</w:t>
      </w:r>
      <w:r w:rsidRPr="001E712A">
        <w:rPr>
          <w:rFonts w:ascii="Times New Roman" w:eastAsia="Times New Roman" w:hAnsi="Times New Roman" w:cs="Times New Roman"/>
          <w:color w:val="000000"/>
          <w:sz w:val="20"/>
        </w:rPr>
        <w:t xml:space="preserve"> [w:] </w:t>
      </w:r>
      <w:r w:rsidRPr="001E712A">
        <w:rPr>
          <w:rStyle w:val="Kkursywa"/>
          <w:rFonts w:ascii="Times New Roman" w:hAnsi="Times New Roman" w:cs="Times New Roman"/>
          <w:sz w:val="20"/>
        </w:rPr>
        <w:t>Dobre praktyki legislacyjne</w:t>
      </w:r>
      <w:r w:rsidRPr="001E712A">
        <w:rPr>
          <w:rFonts w:ascii="Times New Roman" w:eastAsia="Times New Roman" w:hAnsi="Times New Roman" w:cs="Times New Roman"/>
          <w:color w:val="000000"/>
          <w:sz w:val="20"/>
        </w:rPr>
        <w:t>, Warszawa 2010, str. 93–95.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63B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A4E73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5FA"/>
    <w:multiLevelType w:val="hybridMultilevel"/>
    <w:tmpl w:val="B3066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70"/>
    <w:multiLevelType w:val="hybridMultilevel"/>
    <w:tmpl w:val="138E82E6"/>
    <w:lvl w:ilvl="0" w:tplc="7E2CDA70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9813F7B"/>
    <w:multiLevelType w:val="hybridMultilevel"/>
    <w:tmpl w:val="33E42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7526"/>
    <w:multiLevelType w:val="hybridMultilevel"/>
    <w:tmpl w:val="2E387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12EE"/>
    <w:multiLevelType w:val="hybridMultilevel"/>
    <w:tmpl w:val="E32EDD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57E34"/>
    <w:multiLevelType w:val="hybridMultilevel"/>
    <w:tmpl w:val="E51C22B6"/>
    <w:lvl w:ilvl="0" w:tplc="3598927A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EF50F7"/>
    <w:multiLevelType w:val="hybridMultilevel"/>
    <w:tmpl w:val="C2D625D4"/>
    <w:lvl w:ilvl="0" w:tplc="63D66C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6F1"/>
    <w:multiLevelType w:val="hybridMultilevel"/>
    <w:tmpl w:val="DF8E0952"/>
    <w:lvl w:ilvl="0" w:tplc="36166B26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C76"/>
    <w:multiLevelType w:val="hybridMultilevel"/>
    <w:tmpl w:val="62C46CD2"/>
    <w:lvl w:ilvl="0" w:tplc="8E6A0A3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4DD2"/>
    <w:multiLevelType w:val="hybridMultilevel"/>
    <w:tmpl w:val="E7E4C91A"/>
    <w:lvl w:ilvl="0" w:tplc="036202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752AE"/>
    <w:multiLevelType w:val="hybridMultilevel"/>
    <w:tmpl w:val="55180A8E"/>
    <w:lvl w:ilvl="0" w:tplc="5134A06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04A41"/>
    <w:multiLevelType w:val="hybridMultilevel"/>
    <w:tmpl w:val="D1683514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220E1"/>
    <w:multiLevelType w:val="hybridMultilevel"/>
    <w:tmpl w:val="1A162AD6"/>
    <w:lvl w:ilvl="0" w:tplc="EB7208D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01511"/>
    <w:multiLevelType w:val="hybridMultilevel"/>
    <w:tmpl w:val="AD9CB7F2"/>
    <w:lvl w:ilvl="0" w:tplc="90A6927E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CAE385A"/>
    <w:multiLevelType w:val="hybridMultilevel"/>
    <w:tmpl w:val="9E20E188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DF5004"/>
    <w:multiLevelType w:val="hybridMultilevel"/>
    <w:tmpl w:val="D382E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D2A03"/>
    <w:multiLevelType w:val="hybridMultilevel"/>
    <w:tmpl w:val="EC6A50DE"/>
    <w:lvl w:ilvl="0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037E19"/>
    <w:multiLevelType w:val="hybridMultilevel"/>
    <w:tmpl w:val="EDDCC3BE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3526FA"/>
    <w:multiLevelType w:val="hybridMultilevel"/>
    <w:tmpl w:val="6848ECC0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3C7B0574"/>
    <w:multiLevelType w:val="hybridMultilevel"/>
    <w:tmpl w:val="BFC80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295"/>
    <w:multiLevelType w:val="hybridMultilevel"/>
    <w:tmpl w:val="3FE24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F406F"/>
    <w:multiLevelType w:val="hybridMultilevel"/>
    <w:tmpl w:val="5E4C0856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A49B2"/>
    <w:multiLevelType w:val="hybridMultilevel"/>
    <w:tmpl w:val="54E8E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4D7B6F"/>
    <w:multiLevelType w:val="hybridMultilevel"/>
    <w:tmpl w:val="3718E29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4A3774CF"/>
    <w:multiLevelType w:val="hybridMultilevel"/>
    <w:tmpl w:val="E36A0BF6"/>
    <w:lvl w:ilvl="0" w:tplc="5E30E7C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47A92"/>
    <w:multiLevelType w:val="hybridMultilevel"/>
    <w:tmpl w:val="0366BB0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55A15C5A"/>
    <w:multiLevelType w:val="hybridMultilevel"/>
    <w:tmpl w:val="226CF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CE1A83"/>
    <w:multiLevelType w:val="hybridMultilevel"/>
    <w:tmpl w:val="A01CDC7C"/>
    <w:lvl w:ilvl="0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895E67"/>
    <w:multiLevelType w:val="hybridMultilevel"/>
    <w:tmpl w:val="D2BE6496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246B0"/>
    <w:multiLevelType w:val="hybridMultilevel"/>
    <w:tmpl w:val="3CDAF69C"/>
    <w:lvl w:ilvl="0" w:tplc="C0E83556">
      <w:start w:val="3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14216"/>
    <w:multiLevelType w:val="hybridMultilevel"/>
    <w:tmpl w:val="32C060CE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36C35"/>
    <w:multiLevelType w:val="hybridMultilevel"/>
    <w:tmpl w:val="EAAC8F9A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6451E"/>
    <w:multiLevelType w:val="hybridMultilevel"/>
    <w:tmpl w:val="B2F03DA6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1739B3"/>
    <w:multiLevelType w:val="hybridMultilevel"/>
    <w:tmpl w:val="B1326664"/>
    <w:lvl w:ilvl="0" w:tplc="512A442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9421D"/>
    <w:multiLevelType w:val="hybridMultilevel"/>
    <w:tmpl w:val="32C060CE"/>
    <w:lvl w:ilvl="0" w:tplc="359892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5904EC"/>
    <w:multiLevelType w:val="hybridMultilevel"/>
    <w:tmpl w:val="FD286E34"/>
    <w:lvl w:ilvl="0" w:tplc="14EE34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5610F"/>
    <w:multiLevelType w:val="hybridMultilevel"/>
    <w:tmpl w:val="B3A8CC98"/>
    <w:lvl w:ilvl="0" w:tplc="AB6E1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71300"/>
    <w:multiLevelType w:val="hybridMultilevel"/>
    <w:tmpl w:val="23D4D6A2"/>
    <w:lvl w:ilvl="0" w:tplc="641C26EE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B7615"/>
    <w:multiLevelType w:val="hybridMultilevel"/>
    <w:tmpl w:val="CB286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454AF"/>
    <w:multiLevelType w:val="hybridMultilevel"/>
    <w:tmpl w:val="1A0E0186"/>
    <w:lvl w:ilvl="0" w:tplc="C4465F14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6E8E"/>
    <w:multiLevelType w:val="hybridMultilevel"/>
    <w:tmpl w:val="2598A3C2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8"/>
  </w:num>
  <w:num w:numId="2">
    <w:abstractNumId w:val="4"/>
  </w:num>
  <w:num w:numId="3">
    <w:abstractNumId w:val="23"/>
  </w:num>
  <w:num w:numId="4">
    <w:abstractNumId w:val="39"/>
  </w:num>
  <w:num w:numId="5">
    <w:abstractNumId w:val="21"/>
  </w:num>
  <w:num w:numId="6">
    <w:abstractNumId w:val="15"/>
  </w:num>
  <w:num w:numId="7">
    <w:abstractNumId w:val="27"/>
  </w:num>
  <w:num w:numId="8">
    <w:abstractNumId w:val="26"/>
  </w:num>
  <w:num w:numId="9">
    <w:abstractNumId w:val="2"/>
  </w:num>
  <w:num w:numId="10">
    <w:abstractNumId w:val="36"/>
  </w:num>
  <w:num w:numId="11">
    <w:abstractNumId w:val="6"/>
  </w:num>
  <w:num w:numId="12">
    <w:abstractNumId w:val="3"/>
  </w:num>
  <w:num w:numId="13">
    <w:abstractNumId w:val="0"/>
  </w:num>
  <w:num w:numId="14">
    <w:abstractNumId w:val="24"/>
  </w:num>
  <w:num w:numId="15">
    <w:abstractNumId w:val="20"/>
  </w:num>
  <w:num w:numId="16">
    <w:abstractNumId w:val="28"/>
  </w:num>
  <w:num w:numId="17">
    <w:abstractNumId w:val="37"/>
  </w:num>
  <w:num w:numId="18">
    <w:abstractNumId w:val="19"/>
  </w:num>
  <w:num w:numId="19">
    <w:abstractNumId w:val="33"/>
  </w:num>
  <w:num w:numId="20">
    <w:abstractNumId w:val="11"/>
  </w:num>
  <w:num w:numId="21">
    <w:abstractNumId w:val="41"/>
  </w:num>
  <w:num w:numId="22">
    <w:abstractNumId w:val="38"/>
  </w:num>
  <w:num w:numId="23">
    <w:abstractNumId w:val="1"/>
  </w:num>
  <w:num w:numId="24">
    <w:abstractNumId w:val="12"/>
  </w:num>
  <w:num w:numId="25">
    <w:abstractNumId w:val="10"/>
  </w:num>
  <w:num w:numId="26">
    <w:abstractNumId w:val="34"/>
  </w:num>
  <w:num w:numId="27">
    <w:abstractNumId w:val="32"/>
  </w:num>
  <w:num w:numId="28">
    <w:abstractNumId w:val="40"/>
  </w:num>
  <w:num w:numId="29">
    <w:abstractNumId w:val="9"/>
  </w:num>
  <w:num w:numId="30">
    <w:abstractNumId w:val="35"/>
  </w:num>
  <w:num w:numId="31">
    <w:abstractNumId w:val="30"/>
  </w:num>
  <w:num w:numId="32">
    <w:abstractNumId w:val="31"/>
  </w:num>
  <w:num w:numId="33">
    <w:abstractNumId w:val="22"/>
  </w:num>
  <w:num w:numId="34">
    <w:abstractNumId w:val="16"/>
  </w:num>
  <w:num w:numId="35">
    <w:abstractNumId w:val="29"/>
  </w:num>
  <w:num w:numId="36">
    <w:abstractNumId w:val="17"/>
  </w:num>
  <w:num w:numId="37">
    <w:abstractNumId w:val="13"/>
  </w:num>
  <w:num w:numId="38">
    <w:abstractNumId w:val="14"/>
  </w:num>
  <w:num w:numId="39">
    <w:abstractNumId w:val="25"/>
  </w:num>
  <w:num w:numId="40">
    <w:abstractNumId w:val="7"/>
  </w:num>
  <w:num w:numId="41">
    <w:abstractNumId w:val="5"/>
  </w:num>
  <w:num w:numId="4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23D2"/>
    <w:rsid w:val="001B342E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B3"/>
    <w:rsid w:val="001F3367"/>
    <w:rsid w:val="001F3AD6"/>
    <w:rsid w:val="001F47B9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F34"/>
    <w:rsid w:val="002E5F79"/>
    <w:rsid w:val="002E623C"/>
    <w:rsid w:val="002E64FA"/>
    <w:rsid w:val="002F0A00"/>
    <w:rsid w:val="002F0CFA"/>
    <w:rsid w:val="002F58B1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617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A4E73"/>
    <w:rsid w:val="004B00A7"/>
    <w:rsid w:val="004B25DD"/>
    <w:rsid w:val="004B25E2"/>
    <w:rsid w:val="004B34D7"/>
    <w:rsid w:val="004B5037"/>
    <w:rsid w:val="004B5B2F"/>
    <w:rsid w:val="004B626A"/>
    <w:rsid w:val="004B660E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704"/>
    <w:rsid w:val="00591124"/>
    <w:rsid w:val="00591D33"/>
    <w:rsid w:val="0059201B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18D1"/>
    <w:rsid w:val="005D3763"/>
    <w:rsid w:val="005D55E1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43C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7F643A"/>
    <w:rsid w:val="0080192B"/>
    <w:rsid w:val="00802949"/>
    <w:rsid w:val="00802BB6"/>
    <w:rsid w:val="0080301E"/>
    <w:rsid w:val="0080365F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46E25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823DA"/>
    <w:rsid w:val="00C8259F"/>
    <w:rsid w:val="00C82746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4C56"/>
    <w:rsid w:val="00D76EC9"/>
    <w:rsid w:val="00D77D0C"/>
    <w:rsid w:val="00D807CE"/>
    <w:rsid w:val="00D80E7D"/>
    <w:rsid w:val="00D81397"/>
    <w:rsid w:val="00D823C4"/>
    <w:rsid w:val="00D8263D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E29"/>
    <w:rsid w:val="00E02BAB"/>
    <w:rsid w:val="00E045F1"/>
    <w:rsid w:val="00E04983"/>
    <w:rsid w:val="00E04CEB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B96"/>
    <w:rsid w:val="00EF0D21"/>
    <w:rsid w:val="00EF3486"/>
    <w:rsid w:val="00EF47AF"/>
    <w:rsid w:val="00EF53B6"/>
    <w:rsid w:val="00EF7DF1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E73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758</Words>
  <Characters>3756</Characters>
  <Application>Microsoft Office Word</Application>
  <DocSecurity>0</DocSecurity>
  <Lines>31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7</cp:revision>
  <cp:lastPrinted>2022-08-02T17:45:00Z</cp:lastPrinted>
  <dcterms:created xsi:type="dcterms:W3CDTF">2024-10-29T13:52:00Z</dcterms:created>
  <dcterms:modified xsi:type="dcterms:W3CDTF">2024-10-30T12:10:00Z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