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1DD5" w14:textId="71FBA572" w:rsidR="001E3313" w:rsidRPr="00C86696" w:rsidRDefault="001E3313" w:rsidP="00C86696">
      <w:pPr>
        <w:ind w:firstLine="3544"/>
      </w:pPr>
      <w:r w:rsidRPr="00C86696">
        <w:t>U</w:t>
      </w:r>
      <w:r w:rsidR="003476BC">
        <w:t>ZASADNIENIE</w:t>
      </w:r>
    </w:p>
    <w:p w14:paraId="1114B652" w14:textId="5E0709C3" w:rsidR="006551EB" w:rsidRPr="0010146C" w:rsidRDefault="006551EB" w:rsidP="00FE01DE">
      <w:pPr>
        <w:jc w:val="both"/>
        <w:rPr>
          <w:rFonts w:ascii="Times" w:hAnsi="Times"/>
        </w:rPr>
      </w:pPr>
      <w:r>
        <w:rPr>
          <w:rFonts w:ascii="Times" w:hAnsi="Times"/>
        </w:rPr>
        <w:t>W</w:t>
      </w:r>
      <w:r w:rsidRPr="0010146C">
        <w:rPr>
          <w:rFonts w:ascii="Times" w:hAnsi="Times"/>
        </w:rPr>
        <w:t>prowadzeni</w:t>
      </w:r>
      <w:r>
        <w:rPr>
          <w:rFonts w:ascii="Times" w:hAnsi="Times"/>
        </w:rPr>
        <w:t>e</w:t>
      </w:r>
      <w:r w:rsidRPr="0010146C">
        <w:rPr>
          <w:rFonts w:ascii="Times" w:hAnsi="Times"/>
        </w:rPr>
        <w:t xml:space="preserve"> planowanych rozwiązań </w:t>
      </w:r>
      <w:r>
        <w:rPr>
          <w:rFonts w:ascii="Times" w:hAnsi="Times"/>
        </w:rPr>
        <w:t xml:space="preserve">podyktowane </w:t>
      </w:r>
      <w:r w:rsidRPr="0010146C">
        <w:rPr>
          <w:rFonts w:ascii="Times" w:hAnsi="Times"/>
        </w:rPr>
        <w:t>jest przede wszystkim brak</w:t>
      </w:r>
      <w:r>
        <w:rPr>
          <w:rFonts w:ascii="Times" w:hAnsi="Times"/>
        </w:rPr>
        <w:t>iem</w:t>
      </w:r>
      <w:r w:rsidRPr="0010146C">
        <w:rPr>
          <w:rFonts w:ascii="Times" w:hAnsi="Times"/>
        </w:rPr>
        <w:t xml:space="preserve"> gotowości po stronie części podmiotów publicznych do stosowania e-Doręczeń</w:t>
      </w:r>
      <w:r w:rsidR="003476BC">
        <w:rPr>
          <w:rFonts w:ascii="Times" w:hAnsi="Times"/>
        </w:rPr>
        <w:t>,</w:t>
      </w:r>
      <w:r w:rsidRPr="0010146C">
        <w:rPr>
          <w:rFonts w:ascii="Times" w:hAnsi="Times"/>
        </w:rPr>
        <w:t xml:space="preserve"> tj. rozwiązań wynikających z ustawy z dnia </w:t>
      </w:r>
      <w:r w:rsidR="00020797" w:rsidRPr="0010146C">
        <w:rPr>
          <w:rFonts w:ascii="Times" w:hAnsi="Times"/>
        </w:rPr>
        <w:t>18</w:t>
      </w:r>
      <w:r w:rsidR="00020797">
        <w:rPr>
          <w:rFonts w:ascii="Times" w:hAnsi="Times"/>
        </w:rPr>
        <w:t> </w:t>
      </w:r>
      <w:r w:rsidRPr="0010146C">
        <w:rPr>
          <w:rFonts w:ascii="Times" w:hAnsi="Times"/>
        </w:rPr>
        <w:t>listopada 2020 r. o doręczeniach elektronicznych (Dz. U. z</w:t>
      </w:r>
      <w:r w:rsidR="001A53A5">
        <w:rPr>
          <w:rFonts w:ascii="Times" w:hAnsi="Times"/>
        </w:rPr>
        <w:t> </w:t>
      </w:r>
      <w:r w:rsidRPr="0010146C">
        <w:rPr>
          <w:rFonts w:ascii="Times" w:hAnsi="Times"/>
        </w:rPr>
        <w:t>202</w:t>
      </w:r>
      <w:r>
        <w:rPr>
          <w:rFonts w:ascii="Times" w:hAnsi="Times"/>
        </w:rPr>
        <w:t>4</w:t>
      </w:r>
      <w:r w:rsidRPr="0010146C">
        <w:rPr>
          <w:rFonts w:ascii="Times" w:hAnsi="Times"/>
        </w:rPr>
        <w:t xml:space="preserve"> r. poz. </w:t>
      </w:r>
      <w:r>
        <w:rPr>
          <w:rFonts w:ascii="Times" w:hAnsi="Times"/>
        </w:rPr>
        <w:t>1045)</w:t>
      </w:r>
      <w:r w:rsidRPr="0010146C">
        <w:rPr>
          <w:rFonts w:ascii="Times" w:hAnsi="Times"/>
        </w:rPr>
        <w:t xml:space="preserve">, dalej „ustawa o doręczeniach elektronicznych”, w zakresie doręczania korespondencji z wykorzystaniem publicznej usługi rejestrowanego doręczenia elektronicznego </w:t>
      </w:r>
      <w:r>
        <w:rPr>
          <w:rFonts w:ascii="Times" w:hAnsi="Times"/>
        </w:rPr>
        <w:t xml:space="preserve">(PURDE) </w:t>
      </w:r>
      <w:r w:rsidRPr="0010146C">
        <w:rPr>
          <w:rFonts w:ascii="Times" w:hAnsi="Times"/>
        </w:rPr>
        <w:t>lub publicznej usługi hybrydowej</w:t>
      </w:r>
      <w:r>
        <w:rPr>
          <w:rFonts w:ascii="Times" w:hAnsi="Times"/>
        </w:rPr>
        <w:t xml:space="preserve"> (PUH)</w:t>
      </w:r>
      <w:r w:rsidRPr="0010146C">
        <w:rPr>
          <w:rFonts w:ascii="Times" w:hAnsi="Times"/>
        </w:rPr>
        <w:t>.</w:t>
      </w:r>
      <w:r w:rsidRPr="007F20E1">
        <w:t xml:space="preserve"> </w:t>
      </w:r>
      <w:r w:rsidRPr="007F20E1">
        <w:rPr>
          <w:rFonts w:ascii="Times" w:hAnsi="Times"/>
        </w:rPr>
        <w:t>Z przeprowadzonych analiz wynika</w:t>
      </w:r>
      <w:r>
        <w:rPr>
          <w:rFonts w:ascii="Times" w:hAnsi="Times"/>
        </w:rPr>
        <w:t xml:space="preserve"> bowiem</w:t>
      </w:r>
      <w:r w:rsidRPr="007F20E1">
        <w:rPr>
          <w:rFonts w:ascii="Times" w:hAnsi="Times"/>
        </w:rPr>
        <w:t>, że wniosek o założenie adresu do doręczeń złożyło jedynie 30% obowiązanych podmiotów publicznych</w:t>
      </w:r>
      <w:r>
        <w:rPr>
          <w:rFonts w:ascii="Times" w:hAnsi="Times"/>
        </w:rPr>
        <w:t>, mimo że t</w:t>
      </w:r>
      <w:r w:rsidRPr="007F20E1">
        <w:rPr>
          <w:rFonts w:ascii="Times" w:hAnsi="Times"/>
        </w:rPr>
        <w:t xml:space="preserve">ermin wejścia w życie obowiązku stosowania doręczeń elektronicznych był </w:t>
      </w:r>
      <w:r>
        <w:rPr>
          <w:rFonts w:ascii="Times" w:hAnsi="Times"/>
        </w:rPr>
        <w:t xml:space="preserve">już </w:t>
      </w:r>
      <w:r w:rsidRPr="007F20E1">
        <w:rPr>
          <w:rFonts w:ascii="Times" w:hAnsi="Times"/>
        </w:rPr>
        <w:t>kilkukrotnie przesuwany ze względu na niewystarczającą gotowość po stronie podmiotów obowiązanych.</w:t>
      </w:r>
    </w:p>
    <w:p w14:paraId="62A31DBC" w14:textId="77777777" w:rsidR="006551EB" w:rsidRPr="0010146C" w:rsidRDefault="006551EB" w:rsidP="00FE01DE">
      <w:pPr>
        <w:jc w:val="both"/>
        <w:rPr>
          <w:rFonts w:ascii="Times" w:hAnsi="Times"/>
        </w:rPr>
      </w:pPr>
      <w:r>
        <w:rPr>
          <w:rFonts w:ascii="Times" w:hAnsi="Times"/>
        </w:rPr>
        <w:t>Nie ulega przy tym wątpliwości, iż w</w:t>
      </w:r>
      <w:r w:rsidRPr="0010146C">
        <w:rPr>
          <w:rFonts w:ascii="Times" w:hAnsi="Times"/>
        </w:rPr>
        <w:t xml:space="preserve">drożenie e-Doręczeń jako nowego sposobu prowadzenia korespondencji jest dużym przedsięwzięciem technicznym, ale przede wszystkim organizacyjnym, szczególnie dla podmiotów publicznych. </w:t>
      </w:r>
    </w:p>
    <w:p w14:paraId="26B8AD1C" w14:textId="76ADA434" w:rsidR="006551EB" w:rsidRPr="0010146C" w:rsidRDefault="006551EB" w:rsidP="00DA5A49">
      <w:pPr>
        <w:jc w:val="both"/>
        <w:rPr>
          <w:rFonts w:ascii="Times" w:hAnsi="Times"/>
        </w:rPr>
      </w:pPr>
      <w:r>
        <w:rPr>
          <w:rFonts w:ascii="Times" w:hAnsi="Times"/>
        </w:rPr>
        <w:t>T</w:t>
      </w:r>
      <w:r w:rsidRPr="0010146C">
        <w:rPr>
          <w:rFonts w:ascii="Times" w:hAnsi="Times"/>
        </w:rPr>
        <w:t>ermin wejścia w życie obowiązku stosowania doręczeń elektronicznych, o którym mowa w</w:t>
      </w:r>
      <w:r w:rsidR="005A5577">
        <w:rPr>
          <w:rFonts w:ascii="Times" w:hAnsi="Times"/>
        </w:rPr>
        <w:t> </w:t>
      </w:r>
      <w:r w:rsidRPr="0010146C">
        <w:rPr>
          <w:rFonts w:ascii="Times" w:hAnsi="Times"/>
        </w:rPr>
        <w:t>art. 155 ust</w:t>
      </w:r>
      <w:r w:rsidR="00A34E9F">
        <w:rPr>
          <w:rFonts w:ascii="Times" w:hAnsi="Times"/>
        </w:rPr>
        <w:t>.</w:t>
      </w:r>
      <w:r w:rsidRPr="0010146C">
        <w:rPr>
          <w:rFonts w:ascii="Times" w:hAnsi="Times"/>
        </w:rPr>
        <w:t xml:space="preserve"> 10 ustawy o doręczeniach elektronicznych</w:t>
      </w:r>
      <w:r w:rsidR="00E559BD">
        <w:rPr>
          <w:rFonts w:ascii="Times" w:hAnsi="Times"/>
        </w:rPr>
        <w:t>,</w:t>
      </w:r>
      <w:r w:rsidRPr="0010146C">
        <w:rPr>
          <w:rFonts w:ascii="Times" w:hAnsi="Times"/>
        </w:rPr>
        <w:t xml:space="preserve"> wiąże się </w:t>
      </w:r>
      <w:r>
        <w:rPr>
          <w:rFonts w:ascii="Times" w:hAnsi="Times"/>
        </w:rPr>
        <w:t xml:space="preserve">bowiem </w:t>
      </w:r>
      <w:r w:rsidRPr="0010146C">
        <w:rPr>
          <w:rFonts w:ascii="Times" w:hAnsi="Times"/>
        </w:rPr>
        <w:t xml:space="preserve">z obowiązywaniem nowych przepisów ustawy z dnia 14 czerwca 1960 r. </w:t>
      </w:r>
      <w:r w:rsidR="008B6387" w:rsidRPr="0010146C">
        <w:rPr>
          <w:rFonts w:ascii="Times" w:hAnsi="Times"/>
        </w:rPr>
        <w:t>–</w:t>
      </w:r>
      <w:r w:rsidRPr="0010146C">
        <w:rPr>
          <w:rFonts w:ascii="Times" w:hAnsi="Times"/>
        </w:rPr>
        <w:t xml:space="preserve"> Kodeks postępowania administracyjnego</w:t>
      </w:r>
      <w:r w:rsidR="008C0BFF">
        <w:rPr>
          <w:rFonts w:ascii="Times" w:hAnsi="Times"/>
        </w:rPr>
        <w:t xml:space="preserve"> (Dz. U. z</w:t>
      </w:r>
      <w:r w:rsidR="00DA5A49" w:rsidRPr="00DA5A49">
        <w:rPr>
          <w:rFonts w:ascii="Times" w:hAnsi="Times"/>
        </w:rPr>
        <w:t xml:space="preserve"> 2024 r. poz. 572</w:t>
      </w:r>
      <w:r w:rsidR="00DA5A49">
        <w:rPr>
          <w:rFonts w:ascii="Times" w:hAnsi="Times"/>
        </w:rPr>
        <w:t>)</w:t>
      </w:r>
      <w:r w:rsidRPr="0010146C">
        <w:rPr>
          <w:rFonts w:ascii="Times" w:hAnsi="Times"/>
        </w:rPr>
        <w:t>, dalej „KPA”, zmienionych ustawą o doręczeniach elektronicznych. Zgodnie z brzmieniem KPA obowiązującym od terminu wskazanego w art. 155 ust. 10 ustawy o doręczeniach elektronicznych, korespondencja musi być kierowana przez podmioty publiczne na adres do doręczeń elektronicznych (art. 39 KPA). Dopiero po spełnieniu warunków określonych w KPA korespondencja może być kierowana w</w:t>
      </w:r>
      <w:r w:rsidR="005A5577">
        <w:rPr>
          <w:rFonts w:ascii="Times" w:hAnsi="Times"/>
        </w:rPr>
        <w:t> </w:t>
      </w:r>
      <w:r w:rsidRPr="0010146C">
        <w:rPr>
          <w:rFonts w:ascii="Times" w:hAnsi="Times"/>
        </w:rPr>
        <w:t xml:space="preserve">inny sposób. </w:t>
      </w:r>
    </w:p>
    <w:p w14:paraId="15D5CFA9" w14:textId="77777777" w:rsidR="006551EB" w:rsidRPr="0010146C" w:rsidRDefault="006551EB" w:rsidP="00FE01DE">
      <w:pPr>
        <w:jc w:val="both"/>
        <w:rPr>
          <w:rFonts w:ascii="Times" w:hAnsi="Times"/>
        </w:rPr>
      </w:pPr>
      <w:r w:rsidRPr="0010146C">
        <w:rPr>
          <w:rFonts w:ascii="Times" w:hAnsi="Times"/>
        </w:rPr>
        <w:t xml:space="preserve">Jest to znaczna różnica w porównaniu do brzmienia KPA przed zmianą wprowadzoną ustawą o doręczeniach elektronicznych, zgodnie z którym korespondencja jest przesyłana w postaci papierowej za pośrednictwem operatora pocztowego, a dopiero po spełnieniu określonych warunków może być przesyłana w postaci elektronicznej. </w:t>
      </w:r>
    </w:p>
    <w:p w14:paraId="468C3A9F" w14:textId="7A6A9A2D" w:rsidR="006551EB" w:rsidRPr="0010146C" w:rsidRDefault="006551EB" w:rsidP="00FE01DE">
      <w:pPr>
        <w:jc w:val="both"/>
        <w:rPr>
          <w:rFonts w:ascii="Times" w:hAnsi="Times"/>
        </w:rPr>
      </w:pPr>
      <w:r w:rsidRPr="0010146C">
        <w:rPr>
          <w:rFonts w:ascii="Times" w:hAnsi="Times"/>
        </w:rPr>
        <w:t>Analogiczna sytuacja dotyczy ustawy z dnia 29 sierpnia 1997 r. – Ordynacja podatkowa</w:t>
      </w:r>
      <w:r w:rsidR="008C0BFF">
        <w:rPr>
          <w:rFonts w:ascii="Times" w:hAnsi="Times"/>
        </w:rPr>
        <w:t xml:space="preserve"> (Dz.</w:t>
      </w:r>
      <w:r w:rsidR="005A5577">
        <w:rPr>
          <w:rFonts w:ascii="Times" w:hAnsi="Times"/>
        </w:rPr>
        <w:t> </w:t>
      </w:r>
      <w:r w:rsidR="008C0BFF">
        <w:rPr>
          <w:rFonts w:ascii="Times" w:hAnsi="Times"/>
        </w:rPr>
        <w:t>U.</w:t>
      </w:r>
      <w:r w:rsidR="00CD1772">
        <w:rPr>
          <w:rFonts w:ascii="Times" w:hAnsi="Times"/>
        </w:rPr>
        <w:t xml:space="preserve"> z</w:t>
      </w:r>
      <w:r w:rsidR="00CD1772" w:rsidRPr="00CD1772">
        <w:rPr>
          <w:rFonts w:ascii="Times" w:hAnsi="Times"/>
        </w:rPr>
        <w:t xml:space="preserve"> 2023 r. poz. 2383</w:t>
      </w:r>
      <w:r w:rsidR="00CD1772">
        <w:rPr>
          <w:rFonts w:ascii="Times" w:hAnsi="Times"/>
        </w:rPr>
        <w:t xml:space="preserve"> i 2760 oraz z 2024 r. poz. 879)</w:t>
      </w:r>
      <w:r w:rsidRPr="0010146C">
        <w:rPr>
          <w:rFonts w:ascii="Times" w:hAnsi="Times"/>
        </w:rPr>
        <w:t xml:space="preserve">, dalej „ordynacja podatkowa”. </w:t>
      </w:r>
    </w:p>
    <w:p w14:paraId="0CB1B065" w14:textId="7B4B406C" w:rsidR="006551EB" w:rsidRPr="0010146C" w:rsidRDefault="006551EB" w:rsidP="00FE01DE">
      <w:pPr>
        <w:jc w:val="both"/>
        <w:rPr>
          <w:rFonts w:ascii="Times" w:hAnsi="Times"/>
        </w:rPr>
      </w:pPr>
      <w:r w:rsidRPr="0010146C">
        <w:rPr>
          <w:rFonts w:ascii="Times" w:hAnsi="Times"/>
        </w:rPr>
        <w:t xml:space="preserve">Nowe brzmienie KPA i ordynacji podatkowej, nadane przez ustawę o doręczeniach elektronicznych, skutkuje </w:t>
      </w:r>
      <w:r>
        <w:rPr>
          <w:rFonts w:ascii="Times" w:hAnsi="Times"/>
        </w:rPr>
        <w:t xml:space="preserve">zatem </w:t>
      </w:r>
      <w:r w:rsidRPr="0010146C">
        <w:rPr>
          <w:rFonts w:ascii="Times" w:hAnsi="Times"/>
        </w:rPr>
        <w:t xml:space="preserve">znacznymi zmianami w funkcjonowaniu podmiotów publicznych w Polsce. Z jednej strony są </w:t>
      </w:r>
      <w:r>
        <w:rPr>
          <w:rFonts w:ascii="Times" w:hAnsi="Times"/>
        </w:rPr>
        <w:t xml:space="preserve">one </w:t>
      </w:r>
      <w:r w:rsidRPr="0010146C">
        <w:rPr>
          <w:rFonts w:ascii="Times" w:hAnsi="Times"/>
        </w:rPr>
        <w:t xml:space="preserve">zobowiązane do wdrożenia nowego narzędzia do prowadzenia korespondencji, jakim są doręczenia elektroniczne w miejsce powszechnie dotychczas funkcjonującego </w:t>
      </w:r>
      <w:proofErr w:type="spellStart"/>
      <w:r w:rsidRPr="0010146C">
        <w:rPr>
          <w:rFonts w:ascii="Times" w:hAnsi="Times"/>
        </w:rPr>
        <w:t>ePUAP</w:t>
      </w:r>
      <w:proofErr w:type="spellEnd"/>
      <w:r w:rsidRPr="0010146C">
        <w:rPr>
          <w:rFonts w:ascii="Times" w:hAnsi="Times"/>
        </w:rPr>
        <w:t xml:space="preserve">, z drugiej strony muszą zmienić sposób nadawania </w:t>
      </w:r>
      <w:r w:rsidRPr="0010146C">
        <w:rPr>
          <w:rFonts w:ascii="Times" w:hAnsi="Times"/>
        </w:rPr>
        <w:lastRenderedPageBreak/>
        <w:t>korespondencji z papierowej na elektroniczną. Wiąże się to ze znacznymi zmianami organizacyjnymi w podmiotach publicznych</w:t>
      </w:r>
      <w:r w:rsidR="00A34E9F">
        <w:rPr>
          <w:rFonts w:ascii="Times" w:hAnsi="Times"/>
        </w:rPr>
        <w:t>,</w:t>
      </w:r>
      <w:r w:rsidRPr="0010146C">
        <w:rPr>
          <w:rFonts w:ascii="Times" w:hAnsi="Times"/>
        </w:rPr>
        <w:t xml:space="preserve"> takimi jak:</w:t>
      </w:r>
    </w:p>
    <w:p w14:paraId="17C8C2E0" w14:textId="77777777" w:rsidR="006551EB" w:rsidRPr="0010146C" w:rsidRDefault="006551EB" w:rsidP="006551EB">
      <w:pPr>
        <w:pStyle w:val="Akapitzlist"/>
        <w:numPr>
          <w:ilvl w:val="0"/>
          <w:numId w:val="9"/>
        </w:numPr>
        <w:jc w:val="both"/>
        <w:rPr>
          <w:rFonts w:ascii="Times" w:hAnsi="Times"/>
        </w:rPr>
      </w:pPr>
      <w:r w:rsidRPr="0010146C">
        <w:rPr>
          <w:rFonts w:ascii="Times" w:hAnsi="Times"/>
        </w:rPr>
        <w:t>zapewnienie elektronicznego obiegu dokumentów,</w:t>
      </w:r>
    </w:p>
    <w:p w14:paraId="0BE8B6FD" w14:textId="0DC97587" w:rsidR="006551EB" w:rsidRPr="0010146C" w:rsidRDefault="006551EB" w:rsidP="006551EB">
      <w:pPr>
        <w:pStyle w:val="Akapitzlist"/>
        <w:numPr>
          <w:ilvl w:val="0"/>
          <w:numId w:val="9"/>
        </w:numPr>
        <w:jc w:val="both"/>
        <w:rPr>
          <w:rFonts w:ascii="Times" w:hAnsi="Times"/>
        </w:rPr>
      </w:pPr>
      <w:r w:rsidRPr="0010146C">
        <w:rPr>
          <w:rFonts w:ascii="Times" w:hAnsi="Times"/>
        </w:rPr>
        <w:t>zmiana sposobu nadawania korespondencji (z papierowej na elektroniczną oraz z</w:t>
      </w:r>
      <w:r w:rsidR="005A5577">
        <w:rPr>
          <w:rFonts w:ascii="Times" w:hAnsi="Times"/>
        </w:rPr>
        <w:t> </w:t>
      </w:r>
      <w:proofErr w:type="spellStart"/>
      <w:r w:rsidRPr="0010146C">
        <w:rPr>
          <w:rFonts w:ascii="Times" w:hAnsi="Times"/>
        </w:rPr>
        <w:t>ePUAP</w:t>
      </w:r>
      <w:proofErr w:type="spellEnd"/>
      <w:r w:rsidRPr="0010146C">
        <w:rPr>
          <w:rFonts w:ascii="Times" w:hAnsi="Times"/>
        </w:rPr>
        <w:t xml:space="preserve"> na e-Doręczenia),</w:t>
      </w:r>
    </w:p>
    <w:p w14:paraId="79C0B071" w14:textId="77777777" w:rsidR="006551EB" w:rsidRPr="0010146C" w:rsidRDefault="006551EB" w:rsidP="006551EB">
      <w:pPr>
        <w:pStyle w:val="Akapitzlist"/>
        <w:numPr>
          <w:ilvl w:val="0"/>
          <w:numId w:val="9"/>
        </w:numPr>
        <w:jc w:val="both"/>
        <w:rPr>
          <w:rFonts w:ascii="Times" w:hAnsi="Times"/>
        </w:rPr>
      </w:pPr>
      <w:r w:rsidRPr="0010146C">
        <w:rPr>
          <w:rFonts w:ascii="Times" w:hAnsi="Times"/>
        </w:rPr>
        <w:t>zapewnienie archiwizacji elektronicznych dokumentów,</w:t>
      </w:r>
    </w:p>
    <w:p w14:paraId="703DE984" w14:textId="7E815F17" w:rsidR="006551EB" w:rsidRPr="0010146C" w:rsidRDefault="006551EB" w:rsidP="006551EB">
      <w:pPr>
        <w:pStyle w:val="Akapitzlist"/>
        <w:numPr>
          <w:ilvl w:val="0"/>
          <w:numId w:val="9"/>
        </w:numPr>
        <w:jc w:val="both"/>
        <w:rPr>
          <w:rFonts w:ascii="Times" w:hAnsi="Times"/>
        </w:rPr>
      </w:pPr>
      <w:r w:rsidRPr="0010146C">
        <w:rPr>
          <w:rFonts w:ascii="Times" w:hAnsi="Times"/>
        </w:rPr>
        <w:t>zapoznanie się z nowym narzędziem – usługi PURDE i PUH,</w:t>
      </w:r>
    </w:p>
    <w:p w14:paraId="12346092" w14:textId="77777777" w:rsidR="006551EB" w:rsidRPr="0010146C" w:rsidRDefault="006551EB" w:rsidP="006551EB">
      <w:pPr>
        <w:pStyle w:val="Akapitzlist"/>
        <w:numPr>
          <w:ilvl w:val="0"/>
          <w:numId w:val="9"/>
        </w:numPr>
        <w:jc w:val="both"/>
        <w:rPr>
          <w:rFonts w:ascii="Times" w:hAnsi="Times"/>
        </w:rPr>
      </w:pPr>
      <w:r w:rsidRPr="0010146C">
        <w:rPr>
          <w:rFonts w:ascii="Times" w:hAnsi="Times"/>
        </w:rPr>
        <w:t>zapewnienie podpisów elektronicznych dla upoważnionych osób,</w:t>
      </w:r>
    </w:p>
    <w:p w14:paraId="7E697F00" w14:textId="77777777" w:rsidR="006551EB" w:rsidRPr="0010146C" w:rsidRDefault="006551EB" w:rsidP="006551EB">
      <w:pPr>
        <w:pStyle w:val="Akapitzlist"/>
        <w:numPr>
          <w:ilvl w:val="0"/>
          <w:numId w:val="9"/>
        </w:numPr>
        <w:jc w:val="both"/>
        <w:rPr>
          <w:rFonts w:ascii="Times" w:hAnsi="Times"/>
        </w:rPr>
      </w:pPr>
      <w:r w:rsidRPr="0010146C">
        <w:rPr>
          <w:rFonts w:ascii="Times" w:hAnsi="Times"/>
        </w:rPr>
        <w:t>nadanie uprawnień i zapewnienie dostępu do skrzynki e-Doręczeń uprawnionym pracownikom.</w:t>
      </w:r>
    </w:p>
    <w:p w14:paraId="303A2B85" w14:textId="52D2CECE" w:rsidR="006551EB" w:rsidRPr="0010146C" w:rsidRDefault="006551EB" w:rsidP="00FE01DE">
      <w:pPr>
        <w:jc w:val="both"/>
        <w:rPr>
          <w:rFonts w:ascii="Times" w:hAnsi="Times"/>
        </w:rPr>
      </w:pPr>
      <w:r>
        <w:rPr>
          <w:rFonts w:ascii="Times" w:hAnsi="Times"/>
        </w:rPr>
        <w:t>Uwzględniając powyższe, w</w:t>
      </w:r>
      <w:r w:rsidRPr="0010146C">
        <w:rPr>
          <w:rFonts w:ascii="Times" w:hAnsi="Times"/>
        </w:rPr>
        <w:t xml:space="preserve"> celu zapewnienia skutecznego wdrożenia e-Doręczeń </w:t>
      </w:r>
      <w:r w:rsidR="009C409E" w:rsidRPr="0010146C">
        <w:rPr>
          <w:rFonts w:ascii="Times" w:hAnsi="Times"/>
        </w:rPr>
        <w:t>w</w:t>
      </w:r>
      <w:r w:rsidR="009C409E">
        <w:rPr>
          <w:rFonts w:ascii="Times" w:hAnsi="Times"/>
        </w:rPr>
        <w:t> </w:t>
      </w:r>
      <w:r w:rsidRPr="0010146C">
        <w:rPr>
          <w:rFonts w:ascii="Times" w:hAnsi="Times"/>
        </w:rPr>
        <w:t>podmiotach publicznych</w:t>
      </w:r>
      <w:r w:rsidR="00DB678D">
        <w:rPr>
          <w:rFonts w:ascii="Times" w:hAnsi="Times"/>
        </w:rPr>
        <w:t>,</w:t>
      </w:r>
      <w:r w:rsidRPr="0010146C">
        <w:rPr>
          <w:rFonts w:ascii="Times" w:hAnsi="Times"/>
        </w:rPr>
        <w:t xml:space="preserve"> proponuje się wprowadzenie okresu przejściowego do 31 grudnia 2025 r., w którym będą one mogły stopniowo dostosowywać się do nowego sposobu prowadzenia korespondencji, tj. dostosować organizacyjnie urzędy, wprowadzić systemy elektronicznego obiegu dokumentów (systemy klasy EZD) oraz poznać nowe rozwiązanie, jakim są e-Doręczenia.</w:t>
      </w:r>
    </w:p>
    <w:p w14:paraId="42A4655B" w14:textId="77777777" w:rsidR="006551EB" w:rsidRPr="0010146C" w:rsidRDefault="006551EB" w:rsidP="00FE01DE">
      <w:pPr>
        <w:jc w:val="both"/>
        <w:rPr>
          <w:rFonts w:ascii="Times" w:hAnsi="Times"/>
        </w:rPr>
      </w:pPr>
      <w:r w:rsidRPr="0010146C">
        <w:rPr>
          <w:rFonts w:ascii="Times" w:hAnsi="Times"/>
        </w:rPr>
        <w:t xml:space="preserve">W okresie tym zostanie zapewniona równoważność doręczenia za pośrednictwem operatora pocztowego, </w:t>
      </w:r>
      <w:proofErr w:type="spellStart"/>
      <w:r w:rsidRPr="0010146C">
        <w:rPr>
          <w:rFonts w:ascii="Times" w:hAnsi="Times"/>
        </w:rPr>
        <w:t>ePUAP</w:t>
      </w:r>
      <w:proofErr w:type="spellEnd"/>
      <w:r w:rsidRPr="0010146C">
        <w:rPr>
          <w:rFonts w:ascii="Times" w:hAnsi="Times"/>
        </w:rPr>
        <w:t xml:space="preserve"> oraz innych systemów dziedzinowych z e-Doręczeniami. Przy czym wprowadzane rozwiązania będą promować doręczanie korespondencji z wykorzystaniem e-Doręczeń.</w:t>
      </w:r>
    </w:p>
    <w:p w14:paraId="37D13E4F" w14:textId="77777777" w:rsidR="006551EB" w:rsidRPr="0010146C" w:rsidRDefault="006551EB" w:rsidP="00FE01DE">
      <w:pPr>
        <w:jc w:val="both"/>
        <w:rPr>
          <w:rFonts w:ascii="Times" w:hAnsi="Times"/>
        </w:rPr>
      </w:pPr>
      <w:r w:rsidRPr="0010146C">
        <w:rPr>
          <w:rFonts w:ascii="Times" w:hAnsi="Times"/>
        </w:rPr>
        <w:t>Bez zmian pozostaje obowiązek uzyskania przez podmioty wskazane w ustawie o doręczeniach elektronicznych adresu do doręczeń elektronicznych do dnia określonego w komunikacie wydanym na podstawie art. 155 ust. 10 ustawy o doręczeniach elektronicznych.</w:t>
      </w:r>
    </w:p>
    <w:p w14:paraId="715025E7" w14:textId="501020D4" w:rsidR="006551EB" w:rsidRPr="0010146C" w:rsidRDefault="006551EB" w:rsidP="00FE01DE">
      <w:pPr>
        <w:jc w:val="both"/>
        <w:rPr>
          <w:rFonts w:ascii="Times" w:hAnsi="Times"/>
        </w:rPr>
      </w:pPr>
      <w:r w:rsidRPr="0010146C">
        <w:rPr>
          <w:rFonts w:ascii="Times" w:hAnsi="Times"/>
        </w:rPr>
        <w:t>W projektowanym okresie przejściowym podmiot publiczny będzie kierował korespondencję do podmiotu niebędącego podmiotem publicznym na adres do doręczeń elektronicznych – je</w:t>
      </w:r>
      <w:r w:rsidR="00A34E9F">
        <w:rPr>
          <w:rFonts w:ascii="Times" w:hAnsi="Times"/>
        </w:rPr>
        <w:t>że</w:t>
      </w:r>
      <w:r w:rsidRPr="0010146C">
        <w:rPr>
          <w:rFonts w:ascii="Times" w:hAnsi="Times"/>
        </w:rPr>
        <w:t>li odbiorca taki adres posiada – zgodnie z obowiązującymi przepisami KPA i ordynacji podatkowej. Je</w:t>
      </w:r>
      <w:r w:rsidR="00A34E9F">
        <w:rPr>
          <w:rFonts w:ascii="Times" w:hAnsi="Times"/>
        </w:rPr>
        <w:t>że</w:t>
      </w:r>
      <w:r w:rsidRPr="0010146C">
        <w:rPr>
          <w:rFonts w:ascii="Times" w:hAnsi="Times"/>
        </w:rPr>
        <w:t>li odbiorca nie posiada adresu do doręczeń elektronicznych, to korespondencja może być kierowana w dotychczasowy sposób, tj. zgodnie z przepisami KPA i ordynacji podatkowej w brzmieniu sprzed nowelizacji</w:t>
      </w:r>
      <w:r w:rsidR="00A34E9F">
        <w:rPr>
          <w:rFonts w:ascii="Times" w:hAnsi="Times"/>
        </w:rPr>
        <w:t>,</w:t>
      </w:r>
      <w:r w:rsidRPr="0010146C">
        <w:rPr>
          <w:rFonts w:ascii="Times" w:hAnsi="Times"/>
        </w:rPr>
        <w:t xml:space="preserve"> tj. korespondencja będzie kierowana przez operatora pocztowego, chyba że jest </w:t>
      </w:r>
      <w:r w:rsidR="009B7CA6">
        <w:rPr>
          <w:rFonts w:ascii="Times" w:hAnsi="Times"/>
        </w:rPr>
        <w:t>t</w:t>
      </w:r>
      <w:r w:rsidRPr="0010146C">
        <w:rPr>
          <w:rFonts w:ascii="Times" w:hAnsi="Times"/>
        </w:rPr>
        <w:t xml:space="preserve">o odpowiedź na wniosek złożony przez </w:t>
      </w:r>
      <w:proofErr w:type="spellStart"/>
      <w:r w:rsidRPr="0010146C">
        <w:rPr>
          <w:rFonts w:ascii="Times" w:hAnsi="Times"/>
        </w:rPr>
        <w:t>ePUAP</w:t>
      </w:r>
      <w:proofErr w:type="spellEnd"/>
      <w:r w:rsidR="00A34E9F">
        <w:rPr>
          <w:rFonts w:ascii="Times" w:hAnsi="Times"/>
        </w:rPr>
        <w:t xml:space="preserve"> </w:t>
      </w:r>
      <w:r w:rsidR="00DC6709" w:rsidRPr="0010146C">
        <w:rPr>
          <w:rFonts w:ascii="Times" w:hAnsi="Times"/>
        </w:rPr>
        <w:t>–</w:t>
      </w:r>
      <w:r w:rsidRPr="0010146C">
        <w:rPr>
          <w:rFonts w:ascii="Times" w:hAnsi="Times"/>
        </w:rPr>
        <w:t xml:space="preserve"> w takim przypadku korespondencja będzie kierowana przez </w:t>
      </w:r>
      <w:proofErr w:type="spellStart"/>
      <w:r w:rsidRPr="0010146C">
        <w:rPr>
          <w:rFonts w:ascii="Times" w:hAnsi="Times"/>
        </w:rPr>
        <w:t>ePUAP</w:t>
      </w:r>
      <w:proofErr w:type="spellEnd"/>
      <w:r w:rsidRPr="0010146C">
        <w:rPr>
          <w:rFonts w:ascii="Times" w:hAnsi="Times"/>
        </w:rPr>
        <w:t>.</w:t>
      </w:r>
    </w:p>
    <w:p w14:paraId="2ACAFA84" w14:textId="4AE6527F" w:rsidR="006551EB" w:rsidRPr="00B94432" w:rsidRDefault="008C0BFF" w:rsidP="00FE01DE">
      <w:pPr>
        <w:jc w:val="both"/>
        <w:rPr>
          <w:rFonts w:ascii="Times" w:hAnsi="Times"/>
        </w:rPr>
      </w:pPr>
      <w:r>
        <w:rPr>
          <w:rFonts w:ascii="Times" w:hAnsi="Times"/>
        </w:rPr>
        <w:t>Przepis</w:t>
      </w:r>
      <w:r w:rsidR="006551EB" w:rsidRPr="00B94432">
        <w:rPr>
          <w:rFonts w:ascii="Times" w:hAnsi="Times"/>
        </w:rPr>
        <w:t xml:space="preserve"> art. 1</w:t>
      </w:r>
      <w:r>
        <w:rPr>
          <w:rFonts w:ascii="Times" w:hAnsi="Times"/>
        </w:rPr>
        <w:t xml:space="preserve"> projektu</w:t>
      </w:r>
      <w:r w:rsidR="006551EB" w:rsidRPr="00B94432">
        <w:rPr>
          <w:rFonts w:ascii="Times" w:hAnsi="Times"/>
        </w:rPr>
        <w:t xml:space="preserve"> zawiera zmiany porządkujące i uzupełniające </w:t>
      </w:r>
      <w:r w:rsidR="009C409E" w:rsidRPr="00B94432">
        <w:rPr>
          <w:rFonts w:ascii="Times" w:hAnsi="Times"/>
        </w:rPr>
        <w:t>w</w:t>
      </w:r>
      <w:r w:rsidR="009C409E">
        <w:rPr>
          <w:rFonts w:ascii="Times" w:hAnsi="Times"/>
        </w:rPr>
        <w:t> </w:t>
      </w:r>
      <w:r w:rsidR="006551EB" w:rsidRPr="00B94432">
        <w:rPr>
          <w:rFonts w:ascii="Times" w:hAnsi="Times"/>
        </w:rPr>
        <w:t>ustawie o doręczeniach elektronicznych</w:t>
      </w:r>
      <w:r w:rsidR="006551EB">
        <w:rPr>
          <w:rFonts w:ascii="Times" w:hAnsi="Times"/>
        </w:rPr>
        <w:t>.</w:t>
      </w:r>
      <w:r w:rsidR="006551EB" w:rsidRPr="00B94432">
        <w:rPr>
          <w:rFonts w:ascii="Times" w:hAnsi="Times"/>
        </w:rPr>
        <w:t xml:space="preserve"> </w:t>
      </w:r>
    </w:p>
    <w:p w14:paraId="51F7BF44" w14:textId="7FF13281" w:rsidR="008539D4" w:rsidRPr="008539D4" w:rsidRDefault="001E53E1" w:rsidP="008539D4">
      <w:pPr>
        <w:jc w:val="both"/>
        <w:rPr>
          <w:rFonts w:ascii="Times" w:hAnsi="Times"/>
        </w:rPr>
      </w:pPr>
      <w:r>
        <w:rPr>
          <w:rFonts w:ascii="Times" w:hAnsi="Times"/>
        </w:rPr>
        <w:lastRenderedPageBreak/>
        <w:t xml:space="preserve">Zaproponowano </w:t>
      </w:r>
      <w:r w:rsidR="008539D4" w:rsidRPr="008539D4">
        <w:rPr>
          <w:rFonts w:ascii="Times" w:hAnsi="Times"/>
        </w:rPr>
        <w:t xml:space="preserve">rozszerzenie projektu o zmianę w art. 2 pkt 6 </w:t>
      </w:r>
      <w:r>
        <w:rPr>
          <w:rFonts w:ascii="Times" w:hAnsi="Times"/>
        </w:rPr>
        <w:t xml:space="preserve">ustawy o doręczeniach elektronicznych </w:t>
      </w:r>
      <w:r w:rsidR="008539D4" w:rsidRPr="008539D4">
        <w:rPr>
          <w:rFonts w:ascii="Times" w:hAnsi="Times"/>
        </w:rPr>
        <w:t>przez dodanie uczelni niepublicznych oraz federacji podmiotów systemu szkolnictwa wyższego i nauki.</w:t>
      </w:r>
    </w:p>
    <w:p w14:paraId="28717F87" w14:textId="63203FBE" w:rsidR="008539D4" w:rsidRPr="008539D4" w:rsidRDefault="008539D4" w:rsidP="008539D4">
      <w:pPr>
        <w:jc w:val="both"/>
        <w:rPr>
          <w:rFonts w:ascii="Times" w:hAnsi="Times"/>
        </w:rPr>
      </w:pPr>
      <w:r w:rsidRPr="008539D4">
        <w:rPr>
          <w:rFonts w:ascii="Times" w:hAnsi="Times"/>
        </w:rPr>
        <w:t xml:space="preserve">W konsekwencji wprowadzenia tej zmiany w art. 1 pkt </w:t>
      </w:r>
      <w:r w:rsidR="00C741BF">
        <w:rPr>
          <w:rFonts w:ascii="Times" w:hAnsi="Times"/>
        </w:rPr>
        <w:t>17</w:t>
      </w:r>
      <w:r w:rsidR="00C741BF" w:rsidRPr="008539D4">
        <w:rPr>
          <w:rFonts w:ascii="Times" w:hAnsi="Times"/>
        </w:rPr>
        <w:t xml:space="preserve"> </w:t>
      </w:r>
      <w:r w:rsidRPr="008539D4">
        <w:rPr>
          <w:rFonts w:ascii="Times" w:hAnsi="Times"/>
        </w:rPr>
        <w:t xml:space="preserve">lit. a dotyczącym art. 155 ust. 5 </w:t>
      </w:r>
      <w:r w:rsidR="00176008">
        <w:rPr>
          <w:rFonts w:ascii="Times" w:hAnsi="Times"/>
        </w:rPr>
        <w:t xml:space="preserve">po </w:t>
      </w:r>
      <w:r w:rsidRPr="008539D4">
        <w:rPr>
          <w:rFonts w:ascii="Times" w:hAnsi="Times"/>
        </w:rPr>
        <w:t>wyraz</w:t>
      </w:r>
      <w:r w:rsidR="00176008">
        <w:rPr>
          <w:rFonts w:ascii="Times" w:hAnsi="Times"/>
        </w:rPr>
        <w:t>ach</w:t>
      </w:r>
      <w:r w:rsidRPr="008539D4">
        <w:rPr>
          <w:rFonts w:ascii="Times" w:hAnsi="Times"/>
        </w:rPr>
        <w:t xml:space="preserve"> „uczelnie publiczne” </w:t>
      </w:r>
      <w:r w:rsidR="004F3655">
        <w:rPr>
          <w:rFonts w:ascii="Times" w:hAnsi="Times"/>
        </w:rPr>
        <w:t xml:space="preserve">dodano </w:t>
      </w:r>
      <w:r w:rsidRPr="008539D4">
        <w:rPr>
          <w:rFonts w:ascii="Times" w:hAnsi="Times"/>
        </w:rPr>
        <w:t>wyraz</w:t>
      </w:r>
      <w:r w:rsidR="004F3655">
        <w:rPr>
          <w:rFonts w:ascii="Times" w:hAnsi="Times"/>
        </w:rPr>
        <w:t>y</w:t>
      </w:r>
      <w:r w:rsidRPr="008539D4">
        <w:rPr>
          <w:rFonts w:ascii="Times" w:hAnsi="Times"/>
        </w:rPr>
        <w:t xml:space="preserve"> „uczelnie</w:t>
      </w:r>
      <w:r w:rsidR="004F3655">
        <w:rPr>
          <w:rFonts w:ascii="Times" w:hAnsi="Times"/>
        </w:rPr>
        <w:t xml:space="preserve"> niepubliczne</w:t>
      </w:r>
      <w:r w:rsidRPr="008539D4">
        <w:rPr>
          <w:rFonts w:ascii="Times" w:hAnsi="Times"/>
        </w:rPr>
        <w:t>, federacje podmiotów systemu szkolnictwa wyższego i nauki”. Przepisy ustawy o doręczeniach elektronicznych</w:t>
      </w:r>
      <w:r w:rsidR="001E53E1">
        <w:rPr>
          <w:rFonts w:ascii="Times" w:hAnsi="Times"/>
        </w:rPr>
        <w:t xml:space="preserve"> </w:t>
      </w:r>
      <w:r w:rsidRPr="008539D4">
        <w:rPr>
          <w:rFonts w:ascii="Times" w:hAnsi="Times"/>
        </w:rPr>
        <w:t xml:space="preserve">powinny </w:t>
      </w:r>
      <w:r w:rsidR="004F3655">
        <w:rPr>
          <w:rFonts w:ascii="Times" w:hAnsi="Times"/>
        </w:rPr>
        <w:t xml:space="preserve">bowiem </w:t>
      </w:r>
      <w:r w:rsidRPr="008539D4">
        <w:rPr>
          <w:rFonts w:ascii="Times" w:hAnsi="Times"/>
        </w:rPr>
        <w:t>być stosowane w tym samym zakresie do uczelni publicznych, uczelni niepublicznych oraz federacji podmiotów szkolnictwa wyższego i nauki.</w:t>
      </w:r>
    </w:p>
    <w:p w14:paraId="49D16647" w14:textId="673A55DB" w:rsidR="008539D4" w:rsidRDefault="008539D4" w:rsidP="008539D4">
      <w:pPr>
        <w:jc w:val="both"/>
        <w:rPr>
          <w:rFonts w:ascii="Times" w:hAnsi="Times"/>
        </w:rPr>
      </w:pPr>
      <w:r w:rsidRPr="008539D4">
        <w:rPr>
          <w:rFonts w:ascii="Times" w:hAnsi="Times"/>
        </w:rPr>
        <w:t>Uczelnie niepubliczne oraz federacje podmiotów systemu szkolnictwa wyższego i nauki są na gruncie ustawy o doręczeniach elektronicznych uznawane za podmioty niepubliczne. Ze</w:t>
      </w:r>
      <w:r w:rsidR="00A56DC1">
        <w:rPr>
          <w:rFonts w:ascii="Times" w:hAnsi="Times"/>
        </w:rPr>
        <w:t> </w:t>
      </w:r>
      <w:r w:rsidRPr="008539D4">
        <w:rPr>
          <w:rFonts w:ascii="Times" w:hAnsi="Times"/>
        </w:rPr>
        <w:t>względu na zadania realizowane przez te podmioty oraz obowiązujące je przepisy i</w:t>
      </w:r>
      <w:r w:rsidR="00A56DC1">
        <w:rPr>
          <w:rFonts w:ascii="Times" w:hAnsi="Times"/>
        </w:rPr>
        <w:t> </w:t>
      </w:r>
      <w:r w:rsidRPr="008539D4">
        <w:rPr>
          <w:rFonts w:ascii="Times" w:hAnsi="Times"/>
        </w:rPr>
        <w:t>wynikające z nich obowiązki, zasadne jest zdefiniowanie ich jako podmioty publiczne w</w:t>
      </w:r>
      <w:r w:rsidR="00A56DC1">
        <w:rPr>
          <w:rFonts w:ascii="Times" w:hAnsi="Times"/>
        </w:rPr>
        <w:t> </w:t>
      </w:r>
      <w:r w:rsidRPr="008539D4">
        <w:rPr>
          <w:rFonts w:ascii="Times" w:hAnsi="Times"/>
        </w:rPr>
        <w:t xml:space="preserve">przedmiotowym akcie prawnym. Przemawia za tym również konieczność zachowania jednolitych rozwiązań w zakresie e-doręczeń w stosunku do wskazanych grup podmiotów analogicznie, jak ma to miejsce w przypadku elektronicznej platformy usług administracji publicznej </w:t>
      </w:r>
      <w:proofErr w:type="spellStart"/>
      <w:r w:rsidRPr="008539D4">
        <w:rPr>
          <w:rFonts w:ascii="Times" w:hAnsi="Times"/>
        </w:rPr>
        <w:t>ePUAP</w:t>
      </w:r>
      <w:proofErr w:type="spellEnd"/>
      <w:r w:rsidRPr="008539D4">
        <w:rPr>
          <w:rFonts w:ascii="Times" w:hAnsi="Times"/>
        </w:rPr>
        <w:t xml:space="preserve">. W ustawie z dnia 17 lutego 2005 r. o informatyzacji działalności podmiotów realizujących zadania publiczne (Dz. U. z 2024 r. poz. </w:t>
      </w:r>
      <w:r w:rsidR="00BB4154">
        <w:rPr>
          <w:rFonts w:ascii="Times" w:hAnsi="Times"/>
        </w:rPr>
        <w:t>1557</w:t>
      </w:r>
      <w:r w:rsidRPr="008539D4">
        <w:rPr>
          <w:rFonts w:ascii="Times" w:hAnsi="Times"/>
        </w:rPr>
        <w:t>) uczelnie niepubliczne oraz federacje podmiotów systemu szkolnictwa wyższego i nauki są rozumiane jako podmioty publiczne i traktowane na równi z uczelniami publicznymi, w związku z czym przepisy tego aktu prawnego są stosowane  w jednakowym zakresie przez wskazane wyżej podmioty.</w:t>
      </w:r>
    </w:p>
    <w:p w14:paraId="648EBE3A" w14:textId="42ED6DAF" w:rsidR="00B81630" w:rsidRPr="00B81630" w:rsidRDefault="00B81630" w:rsidP="008539D4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Zmiany zawarte w art. </w:t>
      </w:r>
      <w:r w:rsidRPr="00B81630">
        <w:rPr>
          <w:rFonts w:ascii="Times" w:hAnsi="Times"/>
        </w:rPr>
        <w:t xml:space="preserve">11, </w:t>
      </w:r>
      <w:r w:rsidR="00DC6709">
        <w:rPr>
          <w:rFonts w:ascii="Times" w:hAnsi="Times"/>
        </w:rPr>
        <w:t xml:space="preserve">art. </w:t>
      </w:r>
      <w:r w:rsidR="0043133C">
        <w:rPr>
          <w:rFonts w:ascii="Times" w:hAnsi="Times"/>
        </w:rPr>
        <w:t xml:space="preserve">12, </w:t>
      </w:r>
      <w:r w:rsidR="00DC6709">
        <w:rPr>
          <w:rFonts w:ascii="Times" w:hAnsi="Times"/>
        </w:rPr>
        <w:t xml:space="preserve">art. </w:t>
      </w:r>
      <w:r w:rsidRPr="00B81630">
        <w:rPr>
          <w:rFonts w:ascii="Times" w:hAnsi="Times"/>
        </w:rPr>
        <w:t xml:space="preserve">13, </w:t>
      </w:r>
      <w:r w:rsidR="00DC6709">
        <w:rPr>
          <w:rFonts w:ascii="Times" w:hAnsi="Times"/>
        </w:rPr>
        <w:t xml:space="preserve">art. </w:t>
      </w:r>
      <w:r w:rsidRPr="00B81630">
        <w:rPr>
          <w:rFonts w:ascii="Times" w:hAnsi="Times"/>
        </w:rPr>
        <w:t>14</w:t>
      </w:r>
      <w:r w:rsidR="00E10DC5">
        <w:rPr>
          <w:rFonts w:ascii="Times" w:hAnsi="Times"/>
        </w:rPr>
        <w:t xml:space="preserve">, </w:t>
      </w:r>
      <w:r w:rsidR="00DC6709">
        <w:rPr>
          <w:rFonts w:ascii="Times" w:hAnsi="Times"/>
        </w:rPr>
        <w:t xml:space="preserve">art. </w:t>
      </w:r>
      <w:r w:rsidR="00E10DC5">
        <w:rPr>
          <w:rFonts w:ascii="Times" w:hAnsi="Times"/>
        </w:rPr>
        <w:t>15</w:t>
      </w:r>
      <w:r w:rsidRPr="00B81630">
        <w:rPr>
          <w:rFonts w:ascii="Times" w:hAnsi="Times"/>
        </w:rPr>
        <w:t xml:space="preserve"> oraz </w:t>
      </w:r>
      <w:r w:rsidR="00DC6709">
        <w:rPr>
          <w:rFonts w:ascii="Times" w:hAnsi="Times"/>
        </w:rPr>
        <w:t xml:space="preserve">art. </w:t>
      </w:r>
      <w:r w:rsidRPr="00B81630">
        <w:rPr>
          <w:rFonts w:ascii="Times" w:hAnsi="Times"/>
        </w:rPr>
        <w:t>1</w:t>
      </w:r>
      <w:r w:rsidR="00E10DC5">
        <w:rPr>
          <w:rFonts w:ascii="Times" w:hAnsi="Times"/>
        </w:rPr>
        <w:t>6</w:t>
      </w:r>
      <w:r w:rsidR="008539D4">
        <w:rPr>
          <w:rFonts w:ascii="Times" w:hAnsi="Times"/>
        </w:rPr>
        <w:t xml:space="preserve"> ustawy o d</w:t>
      </w:r>
      <w:r w:rsidR="001E53E1">
        <w:rPr>
          <w:rFonts w:ascii="Times" w:hAnsi="Times"/>
        </w:rPr>
        <w:t>o</w:t>
      </w:r>
      <w:r w:rsidR="008539D4">
        <w:rPr>
          <w:rFonts w:ascii="Times" w:hAnsi="Times"/>
        </w:rPr>
        <w:t>ręczeniach elektronicznych</w:t>
      </w:r>
      <w:r>
        <w:rPr>
          <w:rFonts w:ascii="Times" w:hAnsi="Times"/>
        </w:rPr>
        <w:t xml:space="preserve"> mają na </w:t>
      </w:r>
      <w:r w:rsidRPr="00B81630">
        <w:rPr>
          <w:rFonts w:ascii="Times" w:hAnsi="Times"/>
        </w:rPr>
        <w:t xml:space="preserve">celu umożliwienie klientom składanie wniosków za pośrednictwem operatora wyznaczonego, analogicznie </w:t>
      </w:r>
      <w:r w:rsidR="00DC6709">
        <w:rPr>
          <w:rFonts w:ascii="Times" w:hAnsi="Times"/>
        </w:rPr>
        <w:t>do</w:t>
      </w:r>
      <w:r w:rsidRPr="00B81630">
        <w:rPr>
          <w:rFonts w:ascii="Times" w:hAnsi="Times"/>
        </w:rPr>
        <w:t xml:space="preserve"> kwalifikowanych dostawców usług</w:t>
      </w:r>
      <w:r w:rsidR="00BB4154">
        <w:rPr>
          <w:rFonts w:ascii="Times" w:hAnsi="Times"/>
        </w:rPr>
        <w:t xml:space="preserve"> -</w:t>
      </w:r>
      <w:r w:rsidRPr="00B81630">
        <w:rPr>
          <w:rFonts w:ascii="Times" w:hAnsi="Times"/>
        </w:rPr>
        <w:t xml:space="preserve"> jest to ujednolicenie podejścia dla klientów i ujednolicenie zasad dla wszystkich dostawców</w:t>
      </w:r>
      <w:r>
        <w:rPr>
          <w:rFonts w:ascii="Times" w:hAnsi="Times"/>
        </w:rPr>
        <w:t xml:space="preserve">. </w:t>
      </w:r>
      <w:r w:rsidRPr="00B81630">
        <w:rPr>
          <w:rFonts w:ascii="Times" w:hAnsi="Times"/>
        </w:rPr>
        <w:t>Wprowadzon</w:t>
      </w:r>
      <w:r>
        <w:rPr>
          <w:rFonts w:ascii="Times" w:hAnsi="Times"/>
        </w:rPr>
        <w:t>e</w:t>
      </w:r>
      <w:r w:rsidRPr="00B81630">
        <w:rPr>
          <w:rFonts w:ascii="Times" w:hAnsi="Times"/>
        </w:rPr>
        <w:t xml:space="preserve"> zmian</w:t>
      </w:r>
      <w:r>
        <w:rPr>
          <w:rFonts w:ascii="Times" w:hAnsi="Times"/>
        </w:rPr>
        <w:t>y</w:t>
      </w:r>
      <w:r w:rsidRPr="00B81630">
        <w:rPr>
          <w:rFonts w:ascii="Times" w:hAnsi="Times"/>
        </w:rPr>
        <w:t xml:space="preserve"> umożliwi</w:t>
      </w:r>
      <w:r>
        <w:rPr>
          <w:rFonts w:ascii="Times" w:hAnsi="Times"/>
        </w:rPr>
        <w:t>ą</w:t>
      </w:r>
      <w:r w:rsidRPr="00B81630">
        <w:rPr>
          <w:rFonts w:ascii="Times" w:hAnsi="Times"/>
        </w:rPr>
        <w:t xml:space="preserve"> podmiotom niepublicznym założenie ADE (złożenie wniosku) również za pośrednictwem operatora wyznaczonego, który na rzecz danego podmiotu mógłby realizować usługi elektroniczne.</w:t>
      </w:r>
    </w:p>
    <w:p w14:paraId="53249268" w14:textId="5C7ECFF6" w:rsidR="00B81630" w:rsidRPr="00B81630" w:rsidRDefault="00B81630" w:rsidP="00B81630">
      <w:pPr>
        <w:jc w:val="both"/>
        <w:rPr>
          <w:rFonts w:ascii="Times" w:hAnsi="Times"/>
        </w:rPr>
      </w:pPr>
      <w:r w:rsidRPr="00B81630">
        <w:rPr>
          <w:rFonts w:ascii="Times" w:hAnsi="Times"/>
        </w:rPr>
        <w:t>Takie podejście rozszerzy możliwe kanały do składania wniosków o ADE i jednocześnie uprości cały proces dla podmiotów niepublicznych</w:t>
      </w:r>
      <w:r w:rsidR="00DC6709">
        <w:rPr>
          <w:rFonts w:ascii="Times" w:hAnsi="Times"/>
        </w:rPr>
        <w:t>,</w:t>
      </w:r>
      <w:r w:rsidRPr="00B81630">
        <w:rPr>
          <w:rFonts w:ascii="Times" w:hAnsi="Times"/>
        </w:rPr>
        <w:t xml:space="preserve"> umożliwiając załatwienie całego procesu założenia ADE i aktywacji za pośrednictwem jednego operatora, w tym przypadku operatora wyznaczonego.</w:t>
      </w:r>
    </w:p>
    <w:p w14:paraId="3C63905A" w14:textId="072DA40A" w:rsidR="00B81630" w:rsidRDefault="00B81630" w:rsidP="00FE01DE">
      <w:pPr>
        <w:jc w:val="both"/>
        <w:rPr>
          <w:rFonts w:ascii="Times" w:hAnsi="Times"/>
        </w:rPr>
      </w:pPr>
      <w:r w:rsidRPr="00B81630">
        <w:rPr>
          <w:rFonts w:ascii="Times" w:hAnsi="Times"/>
        </w:rPr>
        <w:t xml:space="preserve">Taki proces jest obecnie realizowany przez innych dostawców usług zaufania, ale nie przez operatora wyznaczonego co może stanowić nierówne traktowanie dostawców usług oraz </w:t>
      </w:r>
      <w:r w:rsidRPr="00B81630">
        <w:rPr>
          <w:rFonts w:ascii="Times" w:hAnsi="Times"/>
        </w:rPr>
        <w:lastRenderedPageBreak/>
        <w:t>sprawia, iż rozpoczęcie korzystania z usług operatora wyznaczonego jest bardziej skomplikowane dla podmiotów niepublicznych.</w:t>
      </w:r>
    </w:p>
    <w:p w14:paraId="47F96D7F" w14:textId="27C72662" w:rsidR="006551EB" w:rsidRDefault="006551EB" w:rsidP="00FE01DE">
      <w:pPr>
        <w:jc w:val="both"/>
        <w:rPr>
          <w:rFonts w:ascii="Times" w:hAnsi="Times"/>
        </w:rPr>
      </w:pPr>
      <w:r w:rsidRPr="006B7A30">
        <w:rPr>
          <w:rFonts w:ascii="Times" w:hAnsi="Times"/>
        </w:rPr>
        <w:t xml:space="preserve">W art. 12 </w:t>
      </w:r>
      <w:r w:rsidR="009C415D">
        <w:rPr>
          <w:rFonts w:ascii="Times" w:hAnsi="Times"/>
        </w:rPr>
        <w:t>ustawy o doręczeniach elektronicznych</w:t>
      </w:r>
      <w:r w:rsidRPr="006B7A30">
        <w:rPr>
          <w:rFonts w:ascii="Times" w:hAnsi="Times"/>
        </w:rPr>
        <w:t xml:space="preserve"> po ust. 1 dodaje się ust. 1a, który stanowi, ż</w:t>
      </w:r>
      <w:r w:rsidR="009C415D">
        <w:rPr>
          <w:rFonts w:ascii="Times" w:hAnsi="Times"/>
        </w:rPr>
        <w:t>e</w:t>
      </w:r>
      <w:r w:rsidRPr="006B7A30">
        <w:rPr>
          <w:rFonts w:ascii="Times" w:hAnsi="Times"/>
        </w:rPr>
        <w:t xml:space="preserve"> tworzy</w:t>
      </w:r>
      <w:r>
        <w:rPr>
          <w:rFonts w:ascii="Times" w:hAnsi="Times"/>
        </w:rPr>
        <w:t xml:space="preserve"> się</w:t>
      </w:r>
      <w:r w:rsidR="009B7CA6">
        <w:rPr>
          <w:rFonts w:ascii="Times" w:hAnsi="Times"/>
        </w:rPr>
        <w:t xml:space="preserve">, </w:t>
      </w:r>
      <w:r w:rsidR="009B7CA6">
        <w:t>z uwzględnieniem ust. 1</w:t>
      </w:r>
      <w:r w:rsidR="00076C18">
        <w:t>c</w:t>
      </w:r>
      <w:r w:rsidR="009B7CA6">
        <w:t>,</w:t>
      </w:r>
      <w:r>
        <w:rPr>
          <w:rFonts w:ascii="Times" w:hAnsi="Times"/>
        </w:rPr>
        <w:t xml:space="preserve"> </w:t>
      </w:r>
      <w:r w:rsidRPr="006B7A30">
        <w:rPr>
          <w:rFonts w:ascii="Times" w:hAnsi="Times"/>
        </w:rPr>
        <w:t>jeden adres do doręczeń elektronicznych powiązany z</w:t>
      </w:r>
      <w:r w:rsidR="001A53A5">
        <w:rPr>
          <w:rFonts w:ascii="Times" w:hAnsi="Times"/>
        </w:rPr>
        <w:t> </w:t>
      </w:r>
      <w:r w:rsidRPr="006B7A30">
        <w:rPr>
          <w:rFonts w:ascii="Times" w:hAnsi="Times"/>
        </w:rPr>
        <w:t>publiczną usługą rejestrowanego doręczenia elektronicznego</w:t>
      </w:r>
      <w:r>
        <w:rPr>
          <w:rFonts w:ascii="Times" w:hAnsi="Times"/>
        </w:rPr>
        <w:t xml:space="preserve"> dla </w:t>
      </w:r>
      <w:r w:rsidRPr="006B7A30">
        <w:rPr>
          <w:rFonts w:ascii="Times" w:hAnsi="Times"/>
        </w:rPr>
        <w:t>urzęd</w:t>
      </w:r>
      <w:r>
        <w:rPr>
          <w:rFonts w:ascii="Times" w:hAnsi="Times"/>
        </w:rPr>
        <w:t>ów gmin, starostw powiatowych</w:t>
      </w:r>
      <w:r w:rsidR="009B7CA6">
        <w:rPr>
          <w:rFonts w:ascii="Times" w:hAnsi="Times"/>
        </w:rPr>
        <w:t>,</w:t>
      </w:r>
      <w:r>
        <w:rPr>
          <w:rFonts w:ascii="Times" w:hAnsi="Times"/>
        </w:rPr>
        <w:t xml:space="preserve"> urzędów marszałkowskich</w:t>
      </w:r>
      <w:r w:rsidR="009B7CA6">
        <w:rPr>
          <w:rFonts w:ascii="Times" w:hAnsi="Times"/>
        </w:rPr>
        <w:t xml:space="preserve"> albo</w:t>
      </w:r>
      <w:r w:rsidR="005A5577">
        <w:rPr>
          <w:rFonts w:ascii="Times" w:hAnsi="Times"/>
        </w:rPr>
        <w:t xml:space="preserve"> </w:t>
      </w:r>
      <w:r w:rsidR="009B7CA6" w:rsidRPr="005E2235">
        <w:rPr>
          <w:rFonts w:ascii="Times" w:hAnsi="Times"/>
        </w:rPr>
        <w:t>organu obsługującego związki międzygminne, związki powiatów, związki powiatowo-gminne albo związki metropolitalne</w:t>
      </w:r>
      <w:r>
        <w:rPr>
          <w:rFonts w:ascii="Times" w:hAnsi="Times"/>
        </w:rPr>
        <w:t xml:space="preserve">. </w:t>
      </w:r>
      <w:r w:rsidR="008C0BFF">
        <w:rPr>
          <w:rFonts w:ascii="Times" w:hAnsi="Times"/>
        </w:rPr>
        <w:t>Przepis u</w:t>
      </w:r>
      <w:r>
        <w:rPr>
          <w:rFonts w:ascii="Times" w:hAnsi="Times"/>
        </w:rPr>
        <w:t>st</w:t>
      </w:r>
      <w:r w:rsidR="009C415D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  <w:r w:rsidR="00076C18">
        <w:rPr>
          <w:rFonts w:ascii="Times" w:hAnsi="Times"/>
        </w:rPr>
        <w:t>1c</w:t>
      </w:r>
      <w:r>
        <w:rPr>
          <w:rFonts w:ascii="Times" w:hAnsi="Times"/>
        </w:rPr>
        <w:t xml:space="preserve"> stanowi, </w:t>
      </w:r>
      <w:r w:rsidRPr="005F6115">
        <w:rPr>
          <w:rFonts w:ascii="Times" w:hAnsi="Times"/>
        </w:rPr>
        <w:t>że dla każdej jednostki organizacyjnej jednostki samorządu terytorialnego</w:t>
      </w:r>
      <w:r w:rsidR="009B7CA6">
        <w:rPr>
          <w:rFonts w:ascii="Times" w:hAnsi="Times"/>
        </w:rPr>
        <w:t xml:space="preserve">, </w:t>
      </w:r>
      <w:r w:rsidR="009B7CA6" w:rsidRPr="005E2235">
        <w:rPr>
          <w:rFonts w:ascii="Times" w:hAnsi="Times"/>
        </w:rPr>
        <w:t>posiadającej numer identyfikacyjny REGON</w:t>
      </w:r>
      <w:r w:rsidR="009B7CA6">
        <w:rPr>
          <w:rFonts w:ascii="Times" w:hAnsi="Times"/>
        </w:rPr>
        <w:t>,</w:t>
      </w:r>
      <w:r w:rsidRPr="005F6115">
        <w:rPr>
          <w:rFonts w:ascii="Times" w:hAnsi="Times"/>
        </w:rPr>
        <w:t xml:space="preserve"> tworzy się odrębny adres do doręczeń elektronicznych powiązany z</w:t>
      </w:r>
      <w:r>
        <w:rPr>
          <w:rFonts w:ascii="Times" w:hAnsi="Times"/>
        </w:rPr>
        <w:t> </w:t>
      </w:r>
      <w:r w:rsidRPr="005F6115">
        <w:rPr>
          <w:rFonts w:ascii="Times" w:hAnsi="Times"/>
        </w:rPr>
        <w:t>publiczną usługą rejestrowanego doręczenia elektronicznego</w:t>
      </w:r>
      <w:r w:rsidR="009C415D">
        <w:rPr>
          <w:rFonts w:ascii="Times" w:hAnsi="Times"/>
        </w:rPr>
        <w:t>.</w:t>
      </w:r>
    </w:p>
    <w:p w14:paraId="46EA8F48" w14:textId="4EFB39B3" w:rsidR="006551EB" w:rsidRDefault="006551EB" w:rsidP="00FE01DE">
      <w:pPr>
        <w:jc w:val="both"/>
        <w:rPr>
          <w:rFonts w:ascii="Times" w:hAnsi="Times"/>
        </w:rPr>
      </w:pPr>
      <w:r>
        <w:rPr>
          <w:rFonts w:ascii="Times" w:hAnsi="Times"/>
        </w:rPr>
        <w:t>To rozwiązanie jest odpowiedzią na apele jednostek samorządu terytorialnego</w:t>
      </w:r>
      <w:r w:rsidR="00497724">
        <w:rPr>
          <w:rFonts w:ascii="Times" w:hAnsi="Times"/>
        </w:rPr>
        <w:t xml:space="preserve">, </w:t>
      </w:r>
      <w:r>
        <w:rPr>
          <w:rFonts w:ascii="Times" w:hAnsi="Times"/>
        </w:rPr>
        <w:t xml:space="preserve">dalej </w:t>
      </w:r>
      <w:r w:rsidR="00497724">
        <w:rPr>
          <w:rFonts w:ascii="Times" w:hAnsi="Times"/>
        </w:rPr>
        <w:t>„</w:t>
      </w:r>
      <w:proofErr w:type="spellStart"/>
      <w:r>
        <w:rPr>
          <w:rFonts w:ascii="Times" w:hAnsi="Times"/>
        </w:rPr>
        <w:t>jst</w:t>
      </w:r>
      <w:proofErr w:type="spellEnd"/>
      <w:r w:rsidR="00497724">
        <w:rPr>
          <w:rFonts w:ascii="Times" w:hAnsi="Times"/>
        </w:rPr>
        <w:t>”,</w:t>
      </w:r>
      <w:r>
        <w:rPr>
          <w:rFonts w:ascii="Times" w:hAnsi="Times"/>
        </w:rPr>
        <w:t xml:space="preserve"> i zostało ustalone z organizacjami zrzeszającymi </w:t>
      </w:r>
      <w:proofErr w:type="spellStart"/>
      <w:r>
        <w:rPr>
          <w:rFonts w:ascii="Times" w:hAnsi="Times"/>
        </w:rPr>
        <w:t>jst</w:t>
      </w:r>
      <w:proofErr w:type="spellEnd"/>
      <w:r>
        <w:rPr>
          <w:rFonts w:ascii="Times" w:hAnsi="Times"/>
        </w:rPr>
        <w:t xml:space="preserve"> w ramach grupy roboczej, która powstała przy Ministerstwie Cyfryzacji. Obecnie ustawa o doręczeniach elektronicznych nie precyzuje</w:t>
      </w:r>
      <w:r w:rsidR="009C415D">
        <w:rPr>
          <w:rFonts w:ascii="Times" w:hAnsi="Times"/>
        </w:rPr>
        <w:t>,</w:t>
      </w:r>
      <w:r>
        <w:rPr>
          <w:rFonts w:ascii="Times" w:hAnsi="Times"/>
        </w:rPr>
        <w:t xml:space="preserve"> czy o adres do doręczeń elektronicznych wnioskować powinien organ czy urząd obsługujący ten organ. W efekcie część </w:t>
      </w:r>
      <w:proofErr w:type="spellStart"/>
      <w:r>
        <w:rPr>
          <w:rFonts w:ascii="Times" w:hAnsi="Times"/>
        </w:rPr>
        <w:t>jst</w:t>
      </w:r>
      <w:proofErr w:type="spellEnd"/>
      <w:r>
        <w:rPr>
          <w:rFonts w:ascii="Times" w:hAnsi="Times"/>
        </w:rPr>
        <w:t xml:space="preserve"> założyła adresy do doręczeń elektronicznych na gminę/powiat/województwo, część na urząd gminy/starostwo powiatowe/urząd marszałkowski albo na jedno i na drugie. Skutkuje to niejednolitym sposobem zakładania adresów do doręczeń elektronicznych w Bazie Adresów Elektronicznych (BAE) i trudnościami w wyszukiwaniu adresów. </w:t>
      </w:r>
    </w:p>
    <w:p w14:paraId="2F879772" w14:textId="1C3F88B2" w:rsidR="006551EB" w:rsidRPr="006B7A30" w:rsidRDefault="006551EB" w:rsidP="00FE01DE">
      <w:pPr>
        <w:jc w:val="both"/>
        <w:rPr>
          <w:rFonts w:ascii="Times" w:hAnsi="Times"/>
        </w:rPr>
      </w:pPr>
      <w:r>
        <w:rPr>
          <w:rFonts w:ascii="Times" w:hAnsi="Times"/>
        </w:rPr>
        <w:t>Wprowadza się zmiany w art. 26 ustawy o doręczeniach elektronicznych. Zostaje on rozszerzony i uzupełniony w koniecznym zakresie, który pozwoli na zidentyfikowanie</w:t>
      </w:r>
      <w:r w:rsidR="009C415D">
        <w:rPr>
          <w:rFonts w:ascii="Times" w:hAnsi="Times"/>
        </w:rPr>
        <w:t>,</w:t>
      </w:r>
      <w:r>
        <w:rPr>
          <w:rFonts w:ascii="Times" w:hAnsi="Times"/>
        </w:rPr>
        <w:t xml:space="preserve"> czy podmiot niepubliczny posiadający adres do doręczeń elektronicznych powiązany z PURDE korzysta również z usług dodatkowych Operatora Wyznaczonego (OW). </w:t>
      </w:r>
    </w:p>
    <w:p w14:paraId="7FC9C587" w14:textId="34548BAC" w:rsidR="006551EB" w:rsidRPr="006B7A30" w:rsidRDefault="006551EB" w:rsidP="00FE01DE">
      <w:pPr>
        <w:jc w:val="both"/>
        <w:rPr>
          <w:rFonts w:ascii="Times" w:hAnsi="Times"/>
        </w:rPr>
      </w:pPr>
      <w:r w:rsidRPr="006B7A30">
        <w:rPr>
          <w:rFonts w:ascii="Times" w:hAnsi="Times"/>
        </w:rPr>
        <w:t>W art. 26 w pkt 2 w lit. p</w:t>
      </w:r>
      <w:r w:rsidR="001E6216">
        <w:rPr>
          <w:rFonts w:ascii="Times" w:hAnsi="Times"/>
        </w:rPr>
        <w:t xml:space="preserve"> projektu</w:t>
      </w:r>
      <w:r w:rsidRPr="006B7A30">
        <w:rPr>
          <w:rFonts w:ascii="Times" w:hAnsi="Times"/>
        </w:rPr>
        <w:t xml:space="preserve"> średnik zastępuje się przecinkiem i dodaje się lit. q w</w:t>
      </w:r>
      <w:r w:rsidR="005A5577">
        <w:rPr>
          <w:rFonts w:ascii="Times" w:hAnsi="Times"/>
        </w:rPr>
        <w:t> </w:t>
      </w:r>
      <w:r w:rsidRPr="006B7A30">
        <w:rPr>
          <w:rFonts w:ascii="Times" w:hAnsi="Times"/>
        </w:rPr>
        <w:t>brzmieniu</w:t>
      </w:r>
      <w:r w:rsidR="009F4659">
        <w:rPr>
          <w:rFonts w:ascii="Times" w:hAnsi="Times"/>
        </w:rPr>
        <w:t>:</w:t>
      </w:r>
      <w:r w:rsidRPr="006B7A30">
        <w:rPr>
          <w:rFonts w:ascii="Times" w:hAnsi="Times"/>
        </w:rPr>
        <w:t xml:space="preserve"> „informację o korzystaniu z dodatkow</w:t>
      </w:r>
      <w:r w:rsidR="00DC5489">
        <w:rPr>
          <w:rFonts w:ascii="Times" w:hAnsi="Times"/>
        </w:rPr>
        <w:t>ych</w:t>
      </w:r>
      <w:r w:rsidRPr="006B7A30">
        <w:rPr>
          <w:rFonts w:ascii="Times" w:hAnsi="Times"/>
        </w:rPr>
        <w:t xml:space="preserve"> usług, o któr</w:t>
      </w:r>
      <w:r w:rsidR="00DC5489">
        <w:rPr>
          <w:rFonts w:ascii="Times" w:hAnsi="Times"/>
        </w:rPr>
        <w:t>ych</w:t>
      </w:r>
      <w:r w:rsidRPr="006B7A30">
        <w:rPr>
          <w:rFonts w:ascii="Times" w:hAnsi="Times"/>
        </w:rPr>
        <w:t xml:space="preserve"> mowa w art. 53</w:t>
      </w:r>
      <w:r w:rsidR="00DC5489">
        <w:rPr>
          <w:rFonts w:ascii="Times" w:hAnsi="Times"/>
        </w:rPr>
        <w:t xml:space="preserve"> ust. 1</w:t>
      </w:r>
      <w:r w:rsidRPr="006B7A30">
        <w:rPr>
          <w:rFonts w:ascii="Times" w:hAnsi="Times"/>
        </w:rPr>
        <w:t>, w</w:t>
      </w:r>
      <w:r w:rsidR="00A56DC1">
        <w:rPr>
          <w:rFonts w:ascii="Times" w:hAnsi="Times"/>
        </w:rPr>
        <w:t> </w:t>
      </w:r>
      <w:r w:rsidRPr="006B7A30">
        <w:rPr>
          <w:rFonts w:ascii="Times" w:hAnsi="Times"/>
        </w:rPr>
        <w:t>zakresie wymiany korespondencji między podmiotami niepublicznymi.”</w:t>
      </w:r>
      <w:r w:rsidR="00497724">
        <w:rPr>
          <w:rFonts w:ascii="Times" w:hAnsi="Times"/>
        </w:rPr>
        <w:t xml:space="preserve">, natomiast </w:t>
      </w:r>
    </w:p>
    <w:p w14:paraId="7AABD96E" w14:textId="79700601" w:rsidR="006551EB" w:rsidRDefault="00497724" w:rsidP="00FE01DE">
      <w:pPr>
        <w:jc w:val="both"/>
        <w:rPr>
          <w:rFonts w:ascii="Times" w:hAnsi="Times"/>
        </w:rPr>
      </w:pPr>
      <w:r>
        <w:rPr>
          <w:rFonts w:ascii="Times" w:hAnsi="Times"/>
        </w:rPr>
        <w:t>w</w:t>
      </w:r>
      <w:r w:rsidRPr="006B7A30">
        <w:rPr>
          <w:rFonts w:ascii="Times" w:hAnsi="Times"/>
        </w:rPr>
        <w:t xml:space="preserve"> </w:t>
      </w:r>
      <w:r w:rsidR="006551EB" w:rsidRPr="006B7A30">
        <w:rPr>
          <w:rFonts w:ascii="Times" w:hAnsi="Times"/>
        </w:rPr>
        <w:t xml:space="preserve">art. 26 pkt 3 w lit. l </w:t>
      </w:r>
      <w:r w:rsidR="008C0BFF">
        <w:rPr>
          <w:rFonts w:ascii="Times" w:hAnsi="Times"/>
        </w:rPr>
        <w:t>kropkę</w:t>
      </w:r>
      <w:r w:rsidR="008C0BFF" w:rsidRPr="006B7A30">
        <w:rPr>
          <w:rFonts w:ascii="Times" w:hAnsi="Times"/>
        </w:rPr>
        <w:t xml:space="preserve"> </w:t>
      </w:r>
      <w:r w:rsidR="006551EB" w:rsidRPr="006B7A30">
        <w:rPr>
          <w:rFonts w:ascii="Times" w:hAnsi="Times"/>
        </w:rPr>
        <w:t>zastępuje się przecinkiem i dodaje się lit. m w brzmieniu</w:t>
      </w:r>
      <w:r w:rsidR="009F4659">
        <w:rPr>
          <w:rFonts w:ascii="Times" w:hAnsi="Times"/>
        </w:rPr>
        <w:t>:</w:t>
      </w:r>
      <w:r w:rsidR="006551EB" w:rsidRPr="006B7A30">
        <w:rPr>
          <w:rFonts w:ascii="Times" w:hAnsi="Times"/>
        </w:rPr>
        <w:t xml:space="preserve"> „informację o korzystaniu z dodatkow</w:t>
      </w:r>
      <w:r w:rsidR="00DC5489">
        <w:rPr>
          <w:rFonts w:ascii="Times" w:hAnsi="Times"/>
        </w:rPr>
        <w:t>ych</w:t>
      </w:r>
      <w:r w:rsidR="006551EB" w:rsidRPr="006B7A30">
        <w:rPr>
          <w:rFonts w:ascii="Times" w:hAnsi="Times"/>
        </w:rPr>
        <w:t xml:space="preserve"> usług, o której mowa w art. 53</w:t>
      </w:r>
      <w:r w:rsidR="00DC5489">
        <w:rPr>
          <w:rFonts w:ascii="Times" w:hAnsi="Times"/>
        </w:rPr>
        <w:t xml:space="preserve"> ust. 1</w:t>
      </w:r>
      <w:r w:rsidR="006551EB" w:rsidRPr="006B7A30">
        <w:rPr>
          <w:rFonts w:ascii="Times" w:hAnsi="Times"/>
        </w:rPr>
        <w:t>, w zakresie wymiany korespondencji między podmiotami niepublicznymi.”</w:t>
      </w:r>
      <w:r w:rsidR="006551EB">
        <w:rPr>
          <w:rFonts w:ascii="Times" w:hAnsi="Times"/>
        </w:rPr>
        <w:t>.</w:t>
      </w:r>
    </w:p>
    <w:p w14:paraId="2DC147E0" w14:textId="4C6BDCBF" w:rsidR="006551EB" w:rsidRDefault="006551EB" w:rsidP="00FE01DE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Taka zmiana ułatwi prowadzenie korespondencji między dwoma podmiotami niepublicznymi, z których jeden posiada adres do doręczeń elektronicznych </w:t>
      </w:r>
      <w:r w:rsidR="009B7CA6">
        <w:rPr>
          <w:rFonts w:ascii="Times" w:hAnsi="Times"/>
        </w:rPr>
        <w:t xml:space="preserve">powiązany </w:t>
      </w:r>
      <w:r>
        <w:rPr>
          <w:rFonts w:ascii="Times" w:hAnsi="Times"/>
        </w:rPr>
        <w:t xml:space="preserve">z PURDE. Dostawca usługi komercyjnej będzie wówczas wiedział, czy klient OW będący podmiotem niepublicznym korzysta z usługi dodatkowej i czy może mu doręczyć korespondencję od </w:t>
      </w:r>
      <w:r>
        <w:rPr>
          <w:rFonts w:ascii="Times" w:hAnsi="Times"/>
        </w:rPr>
        <w:lastRenderedPageBreak/>
        <w:t>swojego klienta, który również jest podmiotem niepublicznym. Brak takiej zmiany niesie ze sobą ryzyko, że komercyjny dostawca usługi r</w:t>
      </w:r>
      <w:r w:rsidRPr="00BE4B0E">
        <w:rPr>
          <w:rFonts w:ascii="Times" w:hAnsi="Times"/>
        </w:rPr>
        <w:t xml:space="preserve">ejestrowanego doręczenia elektronicznego </w:t>
      </w:r>
      <w:r>
        <w:rPr>
          <w:rFonts w:ascii="Times" w:hAnsi="Times"/>
        </w:rPr>
        <w:t xml:space="preserve">(RDE) doręczy korespondencję do klienta OW będącego podmiotem niepublicznym, który nie aktywował usługi dodatkowej OW. Wówczas taka korespondencja nie zostanie doręczona </w:t>
      </w:r>
      <w:r w:rsidR="009C415D">
        <w:rPr>
          <w:rFonts w:ascii="Times" w:hAnsi="Times"/>
        </w:rPr>
        <w:t>i </w:t>
      </w:r>
      <w:r>
        <w:rPr>
          <w:rFonts w:ascii="Times" w:hAnsi="Times"/>
        </w:rPr>
        <w:t>brak będzie informacji o przyczynie braku doręczenia.</w:t>
      </w:r>
    </w:p>
    <w:p w14:paraId="5A968388" w14:textId="0E27AEB2" w:rsidR="0063178E" w:rsidRPr="0063178E" w:rsidRDefault="00003511" w:rsidP="0063178E">
      <w:pPr>
        <w:jc w:val="both"/>
        <w:rPr>
          <w:rFonts w:ascii="Times" w:hAnsi="Times"/>
        </w:rPr>
      </w:pPr>
      <w:r>
        <w:rPr>
          <w:rFonts w:ascii="Times" w:hAnsi="Times"/>
        </w:rPr>
        <w:t>Zmiana w a</w:t>
      </w:r>
      <w:r w:rsidR="009B7CA6">
        <w:rPr>
          <w:rFonts w:ascii="Times" w:hAnsi="Times"/>
        </w:rPr>
        <w:t xml:space="preserve">rt. 34 ustawy </w:t>
      </w:r>
      <w:r>
        <w:rPr>
          <w:rFonts w:ascii="Times" w:hAnsi="Times"/>
        </w:rPr>
        <w:t xml:space="preserve">o doręczeniach elektronicznych </w:t>
      </w:r>
      <w:r w:rsidR="009B7CA6">
        <w:rPr>
          <w:rFonts w:ascii="Times" w:hAnsi="Times"/>
        </w:rPr>
        <w:t>wskazuje, że w</w:t>
      </w:r>
      <w:r w:rsidR="009B7CA6" w:rsidRPr="005B59CC">
        <w:rPr>
          <w:rFonts w:ascii="Times" w:hAnsi="Times"/>
        </w:rPr>
        <w:t>pisu adresu do doręczeń elektronicznych do bazy adresów elektronicznych dokonuje się bezterminowo</w:t>
      </w:r>
      <w:r w:rsidR="009B7CA6">
        <w:rPr>
          <w:rFonts w:ascii="Times" w:hAnsi="Times"/>
        </w:rPr>
        <w:t>.</w:t>
      </w:r>
      <w:r w:rsidR="00533A2D">
        <w:rPr>
          <w:rFonts w:ascii="Times" w:hAnsi="Times"/>
        </w:rPr>
        <w:t xml:space="preserve"> Przepis ten ma na celu u</w:t>
      </w:r>
      <w:r w:rsidR="00533A2D" w:rsidRPr="00533A2D">
        <w:rPr>
          <w:rFonts w:ascii="Times" w:hAnsi="Times"/>
        </w:rPr>
        <w:t>sprawnienie dla osób fizycznych, tak jak dla innych podmiotów,</w:t>
      </w:r>
      <w:r w:rsidR="00533A2D">
        <w:rPr>
          <w:rFonts w:ascii="Times" w:hAnsi="Times"/>
        </w:rPr>
        <w:t xml:space="preserve"> </w:t>
      </w:r>
      <w:r w:rsidR="004514CF">
        <w:rPr>
          <w:rFonts w:ascii="Times" w:hAnsi="Times"/>
        </w:rPr>
        <w:t xml:space="preserve">polegające </w:t>
      </w:r>
      <w:r w:rsidR="00533A2D">
        <w:rPr>
          <w:rFonts w:ascii="Times" w:hAnsi="Times"/>
        </w:rPr>
        <w:t>na tym,</w:t>
      </w:r>
      <w:r w:rsidR="00533A2D" w:rsidRPr="00533A2D">
        <w:rPr>
          <w:rFonts w:ascii="Times" w:hAnsi="Times"/>
        </w:rPr>
        <w:t xml:space="preserve"> aby nie musieli </w:t>
      </w:r>
      <w:r w:rsidR="00FF5C5C">
        <w:rPr>
          <w:rFonts w:ascii="Times" w:hAnsi="Times"/>
        </w:rPr>
        <w:t xml:space="preserve">oni </w:t>
      </w:r>
      <w:r w:rsidR="00533A2D" w:rsidRPr="00533A2D">
        <w:rPr>
          <w:rFonts w:ascii="Times" w:hAnsi="Times"/>
        </w:rPr>
        <w:t>dokonywać dodatkowych czynności związanych ze wznowieniem po 3 latach ADE. W przypadku osób fizycznych zawsze istnieje możliwość rezygnacji z ADE</w:t>
      </w:r>
      <w:r w:rsidR="00533A2D">
        <w:rPr>
          <w:rFonts w:ascii="Times" w:hAnsi="Times"/>
        </w:rPr>
        <w:t>.</w:t>
      </w:r>
      <w:r w:rsidR="0063178E">
        <w:rPr>
          <w:rFonts w:ascii="Times" w:hAnsi="Times"/>
        </w:rPr>
        <w:t xml:space="preserve"> Uchylono również</w:t>
      </w:r>
      <w:r w:rsidR="00FC6C1F">
        <w:rPr>
          <w:rFonts w:ascii="Times" w:hAnsi="Times"/>
        </w:rPr>
        <w:t xml:space="preserve"> w art. 35 </w:t>
      </w:r>
      <w:r w:rsidR="006C710A">
        <w:rPr>
          <w:rFonts w:ascii="Times" w:hAnsi="Times"/>
        </w:rPr>
        <w:t xml:space="preserve">w </w:t>
      </w:r>
      <w:r w:rsidR="00FC6C1F">
        <w:rPr>
          <w:rFonts w:ascii="Times" w:hAnsi="Times"/>
        </w:rPr>
        <w:t>ust. 4 pkt 7</w:t>
      </w:r>
      <w:r w:rsidR="0063178E">
        <w:rPr>
          <w:rFonts w:ascii="Times" w:hAnsi="Times"/>
        </w:rPr>
        <w:t xml:space="preserve"> </w:t>
      </w:r>
      <w:r w:rsidR="004514CF">
        <w:rPr>
          <w:rFonts w:ascii="Times" w:hAnsi="Times"/>
        </w:rPr>
        <w:t xml:space="preserve">- </w:t>
      </w:r>
      <w:r w:rsidR="0063178E">
        <w:rPr>
          <w:rFonts w:ascii="Times" w:hAnsi="Times"/>
        </w:rPr>
        <w:t xml:space="preserve">przesłankę wykreślenia przez ministra </w:t>
      </w:r>
      <w:r w:rsidR="0063178E" w:rsidRPr="0063178E">
        <w:rPr>
          <w:rFonts w:ascii="Times" w:hAnsi="Times"/>
        </w:rPr>
        <w:t>właściw</w:t>
      </w:r>
      <w:r w:rsidR="0063178E">
        <w:rPr>
          <w:rFonts w:ascii="Times" w:hAnsi="Times"/>
        </w:rPr>
        <w:t>ego</w:t>
      </w:r>
      <w:r w:rsidR="0063178E" w:rsidRPr="0063178E">
        <w:rPr>
          <w:rFonts w:ascii="Times" w:hAnsi="Times"/>
        </w:rPr>
        <w:t xml:space="preserve"> do spraw informatyzacji z urzędu adres</w:t>
      </w:r>
      <w:r w:rsidR="0063178E">
        <w:rPr>
          <w:rFonts w:ascii="Times" w:hAnsi="Times"/>
        </w:rPr>
        <w:t>u</w:t>
      </w:r>
      <w:r w:rsidR="0063178E" w:rsidRPr="0063178E">
        <w:rPr>
          <w:rFonts w:ascii="Times" w:hAnsi="Times"/>
        </w:rPr>
        <w:t xml:space="preserve"> do doręczeń elektronicznych z bazy adresów elektronicznych </w:t>
      </w:r>
      <w:r w:rsidR="0063178E">
        <w:rPr>
          <w:rFonts w:ascii="Times" w:hAnsi="Times"/>
        </w:rPr>
        <w:t>w przypadku</w:t>
      </w:r>
      <w:r w:rsidR="0063178E" w:rsidRPr="0063178E">
        <w:rPr>
          <w:rFonts w:ascii="Times" w:hAnsi="Times"/>
        </w:rPr>
        <w:t xml:space="preserve"> nieprzedłużenia wpisu </w:t>
      </w:r>
      <w:r w:rsidR="0063178E">
        <w:rPr>
          <w:rFonts w:ascii="Times" w:hAnsi="Times"/>
        </w:rPr>
        <w:t xml:space="preserve">tego </w:t>
      </w:r>
      <w:r w:rsidR="0063178E" w:rsidRPr="0063178E">
        <w:rPr>
          <w:rFonts w:ascii="Times" w:hAnsi="Times"/>
        </w:rPr>
        <w:t>adresu</w:t>
      </w:r>
      <w:r w:rsidR="0063178E">
        <w:rPr>
          <w:rFonts w:ascii="Times" w:hAnsi="Times"/>
        </w:rPr>
        <w:t>.</w:t>
      </w:r>
    </w:p>
    <w:p w14:paraId="2CBF28CF" w14:textId="313D5162" w:rsidR="009B7CA6" w:rsidRDefault="009B7CA6" w:rsidP="00FE01DE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W art. 53 </w:t>
      </w:r>
      <w:r w:rsidR="004514CF">
        <w:rPr>
          <w:rFonts w:ascii="Times" w:hAnsi="Times"/>
        </w:rPr>
        <w:t xml:space="preserve">ustawy o doręczeniach elektronicznych </w:t>
      </w:r>
      <w:r>
        <w:rPr>
          <w:rFonts w:ascii="Times" w:hAnsi="Times"/>
        </w:rPr>
        <w:t>dodaje się ust. 2 stanowiący, że w</w:t>
      </w:r>
      <w:r w:rsidRPr="005B59CC">
        <w:rPr>
          <w:rFonts w:ascii="Times" w:hAnsi="Times"/>
        </w:rPr>
        <w:t xml:space="preserve"> przypadku świadczenia usług dodatkowych, o</w:t>
      </w:r>
      <w:r w:rsidR="005A5577">
        <w:rPr>
          <w:rFonts w:ascii="Times" w:hAnsi="Times"/>
        </w:rPr>
        <w:t> </w:t>
      </w:r>
      <w:r w:rsidRPr="005B59CC">
        <w:rPr>
          <w:rFonts w:ascii="Times" w:hAnsi="Times"/>
        </w:rPr>
        <w:t>których mowa w ust.</w:t>
      </w:r>
      <w:r w:rsidR="008544F1">
        <w:rPr>
          <w:rFonts w:ascii="Times" w:hAnsi="Times"/>
        </w:rPr>
        <w:t xml:space="preserve"> </w:t>
      </w:r>
      <w:r w:rsidRPr="005B59CC">
        <w:rPr>
          <w:rFonts w:ascii="Times" w:hAnsi="Times"/>
        </w:rPr>
        <w:t>1, w zakresie wymiany korespondencji między osobami fizycznymi lub podmiotami niebędącymi podmiotami publicznymi operator wyznaczony przekazuje informacje o korzystaniu z t</w:t>
      </w:r>
      <w:r w:rsidR="008544F1">
        <w:rPr>
          <w:rFonts w:ascii="Times" w:hAnsi="Times"/>
        </w:rPr>
        <w:t>ych</w:t>
      </w:r>
      <w:r w:rsidRPr="005B59CC">
        <w:rPr>
          <w:rFonts w:ascii="Times" w:hAnsi="Times"/>
        </w:rPr>
        <w:t xml:space="preserve"> usług ministrowi właściwemu do spraw informatyzacji za pośrednictwem systemu teleinformatycznego</w:t>
      </w:r>
      <w:r>
        <w:rPr>
          <w:rFonts w:ascii="Times" w:hAnsi="Times"/>
        </w:rPr>
        <w:t>.</w:t>
      </w:r>
      <w:r w:rsidR="00533A2D">
        <w:rPr>
          <w:rFonts w:ascii="Times" w:hAnsi="Times"/>
        </w:rPr>
        <w:t xml:space="preserve"> Przepis ten nakłada na operatora wyznaczonego obowiązek przekazania informacji o wykonywaniu usługi do BAE w celu umożliwienia przetwarzania i wyszukiwania tych danych z bazy adresów elektronicznych.</w:t>
      </w:r>
    </w:p>
    <w:p w14:paraId="7B2FB06C" w14:textId="28B504AD" w:rsidR="00F34BC5" w:rsidRDefault="00F34BC5" w:rsidP="00F34BC5">
      <w:pPr>
        <w:jc w:val="both"/>
        <w:rPr>
          <w:rFonts w:ascii="Times" w:hAnsi="Times"/>
        </w:rPr>
      </w:pPr>
      <w:r>
        <w:rPr>
          <w:rFonts w:ascii="Times" w:hAnsi="Times"/>
        </w:rPr>
        <w:t>K</w:t>
      </w:r>
      <w:r w:rsidRPr="00F34BC5">
        <w:rPr>
          <w:rFonts w:ascii="Times" w:hAnsi="Times"/>
        </w:rPr>
        <w:t>onieczn</w:t>
      </w:r>
      <w:r w:rsidR="008544F1">
        <w:rPr>
          <w:rFonts w:ascii="Times" w:hAnsi="Times"/>
        </w:rPr>
        <w:t>e</w:t>
      </w:r>
      <w:r w:rsidRPr="00F34BC5">
        <w:rPr>
          <w:rFonts w:ascii="Times" w:hAnsi="Times"/>
        </w:rPr>
        <w:t xml:space="preserve"> jest</w:t>
      </w:r>
      <w:r>
        <w:rPr>
          <w:rFonts w:ascii="Times" w:hAnsi="Times"/>
        </w:rPr>
        <w:t xml:space="preserve"> również</w:t>
      </w:r>
      <w:r w:rsidRPr="00F34BC5">
        <w:rPr>
          <w:rFonts w:ascii="Times" w:hAnsi="Times"/>
        </w:rPr>
        <w:t xml:space="preserve"> uchylenie w art. 63 </w:t>
      </w:r>
      <w:r w:rsidR="004514CF">
        <w:rPr>
          <w:rFonts w:ascii="Times" w:hAnsi="Times"/>
        </w:rPr>
        <w:t xml:space="preserve">ustawy o doręczeniach elektronicznych, </w:t>
      </w:r>
      <w:r w:rsidRPr="00F34BC5">
        <w:rPr>
          <w:rFonts w:ascii="Times" w:hAnsi="Times"/>
        </w:rPr>
        <w:t xml:space="preserve">w pkt 2, który dodaje do </w:t>
      </w:r>
      <w:r w:rsidR="004514CF">
        <w:rPr>
          <w:rFonts w:ascii="Times" w:hAnsi="Times"/>
        </w:rPr>
        <w:t>Kodeksu postępowania cywilnego przepis</w:t>
      </w:r>
      <w:r w:rsidRPr="00F34BC5">
        <w:rPr>
          <w:rFonts w:ascii="Times" w:hAnsi="Times"/>
        </w:rPr>
        <w:t xml:space="preserve"> art. 131</w:t>
      </w:r>
      <w:r w:rsidRPr="001A53A5">
        <w:rPr>
          <w:rFonts w:ascii="Times" w:hAnsi="Times"/>
          <w:vertAlign w:val="superscript"/>
        </w:rPr>
        <w:t>2</w:t>
      </w:r>
      <w:r w:rsidRPr="00F34BC5">
        <w:rPr>
          <w:rFonts w:ascii="Times" w:hAnsi="Times"/>
        </w:rPr>
        <w:t xml:space="preserve"> – jego §</w:t>
      </w:r>
      <w:r w:rsidR="001A53A5">
        <w:rPr>
          <w:rFonts w:ascii="Times" w:hAnsi="Times"/>
        </w:rPr>
        <w:t> </w:t>
      </w:r>
      <w:r w:rsidRPr="00F34BC5">
        <w:rPr>
          <w:rFonts w:ascii="Times" w:hAnsi="Times"/>
        </w:rPr>
        <w:t xml:space="preserve">3. W toku prac nad projektem ustawy o zmianie ustawy – Kodeks postępowania cywilnego, ustawy – Prawo o ustroju sądów powszechnych, ustawy – Kodeks postępowania karnego oraz niektórych innych ustaw (druk </w:t>
      </w:r>
      <w:r w:rsidR="005D4ADF">
        <w:rPr>
          <w:rFonts w:ascii="Times" w:hAnsi="Times"/>
        </w:rPr>
        <w:t xml:space="preserve">sejmowy IX kadencji </w:t>
      </w:r>
      <w:r w:rsidRPr="00F34BC5">
        <w:rPr>
          <w:rFonts w:ascii="Times" w:hAnsi="Times"/>
        </w:rPr>
        <w:t>nr 3216) projektodawca dążył do uchylenia zarówno art. 125 §</w:t>
      </w:r>
      <w:r w:rsidR="001A53A5">
        <w:rPr>
          <w:rFonts w:ascii="Times" w:hAnsi="Times"/>
        </w:rPr>
        <w:t> </w:t>
      </w:r>
      <w:r w:rsidRPr="00F34BC5">
        <w:rPr>
          <w:rFonts w:ascii="Times" w:hAnsi="Times"/>
        </w:rPr>
        <w:t>6, jak i ww. art. 131</w:t>
      </w:r>
      <w:r w:rsidRPr="001A53A5">
        <w:rPr>
          <w:rFonts w:ascii="Times" w:hAnsi="Times"/>
          <w:vertAlign w:val="superscript"/>
        </w:rPr>
        <w:t>2</w:t>
      </w:r>
      <w:r w:rsidRPr="00F34BC5">
        <w:rPr>
          <w:rFonts w:ascii="Times" w:hAnsi="Times"/>
        </w:rPr>
        <w:t xml:space="preserve"> § 3 k.p.c. Jednakże w toku parlamentarnego procesu legislacyjnego doszło do omyłki redakcyjnej, bowiem w zmienianym przez art. 29 pkt 11 ustawy z dnia 7 lipca 2023 r. o zmianie ustawy – Kodeks postępowania cywilnego, ustawy – Prawo o ustroju sądów powszechnych, ustawy – Kodeks postępowania karnego oraz niektórych innych ustaw (Dz. U. poz. 1860) w art. 63 </w:t>
      </w:r>
      <w:r w:rsidR="005D4ADF">
        <w:rPr>
          <w:rFonts w:ascii="Times" w:hAnsi="Times"/>
        </w:rPr>
        <w:t>ustawy o doręczeniach elektronicznych</w:t>
      </w:r>
      <w:r w:rsidRPr="00F34BC5">
        <w:rPr>
          <w:rFonts w:ascii="Times" w:hAnsi="Times"/>
        </w:rPr>
        <w:t>, wskazano na pkt 3, tj. „w art. 63 w pkt 3 w art. 131</w:t>
      </w:r>
      <w:r w:rsidRPr="001A53A5">
        <w:rPr>
          <w:rFonts w:ascii="Times" w:hAnsi="Times"/>
          <w:vertAlign w:val="superscript"/>
        </w:rPr>
        <w:t>2</w:t>
      </w:r>
      <w:r w:rsidRPr="00F34BC5">
        <w:rPr>
          <w:rFonts w:ascii="Times" w:hAnsi="Times"/>
        </w:rPr>
        <w:t xml:space="preserve"> uchyla się § 3”, zamiast na pkt 2, w którym </w:t>
      </w:r>
      <w:r w:rsidR="005D4ADF" w:rsidRPr="005D4ADF">
        <w:rPr>
          <w:rFonts w:ascii="Times" w:hAnsi="Times"/>
        </w:rPr>
        <w:t>ustaw</w:t>
      </w:r>
      <w:r w:rsidR="005D4ADF">
        <w:rPr>
          <w:rFonts w:ascii="Times" w:hAnsi="Times"/>
        </w:rPr>
        <w:t>a</w:t>
      </w:r>
      <w:r w:rsidR="005D4ADF" w:rsidRPr="005D4ADF">
        <w:rPr>
          <w:rFonts w:ascii="Times" w:hAnsi="Times"/>
        </w:rPr>
        <w:t xml:space="preserve"> o doręczeniach elektronicznych</w:t>
      </w:r>
      <w:r w:rsidR="005D4ADF" w:rsidRPr="005D4ADF" w:rsidDel="005D4ADF">
        <w:rPr>
          <w:rFonts w:ascii="Times" w:hAnsi="Times"/>
        </w:rPr>
        <w:t xml:space="preserve"> </w:t>
      </w:r>
      <w:r w:rsidRPr="00F34BC5">
        <w:rPr>
          <w:rFonts w:ascii="Times" w:hAnsi="Times"/>
        </w:rPr>
        <w:t>traktowała o art. 131</w:t>
      </w:r>
      <w:r w:rsidRPr="001A53A5">
        <w:rPr>
          <w:rFonts w:ascii="Times" w:hAnsi="Times"/>
          <w:vertAlign w:val="superscript"/>
        </w:rPr>
        <w:t>2</w:t>
      </w:r>
      <w:r w:rsidRPr="00F34BC5">
        <w:rPr>
          <w:rFonts w:ascii="Times" w:hAnsi="Times"/>
        </w:rPr>
        <w:t xml:space="preserve"> k.p.c. Jednocześnie Minister Sprawiedliwości w piśmie z 7 listopada 2023 r. zwrócił się z prośbą o zajęcie stanowiska w</w:t>
      </w:r>
      <w:r w:rsidR="001A53A5">
        <w:rPr>
          <w:rFonts w:ascii="Times" w:hAnsi="Times"/>
        </w:rPr>
        <w:t> </w:t>
      </w:r>
      <w:r w:rsidRPr="00F34BC5">
        <w:rPr>
          <w:rFonts w:ascii="Times" w:hAnsi="Times"/>
        </w:rPr>
        <w:t xml:space="preserve">ww. zakresie przez Rządowe </w:t>
      </w:r>
      <w:r w:rsidRPr="00F34BC5">
        <w:rPr>
          <w:rFonts w:ascii="Times" w:hAnsi="Times"/>
        </w:rPr>
        <w:lastRenderedPageBreak/>
        <w:t>Centrum Legislacji, które to w piśmie z 17 listopada 2023 r. (znak: RCL.DPKA.555.182/2022) poinformowało m.in., iż mając na uwadze dotychczas stosowane zasady oceny prawidłowości dokonywania nowelizacji, uchylenie przepisu art. 131</w:t>
      </w:r>
      <w:r w:rsidRPr="001A53A5">
        <w:rPr>
          <w:rFonts w:ascii="Times" w:hAnsi="Times"/>
          <w:vertAlign w:val="superscript"/>
        </w:rPr>
        <w:t>2</w:t>
      </w:r>
      <w:r w:rsidRPr="00F34BC5">
        <w:rPr>
          <w:rFonts w:ascii="Times" w:hAnsi="Times"/>
        </w:rPr>
        <w:t xml:space="preserve"> § 3 k.p.c. powinno nastąpić w wyniku kolejnej nowelizacji </w:t>
      </w:r>
      <w:r w:rsidR="005D4ADF" w:rsidRPr="005D4ADF">
        <w:rPr>
          <w:rFonts w:ascii="Times" w:hAnsi="Times"/>
        </w:rPr>
        <w:t>ustawy o doręczeniach elektronicznych</w:t>
      </w:r>
      <w:r w:rsidRPr="00F34BC5">
        <w:rPr>
          <w:rFonts w:ascii="Times" w:hAnsi="Times"/>
        </w:rPr>
        <w:t xml:space="preserve">. </w:t>
      </w:r>
    </w:p>
    <w:p w14:paraId="494D82EC" w14:textId="5AABD7F6" w:rsidR="000D5187" w:rsidRDefault="000D5187" w:rsidP="00FE01DE">
      <w:pPr>
        <w:jc w:val="both"/>
        <w:rPr>
          <w:rFonts w:ascii="Times" w:hAnsi="Times"/>
        </w:rPr>
      </w:pPr>
      <w:r w:rsidRPr="000D5187">
        <w:rPr>
          <w:rFonts w:ascii="Times" w:hAnsi="Times"/>
        </w:rPr>
        <w:t>Propozycja zmiany ustawy z dnia 6 marca 2018 r. o Centralnej Ewidencji i Informacji o</w:t>
      </w:r>
      <w:r w:rsidR="00A56DC1">
        <w:rPr>
          <w:rFonts w:ascii="Times" w:hAnsi="Times"/>
        </w:rPr>
        <w:t> </w:t>
      </w:r>
      <w:r w:rsidRPr="000D5187">
        <w:rPr>
          <w:rFonts w:ascii="Times" w:hAnsi="Times"/>
        </w:rPr>
        <w:t xml:space="preserve">Działalności Gospodarczej i Punkcie Informacji dla Przedsiębiorcy </w:t>
      </w:r>
      <w:r>
        <w:rPr>
          <w:rFonts w:ascii="Times" w:hAnsi="Times"/>
        </w:rPr>
        <w:t xml:space="preserve">zawarta w art. 141 </w:t>
      </w:r>
      <w:r w:rsidR="00020797">
        <w:rPr>
          <w:rFonts w:ascii="Times" w:hAnsi="Times"/>
        </w:rPr>
        <w:t xml:space="preserve">ustawy o doręczeniach elektronicznych </w:t>
      </w:r>
      <w:r w:rsidRPr="000D5187">
        <w:rPr>
          <w:rFonts w:ascii="Times" w:hAnsi="Times"/>
        </w:rPr>
        <w:t xml:space="preserve">dotyczy skreślenia w art. 6a w ust. 2 zdania drugiego. Wykreślenie </w:t>
      </w:r>
      <w:r w:rsidR="00C53F9F">
        <w:rPr>
          <w:rFonts w:ascii="Times" w:hAnsi="Times"/>
        </w:rPr>
        <w:t xml:space="preserve">wskazanego wyżej przepisu </w:t>
      </w:r>
      <w:r w:rsidRPr="000D5187">
        <w:rPr>
          <w:rFonts w:ascii="Times" w:hAnsi="Times"/>
        </w:rPr>
        <w:t>następuje na wniosek Ministerstwa Rozwoju i Technologii. Propozycja zmiany zdejmuje z przedsiębiorcy objętego wpisem w CEIDG obowiązek składania przy wniosku o</w:t>
      </w:r>
      <w:r w:rsidR="00A56DC1">
        <w:rPr>
          <w:rFonts w:ascii="Times" w:hAnsi="Times"/>
        </w:rPr>
        <w:t> </w:t>
      </w:r>
      <w:r w:rsidRPr="000D5187">
        <w:rPr>
          <w:rFonts w:ascii="Times" w:hAnsi="Times"/>
        </w:rPr>
        <w:t>wpis do CEIDG oświadczenia o posiadaniu adresu do doręczeń elektronicznych wpisanego do BAE i aktualności danych zamieszczonych w BAE. Dodatkowo dane w BAE aktualizowane są na podstawie danych przekazanych przez CEIDG, które pochodzą z wniosku złożonego przez przedsiębiorcę w ramach zmiany danych we wpisie CEIDG. Tym samym dane w BAE zawsze powinny być zgodne ze stanem podanym przez przedsiębiorcę w ramach prowadzonej działalności gospodarczej, a co za tym idzie przedsiębiorca nie powinien dodatkowo składać oświadczeń o aktualności danych</w:t>
      </w:r>
      <w:r>
        <w:rPr>
          <w:rFonts w:ascii="Times" w:hAnsi="Times"/>
        </w:rPr>
        <w:t>.</w:t>
      </w:r>
    </w:p>
    <w:p w14:paraId="71C6DE47" w14:textId="4658435A" w:rsidR="006551EB" w:rsidRDefault="006551EB" w:rsidP="00FE01DE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W związku z wprowadzeniem okresu przejściowego, który umożliwi prowadzenie korespondencji nie tylko przez e-Doręczenia, ale również przez </w:t>
      </w:r>
      <w:proofErr w:type="spellStart"/>
      <w:r>
        <w:rPr>
          <w:rFonts w:ascii="Times" w:hAnsi="Times"/>
        </w:rPr>
        <w:t>ePUAP</w:t>
      </w:r>
      <w:proofErr w:type="spellEnd"/>
      <w:r>
        <w:rPr>
          <w:rFonts w:ascii="Times" w:hAnsi="Times"/>
        </w:rPr>
        <w:t xml:space="preserve">, niezbędne jest wprowadzenie zmian w art. 147 ustawy </w:t>
      </w:r>
      <w:r w:rsidR="00020797">
        <w:rPr>
          <w:rFonts w:ascii="Times" w:hAnsi="Times"/>
        </w:rPr>
        <w:t xml:space="preserve">o doręczeniach elektronicznych </w:t>
      </w:r>
      <w:r>
        <w:rPr>
          <w:rFonts w:ascii="Times" w:hAnsi="Times"/>
        </w:rPr>
        <w:t xml:space="preserve">polegających na umożliwieniu wysyłania korespondencji przez ten system i zrównoważenie jej skutków prawnych. </w:t>
      </w:r>
    </w:p>
    <w:p w14:paraId="754A3251" w14:textId="275E649E" w:rsidR="006551EB" w:rsidRPr="006B7A30" w:rsidRDefault="006551EB" w:rsidP="00FE01DE">
      <w:pPr>
        <w:jc w:val="both"/>
        <w:rPr>
          <w:rFonts w:ascii="Times" w:hAnsi="Times"/>
        </w:rPr>
      </w:pPr>
      <w:r>
        <w:rPr>
          <w:rFonts w:ascii="Times" w:hAnsi="Times"/>
        </w:rPr>
        <w:t>Zgodnie z</w:t>
      </w:r>
      <w:r w:rsidR="0025177E">
        <w:rPr>
          <w:rFonts w:ascii="Times" w:hAnsi="Times"/>
        </w:rPr>
        <w:t xml:space="preserve"> projektowaną zmianą art.</w:t>
      </w:r>
      <w:r w:rsidR="00E10DC5">
        <w:rPr>
          <w:rFonts w:ascii="Times" w:hAnsi="Times"/>
        </w:rPr>
        <w:t xml:space="preserve"> </w:t>
      </w:r>
      <w:r w:rsidRPr="006B7A30">
        <w:rPr>
          <w:rFonts w:ascii="Times" w:hAnsi="Times"/>
        </w:rPr>
        <w:t xml:space="preserve">147 ust. 2 </w:t>
      </w:r>
      <w:r>
        <w:rPr>
          <w:rFonts w:ascii="Times" w:hAnsi="Times"/>
        </w:rPr>
        <w:t>ustawy o doręczeniach elektronicznych</w:t>
      </w:r>
      <w:r w:rsidR="00702A29">
        <w:rPr>
          <w:rFonts w:ascii="Times" w:hAnsi="Times"/>
        </w:rPr>
        <w:t xml:space="preserve"> </w:t>
      </w:r>
      <w:r w:rsidRPr="006B7A30">
        <w:rPr>
          <w:rFonts w:ascii="Times" w:hAnsi="Times"/>
        </w:rPr>
        <w:t>doręczenie korespondencji nadanej przez osobę fizyczną lub podmiot niebędący podmiotem publicznym, będące użytkownikami konta w</w:t>
      </w:r>
      <w:r>
        <w:rPr>
          <w:rFonts w:ascii="Times" w:hAnsi="Times"/>
        </w:rPr>
        <w:t> </w:t>
      </w:r>
      <w:proofErr w:type="spellStart"/>
      <w:r w:rsidRPr="006B7A30">
        <w:rPr>
          <w:rFonts w:ascii="Times" w:hAnsi="Times"/>
        </w:rPr>
        <w:t>ePUAP</w:t>
      </w:r>
      <w:proofErr w:type="spellEnd"/>
      <w:r w:rsidRPr="006B7A30">
        <w:rPr>
          <w:rFonts w:ascii="Times" w:hAnsi="Times"/>
        </w:rPr>
        <w:t>, do podmiotu publicznego posiadającego elektroniczną skrzynkę podawczą w</w:t>
      </w:r>
      <w:r>
        <w:rPr>
          <w:rFonts w:ascii="Times" w:hAnsi="Times"/>
        </w:rPr>
        <w:t> </w:t>
      </w:r>
      <w:proofErr w:type="spellStart"/>
      <w:r w:rsidRPr="006B7A30">
        <w:rPr>
          <w:rFonts w:ascii="Times" w:hAnsi="Times"/>
        </w:rPr>
        <w:t>ePUAP</w:t>
      </w:r>
      <w:proofErr w:type="spellEnd"/>
      <w:r w:rsidRPr="006B7A30">
        <w:rPr>
          <w:rFonts w:ascii="Times" w:hAnsi="Times"/>
        </w:rPr>
        <w:t xml:space="preserve">, w ramach usługi udostępnianej w </w:t>
      </w:r>
      <w:proofErr w:type="spellStart"/>
      <w:r w:rsidRPr="006B7A30">
        <w:rPr>
          <w:rFonts w:ascii="Times" w:hAnsi="Times"/>
        </w:rPr>
        <w:t>ePUAP</w:t>
      </w:r>
      <w:proofErr w:type="spellEnd"/>
      <w:r w:rsidRPr="006B7A30">
        <w:rPr>
          <w:rFonts w:ascii="Times" w:hAnsi="Times"/>
        </w:rPr>
        <w:t>, jest równoważne w skutkach prawnych z</w:t>
      </w:r>
      <w:r>
        <w:rPr>
          <w:rFonts w:ascii="Times" w:hAnsi="Times"/>
        </w:rPr>
        <w:t> </w:t>
      </w:r>
      <w:r w:rsidRPr="006B7A30">
        <w:rPr>
          <w:rFonts w:ascii="Times" w:hAnsi="Times"/>
        </w:rPr>
        <w:t>doręczeniem przy wykorzystaniu publicznej usługi rejestrowanego doręczenia elektronicznego do dnia 31 grudnia 2025 r.</w:t>
      </w:r>
      <w:r>
        <w:rPr>
          <w:rFonts w:ascii="Times" w:hAnsi="Times"/>
        </w:rPr>
        <w:t xml:space="preserve"> – czyli do końca okresu przejściowego. </w:t>
      </w:r>
    </w:p>
    <w:p w14:paraId="3A793640" w14:textId="3553752E" w:rsidR="006551EB" w:rsidRDefault="006551EB" w:rsidP="005F5D05">
      <w:pPr>
        <w:jc w:val="both"/>
        <w:rPr>
          <w:rFonts w:ascii="Times" w:hAnsi="Times"/>
        </w:rPr>
      </w:pPr>
      <w:r w:rsidRPr="006B7A30">
        <w:rPr>
          <w:rFonts w:ascii="Times" w:hAnsi="Times"/>
        </w:rPr>
        <w:t xml:space="preserve">W </w:t>
      </w:r>
      <w:r w:rsidR="0025177E">
        <w:rPr>
          <w:rFonts w:ascii="Times" w:hAnsi="Times"/>
        </w:rPr>
        <w:t xml:space="preserve">zmienianym </w:t>
      </w:r>
      <w:r w:rsidRPr="006B7A30">
        <w:rPr>
          <w:rFonts w:ascii="Times" w:hAnsi="Times"/>
        </w:rPr>
        <w:t xml:space="preserve">art. 147 ust. 3 </w:t>
      </w:r>
      <w:r>
        <w:rPr>
          <w:rFonts w:ascii="Times" w:hAnsi="Times"/>
        </w:rPr>
        <w:t>ustawy o doręczeniach elektronicznych przewidziano, że</w:t>
      </w:r>
      <w:r w:rsidR="005F5D05" w:rsidRPr="005F5D05">
        <w:t xml:space="preserve"> </w:t>
      </w:r>
      <w:r w:rsidR="005F5D05">
        <w:rPr>
          <w:rFonts w:ascii="Times" w:hAnsi="Times"/>
        </w:rPr>
        <w:t>d</w:t>
      </w:r>
      <w:r w:rsidR="005F5D05" w:rsidRPr="005F5D05">
        <w:rPr>
          <w:rFonts w:ascii="Times" w:hAnsi="Times"/>
        </w:rPr>
        <w:t xml:space="preserve">oręczenie korespondencji nadanej przez podmiot publiczny posiadający elektroniczną skrzynkę podawczą w </w:t>
      </w:r>
      <w:proofErr w:type="spellStart"/>
      <w:r w:rsidR="005F5D05" w:rsidRPr="005F5D05">
        <w:rPr>
          <w:rFonts w:ascii="Times" w:hAnsi="Times"/>
        </w:rPr>
        <w:t>ePUAP</w:t>
      </w:r>
      <w:proofErr w:type="spellEnd"/>
      <w:r w:rsidR="005F5D05" w:rsidRPr="005F5D05">
        <w:rPr>
          <w:rFonts w:ascii="Times" w:hAnsi="Times"/>
        </w:rPr>
        <w:t xml:space="preserve"> do osoby fizycznej lub podmiotu niebędącego podmiotem publicznym, nieposiadających adresu do doręczeń elektronicznych</w:t>
      </w:r>
      <w:r w:rsidR="006771F9">
        <w:rPr>
          <w:rFonts w:ascii="Times" w:hAnsi="Times"/>
        </w:rPr>
        <w:t>,</w:t>
      </w:r>
      <w:r w:rsidR="005F5D05" w:rsidRPr="005F5D05">
        <w:rPr>
          <w:rFonts w:ascii="Times" w:hAnsi="Times"/>
        </w:rPr>
        <w:t xml:space="preserve"> jeżeli korespondencja ta stanowi odpowiedź na podanie albo wniosek złożone w ramach usługi udostępnionej w </w:t>
      </w:r>
      <w:proofErr w:type="spellStart"/>
      <w:r w:rsidR="005F5D05" w:rsidRPr="005F5D05">
        <w:rPr>
          <w:rFonts w:ascii="Times" w:hAnsi="Times"/>
        </w:rPr>
        <w:t>ePUAP</w:t>
      </w:r>
      <w:proofErr w:type="spellEnd"/>
      <w:r w:rsidR="005F5D05" w:rsidRPr="005F5D05">
        <w:rPr>
          <w:rFonts w:ascii="Times" w:hAnsi="Times"/>
        </w:rPr>
        <w:t xml:space="preserve">, </w:t>
      </w:r>
      <w:r w:rsidR="005F5D05" w:rsidRPr="005F5D05">
        <w:rPr>
          <w:rFonts w:ascii="Times" w:hAnsi="Times"/>
        </w:rPr>
        <w:lastRenderedPageBreak/>
        <w:t xml:space="preserve">albo ta osoba fizyczna lub ten podmiot wystąpiły do organu administracji publicznej o doręczenie na konto w </w:t>
      </w:r>
      <w:proofErr w:type="spellStart"/>
      <w:r w:rsidR="005F5D05" w:rsidRPr="005F5D05">
        <w:rPr>
          <w:rFonts w:ascii="Times" w:hAnsi="Times"/>
        </w:rPr>
        <w:t>ePUAP</w:t>
      </w:r>
      <w:proofErr w:type="spellEnd"/>
      <w:r w:rsidR="005F5D05">
        <w:rPr>
          <w:rFonts w:ascii="Times" w:hAnsi="Times"/>
        </w:rPr>
        <w:t xml:space="preserve">, </w:t>
      </w:r>
      <w:r w:rsidR="005F5D05" w:rsidRPr="005F5D05">
        <w:rPr>
          <w:rFonts w:ascii="Times" w:hAnsi="Times"/>
        </w:rPr>
        <w:t>jest równoważne w skutkach prawnych z doręczeniem przy wykorzystaniu publicznej usługi rejestrowanego doręczenia elektronicznego do dnia 31 grudnia 2025</w:t>
      </w:r>
      <w:r w:rsidR="006771F9">
        <w:rPr>
          <w:rFonts w:ascii="Times" w:hAnsi="Times"/>
        </w:rPr>
        <w:t xml:space="preserve"> r</w:t>
      </w:r>
      <w:r>
        <w:rPr>
          <w:rFonts w:ascii="Times" w:hAnsi="Times"/>
        </w:rPr>
        <w:t>. Zgodnie z art. 7 ust</w:t>
      </w:r>
      <w:r w:rsidR="00E10DC5">
        <w:rPr>
          <w:rFonts w:ascii="Times" w:hAnsi="Times"/>
        </w:rPr>
        <w:t>.</w:t>
      </w:r>
      <w:r>
        <w:rPr>
          <w:rFonts w:ascii="Times" w:hAnsi="Times"/>
        </w:rPr>
        <w:t xml:space="preserve"> 1 ustawy o doręczeniach elektronicznych </w:t>
      </w:r>
      <w:r w:rsidR="00F14C3A">
        <w:rPr>
          <w:rFonts w:ascii="Times" w:hAnsi="Times"/>
        </w:rPr>
        <w:t>w</w:t>
      </w:r>
      <w:r w:rsidR="00F14C3A" w:rsidRPr="00F14C3A">
        <w:rPr>
          <w:rFonts w:ascii="Times" w:hAnsi="Times"/>
        </w:rPr>
        <w:t xml:space="preserve">pis </w:t>
      </w:r>
      <w:r w:rsidR="00F14C3A">
        <w:rPr>
          <w:rFonts w:ascii="Times" w:hAnsi="Times"/>
        </w:rPr>
        <w:t>ADE</w:t>
      </w:r>
      <w:r w:rsidR="00F14C3A" w:rsidRPr="00F14C3A">
        <w:rPr>
          <w:rFonts w:ascii="Times" w:hAnsi="Times"/>
        </w:rPr>
        <w:t xml:space="preserve"> do bazy adresów elektronicznych</w:t>
      </w:r>
      <w:r w:rsidR="00F14C3A" w:rsidRPr="00F14C3A" w:rsidDel="00F14C3A">
        <w:rPr>
          <w:rFonts w:ascii="Times" w:hAnsi="Times"/>
        </w:rPr>
        <w:t xml:space="preserve"> </w:t>
      </w:r>
      <w:r>
        <w:rPr>
          <w:rFonts w:ascii="Times" w:hAnsi="Times"/>
        </w:rPr>
        <w:t>jest równoważne żądaniu doręczania korespondencji przez podmioty publiczne na ten adres. Dlatego też</w:t>
      </w:r>
      <w:r w:rsidR="00DB678D">
        <w:rPr>
          <w:rFonts w:ascii="Times" w:hAnsi="Times"/>
        </w:rPr>
        <w:t>,</w:t>
      </w:r>
      <w:r>
        <w:rPr>
          <w:rFonts w:ascii="Times" w:hAnsi="Times"/>
        </w:rPr>
        <w:t xml:space="preserve"> je</w:t>
      </w:r>
      <w:r w:rsidR="006771F9">
        <w:rPr>
          <w:rFonts w:ascii="Times" w:hAnsi="Times"/>
        </w:rPr>
        <w:t>że</w:t>
      </w:r>
      <w:r>
        <w:rPr>
          <w:rFonts w:ascii="Times" w:hAnsi="Times"/>
        </w:rPr>
        <w:t xml:space="preserve">li adresat posiada ADE to korespondencja nie może zostać skierowana przez </w:t>
      </w:r>
      <w:proofErr w:type="spellStart"/>
      <w:r>
        <w:rPr>
          <w:rFonts w:ascii="Times" w:hAnsi="Times"/>
        </w:rPr>
        <w:t>ePUAP</w:t>
      </w:r>
      <w:proofErr w:type="spellEnd"/>
      <w:r w:rsidR="004701E2">
        <w:rPr>
          <w:rFonts w:ascii="Times" w:hAnsi="Times"/>
        </w:rPr>
        <w:t>, w tym przypadku nie będzie miał zastosowania art. 147 ust. 3</w:t>
      </w:r>
      <w:r w:rsidR="0063178E">
        <w:rPr>
          <w:rFonts w:ascii="Times" w:hAnsi="Times"/>
        </w:rPr>
        <w:t xml:space="preserve"> pkt 2</w:t>
      </w:r>
      <w:r w:rsidR="004701E2">
        <w:rPr>
          <w:rFonts w:ascii="Times" w:hAnsi="Times"/>
        </w:rPr>
        <w:t xml:space="preserve">, a korespondencja będzie kierowana na adres do doręczeń elektronicznych. </w:t>
      </w:r>
    </w:p>
    <w:p w14:paraId="57231395" w14:textId="77777777" w:rsidR="006551EB" w:rsidRDefault="006551EB" w:rsidP="00FE01DE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Powyższe przepisy stanowią kluczowe rozwiązania w zakresie wprowadzonego okresu przejściowego, tj. umożliwienie prowadzenie korespondencji przez </w:t>
      </w:r>
      <w:proofErr w:type="spellStart"/>
      <w:r>
        <w:rPr>
          <w:rFonts w:ascii="Times" w:hAnsi="Times"/>
        </w:rPr>
        <w:t>ePUAP</w:t>
      </w:r>
      <w:proofErr w:type="spellEnd"/>
      <w:r>
        <w:rPr>
          <w:rFonts w:ascii="Times" w:hAnsi="Times"/>
        </w:rPr>
        <w:t xml:space="preserve"> w okresie przejściowym i zapewnienie skuteczności prawnej takiego doręczenia. </w:t>
      </w:r>
    </w:p>
    <w:p w14:paraId="3D883104" w14:textId="32F173E5" w:rsidR="00F34BC5" w:rsidRDefault="006551EB" w:rsidP="00FE01DE">
      <w:pPr>
        <w:jc w:val="both"/>
        <w:rPr>
          <w:rFonts w:ascii="Times" w:hAnsi="Times"/>
        </w:rPr>
      </w:pPr>
      <w:r>
        <w:rPr>
          <w:rFonts w:ascii="Times" w:hAnsi="Times"/>
        </w:rPr>
        <w:t>W</w:t>
      </w:r>
      <w:r w:rsidR="0025177E">
        <w:rPr>
          <w:rFonts w:ascii="Times" w:hAnsi="Times"/>
        </w:rPr>
        <w:t xml:space="preserve"> projekcie w</w:t>
      </w:r>
      <w:r w:rsidR="001E6216">
        <w:rPr>
          <w:rFonts w:ascii="Times" w:hAnsi="Times"/>
        </w:rPr>
        <w:t xml:space="preserve"> zmienianym</w:t>
      </w:r>
      <w:r>
        <w:rPr>
          <w:rFonts w:ascii="Times" w:hAnsi="Times"/>
        </w:rPr>
        <w:t xml:space="preserve"> art. 147 ustawy o doręczeniach elektronicznych dodaje się ust. </w:t>
      </w:r>
      <w:r w:rsidR="009C415D">
        <w:rPr>
          <w:rFonts w:ascii="Times" w:hAnsi="Times"/>
        </w:rPr>
        <w:t>5</w:t>
      </w:r>
      <w:r>
        <w:rPr>
          <w:rFonts w:ascii="Times" w:hAnsi="Times"/>
        </w:rPr>
        <w:t xml:space="preserve">, który reguluje, że </w:t>
      </w:r>
      <w:r w:rsidR="009B7CA6">
        <w:rPr>
          <w:rFonts w:ascii="Times" w:hAnsi="Times"/>
        </w:rPr>
        <w:t>d</w:t>
      </w:r>
      <w:r w:rsidR="009B7CA6" w:rsidRPr="00717F9C">
        <w:rPr>
          <w:rFonts w:ascii="Times" w:hAnsi="Times"/>
        </w:rPr>
        <w:t>o dnia 31 grudnia 202</w:t>
      </w:r>
      <w:r w:rsidR="005F5D05">
        <w:rPr>
          <w:rFonts w:ascii="Times" w:hAnsi="Times"/>
        </w:rPr>
        <w:t>5</w:t>
      </w:r>
      <w:r w:rsidR="009B7CA6" w:rsidRPr="00717F9C">
        <w:rPr>
          <w:rFonts w:ascii="Times" w:hAnsi="Times"/>
        </w:rPr>
        <w:t xml:space="preserve"> r. przepisów art. 4 i art. 5 nie stosuje się w</w:t>
      </w:r>
      <w:r w:rsidR="005A5577">
        <w:rPr>
          <w:rFonts w:ascii="Times" w:hAnsi="Times"/>
        </w:rPr>
        <w:t> </w:t>
      </w:r>
      <w:r w:rsidR="009B7CA6" w:rsidRPr="00717F9C">
        <w:rPr>
          <w:rFonts w:ascii="Times" w:hAnsi="Times"/>
        </w:rPr>
        <w:t>przypadku gdy korespondencja</w:t>
      </w:r>
      <w:r w:rsidR="00A56DC1">
        <w:rPr>
          <w:rFonts w:ascii="Times" w:hAnsi="Times"/>
        </w:rPr>
        <w:t xml:space="preserve"> </w:t>
      </w:r>
      <w:r w:rsidR="009B7CA6" w:rsidRPr="00717F9C">
        <w:rPr>
          <w:rFonts w:ascii="Times" w:hAnsi="Times"/>
        </w:rPr>
        <w:t>nie może być doręczona na adres do doręczeń elektronicznych albo z</w:t>
      </w:r>
      <w:r w:rsidR="001A53A5">
        <w:rPr>
          <w:rFonts w:ascii="Times" w:hAnsi="Times"/>
        </w:rPr>
        <w:t> </w:t>
      </w:r>
      <w:r w:rsidR="009B7CA6" w:rsidRPr="00717F9C">
        <w:rPr>
          <w:rFonts w:ascii="Times" w:hAnsi="Times"/>
        </w:rPr>
        <w:t xml:space="preserve">wykorzystaniem publicznej usługi hybrydowej ze względu na </w:t>
      </w:r>
      <w:r w:rsidR="00AF4CD4">
        <w:rPr>
          <w:rFonts w:ascii="Times" w:hAnsi="Times"/>
        </w:rPr>
        <w:t>przesłanki</w:t>
      </w:r>
      <w:r w:rsidR="009B7CA6" w:rsidRPr="00717F9C">
        <w:rPr>
          <w:rFonts w:ascii="Times" w:hAnsi="Times"/>
        </w:rPr>
        <w:t xml:space="preserve"> organizacyjn</w:t>
      </w:r>
      <w:r w:rsidR="00AF4CD4">
        <w:rPr>
          <w:rFonts w:ascii="Times" w:hAnsi="Times"/>
        </w:rPr>
        <w:t>e</w:t>
      </w:r>
      <w:r w:rsidR="009B7CA6" w:rsidRPr="00717F9C">
        <w:rPr>
          <w:rFonts w:ascii="Times" w:hAnsi="Times"/>
        </w:rPr>
        <w:t>. Istnienie przesłan</w:t>
      </w:r>
      <w:r w:rsidR="00AF4561">
        <w:rPr>
          <w:rFonts w:ascii="Times" w:hAnsi="Times"/>
        </w:rPr>
        <w:t>ek</w:t>
      </w:r>
      <w:r w:rsidR="009B7CA6" w:rsidRPr="00717F9C">
        <w:rPr>
          <w:rFonts w:ascii="Times" w:hAnsi="Times"/>
        </w:rPr>
        <w:t xml:space="preserve"> organizacyjn</w:t>
      </w:r>
      <w:r w:rsidR="00AF4561">
        <w:rPr>
          <w:rFonts w:ascii="Times" w:hAnsi="Times"/>
        </w:rPr>
        <w:t>ych</w:t>
      </w:r>
      <w:r w:rsidR="009B7CA6" w:rsidRPr="00717F9C">
        <w:rPr>
          <w:rFonts w:ascii="Times" w:hAnsi="Times"/>
        </w:rPr>
        <w:t xml:space="preserve"> ocenia nadawc</w:t>
      </w:r>
      <w:r w:rsidR="009B7CA6">
        <w:rPr>
          <w:rFonts w:ascii="Times" w:hAnsi="Times"/>
        </w:rPr>
        <w:t>a</w:t>
      </w:r>
      <w:r>
        <w:rPr>
          <w:rFonts w:ascii="Times" w:hAnsi="Times"/>
        </w:rPr>
        <w:t xml:space="preserve">. Jest to odpowiedź na apel </w:t>
      </w:r>
      <w:proofErr w:type="spellStart"/>
      <w:r>
        <w:rPr>
          <w:rFonts w:ascii="Times" w:hAnsi="Times"/>
        </w:rPr>
        <w:t>jst</w:t>
      </w:r>
      <w:proofErr w:type="spellEnd"/>
      <w:r>
        <w:rPr>
          <w:rFonts w:ascii="Times" w:hAnsi="Times"/>
        </w:rPr>
        <w:t xml:space="preserve">, które ze względu na niewystarczające przygotowanie </w:t>
      </w:r>
      <w:r w:rsidR="009B7CA6">
        <w:rPr>
          <w:rFonts w:ascii="Times" w:hAnsi="Times"/>
        </w:rPr>
        <w:t>d</w:t>
      </w:r>
      <w:r>
        <w:rPr>
          <w:rFonts w:ascii="Times" w:hAnsi="Times"/>
        </w:rPr>
        <w:t>o stosowania e-Doręczeń mogą mieć problem z</w:t>
      </w:r>
      <w:r w:rsidR="005A5577">
        <w:rPr>
          <w:rFonts w:ascii="Times" w:hAnsi="Times"/>
        </w:rPr>
        <w:t> </w:t>
      </w:r>
      <w:r>
        <w:rPr>
          <w:rFonts w:ascii="Times" w:hAnsi="Times"/>
        </w:rPr>
        <w:t>odpytywaniem BAE przy wysyłkach korespondencji na szeroką skalę (np.</w:t>
      </w:r>
      <w:r w:rsidR="001A53A5">
        <w:rPr>
          <w:rFonts w:ascii="Times" w:hAnsi="Times"/>
        </w:rPr>
        <w:t> </w:t>
      </w:r>
      <w:r>
        <w:rPr>
          <w:rFonts w:ascii="Times" w:hAnsi="Times"/>
        </w:rPr>
        <w:t xml:space="preserve">wymiarowanie podatku). Jest to duże przedsięwzięcie organizacyjne w </w:t>
      </w:r>
      <w:proofErr w:type="spellStart"/>
      <w:r>
        <w:rPr>
          <w:rFonts w:ascii="Times" w:hAnsi="Times"/>
        </w:rPr>
        <w:t>jst</w:t>
      </w:r>
      <w:proofErr w:type="spellEnd"/>
      <w:r>
        <w:rPr>
          <w:rFonts w:ascii="Times" w:hAnsi="Times"/>
        </w:rPr>
        <w:t xml:space="preserve">, które wymaga dopracowania procedur i przeszkolenia pracowników. Dlatego też w okresie przejściowym wprowadza się zapis, który umożliwi organom rezygnację z doręczenia na adres do doręczeń elektronicznych w takich wyjątkowych sytuacjach, jak wysyłka masowa korespondencji. </w:t>
      </w:r>
      <w:r w:rsidR="009B7CA6">
        <w:rPr>
          <w:rFonts w:ascii="Times" w:hAnsi="Times"/>
        </w:rPr>
        <w:t>W</w:t>
      </w:r>
      <w:r w:rsidR="001A53A5">
        <w:rPr>
          <w:rFonts w:ascii="Times" w:hAnsi="Times"/>
        </w:rPr>
        <w:t> </w:t>
      </w:r>
      <w:r w:rsidR="009B7CA6">
        <w:rPr>
          <w:rFonts w:ascii="Times" w:hAnsi="Times"/>
        </w:rPr>
        <w:t>art.</w:t>
      </w:r>
      <w:r w:rsidR="001A53A5">
        <w:rPr>
          <w:rFonts w:ascii="Times" w:hAnsi="Times"/>
        </w:rPr>
        <w:t> </w:t>
      </w:r>
      <w:r w:rsidR="009B7CA6">
        <w:rPr>
          <w:rFonts w:ascii="Times" w:hAnsi="Times"/>
        </w:rPr>
        <w:t xml:space="preserve">147 dodaje się </w:t>
      </w:r>
      <w:r w:rsidR="00AF4561">
        <w:rPr>
          <w:rFonts w:ascii="Times" w:hAnsi="Times"/>
        </w:rPr>
        <w:t xml:space="preserve">także </w:t>
      </w:r>
      <w:r w:rsidR="009B7CA6">
        <w:rPr>
          <w:rFonts w:ascii="Times" w:hAnsi="Times"/>
        </w:rPr>
        <w:t xml:space="preserve">ust. </w:t>
      </w:r>
      <w:r w:rsidR="00AF4561">
        <w:rPr>
          <w:rFonts w:ascii="Times" w:hAnsi="Times"/>
        </w:rPr>
        <w:t>6</w:t>
      </w:r>
      <w:r w:rsidR="009B7CA6">
        <w:rPr>
          <w:rFonts w:ascii="Times" w:hAnsi="Times"/>
        </w:rPr>
        <w:t>, zgodnie z którym d</w:t>
      </w:r>
      <w:r w:rsidR="009B7CA6" w:rsidRPr="00717F9C">
        <w:rPr>
          <w:rFonts w:ascii="Times" w:hAnsi="Times"/>
        </w:rPr>
        <w:t>o doręczeń, o których mowa w ust. 1</w:t>
      </w:r>
      <w:r w:rsidR="00464546">
        <w:t>–</w:t>
      </w:r>
      <w:r w:rsidR="009B7CA6" w:rsidRPr="00717F9C">
        <w:rPr>
          <w:rFonts w:ascii="Times" w:hAnsi="Times"/>
        </w:rPr>
        <w:t xml:space="preserve">3 i 5, </w:t>
      </w:r>
      <w:r w:rsidR="00AF4561">
        <w:rPr>
          <w:rFonts w:ascii="Times" w:hAnsi="Times"/>
        </w:rPr>
        <w:t xml:space="preserve">przepis </w:t>
      </w:r>
      <w:r w:rsidR="009B7CA6" w:rsidRPr="00717F9C">
        <w:rPr>
          <w:rFonts w:ascii="Times" w:hAnsi="Times"/>
        </w:rPr>
        <w:t xml:space="preserve">art. 41 </w:t>
      </w:r>
      <w:r w:rsidR="00AF4561">
        <w:rPr>
          <w:rFonts w:ascii="Times" w:hAnsi="Times"/>
        </w:rPr>
        <w:t xml:space="preserve">ustawy o doręczeniach elektronicznych </w:t>
      </w:r>
      <w:r w:rsidR="009B7CA6" w:rsidRPr="00717F9C">
        <w:rPr>
          <w:rFonts w:ascii="Times" w:hAnsi="Times"/>
        </w:rPr>
        <w:t>stosuje się odpowiednio.</w:t>
      </w:r>
      <w:r w:rsidR="00533A2D">
        <w:rPr>
          <w:rFonts w:ascii="Times" w:hAnsi="Times"/>
        </w:rPr>
        <w:t xml:space="preserve"> Regulacja wprowadza</w:t>
      </w:r>
      <w:r w:rsidR="0038527E">
        <w:rPr>
          <w:rFonts w:ascii="Times" w:hAnsi="Times"/>
        </w:rPr>
        <w:t xml:space="preserve"> możliwość stosowania</w:t>
      </w:r>
      <w:r w:rsidR="00533A2D">
        <w:rPr>
          <w:rFonts w:ascii="Times" w:hAnsi="Times"/>
        </w:rPr>
        <w:t xml:space="preserve"> fikcj</w:t>
      </w:r>
      <w:r w:rsidR="0038527E">
        <w:rPr>
          <w:rFonts w:ascii="Times" w:hAnsi="Times"/>
        </w:rPr>
        <w:t>i</w:t>
      </w:r>
      <w:r w:rsidR="00533A2D">
        <w:rPr>
          <w:rFonts w:ascii="Times" w:hAnsi="Times"/>
        </w:rPr>
        <w:t xml:space="preserve"> doręcze</w:t>
      </w:r>
      <w:r w:rsidR="0038527E">
        <w:rPr>
          <w:rFonts w:ascii="Times" w:hAnsi="Times"/>
        </w:rPr>
        <w:t>nia w</w:t>
      </w:r>
      <w:r w:rsidR="00A56DC1">
        <w:rPr>
          <w:rFonts w:ascii="Times" w:hAnsi="Times"/>
        </w:rPr>
        <w:t> </w:t>
      </w:r>
      <w:r w:rsidR="0038527E">
        <w:rPr>
          <w:rFonts w:ascii="Times" w:hAnsi="Times"/>
        </w:rPr>
        <w:t xml:space="preserve">przypadku wysyłki przez </w:t>
      </w:r>
      <w:proofErr w:type="spellStart"/>
      <w:r w:rsidR="00020797">
        <w:rPr>
          <w:rFonts w:ascii="Times" w:hAnsi="Times"/>
        </w:rPr>
        <w:t>ePUAP</w:t>
      </w:r>
      <w:proofErr w:type="spellEnd"/>
      <w:r w:rsidR="00020797">
        <w:rPr>
          <w:rFonts w:ascii="Times" w:hAnsi="Times"/>
        </w:rPr>
        <w:t xml:space="preserve"> </w:t>
      </w:r>
      <w:r w:rsidR="0038527E">
        <w:rPr>
          <w:rFonts w:ascii="Times" w:hAnsi="Times"/>
        </w:rPr>
        <w:t>po 1 stycznia 2025 r.</w:t>
      </w:r>
    </w:p>
    <w:p w14:paraId="30293260" w14:textId="5E88776E" w:rsidR="006551EB" w:rsidRPr="005F6115" w:rsidRDefault="006551EB" w:rsidP="00FE01DE">
      <w:pPr>
        <w:jc w:val="both"/>
        <w:rPr>
          <w:rFonts w:ascii="Times" w:hAnsi="Times"/>
        </w:rPr>
      </w:pPr>
      <w:r w:rsidRPr="006B7A30">
        <w:rPr>
          <w:rFonts w:ascii="Times" w:hAnsi="Times"/>
        </w:rPr>
        <w:t>W</w:t>
      </w:r>
      <w:r w:rsidR="0025177E">
        <w:rPr>
          <w:rFonts w:ascii="Times" w:hAnsi="Times"/>
        </w:rPr>
        <w:t xml:space="preserve"> projekcie</w:t>
      </w:r>
      <w:r w:rsidR="001E6216">
        <w:rPr>
          <w:rFonts w:ascii="Times" w:hAnsi="Times"/>
        </w:rPr>
        <w:t xml:space="preserve"> w zmienianym</w:t>
      </w:r>
      <w:r w:rsidRPr="006B7A30">
        <w:rPr>
          <w:rFonts w:ascii="Times" w:hAnsi="Times"/>
        </w:rPr>
        <w:t xml:space="preserve"> art. 152 </w:t>
      </w:r>
      <w:r>
        <w:rPr>
          <w:rFonts w:ascii="Times" w:hAnsi="Times"/>
        </w:rPr>
        <w:t xml:space="preserve">ustawy o doręczeniach elektronicznych </w:t>
      </w:r>
      <w:r w:rsidRPr="006B7A30">
        <w:rPr>
          <w:rFonts w:ascii="Times" w:hAnsi="Times"/>
        </w:rPr>
        <w:t>dodaje się ust. 5</w:t>
      </w:r>
      <w:r>
        <w:rPr>
          <w:rFonts w:ascii="Times" w:hAnsi="Times"/>
        </w:rPr>
        <w:t>,</w:t>
      </w:r>
      <w:r w:rsidRPr="006B7A30">
        <w:rPr>
          <w:rFonts w:ascii="Times" w:hAnsi="Times"/>
        </w:rPr>
        <w:t xml:space="preserve"> który zawiera </w:t>
      </w:r>
      <w:r>
        <w:rPr>
          <w:rFonts w:ascii="Times" w:hAnsi="Times"/>
        </w:rPr>
        <w:t>regulacj</w:t>
      </w:r>
      <w:r w:rsidR="009C415D">
        <w:rPr>
          <w:rFonts w:ascii="Times" w:hAnsi="Times"/>
        </w:rPr>
        <w:t>ę</w:t>
      </w:r>
      <w:r w:rsidRPr="006B7A30">
        <w:rPr>
          <w:rFonts w:ascii="Times" w:hAnsi="Times"/>
        </w:rPr>
        <w:t>, ż</w:t>
      </w:r>
      <w:r w:rsidR="009C415D">
        <w:rPr>
          <w:rFonts w:ascii="Times" w:hAnsi="Times"/>
        </w:rPr>
        <w:t>e</w:t>
      </w:r>
      <w:r w:rsidRPr="006B7A30">
        <w:rPr>
          <w:rFonts w:ascii="Times" w:hAnsi="Times"/>
        </w:rPr>
        <w:t xml:space="preserve"> informacja w przedmiocie adresów do doręczeń elektronicznych wpisanych, </w:t>
      </w:r>
      <w:r w:rsidR="00AF4561">
        <w:rPr>
          <w:rFonts w:ascii="Times" w:hAnsi="Times"/>
        </w:rPr>
        <w:t>od</w:t>
      </w:r>
      <w:r w:rsidR="00AF4561" w:rsidRPr="006B7A30">
        <w:rPr>
          <w:rFonts w:ascii="Times" w:hAnsi="Times"/>
        </w:rPr>
        <w:t xml:space="preserve"> </w:t>
      </w:r>
      <w:r w:rsidRPr="006B7A30">
        <w:rPr>
          <w:rFonts w:ascii="Times" w:hAnsi="Times"/>
        </w:rPr>
        <w:t>dni</w:t>
      </w:r>
      <w:r w:rsidR="00AF4561">
        <w:rPr>
          <w:rFonts w:ascii="Times" w:hAnsi="Times"/>
        </w:rPr>
        <w:t>a</w:t>
      </w:r>
      <w:r w:rsidRPr="006B7A30">
        <w:rPr>
          <w:rFonts w:ascii="Times" w:hAnsi="Times"/>
        </w:rPr>
        <w:t xml:space="preserve"> 5 lipca 2022 r., do bazy doręczeń elektronicznych, podmiotów wpisanych do Centralnej Ewidencji i Informacji o Działalności Gospodarczej zostanie przekazana automatycznie za pośrednictwem systemu teleinformatycznego z bazy adresów elektronicznych do Centralnej Ewidencji i Informacji o</w:t>
      </w:r>
      <w:r>
        <w:rPr>
          <w:rFonts w:ascii="Times" w:hAnsi="Times"/>
        </w:rPr>
        <w:t> </w:t>
      </w:r>
      <w:r w:rsidRPr="006B7A30">
        <w:rPr>
          <w:rFonts w:ascii="Times" w:hAnsi="Times"/>
        </w:rPr>
        <w:t>Działalności Gospodarczej lub w innej ustrukturyzowanej formie elektronicznej</w:t>
      </w:r>
      <w:r>
        <w:rPr>
          <w:rFonts w:ascii="Times" w:hAnsi="Times"/>
        </w:rPr>
        <w:t xml:space="preserve">, </w:t>
      </w:r>
      <w:r w:rsidRPr="005F6115">
        <w:rPr>
          <w:rFonts w:ascii="Times" w:hAnsi="Times"/>
        </w:rPr>
        <w:t xml:space="preserve">nie później niż w dniu wejścia w życie obowiązku, </w:t>
      </w:r>
      <w:r w:rsidRPr="005F6115">
        <w:rPr>
          <w:rFonts w:ascii="Times" w:hAnsi="Times"/>
        </w:rPr>
        <w:lastRenderedPageBreak/>
        <w:t>o</w:t>
      </w:r>
      <w:r w:rsidR="005A5577">
        <w:rPr>
          <w:rFonts w:ascii="Times" w:hAnsi="Times"/>
        </w:rPr>
        <w:t> </w:t>
      </w:r>
      <w:r w:rsidRPr="005F6115">
        <w:rPr>
          <w:rFonts w:ascii="Times" w:hAnsi="Times"/>
        </w:rPr>
        <w:t>którym mowa w art. 155 ust. 10</w:t>
      </w:r>
      <w:r w:rsidR="0001287C">
        <w:rPr>
          <w:rFonts w:ascii="Times" w:hAnsi="Times"/>
        </w:rPr>
        <w:t>, co ma na celu rozwiązanie problemu dotyczącego adresów do doręczeń elektronicznych podmiotów wpisanych do Centralnej Ewidencji i Informacji o</w:t>
      </w:r>
      <w:r w:rsidR="005A5577">
        <w:rPr>
          <w:rFonts w:ascii="Times" w:hAnsi="Times"/>
        </w:rPr>
        <w:t> </w:t>
      </w:r>
      <w:r w:rsidR="0001287C">
        <w:rPr>
          <w:rFonts w:ascii="Times" w:hAnsi="Times"/>
        </w:rPr>
        <w:t>Działalności Gospodarczej po dniu 5 lipca 2022 r</w:t>
      </w:r>
      <w:r w:rsidR="00E10DC5">
        <w:rPr>
          <w:rFonts w:ascii="Times" w:hAnsi="Times"/>
        </w:rPr>
        <w:t>.</w:t>
      </w:r>
    </w:p>
    <w:p w14:paraId="377E4B4B" w14:textId="266B9CA2" w:rsidR="006551EB" w:rsidRPr="006B7A30" w:rsidRDefault="006551EB" w:rsidP="00FE01DE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Doprecyzowuje się </w:t>
      </w:r>
      <w:r w:rsidR="00D80DF6">
        <w:rPr>
          <w:rFonts w:ascii="Times" w:hAnsi="Times"/>
        </w:rPr>
        <w:t xml:space="preserve">regulacje </w:t>
      </w:r>
      <w:r>
        <w:rPr>
          <w:rFonts w:ascii="Times" w:hAnsi="Times"/>
        </w:rPr>
        <w:t>art. 155 w zakresie powstania obowiązku stosowania e-Doręczeń dla określonych podmiotów</w:t>
      </w:r>
      <w:r w:rsidR="00464546">
        <w:rPr>
          <w:rFonts w:ascii="Times" w:hAnsi="Times"/>
        </w:rPr>
        <w:t xml:space="preserve"> </w:t>
      </w:r>
      <w:r w:rsidR="00016B5F">
        <w:t>–</w:t>
      </w:r>
      <w:r>
        <w:rPr>
          <w:rFonts w:ascii="Times" w:hAnsi="Times"/>
        </w:rPr>
        <w:t xml:space="preserve"> proponuj</w:t>
      </w:r>
      <w:r w:rsidR="00016B5F">
        <w:rPr>
          <w:rFonts w:ascii="Times" w:hAnsi="Times"/>
        </w:rPr>
        <w:t>e</w:t>
      </w:r>
      <w:r>
        <w:rPr>
          <w:rFonts w:ascii="Times" w:hAnsi="Times"/>
        </w:rPr>
        <w:t xml:space="preserve"> </w:t>
      </w:r>
      <w:r w:rsidR="00016B5F">
        <w:rPr>
          <w:rFonts w:ascii="Times" w:hAnsi="Times"/>
        </w:rPr>
        <w:t xml:space="preserve">się </w:t>
      </w:r>
      <w:r>
        <w:rPr>
          <w:rFonts w:ascii="Times" w:hAnsi="Times"/>
        </w:rPr>
        <w:t>nowe brzmienie ust. 5 i 6 oraz wprowadz</w:t>
      </w:r>
      <w:r w:rsidR="00016B5F">
        <w:rPr>
          <w:rFonts w:ascii="Times" w:hAnsi="Times"/>
        </w:rPr>
        <w:t>enie</w:t>
      </w:r>
      <w:r>
        <w:rPr>
          <w:rFonts w:ascii="Times" w:hAnsi="Times"/>
        </w:rPr>
        <w:t xml:space="preserve"> ust. 5a.</w:t>
      </w:r>
    </w:p>
    <w:p w14:paraId="031B3B7D" w14:textId="77C619BC" w:rsidR="006551EB" w:rsidRPr="006B7A30" w:rsidRDefault="006551EB" w:rsidP="00FE01DE">
      <w:pPr>
        <w:jc w:val="both"/>
        <w:rPr>
          <w:rFonts w:ascii="Times" w:hAnsi="Times"/>
        </w:rPr>
      </w:pPr>
      <w:r w:rsidRPr="006B7A30">
        <w:rPr>
          <w:rFonts w:ascii="Times" w:hAnsi="Times"/>
        </w:rPr>
        <w:t xml:space="preserve">W </w:t>
      </w:r>
      <w:r w:rsidR="0025177E">
        <w:rPr>
          <w:rFonts w:ascii="Times" w:hAnsi="Times"/>
        </w:rPr>
        <w:t xml:space="preserve">modyfikowanym </w:t>
      </w:r>
      <w:r w:rsidRPr="006B7A30">
        <w:rPr>
          <w:rFonts w:ascii="Times" w:hAnsi="Times"/>
        </w:rPr>
        <w:t xml:space="preserve">art. 155 ust. 5 </w:t>
      </w:r>
      <w:r w:rsidR="001E6216">
        <w:rPr>
          <w:rFonts w:ascii="Times" w:hAnsi="Times"/>
        </w:rPr>
        <w:t xml:space="preserve">ustawy o doręczeniach elektronicznych </w:t>
      </w:r>
      <w:r w:rsidRPr="006B7A30">
        <w:rPr>
          <w:rFonts w:ascii="Times" w:hAnsi="Times"/>
        </w:rPr>
        <w:t>stanowi</w:t>
      </w:r>
      <w:r>
        <w:rPr>
          <w:rFonts w:ascii="Times" w:hAnsi="Times"/>
        </w:rPr>
        <w:t xml:space="preserve"> się</w:t>
      </w:r>
      <w:r w:rsidRPr="006B7A30">
        <w:rPr>
          <w:rFonts w:ascii="Times" w:hAnsi="Times"/>
        </w:rPr>
        <w:t>, ż</w:t>
      </w:r>
      <w:r w:rsidR="00D80DF6">
        <w:rPr>
          <w:rFonts w:ascii="Times" w:hAnsi="Times"/>
        </w:rPr>
        <w:t>e</w:t>
      </w:r>
      <w:r w:rsidRPr="006B7A30">
        <w:rPr>
          <w:rFonts w:ascii="Times" w:hAnsi="Times"/>
        </w:rPr>
        <w:t xml:space="preserve"> agencje wykonawcze, instytucje gospodarki budżetowej, państwowe fundusze celowe, samodzielne publiczne zakłady opieki zdrowotnej, uczelnie publiczne,</w:t>
      </w:r>
      <w:r w:rsidR="00020797">
        <w:rPr>
          <w:rFonts w:ascii="Times" w:hAnsi="Times"/>
        </w:rPr>
        <w:t xml:space="preserve"> uczelnie niepubliczne, </w:t>
      </w:r>
      <w:r w:rsidR="00020797" w:rsidRPr="00930F23">
        <w:rPr>
          <w:rFonts w:ascii="Times" w:eastAsia="Times" w:hAnsi="Times" w:cs="Times"/>
          <w:szCs w:val="24"/>
        </w:rPr>
        <w:t>federacj</w:t>
      </w:r>
      <w:r w:rsidR="00AC7389">
        <w:rPr>
          <w:rFonts w:ascii="Times" w:eastAsia="Times" w:hAnsi="Times" w:cs="Times"/>
          <w:szCs w:val="24"/>
        </w:rPr>
        <w:t>e</w:t>
      </w:r>
      <w:r w:rsidR="00020797" w:rsidRPr="00930F23">
        <w:rPr>
          <w:rFonts w:ascii="Times" w:eastAsia="Times" w:hAnsi="Times" w:cs="Times"/>
          <w:szCs w:val="24"/>
        </w:rPr>
        <w:t xml:space="preserve"> podmiotów systemu szkolnictwa wyższego i nauki</w:t>
      </w:r>
      <w:r w:rsidR="00020797">
        <w:rPr>
          <w:rFonts w:ascii="Times" w:eastAsia="Times" w:hAnsi="Times" w:cs="Times"/>
          <w:szCs w:val="24"/>
        </w:rPr>
        <w:t>,</w:t>
      </w:r>
      <w:r w:rsidR="00020797" w:rsidRPr="00930F23">
        <w:rPr>
          <w:rFonts w:ascii="Times" w:eastAsia="Times" w:hAnsi="Times" w:cs="Times"/>
          <w:szCs w:val="24"/>
        </w:rPr>
        <w:t xml:space="preserve"> </w:t>
      </w:r>
      <w:r w:rsidRPr="006B7A30">
        <w:rPr>
          <w:rFonts w:ascii="Times" w:hAnsi="Times"/>
        </w:rPr>
        <w:t xml:space="preserve">Polska Akademia Nauk </w:t>
      </w:r>
      <w:r w:rsidR="007437B0" w:rsidRPr="006B7A30">
        <w:rPr>
          <w:rFonts w:ascii="Times" w:hAnsi="Times"/>
        </w:rPr>
        <w:t>i</w:t>
      </w:r>
      <w:r w:rsidR="007437B0">
        <w:rPr>
          <w:rFonts w:ascii="Times" w:hAnsi="Times"/>
        </w:rPr>
        <w:t> </w:t>
      </w:r>
      <w:r w:rsidRPr="006B7A30">
        <w:rPr>
          <w:rFonts w:ascii="Times" w:hAnsi="Times"/>
        </w:rPr>
        <w:t>tworzone przez nią jednostki organizacyjne, państwowe instytucje kultury oraz inne państwowe osoby prawne utworzone na podstawie odrębnych ustaw w celu wykonywania zadań publicznych są obowiązane stosować przepisy ustawy w</w:t>
      </w:r>
      <w:r>
        <w:rPr>
          <w:rFonts w:ascii="Times" w:hAnsi="Times"/>
        </w:rPr>
        <w:t> </w:t>
      </w:r>
      <w:r w:rsidRPr="006B7A30">
        <w:rPr>
          <w:rFonts w:ascii="Times" w:hAnsi="Times"/>
        </w:rPr>
        <w:t>zakresie doręczania korespondencji z wykorzystaniem publicznej usługi rejestrowanego doręczenia elektronicznego lub publicznej usługi hybrydowej od dnia określonego w</w:t>
      </w:r>
      <w:r>
        <w:rPr>
          <w:rFonts w:ascii="Times" w:hAnsi="Times"/>
        </w:rPr>
        <w:t> </w:t>
      </w:r>
      <w:r w:rsidRPr="006B7A30">
        <w:rPr>
          <w:rFonts w:ascii="Times" w:hAnsi="Times"/>
        </w:rPr>
        <w:t>komunikacie wydanym na podstawie ust. 10.</w:t>
      </w:r>
      <w:r>
        <w:rPr>
          <w:rFonts w:ascii="Times" w:hAnsi="Times"/>
        </w:rPr>
        <w:t xml:space="preserve"> W stosunku do dotychczasowego brzmienia przepisu wykreśla się samorządowe instytucje kultury oraz samorządowe osoby prawne i przenosi</w:t>
      </w:r>
      <w:r w:rsidR="00D80DF6">
        <w:rPr>
          <w:rFonts w:ascii="Times" w:hAnsi="Times"/>
        </w:rPr>
        <w:t xml:space="preserve"> się</w:t>
      </w:r>
      <w:r>
        <w:rPr>
          <w:rFonts w:ascii="Times" w:hAnsi="Times"/>
        </w:rPr>
        <w:t xml:space="preserve"> je do ust. 6. Taka zmiana zapewni, że </w:t>
      </w:r>
      <w:proofErr w:type="spellStart"/>
      <w:r w:rsidR="00AC7389">
        <w:rPr>
          <w:rFonts w:ascii="Times" w:hAnsi="Times"/>
        </w:rPr>
        <w:t>jst</w:t>
      </w:r>
      <w:proofErr w:type="spellEnd"/>
      <w:r>
        <w:rPr>
          <w:rFonts w:ascii="Times" w:hAnsi="Times"/>
        </w:rPr>
        <w:t xml:space="preserve"> oraz podległe im podmioty będą miały obowiązek korzystania z PURDE i PUH w tych samych terminach. </w:t>
      </w:r>
    </w:p>
    <w:p w14:paraId="46C5E993" w14:textId="100558C2" w:rsidR="006551EB" w:rsidRPr="006B7A30" w:rsidRDefault="006551EB" w:rsidP="00FE01DE">
      <w:pPr>
        <w:jc w:val="both"/>
        <w:rPr>
          <w:rFonts w:ascii="Times" w:hAnsi="Times"/>
        </w:rPr>
      </w:pPr>
      <w:r w:rsidRPr="006B7A30">
        <w:rPr>
          <w:rFonts w:ascii="Times" w:hAnsi="Times"/>
        </w:rPr>
        <w:t>W</w:t>
      </w:r>
      <w:r w:rsidR="0025177E">
        <w:rPr>
          <w:rFonts w:ascii="Times" w:hAnsi="Times"/>
        </w:rPr>
        <w:t xml:space="preserve"> zmienianym</w:t>
      </w:r>
      <w:r w:rsidRPr="006B7A30">
        <w:rPr>
          <w:rFonts w:ascii="Times" w:hAnsi="Times"/>
        </w:rPr>
        <w:t xml:space="preserve"> art. 155 </w:t>
      </w:r>
      <w:r>
        <w:rPr>
          <w:rFonts w:ascii="Times" w:hAnsi="Times"/>
        </w:rPr>
        <w:t xml:space="preserve">ustawy o doręczeniach elektronicznych </w:t>
      </w:r>
      <w:r w:rsidRPr="006B7A30">
        <w:rPr>
          <w:rFonts w:ascii="Times" w:hAnsi="Times"/>
        </w:rPr>
        <w:t xml:space="preserve">po ust. 5 dodaje się ust. 5a, który </w:t>
      </w:r>
      <w:r w:rsidR="009C415D">
        <w:rPr>
          <w:rFonts w:ascii="Times" w:hAnsi="Times"/>
        </w:rPr>
        <w:t>stanow</w:t>
      </w:r>
      <w:r w:rsidR="009C415D" w:rsidRPr="006B7A30">
        <w:rPr>
          <w:rFonts w:ascii="Times" w:hAnsi="Times"/>
        </w:rPr>
        <w:t>i</w:t>
      </w:r>
      <w:r w:rsidRPr="006B7A30">
        <w:rPr>
          <w:rFonts w:ascii="Times" w:hAnsi="Times"/>
        </w:rPr>
        <w:t>, iż Agencja Bezpieczeństwa Wewnętrznego, Agencja Wywiadu, Służba Kontrwywiadu Wojskowego, Służba Wywiadu Wojskowego</w:t>
      </w:r>
      <w:r>
        <w:rPr>
          <w:rFonts w:ascii="Times" w:hAnsi="Times"/>
        </w:rPr>
        <w:t>,</w:t>
      </w:r>
      <w:r w:rsidRPr="006B7A30">
        <w:rPr>
          <w:rFonts w:ascii="Times" w:hAnsi="Times"/>
        </w:rPr>
        <w:t xml:space="preserve"> Centralne Biuro Antykorupcyjne i </w:t>
      </w:r>
      <w:r>
        <w:rPr>
          <w:rFonts w:ascii="Times" w:hAnsi="Times"/>
        </w:rPr>
        <w:t>resort</w:t>
      </w:r>
      <w:r w:rsidRPr="006B7A30">
        <w:rPr>
          <w:rFonts w:ascii="Times" w:hAnsi="Times"/>
        </w:rPr>
        <w:t xml:space="preserve"> </w:t>
      </w:r>
      <w:r>
        <w:rPr>
          <w:rFonts w:ascii="Times" w:hAnsi="Times"/>
        </w:rPr>
        <w:t>o</w:t>
      </w:r>
      <w:r w:rsidRPr="006B7A30">
        <w:rPr>
          <w:rFonts w:ascii="Times" w:hAnsi="Times"/>
        </w:rPr>
        <w:t xml:space="preserve">brony </w:t>
      </w:r>
      <w:r>
        <w:rPr>
          <w:rFonts w:ascii="Times" w:hAnsi="Times"/>
        </w:rPr>
        <w:t>n</w:t>
      </w:r>
      <w:r w:rsidRPr="006B7A30">
        <w:rPr>
          <w:rFonts w:ascii="Times" w:hAnsi="Times"/>
        </w:rPr>
        <w:t xml:space="preserve">arodowej są obowiązane stosować przepisy ustawy w zakresie doręczania korespondencji z wykorzystaniem publicznej usługi rejestrowanego doręczenia elektronicznego lub publicznej usługi hybrydowej od dnia </w:t>
      </w:r>
      <w:r>
        <w:rPr>
          <w:rFonts w:ascii="Times" w:hAnsi="Times"/>
        </w:rPr>
        <w:t>3</w:t>
      </w:r>
      <w:r w:rsidRPr="006B7A30">
        <w:rPr>
          <w:rFonts w:ascii="Times" w:hAnsi="Times"/>
        </w:rPr>
        <w:t xml:space="preserve">1 </w:t>
      </w:r>
      <w:r>
        <w:rPr>
          <w:rFonts w:ascii="Times" w:hAnsi="Times"/>
        </w:rPr>
        <w:t>grudni</w:t>
      </w:r>
      <w:r w:rsidRPr="006B7A30">
        <w:rPr>
          <w:rFonts w:ascii="Times" w:hAnsi="Times"/>
        </w:rPr>
        <w:t>a 2026 r</w:t>
      </w:r>
      <w:r w:rsidRPr="005F6115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</w:p>
    <w:p w14:paraId="319E8AF7" w14:textId="5127DA53" w:rsidR="006551EB" w:rsidRDefault="00AC7389" w:rsidP="00FE01DE">
      <w:pPr>
        <w:jc w:val="both"/>
        <w:rPr>
          <w:rFonts w:ascii="Times" w:hAnsi="Times"/>
        </w:rPr>
      </w:pPr>
      <w:r>
        <w:rPr>
          <w:rFonts w:ascii="Times" w:hAnsi="Times"/>
        </w:rPr>
        <w:t>W</w:t>
      </w:r>
      <w:r w:rsidR="006551EB" w:rsidRPr="006B7A30">
        <w:rPr>
          <w:rFonts w:ascii="Times" w:hAnsi="Times"/>
        </w:rPr>
        <w:t xml:space="preserve"> art. 155 </w:t>
      </w:r>
      <w:r w:rsidR="006551EB">
        <w:rPr>
          <w:rFonts w:ascii="Times" w:hAnsi="Times"/>
        </w:rPr>
        <w:t xml:space="preserve">ustawy o doręczeniach elektronicznych </w:t>
      </w:r>
      <w:r>
        <w:rPr>
          <w:rFonts w:ascii="Times" w:hAnsi="Times"/>
        </w:rPr>
        <w:t xml:space="preserve">przepis </w:t>
      </w:r>
      <w:r w:rsidR="006551EB" w:rsidRPr="006B7A30">
        <w:rPr>
          <w:rFonts w:ascii="Times" w:hAnsi="Times"/>
        </w:rPr>
        <w:t xml:space="preserve">ust. 6 otrzymuje </w:t>
      </w:r>
      <w:r>
        <w:rPr>
          <w:rFonts w:ascii="Times" w:hAnsi="Times"/>
        </w:rPr>
        <w:t xml:space="preserve">natomiast </w:t>
      </w:r>
      <w:r w:rsidR="006551EB" w:rsidRPr="006B7A30">
        <w:rPr>
          <w:rFonts w:ascii="Times" w:hAnsi="Times"/>
        </w:rPr>
        <w:t>brzmienie</w:t>
      </w:r>
      <w:r w:rsidR="009C415D">
        <w:rPr>
          <w:rFonts w:ascii="Times" w:hAnsi="Times"/>
        </w:rPr>
        <w:t>,</w:t>
      </w:r>
      <w:r w:rsidR="006551EB">
        <w:rPr>
          <w:rFonts w:ascii="Times" w:hAnsi="Times"/>
        </w:rPr>
        <w:t xml:space="preserve"> zgodnie z którym</w:t>
      </w:r>
      <w:r w:rsidR="006551EB" w:rsidRPr="006B7A30"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jst</w:t>
      </w:r>
      <w:proofErr w:type="spellEnd"/>
      <w:r w:rsidR="006551EB" w:rsidRPr="006B7A30">
        <w:rPr>
          <w:rFonts w:ascii="Times" w:hAnsi="Times"/>
        </w:rPr>
        <w:t xml:space="preserve"> i ich związki oraz związki metropolitalne, samorządowe instytucje kultury, samorządowe osoby prawne oraz samorządowe zakłady budżetowe są obowiązane stosować przepisy ustawy w zakresie doręczania korespondencji z wykorzystaniem publicznej usługi rejestrowanego doręczenia elektronicznego od dnia określonego w komunikacie wydanym na podstawie ust. 10, a</w:t>
      </w:r>
      <w:r w:rsidR="006551EB">
        <w:rPr>
          <w:rFonts w:ascii="Times" w:hAnsi="Times"/>
        </w:rPr>
        <w:t> </w:t>
      </w:r>
      <w:r w:rsidR="006551EB" w:rsidRPr="006B7A30">
        <w:rPr>
          <w:rFonts w:ascii="Times" w:hAnsi="Times"/>
        </w:rPr>
        <w:t>w</w:t>
      </w:r>
      <w:r w:rsidR="006551EB">
        <w:rPr>
          <w:rFonts w:ascii="Times" w:hAnsi="Times"/>
        </w:rPr>
        <w:t> </w:t>
      </w:r>
      <w:r w:rsidR="006551EB" w:rsidRPr="006B7A30">
        <w:rPr>
          <w:rFonts w:ascii="Times" w:hAnsi="Times"/>
        </w:rPr>
        <w:t>zakresie doręczania korespondencji z wykorzystaniem publicznej usługi hybrydowej od dnia 1 października 2029 r.</w:t>
      </w:r>
    </w:p>
    <w:p w14:paraId="2A45F90D" w14:textId="69D2BA26" w:rsidR="006551EB" w:rsidRDefault="006551EB" w:rsidP="00FE01DE">
      <w:pPr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Projekt nadaje nowe brzmienie art. 156 ustawy o doręczeniach elektronicznyc</w:t>
      </w:r>
      <w:r w:rsidR="004748D9">
        <w:rPr>
          <w:rFonts w:ascii="Times" w:hAnsi="Times"/>
        </w:rPr>
        <w:t>h</w:t>
      </w:r>
      <w:r>
        <w:rPr>
          <w:rFonts w:ascii="Times" w:hAnsi="Times"/>
        </w:rPr>
        <w:t xml:space="preserve">, który stwierdza, że </w:t>
      </w:r>
      <w:r w:rsidRPr="005F6115">
        <w:rPr>
          <w:rFonts w:ascii="Times" w:hAnsi="Times"/>
        </w:rPr>
        <w:t>do podmiotów publicznych w</w:t>
      </w:r>
      <w:r>
        <w:rPr>
          <w:rFonts w:ascii="Times" w:hAnsi="Times"/>
        </w:rPr>
        <w:t> </w:t>
      </w:r>
      <w:r w:rsidRPr="005F6115">
        <w:rPr>
          <w:rFonts w:ascii="Times" w:hAnsi="Times"/>
        </w:rPr>
        <w:t xml:space="preserve">rozumieniu ustawy zmienianej w art. 105, udostępniających elektroniczną skrzynkę podawczą w systemie innym niż </w:t>
      </w:r>
      <w:proofErr w:type="spellStart"/>
      <w:r w:rsidRPr="005F6115">
        <w:rPr>
          <w:rFonts w:ascii="Times" w:hAnsi="Times"/>
        </w:rPr>
        <w:t>ePUAP</w:t>
      </w:r>
      <w:proofErr w:type="spellEnd"/>
      <w:r w:rsidRPr="005F6115">
        <w:rPr>
          <w:rFonts w:ascii="Times" w:hAnsi="Times"/>
        </w:rPr>
        <w:t xml:space="preserve"> w okresie od dnia wejścia w życie niniejszej ustawy do dnia 31 grudnia 2025 r</w:t>
      </w:r>
      <w:r w:rsidR="00160243">
        <w:rPr>
          <w:rFonts w:ascii="Times" w:hAnsi="Times"/>
        </w:rPr>
        <w:t>.</w:t>
      </w:r>
      <w:r w:rsidRPr="005F6115">
        <w:rPr>
          <w:rFonts w:ascii="Times" w:hAnsi="Times"/>
        </w:rPr>
        <w:t>, stosuje się art. 157 i art. 158.</w:t>
      </w:r>
    </w:p>
    <w:p w14:paraId="55FB6CC1" w14:textId="0090F8A3" w:rsidR="009C415D" w:rsidRPr="005F6115" w:rsidRDefault="009C415D" w:rsidP="009C415D">
      <w:pPr>
        <w:jc w:val="both"/>
        <w:rPr>
          <w:rFonts w:ascii="Times" w:hAnsi="Times"/>
        </w:rPr>
      </w:pPr>
      <w:r w:rsidRPr="00FA74B9">
        <w:rPr>
          <w:rFonts w:ascii="Times" w:hAnsi="Times"/>
        </w:rPr>
        <w:t xml:space="preserve">W </w:t>
      </w:r>
      <w:r>
        <w:rPr>
          <w:rFonts w:ascii="Times" w:hAnsi="Times"/>
        </w:rPr>
        <w:t>art. 2 projektu proponuje się</w:t>
      </w:r>
      <w:r w:rsidR="009B7CA6">
        <w:rPr>
          <w:rFonts w:ascii="Times" w:hAnsi="Times"/>
        </w:rPr>
        <w:t>, by d</w:t>
      </w:r>
      <w:r w:rsidR="009B7CA6" w:rsidRPr="00717F9C">
        <w:rPr>
          <w:rFonts w:ascii="Times" w:hAnsi="Times"/>
        </w:rPr>
        <w:t xml:space="preserve">o korespondencji, o której mowa w art. 147 </w:t>
      </w:r>
      <w:r w:rsidR="00E10DC5">
        <w:rPr>
          <w:rFonts w:ascii="Times" w:hAnsi="Times"/>
        </w:rPr>
        <w:t xml:space="preserve">ust. 2 i 3 </w:t>
      </w:r>
      <w:r w:rsidR="009B7CA6" w:rsidRPr="00717F9C">
        <w:rPr>
          <w:rFonts w:ascii="Times" w:hAnsi="Times"/>
        </w:rPr>
        <w:t>ustawy zmienianej w art. 1, nadanej przed dniem wejście ustawy i niedoręczonej przed tym dniem, stos</w:t>
      </w:r>
      <w:r w:rsidR="009B7CA6">
        <w:rPr>
          <w:rFonts w:ascii="Times" w:hAnsi="Times"/>
        </w:rPr>
        <w:t>ować</w:t>
      </w:r>
      <w:r w:rsidR="009B7CA6" w:rsidRPr="00717F9C">
        <w:rPr>
          <w:rFonts w:ascii="Times" w:hAnsi="Times"/>
        </w:rPr>
        <w:t xml:space="preserve"> przepisy ustawy zmienianej w art. 1 w brzmieniu nadanym niniejsz</w:t>
      </w:r>
      <w:r w:rsidR="009B7CA6">
        <w:rPr>
          <w:rFonts w:ascii="Times" w:hAnsi="Times"/>
        </w:rPr>
        <w:t>ą</w:t>
      </w:r>
      <w:r w:rsidR="009B7CA6" w:rsidRPr="00717F9C">
        <w:rPr>
          <w:rFonts w:ascii="Times" w:hAnsi="Times"/>
        </w:rPr>
        <w:t xml:space="preserve"> ustawą</w:t>
      </w:r>
      <w:r w:rsidR="005A5577">
        <w:rPr>
          <w:rFonts w:ascii="Times" w:hAnsi="Times"/>
        </w:rPr>
        <w:t xml:space="preserve">. </w:t>
      </w:r>
      <w:r w:rsidR="002A302F">
        <w:rPr>
          <w:rFonts w:ascii="Times" w:hAnsi="Times"/>
        </w:rPr>
        <w:t>Przepis ten rozstrzyga, jakie przepisy mają zastosowanie do doręczeń, o których mowa w</w:t>
      </w:r>
      <w:r w:rsidR="001A53A5">
        <w:rPr>
          <w:rFonts w:ascii="Times" w:hAnsi="Times"/>
        </w:rPr>
        <w:t> </w:t>
      </w:r>
      <w:r w:rsidR="002A302F">
        <w:rPr>
          <w:rFonts w:ascii="Times" w:hAnsi="Times"/>
        </w:rPr>
        <w:t>art.</w:t>
      </w:r>
      <w:r w:rsidR="001A53A5">
        <w:rPr>
          <w:rFonts w:ascii="Times" w:hAnsi="Times"/>
        </w:rPr>
        <w:t> </w:t>
      </w:r>
      <w:r w:rsidR="002A302F">
        <w:rPr>
          <w:rFonts w:ascii="Times" w:hAnsi="Times"/>
        </w:rPr>
        <w:t>147 ustawy o doręczeniach elektronicznych.</w:t>
      </w:r>
    </w:p>
    <w:p w14:paraId="4E9E7835" w14:textId="784394E4" w:rsidR="009B7CA6" w:rsidRDefault="00265C25" w:rsidP="009B7CA6">
      <w:pPr>
        <w:jc w:val="both"/>
        <w:rPr>
          <w:rFonts w:ascii="Times" w:hAnsi="Times"/>
        </w:rPr>
      </w:pPr>
      <w:r>
        <w:rPr>
          <w:rFonts w:ascii="Times" w:hAnsi="Times"/>
        </w:rPr>
        <w:t>Projektowany</w:t>
      </w:r>
      <w:r w:rsidR="006551EB">
        <w:rPr>
          <w:rFonts w:ascii="Times" w:hAnsi="Times"/>
        </w:rPr>
        <w:t xml:space="preserve"> art. </w:t>
      </w:r>
      <w:r w:rsidR="009C415D">
        <w:rPr>
          <w:rFonts w:ascii="Times" w:hAnsi="Times"/>
        </w:rPr>
        <w:t>3</w:t>
      </w:r>
      <w:r>
        <w:rPr>
          <w:rFonts w:ascii="Times" w:hAnsi="Times"/>
        </w:rPr>
        <w:t xml:space="preserve"> </w:t>
      </w:r>
      <w:r w:rsidR="009B7CA6">
        <w:rPr>
          <w:rFonts w:ascii="Times" w:hAnsi="Times"/>
        </w:rPr>
        <w:t>stanowi, że d</w:t>
      </w:r>
      <w:r w:rsidR="009B7CA6" w:rsidRPr="00717F9C">
        <w:rPr>
          <w:rFonts w:ascii="Times" w:hAnsi="Times"/>
        </w:rPr>
        <w:t xml:space="preserve">o wniosków </w:t>
      </w:r>
      <w:r w:rsidR="00E10DC5" w:rsidRPr="6F218C80">
        <w:rPr>
          <w:rFonts w:ascii="Times" w:eastAsia="Times" w:hAnsi="Times" w:cs="Times"/>
          <w:szCs w:val="24"/>
        </w:rPr>
        <w:t>o utworzenie adresów do doręczeń elektronicznych złożonych</w:t>
      </w:r>
      <w:r w:rsidR="00E10DC5">
        <w:rPr>
          <w:rFonts w:ascii="Times" w:eastAsia="Times" w:hAnsi="Times" w:cs="Times"/>
          <w:szCs w:val="24"/>
        </w:rPr>
        <w:t xml:space="preserve"> przez</w:t>
      </w:r>
      <w:r w:rsidR="00E10DC5" w:rsidRPr="6F218C80">
        <w:rPr>
          <w:rFonts w:ascii="Times" w:eastAsia="Times" w:hAnsi="Times" w:cs="Times"/>
          <w:szCs w:val="24"/>
        </w:rPr>
        <w:t xml:space="preserve"> jednostk</w:t>
      </w:r>
      <w:r w:rsidR="00E10DC5">
        <w:rPr>
          <w:rFonts w:ascii="Times" w:eastAsia="Times" w:hAnsi="Times" w:cs="Times"/>
          <w:szCs w:val="24"/>
        </w:rPr>
        <w:t>i</w:t>
      </w:r>
      <w:r w:rsidR="00E10DC5" w:rsidRPr="6F218C80">
        <w:rPr>
          <w:rFonts w:ascii="Times" w:eastAsia="Times" w:hAnsi="Times" w:cs="Times"/>
          <w:szCs w:val="24"/>
        </w:rPr>
        <w:t xml:space="preserve"> samorządu terytorialnego</w:t>
      </w:r>
      <w:r w:rsidR="00E10DC5">
        <w:rPr>
          <w:rFonts w:ascii="Times" w:eastAsia="Times" w:hAnsi="Times" w:cs="Times"/>
          <w:szCs w:val="24"/>
        </w:rPr>
        <w:t xml:space="preserve">, </w:t>
      </w:r>
      <w:r w:rsidR="00E10DC5" w:rsidRPr="00960EB2">
        <w:rPr>
          <w:rFonts w:ascii="Times" w:eastAsia="Times" w:hAnsi="Times" w:cs="Times"/>
          <w:szCs w:val="24"/>
        </w:rPr>
        <w:t>związ</w:t>
      </w:r>
      <w:r w:rsidR="00E10DC5">
        <w:rPr>
          <w:rFonts w:ascii="Times" w:eastAsia="Times" w:hAnsi="Times" w:cs="Times"/>
          <w:szCs w:val="24"/>
        </w:rPr>
        <w:t>ki</w:t>
      </w:r>
      <w:r w:rsidR="00E10DC5" w:rsidRPr="00960EB2">
        <w:rPr>
          <w:rFonts w:ascii="Times" w:eastAsia="Times" w:hAnsi="Times" w:cs="Times"/>
          <w:szCs w:val="24"/>
        </w:rPr>
        <w:t xml:space="preserve"> międzygminne, związk</w:t>
      </w:r>
      <w:r w:rsidR="00E10DC5">
        <w:rPr>
          <w:rFonts w:ascii="Times" w:eastAsia="Times" w:hAnsi="Times" w:cs="Times"/>
          <w:szCs w:val="24"/>
        </w:rPr>
        <w:t>i</w:t>
      </w:r>
      <w:r w:rsidR="00E10DC5" w:rsidRPr="00960EB2">
        <w:rPr>
          <w:rFonts w:ascii="Times" w:eastAsia="Times" w:hAnsi="Times" w:cs="Times"/>
          <w:szCs w:val="24"/>
        </w:rPr>
        <w:t xml:space="preserve"> powiatów, związk</w:t>
      </w:r>
      <w:r w:rsidR="00E10DC5">
        <w:rPr>
          <w:rFonts w:ascii="Times" w:eastAsia="Times" w:hAnsi="Times" w:cs="Times"/>
          <w:szCs w:val="24"/>
        </w:rPr>
        <w:t xml:space="preserve">i </w:t>
      </w:r>
      <w:r w:rsidR="00E10DC5" w:rsidRPr="00960EB2">
        <w:rPr>
          <w:rFonts w:ascii="Times" w:eastAsia="Times" w:hAnsi="Times" w:cs="Times"/>
          <w:szCs w:val="24"/>
        </w:rPr>
        <w:t>powiatowo-gminne</w:t>
      </w:r>
      <w:r w:rsidR="00E10DC5">
        <w:rPr>
          <w:rFonts w:ascii="Times" w:eastAsia="Times" w:hAnsi="Times" w:cs="Times"/>
          <w:szCs w:val="24"/>
        </w:rPr>
        <w:t>,</w:t>
      </w:r>
      <w:r w:rsidR="00E10DC5" w:rsidRPr="00960EB2">
        <w:rPr>
          <w:rFonts w:ascii="Times" w:eastAsia="Times" w:hAnsi="Times" w:cs="Times"/>
          <w:szCs w:val="24"/>
        </w:rPr>
        <w:t xml:space="preserve"> związk</w:t>
      </w:r>
      <w:r w:rsidR="00E10DC5">
        <w:rPr>
          <w:rFonts w:ascii="Times" w:eastAsia="Times" w:hAnsi="Times" w:cs="Times"/>
          <w:szCs w:val="24"/>
        </w:rPr>
        <w:t>i</w:t>
      </w:r>
      <w:r w:rsidR="00E10DC5" w:rsidRPr="00960EB2">
        <w:rPr>
          <w:rFonts w:ascii="Times" w:eastAsia="Times" w:hAnsi="Times" w:cs="Times"/>
          <w:szCs w:val="24"/>
        </w:rPr>
        <w:t xml:space="preserve"> metropolitalne</w:t>
      </w:r>
      <w:r w:rsidR="00E10DC5">
        <w:rPr>
          <w:rFonts w:ascii="Times" w:eastAsia="Times" w:hAnsi="Times" w:cs="Times"/>
          <w:szCs w:val="24"/>
        </w:rPr>
        <w:t xml:space="preserve"> albo </w:t>
      </w:r>
      <w:r w:rsidR="00E10DC5" w:rsidRPr="6F218C80">
        <w:rPr>
          <w:rFonts w:ascii="Times" w:eastAsia="Times" w:hAnsi="Times" w:cs="Times"/>
          <w:szCs w:val="24"/>
        </w:rPr>
        <w:t>jednostki organizacyjne jednostki samorządu terytorialnego</w:t>
      </w:r>
      <w:r w:rsidR="00E10DC5">
        <w:rPr>
          <w:rFonts w:ascii="Times" w:eastAsia="Times" w:hAnsi="Times" w:cs="Times"/>
          <w:szCs w:val="24"/>
        </w:rPr>
        <w:t xml:space="preserve"> </w:t>
      </w:r>
      <w:r w:rsidR="009B7CA6" w:rsidRPr="00717F9C">
        <w:rPr>
          <w:rFonts w:ascii="Times" w:hAnsi="Times"/>
        </w:rPr>
        <w:t>i nierozpatrzonych do dnia wejścia w życie ustawy stosuje się przepisy art. 12 ust. 1a</w:t>
      </w:r>
      <w:r w:rsidR="00016B5F" w:rsidRPr="006E0A10">
        <w:t>–</w:t>
      </w:r>
      <w:r w:rsidR="009B7CA6" w:rsidRPr="00717F9C">
        <w:rPr>
          <w:rFonts w:ascii="Times" w:hAnsi="Times"/>
        </w:rPr>
        <w:t>1</w:t>
      </w:r>
      <w:r w:rsidR="00E10DC5">
        <w:rPr>
          <w:rFonts w:ascii="Times" w:hAnsi="Times"/>
        </w:rPr>
        <w:t>c</w:t>
      </w:r>
      <w:r w:rsidR="009B7CA6" w:rsidRPr="00717F9C">
        <w:rPr>
          <w:rFonts w:ascii="Times" w:hAnsi="Times"/>
        </w:rPr>
        <w:t xml:space="preserve"> ustawy zmienianej w art. 1.</w:t>
      </w:r>
      <w:r w:rsidR="009B7CA6">
        <w:rPr>
          <w:rFonts w:ascii="Times" w:hAnsi="Times"/>
        </w:rPr>
        <w:t xml:space="preserve"> </w:t>
      </w:r>
      <w:r w:rsidR="009B7CA6" w:rsidRPr="00717F9C">
        <w:rPr>
          <w:rFonts w:ascii="Times" w:hAnsi="Times"/>
        </w:rPr>
        <w:t xml:space="preserve">Wnioski o utworzenie adresu do doręczeń innego niż ten, o którym mowa </w:t>
      </w:r>
      <w:r w:rsidR="00016B5F">
        <w:rPr>
          <w:rFonts w:ascii="Times" w:hAnsi="Times"/>
        </w:rPr>
        <w:t>w</w:t>
      </w:r>
      <w:r w:rsidR="009B7CA6" w:rsidRPr="00717F9C">
        <w:rPr>
          <w:rFonts w:ascii="Times" w:hAnsi="Times"/>
        </w:rPr>
        <w:t xml:space="preserve"> art. 12 ust. 1a</w:t>
      </w:r>
      <w:r w:rsidR="003B0D1F">
        <w:rPr>
          <w:rFonts w:ascii="Times" w:hAnsi="Times"/>
        </w:rPr>
        <w:t>-</w:t>
      </w:r>
      <w:r w:rsidR="003B0D1F" w:rsidRPr="00717F9C">
        <w:rPr>
          <w:rFonts w:ascii="Times" w:hAnsi="Times"/>
        </w:rPr>
        <w:t>1</w:t>
      </w:r>
      <w:r w:rsidR="003B0D1F">
        <w:rPr>
          <w:rFonts w:ascii="Times" w:hAnsi="Times"/>
        </w:rPr>
        <w:t>c</w:t>
      </w:r>
      <w:r w:rsidR="003B0D1F" w:rsidRPr="00717F9C">
        <w:rPr>
          <w:rFonts w:ascii="Times" w:hAnsi="Times"/>
        </w:rPr>
        <w:t xml:space="preserve"> </w:t>
      </w:r>
      <w:r w:rsidR="009B7CA6" w:rsidRPr="00717F9C">
        <w:rPr>
          <w:rFonts w:ascii="Times" w:hAnsi="Times"/>
        </w:rPr>
        <w:t>ustawy zmienianej w</w:t>
      </w:r>
      <w:r w:rsidR="001A53A5">
        <w:rPr>
          <w:rFonts w:ascii="Times" w:hAnsi="Times"/>
        </w:rPr>
        <w:t> </w:t>
      </w:r>
      <w:r w:rsidR="009B7CA6" w:rsidRPr="00717F9C">
        <w:rPr>
          <w:rFonts w:ascii="Times" w:hAnsi="Times"/>
        </w:rPr>
        <w:t>art. 1, złożone i nie rozpatrzone do dnia wejścia w życie ustawy pozostawia się bez rozpatrzenia.</w:t>
      </w:r>
      <w:r w:rsidR="002A302F">
        <w:rPr>
          <w:rFonts w:ascii="Times" w:hAnsi="Times"/>
        </w:rPr>
        <w:t xml:space="preserve"> </w:t>
      </w:r>
    </w:p>
    <w:p w14:paraId="597040F6" w14:textId="53B3F4A6" w:rsidR="006551EB" w:rsidRDefault="003161AE" w:rsidP="009B7CA6">
      <w:pPr>
        <w:jc w:val="both"/>
        <w:rPr>
          <w:rFonts w:ascii="Times" w:hAnsi="Times"/>
        </w:rPr>
      </w:pPr>
      <w:r>
        <w:rPr>
          <w:rFonts w:ascii="Times" w:hAnsi="Times"/>
        </w:rPr>
        <w:t>Aby uporządkować zagadnienie istnienia aktualn</w:t>
      </w:r>
      <w:r w:rsidR="00D9242C">
        <w:rPr>
          <w:rFonts w:ascii="Times" w:hAnsi="Times"/>
        </w:rPr>
        <w:t>ych</w:t>
      </w:r>
      <w:r>
        <w:rPr>
          <w:rFonts w:ascii="Times" w:hAnsi="Times"/>
        </w:rPr>
        <w:t xml:space="preserve"> adresów do doręczeń elektronicznych, które zostały założone w inny sposób niż określono to w art. 12 ust. 1a i 1b ustawy zmienianej w art.</w:t>
      </w:r>
      <w:r w:rsidR="001A53A5">
        <w:rPr>
          <w:rFonts w:ascii="Times" w:hAnsi="Times"/>
        </w:rPr>
        <w:t> </w:t>
      </w:r>
      <w:r>
        <w:rPr>
          <w:rFonts w:ascii="Times" w:hAnsi="Times"/>
        </w:rPr>
        <w:t>1, p</w:t>
      </w:r>
      <w:r w:rsidR="009B7CA6">
        <w:rPr>
          <w:rFonts w:ascii="Times" w:hAnsi="Times"/>
        </w:rPr>
        <w:t>rojekt ustawy w art. 4</w:t>
      </w:r>
      <w:r w:rsidR="006551EB">
        <w:rPr>
          <w:rFonts w:ascii="Times" w:hAnsi="Times"/>
        </w:rPr>
        <w:t xml:space="preserve"> pozwala na wykreślenie takich adresów. </w:t>
      </w:r>
      <w:r w:rsidR="00F80769">
        <w:rPr>
          <w:rFonts w:ascii="Times" w:hAnsi="Times"/>
        </w:rPr>
        <w:t>W</w:t>
      </w:r>
      <w:r w:rsidR="006551EB" w:rsidRPr="005F6115">
        <w:rPr>
          <w:rFonts w:ascii="Times" w:hAnsi="Times"/>
        </w:rPr>
        <w:t xml:space="preserve"> przypadku gdy dla jednostki samorządu terytorialnego</w:t>
      </w:r>
      <w:r>
        <w:rPr>
          <w:rFonts w:ascii="Times" w:hAnsi="Times"/>
        </w:rPr>
        <w:t xml:space="preserve">, </w:t>
      </w:r>
      <w:r w:rsidRPr="00960EB2">
        <w:rPr>
          <w:rFonts w:ascii="Times" w:eastAsia="Times" w:hAnsi="Times" w:cs="Times"/>
          <w:szCs w:val="24"/>
        </w:rPr>
        <w:t>związ</w:t>
      </w:r>
      <w:r>
        <w:rPr>
          <w:rFonts w:ascii="Times" w:eastAsia="Times" w:hAnsi="Times" w:cs="Times"/>
          <w:szCs w:val="24"/>
        </w:rPr>
        <w:t xml:space="preserve">ku </w:t>
      </w:r>
      <w:r w:rsidRPr="00960EB2">
        <w:rPr>
          <w:rFonts w:ascii="Times" w:eastAsia="Times" w:hAnsi="Times" w:cs="Times"/>
          <w:szCs w:val="24"/>
        </w:rPr>
        <w:t>międzygminne</w:t>
      </w:r>
      <w:r>
        <w:rPr>
          <w:rFonts w:ascii="Times" w:eastAsia="Times" w:hAnsi="Times" w:cs="Times"/>
          <w:szCs w:val="24"/>
        </w:rPr>
        <w:t>go</w:t>
      </w:r>
      <w:r w:rsidRPr="00960EB2">
        <w:rPr>
          <w:rFonts w:ascii="Times" w:eastAsia="Times" w:hAnsi="Times" w:cs="Times"/>
          <w:szCs w:val="24"/>
        </w:rPr>
        <w:t>, związk</w:t>
      </w:r>
      <w:r>
        <w:rPr>
          <w:rFonts w:ascii="Times" w:eastAsia="Times" w:hAnsi="Times" w:cs="Times"/>
          <w:szCs w:val="24"/>
        </w:rPr>
        <w:t>u</w:t>
      </w:r>
      <w:r w:rsidRPr="00960EB2">
        <w:rPr>
          <w:rFonts w:ascii="Times" w:eastAsia="Times" w:hAnsi="Times" w:cs="Times"/>
          <w:szCs w:val="24"/>
        </w:rPr>
        <w:t xml:space="preserve"> powiatów, związk</w:t>
      </w:r>
      <w:r>
        <w:rPr>
          <w:rFonts w:ascii="Times" w:eastAsia="Times" w:hAnsi="Times" w:cs="Times"/>
          <w:szCs w:val="24"/>
        </w:rPr>
        <w:t xml:space="preserve">u </w:t>
      </w:r>
      <w:r w:rsidRPr="00960EB2">
        <w:rPr>
          <w:rFonts w:ascii="Times" w:eastAsia="Times" w:hAnsi="Times" w:cs="Times"/>
          <w:szCs w:val="24"/>
        </w:rPr>
        <w:t>powiatowo-gminne</w:t>
      </w:r>
      <w:r>
        <w:rPr>
          <w:rFonts w:ascii="Times" w:eastAsia="Times" w:hAnsi="Times" w:cs="Times"/>
          <w:szCs w:val="24"/>
        </w:rPr>
        <w:t>go albo</w:t>
      </w:r>
      <w:r w:rsidRPr="00960EB2">
        <w:rPr>
          <w:rFonts w:ascii="Times" w:eastAsia="Times" w:hAnsi="Times" w:cs="Times"/>
          <w:szCs w:val="24"/>
        </w:rPr>
        <w:t xml:space="preserve"> związk</w:t>
      </w:r>
      <w:r>
        <w:rPr>
          <w:rFonts w:ascii="Times" w:eastAsia="Times" w:hAnsi="Times" w:cs="Times"/>
          <w:szCs w:val="24"/>
        </w:rPr>
        <w:t>u</w:t>
      </w:r>
      <w:r w:rsidRPr="00960EB2">
        <w:rPr>
          <w:rFonts w:ascii="Times" w:eastAsia="Times" w:hAnsi="Times" w:cs="Times"/>
          <w:szCs w:val="24"/>
        </w:rPr>
        <w:t xml:space="preserve"> metropolitalne</w:t>
      </w:r>
      <w:r>
        <w:rPr>
          <w:rFonts w:ascii="Times" w:eastAsia="Times" w:hAnsi="Times" w:cs="Times"/>
          <w:szCs w:val="24"/>
        </w:rPr>
        <w:t>go</w:t>
      </w:r>
      <w:r w:rsidR="006551EB" w:rsidRPr="005F6115" w:rsidDel="00FE1BCA">
        <w:rPr>
          <w:rFonts w:ascii="Times" w:hAnsi="Times"/>
        </w:rPr>
        <w:t xml:space="preserve"> </w:t>
      </w:r>
      <w:r w:rsidR="006551EB" w:rsidRPr="005F6115">
        <w:rPr>
          <w:rFonts w:ascii="Times" w:hAnsi="Times"/>
        </w:rPr>
        <w:t xml:space="preserve">utworzono więcej niż jeden adres do doręczeń elektronicznych, inny niż ten, o którym mowa w art. 12 ust. 1a i 1b ustawy </w:t>
      </w:r>
      <w:r w:rsidR="00F80769">
        <w:rPr>
          <w:rFonts w:ascii="Times" w:hAnsi="Times"/>
        </w:rPr>
        <w:t>o</w:t>
      </w:r>
      <w:r w:rsidR="001A53A5">
        <w:rPr>
          <w:rFonts w:ascii="Times" w:hAnsi="Times"/>
        </w:rPr>
        <w:t> </w:t>
      </w:r>
      <w:r w:rsidR="00F80769">
        <w:rPr>
          <w:rFonts w:ascii="Times" w:hAnsi="Times"/>
        </w:rPr>
        <w:t>doręczeniach elektronicznych</w:t>
      </w:r>
      <w:r w:rsidR="006551EB" w:rsidRPr="005F6115">
        <w:rPr>
          <w:rFonts w:ascii="Times" w:hAnsi="Times"/>
        </w:rPr>
        <w:t>, wpisany do bazy adresów elektronicznych, minister właściwy do spraw informatyzacji wykreśla go z</w:t>
      </w:r>
      <w:r w:rsidR="00A56DC1">
        <w:rPr>
          <w:rFonts w:ascii="Times" w:hAnsi="Times"/>
        </w:rPr>
        <w:t> </w:t>
      </w:r>
      <w:r w:rsidR="006551EB" w:rsidRPr="005F6115">
        <w:rPr>
          <w:rFonts w:ascii="Times" w:hAnsi="Times"/>
        </w:rPr>
        <w:t>urzędu w terminie roku od dnia wejścia w</w:t>
      </w:r>
      <w:r w:rsidR="005A5577">
        <w:rPr>
          <w:rFonts w:ascii="Times" w:hAnsi="Times"/>
        </w:rPr>
        <w:t> </w:t>
      </w:r>
      <w:r w:rsidR="006551EB" w:rsidRPr="005F6115">
        <w:rPr>
          <w:rFonts w:ascii="Times" w:hAnsi="Times"/>
        </w:rPr>
        <w:t>życie ustawy.</w:t>
      </w:r>
      <w:r w:rsidR="006551EB">
        <w:rPr>
          <w:rFonts w:ascii="Times" w:hAnsi="Times"/>
        </w:rPr>
        <w:t xml:space="preserve"> Jednocześnie w art. </w:t>
      </w:r>
      <w:r w:rsidR="00F80769">
        <w:rPr>
          <w:rFonts w:ascii="Times" w:hAnsi="Times"/>
        </w:rPr>
        <w:t xml:space="preserve">4 </w:t>
      </w:r>
      <w:r w:rsidR="006551EB">
        <w:rPr>
          <w:rFonts w:ascii="Times" w:hAnsi="Times"/>
        </w:rPr>
        <w:t xml:space="preserve">ust. 2 tej ustawy postanowiono, iż </w:t>
      </w:r>
      <w:r w:rsidR="006551EB" w:rsidRPr="005F6115">
        <w:rPr>
          <w:rFonts w:ascii="Times" w:hAnsi="Times"/>
        </w:rPr>
        <w:t>przed dokonaniem czynności wykreślenia, minister właściwy do spraw informatyzacji informuje podmioty, o</w:t>
      </w:r>
      <w:r w:rsidR="005A5577">
        <w:rPr>
          <w:rFonts w:ascii="Times" w:hAnsi="Times"/>
        </w:rPr>
        <w:t> </w:t>
      </w:r>
      <w:r w:rsidR="006551EB" w:rsidRPr="005F6115">
        <w:rPr>
          <w:rFonts w:ascii="Times" w:hAnsi="Times"/>
        </w:rPr>
        <w:t>których mowa w ust. 1</w:t>
      </w:r>
      <w:r w:rsidR="009C415D">
        <w:rPr>
          <w:rFonts w:ascii="Times" w:hAnsi="Times"/>
        </w:rPr>
        <w:t>,</w:t>
      </w:r>
      <w:r w:rsidR="006551EB" w:rsidRPr="005F6115">
        <w:rPr>
          <w:rFonts w:ascii="Times" w:hAnsi="Times"/>
        </w:rPr>
        <w:t xml:space="preserve"> o</w:t>
      </w:r>
      <w:r w:rsidR="006551EB">
        <w:rPr>
          <w:rFonts w:ascii="Times" w:hAnsi="Times"/>
        </w:rPr>
        <w:t> </w:t>
      </w:r>
      <w:r w:rsidR="006551EB" w:rsidRPr="005F6115">
        <w:rPr>
          <w:rFonts w:ascii="Times" w:hAnsi="Times"/>
        </w:rPr>
        <w:t xml:space="preserve">konieczności </w:t>
      </w:r>
      <w:r>
        <w:rPr>
          <w:rFonts w:ascii="Times" w:hAnsi="Times"/>
        </w:rPr>
        <w:t>pobrania</w:t>
      </w:r>
      <w:r w:rsidR="006551EB" w:rsidRPr="005F6115">
        <w:rPr>
          <w:rFonts w:ascii="Times" w:hAnsi="Times"/>
        </w:rPr>
        <w:t xml:space="preserve"> zasobów znajdujących się w skrzynce powiązanej z adresem do doręczeń elektronicznych i</w:t>
      </w:r>
      <w:r w:rsidR="00A56DC1">
        <w:rPr>
          <w:rFonts w:ascii="Times" w:hAnsi="Times"/>
        </w:rPr>
        <w:t> </w:t>
      </w:r>
      <w:r w:rsidR="006551EB" w:rsidRPr="005F6115">
        <w:rPr>
          <w:rFonts w:ascii="Times" w:hAnsi="Times"/>
        </w:rPr>
        <w:t xml:space="preserve">wskazuje termin </w:t>
      </w:r>
      <w:r w:rsidR="006551EB">
        <w:rPr>
          <w:rFonts w:ascii="Times" w:hAnsi="Times"/>
        </w:rPr>
        <w:t>wykreślenia adresu</w:t>
      </w:r>
      <w:r w:rsidR="006551EB" w:rsidRPr="005F6115">
        <w:rPr>
          <w:rFonts w:ascii="Times" w:hAnsi="Times"/>
        </w:rPr>
        <w:t>.</w:t>
      </w:r>
      <w:r w:rsidR="006551EB">
        <w:rPr>
          <w:rFonts w:ascii="Times" w:hAnsi="Times"/>
        </w:rPr>
        <w:t xml:space="preserve"> </w:t>
      </w:r>
      <w:r w:rsidR="006551EB" w:rsidRPr="005F6115">
        <w:rPr>
          <w:rFonts w:ascii="Times" w:hAnsi="Times"/>
        </w:rPr>
        <w:t>Wykreślenie adresu stanowi</w:t>
      </w:r>
      <w:r w:rsidR="006551EB">
        <w:rPr>
          <w:rFonts w:ascii="Times" w:hAnsi="Times"/>
        </w:rPr>
        <w:t>ć będzie</w:t>
      </w:r>
      <w:r w:rsidR="006551EB" w:rsidRPr="005F6115">
        <w:rPr>
          <w:rFonts w:ascii="Times" w:hAnsi="Times"/>
        </w:rPr>
        <w:t xml:space="preserve"> czynność materialno-techniczną</w:t>
      </w:r>
      <w:r w:rsidR="00F80769">
        <w:rPr>
          <w:rFonts w:ascii="Times" w:hAnsi="Times"/>
        </w:rPr>
        <w:t>.</w:t>
      </w:r>
    </w:p>
    <w:p w14:paraId="5A2D91A4" w14:textId="781E654E" w:rsidR="00FC6C1F" w:rsidRDefault="00D9242C" w:rsidP="009B7CA6">
      <w:pPr>
        <w:jc w:val="both"/>
        <w:rPr>
          <w:rFonts w:ascii="Times" w:hAnsi="Times"/>
        </w:rPr>
      </w:pPr>
      <w:r>
        <w:rPr>
          <w:rFonts w:ascii="Times" w:hAnsi="Times"/>
        </w:rPr>
        <w:t>Przepis</w:t>
      </w:r>
      <w:r w:rsidRPr="00FC6C1F">
        <w:rPr>
          <w:rFonts w:ascii="Times" w:hAnsi="Times"/>
        </w:rPr>
        <w:t xml:space="preserve"> </w:t>
      </w:r>
      <w:r w:rsidR="00FC6C1F" w:rsidRPr="00FC6C1F">
        <w:rPr>
          <w:rFonts w:ascii="Times" w:hAnsi="Times"/>
        </w:rPr>
        <w:t xml:space="preserve">art. </w:t>
      </w:r>
      <w:r w:rsidR="00FC6C1F">
        <w:rPr>
          <w:rFonts w:ascii="Times" w:hAnsi="Times"/>
        </w:rPr>
        <w:t xml:space="preserve">5 </w:t>
      </w:r>
      <w:r w:rsidR="00FC6C1F" w:rsidRPr="00FC6C1F">
        <w:rPr>
          <w:rFonts w:ascii="Times" w:hAnsi="Times"/>
        </w:rPr>
        <w:t>określ</w:t>
      </w:r>
      <w:r>
        <w:rPr>
          <w:rFonts w:ascii="Times" w:hAnsi="Times"/>
        </w:rPr>
        <w:t>a</w:t>
      </w:r>
      <w:r w:rsidR="00FC6C1F" w:rsidRPr="00FC6C1F">
        <w:rPr>
          <w:rFonts w:ascii="Times" w:hAnsi="Times"/>
        </w:rPr>
        <w:t xml:space="preserve"> następstwa zmiany dla dotychczasowych terminowych (3</w:t>
      </w:r>
      <w:r w:rsidR="00FA45DE">
        <w:rPr>
          <w:rFonts w:ascii="Times" w:hAnsi="Times"/>
        </w:rPr>
        <w:t>-</w:t>
      </w:r>
      <w:r w:rsidR="00FC6C1F" w:rsidRPr="00FC6C1F">
        <w:rPr>
          <w:rFonts w:ascii="Times" w:hAnsi="Times"/>
        </w:rPr>
        <w:t xml:space="preserve">letnich) wpisów adresów do doręczeń elektronicznych </w:t>
      </w:r>
      <w:r w:rsidR="004006FE">
        <w:rPr>
          <w:rFonts w:ascii="Times" w:hAnsi="Times"/>
        </w:rPr>
        <w:t>w</w:t>
      </w:r>
      <w:r w:rsidR="00FC6C1F" w:rsidRPr="00FC6C1F">
        <w:rPr>
          <w:rFonts w:ascii="Times" w:hAnsi="Times"/>
        </w:rPr>
        <w:t xml:space="preserve"> baz</w:t>
      </w:r>
      <w:r w:rsidR="004006FE">
        <w:rPr>
          <w:rFonts w:ascii="Times" w:hAnsi="Times"/>
        </w:rPr>
        <w:t>ie</w:t>
      </w:r>
      <w:r w:rsidR="00FC6C1F" w:rsidRPr="00FC6C1F">
        <w:rPr>
          <w:rFonts w:ascii="Times" w:hAnsi="Times"/>
        </w:rPr>
        <w:t xml:space="preserve"> adresów elektronicznych na podstawie  art. 34 ust. 1 pkt 1 ustawy o doręczeniach elektronicznych</w:t>
      </w:r>
      <w:r w:rsidR="00FC6C1F">
        <w:rPr>
          <w:rFonts w:ascii="Times" w:hAnsi="Times"/>
        </w:rPr>
        <w:t xml:space="preserve"> w brzmieniu dotychczasowym</w:t>
      </w:r>
      <w:r w:rsidR="00FC6C1F" w:rsidRPr="00FC6C1F">
        <w:rPr>
          <w:rFonts w:ascii="Times" w:hAnsi="Times"/>
        </w:rPr>
        <w:t xml:space="preserve">. </w:t>
      </w:r>
      <w:r w:rsidR="00FC6C1F" w:rsidRPr="00FC6C1F">
        <w:rPr>
          <w:rFonts w:ascii="Times" w:hAnsi="Times"/>
        </w:rPr>
        <w:lastRenderedPageBreak/>
        <w:t>Dotychczasowe 3</w:t>
      </w:r>
      <w:r w:rsidR="00FA45DE">
        <w:rPr>
          <w:rFonts w:ascii="Times" w:hAnsi="Times"/>
        </w:rPr>
        <w:t>-</w:t>
      </w:r>
      <w:r w:rsidR="00FC6C1F" w:rsidRPr="00FC6C1F">
        <w:rPr>
          <w:rFonts w:ascii="Times" w:hAnsi="Times"/>
        </w:rPr>
        <w:t>letnie adresy do doręczeń elektronicznych stają się adresami bezterminowymi</w:t>
      </w:r>
      <w:r w:rsidR="00FC6C1F">
        <w:rPr>
          <w:rFonts w:ascii="Times" w:hAnsi="Times"/>
        </w:rPr>
        <w:t>.</w:t>
      </w:r>
    </w:p>
    <w:p w14:paraId="0A28BA55" w14:textId="5D116C3C" w:rsidR="00024DF1" w:rsidRPr="00024DF1" w:rsidRDefault="009C415D" w:rsidP="00024DF1">
      <w:pPr>
        <w:jc w:val="both"/>
        <w:rPr>
          <w:rFonts w:ascii="Times" w:hAnsi="Times"/>
        </w:rPr>
      </w:pPr>
      <w:r>
        <w:rPr>
          <w:rFonts w:ascii="Times" w:hAnsi="Times"/>
        </w:rPr>
        <w:t>Przepis</w:t>
      </w:r>
      <w:r w:rsidR="006551EB">
        <w:rPr>
          <w:rFonts w:ascii="Times" w:hAnsi="Times"/>
        </w:rPr>
        <w:t xml:space="preserve"> </w:t>
      </w:r>
      <w:r w:rsidR="006551EB">
        <w:rPr>
          <w:rFonts w:ascii="Times" w:hAnsi="Times" w:hint="eastAsia"/>
        </w:rPr>
        <w:t>art</w:t>
      </w:r>
      <w:r w:rsidR="006551EB">
        <w:rPr>
          <w:rFonts w:ascii="Times" w:hAnsi="Times"/>
        </w:rPr>
        <w:t>.</w:t>
      </w:r>
      <w:r w:rsidR="006551EB" w:rsidRPr="006B7A30">
        <w:rPr>
          <w:rFonts w:ascii="Times" w:hAnsi="Times"/>
        </w:rPr>
        <w:t xml:space="preserve"> </w:t>
      </w:r>
      <w:r w:rsidR="00FC6C1F">
        <w:rPr>
          <w:rFonts w:ascii="Times" w:hAnsi="Times"/>
        </w:rPr>
        <w:t>6</w:t>
      </w:r>
      <w:r w:rsidR="00F80769" w:rsidRPr="006B7A30">
        <w:rPr>
          <w:rFonts w:ascii="Times" w:hAnsi="Times"/>
        </w:rPr>
        <w:t xml:space="preserve"> </w:t>
      </w:r>
      <w:r w:rsidR="006551EB" w:rsidRPr="006B7A30">
        <w:rPr>
          <w:rFonts w:ascii="Times" w:hAnsi="Times"/>
        </w:rPr>
        <w:t>stanowi, ż</w:t>
      </w:r>
      <w:r>
        <w:rPr>
          <w:rFonts w:ascii="Times" w:hAnsi="Times"/>
        </w:rPr>
        <w:t>e</w:t>
      </w:r>
      <w:r w:rsidR="006551EB" w:rsidRPr="006B7A30">
        <w:rPr>
          <w:rFonts w:ascii="Times" w:hAnsi="Times"/>
        </w:rPr>
        <w:t xml:space="preserve"> ustawa wchodzi w życie z dniem </w:t>
      </w:r>
      <w:r w:rsidR="004006FE">
        <w:rPr>
          <w:rFonts w:ascii="Times" w:hAnsi="Times"/>
        </w:rPr>
        <w:t xml:space="preserve">1 stycznia 2025 r. </w:t>
      </w:r>
      <w:r w:rsidR="00024DF1">
        <w:rPr>
          <w:rFonts w:ascii="Times" w:hAnsi="Times"/>
        </w:rPr>
        <w:t>,</w:t>
      </w:r>
      <w:r w:rsidR="00024DF1" w:rsidRPr="00024DF1">
        <w:t xml:space="preserve"> </w:t>
      </w:r>
      <w:r w:rsidR="00024DF1" w:rsidRPr="00024DF1">
        <w:rPr>
          <w:rFonts w:ascii="Times" w:hAnsi="Times"/>
        </w:rPr>
        <w:t>z</w:t>
      </w:r>
      <w:r w:rsidR="00A56DC1">
        <w:rPr>
          <w:rFonts w:ascii="Times" w:hAnsi="Times"/>
        </w:rPr>
        <w:t> </w:t>
      </w:r>
      <w:r w:rsidR="00024DF1" w:rsidRPr="00024DF1">
        <w:rPr>
          <w:rFonts w:ascii="Times" w:hAnsi="Times"/>
        </w:rPr>
        <w:t>wyjątkiem:</w:t>
      </w:r>
    </w:p>
    <w:p w14:paraId="5780FE15" w14:textId="7E3A4A79" w:rsidR="00024DF1" w:rsidRPr="00024DF1" w:rsidRDefault="00024DF1" w:rsidP="00024DF1">
      <w:pPr>
        <w:jc w:val="both"/>
        <w:rPr>
          <w:rFonts w:ascii="Times" w:hAnsi="Times"/>
        </w:rPr>
      </w:pPr>
      <w:r w:rsidRPr="00024DF1">
        <w:rPr>
          <w:rFonts w:ascii="Times" w:hAnsi="Times"/>
        </w:rPr>
        <w:t>1)</w:t>
      </w:r>
      <w:r w:rsidRPr="00024DF1">
        <w:rPr>
          <w:rFonts w:ascii="Times" w:hAnsi="Times"/>
        </w:rPr>
        <w:tab/>
        <w:t>art. 1 pkt 2</w:t>
      </w:r>
      <w:r w:rsidR="001E53E1">
        <w:rPr>
          <w:rFonts w:ascii="Times" w:hAnsi="Times"/>
        </w:rPr>
        <w:t xml:space="preserve"> i</w:t>
      </w:r>
      <w:r w:rsidRPr="00024DF1">
        <w:rPr>
          <w:rFonts w:ascii="Times" w:hAnsi="Times"/>
        </w:rPr>
        <w:t xml:space="preserve"> 4</w:t>
      </w:r>
      <w:r w:rsidR="00FA45DE">
        <w:rPr>
          <w:rFonts w:eastAsia="Times" w:cs="Times"/>
          <w:szCs w:val="24"/>
        </w:rPr>
        <w:t>–</w:t>
      </w:r>
      <w:r w:rsidR="00BF4168">
        <w:rPr>
          <w:rFonts w:ascii="Times" w:hAnsi="Times"/>
        </w:rPr>
        <w:t>7</w:t>
      </w:r>
      <w:r w:rsidRPr="00024DF1">
        <w:rPr>
          <w:rFonts w:ascii="Times" w:hAnsi="Times"/>
        </w:rPr>
        <w:t>, któr</w:t>
      </w:r>
      <w:r w:rsidR="00D9242C">
        <w:rPr>
          <w:rFonts w:ascii="Times" w:hAnsi="Times"/>
        </w:rPr>
        <w:t>e</w:t>
      </w:r>
      <w:r w:rsidRPr="00024DF1">
        <w:rPr>
          <w:rFonts w:ascii="Times" w:hAnsi="Times"/>
        </w:rPr>
        <w:t xml:space="preserve"> wchodz</w:t>
      </w:r>
      <w:r w:rsidR="00D9242C">
        <w:rPr>
          <w:rFonts w:ascii="Times" w:hAnsi="Times"/>
        </w:rPr>
        <w:t>ą</w:t>
      </w:r>
      <w:r w:rsidRPr="00024DF1">
        <w:rPr>
          <w:rFonts w:ascii="Times" w:hAnsi="Times"/>
        </w:rPr>
        <w:t xml:space="preserve"> w życie z dniem 1 czerwca 2025 r.,</w:t>
      </w:r>
    </w:p>
    <w:p w14:paraId="4A74AB46" w14:textId="6C7B50C4" w:rsidR="00024DF1" w:rsidRDefault="00024DF1" w:rsidP="00024DF1">
      <w:pPr>
        <w:jc w:val="both"/>
        <w:rPr>
          <w:rFonts w:ascii="Times" w:hAnsi="Times"/>
        </w:rPr>
      </w:pPr>
      <w:r w:rsidRPr="00024DF1">
        <w:rPr>
          <w:rFonts w:ascii="Times" w:hAnsi="Times"/>
        </w:rPr>
        <w:t>2)</w:t>
      </w:r>
      <w:r w:rsidRPr="00024DF1">
        <w:rPr>
          <w:rFonts w:ascii="Times" w:hAnsi="Times"/>
        </w:rPr>
        <w:tab/>
        <w:t xml:space="preserve">art. 1 pkt </w:t>
      </w:r>
      <w:r w:rsidR="00BF4168">
        <w:rPr>
          <w:rFonts w:ascii="Times" w:hAnsi="Times"/>
        </w:rPr>
        <w:t>9</w:t>
      </w:r>
      <w:r w:rsidR="004006FE">
        <w:rPr>
          <w:rFonts w:ascii="Times" w:hAnsi="Times"/>
        </w:rPr>
        <w:t xml:space="preserve"> i </w:t>
      </w:r>
      <w:r w:rsidR="00BF4168">
        <w:rPr>
          <w:rFonts w:ascii="Times" w:hAnsi="Times"/>
        </w:rPr>
        <w:t>10</w:t>
      </w:r>
      <w:r w:rsidRPr="00024DF1">
        <w:rPr>
          <w:rFonts w:ascii="Times" w:hAnsi="Times"/>
        </w:rPr>
        <w:t>, któr</w:t>
      </w:r>
      <w:r w:rsidR="00D9242C">
        <w:rPr>
          <w:rFonts w:ascii="Times" w:hAnsi="Times"/>
        </w:rPr>
        <w:t>e</w:t>
      </w:r>
      <w:r w:rsidRPr="00024DF1">
        <w:rPr>
          <w:rFonts w:ascii="Times" w:hAnsi="Times"/>
        </w:rPr>
        <w:t xml:space="preserve"> wchodz</w:t>
      </w:r>
      <w:r w:rsidR="00D9242C">
        <w:rPr>
          <w:rFonts w:ascii="Times" w:hAnsi="Times"/>
        </w:rPr>
        <w:t>ą</w:t>
      </w:r>
      <w:r w:rsidRPr="00024DF1">
        <w:rPr>
          <w:rFonts w:ascii="Times" w:hAnsi="Times"/>
        </w:rPr>
        <w:t xml:space="preserve"> w życie z dniem 1 marca 2025 r. </w:t>
      </w:r>
    </w:p>
    <w:p w14:paraId="2D930DEF" w14:textId="66CAE9CA" w:rsidR="00024DF1" w:rsidRDefault="00024DF1" w:rsidP="00024DF1">
      <w:pPr>
        <w:jc w:val="both"/>
        <w:rPr>
          <w:rFonts w:ascii="Times" w:hAnsi="Times"/>
        </w:rPr>
      </w:pPr>
      <w:r>
        <w:rPr>
          <w:rFonts w:ascii="Times" w:hAnsi="Times"/>
        </w:rPr>
        <w:t>Wskazanie późniejszych terminów wejścia w życie art. 1 pkt 2</w:t>
      </w:r>
      <w:r w:rsidR="001E53E1">
        <w:rPr>
          <w:rFonts w:ascii="Times" w:hAnsi="Times"/>
        </w:rPr>
        <w:t xml:space="preserve"> i </w:t>
      </w:r>
      <w:r>
        <w:rPr>
          <w:rFonts w:ascii="Times" w:hAnsi="Times"/>
        </w:rPr>
        <w:t>4</w:t>
      </w:r>
      <w:r w:rsidR="00FA45DE">
        <w:rPr>
          <w:rFonts w:eastAsia="Times" w:cs="Times"/>
          <w:szCs w:val="24"/>
        </w:rPr>
        <w:t>–</w:t>
      </w:r>
      <w:r w:rsidR="002D0F52">
        <w:rPr>
          <w:rFonts w:ascii="Times" w:hAnsi="Times"/>
        </w:rPr>
        <w:t xml:space="preserve">7 </w:t>
      </w:r>
      <w:r>
        <w:rPr>
          <w:rFonts w:ascii="Times" w:hAnsi="Times"/>
        </w:rPr>
        <w:t xml:space="preserve">i pkt </w:t>
      </w:r>
      <w:r w:rsidR="002D0F52">
        <w:rPr>
          <w:rFonts w:ascii="Times" w:hAnsi="Times"/>
        </w:rPr>
        <w:t xml:space="preserve">9 </w:t>
      </w:r>
      <w:r w:rsidR="00FC6C1F">
        <w:rPr>
          <w:rFonts w:ascii="Times" w:hAnsi="Times"/>
        </w:rPr>
        <w:t xml:space="preserve">i </w:t>
      </w:r>
      <w:r w:rsidR="002D0F52">
        <w:rPr>
          <w:rFonts w:ascii="Times" w:hAnsi="Times"/>
        </w:rPr>
        <w:t xml:space="preserve">10 </w:t>
      </w:r>
      <w:r>
        <w:rPr>
          <w:rFonts w:ascii="Times" w:hAnsi="Times"/>
        </w:rPr>
        <w:t xml:space="preserve">jest podyktowane koniecznością dostosowania rozwiązań technicznych </w:t>
      </w:r>
      <w:r w:rsidR="00B61E01">
        <w:rPr>
          <w:rFonts w:ascii="Times" w:hAnsi="Times"/>
        </w:rPr>
        <w:t xml:space="preserve">umożliwiających stosowanie wskazanych norm prawnych. </w:t>
      </w:r>
    </w:p>
    <w:p w14:paraId="77E481CA" w14:textId="3E2EBBA8" w:rsidR="006551EB" w:rsidRPr="00821CD4" w:rsidRDefault="006551EB" w:rsidP="00FE01DE">
      <w:pPr>
        <w:jc w:val="both"/>
        <w:rPr>
          <w:rFonts w:ascii="Times" w:hAnsi="Times"/>
        </w:rPr>
      </w:pPr>
      <w:r w:rsidRPr="00821CD4">
        <w:rPr>
          <w:rFonts w:ascii="Times" w:hAnsi="Times"/>
        </w:rPr>
        <w:t>Projektowane przepisy zostały przeanalizowane pod kątem wpływu na małe i średnie przedsiębiorstwa. Regulacje zawarte w projekcie będą miały pośredni (pozytywny) wpływ na działalność mikro</w:t>
      </w:r>
      <w:r w:rsidR="009F4659">
        <w:rPr>
          <w:rFonts w:ascii="Times" w:hAnsi="Times"/>
        </w:rPr>
        <w:t>-</w:t>
      </w:r>
      <w:r>
        <w:rPr>
          <w:rFonts w:ascii="Times" w:hAnsi="Times"/>
        </w:rPr>
        <w:t xml:space="preserve"> </w:t>
      </w:r>
      <w:r w:rsidRPr="00821CD4">
        <w:rPr>
          <w:rFonts w:ascii="Times" w:hAnsi="Times"/>
        </w:rPr>
        <w:t>przedsiębiorców oraz małych i średnich przedsiębiorców, gdyż stworzą nowe możliwości komunikacji elektronicznej z podmiotami publicznymi. Uporządkują też dotychczasowe procedury w tym zakresie oraz mogą ograniczyć koszty i zaoszczędzić czas podczas tego typu komunikacji oraz w ramach prowadzonych z udziałem tych przedsiębiorców postępowań administracyjnych.</w:t>
      </w:r>
    </w:p>
    <w:p w14:paraId="14540A50" w14:textId="1177D6F5" w:rsidR="006551EB" w:rsidRPr="00821CD4" w:rsidRDefault="006551EB" w:rsidP="00FE01DE">
      <w:pPr>
        <w:jc w:val="both"/>
        <w:rPr>
          <w:rFonts w:ascii="Times" w:hAnsi="Times"/>
        </w:rPr>
      </w:pPr>
      <w:r w:rsidRPr="00821CD4">
        <w:rPr>
          <w:rFonts w:ascii="Times" w:hAnsi="Times"/>
        </w:rPr>
        <w:t>Projekt ustawy nie zawiera przepisów technicznych i w związku z tym nie podlega procedurz</w:t>
      </w:r>
      <w:r>
        <w:rPr>
          <w:rFonts w:ascii="Times" w:hAnsi="Times"/>
        </w:rPr>
        <w:t xml:space="preserve">e </w:t>
      </w:r>
      <w:r w:rsidRPr="00821CD4">
        <w:rPr>
          <w:rFonts w:ascii="Times" w:hAnsi="Times"/>
        </w:rPr>
        <w:t>notyfikacji w rozumieniu przepisów rozporządzenia Rady Ministrów z dnia 23 grudnia 2002 r. w sprawie sposobu funkcjonowania krajowego systemu notyfikacji norm i aktów prawnych</w:t>
      </w:r>
      <w:r w:rsidR="00D80DF6">
        <w:rPr>
          <w:rFonts w:ascii="Times" w:hAnsi="Times"/>
        </w:rPr>
        <w:t xml:space="preserve"> (Dz. U. </w:t>
      </w:r>
      <w:r w:rsidR="00B80270">
        <w:rPr>
          <w:rFonts w:ascii="Times" w:hAnsi="Times"/>
        </w:rPr>
        <w:t>z</w:t>
      </w:r>
      <w:r w:rsidR="00B80270">
        <w:t xml:space="preserve"> </w:t>
      </w:r>
      <w:r w:rsidR="00B80270" w:rsidRPr="00B80270">
        <w:rPr>
          <w:rFonts w:ascii="Times" w:hAnsi="Times"/>
        </w:rPr>
        <w:t>2002</w:t>
      </w:r>
      <w:r w:rsidR="00FA45DE">
        <w:rPr>
          <w:rFonts w:ascii="Times" w:hAnsi="Times"/>
        </w:rPr>
        <w:t xml:space="preserve"> r.</w:t>
      </w:r>
      <w:r w:rsidR="00B80270" w:rsidRPr="00B80270">
        <w:rPr>
          <w:rFonts w:ascii="Times" w:hAnsi="Times"/>
        </w:rPr>
        <w:t xml:space="preserve"> poz. 2039</w:t>
      </w:r>
      <w:r w:rsidR="00C66D52">
        <w:rPr>
          <w:rFonts w:ascii="Times" w:hAnsi="Times"/>
        </w:rPr>
        <w:t xml:space="preserve"> oraz z 2004 r. poz. 597</w:t>
      </w:r>
      <w:r w:rsidR="00B80270">
        <w:rPr>
          <w:rFonts w:ascii="Times" w:hAnsi="Times"/>
        </w:rPr>
        <w:t>)</w:t>
      </w:r>
      <w:r w:rsidRPr="00821CD4">
        <w:rPr>
          <w:rFonts w:ascii="Times" w:hAnsi="Times"/>
        </w:rPr>
        <w:t>.</w:t>
      </w:r>
    </w:p>
    <w:p w14:paraId="771C5023" w14:textId="2D061B4C" w:rsidR="006551EB" w:rsidRPr="00821CD4" w:rsidRDefault="006551EB" w:rsidP="00FE01DE">
      <w:pPr>
        <w:keepNext/>
        <w:jc w:val="both"/>
        <w:rPr>
          <w:rFonts w:ascii="Times" w:hAnsi="Times"/>
        </w:rPr>
      </w:pPr>
      <w:r w:rsidRPr="00821CD4">
        <w:rPr>
          <w:rFonts w:ascii="Times" w:hAnsi="Times"/>
        </w:rPr>
        <w:t>Stosownie do postanowień art. 5 ustawy z dnia 7 lipca 2005 r. o działalności lobbingowej w procesie stanowienia prawa</w:t>
      </w:r>
      <w:r w:rsidR="00D5346F">
        <w:rPr>
          <w:rFonts w:ascii="Times" w:hAnsi="Times"/>
        </w:rPr>
        <w:t xml:space="preserve"> (Dz. U. z 2017 r. poz. 248</w:t>
      </w:r>
      <w:r w:rsidR="00C66D52">
        <w:rPr>
          <w:rFonts w:ascii="Times" w:hAnsi="Times"/>
        </w:rPr>
        <w:t xml:space="preserve"> oraz z 2024 r. poz. 1535</w:t>
      </w:r>
      <w:r w:rsidR="00D5346F">
        <w:rPr>
          <w:rFonts w:ascii="Times" w:hAnsi="Times"/>
        </w:rPr>
        <w:t>)</w:t>
      </w:r>
      <w:r w:rsidRPr="00821CD4">
        <w:rPr>
          <w:rFonts w:ascii="Times" w:hAnsi="Times"/>
        </w:rPr>
        <w:t xml:space="preserve">, projekt został udostępniony w Biuletynie Informacji Publicznej na stronie podmiotowej Ministra Cyfryzacji. Ponadto zgodnie z § 52 ust. 1 uchwały </w:t>
      </w:r>
      <w:r w:rsidR="00D5346F">
        <w:rPr>
          <w:rFonts w:ascii="Times" w:hAnsi="Times"/>
        </w:rPr>
        <w:t>n</w:t>
      </w:r>
      <w:r w:rsidRPr="00821CD4">
        <w:rPr>
          <w:rFonts w:ascii="Times" w:hAnsi="Times"/>
        </w:rPr>
        <w:t>r 190 Rady Ministrów z dnia 29 października 2013 r. – Regulamin pracy Rady Ministrów</w:t>
      </w:r>
      <w:r w:rsidR="00D80DF6">
        <w:rPr>
          <w:rFonts w:ascii="Times" w:hAnsi="Times"/>
        </w:rPr>
        <w:t xml:space="preserve"> (M.P.</w:t>
      </w:r>
      <w:r w:rsidR="005A5577">
        <w:rPr>
          <w:rFonts w:ascii="Times" w:hAnsi="Times"/>
        </w:rPr>
        <w:t> </w:t>
      </w:r>
      <w:r w:rsidR="00D80DF6">
        <w:rPr>
          <w:rFonts w:ascii="Times" w:hAnsi="Times"/>
        </w:rPr>
        <w:t>z</w:t>
      </w:r>
      <w:r w:rsidR="005A5577">
        <w:rPr>
          <w:rFonts w:ascii="Times" w:hAnsi="Times"/>
        </w:rPr>
        <w:t> </w:t>
      </w:r>
      <w:r w:rsidR="00794DD8">
        <w:rPr>
          <w:rFonts w:ascii="Times" w:hAnsi="Times"/>
        </w:rPr>
        <w:t>2024 r. poz. 806</w:t>
      </w:r>
      <w:r w:rsidR="00D80DF6">
        <w:rPr>
          <w:rFonts w:ascii="Times" w:hAnsi="Times"/>
        </w:rPr>
        <w:t>)</w:t>
      </w:r>
      <w:r w:rsidRPr="00821CD4">
        <w:rPr>
          <w:rFonts w:ascii="Times" w:hAnsi="Times"/>
        </w:rPr>
        <w:t>, został udostępniony w Biuletynie Informacji Publicznej na stronie podmiotowej Rządowego Centrum Legislacji w zakładce Rządowy Proces Legislacyjny.</w:t>
      </w:r>
    </w:p>
    <w:p w14:paraId="143B4DF2" w14:textId="77777777" w:rsidR="006551EB" w:rsidRPr="00821CD4" w:rsidRDefault="006551EB" w:rsidP="00FE01DE">
      <w:pPr>
        <w:keepNext/>
        <w:jc w:val="both"/>
        <w:rPr>
          <w:rFonts w:ascii="Times" w:hAnsi="Times"/>
        </w:rPr>
      </w:pPr>
      <w:r w:rsidRPr="00821CD4">
        <w:rPr>
          <w:rFonts w:ascii="Times" w:hAnsi="Times"/>
        </w:rPr>
        <w:t>Projektowane regulacje nie stoją w sprzeczności z prawem Unii Europejskiej.</w:t>
      </w:r>
    </w:p>
    <w:p w14:paraId="422A00E0" w14:textId="451D39FA" w:rsidR="00A765F0" w:rsidRDefault="006551EB" w:rsidP="006551EB">
      <w:pPr>
        <w:keepNext/>
        <w:jc w:val="both"/>
        <w:rPr>
          <w:rFonts w:ascii="Times" w:hAnsi="Times"/>
        </w:rPr>
      </w:pPr>
      <w:r w:rsidRPr="00821CD4">
        <w:rPr>
          <w:rFonts w:ascii="Times" w:hAnsi="Times"/>
        </w:rPr>
        <w:t>Projekt nie wymaga zasięgnięcia opinii, dokonania konsultacji oraz uzgodnienia z właściwymi organami i instytucjami Unii Europejskiej, w tym Europejskim Bankiem Centralny</w:t>
      </w:r>
      <w:r>
        <w:rPr>
          <w:rFonts w:ascii="Times" w:hAnsi="Times"/>
        </w:rPr>
        <w:t>m.</w:t>
      </w:r>
    </w:p>
    <w:p w14:paraId="4FE219FE" w14:textId="77777777" w:rsidR="001E3313" w:rsidRPr="00737F6A" w:rsidRDefault="001E3313" w:rsidP="006E4F65">
      <w:pPr>
        <w:pStyle w:val="USTustnpkodeksu"/>
        <w:ind w:firstLine="0"/>
      </w:pPr>
    </w:p>
    <w:sectPr w:rsidR="001E3313" w:rsidRPr="00737F6A" w:rsidSect="00657A27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4CEF" w14:textId="77777777" w:rsidR="00F36BEC" w:rsidRDefault="00F36BEC" w:rsidP="00F3185A">
      <w:pPr>
        <w:spacing w:line="240" w:lineRule="auto"/>
      </w:pPr>
      <w:r>
        <w:separator/>
      </w:r>
    </w:p>
  </w:endnote>
  <w:endnote w:type="continuationSeparator" w:id="0">
    <w:p w14:paraId="71370934" w14:textId="77777777" w:rsidR="00F36BEC" w:rsidRDefault="00F36BEC" w:rsidP="00F3185A">
      <w:pPr>
        <w:spacing w:line="240" w:lineRule="auto"/>
      </w:pPr>
      <w:r>
        <w:continuationSeparator/>
      </w:r>
    </w:p>
  </w:endnote>
  <w:endnote w:type="continuationNotice" w:id="1">
    <w:p w14:paraId="45253442" w14:textId="77777777" w:rsidR="00F36BEC" w:rsidRDefault="00F36BEC" w:rsidP="00F318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651745"/>
      <w:docPartObj>
        <w:docPartGallery w:val="Page Numbers (Bottom of Page)"/>
        <w:docPartUnique/>
      </w:docPartObj>
    </w:sdtPr>
    <w:sdtEndPr/>
    <w:sdtContent>
      <w:p w14:paraId="5FB01ABC" w14:textId="0B542819" w:rsidR="00176008" w:rsidRDefault="001760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091A2E" w14:textId="77777777" w:rsidR="00176008" w:rsidRDefault="00176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07DC" w14:textId="77777777" w:rsidR="00F36BEC" w:rsidRDefault="00F36BEC" w:rsidP="00F3185A">
      <w:pPr>
        <w:spacing w:line="240" w:lineRule="auto"/>
      </w:pPr>
      <w:r>
        <w:separator/>
      </w:r>
    </w:p>
  </w:footnote>
  <w:footnote w:type="continuationSeparator" w:id="0">
    <w:p w14:paraId="6F571EA4" w14:textId="77777777" w:rsidR="00F36BEC" w:rsidRDefault="00F36BEC" w:rsidP="00F3185A">
      <w:pPr>
        <w:spacing w:line="240" w:lineRule="auto"/>
      </w:pPr>
      <w:r>
        <w:continuationSeparator/>
      </w:r>
    </w:p>
  </w:footnote>
  <w:footnote w:type="continuationNotice" w:id="1">
    <w:p w14:paraId="2AE4D755" w14:textId="77777777" w:rsidR="00F36BEC" w:rsidRDefault="00F36BEC" w:rsidP="00F3185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C75"/>
    <w:multiLevelType w:val="hybridMultilevel"/>
    <w:tmpl w:val="D2C0C31A"/>
    <w:lvl w:ilvl="0" w:tplc="1DC0C0C4">
      <w:start w:val="4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8F95EB7"/>
    <w:multiLevelType w:val="hybridMultilevel"/>
    <w:tmpl w:val="C3C62C3C"/>
    <w:lvl w:ilvl="0" w:tplc="32B81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E4DA2"/>
    <w:multiLevelType w:val="hybridMultilevel"/>
    <w:tmpl w:val="E906509C"/>
    <w:lvl w:ilvl="0" w:tplc="F612D422">
      <w:start w:val="4"/>
      <w:numFmt w:val="decimal"/>
      <w:lvlText w:val="%1)"/>
      <w:lvlJc w:val="left"/>
      <w:pPr>
        <w:ind w:left="720" w:hanging="360"/>
      </w:pPr>
    </w:lvl>
    <w:lvl w:ilvl="1" w:tplc="CB76F1D6">
      <w:start w:val="1"/>
      <w:numFmt w:val="lowerLetter"/>
      <w:lvlText w:val="%2."/>
      <w:lvlJc w:val="left"/>
      <w:pPr>
        <w:ind w:left="1440" w:hanging="360"/>
      </w:pPr>
    </w:lvl>
    <w:lvl w:ilvl="2" w:tplc="41C2FC02">
      <w:start w:val="1"/>
      <w:numFmt w:val="lowerRoman"/>
      <w:lvlText w:val="%3."/>
      <w:lvlJc w:val="right"/>
      <w:pPr>
        <w:ind w:left="2160" w:hanging="180"/>
      </w:pPr>
    </w:lvl>
    <w:lvl w:ilvl="3" w:tplc="6F5214D6">
      <w:start w:val="1"/>
      <w:numFmt w:val="decimal"/>
      <w:lvlText w:val="%4."/>
      <w:lvlJc w:val="left"/>
      <w:pPr>
        <w:ind w:left="2880" w:hanging="360"/>
      </w:pPr>
    </w:lvl>
    <w:lvl w:ilvl="4" w:tplc="C450EACE">
      <w:start w:val="1"/>
      <w:numFmt w:val="lowerLetter"/>
      <w:lvlText w:val="%5."/>
      <w:lvlJc w:val="left"/>
      <w:pPr>
        <w:ind w:left="3600" w:hanging="360"/>
      </w:pPr>
    </w:lvl>
    <w:lvl w:ilvl="5" w:tplc="79505866">
      <w:start w:val="1"/>
      <w:numFmt w:val="lowerRoman"/>
      <w:lvlText w:val="%6."/>
      <w:lvlJc w:val="right"/>
      <w:pPr>
        <w:ind w:left="4320" w:hanging="180"/>
      </w:pPr>
    </w:lvl>
    <w:lvl w:ilvl="6" w:tplc="AA88B2A6">
      <w:start w:val="1"/>
      <w:numFmt w:val="decimal"/>
      <w:lvlText w:val="%7."/>
      <w:lvlJc w:val="left"/>
      <w:pPr>
        <w:ind w:left="5040" w:hanging="360"/>
      </w:pPr>
    </w:lvl>
    <w:lvl w:ilvl="7" w:tplc="13D2D8E2">
      <w:start w:val="1"/>
      <w:numFmt w:val="lowerLetter"/>
      <w:lvlText w:val="%8."/>
      <w:lvlJc w:val="left"/>
      <w:pPr>
        <w:ind w:left="5760" w:hanging="360"/>
      </w:pPr>
    </w:lvl>
    <w:lvl w:ilvl="8" w:tplc="DA42BD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C20D"/>
    <w:multiLevelType w:val="hybridMultilevel"/>
    <w:tmpl w:val="55808070"/>
    <w:lvl w:ilvl="0" w:tplc="BAF4A86C">
      <w:start w:val="1"/>
      <w:numFmt w:val="decimal"/>
      <w:lvlText w:val="%1)"/>
      <w:lvlJc w:val="left"/>
      <w:pPr>
        <w:ind w:left="720" w:hanging="360"/>
      </w:pPr>
    </w:lvl>
    <w:lvl w:ilvl="1" w:tplc="AB205DD6">
      <w:start w:val="1"/>
      <w:numFmt w:val="lowerLetter"/>
      <w:lvlText w:val="%2."/>
      <w:lvlJc w:val="left"/>
      <w:pPr>
        <w:ind w:left="1440" w:hanging="360"/>
      </w:pPr>
    </w:lvl>
    <w:lvl w:ilvl="2" w:tplc="5AF60F20">
      <w:start w:val="1"/>
      <w:numFmt w:val="lowerRoman"/>
      <w:lvlText w:val="%3."/>
      <w:lvlJc w:val="right"/>
      <w:pPr>
        <w:ind w:left="2160" w:hanging="180"/>
      </w:pPr>
    </w:lvl>
    <w:lvl w:ilvl="3" w:tplc="B31E0AAC">
      <w:start w:val="1"/>
      <w:numFmt w:val="decimal"/>
      <w:lvlText w:val="%4."/>
      <w:lvlJc w:val="left"/>
      <w:pPr>
        <w:ind w:left="2880" w:hanging="360"/>
      </w:pPr>
    </w:lvl>
    <w:lvl w:ilvl="4" w:tplc="AB960CC8">
      <w:start w:val="1"/>
      <w:numFmt w:val="lowerLetter"/>
      <w:lvlText w:val="%5."/>
      <w:lvlJc w:val="left"/>
      <w:pPr>
        <w:ind w:left="3600" w:hanging="360"/>
      </w:pPr>
    </w:lvl>
    <w:lvl w:ilvl="5" w:tplc="8EFC0470">
      <w:start w:val="1"/>
      <w:numFmt w:val="lowerRoman"/>
      <w:lvlText w:val="%6."/>
      <w:lvlJc w:val="right"/>
      <w:pPr>
        <w:ind w:left="4320" w:hanging="180"/>
      </w:pPr>
    </w:lvl>
    <w:lvl w:ilvl="6" w:tplc="B3C63584">
      <w:start w:val="1"/>
      <w:numFmt w:val="decimal"/>
      <w:lvlText w:val="%7."/>
      <w:lvlJc w:val="left"/>
      <w:pPr>
        <w:ind w:left="5040" w:hanging="360"/>
      </w:pPr>
    </w:lvl>
    <w:lvl w:ilvl="7" w:tplc="60AC25A4">
      <w:start w:val="1"/>
      <w:numFmt w:val="lowerLetter"/>
      <w:lvlText w:val="%8."/>
      <w:lvlJc w:val="left"/>
      <w:pPr>
        <w:ind w:left="5760" w:hanging="360"/>
      </w:pPr>
    </w:lvl>
    <w:lvl w:ilvl="8" w:tplc="751AE0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820"/>
    <w:multiLevelType w:val="hybridMultilevel"/>
    <w:tmpl w:val="B29224A0"/>
    <w:lvl w:ilvl="0" w:tplc="A2A2A670">
      <w:start w:val="4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261F7178"/>
    <w:multiLevelType w:val="hybridMultilevel"/>
    <w:tmpl w:val="4D620220"/>
    <w:lvl w:ilvl="0" w:tplc="FAA897AA">
      <w:start w:val="3"/>
      <w:numFmt w:val="decimal"/>
      <w:lvlText w:val="%1)"/>
      <w:lvlJc w:val="left"/>
      <w:pPr>
        <w:ind w:left="720" w:hanging="360"/>
      </w:pPr>
    </w:lvl>
    <w:lvl w:ilvl="1" w:tplc="CE4A8D7E">
      <w:start w:val="1"/>
      <w:numFmt w:val="lowerLetter"/>
      <w:lvlText w:val="%2."/>
      <w:lvlJc w:val="left"/>
      <w:pPr>
        <w:ind w:left="1440" w:hanging="360"/>
      </w:pPr>
    </w:lvl>
    <w:lvl w:ilvl="2" w:tplc="96049588">
      <w:start w:val="1"/>
      <w:numFmt w:val="lowerRoman"/>
      <w:lvlText w:val="%3."/>
      <w:lvlJc w:val="right"/>
      <w:pPr>
        <w:ind w:left="2160" w:hanging="180"/>
      </w:pPr>
    </w:lvl>
    <w:lvl w:ilvl="3" w:tplc="269A4B2A">
      <w:start w:val="1"/>
      <w:numFmt w:val="decimal"/>
      <w:lvlText w:val="%4."/>
      <w:lvlJc w:val="left"/>
      <w:pPr>
        <w:ind w:left="2880" w:hanging="360"/>
      </w:pPr>
    </w:lvl>
    <w:lvl w:ilvl="4" w:tplc="0C127276">
      <w:start w:val="1"/>
      <w:numFmt w:val="lowerLetter"/>
      <w:lvlText w:val="%5."/>
      <w:lvlJc w:val="left"/>
      <w:pPr>
        <w:ind w:left="3600" w:hanging="360"/>
      </w:pPr>
    </w:lvl>
    <w:lvl w:ilvl="5" w:tplc="98BA7CEE">
      <w:start w:val="1"/>
      <w:numFmt w:val="lowerRoman"/>
      <w:lvlText w:val="%6."/>
      <w:lvlJc w:val="right"/>
      <w:pPr>
        <w:ind w:left="4320" w:hanging="180"/>
      </w:pPr>
    </w:lvl>
    <w:lvl w:ilvl="6" w:tplc="46EE6DF6">
      <w:start w:val="1"/>
      <w:numFmt w:val="decimal"/>
      <w:lvlText w:val="%7."/>
      <w:lvlJc w:val="left"/>
      <w:pPr>
        <w:ind w:left="5040" w:hanging="360"/>
      </w:pPr>
    </w:lvl>
    <w:lvl w:ilvl="7" w:tplc="EB443CB6">
      <w:start w:val="1"/>
      <w:numFmt w:val="lowerLetter"/>
      <w:lvlText w:val="%8."/>
      <w:lvlJc w:val="left"/>
      <w:pPr>
        <w:ind w:left="5760" w:hanging="360"/>
      </w:pPr>
    </w:lvl>
    <w:lvl w:ilvl="8" w:tplc="79227C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22417"/>
    <w:multiLevelType w:val="hybridMultilevel"/>
    <w:tmpl w:val="35B4C530"/>
    <w:lvl w:ilvl="0" w:tplc="642C85EA">
      <w:start w:val="2"/>
      <w:numFmt w:val="decimal"/>
      <w:lvlText w:val="%1)"/>
      <w:lvlJc w:val="left"/>
      <w:pPr>
        <w:ind w:left="720" w:hanging="360"/>
      </w:pPr>
    </w:lvl>
    <w:lvl w:ilvl="1" w:tplc="EAEE4AA2">
      <w:start w:val="1"/>
      <w:numFmt w:val="lowerLetter"/>
      <w:lvlText w:val="%2."/>
      <w:lvlJc w:val="left"/>
      <w:pPr>
        <w:ind w:left="1440" w:hanging="360"/>
      </w:pPr>
    </w:lvl>
    <w:lvl w:ilvl="2" w:tplc="84F4FFC6">
      <w:start w:val="1"/>
      <w:numFmt w:val="lowerRoman"/>
      <w:lvlText w:val="%3."/>
      <w:lvlJc w:val="right"/>
      <w:pPr>
        <w:ind w:left="2160" w:hanging="180"/>
      </w:pPr>
    </w:lvl>
    <w:lvl w:ilvl="3" w:tplc="108E5D62">
      <w:start w:val="1"/>
      <w:numFmt w:val="decimal"/>
      <w:lvlText w:val="%4."/>
      <w:lvlJc w:val="left"/>
      <w:pPr>
        <w:ind w:left="2880" w:hanging="360"/>
      </w:pPr>
    </w:lvl>
    <w:lvl w:ilvl="4" w:tplc="D1F676FE">
      <w:start w:val="1"/>
      <w:numFmt w:val="lowerLetter"/>
      <w:lvlText w:val="%5."/>
      <w:lvlJc w:val="left"/>
      <w:pPr>
        <w:ind w:left="3600" w:hanging="360"/>
      </w:pPr>
    </w:lvl>
    <w:lvl w:ilvl="5" w:tplc="9022F3E4">
      <w:start w:val="1"/>
      <w:numFmt w:val="lowerRoman"/>
      <w:lvlText w:val="%6."/>
      <w:lvlJc w:val="right"/>
      <w:pPr>
        <w:ind w:left="4320" w:hanging="180"/>
      </w:pPr>
    </w:lvl>
    <w:lvl w:ilvl="6" w:tplc="27765D62">
      <w:start w:val="1"/>
      <w:numFmt w:val="decimal"/>
      <w:lvlText w:val="%7."/>
      <w:lvlJc w:val="left"/>
      <w:pPr>
        <w:ind w:left="5040" w:hanging="360"/>
      </w:pPr>
    </w:lvl>
    <w:lvl w:ilvl="7" w:tplc="03006656">
      <w:start w:val="1"/>
      <w:numFmt w:val="lowerLetter"/>
      <w:lvlText w:val="%8."/>
      <w:lvlJc w:val="left"/>
      <w:pPr>
        <w:ind w:left="5760" w:hanging="360"/>
      </w:pPr>
    </w:lvl>
    <w:lvl w:ilvl="8" w:tplc="5B9010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C21E9"/>
    <w:multiLevelType w:val="hybridMultilevel"/>
    <w:tmpl w:val="5AC22B80"/>
    <w:lvl w:ilvl="0" w:tplc="A4C0C48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F8F6990"/>
    <w:multiLevelType w:val="hybridMultilevel"/>
    <w:tmpl w:val="331874B4"/>
    <w:lvl w:ilvl="0" w:tplc="C828593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53314011"/>
    <w:multiLevelType w:val="hybridMultilevel"/>
    <w:tmpl w:val="A746C770"/>
    <w:lvl w:ilvl="0" w:tplc="1AB4BD56">
      <w:start w:val="3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569D269A"/>
    <w:multiLevelType w:val="hybridMultilevel"/>
    <w:tmpl w:val="3384AD00"/>
    <w:lvl w:ilvl="0" w:tplc="50F09CA0">
      <w:start w:val="2"/>
      <w:numFmt w:val="decimal"/>
      <w:lvlText w:val="%1)"/>
      <w:lvlJc w:val="left"/>
      <w:pPr>
        <w:ind w:left="720" w:hanging="360"/>
      </w:pPr>
    </w:lvl>
    <w:lvl w:ilvl="1" w:tplc="1632F476">
      <w:start w:val="1"/>
      <w:numFmt w:val="lowerLetter"/>
      <w:lvlText w:val="%2."/>
      <w:lvlJc w:val="left"/>
      <w:pPr>
        <w:ind w:left="1440" w:hanging="360"/>
      </w:pPr>
    </w:lvl>
    <w:lvl w:ilvl="2" w:tplc="E7F8D0DC">
      <w:start w:val="1"/>
      <w:numFmt w:val="lowerRoman"/>
      <w:lvlText w:val="%3."/>
      <w:lvlJc w:val="right"/>
      <w:pPr>
        <w:ind w:left="2160" w:hanging="180"/>
      </w:pPr>
    </w:lvl>
    <w:lvl w:ilvl="3" w:tplc="1E2A98F4">
      <w:start w:val="1"/>
      <w:numFmt w:val="decimal"/>
      <w:lvlText w:val="%4."/>
      <w:lvlJc w:val="left"/>
      <w:pPr>
        <w:ind w:left="2880" w:hanging="360"/>
      </w:pPr>
    </w:lvl>
    <w:lvl w:ilvl="4" w:tplc="56E0232A">
      <w:start w:val="1"/>
      <w:numFmt w:val="lowerLetter"/>
      <w:lvlText w:val="%5."/>
      <w:lvlJc w:val="left"/>
      <w:pPr>
        <w:ind w:left="3600" w:hanging="360"/>
      </w:pPr>
    </w:lvl>
    <w:lvl w:ilvl="5" w:tplc="5E16FD02">
      <w:start w:val="1"/>
      <w:numFmt w:val="lowerRoman"/>
      <w:lvlText w:val="%6."/>
      <w:lvlJc w:val="right"/>
      <w:pPr>
        <w:ind w:left="4320" w:hanging="180"/>
      </w:pPr>
    </w:lvl>
    <w:lvl w:ilvl="6" w:tplc="C1D6E804">
      <w:start w:val="1"/>
      <w:numFmt w:val="decimal"/>
      <w:lvlText w:val="%7."/>
      <w:lvlJc w:val="left"/>
      <w:pPr>
        <w:ind w:left="5040" w:hanging="360"/>
      </w:pPr>
    </w:lvl>
    <w:lvl w:ilvl="7" w:tplc="721281D6">
      <w:start w:val="1"/>
      <w:numFmt w:val="lowerLetter"/>
      <w:lvlText w:val="%8."/>
      <w:lvlJc w:val="left"/>
      <w:pPr>
        <w:ind w:left="5760" w:hanging="360"/>
      </w:pPr>
    </w:lvl>
    <w:lvl w:ilvl="8" w:tplc="883000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21AEE"/>
    <w:multiLevelType w:val="hybridMultilevel"/>
    <w:tmpl w:val="BC744FDA"/>
    <w:lvl w:ilvl="0" w:tplc="2D46655A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5D944BFC"/>
    <w:multiLevelType w:val="hybridMultilevel"/>
    <w:tmpl w:val="4DD8B83E"/>
    <w:lvl w:ilvl="0" w:tplc="0B08760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60850CB4"/>
    <w:multiLevelType w:val="hybridMultilevel"/>
    <w:tmpl w:val="9D66C73E"/>
    <w:lvl w:ilvl="0" w:tplc="FD649EF4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6A9D47F3"/>
    <w:multiLevelType w:val="hybridMultilevel"/>
    <w:tmpl w:val="E76EE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BB040"/>
    <w:multiLevelType w:val="hybridMultilevel"/>
    <w:tmpl w:val="94D64A58"/>
    <w:lvl w:ilvl="0" w:tplc="9C3AF39C">
      <w:start w:val="1"/>
      <w:numFmt w:val="decimal"/>
      <w:lvlText w:val="%1)"/>
      <w:lvlJc w:val="left"/>
      <w:pPr>
        <w:ind w:left="720" w:hanging="360"/>
      </w:pPr>
    </w:lvl>
    <w:lvl w:ilvl="1" w:tplc="35C098B8">
      <w:start w:val="1"/>
      <w:numFmt w:val="lowerLetter"/>
      <w:lvlText w:val="%2."/>
      <w:lvlJc w:val="left"/>
      <w:pPr>
        <w:ind w:left="1440" w:hanging="360"/>
      </w:pPr>
    </w:lvl>
    <w:lvl w:ilvl="2" w:tplc="4CBC45AA">
      <w:start w:val="1"/>
      <w:numFmt w:val="lowerRoman"/>
      <w:lvlText w:val="%3."/>
      <w:lvlJc w:val="right"/>
      <w:pPr>
        <w:ind w:left="2160" w:hanging="180"/>
      </w:pPr>
    </w:lvl>
    <w:lvl w:ilvl="3" w:tplc="FAB4770A">
      <w:start w:val="1"/>
      <w:numFmt w:val="decimal"/>
      <w:lvlText w:val="%4."/>
      <w:lvlJc w:val="left"/>
      <w:pPr>
        <w:ind w:left="2880" w:hanging="360"/>
      </w:pPr>
    </w:lvl>
    <w:lvl w:ilvl="4" w:tplc="432439D0">
      <w:start w:val="1"/>
      <w:numFmt w:val="lowerLetter"/>
      <w:lvlText w:val="%5."/>
      <w:lvlJc w:val="left"/>
      <w:pPr>
        <w:ind w:left="3600" w:hanging="360"/>
      </w:pPr>
    </w:lvl>
    <w:lvl w:ilvl="5" w:tplc="72F0BE7E">
      <w:start w:val="1"/>
      <w:numFmt w:val="lowerRoman"/>
      <w:lvlText w:val="%6."/>
      <w:lvlJc w:val="right"/>
      <w:pPr>
        <w:ind w:left="4320" w:hanging="180"/>
      </w:pPr>
    </w:lvl>
    <w:lvl w:ilvl="6" w:tplc="576E7ED2">
      <w:start w:val="1"/>
      <w:numFmt w:val="decimal"/>
      <w:lvlText w:val="%7."/>
      <w:lvlJc w:val="left"/>
      <w:pPr>
        <w:ind w:left="5040" w:hanging="360"/>
      </w:pPr>
    </w:lvl>
    <w:lvl w:ilvl="7" w:tplc="A158253A">
      <w:start w:val="1"/>
      <w:numFmt w:val="lowerLetter"/>
      <w:lvlText w:val="%8."/>
      <w:lvlJc w:val="left"/>
      <w:pPr>
        <w:ind w:left="5760" w:hanging="360"/>
      </w:pPr>
    </w:lvl>
    <w:lvl w:ilvl="8" w:tplc="A4B2C6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15"/>
  </w:num>
  <w:num w:numId="9">
    <w:abstractNumId w:val="1"/>
  </w:num>
  <w:num w:numId="10">
    <w:abstractNumId w:val="14"/>
  </w:num>
  <w:num w:numId="11">
    <w:abstractNumId w:val="12"/>
  </w:num>
  <w:num w:numId="12">
    <w:abstractNumId w:val="10"/>
  </w:num>
  <w:num w:numId="13">
    <w:abstractNumId w:val="0"/>
  </w:num>
  <w:num w:numId="14">
    <w:abstractNumId w:val="4"/>
  </w:num>
  <w:num w:numId="15">
    <w:abstractNumId w:val="9"/>
  </w:num>
  <w:num w:numId="16">
    <w:abstractNumId w:val="13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47"/>
    <w:rsid w:val="000012DA"/>
    <w:rsid w:val="0000246E"/>
    <w:rsid w:val="000025CA"/>
    <w:rsid w:val="00003511"/>
    <w:rsid w:val="00003862"/>
    <w:rsid w:val="00005AFD"/>
    <w:rsid w:val="00005E6A"/>
    <w:rsid w:val="00011D19"/>
    <w:rsid w:val="0001287C"/>
    <w:rsid w:val="00012A35"/>
    <w:rsid w:val="00012C53"/>
    <w:rsid w:val="00013793"/>
    <w:rsid w:val="00016099"/>
    <w:rsid w:val="00016B5F"/>
    <w:rsid w:val="00016FA8"/>
    <w:rsid w:val="00017DC2"/>
    <w:rsid w:val="00020797"/>
    <w:rsid w:val="00021522"/>
    <w:rsid w:val="00021FBA"/>
    <w:rsid w:val="00023439"/>
    <w:rsid w:val="00023471"/>
    <w:rsid w:val="00023F13"/>
    <w:rsid w:val="0002447C"/>
    <w:rsid w:val="00024DF1"/>
    <w:rsid w:val="000301C1"/>
    <w:rsid w:val="00030508"/>
    <w:rsid w:val="00030634"/>
    <w:rsid w:val="00030902"/>
    <w:rsid w:val="00030955"/>
    <w:rsid w:val="000319C1"/>
    <w:rsid w:val="00031A8B"/>
    <w:rsid w:val="00031BCA"/>
    <w:rsid w:val="00031FA8"/>
    <w:rsid w:val="000330FA"/>
    <w:rsid w:val="0003362F"/>
    <w:rsid w:val="0003612B"/>
    <w:rsid w:val="00036B63"/>
    <w:rsid w:val="00037E1A"/>
    <w:rsid w:val="00040A45"/>
    <w:rsid w:val="00043495"/>
    <w:rsid w:val="000440AB"/>
    <w:rsid w:val="00046A75"/>
    <w:rsid w:val="00047312"/>
    <w:rsid w:val="000508BD"/>
    <w:rsid w:val="00050A44"/>
    <w:rsid w:val="000517AB"/>
    <w:rsid w:val="0005339C"/>
    <w:rsid w:val="000533EE"/>
    <w:rsid w:val="00054174"/>
    <w:rsid w:val="00054CAC"/>
    <w:rsid w:val="00054F9F"/>
    <w:rsid w:val="0005571B"/>
    <w:rsid w:val="00057AB3"/>
    <w:rsid w:val="00060076"/>
    <w:rsid w:val="00060432"/>
    <w:rsid w:val="00060D87"/>
    <w:rsid w:val="000615A5"/>
    <w:rsid w:val="00064E4C"/>
    <w:rsid w:val="00066901"/>
    <w:rsid w:val="00067406"/>
    <w:rsid w:val="00067522"/>
    <w:rsid w:val="00071BEE"/>
    <w:rsid w:val="00071E6D"/>
    <w:rsid w:val="000736CD"/>
    <w:rsid w:val="0007533B"/>
    <w:rsid w:val="0007545D"/>
    <w:rsid w:val="000760BF"/>
    <w:rsid w:val="0007613E"/>
    <w:rsid w:val="00076BFC"/>
    <w:rsid w:val="00076C18"/>
    <w:rsid w:val="00076FB7"/>
    <w:rsid w:val="00077093"/>
    <w:rsid w:val="000814A7"/>
    <w:rsid w:val="0008438C"/>
    <w:rsid w:val="0008557B"/>
    <w:rsid w:val="00085CE7"/>
    <w:rsid w:val="000906EE"/>
    <w:rsid w:val="0009168F"/>
    <w:rsid w:val="00091BA2"/>
    <w:rsid w:val="00092F75"/>
    <w:rsid w:val="000944EF"/>
    <w:rsid w:val="0009732D"/>
    <w:rsid w:val="000973F0"/>
    <w:rsid w:val="000A1296"/>
    <w:rsid w:val="000A1C27"/>
    <w:rsid w:val="000A1C90"/>
    <w:rsid w:val="000A1DAD"/>
    <w:rsid w:val="000A2649"/>
    <w:rsid w:val="000A323B"/>
    <w:rsid w:val="000A7051"/>
    <w:rsid w:val="000B298D"/>
    <w:rsid w:val="000B58FF"/>
    <w:rsid w:val="000B5B2D"/>
    <w:rsid w:val="000B5DCE"/>
    <w:rsid w:val="000C05BA"/>
    <w:rsid w:val="000C0E8F"/>
    <w:rsid w:val="000C3B06"/>
    <w:rsid w:val="000C4BC4"/>
    <w:rsid w:val="000D0110"/>
    <w:rsid w:val="000D0582"/>
    <w:rsid w:val="000D2468"/>
    <w:rsid w:val="000D318A"/>
    <w:rsid w:val="000D46EB"/>
    <w:rsid w:val="000D5187"/>
    <w:rsid w:val="000D6173"/>
    <w:rsid w:val="000D6904"/>
    <w:rsid w:val="000D6F83"/>
    <w:rsid w:val="000E07C1"/>
    <w:rsid w:val="000E25CC"/>
    <w:rsid w:val="000E3694"/>
    <w:rsid w:val="000E490F"/>
    <w:rsid w:val="000E6241"/>
    <w:rsid w:val="000F2BE3"/>
    <w:rsid w:val="000F3D0D"/>
    <w:rsid w:val="000F58A8"/>
    <w:rsid w:val="000F6ED4"/>
    <w:rsid w:val="000F7A6E"/>
    <w:rsid w:val="0010166E"/>
    <w:rsid w:val="001042BA"/>
    <w:rsid w:val="00104D73"/>
    <w:rsid w:val="00106D03"/>
    <w:rsid w:val="00110465"/>
    <w:rsid w:val="00110628"/>
    <w:rsid w:val="001107CA"/>
    <w:rsid w:val="0011245A"/>
    <w:rsid w:val="00113CC8"/>
    <w:rsid w:val="0011493E"/>
    <w:rsid w:val="00115B72"/>
    <w:rsid w:val="00120758"/>
    <w:rsid w:val="001209EC"/>
    <w:rsid w:val="00120A9E"/>
    <w:rsid w:val="00120CF0"/>
    <w:rsid w:val="00121385"/>
    <w:rsid w:val="001216B2"/>
    <w:rsid w:val="00125A9C"/>
    <w:rsid w:val="001270A2"/>
    <w:rsid w:val="0013001F"/>
    <w:rsid w:val="00130CAA"/>
    <w:rsid w:val="0013118C"/>
    <w:rsid w:val="00131237"/>
    <w:rsid w:val="001329AC"/>
    <w:rsid w:val="001331F2"/>
    <w:rsid w:val="00133566"/>
    <w:rsid w:val="0013394A"/>
    <w:rsid w:val="00134CA0"/>
    <w:rsid w:val="0014026F"/>
    <w:rsid w:val="00144DBC"/>
    <w:rsid w:val="00147A47"/>
    <w:rsid w:val="00147AA1"/>
    <w:rsid w:val="001520CF"/>
    <w:rsid w:val="0015667C"/>
    <w:rsid w:val="00157110"/>
    <w:rsid w:val="0015742A"/>
    <w:rsid w:val="00157DA1"/>
    <w:rsid w:val="00160243"/>
    <w:rsid w:val="00161F1D"/>
    <w:rsid w:val="00162CB0"/>
    <w:rsid w:val="00163147"/>
    <w:rsid w:val="00164C57"/>
    <w:rsid w:val="00164C9D"/>
    <w:rsid w:val="0017136B"/>
    <w:rsid w:val="00171A35"/>
    <w:rsid w:val="00171A48"/>
    <w:rsid w:val="00172F7A"/>
    <w:rsid w:val="00173150"/>
    <w:rsid w:val="00173390"/>
    <w:rsid w:val="001736F0"/>
    <w:rsid w:val="001738B2"/>
    <w:rsid w:val="00173BB3"/>
    <w:rsid w:val="001740D0"/>
    <w:rsid w:val="00174F2C"/>
    <w:rsid w:val="00176008"/>
    <w:rsid w:val="00176307"/>
    <w:rsid w:val="00180F2A"/>
    <w:rsid w:val="00183B7A"/>
    <w:rsid w:val="00184B91"/>
    <w:rsid w:val="00184D4A"/>
    <w:rsid w:val="00186EC1"/>
    <w:rsid w:val="00191E1F"/>
    <w:rsid w:val="00193AED"/>
    <w:rsid w:val="0019473B"/>
    <w:rsid w:val="001952B1"/>
    <w:rsid w:val="00196E39"/>
    <w:rsid w:val="00197649"/>
    <w:rsid w:val="001978B3"/>
    <w:rsid w:val="001A01FB"/>
    <w:rsid w:val="001A10E9"/>
    <w:rsid w:val="001A183D"/>
    <w:rsid w:val="001A2B65"/>
    <w:rsid w:val="001A39D3"/>
    <w:rsid w:val="001A3CD3"/>
    <w:rsid w:val="001A3DB2"/>
    <w:rsid w:val="001A4044"/>
    <w:rsid w:val="001A53A5"/>
    <w:rsid w:val="001A5708"/>
    <w:rsid w:val="001A59DC"/>
    <w:rsid w:val="001A5BEF"/>
    <w:rsid w:val="001A7F15"/>
    <w:rsid w:val="001B342E"/>
    <w:rsid w:val="001C08A3"/>
    <w:rsid w:val="001C1832"/>
    <w:rsid w:val="001C188C"/>
    <w:rsid w:val="001C64EC"/>
    <w:rsid w:val="001D1783"/>
    <w:rsid w:val="001D303C"/>
    <w:rsid w:val="001D4B19"/>
    <w:rsid w:val="001D53CD"/>
    <w:rsid w:val="001D55A3"/>
    <w:rsid w:val="001D5AF5"/>
    <w:rsid w:val="001D7E45"/>
    <w:rsid w:val="001E1E73"/>
    <w:rsid w:val="001E24DB"/>
    <w:rsid w:val="001E3313"/>
    <w:rsid w:val="001E4E0C"/>
    <w:rsid w:val="001E526D"/>
    <w:rsid w:val="001E53E1"/>
    <w:rsid w:val="001E5655"/>
    <w:rsid w:val="001E6216"/>
    <w:rsid w:val="001E6E22"/>
    <w:rsid w:val="001F1832"/>
    <w:rsid w:val="001F2126"/>
    <w:rsid w:val="001F220F"/>
    <w:rsid w:val="001F25B3"/>
    <w:rsid w:val="001F64DC"/>
    <w:rsid w:val="001F6616"/>
    <w:rsid w:val="002022F6"/>
    <w:rsid w:val="00202BD4"/>
    <w:rsid w:val="002031A5"/>
    <w:rsid w:val="00204A97"/>
    <w:rsid w:val="00204D12"/>
    <w:rsid w:val="002114EF"/>
    <w:rsid w:val="00211EC3"/>
    <w:rsid w:val="00215078"/>
    <w:rsid w:val="002166AD"/>
    <w:rsid w:val="00217871"/>
    <w:rsid w:val="00217EDB"/>
    <w:rsid w:val="002210D9"/>
    <w:rsid w:val="00221ED8"/>
    <w:rsid w:val="002231EA"/>
    <w:rsid w:val="00223FDF"/>
    <w:rsid w:val="002279C0"/>
    <w:rsid w:val="0023727E"/>
    <w:rsid w:val="00240AE5"/>
    <w:rsid w:val="00242081"/>
    <w:rsid w:val="00243777"/>
    <w:rsid w:val="002441CD"/>
    <w:rsid w:val="00246207"/>
    <w:rsid w:val="002501A3"/>
    <w:rsid w:val="0025166C"/>
    <w:rsid w:val="0025177E"/>
    <w:rsid w:val="002555D4"/>
    <w:rsid w:val="002570D4"/>
    <w:rsid w:val="00261946"/>
    <w:rsid w:val="00261A16"/>
    <w:rsid w:val="00262829"/>
    <w:rsid w:val="00263522"/>
    <w:rsid w:val="00263B87"/>
    <w:rsid w:val="00264EC6"/>
    <w:rsid w:val="00265C25"/>
    <w:rsid w:val="002661E8"/>
    <w:rsid w:val="00266665"/>
    <w:rsid w:val="00271013"/>
    <w:rsid w:val="00271A09"/>
    <w:rsid w:val="002724BD"/>
    <w:rsid w:val="00273FE4"/>
    <w:rsid w:val="00274000"/>
    <w:rsid w:val="002765B4"/>
    <w:rsid w:val="00276A94"/>
    <w:rsid w:val="0027747C"/>
    <w:rsid w:val="00277EFF"/>
    <w:rsid w:val="00280DE2"/>
    <w:rsid w:val="002818E2"/>
    <w:rsid w:val="0029405D"/>
    <w:rsid w:val="00294FA6"/>
    <w:rsid w:val="00295A6F"/>
    <w:rsid w:val="00295A83"/>
    <w:rsid w:val="002962B5"/>
    <w:rsid w:val="002A049D"/>
    <w:rsid w:val="002A0FDE"/>
    <w:rsid w:val="002A1665"/>
    <w:rsid w:val="002A1C60"/>
    <w:rsid w:val="002A20C4"/>
    <w:rsid w:val="002A302F"/>
    <w:rsid w:val="002A570F"/>
    <w:rsid w:val="002A7292"/>
    <w:rsid w:val="002A7358"/>
    <w:rsid w:val="002A7902"/>
    <w:rsid w:val="002A7BC1"/>
    <w:rsid w:val="002B0B56"/>
    <w:rsid w:val="002B0F6B"/>
    <w:rsid w:val="002B23B8"/>
    <w:rsid w:val="002B4429"/>
    <w:rsid w:val="002B542A"/>
    <w:rsid w:val="002B68A6"/>
    <w:rsid w:val="002B7FAF"/>
    <w:rsid w:val="002C38AD"/>
    <w:rsid w:val="002C6DED"/>
    <w:rsid w:val="002D0C4F"/>
    <w:rsid w:val="002D0F52"/>
    <w:rsid w:val="002D1073"/>
    <w:rsid w:val="002D1364"/>
    <w:rsid w:val="002D4D30"/>
    <w:rsid w:val="002D5000"/>
    <w:rsid w:val="002D510E"/>
    <w:rsid w:val="002D598D"/>
    <w:rsid w:val="002D7188"/>
    <w:rsid w:val="002E1DE3"/>
    <w:rsid w:val="002E2AB6"/>
    <w:rsid w:val="002E3F34"/>
    <w:rsid w:val="002E4B99"/>
    <w:rsid w:val="002E5F79"/>
    <w:rsid w:val="002E64FA"/>
    <w:rsid w:val="002F0A00"/>
    <w:rsid w:val="002F0CFA"/>
    <w:rsid w:val="002F1D09"/>
    <w:rsid w:val="002F3493"/>
    <w:rsid w:val="002F669F"/>
    <w:rsid w:val="00300B3C"/>
    <w:rsid w:val="00301C97"/>
    <w:rsid w:val="0030609B"/>
    <w:rsid w:val="0031004C"/>
    <w:rsid w:val="003105F6"/>
    <w:rsid w:val="00311297"/>
    <w:rsid w:val="003113BE"/>
    <w:rsid w:val="003122CA"/>
    <w:rsid w:val="00313A33"/>
    <w:rsid w:val="003148FD"/>
    <w:rsid w:val="003161AE"/>
    <w:rsid w:val="003170BB"/>
    <w:rsid w:val="00321080"/>
    <w:rsid w:val="00322D45"/>
    <w:rsid w:val="0032339F"/>
    <w:rsid w:val="0032530E"/>
    <w:rsid w:val="0032569A"/>
    <w:rsid w:val="00325A1F"/>
    <w:rsid w:val="003268F9"/>
    <w:rsid w:val="00330BAF"/>
    <w:rsid w:val="0033151F"/>
    <w:rsid w:val="00332373"/>
    <w:rsid w:val="00332E7D"/>
    <w:rsid w:val="00334BA5"/>
    <w:rsid w:val="00334E3A"/>
    <w:rsid w:val="00335563"/>
    <w:rsid w:val="00336038"/>
    <w:rsid w:val="003361DD"/>
    <w:rsid w:val="00341A6A"/>
    <w:rsid w:val="00344709"/>
    <w:rsid w:val="00345B9C"/>
    <w:rsid w:val="00345F86"/>
    <w:rsid w:val="003476BC"/>
    <w:rsid w:val="003516C2"/>
    <w:rsid w:val="00352DAE"/>
    <w:rsid w:val="0035411F"/>
    <w:rsid w:val="00354EB9"/>
    <w:rsid w:val="003602AE"/>
    <w:rsid w:val="00360929"/>
    <w:rsid w:val="00361868"/>
    <w:rsid w:val="00361D85"/>
    <w:rsid w:val="003647D5"/>
    <w:rsid w:val="00365C2C"/>
    <w:rsid w:val="003674B0"/>
    <w:rsid w:val="003712EB"/>
    <w:rsid w:val="00372B3D"/>
    <w:rsid w:val="003754D8"/>
    <w:rsid w:val="0037727C"/>
    <w:rsid w:val="00377E70"/>
    <w:rsid w:val="00380904"/>
    <w:rsid w:val="00381E67"/>
    <w:rsid w:val="003823EE"/>
    <w:rsid w:val="00382960"/>
    <w:rsid w:val="003846F7"/>
    <w:rsid w:val="003851ED"/>
    <w:rsid w:val="0038527E"/>
    <w:rsid w:val="00385B39"/>
    <w:rsid w:val="00386785"/>
    <w:rsid w:val="00390C8E"/>
    <w:rsid w:val="00390E89"/>
    <w:rsid w:val="00391B1A"/>
    <w:rsid w:val="003943CD"/>
    <w:rsid w:val="00394423"/>
    <w:rsid w:val="00396942"/>
    <w:rsid w:val="00396B49"/>
    <w:rsid w:val="00396E3E"/>
    <w:rsid w:val="003A003D"/>
    <w:rsid w:val="003A074D"/>
    <w:rsid w:val="003A1382"/>
    <w:rsid w:val="003A1696"/>
    <w:rsid w:val="003A306E"/>
    <w:rsid w:val="003A60DC"/>
    <w:rsid w:val="003A6A46"/>
    <w:rsid w:val="003A7A63"/>
    <w:rsid w:val="003B000C"/>
    <w:rsid w:val="003B0D1F"/>
    <w:rsid w:val="003B0F1D"/>
    <w:rsid w:val="003B1C72"/>
    <w:rsid w:val="003B4A57"/>
    <w:rsid w:val="003B729E"/>
    <w:rsid w:val="003C0AD9"/>
    <w:rsid w:val="003C0ED0"/>
    <w:rsid w:val="003C1D49"/>
    <w:rsid w:val="003C265B"/>
    <w:rsid w:val="003C291C"/>
    <w:rsid w:val="003C35C4"/>
    <w:rsid w:val="003C5052"/>
    <w:rsid w:val="003C7562"/>
    <w:rsid w:val="003C7B90"/>
    <w:rsid w:val="003D12C2"/>
    <w:rsid w:val="003D31B9"/>
    <w:rsid w:val="003D3867"/>
    <w:rsid w:val="003D3F65"/>
    <w:rsid w:val="003E0D1A"/>
    <w:rsid w:val="003E1439"/>
    <w:rsid w:val="003E2DA3"/>
    <w:rsid w:val="003E636A"/>
    <w:rsid w:val="003E7606"/>
    <w:rsid w:val="003F020D"/>
    <w:rsid w:val="003F0361"/>
    <w:rsid w:val="003F03D9"/>
    <w:rsid w:val="003F26C4"/>
    <w:rsid w:val="003F2FBE"/>
    <w:rsid w:val="003F318D"/>
    <w:rsid w:val="003F5BAE"/>
    <w:rsid w:val="003F6ED7"/>
    <w:rsid w:val="003F76EE"/>
    <w:rsid w:val="004006FE"/>
    <w:rsid w:val="00400F29"/>
    <w:rsid w:val="00401C84"/>
    <w:rsid w:val="00403210"/>
    <w:rsid w:val="004035BB"/>
    <w:rsid w:val="004035EB"/>
    <w:rsid w:val="00407332"/>
    <w:rsid w:val="00407828"/>
    <w:rsid w:val="0041130C"/>
    <w:rsid w:val="00413D8E"/>
    <w:rsid w:val="004140F2"/>
    <w:rsid w:val="004146B6"/>
    <w:rsid w:val="00417B22"/>
    <w:rsid w:val="00421085"/>
    <w:rsid w:val="00421B44"/>
    <w:rsid w:val="0042465E"/>
    <w:rsid w:val="00424DF7"/>
    <w:rsid w:val="004253FF"/>
    <w:rsid w:val="0042629D"/>
    <w:rsid w:val="0042696A"/>
    <w:rsid w:val="0043133C"/>
    <w:rsid w:val="00432B76"/>
    <w:rsid w:val="00434A26"/>
    <w:rsid w:val="00434D01"/>
    <w:rsid w:val="00435D26"/>
    <w:rsid w:val="00435E2A"/>
    <w:rsid w:val="004379E4"/>
    <w:rsid w:val="00437A2C"/>
    <w:rsid w:val="00440C99"/>
    <w:rsid w:val="00440D57"/>
    <w:rsid w:val="0044175C"/>
    <w:rsid w:val="00442815"/>
    <w:rsid w:val="00445F4D"/>
    <w:rsid w:val="004504C0"/>
    <w:rsid w:val="004514CF"/>
    <w:rsid w:val="00451AF0"/>
    <w:rsid w:val="00454A93"/>
    <w:rsid w:val="004550FB"/>
    <w:rsid w:val="0046111A"/>
    <w:rsid w:val="00462946"/>
    <w:rsid w:val="00463F43"/>
    <w:rsid w:val="00464546"/>
    <w:rsid w:val="00464B94"/>
    <w:rsid w:val="004653A8"/>
    <w:rsid w:val="00465A0B"/>
    <w:rsid w:val="004701E2"/>
    <w:rsid w:val="0047077C"/>
    <w:rsid w:val="00470B05"/>
    <w:rsid w:val="00471362"/>
    <w:rsid w:val="0047207C"/>
    <w:rsid w:val="00472CD6"/>
    <w:rsid w:val="004748D9"/>
    <w:rsid w:val="00474E3C"/>
    <w:rsid w:val="00480A58"/>
    <w:rsid w:val="00482151"/>
    <w:rsid w:val="0048453C"/>
    <w:rsid w:val="00485FAD"/>
    <w:rsid w:val="00487AED"/>
    <w:rsid w:val="00491EDF"/>
    <w:rsid w:val="00492499"/>
    <w:rsid w:val="00492A3F"/>
    <w:rsid w:val="0049303B"/>
    <w:rsid w:val="00493C8B"/>
    <w:rsid w:val="00494F62"/>
    <w:rsid w:val="00497724"/>
    <w:rsid w:val="004A2001"/>
    <w:rsid w:val="004A310B"/>
    <w:rsid w:val="004A3590"/>
    <w:rsid w:val="004A49E5"/>
    <w:rsid w:val="004B00A7"/>
    <w:rsid w:val="004B1E13"/>
    <w:rsid w:val="004B1F10"/>
    <w:rsid w:val="004B25E2"/>
    <w:rsid w:val="004B34D7"/>
    <w:rsid w:val="004B484C"/>
    <w:rsid w:val="004B4D8F"/>
    <w:rsid w:val="004B5037"/>
    <w:rsid w:val="004B5B2F"/>
    <w:rsid w:val="004B61EA"/>
    <w:rsid w:val="004B626A"/>
    <w:rsid w:val="004B660E"/>
    <w:rsid w:val="004C05BD"/>
    <w:rsid w:val="004C3B06"/>
    <w:rsid w:val="004C3F97"/>
    <w:rsid w:val="004C6C94"/>
    <w:rsid w:val="004C7EE7"/>
    <w:rsid w:val="004D1496"/>
    <w:rsid w:val="004D195D"/>
    <w:rsid w:val="004D2DEE"/>
    <w:rsid w:val="004D2E1F"/>
    <w:rsid w:val="004D4EAE"/>
    <w:rsid w:val="004D7FD9"/>
    <w:rsid w:val="004E1324"/>
    <w:rsid w:val="004E19A5"/>
    <w:rsid w:val="004E37E5"/>
    <w:rsid w:val="004E3FDB"/>
    <w:rsid w:val="004E63CD"/>
    <w:rsid w:val="004E73CD"/>
    <w:rsid w:val="004F1F4A"/>
    <w:rsid w:val="004F26B9"/>
    <w:rsid w:val="004F296D"/>
    <w:rsid w:val="004F3655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923"/>
    <w:rsid w:val="00511D99"/>
    <w:rsid w:val="005128D3"/>
    <w:rsid w:val="005147E8"/>
    <w:rsid w:val="00515834"/>
    <w:rsid w:val="005158F2"/>
    <w:rsid w:val="00522410"/>
    <w:rsid w:val="00522C03"/>
    <w:rsid w:val="00524900"/>
    <w:rsid w:val="005257B7"/>
    <w:rsid w:val="00526DFC"/>
    <w:rsid w:val="00526F43"/>
    <w:rsid w:val="00527651"/>
    <w:rsid w:val="00533545"/>
    <w:rsid w:val="00533A2D"/>
    <w:rsid w:val="005363AB"/>
    <w:rsid w:val="00536EC1"/>
    <w:rsid w:val="00537704"/>
    <w:rsid w:val="00544EF4"/>
    <w:rsid w:val="00545E53"/>
    <w:rsid w:val="00547855"/>
    <w:rsid w:val="005479D9"/>
    <w:rsid w:val="00550648"/>
    <w:rsid w:val="005511E5"/>
    <w:rsid w:val="005516BA"/>
    <w:rsid w:val="00552FFB"/>
    <w:rsid w:val="005572BD"/>
    <w:rsid w:val="00557A12"/>
    <w:rsid w:val="005604DE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1F8"/>
    <w:rsid w:val="00576497"/>
    <w:rsid w:val="005778E5"/>
    <w:rsid w:val="00580602"/>
    <w:rsid w:val="005835E7"/>
    <w:rsid w:val="0058397F"/>
    <w:rsid w:val="00583BF8"/>
    <w:rsid w:val="00584CC8"/>
    <w:rsid w:val="00584DF9"/>
    <w:rsid w:val="00585910"/>
    <w:rsid w:val="00585F33"/>
    <w:rsid w:val="00591124"/>
    <w:rsid w:val="005913D0"/>
    <w:rsid w:val="00596BEB"/>
    <w:rsid w:val="00597024"/>
    <w:rsid w:val="005A0274"/>
    <w:rsid w:val="005A0629"/>
    <w:rsid w:val="005A095C"/>
    <w:rsid w:val="005A5577"/>
    <w:rsid w:val="005A669D"/>
    <w:rsid w:val="005A75D8"/>
    <w:rsid w:val="005B3247"/>
    <w:rsid w:val="005B596F"/>
    <w:rsid w:val="005B713E"/>
    <w:rsid w:val="005C03B6"/>
    <w:rsid w:val="005C348E"/>
    <w:rsid w:val="005C5075"/>
    <w:rsid w:val="005C68E1"/>
    <w:rsid w:val="005C7FE6"/>
    <w:rsid w:val="005D3763"/>
    <w:rsid w:val="005D3E2A"/>
    <w:rsid w:val="005D4ADF"/>
    <w:rsid w:val="005D55E1"/>
    <w:rsid w:val="005E19F7"/>
    <w:rsid w:val="005E2486"/>
    <w:rsid w:val="005E386A"/>
    <w:rsid w:val="005E422F"/>
    <w:rsid w:val="005E4D7A"/>
    <w:rsid w:val="005E4F04"/>
    <w:rsid w:val="005E62C2"/>
    <w:rsid w:val="005E6C71"/>
    <w:rsid w:val="005E75E9"/>
    <w:rsid w:val="005E787F"/>
    <w:rsid w:val="005F0963"/>
    <w:rsid w:val="005F2824"/>
    <w:rsid w:val="005F2EBA"/>
    <w:rsid w:val="005F35ED"/>
    <w:rsid w:val="005F444C"/>
    <w:rsid w:val="005F4A3F"/>
    <w:rsid w:val="005F55A3"/>
    <w:rsid w:val="005F5D05"/>
    <w:rsid w:val="005F7812"/>
    <w:rsid w:val="005F7A88"/>
    <w:rsid w:val="006007B6"/>
    <w:rsid w:val="00601A97"/>
    <w:rsid w:val="00601FBE"/>
    <w:rsid w:val="00603A1A"/>
    <w:rsid w:val="006046D5"/>
    <w:rsid w:val="00607A93"/>
    <w:rsid w:val="00607B9B"/>
    <w:rsid w:val="00610C08"/>
    <w:rsid w:val="00611F74"/>
    <w:rsid w:val="006139EE"/>
    <w:rsid w:val="00615772"/>
    <w:rsid w:val="00616279"/>
    <w:rsid w:val="0061760A"/>
    <w:rsid w:val="00621256"/>
    <w:rsid w:val="00621FCC"/>
    <w:rsid w:val="00622E4B"/>
    <w:rsid w:val="00626F1A"/>
    <w:rsid w:val="0063178E"/>
    <w:rsid w:val="006333DA"/>
    <w:rsid w:val="00635134"/>
    <w:rsid w:val="006356E2"/>
    <w:rsid w:val="0064003A"/>
    <w:rsid w:val="00642A65"/>
    <w:rsid w:val="00642C36"/>
    <w:rsid w:val="00645DCE"/>
    <w:rsid w:val="006465AC"/>
    <w:rsid w:val="006465BF"/>
    <w:rsid w:val="00651519"/>
    <w:rsid w:val="00653B22"/>
    <w:rsid w:val="006551EB"/>
    <w:rsid w:val="00657A27"/>
    <w:rsid w:val="00657B41"/>
    <w:rsid w:val="00657BF4"/>
    <w:rsid w:val="006603FB"/>
    <w:rsid w:val="006608DF"/>
    <w:rsid w:val="00661701"/>
    <w:rsid w:val="006623AC"/>
    <w:rsid w:val="006673AB"/>
    <w:rsid w:val="006678AF"/>
    <w:rsid w:val="006701EF"/>
    <w:rsid w:val="00670938"/>
    <w:rsid w:val="00673BA5"/>
    <w:rsid w:val="00674C83"/>
    <w:rsid w:val="006771F9"/>
    <w:rsid w:val="00680058"/>
    <w:rsid w:val="00681CED"/>
    <w:rsid w:val="00681F9F"/>
    <w:rsid w:val="006840EA"/>
    <w:rsid w:val="006844E2"/>
    <w:rsid w:val="00685267"/>
    <w:rsid w:val="006872AE"/>
    <w:rsid w:val="00687420"/>
    <w:rsid w:val="00690082"/>
    <w:rsid w:val="00690252"/>
    <w:rsid w:val="006946BB"/>
    <w:rsid w:val="006966E0"/>
    <w:rsid w:val="006969FA"/>
    <w:rsid w:val="006A0E47"/>
    <w:rsid w:val="006A35D5"/>
    <w:rsid w:val="006A3729"/>
    <w:rsid w:val="006A748A"/>
    <w:rsid w:val="006B348C"/>
    <w:rsid w:val="006B50DB"/>
    <w:rsid w:val="006B5FA3"/>
    <w:rsid w:val="006C2E1D"/>
    <w:rsid w:val="006C419E"/>
    <w:rsid w:val="006C4A31"/>
    <w:rsid w:val="006C5AC2"/>
    <w:rsid w:val="006C6AFB"/>
    <w:rsid w:val="006C710A"/>
    <w:rsid w:val="006D02A4"/>
    <w:rsid w:val="006D07D0"/>
    <w:rsid w:val="006D1242"/>
    <w:rsid w:val="006D2735"/>
    <w:rsid w:val="006D45B2"/>
    <w:rsid w:val="006D6AD7"/>
    <w:rsid w:val="006E0D7F"/>
    <w:rsid w:val="006E0FCC"/>
    <w:rsid w:val="006E1E96"/>
    <w:rsid w:val="006E2F30"/>
    <w:rsid w:val="006E4F65"/>
    <w:rsid w:val="006E59CB"/>
    <w:rsid w:val="006E5E21"/>
    <w:rsid w:val="006E5E23"/>
    <w:rsid w:val="006F2648"/>
    <w:rsid w:val="006F2F10"/>
    <w:rsid w:val="006F3ED0"/>
    <w:rsid w:val="006F42E4"/>
    <w:rsid w:val="006F482B"/>
    <w:rsid w:val="006F6311"/>
    <w:rsid w:val="006F77BF"/>
    <w:rsid w:val="00701952"/>
    <w:rsid w:val="00702556"/>
    <w:rsid w:val="0070277E"/>
    <w:rsid w:val="00702A29"/>
    <w:rsid w:val="00704156"/>
    <w:rsid w:val="0070559F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6CF3"/>
    <w:rsid w:val="00717137"/>
    <w:rsid w:val="00717C2E"/>
    <w:rsid w:val="007204FA"/>
    <w:rsid w:val="007213B3"/>
    <w:rsid w:val="0072430C"/>
    <w:rsid w:val="0072457F"/>
    <w:rsid w:val="00725406"/>
    <w:rsid w:val="0072621B"/>
    <w:rsid w:val="00727A8B"/>
    <w:rsid w:val="00730555"/>
    <w:rsid w:val="007312CC"/>
    <w:rsid w:val="00731E7A"/>
    <w:rsid w:val="0073273B"/>
    <w:rsid w:val="007329A7"/>
    <w:rsid w:val="00733548"/>
    <w:rsid w:val="00735BCB"/>
    <w:rsid w:val="00736A64"/>
    <w:rsid w:val="00737F6A"/>
    <w:rsid w:val="007410B6"/>
    <w:rsid w:val="007413A7"/>
    <w:rsid w:val="00741E54"/>
    <w:rsid w:val="007428E1"/>
    <w:rsid w:val="0074359A"/>
    <w:rsid w:val="007437B0"/>
    <w:rsid w:val="00743EC0"/>
    <w:rsid w:val="00744C6F"/>
    <w:rsid w:val="007457F6"/>
    <w:rsid w:val="00745ABB"/>
    <w:rsid w:val="00746252"/>
    <w:rsid w:val="00746E38"/>
    <w:rsid w:val="00747CD5"/>
    <w:rsid w:val="00750A35"/>
    <w:rsid w:val="00753B51"/>
    <w:rsid w:val="0075633C"/>
    <w:rsid w:val="00756629"/>
    <w:rsid w:val="00757272"/>
    <w:rsid w:val="007575D2"/>
    <w:rsid w:val="00757B4F"/>
    <w:rsid w:val="00757B6A"/>
    <w:rsid w:val="00757E73"/>
    <w:rsid w:val="00760FBF"/>
    <w:rsid w:val="007610E0"/>
    <w:rsid w:val="007621AA"/>
    <w:rsid w:val="0076260A"/>
    <w:rsid w:val="00764A67"/>
    <w:rsid w:val="007650E1"/>
    <w:rsid w:val="00767FD1"/>
    <w:rsid w:val="00770F6B"/>
    <w:rsid w:val="00771883"/>
    <w:rsid w:val="00774F64"/>
    <w:rsid w:val="00776DC2"/>
    <w:rsid w:val="00777ABF"/>
    <w:rsid w:val="00780122"/>
    <w:rsid w:val="0078046E"/>
    <w:rsid w:val="007815D5"/>
    <w:rsid w:val="0078214B"/>
    <w:rsid w:val="0078498A"/>
    <w:rsid w:val="007878FE"/>
    <w:rsid w:val="00787AC1"/>
    <w:rsid w:val="00792207"/>
    <w:rsid w:val="0079297F"/>
    <w:rsid w:val="00792B64"/>
    <w:rsid w:val="00792E29"/>
    <w:rsid w:val="00792F0B"/>
    <w:rsid w:val="0079379A"/>
    <w:rsid w:val="00794953"/>
    <w:rsid w:val="00794DD8"/>
    <w:rsid w:val="007951FE"/>
    <w:rsid w:val="007A018E"/>
    <w:rsid w:val="007A01FC"/>
    <w:rsid w:val="007A1F2F"/>
    <w:rsid w:val="007A2A5C"/>
    <w:rsid w:val="007A5150"/>
    <w:rsid w:val="007A5373"/>
    <w:rsid w:val="007A77C0"/>
    <w:rsid w:val="007A789F"/>
    <w:rsid w:val="007A7CE5"/>
    <w:rsid w:val="007B0D29"/>
    <w:rsid w:val="007B75BC"/>
    <w:rsid w:val="007C0BD6"/>
    <w:rsid w:val="007C2791"/>
    <w:rsid w:val="007C3806"/>
    <w:rsid w:val="007C5BB7"/>
    <w:rsid w:val="007D0377"/>
    <w:rsid w:val="007D07D5"/>
    <w:rsid w:val="007D1C64"/>
    <w:rsid w:val="007D32DD"/>
    <w:rsid w:val="007D6DCE"/>
    <w:rsid w:val="007D72C4"/>
    <w:rsid w:val="007E2CFE"/>
    <w:rsid w:val="007E4C56"/>
    <w:rsid w:val="007E59C9"/>
    <w:rsid w:val="007E5C6B"/>
    <w:rsid w:val="007E70D7"/>
    <w:rsid w:val="007F0072"/>
    <w:rsid w:val="007F2EB6"/>
    <w:rsid w:val="007F3584"/>
    <w:rsid w:val="007F54C3"/>
    <w:rsid w:val="00801469"/>
    <w:rsid w:val="008026F3"/>
    <w:rsid w:val="00802949"/>
    <w:rsid w:val="008029FF"/>
    <w:rsid w:val="0080301E"/>
    <w:rsid w:val="0080365F"/>
    <w:rsid w:val="00803686"/>
    <w:rsid w:val="00812733"/>
    <w:rsid w:val="00812BE5"/>
    <w:rsid w:val="00817429"/>
    <w:rsid w:val="00820849"/>
    <w:rsid w:val="00821514"/>
    <w:rsid w:val="00821E35"/>
    <w:rsid w:val="00824591"/>
    <w:rsid w:val="00824AED"/>
    <w:rsid w:val="00827820"/>
    <w:rsid w:val="00831B8B"/>
    <w:rsid w:val="00831D6C"/>
    <w:rsid w:val="0083405D"/>
    <w:rsid w:val="008352D4"/>
    <w:rsid w:val="00836DB9"/>
    <w:rsid w:val="00837C67"/>
    <w:rsid w:val="008411BD"/>
    <w:rsid w:val="008415B0"/>
    <w:rsid w:val="00842028"/>
    <w:rsid w:val="008436B8"/>
    <w:rsid w:val="00843E5F"/>
    <w:rsid w:val="008460B6"/>
    <w:rsid w:val="00850C9D"/>
    <w:rsid w:val="00852B59"/>
    <w:rsid w:val="008539D4"/>
    <w:rsid w:val="008544F1"/>
    <w:rsid w:val="0085530A"/>
    <w:rsid w:val="00856272"/>
    <w:rsid w:val="008563FF"/>
    <w:rsid w:val="0086018B"/>
    <w:rsid w:val="008611DD"/>
    <w:rsid w:val="008620DE"/>
    <w:rsid w:val="00866867"/>
    <w:rsid w:val="00872257"/>
    <w:rsid w:val="008753E6"/>
    <w:rsid w:val="00875885"/>
    <w:rsid w:val="0087738C"/>
    <w:rsid w:val="008802AF"/>
    <w:rsid w:val="00880B41"/>
    <w:rsid w:val="00881926"/>
    <w:rsid w:val="0088318F"/>
    <w:rsid w:val="0088331D"/>
    <w:rsid w:val="00884D2F"/>
    <w:rsid w:val="008852B0"/>
    <w:rsid w:val="00885AE7"/>
    <w:rsid w:val="0088697B"/>
    <w:rsid w:val="00886B60"/>
    <w:rsid w:val="00887889"/>
    <w:rsid w:val="00887BAF"/>
    <w:rsid w:val="00890B10"/>
    <w:rsid w:val="008920FF"/>
    <w:rsid w:val="008926E8"/>
    <w:rsid w:val="00894CB3"/>
    <w:rsid w:val="00894F19"/>
    <w:rsid w:val="00896A10"/>
    <w:rsid w:val="008971B5"/>
    <w:rsid w:val="0089773F"/>
    <w:rsid w:val="008A1D3D"/>
    <w:rsid w:val="008A1EE3"/>
    <w:rsid w:val="008A5D26"/>
    <w:rsid w:val="008A641B"/>
    <w:rsid w:val="008A6B13"/>
    <w:rsid w:val="008A6ECB"/>
    <w:rsid w:val="008B0BF9"/>
    <w:rsid w:val="008B0DB5"/>
    <w:rsid w:val="008B1CE8"/>
    <w:rsid w:val="008B2866"/>
    <w:rsid w:val="008B3859"/>
    <w:rsid w:val="008B386F"/>
    <w:rsid w:val="008B436D"/>
    <w:rsid w:val="008B4E49"/>
    <w:rsid w:val="008B6387"/>
    <w:rsid w:val="008B7712"/>
    <w:rsid w:val="008B7B26"/>
    <w:rsid w:val="008C0BFF"/>
    <w:rsid w:val="008C0E2A"/>
    <w:rsid w:val="008C3524"/>
    <w:rsid w:val="008C4061"/>
    <w:rsid w:val="008C4229"/>
    <w:rsid w:val="008C45CB"/>
    <w:rsid w:val="008C54E5"/>
    <w:rsid w:val="008C54F5"/>
    <w:rsid w:val="008C5BE0"/>
    <w:rsid w:val="008C6BA0"/>
    <w:rsid w:val="008C7233"/>
    <w:rsid w:val="008D2434"/>
    <w:rsid w:val="008D7145"/>
    <w:rsid w:val="008E171D"/>
    <w:rsid w:val="008E2785"/>
    <w:rsid w:val="008E5009"/>
    <w:rsid w:val="008E78A3"/>
    <w:rsid w:val="008F0654"/>
    <w:rsid w:val="008F06CB"/>
    <w:rsid w:val="008F2E83"/>
    <w:rsid w:val="008F3786"/>
    <w:rsid w:val="008F583A"/>
    <w:rsid w:val="008F612A"/>
    <w:rsid w:val="00901093"/>
    <w:rsid w:val="0090293D"/>
    <w:rsid w:val="009033B8"/>
    <w:rsid w:val="009034DE"/>
    <w:rsid w:val="0090520A"/>
    <w:rsid w:val="00905396"/>
    <w:rsid w:val="0090605D"/>
    <w:rsid w:val="00906419"/>
    <w:rsid w:val="00912889"/>
    <w:rsid w:val="00913A42"/>
    <w:rsid w:val="00914167"/>
    <w:rsid w:val="009143DB"/>
    <w:rsid w:val="00915065"/>
    <w:rsid w:val="00917BCB"/>
    <w:rsid w:val="00917CE5"/>
    <w:rsid w:val="00920C97"/>
    <w:rsid w:val="009217C0"/>
    <w:rsid w:val="00925241"/>
    <w:rsid w:val="00925CEC"/>
    <w:rsid w:val="00926A3F"/>
    <w:rsid w:val="0092794E"/>
    <w:rsid w:val="00927CF8"/>
    <w:rsid w:val="0093050F"/>
    <w:rsid w:val="00930D30"/>
    <w:rsid w:val="00930F23"/>
    <w:rsid w:val="009332A2"/>
    <w:rsid w:val="009367DE"/>
    <w:rsid w:val="00937598"/>
    <w:rsid w:val="0093790B"/>
    <w:rsid w:val="00943751"/>
    <w:rsid w:val="00944A94"/>
    <w:rsid w:val="00946DD0"/>
    <w:rsid w:val="0094747A"/>
    <w:rsid w:val="009509E6"/>
    <w:rsid w:val="00952018"/>
    <w:rsid w:val="00952800"/>
    <w:rsid w:val="00952BD9"/>
    <w:rsid w:val="0095300D"/>
    <w:rsid w:val="00953918"/>
    <w:rsid w:val="009546C5"/>
    <w:rsid w:val="0095564A"/>
    <w:rsid w:val="00956812"/>
    <w:rsid w:val="0095719A"/>
    <w:rsid w:val="00960EB2"/>
    <w:rsid w:val="009623E9"/>
    <w:rsid w:val="00963EEB"/>
    <w:rsid w:val="009648BC"/>
    <w:rsid w:val="00964C2F"/>
    <w:rsid w:val="009656DD"/>
    <w:rsid w:val="00965F88"/>
    <w:rsid w:val="00967049"/>
    <w:rsid w:val="0097269A"/>
    <w:rsid w:val="00976CE9"/>
    <w:rsid w:val="00984ACD"/>
    <w:rsid w:val="00984E03"/>
    <w:rsid w:val="00985997"/>
    <w:rsid w:val="00987E85"/>
    <w:rsid w:val="0099260A"/>
    <w:rsid w:val="00995C77"/>
    <w:rsid w:val="0099633D"/>
    <w:rsid w:val="009A0D12"/>
    <w:rsid w:val="009A0EDF"/>
    <w:rsid w:val="009A1829"/>
    <w:rsid w:val="009A1987"/>
    <w:rsid w:val="009A2BEE"/>
    <w:rsid w:val="009A5289"/>
    <w:rsid w:val="009A7A53"/>
    <w:rsid w:val="009B0402"/>
    <w:rsid w:val="009B0B75"/>
    <w:rsid w:val="009B16DF"/>
    <w:rsid w:val="009B215D"/>
    <w:rsid w:val="009B4723"/>
    <w:rsid w:val="009B4CB2"/>
    <w:rsid w:val="009B6701"/>
    <w:rsid w:val="009B6EF7"/>
    <w:rsid w:val="009B7000"/>
    <w:rsid w:val="009B739C"/>
    <w:rsid w:val="009B7CA6"/>
    <w:rsid w:val="009C04EC"/>
    <w:rsid w:val="009C30DE"/>
    <w:rsid w:val="009C328C"/>
    <w:rsid w:val="009C409E"/>
    <w:rsid w:val="009C415D"/>
    <w:rsid w:val="009C4444"/>
    <w:rsid w:val="009C7816"/>
    <w:rsid w:val="009C79AD"/>
    <w:rsid w:val="009C7CA6"/>
    <w:rsid w:val="009D3316"/>
    <w:rsid w:val="009D55AA"/>
    <w:rsid w:val="009D5DF3"/>
    <w:rsid w:val="009D7C6D"/>
    <w:rsid w:val="009E0A2D"/>
    <w:rsid w:val="009E3751"/>
    <w:rsid w:val="009E3E77"/>
    <w:rsid w:val="009E3FAB"/>
    <w:rsid w:val="009E495D"/>
    <w:rsid w:val="009E49B7"/>
    <w:rsid w:val="009E5B3F"/>
    <w:rsid w:val="009E7D90"/>
    <w:rsid w:val="009F03D2"/>
    <w:rsid w:val="009F14E8"/>
    <w:rsid w:val="009F1AB0"/>
    <w:rsid w:val="009F237F"/>
    <w:rsid w:val="009F2C2B"/>
    <w:rsid w:val="009F3D63"/>
    <w:rsid w:val="009F4659"/>
    <w:rsid w:val="009F501D"/>
    <w:rsid w:val="00A00DED"/>
    <w:rsid w:val="00A01081"/>
    <w:rsid w:val="00A039D5"/>
    <w:rsid w:val="00A039F9"/>
    <w:rsid w:val="00A046AD"/>
    <w:rsid w:val="00A079C1"/>
    <w:rsid w:val="00A07B85"/>
    <w:rsid w:val="00A12520"/>
    <w:rsid w:val="00A130FD"/>
    <w:rsid w:val="00A13D6D"/>
    <w:rsid w:val="00A14769"/>
    <w:rsid w:val="00A15124"/>
    <w:rsid w:val="00A16151"/>
    <w:rsid w:val="00A16EC6"/>
    <w:rsid w:val="00A17C06"/>
    <w:rsid w:val="00A2126E"/>
    <w:rsid w:val="00A21706"/>
    <w:rsid w:val="00A24FCC"/>
    <w:rsid w:val="00A26858"/>
    <w:rsid w:val="00A26A65"/>
    <w:rsid w:val="00A26A90"/>
    <w:rsid w:val="00A26B27"/>
    <w:rsid w:val="00A30E4F"/>
    <w:rsid w:val="00A3121C"/>
    <w:rsid w:val="00A32253"/>
    <w:rsid w:val="00A3310E"/>
    <w:rsid w:val="00A333A0"/>
    <w:rsid w:val="00A34E9F"/>
    <w:rsid w:val="00A37E70"/>
    <w:rsid w:val="00A42AAF"/>
    <w:rsid w:val="00A437E1"/>
    <w:rsid w:val="00A4685E"/>
    <w:rsid w:val="00A50CD4"/>
    <w:rsid w:val="00A51191"/>
    <w:rsid w:val="00A56D62"/>
    <w:rsid w:val="00A56DC1"/>
    <w:rsid w:val="00A56F07"/>
    <w:rsid w:val="00A5762C"/>
    <w:rsid w:val="00A600FC"/>
    <w:rsid w:val="00A60BCA"/>
    <w:rsid w:val="00A62DE4"/>
    <w:rsid w:val="00A62EA3"/>
    <w:rsid w:val="00A638DA"/>
    <w:rsid w:val="00A643BC"/>
    <w:rsid w:val="00A655E4"/>
    <w:rsid w:val="00A65B41"/>
    <w:rsid w:val="00A65E00"/>
    <w:rsid w:val="00A66A78"/>
    <w:rsid w:val="00A67051"/>
    <w:rsid w:val="00A7436E"/>
    <w:rsid w:val="00A74E96"/>
    <w:rsid w:val="00A75A8E"/>
    <w:rsid w:val="00A765F0"/>
    <w:rsid w:val="00A824DD"/>
    <w:rsid w:val="00A8306A"/>
    <w:rsid w:val="00A83676"/>
    <w:rsid w:val="00A83B7B"/>
    <w:rsid w:val="00A84274"/>
    <w:rsid w:val="00A850F3"/>
    <w:rsid w:val="00A857CB"/>
    <w:rsid w:val="00A85E43"/>
    <w:rsid w:val="00A864E3"/>
    <w:rsid w:val="00A94574"/>
    <w:rsid w:val="00A947A5"/>
    <w:rsid w:val="00A95936"/>
    <w:rsid w:val="00A96265"/>
    <w:rsid w:val="00A96453"/>
    <w:rsid w:val="00A97084"/>
    <w:rsid w:val="00AA1C2C"/>
    <w:rsid w:val="00AA28FA"/>
    <w:rsid w:val="00AA35F6"/>
    <w:rsid w:val="00AA667C"/>
    <w:rsid w:val="00AA6E91"/>
    <w:rsid w:val="00AA7439"/>
    <w:rsid w:val="00AB047E"/>
    <w:rsid w:val="00AB0B0A"/>
    <w:rsid w:val="00AB0BB7"/>
    <w:rsid w:val="00AB229C"/>
    <w:rsid w:val="00AB22C6"/>
    <w:rsid w:val="00AB2AD0"/>
    <w:rsid w:val="00AB35F4"/>
    <w:rsid w:val="00AB42A6"/>
    <w:rsid w:val="00AB4649"/>
    <w:rsid w:val="00AB67FC"/>
    <w:rsid w:val="00AC00F2"/>
    <w:rsid w:val="00AC09C2"/>
    <w:rsid w:val="00AC0A18"/>
    <w:rsid w:val="00AC10B6"/>
    <w:rsid w:val="00AC31B5"/>
    <w:rsid w:val="00AC4EA1"/>
    <w:rsid w:val="00AC5223"/>
    <w:rsid w:val="00AC5381"/>
    <w:rsid w:val="00AC584A"/>
    <w:rsid w:val="00AC5920"/>
    <w:rsid w:val="00AC62FB"/>
    <w:rsid w:val="00AC7389"/>
    <w:rsid w:val="00AD0E65"/>
    <w:rsid w:val="00AD144F"/>
    <w:rsid w:val="00AD2BF2"/>
    <w:rsid w:val="00AD4E90"/>
    <w:rsid w:val="00AD5422"/>
    <w:rsid w:val="00AD62AA"/>
    <w:rsid w:val="00AD6AA6"/>
    <w:rsid w:val="00AE34F8"/>
    <w:rsid w:val="00AE4179"/>
    <w:rsid w:val="00AE4425"/>
    <w:rsid w:val="00AE4FBE"/>
    <w:rsid w:val="00AE5609"/>
    <w:rsid w:val="00AE58EC"/>
    <w:rsid w:val="00AE650F"/>
    <w:rsid w:val="00AE6555"/>
    <w:rsid w:val="00AE7C34"/>
    <w:rsid w:val="00AE7D16"/>
    <w:rsid w:val="00AF4561"/>
    <w:rsid w:val="00AF4CAA"/>
    <w:rsid w:val="00AF4CD4"/>
    <w:rsid w:val="00AF571A"/>
    <w:rsid w:val="00AF5E3A"/>
    <w:rsid w:val="00AF60A0"/>
    <w:rsid w:val="00AF67FC"/>
    <w:rsid w:val="00AF7BA2"/>
    <w:rsid w:val="00AF7DF5"/>
    <w:rsid w:val="00B0013A"/>
    <w:rsid w:val="00B006E5"/>
    <w:rsid w:val="00B01E24"/>
    <w:rsid w:val="00B024C2"/>
    <w:rsid w:val="00B07700"/>
    <w:rsid w:val="00B10973"/>
    <w:rsid w:val="00B13921"/>
    <w:rsid w:val="00B1528C"/>
    <w:rsid w:val="00B1570D"/>
    <w:rsid w:val="00B16ACD"/>
    <w:rsid w:val="00B21487"/>
    <w:rsid w:val="00B224CE"/>
    <w:rsid w:val="00B22681"/>
    <w:rsid w:val="00B22A10"/>
    <w:rsid w:val="00B232D1"/>
    <w:rsid w:val="00B236D3"/>
    <w:rsid w:val="00B2408F"/>
    <w:rsid w:val="00B24DB5"/>
    <w:rsid w:val="00B26028"/>
    <w:rsid w:val="00B30494"/>
    <w:rsid w:val="00B31F9E"/>
    <w:rsid w:val="00B322C4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98A"/>
    <w:rsid w:val="00B51A7D"/>
    <w:rsid w:val="00B5266A"/>
    <w:rsid w:val="00B535C2"/>
    <w:rsid w:val="00B53D80"/>
    <w:rsid w:val="00B54A45"/>
    <w:rsid w:val="00B55544"/>
    <w:rsid w:val="00B61D82"/>
    <w:rsid w:val="00B61E01"/>
    <w:rsid w:val="00B642FC"/>
    <w:rsid w:val="00B64B37"/>
    <w:rsid w:val="00B64D26"/>
    <w:rsid w:val="00B64FBB"/>
    <w:rsid w:val="00B70E22"/>
    <w:rsid w:val="00B774CB"/>
    <w:rsid w:val="00B77F1E"/>
    <w:rsid w:val="00B80270"/>
    <w:rsid w:val="00B80402"/>
    <w:rsid w:val="00B80B9A"/>
    <w:rsid w:val="00B80EFD"/>
    <w:rsid w:val="00B81630"/>
    <w:rsid w:val="00B830B7"/>
    <w:rsid w:val="00B8415F"/>
    <w:rsid w:val="00B848EA"/>
    <w:rsid w:val="00B84B2B"/>
    <w:rsid w:val="00B875D2"/>
    <w:rsid w:val="00B90500"/>
    <w:rsid w:val="00B908E0"/>
    <w:rsid w:val="00B9176C"/>
    <w:rsid w:val="00B935A4"/>
    <w:rsid w:val="00B93D7F"/>
    <w:rsid w:val="00B95E64"/>
    <w:rsid w:val="00B9633A"/>
    <w:rsid w:val="00BA33CD"/>
    <w:rsid w:val="00BA3AF0"/>
    <w:rsid w:val="00BA3D84"/>
    <w:rsid w:val="00BA561A"/>
    <w:rsid w:val="00BA67B9"/>
    <w:rsid w:val="00BB0520"/>
    <w:rsid w:val="00BB0DC6"/>
    <w:rsid w:val="00BB15E4"/>
    <w:rsid w:val="00BB1E19"/>
    <w:rsid w:val="00BB21D1"/>
    <w:rsid w:val="00BB32F2"/>
    <w:rsid w:val="00BB4154"/>
    <w:rsid w:val="00BB4338"/>
    <w:rsid w:val="00BB6255"/>
    <w:rsid w:val="00BB6C0E"/>
    <w:rsid w:val="00BB7B38"/>
    <w:rsid w:val="00BC11E5"/>
    <w:rsid w:val="00BC1D0D"/>
    <w:rsid w:val="00BC3847"/>
    <w:rsid w:val="00BC4BC6"/>
    <w:rsid w:val="00BC52FD"/>
    <w:rsid w:val="00BC6E62"/>
    <w:rsid w:val="00BC7443"/>
    <w:rsid w:val="00BD0160"/>
    <w:rsid w:val="00BD0648"/>
    <w:rsid w:val="00BD1040"/>
    <w:rsid w:val="00BD34AA"/>
    <w:rsid w:val="00BD4159"/>
    <w:rsid w:val="00BD5D4F"/>
    <w:rsid w:val="00BD7D19"/>
    <w:rsid w:val="00BE0C44"/>
    <w:rsid w:val="00BE0C9A"/>
    <w:rsid w:val="00BE114A"/>
    <w:rsid w:val="00BE14ED"/>
    <w:rsid w:val="00BE1B8B"/>
    <w:rsid w:val="00BE2A18"/>
    <w:rsid w:val="00BE2C01"/>
    <w:rsid w:val="00BE41EC"/>
    <w:rsid w:val="00BE56FB"/>
    <w:rsid w:val="00BF3266"/>
    <w:rsid w:val="00BF3DDE"/>
    <w:rsid w:val="00BF3E52"/>
    <w:rsid w:val="00BF4168"/>
    <w:rsid w:val="00BF4993"/>
    <w:rsid w:val="00BF6589"/>
    <w:rsid w:val="00BF6F7F"/>
    <w:rsid w:val="00BF74A2"/>
    <w:rsid w:val="00C00647"/>
    <w:rsid w:val="00C02764"/>
    <w:rsid w:val="00C02FAF"/>
    <w:rsid w:val="00C03ED6"/>
    <w:rsid w:val="00C04CEF"/>
    <w:rsid w:val="00C0662F"/>
    <w:rsid w:val="00C11887"/>
    <w:rsid w:val="00C11943"/>
    <w:rsid w:val="00C12E96"/>
    <w:rsid w:val="00C13D95"/>
    <w:rsid w:val="00C140F1"/>
    <w:rsid w:val="00C14763"/>
    <w:rsid w:val="00C16141"/>
    <w:rsid w:val="00C17045"/>
    <w:rsid w:val="00C2363F"/>
    <w:rsid w:val="00C236C8"/>
    <w:rsid w:val="00C260B1"/>
    <w:rsid w:val="00C26E56"/>
    <w:rsid w:val="00C31406"/>
    <w:rsid w:val="00C32357"/>
    <w:rsid w:val="00C32A5A"/>
    <w:rsid w:val="00C34887"/>
    <w:rsid w:val="00C37194"/>
    <w:rsid w:val="00C40637"/>
    <w:rsid w:val="00C40F6C"/>
    <w:rsid w:val="00C415B4"/>
    <w:rsid w:val="00C44426"/>
    <w:rsid w:val="00C445F3"/>
    <w:rsid w:val="00C4506D"/>
    <w:rsid w:val="00C451F4"/>
    <w:rsid w:val="00C45DC6"/>
    <w:rsid w:val="00C45EB1"/>
    <w:rsid w:val="00C475A6"/>
    <w:rsid w:val="00C51959"/>
    <w:rsid w:val="00C53F9F"/>
    <w:rsid w:val="00C54A3A"/>
    <w:rsid w:val="00C54DC3"/>
    <w:rsid w:val="00C55566"/>
    <w:rsid w:val="00C56448"/>
    <w:rsid w:val="00C5653D"/>
    <w:rsid w:val="00C609DD"/>
    <w:rsid w:val="00C61E91"/>
    <w:rsid w:val="00C6266C"/>
    <w:rsid w:val="00C6423B"/>
    <w:rsid w:val="00C64596"/>
    <w:rsid w:val="00C667BE"/>
    <w:rsid w:val="00C66D52"/>
    <w:rsid w:val="00C67116"/>
    <w:rsid w:val="00C6766B"/>
    <w:rsid w:val="00C71C1A"/>
    <w:rsid w:val="00C72223"/>
    <w:rsid w:val="00C73D62"/>
    <w:rsid w:val="00C741BF"/>
    <w:rsid w:val="00C76417"/>
    <w:rsid w:val="00C7726F"/>
    <w:rsid w:val="00C805AF"/>
    <w:rsid w:val="00C823DA"/>
    <w:rsid w:val="00C8259F"/>
    <w:rsid w:val="00C82746"/>
    <w:rsid w:val="00C8312F"/>
    <w:rsid w:val="00C84C47"/>
    <w:rsid w:val="00C858A4"/>
    <w:rsid w:val="00C86696"/>
    <w:rsid w:val="00C86AFA"/>
    <w:rsid w:val="00C87580"/>
    <w:rsid w:val="00C97DA0"/>
    <w:rsid w:val="00CA1CD8"/>
    <w:rsid w:val="00CA554D"/>
    <w:rsid w:val="00CB1660"/>
    <w:rsid w:val="00CB1768"/>
    <w:rsid w:val="00CB18D0"/>
    <w:rsid w:val="00CB1C8A"/>
    <w:rsid w:val="00CB24F5"/>
    <w:rsid w:val="00CB2663"/>
    <w:rsid w:val="00CB2B47"/>
    <w:rsid w:val="00CB3BBE"/>
    <w:rsid w:val="00CB59E9"/>
    <w:rsid w:val="00CB751D"/>
    <w:rsid w:val="00CC0602"/>
    <w:rsid w:val="00CC0A83"/>
    <w:rsid w:val="00CC0D6A"/>
    <w:rsid w:val="00CC29D1"/>
    <w:rsid w:val="00CC2CC0"/>
    <w:rsid w:val="00CC3831"/>
    <w:rsid w:val="00CC3E3D"/>
    <w:rsid w:val="00CC519B"/>
    <w:rsid w:val="00CC5761"/>
    <w:rsid w:val="00CD12C1"/>
    <w:rsid w:val="00CD1772"/>
    <w:rsid w:val="00CD214E"/>
    <w:rsid w:val="00CD46FA"/>
    <w:rsid w:val="00CD5973"/>
    <w:rsid w:val="00CE15FB"/>
    <w:rsid w:val="00CE1716"/>
    <w:rsid w:val="00CE31A6"/>
    <w:rsid w:val="00CE31DF"/>
    <w:rsid w:val="00CE5BB7"/>
    <w:rsid w:val="00CF09AA"/>
    <w:rsid w:val="00CF307A"/>
    <w:rsid w:val="00CF4813"/>
    <w:rsid w:val="00CF5233"/>
    <w:rsid w:val="00D029B8"/>
    <w:rsid w:val="00D02BA4"/>
    <w:rsid w:val="00D02F60"/>
    <w:rsid w:val="00D0464E"/>
    <w:rsid w:val="00D04A96"/>
    <w:rsid w:val="00D05720"/>
    <w:rsid w:val="00D0770C"/>
    <w:rsid w:val="00D07A7B"/>
    <w:rsid w:val="00D10E06"/>
    <w:rsid w:val="00D12937"/>
    <w:rsid w:val="00D1409F"/>
    <w:rsid w:val="00D14638"/>
    <w:rsid w:val="00D15197"/>
    <w:rsid w:val="00D153E4"/>
    <w:rsid w:val="00D16820"/>
    <w:rsid w:val="00D169C8"/>
    <w:rsid w:val="00D1793F"/>
    <w:rsid w:val="00D22AF5"/>
    <w:rsid w:val="00D235EA"/>
    <w:rsid w:val="00D247A9"/>
    <w:rsid w:val="00D257C5"/>
    <w:rsid w:val="00D32721"/>
    <w:rsid w:val="00D328DC"/>
    <w:rsid w:val="00D33387"/>
    <w:rsid w:val="00D402FB"/>
    <w:rsid w:val="00D4154F"/>
    <w:rsid w:val="00D4204A"/>
    <w:rsid w:val="00D43842"/>
    <w:rsid w:val="00D46F82"/>
    <w:rsid w:val="00D47D7A"/>
    <w:rsid w:val="00D50ABD"/>
    <w:rsid w:val="00D51484"/>
    <w:rsid w:val="00D5346F"/>
    <w:rsid w:val="00D540D1"/>
    <w:rsid w:val="00D55290"/>
    <w:rsid w:val="00D55AB2"/>
    <w:rsid w:val="00D5724D"/>
    <w:rsid w:val="00D57791"/>
    <w:rsid w:val="00D6046A"/>
    <w:rsid w:val="00D605D8"/>
    <w:rsid w:val="00D61A96"/>
    <w:rsid w:val="00D62870"/>
    <w:rsid w:val="00D636C1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4082"/>
    <w:rsid w:val="00D74C38"/>
    <w:rsid w:val="00D767B6"/>
    <w:rsid w:val="00D76EC9"/>
    <w:rsid w:val="00D80DF6"/>
    <w:rsid w:val="00D80E7D"/>
    <w:rsid w:val="00D81397"/>
    <w:rsid w:val="00D835F6"/>
    <w:rsid w:val="00D848B9"/>
    <w:rsid w:val="00D90E69"/>
    <w:rsid w:val="00D91368"/>
    <w:rsid w:val="00D92341"/>
    <w:rsid w:val="00D9242C"/>
    <w:rsid w:val="00D93106"/>
    <w:rsid w:val="00D933E9"/>
    <w:rsid w:val="00D93BF4"/>
    <w:rsid w:val="00D9505D"/>
    <w:rsid w:val="00D953D0"/>
    <w:rsid w:val="00D959F5"/>
    <w:rsid w:val="00D96884"/>
    <w:rsid w:val="00D96938"/>
    <w:rsid w:val="00D96F0B"/>
    <w:rsid w:val="00DA1413"/>
    <w:rsid w:val="00DA3FDD"/>
    <w:rsid w:val="00DA49B0"/>
    <w:rsid w:val="00DA5A49"/>
    <w:rsid w:val="00DA7017"/>
    <w:rsid w:val="00DA7028"/>
    <w:rsid w:val="00DB1AD2"/>
    <w:rsid w:val="00DB2B58"/>
    <w:rsid w:val="00DB5206"/>
    <w:rsid w:val="00DB56B9"/>
    <w:rsid w:val="00DB6276"/>
    <w:rsid w:val="00DB63F5"/>
    <w:rsid w:val="00DB678D"/>
    <w:rsid w:val="00DC1C6B"/>
    <w:rsid w:val="00DC2C2E"/>
    <w:rsid w:val="00DC4AF0"/>
    <w:rsid w:val="00DC5489"/>
    <w:rsid w:val="00DC6709"/>
    <w:rsid w:val="00DC7886"/>
    <w:rsid w:val="00DD0CF2"/>
    <w:rsid w:val="00DD1989"/>
    <w:rsid w:val="00DD4675"/>
    <w:rsid w:val="00DD5906"/>
    <w:rsid w:val="00DE0B39"/>
    <w:rsid w:val="00DE1554"/>
    <w:rsid w:val="00DE1B7F"/>
    <w:rsid w:val="00DE1EA2"/>
    <w:rsid w:val="00DE2901"/>
    <w:rsid w:val="00DE572A"/>
    <w:rsid w:val="00DE590F"/>
    <w:rsid w:val="00DE5A64"/>
    <w:rsid w:val="00DE795B"/>
    <w:rsid w:val="00DE7DC1"/>
    <w:rsid w:val="00DF24BF"/>
    <w:rsid w:val="00DF3F7E"/>
    <w:rsid w:val="00DF462D"/>
    <w:rsid w:val="00DF7648"/>
    <w:rsid w:val="00DF7FAD"/>
    <w:rsid w:val="00E00E29"/>
    <w:rsid w:val="00E0108B"/>
    <w:rsid w:val="00E02BAB"/>
    <w:rsid w:val="00E0310E"/>
    <w:rsid w:val="00E04CEB"/>
    <w:rsid w:val="00E060BC"/>
    <w:rsid w:val="00E10DC5"/>
    <w:rsid w:val="00E11420"/>
    <w:rsid w:val="00E12F26"/>
    <w:rsid w:val="00E132FB"/>
    <w:rsid w:val="00E170B7"/>
    <w:rsid w:val="00E170FD"/>
    <w:rsid w:val="00E177DD"/>
    <w:rsid w:val="00E17D64"/>
    <w:rsid w:val="00E17EF0"/>
    <w:rsid w:val="00E20900"/>
    <w:rsid w:val="00E20C7F"/>
    <w:rsid w:val="00E2396E"/>
    <w:rsid w:val="00E24728"/>
    <w:rsid w:val="00E27186"/>
    <w:rsid w:val="00E276AC"/>
    <w:rsid w:val="00E309AD"/>
    <w:rsid w:val="00E34A35"/>
    <w:rsid w:val="00E367AC"/>
    <w:rsid w:val="00E37C2F"/>
    <w:rsid w:val="00E404EC"/>
    <w:rsid w:val="00E40652"/>
    <w:rsid w:val="00E41C28"/>
    <w:rsid w:val="00E41D93"/>
    <w:rsid w:val="00E46308"/>
    <w:rsid w:val="00E51E17"/>
    <w:rsid w:val="00E521E9"/>
    <w:rsid w:val="00E526D7"/>
    <w:rsid w:val="00E52DAB"/>
    <w:rsid w:val="00E539B0"/>
    <w:rsid w:val="00E54C1D"/>
    <w:rsid w:val="00E55994"/>
    <w:rsid w:val="00E559BD"/>
    <w:rsid w:val="00E60606"/>
    <w:rsid w:val="00E60C66"/>
    <w:rsid w:val="00E6164D"/>
    <w:rsid w:val="00E618B4"/>
    <w:rsid w:val="00E618C9"/>
    <w:rsid w:val="00E6251C"/>
    <w:rsid w:val="00E62774"/>
    <w:rsid w:val="00E6307C"/>
    <w:rsid w:val="00E636FA"/>
    <w:rsid w:val="00E651F1"/>
    <w:rsid w:val="00E6640E"/>
    <w:rsid w:val="00E66C50"/>
    <w:rsid w:val="00E6752F"/>
    <w:rsid w:val="00E679D3"/>
    <w:rsid w:val="00E71208"/>
    <w:rsid w:val="00E71444"/>
    <w:rsid w:val="00E71C91"/>
    <w:rsid w:val="00E720A1"/>
    <w:rsid w:val="00E75DDA"/>
    <w:rsid w:val="00E773E8"/>
    <w:rsid w:val="00E77510"/>
    <w:rsid w:val="00E802AC"/>
    <w:rsid w:val="00E81441"/>
    <w:rsid w:val="00E819E0"/>
    <w:rsid w:val="00E81DB5"/>
    <w:rsid w:val="00E82B05"/>
    <w:rsid w:val="00E8345A"/>
    <w:rsid w:val="00E83ADD"/>
    <w:rsid w:val="00E84F38"/>
    <w:rsid w:val="00E85623"/>
    <w:rsid w:val="00E87441"/>
    <w:rsid w:val="00E91F48"/>
    <w:rsid w:val="00E91FAE"/>
    <w:rsid w:val="00E96E3F"/>
    <w:rsid w:val="00EA1778"/>
    <w:rsid w:val="00EA270C"/>
    <w:rsid w:val="00EA3C21"/>
    <w:rsid w:val="00EA43CF"/>
    <w:rsid w:val="00EA4974"/>
    <w:rsid w:val="00EA51FB"/>
    <w:rsid w:val="00EA532E"/>
    <w:rsid w:val="00EA70DF"/>
    <w:rsid w:val="00EA7ADA"/>
    <w:rsid w:val="00EB06D9"/>
    <w:rsid w:val="00EB192B"/>
    <w:rsid w:val="00EB19ED"/>
    <w:rsid w:val="00EB1CAB"/>
    <w:rsid w:val="00EB4CD8"/>
    <w:rsid w:val="00EC0F5A"/>
    <w:rsid w:val="00EC3A8B"/>
    <w:rsid w:val="00EC4265"/>
    <w:rsid w:val="00EC4CEB"/>
    <w:rsid w:val="00EC659E"/>
    <w:rsid w:val="00ED0A97"/>
    <w:rsid w:val="00ED1CA4"/>
    <w:rsid w:val="00ED2072"/>
    <w:rsid w:val="00ED2AE0"/>
    <w:rsid w:val="00ED5553"/>
    <w:rsid w:val="00ED5E36"/>
    <w:rsid w:val="00ED6961"/>
    <w:rsid w:val="00EE57F4"/>
    <w:rsid w:val="00EE5DE8"/>
    <w:rsid w:val="00EF0B96"/>
    <w:rsid w:val="00EF3486"/>
    <w:rsid w:val="00EF4257"/>
    <w:rsid w:val="00EF4554"/>
    <w:rsid w:val="00EF47AF"/>
    <w:rsid w:val="00EF53B6"/>
    <w:rsid w:val="00F00B73"/>
    <w:rsid w:val="00F00E6D"/>
    <w:rsid w:val="00F016A0"/>
    <w:rsid w:val="00F0360D"/>
    <w:rsid w:val="00F115CA"/>
    <w:rsid w:val="00F13678"/>
    <w:rsid w:val="00F14817"/>
    <w:rsid w:val="00F14C3A"/>
    <w:rsid w:val="00F14EBA"/>
    <w:rsid w:val="00F1510F"/>
    <w:rsid w:val="00F1533A"/>
    <w:rsid w:val="00F15E5A"/>
    <w:rsid w:val="00F16812"/>
    <w:rsid w:val="00F17F0A"/>
    <w:rsid w:val="00F23D49"/>
    <w:rsid w:val="00F24B51"/>
    <w:rsid w:val="00F2644A"/>
    <w:rsid w:val="00F2668F"/>
    <w:rsid w:val="00F2742F"/>
    <w:rsid w:val="00F2753B"/>
    <w:rsid w:val="00F3185A"/>
    <w:rsid w:val="00F33F8B"/>
    <w:rsid w:val="00F340B2"/>
    <w:rsid w:val="00F34826"/>
    <w:rsid w:val="00F34BC5"/>
    <w:rsid w:val="00F35381"/>
    <w:rsid w:val="00F36212"/>
    <w:rsid w:val="00F36BEC"/>
    <w:rsid w:val="00F40754"/>
    <w:rsid w:val="00F43390"/>
    <w:rsid w:val="00F443B2"/>
    <w:rsid w:val="00F458D8"/>
    <w:rsid w:val="00F45F03"/>
    <w:rsid w:val="00F50237"/>
    <w:rsid w:val="00F53596"/>
    <w:rsid w:val="00F54AE2"/>
    <w:rsid w:val="00F55BA8"/>
    <w:rsid w:val="00F55DB1"/>
    <w:rsid w:val="00F56A23"/>
    <w:rsid w:val="00F56ACA"/>
    <w:rsid w:val="00F600FE"/>
    <w:rsid w:val="00F61A1C"/>
    <w:rsid w:val="00F62E4D"/>
    <w:rsid w:val="00F630E7"/>
    <w:rsid w:val="00F66B34"/>
    <w:rsid w:val="00F675B9"/>
    <w:rsid w:val="00F711C9"/>
    <w:rsid w:val="00F72ED1"/>
    <w:rsid w:val="00F74C59"/>
    <w:rsid w:val="00F75C3A"/>
    <w:rsid w:val="00F80769"/>
    <w:rsid w:val="00F80F6C"/>
    <w:rsid w:val="00F82E30"/>
    <w:rsid w:val="00F831CB"/>
    <w:rsid w:val="00F848A3"/>
    <w:rsid w:val="00F84ACF"/>
    <w:rsid w:val="00F85742"/>
    <w:rsid w:val="00F85BF8"/>
    <w:rsid w:val="00F8707A"/>
    <w:rsid w:val="00F871CE"/>
    <w:rsid w:val="00F87802"/>
    <w:rsid w:val="00F87BDB"/>
    <w:rsid w:val="00F87C45"/>
    <w:rsid w:val="00F87C77"/>
    <w:rsid w:val="00F91C1B"/>
    <w:rsid w:val="00F923C7"/>
    <w:rsid w:val="00F92C0A"/>
    <w:rsid w:val="00F93A6C"/>
    <w:rsid w:val="00F9415B"/>
    <w:rsid w:val="00F973CA"/>
    <w:rsid w:val="00FA13C2"/>
    <w:rsid w:val="00FA4533"/>
    <w:rsid w:val="00FA45DE"/>
    <w:rsid w:val="00FA4D77"/>
    <w:rsid w:val="00FA4F55"/>
    <w:rsid w:val="00FA5579"/>
    <w:rsid w:val="00FA7F91"/>
    <w:rsid w:val="00FB121C"/>
    <w:rsid w:val="00FB1CDD"/>
    <w:rsid w:val="00FB1FBF"/>
    <w:rsid w:val="00FB2C2F"/>
    <w:rsid w:val="00FB305C"/>
    <w:rsid w:val="00FB3387"/>
    <w:rsid w:val="00FB4190"/>
    <w:rsid w:val="00FC10ED"/>
    <w:rsid w:val="00FC2E3D"/>
    <w:rsid w:val="00FC3BDE"/>
    <w:rsid w:val="00FC5A96"/>
    <w:rsid w:val="00FC6C1F"/>
    <w:rsid w:val="00FD1DBE"/>
    <w:rsid w:val="00FD2494"/>
    <w:rsid w:val="00FD25A7"/>
    <w:rsid w:val="00FD27B6"/>
    <w:rsid w:val="00FD2F92"/>
    <w:rsid w:val="00FD3689"/>
    <w:rsid w:val="00FD42A3"/>
    <w:rsid w:val="00FD7468"/>
    <w:rsid w:val="00FD7CE0"/>
    <w:rsid w:val="00FE01DE"/>
    <w:rsid w:val="00FE0B3B"/>
    <w:rsid w:val="00FE1BCA"/>
    <w:rsid w:val="00FE1BE2"/>
    <w:rsid w:val="00FE46A1"/>
    <w:rsid w:val="00FE4803"/>
    <w:rsid w:val="00FE4A95"/>
    <w:rsid w:val="00FE7281"/>
    <w:rsid w:val="00FE730A"/>
    <w:rsid w:val="00FF1DD7"/>
    <w:rsid w:val="00FF2083"/>
    <w:rsid w:val="00FF4453"/>
    <w:rsid w:val="00FF5C5C"/>
    <w:rsid w:val="00FF6019"/>
    <w:rsid w:val="47708263"/>
    <w:rsid w:val="6F218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A01CE6"/>
  <w15:docId w15:val="{E3F50EEF-C12E-48DC-801D-650DAD1D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D61A96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61A96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61A96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61A96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61A96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61A96"/>
    <w:pPr>
      <w:widowControl/>
      <w:autoSpaceDE/>
      <w:autoSpaceDN/>
      <w:adjustRightInd/>
      <w:spacing w:after="160" w:line="259" w:lineRule="auto"/>
    </w:pPr>
    <w:rPr>
      <w:rFonts w:ascii="Times" w:eastAsia="Times New Roman" w:hAnsi="Times" w:cs="Times New Roman"/>
      <w:sz w:val="22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A96"/>
    <w:pPr>
      <w:widowControl w:val="0"/>
      <w:autoSpaceDE w:val="0"/>
      <w:autoSpaceDN w:val="0"/>
      <w:adjustRightInd w:val="0"/>
      <w:spacing w:after="0" w:line="360" w:lineRule="auto"/>
    </w:pPr>
    <w:rPr>
      <w:b/>
      <w:bCs/>
      <w:sz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2"/>
      <w:lang w:eastAsia="en-US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qFormat/>
    <w:rsid w:val="00D61A96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Normalny"/>
    <w:uiPriority w:val="30"/>
    <w:qFormat/>
    <w:rsid w:val="00D61A96"/>
    <w:pPr>
      <w:widowControl/>
      <w:suppressAutoHyphens/>
      <w:ind w:left="510" w:firstLine="510"/>
      <w:jc w:val="both"/>
    </w:pPr>
    <w:rPr>
      <w:rFonts w:ascii="Times" w:hAnsi="Times"/>
    </w:r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61A96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D61A96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NormalnyWeb">
    <w:name w:val="Normal (Web)"/>
    <w:basedOn w:val="Normalny"/>
    <w:uiPriority w:val="99"/>
    <w:semiHidden/>
    <w:unhideWhenUsed/>
    <w:rsid w:val="00511923"/>
    <w:rPr>
      <w:rFonts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A62DE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D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EC0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EC0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EC0"/>
    <w:rPr>
      <w:vertAlign w:val="superscript"/>
    </w:rPr>
  </w:style>
  <w:style w:type="character" w:customStyle="1" w:styleId="normaltextrun">
    <w:name w:val="normaltextrun"/>
    <w:basedOn w:val="Domylnaczcionkaakapitu"/>
    <w:rsid w:val="001E3313"/>
  </w:style>
  <w:style w:type="paragraph" w:customStyle="1" w:styleId="paragraph">
    <w:name w:val="paragraph"/>
    <w:basedOn w:val="Normalny"/>
    <w:rsid w:val="001E331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omylnaczcionkaakapitu"/>
    <w:rsid w:val="001E3313"/>
  </w:style>
  <w:style w:type="paragraph" w:styleId="Akapitzlist">
    <w:name w:val="List Paragraph"/>
    <w:basedOn w:val="Normalny"/>
    <w:uiPriority w:val="34"/>
    <w:qFormat/>
    <w:rsid w:val="006E4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752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4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1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7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31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6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505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68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566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87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44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09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49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laz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0A8242C1928D4F93341875BE4827AC" ma:contentTypeVersion="4" ma:contentTypeDescription="Utwórz nowy dokument." ma:contentTypeScope="" ma:versionID="4d63eec67fb1c69686bb264cbe700186">
  <xsd:schema xmlns:xsd="http://www.w3.org/2001/XMLSchema" xmlns:xs="http://www.w3.org/2001/XMLSchema" xmlns:p="http://schemas.microsoft.com/office/2006/metadata/properties" xmlns:ns2="947c0871-ae17-4665-b0eb-50a17133bb1e" targetNamespace="http://schemas.microsoft.com/office/2006/metadata/properties" ma:root="true" ma:fieldsID="86fede97c229105c500741ada26d798e" ns2:_="">
    <xsd:import namespace="947c0871-ae17-4665-b0eb-50a17133b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0871-ae17-4665-b0eb-50a17133b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41546A-FE83-41B7-9133-DE12EAE26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A778D6-799F-46C5-8602-7F3C17561E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26DE41-661E-4A31-8D5A-E21626286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0871-ae17-4665-b0eb-50a17133b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364FD1-EA93-4AC0-A18D-BFFE7416C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165</TotalTime>
  <Pages>10</Pages>
  <Words>3723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Manager/>
  <Company>&lt;nazwa organu&gt;</Company>
  <LinksUpToDate>false</LinksUpToDate>
  <CharactersWithSpaces>26010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Malinowska-Wójcicka Magdalena</dc:creator>
  <cp:lastModifiedBy>RCL DISIP</cp:lastModifiedBy>
  <cp:revision>26</cp:revision>
  <cp:lastPrinted>2012-04-23T06:39:00Z</cp:lastPrinted>
  <dcterms:created xsi:type="dcterms:W3CDTF">2024-10-22T10:21:00Z</dcterms:created>
  <dcterms:modified xsi:type="dcterms:W3CDTF">2024-10-29T10:15:00Z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0x010100CD0A8242C1928D4F93341875BE4827AC</vt:lpwstr>
  </property>
  <property fmtid="{D5CDD505-2E9C-101B-9397-08002B2CF9AE}" pid="5" name="MFCATEGORY">
    <vt:lpwstr>InformacjePrzeznaczoneWylacznieDoUzytkuWewnetrznego</vt:lpwstr>
  </property>
  <property fmtid="{D5CDD505-2E9C-101B-9397-08002B2CF9AE}" pid="6" name="MFClassifiedBy">
    <vt:lpwstr>UxC4dwLulzfINJ8nQH+xvX5LNGipWa4BRSZhPgxsCvlf+jebxEGkD5FW4SvzakpQ07hkNk4dxy9aBUcl1Kz/mA==</vt:lpwstr>
  </property>
  <property fmtid="{D5CDD505-2E9C-101B-9397-08002B2CF9AE}" pid="7" name="MFClassificationDate">
    <vt:lpwstr>2024-05-28T11:55:32.2535846+02:00</vt:lpwstr>
  </property>
  <property fmtid="{D5CDD505-2E9C-101B-9397-08002B2CF9AE}" pid="8" name="MFClassifiedBySID">
    <vt:lpwstr>UxC4dwLulzfINJ8nQH+xvX5LNGipWa4BRSZhPgxsCvm42mrIC/DSDv0ggS+FjUN/2v1BBotkLlY5aAiEhoi6uVchdXnpRDlUo98qRz4fakl61ABnZbUs/VFHalS2Sfoz</vt:lpwstr>
  </property>
  <property fmtid="{D5CDD505-2E9C-101B-9397-08002B2CF9AE}" pid="9" name="MFGRNItemId">
    <vt:lpwstr>GRN-dc204658-2eae-4fbe-882b-0576c483f56a</vt:lpwstr>
  </property>
  <property fmtid="{D5CDD505-2E9C-101B-9397-08002B2CF9AE}" pid="10" name="MFHash">
    <vt:lpwstr>GFNGQcoMKD7iRWR8+T3LfGhEm5FPK7aXH1Vv1pFo/2g=</vt:lpwstr>
  </property>
  <property fmtid="{D5CDD505-2E9C-101B-9397-08002B2CF9AE}" pid="11" name="MFVisualMarkingsSettings">
    <vt:lpwstr>HeaderAlignment=1;FooterAlignment=1</vt:lpwstr>
  </property>
  <property fmtid="{D5CDD505-2E9C-101B-9397-08002B2CF9AE}" pid="12" name="DLPManualFileClassification">
    <vt:lpwstr>{5fdfc941-3fcf-4a5b-87be-4848800d39d0}</vt:lpwstr>
  </property>
  <property fmtid="{D5CDD505-2E9C-101B-9397-08002B2CF9AE}" pid="13" name="MFRefresh">
    <vt:lpwstr>False</vt:lpwstr>
  </property>
</Properties>
</file>