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12474" w14:textId="77777777" w:rsidR="00C03895" w:rsidRPr="00223B66" w:rsidRDefault="00C03895" w:rsidP="00223B66">
      <w:pPr>
        <w:keepNext/>
        <w:suppressAutoHyphens/>
        <w:spacing w:after="240" w:line="360" w:lineRule="auto"/>
        <w:jc w:val="center"/>
        <w:rPr>
          <w:rFonts w:ascii="Times New Roman" w:eastAsia="Times New Roman" w:hAnsi="Times New Roman" w:cs="Times New Roman"/>
          <w:bCs/>
          <w:spacing w:val="-4"/>
          <w:kern w:val="24"/>
          <w:sz w:val="24"/>
          <w:szCs w:val="24"/>
          <w:lang w:eastAsia="pl-PL"/>
        </w:rPr>
      </w:pPr>
      <w:bookmarkStart w:id="0" w:name="_Hlk174454178"/>
      <w:r w:rsidRPr="00223B66">
        <w:rPr>
          <w:rFonts w:ascii="Times New Roman" w:eastAsia="Times New Roman" w:hAnsi="Times New Roman" w:cs="Times New Roman"/>
          <w:bCs/>
          <w:spacing w:val="-4"/>
          <w:kern w:val="24"/>
          <w:sz w:val="24"/>
          <w:szCs w:val="24"/>
          <w:lang w:eastAsia="pl-PL"/>
        </w:rPr>
        <w:t>UZASADNIENIE</w:t>
      </w:r>
    </w:p>
    <w:p w14:paraId="5A9A7092" w14:textId="123796FA" w:rsidR="004B6928" w:rsidRPr="00E378EC" w:rsidRDefault="004B6928" w:rsidP="00223B66">
      <w:pPr>
        <w:spacing w:before="120"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bookmarkStart w:id="1" w:name="_Hlk180409353"/>
      <w:r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Projekt ustawy zakłada likwidację </w:t>
      </w:r>
      <w:r w:rsidR="0089165A" w:rsidRPr="00E378EC">
        <w:rPr>
          <w:rFonts w:ascii="Times New Roman" w:hAnsi="Times New Roman" w:cs="Times New Roman"/>
          <w:spacing w:val="-4"/>
          <w:sz w:val="24"/>
          <w:szCs w:val="24"/>
        </w:rPr>
        <w:t>Fundacji Platforma Przemysłu Przyszłości</w:t>
      </w:r>
      <w:r w:rsidR="0044736E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="0089165A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dalej </w:t>
      </w:r>
      <w:r w:rsidR="00872682" w:rsidRPr="00E378EC">
        <w:rPr>
          <w:rFonts w:ascii="Times New Roman" w:hAnsi="Times New Roman" w:cs="Times New Roman"/>
          <w:spacing w:val="-4"/>
          <w:sz w:val="24"/>
          <w:szCs w:val="24"/>
        </w:rPr>
        <w:t>„FPPP</w:t>
      </w:r>
      <w:r w:rsidR="00EB13E5" w:rsidRPr="00E378EC">
        <w:rPr>
          <w:rFonts w:ascii="Times New Roman" w:hAnsi="Times New Roman" w:cs="Times New Roman"/>
          <w:spacing w:val="-4"/>
          <w:sz w:val="24"/>
          <w:szCs w:val="24"/>
        </w:rPr>
        <w:t>”</w:t>
      </w:r>
      <w:r w:rsidR="00872682" w:rsidRPr="00E378EC">
        <w:rPr>
          <w:rFonts w:ascii="Times New Roman" w:hAnsi="Times New Roman" w:cs="Times New Roman"/>
          <w:spacing w:val="-4"/>
          <w:sz w:val="24"/>
          <w:szCs w:val="24"/>
        </w:rPr>
        <w:t>, „</w:t>
      </w:r>
      <w:r w:rsidR="0089165A" w:rsidRPr="00E378EC">
        <w:rPr>
          <w:rFonts w:ascii="Times New Roman" w:hAnsi="Times New Roman" w:cs="Times New Roman"/>
          <w:spacing w:val="-4"/>
          <w:sz w:val="24"/>
          <w:szCs w:val="24"/>
        </w:rPr>
        <w:t>Fundacj</w:t>
      </w:r>
      <w:r w:rsidR="0044736E" w:rsidRPr="00E378EC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872682" w:rsidRPr="00E378EC">
        <w:rPr>
          <w:rFonts w:ascii="Times New Roman" w:hAnsi="Times New Roman" w:cs="Times New Roman"/>
          <w:spacing w:val="-4"/>
          <w:sz w:val="24"/>
          <w:szCs w:val="24"/>
        </w:rPr>
        <w:t>” lub „Platform</w:t>
      </w:r>
      <w:r w:rsidR="0044736E" w:rsidRPr="00E378EC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872682" w:rsidRPr="00E378EC">
        <w:rPr>
          <w:rFonts w:ascii="Times New Roman" w:hAnsi="Times New Roman" w:cs="Times New Roman"/>
          <w:spacing w:val="-4"/>
          <w:sz w:val="24"/>
          <w:szCs w:val="24"/>
        </w:rPr>
        <w:t>”</w:t>
      </w:r>
      <w:r w:rsidR="0044736E" w:rsidRPr="00E378EC">
        <w:rPr>
          <w:rFonts w:ascii="Times New Roman" w:hAnsi="Times New Roman" w:cs="Times New Roman"/>
          <w:spacing w:val="-4"/>
          <w:sz w:val="24"/>
          <w:szCs w:val="24"/>
        </w:rPr>
        <w:t>),</w:t>
      </w:r>
      <w:r w:rsidR="0089165A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utworzonej ustawą z dnia 17 stycznia 2019 r. o Fundacji Platforma Przemysłu Przyszłości</w:t>
      </w:r>
      <w:r w:rsidR="00201B32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(Dz. U. z 2023 r. poz. 489 oraz z 2024 r. poz. 834)</w:t>
      </w:r>
      <w:r w:rsidR="0089165A" w:rsidRPr="00E378EC">
        <w:rPr>
          <w:rFonts w:ascii="Times New Roman" w:hAnsi="Times New Roman" w:cs="Times New Roman"/>
          <w:b/>
          <w:bCs/>
          <w:color w:val="FF0000"/>
          <w:spacing w:val="-4"/>
          <w:sz w:val="24"/>
          <w:szCs w:val="24"/>
        </w:rPr>
        <w:t xml:space="preserve"> </w:t>
      </w:r>
      <w:r w:rsidR="0089165A" w:rsidRPr="00E378EC">
        <w:rPr>
          <w:rFonts w:ascii="Times New Roman" w:hAnsi="Times New Roman" w:cs="Times New Roman"/>
          <w:spacing w:val="-4"/>
          <w:sz w:val="24"/>
          <w:szCs w:val="24"/>
        </w:rPr>
        <w:t>(dalej „ustaw</w:t>
      </w:r>
      <w:r w:rsidR="0044736E" w:rsidRPr="00E378EC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89165A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o fppp”</w:t>
      </w:r>
      <w:r w:rsidR="0044736E" w:rsidRPr="00E378EC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89165A" w:rsidRPr="00E378EC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743880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bookmarkEnd w:id="1"/>
    <w:p w14:paraId="130E57CD" w14:textId="20909A1D" w:rsidR="00732ECB" w:rsidRPr="00E378EC" w:rsidRDefault="00ED34BB" w:rsidP="00223B66">
      <w:pPr>
        <w:spacing w:before="120"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378EC">
        <w:rPr>
          <w:rFonts w:ascii="Times New Roman" w:hAnsi="Times New Roman" w:cs="Times New Roman"/>
          <w:spacing w:val="-4"/>
          <w:sz w:val="24"/>
          <w:szCs w:val="24"/>
        </w:rPr>
        <w:t>Celem Fundacji, określonym w ustawie o fppp, jest działanie na rzecz wzrostu konkurencyjności przedsiębiorców przez wspieranie ich transformacji cyfrowej w zakresie procesów, produktów i</w:t>
      </w:r>
      <w:r w:rsidR="0081502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>modeli biznesowych, wykorzystujących najnowsze osiągnięcia z dziedziny automatyzacji, sztucznej inteligencji, technologii teleinformatycznych oraz komunikacji między maszynami oraz człowiekiem a maszynami, z uwzględnieniem odpowiedniego poziomu bezpieczeństwa tych rozwiązań. Fundacja realizowała także zadania związane z digitalizacj</w:t>
      </w:r>
      <w:r w:rsidR="001E46F4" w:rsidRPr="00E378EC">
        <w:rPr>
          <w:rFonts w:ascii="Times New Roman" w:hAnsi="Times New Roman" w:cs="Times New Roman"/>
          <w:spacing w:val="-4"/>
          <w:sz w:val="24"/>
          <w:szCs w:val="24"/>
        </w:rPr>
        <w:t>ą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klastrów, rozwojem wiedzy i przekazywaniem tej wiedzy z zakresu </w:t>
      </w:r>
      <w:r w:rsidR="00561E61" w:rsidRPr="00E378EC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>rzemysłu 4.0 oraz gospodarki cyfrowej przedsiębiorcom, zwłaszcza z sektora MŚP. Zadaniem Fundacji było również prowadzenie działalności szkoleniowej oraz popularyzującej wiedzę z zakresu cyfryzacji przedsiębiorstw.</w:t>
      </w:r>
      <w:r w:rsidR="00DB16AD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416F7" w:rsidRPr="00E378EC">
        <w:rPr>
          <w:rFonts w:ascii="Times New Roman" w:hAnsi="Times New Roman" w:cs="Times New Roman"/>
          <w:spacing w:val="-4"/>
          <w:sz w:val="24"/>
          <w:szCs w:val="24"/>
        </w:rPr>
        <w:t>W</w:t>
      </w:r>
      <w:r w:rsidR="00596A32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2024 r. </w:t>
      </w:r>
      <w:r w:rsidR="00E416F7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Fundacja otrzymała </w:t>
      </w:r>
      <w:r w:rsidR="00596A32" w:rsidRPr="00E378EC">
        <w:rPr>
          <w:rFonts w:ascii="Times New Roman" w:hAnsi="Times New Roman" w:cs="Times New Roman"/>
          <w:spacing w:val="-4"/>
          <w:sz w:val="24"/>
          <w:szCs w:val="24"/>
        </w:rPr>
        <w:t>10,2 mln zł na bieżącą działalność</w:t>
      </w:r>
      <w:r w:rsidR="00502D1F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7A97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i obecnie </w:t>
      </w:r>
      <w:r w:rsidR="00820E3B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(wg stanu na </w:t>
      </w:r>
      <w:r w:rsidR="00201B32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dzień </w:t>
      </w:r>
      <w:r w:rsidR="00820E3B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30 sierpnia 2024 r.) </w:t>
      </w:r>
      <w:r w:rsidR="00587A97" w:rsidRPr="00E378EC">
        <w:rPr>
          <w:rFonts w:ascii="Times New Roman" w:hAnsi="Times New Roman" w:cs="Times New Roman"/>
          <w:spacing w:val="-4"/>
          <w:sz w:val="24"/>
          <w:szCs w:val="24"/>
        </w:rPr>
        <w:t>zatrudnia 46</w:t>
      </w:r>
      <w:r w:rsidR="0081502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587A97" w:rsidRPr="00E378EC">
        <w:rPr>
          <w:rFonts w:ascii="Times New Roman" w:hAnsi="Times New Roman" w:cs="Times New Roman"/>
          <w:spacing w:val="-4"/>
          <w:sz w:val="24"/>
          <w:szCs w:val="24"/>
        </w:rPr>
        <w:t>pracowników</w:t>
      </w:r>
      <w:r w:rsidR="00732ECB" w:rsidRPr="00E378EC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7B4CB4B9" w14:textId="7689E491" w:rsidR="00C51529" w:rsidRPr="00E378EC" w:rsidRDefault="00DB16AD" w:rsidP="00223B66">
      <w:pPr>
        <w:spacing w:before="120"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378EC">
        <w:rPr>
          <w:rFonts w:ascii="Times New Roman" w:hAnsi="Times New Roman" w:cs="Times New Roman"/>
          <w:spacing w:val="-4"/>
          <w:sz w:val="24"/>
          <w:szCs w:val="24"/>
        </w:rPr>
        <w:t>Nadzór nad Fundacją</w:t>
      </w:r>
      <w:r w:rsidR="0044736E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>od sierpnia 2022 r. sprawuje minister właściwy do spraw rozwoju regionalnego</w:t>
      </w:r>
      <w:r w:rsidR="0044736E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>dalej</w:t>
      </w:r>
      <w:r w:rsidR="0044736E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>„minist</w:t>
      </w:r>
      <w:r w:rsidR="0044736E" w:rsidRPr="00E378EC">
        <w:rPr>
          <w:rFonts w:ascii="Times New Roman" w:hAnsi="Times New Roman" w:cs="Times New Roman"/>
          <w:spacing w:val="-4"/>
          <w:sz w:val="24"/>
          <w:szCs w:val="24"/>
        </w:rPr>
        <w:t>er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>”</w:t>
      </w:r>
      <w:r w:rsidR="0044736E" w:rsidRPr="00E378EC"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2C6DB00A" w14:textId="04634728" w:rsidR="00025BF8" w:rsidRPr="00E378EC" w:rsidRDefault="00872682" w:rsidP="00223B66">
      <w:pPr>
        <w:spacing w:before="120"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378EC">
        <w:rPr>
          <w:rFonts w:ascii="Times New Roman" w:hAnsi="Times New Roman" w:cs="Times New Roman"/>
          <w:spacing w:val="-4"/>
          <w:sz w:val="24"/>
          <w:szCs w:val="24"/>
        </w:rPr>
        <w:t>Głównym probleme</w:t>
      </w:r>
      <w:r w:rsidR="00ED34BB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m zidentyfikowanym </w:t>
      </w:r>
      <w:r w:rsidR="00DB16AD" w:rsidRPr="00E378EC">
        <w:rPr>
          <w:rFonts w:ascii="Times New Roman" w:hAnsi="Times New Roman" w:cs="Times New Roman"/>
          <w:spacing w:val="-4"/>
          <w:sz w:val="24"/>
          <w:szCs w:val="24"/>
        </w:rPr>
        <w:t>w obszarze działań FPPP</w:t>
      </w:r>
      <w:r w:rsidR="0044736E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F6045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była 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nieefektywność działalności Fundacji wyrażająca się w ujemnym, z perspektywy interesu publicznego, bilansie kosztów i korzyści uzyskiwanych z działalności </w:t>
      </w:r>
      <w:r w:rsidR="00EB13E5" w:rsidRPr="00E378EC">
        <w:rPr>
          <w:rFonts w:ascii="Times New Roman" w:hAnsi="Times New Roman" w:cs="Times New Roman"/>
          <w:spacing w:val="-4"/>
          <w:sz w:val="24"/>
          <w:szCs w:val="24"/>
        </w:rPr>
        <w:t>FPPP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DB16AD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Ponadto stwierdzono nieprawidłowości w</w:t>
      </w:r>
      <w:r w:rsidR="0081502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242F21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wydatkowaniu </w:t>
      </w:r>
      <w:r w:rsidR="00DB16AD" w:rsidRPr="00E378EC">
        <w:rPr>
          <w:rFonts w:ascii="Times New Roman" w:hAnsi="Times New Roman" w:cs="Times New Roman"/>
          <w:spacing w:val="-4"/>
          <w:sz w:val="24"/>
          <w:szCs w:val="24"/>
        </w:rPr>
        <w:t>środków publicznych</w:t>
      </w:r>
      <w:r w:rsidR="003935F7" w:rsidRPr="00E378EC">
        <w:rPr>
          <w:rFonts w:ascii="Times New Roman" w:hAnsi="Times New Roman" w:cs="Times New Roman"/>
          <w:spacing w:val="-4"/>
          <w:sz w:val="24"/>
          <w:szCs w:val="24"/>
        </w:rPr>
        <w:t>, w tym przede wszystkim</w:t>
      </w:r>
      <w:r w:rsidR="00DB16AD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niegospodarnoś</w:t>
      </w:r>
      <w:r w:rsidR="00F11D01" w:rsidRPr="00E378EC">
        <w:rPr>
          <w:rFonts w:ascii="Times New Roman" w:hAnsi="Times New Roman" w:cs="Times New Roman"/>
          <w:spacing w:val="-4"/>
          <w:sz w:val="24"/>
          <w:szCs w:val="24"/>
        </w:rPr>
        <w:t>ć</w:t>
      </w:r>
      <w:r w:rsidR="003935F7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polegającą</w:t>
      </w:r>
      <w:r w:rsidR="00DB16AD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w</w:t>
      </w:r>
      <w:r w:rsidR="0081502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DB16AD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szczególności </w:t>
      </w:r>
      <w:r w:rsidR="003935F7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na </w:t>
      </w:r>
      <w:r w:rsidR="00DB16AD" w:rsidRPr="00E378EC">
        <w:rPr>
          <w:rFonts w:ascii="Times New Roman" w:hAnsi="Times New Roman" w:cs="Times New Roman"/>
          <w:spacing w:val="-4"/>
          <w:sz w:val="24"/>
          <w:szCs w:val="24"/>
        </w:rPr>
        <w:t>dokonywani</w:t>
      </w:r>
      <w:r w:rsidR="003935F7" w:rsidRPr="00E378EC">
        <w:rPr>
          <w:rFonts w:ascii="Times New Roman" w:hAnsi="Times New Roman" w:cs="Times New Roman"/>
          <w:spacing w:val="-4"/>
          <w:sz w:val="24"/>
          <w:szCs w:val="24"/>
        </w:rPr>
        <w:t>u</w:t>
      </w:r>
      <w:r w:rsidR="00DB16AD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niecelowych wydatków</w:t>
      </w:r>
      <w:r w:rsidR="60509CBB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oraz</w:t>
      </w:r>
      <w:r w:rsidR="00DB16AD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zawierani</w:t>
      </w:r>
      <w:r w:rsidR="003935F7" w:rsidRPr="00E378EC">
        <w:rPr>
          <w:rFonts w:ascii="Times New Roman" w:hAnsi="Times New Roman" w:cs="Times New Roman"/>
          <w:spacing w:val="-4"/>
          <w:sz w:val="24"/>
          <w:szCs w:val="24"/>
        </w:rPr>
        <w:t>u</w:t>
      </w:r>
      <w:r w:rsidR="00DB16AD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niekorzystnych dla Fundacji umów</w:t>
      </w:r>
      <w:r w:rsidR="0033108F" w:rsidRPr="00E378EC">
        <w:rPr>
          <w:rFonts w:ascii="Times New Roman" w:hAnsi="Times New Roman" w:cs="Times New Roman"/>
          <w:spacing w:val="-4"/>
          <w:sz w:val="24"/>
          <w:szCs w:val="24"/>
        </w:rPr>
        <w:t>, które nie były związane</w:t>
      </w:r>
      <w:r w:rsidR="00211DE7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z działalnością statutową </w:t>
      </w:r>
      <w:r w:rsidR="0033108F" w:rsidRPr="00E378EC">
        <w:rPr>
          <w:rFonts w:ascii="Times New Roman" w:hAnsi="Times New Roman" w:cs="Times New Roman"/>
          <w:spacing w:val="-4"/>
          <w:sz w:val="24"/>
          <w:szCs w:val="24"/>
        </w:rPr>
        <w:t>Fundacji</w:t>
      </w:r>
      <w:r w:rsidR="00DB16AD" w:rsidRPr="00E378EC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D43CA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54305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Działalność Fundacji, </w:t>
      </w:r>
      <w:r w:rsidR="00633F03" w:rsidRPr="00E378EC">
        <w:rPr>
          <w:rFonts w:ascii="Times New Roman" w:hAnsi="Times New Roman" w:cs="Times New Roman"/>
          <w:spacing w:val="-4"/>
          <w:sz w:val="24"/>
          <w:szCs w:val="24"/>
        </w:rPr>
        <w:t>mimo przekazania w ramach dotacji podmiotowych</w:t>
      </w:r>
      <w:r w:rsidR="00054305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33F03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znaczących </w:t>
      </w:r>
      <w:r w:rsidR="00054305" w:rsidRPr="00E378EC">
        <w:rPr>
          <w:rFonts w:ascii="Times New Roman" w:hAnsi="Times New Roman" w:cs="Times New Roman"/>
          <w:spacing w:val="-4"/>
          <w:sz w:val="24"/>
          <w:szCs w:val="24"/>
        </w:rPr>
        <w:t>środk</w:t>
      </w:r>
      <w:r w:rsidR="00633F03" w:rsidRPr="00E378EC">
        <w:rPr>
          <w:rFonts w:ascii="Times New Roman" w:hAnsi="Times New Roman" w:cs="Times New Roman"/>
          <w:spacing w:val="-4"/>
          <w:sz w:val="24"/>
          <w:szCs w:val="24"/>
        </w:rPr>
        <w:t>ów</w:t>
      </w:r>
      <w:r w:rsidR="00054305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w okresie </w:t>
      </w:r>
      <w:r w:rsidR="00AF2E2E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jej </w:t>
      </w:r>
      <w:r w:rsidR="00054305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działalności, </w:t>
      </w:r>
      <w:r w:rsidR="00AF2E2E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nie osiągnęła założonych </w:t>
      </w:r>
      <w:r w:rsidR="00633F03" w:rsidRPr="00E378EC">
        <w:rPr>
          <w:rFonts w:ascii="Times New Roman" w:hAnsi="Times New Roman" w:cs="Times New Roman"/>
          <w:spacing w:val="-4"/>
          <w:sz w:val="24"/>
          <w:szCs w:val="24"/>
        </w:rPr>
        <w:t>celów</w:t>
      </w:r>
      <w:r w:rsidR="00AF2E2E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33F03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przedstawionych w uzasadnieniu ustawy erygującej Fundację, ale także </w:t>
      </w:r>
      <w:r w:rsidR="00AF2E2E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opisanych w </w:t>
      </w:r>
      <w:r w:rsidR="00633F03" w:rsidRPr="00E378EC">
        <w:rPr>
          <w:rFonts w:ascii="Times New Roman" w:hAnsi="Times New Roman" w:cs="Times New Roman"/>
          <w:spacing w:val="-4"/>
          <w:sz w:val="24"/>
          <w:szCs w:val="24"/>
        </w:rPr>
        <w:t>S</w:t>
      </w:r>
      <w:r w:rsidR="00AF2E2E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trategii </w:t>
      </w:r>
      <w:r w:rsidR="00633F03" w:rsidRPr="00E378EC">
        <w:rPr>
          <w:rFonts w:ascii="Times New Roman" w:hAnsi="Times New Roman" w:cs="Times New Roman"/>
          <w:spacing w:val="-4"/>
          <w:sz w:val="24"/>
          <w:szCs w:val="24"/>
        </w:rPr>
        <w:t>d</w:t>
      </w:r>
      <w:r w:rsidR="00AF2E2E" w:rsidRPr="00E378EC">
        <w:rPr>
          <w:rFonts w:ascii="Times New Roman" w:hAnsi="Times New Roman" w:cs="Times New Roman"/>
          <w:spacing w:val="-4"/>
          <w:sz w:val="24"/>
          <w:szCs w:val="24"/>
        </w:rPr>
        <w:t>ziałalności</w:t>
      </w:r>
      <w:r w:rsidR="00633F03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przyjęt</w:t>
      </w:r>
      <w:r w:rsidR="00CA0213" w:rsidRPr="00E378EC">
        <w:rPr>
          <w:rFonts w:ascii="Times New Roman" w:hAnsi="Times New Roman" w:cs="Times New Roman"/>
          <w:spacing w:val="-4"/>
          <w:sz w:val="24"/>
          <w:szCs w:val="24"/>
        </w:rPr>
        <w:t>ej</w:t>
      </w:r>
      <w:r w:rsidR="00633F03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przez Fundacj</w:t>
      </w:r>
      <w:r w:rsidR="007B72BB" w:rsidRPr="00E378EC">
        <w:rPr>
          <w:rFonts w:ascii="Times New Roman" w:hAnsi="Times New Roman" w:cs="Times New Roman"/>
          <w:spacing w:val="-4"/>
          <w:sz w:val="24"/>
          <w:szCs w:val="24"/>
        </w:rPr>
        <w:t>ę</w:t>
      </w:r>
      <w:r w:rsidR="00BD2204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w okresie jej funkcjonowania</w:t>
      </w:r>
      <w:r w:rsidR="00AF2E2E" w:rsidRPr="00E378EC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BD2204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Struktura zatrudnienia kreowana na przestrzeni lat działalności nie była adekwatna do zadań i</w:t>
      </w:r>
      <w:r w:rsidR="0081502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BD2204" w:rsidRPr="00E378EC">
        <w:rPr>
          <w:rFonts w:ascii="Times New Roman" w:hAnsi="Times New Roman" w:cs="Times New Roman"/>
          <w:spacing w:val="-4"/>
          <w:sz w:val="24"/>
          <w:szCs w:val="24"/>
        </w:rPr>
        <w:t>wyzwań stawianych przed Fundacją.</w:t>
      </w:r>
      <w:r w:rsidR="00173AA6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D1837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Zasoby finansowe Fundacji </w:t>
      </w:r>
      <w:r w:rsidR="000F7877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w okresie jej działalności były także wykorzystywane dla działań pozostających </w:t>
      </w:r>
      <w:r w:rsidR="00F27BDD" w:rsidRPr="00E378EC">
        <w:rPr>
          <w:rFonts w:ascii="Times New Roman" w:hAnsi="Times New Roman" w:cs="Times New Roman"/>
          <w:spacing w:val="-4"/>
          <w:sz w:val="24"/>
          <w:szCs w:val="24"/>
        </w:rPr>
        <w:t>w</w:t>
      </w:r>
      <w:r w:rsidR="000F7877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pozornym zbiegu z</w:t>
      </w:r>
      <w:r w:rsidR="00820E3B" w:rsidRPr="00E378EC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0F7877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działalnością statutową Fundacji. 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>Negatywna ocena efektów działań tego podmiotu</w:t>
      </w:r>
      <w:r w:rsidR="00025BF8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B16AD" w:rsidRPr="00E378EC">
        <w:rPr>
          <w:rFonts w:ascii="Times New Roman" w:hAnsi="Times New Roman" w:cs="Times New Roman"/>
          <w:spacing w:val="-4"/>
          <w:sz w:val="24"/>
          <w:szCs w:val="24"/>
        </w:rPr>
        <w:t>znalazła odzwierciedlenie także w</w:t>
      </w:r>
      <w:r w:rsidR="0081502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DB16AD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fakcie niezatwierdzenia przez ministra </w:t>
      </w:r>
      <w:r w:rsidR="007742A5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sprawozdania finansowego </w:t>
      </w:r>
      <w:r w:rsidR="00054305" w:rsidRPr="00E378EC">
        <w:rPr>
          <w:rFonts w:ascii="Times New Roman" w:hAnsi="Times New Roman" w:cs="Times New Roman"/>
          <w:spacing w:val="-4"/>
          <w:sz w:val="24"/>
          <w:szCs w:val="24"/>
        </w:rPr>
        <w:t>Fundacji</w:t>
      </w:r>
      <w:r w:rsidR="00660EB7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742A5" w:rsidRPr="00E378EC">
        <w:rPr>
          <w:rFonts w:ascii="Times New Roman" w:hAnsi="Times New Roman" w:cs="Times New Roman"/>
          <w:spacing w:val="-4"/>
          <w:sz w:val="24"/>
          <w:szCs w:val="24"/>
        </w:rPr>
        <w:t>za 2023 r.</w:t>
      </w:r>
    </w:p>
    <w:p w14:paraId="5C61C304" w14:textId="6FAD8E63" w:rsidR="00025BF8" w:rsidRPr="00E378EC" w:rsidRDefault="00DB16AD" w:rsidP="00223B66">
      <w:pPr>
        <w:spacing w:before="120"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378EC">
        <w:rPr>
          <w:rFonts w:ascii="Times New Roman" w:hAnsi="Times New Roman" w:cs="Times New Roman"/>
          <w:spacing w:val="-4"/>
          <w:sz w:val="24"/>
          <w:szCs w:val="24"/>
        </w:rPr>
        <w:lastRenderedPageBreak/>
        <w:t>Należy ponadto zauważyć, że zakres zadań Fundacji pokrywa się z zadaniami innych instytucji w</w:t>
      </w:r>
      <w:r w:rsidR="0081502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systemie wsparcia przedsiębiorstw. I tak </w:t>
      </w:r>
      <w:r w:rsidR="00025BF8" w:rsidRPr="00E378EC">
        <w:rPr>
          <w:rFonts w:ascii="Times New Roman" w:hAnsi="Times New Roman" w:cs="Times New Roman"/>
          <w:spacing w:val="-4"/>
          <w:sz w:val="24"/>
          <w:szCs w:val="24"/>
        </w:rPr>
        <w:t>Fundacja realizuje zadania, któ</w:t>
      </w:r>
      <w:r w:rsidR="00402D84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re </w:t>
      </w:r>
      <w:r w:rsidR="00622CE7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od wielu lat wdraża </w:t>
      </w:r>
      <w:r w:rsidR="00402D84" w:rsidRPr="00E378EC">
        <w:rPr>
          <w:rFonts w:ascii="Times New Roman" w:hAnsi="Times New Roman" w:cs="Times New Roman"/>
          <w:spacing w:val="-4"/>
          <w:sz w:val="24"/>
          <w:szCs w:val="24"/>
        </w:rPr>
        <w:t>Polska Agencja Rozwoju Przedsiębiorczości</w:t>
      </w:r>
      <w:r w:rsidR="00A809E9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(dalej </w:t>
      </w:r>
      <w:r w:rsidR="003935F7" w:rsidRPr="00E378EC">
        <w:rPr>
          <w:rFonts w:ascii="Times New Roman" w:hAnsi="Times New Roman" w:cs="Times New Roman"/>
          <w:spacing w:val="-4"/>
          <w:sz w:val="24"/>
          <w:szCs w:val="24"/>
        </w:rPr>
        <w:t>„</w:t>
      </w:r>
      <w:r w:rsidR="00A809E9" w:rsidRPr="00E378EC">
        <w:rPr>
          <w:rFonts w:ascii="Times New Roman" w:hAnsi="Times New Roman" w:cs="Times New Roman"/>
          <w:spacing w:val="-4"/>
          <w:sz w:val="24"/>
          <w:szCs w:val="24"/>
        </w:rPr>
        <w:t>PARP</w:t>
      </w:r>
      <w:r w:rsidR="003935F7" w:rsidRPr="00E378EC">
        <w:rPr>
          <w:rFonts w:ascii="Times New Roman" w:hAnsi="Times New Roman" w:cs="Times New Roman"/>
          <w:spacing w:val="-4"/>
          <w:sz w:val="24"/>
          <w:szCs w:val="24"/>
        </w:rPr>
        <w:t>”</w:t>
      </w:r>
      <w:r w:rsidR="00A809E9" w:rsidRPr="00E378EC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402D84" w:rsidRPr="00E378EC">
        <w:rPr>
          <w:rFonts w:ascii="Times New Roman" w:hAnsi="Times New Roman" w:cs="Times New Roman"/>
          <w:spacing w:val="-4"/>
          <w:sz w:val="24"/>
          <w:szCs w:val="24"/>
        </w:rPr>
        <w:t>, tj.</w:t>
      </w:r>
      <w:r w:rsidR="00025BF8" w:rsidRPr="00E378EC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14:paraId="7506B944" w14:textId="703C6964" w:rsidR="00025BF8" w:rsidRPr="00E378EC" w:rsidRDefault="00025BF8" w:rsidP="00917B7F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378EC">
        <w:rPr>
          <w:rFonts w:ascii="Times New Roman" w:hAnsi="Times New Roman" w:cs="Times New Roman"/>
          <w:spacing w:val="-4"/>
          <w:sz w:val="24"/>
          <w:szCs w:val="24"/>
        </w:rPr>
        <w:t>budowanie świadomości przedsiębiorców i promowanie cyfryzacji przemysłu i</w:t>
      </w:r>
      <w:r w:rsidR="00331377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>transformacji</w:t>
      </w:r>
      <w:r w:rsidR="00DB16AD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>cyfrowej przez informowanie, szkolenia i doradztwo</w:t>
      </w:r>
      <w:r w:rsidR="00740C9B" w:rsidRPr="00E378EC">
        <w:rPr>
          <w:rFonts w:ascii="Times New Roman" w:hAnsi="Times New Roman" w:cs="Times New Roman"/>
          <w:spacing w:val="-4"/>
          <w:sz w:val="24"/>
          <w:szCs w:val="24"/>
        </w:rPr>
        <w:t>,</w:t>
      </w:r>
    </w:p>
    <w:p w14:paraId="655A6162" w14:textId="68878C2D" w:rsidR="00025BF8" w:rsidRPr="00E378EC" w:rsidRDefault="00025BF8" w:rsidP="00223B66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378EC">
        <w:rPr>
          <w:rFonts w:ascii="Times New Roman" w:hAnsi="Times New Roman" w:cs="Times New Roman"/>
          <w:spacing w:val="-4"/>
          <w:sz w:val="24"/>
          <w:szCs w:val="24"/>
        </w:rPr>
        <w:t>udzielanie niefinansowego wsparcia dla przedsiębiorstw na cyfryzację przemysłu i</w:t>
      </w:r>
      <w:r w:rsidR="00DB16AD" w:rsidRPr="00E378EC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>transformację cyfrową</w:t>
      </w:r>
      <w:r w:rsidR="00740C9B" w:rsidRPr="00E378EC">
        <w:rPr>
          <w:rFonts w:ascii="Times New Roman" w:hAnsi="Times New Roman" w:cs="Times New Roman"/>
          <w:spacing w:val="-4"/>
          <w:sz w:val="24"/>
          <w:szCs w:val="24"/>
        </w:rPr>
        <w:t>,</w:t>
      </w:r>
    </w:p>
    <w:p w14:paraId="65CE10A2" w14:textId="19AE138D" w:rsidR="00025BF8" w:rsidRPr="00E378EC" w:rsidRDefault="00025BF8" w:rsidP="00223B66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378EC">
        <w:rPr>
          <w:rFonts w:ascii="Times New Roman" w:hAnsi="Times New Roman" w:cs="Times New Roman"/>
          <w:spacing w:val="-4"/>
          <w:sz w:val="24"/>
          <w:szCs w:val="24"/>
        </w:rPr>
        <w:t>współpraca z podmiotami prowadzącymi kształcenie techniczne mająca promować dostosowanie kompetencji pracowników do potrzeb przemysłu przyszłości</w:t>
      </w:r>
      <w:r w:rsidR="00740C9B" w:rsidRPr="00E378EC">
        <w:rPr>
          <w:rFonts w:ascii="Times New Roman" w:hAnsi="Times New Roman" w:cs="Times New Roman"/>
          <w:spacing w:val="-4"/>
          <w:sz w:val="24"/>
          <w:szCs w:val="24"/>
        </w:rPr>
        <w:t>,</w:t>
      </w:r>
    </w:p>
    <w:p w14:paraId="11A2817B" w14:textId="1AD776ED" w:rsidR="00025BF8" w:rsidRPr="00E378EC" w:rsidRDefault="00025BF8" w:rsidP="00223B6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378EC">
        <w:rPr>
          <w:rFonts w:ascii="Times New Roman" w:hAnsi="Times New Roman" w:cs="Times New Roman"/>
          <w:spacing w:val="-4"/>
          <w:sz w:val="24"/>
          <w:szCs w:val="24"/>
        </w:rPr>
        <w:t>prowadzenie badań, analiz i ewaluacji w zakresie cyfryzacji przemysłu i transformacji cyfrowej.</w:t>
      </w:r>
    </w:p>
    <w:p w14:paraId="13B0DC8C" w14:textId="58A4243A" w:rsidR="00DB16AD" w:rsidRPr="00E378EC" w:rsidRDefault="00DB16AD" w:rsidP="00223B6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E378EC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W tej sytuacji nie jest zasadne dalsze utrzymywanie działalności Platformy m.in. z punktu widzenia racjonalnego gospodarowania środkami publicznymi oraz optymalnej i skutecznej realizacji zadań </w:t>
      </w:r>
      <w:r w:rsidR="00864500" w:rsidRPr="00E378EC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objętych statutową działalnością Fundacji </w:t>
      </w:r>
      <w:r w:rsidRPr="00E378EC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(osiągania najlepszych efektów z</w:t>
      </w:r>
      <w:r w:rsidR="00331377" w:rsidRPr="00E378EC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E378EC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poniesionych nakładów).</w:t>
      </w:r>
    </w:p>
    <w:p w14:paraId="2F1C96F1" w14:textId="2C0EAB80" w:rsidR="00402D84" w:rsidRPr="00E378EC" w:rsidRDefault="00402D84" w:rsidP="00223B6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E378EC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Projektowane przepisy określą zasady likwidacji </w:t>
      </w:r>
      <w:r w:rsidR="00A809E9" w:rsidRPr="00E378EC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Fundacji</w:t>
      </w:r>
      <w:r w:rsidRPr="00E378EC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oraz sposób alokowania </w:t>
      </w:r>
      <w:r w:rsidR="0030278B" w:rsidRPr="00E378EC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do PARP </w:t>
      </w:r>
      <w:r w:rsidRPr="00E378EC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środków</w:t>
      </w:r>
      <w:r w:rsidR="00CB0B67" w:rsidRPr="00E378EC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E378EC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="00820E3B" w:rsidRPr="00E378EC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E378EC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zasobów przeznaczonych dotychczas na realizację zadań przez Platformę. Projekt zakłada także uregulowanie kwestii dotyczących jej mienia oraz zobowiązań istniejących w</w:t>
      </w:r>
      <w:r w:rsidR="0030278B" w:rsidRPr="00E378EC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 </w:t>
      </w:r>
      <w:r w:rsidRPr="00E378EC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momencie otwarcia likwidacji</w:t>
      </w:r>
      <w:r w:rsidR="0044736E" w:rsidRPr="00E378EC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</w:p>
    <w:p w14:paraId="07DC3F3A" w14:textId="4630B7CD" w:rsidR="00402D84" w:rsidRPr="00E378EC" w:rsidRDefault="004921CB" w:rsidP="00223B6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E378EC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Otwarcie l</w:t>
      </w:r>
      <w:r w:rsidR="00402D84" w:rsidRPr="00E378EC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ikwidacj</w:t>
      </w:r>
      <w:r w:rsidRPr="00E378EC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="00402D84" w:rsidRPr="00E378EC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Platformy nastąpi z mocy prawa wraz z wejściem w życie przepisów projektowanej ustawy</w:t>
      </w:r>
      <w:r w:rsidRPr="00E378EC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, zaś jej likwidacja nastąpi z dniem 31 grudnia 2024 r</w:t>
      </w:r>
      <w:r w:rsidR="00402D84" w:rsidRPr="00E378EC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. Zadania Platformy </w:t>
      </w:r>
      <w:r w:rsidR="008C26A6" w:rsidRPr="00E378EC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będzie realizowała </w:t>
      </w:r>
      <w:r w:rsidR="00402D84" w:rsidRPr="00E378EC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PARP, działająca na podstawie ustawy z dnia 9 listopada 2000 r. o utworzeniu Polskiej Agencji Rozwoju Przedsiębiorczości</w:t>
      </w:r>
      <w:r w:rsidR="00201B32" w:rsidRPr="00E378EC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(Dz. U. z 2024 r. poz. 419)</w:t>
      </w:r>
      <w:r w:rsidR="00402D84" w:rsidRPr="00E378EC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. </w:t>
      </w:r>
    </w:p>
    <w:p w14:paraId="253E132F" w14:textId="5B08F719" w:rsidR="0065487B" w:rsidRPr="00E378EC" w:rsidRDefault="00025BF8" w:rsidP="00223B66">
      <w:pPr>
        <w:spacing w:before="120"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Po przejęciu przez PARP zadań Platformy rozszerzeniu </w:t>
      </w:r>
      <w:r w:rsidR="00D62237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i intensyfikacji 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ulegnie zakres </w:t>
      </w:r>
      <w:r w:rsidR="00D62237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realizacji 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>dotychczas</w:t>
      </w:r>
      <w:r w:rsidR="00D62237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owych zadań </w:t>
      </w:r>
      <w:r w:rsidR="004921CB" w:rsidRPr="00E378EC">
        <w:rPr>
          <w:rFonts w:ascii="Times New Roman" w:hAnsi="Times New Roman" w:cs="Times New Roman"/>
          <w:spacing w:val="-4"/>
          <w:sz w:val="24"/>
          <w:szCs w:val="24"/>
        </w:rPr>
        <w:t>PARP</w:t>
      </w:r>
      <w:r w:rsidR="00D62237" w:rsidRPr="00E378EC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Warto także podkreślić, że PARP prowadzi projekty badawcze, </w:t>
      </w:r>
      <w:r w:rsidR="008D2BE7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współpracę 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>międzynarodow</w:t>
      </w:r>
      <w:r w:rsidR="0056438B" w:rsidRPr="00E378EC">
        <w:rPr>
          <w:rFonts w:ascii="Times New Roman" w:hAnsi="Times New Roman" w:cs="Times New Roman"/>
          <w:spacing w:val="-4"/>
          <w:sz w:val="24"/>
          <w:szCs w:val="24"/>
        </w:rPr>
        <w:t>ą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czy ewaluacje, będąc członkiem organizacji międzynarodowych</w:t>
      </w:r>
      <w:r w:rsidR="008D2BE7" w:rsidRPr="00E378EC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czy realizując wspólne z sektorem nauki projekty badawcze. Wartością, z</w:t>
      </w:r>
      <w:r w:rsidR="00331377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>której PARP będzie korzystał</w:t>
      </w:r>
      <w:r w:rsidR="00CB0B67" w:rsidRPr="00E378EC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8D2BE7" w:rsidRPr="00E378EC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jest szeroka baza ekspertów z zakresu cyfryzacji przemysłu i</w:t>
      </w:r>
      <w:r w:rsidR="00331377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transformacji cyfrowej, którą Platforma dysponowała </w:t>
      </w:r>
      <w:r w:rsidR="00A86061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we własnym zakresie oraz 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>w oparciu</w:t>
      </w:r>
      <w:r w:rsidR="00732ECB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>o</w:t>
      </w:r>
      <w:r w:rsidR="00331377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zlecane zadania. </w:t>
      </w:r>
      <w:r w:rsidR="00A934F5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Zadania realizowane przez 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PARP </w:t>
      </w:r>
      <w:r w:rsidR="00A934F5" w:rsidRPr="00E378EC">
        <w:rPr>
          <w:rFonts w:ascii="Times New Roman" w:hAnsi="Times New Roman" w:cs="Times New Roman"/>
          <w:spacing w:val="-4"/>
          <w:sz w:val="24"/>
          <w:szCs w:val="24"/>
        </w:rPr>
        <w:t>w zakresie cyfryzacji przemysłu i</w:t>
      </w:r>
      <w:r w:rsidR="00331377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934F5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przedsiębiorstw oraz </w:t>
      </w:r>
      <w:r w:rsidR="004921CB" w:rsidRPr="00E378EC">
        <w:rPr>
          <w:rFonts w:ascii="Times New Roman" w:hAnsi="Times New Roman" w:cs="Times New Roman"/>
          <w:spacing w:val="-4"/>
          <w:sz w:val="24"/>
          <w:szCs w:val="24"/>
        </w:rPr>
        <w:t>P</w:t>
      </w:r>
      <w:r w:rsidR="00A86061" w:rsidRPr="00E378EC">
        <w:rPr>
          <w:rFonts w:ascii="Times New Roman" w:hAnsi="Times New Roman" w:cs="Times New Roman"/>
          <w:spacing w:val="-4"/>
          <w:sz w:val="24"/>
          <w:szCs w:val="24"/>
        </w:rPr>
        <w:t>rzemysł</w:t>
      </w:r>
      <w:r w:rsidR="004921CB" w:rsidRPr="00E378EC">
        <w:rPr>
          <w:rFonts w:ascii="Times New Roman" w:hAnsi="Times New Roman" w:cs="Times New Roman"/>
          <w:spacing w:val="-4"/>
          <w:sz w:val="24"/>
          <w:szCs w:val="24"/>
        </w:rPr>
        <w:t>u</w:t>
      </w:r>
      <w:r w:rsidR="00A86061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934F5" w:rsidRPr="00E378EC">
        <w:rPr>
          <w:rFonts w:ascii="Times New Roman" w:hAnsi="Times New Roman" w:cs="Times New Roman"/>
          <w:spacing w:val="-4"/>
          <w:sz w:val="24"/>
          <w:szCs w:val="24"/>
        </w:rPr>
        <w:t>4.0 zostaną wskazane</w:t>
      </w:r>
      <w:r w:rsidR="00732ECB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934F5" w:rsidRPr="00E378EC">
        <w:rPr>
          <w:rFonts w:ascii="Times New Roman" w:hAnsi="Times New Roman" w:cs="Times New Roman"/>
          <w:spacing w:val="-4"/>
          <w:sz w:val="24"/>
          <w:szCs w:val="24"/>
        </w:rPr>
        <w:t>w</w:t>
      </w:r>
      <w:r w:rsidR="00331377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>Planie działalności</w:t>
      </w:r>
      <w:r w:rsidR="00A934F5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wraz z efektami i</w:t>
      </w:r>
      <w:r w:rsidR="00331377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>miernik</w:t>
      </w:r>
      <w:r w:rsidR="004921CB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ami 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>rezultatu</w:t>
      </w:r>
      <w:r w:rsidR="0065487B" w:rsidRPr="00E378EC">
        <w:rPr>
          <w:rFonts w:ascii="Times New Roman" w:hAnsi="Times New Roman" w:cs="Times New Roman"/>
          <w:sz w:val="24"/>
          <w:szCs w:val="24"/>
        </w:rPr>
        <w:t>,</w:t>
      </w:r>
      <w:r w:rsidR="00203A15" w:rsidRPr="00E378EC">
        <w:rPr>
          <w:rFonts w:ascii="Times New Roman" w:hAnsi="Times New Roman" w:cs="Times New Roman"/>
          <w:sz w:val="24"/>
          <w:szCs w:val="24"/>
        </w:rPr>
        <w:t xml:space="preserve"> </w:t>
      </w:r>
      <w:r w:rsidR="0065487B" w:rsidRPr="00E378EC">
        <w:rPr>
          <w:rFonts w:ascii="Times New Roman" w:hAnsi="Times New Roman" w:cs="Times New Roman"/>
          <w:sz w:val="24"/>
          <w:szCs w:val="24"/>
        </w:rPr>
        <w:t>po wcześniejszym uzgodnieniu z przedstawicie</w:t>
      </w:r>
      <w:r w:rsidR="00B914F1" w:rsidRPr="00E378EC">
        <w:rPr>
          <w:rFonts w:ascii="Times New Roman" w:hAnsi="Times New Roman" w:cs="Times New Roman"/>
          <w:sz w:val="24"/>
          <w:szCs w:val="24"/>
        </w:rPr>
        <w:t>lami</w:t>
      </w:r>
      <w:r w:rsidR="0065487B" w:rsidRPr="00E378EC">
        <w:rPr>
          <w:rFonts w:ascii="Times New Roman" w:hAnsi="Times New Roman" w:cs="Times New Roman"/>
          <w:sz w:val="24"/>
          <w:szCs w:val="24"/>
        </w:rPr>
        <w:t xml:space="preserve"> Ministra Rozwoju i</w:t>
      </w:r>
      <w:r w:rsidR="00331377" w:rsidRPr="00E378EC">
        <w:rPr>
          <w:rFonts w:ascii="Times New Roman" w:hAnsi="Times New Roman" w:cs="Times New Roman"/>
          <w:sz w:val="24"/>
          <w:szCs w:val="24"/>
        </w:rPr>
        <w:t xml:space="preserve"> </w:t>
      </w:r>
      <w:r w:rsidR="0065487B" w:rsidRPr="00E378EC">
        <w:rPr>
          <w:rFonts w:ascii="Times New Roman" w:hAnsi="Times New Roman" w:cs="Times New Roman"/>
          <w:sz w:val="24"/>
          <w:szCs w:val="24"/>
        </w:rPr>
        <w:t>Technologii.</w:t>
      </w:r>
    </w:p>
    <w:p w14:paraId="07723F8F" w14:textId="3866E43F" w:rsidR="00B74206" w:rsidRPr="00E378EC" w:rsidRDefault="00A00896" w:rsidP="00223B66">
      <w:pPr>
        <w:spacing w:before="120"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378EC">
        <w:rPr>
          <w:rFonts w:ascii="Times New Roman" w:hAnsi="Times New Roman" w:cs="Times New Roman"/>
          <w:spacing w:val="-4"/>
          <w:sz w:val="24"/>
          <w:szCs w:val="24"/>
        </w:rPr>
        <w:lastRenderedPageBreak/>
        <w:t>Minister właściwy do spraw rozwoju regionalnego będzie dokonywał oceny efektywności realizowanych przez PARP zadań, w szczególności efektywności wykorzystania środków publicznych zaangażowanych na te działania w oparciu o przedstawiane przez PARP coroczne sprawozdania.</w:t>
      </w:r>
    </w:p>
    <w:p w14:paraId="6DBAA8AB" w14:textId="66015E7A" w:rsidR="00427BBC" w:rsidRPr="00E378EC" w:rsidRDefault="00403651" w:rsidP="00223B66">
      <w:pPr>
        <w:spacing w:before="120"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378EC">
        <w:rPr>
          <w:rFonts w:ascii="Times New Roman" w:hAnsi="Times New Roman" w:cs="Times New Roman"/>
          <w:spacing w:val="-4"/>
          <w:sz w:val="24"/>
          <w:szCs w:val="24"/>
        </w:rPr>
        <w:t>Projektowana ustawa określ</w:t>
      </w:r>
      <w:r w:rsidR="00E1312C" w:rsidRPr="00E378EC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>, że PARP przejmie mienie Platformy oraz jej zobowiązania</w:t>
      </w:r>
      <w:r w:rsidR="00B92246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81502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należności. </w:t>
      </w:r>
      <w:r w:rsidR="00B92246" w:rsidRPr="00E378EC">
        <w:rPr>
          <w:rFonts w:ascii="Times New Roman" w:hAnsi="Times New Roman" w:cs="Times New Roman"/>
          <w:spacing w:val="-4"/>
          <w:sz w:val="24"/>
          <w:szCs w:val="24"/>
        </w:rPr>
        <w:t>Przejęte zostaną m.in. dokumentacja oraz zasoby FPPP, w</w:t>
      </w:r>
      <w:r w:rsidR="00331377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92246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tym aktywa IT, głównie wartości niematerialne i prawne w postaci zgromadzonej przez Fundację wiedzy i rozwiązań IT. 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>PARP stanie się także stroną umów i porozumień zawartych przez Platformę. Wartość księgowa netto środków trwałych, wartości niematerialnych i prawnych oraz innych składników mienia przejętego od Platformy powiększy fundusz statutowy PARP.</w:t>
      </w:r>
      <w:r w:rsidR="00DB72ED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4144B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Jednocześnie </w:t>
      </w:r>
      <w:r w:rsidR="00427BBC" w:rsidRPr="00E378EC">
        <w:rPr>
          <w:rFonts w:ascii="Times New Roman" w:hAnsi="Times New Roman" w:cs="Times New Roman"/>
          <w:spacing w:val="-4"/>
          <w:sz w:val="24"/>
          <w:szCs w:val="24"/>
        </w:rPr>
        <w:t>w projekcie ustawy określone zostało, że przejęcie mienia Platformy nie będzie rodziło dla PARP konsekwencji w</w:t>
      </w:r>
      <w:r w:rsidR="0081502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427BBC" w:rsidRPr="00E378EC">
        <w:rPr>
          <w:rFonts w:ascii="Times New Roman" w:hAnsi="Times New Roman" w:cs="Times New Roman"/>
          <w:spacing w:val="-4"/>
          <w:sz w:val="24"/>
          <w:szCs w:val="24"/>
        </w:rPr>
        <w:t>zakresie zobowiązań podatkowych oraz innych danin publicznych</w:t>
      </w:r>
      <w:r w:rsidR="0054144B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27BBC" w:rsidRPr="00E378EC">
        <w:rPr>
          <w:rFonts w:ascii="Times New Roman" w:hAnsi="Times New Roman" w:cs="Times New Roman"/>
          <w:spacing w:val="-4"/>
          <w:sz w:val="24"/>
          <w:szCs w:val="24"/>
        </w:rPr>
        <w:t>– będzie ona zwolniona z</w:t>
      </w:r>
      <w:r w:rsidR="0081502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427BBC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obowiązku ich uiszczenia. </w:t>
      </w:r>
    </w:p>
    <w:p w14:paraId="4BCC6055" w14:textId="7476D5BE" w:rsidR="009438AE" w:rsidRPr="00E378EC" w:rsidRDefault="00403651" w:rsidP="00223B66">
      <w:pPr>
        <w:spacing w:before="120"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Co do zasady pracownicy </w:t>
      </w:r>
      <w:r w:rsidR="00DB72ED" w:rsidRPr="00E378EC">
        <w:rPr>
          <w:rFonts w:ascii="Times New Roman" w:hAnsi="Times New Roman" w:cs="Times New Roman"/>
          <w:spacing w:val="-4"/>
          <w:sz w:val="24"/>
          <w:szCs w:val="24"/>
        </w:rPr>
        <w:t>Fundacji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staną się pracownikami PARP. Natomiast przyjęty zostanie mechanizm, zgodnie z którym stosunki pracy z </w:t>
      </w:r>
      <w:r w:rsidR="007D422A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tymi 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>pracownikami</w:t>
      </w:r>
      <w:r w:rsidR="00DB72ED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27BBC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wygasną z dniem </w:t>
      </w:r>
      <w:r w:rsidR="00732ECB" w:rsidRPr="00E378EC">
        <w:rPr>
          <w:rFonts w:ascii="Times New Roman" w:hAnsi="Times New Roman" w:cs="Times New Roman"/>
          <w:spacing w:val="-4"/>
          <w:sz w:val="24"/>
          <w:szCs w:val="24"/>
        </w:rPr>
        <w:t>31</w:t>
      </w:r>
      <w:r w:rsidR="00331377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3F" w:rsidRPr="00E378EC">
        <w:rPr>
          <w:rFonts w:ascii="Times New Roman" w:hAnsi="Times New Roman" w:cs="Times New Roman"/>
          <w:spacing w:val="-4"/>
          <w:sz w:val="24"/>
          <w:szCs w:val="24"/>
        </w:rPr>
        <w:t>marca</w:t>
      </w:r>
      <w:r w:rsidR="00427BBC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2025 r.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, jeżeli przed </w:t>
      </w:r>
      <w:r w:rsidR="00427BBC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tym dniem 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>nie zostaną im zaproponowane nowe warunki pracy lub płacy albo w razie nieprzyjęcia</w:t>
      </w:r>
      <w:r w:rsidR="00CC1863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przez nich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nowych warunków pracy lub płacy</w:t>
      </w:r>
      <w:r w:rsidR="00EC1856" w:rsidRPr="00E378EC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bookmarkStart w:id="2" w:name="_Hlk170908423"/>
      <w:r w:rsidR="00CB0B67" w:rsidRPr="00E378E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Pracownicy w terminie </w:t>
      </w:r>
      <w:r w:rsidR="00853CA0" w:rsidRPr="00E378EC">
        <w:rPr>
          <w:rFonts w:ascii="Times New Roman" w:hAnsi="Times New Roman" w:cs="Times New Roman"/>
          <w:bCs/>
          <w:spacing w:val="-4"/>
          <w:sz w:val="24"/>
          <w:szCs w:val="24"/>
        </w:rPr>
        <w:t>30</w:t>
      </w:r>
      <w:r w:rsidR="00220935" w:rsidRPr="00E378E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dni </w:t>
      </w:r>
      <w:r w:rsidR="00CB0B67" w:rsidRPr="00E378E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od otrzymania propozycji nowych </w:t>
      </w:r>
      <w:r w:rsidR="009438AE" w:rsidRPr="00E378EC">
        <w:rPr>
          <w:rFonts w:ascii="Times New Roman" w:hAnsi="Times New Roman" w:cs="Times New Roman"/>
          <w:bCs/>
          <w:spacing w:val="-4"/>
          <w:sz w:val="24"/>
          <w:szCs w:val="24"/>
        </w:rPr>
        <w:t>warunków pracy lub płacy będą obowiązani</w:t>
      </w:r>
      <w:r w:rsidR="00201B32" w:rsidRPr="00E378E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do</w:t>
      </w:r>
      <w:r w:rsidR="009438AE" w:rsidRPr="00E378E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złoż</w:t>
      </w:r>
      <w:r w:rsidR="00201B32" w:rsidRPr="00E378EC">
        <w:rPr>
          <w:rFonts w:ascii="Times New Roman" w:hAnsi="Times New Roman" w:cs="Times New Roman"/>
          <w:bCs/>
          <w:spacing w:val="-4"/>
          <w:sz w:val="24"/>
          <w:szCs w:val="24"/>
        </w:rPr>
        <w:t>enia</w:t>
      </w:r>
      <w:r w:rsidR="009438AE" w:rsidRPr="00E378E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oświadczeni</w:t>
      </w:r>
      <w:r w:rsidR="00740C9B" w:rsidRPr="00E378EC">
        <w:rPr>
          <w:rFonts w:ascii="Times New Roman" w:hAnsi="Times New Roman" w:cs="Times New Roman"/>
          <w:bCs/>
          <w:spacing w:val="-4"/>
          <w:sz w:val="24"/>
          <w:szCs w:val="24"/>
        </w:rPr>
        <w:t>a</w:t>
      </w:r>
      <w:r w:rsidR="009438AE" w:rsidRPr="00E378E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woli o ich przyjęciu albo odmowie ich przyjęcia. Niezłożenie oświadczenia woli będzie uznane za odmowę przyjęcia zaproponowanych nowych warunków pracy lub płacy.</w:t>
      </w:r>
    </w:p>
    <w:p w14:paraId="7990C175" w14:textId="46DEC4B2" w:rsidR="009438AE" w:rsidRPr="00E378EC" w:rsidRDefault="009438AE" w:rsidP="00223B66">
      <w:pPr>
        <w:spacing w:before="120"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378E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W przypadku gdy odmowa przyjęcia przez pracownika zaproponowanych nowych warunków pracy lub płacy nastąpi po dniu 31 marca 2025 r., stosunek pracy wygaśnie z dniem odmowy przyjęcia tych warunków, zaś w razie niezłożenia oświadczenia woli w tym przedmiocie – z dniem upływu </w:t>
      </w:r>
      <w:r w:rsidR="00853CA0" w:rsidRPr="00E378EC">
        <w:rPr>
          <w:rFonts w:ascii="Times New Roman" w:hAnsi="Times New Roman" w:cs="Times New Roman"/>
          <w:bCs/>
          <w:spacing w:val="-4"/>
          <w:sz w:val="24"/>
          <w:szCs w:val="24"/>
        </w:rPr>
        <w:t>30</w:t>
      </w:r>
      <w:r w:rsidRPr="00E378EC">
        <w:rPr>
          <w:rFonts w:ascii="Times New Roman" w:hAnsi="Times New Roman" w:cs="Times New Roman"/>
          <w:bCs/>
          <w:spacing w:val="-4"/>
          <w:sz w:val="24"/>
          <w:szCs w:val="24"/>
        </w:rPr>
        <w:t>-dniowego terminu na jego złożenie. W przypadku wygaśnięcia stosunków pracy pracownikom będą przysługiwały świadczenia przewidziane dla pracowników, z którymi stosunki pracy rozwiązuje się z powodu likwidacji pracodawcy.</w:t>
      </w:r>
    </w:p>
    <w:bookmarkEnd w:id="2"/>
    <w:p w14:paraId="025D4A51" w14:textId="2689F304" w:rsidR="00732ECB" w:rsidRPr="00E378EC" w:rsidRDefault="00EC1856" w:rsidP="00223B66">
      <w:pPr>
        <w:spacing w:before="120"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378EC">
        <w:rPr>
          <w:rFonts w:ascii="Times New Roman" w:hAnsi="Times New Roman" w:cs="Times New Roman"/>
          <w:spacing w:val="-4"/>
          <w:sz w:val="24"/>
          <w:szCs w:val="24"/>
        </w:rPr>
        <w:t>P</w:t>
      </w:r>
      <w:r w:rsidR="00403651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ozwoli 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to </w:t>
      </w:r>
      <w:r w:rsidR="00403651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na optymalne i efektywne wykorzystanie potencjału kadrowego Platformy 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="00403651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wiedza merytoryczna oraz </w:t>
      </w:r>
      <w:r w:rsidR="00403651" w:rsidRPr="00E378EC">
        <w:rPr>
          <w:rFonts w:ascii="Times New Roman" w:hAnsi="Times New Roman" w:cs="Times New Roman"/>
          <w:i/>
          <w:iCs/>
          <w:spacing w:val="-4"/>
          <w:sz w:val="24"/>
          <w:szCs w:val="24"/>
        </w:rPr>
        <w:t>know-how</w:t>
      </w:r>
      <w:r w:rsidR="00403651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pracowników Platformy będą mogły zostać wykorzystane w</w:t>
      </w:r>
      <w:r w:rsidR="000E16CE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03651" w:rsidRPr="00E378EC">
        <w:rPr>
          <w:rFonts w:ascii="Times New Roman" w:hAnsi="Times New Roman" w:cs="Times New Roman"/>
          <w:spacing w:val="-4"/>
          <w:sz w:val="24"/>
          <w:szCs w:val="24"/>
        </w:rPr>
        <w:t>ramach PARP, w zakresie uzasadnionym potrzebami dalszej realizacji przez PARP zadań Platformy</w:t>
      </w:r>
      <w:r w:rsidR="00732ECB" w:rsidRPr="00E378EC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550D0962" w14:textId="4CD61FC8" w:rsidR="00403651" w:rsidRPr="00223B66" w:rsidRDefault="00403651" w:rsidP="00223B66">
      <w:pPr>
        <w:pStyle w:val="ARTartustawynprozporzdzenia"/>
        <w:ind w:firstLine="0"/>
        <w:rPr>
          <w:rFonts w:ascii="Times New Roman" w:hAnsi="Times New Roman" w:cs="Times New Roman"/>
          <w:bCs/>
          <w:spacing w:val="-4"/>
        </w:rPr>
      </w:pPr>
      <w:r w:rsidRPr="00E378EC">
        <w:rPr>
          <w:rFonts w:ascii="Times New Roman" w:hAnsi="Times New Roman" w:cs="Times New Roman"/>
          <w:spacing w:val="-4"/>
          <w:szCs w:val="24"/>
        </w:rPr>
        <w:t xml:space="preserve">Minister właściwy do spraw rozwoju regionalnego powoła likwidatora </w:t>
      </w:r>
      <w:r w:rsidR="00DB72ED" w:rsidRPr="00E378EC">
        <w:rPr>
          <w:rFonts w:ascii="Times New Roman" w:hAnsi="Times New Roman" w:cs="Times New Roman"/>
          <w:spacing w:val="-4"/>
          <w:szCs w:val="24"/>
        </w:rPr>
        <w:t>Fundacji</w:t>
      </w:r>
      <w:r w:rsidRPr="00E378EC">
        <w:rPr>
          <w:rFonts w:ascii="Times New Roman" w:hAnsi="Times New Roman" w:cs="Times New Roman"/>
          <w:spacing w:val="-4"/>
          <w:szCs w:val="24"/>
        </w:rPr>
        <w:t xml:space="preserve"> i będzie nadzorował jego działalność. </w:t>
      </w:r>
      <w:r w:rsidR="00134BBB" w:rsidRPr="00E378EC">
        <w:rPr>
          <w:rFonts w:ascii="Times New Roman" w:hAnsi="Times New Roman" w:cs="Times New Roman"/>
          <w:spacing w:val="-4"/>
          <w:szCs w:val="24"/>
        </w:rPr>
        <w:t>Akt powołania będzie określał m.in. szczegółowy zakres zadań i</w:t>
      </w:r>
      <w:r w:rsidR="00815023">
        <w:rPr>
          <w:rFonts w:ascii="Times New Roman" w:hAnsi="Times New Roman" w:cs="Times New Roman"/>
          <w:spacing w:val="-4"/>
          <w:szCs w:val="24"/>
        </w:rPr>
        <w:t> </w:t>
      </w:r>
      <w:r w:rsidR="00134BBB" w:rsidRPr="00E378EC">
        <w:rPr>
          <w:rFonts w:ascii="Times New Roman" w:hAnsi="Times New Roman" w:cs="Times New Roman"/>
          <w:spacing w:val="-4"/>
          <w:szCs w:val="24"/>
        </w:rPr>
        <w:t>uprawnień likwidatora</w:t>
      </w:r>
      <w:r w:rsidR="00220935" w:rsidRPr="00E378EC">
        <w:rPr>
          <w:rFonts w:ascii="Times New Roman" w:hAnsi="Times New Roman" w:cs="Times New Roman"/>
          <w:spacing w:val="-4"/>
          <w:szCs w:val="24"/>
        </w:rPr>
        <w:t xml:space="preserve"> oraz zasady współpracy likwidatora z PARP</w:t>
      </w:r>
      <w:r w:rsidR="00134BBB" w:rsidRPr="00E378EC">
        <w:rPr>
          <w:rFonts w:ascii="Times New Roman" w:hAnsi="Times New Roman" w:cs="Times New Roman"/>
          <w:spacing w:val="-4"/>
          <w:szCs w:val="24"/>
        </w:rPr>
        <w:t xml:space="preserve">. </w:t>
      </w:r>
      <w:r w:rsidR="00134BBB" w:rsidRPr="00223B66">
        <w:rPr>
          <w:rFonts w:ascii="Times New Roman" w:hAnsi="Times New Roman" w:cs="Times New Roman"/>
          <w:spacing w:val="-4"/>
        </w:rPr>
        <w:t xml:space="preserve">Do obowiązków likwidatora </w:t>
      </w:r>
      <w:r w:rsidR="00134BBB" w:rsidRPr="00223B66">
        <w:rPr>
          <w:rFonts w:ascii="Times New Roman" w:hAnsi="Times New Roman" w:cs="Times New Roman"/>
          <w:spacing w:val="-4"/>
        </w:rPr>
        <w:lastRenderedPageBreak/>
        <w:t xml:space="preserve">będzie należało w szczególności </w:t>
      </w:r>
      <w:r w:rsidR="00134BBB" w:rsidRPr="00223B66">
        <w:rPr>
          <w:rFonts w:ascii="Times New Roman" w:hAnsi="Times New Roman" w:cs="Times New Roman"/>
          <w:bCs/>
          <w:spacing w:val="-4"/>
        </w:rPr>
        <w:t xml:space="preserve">zamknięcie ksiąg rachunkowych Platformy na dzień 31 grudnia 2024 r. oraz sporządzenie końcowego sprawozdania finansowego oraz sprawozdania z działalności Platformy za okres od </w:t>
      </w:r>
      <w:r w:rsidR="00220935" w:rsidRPr="00223B66">
        <w:rPr>
          <w:rFonts w:ascii="Times New Roman" w:hAnsi="Times New Roman" w:cs="Times New Roman"/>
          <w:bCs/>
          <w:spacing w:val="-4"/>
        </w:rPr>
        <w:t xml:space="preserve">dnia </w:t>
      </w:r>
      <w:r w:rsidR="00134BBB" w:rsidRPr="00223B66">
        <w:rPr>
          <w:rFonts w:ascii="Times New Roman" w:hAnsi="Times New Roman" w:cs="Times New Roman"/>
          <w:bCs/>
          <w:spacing w:val="-4"/>
        </w:rPr>
        <w:t xml:space="preserve">1 stycznia do </w:t>
      </w:r>
      <w:r w:rsidR="00220935" w:rsidRPr="00223B66">
        <w:rPr>
          <w:rFonts w:ascii="Times New Roman" w:hAnsi="Times New Roman" w:cs="Times New Roman"/>
          <w:bCs/>
          <w:spacing w:val="-4"/>
        </w:rPr>
        <w:t xml:space="preserve">dnia </w:t>
      </w:r>
      <w:r w:rsidR="00134BBB" w:rsidRPr="00223B66">
        <w:rPr>
          <w:rFonts w:ascii="Times New Roman" w:hAnsi="Times New Roman" w:cs="Times New Roman"/>
          <w:bCs/>
          <w:spacing w:val="-4"/>
        </w:rPr>
        <w:t>31 grudnia 2024 r. i przedstawieni</w:t>
      </w:r>
      <w:r w:rsidR="00E85570" w:rsidRPr="00223B66">
        <w:rPr>
          <w:rFonts w:ascii="Times New Roman" w:hAnsi="Times New Roman" w:cs="Times New Roman"/>
          <w:bCs/>
          <w:spacing w:val="-4"/>
        </w:rPr>
        <w:t>e</w:t>
      </w:r>
      <w:r w:rsidR="00134BBB" w:rsidRPr="00223B66">
        <w:rPr>
          <w:rFonts w:ascii="Times New Roman" w:hAnsi="Times New Roman" w:cs="Times New Roman"/>
          <w:bCs/>
          <w:spacing w:val="-4"/>
        </w:rPr>
        <w:t xml:space="preserve"> ich </w:t>
      </w:r>
      <w:r w:rsidR="006454B7" w:rsidRPr="00223B66">
        <w:rPr>
          <w:rFonts w:ascii="Times New Roman" w:hAnsi="Times New Roman" w:cs="Times New Roman"/>
          <w:bCs/>
          <w:spacing w:val="-4"/>
        </w:rPr>
        <w:t xml:space="preserve">do zatwierdzenia </w:t>
      </w:r>
      <w:r w:rsidR="00134BBB" w:rsidRPr="00223B66">
        <w:rPr>
          <w:rFonts w:ascii="Times New Roman" w:hAnsi="Times New Roman" w:cs="Times New Roman"/>
          <w:bCs/>
          <w:spacing w:val="-4"/>
        </w:rPr>
        <w:t xml:space="preserve">ministrowi właściwemu do spraw rozwoju regionalnego do dnia 31 stycznia 2025 r. Natomiast niezwłocznie po zatwierdzeniu ww. sprawozdań </w:t>
      </w:r>
      <w:r w:rsidR="001C2D73">
        <w:rPr>
          <w:rFonts w:ascii="Times New Roman" w:hAnsi="Times New Roman" w:cs="Times New Roman"/>
          <w:bCs/>
          <w:spacing w:val="-4"/>
        </w:rPr>
        <w:t xml:space="preserve">likwidator </w:t>
      </w:r>
      <w:r w:rsidR="00134BBB" w:rsidRPr="00223B66">
        <w:rPr>
          <w:rFonts w:ascii="Times New Roman" w:hAnsi="Times New Roman" w:cs="Times New Roman"/>
          <w:bCs/>
          <w:spacing w:val="-4"/>
        </w:rPr>
        <w:t xml:space="preserve">będzie obowiązany </w:t>
      </w:r>
      <w:r w:rsidR="006454B7" w:rsidRPr="00223B66">
        <w:rPr>
          <w:rFonts w:ascii="Times New Roman" w:hAnsi="Times New Roman" w:cs="Times New Roman"/>
          <w:bCs/>
          <w:spacing w:val="-4"/>
        </w:rPr>
        <w:t xml:space="preserve">do </w:t>
      </w:r>
      <w:r w:rsidR="00134BBB" w:rsidRPr="00223B66">
        <w:rPr>
          <w:rFonts w:ascii="Times New Roman" w:hAnsi="Times New Roman" w:cs="Times New Roman"/>
          <w:bCs/>
          <w:spacing w:val="-4"/>
        </w:rPr>
        <w:t>złoż</w:t>
      </w:r>
      <w:r w:rsidR="00740C9B" w:rsidRPr="00223B66">
        <w:rPr>
          <w:rFonts w:ascii="Times New Roman" w:hAnsi="Times New Roman" w:cs="Times New Roman"/>
          <w:bCs/>
          <w:spacing w:val="-4"/>
        </w:rPr>
        <w:t>enia</w:t>
      </w:r>
      <w:r w:rsidR="00134BBB" w:rsidRPr="00223B66">
        <w:rPr>
          <w:rFonts w:ascii="Times New Roman" w:hAnsi="Times New Roman" w:cs="Times New Roman"/>
          <w:bCs/>
          <w:spacing w:val="-4"/>
        </w:rPr>
        <w:t xml:space="preserve"> właściwemu sądowi rejestrowemu wniosk</w:t>
      </w:r>
      <w:r w:rsidR="00740C9B" w:rsidRPr="00223B66">
        <w:rPr>
          <w:rFonts w:ascii="Times New Roman" w:hAnsi="Times New Roman" w:cs="Times New Roman"/>
          <w:bCs/>
          <w:spacing w:val="-4"/>
        </w:rPr>
        <w:t>u</w:t>
      </w:r>
      <w:r w:rsidR="00134BBB" w:rsidRPr="00223B66">
        <w:rPr>
          <w:rFonts w:ascii="Times New Roman" w:hAnsi="Times New Roman" w:cs="Times New Roman"/>
          <w:bCs/>
          <w:spacing w:val="-4"/>
        </w:rPr>
        <w:t xml:space="preserve"> o wykreślenie Platformy z Krajowego Rejestru Sądowego.</w:t>
      </w:r>
      <w:r w:rsidR="009438AE" w:rsidRPr="00223B66">
        <w:rPr>
          <w:rFonts w:ascii="Times New Roman" w:hAnsi="Times New Roman" w:cs="Times New Roman"/>
          <w:bCs/>
          <w:spacing w:val="-4"/>
        </w:rPr>
        <w:t xml:space="preserve"> </w:t>
      </w:r>
      <w:r w:rsidRPr="00E378EC">
        <w:rPr>
          <w:rFonts w:ascii="Times New Roman" w:hAnsi="Times New Roman" w:cs="Times New Roman"/>
          <w:spacing w:val="-4"/>
          <w:szCs w:val="24"/>
        </w:rPr>
        <w:t xml:space="preserve">Likwidator przejmie kompetencje organów </w:t>
      </w:r>
      <w:r w:rsidR="00DB72ED" w:rsidRPr="00E378EC">
        <w:rPr>
          <w:rFonts w:ascii="Times New Roman" w:hAnsi="Times New Roman" w:cs="Times New Roman"/>
          <w:spacing w:val="-4"/>
          <w:szCs w:val="24"/>
        </w:rPr>
        <w:t>Fundacji</w:t>
      </w:r>
      <w:r w:rsidR="004903FD" w:rsidRPr="00E378EC">
        <w:rPr>
          <w:rFonts w:ascii="Times New Roman" w:hAnsi="Times New Roman" w:cs="Times New Roman"/>
          <w:spacing w:val="-4"/>
          <w:szCs w:val="24"/>
        </w:rPr>
        <w:t xml:space="preserve">, tj. Zarządu i Rady, </w:t>
      </w:r>
      <w:r w:rsidR="00E85570" w:rsidRPr="00E378EC">
        <w:rPr>
          <w:rFonts w:ascii="Times New Roman" w:hAnsi="Times New Roman" w:cs="Times New Roman"/>
          <w:spacing w:val="-4"/>
          <w:szCs w:val="24"/>
        </w:rPr>
        <w:t>których</w:t>
      </w:r>
      <w:r w:rsidR="004903FD" w:rsidRPr="00E378EC">
        <w:rPr>
          <w:rFonts w:ascii="Times New Roman" w:hAnsi="Times New Roman" w:cs="Times New Roman"/>
          <w:spacing w:val="-4"/>
          <w:szCs w:val="24"/>
        </w:rPr>
        <w:t xml:space="preserve"> kadencje wygasną z dniem wejścia w życie ustawy</w:t>
      </w:r>
      <w:r w:rsidRPr="00E378EC">
        <w:rPr>
          <w:rFonts w:ascii="Times New Roman" w:hAnsi="Times New Roman" w:cs="Times New Roman"/>
          <w:spacing w:val="-4"/>
          <w:szCs w:val="24"/>
        </w:rPr>
        <w:t>.</w:t>
      </w:r>
      <w:r w:rsidR="00A86E06" w:rsidRPr="00E378EC">
        <w:rPr>
          <w:rFonts w:ascii="Times New Roman" w:hAnsi="Times New Roman" w:cs="Times New Roman"/>
          <w:spacing w:val="-4"/>
          <w:szCs w:val="24"/>
        </w:rPr>
        <w:t xml:space="preserve"> Likwidator niezwłocznie ogłosi w</w:t>
      </w:r>
      <w:r w:rsidR="00815023">
        <w:rPr>
          <w:rFonts w:ascii="Times New Roman" w:hAnsi="Times New Roman" w:cs="Times New Roman"/>
          <w:spacing w:val="-4"/>
          <w:szCs w:val="24"/>
        </w:rPr>
        <w:t> </w:t>
      </w:r>
      <w:r w:rsidR="00A86E06" w:rsidRPr="00E378EC">
        <w:rPr>
          <w:rFonts w:ascii="Times New Roman" w:hAnsi="Times New Roman" w:cs="Times New Roman"/>
          <w:spacing w:val="-4"/>
          <w:szCs w:val="24"/>
        </w:rPr>
        <w:t>Monitorze Sądowym i</w:t>
      </w:r>
      <w:r w:rsidR="000E16CE" w:rsidRPr="00E378EC">
        <w:rPr>
          <w:rFonts w:ascii="Times New Roman" w:hAnsi="Times New Roman" w:cs="Times New Roman"/>
          <w:spacing w:val="-4"/>
          <w:szCs w:val="24"/>
        </w:rPr>
        <w:t xml:space="preserve"> </w:t>
      </w:r>
      <w:r w:rsidR="00A86E06" w:rsidRPr="00E378EC">
        <w:rPr>
          <w:rFonts w:ascii="Times New Roman" w:hAnsi="Times New Roman" w:cs="Times New Roman"/>
          <w:spacing w:val="-4"/>
          <w:szCs w:val="24"/>
        </w:rPr>
        <w:t xml:space="preserve">Gospodarczym o otwarciu likwidacji Platformy, wzywając jej wierzycieli do zgłoszenia ich wierzytelności w terminie </w:t>
      </w:r>
      <w:r w:rsidR="006B6284" w:rsidRPr="00E378EC">
        <w:rPr>
          <w:rFonts w:ascii="Times New Roman" w:hAnsi="Times New Roman" w:cs="Times New Roman"/>
          <w:spacing w:val="-4"/>
          <w:szCs w:val="24"/>
        </w:rPr>
        <w:t>30</w:t>
      </w:r>
      <w:r w:rsidR="00A86E06" w:rsidRPr="00E378EC">
        <w:rPr>
          <w:rFonts w:ascii="Times New Roman" w:hAnsi="Times New Roman" w:cs="Times New Roman"/>
          <w:spacing w:val="-4"/>
          <w:szCs w:val="24"/>
        </w:rPr>
        <w:t xml:space="preserve"> dni od dnia tego ogłoszenia</w:t>
      </w:r>
      <w:r w:rsidR="00740C9B" w:rsidRPr="00E378EC">
        <w:rPr>
          <w:rFonts w:ascii="Times New Roman" w:hAnsi="Times New Roman" w:cs="Times New Roman"/>
          <w:spacing w:val="-4"/>
          <w:szCs w:val="24"/>
        </w:rPr>
        <w:t>.</w:t>
      </w:r>
    </w:p>
    <w:p w14:paraId="634774CE" w14:textId="4D8E072F" w:rsidR="00C10739" w:rsidRPr="00E378EC" w:rsidRDefault="00C10739" w:rsidP="00223B66">
      <w:pPr>
        <w:spacing w:before="120"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378EC">
        <w:rPr>
          <w:rFonts w:ascii="Times New Roman" w:hAnsi="Times New Roman" w:cs="Times New Roman"/>
          <w:bCs/>
          <w:spacing w:val="-4"/>
          <w:sz w:val="24"/>
          <w:szCs w:val="24"/>
        </w:rPr>
        <w:t>Obsługę likwidatora do dnia 31 grudnia 2024 r. będzie zapewniała Platforma, zaś od dnia 1</w:t>
      </w:r>
      <w:r w:rsidR="000E16CE" w:rsidRPr="00E378E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E378EC">
        <w:rPr>
          <w:rFonts w:ascii="Times New Roman" w:hAnsi="Times New Roman" w:cs="Times New Roman"/>
          <w:bCs/>
          <w:spacing w:val="-4"/>
          <w:sz w:val="24"/>
          <w:szCs w:val="24"/>
        </w:rPr>
        <w:t>stycznia 2025 r. – PARP.</w:t>
      </w:r>
    </w:p>
    <w:p w14:paraId="2BB4E2D1" w14:textId="5CB67382" w:rsidR="00C10739" w:rsidRPr="00E378EC" w:rsidRDefault="00C10739" w:rsidP="00223B66">
      <w:pPr>
        <w:spacing w:before="120"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378EC">
        <w:rPr>
          <w:rFonts w:ascii="Times New Roman" w:hAnsi="Times New Roman" w:cs="Times New Roman"/>
          <w:bCs/>
          <w:spacing w:val="-4"/>
          <w:sz w:val="24"/>
          <w:szCs w:val="24"/>
        </w:rPr>
        <w:t>Likwidatorowi będzie przysługiwało wynagrodzenie, którego wysokość będzie ustalał minister właściwy do spraw rozwoju regionalnego</w:t>
      </w:r>
      <w:r w:rsidR="006358FA" w:rsidRPr="00E378E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Będzie ono </w:t>
      </w:r>
      <w:r w:rsidRPr="00E378EC">
        <w:rPr>
          <w:rFonts w:ascii="Times New Roman" w:hAnsi="Times New Roman" w:cs="Times New Roman"/>
          <w:bCs/>
          <w:spacing w:val="-4"/>
          <w:sz w:val="24"/>
          <w:szCs w:val="24"/>
        </w:rPr>
        <w:t>pokrywane</w:t>
      </w:r>
      <w:r w:rsidR="006358FA" w:rsidRPr="00E378E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E378EC">
        <w:rPr>
          <w:rFonts w:ascii="Times New Roman" w:hAnsi="Times New Roman" w:cs="Times New Roman"/>
          <w:bCs/>
          <w:spacing w:val="-4"/>
          <w:sz w:val="24"/>
          <w:szCs w:val="24"/>
        </w:rPr>
        <w:t>do dnia 31 grudnia 2024</w:t>
      </w:r>
      <w:r w:rsidR="000E16CE" w:rsidRPr="00E378E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E378EC">
        <w:rPr>
          <w:rFonts w:ascii="Times New Roman" w:hAnsi="Times New Roman" w:cs="Times New Roman"/>
          <w:bCs/>
          <w:spacing w:val="-4"/>
          <w:sz w:val="24"/>
          <w:szCs w:val="24"/>
        </w:rPr>
        <w:t>r.</w:t>
      </w:r>
      <w:r w:rsidR="006358FA" w:rsidRPr="00E378E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E378EC">
        <w:rPr>
          <w:rFonts w:ascii="Times New Roman" w:hAnsi="Times New Roman" w:cs="Times New Roman"/>
          <w:bCs/>
          <w:spacing w:val="-4"/>
          <w:sz w:val="24"/>
          <w:szCs w:val="24"/>
        </w:rPr>
        <w:t>ze środków Platformy</w:t>
      </w:r>
      <w:r w:rsidR="006358FA" w:rsidRPr="00E378E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, zaś </w:t>
      </w:r>
      <w:r w:rsidRPr="00E378EC">
        <w:rPr>
          <w:rFonts w:ascii="Times New Roman" w:hAnsi="Times New Roman" w:cs="Times New Roman"/>
          <w:bCs/>
          <w:spacing w:val="-4"/>
          <w:sz w:val="24"/>
          <w:szCs w:val="24"/>
        </w:rPr>
        <w:t>od dnia 1 stycznia 2025 r. – ze środków PARP.</w:t>
      </w:r>
    </w:p>
    <w:p w14:paraId="0AEB144E" w14:textId="107C085B" w:rsidR="00C10739" w:rsidRPr="00E378EC" w:rsidRDefault="00C10739" w:rsidP="00223B66">
      <w:pPr>
        <w:spacing w:before="120"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378E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Likwidator </w:t>
      </w:r>
      <w:r w:rsidR="006358FA" w:rsidRPr="00E378EC">
        <w:rPr>
          <w:rFonts w:ascii="Times New Roman" w:hAnsi="Times New Roman" w:cs="Times New Roman"/>
          <w:bCs/>
          <w:spacing w:val="-4"/>
          <w:sz w:val="24"/>
          <w:szCs w:val="24"/>
        </w:rPr>
        <w:t>będzie pełnił s</w:t>
      </w:r>
      <w:r w:rsidR="00193156" w:rsidRPr="00E378EC">
        <w:rPr>
          <w:rFonts w:ascii="Times New Roman" w:hAnsi="Times New Roman" w:cs="Times New Roman"/>
          <w:bCs/>
          <w:spacing w:val="-4"/>
          <w:sz w:val="24"/>
          <w:szCs w:val="24"/>
        </w:rPr>
        <w:t>w</w:t>
      </w:r>
      <w:r w:rsidR="006358FA" w:rsidRPr="00E378EC">
        <w:rPr>
          <w:rFonts w:ascii="Times New Roman" w:hAnsi="Times New Roman" w:cs="Times New Roman"/>
          <w:bCs/>
          <w:spacing w:val="-4"/>
          <w:sz w:val="24"/>
          <w:szCs w:val="24"/>
        </w:rPr>
        <w:t>oją</w:t>
      </w:r>
      <w:r w:rsidRPr="00E378E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funkcję do dnia prawomocnego wykreślenia Platformy z</w:t>
      </w:r>
      <w:r w:rsidR="00815023">
        <w:rPr>
          <w:rFonts w:ascii="Times New Roman" w:hAnsi="Times New Roman" w:cs="Times New Roman"/>
          <w:bCs/>
          <w:spacing w:val="-4"/>
          <w:sz w:val="24"/>
          <w:szCs w:val="24"/>
        </w:rPr>
        <w:t> </w:t>
      </w:r>
      <w:r w:rsidRPr="00E378EC">
        <w:rPr>
          <w:rFonts w:ascii="Times New Roman" w:hAnsi="Times New Roman" w:cs="Times New Roman"/>
          <w:bCs/>
          <w:spacing w:val="-4"/>
          <w:sz w:val="24"/>
          <w:szCs w:val="24"/>
        </w:rPr>
        <w:t>Krajowego Rejestru Sądowego.</w:t>
      </w:r>
    </w:p>
    <w:p w14:paraId="2B8DC99E" w14:textId="58B53473" w:rsidR="00193156" w:rsidRPr="00E378EC" w:rsidRDefault="00193156" w:rsidP="00223B66">
      <w:pPr>
        <w:spacing w:before="120"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378EC">
        <w:rPr>
          <w:rFonts w:ascii="Times New Roman" w:hAnsi="Times New Roman" w:cs="Times New Roman"/>
          <w:spacing w:val="-4"/>
          <w:sz w:val="24"/>
          <w:szCs w:val="24"/>
        </w:rPr>
        <w:t>W związku z likwidacją Platformy uchylony zostanie pkt 32 w art. 3 ust. 1 ustawy z dnia 16 grudnia 2016 r. o zasadach zarządzania mieniem państwowym</w:t>
      </w:r>
      <w:r w:rsidR="006454B7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(Dz. U. z 2024 r. poz. 125</w:t>
      </w:r>
      <w:r w:rsidR="009F4E19" w:rsidRPr="00E378EC">
        <w:rPr>
          <w:rFonts w:ascii="Times New Roman" w:hAnsi="Times New Roman" w:cs="Times New Roman"/>
          <w:spacing w:val="-4"/>
          <w:sz w:val="24"/>
          <w:szCs w:val="24"/>
        </w:rPr>
        <w:t>, z późn. zm.</w:t>
      </w:r>
      <w:r w:rsidR="006454B7" w:rsidRPr="00E378EC"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>, w</w:t>
      </w:r>
      <w:r w:rsidR="0081502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>którym wskazano, że Platforma zaliczana jest do państwowych osób prawnych.</w:t>
      </w:r>
    </w:p>
    <w:p w14:paraId="33622EED" w14:textId="1A5F1E8A" w:rsidR="004903FD" w:rsidRPr="00E378EC" w:rsidRDefault="004903FD" w:rsidP="00223B66">
      <w:pPr>
        <w:spacing w:before="120"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378EC">
        <w:rPr>
          <w:rFonts w:ascii="Times New Roman" w:hAnsi="Times New Roman" w:cs="Times New Roman"/>
          <w:spacing w:val="-4"/>
          <w:sz w:val="24"/>
          <w:szCs w:val="24"/>
        </w:rPr>
        <w:t>W konsekwencji planowanych rozwiązań przewiduje się uchylenie ustawy o fppp.</w:t>
      </w:r>
    </w:p>
    <w:p w14:paraId="37BE4A38" w14:textId="50062FC7" w:rsidR="00135148" w:rsidRPr="00E378EC" w:rsidRDefault="00135148" w:rsidP="00223B66">
      <w:pPr>
        <w:spacing w:before="120"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378EC">
        <w:rPr>
          <w:rFonts w:ascii="Times New Roman" w:hAnsi="Times New Roman" w:cs="Times New Roman"/>
          <w:bCs/>
          <w:spacing w:val="-4"/>
          <w:sz w:val="24"/>
          <w:szCs w:val="24"/>
        </w:rPr>
        <w:t>W ramach procesu likwidacji FPPP będą przetwarzane dane osobowe, zawarte w</w:t>
      </w:r>
      <w:r w:rsidR="000E16CE" w:rsidRPr="00E378E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E378E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dokumentacji pracowniczej. Proces ten powinien być zgodny z </w:t>
      </w:r>
      <w:r w:rsidR="00BF20CD" w:rsidRPr="00E378E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zasadami i </w:t>
      </w:r>
      <w:r w:rsidRPr="00E378E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wymogami </w:t>
      </w:r>
      <w:r w:rsidRPr="00E378EC">
        <w:rPr>
          <w:rFonts w:ascii="Times New Roman" w:hAnsi="Times New Roman" w:cs="Times New Roman"/>
          <w:sz w:val="24"/>
          <w:szCs w:val="24"/>
        </w:rPr>
        <w:t>rozporządzenia Parlamentu Europejskiego i Rady (UE) 2016/679 z dnia 27 kwietnia 2016 r. w</w:t>
      </w:r>
      <w:r w:rsidR="000E16CE" w:rsidRPr="00E378EC">
        <w:rPr>
          <w:rFonts w:ascii="Times New Roman" w:hAnsi="Times New Roman" w:cs="Times New Roman"/>
          <w:sz w:val="24"/>
          <w:szCs w:val="24"/>
        </w:rPr>
        <w:t xml:space="preserve"> </w:t>
      </w:r>
      <w:r w:rsidRPr="00E378EC">
        <w:rPr>
          <w:rFonts w:ascii="Times New Roman" w:hAnsi="Times New Roman" w:cs="Times New Roman"/>
          <w:sz w:val="24"/>
          <w:szCs w:val="24"/>
        </w:rPr>
        <w:t>sprawie ochrony osób fizycznych w związku z przetwarzaniem danych osobowych i</w:t>
      </w:r>
      <w:r w:rsidR="000E16CE" w:rsidRPr="00E378EC">
        <w:rPr>
          <w:rFonts w:ascii="Times New Roman" w:hAnsi="Times New Roman" w:cs="Times New Roman"/>
          <w:sz w:val="24"/>
          <w:szCs w:val="24"/>
        </w:rPr>
        <w:t xml:space="preserve"> </w:t>
      </w:r>
      <w:r w:rsidRPr="00E378EC">
        <w:rPr>
          <w:rFonts w:ascii="Times New Roman" w:hAnsi="Times New Roman" w:cs="Times New Roman"/>
          <w:sz w:val="24"/>
          <w:szCs w:val="24"/>
        </w:rPr>
        <w:t>w</w:t>
      </w:r>
      <w:r w:rsidR="000E16CE" w:rsidRPr="00E378EC">
        <w:rPr>
          <w:rFonts w:ascii="Times New Roman" w:hAnsi="Times New Roman" w:cs="Times New Roman"/>
          <w:sz w:val="24"/>
          <w:szCs w:val="24"/>
        </w:rPr>
        <w:t xml:space="preserve"> </w:t>
      </w:r>
      <w:r w:rsidRPr="00E378EC">
        <w:rPr>
          <w:rFonts w:ascii="Times New Roman" w:hAnsi="Times New Roman" w:cs="Times New Roman"/>
          <w:sz w:val="24"/>
          <w:szCs w:val="24"/>
        </w:rPr>
        <w:t xml:space="preserve">sprawie swobodnego przepływu takich danych oraz uchylenia dyrektywy 95/46/WE (RODO) oraz regulacjami krajowymi, wydanymi w związku z ww. rozporządzeniem. </w:t>
      </w:r>
      <w:r w:rsidRPr="00E378E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Podmiotami odpowiedzialnymi za zapewnienie właściwej ochrony danych osobowych na poszczególnych etapach likwidacji będą: </w:t>
      </w:r>
      <w:r w:rsidRPr="00E378EC">
        <w:rPr>
          <w:rFonts w:ascii="Times New Roman" w:hAnsi="Times New Roman" w:cs="Times New Roman"/>
          <w:sz w:val="24"/>
          <w:szCs w:val="24"/>
        </w:rPr>
        <w:t xml:space="preserve">likwidator w okresie do </w:t>
      </w:r>
      <w:r w:rsidR="00CC1863" w:rsidRPr="00E378EC">
        <w:rPr>
          <w:rFonts w:ascii="Times New Roman" w:hAnsi="Times New Roman" w:cs="Times New Roman"/>
          <w:sz w:val="24"/>
          <w:szCs w:val="24"/>
        </w:rPr>
        <w:t xml:space="preserve">dnia </w:t>
      </w:r>
      <w:r w:rsidRPr="00E378EC">
        <w:rPr>
          <w:rFonts w:ascii="Times New Roman" w:hAnsi="Times New Roman" w:cs="Times New Roman"/>
          <w:sz w:val="24"/>
          <w:szCs w:val="24"/>
        </w:rPr>
        <w:t xml:space="preserve">31 grudnia 2024 r., zaś od </w:t>
      </w:r>
      <w:r w:rsidR="00CC1863" w:rsidRPr="00E378EC">
        <w:rPr>
          <w:rFonts w:ascii="Times New Roman" w:hAnsi="Times New Roman" w:cs="Times New Roman"/>
          <w:sz w:val="24"/>
          <w:szCs w:val="24"/>
        </w:rPr>
        <w:t xml:space="preserve">dnia </w:t>
      </w:r>
      <w:r w:rsidRPr="00E378EC">
        <w:rPr>
          <w:rFonts w:ascii="Times New Roman" w:hAnsi="Times New Roman" w:cs="Times New Roman"/>
          <w:sz w:val="24"/>
          <w:szCs w:val="24"/>
        </w:rPr>
        <w:t>1</w:t>
      </w:r>
      <w:r w:rsidR="000E16CE" w:rsidRPr="00E378EC">
        <w:rPr>
          <w:rFonts w:ascii="Times New Roman" w:hAnsi="Times New Roman" w:cs="Times New Roman"/>
          <w:sz w:val="24"/>
          <w:szCs w:val="24"/>
        </w:rPr>
        <w:t xml:space="preserve"> </w:t>
      </w:r>
      <w:r w:rsidRPr="00E378EC">
        <w:rPr>
          <w:rFonts w:ascii="Times New Roman" w:hAnsi="Times New Roman" w:cs="Times New Roman"/>
          <w:sz w:val="24"/>
          <w:szCs w:val="24"/>
        </w:rPr>
        <w:t>stycznia 2025 r. – Prezes PARP.</w:t>
      </w:r>
    </w:p>
    <w:p w14:paraId="15419440" w14:textId="47A14BD1" w:rsidR="008C4B56" w:rsidRPr="00E378EC" w:rsidRDefault="008C4B56" w:rsidP="00223B66">
      <w:pPr>
        <w:spacing w:before="120"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W odniesieniu do kwestii kosztów likwidacji zakłada się, że w związku z tym, iż powołanie likwidatora wiązać się będzie z wygaśnięciem kadencji </w:t>
      </w:r>
      <w:r w:rsidR="004903FD" w:rsidRPr="00E378EC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>arządu, nie wzrosną wydatki budżetowe z</w:t>
      </w:r>
      <w:r w:rsidR="000E16CE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>tego tytułu.</w:t>
      </w:r>
    </w:p>
    <w:p w14:paraId="6999F7B4" w14:textId="043DE70C" w:rsidR="00720702" w:rsidRPr="00E378EC" w:rsidRDefault="00C84AC4" w:rsidP="00223B66">
      <w:pPr>
        <w:spacing w:before="120"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378EC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Po wejściu w życie projektowanych zmian, w związku z </w:t>
      </w:r>
      <w:r w:rsidR="005000B3" w:rsidRPr="00E378EC">
        <w:rPr>
          <w:rFonts w:ascii="Times New Roman" w:hAnsi="Times New Roman" w:cs="Times New Roman"/>
          <w:spacing w:val="-4"/>
          <w:sz w:val="24"/>
          <w:szCs w:val="24"/>
        </w:rPr>
        <w:t>rozszerzeniem i intensyfikacją zakresu realizacji dotychczasowych zadań PARP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6454B7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jest 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>planowane zwiększenie dotacji podmiotowej dla PARP, w tym w latach 2025</w:t>
      </w:r>
      <w:r w:rsidR="004903FD" w:rsidRPr="00E378EC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>2028, o kwoty</w:t>
      </w:r>
      <w:r w:rsidR="00720702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 uwzględnione 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>w części 34 – Rozwój regionalny w</w:t>
      </w:r>
      <w:r w:rsidR="009438AE" w:rsidRPr="00E378EC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720702"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ramach wstępnej i wyjściowych kwot wydatków 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dla FPPP. Maksymalne limity wydatkowe budżetu państwa, będące skutkiem wejścia w życie projektowanych zmian, na okres dziesięcioletni, zostały określone w </w:t>
      </w:r>
      <w:r w:rsidRPr="00E378E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art. </w:t>
      </w:r>
      <w:r w:rsidR="00594663" w:rsidRPr="00E378E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7</w:t>
      </w:r>
      <w:r w:rsidRPr="00E378E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378EC">
        <w:rPr>
          <w:rFonts w:ascii="Times New Roman" w:hAnsi="Times New Roman" w:cs="Times New Roman"/>
          <w:spacing w:val="-4"/>
          <w:sz w:val="24"/>
          <w:szCs w:val="24"/>
        </w:rPr>
        <w:t xml:space="preserve">projektu i wynoszą łącznie 173 mln zł. </w:t>
      </w:r>
    </w:p>
    <w:p w14:paraId="57F136A0" w14:textId="1863B791" w:rsidR="000E16CE" w:rsidRPr="00E378EC" w:rsidRDefault="000E16CE" w:rsidP="00223B6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8EC">
        <w:rPr>
          <w:rFonts w:ascii="Times New Roman" w:hAnsi="Times New Roman" w:cs="Times New Roman"/>
          <w:sz w:val="24"/>
          <w:szCs w:val="24"/>
        </w:rPr>
        <w:t>W 2025 r. środki na realizację zadań wynikających z projektu ustawy zostały zaplanowane w</w:t>
      </w:r>
      <w:r w:rsidR="00815023">
        <w:rPr>
          <w:rFonts w:ascii="Times New Roman" w:hAnsi="Times New Roman" w:cs="Times New Roman"/>
          <w:sz w:val="24"/>
          <w:szCs w:val="24"/>
        </w:rPr>
        <w:t> </w:t>
      </w:r>
      <w:r w:rsidRPr="00E378EC">
        <w:rPr>
          <w:rFonts w:ascii="Times New Roman" w:hAnsi="Times New Roman" w:cs="Times New Roman"/>
          <w:sz w:val="24"/>
          <w:szCs w:val="24"/>
        </w:rPr>
        <w:t>rezerwie celowej budżetu państwa. Od 2026 r. będą planowane w części 34 – Rozwój regionalny, zgodnie z zasadami planowania budżetowego dla konkretnych rodzajów wydatków.</w:t>
      </w:r>
    </w:p>
    <w:p w14:paraId="45254F5B" w14:textId="62D7F19C" w:rsidR="00CC6157" w:rsidRPr="00E378EC" w:rsidRDefault="00C84AC4" w:rsidP="00223B6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8EC">
        <w:rPr>
          <w:rFonts w:ascii="Times New Roman" w:hAnsi="Times New Roman" w:cs="Times New Roman"/>
          <w:sz w:val="24"/>
          <w:szCs w:val="24"/>
        </w:rPr>
        <w:t>Minister właściwy do spraw rozwoju regionalnego będzie organem właściwym do monitorowania wykorzystania ustalonego limitu wydatków i</w:t>
      </w:r>
      <w:r w:rsidR="00DC4996" w:rsidRPr="00E378EC">
        <w:rPr>
          <w:rFonts w:ascii="Times New Roman" w:hAnsi="Times New Roman" w:cs="Times New Roman"/>
          <w:sz w:val="24"/>
          <w:szCs w:val="24"/>
        </w:rPr>
        <w:t xml:space="preserve"> </w:t>
      </w:r>
      <w:r w:rsidRPr="00E378EC">
        <w:rPr>
          <w:rFonts w:ascii="Times New Roman" w:hAnsi="Times New Roman" w:cs="Times New Roman"/>
          <w:sz w:val="24"/>
          <w:szCs w:val="24"/>
        </w:rPr>
        <w:t>zastosowania mechanizmu korygującego polegającego na obniżeniu kosztów realizacji zadań, gdyby miało dojść do przekroczenia tego limitu.</w:t>
      </w:r>
    </w:p>
    <w:p w14:paraId="42D3DA7C" w14:textId="2CD479EF" w:rsidR="0002362F" w:rsidRPr="00E378EC" w:rsidRDefault="004B6928" w:rsidP="00223B6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8EC">
        <w:rPr>
          <w:rFonts w:ascii="Times New Roman" w:hAnsi="Times New Roman" w:cs="Times New Roman"/>
          <w:sz w:val="24"/>
          <w:szCs w:val="24"/>
        </w:rPr>
        <w:t>Przepisy dotyczące likwidacji Platformy</w:t>
      </w:r>
      <w:r w:rsidR="00D77542" w:rsidRPr="00E378EC">
        <w:rPr>
          <w:rFonts w:ascii="Times New Roman" w:hAnsi="Times New Roman" w:cs="Times New Roman"/>
          <w:sz w:val="24"/>
          <w:szCs w:val="24"/>
        </w:rPr>
        <w:t xml:space="preserve"> wejdą w życie po upływie 14 dni od dnia ogłoszenia ustawy, z wyjątkiem przepis</w:t>
      </w:r>
      <w:r w:rsidR="00AC69DA" w:rsidRPr="00E378EC">
        <w:rPr>
          <w:rFonts w:ascii="Times New Roman" w:hAnsi="Times New Roman" w:cs="Times New Roman"/>
          <w:sz w:val="24"/>
          <w:szCs w:val="24"/>
        </w:rPr>
        <w:t>u</w:t>
      </w:r>
      <w:r w:rsidR="00D77542" w:rsidRPr="00E378EC">
        <w:rPr>
          <w:rFonts w:ascii="Times New Roman" w:hAnsi="Times New Roman" w:cs="Times New Roman"/>
          <w:sz w:val="24"/>
          <w:szCs w:val="24"/>
        </w:rPr>
        <w:t xml:space="preserve"> dotycząc</w:t>
      </w:r>
      <w:r w:rsidR="00AC69DA" w:rsidRPr="00E378EC">
        <w:rPr>
          <w:rFonts w:ascii="Times New Roman" w:hAnsi="Times New Roman" w:cs="Times New Roman"/>
          <w:sz w:val="24"/>
          <w:szCs w:val="24"/>
        </w:rPr>
        <w:t>ego</w:t>
      </w:r>
      <w:r w:rsidR="00D77542" w:rsidRPr="00E378EC">
        <w:rPr>
          <w:rFonts w:ascii="Times New Roman" w:hAnsi="Times New Roman" w:cs="Times New Roman"/>
          <w:sz w:val="24"/>
          <w:szCs w:val="24"/>
        </w:rPr>
        <w:t xml:space="preserve"> powołania likwidatora Fundacji przez ministra właściwego do spraw rozwoju regionalnego</w:t>
      </w:r>
      <w:r w:rsidR="00AC69DA" w:rsidRPr="00E378EC">
        <w:rPr>
          <w:rFonts w:ascii="Times New Roman" w:hAnsi="Times New Roman" w:cs="Times New Roman"/>
          <w:sz w:val="24"/>
          <w:szCs w:val="24"/>
        </w:rPr>
        <w:t xml:space="preserve"> (przepis wejdzie w</w:t>
      </w:r>
      <w:r w:rsidR="009168FD" w:rsidRPr="00E378EC">
        <w:rPr>
          <w:rFonts w:ascii="Times New Roman" w:hAnsi="Times New Roman" w:cs="Times New Roman"/>
          <w:sz w:val="24"/>
          <w:szCs w:val="24"/>
        </w:rPr>
        <w:t xml:space="preserve"> </w:t>
      </w:r>
      <w:r w:rsidR="00AC69DA" w:rsidRPr="00E378EC">
        <w:rPr>
          <w:rFonts w:ascii="Times New Roman" w:hAnsi="Times New Roman" w:cs="Times New Roman"/>
          <w:sz w:val="24"/>
          <w:szCs w:val="24"/>
        </w:rPr>
        <w:t xml:space="preserve">życie z dniem następującym po dniu ogłoszenia ustawy) oraz przepisów dotyczących </w:t>
      </w:r>
      <w:r w:rsidRPr="00E378EC">
        <w:rPr>
          <w:rFonts w:ascii="Times New Roman" w:hAnsi="Times New Roman" w:cs="Times New Roman"/>
          <w:sz w:val="24"/>
          <w:szCs w:val="24"/>
        </w:rPr>
        <w:t>uchylenia ustawy o fppp</w:t>
      </w:r>
      <w:r w:rsidR="00AC69DA" w:rsidRPr="00E378EC">
        <w:rPr>
          <w:rFonts w:ascii="Times New Roman" w:hAnsi="Times New Roman" w:cs="Times New Roman"/>
          <w:sz w:val="24"/>
          <w:szCs w:val="24"/>
        </w:rPr>
        <w:t xml:space="preserve"> i usunięcia </w:t>
      </w:r>
      <w:r w:rsidR="00740C9B" w:rsidRPr="00E378EC">
        <w:rPr>
          <w:rFonts w:ascii="Times New Roman" w:hAnsi="Times New Roman" w:cs="Times New Roman"/>
          <w:sz w:val="24"/>
          <w:szCs w:val="24"/>
        </w:rPr>
        <w:t>Fundacj</w:t>
      </w:r>
      <w:r w:rsidR="00AC69DA" w:rsidRPr="00E378EC">
        <w:rPr>
          <w:rFonts w:ascii="Times New Roman" w:hAnsi="Times New Roman" w:cs="Times New Roman"/>
          <w:sz w:val="24"/>
          <w:szCs w:val="24"/>
        </w:rPr>
        <w:t>i</w:t>
      </w:r>
      <w:r w:rsidR="00740C9B" w:rsidRPr="00E378EC">
        <w:rPr>
          <w:rFonts w:ascii="Times New Roman" w:hAnsi="Times New Roman" w:cs="Times New Roman"/>
          <w:sz w:val="24"/>
          <w:szCs w:val="24"/>
        </w:rPr>
        <w:t xml:space="preserve"> </w:t>
      </w:r>
      <w:r w:rsidR="00AC69DA" w:rsidRPr="00E378EC">
        <w:rPr>
          <w:rFonts w:ascii="Times New Roman" w:hAnsi="Times New Roman" w:cs="Times New Roman"/>
          <w:sz w:val="24"/>
          <w:szCs w:val="24"/>
        </w:rPr>
        <w:t>z listy p</w:t>
      </w:r>
      <w:r w:rsidR="00740C9B" w:rsidRPr="00E378EC">
        <w:rPr>
          <w:rFonts w:ascii="Times New Roman" w:hAnsi="Times New Roman" w:cs="Times New Roman"/>
          <w:sz w:val="24"/>
          <w:szCs w:val="24"/>
        </w:rPr>
        <w:t>aństwow</w:t>
      </w:r>
      <w:r w:rsidR="00AC69DA" w:rsidRPr="00E378EC">
        <w:rPr>
          <w:rFonts w:ascii="Times New Roman" w:hAnsi="Times New Roman" w:cs="Times New Roman"/>
          <w:sz w:val="24"/>
          <w:szCs w:val="24"/>
        </w:rPr>
        <w:t>ych</w:t>
      </w:r>
      <w:r w:rsidR="00740C9B" w:rsidRPr="00E378EC">
        <w:rPr>
          <w:rFonts w:ascii="Times New Roman" w:hAnsi="Times New Roman" w:cs="Times New Roman"/>
          <w:sz w:val="24"/>
          <w:szCs w:val="24"/>
        </w:rPr>
        <w:t xml:space="preserve"> os</w:t>
      </w:r>
      <w:r w:rsidR="00AC69DA" w:rsidRPr="00E378EC">
        <w:rPr>
          <w:rFonts w:ascii="Times New Roman" w:hAnsi="Times New Roman" w:cs="Times New Roman"/>
          <w:sz w:val="24"/>
          <w:szCs w:val="24"/>
        </w:rPr>
        <w:t>ób</w:t>
      </w:r>
      <w:r w:rsidR="00740C9B" w:rsidRPr="00E378EC">
        <w:rPr>
          <w:rFonts w:ascii="Times New Roman" w:hAnsi="Times New Roman" w:cs="Times New Roman"/>
          <w:sz w:val="24"/>
          <w:szCs w:val="24"/>
        </w:rPr>
        <w:t xml:space="preserve"> prawn</w:t>
      </w:r>
      <w:r w:rsidR="00AC69DA" w:rsidRPr="00E378EC">
        <w:rPr>
          <w:rFonts w:ascii="Times New Roman" w:hAnsi="Times New Roman" w:cs="Times New Roman"/>
          <w:sz w:val="24"/>
          <w:szCs w:val="24"/>
        </w:rPr>
        <w:t xml:space="preserve">ych w ustawie z dnia 16 grudnia 2016 r. o zasadach zarządzania mieniem państwowym </w:t>
      </w:r>
      <w:r w:rsidR="00AC69DA" w:rsidRPr="00223B66"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pl-PL"/>
        </w:rPr>
        <w:t>– te przepisy</w:t>
      </w:r>
      <w:r w:rsidR="00AC69DA" w:rsidRPr="00E378EC">
        <w:rPr>
          <w:rFonts w:ascii="Times New Roman" w:hAnsi="Times New Roman" w:cs="Times New Roman"/>
          <w:sz w:val="24"/>
          <w:szCs w:val="24"/>
        </w:rPr>
        <w:t xml:space="preserve"> wejd</w:t>
      </w:r>
      <w:r w:rsidR="009168FD" w:rsidRPr="00E378EC">
        <w:rPr>
          <w:rFonts w:ascii="Times New Roman" w:hAnsi="Times New Roman" w:cs="Times New Roman"/>
          <w:sz w:val="24"/>
          <w:szCs w:val="24"/>
        </w:rPr>
        <w:t>ą</w:t>
      </w:r>
      <w:r w:rsidR="00AC69DA" w:rsidRPr="00E378EC">
        <w:rPr>
          <w:rFonts w:ascii="Times New Roman" w:hAnsi="Times New Roman" w:cs="Times New Roman"/>
          <w:sz w:val="24"/>
          <w:szCs w:val="24"/>
        </w:rPr>
        <w:t xml:space="preserve"> w</w:t>
      </w:r>
      <w:r w:rsidR="009168FD" w:rsidRPr="00E378EC">
        <w:rPr>
          <w:rFonts w:ascii="Times New Roman" w:hAnsi="Times New Roman" w:cs="Times New Roman"/>
          <w:sz w:val="24"/>
          <w:szCs w:val="24"/>
        </w:rPr>
        <w:t xml:space="preserve"> </w:t>
      </w:r>
      <w:r w:rsidR="00AC69DA" w:rsidRPr="00E378EC">
        <w:rPr>
          <w:rFonts w:ascii="Times New Roman" w:hAnsi="Times New Roman" w:cs="Times New Roman"/>
          <w:sz w:val="24"/>
          <w:szCs w:val="24"/>
        </w:rPr>
        <w:t xml:space="preserve">życie z dniem </w:t>
      </w:r>
      <w:r w:rsidR="00D77542" w:rsidRPr="00E378EC">
        <w:rPr>
          <w:rFonts w:ascii="Times New Roman" w:hAnsi="Times New Roman" w:cs="Times New Roman"/>
          <w:sz w:val="24"/>
          <w:szCs w:val="24"/>
        </w:rPr>
        <w:t>1 stycznia 2025 r</w:t>
      </w:r>
      <w:r w:rsidRPr="00E378EC">
        <w:rPr>
          <w:rFonts w:ascii="Times New Roman" w:hAnsi="Times New Roman" w:cs="Times New Roman"/>
          <w:sz w:val="24"/>
          <w:szCs w:val="24"/>
        </w:rPr>
        <w:t>.</w:t>
      </w:r>
      <w:r w:rsidR="0002362F" w:rsidRPr="00E378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6C42E" w14:textId="21EA1C10" w:rsidR="00740C9B" w:rsidRPr="00223B66" w:rsidRDefault="00037B37" w:rsidP="00223B66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pl-PL"/>
        </w:rPr>
      </w:pPr>
      <w:r w:rsidRPr="00223B66"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pl-PL"/>
        </w:rPr>
        <w:t>Projekt ustawy, zgodnie z art. 5 ustawy z dnia 7 lipca 2005 r. o działalności lobbingowej w</w:t>
      </w:r>
      <w:r w:rsidR="009168FD" w:rsidRPr="00223B66"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pl-PL"/>
        </w:rPr>
        <w:t xml:space="preserve"> </w:t>
      </w:r>
      <w:r w:rsidRPr="00223B66"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pl-PL"/>
        </w:rPr>
        <w:t>procesie stanowienia prawa</w:t>
      </w:r>
      <w:r w:rsidR="009F4E19" w:rsidRPr="00223B66"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pl-PL"/>
        </w:rPr>
        <w:t xml:space="preserve"> (Dz. U. z 2017 r. poz. 248</w:t>
      </w:r>
      <w:r w:rsidR="000D0464"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pl-PL"/>
        </w:rPr>
        <w:t xml:space="preserve"> </w:t>
      </w:r>
      <w:r w:rsidR="000D0464" w:rsidRPr="000D0464"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pl-PL"/>
        </w:rPr>
        <w:t>oraz z 2024 r. poz. 1535</w:t>
      </w:r>
      <w:r w:rsidR="009F4E19" w:rsidRPr="00223B66"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pl-PL"/>
        </w:rPr>
        <w:t>)</w:t>
      </w:r>
      <w:r w:rsidR="0044736E" w:rsidRPr="00223B66">
        <w:rPr>
          <w:rFonts w:ascii="Times New Roman" w:eastAsia="Times New Roman" w:hAnsi="Times New Roman" w:cs="Times New Roman"/>
          <w:bCs/>
          <w:spacing w:val="-4"/>
          <w:sz w:val="24"/>
          <w:szCs w:val="20"/>
          <w:vertAlign w:val="superscript"/>
          <w:lang w:eastAsia="pl-PL"/>
        </w:rPr>
        <w:t xml:space="preserve"> </w:t>
      </w:r>
      <w:r w:rsidRPr="00223B66"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pl-PL"/>
        </w:rPr>
        <w:t>oraz § 52 ust. 1 uchwały nr</w:t>
      </w:r>
      <w:r w:rsidR="00815023"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pl-PL"/>
        </w:rPr>
        <w:t> </w:t>
      </w:r>
      <w:r w:rsidRPr="00223B66"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pl-PL"/>
        </w:rPr>
        <w:t>190 Rady Ministrów z dnia 29</w:t>
      </w:r>
      <w:r w:rsidR="009438AE" w:rsidRPr="00223B66"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pl-PL"/>
        </w:rPr>
        <w:t> </w:t>
      </w:r>
      <w:r w:rsidRPr="00223B66"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pl-PL"/>
        </w:rPr>
        <w:t>października 2013 r. – Regulamin pracy Rady Ministrów</w:t>
      </w:r>
      <w:r w:rsidR="009F4E19" w:rsidRPr="00223B66"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pl-PL"/>
        </w:rPr>
        <w:t xml:space="preserve"> (</w:t>
      </w:r>
      <w:r w:rsidR="009F4E19" w:rsidRPr="00E378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M.P.</w:t>
      </w:r>
      <w:r w:rsidR="008150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 </w:t>
      </w:r>
      <w:r w:rsidR="009F4E19" w:rsidRPr="00E378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z</w:t>
      </w:r>
      <w:r w:rsidR="008150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 </w:t>
      </w:r>
      <w:r w:rsidR="009F4E19" w:rsidRPr="00E378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2024 r. poz. 806</w:t>
      </w:r>
      <w:r w:rsidR="009F4E19" w:rsidRPr="00223B66"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pl-PL"/>
        </w:rPr>
        <w:t>)</w:t>
      </w:r>
      <w:r w:rsidRPr="00223B66"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pl-PL"/>
        </w:rPr>
        <w:t>, został udostępniony w Biuletynie Informacji Publicznej Ministerstwa Funduszy</w:t>
      </w:r>
      <w:r w:rsidR="0044736E" w:rsidRPr="00223B66"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pl-PL"/>
        </w:rPr>
        <w:t xml:space="preserve"> </w:t>
      </w:r>
      <w:r w:rsidRPr="00223B66"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pl-PL"/>
        </w:rPr>
        <w:t>i Polityki Regionalnej oraz na stronie podmiotowej Rządowego Centrum Legislacji, w</w:t>
      </w:r>
      <w:r w:rsidR="00815023"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pl-PL"/>
        </w:rPr>
        <w:t> </w:t>
      </w:r>
      <w:r w:rsidRPr="00223B66"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pl-PL"/>
        </w:rPr>
        <w:t>serwisie Rządowy Proces Legislacyjny.</w:t>
      </w:r>
    </w:p>
    <w:p w14:paraId="0E64E196" w14:textId="05D85E50" w:rsidR="00193156" w:rsidRPr="00223B66" w:rsidRDefault="00193156" w:rsidP="00223B66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lang w:eastAsia="pl-PL"/>
        </w:rPr>
      </w:pPr>
      <w:r w:rsidRPr="00223B66">
        <w:rPr>
          <w:rFonts w:ascii="Times New Roman" w:eastAsia="Times New Roman" w:hAnsi="Times New Roman" w:cs="Times New Roman"/>
          <w:bCs/>
          <w:spacing w:val="-4"/>
          <w:sz w:val="24"/>
          <w:lang w:eastAsia="pl-PL"/>
        </w:rPr>
        <w:t xml:space="preserve">Projekt ustawy jest zgodny z przepisami ustawy z dnia 6 marca 2018 r. – </w:t>
      </w:r>
      <w:bookmarkStart w:id="3" w:name="_Hlk175696116"/>
      <w:r w:rsidRPr="00223B66">
        <w:rPr>
          <w:rFonts w:ascii="Times New Roman" w:eastAsia="Times New Roman" w:hAnsi="Times New Roman" w:cs="Times New Roman"/>
          <w:bCs/>
          <w:spacing w:val="-4"/>
          <w:sz w:val="24"/>
          <w:lang w:eastAsia="pl-PL"/>
        </w:rPr>
        <w:t>Prawo przedsiębiorców</w:t>
      </w:r>
      <w:bookmarkEnd w:id="3"/>
      <w:r w:rsidR="009F4E19" w:rsidRPr="00223B66">
        <w:rPr>
          <w:rFonts w:ascii="Times New Roman" w:eastAsia="Times New Roman" w:hAnsi="Times New Roman" w:cs="Times New Roman"/>
          <w:bCs/>
          <w:spacing w:val="-4"/>
          <w:sz w:val="24"/>
          <w:lang w:eastAsia="pl-PL"/>
        </w:rPr>
        <w:t xml:space="preserve"> (</w:t>
      </w:r>
      <w:r w:rsidR="009F4E19" w:rsidRPr="00E378EC">
        <w:rPr>
          <w:rFonts w:ascii="Times New Roman" w:hAnsi="Times New Roman" w:cs="Times New Roman"/>
          <w:bCs/>
          <w:sz w:val="24"/>
          <w:szCs w:val="24"/>
        </w:rPr>
        <w:t>Dz. U. z 2024 r. poz. 236, z późn. zm.</w:t>
      </w:r>
      <w:r w:rsidR="009F4E19" w:rsidRPr="00223B66">
        <w:rPr>
          <w:rFonts w:ascii="Times New Roman" w:eastAsia="Times New Roman" w:hAnsi="Times New Roman" w:cs="Times New Roman"/>
          <w:bCs/>
          <w:spacing w:val="-4"/>
          <w:sz w:val="24"/>
          <w:lang w:eastAsia="pl-PL"/>
        </w:rPr>
        <w:t>)</w:t>
      </w:r>
      <w:r w:rsidR="00C0608B" w:rsidRPr="00223B66">
        <w:rPr>
          <w:rFonts w:ascii="Times New Roman" w:eastAsia="Times New Roman" w:hAnsi="Times New Roman" w:cs="Times New Roman"/>
          <w:bCs/>
          <w:spacing w:val="-4"/>
          <w:sz w:val="24"/>
          <w:lang w:eastAsia="pl-PL"/>
        </w:rPr>
        <w:t>.</w:t>
      </w:r>
    </w:p>
    <w:p w14:paraId="47A45B7E" w14:textId="678D71DC" w:rsidR="001F27AF" w:rsidRPr="00223B66" w:rsidRDefault="00B22515" w:rsidP="00223B66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pl-PL"/>
        </w:rPr>
      </w:pPr>
      <w:r w:rsidRPr="00223B66"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pl-PL"/>
        </w:rPr>
        <w:t>Projekt nie zawiera przepisów technicznych, nie podlega zatem notyfikacji zgodnie z trybem przewidzianym w rozporządzeniu Rady Ministrów z dnia 23 grudnia 2002 r. w sprawie sposobu funkcjonowania krajowego systemu notyfikacji norm i aktów prawnych</w:t>
      </w:r>
      <w:r w:rsidR="009F4E19" w:rsidRPr="00223B66"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pl-PL"/>
        </w:rPr>
        <w:t xml:space="preserve"> (</w:t>
      </w:r>
      <w:r w:rsidR="009F4E19" w:rsidRPr="00E378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Dz. U. poz. 2039, z</w:t>
      </w:r>
      <w:r w:rsidR="008150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 </w:t>
      </w:r>
      <w:r w:rsidR="009F4E19" w:rsidRPr="00E378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późn.</w:t>
      </w:r>
      <w:r w:rsidR="008150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 </w:t>
      </w:r>
      <w:r w:rsidR="009F4E19" w:rsidRPr="00E378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zm.</w:t>
      </w:r>
      <w:r w:rsidR="009F4E19" w:rsidRPr="00223B66"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pl-PL"/>
        </w:rPr>
        <w:t>)</w:t>
      </w:r>
      <w:r w:rsidR="00AF6051" w:rsidRPr="00223B66"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pl-PL"/>
        </w:rPr>
        <w:t>.</w:t>
      </w:r>
    </w:p>
    <w:p w14:paraId="4BF5148C" w14:textId="0C44D4CC" w:rsidR="004B6928" w:rsidRPr="00223B66" w:rsidRDefault="004B6928" w:rsidP="00223B66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pl-PL"/>
        </w:rPr>
      </w:pPr>
      <w:r w:rsidRPr="00223B66"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pl-PL"/>
        </w:rPr>
        <w:lastRenderedPageBreak/>
        <w:t>Projektowana ustawa nie wymaga przedstawienia właściwym organom i instytucjom Unii Europejskiej, w tym Europejskiemu Bankowi Centralnemu, w celu uzyskania opinii, dokonania powiadomienia, konsultacji albo uzgodnienia.</w:t>
      </w:r>
    </w:p>
    <w:p w14:paraId="79A90ABA" w14:textId="77777777" w:rsidR="00147868" w:rsidRPr="00223B66" w:rsidRDefault="00B22515" w:rsidP="00223B66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pl-PL"/>
        </w:rPr>
      </w:pPr>
      <w:r w:rsidRPr="00223B66"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pl-PL"/>
        </w:rPr>
        <w:t xml:space="preserve">Zakres projektowanej regulacji nie jest objęty prawem Unii Europejskiej. </w:t>
      </w:r>
    </w:p>
    <w:p w14:paraId="1F5168B6" w14:textId="4D40E101" w:rsidR="002A21EB" w:rsidRPr="00223B66" w:rsidRDefault="00B22515" w:rsidP="00223B66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pl-PL"/>
        </w:rPr>
      </w:pPr>
      <w:r w:rsidRPr="00223B66"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pl-PL"/>
        </w:rPr>
        <w:t>Ponadto projekt nie narusza przepisów prawa Unii Europejskiej dotyczących równego traktowania kobiet i</w:t>
      </w:r>
      <w:r w:rsidR="00820E3B" w:rsidRPr="00223B66"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pl-PL"/>
        </w:rPr>
        <w:t xml:space="preserve"> </w:t>
      </w:r>
      <w:r w:rsidRPr="00223B66"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pl-PL"/>
        </w:rPr>
        <w:t>mężczyzn.</w:t>
      </w:r>
      <w:bookmarkEnd w:id="0"/>
    </w:p>
    <w:sectPr w:rsidR="002A21EB" w:rsidRPr="00223B66" w:rsidSect="00E378EC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A43F6" w14:textId="77777777" w:rsidR="00806245" w:rsidRDefault="00806245" w:rsidP="0044736E">
      <w:pPr>
        <w:spacing w:after="0" w:line="240" w:lineRule="auto"/>
      </w:pPr>
      <w:r>
        <w:separator/>
      </w:r>
    </w:p>
  </w:endnote>
  <w:endnote w:type="continuationSeparator" w:id="0">
    <w:p w14:paraId="112F6D37" w14:textId="77777777" w:rsidR="00806245" w:rsidRDefault="00806245" w:rsidP="0044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66418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6C3C334" w14:textId="7C4E659E" w:rsidR="00E378EC" w:rsidRPr="00E378EC" w:rsidRDefault="00E378EC" w:rsidP="00E378EC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78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78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78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378EC">
          <w:rPr>
            <w:rFonts w:ascii="Times New Roman" w:hAnsi="Times New Roman" w:cs="Times New Roman"/>
            <w:sz w:val="24"/>
            <w:szCs w:val="24"/>
          </w:rPr>
          <w:t>2</w:t>
        </w:r>
        <w:r w:rsidRPr="00E378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00843" w14:textId="77777777" w:rsidR="00806245" w:rsidRDefault="00806245" w:rsidP="0044736E">
      <w:pPr>
        <w:spacing w:after="0" w:line="240" w:lineRule="auto"/>
      </w:pPr>
      <w:r>
        <w:separator/>
      </w:r>
    </w:p>
  </w:footnote>
  <w:footnote w:type="continuationSeparator" w:id="0">
    <w:p w14:paraId="34AF3E19" w14:textId="77777777" w:rsidR="00806245" w:rsidRDefault="00806245" w:rsidP="00447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B36F4"/>
    <w:multiLevelType w:val="hybridMultilevel"/>
    <w:tmpl w:val="3BCA38B8"/>
    <w:lvl w:ilvl="0" w:tplc="0220E0F6">
      <w:start w:val="1"/>
      <w:numFmt w:val="bullet"/>
      <w:lvlText w:val="–"/>
      <w:lvlJc w:val="left"/>
      <w:pPr>
        <w:ind w:left="1069" w:hanging="360"/>
      </w:pPr>
      <w:rPr>
        <w:rFonts w:ascii="Perpetua" w:hAnsi="Perpetua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9B60CF2"/>
    <w:multiLevelType w:val="hybridMultilevel"/>
    <w:tmpl w:val="892E354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Perpetua" w:hAnsi="Perpetua" w:hint="default"/>
      </w:rPr>
    </w:lvl>
    <w:lvl w:ilvl="1" w:tplc="0220E0F6">
      <w:start w:val="1"/>
      <w:numFmt w:val="bullet"/>
      <w:lvlText w:val="–"/>
      <w:lvlJc w:val="left"/>
      <w:pPr>
        <w:ind w:left="1440" w:hanging="360"/>
      </w:pPr>
      <w:rPr>
        <w:rFonts w:ascii="Perpetua" w:hAnsi="Perpetu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32568"/>
    <w:multiLevelType w:val="hybridMultilevel"/>
    <w:tmpl w:val="98A0B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C465A"/>
    <w:multiLevelType w:val="hybridMultilevel"/>
    <w:tmpl w:val="4DD41822"/>
    <w:lvl w:ilvl="0" w:tplc="0220E0F6">
      <w:start w:val="1"/>
      <w:numFmt w:val="bullet"/>
      <w:lvlText w:val="–"/>
      <w:lvlJc w:val="left"/>
      <w:pPr>
        <w:ind w:left="720" w:hanging="360"/>
      </w:pPr>
      <w:rPr>
        <w:rFonts w:ascii="Perpetua" w:hAnsi="Perpetu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F3E97"/>
    <w:multiLevelType w:val="hybridMultilevel"/>
    <w:tmpl w:val="D402CA7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404957667">
    <w:abstractNumId w:val="2"/>
  </w:num>
  <w:num w:numId="2" w16cid:durableId="1578978178">
    <w:abstractNumId w:val="3"/>
  </w:num>
  <w:num w:numId="3" w16cid:durableId="1312322414">
    <w:abstractNumId w:val="4"/>
  </w:num>
  <w:num w:numId="4" w16cid:durableId="942227255">
    <w:abstractNumId w:val="0"/>
  </w:num>
  <w:num w:numId="5" w16cid:durableId="1598710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28"/>
    <w:rsid w:val="00003EA0"/>
    <w:rsid w:val="00004EF3"/>
    <w:rsid w:val="0001161D"/>
    <w:rsid w:val="00014AD5"/>
    <w:rsid w:val="0002362F"/>
    <w:rsid w:val="00025BF8"/>
    <w:rsid w:val="000330EF"/>
    <w:rsid w:val="00037B37"/>
    <w:rsid w:val="00037E57"/>
    <w:rsid w:val="00054305"/>
    <w:rsid w:val="00063E20"/>
    <w:rsid w:val="0007733C"/>
    <w:rsid w:val="00090C8D"/>
    <w:rsid w:val="000C414E"/>
    <w:rsid w:val="000C79D1"/>
    <w:rsid w:val="000D0464"/>
    <w:rsid w:val="000D6D0F"/>
    <w:rsid w:val="000E16CE"/>
    <w:rsid w:val="000E28DD"/>
    <w:rsid w:val="000F0A11"/>
    <w:rsid w:val="000F7877"/>
    <w:rsid w:val="00102DB1"/>
    <w:rsid w:val="00116824"/>
    <w:rsid w:val="00120FA8"/>
    <w:rsid w:val="00121406"/>
    <w:rsid w:val="00123370"/>
    <w:rsid w:val="0012375F"/>
    <w:rsid w:val="00134BBB"/>
    <w:rsid w:val="00135148"/>
    <w:rsid w:val="00136D37"/>
    <w:rsid w:val="00140F92"/>
    <w:rsid w:val="0014716E"/>
    <w:rsid w:val="00147868"/>
    <w:rsid w:val="00147A6B"/>
    <w:rsid w:val="00147C06"/>
    <w:rsid w:val="001557BE"/>
    <w:rsid w:val="0016275E"/>
    <w:rsid w:val="001670CF"/>
    <w:rsid w:val="00173AA6"/>
    <w:rsid w:val="00185DB8"/>
    <w:rsid w:val="00193156"/>
    <w:rsid w:val="001A3110"/>
    <w:rsid w:val="001B3A5C"/>
    <w:rsid w:val="001C2D73"/>
    <w:rsid w:val="001D356E"/>
    <w:rsid w:val="001E0DBD"/>
    <w:rsid w:val="001E46F4"/>
    <w:rsid w:val="001F27AF"/>
    <w:rsid w:val="00201B32"/>
    <w:rsid w:val="002023CE"/>
    <w:rsid w:val="00203A15"/>
    <w:rsid w:val="00204F9D"/>
    <w:rsid w:val="00211DE7"/>
    <w:rsid w:val="00216D31"/>
    <w:rsid w:val="00220935"/>
    <w:rsid w:val="00223B66"/>
    <w:rsid w:val="002245F9"/>
    <w:rsid w:val="00230912"/>
    <w:rsid w:val="00232C57"/>
    <w:rsid w:val="00242F21"/>
    <w:rsid w:val="00250B92"/>
    <w:rsid w:val="00251548"/>
    <w:rsid w:val="0027122E"/>
    <w:rsid w:val="00281D1A"/>
    <w:rsid w:val="002923EB"/>
    <w:rsid w:val="00292DBB"/>
    <w:rsid w:val="002A19BF"/>
    <w:rsid w:val="002A21EB"/>
    <w:rsid w:val="002A5E97"/>
    <w:rsid w:val="002B111A"/>
    <w:rsid w:val="002C4D23"/>
    <w:rsid w:val="002D42FF"/>
    <w:rsid w:val="002D43CA"/>
    <w:rsid w:val="002E6C10"/>
    <w:rsid w:val="002F0742"/>
    <w:rsid w:val="0030278B"/>
    <w:rsid w:val="00304394"/>
    <w:rsid w:val="00305053"/>
    <w:rsid w:val="00306BEA"/>
    <w:rsid w:val="0031174C"/>
    <w:rsid w:val="00320E97"/>
    <w:rsid w:val="0033108F"/>
    <w:rsid w:val="00331377"/>
    <w:rsid w:val="00336B20"/>
    <w:rsid w:val="0035445A"/>
    <w:rsid w:val="003916EB"/>
    <w:rsid w:val="003935F7"/>
    <w:rsid w:val="003B4DDA"/>
    <w:rsid w:val="003C2571"/>
    <w:rsid w:val="003D49E9"/>
    <w:rsid w:val="003E0E95"/>
    <w:rsid w:val="003F486B"/>
    <w:rsid w:val="003F714F"/>
    <w:rsid w:val="004023E4"/>
    <w:rsid w:val="00402D84"/>
    <w:rsid w:val="00403651"/>
    <w:rsid w:val="00411E0C"/>
    <w:rsid w:val="00427BBC"/>
    <w:rsid w:val="004350C8"/>
    <w:rsid w:val="0044736E"/>
    <w:rsid w:val="00447624"/>
    <w:rsid w:val="00455DFC"/>
    <w:rsid w:val="004903FD"/>
    <w:rsid w:val="004912EA"/>
    <w:rsid w:val="004921CB"/>
    <w:rsid w:val="004B6928"/>
    <w:rsid w:val="004C02F5"/>
    <w:rsid w:val="004D1837"/>
    <w:rsid w:val="004D4D74"/>
    <w:rsid w:val="004D6360"/>
    <w:rsid w:val="004F6045"/>
    <w:rsid w:val="005000B3"/>
    <w:rsid w:val="00502D1F"/>
    <w:rsid w:val="00511A32"/>
    <w:rsid w:val="00523BA1"/>
    <w:rsid w:val="00540341"/>
    <w:rsid w:val="00540B22"/>
    <w:rsid w:val="0054144B"/>
    <w:rsid w:val="00561E61"/>
    <w:rsid w:val="00562424"/>
    <w:rsid w:val="0056438B"/>
    <w:rsid w:val="00565880"/>
    <w:rsid w:val="00565DF7"/>
    <w:rsid w:val="005673C9"/>
    <w:rsid w:val="00587A97"/>
    <w:rsid w:val="00594663"/>
    <w:rsid w:val="00594E52"/>
    <w:rsid w:val="00596A32"/>
    <w:rsid w:val="005A59AA"/>
    <w:rsid w:val="005B7037"/>
    <w:rsid w:val="005C5197"/>
    <w:rsid w:val="005C66B3"/>
    <w:rsid w:val="005D1258"/>
    <w:rsid w:val="005D4661"/>
    <w:rsid w:val="005E00D0"/>
    <w:rsid w:val="005F76C7"/>
    <w:rsid w:val="00620F7B"/>
    <w:rsid w:val="00622CE7"/>
    <w:rsid w:val="0063104F"/>
    <w:rsid w:val="00633F03"/>
    <w:rsid w:val="006358FA"/>
    <w:rsid w:val="006454B7"/>
    <w:rsid w:val="0065487B"/>
    <w:rsid w:val="00656F15"/>
    <w:rsid w:val="00660EB7"/>
    <w:rsid w:val="0066462A"/>
    <w:rsid w:val="0067038B"/>
    <w:rsid w:val="006A7075"/>
    <w:rsid w:val="006B6284"/>
    <w:rsid w:val="006C0434"/>
    <w:rsid w:val="006E2179"/>
    <w:rsid w:val="006F5446"/>
    <w:rsid w:val="006F5D08"/>
    <w:rsid w:val="00701D8B"/>
    <w:rsid w:val="00711BB8"/>
    <w:rsid w:val="00714348"/>
    <w:rsid w:val="00720702"/>
    <w:rsid w:val="00731063"/>
    <w:rsid w:val="00732ECB"/>
    <w:rsid w:val="0074090E"/>
    <w:rsid w:val="00740C9B"/>
    <w:rsid w:val="00743880"/>
    <w:rsid w:val="0074779C"/>
    <w:rsid w:val="00750F43"/>
    <w:rsid w:val="00764B34"/>
    <w:rsid w:val="007742A5"/>
    <w:rsid w:val="007855E2"/>
    <w:rsid w:val="007A4FF6"/>
    <w:rsid w:val="007B4D35"/>
    <w:rsid w:val="007B72BB"/>
    <w:rsid w:val="007C1101"/>
    <w:rsid w:val="007D422A"/>
    <w:rsid w:val="00806245"/>
    <w:rsid w:val="0080721C"/>
    <w:rsid w:val="00815023"/>
    <w:rsid w:val="00820E3B"/>
    <w:rsid w:val="0082280F"/>
    <w:rsid w:val="0083307D"/>
    <w:rsid w:val="00846E16"/>
    <w:rsid w:val="00850A85"/>
    <w:rsid w:val="00853CA0"/>
    <w:rsid w:val="00856D83"/>
    <w:rsid w:val="0086005D"/>
    <w:rsid w:val="00862BB0"/>
    <w:rsid w:val="00864500"/>
    <w:rsid w:val="00867572"/>
    <w:rsid w:val="00872682"/>
    <w:rsid w:val="008767C3"/>
    <w:rsid w:val="00883CD8"/>
    <w:rsid w:val="00887CBF"/>
    <w:rsid w:val="0089165A"/>
    <w:rsid w:val="008C26A6"/>
    <w:rsid w:val="008C4B56"/>
    <w:rsid w:val="008D2BE7"/>
    <w:rsid w:val="008F55F1"/>
    <w:rsid w:val="008F5A08"/>
    <w:rsid w:val="0090585A"/>
    <w:rsid w:val="00911665"/>
    <w:rsid w:val="009168FD"/>
    <w:rsid w:val="00917B7F"/>
    <w:rsid w:val="009216F0"/>
    <w:rsid w:val="00927429"/>
    <w:rsid w:val="009326B5"/>
    <w:rsid w:val="009438AE"/>
    <w:rsid w:val="00943991"/>
    <w:rsid w:val="00946B81"/>
    <w:rsid w:val="009771F6"/>
    <w:rsid w:val="00984832"/>
    <w:rsid w:val="00985FA9"/>
    <w:rsid w:val="009C531E"/>
    <w:rsid w:val="009D2DE0"/>
    <w:rsid w:val="009F4E19"/>
    <w:rsid w:val="009F52D3"/>
    <w:rsid w:val="00A00896"/>
    <w:rsid w:val="00A016BB"/>
    <w:rsid w:val="00A308D4"/>
    <w:rsid w:val="00A5783B"/>
    <w:rsid w:val="00A809E9"/>
    <w:rsid w:val="00A8542B"/>
    <w:rsid w:val="00A86061"/>
    <w:rsid w:val="00A86E06"/>
    <w:rsid w:val="00A91375"/>
    <w:rsid w:val="00A934F5"/>
    <w:rsid w:val="00AB3AF2"/>
    <w:rsid w:val="00AB68ED"/>
    <w:rsid w:val="00AC69DA"/>
    <w:rsid w:val="00AF1CE5"/>
    <w:rsid w:val="00AF2E2E"/>
    <w:rsid w:val="00AF6051"/>
    <w:rsid w:val="00AF75B3"/>
    <w:rsid w:val="00B154E4"/>
    <w:rsid w:val="00B20EA4"/>
    <w:rsid w:val="00B22515"/>
    <w:rsid w:val="00B25754"/>
    <w:rsid w:val="00B35434"/>
    <w:rsid w:val="00B35A3A"/>
    <w:rsid w:val="00B522C7"/>
    <w:rsid w:val="00B74206"/>
    <w:rsid w:val="00B74E2E"/>
    <w:rsid w:val="00B7697C"/>
    <w:rsid w:val="00B80E12"/>
    <w:rsid w:val="00B914F1"/>
    <w:rsid w:val="00B92246"/>
    <w:rsid w:val="00B9231C"/>
    <w:rsid w:val="00B93122"/>
    <w:rsid w:val="00BB1D42"/>
    <w:rsid w:val="00BC41E8"/>
    <w:rsid w:val="00BC52D8"/>
    <w:rsid w:val="00BD2204"/>
    <w:rsid w:val="00BE5064"/>
    <w:rsid w:val="00BE5252"/>
    <w:rsid w:val="00BF20CD"/>
    <w:rsid w:val="00C03895"/>
    <w:rsid w:val="00C0608B"/>
    <w:rsid w:val="00C10739"/>
    <w:rsid w:val="00C141F5"/>
    <w:rsid w:val="00C51529"/>
    <w:rsid w:val="00C538DA"/>
    <w:rsid w:val="00C55587"/>
    <w:rsid w:val="00C619E8"/>
    <w:rsid w:val="00C84AC4"/>
    <w:rsid w:val="00CA0213"/>
    <w:rsid w:val="00CA59DD"/>
    <w:rsid w:val="00CB0B67"/>
    <w:rsid w:val="00CC1863"/>
    <w:rsid w:val="00CC49EF"/>
    <w:rsid w:val="00CC6157"/>
    <w:rsid w:val="00CE0596"/>
    <w:rsid w:val="00CE4AED"/>
    <w:rsid w:val="00CF3DB0"/>
    <w:rsid w:val="00CF5880"/>
    <w:rsid w:val="00D11E1A"/>
    <w:rsid w:val="00D30D68"/>
    <w:rsid w:val="00D37385"/>
    <w:rsid w:val="00D43227"/>
    <w:rsid w:val="00D571FE"/>
    <w:rsid w:val="00D62237"/>
    <w:rsid w:val="00D72F87"/>
    <w:rsid w:val="00D77542"/>
    <w:rsid w:val="00D835EC"/>
    <w:rsid w:val="00D87E0D"/>
    <w:rsid w:val="00DA7CF4"/>
    <w:rsid w:val="00DB16AD"/>
    <w:rsid w:val="00DB72ED"/>
    <w:rsid w:val="00DC4996"/>
    <w:rsid w:val="00DE7C7D"/>
    <w:rsid w:val="00DF2A3F"/>
    <w:rsid w:val="00DF4520"/>
    <w:rsid w:val="00DF76E3"/>
    <w:rsid w:val="00E016E1"/>
    <w:rsid w:val="00E1312C"/>
    <w:rsid w:val="00E378EC"/>
    <w:rsid w:val="00E416F7"/>
    <w:rsid w:val="00E52873"/>
    <w:rsid w:val="00E701E3"/>
    <w:rsid w:val="00E74DAE"/>
    <w:rsid w:val="00E771BE"/>
    <w:rsid w:val="00E77C3B"/>
    <w:rsid w:val="00E85570"/>
    <w:rsid w:val="00E85AD6"/>
    <w:rsid w:val="00EA3617"/>
    <w:rsid w:val="00EA7B52"/>
    <w:rsid w:val="00EB13E5"/>
    <w:rsid w:val="00EC1856"/>
    <w:rsid w:val="00EC7C10"/>
    <w:rsid w:val="00ED34BB"/>
    <w:rsid w:val="00F11D01"/>
    <w:rsid w:val="00F130A6"/>
    <w:rsid w:val="00F175FE"/>
    <w:rsid w:val="00F27BDD"/>
    <w:rsid w:val="00F402FD"/>
    <w:rsid w:val="00F771E6"/>
    <w:rsid w:val="00F864C0"/>
    <w:rsid w:val="00F872D0"/>
    <w:rsid w:val="00F96D22"/>
    <w:rsid w:val="00FC2D6B"/>
    <w:rsid w:val="00FD5485"/>
    <w:rsid w:val="00FD6EDE"/>
    <w:rsid w:val="00FF74CA"/>
    <w:rsid w:val="1E2E8659"/>
    <w:rsid w:val="51D36890"/>
    <w:rsid w:val="585C02FE"/>
    <w:rsid w:val="60509CBB"/>
    <w:rsid w:val="7383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F31A"/>
  <w15:chartTrackingRefBased/>
  <w15:docId w15:val="{F6977A19-5F98-46A1-BA7C-718CBB4D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BF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473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73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736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2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26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26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26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26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A59DD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74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74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7429"/>
    <w:rPr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134BBB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8EC"/>
  </w:style>
  <w:style w:type="paragraph" w:styleId="Stopka">
    <w:name w:val="footer"/>
    <w:basedOn w:val="Normalny"/>
    <w:link w:val="StopkaZnak"/>
    <w:uiPriority w:val="99"/>
    <w:unhideWhenUsed/>
    <w:rsid w:val="00E3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7B728DFB59D048B06DC7FE67F0DF27" ma:contentTypeVersion="15" ma:contentTypeDescription="Utwórz nowy dokument." ma:contentTypeScope="" ma:versionID="29a27c920e6db4504828a02c639dcbcb">
  <xsd:schema xmlns:xsd="http://www.w3.org/2001/XMLSchema" xmlns:xs="http://www.w3.org/2001/XMLSchema" xmlns:p="http://schemas.microsoft.com/office/2006/metadata/properties" xmlns:ns3="d29decbe-2eb4-4e32-acd9-792babb1a74c" xmlns:ns4="b9be42ee-6f2c-420a-95c9-af817380e135" targetNamespace="http://schemas.microsoft.com/office/2006/metadata/properties" ma:root="true" ma:fieldsID="bb09322117a56df8645f30fffe51c71b" ns3:_="" ns4:_="">
    <xsd:import namespace="d29decbe-2eb4-4e32-acd9-792babb1a74c"/>
    <xsd:import namespace="b9be42ee-6f2c-420a-95c9-af817380e1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ecbe-2eb4-4e32-acd9-792babb1a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e42ee-6f2c-420a-95c9-af817380e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9decbe-2eb4-4e32-acd9-792babb1a74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5B82D-160F-472A-B36C-477E16DCB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decbe-2eb4-4e32-acd9-792babb1a74c"/>
    <ds:schemaRef ds:uri="b9be42ee-6f2c-420a-95c9-af817380e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B208D-20B2-40C6-85E9-B9EC8B565F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8556B6-82C4-46BC-BC5B-7B40737A29B4}">
  <ds:schemaRefs>
    <ds:schemaRef ds:uri="http://schemas.microsoft.com/office/2006/metadata/properties"/>
    <ds:schemaRef ds:uri="http://schemas.microsoft.com/office/infopath/2007/PartnerControls"/>
    <ds:schemaRef ds:uri="d29decbe-2eb4-4e32-acd9-792babb1a74c"/>
  </ds:schemaRefs>
</ds:datastoreItem>
</file>

<file path=customXml/itemProps4.xml><?xml version="1.0" encoding="utf-8"?>
<ds:datastoreItem xmlns:ds="http://schemas.openxmlformats.org/officeDocument/2006/customXml" ds:itemID="{21376897-BE90-4456-BA7E-42FA6DF294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1898</Words>
  <Characters>11391</Characters>
  <Application>Microsoft Office Word</Application>
  <DocSecurity>4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Bojanowicz</dc:creator>
  <cp:keywords/>
  <dc:description/>
  <cp:lastModifiedBy>Pietrzak Ewa</cp:lastModifiedBy>
  <cp:revision>2</cp:revision>
  <cp:lastPrinted>2024-08-20T09:42:00Z</cp:lastPrinted>
  <dcterms:created xsi:type="dcterms:W3CDTF">2024-10-29T11:57:00Z</dcterms:created>
  <dcterms:modified xsi:type="dcterms:W3CDTF">2024-10-29T11:57:00Z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0x0101005D7B728DFB59D048B06DC7FE67F0DF27</vt:lpwstr>
  </property>
</Properties>
</file>