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96340" w14:textId="77777777" w:rsidR="0038375B" w:rsidRPr="0038375B" w:rsidRDefault="0038375B" w:rsidP="0038375B">
      <w:pPr>
        <w:pStyle w:val="OZNPROJEKTUwskazaniedatylubwersjiprojektu"/>
        <w:keepNext/>
      </w:pPr>
      <w:r w:rsidRPr="0038375B">
        <w:t>Projekt</w:t>
      </w:r>
    </w:p>
    <w:p w14:paraId="2AE16D1C" w14:textId="77777777" w:rsidR="0038375B" w:rsidRPr="0038375B" w:rsidRDefault="0038375B" w:rsidP="0038375B">
      <w:pPr>
        <w:pStyle w:val="OZNRODZAKTUtznustawalubrozporzdzenieiorganwydajcy"/>
      </w:pPr>
      <w:r w:rsidRPr="0038375B">
        <w:t>USTAWA</w:t>
      </w:r>
    </w:p>
    <w:p w14:paraId="2523A384" w14:textId="77777777" w:rsidR="0038375B" w:rsidRPr="0038375B" w:rsidRDefault="0038375B" w:rsidP="0038375B">
      <w:pPr>
        <w:pStyle w:val="DATAAKTUdatauchwalenialubwydaniaaktu"/>
      </w:pPr>
      <w:r w:rsidRPr="0038375B">
        <w:t>z dnia</w:t>
      </w:r>
    </w:p>
    <w:p w14:paraId="6344B859" w14:textId="77777777" w:rsidR="0038375B" w:rsidRPr="0038375B" w:rsidRDefault="0038375B" w:rsidP="0038375B">
      <w:pPr>
        <w:pStyle w:val="TYTUAKTUprzedmiotregulacjiustawylubrozporzdzenia"/>
      </w:pPr>
      <w:r w:rsidRPr="0038375B">
        <w:t>o szczególnych rozwiązaniach służących realizacji ustawy budżetowej na rok 2025</w:t>
      </w:r>
      <w:r w:rsidRPr="0038375B">
        <w:rPr>
          <w:rStyle w:val="IGPindeksgrnyipogrubienie"/>
        </w:rPr>
        <w:footnoteReference w:id="1"/>
      </w:r>
      <w:r w:rsidRPr="0038375B">
        <w:rPr>
          <w:rStyle w:val="IGPindeksgrnyipogrubienie"/>
        </w:rPr>
        <w:t>)</w:t>
      </w:r>
    </w:p>
    <w:p w14:paraId="5E610D6A" w14:textId="77777777" w:rsidR="0038375B" w:rsidRPr="0038375B" w:rsidRDefault="0038375B" w:rsidP="0038375B">
      <w:pPr>
        <w:pStyle w:val="ARTartustawynprozporzdzenia"/>
      </w:pPr>
      <w:r w:rsidRPr="0038375B">
        <w:rPr>
          <w:rStyle w:val="Ppogrubienie"/>
        </w:rPr>
        <w:t>Art. 1.</w:t>
      </w:r>
      <w:r w:rsidRPr="0038375B">
        <w:t xml:space="preserve"> W roku 2025 podstawę wymiaru, o której mowa w art. 1 ust. 3 pkt 11 ustawy z dnia 9 czerwca 2016 r. o zasadach kształtowania wynagrodzeń osób kierujących niektórymi spółkami (Dz. U. z 2020 r. poz. 1907), stanowi przeciętne miesięczne wynagrodzenie w sektorze przedsiębiorstw bez wypłat nagród z zysku w czwartym kwartale 2016 r.</w:t>
      </w:r>
    </w:p>
    <w:p w14:paraId="4C4C889A" w14:textId="77777777" w:rsidR="0038375B" w:rsidRPr="0038375B" w:rsidRDefault="0038375B" w:rsidP="0038375B">
      <w:pPr>
        <w:pStyle w:val="ARTartustawynprozporzdzenia"/>
      </w:pPr>
      <w:r w:rsidRPr="0038375B">
        <w:rPr>
          <w:rStyle w:val="Ppogrubienie"/>
        </w:rPr>
        <w:t>Art. 2.</w:t>
      </w:r>
      <w:r w:rsidRPr="0038375B">
        <w:t xml:space="preserve"> W roku 2025 podstawę ustalenia maksymalnej wysokości wynagrodzenia miesięcznego, o którym mowa w art. 8 ustawy z dnia 3 marca 2000 r. o wynagradzaniu osób kierujących niektórymi podmiotami prawnymi (Dz. U. z 2019 r. poz. 2136), stanowi kwota 5938,20 zł.</w:t>
      </w:r>
    </w:p>
    <w:p w14:paraId="2F2167C5" w14:textId="77777777" w:rsidR="0038375B" w:rsidRPr="009F28C2" w:rsidRDefault="0038375B" w:rsidP="0038375B">
      <w:pPr>
        <w:pStyle w:val="ARTartustawynprozporzdzenia"/>
      </w:pPr>
      <w:r w:rsidRPr="0038375B">
        <w:rPr>
          <w:rStyle w:val="Ppogrubienie"/>
        </w:rPr>
        <w:t xml:space="preserve">Art. 3. </w:t>
      </w:r>
      <w:r w:rsidRPr="0038375B">
        <w:t>W roku 2025 średnie wynagrodzenie nauczycieli ustalone w sposób określony w art. 30 ust. 3 pkt 1 ustawy z dnia 26 stycznia 1982 r. – Karta Nauczyciela (Dz. U. z 2024 r. poz. 986) zwiększa się o 2,308</w:t>
      </w:r>
      <w:r w:rsidR="009F28C2">
        <w:t> </w:t>
      </w:r>
      <w:r w:rsidRPr="0038375B">
        <w:t>%.</w:t>
      </w:r>
    </w:p>
    <w:p w14:paraId="2F96B2A8" w14:textId="77777777" w:rsidR="0038375B" w:rsidRPr="0038375B" w:rsidRDefault="0038375B" w:rsidP="0038375B">
      <w:pPr>
        <w:pStyle w:val="ARTartustawynprozporzdzenia"/>
      </w:pPr>
      <w:r w:rsidRPr="0038375B">
        <w:rPr>
          <w:rStyle w:val="Ppogrubienie"/>
        </w:rPr>
        <w:t xml:space="preserve">Art. 4. </w:t>
      </w:r>
      <w:r w:rsidRPr="0038375B">
        <w:t>Przepisu art. 122 ust. 1 pkt 2 lit. c ustawy z dnia 27 sierpnia 2009 r. o finansach publicznych (Dz. U. z 2023 r. poz. 1270, z późn. zm.</w:t>
      </w:r>
      <w:r w:rsidRPr="0038375B">
        <w:rPr>
          <w:rStyle w:val="IGindeksgrny"/>
        </w:rPr>
        <w:footnoteReference w:id="2"/>
      </w:r>
      <w:r w:rsidRPr="0038375B">
        <w:rPr>
          <w:rStyle w:val="IGindeksgrny"/>
        </w:rPr>
        <w:t>)</w:t>
      </w:r>
      <w:r w:rsidRPr="0038375B">
        <w:t>) nie stosuje się do ustawy budżetowej na rok 2025 w odniesieniu do wydatków w ramach wspólnej polityki rolnej.</w:t>
      </w:r>
    </w:p>
    <w:p w14:paraId="43509273" w14:textId="77777777" w:rsidR="0038375B" w:rsidRPr="0038375B" w:rsidRDefault="0038375B" w:rsidP="0038375B">
      <w:pPr>
        <w:pStyle w:val="ARTartustawynprozporzdzenia"/>
      </w:pPr>
      <w:r w:rsidRPr="0038375B">
        <w:rPr>
          <w:rStyle w:val="Ppogrubienie"/>
        </w:rPr>
        <w:t xml:space="preserve">Art. 5. </w:t>
      </w:r>
      <w:r w:rsidRPr="0038375B">
        <w:t>W roku 2025 środki z budżetu państwa przekazywane przez ministra właściwego do spraw finansów publicznych do Funduszu Ubezpieczeń Społecznych w formie dotacji przeznacza się także na rekompensatę składek przekazywanych na rzecz otwartych funduszy emerytalnych, o ile nie znajdują pokrycia w zrealizowanych przychodach z tytułu prywatyzacji majątku Skarbu Państwa.</w:t>
      </w:r>
    </w:p>
    <w:p w14:paraId="050F2132" w14:textId="77777777" w:rsidR="0038375B" w:rsidRPr="0038375B" w:rsidRDefault="0038375B" w:rsidP="0038375B">
      <w:pPr>
        <w:pStyle w:val="ARTartustawynprozporzdzenia"/>
      </w:pPr>
      <w:r w:rsidRPr="0038375B">
        <w:rPr>
          <w:rStyle w:val="Ppogrubienie"/>
        </w:rPr>
        <w:lastRenderedPageBreak/>
        <w:t>Art. 6.</w:t>
      </w:r>
      <w:r w:rsidRPr="0038375B">
        <w:t xml:space="preserve"> W roku 2025 przepisu art. 9 ustawy z dnia 16 maja 2019 r. o Funduszu rozwoju przewozów autobusowych o charakterze użyteczności publicznej (Dz. U. z 2024 r. poz. 402) nie stosuje się.</w:t>
      </w:r>
    </w:p>
    <w:p w14:paraId="30791F5B" w14:textId="77777777" w:rsidR="0038375B" w:rsidRPr="0038375B" w:rsidRDefault="0038375B" w:rsidP="0038375B">
      <w:pPr>
        <w:pStyle w:val="ARTartustawynprozporzdzenia"/>
      </w:pPr>
      <w:r w:rsidRPr="0038375B">
        <w:rPr>
          <w:rStyle w:val="Ppogrubienie"/>
        </w:rPr>
        <w:t>Art. 7.</w:t>
      </w:r>
      <w:r w:rsidRPr="0038375B">
        <w:t xml:space="preserve"> 1. W roku 2025 minister właściwy do spraw budżetu może przekazać ministrowi właściwemu do spraw gospodarki surowcami energetycznymi, na jego wniosek, skarbowe papiery wartościowe celem ich przekazania przedsiębiorstwu, o którym mowa w art. 5f ust. 1 ustawy z dnia 7 września 2007 r. o funkcjonowaniu górnictwa węgla kamiennego (Dz. U. z 2024 r. poz. 1383), na podwyższenie kapitału zakładowego tego przedsiębiorstwa, jeżeli jest to niezbędne do realizacji jego zadań określonych w ustawie z dnia 7 września 2007 r. o funkcjonowaniu górnictwa węgla kamiennego, z tym że wartość nominalna wyemitowanych skarbowych papierów wartościowych na ten cel nie może przekroczyć kwoty 5 400 000 tys. zł.</w:t>
      </w:r>
    </w:p>
    <w:p w14:paraId="31B4B5A2" w14:textId="77777777" w:rsidR="0038375B" w:rsidRPr="0038375B" w:rsidRDefault="0038375B" w:rsidP="0038375B">
      <w:pPr>
        <w:pStyle w:val="USTustnpkodeksu"/>
      </w:pPr>
      <w:r w:rsidRPr="0038375B">
        <w:t>2. Wniosek, o którym mowa w ust. 1, zawiera łączną wartość nominalną skarbowych papierów wartościowych, o których mowa w ust. 1, zaokrągloną do 1 tys. zł.</w:t>
      </w:r>
    </w:p>
    <w:p w14:paraId="7CA8DDF1" w14:textId="77777777" w:rsidR="0038375B" w:rsidRPr="0038375B" w:rsidRDefault="0038375B" w:rsidP="0038375B">
      <w:pPr>
        <w:pStyle w:val="USTustnpkodeksu"/>
      </w:pPr>
      <w:r w:rsidRPr="0038375B">
        <w:t>3. Akcje w podwyższonym kapitale zakładowym przedsiębiorstwa, o którym mowa w ust. 1, zostaną objęte przez Skarb Państwa.</w:t>
      </w:r>
    </w:p>
    <w:p w14:paraId="75575B70" w14:textId="77777777" w:rsidR="0038375B" w:rsidRPr="0038375B" w:rsidRDefault="0038375B" w:rsidP="0038375B">
      <w:pPr>
        <w:pStyle w:val="USTustnpkodeksu"/>
      </w:pPr>
      <w:r w:rsidRPr="0038375B">
        <w:t>4. Do podwyższenia kapitału zakładowego przedsiębiorstwa, o którym mowa w ust. 1, stosuje się przepisy ustawy z dnia 15 września 2000 r. – Kodeks spółek handlowych (Dz. U. z 2024 r. poz. 18 i 96).</w:t>
      </w:r>
    </w:p>
    <w:p w14:paraId="335BBF50" w14:textId="77777777" w:rsidR="0038375B" w:rsidRPr="0038375B" w:rsidRDefault="0038375B" w:rsidP="0038375B">
      <w:pPr>
        <w:pStyle w:val="USTustnpkodeksu"/>
      </w:pPr>
      <w:r w:rsidRPr="0038375B">
        <w:t>5. Minister właściwy do spraw budżetu określi, przez wydanie listu emisyjnego, warunki emisji skarbowych papierów wartościowych, o których mowa w ust. 1, oraz sposób realizacji świadczeń z nich wynikających.</w:t>
      </w:r>
    </w:p>
    <w:p w14:paraId="61C741FE" w14:textId="77777777" w:rsidR="0038375B" w:rsidRPr="0038375B" w:rsidRDefault="0038375B" w:rsidP="0038375B">
      <w:pPr>
        <w:pStyle w:val="USTustnpkodeksu"/>
        <w:keepNext/>
      </w:pPr>
      <w:r w:rsidRPr="0038375B">
        <w:t>6. List emisyjny zawiera w szczególności:</w:t>
      </w:r>
    </w:p>
    <w:p w14:paraId="343B96A0" w14:textId="77777777" w:rsidR="0038375B" w:rsidRPr="0038375B" w:rsidRDefault="0038375B" w:rsidP="0038375B">
      <w:pPr>
        <w:pStyle w:val="PKTpunkt"/>
      </w:pPr>
      <w:r w:rsidRPr="0038375B">
        <w:t>1)</w:t>
      </w:r>
      <w:r w:rsidRPr="0038375B">
        <w:tab/>
        <w:t>datę emisji;</w:t>
      </w:r>
    </w:p>
    <w:p w14:paraId="6D0E3A6F" w14:textId="77777777" w:rsidR="0038375B" w:rsidRPr="0038375B" w:rsidRDefault="0038375B" w:rsidP="0038375B">
      <w:pPr>
        <w:pStyle w:val="PKTpunkt"/>
      </w:pPr>
      <w:r w:rsidRPr="0038375B">
        <w:t>2)</w:t>
      </w:r>
      <w:r w:rsidRPr="0038375B">
        <w:tab/>
        <w:t>powołanie podstawy prawnej emisji;</w:t>
      </w:r>
    </w:p>
    <w:p w14:paraId="55E4AB02" w14:textId="77777777" w:rsidR="0038375B" w:rsidRPr="0038375B" w:rsidRDefault="0038375B" w:rsidP="0038375B">
      <w:pPr>
        <w:pStyle w:val="PKTpunkt"/>
      </w:pPr>
      <w:r w:rsidRPr="0038375B">
        <w:t>3)</w:t>
      </w:r>
      <w:r w:rsidRPr="0038375B">
        <w:tab/>
        <w:t>jednostkową wartość nominalną w złotych;</w:t>
      </w:r>
    </w:p>
    <w:p w14:paraId="40816124" w14:textId="77777777" w:rsidR="0038375B" w:rsidRPr="0038375B" w:rsidRDefault="0038375B" w:rsidP="0038375B">
      <w:pPr>
        <w:pStyle w:val="PKTpunkt"/>
      </w:pPr>
      <w:r w:rsidRPr="0038375B">
        <w:t>4)</w:t>
      </w:r>
      <w:r w:rsidRPr="0038375B">
        <w:tab/>
        <w:t>cenę lub sposób jej ustalenia;</w:t>
      </w:r>
    </w:p>
    <w:p w14:paraId="3E786DC2" w14:textId="77777777" w:rsidR="0038375B" w:rsidRPr="0038375B" w:rsidRDefault="0038375B" w:rsidP="0038375B">
      <w:pPr>
        <w:pStyle w:val="PKTpunkt"/>
      </w:pPr>
      <w:r w:rsidRPr="0038375B">
        <w:t>5)</w:t>
      </w:r>
      <w:r w:rsidRPr="0038375B">
        <w:tab/>
        <w:t>stopę procentową lub sposób jej obliczania;</w:t>
      </w:r>
    </w:p>
    <w:p w14:paraId="2D17707D" w14:textId="77777777" w:rsidR="0038375B" w:rsidRPr="0038375B" w:rsidRDefault="0038375B" w:rsidP="0038375B">
      <w:pPr>
        <w:pStyle w:val="PKTpunkt"/>
      </w:pPr>
      <w:r w:rsidRPr="0038375B">
        <w:t>6)</w:t>
      </w:r>
      <w:r w:rsidRPr="0038375B">
        <w:tab/>
        <w:t>określenie sposobu i terminów wypłaty należności głównej oraz ewentualnych należności ubocznych;</w:t>
      </w:r>
    </w:p>
    <w:p w14:paraId="77432A0C" w14:textId="77777777" w:rsidR="0038375B" w:rsidRPr="0038375B" w:rsidRDefault="0038375B" w:rsidP="0038375B">
      <w:pPr>
        <w:pStyle w:val="PKTpunkt"/>
      </w:pPr>
      <w:r w:rsidRPr="0038375B">
        <w:t>7)</w:t>
      </w:r>
      <w:r w:rsidRPr="0038375B">
        <w:tab/>
        <w:t>termin wykupu oraz zastrzeżenia w przedmiocie możliwości wcześniejszego wykupu.</w:t>
      </w:r>
    </w:p>
    <w:p w14:paraId="66B108DD" w14:textId="77777777" w:rsidR="0038375B" w:rsidRPr="0038375B" w:rsidRDefault="0038375B" w:rsidP="0038375B">
      <w:pPr>
        <w:pStyle w:val="USTustnpkodeksu"/>
      </w:pPr>
      <w:r w:rsidRPr="0038375B">
        <w:lastRenderedPageBreak/>
        <w:t>7. Emisja skarbowych papierów wartościowych, o których mowa w ust. 1, następuje z dniem zarejestrowania skarbowych papierów wartościowych w depozycie papierów wartościowych oraz w kwocie równej wartości nominalnej wyemitowanych skarbowych papierów wartościowych.</w:t>
      </w:r>
    </w:p>
    <w:p w14:paraId="30AE05E4" w14:textId="77777777" w:rsidR="0038375B" w:rsidRPr="0038375B" w:rsidRDefault="0038375B" w:rsidP="0038375B">
      <w:pPr>
        <w:pStyle w:val="USTustnpkodeksu"/>
      </w:pPr>
      <w:r w:rsidRPr="0038375B">
        <w:t>8. Do emisji skarbowych papierów wartościowych, o których mowa w ust. 1, nie stosuje się przepisów art. 98 i art. 102 ustawy z dnia 27 sierpnia 2009 r. o finansach publicznych oraz przepisów wydanych na podstawie art. 97 tej ustawy.</w:t>
      </w:r>
    </w:p>
    <w:p w14:paraId="1F24BC1E" w14:textId="77777777" w:rsidR="0038375B" w:rsidRPr="0038375B" w:rsidRDefault="0038375B" w:rsidP="0038375B">
      <w:pPr>
        <w:pStyle w:val="USTustnpkodeksu"/>
      </w:pPr>
      <w:r w:rsidRPr="0038375B">
        <w:t>9. Minister właściwy do spraw gospodarki surowcami energetycznymi może zlecić, na podstawie umowy, Bankowi Gospodarstwa Krajowego otwarcie i prowadzenie rachunku papierów wartościowych dla skarbowych papierów wartościowych, o których mowa w ust. 1, lub świadczenie innych usług związanych z tymi papierami wartościowymi.</w:t>
      </w:r>
    </w:p>
    <w:p w14:paraId="5F519EE4" w14:textId="77777777" w:rsidR="0038375B" w:rsidRPr="0038375B" w:rsidRDefault="0038375B" w:rsidP="0038375B">
      <w:pPr>
        <w:pStyle w:val="USTustnpkodeksu"/>
      </w:pPr>
      <w:r w:rsidRPr="0038375B">
        <w:t>10. W przypadku nieprzekazania w roku 2025 przez ministra właściwego do spraw gospodarki surowcami energetycznymi skarbowych papierów wartościowych zgodnie z ust. 1, podlegają one zwrotowi na rachunek wskazany przez ministra właściwego do spraw budżetu.</w:t>
      </w:r>
    </w:p>
    <w:p w14:paraId="5949826B" w14:textId="77777777" w:rsidR="0038375B" w:rsidRPr="009F28C2" w:rsidRDefault="0038375B" w:rsidP="0038375B">
      <w:pPr>
        <w:pStyle w:val="USTustnpkodeksu"/>
      </w:pPr>
      <w:r w:rsidRPr="009F28C2">
        <w:t xml:space="preserve">11. </w:t>
      </w:r>
      <w:r w:rsidR="00F65EAE" w:rsidRPr="009F28C2">
        <w:t>Przedsiębiorstwo, o którym mowa w ust. 1, które otrzymało skarbowe papiery wartościowe, o których mowa w ust. 1, nie może ich oferować w dniu przetargu, w którym są zbywane przez ministra właściwego do spraw budżetu skarbowe papiery wartościowe, ani w okresie dwóch dni roboczych poprzedzających dzień tego przetargu.</w:t>
      </w:r>
    </w:p>
    <w:p w14:paraId="741D2ACB" w14:textId="77777777" w:rsidR="0038375B" w:rsidRPr="0038375B" w:rsidRDefault="0038375B" w:rsidP="0038375B">
      <w:pPr>
        <w:pStyle w:val="USTustnpkodeksu"/>
      </w:pPr>
      <w:r w:rsidRPr="0038375B">
        <w:t>12. Maksymalna, nominalna dzienna wartość sprzedaży skarbowych papierów wartościowych, o których mowa w ust. 1, przez przedsiębiorstwo, o którym mowa w ust. 1, wynosi 50 000 000 zł.</w:t>
      </w:r>
    </w:p>
    <w:p w14:paraId="1DFFAB7A" w14:textId="77777777" w:rsidR="0038375B" w:rsidRPr="0038375B" w:rsidRDefault="0038375B" w:rsidP="0038375B">
      <w:pPr>
        <w:pStyle w:val="USTustnpkodeksu"/>
      </w:pPr>
      <w:r w:rsidRPr="0038375B">
        <w:t>13. Dokonanie przez przedsiębiorstwo, o którym mowa w ust. 1, sprzedaży skarbowych papierów wartościowych, o których mowa w ust. 1, o wartości wyższej niż określona w ust. 12, wymaga zgody ministra właściwego do spraw budżetu.</w:t>
      </w:r>
    </w:p>
    <w:p w14:paraId="7462395D" w14:textId="77777777" w:rsidR="0038375B" w:rsidRPr="0038375B" w:rsidRDefault="0038375B" w:rsidP="0038375B">
      <w:pPr>
        <w:pStyle w:val="ARTartustawynprozporzdzenia"/>
      </w:pPr>
      <w:r w:rsidRPr="0038375B">
        <w:rPr>
          <w:rStyle w:val="Ppogrubienie"/>
        </w:rPr>
        <w:t>Art. 8.</w:t>
      </w:r>
      <w:r w:rsidRPr="0038375B">
        <w:t xml:space="preserve"> 1. W roku 2025 upoważnia się ministra właściwego do spraw budżetu do przekazywania, na wydane do dnia 30 listopada 2025 r. polecenie Prezesa Rady Ministrów, skarbowych papierów wartościowych państwowym osobom prawnym, o których mowa w art. 3 ust. 1–3 ustawy z dnia 16 grudnia 2016 r. o zasadach zarządzania mieniem państwowym (Dz. U. z 2024 r. poz. 125 i 834), na podwyższenie funduszu lub kapitału w szczególności zakładowego, zasadniczego lub statutowego, </w:t>
      </w:r>
      <w:r w:rsidRPr="0038375B">
        <w:lastRenderedPageBreak/>
        <w:t>w celu finansowania przez te podmioty ich zadań ustawowych lub statutowych w ramach limitu na emisję skarbowych papierów wartościowych przeznaczonych na przedterminową spłatę, wykup lub zamianę innych niż skarbowe papiery wartościowe zobowiązań Skarbu Państwa, a także na wykonanie zobowiązań Skarbu Państwa wynikających z ustaw, orzeczeń sądów lub innych tytułów, określonego w ustawie budżetowej na rok 2025, z tym że wartość nominalna wyemitowanych skarbowych papierów wartościowych na ten cel nie może przekroczyć kwoty 2 000 000 tys. zł.</w:t>
      </w:r>
    </w:p>
    <w:p w14:paraId="773FA103" w14:textId="77777777" w:rsidR="0038375B" w:rsidRPr="0038375B" w:rsidRDefault="0038375B" w:rsidP="0038375B">
      <w:pPr>
        <w:pStyle w:val="USTustnpkodeksu"/>
      </w:pPr>
      <w:r w:rsidRPr="0038375B">
        <w:t>2. Do emisji skarbowych papierów wartościowych, o których mowa w ust. 1, stosuje się odpowiednio przepisy ustawy z dnia 27 sierpnia 2009 r. o finansach publicznych, z wyłączeniem przepisów wydanych na podstawie art. 97 tej ustawy.</w:t>
      </w:r>
    </w:p>
    <w:p w14:paraId="5F10F696" w14:textId="77777777" w:rsidR="0038375B" w:rsidRPr="009F28C2" w:rsidRDefault="0038375B" w:rsidP="0038375B">
      <w:pPr>
        <w:pStyle w:val="USTustnpkodeksu"/>
      </w:pPr>
      <w:r w:rsidRPr="009F28C2">
        <w:t xml:space="preserve">3. </w:t>
      </w:r>
      <w:r w:rsidR="00F65EAE" w:rsidRPr="009F28C2">
        <w:t xml:space="preserve">Państwowa osoba </w:t>
      </w:r>
      <w:r w:rsidR="006C3E1B">
        <w:t xml:space="preserve">prawna, o której mowa w ust.1, </w:t>
      </w:r>
      <w:r w:rsidR="00F65EAE" w:rsidRPr="009F28C2">
        <w:t>która otrzymała skarbowe papiery wartościowe, o których mowa w ust. 1, nie może ich oferować w dniu przetargu, w którym są zbywane przez ministra właściwego do spraw budżetu skarbowe papiery wartościowe, ani w okresie dwóch dni roboczych poprzedzających dzień tego przetargu.</w:t>
      </w:r>
    </w:p>
    <w:p w14:paraId="28D0B422" w14:textId="77777777" w:rsidR="0038375B" w:rsidRPr="0038375B" w:rsidRDefault="0038375B" w:rsidP="0038375B">
      <w:pPr>
        <w:pStyle w:val="USTustnpkodeksu"/>
      </w:pPr>
      <w:r w:rsidRPr="0038375B">
        <w:t>4. Maksymalna, nominalna dzienna wartość sprzedaży skarbowych papierów wartościowych, o których mowa w ust. 1, przez państwową osobę prawną, o której mowa w ust. 1, wynosi 50 000 000 zł.</w:t>
      </w:r>
    </w:p>
    <w:p w14:paraId="699B3572" w14:textId="77777777" w:rsidR="0038375B" w:rsidRPr="0038375B" w:rsidRDefault="0038375B" w:rsidP="0038375B">
      <w:pPr>
        <w:pStyle w:val="USTustnpkodeksu"/>
      </w:pPr>
      <w:r w:rsidRPr="0038375B">
        <w:t>5. Dokonanie przez państwową osobę prawną, o której mowa w ust. 1, sprzedaży skarbowych papierów wartościowych, o których mowa w ust. 1, o wartości wyższej niż określona w ust. 4, wymaga zgody ministra właściwego do spraw budżetu.</w:t>
      </w:r>
    </w:p>
    <w:p w14:paraId="025E3FFE" w14:textId="77777777" w:rsidR="0038375B" w:rsidRPr="0038375B" w:rsidRDefault="0038375B" w:rsidP="0038375B">
      <w:pPr>
        <w:pStyle w:val="ARTartustawynprozporzdzenia"/>
      </w:pPr>
      <w:r w:rsidRPr="0038375B">
        <w:rPr>
          <w:rStyle w:val="Ppogrubienie"/>
        </w:rPr>
        <w:t xml:space="preserve">Art. 9. </w:t>
      </w:r>
      <w:r w:rsidRPr="0038375B">
        <w:t>W roku 2025 Szef Kancelarii Prezydenta Rzeczypospolitej Polskiej może dokonywać przeniesień wydatków na realizację zadań dotyczących obiektów zabytkowych między działami klasyfikacji wydatków budżetu państwa w ramach części 01 – Kancelaria Prezydenta RP. O dokonanych zmianach Szef Kancelarii Prezydenta Rzeczypospolitej Polskiej informuje niezwłocznie ministra właściwego do spraw finansów publicznych.</w:t>
      </w:r>
    </w:p>
    <w:p w14:paraId="74C9A420" w14:textId="77777777" w:rsidR="0038375B" w:rsidRPr="0038375B" w:rsidRDefault="0038375B" w:rsidP="0038375B">
      <w:pPr>
        <w:pStyle w:val="ARTartustawynprozporzdzenia"/>
        <w:keepNext/>
      </w:pPr>
      <w:r w:rsidRPr="0038375B">
        <w:rPr>
          <w:rStyle w:val="Ppogrubienie"/>
        </w:rPr>
        <w:t>Art. 10.</w:t>
      </w:r>
      <w:r w:rsidRPr="0038375B">
        <w:t xml:space="preserve"> W roku 2025 Minister Obrony Narodowej może udzielać z budżetu państwa Zakładowi Inwestycji Organizacji Traktatu Północnoatlantyckiego dotacji </w:t>
      </w:r>
      <w:r w:rsidR="00EE68AC">
        <w:lastRenderedPageBreak/>
        <w:t>celowych</w:t>
      </w:r>
      <w:r w:rsidRPr="0038375B">
        <w:t xml:space="preserve"> ponad wysokość dotacji celowych ujętych w jego planie finansowym, na finansowanie zadań:</w:t>
      </w:r>
    </w:p>
    <w:p w14:paraId="76AA49F3" w14:textId="77777777" w:rsidR="0038375B" w:rsidRPr="0038375B" w:rsidRDefault="0038375B" w:rsidP="0038375B">
      <w:pPr>
        <w:pStyle w:val="PKTpunkt"/>
      </w:pPr>
      <w:r w:rsidRPr="0038375B">
        <w:t>1)</w:t>
      </w:r>
      <w:r w:rsidRPr="0038375B">
        <w:tab/>
        <w:t>inwestycyjnych określonych w Programie Inwestycji Organizacji Traktatu Północnoatlantyckiego w Dzied</w:t>
      </w:r>
      <w:r w:rsidR="00F65EAE">
        <w:t xml:space="preserve">zinie Bezpieczeństwa </w:t>
      </w:r>
      <w:r w:rsidR="00F65EAE" w:rsidRPr="009F28C2">
        <w:t>(NSIP),</w:t>
      </w:r>
    </w:p>
    <w:p w14:paraId="7DE3D673" w14:textId="77777777" w:rsidR="0038375B" w:rsidRPr="0038375B" w:rsidRDefault="0038375B" w:rsidP="0038375B">
      <w:pPr>
        <w:pStyle w:val="PKTpunkt"/>
        <w:keepNext/>
      </w:pPr>
      <w:r w:rsidRPr="0038375B">
        <w:t>2)</w:t>
      </w:r>
      <w:r w:rsidRPr="0038375B">
        <w:tab/>
        <w:t>w zakresie krajowych inwestycji obronnych</w:t>
      </w:r>
    </w:p>
    <w:p w14:paraId="28A6FEA1" w14:textId="77777777" w:rsidR="0038375B" w:rsidRPr="009F28C2" w:rsidRDefault="0038375B" w:rsidP="0038375B">
      <w:pPr>
        <w:pStyle w:val="CZWSPPKTczwsplnapunktw"/>
      </w:pPr>
      <w:r w:rsidRPr="009F28C2">
        <w:t xml:space="preserve">– </w:t>
      </w:r>
      <w:r w:rsidR="00F65EAE" w:rsidRPr="009F28C2">
        <w:t>do łącznej wysokości 20 000 tys. zł</w:t>
      </w:r>
      <w:r w:rsidRPr="009F28C2">
        <w:t>.</w:t>
      </w:r>
    </w:p>
    <w:p w14:paraId="29831BEA" w14:textId="77777777" w:rsidR="0038375B" w:rsidRPr="0038375B" w:rsidRDefault="0038375B" w:rsidP="0038375B">
      <w:pPr>
        <w:pStyle w:val="ARTartustawynprozporzdzenia"/>
      </w:pPr>
      <w:r w:rsidRPr="0038375B">
        <w:rPr>
          <w:rStyle w:val="Ppogrubienie"/>
        </w:rPr>
        <w:t>Art. 11.</w:t>
      </w:r>
      <w:r w:rsidRPr="0038375B">
        <w:t xml:space="preserve"> 1. W roku 2025 Szef Kancelarii Prezesa Rady Ministrów może udzielać z budżetu państwa dotacji celowych instytucji gospodarki budżetowej Centrum Obsługi Administracji Rządowej na finansowanie lub dofinansowanie kosztów realizacji zadań bieżących oraz remontowych i inwestycyjnych w nieruchomościach stanowiących wyposażenie lub przekazanych w użyczenie Centrum Obsługi Administracji Rządowej, do wysokości 2 000 tys. zł.</w:t>
      </w:r>
    </w:p>
    <w:p w14:paraId="25D2A70B" w14:textId="77777777" w:rsidR="0038375B" w:rsidRPr="0038375B" w:rsidRDefault="0038375B" w:rsidP="0038375B">
      <w:pPr>
        <w:pStyle w:val="USTustnpkodeksu"/>
      </w:pPr>
      <w:r w:rsidRPr="0038375B">
        <w:t xml:space="preserve">2. W przypadku udzielenia dotacji, o której mowa w ust. 1, w planie finansowym Centrum Obsługi Administracji Rządowej na rok 2025 </w:t>
      </w:r>
      <w:r w:rsidR="00F65EAE" w:rsidRPr="009F28C2">
        <w:t>są</w:t>
      </w:r>
      <w:r w:rsidRPr="0038375B">
        <w:t xml:space="preserve"> dokonywane zmiany powodujące zwiększenie dotacji z budżetu państwa.</w:t>
      </w:r>
    </w:p>
    <w:p w14:paraId="1D5F0BF8" w14:textId="77777777" w:rsidR="0038375B" w:rsidRPr="0038375B" w:rsidRDefault="0038375B" w:rsidP="0038375B">
      <w:pPr>
        <w:pStyle w:val="ARTartustawynprozporzdzenia"/>
        <w:keepNext/>
      </w:pPr>
      <w:r w:rsidRPr="0038375B">
        <w:rPr>
          <w:rStyle w:val="Ppogrubienie"/>
        </w:rPr>
        <w:t>Art. 12.</w:t>
      </w:r>
      <w:r w:rsidRPr="0038375B">
        <w:t xml:space="preserve"> 1. W roku 2025 w celu realizacji zadań związanych z:</w:t>
      </w:r>
    </w:p>
    <w:p w14:paraId="625ADAB2" w14:textId="77777777" w:rsidR="0038375B" w:rsidRPr="0038375B" w:rsidRDefault="0038375B" w:rsidP="0038375B">
      <w:pPr>
        <w:pStyle w:val="PKTpunkt"/>
      </w:pPr>
      <w:r w:rsidRPr="0038375B">
        <w:t>1)</w:t>
      </w:r>
      <w:r w:rsidRPr="0038375B">
        <w:tab/>
        <w:t>przeciwdziałaniem klęskom żywiołowym i usuwaniem ich skutków,</w:t>
      </w:r>
    </w:p>
    <w:p w14:paraId="5284C1F1" w14:textId="77777777" w:rsidR="0038375B" w:rsidRPr="0038375B" w:rsidRDefault="0038375B" w:rsidP="0038375B">
      <w:pPr>
        <w:pStyle w:val="PKTpunkt"/>
      </w:pPr>
      <w:r w:rsidRPr="0038375B">
        <w:t>2)</w:t>
      </w:r>
      <w:r w:rsidRPr="0038375B">
        <w:tab/>
        <w:t>przeciwdziałaniem i usuwaniem skutków epidemii,</w:t>
      </w:r>
    </w:p>
    <w:p w14:paraId="4A112E3D" w14:textId="77777777" w:rsidR="0038375B" w:rsidRPr="0038375B" w:rsidRDefault="0038375B" w:rsidP="0038375B">
      <w:pPr>
        <w:pStyle w:val="PKTpunkt"/>
      </w:pPr>
      <w:r w:rsidRPr="0038375B">
        <w:t>3)</w:t>
      </w:r>
      <w:r w:rsidRPr="0038375B">
        <w:tab/>
        <w:t>przeciwdziałaniem i usuwaniem skutków społeczno-gospodarczych inflacji,</w:t>
      </w:r>
    </w:p>
    <w:p w14:paraId="1027C563" w14:textId="77777777" w:rsidR="0038375B" w:rsidRPr="0038375B" w:rsidRDefault="0038375B" w:rsidP="0038375B">
      <w:pPr>
        <w:pStyle w:val="PKTpunkt"/>
        <w:keepNext/>
      </w:pPr>
      <w:r w:rsidRPr="0038375B">
        <w:t>4)</w:t>
      </w:r>
      <w:r w:rsidRPr="0038375B">
        <w:tab/>
        <w:t>przeciwdziałaniem zdarzeniom bezpośrednio zagrażającym bezpieczeństwu państwa związanym z sytuacją geopolityczną oraz usuwaniem ich skutków</w:t>
      </w:r>
    </w:p>
    <w:p w14:paraId="60CC17AB" w14:textId="77777777" w:rsidR="0038375B" w:rsidRPr="0038375B" w:rsidRDefault="0038375B" w:rsidP="0038375B">
      <w:pPr>
        <w:pStyle w:val="CZWSPPKTczwsplnapunktw"/>
      </w:pPr>
      <w:r w:rsidRPr="0038375B">
        <w:t>– Prezes Rady Ministrów może wydać ministrowi właściwemu do spraw finansów publicznych polecenie utworzenia nowej rezerwy celowej i przeniesienia do tej rezerwy kwot wydatków zablokowanych na podstawie art. 177 ust. 1 ustawy z dnia 27 sierpnia 2009 r. o finansach publicznych.</w:t>
      </w:r>
    </w:p>
    <w:p w14:paraId="10B4D783" w14:textId="77777777" w:rsidR="0038375B" w:rsidRPr="0038375B" w:rsidRDefault="0038375B" w:rsidP="0038375B">
      <w:pPr>
        <w:pStyle w:val="USTustnpkodeksu"/>
      </w:pPr>
      <w:r w:rsidRPr="0038375B">
        <w:t>2. Utworzenie rezerwy, o której mowa w ust. 1, może nastąpić w terminie do dnia 20 grudnia 2025 r. i nie wymaga uzyskania opinii sejmowej komisji właściwej do spraw budżetu.</w:t>
      </w:r>
    </w:p>
    <w:p w14:paraId="04BC6EA5" w14:textId="77777777" w:rsidR="0038375B" w:rsidRPr="0038375B" w:rsidRDefault="0038375B" w:rsidP="0038375B">
      <w:pPr>
        <w:pStyle w:val="USTustnpkodeksu"/>
      </w:pPr>
      <w:r w:rsidRPr="0038375B">
        <w:t>3. W przypadku, o którym mowa w ust. 1, nie stosuje się przepisu art. 170 ust. 1 ustawy z dnia 27 sierpnia 2009 r. o finansach publicznych.</w:t>
      </w:r>
    </w:p>
    <w:p w14:paraId="4BED704E" w14:textId="77777777" w:rsidR="0038375B" w:rsidRPr="0038375B" w:rsidRDefault="0038375B" w:rsidP="0038375B">
      <w:pPr>
        <w:pStyle w:val="USTustnpkodeksu"/>
      </w:pPr>
      <w:r w:rsidRPr="0038375B">
        <w:t>4. Podziału rezerwy, o której mowa w ust. 1, dokonuje minister właściwy do spraw finansów publicznych na wniosek właściwego ministra.</w:t>
      </w:r>
    </w:p>
    <w:p w14:paraId="6EFA3B4C" w14:textId="77777777" w:rsidR="0038375B" w:rsidRPr="0038375B" w:rsidRDefault="0038375B" w:rsidP="0038375B">
      <w:pPr>
        <w:pStyle w:val="ARTartustawynprozporzdzenia"/>
      </w:pPr>
      <w:r w:rsidRPr="0038375B">
        <w:rPr>
          <w:rStyle w:val="Ppogrubienie"/>
        </w:rPr>
        <w:lastRenderedPageBreak/>
        <w:t xml:space="preserve">Art. 13. </w:t>
      </w:r>
      <w:r w:rsidRPr="00EE68AC">
        <w:t xml:space="preserve">1. </w:t>
      </w:r>
      <w:r w:rsidRPr="0038375B">
        <w:t>W roku 2025 dysponent F</w:t>
      </w:r>
      <w:r w:rsidR="00EE68AC">
        <w:t xml:space="preserve">unduszu Inwestycji </w:t>
      </w:r>
      <w:r w:rsidR="00EE68AC" w:rsidRPr="009F28C2">
        <w:t>Kapitałowych</w:t>
      </w:r>
      <w:r w:rsidRPr="009F28C2">
        <w:t xml:space="preserve"> może </w:t>
      </w:r>
      <w:r w:rsidRPr="0038375B">
        <w:t>zawierać umowy związane z nabywaniem lub obejmowaniem akcji lub udziałów przez Skarb Państwa ze środków Funduszu Inwestycji Kapitałowych, skutkujące zaciągnięciem zobowiązań wieloletnich w wysokości przekraczającej środki pieniężne z poprzednich okresów znajdujące się na rachunku tego funduszu na dzień 31 grudnia 2024 r. o łączną kwotę do 6 000 000 tys. zł, z uwzględnieniem art. 29 ust. 10 ustawy z dnia 27 sierpnia 2009 r. o finansach publicznych.</w:t>
      </w:r>
    </w:p>
    <w:p w14:paraId="10C1C015" w14:textId="77777777" w:rsidR="0038375B" w:rsidRPr="0038375B" w:rsidRDefault="0038375B" w:rsidP="0038375B">
      <w:pPr>
        <w:pStyle w:val="USTustnpkodeksu"/>
        <w:rPr>
          <w:lang w:eastAsia="en-US"/>
        </w:rPr>
      </w:pPr>
      <w:r w:rsidRPr="0038375B">
        <w:t>2. Zawarcie umowy, o której mowa w ust. 1, może nastąpić po uzyskaniu pozytywnej opinii ministra właściwego do spraw finansów publicznych w zakresie możliwości spłaty zaciągniętych zobowiązań. Opinia jest wydawana w terminie 14 dni od dnia otrzymania wniosku dysponenta Funduszu Inwestycji Kapitałowych o wydanie opinii.</w:t>
      </w:r>
    </w:p>
    <w:p w14:paraId="73F2A7A3" w14:textId="77777777" w:rsidR="0038375B" w:rsidRPr="0038375B" w:rsidRDefault="0038375B" w:rsidP="0038375B">
      <w:pPr>
        <w:pStyle w:val="ARTartustawynprozporzdzenia"/>
      </w:pPr>
      <w:r w:rsidRPr="0038375B">
        <w:rPr>
          <w:rStyle w:val="Ppogrubienie"/>
        </w:rPr>
        <w:t>Art. 14.</w:t>
      </w:r>
      <w:r w:rsidRPr="0038375B">
        <w:t xml:space="preserve"> 1. W roku 2025 źródłem przychodu F</w:t>
      </w:r>
      <w:r w:rsidR="00EE68AC">
        <w:t xml:space="preserve">unduszu Inwestycji </w:t>
      </w:r>
      <w:r w:rsidR="00EE68AC" w:rsidRPr="009F28C2">
        <w:t>Kapitałowych</w:t>
      </w:r>
      <w:r w:rsidRPr="009F28C2">
        <w:t xml:space="preserve"> może</w:t>
      </w:r>
      <w:r w:rsidRPr="0038375B">
        <w:t xml:space="preserve"> być również wpłata z budżetu państwa przekazana przez ministra właściwego do spraw aktywów państwowych na nabywanie lub obejmowanie akcji przez Skarb Państwa do wysokości 3 000 000 tys. zł.</w:t>
      </w:r>
    </w:p>
    <w:p w14:paraId="3F161964" w14:textId="77777777" w:rsidR="0038375B" w:rsidRPr="009F28C2" w:rsidRDefault="0038375B" w:rsidP="0038375B">
      <w:pPr>
        <w:pStyle w:val="USTustnpkodeksu"/>
      </w:pPr>
      <w:r w:rsidRPr="0038375B">
        <w:t>2. Kwoty, o której mowa w ust. 1, nie wlicza się do limitu określonego w art. 13 ust. 1.</w:t>
      </w:r>
    </w:p>
    <w:p w14:paraId="4DD8F0DC" w14:textId="77777777" w:rsidR="0038375B" w:rsidRPr="0038375B" w:rsidRDefault="0038375B" w:rsidP="0038375B">
      <w:pPr>
        <w:pStyle w:val="ARTartustawynprozporzdzenia"/>
      </w:pPr>
      <w:r w:rsidRPr="0038375B">
        <w:rPr>
          <w:rStyle w:val="Ppogrubienie"/>
        </w:rPr>
        <w:t>Art. 15.</w:t>
      </w:r>
      <w:r w:rsidRPr="0038375B">
        <w:t xml:space="preserve"> W roku 2025 do dotacji, o których mowa w art. 15-21, art. 25 ust. 1–4 i 8, art. 26 ust. 1, 2 i 8, art. 28–30</w:t>
      </w:r>
      <w:r w:rsidR="00EE68AC">
        <w:t xml:space="preserve"> </w:t>
      </w:r>
      <w:r w:rsidR="00EE68AC" w:rsidRPr="009F28C2">
        <w:t>i</w:t>
      </w:r>
      <w:r w:rsidRPr="009F28C2">
        <w:t xml:space="preserve"> art. </w:t>
      </w:r>
      <w:r w:rsidRPr="0038375B">
        <w:t>31 ust. 1 ustawy z dnia 27 października 2017 r. o finansowaniu zadań oświatowych (Dz. U. z 2024 r. poz. 754), nie stosuje się przepisu art. 43 ust. 5 tej ustawy.</w:t>
      </w:r>
    </w:p>
    <w:p w14:paraId="169D1878" w14:textId="77777777" w:rsidR="0038375B" w:rsidRPr="0038375B" w:rsidRDefault="0038375B" w:rsidP="0038375B">
      <w:pPr>
        <w:pStyle w:val="ARTartustawynprozporzdzenia"/>
      </w:pPr>
      <w:r w:rsidRPr="0038375B">
        <w:rPr>
          <w:rStyle w:val="Ppogrubienie"/>
        </w:rPr>
        <w:t>Art. 16.</w:t>
      </w:r>
      <w:r w:rsidRPr="0038375B">
        <w:t xml:space="preserve"> W roku 2025 przepisu art. 460 ust. 10 ustawy z dnia 20 lipca 2018 r. – Prawo o szkolnictwie wyższym i nauce (Dz. U. z 2023 r. poz. 742, z późn. zm.</w:t>
      </w:r>
      <w:r w:rsidRPr="0038375B">
        <w:rPr>
          <w:rStyle w:val="IGindeksgrny"/>
        </w:rPr>
        <w:footnoteReference w:id="3"/>
      </w:r>
      <w:r w:rsidRPr="0038375B">
        <w:rPr>
          <w:rStyle w:val="IGindeksgrny"/>
        </w:rPr>
        <w:t>)</w:t>
      </w:r>
      <w:r w:rsidRPr="0038375B">
        <w:t>) nie stosuje się.</w:t>
      </w:r>
    </w:p>
    <w:p w14:paraId="23C06054" w14:textId="77777777" w:rsidR="0038375B" w:rsidRPr="0038375B" w:rsidRDefault="0038375B" w:rsidP="0038375B">
      <w:pPr>
        <w:pStyle w:val="ARTartustawynprozporzdzenia"/>
      </w:pPr>
      <w:r w:rsidRPr="0038375B">
        <w:rPr>
          <w:rStyle w:val="Ppogrubienie"/>
        </w:rPr>
        <w:t xml:space="preserve">Art. 17. </w:t>
      </w:r>
      <w:r w:rsidRPr="0038375B">
        <w:t>W ustawie z dnia 30 sierpnia 1996 r. o komercjalizacji i niektórych uprawnieniach pracowników (Dz. U. z 2024 r. poz. 1198) w art. 69h w ust. 1 wyrazy „w latach 2019–2024” zastępuje się wyrazami „w latach 2019–2025”.</w:t>
      </w:r>
    </w:p>
    <w:p w14:paraId="263C3ADA" w14:textId="77777777" w:rsidR="005E31CC" w:rsidRPr="0038375B" w:rsidRDefault="0038375B" w:rsidP="00EE68AC">
      <w:pPr>
        <w:pStyle w:val="ARTartustawynprozporzdzenia"/>
        <w:rPr>
          <w:rStyle w:val="Ppogrubienie"/>
          <w:b w:val="0"/>
        </w:rPr>
      </w:pPr>
      <w:r w:rsidRPr="0038375B">
        <w:rPr>
          <w:rStyle w:val="Ppogrubienie"/>
        </w:rPr>
        <w:t>Art. 18.</w:t>
      </w:r>
      <w:r w:rsidRPr="0038375B">
        <w:t xml:space="preserve"> Ustawa wchodzi w życie z dniem 1 stycznia 2025 r.</w:t>
      </w:r>
    </w:p>
    <w:sectPr w:rsidR="005E31CC" w:rsidRPr="0038375B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A8ECC" w14:textId="77777777" w:rsidR="00B1750C" w:rsidRDefault="00B1750C">
      <w:r>
        <w:separator/>
      </w:r>
    </w:p>
  </w:endnote>
  <w:endnote w:type="continuationSeparator" w:id="0">
    <w:p w14:paraId="475C77BB" w14:textId="77777777" w:rsidR="00B1750C" w:rsidRDefault="00B1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A55E2" w14:textId="77777777" w:rsidR="00B1750C" w:rsidRDefault="00B1750C">
      <w:r>
        <w:separator/>
      </w:r>
    </w:p>
  </w:footnote>
  <w:footnote w:type="continuationSeparator" w:id="0">
    <w:p w14:paraId="570D9B36" w14:textId="77777777" w:rsidR="00B1750C" w:rsidRDefault="00B1750C">
      <w:r>
        <w:continuationSeparator/>
      </w:r>
    </w:p>
  </w:footnote>
  <w:footnote w:id="1">
    <w:p w14:paraId="3E053A31" w14:textId="77777777" w:rsidR="0038375B" w:rsidRDefault="0038375B" w:rsidP="0038375B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 xml:space="preserve">Niniejszą ustawą zmienia </w:t>
      </w:r>
      <w:r w:rsidRPr="009F28C2">
        <w:t>się ustawę</w:t>
      </w:r>
      <w:r>
        <w:t xml:space="preserve"> z dnia 30 sierpnia 1996 r. o komercjalizacji i niektórych uprawnieniach pracowników.</w:t>
      </w:r>
    </w:p>
  </w:footnote>
  <w:footnote w:id="2">
    <w:p w14:paraId="69963DA5" w14:textId="77777777" w:rsidR="0038375B" w:rsidRDefault="0038375B" w:rsidP="0038375B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2023 r. poz. 1273, 1407, 1429, 1641, 1693 i 1872 oraz z 2024 r. poz. 858 i 1089.</w:t>
      </w:r>
    </w:p>
  </w:footnote>
  <w:footnote w:id="3">
    <w:p w14:paraId="43C7C699" w14:textId="77777777" w:rsidR="0038375B" w:rsidRDefault="0038375B" w:rsidP="0038375B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 Dz. U. z 2023 r. poz. 1088, 1234, 1672, 1872 i 2005 oraz z 2024 r. poz. 124, 227 i 1089.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FD181" w14:textId="11F97DD9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6C3E1B">
      <w:rPr>
        <w:rStyle w:val="Ppogrubienie"/>
        <w:noProof/>
      </w:rPr>
      <w:t>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C751E">
      <w:rPr>
        <w:rStyle w:val="Ppogrubienie"/>
        <w:noProof/>
      </w:rPr>
      <w:t>2024-11-05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C3E1B">
          <w:rPr>
            <w:rStyle w:val="Ppogrubienie"/>
            <w:noProof/>
          </w:rPr>
          <w:t>V5_2552-0.PK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6C3E1B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4FF506CC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2B91CE" wp14:editId="6C85697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8375B">
      <w:rPr>
        <w:rStyle w:val="Ppogrubienie"/>
      </w:rPr>
      <w:t xml:space="preserve"> 693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9C9B6" w14:textId="425B415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6C3E1B">
      <w:rPr>
        <w:rStyle w:val="Ppogrubienie"/>
        <w:noProof/>
      </w:rPr>
      <w:t>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C751E">
      <w:rPr>
        <w:rStyle w:val="Ppogrubienie"/>
        <w:noProof/>
      </w:rPr>
      <w:t>2024-11-05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C3E1B">
          <w:rPr>
            <w:rStyle w:val="Ppogrubienie"/>
            <w:noProof/>
          </w:rPr>
          <w:t>V5_2552-0.PK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0CBFD8C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2D08EC" wp14:editId="3BBC333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0023233">
    <w:abstractNumId w:val="24"/>
  </w:num>
  <w:num w:numId="2" w16cid:durableId="16737436">
    <w:abstractNumId w:val="24"/>
  </w:num>
  <w:num w:numId="3" w16cid:durableId="1800341012">
    <w:abstractNumId w:val="19"/>
  </w:num>
  <w:num w:numId="4" w16cid:durableId="1530725308">
    <w:abstractNumId w:val="19"/>
  </w:num>
  <w:num w:numId="5" w16cid:durableId="203298746">
    <w:abstractNumId w:val="38"/>
  </w:num>
  <w:num w:numId="6" w16cid:durableId="648942518">
    <w:abstractNumId w:val="34"/>
  </w:num>
  <w:num w:numId="7" w16cid:durableId="384717689">
    <w:abstractNumId w:val="38"/>
  </w:num>
  <w:num w:numId="8" w16cid:durableId="1596011319">
    <w:abstractNumId w:val="34"/>
  </w:num>
  <w:num w:numId="9" w16cid:durableId="1985043145">
    <w:abstractNumId w:val="38"/>
  </w:num>
  <w:num w:numId="10" w16cid:durableId="1459448265">
    <w:abstractNumId w:val="34"/>
  </w:num>
  <w:num w:numId="11" w16cid:durableId="1966499980">
    <w:abstractNumId w:val="15"/>
  </w:num>
  <w:num w:numId="12" w16cid:durableId="1532455183">
    <w:abstractNumId w:val="10"/>
  </w:num>
  <w:num w:numId="13" w16cid:durableId="894051835">
    <w:abstractNumId w:val="16"/>
  </w:num>
  <w:num w:numId="14" w16cid:durableId="501625037">
    <w:abstractNumId w:val="28"/>
  </w:num>
  <w:num w:numId="15" w16cid:durableId="1613393104">
    <w:abstractNumId w:val="15"/>
  </w:num>
  <w:num w:numId="16" w16cid:durableId="1388145798">
    <w:abstractNumId w:val="17"/>
  </w:num>
  <w:num w:numId="17" w16cid:durableId="614796416">
    <w:abstractNumId w:val="8"/>
  </w:num>
  <w:num w:numId="18" w16cid:durableId="2093165068">
    <w:abstractNumId w:val="3"/>
  </w:num>
  <w:num w:numId="19" w16cid:durableId="2050252817">
    <w:abstractNumId w:val="2"/>
  </w:num>
  <w:num w:numId="20" w16cid:durableId="1041788790">
    <w:abstractNumId w:val="1"/>
  </w:num>
  <w:num w:numId="21" w16cid:durableId="1371491323">
    <w:abstractNumId w:val="0"/>
  </w:num>
  <w:num w:numId="22" w16cid:durableId="1875725486">
    <w:abstractNumId w:val="9"/>
  </w:num>
  <w:num w:numId="23" w16cid:durableId="1354304508">
    <w:abstractNumId w:val="7"/>
  </w:num>
  <w:num w:numId="24" w16cid:durableId="543564402">
    <w:abstractNumId w:val="6"/>
  </w:num>
  <w:num w:numId="25" w16cid:durableId="347175625">
    <w:abstractNumId w:val="5"/>
  </w:num>
  <w:num w:numId="26" w16cid:durableId="88432563">
    <w:abstractNumId w:val="4"/>
  </w:num>
  <w:num w:numId="27" w16cid:durableId="986517881">
    <w:abstractNumId w:val="36"/>
  </w:num>
  <w:num w:numId="28" w16cid:durableId="2088526859">
    <w:abstractNumId w:val="27"/>
  </w:num>
  <w:num w:numId="29" w16cid:durableId="1403137153">
    <w:abstractNumId w:val="39"/>
  </w:num>
  <w:num w:numId="30" w16cid:durableId="1891763888">
    <w:abstractNumId w:val="35"/>
  </w:num>
  <w:num w:numId="31" w16cid:durableId="142043047">
    <w:abstractNumId w:val="20"/>
  </w:num>
  <w:num w:numId="32" w16cid:durableId="1238442467">
    <w:abstractNumId w:val="11"/>
  </w:num>
  <w:num w:numId="33" w16cid:durableId="1675913760">
    <w:abstractNumId w:val="33"/>
  </w:num>
  <w:num w:numId="34" w16cid:durableId="1234706891">
    <w:abstractNumId w:val="21"/>
  </w:num>
  <w:num w:numId="35" w16cid:durableId="1323504266">
    <w:abstractNumId w:val="18"/>
  </w:num>
  <w:num w:numId="36" w16cid:durableId="703947248">
    <w:abstractNumId w:val="23"/>
  </w:num>
  <w:num w:numId="37" w16cid:durableId="1146824548">
    <w:abstractNumId w:val="29"/>
  </w:num>
  <w:num w:numId="38" w16cid:durableId="1683163550">
    <w:abstractNumId w:val="26"/>
  </w:num>
  <w:num w:numId="39" w16cid:durableId="69887074">
    <w:abstractNumId w:val="14"/>
  </w:num>
  <w:num w:numId="40" w16cid:durableId="1556509892">
    <w:abstractNumId w:val="32"/>
  </w:num>
  <w:num w:numId="41" w16cid:durableId="185292363">
    <w:abstractNumId w:val="30"/>
  </w:num>
  <w:num w:numId="42" w16cid:durableId="1025716286">
    <w:abstractNumId w:val="22"/>
  </w:num>
  <w:num w:numId="43" w16cid:durableId="1089348205">
    <w:abstractNumId w:val="37"/>
  </w:num>
  <w:num w:numId="44" w16cid:durableId="694968013">
    <w:abstractNumId w:val="13"/>
  </w:num>
  <w:num w:numId="45" w16cid:durableId="2107193154">
    <w:abstractNumId w:val="40"/>
  </w:num>
  <w:num w:numId="46" w16cid:durableId="1694648412">
    <w:abstractNumId w:val="25"/>
  </w:num>
  <w:num w:numId="47" w16cid:durableId="639772282">
    <w:abstractNumId w:val="12"/>
  </w:num>
  <w:num w:numId="48" w16cid:durableId="21041089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375B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4820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2DFD"/>
    <w:rsid w:val="00673BA5"/>
    <w:rsid w:val="00680058"/>
    <w:rsid w:val="00681F9F"/>
    <w:rsid w:val="006840EA"/>
    <w:rsid w:val="006844E2"/>
    <w:rsid w:val="00685267"/>
    <w:rsid w:val="00685692"/>
    <w:rsid w:val="006872AE"/>
    <w:rsid w:val="00690082"/>
    <w:rsid w:val="00690252"/>
    <w:rsid w:val="006946BB"/>
    <w:rsid w:val="006969FA"/>
    <w:rsid w:val="006A35D5"/>
    <w:rsid w:val="006A748A"/>
    <w:rsid w:val="006C3E1B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5A3"/>
    <w:rsid w:val="00753B51"/>
    <w:rsid w:val="00756629"/>
    <w:rsid w:val="007575D2"/>
    <w:rsid w:val="00757B4F"/>
    <w:rsid w:val="00757B6A"/>
    <w:rsid w:val="007610E0"/>
    <w:rsid w:val="007621AA"/>
    <w:rsid w:val="0076260A"/>
    <w:rsid w:val="00764854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D79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6787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28C2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49B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1750C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C751E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68AC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5EAE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53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C7E7A6-6918-4F5B-A818-56688FEA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1698</Words>
  <Characters>10188</Characters>
  <Application>Microsoft Office Word</Application>
  <DocSecurity>0</DocSecurity>
  <Lines>84</Lines>
  <Paragraphs>23</Paragraphs>
  <ScaleCrop>false</ScaleCrop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2024-11-05T16:58:00Z</dcterms:created>
  <dcterms:modified xsi:type="dcterms:W3CDTF">2024-11-05T16:58:00Z</dcterms:modified>
  <cp:category/>
</cp:coreProperties>
</file>