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6449" w14:textId="77777777" w:rsidR="00BB2D3D" w:rsidRPr="001968AD" w:rsidRDefault="00BB2D3D" w:rsidP="00BB2D3D">
      <w:pPr>
        <w:pStyle w:val="OZNPROJEKTUwskazaniedatylubwersjiprojektu"/>
      </w:pPr>
      <w:r w:rsidRPr="001968AD">
        <w:t>Projekt</w:t>
      </w:r>
    </w:p>
    <w:p w14:paraId="22761645" w14:textId="77777777" w:rsidR="00BB2D3D" w:rsidRPr="001968AD" w:rsidRDefault="00BB2D3D" w:rsidP="00BB2D3D">
      <w:pPr>
        <w:pStyle w:val="OZNRODZAKTUtznustawalubrozporzdzenieiorganwydajcy"/>
      </w:pPr>
      <w:r w:rsidRPr="001968AD">
        <w:t>USTAWA</w:t>
      </w:r>
    </w:p>
    <w:p w14:paraId="27410F10" w14:textId="77777777" w:rsidR="00BB2D3D" w:rsidRPr="001968AD" w:rsidRDefault="00BB2D3D" w:rsidP="00BB2D3D">
      <w:pPr>
        <w:pStyle w:val="DATAAKTUdatauchwalenialubwydaniaaktu"/>
      </w:pPr>
      <w:r w:rsidRPr="001968AD">
        <w:t xml:space="preserve">z dnia </w:t>
      </w:r>
    </w:p>
    <w:p w14:paraId="05EBA2EC" w14:textId="77777777" w:rsidR="00BB2D3D" w:rsidRPr="001968AD" w:rsidRDefault="00BB2D3D" w:rsidP="00BB2D3D">
      <w:pPr>
        <w:pStyle w:val="TYTUAKTUprzedmiotregulacjiustawylubrozporzdzenia"/>
      </w:pPr>
      <w:r w:rsidRPr="001968AD">
        <w:t>o zmianie ustawy o</w:t>
      </w:r>
      <w:r>
        <w:t xml:space="preserve"> </w:t>
      </w:r>
      <w:r w:rsidRPr="001968AD">
        <w:t>finansach publicznych oraz niektórych innych ustaw</w:t>
      </w:r>
      <w:r w:rsidRPr="00671AF5">
        <w:rPr>
          <w:rStyle w:val="IGPindeksgrnyipogrubienie"/>
        </w:rPr>
        <w:footnoteReference w:id="1"/>
      </w:r>
      <w:r w:rsidRPr="00671AF5">
        <w:rPr>
          <w:rStyle w:val="IGPindeksgrnyipogrubienie"/>
        </w:rPr>
        <w:t>)</w:t>
      </w:r>
    </w:p>
    <w:p w14:paraId="3BD5DD80" w14:textId="77777777" w:rsidR="00BB2D3D" w:rsidRDefault="00BB2D3D" w:rsidP="00BB2D3D">
      <w:pPr>
        <w:pStyle w:val="ARTartustawynprozporzdzenia"/>
      </w:pPr>
      <w:r w:rsidRPr="00AD5457">
        <w:rPr>
          <w:rStyle w:val="Ppogrubienie"/>
        </w:rPr>
        <w:t>Art.</w:t>
      </w:r>
      <w:r>
        <w:rPr>
          <w:rStyle w:val="Ppogrubienie"/>
        </w:rPr>
        <w:t> </w:t>
      </w:r>
      <w:r w:rsidRPr="00AD5457">
        <w:rPr>
          <w:rStyle w:val="Ppogrubienie"/>
        </w:rPr>
        <w:t>1.</w:t>
      </w:r>
      <w:r>
        <w:rPr>
          <w:rStyle w:val="Ppogrubienie"/>
        </w:rPr>
        <w:t> </w:t>
      </w:r>
      <w:r w:rsidRPr="001968AD">
        <w:t>W</w:t>
      </w:r>
      <w:r>
        <w:t xml:space="preserve"> </w:t>
      </w:r>
      <w:r w:rsidRPr="001968AD">
        <w:t>ustawie z</w:t>
      </w:r>
      <w:r>
        <w:t xml:space="preserve"> </w:t>
      </w:r>
      <w:r w:rsidRPr="001968AD">
        <w:t>dnia 27</w:t>
      </w:r>
      <w:r>
        <w:t xml:space="preserve"> </w:t>
      </w:r>
      <w:r w:rsidRPr="001968AD">
        <w:t>sierpnia 2009</w:t>
      </w:r>
      <w:r>
        <w:t xml:space="preserve"> </w:t>
      </w:r>
      <w:r w:rsidRPr="001968AD">
        <w:t>r. o</w:t>
      </w:r>
      <w:r>
        <w:t xml:space="preserve"> </w:t>
      </w:r>
      <w:r w:rsidRPr="001968AD">
        <w:t>finansach publicznych (Dz.</w:t>
      </w:r>
      <w:r>
        <w:t xml:space="preserve"> </w:t>
      </w:r>
      <w:r w:rsidRPr="001968AD">
        <w:t>U. z</w:t>
      </w:r>
      <w:r>
        <w:t xml:space="preserve"> </w:t>
      </w:r>
      <w:r w:rsidRPr="001968AD">
        <w:t>202</w:t>
      </w:r>
      <w:r>
        <w:t xml:space="preserve">4 </w:t>
      </w:r>
      <w:r w:rsidRPr="001968AD">
        <w:t>r. poz.</w:t>
      </w:r>
      <w:r>
        <w:t xml:space="preserve"> 1530 i 1572</w:t>
      </w:r>
      <w:r w:rsidRPr="001968AD">
        <w:t>) wprowadza się następujące zmiany:</w:t>
      </w:r>
    </w:p>
    <w:p w14:paraId="169F3FF5" w14:textId="77777777" w:rsidR="00BB2D3D" w:rsidRPr="000A4286" w:rsidRDefault="00BB2D3D" w:rsidP="00BB2D3D">
      <w:pPr>
        <w:pStyle w:val="PKTpunkt"/>
      </w:pPr>
      <w:r>
        <w:t>1)</w:t>
      </w:r>
      <w:r>
        <w:tab/>
        <w:t xml:space="preserve">w art. 243 po ust. 2 </w:t>
      </w:r>
      <w:r w:rsidRPr="000A4286">
        <w:t>dodaje się ust. 2a w brzmieniu:</w:t>
      </w:r>
    </w:p>
    <w:p w14:paraId="76656647" w14:textId="77777777" w:rsidR="00BB2D3D" w:rsidRDefault="00BB2D3D" w:rsidP="00BB2D3D">
      <w:pPr>
        <w:pStyle w:val="ZUSTzmustartykuempunktem"/>
      </w:pPr>
      <w:r w:rsidRPr="000A4286">
        <w:t xml:space="preserve">„2a. Przy </w:t>
      </w:r>
      <w:r w:rsidRPr="00794C71">
        <w:t>obliczaniu</w:t>
      </w:r>
      <w:r w:rsidRPr="000A4286">
        <w:t xml:space="preserve"> relacji, o </w:t>
      </w:r>
      <w:r w:rsidRPr="009C0FBE">
        <w:t>któr</w:t>
      </w:r>
      <w:r w:rsidR="00091AB4" w:rsidRPr="009C0FBE">
        <w:t>ych</w:t>
      </w:r>
      <w:r w:rsidRPr="009C0FBE">
        <w:rPr>
          <w:rStyle w:val="Ppogrubienie"/>
        </w:rPr>
        <w:t xml:space="preserve"> </w:t>
      </w:r>
      <w:r w:rsidRPr="000A4286">
        <w:t>mowa</w:t>
      </w:r>
      <w:r>
        <w:t xml:space="preserve"> </w:t>
      </w:r>
      <w:r w:rsidRPr="000A4286">
        <w:t>w ust. 1</w:t>
      </w:r>
      <w:r>
        <w:t>,</w:t>
      </w:r>
      <w:r w:rsidRPr="000A4286">
        <w:t xml:space="preserve"> do dochodów bieżących</w:t>
      </w:r>
      <w:r>
        <w:t xml:space="preserve"> </w:t>
      </w:r>
      <w:r w:rsidRPr="000A4286">
        <w:t>budżetu pomniejsz</w:t>
      </w:r>
      <w:r>
        <w:t>o</w:t>
      </w:r>
      <w:r w:rsidRPr="000A4286">
        <w:t>nych o wydatki bieżące dodaje się wykonane dochody ze</w:t>
      </w:r>
      <w:r>
        <w:t xml:space="preserve"> </w:t>
      </w:r>
      <w:r w:rsidRPr="000A4286">
        <w:t>sprzedaży majątku wynikające</w:t>
      </w:r>
      <w:r>
        <w:t xml:space="preserve"> ze sprawozdań, o których mowa w ust. 2 pkt 4.</w:t>
      </w:r>
      <w:bookmarkStart w:id="0" w:name="_Hlk178756842"/>
      <w:r w:rsidRPr="000A4286">
        <w:t>”</w:t>
      </w:r>
      <w:bookmarkEnd w:id="0"/>
      <w:r>
        <w:t>;</w:t>
      </w:r>
    </w:p>
    <w:p w14:paraId="2B11AE8D" w14:textId="77777777" w:rsidR="00BB2D3D" w:rsidRDefault="00BB2D3D" w:rsidP="00BB2D3D">
      <w:pPr>
        <w:pStyle w:val="PKTpunkt"/>
      </w:pPr>
      <w:bookmarkStart w:id="1" w:name="_Hlk166842913"/>
      <w:r>
        <w:t>2</w:t>
      </w:r>
      <w:r w:rsidRPr="00082E0B">
        <w:t>)</w:t>
      </w:r>
      <w:r>
        <w:tab/>
      </w:r>
      <w:r w:rsidRPr="00082E0B">
        <w:t xml:space="preserve">po </w:t>
      </w:r>
      <w:r>
        <w:t>dziale VI</w:t>
      </w:r>
      <w:r w:rsidRPr="00082E0B">
        <w:t xml:space="preserve"> dodaje się </w:t>
      </w:r>
      <w:bookmarkStart w:id="2" w:name="_Hlk179356719"/>
      <w:r>
        <w:t xml:space="preserve">dział VIa </w:t>
      </w:r>
      <w:r w:rsidRPr="00082E0B">
        <w:t>w brzmieniu:</w:t>
      </w:r>
    </w:p>
    <w:p w14:paraId="60621B55" w14:textId="77777777" w:rsidR="00BB2D3D" w:rsidRDefault="00BB2D3D" w:rsidP="00BB2D3D">
      <w:pPr>
        <w:pStyle w:val="ZTYTDZOZNzmozntytuudziauartykuempunktem"/>
      </w:pPr>
      <w:r w:rsidRPr="00082E0B">
        <w:t>„Dział VI</w:t>
      </w:r>
      <w:r>
        <w:t>a</w:t>
      </w:r>
    </w:p>
    <w:p w14:paraId="2EBF69FD" w14:textId="77777777" w:rsidR="00BB2D3D" w:rsidRPr="00082E0B" w:rsidRDefault="00BB2D3D" w:rsidP="00BB2D3D">
      <w:pPr>
        <w:pStyle w:val="ZROZDZODDZPRZEDMzmprzedmrozdzoddzartykuempunktem"/>
      </w:pPr>
      <w:r w:rsidRPr="00082E0B">
        <w:t xml:space="preserve">Przepisy </w:t>
      </w:r>
      <w:r w:rsidRPr="008F3632">
        <w:t>epizodyczne</w:t>
      </w:r>
      <w:bookmarkEnd w:id="2"/>
    </w:p>
    <w:p w14:paraId="0051EE26" w14:textId="77777777" w:rsidR="00BB2D3D" w:rsidRPr="00CE61EE" w:rsidRDefault="00BB2D3D" w:rsidP="00BB2D3D">
      <w:pPr>
        <w:pStyle w:val="ZARTzmartartykuempunktem"/>
      </w:pPr>
      <w:r w:rsidRPr="00CE61EE">
        <w:t>Art. 296a</w:t>
      </w:r>
      <w:r>
        <w:t xml:space="preserve">. </w:t>
      </w:r>
      <w:r w:rsidRPr="00CE61EE">
        <w:t>1. Do ustalenia na lata 2026</w:t>
      </w:r>
      <w:r w:rsidRPr="0051412B">
        <w:t>–</w:t>
      </w:r>
      <w:r w:rsidRPr="00CE61EE">
        <w:t>2029 relacji, o której mowa w art. 242 ust. 1 i 2</w:t>
      </w:r>
      <w:r>
        <w:t>,</w:t>
      </w:r>
      <w:r w:rsidRPr="00CE61EE">
        <w:t xml:space="preserve"> dochody bieżące jednostki samorządu terytorialnego mogą być powiększone także o</w:t>
      </w:r>
      <w:r>
        <w:t> </w:t>
      </w:r>
      <w:r w:rsidRPr="00CE61EE">
        <w:t>przychody, o których mowa w art. 217 ust. 2 pkt 6.</w:t>
      </w:r>
    </w:p>
    <w:p w14:paraId="6229D61C" w14:textId="77777777" w:rsidR="00BB2D3D" w:rsidRDefault="00BB2D3D" w:rsidP="00BB2D3D">
      <w:pPr>
        <w:pStyle w:val="ZUSTzmustartykuempunktem"/>
      </w:pPr>
      <w:r w:rsidRPr="00CE61EE">
        <w:t>2. W latach 2024</w:t>
      </w:r>
      <w:r w:rsidRPr="0051412B">
        <w:t>–</w:t>
      </w:r>
      <w:r w:rsidRPr="00CE61EE">
        <w:t>2029 jednostka samorządu terytorialnego może w danym roku budżetowym przekroczyć relację, o której mowa w art. 242 ust. 1 i 2</w:t>
      </w:r>
      <w:r>
        <w:t>, jeżeli</w:t>
      </w:r>
      <w:r w:rsidRPr="00CE61EE">
        <w:t xml:space="preserve"> w latach 2022</w:t>
      </w:r>
      <w:r w:rsidRPr="00BB2D3D">
        <w:t>–</w:t>
      </w:r>
      <w:r w:rsidRPr="00CE61EE">
        <w:t>2029 suma przekroczeń tej relacji w poszczególnych latach nie będzie wyższa od sumy nadwyżek wynikających z tej relacji w poszczególnych latach.</w:t>
      </w:r>
    </w:p>
    <w:p w14:paraId="7A07D3C0" w14:textId="77777777" w:rsidR="00BB2D3D" w:rsidRPr="00CE61EE" w:rsidRDefault="00BB2D3D" w:rsidP="00BB2D3D">
      <w:pPr>
        <w:pStyle w:val="ZARTzmartartykuempunktem"/>
      </w:pPr>
      <w:r>
        <w:t>Art. 296b. Do ustalenia na lata 2026</w:t>
      </w:r>
      <w:r w:rsidRPr="0051412B">
        <w:t>–</w:t>
      </w:r>
      <w:r>
        <w:t xml:space="preserve">2029 relacji, o której mowa w art. 243 ust. 1, nie stosuje się przepisów art. 243 ust. 1 pkt 4 oraz ust. 3 pkt 2. </w:t>
      </w:r>
    </w:p>
    <w:p w14:paraId="19536457" w14:textId="77777777" w:rsidR="00BB2D3D" w:rsidRPr="00CE61EE" w:rsidRDefault="00BB2D3D" w:rsidP="00BB2D3D">
      <w:pPr>
        <w:pStyle w:val="ZARTzmartartykuempunktem"/>
      </w:pPr>
      <w:r w:rsidRPr="00CE61EE">
        <w:t>Art. 296</w:t>
      </w:r>
      <w:r>
        <w:t xml:space="preserve">c. </w:t>
      </w:r>
      <w:r w:rsidRPr="00CE61EE">
        <w:t xml:space="preserve">1. </w:t>
      </w:r>
      <w:r>
        <w:t>W</w:t>
      </w:r>
      <w:r w:rsidRPr="00BB730C">
        <w:t xml:space="preserve"> latach 2024–2029 </w:t>
      </w:r>
      <w:r w:rsidRPr="009C67D0">
        <w:t>relacja</w:t>
      </w:r>
      <w:r w:rsidRPr="00CE61EE">
        <w:t xml:space="preserve">, o której mowa w art. 243 ust. 1, może </w:t>
      </w:r>
      <w:r>
        <w:t xml:space="preserve">nie </w:t>
      </w:r>
      <w:r w:rsidRPr="00CE61EE">
        <w:t>być zachowana</w:t>
      </w:r>
      <w:r>
        <w:t xml:space="preserve">, jeżeli </w:t>
      </w:r>
      <w:r w:rsidRPr="00CE61EE">
        <w:t xml:space="preserve">prognozowana łączna kwota długu jednostki samorządu terytorialnego na koniec danego roku nie przekroczy 100% planowanych dochodów ogółem tej jednostki w tym roku budżetowym, </w:t>
      </w:r>
      <w:r w:rsidRPr="00CE61EE">
        <w:lastRenderedPageBreak/>
        <w:t>pomniejszonych o planowane kwoty dotacji i środków o podobnym charakterze oraz powiększonych o przychody z tytułów określonych w art. 217 ust. 2 pkt 4</w:t>
      </w:r>
      <w:r w:rsidRPr="0051412B">
        <w:t>–</w:t>
      </w:r>
      <w:r w:rsidRPr="00CE61EE">
        <w:t>8 nieprzeznaczone na sfinansowanie deficytu budżetowego.</w:t>
      </w:r>
    </w:p>
    <w:p w14:paraId="2F3D0D30" w14:textId="77777777" w:rsidR="00BB2D3D" w:rsidRPr="00CE61EE" w:rsidRDefault="00BB2D3D" w:rsidP="00BB2D3D">
      <w:pPr>
        <w:pStyle w:val="ZUSTzmustartykuempunktem"/>
      </w:pPr>
      <w:r w:rsidRPr="00CE61EE">
        <w:t>2. W latach 2024</w:t>
      </w:r>
      <w:r w:rsidRPr="0051412B">
        <w:t>–</w:t>
      </w:r>
      <w:r w:rsidRPr="00CE61EE">
        <w:t>2029 łączna kwota długu jednostki samorządu terytorialnego, która prognozowała na koniec danego roku niezachowanie relacji, o której mowa w</w:t>
      </w:r>
      <w:r>
        <w:t> </w:t>
      </w:r>
      <w:r w:rsidRPr="00CE61EE">
        <w:t>art.</w:t>
      </w:r>
      <w:r>
        <w:t> </w:t>
      </w:r>
      <w:r w:rsidRPr="00CE61EE">
        <w:t>243 ust. 1</w:t>
      </w:r>
      <w:r>
        <w:t>,</w:t>
      </w:r>
      <w:r w:rsidRPr="00CE61EE">
        <w:t xml:space="preserve"> nie może przekraczać 100% wykonanych w tym roku budżetowym dochodów ogółem tej jednostki, pomniejszonych o kwoty wykonanych dotacji i środków o</w:t>
      </w:r>
      <w:r>
        <w:t> </w:t>
      </w:r>
      <w:r w:rsidRPr="00CE61EE">
        <w:t>podobnym charakterze oraz powiększonych o przychody z tytułów określonych w</w:t>
      </w:r>
      <w:r>
        <w:t> </w:t>
      </w:r>
      <w:r w:rsidRPr="00CE61EE">
        <w:t>art.</w:t>
      </w:r>
      <w:r>
        <w:t> </w:t>
      </w:r>
      <w:r w:rsidRPr="00CE61EE">
        <w:t>217 ust. 2 pkt 4</w:t>
      </w:r>
      <w:r w:rsidRPr="0051412B">
        <w:t>–</w:t>
      </w:r>
      <w:r w:rsidRPr="00CE61EE">
        <w:t>8 nieprzeznaczone na sfinansowanie deficytu budżetowego.</w:t>
      </w:r>
    </w:p>
    <w:p w14:paraId="542FAB06" w14:textId="77777777" w:rsidR="00BB2D3D" w:rsidRPr="00BB2D3D" w:rsidRDefault="00BB2D3D" w:rsidP="00BB2D3D">
      <w:pPr>
        <w:pStyle w:val="ZUSTzmustartykuempunktem"/>
        <w:rPr>
          <w:rStyle w:val="Ppogrubienie"/>
        </w:rPr>
      </w:pPr>
      <w:r w:rsidRPr="00CE61EE">
        <w:t xml:space="preserve">3. Niezachowanie </w:t>
      </w:r>
      <w:r>
        <w:t xml:space="preserve">w latach </w:t>
      </w:r>
      <w:r w:rsidRPr="0051412B">
        <w:t>2024–2029</w:t>
      </w:r>
      <w:r>
        <w:t xml:space="preserve"> </w:t>
      </w:r>
      <w:r w:rsidRPr="00CE61EE">
        <w:t>relacji</w:t>
      </w:r>
      <w:r>
        <w:t>, o której mowa w art. 243 ust. 1,</w:t>
      </w:r>
      <w:r w:rsidRPr="00CE61EE">
        <w:t xml:space="preserve"> nie może zagrażać realizacji zadań publicznych przez jednostkę samorządu terytorialnego w</w:t>
      </w:r>
      <w:r>
        <w:t> </w:t>
      </w:r>
      <w:r w:rsidRPr="00CE61EE">
        <w:t>roku budżetowym i latach następnych. Regionalna izba obrachunkowa, wydając opinie, o których mowa w art. 91 ust. 2, art. 230 ust. 3 i 4 oraz art. 246</w:t>
      </w:r>
      <w:r>
        <w:t>,</w:t>
      </w:r>
      <w:r w:rsidRPr="00CE61EE">
        <w:t xml:space="preserve"> ocenia również wpływ niezachowania tej relacji na realizację zadań publicznych.”</w:t>
      </w:r>
      <w:r>
        <w:t>.</w:t>
      </w:r>
    </w:p>
    <w:bookmarkEnd w:id="1"/>
    <w:p w14:paraId="43C0F50C" w14:textId="77777777" w:rsidR="00BB2D3D" w:rsidRDefault="00BB2D3D" w:rsidP="00BB2D3D">
      <w:pPr>
        <w:pStyle w:val="ARTartustawynprozporzdzenia"/>
      </w:pPr>
      <w:r w:rsidRPr="00DA6C01">
        <w:rPr>
          <w:rStyle w:val="Ppogrubienie"/>
        </w:rPr>
        <w:t>Art.</w:t>
      </w:r>
      <w:r>
        <w:rPr>
          <w:rStyle w:val="Ppogrubienie"/>
        </w:rPr>
        <w:t> 2</w:t>
      </w:r>
      <w:r w:rsidRPr="00DA6C01">
        <w:rPr>
          <w:rStyle w:val="Ppogrubienie"/>
        </w:rPr>
        <w:t>.</w:t>
      </w:r>
      <w:r>
        <w:rPr>
          <w:rStyle w:val="Ppogrubienie"/>
        </w:rPr>
        <w:t> </w:t>
      </w:r>
      <w:r w:rsidRPr="00FA617D">
        <w:t>W ustawie z dnia 14 października 2021 r. o zmianie ustawy o dochodach jednostek</w:t>
      </w:r>
      <w:r>
        <w:t xml:space="preserve"> </w:t>
      </w:r>
      <w:r w:rsidRPr="00FA617D">
        <w:t>samorządu terytorialnego oraz niektórych innych ustaw (Dz. U. poz. 1927</w:t>
      </w:r>
      <w:r>
        <w:t xml:space="preserve"> i 2427</w:t>
      </w:r>
      <w:r w:rsidRPr="00FA617D">
        <w:t xml:space="preserve">) w art. 9 </w:t>
      </w:r>
      <w:r>
        <w:t xml:space="preserve">w ust. 2 wyrazy </w:t>
      </w:r>
      <w:r w:rsidRPr="00D6246F">
        <w:t>„W latach 2022</w:t>
      </w:r>
      <w:r w:rsidRPr="00A445D4">
        <w:t>–</w:t>
      </w:r>
      <w:r w:rsidRPr="00D6246F">
        <w:t>2025</w:t>
      </w:r>
      <w:r w:rsidRPr="00CE61EE">
        <w:t>”</w:t>
      </w:r>
      <w:r>
        <w:t xml:space="preserve"> zastępuje się wyrazami </w:t>
      </w:r>
      <w:r w:rsidRPr="00A50D4F">
        <w:t>„W latach 202</w:t>
      </w:r>
      <w:r>
        <w:t>2</w:t>
      </w:r>
      <w:r w:rsidR="009C0FBE">
        <w:t xml:space="preserve"> i </w:t>
      </w:r>
      <w:r w:rsidRPr="00A50D4F">
        <w:t>202</w:t>
      </w:r>
      <w:r>
        <w:t>3</w:t>
      </w:r>
      <w:r w:rsidRPr="00CE61EE">
        <w:t>”</w:t>
      </w:r>
      <w:r>
        <w:t>.</w:t>
      </w:r>
    </w:p>
    <w:p w14:paraId="5C85AE77" w14:textId="77777777" w:rsidR="00BB2D3D" w:rsidRDefault="00BB2D3D" w:rsidP="00BB2D3D">
      <w:pPr>
        <w:pStyle w:val="ARTartustawynprozporzdzenia"/>
      </w:pPr>
      <w:r w:rsidRPr="00DA6C01">
        <w:rPr>
          <w:rStyle w:val="Ppogrubienie"/>
        </w:rPr>
        <w:t>Art.</w:t>
      </w:r>
      <w:r>
        <w:rPr>
          <w:rStyle w:val="Ppogrubienie"/>
        </w:rPr>
        <w:t> 3</w:t>
      </w:r>
      <w:r w:rsidRPr="00DA6C01">
        <w:rPr>
          <w:rStyle w:val="Ppogrubienie"/>
        </w:rPr>
        <w:t>.</w:t>
      </w:r>
      <w:r>
        <w:rPr>
          <w:rStyle w:val="Ppogrubienie"/>
        </w:rPr>
        <w:t> </w:t>
      </w:r>
      <w:r w:rsidRPr="00FA617D">
        <w:t>W ustawie z dnia 15 września 2022 r. o zmianie ustawy o dochodach jednostek</w:t>
      </w:r>
      <w:r>
        <w:t xml:space="preserve"> </w:t>
      </w:r>
      <w:r w:rsidRPr="00FA617D">
        <w:t>samorządu terytorialnego oraz niektórych innych ustaw (Dz. U. poz. 1964)</w:t>
      </w:r>
      <w:r>
        <w:t xml:space="preserve"> w </w:t>
      </w:r>
      <w:r w:rsidRPr="00FA617D">
        <w:t>art. 7</w:t>
      </w:r>
      <w:r>
        <w:t>:</w:t>
      </w:r>
    </w:p>
    <w:p w14:paraId="0F82F4A8" w14:textId="77777777" w:rsidR="00BB2D3D" w:rsidRDefault="00BB2D3D" w:rsidP="00BB2D3D">
      <w:pPr>
        <w:pStyle w:val="PKTpunkt"/>
      </w:pPr>
      <w:r>
        <w:t>1)</w:t>
      </w:r>
      <w:r>
        <w:tab/>
        <w:t xml:space="preserve">w ust. 1 </w:t>
      </w:r>
      <w:bookmarkStart w:id="3" w:name="_Hlk180767829"/>
      <w:r>
        <w:t xml:space="preserve">wyrazy </w:t>
      </w:r>
      <w:r w:rsidRPr="00CB09FB">
        <w:t>„</w:t>
      </w:r>
      <w:r>
        <w:t>w latach 2023</w:t>
      </w:r>
      <w:r w:rsidRPr="00BB2D3D">
        <w:t>–</w:t>
      </w:r>
      <w:r>
        <w:t>2025</w:t>
      </w:r>
      <w:r w:rsidRPr="00CB09FB">
        <w:t>”</w:t>
      </w:r>
      <w:r>
        <w:t xml:space="preserve"> zastępuje się wyrazami </w:t>
      </w:r>
      <w:r w:rsidRPr="00CB09FB">
        <w:t>„</w:t>
      </w:r>
      <w:r>
        <w:t>w roku 2023</w:t>
      </w:r>
      <w:r w:rsidRPr="00CB09FB">
        <w:t>”</w:t>
      </w:r>
      <w:r>
        <w:t>;</w:t>
      </w:r>
    </w:p>
    <w:bookmarkEnd w:id="3"/>
    <w:p w14:paraId="2DF09A50" w14:textId="77777777" w:rsidR="00BB2D3D" w:rsidRDefault="00BB2D3D" w:rsidP="00BB2D3D">
      <w:pPr>
        <w:pStyle w:val="PKTpunkt"/>
      </w:pPr>
      <w:r>
        <w:t>2)</w:t>
      </w:r>
      <w:r>
        <w:tab/>
        <w:t xml:space="preserve">w ust. 2 </w:t>
      </w:r>
      <w:r w:rsidRPr="003A2B41">
        <w:t>wyrazy „</w:t>
      </w:r>
      <w:r>
        <w:t>W</w:t>
      </w:r>
      <w:r w:rsidRPr="003A2B41">
        <w:t xml:space="preserve"> latach 2023</w:t>
      </w:r>
      <w:r w:rsidRPr="00BB2D3D">
        <w:t>–</w:t>
      </w:r>
      <w:r w:rsidRPr="003A2B41">
        <w:t>2025” zastępuje się wyrazami „</w:t>
      </w:r>
      <w:r>
        <w:t>W</w:t>
      </w:r>
      <w:r w:rsidRPr="003A2B41">
        <w:t xml:space="preserve"> roku 2023”</w:t>
      </w:r>
      <w:r>
        <w:t>.</w:t>
      </w:r>
    </w:p>
    <w:p w14:paraId="025CBB45" w14:textId="77777777" w:rsidR="00BB2D3D" w:rsidRDefault="00BB2D3D" w:rsidP="00BB2D3D">
      <w:pPr>
        <w:pStyle w:val="ARTartustawynprozporzdzenia"/>
      </w:pPr>
      <w:r w:rsidRPr="00DA6C01">
        <w:rPr>
          <w:rStyle w:val="Ppogrubienie"/>
        </w:rPr>
        <w:t>Art.</w:t>
      </w:r>
      <w:r>
        <w:rPr>
          <w:rStyle w:val="Ppogrubienie"/>
        </w:rPr>
        <w:t> 4</w:t>
      </w:r>
      <w:r w:rsidRPr="00DA6C01">
        <w:rPr>
          <w:rStyle w:val="Ppogrubienie"/>
        </w:rPr>
        <w:t>.</w:t>
      </w:r>
      <w:r>
        <w:rPr>
          <w:rStyle w:val="Ppogrubienie"/>
        </w:rPr>
        <w:t> </w:t>
      </w:r>
      <w:r w:rsidRPr="00FA617D">
        <w:t>1.</w:t>
      </w:r>
      <w:r>
        <w:t> P</w:t>
      </w:r>
      <w:r w:rsidRPr="000A08E1">
        <w:t>rzepis art. 243 ust. 2a ustawy zmienianej w art. 1</w:t>
      </w:r>
      <w:r>
        <w:t xml:space="preserve"> stosuje się po raz pierwszy do u</w:t>
      </w:r>
      <w:r w:rsidRPr="00FA617D">
        <w:t>stal</w:t>
      </w:r>
      <w:r>
        <w:t>eni</w:t>
      </w:r>
      <w:r w:rsidRPr="00FA617D">
        <w:t>a relacj</w:t>
      </w:r>
      <w:r>
        <w:t>i</w:t>
      </w:r>
      <w:r w:rsidRPr="00FA617D">
        <w:t xml:space="preserve">, o </w:t>
      </w:r>
      <w:r w:rsidRPr="009C0FBE">
        <w:t>któr</w:t>
      </w:r>
      <w:r w:rsidR="00091AB4" w:rsidRPr="009C0FBE">
        <w:t>ych</w:t>
      </w:r>
      <w:r w:rsidRPr="009C0FBE">
        <w:rPr>
          <w:rStyle w:val="Ppogrubienie"/>
        </w:rPr>
        <w:t xml:space="preserve"> </w:t>
      </w:r>
      <w:r w:rsidRPr="00FA617D">
        <w:t>mowa w art. 243 ust. 1 ustawy zmienianej w art. 1</w:t>
      </w:r>
      <w:r>
        <w:t xml:space="preserve">, </w:t>
      </w:r>
      <w:r w:rsidRPr="00FA617D">
        <w:t>na</w:t>
      </w:r>
      <w:r>
        <w:t xml:space="preserve"> </w:t>
      </w:r>
      <w:r w:rsidRPr="00FA617D">
        <w:t>rok 2026.</w:t>
      </w:r>
    </w:p>
    <w:p w14:paraId="3A88EF21" w14:textId="77777777" w:rsidR="00BB2D3D" w:rsidRDefault="00BB2D3D" w:rsidP="00BB2D3D">
      <w:pPr>
        <w:pStyle w:val="USTustnpkodeksu"/>
      </w:pPr>
      <w:r w:rsidRPr="00F96BA2">
        <w:t>2. Przepis ust. 1 stosuje się po raz pierwszy do opracowania budżetu i wieloletniej prognozy finansowej jednostki samorządu terytorialnego na rok 2025.</w:t>
      </w:r>
    </w:p>
    <w:p w14:paraId="324A8D26" w14:textId="77777777" w:rsidR="00BB2D3D" w:rsidRDefault="00BB2D3D" w:rsidP="00091AB4">
      <w:pPr>
        <w:pStyle w:val="ARTartustawynprozporzdzenia"/>
      </w:pPr>
      <w:r w:rsidRPr="00B80990">
        <w:rPr>
          <w:rStyle w:val="Ppogrubienie"/>
        </w:rPr>
        <w:t>Art.</w:t>
      </w:r>
      <w:r>
        <w:rPr>
          <w:rStyle w:val="Ppogrubienie"/>
        </w:rPr>
        <w:t> 5</w:t>
      </w:r>
      <w:r w:rsidRPr="00B80990">
        <w:rPr>
          <w:rStyle w:val="Ppogrubienie"/>
        </w:rPr>
        <w:t>.</w:t>
      </w:r>
      <w:r>
        <w:rPr>
          <w:rStyle w:val="Ppogrubienie"/>
        </w:rPr>
        <w:t> </w:t>
      </w:r>
      <w:r w:rsidRPr="007857E2">
        <w:t xml:space="preserve">Ustawa wchodzi </w:t>
      </w:r>
      <w:bookmarkStart w:id="4" w:name="_Hlk179280523"/>
      <w:r w:rsidRPr="007857E2">
        <w:t>w życie</w:t>
      </w:r>
      <w:r>
        <w:t xml:space="preserve"> z dniem następującym po dniu ogłoszenia. </w:t>
      </w:r>
      <w:bookmarkEnd w:id="4"/>
    </w:p>
    <w:p w14:paraId="7115B23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BB921" w14:textId="77777777" w:rsidR="00252E96" w:rsidRDefault="00252E96">
      <w:r>
        <w:separator/>
      </w:r>
    </w:p>
  </w:endnote>
  <w:endnote w:type="continuationSeparator" w:id="0">
    <w:p w14:paraId="3E158B40" w14:textId="77777777" w:rsidR="00252E96" w:rsidRDefault="0025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B764E" w14:textId="77777777" w:rsidR="00252E96" w:rsidRDefault="00252E96">
      <w:r>
        <w:separator/>
      </w:r>
    </w:p>
  </w:footnote>
  <w:footnote w:type="continuationSeparator" w:id="0">
    <w:p w14:paraId="573BA0E0" w14:textId="77777777" w:rsidR="00252E96" w:rsidRDefault="00252E96">
      <w:r>
        <w:continuationSeparator/>
      </w:r>
    </w:p>
  </w:footnote>
  <w:footnote w:id="1">
    <w:p w14:paraId="145915B2" w14:textId="77777777" w:rsidR="00BB2D3D" w:rsidRPr="001968AD" w:rsidRDefault="00BB2D3D" w:rsidP="00BB2D3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 w:rsidRPr="00B1182C">
        <w:t>z dnia 14 października 2021 r. o zmianie ustawy o dochodach jednostek samorządu terytorialnego oraz niektórych innych ustaw</w:t>
      </w:r>
      <w:r>
        <w:t xml:space="preserve"> oraz ustawę </w:t>
      </w:r>
      <w:r w:rsidRPr="00B1182C">
        <w:t>z dnia 15 września 2022 r. o</w:t>
      </w:r>
      <w:r>
        <w:t> </w:t>
      </w:r>
      <w:r w:rsidRPr="00B1182C">
        <w:t>zmianie ustawy o dochodach jednostek samorządu terytorialnego oraz niektórych innych ustaw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105B" w14:textId="36AD2E0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9C0FBE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65B85">
      <w:rPr>
        <w:rStyle w:val="Ppogrubienie"/>
        <w:noProof/>
      </w:rPr>
      <w:t>2024-11-06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C0FBE">
          <w:rPr>
            <w:rStyle w:val="Ppogrubienie"/>
            <w:noProof/>
          </w:rPr>
          <w:t>V3_18-38.NK.DOCX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9C0FB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673C09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9AC741" wp14:editId="72DAF36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B2D3D">
      <w:rPr>
        <w:rStyle w:val="Ppogrubienie"/>
      </w:rPr>
      <w:t xml:space="preserve"> 756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F1D9" w14:textId="19B1337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65B85">
      <w:rPr>
        <w:rStyle w:val="Ppogrubienie"/>
        <w:noProof/>
      </w:rPr>
      <w:t>2024-11-06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A9CAC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7F095" wp14:editId="2F95793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1575608">
    <w:abstractNumId w:val="24"/>
  </w:num>
  <w:num w:numId="2" w16cid:durableId="315064220">
    <w:abstractNumId w:val="24"/>
  </w:num>
  <w:num w:numId="3" w16cid:durableId="662971434">
    <w:abstractNumId w:val="19"/>
  </w:num>
  <w:num w:numId="4" w16cid:durableId="1612006386">
    <w:abstractNumId w:val="19"/>
  </w:num>
  <w:num w:numId="5" w16cid:durableId="1380859197">
    <w:abstractNumId w:val="38"/>
  </w:num>
  <w:num w:numId="6" w16cid:durableId="392583595">
    <w:abstractNumId w:val="34"/>
  </w:num>
  <w:num w:numId="7" w16cid:durableId="2016496210">
    <w:abstractNumId w:val="38"/>
  </w:num>
  <w:num w:numId="8" w16cid:durableId="1803380205">
    <w:abstractNumId w:val="34"/>
  </w:num>
  <w:num w:numId="9" w16cid:durableId="1150826339">
    <w:abstractNumId w:val="38"/>
  </w:num>
  <w:num w:numId="10" w16cid:durableId="1475835661">
    <w:abstractNumId w:val="34"/>
  </w:num>
  <w:num w:numId="11" w16cid:durableId="521289070">
    <w:abstractNumId w:val="15"/>
  </w:num>
  <w:num w:numId="12" w16cid:durableId="90781331">
    <w:abstractNumId w:val="10"/>
  </w:num>
  <w:num w:numId="13" w16cid:durableId="83692096">
    <w:abstractNumId w:val="16"/>
  </w:num>
  <w:num w:numId="14" w16cid:durableId="243685381">
    <w:abstractNumId w:val="28"/>
  </w:num>
  <w:num w:numId="15" w16cid:durableId="1171523243">
    <w:abstractNumId w:val="15"/>
  </w:num>
  <w:num w:numId="16" w16cid:durableId="1564410642">
    <w:abstractNumId w:val="17"/>
  </w:num>
  <w:num w:numId="17" w16cid:durableId="955867358">
    <w:abstractNumId w:val="8"/>
  </w:num>
  <w:num w:numId="18" w16cid:durableId="1534685585">
    <w:abstractNumId w:val="3"/>
  </w:num>
  <w:num w:numId="19" w16cid:durableId="309946471">
    <w:abstractNumId w:val="2"/>
  </w:num>
  <w:num w:numId="20" w16cid:durableId="1309743661">
    <w:abstractNumId w:val="1"/>
  </w:num>
  <w:num w:numId="21" w16cid:durableId="2007976752">
    <w:abstractNumId w:val="0"/>
  </w:num>
  <w:num w:numId="22" w16cid:durableId="1914897182">
    <w:abstractNumId w:val="9"/>
  </w:num>
  <w:num w:numId="23" w16cid:durableId="556212121">
    <w:abstractNumId w:val="7"/>
  </w:num>
  <w:num w:numId="24" w16cid:durableId="1095832589">
    <w:abstractNumId w:val="6"/>
  </w:num>
  <w:num w:numId="25" w16cid:durableId="494608734">
    <w:abstractNumId w:val="5"/>
  </w:num>
  <w:num w:numId="26" w16cid:durableId="1036394191">
    <w:abstractNumId w:val="4"/>
  </w:num>
  <w:num w:numId="27" w16cid:durableId="107436116">
    <w:abstractNumId w:val="36"/>
  </w:num>
  <w:num w:numId="28" w16cid:durableId="480318178">
    <w:abstractNumId w:val="27"/>
  </w:num>
  <w:num w:numId="29" w16cid:durableId="1469741560">
    <w:abstractNumId w:val="39"/>
  </w:num>
  <w:num w:numId="30" w16cid:durableId="545532700">
    <w:abstractNumId w:val="35"/>
  </w:num>
  <w:num w:numId="31" w16cid:durableId="1637907432">
    <w:abstractNumId w:val="20"/>
  </w:num>
  <w:num w:numId="32" w16cid:durableId="259918729">
    <w:abstractNumId w:val="11"/>
  </w:num>
  <w:num w:numId="33" w16cid:durableId="1456370371">
    <w:abstractNumId w:val="33"/>
  </w:num>
  <w:num w:numId="34" w16cid:durableId="1270165609">
    <w:abstractNumId w:val="21"/>
  </w:num>
  <w:num w:numId="35" w16cid:durableId="1405370187">
    <w:abstractNumId w:val="18"/>
  </w:num>
  <w:num w:numId="36" w16cid:durableId="357121820">
    <w:abstractNumId w:val="23"/>
  </w:num>
  <w:num w:numId="37" w16cid:durableId="863054830">
    <w:abstractNumId w:val="29"/>
  </w:num>
  <w:num w:numId="38" w16cid:durableId="359740573">
    <w:abstractNumId w:val="26"/>
  </w:num>
  <w:num w:numId="39" w16cid:durableId="1810829424">
    <w:abstractNumId w:val="14"/>
  </w:num>
  <w:num w:numId="40" w16cid:durableId="720596654">
    <w:abstractNumId w:val="32"/>
  </w:num>
  <w:num w:numId="41" w16cid:durableId="761605614">
    <w:abstractNumId w:val="30"/>
  </w:num>
  <w:num w:numId="42" w16cid:durableId="1826622213">
    <w:abstractNumId w:val="22"/>
  </w:num>
  <w:num w:numId="43" w16cid:durableId="1097408932">
    <w:abstractNumId w:val="37"/>
  </w:num>
  <w:num w:numId="44" w16cid:durableId="1815489913">
    <w:abstractNumId w:val="13"/>
  </w:num>
  <w:num w:numId="45" w16cid:durableId="1041831788">
    <w:abstractNumId w:val="40"/>
  </w:num>
  <w:num w:numId="46" w16cid:durableId="476726917">
    <w:abstractNumId w:val="25"/>
  </w:num>
  <w:num w:numId="47" w16cid:durableId="375470014">
    <w:abstractNumId w:val="12"/>
  </w:num>
  <w:num w:numId="48" w16cid:durableId="11682565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AB4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5B4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2E96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6C0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0CB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244C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FBE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D3D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5F1F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25E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63F9"/>
    <w:rsid w:val="00F50237"/>
    <w:rsid w:val="00F53596"/>
    <w:rsid w:val="00F55BA8"/>
    <w:rsid w:val="00F55DB1"/>
    <w:rsid w:val="00F56ACA"/>
    <w:rsid w:val="00F600FE"/>
    <w:rsid w:val="00F62E4D"/>
    <w:rsid w:val="00F63A44"/>
    <w:rsid w:val="00F65B8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70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6D8417-AC64-4E98-8698-CF8870C5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2024-11-06T19:18:00Z</dcterms:created>
  <dcterms:modified xsi:type="dcterms:W3CDTF">2024-11-06T19:18:00Z</dcterms:modified>
  <cp:category/>
</cp:coreProperties>
</file>