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70678" w14:textId="77777777" w:rsidR="00944EB6" w:rsidRDefault="00944EB6" w:rsidP="00944EB6">
      <w:pPr>
        <w:pStyle w:val="OZNPROJEKTUwskazaniedatylubwersjiprojektu"/>
      </w:pPr>
      <w:r w:rsidRPr="00D1348C">
        <w:t>Projekt</w:t>
      </w:r>
    </w:p>
    <w:p w14:paraId="502FE34A" w14:textId="77777777" w:rsidR="00944EB6" w:rsidRPr="00D1348C" w:rsidRDefault="00944EB6" w:rsidP="00944EB6">
      <w:pPr>
        <w:pStyle w:val="OZNRODZAKTUtznustawalubrozporzdzenieiorganwydajcy"/>
      </w:pPr>
      <w:r w:rsidRPr="00D1348C">
        <w:t>Ustawa</w:t>
      </w:r>
    </w:p>
    <w:p w14:paraId="582F627A" w14:textId="77777777" w:rsidR="00944EB6" w:rsidRPr="00D1348C" w:rsidRDefault="00944EB6" w:rsidP="00944EB6">
      <w:pPr>
        <w:pStyle w:val="DATAAKTUdatauchwalenialubwydaniaaktu"/>
      </w:pPr>
      <w:r w:rsidRPr="00D1348C">
        <w:t>z dnia</w:t>
      </w:r>
    </w:p>
    <w:p w14:paraId="2CE1BEEF" w14:textId="77777777" w:rsidR="00944EB6" w:rsidRPr="00E8317C" w:rsidRDefault="00944EB6" w:rsidP="00944EB6">
      <w:pPr>
        <w:pStyle w:val="TYTUAKTUprzedmiotregulacjiustawylubrozporzdzenia"/>
        <w:rPr>
          <w:rStyle w:val="IGindeksgrny"/>
        </w:rPr>
      </w:pPr>
      <w:r w:rsidRPr="00D1348C">
        <w:t>o likwidacji Fundacji Platforma Przemysłu Przyszłości</w:t>
      </w:r>
      <w:r w:rsidRPr="003F190F">
        <w:rPr>
          <w:rStyle w:val="IGPindeksgrnyipogrubienie"/>
        </w:rPr>
        <w:footnoteReference w:id="1"/>
      </w:r>
      <w:r w:rsidRPr="003F190F">
        <w:rPr>
          <w:rStyle w:val="IGPindeksgrnyipogrubienie"/>
        </w:rPr>
        <w:t>)</w:t>
      </w:r>
    </w:p>
    <w:p w14:paraId="6B669DC7" w14:textId="39EFFA6B" w:rsidR="00944EB6" w:rsidRDefault="00944EB6" w:rsidP="00944EB6">
      <w:pPr>
        <w:pStyle w:val="ARTartustawynprozporzdzenia"/>
      </w:pPr>
      <w:r w:rsidRPr="00910AFD">
        <w:rPr>
          <w:rStyle w:val="Ppogrubienie"/>
        </w:rPr>
        <w:t>Art.</w:t>
      </w:r>
      <w:r>
        <w:rPr>
          <w:rStyle w:val="Ppogrubienie"/>
        </w:rPr>
        <w:t> </w:t>
      </w:r>
      <w:r w:rsidRPr="00910AFD">
        <w:rPr>
          <w:rStyle w:val="Ppogrubienie"/>
        </w:rPr>
        <w:t>1.</w:t>
      </w:r>
      <w:r>
        <w:t> </w:t>
      </w:r>
      <w:r w:rsidRPr="00D1348C">
        <w:t>1.</w:t>
      </w:r>
      <w:r>
        <w:t> </w:t>
      </w:r>
      <w:r w:rsidR="00763639" w:rsidRPr="00D1348C">
        <w:t xml:space="preserve">Z dniem </w:t>
      </w:r>
      <w:r w:rsidR="00763639">
        <w:t>wejścia w życie niniejszej ustawy o</w:t>
      </w:r>
      <w:r>
        <w:t xml:space="preserve">twiera się likwidację </w:t>
      </w:r>
      <w:r w:rsidRPr="00D1348C">
        <w:t>Fundacj</w:t>
      </w:r>
      <w:r>
        <w:t>i</w:t>
      </w:r>
      <w:r w:rsidRPr="00D1348C">
        <w:t xml:space="preserve"> Platforma Przemysłu Przyszłości, zwan</w:t>
      </w:r>
      <w:r>
        <w:t>ej</w:t>
      </w:r>
      <w:r w:rsidRPr="00D1348C">
        <w:t xml:space="preserve"> dalej „Platformą”, utworzon</w:t>
      </w:r>
      <w:r>
        <w:t>ej</w:t>
      </w:r>
      <w:r w:rsidRPr="00D1348C">
        <w:t xml:space="preserve"> na podstawie ustawy z dnia 17 stycznia 2019 r. o Fundacji Platforma Przemysłu Przyszłości (Dz. U. z 2023 r. poz. 489 oraz z 2024 r. poz. 834)</w:t>
      </w:r>
      <w:r w:rsidRPr="005D6A1D">
        <w:t>.</w:t>
      </w:r>
    </w:p>
    <w:p w14:paraId="5ABFDC05" w14:textId="77777777" w:rsidR="00944EB6" w:rsidRDefault="00944EB6" w:rsidP="00944EB6">
      <w:pPr>
        <w:pStyle w:val="USTustnpkodeksu"/>
      </w:pPr>
      <w:r>
        <w:t>2</w:t>
      </w:r>
      <w:r w:rsidRPr="0037104C">
        <w:t>.</w:t>
      </w:r>
      <w:r>
        <w:t> </w:t>
      </w:r>
      <w:r w:rsidRPr="0037104C">
        <w:t>Z dniem 31 grudnia 2024 r. likwiduje się Platformę.</w:t>
      </w:r>
    </w:p>
    <w:p w14:paraId="0D68880E" w14:textId="77777777" w:rsidR="00944EB6" w:rsidRPr="00D1348C" w:rsidRDefault="00944EB6" w:rsidP="00944EB6">
      <w:pPr>
        <w:pStyle w:val="USTustnpkodeksu"/>
      </w:pPr>
      <w:r>
        <w:t>3</w:t>
      </w:r>
      <w:r w:rsidRPr="00D1348C">
        <w:t>.</w:t>
      </w:r>
      <w:r>
        <w:t> Z dniem 1 stycznia 2025 r. z</w:t>
      </w:r>
      <w:r w:rsidRPr="005D6A1D">
        <w:t xml:space="preserve">adania </w:t>
      </w:r>
      <w:r>
        <w:t xml:space="preserve">Platformy </w:t>
      </w:r>
      <w:r w:rsidRPr="005D6A1D">
        <w:t>przejmuje Polska Agencja Rozwoju Przedsiębiorczości, utworzona na podstawie</w:t>
      </w:r>
      <w:r>
        <w:t xml:space="preserve"> </w:t>
      </w:r>
      <w:r w:rsidRPr="005D6A1D">
        <w:t>ustawy z dnia 9 listopada 2000 r. o</w:t>
      </w:r>
      <w:r>
        <w:t xml:space="preserve"> </w:t>
      </w:r>
      <w:r w:rsidRPr="005D6A1D">
        <w:t>utworzeniu Polskiej Agencji Rozwoju Przedsiębiorczości (Dz. U. z 2024 r. poz. 419), zwana dalej „PARP</w:t>
      </w:r>
      <w:bookmarkStart w:id="0" w:name="_Hlk174025488"/>
      <w:r w:rsidRPr="005D6A1D">
        <w:t>”</w:t>
      </w:r>
      <w:bookmarkEnd w:id="0"/>
      <w:r>
        <w:t>.</w:t>
      </w:r>
    </w:p>
    <w:p w14:paraId="7E384B90" w14:textId="0F66E59F" w:rsidR="00944EB6" w:rsidRDefault="00944EB6" w:rsidP="00944EB6">
      <w:pPr>
        <w:pStyle w:val="ARTartustawynprozporzdzenia"/>
      </w:pPr>
      <w:r w:rsidRPr="00910AFD">
        <w:rPr>
          <w:rStyle w:val="Ppogrubienie"/>
        </w:rPr>
        <w:t>Art.</w:t>
      </w:r>
      <w:r>
        <w:rPr>
          <w:rStyle w:val="Ppogrubienie"/>
        </w:rPr>
        <w:t> </w:t>
      </w:r>
      <w:r w:rsidRPr="00910AFD">
        <w:rPr>
          <w:rStyle w:val="Ppogrubienie"/>
        </w:rPr>
        <w:t>2.</w:t>
      </w:r>
      <w:r>
        <w:t> </w:t>
      </w:r>
      <w:r w:rsidRPr="00D1348C">
        <w:t>1.</w:t>
      </w:r>
      <w:r>
        <w:t> </w:t>
      </w:r>
      <w:r w:rsidRPr="00D1348C">
        <w:t xml:space="preserve">Z dniem </w:t>
      </w:r>
      <w:r w:rsidR="00763639">
        <w:t xml:space="preserve">otwarcia likwidacji </w:t>
      </w:r>
      <w:r w:rsidRPr="00D1348C">
        <w:t>wygasają kadencje</w:t>
      </w:r>
      <w:r>
        <w:t xml:space="preserve"> </w:t>
      </w:r>
      <w:r w:rsidRPr="00D1348C">
        <w:t>organów</w:t>
      </w:r>
      <w:r>
        <w:t xml:space="preserve"> Platformy, o których mowa w art. 11 ustawy </w:t>
      </w:r>
      <w:r w:rsidRPr="00D1348C">
        <w:t>z dnia 17 stycznia 2019 r. o Fundacji Platforma Przemysłu Przyszłości</w:t>
      </w:r>
      <w:r>
        <w:t xml:space="preserve">, a ich kompetencje przejmuje likwidator Platformy, zwany dalej </w:t>
      </w:r>
      <w:r w:rsidRPr="005D6A1D">
        <w:t>„</w:t>
      </w:r>
      <w:r>
        <w:t>likwidatorem</w:t>
      </w:r>
      <w:r w:rsidRPr="005D6A1D">
        <w:t>”</w:t>
      </w:r>
      <w:r>
        <w:t xml:space="preserve">. </w:t>
      </w:r>
    </w:p>
    <w:p w14:paraId="50B7C248" w14:textId="47E094E0" w:rsidR="00944EB6" w:rsidRPr="00D1348C" w:rsidRDefault="00944EB6" w:rsidP="00944EB6">
      <w:pPr>
        <w:pStyle w:val="USTustnpkodeksu"/>
      </w:pPr>
      <w:r>
        <w:t>2. </w:t>
      </w:r>
      <w:r w:rsidRPr="00D1348C">
        <w:t xml:space="preserve">Minister właściwy do spraw rozwoju regionalnego powołuje likwidatora i sprawuje nadzór nad jego działalnością. Akt powołania likwidatora określa </w:t>
      </w:r>
      <w:r>
        <w:t xml:space="preserve">w szczególności </w:t>
      </w:r>
      <w:r w:rsidRPr="00D1348C">
        <w:t>szczegółowy zakres zadań i uprawnień likwidatora</w:t>
      </w:r>
      <w:r>
        <w:t xml:space="preserve"> oraz zasady </w:t>
      </w:r>
      <w:r w:rsidR="00763639">
        <w:t xml:space="preserve">jego </w:t>
      </w:r>
      <w:r>
        <w:t>współpracy z PARP</w:t>
      </w:r>
      <w:r w:rsidRPr="00D1348C">
        <w:t>.</w:t>
      </w:r>
    </w:p>
    <w:p w14:paraId="34A51E72" w14:textId="77777777" w:rsidR="00944EB6" w:rsidRDefault="00944EB6" w:rsidP="00944EB6">
      <w:pPr>
        <w:pStyle w:val="USTustnpkodeksu"/>
      </w:pPr>
      <w:r>
        <w:t>3</w:t>
      </w:r>
      <w:r w:rsidRPr="00D1348C">
        <w:t>.</w:t>
      </w:r>
      <w:r>
        <w:t> </w:t>
      </w:r>
      <w:r w:rsidRPr="00E41193">
        <w:t>Obsługę likwidatora</w:t>
      </w:r>
      <w:r>
        <w:t>:</w:t>
      </w:r>
    </w:p>
    <w:p w14:paraId="3D8DD088" w14:textId="77777777" w:rsidR="00944EB6" w:rsidRDefault="00944EB6" w:rsidP="00944EB6">
      <w:pPr>
        <w:pStyle w:val="PKTpunkt"/>
      </w:pPr>
      <w:r>
        <w:t>1)</w:t>
      </w:r>
      <w:r>
        <w:tab/>
        <w:t>do dnia 31 grudnia 2024 r. – zapewnia Platforma;</w:t>
      </w:r>
    </w:p>
    <w:p w14:paraId="0485D870" w14:textId="77777777" w:rsidR="00944EB6" w:rsidRDefault="00944EB6" w:rsidP="00944EB6">
      <w:pPr>
        <w:pStyle w:val="PKTpunkt"/>
      </w:pPr>
      <w:r>
        <w:t>2)</w:t>
      </w:r>
      <w:r>
        <w:tab/>
        <w:t xml:space="preserve">od dnia 1 stycznia 2025 r. – </w:t>
      </w:r>
      <w:r w:rsidRPr="00E41193">
        <w:t>zapewnia PARP.</w:t>
      </w:r>
    </w:p>
    <w:p w14:paraId="1DCCEACD" w14:textId="55F67E63" w:rsidR="00944EB6" w:rsidRPr="008B4CB7" w:rsidRDefault="00944EB6" w:rsidP="00944EB6">
      <w:pPr>
        <w:pStyle w:val="USTustnpkodeksu"/>
      </w:pPr>
      <w:r>
        <w:t>4</w:t>
      </w:r>
      <w:r w:rsidRPr="008B4CB7">
        <w:t>.</w:t>
      </w:r>
      <w:r>
        <w:t> Likwidatorowi przysługuje w</w:t>
      </w:r>
      <w:r w:rsidRPr="008B4CB7">
        <w:t>ynagrodzenie</w:t>
      </w:r>
      <w:r>
        <w:t>, którego wysokość ustala minister właściwy do spraw rozwoju regionalnego,</w:t>
      </w:r>
      <w:r w:rsidRPr="00DA4A4F">
        <w:t xml:space="preserve"> na zasadach określonych w </w:t>
      </w:r>
      <w:r w:rsidR="00763639">
        <w:t xml:space="preserve">ustawie </w:t>
      </w:r>
      <w:r w:rsidRPr="00DA4A4F">
        <w:t>z dnia 3 marca 2000 r. o wynagradzaniu osób kierujących niektórymi podmiotami prawnymi (Dz.</w:t>
      </w:r>
      <w:r>
        <w:t> </w:t>
      </w:r>
      <w:r w:rsidRPr="00DA4A4F">
        <w:t>U.</w:t>
      </w:r>
      <w:r>
        <w:t> </w:t>
      </w:r>
      <w:r w:rsidRPr="00DA4A4F">
        <w:t>z</w:t>
      </w:r>
      <w:r>
        <w:t> </w:t>
      </w:r>
      <w:r w:rsidRPr="00DA4A4F">
        <w:t>2019 r. poz. 2136)</w:t>
      </w:r>
      <w:r>
        <w:t xml:space="preserve">. </w:t>
      </w:r>
      <w:bookmarkStart w:id="1" w:name="_Hlk173397661"/>
    </w:p>
    <w:bookmarkEnd w:id="1"/>
    <w:p w14:paraId="59587118" w14:textId="77777777" w:rsidR="00944EB6" w:rsidRDefault="00944EB6" w:rsidP="00944EB6">
      <w:pPr>
        <w:pStyle w:val="USTustnpkodeksu"/>
      </w:pPr>
      <w:r>
        <w:lastRenderedPageBreak/>
        <w:t>5</w:t>
      </w:r>
      <w:r w:rsidRPr="008B4CB7">
        <w:t>.</w:t>
      </w:r>
      <w:r>
        <w:t> </w:t>
      </w:r>
      <w:r w:rsidRPr="008B4CB7">
        <w:t>Wynagrodzenie likwidatora jest pokrywane</w:t>
      </w:r>
      <w:r>
        <w:t>:</w:t>
      </w:r>
    </w:p>
    <w:p w14:paraId="30F78F85" w14:textId="77777777" w:rsidR="00944EB6" w:rsidRDefault="00944EB6" w:rsidP="00944EB6">
      <w:pPr>
        <w:pStyle w:val="PKTpunkt"/>
      </w:pPr>
      <w:r>
        <w:t>1)</w:t>
      </w:r>
      <w:r>
        <w:tab/>
        <w:t>do dnia 31 grudnia 2024 r. – ze środków Platformy;</w:t>
      </w:r>
    </w:p>
    <w:p w14:paraId="2449A714" w14:textId="77777777" w:rsidR="00944EB6" w:rsidRDefault="00944EB6" w:rsidP="00944EB6">
      <w:pPr>
        <w:pStyle w:val="PKTpunkt"/>
      </w:pPr>
      <w:r>
        <w:t>2)</w:t>
      </w:r>
      <w:r>
        <w:tab/>
        <w:t xml:space="preserve">od dnia 1 stycznia 2025 r. – ze środków </w:t>
      </w:r>
      <w:r w:rsidRPr="008B4CB7">
        <w:t>PARP.</w:t>
      </w:r>
    </w:p>
    <w:p w14:paraId="389B61DD" w14:textId="77777777" w:rsidR="00944EB6" w:rsidRDefault="00944EB6" w:rsidP="00944EB6">
      <w:pPr>
        <w:pStyle w:val="USTustnpkodeksu"/>
      </w:pPr>
      <w:r>
        <w:t>6. Likwidator pełni funkcję do dnia prawomocnego wykreślenia Platformy z Krajowego Rejestru Sądowego.</w:t>
      </w:r>
    </w:p>
    <w:p w14:paraId="3C062C95" w14:textId="758B2C1E" w:rsidR="00944EB6" w:rsidRDefault="00944EB6" w:rsidP="00944EB6">
      <w:pPr>
        <w:pStyle w:val="ARTartustawynprozporzdzenia"/>
      </w:pPr>
      <w:r w:rsidRPr="00910AFD">
        <w:rPr>
          <w:rStyle w:val="Ppogrubienie"/>
        </w:rPr>
        <w:t>Art.</w:t>
      </w:r>
      <w:r>
        <w:rPr>
          <w:rStyle w:val="Ppogrubienie"/>
        </w:rPr>
        <w:t> 3</w:t>
      </w:r>
      <w:r w:rsidRPr="00910AFD">
        <w:rPr>
          <w:rStyle w:val="Ppogrubienie"/>
        </w:rPr>
        <w:t>.</w:t>
      </w:r>
      <w:r>
        <w:t> </w:t>
      </w:r>
      <w:r w:rsidRPr="008B4CB7">
        <w:t>Likwidator</w:t>
      </w:r>
      <w:r w:rsidR="00763639">
        <w:t xml:space="preserve"> </w:t>
      </w:r>
      <w:r>
        <w:t>w szczególności:</w:t>
      </w:r>
    </w:p>
    <w:p w14:paraId="53E92D0A" w14:textId="77777777" w:rsidR="00944EB6" w:rsidRDefault="00944EB6" w:rsidP="00944EB6">
      <w:pPr>
        <w:pStyle w:val="PKTpunkt"/>
      </w:pPr>
      <w:r>
        <w:t>1)</w:t>
      </w:r>
      <w:r>
        <w:tab/>
      </w:r>
      <w:r w:rsidRPr="00115370">
        <w:t xml:space="preserve">niezwłocznie ogłasza w Monitorze Sądowym i Gospodarczym o otwarciu likwidacji Platformy, wzywając jej wierzycieli do zgłoszenia ich wierzytelności w terminie </w:t>
      </w:r>
      <w:r>
        <w:t>30</w:t>
      </w:r>
      <w:r w:rsidRPr="00115370">
        <w:t xml:space="preserve"> dni od dnia tego ogłoszenia;</w:t>
      </w:r>
    </w:p>
    <w:p w14:paraId="3371BB77" w14:textId="77777777" w:rsidR="00944EB6" w:rsidRDefault="00944EB6" w:rsidP="00944EB6">
      <w:pPr>
        <w:pStyle w:val="PKTpunkt"/>
      </w:pPr>
      <w:r>
        <w:t>2)</w:t>
      </w:r>
      <w:r>
        <w:tab/>
        <w:t>zamyka księgi rachunkowe Platformy na dzień 31 grudnia 2024 r.;</w:t>
      </w:r>
    </w:p>
    <w:p w14:paraId="2D318E1C" w14:textId="77777777" w:rsidR="00944EB6" w:rsidRDefault="00944EB6" w:rsidP="00944EB6">
      <w:pPr>
        <w:pStyle w:val="PKTpunkt"/>
      </w:pPr>
      <w:r>
        <w:t>3)</w:t>
      </w:r>
      <w:r>
        <w:tab/>
      </w:r>
      <w:r w:rsidRPr="008B4CB7">
        <w:t xml:space="preserve">sporządza </w:t>
      </w:r>
      <w:r w:rsidRPr="00C25640">
        <w:t xml:space="preserve">końcowe sprawozdanie finansowe oraz sprawozdanie z działalności Platformy </w:t>
      </w:r>
      <w:r>
        <w:t xml:space="preserve">za okres od dnia 1 stycznia do dnia 31 grudnia 2024 r. i </w:t>
      </w:r>
      <w:r w:rsidRPr="00D1348C">
        <w:t xml:space="preserve">przedstawia </w:t>
      </w:r>
      <w:r>
        <w:t xml:space="preserve">je </w:t>
      </w:r>
      <w:r w:rsidRPr="00D1348C">
        <w:t>do zatwierdzenia</w:t>
      </w:r>
      <w:r>
        <w:t xml:space="preserve"> </w:t>
      </w:r>
      <w:r w:rsidRPr="00D1348C">
        <w:t xml:space="preserve">ministrowi właściwemu do spraw rozwoju regionalnego </w:t>
      </w:r>
      <w:r>
        <w:t>do dnia 31 stycznia 2025 r.;</w:t>
      </w:r>
    </w:p>
    <w:p w14:paraId="6125A5C1" w14:textId="5A0D00CC" w:rsidR="00944EB6" w:rsidRPr="00D1348C" w:rsidRDefault="00944EB6" w:rsidP="00944EB6">
      <w:pPr>
        <w:pStyle w:val="PKTpunkt"/>
      </w:pPr>
      <w:r>
        <w:t>4)</w:t>
      </w:r>
      <w:r>
        <w:tab/>
        <w:t xml:space="preserve">niezwłocznie po zatwierdzeniu sprawozdań, o których mowa w pkt 3, </w:t>
      </w:r>
      <w:r w:rsidRPr="00D1348C">
        <w:t xml:space="preserve">składa </w:t>
      </w:r>
      <w:r w:rsidR="00A40E6D">
        <w:t xml:space="preserve">do </w:t>
      </w:r>
      <w:r>
        <w:t>właściwe</w:t>
      </w:r>
      <w:r w:rsidR="00A40E6D">
        <w:t>go</w:t>
      </w:r>
      <w:r>
        <w:t xml:space="preserve"> </w:t>
      </w:r>
      <w:r w:rsidRPr="00D1348C">
        <w:t>sąd</w:t>
      </w:r>
      <w:r w:rsidR="00A40E6D">
        <w:t>u</w:t>
      </w:r>
      <w:r w:rsidRPr="00D1348C">
        <w:t xml:space="preserve"> rejestrowe</w:t>
      </w:r>
      <w:r w:rsidR="00A40E6D">
        <w:t>go</w:t>
      </w:r>
      <w:r w:rsidRPr="00D1348C">
        <w:t xml:space="preserve"> wniosek o wykreślenie Platformy z Krajowego Rejestru Sądowego.</w:t>
      </w:r>
    </w:p>
    <w:p w14:paraId="7C54D84B" w14:textId="77777777" w:rsidR="00944EB6" w:rsidRDefault="00944EB6" w:rsidP="00944EB6">
      <w:pPr>
        <w:pStyle w:val="ARTartustawynprozporzdzenia"/>
      </w:pPr>
      <w:r w:rsidRPr="00910AFD">
        <w:rPr>
          <w:rStyle w:val="Ppogrubienie"/>
        </w:rPr>
        <w:t>Art.</w:t>
      </w:r>
      <w:r>
        <w:rPr>
          <w:rStyle w:val="Ppogrubienie"/>
        </w:rPr>
        <w:t> 4</w:t>
      </w:r>
      <w:r w:rsidRPr="00910AFD">
        <w:rPr>
          <w:rStyle w:val="Ppogrubienie"/>
        </w:rPr>
        <w:t>.</w:t>
      </w:r>
      <w:r>
        <w:t> </w:t>
      </w:r>
      <w:r w:rsidRPr="00D1348C">
        <w:t>1.</w:t>
      </w:r>
      <w:r>
        <w:t> Z dniem 1 stycznia 2025 r. PARP</w:t>
      </w:r>
      <w:r w:rsidRPr="00F115FF">
        <w:t xml:space="preserve"> przejmuje</w:t>
      </w:r>
      <w:r>
        <w:t>:</w:t>
      </w:r>
    </w:p>
    <w:p w14:paraId="5DFAA6C3" w14:textId="468966FE" w:rsidR="00944EB6" w:rsidRDefault="00944EB6" w:rsidP="00944EB6">
      <w:pPr>
        <w:pStyle w:val="PKTpunkt"/>
      </w:pPr>
      <w:r>
        <w:t>1)</w:t>
      </w:r>
      <w:r>
        <w:tab/>
      </w:r>
      <w:r w:rsidRPr="00F115FF">
        <w:t>mienie Platformy</w:t>
      </w:r>
      <w:r>
        <w:t>, w tym jej dokume</w:t>
      </w:r>
      <w:r w:rsidR="008C543E">
        <w:t>nty</w:t>
      </w:r>
      <w:r>
        <w:t>;</w:t>
      </w:r>
    </w:p>
    <w:p w14:paraId="73DC67DF" w14:textId="1E5EF395" w:rsidR="00944EB6" w:rsidRDefault="00944EB6" w:rsidP="00944EB6">
      <w:pPr>
        <w:pStyle w:val="PKTpunkt"/>
      </w:pPr>
      <w:r>
        <w:t>2)</w:t>
      </w:r>
      <w:r>
        <w:tab/>
      </w:r>
      <w:r w:rsidRPr="00F115FF">
        <w:t>zobowiązania</w:t>
      </w:r>
      <w:r>
        <w:t xml:space="preserve"> </w:t>
      </w:r>
      <w:r w:rsidR="008C543E">
        <w:t xml:space="preserve">oraz wierzytelności </w:t>
      </w:r>
      <w:r>
        <w:t>Platformy.</w:t>
      </w:r>
    </w:p>
    <w:p w14:paraId="6989B877" w14:textId="77777777" w:rsidR="00944EB6" w:rsidRDefault="00944EB6" w:rsidP="00944EB6">
      <w:pPr>
        <w:pStyle w:val="USTustnpkodeksu"/>
      </w:pPr>
      <w:r>
        <w:t>2</w:t>
      </w:r>
      <w:r w:rsidRPr="00D1348C">
        <w:t>.</w:t>
      </w:r>
      <w:r>
        <w:t xml:space="preserve"> Z dniem 1 stycznia 2025 r. PARP staje się </w:t>
      </w:r>
      <w:r w:rsidRPr="00D1348C">
        <w:t>stroną umów</w:t>
      </w:r>
      <w:r>
        <w:t xml:space="preserve"> i porozumień zawartych przez Platformę</w:t>
      </w:r>
      <w:r w:rsidRPr="00D1348C">
        <w:t>.</w:t>
      </w:r>
      <w:r w:rsidRPr="00393392">
        <w:t xml:space="preserve"> </w:t>
      </w:r>
    </w:p>
    <w:p w14:paraId="6376A125" w14:textId="77777777" w:rsidR="00944EB6" w:rsidRDefault="00944EB6" w:rsidP="00944EB6">
      <w:pPr>
        <w:pStyle w:val="USTustnpkodeksu"/>
      </w:pPr>
      <w:r>
        <w:t>3</w:t>
      </w:r>
      <w:r w:rsidRPr="00636353">
        <w:t>.</w:t>
      </w:r>
      <w:r>
        <w:t> </w:t>
      </w:r>
      <w:r w:rsidRPr="00636353">
        <w:t>Wartość księgowa netto środków trwałych, wartości niematerialnych i prawnych oraz innych składników mienia przejętego od Platformy powiększa fundusz statutowy PARP</w:t>
      </w:r>
      <w:r>
        <w:t>.</w:t>
      </w:r>
    </w:p>
    <w:p w14:paraId="5910E234" w14:textId="77777777" w:rsidR="00944EB6" w:rsidRPr="00393392" w:rsidRDefault="00944EB6" w:rsidP="00944EB6">
      <w:pPr>
        <w:pStyle w:val="USTustnpkodeksu"/>
      </w:pPr>
      <w:r>
        <w:t>4. PARP jest zwolniona z podatków i innych danin publicznych z tytułu przejęcia mienia Platformy.</w:t>
      </w:r>
    </w:p>
    <w:p w14:paraId="77C2D5F4" w14:textId="77777777" w:rsidR="00944EB6" w:rsidRPr="008D7058" w:rsidRDefault="00944EB6" w:rsidP="00944EB6">
      <w:pPr>
        <w:pStyle w:val="ARTartustawynprozporzdzenia"/>
      </w:pPr>
      <w:r w:rsidRPr="008D7058">
        <w:rPr>
          <w:rStyle w:val="Ppogrubienie"/>
        </w:rPr>
        <w:t>Art.</w:t>
      </w:r>
      <w:r>
        <w:rPr>
          <w:rStyle w:val="Ppogrubienie"/>
        </w:rPr>
        <w:t> 5</w:t>
      </w:r>
      <w:r w:rsidRPr="008D7058">
        <w:rPr>
          <w:rStyle w:val="Ppogrubienie"/>
        </w:rPr>
        <w:t>.</w:t>
      </w:r>
      <w:r>
        <w:t> 1. </w:t>
      </w:r>
      <w:r w:rsidRPr="008D7058">
        <w:t xml:space="preserve">Z </w:t>
      </w:r>
      <w:bookmarkStart w:id="2" w:name="_Hlk170906746"/>
      <w:r>
        <w:t xml:space="preserve">dniem 1 stycznia 2025 r. </w:t>
      </w:r>
      <w:r w:rsidRPr="008D7058">
        <w:t>pracownicy Platformy stają się pracownikami PARP</w:t>
      </w:r>
      <w:bookmarkEnd w:id="2"/>
      <w:r>
        <w:t>.</w:t>
      </w:r>
      <w:r w:rsidRPr="008D7058">
        <w:t xml:space="preserve"> </w:t>
      </w:r>
      <w:bookmarkStart w:id="3" w:name="_Hlk170906809"/>
      <w:r>
        <w:t>P</w:t>
      </w:r>
      <w:r w:rsidRPr="008D7058">
        <w:t>rzepis</w:t>
      </w:r>
      <w:r>
        <w:t xml:space="preserve">y </w:t>
      </w:r>
      <w:r w:rsidRPr="008D7058">
        <w:t>art. 23</w:t>
      </w:r>
      <w:r w:rsidRPr="00E8317C">
        <w:rPr>
          <w:rStyle w:val="IGindeksgrny"/>
        </w:rPr>
        <w:t>1</w:t>
      </w:r>
      <w:r>
        <w:t xml:space="preserve"> </w:t>
      </w:r>
      <w:r w:rsidRPr="008D7058">
        <w:t>ustawy z dnia 26 czerwca 1974 r. – Kodeks</w:t>
      </w:r>
      <w:r>
        <w:t xml:space="preserve"> </w:t>
      </w:r>
      <w:r w:rsidRPr="008D7058">
        <w:t>pracy</w:t>
      </w:r>
      <w:r>
        <w:t xml:space="preserve"> </w:t>
      </w:r>
      <w:r w:rsidRPr="008D7058">
        <w:t>(Dz. U. z 2023 r.</w:t>
      </w:r>
      <w:r>
        <w:t xml:space="preserve"> </w:t>
      </w:r>
      <w:r w:rsidRPr="008D7058">
        <w:t>poz.</w:t>
      </w:r>
      <w:r>
        <w:t xml:space="preserve"> </w:t>
      </w:r>
      <w:r w:rsidRPr="008D7058">
        <w:t>1465</w:t>
      </w:r>
      <w:r>
        <w:t xml:space="preserve"> </w:t>
      </w:r>
      <w:r w:rsidRPr="008D7058">
        <w:t>oraz z 2024 r. poz. 878</w:t>
      </w:r>
      <w:r>
        <w:t xml:space="preserve"> i 1222</w:t>
      </w:r>
      <w:r w:rsidRPr="008D7058">
        <w:t>)</w:t>
      </w:r>
      <w:bookmarkEnd w:id="3"/>
      <w:r w:rsidRPr="008D7058">
        <w:t xml:space="preserve"> stosuje się odpowiednio. </w:t>
      </w:r>
    </w:p>
    <w:p w14:paraId="0896F585" w14:textId="77777777" w:rsidR="00944EB6" w:rsidRPr="008D7058" w:rsidRDefault="00944EB6" w:rsidP="00944EB6">
      <w:pPr>
        <w:pStyle w:val="USTustnpkodeksu"/>
      </w:pPr>
      <w:r w:rsidRPr="008D7058">
        <w:lastRenderedPageBreak/>
        <w:t>2.</w:t>
      </w:r>
      <w:r>
        <w:t> </w:t>
      </w:r>
      <w:r w:rsidRPr="008D7058">
        <w:t>Stosunki</w:t>
      </w:r>
      <w:r>
        <w:t xml:space="preserve"> </w:t>
      </w:r>
      <w:r w:rsidRPr="008D7058">
        <w:t>pracy</w:t>
      </w:r>
      <w:r>
        <w:t xml:space="preserve"> </w:t>
      </w:r>
      <w:r w:rsidRPr="008D7058">
        <w:t>z pracownikami, o których mowa w ust. 1,</w:t>
      </w:r>
      <w:r>
        <w:t xml:space="preserve"> wygasają </w:t>
      </w:r>
      <w:bookmarkStart w:id="4" w:name="_Hlk170907344"/>
      <w:r>
        <w:t>z dniem 31 marca 2025 r.</w:t>
      </w:r>
      <w:r w:rsidRPr="008D7058">
        <w:t>,</w:t>
      </w:r>
      <w:r>
        <w:t xml:space="preserve"> </w:t>
      </w:r>
      <w:r w:rsidRPr="008D7058">
        <w:t>jeżeli</w:t>
      </w:r>
      <w:r>
        <w:t xml:space="preserve"> przed tym dniem </w:t>
      </w:r>
      <w:r w:rsidRPr="008D7058">
        <w:t>nie zostaną im zaproponowane nowe warunki</w:t>
      </w:r>
      <w:r>
        <w:t xml:space="preserve"> </w:t>
      </w:r>
      <w:r w:rsidRPr="008D7058">
        <w:t>pracy</w:t>
      </w:r>
      <w:r>
        <w:t xml:space="preserve"> </w:t>
      </w:r>
      <w:r w:rsidRPr="008D7058">
        <w:t>lub płacy albo w razie odmowy przyjęcia nowych warunków pracy lub płacy</w:t>
      </w:r>
      <w:bookmarkEnd w:id="4"/>
      <w:r w:rsidRPr="008D7058">
        <w:t>.</w:t>
      </w:r>
    </w:p>
    <w:p w14:paraId="225596CE" w14:textId="77777777" w:rsidR="00944EB6" w:rsidRDefault="00944EB6" w:rsidP="00944EB6">
      <w:pPr>
        <w:pStyle w:val="USTustnpkodeksu"/>
      </w:pPr>
      <w:r w:rsidRPr="008D7058">
        <w:t>3.</w:t>
      </w:r>
      <w:r>
        <w:t> </w:t>
      </w:r>
      <w:bookmarkStart w:id="5" w:name="_Hlk170908423"/>
      <w:r w:rsidRPr="008D7058">
        <w:t xml:space="preserve">W terminie </w:t>
      </w:r>
      <w:r>
        <w:t xml:space="preserve">30 dni </w:t>
      </w:r>
      <w:r w:rsidRPr="008D7058">
        <w:t xml:space="preserve">od </w:t>
      </w:r>
      <w:r>
        <w:t xml:space="preserve">dnia </w:t>
      </w:r>
      <w:r w:rsidRPr="008D7058">
        <w:t>otrzymania propozycji nowych warunków</w:t>
      </w:r>
      <w:r>
        <w:t xml:space="preserve"> </w:t>
      </w:r>
      <w:r w:rsidRPr="008D7058">
        <w:t>pracy</w:t>
      </w:r>
      <w:r>
        <w:t xml:space="preserve"> </w:t>
      </w:r>
      <w:r w:rsidRPr="008D7058">
        <w:t xml:space="preserve">lub płacy pracownik składa oświadczenie woli o </w:t>
      </w:r>
      <w:r>
        <w:t xml:space="preserve">ich </w:t>
      </w:r>
      <w:r w:rsidRPr="008D7058">
        <w:t xml:space="preserve">przyjęciu albo odmowie </w:t>
      </w:r>
      <w:r>
        <w:t xml:space="preserve">ich </w:t>
      </w:r>
      <w:r w:rsidRPr="008D7058">
        <w:t>przyjęcia. Niezłożenie oświadczenia woli uważa się za odmowę przyjęcia nowych warunków pracy lub płacy.</w:t>
      </w:r>
      <w:bookmarkEnd w:id="5"/>
      <w:r>
        <w:t xml:space="preserve"> </w:t>
      </w:r>
    </w:p>
    <w:p w14:paraId="48872C1C" w14:textId="77777777" w:rsidR="00944EB6" w:rsidRPr="00EA5F57" w:rsidRDefault="00944EB6" w:rsidP="00944EB6">
      <w:pPr>
        <w:pStyle w:val="USTustnpkodeksu"/>
      </w:pPr>
      <w:r>
        <w:t>4. </w:t>
      </w:r>
      <w:r w:rsidRPr="00EA5F57">
        <w:t>W przypadku gdy odmowa przyjęcia przez pracownika nowych warunków pracy lub płacy następuje po dniu 31 marca 2025 r., stosunek pracy wygasa z dniem odmowy przyjęcia tych warunków albo, w razie niezłożenia oświadczenia woli o ich przyjęciu albo odmowie ich przyjęcia, z dniem upływu terminu, o którym mowa w ust. 3.</w:t>
      </w:r>
    </w:p>
    <w:p w14:paraId="04B40EC2" w14:textId="77777777" w:rsidR="00944EB6" w:rsidRPr="008D7058" w:rsidRDefault="00944EB6" w:rsidP="00944EB6">
      <w:pPr>
        <w:pStyle w:val="USTustnpkodeksu"/>
      </w:pPr>
      <w:r>
        <w:t>5</w:t>
      </w:r>
      <w:r w:rsidRPr="008D7058">
        <w:t>.</w:t>
      </w:r>
      <w:r>
        <w:t> </w:t>
      </w:r>
      <w:bookmarkStart w:id="6" w:name="_Hlk170908610"/>
      <w:r w:rsidRPr="008D7058">
        <w:t>W przypadku</w:t>
      </w:r>
      <w:r>
        <w:t xml:space="preserve"> wygaśnięcia </w:t>
      </w:r>
      <w:r w:rsidRPr="008D7058">
        <w:t>stosunków</w:t>
      </w:r>
      <w:r>
        <w:t xml:space="preserve"> </w:t>
      </w:r>
      <w:r w:rsidRPr="008D7058">
        <w:t>pracy na podstawie ust. 2</w:t>
      </w:r>
      <w:r>
        <w:t xml:space="preserve"> lub 4</w:t>
      </w:r>
      <w:r w:rsidRPr="008D7058">
        <w:t xml:space="preserve"> pracownikom przysługują świadczenia przewidziane dla pracowników, z którymi stosunki pracy rozwiązuje się z powodu likwidacji pracodawcy</w:t>
      </w:r>
      <w:bookmarkEnd w:id="6"/>
      <w:r w:rsidRPr="008D7058">
        <w:t>.</w:t>
      </w:r>
    </w:p>
    <w:p w14:paraId="0AA6E120" w14:textId="77777777" w:rsidR="00944EB6" w:rsidRDefault="00944EB6" w:rsidP="00944EB6">
      <w:pPr>
        <w:pStyle w:val="ARTartustawynprozporzdzenia"/>
      </w:pPr>
      <w:r w:rsidRPr="00910AFD">
        <w:rPr>
          <w:rStyle w:val="Ppogrubienie"/>
        </w:rPr>
        <w:t>Art.</w:t>
      </w:r>
      <w:r>
        <w:rPr>
          <w:rStyle w:val="Ppogrubienie"/>
        </w:rPr>
        <w:t> 6.</w:t>
      </w:r>
      <w:r>
        <w:t> </w:t>
      </w:r>
      <w:r w:rsidRPr="00D1348C">
        <w:t>W ustawie z dnia 16 grudnia 2016 r. o zasadach zarządzania mieniem państwowym (Dz. U. z 2024 r. poz. 125</w:t>
      </w:r>
      <w:r w:rsidRPr="00697EB9">
        <w:t xml:space="preserve"> </w:t>
      </w:r>
      <w:r>
        <w:t>i</w:t>
      </w:r>
      <w:r w:rsidRPr="00697EB9">
        <w:t xml:space="preserve"> 834</w:t>
      </w:r>
      <w:r w:rsidRPr="00D1348C">
        <w:t>) w art. 3 w ust. 1 uchyla się pkt 32.</w:t>
      </w:r>
    </w:p>
    <w:p w14:paraId="3F174864" w14:textId="77777777" w:rsidR="00944EB6" w:rsidRPr="00F621FD" w:rsidRDefault="00944EB6" w:rsidP="00944EB6">
      <w:pPr>
        <w:pStyle w:val="ARTartustawynprozporzdzenia"/>
      </w:pPr>
      <w:r w:rsidRPr="008C21A8">
        <w:rPr>
          <w:rStyle w:val="Ppogrubienie"/>
        </w:rPr>
        <w:t>Art.</w:t>
      </w:r>
      <w:r>
        <w:rPr>
          <w:rStyle w:val="Ppogrubienie"/>
        </w:rPr>
        <w:t> 7</w:t>
      </w:r>
      <w:r w:rsidRPr="00F621FD">
        <w:t>.</w:t>
      </w:r>
      <w:r>
        <w:t> </w:t>
      </w:r>
      <w:r w:rsidRPr="00F621FD">
        <w:t>1.</w:t>
      </w:r>
      <w:r>
        <w:t> </w:t>
      </w:r>
      <w:r w:rsidRPr="00F621FD">
        <w:t>W latach 2025–2034 maksymalny limit wydatków budżetu państwa na zadania, o których mowa w art. 1</w:t>
      </w:r>
      <w:r>
        <w:t xml:space="preserve"> ust. 3</w:t>
      </w:r>
      <w:r w:rsidRPr="00F621FD">
        <w:t xml:space="preserve">, wynosi </w:t>
      </w:r>
      <w:r>
        <w:t>173 000 000 zł,</w:t>
      </w:r>
      <w:r w:rsidRPr="00F621FD">
        <w:t xml:space="preserve"> w tym w: </w:t>
      </w:r>
    </w:p>
    <w:p w14:paraId="7B40EDE8" w14:textId="77777777" w:rsidR="00944EB6" w:rsidRPr="00F621FD" w:rsidRDefault="00944EB6" w:rsidP="00944EB6">
      <w:pPr>
        <w:pStyle w:val="PKTpunkt"/>
      </w:pPr>
      <w:r w:rsidRPr="00F621FD">
        <w:t xml:space="preserve">1) </w:t>
      </w:r>
      <w:r>
        <w:tab/>
      </w:r>
      <w:r w:rsidRPr="00F621FD">
        <w:t xml:space="preserve">2025 r. – </w:t>
      </w:r>
      <w:r>
        <w:t>13 000 000 zł</w:t>
      </w:r>
      <w:r w:rsidRPr="00F621FD">
        <w:t>;</w:t>
      </w:r>
    </w:p>
    <w:p w14:paraId="04F3C55C" w14:textId="77777777" w:rsidR="00944EB6" w:rsidRPr="00F621FD" w:rsidRDefault="00944EB6" w:rsidP="00944EB6">
      <w:pPr>
        <w:pStyle w:val="PKTpunkt"/>
      </w:pPr>
      <w:r w:rsidRPr="00F621FD">
        <w:t xml:space="preserve">2) </w:t>
      </w:r>
      <w:r>
        <w:tab/>
      </w:r>
      <w:r w:rsidRPr="00F621FD">
        <w:t xml:space="preserve">2026 r. – </w:t>
      </w:r>
      <w:r>
        <w:t>13 000 000 zł</w:t>
      </w:r>
      <w:r w:rsidRPr="00F621FD">
        <w:t>;</w:t>
      </w:r>
    </w:p>
    <w:p w14:paraId="16E71970" w14:textId="77777777" w:rsidR="00944EB6" w:rsidRPr="00F621FD" w:rsidRDefault="00944EB6" w:rsidP="00944EB6">
      <w:pPr>
        <w:pStyle w:val="PKTpunkt"/>
      </w:pPr>
      <w:r w:rsidRPr="00F621FD">
        <w:t xml:space="preserve">3) </w:t>
      </w:r>
      <w:r>
        <w:tab/>
      </w:r>
      <w:r w:rsidRPr="00F621FD">
        <w:t xml:space="preserve">2027 r. – </w:t>
      </w:r>
      <w:r>
        <w:t>15 000 000 zł</w:t>
      </w:r>
      <w:r w:rsidRPr="00F621FD">
        <w:t>;</w:t>
      </w:r>
    </w:p>
    <w:p w14:paraId="3AC7AE50" w14:textId="77777777" w:rsidR="00944EB6" w:rsidRPr="00F621FD" w:rsidRDefault="00944EB6" w:rsidP="00944EB6">
      <w:pPr>
        <w:pStyle w:val="PKTpunkt"/>
      </w:pPr>
      <w:r w:rsidRPr="00F621FD">
        <w:t xml:space="preserve">4) </w:t>
      </w:r>
      <w:r>
        <w:tab/>
      </w:r>
      <w:r w:rsidRPr="00F621FD">
        <w:t xml:space="preserve">2028 r. – </w:t>
      </w:r>
      <w:r>
        <w:t>15 000 000 zł</w:t>
      </w:r>
      <w:r w:rsidRPr="00F621FD">
        <w:t>;</w:t>
      </w:r>
    </w:p>
    <w:p w14:paraId="1976F7A0" w14:textId="77777777" w:rsidR="00944EB6" w:rsidRPr="00F621FD" w:rsidRDefault="00944EB6" w:rsidP="00944EB6">
      <w:pPr>
        <w:pStyle w:val="PKTpunkt"/>
      </w:pPr>
      <w:r w:rsidRPr="00F621FD">
        <w:t xml:space="preserve">5) </w:t>
      </w:r>
      <w:r>
        <w:tab/>
      </w:r>
      <w:r w:rsidRPr="00F621FD">
        <w:t xml:space="preserve">2029 r. – </w:t>
      </w:r>
      <w:r>
        <w:t>17 000 000 zł</w:t>
      </w:r>
      <w:r w:rsidRPr="00F621FD">
        <w:t>;</w:t>
      </w:r>
    </w:p>
    <w:p w14:paraId="04067053" w14:textId="77777777" w:rsidR="00944EB6" w:rsidRPr="00F621FD" w:rsidRDefault="00944EB6" w:rsidP="00944EB6">
      <w:pPr>
        <w:pStyle w:val="PKTpunkt"/>
      </w:pPr>
      <w:r w:rsidRPr="00F621FD">
        <w:t>6)</w:t>
      </w:r>
      <w:r>
        <w:tab/>
      </w:r>
      <w:r w:rsidRPr="00F621FD">
        <w:t xml:space="preserve">2030 r. – </w:t>
      </w:r>
      <w:r>
        <w:t>18 000 000 zł;</w:t>
      </w:r>
    </w:p>
    <w:p w14:paraId="060FC04D" w14:textId="77777777" w:rsidR="00944EB6" w:rsidRPr="00F621FD" w:rsidRDefault="00944EB6" w:rsidP="00944EB6">
      <w:pPr>
        <w:pStyle w:val="PKTpunkt"/>
      </w:pPr>
      <w:r w:rsidRPr="00F621FD">
        <w:t>7)</w:t>
      </w:r>
      <w:r>
        <w:tab/>
      </w:r>
      <w:r w:rsidRPr="00F621FD">
        <w:t xml:space="preserve">2031 r. – </w:t>
      </w:r>
      <w:r>
        <w:t>19 000 000 zł;</w:t>
      </w:r>
    </w:p>
    <w:p w14:paraId="2550FA87" w14:textId="77777777" w:rsidR="00944EB6" w:rsidRPr="00F621FD" w:rsidRDefault="00944EB6" w:rsidP="00944EB6">
      <w:pPr>
        <w:pStyle w:val="PKTpunkt"/>
      </w:pPr>
      <w:r w:rsidRPr="00F621FD">
        <w:t>8)</w:t>
      </w:r>
      <w:r>
        <w:tab/>
      </w:r>
      <w:r w:rsidRPr="00F621FD">
        <w:t xml:space="preserve">2032 r. – </w:t>
      </w:r>
      <w:r>
        <w:t>20 000 000 zł;</w:t>
      </w:r>
    </w:p>
    <w:p w14:paraId="2EA7DB7F" w14:textId="77777777" w:rsidR="00944EB6" w:rsidRPr="00F621FD" w:rsidRDefault="00944EB6" w:rsidP="00944EB6">
      <w:pPr>
        <w:pStyle w:val="PKTpunkt"/>
      </w:pPr>
      <w:r w:rsidRPr="00F621FD">
        <w:t>9)</w:t>
      </w:r>
      <w:r>
        <w:tab/>
      </w:r>
      <w:r w:rsidRPr="00F621FD">
        <w:t xml:space="preserve">2033 r. – </w:t>
      </w:r>
      <w:r>
        <w:t>21 000 000 zł;</w:t>
      </w:r>
    </w:p>
    <w:p w14:paraId="789C516E" w14:textId="77777777" w:rsidR="00944EB6" w:rsidRDefault="00944EB6" w:rsidP="00944EB6">
      <w:pPr>
        <w:pStyle w:val="PKTpunkt"/>
      </w:pPr>
      <w:r w:rsidRPr="00F621FD">
        <w:t>10)</w:t>
      </w:r>
      <w:r>
        <w:tab/>
      </w:r>
      <w:r w:rsidRPr="00F621FD">
        <w:t xml:space="preserve">2034 r. – </w:t>
      </w:r>
      <w:r>
        <w:t>22 000 000 zł.</w:t>
      </w:r>
    </w:p>
    <w:p w14:paraId="1FECCEF1" w14:textId="77777777" w:rsidR="00944EB6" w:rsidRPr="00F621FD" w:rsidRDefault="00944EB6" w:rsidP="00944EB6">
      <w:pPr>
        <w:pStyle w:val="USTustnpkodeksu"/>
      </w:pPr>
      <w:r>
        <w:t>2</w:t>
      </w:r>
      <w:r w:rsidRPr="00F621FD">
        <w:t>.</w:t>
      </w:r>
      <w:r>
        <w:t> </w:t>
      </w:r>
      <w:bookmarkStart w:id="7" w:name="_Hlk180408551"/>
      <w:r w:rsidRPr="00F621FD">
        <w:t>W przypadku przekroczenia lub zagrożenia przekroczeniem limitu wydatków, o</w:t>
      </w:r>
      <w:r>
        <w:t> </w:t>
      </w:r>
      <w:r w:rsidRPr="00F621FD">
        <w:t>którym mowa w ust. 1, przyjętego na dany rok budżetowy, zostanie zastosowany mechanizm korygujący, polegający na obniżeniu kosztów realizacji zadań.</w:t>
      </w:r>
    </w:p>
    <w:bookmarkEnd w:id="7"/>
    <w:p w14:paraId="5ACBAF44" w14:textId="77777777" w:rsidR="00944EB6" w:rsidRDefault="00944EB6" w:rsidP="00944EB6">
      <w:pPr>
        <w:pStyle w:val="USTustnpkodeksu"/>
      </w:pPr>
      <w:r>
        <w:lastRenderedPageBreak/>
        <w:t>3</w:t>
      </w:r>
      <w:r w:rsidRPr="00F621FD">
        <w:t>.</w:t>
      </w:r>
      <w:r>
        <w:t> </w:t>
      </w:r>
      <w:r w:rsidRPr="00F621FD">
        <w:t xml:space="preserve">Organem właściwym do monitorowania wykorzystania limitu wydatków, o którym mowa w ust. 1, oraz wdrożenia mechanizmu korygującego, o którym mowa w ust. </w:t>
      </w:r>
      <w:r>
        <w:t>2</w:t>
      </w:r>
      <w:r w:rsidRPr="00F621FD">
        <w:t>, jest minister właściwy do spraw rozwoju regionalnego.</w:t>
      </w:r>
    </w:p>
    <w:p w14:paraId="530FBAFD" w14:textId="77777777" w:rsidR="00944EB6" w:rsidRPr="00D1348C" w:rsidRDefault="00944EB6" w:rsidP="00944EB6">
      <w:pPr>
        <w:pStyle w:val="ARTartustawynprozporzdzenia"/>
      </w:pPr>
      <w:bookmarkStart w:id="8" w:name="_Hlk156513216"/>
      <w:r w:rsidRPr="00910AFD">
        <w:rPr>
          <w:rStyle w:val="Ppogrubienie"/>
        </w:rPr>
        <w:t>Art.</w:t>
      </w:r>
      <w:r>
        <w:rPr>
          <w:rStyle w:val="Ppogrubienie"/>
        </w:rPr>
        <w:t> 8</w:t>
      </w:r>
      <w:r w:rsidRPr="00910AFD">
        <w:rPr>
          <w:rStyle w:val="Ppogrubienie"/>
        </w:rPr>
        <w:t>.</w:t>
      </w:r>
      <w:r>
        <w:t> T</w:t>
      </w:r>
      <w:r w:rsidRPr="00D1348C">
        <w:t>raci moc ustawa z dnia 17 stycznia 2019 r. o Fundacji Platforma Przemysłu Przyszłości</w:t>
      </w:r>
      <w:bookmarkEnd w:id="8"/>
      <w:r>
        <w:t>.</w:t>
      </w:r>
    </w:p>
    <w:p w14:paraId="16480701" w14:textId="38A7B86B" w:rsidR="00944EB6" w:rsidRPr="0065078A" w:rsidRDefault="00944EB6" w:rsidP="008C543E">
      <w:pPr>
        <w:pStyle w:val="ARTartustawynprozporzdzenia"/>
      </w:pPr>
      <w:r w:rsidRPr="00910AFD">
        <w:rPr>
          <w:rStyle w:val="Ppogrubienie"/>
        </w:rPr>
        <w:t>Art.</w:t>
      </w:r>
      <w:r>
        <w:rPr>
          <w:rStyle w:val="Ppogrubienie"/>
        </w:rPr>
        <w:t> 9</w:t>
      </w:r>
      <w:r w:rsidRPr="00910AFD">
        <w:rPr>
          <w:rStyle w:val="Ppogrubienie"/>
        </w:rPr>
        <w:t>.</w:t>
      </w:r>
      <w:r>
        <w:t> </w:t>
      </w:r>
      <w:r w:rsidR="008C543E" w:rsidRPr="008C543E">
        <w:t>Ustawa wchodzi w życie z dniem następującym po dniu ogłoszenia, z wyjątkiem art. 6 i art. 8, które wchodzą w życie z dniem 1 stycznia 2025 r.</w:t>
      </w:r>
    </w:p>
    <w:p w14:paraId="64417A31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5F534" w14:textId="77777777" w:rsidR="00494766" w:rsidRDefault="00494766">
      <w:r>
        <w:separator/>
      </w:r>
    </w:p>
  </w:endnote>
  <w:endnote w:type="continuationSeparator" w:id="0">
    <w:p w14:paraId="666ED302" w14:textId="77777777" w:rsidR="00494766" w:rsidRDefault="0049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4F782" w14:textId="77777777" w:rsidR="00494766" w:rsidRDefault="00494766">
      <w:r>
        <w:separator/>
      </w:r>
    </w:p>
  </w:footnote>
  <w:footnote w:type="continuationSeparator" w:id="0">
    <w:p w14:paraId="2C47AE6C" w14:textId="77777777" w:rsidR="00494766" w:rsidRDefault="00494766">
      <w:r>
        <w:continuationSeparator/>
      </w:r>
    </w:p>
  </w:footnote>
  <w:footnote w:id="1">
    <w:p w14:paraId="33FA6BBF" w14:textId="544D5D97" w:rsidR="00944EB6" w:rsidRDefault="00944EB6" w:rsidP="00944EB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D96F33">
        <w:t>Niniejszą ustawą zmienia się ustaw</w:t>
      </w:r>
      <w:r>
        <w:t>ę</w:t>
      </w:r>
      <w:r w:rsidRPr="00D96F33">
        <w:t xml:space="preserve"> z dnia 16 grudnia 2016 r. o zasadach zarządzania mieniem państwowym</w:t>
      </w:r>
      <w:r w:rsidR="009C3216">
        <w:t xml:space="preserve"> oraz uchyla się ustawę z dnia 17 stycznia 2019 r. o Fundacji Platforma Przemysłu Przyszłości.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857D2" w14:textId="0AB9F65F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477644">
      <w:rPr>
        <w:rStyle w:val="Ppogrubienie"/>
        <w:noProof/>
      </w:rPr>
      <w:t>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51925">
      <w:rPr>
        <w:rStyle w:val="Ppogrubienie"/>
        <w:noProof/>
      </w:rPr>
      <w:t>2024-11-08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51925">
          <w:rPr>
            <w:rStyle w:val="Ppogrubienie"/>
            <w:noProof/>
          </w:rPr>
          <w:t>V1_2561-0.PK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477644">
          <w:rPr>
            <w:rStyle w:val="Ppogrubienie"/>
            <w:noProof/>
          </w:rPr>
          <w:t>4</w:t>
        </w:r>
        <w:r w:rsidRPr="00084E7F">
          <w:rPr>
            <w:rStyle w:val="Ppogrubienie"/>
          </w:rPr>
          <w:fldChar w:fldCharType="end"/>
        </w:r>
      </w:sdtContent>
    </w:sdt>
  </w:p>
  <w:p w14:paraId="44CDC711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2BEB3EB" wp14:editId="1909230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44EB6">
      <w:rPr>
        <w:rStyle w:val="Ppogrubienie"/>
      </w:rPr>
      <w:t xml:space="preserve"> 763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1C901" w14:textId="166910B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51925">
      <w:rPr>
        <w:rStyle w:val="Ppogrubienie"/>
        <w:noProof/>
      </w:rPr>
      <w:t>2024-11-08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51925">
          <w:rPr>
            <w:rStyle w:val="Ppogrubienie"/>
            <w:noProof/>
          </w:rPr>
          <w:t>V1_2561-0.PK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4D9237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908EBF" wp14:editId="5AC0DD6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095116">
    <w:abstractNumId w:val="24"/>
  </w:num>
  <w:num w:numId="2" w16cid:durableId="1623999657">
    <w:abstractNumId w:val="24"/>
  </w:num>
  <w:num w:numId="3" w16cid:durableId="1890343234">
    <w:abstractNumId w:val="19"/>
  </w:num>
  <w:num w:numId="4" w16cid:durableId="180509330">
    <w:abstractNumId w:val="19"/>
  </w:num>
  <w:num w:numId="5" w16cid:durableId="1256329088">
    <w:abstractNumId w:val="38"/>
  </w:num>
  <w:num w:numId="6" w16cid:durableId="1340742212">
    <w:abstractNumId w:val="34"/>
  </w:num>
  <w:num w:numId="7" w16cid:durableId="1189876473">
    <w:abstractNumId w:val="38"/>
  </w:num>
  <w:num w:numId="8" w16cid:durableId="1658070769">
    <w:abstractNumId w:val="34"/>
  </w:num>
  <w:num w:numId="9" w16cid:durableId="2034575157">
    <w:abstractNumId w:val="38"/>
  </w:num>
  <w:num w:numId="10" w16cid:durableId="1920744854">
    <w:abstractNumId w:val="34"/>
  </w:num>
  <w:num w:numId="11" w16cid:durableId="1555892097">
    <w:abstractNumId w:val="15"/>
  </w:num>
  <w:num w:numId="12" w16cid:durableId="252126318">
    <w:abstractNumId w:val="10"/>
  </w:num>
  <w:num w:numId="13" w16cid:durableId="2027559759">
    <w:abstractNumId w:val="16"/>
  </w:num>
  <w:num w:numId="14" w16cid:durableId="947349613">
    <w:abstractNumId w:val="28"/>
  </w:num>
  <w:num w:numId="15" w16cid:durableId="1224757396">
    <w:abstractNumId w:val="15"/>
  </w:num>
  <w:num w:numId="16" w16cid:durableId="1656104885">
    <w:abstractNumId w:val="17"/>
  </w:num>
  <w:num w:numId="17" w16cid:durableId="2120181705">
    <w:abstractNumId w:val="8"/>
  </w:num>
  <w:num w:numId="18" w16cid:durableId="72312877">
    <w:abstractNumId w:val="3"/>
  </w:num>
  <w:num w:numId="19" w16cid:durableId="1299459761">
    <w:abstractNumId w:val="2"/>
  </w:num>
  <w:num w:numId="20" w16cid:durableId="1575967755">
    <w:abstractNumId w:val="1"/>
  </w:num>
  <w:num w:numId="21" w16cid:durableId="1022170876">
    <w:abstractNumId w:val="0"/>
  </w:num>
  <w:num w:numId="22" w16cid:durableId="1982271707">
    <w:abstractNumId w:val="9"/>
  </w:num>
  <w:num w:numId="23" w16cid:durableId="1887599736">
    <w:abstractNumId w:val="7"/>
  </w:num>
  <w:num w:numId="24" w16cid:durableId="77945375">
    <w:abstractNumId w:val="6"/>
  </w:num>
  <w:num w:numId="25" w16cid:durableId="242419954">
    <w:abstractNumId w:val="5"/>
  </w:num>
  <w:num w:numId="26" w16cid:durableId="687947824">
    <w:abstractNumId w:val="4"/>
  </w:num>
  <w:num w:numId="27" w16cid:durableId="1708752678">
    <w:abstractNumId w:val="36"/>
  </w:num>
  <w:num w:numId="28" w16cid:durableId="1919091904">
    <w:abstractNumId w:val="27"/>
  </w:num>
  <w:num w:numId="29" w16cid:durableId="2094280093">
    <w:abstractNumId w:val="39"/>
  </w:num>
  <w:num w:numId="30" w16cid:durableId="677774479">
    <w:abstractNumId w:val="35"/>
  </w:num>
  <w:num w:numId="31" w16cid:durableId="310405673">
    <w:abstractNumId w:val="20"/>
  </w:num>
  <w:num w:numId="32" w16cid:durableId="1825075877">
    <w:abstractNumId w:val="11"/>
  </w:num>
  <w:num w:numId="33" w16cid:durableId="1574967915">
    <w:abstractNumId w:val="33"/>
  </w:num>
  <w:num w:numId="34" w16cid:durableId="644512702">
    <w:abstractNumId w:val="21"/>
  </w:num>
  <w:num w:numId="35" w16cid:durableId="645163717">
    <w:abstractNumId w:val="18"/>
  </w:num>
  <w:num w:numId="36" w16cid:durableId="492066043">
    <w:abstractNumId w:val="23"/>
  </w:num>
  <w:num w:numId="37" w16cid:durableId="1769764607">
    <w:abstractNumId w:val="29"/>
  </w:num>
  <w:num w:numId="38" w16cid:durableId="1775704214">
    <w:abstractNumId w:val="26"/>
  </w:num>
  <w:num w:numId="39" w16cid:durableId="1197935741">
    <w:abstractNumId w:val="14"/>
  </w:num>
  <w:num w:numId="40" w16cid:durableId="199710158">
    <w:abstractNumId w:val="32"/>
  </w:num>
  <w:num w:numId="41" w16cid:durableId="1279797480">
    <w:abstractNumId w:val="30"/>
  </w:num>
  <w:num w:numId="42" w16cid:durableId="503513487">
    <w:abstractNumId w:val="22"/>
  </w:num>
  <w:num w:numId="43" w16cid:durableId="2091923138">
    <w:abstractNumId w:val="37"/>
  </w:num>
  <w:num w:numId="44" w16cid:durableId="1169901536">
    <w:abstractNumId w:val="13"/>
  </w:num>
  <w:num w:numId="45" w16cid:durableId="2043287541">
    <w:abstractNumId w:val="40"/>
  </w:num>
  <w:num w:numId="46" w16cid:durableId="378822915">
    <w:abstractNumId w:val="25"/>
  </w:num>
  <w:num w:numId="47" w16cid:durableId="197161957">
    <w:abstractNumId w:val="12"/>
  </w:num>
  <w:num w:numId="48" w16cid:durableId="6181444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25BA7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1925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1BD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2104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1884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296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0F39"/>
    <w:rsid w:val="00341A6A"/>
    <w:rsid w:val="00345B9C"/>
    <w:rsid w:val="00352DAE"/>
    <w:rsid w:val="003531A5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B6C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644"/>
    <w:rsid w:val="00480A58"/>
    <w:rsid w:val="00482151"/>
    <w:rsid w:val="00485FAD"/>
    <w:rsid w:val="00487AED"/>
    <w:rsid w:val="00491EDF"/>
    <w:rsid w:val="00492A3F"/>
    <w:rsid w:val="00494766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799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CED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3639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43E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4EB6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16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0E6D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A2A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2E4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29E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609B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0DD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AB1D2D-609C-4674-93BF-A436B15C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2024-11-08T11:54:00Z</dcterms:created>
  <dcterms:modified xsi:type="dcterms:W3CDTF">2024-11-08T11:54:00Z</dcterms:modified>
  <cp:category/>
</cp:coreProperties>
</file>