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A7EA" w14:textId="25D65E8E" w:rsidR="000B186E" w:rsidRPr="00582241" w:rsidRDefault="000B186E" w:rsidP="00582241">
      <w:pPr>
        <w:tabs>
          <w:tab w:val="left" w:pos="8222"/>
        </w:tabs>
        <w:spacing w:after="120" w:line="360" w:lineRule="auto"/>
        <w:ind w:right="0"/>
        <w:jc w:val="center"/>
        <w:rPr>
          <w:szCs w:val="24"/>
        </w:rPr>
      </w:pPr>
      <w:r w:rsidRPr="00582241">
        <w:rPr>
          <w:szCs w:val="24"/>
        </w:rPr>
        <w:t>UZASADNIENIE</w:t>
      </w:r>
    </w:p>
    <w:p w14:paraId="4A42A778" w14:textId="4B87819F" w:rsidR="00CC2845" w:rsidRPr="00582241" w:rsidRDefault="00CC2845" w:rsidP="00582241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contextualSpacing w:val="0"/>
        <w:rPr>
          <w:rFonts w:eastAsiaTheme="minorEastAsia"/>
          <w:b/>
          <w:szCs w:val="24"/>
        </w:rPr>
      </w:pPr>
      <w:r w:rsidRPr="00582241">
        <w:rPr>
          <w:rFonts w:eastAsiaTheme="minorEastAsia"/>
          <w:b/>
          <w:szCs w:val="24"/>
        </w:rPr>
        <w:t>Potrzeba i cel wydania ustawy</w:t>
      </w:r>
    </w:p>
    <w:p w14:paraId="3A4D9A9E" w14:textId="1EBA90C5" w:rsidR="00D37B45" w:rsidRPr="00582241" w:rsidRDefault="00D37B45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Obszary pod morskie farmy wiatrowe wyznaczone w </w:t>
      </w:r>
      <w:r w:rsidR="003820FC" w:rsidRPr="00582241">
        <w:rPr>
          <w:szCs w:val="24"/>
        </w:rPr>
        <w:t xml:space="preserve">załączniku nr 1 lub 2 </w:t>
      </w:r>
      <w:r w:rsidRPr="00582241">
        <w:rPr>
          <w:szCs w:val="24"/>
        </w:rPr>
        <w:t>do ustawy z dnia 17</w:t>
      </w:r>
      <w:r w:rsidR="00053817" w:rsidRPr="00582241">
        <w:rPr>
          <w:szCs w:val="24"/>
        </w:rPr>
        <w:t> </w:t>
      </w:r>
      <w:r w:rsidRPr="00582241">
        <w:rPr>
          <w:szCs w:val="24"/>
        </w:rPr>
        <w:t>grudnia 2020</w:t>
      </w:r>
      <w:r w:rsidR="007F5844" w:rsidRPr="00582241">
        <w:rPr>
          <w:szCs w:val="24"/>
        </w:rPr>
        <w:t> </w:t>
      </w:r>
      <w:r w:rsidRPr="00582241">
        <w:rPr>
          <w:szCs w:val="24"/>
        </w:rPr>
        <w:t>r. o promowaniu wytwarzania energii elektrycznej w morskich farmach wiatrowych (Dz. U. z</w:t>
      </w:r>
      <w:r w:rsidR="00E308D8" w:rsidRPr="00582241">
        <w:rPr>
          <w:szCs w:val="24"/>
        </w:rPr>
        <w:t> </w:t>
      </w:r>
      <w:r w:rsidRPr="00582241">
        <w:rPr>
          <w:szCs w:val="24"/>
        </w:rPr>
        <w:t>2024</w:t>
      </w:r>
      <w:r w:rsidR="007F5844" w:rsidRPr="00582241">
        <w:rPr>
          <w:szCs w:val="24"/>
        </w:rPr>
        <w:t> </w:t>
      </w:r>
      <w:r w:rsidRPr="00582241">
        <w:rPr>
          <w:szCs w:val="24"/>
        </w:rPr>
        <w:t>r. poz. 182)</w:t>
      </w:r>
      <w:r w:rsidR="00053817" w:rsidRPr="00582241">
        <w:rPr>
          <w:szCs w:val="24"/>
        </w:rPr>
        <w:t xml:space="preserve">, </w:t>
      </w:r>
      <w:r w:rsidR="0037090D" w:rsidRPr="00582241">
        <w:rPr>
          <w:szCs w:val="24"/>
        </w:rPr>
        <w:t xml:space="preserve">zwanej </w:t>
      </w:r>
      <w:r w:rsidR="00053817" w:rsidRPr="00582241">
        <w:rPr>
          <w:szCs w:val="24"/>
        </w:rPr>
        <w:t xml:space="preserve">dalej </w:t>
      </w:r>
      <w:r w:rsidR="0037090D" w:rsidRPr="00582241">
        <w:rPr>
          <w:szCs w:val="24"/>
        </w:rPr>
        <w:t>„</w:t>
      </w:r>
      <w:r w:rsidR="00053817" w:rsidRPr="00582241">
        <w:rPr>
          <w:szCs w:val="24"/>
        </w:rPr>
        <w:t>ustaw</w:t>
      </w:r>
      <w:r w:rsidR="0037090D" w:rsidRPr="00582241">
        <w:rPr>
          <w:szCs w:val="24"/>
        </w:rPr>
        <w:t>ą</w:t>
      </w:r>
      <w:r w:rsidR="00053817" w:rsidRPr="00582241">
        <w:rPr>
          <w:szCs w:val="24"/>
        </w:rPr>
        <w:t xml:space="preserve"> offshore wind</w:t>
      </w:r>
      <w:r w:rsidR="0037090D" w:rsidRPr="00582241">
        <w:rPr>
          <w:szCs w:val="24"/>
        </w:rPr>
        <w:t>”</w:t>
      </w:r>
      <w:r w:rsidR="00053817" w:rsidRPr="00582241">
        <w:rPr>
          <w:szCs w:val="24"/>
        </w:rPr>
        <w:t>,</w:t>
      </w:r>
      <w:r w:rsidRPr="00582241">
        <w:rPr>
          <w:szCs w:val="24"/>
        </w:rPr>
        <w:t xml:space="preserve"> są zróżnicowane m.in. pod względem geofizycznym czy oddalenia od brzegu, co ma istotne znaczenie z punktu widzenia kosztów budowy i</w:t>
      </w:r>
      <w:r w:rsidR="00053817" w:rsidRPr="00582241">
        <w:rPr>
          <w:szCs w:val="24"/>
        </w:rPr>
        <w:t> </w:t>
      </w:r>
      <w:r w:rsidRPr="00582241">
        <w:rPr>
          <w:szCs w:val="24"/>
        </w:rPr>
        <w:t xml:space="preserve">późniejszej eksploatacji morskich farm wiatrowych. Wyznaczenie jednej </w:t>
      </w:r>
      <w:r w:rsidR="00934319" w:rsidRPr="00582241">
        <w:rPr>
          <w:szCs w:val="24"/>
        </w:rPr>
        <w:t xml:space="preserve">maksymalnej </w:t>
      </w:r>
      <w:r w:rsidRPr="00582241">
        <w:rPr>
          <w:szCs w:val="24"/>
        </w:rPr>
        <w:t xml:space="preserve">ceny </w:t>
      </w:r>
      <w:r w:rsidR="00171F84" w:rsidRPr="00582241">
        <w:rPr>
          <w:szCs w:val="24"/>
        </w:rPr>
        <w:t>za 1 MWh, jaka może być wskazana w ofertach złożonych w aukcji przez wytwórców</w:t>
      </w:r>
      <w:r w:rsidR="00011603">
        <w:rPr>
          <w:szCs w:val="24"/>
        </w:rPr>
        <w:t>,</w:t>
      </w:r>
      <w:r w:rsidR="00171F84" w:rsidRPr="00582241">
        <w:rPr>
          <w:szCs w:val="24"/>
        </w:rPr>
        <w:t xml:space="preserve"> </w:t>
      </w:r>
      <w:r w:rsidRPr="00582241">
        <w:rPr>
          <w:szCs w:val="24"/>
        </w:rPr>
        <w:t xml:space="preserve">dla wszystkich tych obszarów mogłoby prowadzić do nieuzasadnionego nadwsparcia dla projektów zlokalizowanych bliżej linii brzegowej. </w:t>
      </w:r>
    </w:p>
    <w:p w14:paraId="62C4D37E" w14:textId="12CE016E" w:rsidR="00D37B45" w:rsidRPr="00582241" w:rsidRDefault="00D37B45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Zgodnie z zaleceniem Komitetu Ekonomicznego Rady Ministrów z </w:t>
      </w:r>
      <w:r w:rsidR="003820FC" w:rsidRPr="00582241">
        <w:rPr>
          <w:szCs w:val="24"/>
        </w:rPr>
        <w:t xml:space="preserve">dnia </w:t>
      </w:r>
      <w:r w:rsidRPr="00582241">
        <w:rPr>
          <w:szCs w:val="24"/>
        </w:rPr>
        <w:t>30 października 2024</w:t>
      </w:r>
      <w:r w:rsidR="00D4354A">
        <w:rPr>
          <w:szCs w:val="24"/>
        </w:rPr>
        <w:t> </w:t>
      </w:r>
      <w:r w:rsidRPr="00582241">
        <w:rPr>
          <w:szCs w:val="24"/>
        </w:rPr>
        <w:t>r. w</w:t>
      </w:r>
      <w:r w:rsidR="006A3204">
        <w:rPr>
          <w:szCs w:val="24"/>
        </w:rPr>
        <w:t xml:space="preserve"> </w:t>
      </w:r>
      <w:r w:rsidRPr="00582241">
        <w:rPr>
          <w:szCs w:val="24"/>
        </w:rPr>
        <w:t>celu znalezienia balansu między rozwojem morskiej energetyki wiatrowej a</w:t>
      </w:r>
      <w:r w:rsidR="00053817" w:rsidRPr="00582241">
        <w:rPr>
          <w:szCs w:val="24"/>
        </w:rPr>
        <w:t> </w:t>
      </w:r>
      <w:r w:rsidRPr="00582241">
        <w:rPr>
          <w:szCs w:val="24"/>
        </w:rPr>
        <w:t xml:space="preserve">niedopuszczeniem do nadmiernego obciążenia odbiorców końcowych oraz dla poprawy efektywności kosztowej systemu wsparcia </w:t>
      </w:r>
      <w:r w:rsidR="0037090D" w:rsidRPr="00582241">
        <w:rPr>
          <w:szCs w:val="24"/>
        </w:rPr>
        <w:t xml:space="preserve">i </w:t>
      </w:r>
      <w:r w:rsidRPr="00582241">
        <w:rPr>
          <w:szCs w:val="24"/>
        </w:rPr>
        <w:t xml:space="preserve">możliwości konkurowania projektów z różnych obszarów morskich proponuje się wprowadzenie rozwiązania umożliwiającego ustalenie </w:t>
      </w:r>
      <w:r w:rsidR="002D6E66" w:rsidRPr="00582241">
        <w:rPr>
          <w:szCs w:val="24"/>
        </w:rPr>
        <w:t>odmiennych</w:t>
      </w:r>
      <w:r w:rsidRPr="00582241">
        <w:rPr>
          <w:szCs w:val="24"/>
        </w:rPr>
        <w:t xml:space="preserve"> </w:t>
      </w:r>
      <w:r w:rsidR="00F006A5" w:rsidRPr="00582241">
        <w:rPr>
          <w:szCs w:val="24"/>
        </w:rPr>
        <w:t xml:space="preserve">maksymalnych </w:t>
      </w:r>
      <w:r w:rsidRPr="00582241">
        <w:rPr>
          <w:szCs w:val="24"/>
        </w:rPr>
        <w:t xml:space="preserve">cen </w:t>
      </w:r>
      <w:r w:rsidR="002D6E66" w:rsidRPr="00582241">
        <w:rPr>
          <w:szCs w:val="24"/>
        </w:rPr>
        <w:t>dla poszczególnych obszarów, grupy obszarów lub grup obszarów. Ewentualne grupy obszarów będą tworzone w oparciu o obszary wskazane w</w:t>
      </w:r>
      <w:r w:rsidR="00D4354A">
        <w:rPr>
          <w:szCs w:val="24"/>
        </w:rPr>
        <w:t> </w:t>
      </w:r>
      <w:r w:rsidR="002D6E66" w:rsidRPr="00582241">
        <w:rPr>
          <w:szCs w:val="24"/>
        </w:rPr>
        <w:t>załączniku nr 1 lub 2 do ustawy</w:t>
      </w:r>
      <w:r w:rsidR="00934319" w:rsidRPr="00582241">
        <w:rPr>
          <w:szCs w:val="24"/>
        </w:rPr>
        <w:t xml:space="preserve"> offshore wind, biorąc pod uwagę ich warunki</w:t>
      </w:r>
      <w:r w:rsidR="002D6E66" w:rsidRPr="00582241">
        <w:rPr>
          <w:szCs w:val="24"/>
        </w:rPr>
        <w:t xml:space="preserve"> geofizyczn</w:t>
      </w:r>
      <w:r w:rsidR="00934319" w:rsidRPr="00582241">
        <w:rPr>
          <w:szCs w:val="24"/>
        </w:rPr>
        <w:t>e</w:t>
      </w:r>
      <w:r w:rsidR="002D6E66" w:rsidRPr="00582241">
        <w:rPr>
          <w:szCs w:val="24"/>
        </w:rPr>
        <w:t xml:space="preserve"> </w:t>
      </w:r>
      <w:r w:rsidR="00934319" w:rsidRPr="00582241">
        <w:rPr>
          <w:szCs w:val="24"/>
        </w:rPr>
        <w:t>lub oddalenie od brzegu.</w:t>
      </w:r>
      <w:r w:rsidR="00F006A5" w:rsidRPr="00582241">
        <w:rPr>
          <w:szCs w:val="24"/>
        </w:rPr>
        <w:t xml:space="preserve"> </w:t>
      </w:r>
    </w:p>
    <w:p w14:paraId="36209CE0" w14:textId="387B0C5D" w:rsidR="00273F8C" w:rsidRPr="00582241" w:rsidRDefault="00273F8C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Dodatkowo należy zauważyć, że funkcją </w:t>
      </w:r>
      <w:r w:rsidR="00F006A5" w:rsidRPr="00582241">
        <w:rPr>
          <w:szCs w:val="24"/>
        </w:rPr>
        <w:t xml:space="preserve">maksymalnej </w:t>
      </w:r>
      <w:r w:rsidRPr="00582241">
        <w:rPr>
          <w:szCs w:val="24"/>
        </w:rPr>
        <w:t xml:space="preserve">ceny jest ograniczenie projektów o zbyt wysokich kosztach realizacji przy jednoczesnym zapewnieniu odpowiedniej podaży projektów, które będą w stanie wystartować w aukcji. Jeżeli dla wszystkich, mocno zróżnicowanych projektów zostanie ustanowiona jedna </w:t>
      </w:r>
      <w:r w:rsidR="00F006A5" w:rsidRPr="00582241">
        <w:rPr>
          <w:szCs w:val="24"/>
        </w:rPr>
        <w:t xml:space="preserve">maksymalna </w:t>
      </w:r>
      <w:r w:rsidRPr="00582241">
        <w:rPr>
          <w:szCs w:val="24"/>
        </w:rPr>
        <w:t>cena</w:t>
      </w:r>
      <w:r w:rsidR="0045566F">
        <w:rPr>
          <w:szCs w:val="24"/>
        </w:rPr>
        <w:t>,</w:t>
      </w:r>
      <w:r w:rsidRPr="00582241">
        <w:rPr>
          <w:szCs w:val="24"/>
        </w:rPr>
        <w:t xml:space="preserve"> </w:t>
      </w:r>
      <w:r w:rsidR="003820FC" w:rsidRPr="00582241">
        <w:rPr>
          <w:szCs w:val="24"/>
        </w:rPr>
        <w:t xml:space="preserve">jest </w:t>
      </w:r>
      <w:r w:rsidRPr="00582241">
        <w:rPr>
          <w:szCs w:val="24"/>
        </w:rPr>
        <w:t xml:space="preserve">wysoce prawdopodobne, że projekty z obszarów o wyższych kosztach nie przystąpią do aukcji. Taka sytuacja może oznaczać brak możliwości realizacji istotnej części projektów, a także wpływać na brak minimalnej wymaganej liczby 3 ofert w ramach danej aukcji. Określenie tylko jednej </w:t>
      </w:r>
      <w:r w:rsidR="00F006A5" w:rsidRPr="00582241">
        <w:rPr>
          <w:szCs w:val="24"/>
        </w:rPr>
        <w:t xml:space="preserve">maksymalnej </w:t>
      </w:r>
      <w:r w:rsidRPr="00582241">
        <w:rPr>
          <w:szCs w:val="24"/>
        </w:rPr>
        <w:t xml:space="preserve">ceny, ale na poziomie wystarczającym dla pokrycia wyższych kosztów projektów również może prowadzić do nieoptymalnych rozstrzygnięć, gdyż projekty mniej kosztochłonne będą mogły zgłaszać wyższe oferty cenowe niż w przypadku </w:t>
      </w:r>
      <w:r w:rsidR="00934319" w:rsidRPr="00582241">
        <w:rPr>
          <w:szCs w:val="24"/>
        </w:rPr>
        <w:t xml:space="preserve">ustalenia odmiennych </w:t>
      </w:r>
      <w:r w:rsidR="00F006A5" w:rsidRPr="00582241">
        <w:rPr>
          <w:szCs w:val="24"/>
        </w:rPr>
        <w:t xml:space="preserve">maksymalnych </w:t>
      </w:r>
      <w:r w:rsidR="00934319" w:rsidRPr="00582241">
        <w:rPr>
          <w:szCs w:val="24"/>
        </w:rPr>
        <w:t>cen dla poszczególnych obszarów, grupy obszarów lub grup obszarów</w:t>
      </w:r>
      <w:r w:rsidR="00DE35B2">
        <w:rPr>
          <w:szCs w:val="24"/>
        </w:rPr>
        <w:t>.</w:t>
      </w:r>
    </w:p>
    <w:p w14:paraId="678712C5" w14:textId="5A2B44CD" w:rsidR="00CC2845" w:rsidRPr="00582241" w:rsidRDefault="00053817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lastRenderedPageBreak/>
        <w:t>Możliwość zdefiniowania</w:t>
      </w:r>
      <w:r w:rsidR="00273F8C" w:rsidRPr="00582241">
        <w:rPr>
          <w:szCs w:val="24"/>
        </w:rPr>
        <w:t xml:space="preserve"> różnych </w:t>
      </w:r>
      <w:r w:rsidR="00934319" w:rsidRPr="00582241">
        <w:rPr>
          <w:szCs w:val="24"/>
        </w:rPr>
        <w:t xml:space="preserve">maksymalnych </w:t>
      </w:r>
      <w:r w:rsidR="00273F8C" w:rsidRPr="00582241">
        <w:rPr>
          <w:szCs w:val="24"/>
        </w:rPr>
        <w:t>cen pozwoli na dokładniejsze odzwierciedlenie charakterystyki poszczególnych grup projektów</w:t>
      </w:r>
      <w:r w:rsidR="003820FC" w:rsidRPr="00582241">
        <w:rPr>
          <w:szCs w:val="24"/>
        </w:rPr>
        <w:t>,</w:t>
      </w:r>
      <w:r w:rsidR="00273F8C" w:rsidRPr="00582241">
        <w:rPr>
          <w:szCs w:val="24"/>
        </w:rPr>
        <w:t xml:space="preserve"> minimalizując jednocześnie koszty dla odbiorców końcowych.</w:t>
      </w:r>
    </w:p>
    <w:p w14:paraId="23F4A477" w14:textId="288494DE" w:rsidR="00D37B45" w:rsidRPr="00582241" w:rsidRDefault="00410BD9" w:rsidP="00582241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eastAsiaTheme="minorEastAsia"/>
          <w:b/>
          <w:szCs w:val="24"/>
        </w:rPr>
      </w:pPr>
      <w:r w:rsidRPr="00582241">
        <w:rPr>
          <w:b/>
          <w:bCs/>
          <w:szCs w:val="24"/>
        </w:rPr>
        <w:t>Aktualny stan prawny w dziedzinie, której dotyczy projekt ustawy</w:t>
      </w:r>
    </w:p>
    <w:p w14:paraId="7C35B1E9" w14:textId="64EDE22F" w:rsidR="00D37B45" w:rsidRPr="00582241" w:rsidRDefault="00467D7A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>W obecnym stanie prawnym</w:t>
      </w:r>
      <w:r w:rsidR="00CC0AED" w:rsidRPr="00582241">
        <w:rPr>
          <w:szCs w:val="24"/>
        </w:rPr>
        <w:t xml:space="preserve">, </w:t>
      </w:r>
      <w:r w:rsidR="00D37B45" w:rsidRPr="00582241">
        <w:rPr>
          <w:szCs w:val="24"/>
        </w:rPr>
        <w:t xml:space="preserve">uregulowanym w art. 31 ustawy </w:t>
      </w:r>
      <w:r w:rsidR="00053817" w:rsidRPr="00582241">
        <w:rPr>
          <w:szCs w:val="24"/>
        </w:rPr>
        <w:t>offshore wind</w:t>
      </w:r>
      <w:r w:rsidR="00D37B45" w:rsidRPr="00582241">
        <w:rPr>
          <w:szCs w:val="24"/>
        </w:rPr>
        <w:t>, przewiduje się wydanie przez ministra właściwego do spraw klimatu, po zasięgnięciu opinii ministra właściwego do spraw aktywów państwowych, rozporządzenia określającego maksymalną cenę, wyrażoną w złotych za 1</w:t>
      </w:r>
      <w:r w:rsidR="00CF597D" w:rsidRPr="00582241">
        <w:rPr>
          <w:szCs w:val="24"/>
        </w:rPr>
        <w:t> </w:t>
      </w:r>
      <w:r w:rsidR="00D37B45" w:rsidRPr="00582241">
        <w:rPr>
          <w:szCs w:val="24"/>
        </w:rPr>
        <w:t>MWh, jaka może być wskazana w ofertach złożonych w aukcji przez wytwórców. Maksymalną cenę ustala się na poziomie uwzględniającym istotne parametry techniczne i ekonomiczne funkcjonowania morskich farm wiatrowych, mając na uwadze konieczność uniknięcia nadmiernego obciążenia odbiorców końcowych. Jednakże brak zróżnicowania w zakresie maksymalnej ceny</w:t>
      </w:r>
      <w:r w:rsidR="003820FC" w:rsidRPr="00582241">
        <w:rPr>
          <w:szCs w:val="24"/>
        </w:rPr>
        <w:t>,</w:t>
      </w:r>
      <w:r w:rsidR="00D37B45" w:rsidRPr="00582241">
        <w:rPr>
          <w:szCs w:val="24"/>
        </w:rPr>
        <w:t xml:space="preserve"> jaka może być wskazana w ofertach złożonych w</w:t>
      </w:r>
      <w:r w:rsidR="00053817" w:rsidRPr="00582241">
        <w:rPr>
          <w:szCs w:val="24"/>
        </w:rPr>
        <w:t> </w:t>
      </w:r>
      <w:r w:rsidR="00D37B45" w:rsidRPr="00582241">
        <w:rPr>
          <w:szCs w:val="24"/>
        </w:rPr>
        <w:t>aukcji przez wytwórców</w:t>
      </w:r>
      <w:r w:rsidR="003820FC" w:rsidRPr="00582241">
        <w:rPr>
          <w:szCs w:val="24"/>
        </w:rPr>
        <w:t>,</w:t>
      </w:r>
      <w:r w:rsidR="00D37B45" w:rsidRPr="00582241">
        <w:rPr>
          <w:szCs w:val="24"/>
        </w:rPr>
        <w:t xml:space="preserve"> ze względu na lokalizację farmy wiatrowej na morzu, mógłby prowadzić</w:t>
      </w:r>
      <w:r w:rsidR="00B42F7E" w:rsidRPr="00582241">
        <w:rPr>
          <w:szCs w:val="24"/>
        </w:rPr>
        <w:t>,</w:t>
      </w:r>
      <w:r w:rsidR="00D37B45" w:rsidRPr="00582241">
        <w:rPr>
          <w:szCs w:val="24"/>
        </w:rPr>
        <w:t xml:space="preserve"> w pewnych okolicznościach</w:t>
      </w:r>
      <w:r w:rsidR="00B42F7E" w:rsidRPr="00582241">
        <w:rPr>
          <w:szCs w:val="24"/>
        </w:rPr>
        <w:t>,</w:t>
      </w:r>
      <w:r w:rsidR="00D37B45" w:rsidRPr="00582241">
        <w:rPr>
          <w:szCs w:val="24"/>
        </w:rPr>
        <w:t xml:space="preserve"> do </w:t>
      </w:r>
      <w:r w:rsidR="00B42F7E" w:rsidRPr="00582241">
        <w:rPr>
          <w:szCs w:val="24"/>
        </w:rPr>
        <w:t xml:space="preserve">nieuzasadnionego </w:t>
      </w:r>
      <w:r w:rsidR="00053817" w:rsidRPr="00582241">
        <w:rPr>
          <w:szCs w:val="24"/>
        </w:rPr>
        <w:t>nad</w:t>
      </w:r>
      <w:r w:rsidR="00B42F7E" w:rsidRPr="00582241">
        <w:rPr>
          <w:szCs w:val="24"/>
        </w:rPr>
        <w:t xml:space="preserve">wsparcia niektórych projektów. Konsekwentnie mogłoby to równocześnie godzić w jedną z podstawowych zasad wyrażonych w ustawie </w:t>
      </w:r>
      <w:r w:rsidR="00053817" w:rsidRPr="00582241">
        <w:rPr>
          <w:szCs w:val="24"/>
        </w:rPr>
        <w:t>offshore wind</w:t>
      </w:r>
      <w:r w:rsidR="00B42F7E" w:rsidRPr="00582241">
        <w:rPr>
          <w:szCs w:val="24"/>
        </w:rPr>
        <w:t xml:space="preserve">, tj. efekt zachęty, zgodnie z którą </w:t>
      </w:r>
      <w:r w:rsidR="00053817" w:rsidRPr="00582241">
        <w:rPr>
          <w:szCs w:val="24"/>
        </w:rPr>
        <w:t xml:space="preserve">w </w:t>
      </w:r>
      <w:r w:rsidR="00B42F7E" w:rsidRPr="00582241">
        <w:rPr>
          <w:szCs w:val="24"/>
        </w:rPr>
        <w:t>ramach postępowania o</w:t>
      </w:r>
      <w:r w:rsidR="00CF597D" w:rsidRPr="00582241">
        <w:rPr>
          <w:szCs w:val="24"/>
        </w:rPr>
        <w:t> </w:t>
      </w:r>
      <w:r w:rsidR="00B42F7E" w:rsidRPr="00582241">
        <w:rPr>
          <w:szCs w:val="24"/>
        </w:rPr>
        <w:t>przyznanie prawa do pokrycia ujemnego salda Prezes Urzędu Regulacji Energetyki ocenia</w:t>
      </w:r>
      <w:r w:rsidR="003820FC" w:rsidRPr="00582241">
        <w:rPr>
          <w:szCs w:val="24"/>
        </w:rPr>
        <w:t>,</w:t>
      </w:r>
      <w:r w:rsidR="00B42F7E" w:rsidRPr="00582241">
        <w:rPr>
          <w:szCs w:val="24"/>
        </w:rPr>
        <w:t xml:space="preserve"> czy projektowana inwestycja zostałaby zrealizowana w przypadku, w</w:t>
      </w:r>
      <w:r w:rsidR="002B2A34">
        <w:rPr>
          <w:szCs w:val="24"/>
        </w:rPr>
        <w:t xml:space="preserve"> </w:t>
      </w:r>
      <w:r w:rsidR="00B42F7E" w:rsidRPr="00582241">
        <w:rPr>
          <w:szCs w:val="24"/>
        </w:rPr>
        <w:t xml:space="preserve">którym dla energii elektrycznej wytworzonej w morskiej farmie wiatrowej nie </w:t>
      </w:r>
      <w:r w:rsidR="00B42F7E" w:rsidRPr="002B2A34">
        <w:rPr>
          <w:sz w:val="22"/>
        </w:rPr>
        <w:t xml:space="preserve">przyznanoby prawa </w:t>
      </w:r>
      <w:r w:rsidR="00B42F7E" w:rsidRPr="00582241">
        <w:rPr>
          <w:szCs w:val="24"/>
        </w:rPr>
        <w:t>do pokrycia ujemnego salda.</w:t>
      </w:r>
    </w:p>
    <w:p w14:paraId="46E6C8F4" w14:textId="014FD5E7" w:rsidR="003D161C" w:rsidRPr="00582241" w:rsidRDefault="00D37B45" w:rsidP="00582241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b/>
          <w:bCs/>
          <w:szCs w:val="24"/>
        </w:rPr>
      </w:pPr>
      <w:r w:rsidRPr="00582241">
        <w:rPr>
          <w:b/>
          <w:bCs/>
          <w:szCs w:val="24"/>
        </w:rPr>
        <w:t>Proponowane rozwiązania</w:t>
      </w:r>
    </w:p>
    <w:p w14:paraId="7DDA3065" w14:textId="48FB62EF" w:rsidR="00F30559" w:rsidRPr="00582241" w:rsidRDefault="00BB45DE" w:rsidP="00582241">
      <w:pPr>
        <w:tabs>
          <w:tab w:val="left" w:pos="284"/>
        </w:tabs>
        <w:spacing w:after="120" w:line="360" w:lineRule="auto"/>
        <w:ind w:right="0" w:firstLine="0"/>
        <w:rPr>
          <w:color w:val="auto"/>
          <w:szCs w:val="24"/>
        </w:rPr>
      </w:pPr>
      <w:r w:rsidRPr="00582241">
        <w:rPr>
          <w:color w:val="auto"/>
          <w:szCs w:val="24"/>
        </w:rPr>
        <w:t xml:space="preserve">Zmiana </w:t>
      </w:r>
      <w:r w:rsidR="00BD1354" w:rsidRPr="00582241">
        <w:rPr>
          <w:color w:val="auto"/>
          <w:szCs w:val="24"/>
        </w:rPr>
        <w:t xml:space="preserve">w art. 31 ust. 11 </w:t>
      </w:r>
      <w:r w:rsidRPr="00582241">
        <w:rPr>
          <w:color w:val="auto"/>
          <w:szCs w:val="24"/>
        </w:rPr>
        <w:t xml:space="preserve">polega na dodaniu </w:t>
      </w:r>
      <w:r w:rsidR="00BD1354" w:rsidRPr="00582241">
        <w:rPr>
          <w:color w:val="auto"/>
          <w:szCs w:val="24"/>
        </w:rPr>
        <w:t xml:space="preserve">we wprowadzeniu do wyliczenia </w:t>
      </w:r>
      <w:r w:rsidRPr="00582241">
        <w:rPr>
          <w:color w:val="auto"/>
          <w:szCs w:val="24"/>
        </w:rPr>
        <w:t>regulacji wskazującej</w:t>
      </w:r>
      <w:r w:rsidR="00BD1354" w:rsidRPr="00582241">
        <w:rPr>
          <w:color w:val="auto"/>
          <w:szCs w:val="24"/>
        </w:rPr>
        <w:t>, że maksymalna cena może być określona odmiennie dla poszczególnych obszarów</w:t>
      </w:r>
      <w:r w:rsidR="00E759BD" w:rsidRPr="00582241">
        <w:rPr>
          <w:color w:val="auto"/>
          <w:szCs w:val="24"/>
        </w:rPr>
        <w:t>,</w:t>
      </w:r>
      <w:r w:rsidR="00BD1354" w:rsidRPr="00582241">
        <w:rPr>
          <w:color w:val="auto"/>
          <w:szCs w:val="24"/>
        </w:rPr>
        <w:t xml:space="preserve"> grupy obszarów</w:t>
      </w:r>
      <w:r w:rsidR="00E759BD" w:rsidRPr="00582241">
        <w:rPr>
          <w:color w:val="auto"/>
          <w:szCs w:val="24"/>
        </w:rPr>
        <w:t xml:space="preserve"> lub grup obszarów</w:t>
      </w:r>
      <w:r w:rsidR="00BD1354" w:rsidRPr="00582241">
        <w:rPr>
          <w:color w:val="auto"/>
          <w:szCs w:val="24"/>
        </w:rPr>
        <w:t xml:space="preserve"> wskazanych w </w:t>
      </w:r>
      <w:r w:rsidR="00934319" w:rsidRPr="00582241">
        <w:rPr>
          <w:color w:val="auto"/>
          <w:szCs w:val="24"/>
        </w:rPr>
        <w:t xml:space="preserve">załączniku nr 1 lub 2 </w:t>
      </w:r>
      <w:r w:rsidR="00BD1354" w:rsidRPr="00582241">
        <w:rPr>
          <w:color w:val="auto"/>
          <w:szCs w:val="24"/>
        </w:rPr>
        <w:t>do ustawy offshore wind</w:t>
      </w:r>
      <w:r w:rsidR="00943AFF" w:rsidRPr="00582241">
        <w:rPr>
          <w:color w:val="auto"/>
          <w:szCs w:val="24"/>
        </w:rPr>
        <w:t>.</w:t>
      </w:r>
    </w:p>
    <w:p w14:paraId="04A2F2F3" w14:textId="03C660DF" w:rsidR="00934319" w:rsidRPr="00582241" w:rsidRDefault="00934319" w:rsidP="00582241">
      <w:pPr>
        <w:tabs>
          <w:tab w:val="left" w:pos="284"/>
        </w:tabs>
        <w:spacing w:after="120" w:line="360" w:lineRule="auto"/>
        <w:ind w:right="0" w:firstLine="0"/>
        <w:rPr>
          <w:color w:val="auto"/>
          <w:szCs w:val="24"/>
        </w:rPr>
      </w:pPr>
      <w:r w:rsidRPr="00582241">
        <w:rPr>
          <w:color w:val="auto"/>
          <w:szCs w:val="24"/>
        </w:rPr>
        <w:t>Ponadto w celu zachowania spójności z przepisami art. 25 ustawy offshore wind</w:t>
      </w:r>
      <w:r w:rsidR="00F006A5" w:rsidRPr="00582241">
        <w:rPr>
          <w:color w:val="auto"/>
          <w:szCs w:val="24"/>
        </w:rPr>
        <w:t>, który to przepis również przewiduje wydanie rozporządzenia określającego cenę maksymalną, ale dla projektów realizowanych w ramach tzw. I fazy systemu wsparcia,</w:t>
      </w:r>
      <w:r w:rsidRPr="00582241">
        <w:rPr>
          <w:color w:val="auto"/>
          <w:szCs w:val="24"/>
        </w:rPr>
        <w:t xml:space="preserve"> zdecydowano się doprecyzować, że chodzi o maksymalną cenę za energię elektryczną wytworzoną w morskiej farmie wiatrowej i wprowadzoną do sieci.</w:t>
      </w:r>
    </w:p>
    <w:p w14:paraId="0CB6F250" w14:textId="6ECDBCCE" w:rsidR="00146C8D" w:rsidRPr="00582241" w:rsidRDefault="00507482" w:rsidP="00582241">
      <w:pPr>
        <w:pStyle w:val="Akapitzlist"/>
        <w:keepNext/>
        <w:numPr>
          <w:ilvl w:val="0"/>
          <w:numId w:val="9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b/>
          <w:bCs/>
          <w:szCs w:val="24"/>
        </w:rPr>
      </w:pPr>
      <w:r w:rsidRPr="00582241">
        <w:rPr>
          <w:b/>
          <w:bCs/>
          <w:szCs w:val="24"/>
        </w:rPr>
        <w:lastRenderedPageBreak/>
        <w:t>Wejście w życie</w:t>
      </w:r>
    </w:p>
    <w:p w14:paraId="0C1F32B4" w14:textId="6F0F4B54" w:rsidR="00CF597D" w:rsidRPr="00582241" w:rsidRDefault="00943AFF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>Proponuje się, aby projektowana ustawa weszła w życie z dniem następującym po dniu ogłoszenia, z</w:t>
      </w:r>
      <w:r w:rsidR="00CF597D" w:rsidRPr="00582241">
        <w:rPr>
          <w:szCs w:val="24"/>
        </w:rPr>
        <w:t> </w:t>
      </w:r>
      <w:r w:rsidRPr="00582241">
        <w:rPr>
          <w:szCs w:val="24"/>
        </w:rPr>
        <w:t xml:space="preserve">uwagi na to, że zawarte w niej przepisy mają wpływ na termin wydania </w:t>
      </w:r>
      <w:bookmarkStart w:id="0" w:name="_Hlk181696019"/>
      <w:r w:rsidRPr="00582241">
        <w:rPr>
          <w:szCs w:val="24"/>
        </w:rPr>
        <w:t>rozporządzenia określającego maksymalną cenę, wyrażoną w złotych za 1 MWh, jaka może być wskazana w ofertach złożonych w</w:t>
      </w:r>
      <w:r w:rsidR="00CF597D" w:rsidRPr="00582241">
        <w:rPr>
          <w:szCs w:val="24"/>
        </w:rPr>
        <w:t> </w:t>
      </w:r>
      <w:r w:rsidRPr="00582241">
        <w:rPr>
          <w:szCs w:val="24"/>
        </w:rPr>
        <w:t>aukcji przez wytwórców</w:t>
      </w:r>
      <w:bookmarkEnd w:id="0"/>
      <w:r w:rsidR="00CF597D" w:rsidRPr="00582241">
        <w:rPr>
          <w:szCs w:val="24"/>
        </w:rPr>
        <w:t>. Rozporządzenie to</w:t>
      </w:r>
      <w:r w:rsidRPr="00582241">
        <w:rPr>
          <w:szCs w:val="24"/>
        </w:rPr>
        <w:t xml:space="preserve"> stanowi wykonanie kamienia milowego </w:t>
      </w:r>
      <w:r w:rsidR="003820FC" w:rsidRPr="00582241">
        <w:rPr>
          <w:szCs w:val="24"/>
        </w:rPr>
        <w:t xml:space="preserve">B4L </w:t>
      </w:r>
      <w:r w:rsidRPr="00582241">
        <w:rPr>
          <w:szCs w:val="24"/>
        </w:rPr>
        <w:t xml:space="preserve">Krajowego Planu Odbudowy i Zwiększania Odporności (KPO) pn. </w:t>
      </w:r>
      <w:r w:rsidR="00CF597D" w:rsidRPr="00582241">
        <w:rPr>
          <w:szCs w:val="24"/>
        </w:rPr>
        <w:t xml:space="preserve">„Wejście w życie przepisów wykonawczych wynikających z ustawy o promowaniu wytwarzania energii elektrycznej w morskich farmach wiatrowych” ujętego w ramach reformy B2.3 „Wsparcie inwestycji w obszarze morskich farm wiatrowych”. </w:t>
      </w:r>
    </w:p>
    <w:p w14:paraId="07D9DA60" w14:textId="77ECA2AB" w:rsidR="003E7ABC" w:rsidRPr="00582241" w:rsidRDefault="00CF597D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Proponowany termin wejścia w życie ustawy nie narusza zasady demokratycznego państwa prawnego. Ewentualne ceny maksymalne, które na podstawie zawartych w projektowanej ustawie przepisów będzie można wskazać w rozporządzeniu określającym </w:t>
      </w:r>
      <w:r w:rsidR="00934319" w:rsidRPr="00582241">
        <w:rPr>
          <w:szCs w:val="24"/>
        </w:rPr>
        <w:t>maksymalną cenę za energię elektryczną wytworzoną w morskiej farmie wiatrowej i wprowadzoną do sieci</w:t>
      </w:r>
      <w:r w:rsidRPr="00582241">
        <w:rPr>
          <w:szCs w:val="24"/>
        </w:rPr>
        <w:t xml:space="preserve">, wyrażoną w złotych za 1 MWh, jaka może być wskazana w ofertach złożonych w aukcji przez wytwórców, będą stosowane dopiero od pierwszej aukcji dla morskiej energetyki wiatrowej, która odbędzie się w 2025 r. Szybsze wejście w życie </w:t>
      </w:r>
      <w:r w:rsidR="007F5844" w:rsidRPr="00582241">
        <w:rPr>
          <w:szCs w:val="24"/>
        </w:rPr>
        <w:t>ustawy</w:t>
      </w:r>
      <w:r w:rsidRPr="00582241">
        <w:rPr>
          <w:szCs w:val="24"/>
        </w:rPr>
        <w:t xml:space="preserve"> nie będzie mi</w:t>
      </w:r>
      <w:r w:rsidR="005831CA">
        <w:rPr>
          <w:szCs w:val="24"/>
        </w:rPr>
        <w:t>ało</w:t>
      </w:r>
      <w:r w:rsidRPr="00582241">
        <w:rPr>
          <w:szCs w:val="24"/>
        </w:rPr>
        <w:t xml:space="preserve"> zatem wpływu na sytuację jego adresatów. Skrócenie </w:t>
      </w:r>
      <w:r w:rsidRPr="00582241">
        <w:rPr>
          <w:i/>
          <w:iCs/>
          <w:szCs w:val="24"/>
        </w:rPr>
        <w:t>vacatio legis</w:t>
      </w:r>
      <w:r w:rsidRPr="00582241">
        <w:rPr>
          <w:szCs w:val="24"/>
        </w:rPr>
        <w:t xml:space="preserve"> jest jednak konieczne </w:t>
      </w:r>
      <w:r w:rsidR="005831CA">
        <w:rPr>
          <w:szCs w:val="24"/>
        </w:rPr>
        <w:t>w celu</w:t>
      </w:r>
      <w:r w:rsidR="005831CA" w:rsidRPr="00582241">
        <w:rPr>
          <w:szCs w:val="24"/>
        </w:rPr>
        <w:t xml:space="preserve"> </w:t>
      </w:r>
      <w:r w:rsidRPr="00582241">
        <w:rPr>
          <w:szCs w:val="24"/>
        </w:rPr>
        <w:t xml:space="preserve">terminowego wypełnienia zobowiązań wynikających z realizacji kamienia milowego B4L, który jest elementem </w:t>
      </w:r>
      <w:r w:rsidR="003820FC" w:rsidRPr="00582241">
        <w:rPr>
          <w:szCs w:val="24"/>
        </w:rPr>
        <w:t xml:space="preserve">5. </w:t>
      </w:r>
      <w:r w:rsidRPr="00582241">
        <w:rPr>
          <w:szCs w:val="24"/>
        </w:rPr>
        <w:t xml:space="preserve">wniosku o płatność w ramach </w:t>
      </w:r>
      <w:r w:rsidR="003820FC" w:rsidRPr="00582241">
        <w:rPr>
          <w:szCs w:val="24"/>
        </w:rPr>
        <w:t>KPO</w:t>
      </w:r>
      <w:r w:rsidRPr="00582241">
        <w:rPr>
          <w:szCs w:val="24"/>
        </w:rPr>
        <w:t>.</w:t>
      </w:r>
    </w:p>
    <w:p w14:paraId="3B619FAA" w14:textId="65D12C63" w:rsidR="00146C8D" w:rsidRPr="00582241" w:rsidRDefault="00BB02B9" w:rsidP="00582241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b/>
          <w:bCs/>
          <w:szCs w:val="24"/>
        </w:rPr>
      </w:pPr>
      <w:r w:rsidRPr="00582241">
        <w:rPr>
          <w:b/>
          <w:bCs/>
          <w:szCs w:val="24"/>
        </w:rPr>
        <w:t>Ocena zgodności projektu z prawem Unii Europejskiej</w:t>
      </w:r>
    </w:p>
    <w:p w14:paraId="79D102F3" w14:textId="3D88ACAB" w:rsidR="00F30559" w:rsidRPr="00582241" w:rsidRDefault="00777D64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>W ocenie projektodawc</w:t>
      </w:r>
      <w:r w:rsidR="007F5844" w:rsidRPr="00582241">
        <w:rPr>
          <w:szCs w:val="24"/>
        </w:rPr>
        <w:t>y</w:t>
      </w:r>
      <w:r w:rsidRPr="00582241">
        <w:rPr>
          <w:szCs w:val="24"/>
        </w:rPr>
        <w:t xml:space="preserve"> projekt ustawy jest zgodny z prawem Unii Europejskiej.</w:t>
      </w:r>
    </w:p>
    <w:p w14:paraId="63CAF6CF" w14:textId="24A0B998" w:rsidR="00146C8D" w:rsidRPr="00582241" w:rsidRDefault="00D533DF" w:rsidP="00582241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b/>
          <w:bCs/>
          <w:szCs w:val="24"/>
        </w:rPr>
      </w:pPr>
      <w:bookmarkStart w:id="1" w:name="_Hlk181692297"/>
      <w:r w:rsidRPr="00582241">
        <w:rPr>
          <w:b/>
          <w:bCs/>
          <w:szCs w:val="24"/>
        </w:rPr>
        <w:t>Notyfikacja</w:t>
      </w:r>
    </w:p>
    <w:bookmarkEnd w:id="1"/>
    <w:p w14:paraId="0E86926E" w14:textId="6F27979B" w:rsidR="0001066D" w:rsidRPr="00582241" w:rsidRDefault="0001066D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Projekt ustawy nie podlega procedurze notyfikacji aktów prawnych określonej w przepisach rozporządzenia Rady Ministrów z dnia 23 grudnia 2002 r. w sprawie </w:t>
      </w:r>
      <w:r w:rsidR="00414B17">
        <w:rPr>
          <w:szCs w:val="24"/>
        </w:rPr>
        <w:t xml:space="preserve">sposobu </w:t>
      </w:r>
      <w:r w:rsidRPr="00582241">
        <w:rPr>
          <w:szCs w:val="24"/>
        </w:rPr>
        <w:t>funkcjonowania krajowego systemu notyfikacji norm i aktów prawnych (Dz. U. poz. 2039, z późn. zm.).</w:t>
      </w:r>
    </w:p>
    <w:p w14:paraId="5B7F878B" w14:textId="2482C1F0" w:rsidR="00A30304" w:rsidRPr="00582241" w:rsidRDefault="0001066D" w:rsidP="00582241">
      <w:pPr>
        <w:tabs>
          <w:tab w:val="left" w:pos="284"/>
        </w:tabs>
        <w:spacing w:after="120" w:line="360" w:lineRule="auto"/>
        <w:ind w:right="0" w:firstLine="0"/>
        <w:rPr>
          <w:szCs w:val="24"/>
        </w:rPr>
      </w:pPr>
      <w:r w:rsidRPr="00582241">
        <w:rPr>
          <w:szCs w:val="24"/>
        </w:rPr>
        <w:t xml:space="preserve">Projekt ustawy nie wymaga przedstawienia właściwym instytucjom i organom Unii Europejskiej, w tym Europejskiemu Bankowi Centralnemu, </w:t>
      </w:r>
      <w:r w:rsidR="009C2B94">
        <w:rPr>
          <w:szCs w:val="24"/>
        </w:rPr>
        <w:t>w celu</w:t>
      </w:r>
      <w:r w:rsidR="009C2B94" w:rsidRPr="00582241">
        <w:rPr>
          <w:szCs w:val="24"/>
        </w:rPr>
        <w:t xml:space="preserve"> </w:t>
      </w:r>
      <w:r w:rsidRPr="00582241">
        <w:rPr>
          <w:szCs w:val="24"/>
        </w:rPr>
        <w:t>uzyskania opinii, dokonania powiadomienia, konsultacji albo uzgodnienia projektu.</w:t>
      </w:r>
      <w:r w:rsidR="0026237D" w:rsidRPr="00582241">
        <w:rPr>
          <w:szCs w:val="24"/>
        </w:rPr>
        <w:t xml:space="preserve"> </w:t>
      </w:r>
    </w:p>
    <w:p w14:paraId="2BF5F705" w14:textId="44FCB7B6" w:rsidR="003E7ABC" w:rsidRPr="00582241" w:rsidRDefault="00122F3A" w:rsidP="00582241">
      <w:pPr>
        <w:pStyle w:val="Akapitzlist"/>
        <w:keepNext/>
        <w:numPr>
          <w:ilvl w:val="0"/>
          <w:numId w:val="9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b/>
          <w:bCs/>
          <w:szCs w:val="24"/>
        </w:rPr>
      </w:pPr>
      <w:r w:rsidRPr="00582241">
        <w:rPr>
          <w:rFonts w:eastAsiaTheme="minorEastAsia"/>
          <w:b/>
          <w:szCs w:val="24"/>
        </w:rPr>
        <w:lastRenderedPageBreak/>
        <w:t>Wpływ na mikroprzedsiębiorców oraz małych i średnich przedsiębiorców</w:t>
      </w:r>
    </w:p>
    <w:p w14:paraId="74A717B1" w14:textId="4756D48D" w:rsidR="00122F3A" w:rsidRPr="00D4354A" w:rsidRDefault="00CF597D" w:rsidP="00582241">
      <w:pPr>
        <w:pStyle w:val="NIEARTTEKSTtekstnieartykuowanynppodstprawnarozplubpreambua"/>
        <w:tabs>
          <w:tab w:val="left" w:pos="284"/>
        </w:tabs>
        <w:spacing w:before="0" w:after="120"/>
        <w:ind w:firstLine="0"/>
        <w:rPr>
          <w:szCs w:val="24"/>
        </w:rPr>
      </w:pPr>
      <w:r w:rsidRPr="00582241">
        <w:rPr>
          <w:bCs w:val="0"/>
          <w:szCs w:val="24"/>
        </w:rPr>
        <w:t>Projektowane przepisy zostały przeanalizowane pod kątem wpływu na mikro-, małe i średnie przedsiębiorstwa. Regulacje zawarte w projekcie ustawy nie będą miały negatywnego wpływu na ich funkcjonowanie.</w:t>
      </w:r>
    </w:p>
    <w:sectPr w:rsidR="00122F3A" w:rsidRPr="00D4354A" w:rsidSect="00D435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1A67" w14:textId="77777777" w:rsidR="001E7574" w:rsidRDefault="001E7574" w:rsidP="000B186E">
      <w:pPr>
        <w:spacing w:after="0" w:line="240" w:lineRule="auto"/>
      </w:pPr>
      <w:r>
        <w:separator/>
      </w:r>
    </w:p>
  </w:endnote>
  <w:endnote w:type="continuationSeparator" w:id="0">
    <w:p w14:paraId="0B5A686B" w14:textId="77777777" w:rsidR="001E7574" w:rsidRDefault="001E7574" w:rsidP="000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593334"/>
      <w:docPartObj>
        <w:docPartGallery w:val="Page Numbers (Bottom of Page)"/>
        <w:docPartUnique/>
      </w:docPartObj>
    </w:sdtPr>
    <w:sdtEndPr/>
    <w:sdtContent>
      <w:p w14:paraId="741202BC" w14:textId="372188BF" w:rsidR="00D4354A" w:rsidRDefault="00D435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60668" w14:textId="77777777" w:rsidR="00F5426D" w:rsidRDefault="00F5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3F32" w14:textId="77777777" w:rsidR="001E7574" w:rsidRDefault="001E7574" w:rsidP="000B186E">
      <w:pPr>
        <w:spacing w:after="0" w:line="240" w:lineRule="auto"/>
      </w:pPr>
      <w:r>
        <w:separator/>
      </w:r>
    </w:p>
  </w:footnote>
  <w:footnote w:type="continuationSeparator" w:id="0">
    <w:p w14:paraId="06987163" w14:textId="77777777" w:rsidR="001E7574" w:rsidRDefault="001E7574" w:rsidP="000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1CCF" w14:textId="77777777" w:rsidR="00611925" w:rsidRDefault="0061192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A54"/>
    <w:multiLevelType w:val="hybridMultilevel"/>
    <w:tmpl w:val="1F2C1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AF0"/>
    <w:multiLevelType w:val="hybridMultilevel"/>
    <w:tmpl w:val="1764AF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925"/>
    <w:multiLevelType w:val="hybridMultilevel"/>
    <w:tmpl w:val="A6B64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66BF"/>
    <w:multiLevelType w:val="hybridMultilevel"/>
    <w:tmpl w:val="735E6CA0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E64795"/>
    <w:multiLevelType w:val="hybridMultilevel"/>
    <w:tmpl w:val="2B409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552"/>
    <w:multiLevelType w:val="multilevel"/>
    <w:tmpl w:val="A7782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24" w:hanging="1800"/>
      </w:pPr>
      <w:rPr>
        <w:rFonts w:hint="default"/>
      </w:rPr>
    </w:lvl>
  </w:abstractNum>
  <w:abstractNum w:abstractNumId="6" w15:restartNumberingAfterBreak="0">
    <w:nsid w:val="14617593"/>
    <w:multiLevelType w:val="hybridMultilevel"/>
    <w:tmpl w:val="27EAB78C"/>
    <w:lvl w:ilvl="0" w:tplc="17463060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78342F8"/>
    <w:multiLevelType w:val="hybridMultilevel"/>
    <w:tmpl w:val="E28CBDB8"/>
    <w:lvl w:ilvl="0" w:tplc="52CEF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4EC1"/>
    <w:multiLevelType w:val="hybridMultilevel"/>
    <w:tmpl w:val="27EAB78C"/>
    <w:lvl w:ilvl="0" w:tplc="FFFFFFFF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AB5350F"/>
    <w:multiLevelType w:val="hybridMultilevel"/>
    <w:tmpl w:val="A6B64600"/>
    <w:lvl w:ilvl="0" w:tplc="541AF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4410"/>
    <w:multiLevelType w:val="hybridMultilevel"/>
    <w:tmpl w:val="E0CA4444"/>
    <w:lvl w:ilvl="0" w:tplc="7EF4D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7D10"/>
    <w:multiLevelType w:val="hybridMultilevel"/>
    <w:tmpl w:val="3FF051DE"/>
    <w:lvl w:ilvl="0" w:tplc="FFFFFFFF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1492960"/>
    <w:multiLevelType w:val="hybridMultilevel"/>
    <w:tmpl w:val="057EF430"/>
    <w:lvl w:ilvl="0" w:tplc="129C5A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33FA"/>
    <w:multiLevelType w:val="hybridMultilevel"/>
    <w:tmpl w:val="195E8BE4"/>
    <w:lvl w:ilvl="0" w:tplc="DAFED1F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254871DB"/>
    <w:multiLevelType w:val="hybridMultilevel"/>
    <w:tmpl w:val="50D2F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B2B4E"/>
    <w:multiLevelType w:val="hybridMultilevel"/>
    <w:tmpl w:val="ACFE04BE"/>
    <w:lvl w:ilvl="0" w:tplc="82FC5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5F74"/>
    <w:multiLevelType w:val="hybridMultilevel"/>
    <w:tmpl w:val="3FF051DE"/>
    <w:lvl w:ilvl="0" w:tplc="FFFFFFFF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BFC6D56"/>
    <w:multiLevelType w:val="hybridMultilevel"/>
    <w:tmpl w:val="35F45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5045"/>
    <w:multiLevelType w:val="hybridMultilevel"/>
    <w:tmpl w:val="687CB974"/>
    <w:lvl w:ilvl="0" w:tplc="129C5A1A">
      <w:start w:val="1"/>
      <w:numFmt w:val="decimal"/>
      <w:lvlText w:val="%1)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D852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FE1A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A206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2861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FCB4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C6B3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9C84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2A70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CC463E7"/>
    <w:multiLevelType w:val="hybridMultilevel"/>
    <w:tmpl w:val="B40EF976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F5B4DB6"/>
    <w:multiLevelType w:val="hybridMultilevel"/>
    <w:tmpl w:val="661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330C"/>
    <w:multiLevelType w:val="hybridMultilevel"/>
    <w:tmpl w:val="44FAA932"/>
    <w:lvl w:ilvl="0" w:tplc="5D42293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409133E9"/>
    <w:multiLevelType w:val="hybridMultilevel"/>
    <w:tmpl w:val="3FF051DE"/>
    <w:lvl w:ilvl="0" w:tplc="129C5A1A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6D476B3"/>
    <w:multiLevelType w:val="hybridMultilevel"/>
    <w:tmpl w:val="1764A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6469D"/>
    <w:multiLevelType w:val="hybridMultilevel"/>
    <w:tmpl w:val="26C00E8E"/>
    <w:lvl w:ilvl="0" w:tplc="1456895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B6F282B"/>
    <w:multiLevelType w:val="hybridMultilevel"/>
    <w:tmpl w:val="E3CC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87C78"/>
    <w:multiLevelType w:val="hybridMultilevel"/>
    <w:tmpl w:val="9CC6CC40"/>
    <w:lvl w:ilvl="0" w:tplc="5C78DEE6">
      <w:start w:val="1"/>
      <w:numFmt w:val="decimal"/>
      <w:lvlText w:val="%1)"/>
      <w:lvlJc w:val="left"/>
      <w:pPr>
        <w:ind w:left="87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8684AC4"/>
    <w:multiLevelType w:val="hybridMultilevel"/>
    <w:tmpl w:val="38546D4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F06863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4F50C9"/>
    <w:multiLevelType w:val="hybridMultilevel"/>
    <w:tmpl w:val="D6AABFFE"/>
    <w:lvl w:ilvl="0" w:tplc="17463060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60FF6D52"/>
    <w:multiLevelType w:val="hybridMultilevel"/>
    <w:tmpl w:val="EA904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D6F99"/>
    <w:multiLevelType w:val="hybridMultilevel"/>
    <w:tmpl w:val="43C8A9F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65762141"/>
    <w:multiLevelType w:val="hybridMultilevel"/>
    <w:tmpl w:val="C3CC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A3CF5"/>
    <w:multiLevelType w:val="hybridMultilevel"/>
    <w:tmpl w:val="7BB2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436E8"/>
    <w:multiLevelType w:val="hybridMultilevel"/>
    <w:tmpl w:val="F0CA0B0A"/>
    <w:lvl w:ilvl="0" w:tplc="5E0C8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697239"/>
    <w:multiLevelType w:val="hybridMultilevel"/>
    <w:tmpl w:val="2FA08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351FA"/>
    <w:multiLevelType w:val="hybridMultilevel"/>
    <w:tmpl w:val="633A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92987"/>
    <w:multiLevelType w:val="hybridMultilevel"/>
    <w:tmpl w:val="300EF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C5490"/>
    <w:multiLevelType w:val="hybridMultilevel"/>
    <w:tmpl w:val="E9D29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32A0"/>
    <w:multiLevelType w:val="hybridMultilevel"/>
    <w:tmpl w:val="B3E4A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B3EC8"/>
    <w:multiLevelType w:val="hybridMultilevel"/>
    <w:tmpl w:val="59128C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050DC"/>
    <w:multiLevelType w:val="hybridMultilevel"/>
    <w:tmpl w:val="F3407206"/>
    <w:lvl w:ilvl="0" w:tplc="74A0A26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57951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563843">
    <w:abstractNumId w:val="13"/>
  </w:num>
  <w:num w:numId="3" w16cid:durableId="609944381">
    <w:abstractNumId w:val="18"/>
  </w:num>
  <w:num w:numId="4" w16cid:durableId="79179031">
    <w:abstractNumId w:val="22"/>
  </w:num>
  <w:num w:numId="5" w16cid:durableId="548150405">
    <w:abstractNumId w:val="11"/>
  </w:num>
  <w:num w:numId="6" w16cid:durableId="280114999">
    <w:abstractNumId w:val="9"/>
  </w:num>
  <w:num w:numId="7" w16cid:durableId="458034001">
    <w:abstractNumId w:val="2"/>
  </w:num>
  <w:num w:numId="8" w16cid:durableId="283970320">
    <w:abstractNumId w:val="35"/>
  </w:num>
  <w:num w:numId="9" w16cid:durableId="1458796412">
    <w:abstractNumId w:val="25"/>
  </w:num>
  <w:num w:numId="10" w16cid:durableId="1586453383">
    <w:abstractNumId w:val="14"/>
  </w:num>
  <w:num w:numId="11" w16cid:durableId="952904719">
    <w:abstractNumId w:val="12"/>
  </w:num>
  <w:num w:numId="12" w16cid:durableId="1007905465">
    <w:abstractNumId w:val="21"/>
  </w:num>
  <w:num w:numId="13" w16cid:durableId="1870875312">
    <w:abstractNumId w:val="16"/>
  </w:num>
  <w:num w:numId="14" w16cid:durableId="1439182066">
    <w:abstractNumId w:val="15"/>
  </w:num>
  <w:num w:numId="15" w16cid:durableId="2004702296">
    <w:abstractNumId w:val="40"/>
  </w:num>
  <w:num w:numId="16" w16cid:durableId="437677463">
    <w:abstractNumId w:val="38"/>
  </w:num>
  <w:num w:numId="17" w16cid:durableId="199515894">
    <w:abstractNumId w:val="29"/>
  </w:num>
  <w:num w:numId="18" w16cid:durableId="910508352">
    <w:abstractNumId w:val="31"/>
  </w:num>
  <w:num w:numId="19" w16cid:durableId="1554539042">
    <w:abstractNumId w:val="20"/>
  </w:num>
  <w:num w:numId="20" w16cid:durableId="1319266063">
    <w:abstractNumId w:val="34"/>
  </w:num>
  <w:num w:numId="21" w16cid:durableId="2127233962">
    <w:abstractNumId w:val="39"/>
  </w:num>
  <w:num w:numId="22" w16cid:durableId="1256207100">
    <w:abstractNumId w:val="10"/>
  </w:num>
  <w:num w:numId="23" w16cid:durableId="776751395">
    <w:abstractNumId w:val="27"/>
  </w:num>
  <w:num w:numId="24" w16cid:durableId="1978028991">
    <w:abstractNumId w:val="19"/>
  </w:num>
  <w:num w:numId="25" w16cid:durableId="58797573">
    <w:abstractNumId w:val="6"/>
  </w:num>
  <w:num w:numId="26" w16cid:durableId="1012221677">
    <w:abstractNumId w:val="8"/>
  </w:num>
  <w:num w:numId="27" w16cid:durableId="1736735611">
    <w:abstractNumId w:val="26"/>
  </w:num>
  <w:num w:numId="28" w16cid:durableId="1653755877">
    <w:abstractNumId w:val="4"/>
  </w:num>
  <w:num w:numId="29" w16cid:durableId="1888375295">
    <w:abstractNumId w:val="37"/>
  </w:num>
  <w:num w:numId="30" w16cid:durableId="224268938">
    <w:abstractNumId w:val="36"/>
  </w:num>
  <w:num w:numId="31" w16cid:durableId="1488012279">
    <w:abstractNumId w:val="33"/>
  </w:num>
  <w:num w:numId="32" w16cid:durableId="306588347">
    <w:abstractNumId w:val="3"/>
  </w:num>
  <w:num w:numId="33" w16cid:durableId="1750345297">
    <w:abstractNumId w:val="23"/>
  </w:num>
  <w:num w:numId="34" w16cid:durableId="1602755974">
    <w:abstractNumId w:val="1"/>
  </w:num>
  <w:num w:numId="35" w16cid:durableId="2013531595">
    <w:abstractNumId w:val="28"/>
  </w:num>
  <w:num w:numId="36" w16cid:durableId="1185092855">
    <w:abstractNumId w:val="32"/>
  </w:num>
  <w:num w:numId="37" w16cid:durableId="781922916">
    <w:abstractNumId w:val="30"/>
  </w:num>
  <w:num w:numId="38" w16cid:durableId="564803835">
    <w:abstractNumId w:val="24"/>
  </w:num>
  <w:num w:numId="39" w16cid:durableId="1785153533">
    <w:abstractNumId w:val="7"/>
  </w:num>
  <w:num w:numId="40" w16cid:durableId="996497257">
    <w:abstractNumId w:val="5"/>
  </w:num>
  <w:num w:numId="41" w16cid:durableId="396632510">
    <w:abstractNumId w:val="0"/>
  </w:num>
  <w:num w:numId="42" w16cid:durableId="180048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6E"/>
    <w:rsid w:val="00001050"/>
    <w:rsid w:val="0001066D"/>
    <w:rsid w:val="00011603"/>
    <w:rsid w:val="00011A77"/>
    <w:rsid w:val="000142D8"/>
    <w:rsid w:val="00020793"/>
    <w:rsid w:val="00023B59"/>
    <w:rsid w:val="0003279F"/>
    <w:rsid w:val="00037577"/>
    <w:rsid w:val="00041B8C"/>
    <w:rsid w:val="0004277C"/>
    <w:rsid w:val="00043D67"/>
    <w:rsid w:val="00050834"/>
    <w:rsid w:val="000527D1"/>
    <w:rsid w:val="00053669"/>
    <w:rsid w:val="00053817"/>
    <w:rsid w:val="00054B94"/>
    <w:rsid w:val="00057D7D"/>
    <w:rsid w:val="00060688"/>
    <w:rsid w:val="0006422E"/>
    <w:rsid w:val="000643D5"/>
    <w:rsid w:val="00066EB1"/>
    <w:rsid w:val="0007461C"/>
    <w:rsid w:val="00077DBF"/>
    <w:rsid w:val="00090FFF"/>
    <w:rsid w:val="0009194E"/>
    <w:rsid w:val="00092BA4"/>
    <w:rsid w:val="000B186E"/>
    <w:rsid w:val="000B25D0"/>
    <w:rsid w:val="000C517A"/>
    <w:rsid w:val="000D0A75"/>
    <w:rsid w:val="000E3D27"/>
    <w:rsid w:val="000E46B3"/>
    <w:rsid w:val="000E6981"/>
    <w:rsid w:val="000E7998"/>
    <w:rsid w:val="000F0251"/>
    <w:rsid w:val="000F1EB4"/>
    <w:rsid w:val="000F28EF"/>
    <w:rsid w:val="000F2F66"/>
    <w:rsid w:val="00103519"/>
    <w:rsid w:val="001048A2"/>
    <w:rsid w:val="0010494E"/>
    <w:rsid w:val="001076E2"/>
    <w:rsid w:val="00107D9A"/>
    <w:rsid w:val="00112489"/>
    <w:rsid w:val="00122F3A"/>
    <w:rsid w:val="0012600D"/>
    <w:rsid w:val="001317EC"/>
    <w:rsid w:val="0013449A"/>
    <w:rsid w:val="0014363E"/>
    <w:rsid w:val="00146C8D"/>
    <w:rsid w:val="00152F97"/>
    <w:rsid w:val="00153B4C"/>
    <w:rsid w:val="00156827"/>
    <w:rsid w:val="00171F84"/>
    <w:rsid w:val="0017307A"/>
    <w:rsid w:val="00174A5C"/>
    <w:rsid w:val="001751CA"/>
    <w:rsid w:val="0018394C"/>
    <w:rsid w:val="00183B5D"/>
    <w:rsid w:val="001871EC"/>
    <w:rsid w:val="001A5373"/>
    <w:rsid w:val="001A5393"/>
    <w:rsid w:val="001C1375"/>
    <w:rsid w:val="001C1D2C"/>
    <w:rsid w:val="001C3F3D"/>
    <w:rsid w:val="001C5DDD"/>
    <w:rsid w:val="001C7F97"/>
    <w:rsid w:val="001D3C9A"/>
    <w:rsid w:val="001D7ADF"/>
    <w:rsid w:val="001E7574"/>
    <w:rsid w:val="00201AC1"/>
    <w:rsid w:val="00203F97"/>
    <w:rsid w:val="00212DF8"/>
    <w:rsid w:val="00213E78"/>
    <w:rsid w:val="00214832"/>
    <w:rsid w:val="00215C04"/>
    <w:rsid w:val="002232E5"/>
    <w:rsid w:val="002237D3"/>
    <w:rsid w:val="0022425C"/>
    <w:rsid w:val="0022516D"/>
    <w:rsid w:val="002317FB"/>
    <w:rsid w:val="002349C4"/>
    <w:rsid w:val="00234A89"/>
    <w:rsid w:val="00241FA8"/>
    <w:rsid w:val="00244F16"/>
    <w:rsid w:val="00247542"/>
    <w:rsid w:val="00260CB6"/>
    <w:rsid w:val="0026237D"/>
    <w:rsid w:val="0026392C"/>
    <w:rsid w:val="00266B36"/>
    <w:rsid w:val="00267153"/>
    <w:rsid w:val="00271864"/>
    <w:rsid w:val="002737D7"/>
    <w:rsid w:val="00273F8C"/>
    <w:rsid w:val="002876ED"/>
    <w:rsid w:val="00287F72"/>
    <w:rsid w:val="00290549"/>
    <w:rsid w:val="002929F4"/>
    <w:rsid w:val="00293110"/>
    <w:rsid w:val="002A2A60"/>
    <w:rsid w:val="002B24B0"/>
    <w:rsid w:val="002B25E8"/>
    <w:rsid w:val="002B2A34"/>
    <w:rsid w:val="002B5847"/>
    <w:rsid w:val="002C3115"/>
    <w:rsid w:val="002C31B7"/>
    <w:rsid w:val="002C689A"/>
    <w:rsid w:val="002D00D8"/>
    <w:rsid w:val="002D2E56"/>
    <w:rsid w:val="002D3AC8"/>
    <w:rsid w:val="002D5CBE"/>
    <w:rsid w:val="002D6E66"/>
    <w:rsid w:val="002E3B44"/>
    <w:rsid w:val="002E41C4"/>
    <w:rsid w:val="002E6C61"/>
    <w:rsid w:val="002E7D93"/>
    <w:rsid w:val="002F2633"/>
    <w:rsid w:val="002F2E27"/>
    <w:rsid w:val="002F683C"/>
    <w:rsid w:val="00303ECE"/>
    <w:rsid w:val="003044C4"/>
    <w:rsid w:val="00304BBB"/>
    <w:rsid w:val="003069FA"/>
    <w:rsid w:val="0031685B"/>
    <w:rsid w:val="00325521"/>
    <w:rsid w:val="003257C0"/>
    <w:rsid w:val="00326624"/>
    <w:rsid w:val="00331464"/>
    <w:rsid w:val="003317B8"/>
    <w:rsid w:val="00334C8E"/>
    <w:rsid w:val="0034134A"/>
    <w:rsid w:val="003439BC"/>
    <w:rsid w:val="00344823"/>
    <w:rsid w:val="00344D1C"/>
    <w:rsid w:val="003559A6"/>
    <w:rsid w:val="00360199"/>
    <w:rsid w:val="00362E85"/>
    <w:rsid w:val="003668FD"/>
    <w:rsid w:val="0037090D"/>
    <w:rsid w:val="003728F5"/>
    <w:rsid w:val="00374E1B"/>
    <w:rsid w:val="003759AB"/>
    <w:rsid w:val="00381A20"/>
    <w:rsid w:val="003820FC"/>
    <w:rsid w:val="003908D6"/>
    <w:rsid w:val="00391C89"/>
    <w:rsid w:val="00393DBF"/>
    <w:rsid w:val="0039548A"/>
    <w:rsid w:val="003A06AF"/>
    <w:rsid w:val="003A2A5B"/>
    <w:rsid w:val="003A5E37"/>
    <w:rsid w:val="003A70AA"/>
    <w:rsid w:val="003B4669"/>
    <w:rsid w:val="003B5948"/>
    <w:rsid w:val="003B71C2"/>
    <w:rsid w:val="003C7360"/>
    <w:rsid w:val="003D161C"/>
    <w:rsid w:val="003D1C37"/>
    <w:rsid w:val="003D1C8A"/>
    <w:rsid w:val="003D3B51"/>
    <w:rsid w:val="003D75EC"/>
    <w:rsid w:val="003E0231"/>
    <w:rsid w:val="003E1F94"/>
    <w:rsid w:val="003E205A"/>
    <w:rsid w:val="003E6664"/>
    <w:rsid w:val="003E7ABC"/>
    <w:rsid w:val="003F1966"/>
    <w:rsid w:val="00402EBC"/>
    <w:rsid w:val="004044D2"/>
    <w:rsid w:val="0040503A"/>
    <w:rsid w:val="0040714E"/>
    <w:rsid w:val="00410BD9"/>
    <w:rsid w:val="00414B17"/>
    <w:rsid w:val="0042576C"/>
    <w:rsid w:val="00430770"/>
    <w:rsid w:val="00433D0C"/>
    <w:rsid w:val="0044169A"/>
    <w:rsid w:val="00441E95"/>
    <w:rsid w:val="004439E2"/>
    <w:rsid w:val="0045566F"/>
    <w:rsid w:val="0046037D"/>
    <w:rsid w:val="00464813"/>
    <w:rsid w:val="00467D7A"/>
    <w:rsid w:val="00471521"/>
    <w:rsid w:val="004733C6"/>
    <w:rsid w:val="00474624"/>
    <w:rsid w:val="004816F6"/>
    <w:rsid w:val="0049047E"/>
    <w:rsid w:val="0049551C"/>
    <w:rsid w:val="004A1469"/>
    <w:rsid w:val="004A1BCA"/>
    <w:rsid w:val="004B192F"/>
    <w:rsid w:val="004B41BF"/>
    <w:rsid w:val="004C01EE"/>
    <w:rsid w:val="004C2762"/>
    <w:rsid w:val="004C29E0"/>
    <w:rsid w:val="004C2EB6"/>
    <w:rsid w:val="004C3D2B"/>
    <w:rsid w:val="004D4417"/>
    <w:rsid w:val="004D6C06"/>
    <w:rsid w:val="004E1A58"/>
    <w:rsid w:val="004F3E60"/>
    <w:rsid w:val="004F71B9"/>
    <w:rsid w:val="0050501B"/>
    <w:rsid w:val="00505E98"/>
    <w:rsid w:val="00507482"/>
    <w:rsid w:val="00510804"/>
    <w:rsid w:val="00511D1D"/>
    <w:rsid w:val="00513FCB"/>
    <w:rsid w:val="005149C1"/>
    <w:rsid w:val="005159C8"/>
    <w:rsid w:val="00520BB1"/>
    <w:rsid w:val="00526672"/>
    <w:rsid w:val="0053061F"/>
    <w:rsid w:val="00531BF2"/>
    <w:rsid w:val="005401E7"/>
    <w:rsid w:val="00540524"/>
    <w:rsid w:val="0054150B"/>
    <w:rsid w:val="00544FEB"/>
    <w:rsid w:val="00550678"/>
    <w:rsid w:val="00555315"/>
    <w:rsid w:val="005671C6"/>
    <w:rsid w:val="00582241"/>
    <w:rsid w:val="005831CA"/>
    <w:rsid w:val="0058328A"/>
    <w:rsid w:val="00587EBD"/>
    <w:rsid w:val="005907EB"/>
    <w:rsid w:val="0059196E"/>
    <w:rsid w:val="0059398F"/>
    <w:rsid w:val="00594D4D"/>
    <w:rsid w:val="005966E6"/>
    <w:rsid w:val="00597A34"/>
    <w:rsid w:val="005A2B49"/>
    <w:rsid w:val="005A3549"/>
    <w:rsid w:val="005A42CF"/>
    <w:rsid w:val="005A504F"/>
    <w:rsid w:val="005B1908"/>
    <w:rsid w:val="005B412C"/>
    <w:rsid w:val="005B7533"/>
    <w:rsid w:val="005C0849"/>
    <w:rsid w:val="005C6F90"/>
    <w:rsid w:val="005C719D"/>
    <w:rsid w:val="005D057C"/>
    <w:rsid w:val="005F49A2"/>
    <w:rsid w:val="005F6FB3"/>
    <w:rsid w:val="00601D67"/>
    <w:rsid w:val="006034A1"/>
    <w:rsid w:val="00605800"/>
    <w:rsid w:val="00611925"/>
    <w:rsid w:val="00611E7F"/>
    <w:rsid w:val="006201DC"/>
    <w:rsid w:val="0063156F"/>
    <w:rsid w:val="00631CD7"/>
    <w:rsid w:val="006455F5"/>
    <w:rsid w:val="006537C5"/>
    <w:rsid w:val="00653E46"/>
    <w:rsid w:val="00654E33"/>
    <w:rsid w:val="00657C39"/>
    <w:rsid w:val="00661415"/>
    <w:rsid w:val="006626A0"/>
    <w:rsid w:val="0066274D"/>
    <w:rsid w:val="006652C6"/>
    <w:rsid w:val="00673EBB"/>
    <w:rsid w:val="00693215"/>
    <w:rsid w:val="00696FAC"/>
    <w:rsid w:val="006A2B99"/>
    <w:rsid w:val="006A3204"/>
    <w:rsid w:val="006A735A"/>
    <w:rsid w:val="006A7951"/>
    <w:rsid w:val="006B1815"/>
    <w:rsid w:val="006C2CCD"/>
    <w:rsid w:val="006C799F"/>
    <w:rsid w:val="006D38A0"/>
    <w:rsid w:val="006D3DDC"/>
    <w:rsid w:val="006D4B5A"/>
    <w:rsid w:val="006D7C4B"/>
    <w:rsid w:val="006E302F"/>
    <w:rsid w:val="006E6C32"/>
    <w:rsid w:val="006F14A0"/>
    <w:rsid w:val="006F367D"/>
    <w:rsid w:val="006F6672"/>
    <w:rsid w:val="006F6785"/>
    <w:rsid w:val="00707229"/>
    <w:rsid w:val="007112E3"/>
    <w:rsid w:val="007249BC"/>
    <w:rsid w:val="00727BAE"/>
    <w:rsid w:val="0073072E"/>
    <w:rsid w:val="00731FEA"/>
    <w:rsid w:val="00733FD6"/>
    <w:rsid w:val="007340A2"/>
    <w:rsid w:val="00734E0C"/>
    <w:rsid w:val="007402CD"/>
    <w:rsid w:val="00745275"/>
    <w:rsid w:val="00746353"/>
    <w:rsid w:val="00757634"/>
    <w:rsid w:val="00777D64"/>
    <w:rsid w:val="007808B0"/>
    <w:rsid w:val="00787DE0"/>
    <w:rsid w:val="00791FFC"/>
    <w:rsid w:val="0079294F"/>
    <w:rsid w:val="00792B1F"/>
    <w:rsid w:val="00793A9D"/>
    <w:rsid w:val="00794222"/>
    <w:rsid w:val="00796199"/>
    <w:rsid w:val="007B4B3D"/>
    <w:rsid w:val="007C00A3"/>
    <w:rsid w:val="007C4A94"/>
    <w:rsid w:val="007C6782"/>
    <w:rsid w:val="007D3EFA"/>
    <w:rsid w:val="007E0306"/>
    <w:rsid w:val="007E51A7"/>
    <w:rsid w:val="007F45BF"/>
    <w:rsid w:val="007F5844"/>
    <w:rsid w:val="008047C9"/>
    <w:rsid w:val="008061D0"/>
    <w:rsid w:val="00806F65"/>
    <w:rsid w:val="00811038"/>
    <w:rsid w:val="00814649"/>
    <w:rsid w:val="008152AE"/>
    <w:rsid w:val="00815AE4"/>
    <w:rsid w:val="00821ADD"/>
    <w:rsid w:val="00822320"/>
    <w:rsid w:val="00822A7D"/>
    <w:rsid w:val="0082514F"/>
    <w:rsid w:val="008311D9"/>
    <w:rsid w:val="00833E2C"/>
    <w:rsid w:val="00845B34"/>
    <w:rsid w:val="0085401E"/>
    <w:rsid w:val="00856ED9"/>
    <w:rsid w:val="00860CA7"/>
    <w:rsid w:val="00860F5A"/>
    <w:rsid w:val="00863007"/>
    <w:rsid w:val="00863E49"/>
    <w:rsid w:val="00870116"/>
    <w:rsid w:val="00872987"/>
    <w:rsid w:val="00876303"/>
    <w:rsid w:val="00881496"/>
    <w:rsid w:val="008818AE"/>
    <w:rsid w:val="00884EB4"/>
    <w:rsid w:val="0088687F"/>
    <w:rsid w:val="00887790"/>
    <w:rsid w:val="00892774"/>
    <w:rsid w:val="008928D3"/>
    <w:rsid w:val="008938B9"/>
    <w:rsid w:val="0089529E"/>
    <w:rsid w:val="008963E5"/>
    <w:rsid w:val="008B3337"/>
    <w:rsid w:val="008B5020"/>
    <w:rsid w:val="008B63D8"/>
    <w:rsid w:val="008C3A70"/>
    <w:rsid w:val="008C532A"/>
    <w:rsid w:val="008C59DF"/>
    <w:rsid w:val="008C6FBF"/>
    <w:rsid w:val="008C79E1"/>
    <w:rsid w:val="008D7222"/>
    <w:rsid w:val="008D7C14"/>
    <w:rsid w:val="008F0318"/>
    <w:rsid w:val="008F39B5"/>
    <w:rsid w:val="008F3F0D"/>
    <w:rsid w:val="008F5474"/>
    <w:rsid w:val="00900DDA"/>
    <w:rsid w:val="00905FB1"/>
    <w:rsid w:val="00916F29"/>
    <w:rsid w:val="00920582"/>
    <w:rsid w:val="00922F1F"/>
    <w:rsid w:val="009250BD"/>
    <w:rsid w:val="00925F3F"/>
    <w:rsid w:val="00930149"/>
    <w:rsid w:val="00931430"/>
    <w:rsid w:val="00934319"/>
    <w:rsid w:val="00935ED9"/>
    <w:rsid w:val="00943AFF"/>
    <w:rsid w:val="0094433B"/>
    <w:rsid w:val="00945AA2"/>
    <w:rsid w:val="009466B8"/>
    <w:rsid w:val="00950D4C"/>
    <w:rsid w:val="009543A1"/>
    <w:rsid w:val="0095592C"/>
    <w:rsid w:val="00955997"/>
    <w:rsid w:val="00955F33"/>
    <w:rsid w:val="00957CC4"/>
    <w:rsid w:val="0096132A"/>
    <w:rsid w:val="00970A92"/>
    <w:rsid w:val="00971124"/>
    <w:rsid w:val="00972DAE"/>
    <w:rsid w:val="009764BF"/>
    <w:rsid w:val="00977863"/>
    <w:rsid w:val="00985A40"/>
    <w:rsid w:val="0099365A"/>
    <w:rsid w:val="009A6C56"/>
    <w:rsid w:val="009B4D48"/>
    <w:rsid w:val="009B5635"/>
    <w:rsid w:val="009C030A"/>
    <w:rsid w:val="009C22C3"/>
    <w:rsid w:val="009C2B94"/>
    <w:rsid w:val="009D0E2E"/>
    <w:rsid w:val="009D1CA9"/>
    <w:rsid w:val="009D417B"/>
    <w:rsid w:val="009E3C03"/>
    <w:rsid w:val="00A030EC"/>
    <w:rsid w:val="00A04956"/>
    <w:rsid w:val="00A0709B"/>
    <w:rsid w:val="00A07F7C"/>
    <w:rsid w:val="00A1176E"/>
    <w:rsid w:val="00A12356"/>
    <w:rsid w:val="00A170CD"/>
    <w:rsid w:val="00A30304"/>
    <w:rsid w:val="00A312A7"/>
    <w:rsid w:val="00A31B88"/>
    <w:rsid w:val="00A401BF"/>
    <w:rsid w:val="00A40851"/>
    <w:rsid w:val="00A4113B"/>
    <w:rsid w:val="00A41C1A"/>
    <w:rsid w:val="00A53ADE"/>
    <w:rsid w:val="00A54E32"/>
    <w:rsid w:val="00A5776B"/>
    <w:rsid w:val="00A60406"/>
    <w:rsid w:val="00A67AB3"/>
    <w:rsid w:val="00A73CD4"/>
    <w:rsid w:val="00A74209"/>
    <w:rsid w:val="00A75CFE"/>
    <w:rsid w:val="00A77637"/>
    <w:rsid w:val="00A81B8A"/>
    <w:rsid w:val="00A9012C"/>
    <w:rsid w:val="00A948D8"/>
    <w:rsid w:val="00A94E27"/>
    <w:rsid w:val="00AA5148"/>
    <w:rsid w:val="00AB5423"/>
    <w:rsid w:val="00AC3CBC"/>
    <w:rsid w:val="00AD0827"/>
    <w:rsid w:val="00AD4557"/>
    <w:rsid w:val="00AD739D"/>
    <w:rsid w:val="00AE08CD"/>
    <w:rsid w:val="00AE6DB3"/>
    <w:rsid w:val="00AF0B61"/>
    <w:rsid w:val="00AF4278"/>
    <w:rsid w:val="00AF4376"/>
    <w:rsid w:val="00AF62C9"/>
    <w:rsid w:val="00B00155"/>
    <w:rsid w:val="00B00E65"/>
    <w:rsid w:val="00B048A6"/>
    <w:rsid w:val="00B05AAB"/>
    <w:rsid w:val="00B17E58"/>
    <w:rsid w:val="00B227BE"/>
    <w:rsid w:val="00B3259D"/>
    <w:rsid w:val="00B35C3E"/>
    <w:rsid w:val="00B37176"/>
    <w:rsid w:val="00B42A7C"/>
    <w:rsid w:val="00B42F7E"/>
    <w:rsid w:val="00B468CC"/>
    <w:rsid w:val="00B5114A"/>
    <w:rsid w:val="00B519EB"/>
    <w:rsid w:val="00B541DB"/>
    <w:rsid w:val="00B61D7A"/>
    <w:rsid w:val="00B65BAA"/>
    <w:rsid w:val="00B825C0"/>
    <w:rsid w:val="00B85C1F"/>
    <w:rsid w:val="00B87FE7"/>
    <w:rsid w:val="00B97578"/>
    <w:rsid w:val="00BA23BB"/>
    <w:rsid w:val="00BA7837"/>
    <w:rsid w:val="00BB02B9"/>
    <w:rsid w:val="00BB3C10"/>
    <w:rsid w:val="00BB45DE"/>
    <w:rsid w:val="00BB4D0C"/>
    <w:rsid w:val="00BC3580"/>
    <w:rsid w:val="00BC48F5"/>
    <w:rsid w:val="00BC534D"/>
    <w:rsid w:val="00BC6C31"/>
    <w:rsid w:val="00BD1354"/>
    <w:rsid w:val="00BD4D00"/>
    <w:rsid w:val="00BD6D47"/>
    <w:rsid w:val="00BE00BB"/>
    <w:rsid w:val="00BE03A8"/>
    <w:rsid w:val="00BE1F06"/>
    <w:rsid w:val="00BF251D"/>
    <w:rsid w:val="00BF4BB6"/>
    <w:rsid w:val="00BF780E"/>
    <w:rsid w:val="00BF7AAF"/>
    <w:rsid w:val="00C11A2E"/>
    <w:rsid w:val="00C16511"/>
    <w:rsid w:val="00C16515"/>
    <w:rsid w:val="00C219D5"/>
    <w:rsid w:val="00C22537"/>
    <w:rsid w:val="00C26A01"/>
    <w:rsid w:val="00C31D30"/>
    <w:rsid w:val="00C3797F"/>
    <w:rsid w:val="00C37C1D"/>
    <w:rsid w:val="00C4193D"/>
    <w:rsid w:val="00C443F8"/>
    <w:rsid w:val="00C53136"/>
    <w:rsid w:val="00C5331E"/>
    <w:rsid w:val="00C53FE8"/>
    <w:rsid w:val="00C56513"/>
    <w:rsid w:val="00C604C2"/>
    <w:rsid w:val="00C64C36"/>
    <w:rsid w:val="00C658DE"/>
    <w:rsid w:val="00C65CB6"/>
    <w:rsid w:val="00C70622"/>
    <w:rsid w:val="00C70AD4"/>
    <w:rsid w:val="00C7283E"/>
    <w:rsid w:val="00C73A47"/>
    <w:rsid w:val="00C74D49"/>
    <w:rsid w:val="00C813A9"/>
    <w:rsid w:val="00C93CF4"/>
    <w:rsid w:val="00CA1F57"/>
    <w:rsid w:val="00CA2EDE"/>
    <w:rsid w:val="00CA442D"/>
    <w:rsid w:val="00CB250A"/>
    <w:rsid w:val="00CB6B77"/>
    <w:rsid w:val="00CC0AED"/>
    <w:rsid w:val="00CC2845"/>
    <w:rsid w:val="00CC5B04"/>
    <w:rsid w:val="00CC6581"/>
    <w:rsid w:val="00CE29C4"/>
    <w:rsid w:val="00CE2E8B"/>
    <w:rsid w:val="00CE32F5"/>
    <w:rsid w:val="00CE3D2B"/>
    <w:rsid w:val="00CF0AD3"/>
    <w:rsid w:val="00CF2EC9"/>
    <w:rsid w:val="00CF597D"/>
    <w:rsid w:val="00D117D4"/>
    <w:rsid w:val="00D16D42"/>
    <w:rsid w:val="00D20E48"/>
    <w:rsid w:val="00D25DA3"/>
    <w:rsid w:val="00D25F70"/>
    <w:rsid w:val="00D37B45"/>
    <w:rsid w:val="00D4354A"/>
    <w:rsid w:val="00D533DF"/>
    <w:rsid w:val="00D56B46"/>
    <w:rsid w:val="00D57AA0"/>
    <w:rsid w:val="00D60D0A"/>
    <w:rsid w:val="00D629DA"/>
    <w:rsid w:val="00D707EA"/>
    <w:rsid w:val="00D830F0"/>
    <w:rsid w:val="00D8327A"/>
    <w:rsid w:val="00D8747D"/>
    <w:rsid w:val="00D90480"/>
    <w:rsid w:val="00D93FC3"/>
    <w:rsid w:val="00DA6923"/>
    <w:rsid w:val="00DB120A"/>
    <w:rsid w:val="00DB2D19"/>
    <w:rsid w:val="00DB78ED"/>
    <w:rsid w:val="00DC49EC"/>
    <w:rsid w:val="00DD3476"/>
    <w:rsid w:val="00DD3842"/>
    <w:rsid w:val="00DD66D2"/>
    <w:rsid w:val="00DD6725"/>
    <w:rsid w:val="00DD79B4"/>
    <w:rsid w:val="00DE35B2"/>
    <w:rsid w:val="00DE5DBD"/>
    <w:rsid w:val="00DE6F08"/>
    <w:rsid w:val="00DF6B7E"/>
    <w:rsid w:val="00E101BB"/>
    <w:rsid w:val="00E122D8"/>
    <w:rsid w:val="00E1570C"/>
    <w:rsid w:val="00E15BFB"/>
    <w:rsid w:val="00E16226"/>
    <w:rsid w:val="00E21BCC"/>
    <w:rsid w:val="00E22BCF"/>
    <w:rsid w:val="00E252A0"/>
    <w:rsid w:val="00E26526"/>
    <w:rsid w:val="00E308D8"/>
    <w:rsid w:val="00E326A7"/>
    <w:rsid w:val="00E436EE"/>
    <w:rsid w:val="00E44AD1"/>
    <w:rsid w:val="00E5292A"/>
    <w:rsid w:val="00E53AAB"/>
    <w:rsid w:val="00E60A0F"/>
    <w:rsid w:val="00E72C69"/>
    <w:rsid w:val="00E73AA2"/>
    <w:rsid w:val="00E759BD"/>
    <w:rsid w:val="00E75F67"/>
    <w:rsid w:val="00E85FEE"/>
    <w:rsid w:val="00E86C75"/>
    <w:rsid w:val="00E87825"/>
    <w:rsid w:val="00E8788B"/>
    <w:rsid w:val="00E9549A"/>
    <w:rsid w:val="00E96359"/>
    <w:rsid w:val="00E964E4"/>
    <w:rsid w:val="00EB0897"/>
    <w:rsid w:val="00EB0FE3"/>
    <w:rsid w:val="00EC1924"/>
    <w:rsid w:val="00EC3D8C"/>
    <w:rsid w:val="00ED00F5"/>
    <w:rsid w:val="00ED01E7"/>
    <w:rsid w:val="00ED54A2"/>
    <w:rsid w:val="00EE183E"/>
    <w:rsid w:val="00EE5F79"/>
    <w:rsid w:val="00EE76C6"/>
    <w:rsid w:val="00EF1799"/>
    <w:rsid w:val="00EF271E"/>
    <w:rsid w:val="00EF71A4"/>
    <w:rsid w:val="00F002C9"/>
    <w:rsid w:val="00F006A5"/>
    <w:rsid w:val="00F00BC9"/>
    <w:rsid w:val="00F06791"/>
    <w:rsid w:val="00F154AE"/>
    <w:rsid w:val="00F158B8"/>
    <w:rsid w:val="00F16B82"/>
    <w:rsid w:val="00F24FBB"/>
    <w:rsid w:val="00F25D3F"/>
    <w:rsid w:val="00F30559"/>
    <w:rsid w:val="00F3317D"/>
    <w:rsid w:val="00F35CC1"/>
    <w:rsid w:val="00F4679E"/>
    <w:rsid w:val="00F47FA0"/>
    <w:rsid w:val="00F5426D"/>
    <w:rsid w:val="00F548D3"/>
    <w:rsid w:val="00F562F8"/>
    <w:rsid w:val="00F564B8"/>
    <w:rsid w:val="00F6065A"/>
    <w:rsid w:val="00F664C4"/>
    <w:rsid w:val="00F71C45"/>
    <w:rsid w:val="00F801C1"/>
    <w:rsid w:val="00F801F9"/>
    <w:rsid w:val="00F80C18"/>
    <w:rsid w:val="00FA16BA"/>
    <w:rsid w:val="00FA2273"/>
    <w:rsid w:val="00FA7BFB"/>
    <w:rsid w:val="00FB11F1"/>
    <w:rsid w:val="00FB2B0A"/>
    <w:rsid w:val="00FC6A71"/>
    <w:rsid w:val="00FC735C"/>
    <w:rsid w:val="00FD4858"/>
    <w:rsid w:val="00FD4929"/>
    <w:rsid w:val="00FD51C4"/>
    <w:rsid w:val="00FD7174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F5DE8"/>
  <w15:chartTrackingRefBased/>
  <w15:docId w15:val="{2DBAF5FA-25B2-404E-9850-AA5685DB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6E"/>
    <w:pPr>
      <w:spacing w:after="118" w:line="357" w:lineRule="auto"/>
      <w:ind w:right="768" w:firstLine="50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B186E"/>
    <w:pPr>
      <w:keepNext/>
      <w:keepLines/>
      <w:spacing w:after="225" w:line="264" w:lineRule="auto"/>
      <w:ind w:left="10" w:right="8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86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86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86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972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9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4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C27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762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C89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1176E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9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F7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3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356"/>
    <w:rPr>
      <w:vertAlign w:val="superscript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DA6923"/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DA692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22F3A"/>
    <w:pPr>
      <w:suppressAutoHyphens/>
      <w:autoSpaceDE w:val="0"/>
      <w:autoSpaceDN w:val="0"/>
      <w:adjustRightInd w:val="0"/>
      <w:spacing w:before="120" w:after="0" w:line="360" w:lineRule="auto"/>
      <w:ind w:right="0" w:firstLine="510"/>
    </w:pPr>
    <w:rPr>
      <w:rFonts w:ascii="Times" w:eastAsiaTheme="minorEastAsia" w:hAnsi="Times" w:cs="Arial"/>
      <w:bCs/>
      <w:color w:val="auto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C218-4E40-4CC7-B2E8-1ADC1564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Kalińska Sandra</dc:creator>
  <cp:keywords/>
  <dc:description/>
  <cp:lastModifiedBy>Wójcik Aleksandra</cp:lastModifiedBy>
  <cp:revision>3</cp:revision>
  <dcterms:created xsi:type="dcterms:W3CDTF">2024-11-13T15:17:00Z</dcterms:created>
  <dcterms:modified xsi:type="dcterms:W3CDTF">2024-11-13T15:24:00Z</dcterms:modified>
</cp:coreProperties>
</file>