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03BFA" w14:textId="656F5A5F" w:rsidR="00C614D4" w:rsidRPr="00667967" w:rsidRDefault="00C268CB" w:rsidP="00595221">
      <w:pPr>
        <w:widowControl/>
        <w:spacing w:after="240" w:line="360" w:lineRule="auto"/>
        <w:jc w:val="center"/>
        <w:rPr>
          <w:rFonts w:ascii="Times New Roman" w:hAnsi="Times New Roman" w:cs="Times New Roman"/>
        </w:rPr>
      </w:pPr>
      <w:r w:rsidRPr="00667967">
        <w:rPr>
          <w:rFonts w:ascii="Times New Roman" w:hAnsi="Times New Roman" w:cs="Times New Roman"/>
        </w:rPr>
        <w:t>UZASADNIENIE</w:t>
      </w:r>
    </w:p>
    <w:p w14:paraId="2DD9EA98" w14:textId="25250F3A" w:rsidR="00C268CB" w:rsidRPr="00667967" w:rsidRDefault="00C268CB" w:rsidP="00595221">
      <w:pPr>
        <w:pStyle w:val="Akapitzlist3"/>
        <w:widowControl/>
        <w:numPr>
          <w:ilvl w:val="0"/>
          <w:numId w:val="1"/>
        </w:numPr>
        <w:tabs>
          <w:tab w:val="left" w:pos="0"/>
        </w:tabs>
        <w:spacing w:after="120" w:line="360" w:lineRule="auto"/>
        <w:ind w:left="426" w:hanging="426"/>
        <w:jc w:val="both"/>
        <w:rPr>
          <w:rFonts w:ascii="Times New Roman" w:hAnsi="Times New Roman" w:cs="Times New Roman"/>
          <w:smallCaps/>
          <w:kern w:val="24"/>
        </w:rPr>
      </w:pPr>
      <w:r w:rsidRPr="00667967">
        <w:rPr>
          <w:rFonts w:ascii="Times New Roman" w:hAnsi="Times New Roman" w:cs="Times New Roman"/>
          <w:b/>
          <w:smallCaps/>
          <w:kern w:val="24"/>
          <w:lang w:eastAsia="pl-PL" w:bidi="pl-PL"/>
        </w:rPr>
        <w:t>Wprowadzenie</w:t>
      </w:r>
      <w:r w:rsidR="009C6112" w:rsidRPr="00667967">
        <w:rPr>
          <w:rFonts w:ascii="Times New Roman" w:hAnsi="Times New Roman" w:cs="Times New Roman"/>
          <w:b/>
          <w:smallCaps/>
          <w:kern w:val="24"/>
          <w:lang w:eastAsia="pl-PL" w:bidi="pl-PL"/>
        </w:rPr>
        <w:t xml:space="preserve"> </w:t>
      </w:r>
    </w:p>
    <w:p w14:paraId="1C099DF7" w14:textId="3483CE2F" w:rsidR="00983267" w:rsidRPr="00667967" w:rsidRDefault="00DD6526" w:rsidP="00595221">
      <w:pPr>
        <w:widowControl/>
        <w:spacing w:line="360" w:lineRule="auto"/>
        <w:ind w:hanging="34"/>
        <w:jc w:val="both"/>
        <w:rPr>
          <w:rFonts w:ascii="Times New Roman" w:eastAsia="Times New Roman" w:hAnsi="Times New Roman" w:cs="Times New Roman"/>
        </w:rPr>
      </w:pPr>
      <w:r w:rsidRPr="00667967">
        <w:rPr>
          <w:rFonts w:ascii="Times New Roman" w:eastAsia="Times New Roman" w:hAnsi="Times New Roman" w:cs="Times New Roman"/>
        </w:rPr>
        <w:t xml:space="preserve">Projektowana ustawa </w:t>
      </w:r>
      <w:r w:rsidR="00832F8D" w:rsidRPr="00667967">
        <w:rPr>
          <w:rFonts w:ascii="Times New Roman" w:eastAsia="Times New Roman" w:hAnsi="Times New Roman" w:cs="Times New Roman"/>
        </w:rPr>
        <w:t xml:space="preserve">o zmianie ustawy </w:t>
      </w:r>
      <w:r w:rsidR="00D219AD" w:rsidRPr="00667967">
        <w:rPr>
          <w:rFonts w:ascii="Times New Roman" w:eastAsia="Times New Roman" w:hAnsi="Times New Roman" w:cs="Times New Roman"/>
        </w:rPr>
        <w:t>–</w:t>
      </w:r>
      <w:r w:rsidR="00832F8D" w:rsidRPr="00667967">
        <w:rPr>
          <w:rFonts w:ascii="Times New Roman" w:eastAsia="Times New Roman" w:hAnsi="Times New Roman" w:cs="Times New Roman"/>
        </w:rPr>
        <w:t xml:space="preserve"> Prawo ochrony środowiska oraz niektórych innych ustaw </w:t>
      </w:r>
      <w:r w:rsidRPr="00667967">
        <w:rPr>
          <w:rFonts w:ascii="Times New Roman" w:eastAsia="Times New Roman" w:hAnsi="Times New Roman" w:cs="Times New Roman"/>
        </w:rPr>
        <w:t>wprowadza zmiany w</w:t>
      </w:r>
      <w:r w:rsidR="00983267" w:rsidRPr="00667967">
        <w:rPr>
          <w:rFonts w:ascii="Times New Roman" w:eastAsia="Times New Roman" w:hAnsi="Times New Roman" w:cs="Times New Roman"/>
        </w:rPr>
        <w:t>:</w:t>
      </w:r>
    </w:p>
    <w:p w14:paraId="3E24993E" w14:textId="539D1B6B" w:rsidR="003031BB" w:rsidRPr="00667967" w:rsidRDefault="003031BB" w:rsidP="00595221">
      <w:pPr>
        <w:pStyle w:val="Akapitzlist"/>
        <w:widowControl/>
        <w:numPr>
          <w:ilvl w:val="0"/>
          <w:numId w:val="3"/>
        </w:numPr>
        <w:shd w:val="clear" w:color="auto" w:fill="FFFFFF"/>
        <w:spacing w:line="360" w:lineRule="auto"/>
        <w:ind w:left="567" w:hanging="567"/>
        <w:jc w:val="both"/>
        <w:rPr>
          <w:rFonts w:ascii="Times New Roman" w:eastAsia="Times New Roman" w:hAnsi="Times New Roman" w:cs="Times New Roman"/>
          <w:szCs w:val="24"/>
        </w:rPr>
      </w:pPr>
      <w:bookmarkStart w:id="0" w:name="_Hlk64463245"/>
      <w:r w:rsidRPr="00667967">
        <w:rPr>
          <w:rFonts w:ascii="Times New Roman" w:eastAsia="Times New Roman" w:hAnsi="Times New Roman" w:cs="Times New Roman"/>
          <w:szCs w:val="24"/>
        </w:rPr>
        <w:t>ustawie z dnia 27 kwietnia 2001 r. – Prawo ochrony środowiska (Dz. U. z 2024 r. poz.</w:t>
      </w:r>
      <w:r w:rsidR="00BD70B1">
        <w:rPr>
          <w:rFonts w:ascii="Times New Roman" w:eastAsia="Times New Roman" w:hAnsi="Times New Roman" w:cs="Times New Roman"/>
          <w:szCs w:val="24"/>
        </w:rPr>
        <w:t> </w:t>
      </w:r>
      <w:r w:rsidRPr="00667967">
        <w:rPr>
          <w:rFonts w:ascii="Times New Roman" w:eastAsia="Times New Roman" w:hAnsi="Times New Roman" w:cs="Times New Roman"/>
          <w:szCs w:val="24"/>
        </w:rPr>
        <w:t>54</w:t>
      </w:r>
      <w:r w:rsidR="00B21F3A" w:rsidRPr="00667967">
        <w:rPr>
          <w:rFonts w:ascii="Times New Roman" w:eastAsia="Times New Roman" w:hAnsi="Times New Roman" w:cs="Times New Roman"/>
          <w:szCs w:val="24"/>
        </w:rPr>
        <w:t>,</w:t>
      </w:r>
      <w:r w:rsidR="00E73D02" w:rsidRPr="00667967">
        <w:rPr>
          <w:rFonts w:ascii="Times New Roman" w:eastAsia="Times New Roman" w:hAnsi="Times New Roman" w:cs="Times New Roman"/>
          <w:szCs w:val="24"/>
        </w:rPr>
        <w:t xml:space="preserve"> </w:t>
      </w:r>
      <w:r w:rsidR="00102A5A" w:rsidRPr="00667967">
        <w:rPr>
          <w:rFonts w:ascii="Times New Roman" w:eastAsia="Times New Roman" w:hAnsi="Times New Roman" w:cs="Times New Roman"/>
          <w:szCs w:val="24"/>
        </w:rPr>
        <w:t>z późn. zm.</w:t>
      </w:r>
      <w:r w:rsidRPr="00667967">
        <w:rPr>
          <w:rFonts w:ascii="Times New Roman" w:eastAsia="Times New Roman" w:hAnsi="Times New Roman" w:cs="Times New Roman"/>
          <w:szCs w:val="24"/>
        </w:rPr>
        <w:t>), zwanej dalej „ustawą Poś”</w:t>
      </w:r>
      <w:r w:rsidR="00667967">
        <w:rPr>
          <w:rFonts w:ascii="Times New Roman" w:eastAsia="Times New Roman" w:hAnsi="Times New Roman" w:cs="Times New Roman"/>
          <w:szCs w:val="24"/>
        </w:rPr>
        <w:t>;</w:t>
      </w:r>
    </w:p>
    <w:p w14:paraId="4327A067" w14:textId="4D31AC51" w:rsidR="0050609F" w:rsidRPr="00667967" w:rsidRDefault="0050609F" w:rsidP="00595221">
      <w:pPr>
        <w:pStyle w:val="Akapitzlist"/>
        <w:widowControl/>
        <w:numPr>
          <w:ilvl w:val="0"/>
          <w:numId w:val="3"/>
        </w:numPr>
        <w:shd w:val="clear" w:color="auto" w:fill="FFFFFF"/>
        <w:spacing w:line="360" w:lineRule="auto"/>
        <w:ind w:left="567" w:hanging="567"/>
        <w:jc w:val="both"/>
        <w:rPr>
          <w:rFonts w:ascii="Times New Roman" w:eastAsia="Times New Roman" w:hAnsi="Times New Roman" w:cs="Times New Roman"/>
          <w:szCs w:val="24"/>
        </w:rPr>
      </w:pPr>
      <w:r w:rsidRPr="00667967">
        <w:rPr>
          <w:rFonts w:ascii="Times New Roman" w:eastAsia="Times New Roman" w:hAnsi="Times New Roman" w:cs="Times New Roman"/>
          <w:szCs w:val="24"/>
        </w:rPr>
        <w:t>ustawie z dnia 8 marca 1990 r. o samorządzie gminnym (Dz. U. z 202</w:t>
      </w:r>
      <w:r w:rsidR="00A24FFD" w:rsidRPr="00667967">
        <w:rPr>
          <w:rFonts w:ascii="Times New Roman" w:eastAsia="Times New Roman" w:hAnsi="Times New Roman" w:cs="Times New Roman"/>
          <w:szCs w:val="24"/>
        </w:rPr>
        <w:t>4</w:t>
      </w:r>
      <w:r w:rsidRPr="00667967">
        <w:rPr>
          <w:rFonts w:ascii="Times New Roman" w:eastAsia="Times New Roman" w:hAnsi="Times New Roman" w:cs="Times New Roman"/>
          <w:szCs w:val="24"/>
        </w:rPr>
        <w:t xml:space="preserve"> r. poz. </w:t>
      </w:r>
      <w:r w:rsidR="00F33243" w:rsidRPr="00667967">
        <w:rPr>
          <w:rFonts w:ascii="Times New Roman" w:eastAsia="Times New Roman" w:hAnsi="Times New Roman" w:cs="Times New Roman"/>
          <w:szCs w:val="24"/>
        </w:rPr>
        <w:t>1465</w:t>
      </w:r>
      <w:r w:rsidR="00F11642">
        <w:rPr>
          <w:rFonts w:ascii="Times New Roman" w:eastAsia="Times New Roman" w:hAnsi="Times New Roman" w:cs="Times New Roman"/>
          <w:szCs w:val="24"/>
        </w:rPr>
        <w:t xml:space="preserve"> i 1572</w:t>
      </w:r>
      <w:r w:rsidRPr="00667967">
        <w:rPr>
          <w:rFonts w:ascii="Times New Roman" w:eastAsia="Times New Roman" w:hAnsi="Times New Roman" w:cs="Times New Roman"/>
          <w:szCs w:val="24"/>
        </w:rPr>
        <w:t>), zwanej dalej „ustawą o samorządzie gminnym”</w:t>
      </w:r>
      <w:r w:rsidR="00667967">
        <w:rPr>
          <w:rFonts w:ascii="Times New Roman" w:eastAsia="Times New Roman" w:hAnsi="Times New Roman" w:cs="Times New Roman"/>
          <w:szCs w:val="24"/>
        </w:rPr>
        <w:t>;</w:t>
      </w:r>
      <w:r w:rsidRPr="00667967">
        <w:rPr>
          <w:rFonts w:ascii="Times New Roman" w:eastAsia="Times New Roman" w:hAnsi="Times New Roman" w:cs="Times New Roman"/>
          <w:szCs w:val="24"/>
        </w:rPr>
        <w:t xml:space="preserve"> </w:t>
      </w:r>
    </w:p>
    <w:p w14:paraId="024A7C55" w14:textId="05AC6E1B" w:rsidR="0050609F" w:rsidRPr="00667967" w:rsidRDefault="0050609F" w:rsidP="00595221">
      <w:pPr>
        <w:pStyle w:val="Akapitzlist"/>
        <w:widowControl/>
        <w:numPr>
          <w:ilvl w:val="0"/>
          <w:numId w:val="3"/>
        </w:numPr>
        <w:shd w:val="clear" w:color="auto" w:fill="FFFFFF"/>
        <w:spacing w:line="360" w:lineRule="auto"/>
        <w:ind w:left="567" w:hanging="567"/>
        <w:jc w:val="both"/>
        <w:rPr>
          <w:rFonts w:ascii="Times New Roman" w:eastAsia="Times New Roman" w:hAnsi="Times New Roman" w:cs="Times New Roman"/>
          <w:szCs w:val="24"/>
        </w:rPr>
      </w:pPr>
      <w:r w:rsidRPr="00667967">
        <w:rPr>
          <w:rFonts w:ascii="Times New Roman" w:eastAsia="Times New Roman" w:hAnsi="Times New Roman" w:cs="Times New Roman"/>
          <w:szCs w:val="24"/>
        </w:rPr>
        <w:t>ustawie z dnia 5 czerwca 1998 r. o samorządzie województwa (Dz. U. z 202</w:t>
      </w:r>
      <w:r w:rsidR="00141C67" w:rsidRPr="00667967">
        <w:rPr>
          <w:rFonts w:ascii="Times New Roman" w:eastAsia="Times New Roman" w:hAnsi="Times New Roman" w:cs="Times New Roman"/>
          <w:szCs w:val="24"/>
        </w:rPr>
        <w:t>4</w:t>
      </w:r>
      <w:r w:rsidRPr="00667967">
        <w:rPr>
          <w:rFonts w:ascii="Times New Roman" w:eastAsia="Times New Roman" w:hAnsi="Times New Roman" w:cs="Times New Roman"/>
          <w:szCs w:val="24"/>
        </w:rPr>
        <w:t xml:space="preserve"> r. poz. </w:t>
      </w:r>
      <w:r w:rsidR="00141C67" w:rsidRPr="00667967">
        <w:rPr>
          <w:rFonts w:ascii="Times New Roman" w:eastAsia="Times New Roman" w:hAnsi="Times New Roman" w:cs="Times New Roman"/>
          <w:szCs w:val="24"/>
        </w:rPr>
        <w:t>566</w:t>
      </w:r>
      <w:r w:rsidRPr="00667967">
        <w:rPr>
          <w:rFonts w:ascii="Times New Roman" w:eastAsia="Times New Roman" w:hAnsi="Times New Roman" w:cs="Times New Roman"/>
          <w:szCs w:val="24"/>
        </w:rPr>
        <w:t>), zwanej dalej „ustawą o samorządzie województwa”</w:t>
      </w:r>
      <w:r w:rsidR="00667967">
        <w:rPr>
          <w:rFonts w:ascii="Times New Roman" w:eastAsia="Times New Roman" w:hAnsi="Times New Roman" w:cs="Times New Roman"/>
          <w:szCs w:val="24"/>
        </w:rPr>
        <w:t>;</w:t>
      </w:r>
    </w:p>
    <w:p w14:paraId="0A35C742" w14:textId="68EA0BB7" w:rsidR="0050609F" w:rsidRPr="00667967" w:rsidRDefault="0050609F" w:rsidP="00595221">
      <w:pPr>
        <w:pStyle w:val="Akapitzlist"/>
        <w:widowControl/>
        <w:numPr>
          <w:ilvl w:val="0"/>
          <w:numId w:val="3"/>
        </w:numPr>
        <w:shd w:val="clear" w:color="auto" w:fill="FFFFFF"/>
        <w:spacing w:line="360" w:lineRule="auto"/>
        <w:ind w:left="567" w:hanging="567"/>
        <w:jc w:val="both"/>
        <w:rPr>
          <w:rFonts w:ascii="Times New Roman" w:eastAsia="Times New Roman" w:hAnsi="Times New Roman" w:cs="Times New Roman"/>
          <w:szCs w:val="24"/>
        </w:rPr>
      </w:pPr>
      <w:r w:rsidRPr="00667967">
        <w:rPr>
          <w:rFonts w:ascii="Times New Roman" w:eastAsia="Times New Roman" w:hAnsi="Times New Roman" w:cs="Times New Roman"/>
          <w:szCs w:val="24"/>
        </w:rPr>
        <w:t>ustawie z dnia 27 marca 2003 r. o planowaniu i zagospodarowaniu przestrzennym (Dz.</w:t>
      </w:r>
      <w:r w:rsidR="00BD70B1">
        <w:rPr>
          <w:rFonts w:ascii="Times New Roman" w:eastAsia="Times New Roman" w:hAnsi="Times New Roman" w:cs="Times New Roman"/>
          <w:szCs w:val="24"/>
        </w:rPr>
        <w:t> </w:t>
      </w:r>
      <w:r w:rsidRPr="00667967">
        <w:rPr>
          <w:rFonts w:ascii="Times New Roman" w:eastAsia="Times New Roman" w:hAnsi="Times New Roman" w:cs="Times New Roman"/>
          <w:szCs w:val="24"/>
        </w:rPr>
        <w:t>U.</w:t>
      </w:r>
      <w:r w:rsidR="00D029CA">
        <w:rPr>
          <w:rFonts w:ascii="Times New Roman" w:eastAsia="Times New Roman" w:hAnsi="Times New Roman" w:cs="Times New Roman"/>
          <w:szCs w:val="24"/>
        </w:rPr>
        <w:t> </w:t>
      </w:r>
      <w:r w:rsidRPr="00667967">
        <w:rPr>
          <w:rFonts w:ascii="Times New Roman" w:eastAsia="Times New Roman" w:hAnsi="Times New Roman" w:cs="Times New Roman"/>
          <w:szCs w:val="24"/>
        </w:rPr>
        <w:t>z </w:t>
      </w:r>
      <w:r w:rsidR="0017016A" w:rsidRPr="00667967">
        <w:rPr>
          <w:rFonts w:ascii="Times New Roman" w:eastAsia="Times New Roman" w:hAnsi="Times New Roman" w:cs="Times New Roman"/>
          <w:szCs w:val="24"/>
        </w:rPr>
        <w:t>202</w:t>
      </w:r>
      <w:r w:rsidR="00414211" w:rsidRPr="00667967">
        <w:rPr>
          <w:rFonts w:ascii="Times New Roman" w:eastAsia="Times New Roman" w:hAnsi="Times New Roman" w:cs="Times New Roman"/>
          <w:szCs w:val="24"/>
        </w:rPr>
        <w:t>4</w:t>
      </w:r>
      <w:r w:rsidR="0017016A" w:rsidRPr="00667967">
        <w:rPr>
          <w:rFonts w:ascii="Times New Roman" w:eastAsia="Times New Roman" w:hAnsi="Times New Roman" w:cs="Times New Roman"/>
          <w:szCs w:val="24"/>
        </w:rPr>
        <w:t xml:space="preserve"> </w:t>
      </w:r>
      <w:r w:rsidRPr="00667967">
        <w:rPr>
          <w:rFonts w:ascii="Times New Roman" w:eastAsia="Times New Roman" w:hAnsi="Times New Roman" w:cs="Times New Roman"/>
          <w:szCs w:val="24"/>
        </w:rPr>
        <w:t xml:space="preserve">r. poz. </w:t>
      </w:r>
      <w:r w:rsidR="00414211" w:rsidRPr="00667967">
        <w:rPr>
          <w:rFonts w:ascii="Times New Roman" w:eastAsia="Times New Roman" w:hAnsi="Times New Roman" w:cs="Times New Roman"/>
          <w:szCs w:val="24"/>
        </w:rPr>
        <w:t>1130</w:t>
      </w:r>
      <w:r w:rsidRPr="00667967">
        <w:rPr>
          <w:rFonts w:ascii="Times New Roman" w:eastAsia="Times New Roman" w:hAnsi="Times New Roman" w:cs="Times New Roman"/>
          <w:szCs w:val="24"/>
        </w:rPr>
        <w:t>), zwanej dalej „ustawą o planowaniu i zagospodarowaniu przestrzennym”</w:t>
      </w:r>
      <w:r w:rsidR="00667967">
        <w:rPr>
          <w:rFonts w:ascii="Times New Roman" w:eastAsia="Times New Roman" w:hAnsi="Times New Roman" w:cs="Times New Roman"/>
          <w:szCs w:val="24"/>
        </w:rPr>
        <w:t>;</w:t>
      </w:r>
    </w:p>
    <w:p w14:paraId="3C364495" w14:textId="75D0513B" w:rsidR="00926F1E" w:rsidRPr="00667967" w:rsidRDefault="00A61752" w:rsidP="00595221">
      <w:pPr>
        <w:pStyle w:val="Akapitzlist"/>
        <w:widowControl/>
        <w:numPr>
          <w:ilvl w:val="0"/>
          <w:numId w:val="3"/>
        </w:numPr>
        <w:shd w:val="clear" w:color="auto" w:fill="FFFFFF"/>
        <w:spacing w:line="360" w:lineRule="auto"/>
        <w:ind w:left="567" w:hanging="567"/>
        <w:jc w:val="both"/>
        <w:rPr>
          <w:rFonts w:ascii="Times New Roman" w:eastAsia="Times New Roman" w:hAnsi="Times New Roman" w:cs="Times New Roman"/>
          <w:szCs w:val="24"/>
        </w:rPr>
      </w:pPr>
      <w:r w:rsidRPr="00667967">
        <w:rPr>
          <w:rFonts w:ascii="Times New Roman" w:eastAsia="Times New Roman" w:hAnsi="Times New Roman" w:cs="Times New Roman"/>
          <w:szCs w:val="24"/>
        </w:rPr>
        <w:t>ustawie z dnia 24 kwietnia 2003 r. o działalności pożytku publicznego i o wolontariacie</w:t>
      </w:r>
      <w:r w:rsidR="00E73D02" w:rsidRPr="00667967">
        <w:rPr>
          <w:rFonts w:ascii="Times New Roman" w:eastAsia="Times New Roman" w:hAnsi="Times New Roman" w:cs="Times New Roman"/>
          <w:szCs w:val="24"/>
        </w:rPr>
        <w:t xml:space="preserve"> (Dz. U. z 202</w:t>
      </w:r>
      <w:r w:rsidR="00F33243" w:rsidRPr="00667967">
        <w:rPr>
          <w:rFonts w:ascii="Times New Roman" w:eastAsia="Times New Roman" w:hAnsi="Times New Roman" w:cs="Times New Roman"/>
          <w:szCs w:val="24"/>
        </w:rPr>
        <w:t>4</w:t>
      </w:r>
      <w:r w:rsidR="00E73D02" w:rsidRPr="00667967">
        <w:rPr>
          <w:rFonts w:ascii="Times New Roman" w:eastAsia="Times New Roman" w:hAnsi="Times New Roman" w:cs="Times New Roman"/>
          <w:szCs w:val="24"/>
        </w:rPr>
        <w:t xml:space="preserve"> r. poz. </w:t>
      </w:r>
      <w:r w:rsidR="00F33243" w:rsidRPr="00667967">
        <w:rPr>
          <w:rFonts w:ascii="Times New Roman" w:eastAsia="Times New Roman" w:hAnsi="Times New Roman" w:cs="Times New Roman"/>
          <w:szCs w:val="24"/>
        </w:rPr>
        <w:t>1491</w:t>
      </w:r>
      <w:r w:rsidR="00E73D02" w:rsidRPr="00667967">
        <w:rPr>
          <w:rFonts w:ascii="Times New Roman" w:eastAsia="Times New Roman" w:hAnsi="Times New Roman" w:cs="Times New Roman"/>
          <w:szCs w:val="24"/>
        </w:rPr>
        <w:t>)</w:t>
      </w:r>
      <w:r w:rsidRPr="00667967">
        <w:rPr>
          <w:rFonts w:ascii="Times New Roman" w:eastAsia="Times New Roman" w:hAnsi="Times New Roman" w:cs="Times New Roman"/>
          <w:szCs w:val="24"/>
        </w:rPr>
        <w:t>, zwanej dalej „ustawą dppw”</w:t>
      </w:r>
      <w:r w:rsidR="00667967">
        <w:rPr>
          <w:rFonts w:ascii="Times New Roman" w:eastAsia="Times New Roman" w:hAnsi="Times New Roman" w:cs="Times New Roman"/>
          <w:szCs w:val="24"/>
        </w:rPr>
        <w:t>;</w:t>
      </w:r>
    </w:p>
    <w:p w14:paraId="4C29F2C9" w14:textId="53C937E6" w:rsidR="0050609F" w:rsidRPr="00667967" w:rsidRDefault="0050609F" w:rsidP="00595221">
      <w:pPr>
        <w:pStyle w:val="Akapitzlist"/>
        <w:widowControl/>
        <w:numPr>
          <w:ilvl w:val="0"/>
          <w:numId w:val="3"/>
        </w:numPr>
        <w:shd w:val="clear" w:color="auto" w:fill="FFFFFF"/>
        <w:spacing w:line="360" w:lineRule="auto"/>
        <w:ind w:left="567" w:hanging="567"/>
        <w:jc w:val="both"/>
        <w:rPr>
          <w:rFonts w:ascii="Times New Roman" w:eastAsia="Times New Roman" w:hAnsi="Times New Roman" w:cs="Times New Roman"/>
          <w:szCs w:val="24"/>
        </w:rPr>
      </w:pPr>
      <w:r w:rsidRPr="00667967">
        <w:rPr>
          <w:rFonts w:ascii="Times New Roman" w:eastAsia="Times New Roman" w:hAnsi="Times New Roman" w:cs="Times New Roman"/>
          <w:szCs w:val="24"/>
        </w:rPr>
        <w:t xml:space="preserve">ustawie z dnia 16 kwietnia 2004 r. o ochronie przyrody (Dz. U. z </w:t>
      </w:r>
      <w:r w:rsidR="00004CB2" w:rsidRPr="00667967">
        <w:rPr>
          <w:rFonts w:ascii="Times New Roman" w:eastAsia="Times New Roman" w:hAnsi="Times New Roman" w:cs="Times New Roman"/>
          <w:szCs w:val="24"/>
        </w:rPr>
        <w:t>202</w:t>
      </w:r>
      <w:r w:rsidR="00802BB0" w:rsidRPr="00667967">
        <w:rPr>
          <w:rFonts w:ascii="Times New Roman" w:eastAsia="Times New Roman" w:hAnsi="Times New Roman" w:cs="Times New Roman"/>
          <w:szCs w:val="24"/>
        </w:rPr>
        <w:t>4</w:t>
      </w:r>
      <w:r w:rsidR="00004CB2" w:rsidRPr="00667967">
        <w:rPr>
          <w:rFonts w:ascii="Times New Roman" w:eastAsia="Times New Roman" w:hAnsi="Times New Roman" w:cs="Times New Roman"/>
          <w:szCs w:val="24"/>
        </w:rPr>
        <w:t xml:space="preserve"> </w:t>
      </w:r>
      <w:r w:rsidRPr="00667967">
        <w:rPr>
          <w:rFonts w:ascii="Times New Roman" w:eastAsia="Times New Roman" w:hAnsi="Times New Roman" w:cs="Times New Roman"/>
          <w:szCs w:val="24"/>
        </w:rPr>
        <w:t xml:space="preserve">r. poz. </w:t>
      </w:r>
      <w:r w:rsidR="00004CB2" w:rsidRPr="00667967">
        <w:rPr>
          <w:rFonts w:ascii="Times New Roman" w:eastAsia="Times New Roman" w:hAnsi="Times New Roman" w:cs="Times New Roman"/>
          <w:szCs w:val="24"/>
        </w:rPr>
        <w:t>1</w:t>
      </w:r>
      <w:r w:rsidR="00802BB0" w:rsidRPr="00667967">
        <w:rPr>
          <w:rFonts w:ascii="Times New Roman" w:eastAsia="Times New Roman" w:hAnsi="Times New Roman" w:cs="Times New Roman"/>
          <w:szCs w:val="24"/>
        </w:rPr>
        <w:t>478</w:t>
      </w:r>
      <w:r w:rsidRPr="00667967">
        <w:rPr>
          <w:rFonts w:ascii="Times New Roman" w:eastAsia="Times New Roman" w:hAnsi="Times New Roman" w:cs="Times New Roman"/>
          <w:szCs w:val="24"/>
        </w:rPr>
        <w:t>), zwanej dalej „ustawą o ochronie przyrody”</w:t>
      </w:r>
      <w:r w:rsidR="00667967">
        <w:rPr>
          <w:rFonts w:ascii="Times New Roman" w:eastAsia="Times New Roman" w:hAnsi="Times New Roman" w:cs="Times New Roman"/>
          <w:szCs w:val="24"/>
        </w:rPr>
        <w:t>;</w:t>
      </w:r>
    </w:p>
    <w:p w14:paraId="0053F1A0" w14:textId="697248F2" w:rsidR="0050609F" w:rsidRPr="00667967" w:rsidRDefault="0050609F" w:rsidP="00595221">
      <w:pPr>
        <w:pStyle w:val="Akapitzlist"/>
        <w:widowControl/>
        <w:numPr>
          <w:ilvl w:val="0"/>
          <w:numId w:val="3"/>
        </w:numPr>
        <w:shd w:val="clear" w:color="auto" w:fill="FFFFFF"/>
        <w:spacing w:line="360" w:lineRule="auto"/>
        <w:ind w:left="567" w:hanging="567"/>
        <w:jc w:val="both"/>
        <w:rPr>
          <w:rFonts w:ascii="Times New Roman" w:eastAsia="Times New Roman" w:hAnsi="Times New Roman" w:cs="Times New Roman"/>
          <w:szCs w:val="24"/>
        </w:rPr>
      </w:pPr>
      <w:r w:rsidRPr="00667967">
        <w:rPr>
          <w:rFonts w:ascii="Times New Roman" w:eastAsia="Times New Roman" w:hAnsi="Times New Roman" w:cs="Times New Roman"/>
          <w:szCs w:val="24"/>
        </w:rPr>
        <w:t xml:space="preserve">ustawie z dnia 25 sierpnia 2006 r. o systemie monitorowania i kontrolowania jakości paliw (Dz. U. z </w:t>
      </w:r>
      <w:r w:rsidR="0017016A" w:rsidRPr="00667967">
        <w:rPr>
          <w:rFonts w:ascii="Times New Roman" w:eastAsia="Times New Roman" w:hAnsi="Times New Roman" w:cs="Times New Roman"/>
          <w:szCs w:val="24"/>
        </w:rPr>
        <w:t>202</w:t>
      </w:r>
      <w:r w:rsidR="003A6592" w:rsidRPr="00667967">
        <w:rPr>
          <w:rFonts w:ascii="Times New Roman" w:eastAsia="Times New Roman" w:hAnsi="Times New Roman" w:cs="Times New Roman"/>
          <w:szCs w:val="24"/>
        </w:rPr>
        <w:t>4</w:t>
      </w:r>
      <w:r w:rsidR="0017016A" w:rsidRPr="00667967">
        <w:rPr>
          <w:rFonts w:ascii="Times New Roman" w:eastAsia="Times New Roman" w:hAnsi="Times New Roman" w:cs="Times New Roman"/>
          <w:szCs w:val="24"/>
        </w:rPr>
        <w:t xml:space="preserve"> </w:t>
      </w:r>
      <w:r w:rsidRPr="00667967">
        <w:rPr>
          <w:rFonts w:ascii="Times New Roman" w:eastAsia="Times New Roman" w:hAnsi="Times New Roman" w:cs="Times New Roman"/>
          <w:szCs w:val="24"/>
        </w:rPr>
        <w:t xml:space="preserve">r. poz. </w:t>
      </w:r>
      <w:r w:rsidR="003A6592" w:rsidRPr="00667967">
        <w:rPr>
          <w:rFonts w:ascii="Times New Roman" w:eastAsia="Times New Roman" w:hAnsi="Times New Roman" w:cs="Times New Roman"/>
          <w:szCs w:val="24"/>
        </w:rPr>
        <w:t>1209</w:t>
      </w:r>
      <w:r w:rsidRPr="00667967">
        <w:rPr>
          <w:rFonts w:ascii="Times New Roman" w:eastAsia="Times New Roman" w:hAnsi="Times New Roman" w:cs="Times New Roman"/>
          <w:szCs w:val="24"/>
        </w:rPr>
        <w:t>), zwanej dalej „ustawą o systemie monitorowania i</w:t>
      </w:r>
      <w:r w:rsidR="006132D2" w:rsidRPr="00667967">
        <w:rPr>
          <w:rFonts w:ascii="Times New Roman" w:eastAsia="Times New Roman" w:hAnsi="Times New Roman" w:cs="Times New Roman"/>
          <w:szCs w:val="24"/>
        </w:rPr>
        <w:t> </w:t>
      </w:r>
      <w:r w:rsidRPr="00667967">
        <w:rPr>
          <w:rFonts w:ascii="Times New Roman" w:eastAsia="Times New Roman" w:hAnsi="Times New Roman" w:cs="Times New Roman"/>
          <w:szCs w:val="24"/>
        </w:rPr>
        <w:t>kontrolowania jakości paliw”</w:t>
      </w:r>
      <w:r w:rsidR="00667967">
        <w:rPr>
          <w:rFonts w:ascii="Times New Roman" w:eastAsia="Times New Roman" w:hAnsi="Times New Roman" w:cs="Times New Roman"/>
          <w:szCs w:val="24"/>
        </w:rPr>
        <w:t>;</w:t>
      </w:r>
    </w:p>
    <w:p w14:paraId="7D4A8016" w14:textId="60655650" w:rsidR="00C00ECD" w:rsidRPr="00667967" w:rsidRDefault="00C00ECD" w:rsidP="00595221">
      <w:pPr>
        <w:pStyle w:val="Akapitzlist"/>
        <w:widowControl/>
        <w:numPr>
          <w:ilvl w:val="0"/>
          <w:numId w:val="3"/>
        </w:numPr>
        <w:shd w:val="clear" w:color="auto" w:fill="FFFFFF"/>
        <w:spacing w:line="360" w:lineRule="auto"/>
        <w:ind w:left="567" w:hanging="567"/>
        <w:jc w:val="both"/>
        <w:rPr>
          <w:rFonts w:ascii="Times New Roman" w:eastAsia="Times New Roman" w:hAnsi="Times New Roman" w:cs="Times New Roman"/>
          <w:szCs w:val="24"/>
        </w:rPr>
      </w:pPr>
      <w:bookmarkStart w:id="1" w:name="_Hlk164075254"/>
      <w:r w:rsidRPr="00667967">
        <w:rPr>
          <w:rFonts w:ascii="Times New Roman" w:eastAsia="Times New Roman" w:hAnsi="Times New Roman" w:cs="Times New Roman"/>
          <w:szCs w:val="24"/>
        </w:rPr>
        <w:t xml:space="preserve">ustawie z dnia 18 października 2006 r. o ujawnianiu informacji o dokumentach organów bezpieczeństwa państwa z lat 1944–1990 oraz treści tych dokumentów </w:t>
      </w:r>
      <w:bookmarkEnd w:id="1"/>
      <w:r w:rsidRPr="00667967">
        <w:rPr>
          <w:rFonts w:ascii="Times New Roman" w:eastAsia="Times New Roman" w:hAnsi="Times New Roman" w:cs="Times New Roman"/>
          <w:szCs w:val="24"/>
        </w:rPr>
        <w:t>(Dz. U. z 2024 r. poz.</w:t>
      </w:r>
      <w:r w:rsidR="003655B0" w:rsidRPr="00667967">
        <w:rPr>
          <w:rFonts w:ascii="Times New Roman" w:eastAsia="Times New Roman" w:hAnsi="Times New Roman" w:cs="Times New Roman"/>
          <w:szCs w:val="24"/>
        </w:rPr>
        <w:t> </w:t>
      </w:r>
      <w:r w:rsidRPr="00667967">
        <w:rPr>
          <w:rFonts w:ascii="Times New Roman" w:eastAsia="Times New Roman" w:hAnsi="Times New Roman" w:cs="Times New Roman"/>
          <w:szCs w:val="24"/>
        </w:rPr>
        <w:t>273</w:t>
      </w:r>
      <w:r w:rsidR="00F33243" w:rsidRPr="00667967">
        <w:rPr>
          <w:rFonts w:ascii="Times New Roman" w:eastAsia="Times New Roman" w:hAnsi="Times New Roman" w:cs="Times New Roman"/>
          <w:szCs w:val="24"/>
        </w:rPr>
        <w:t xml:space="preserve"> i 834</w:t>
      </w:r>
      <w:r w:rsidRPr="00667967">
        <w:rPr>
          <w:rFonts w:ascii="Times New Roman" w:eastAsia="Times New Roman" w:hAnsi="Times New Roman" w:cs="Times New Roman"/>
          <w:szCs w:val="24"/>
        </w:rPr>
        <w:t>), zwanej dalej „ustawą o ujawnianiu informacji o dokumentach organów bezpieczeństwa państwa z lat 1944–1990 oraz treści tych dokumentów”</w:t>
      </w:r>
      <w:r w:rsidR="00667967">
        <w:rPr>
          <w:rFonts w:ascii="Times New Roman" w:eastAsia="Times New Roman" w:hAnsi="Times New Roman" w:cs="Times New Roman"/>
          <w:szCs w:val="24"/>
        </w:rPr>
        <w:t>;</w:t>
      </w:r>
    </w:p>
    <w:p w14:paraId="2347E129" w14:textId="64CD0700" w:rsidR="00B6655B" w:rsidRPr="00667967" w:rsidRDefault="00B6655B" w:rsidP="00595221">
      <w:pPr>
        <w:pStyle w:val="Akapitzlist"/>
        <w:widowControl/>
        <w:numPr>
          <w:ilvl w:val="0"/>
          <w:numId w:val="3"/>
        </w:numPr>
        <w:shd w:val="clear" w:color="auto" w:fill="FFFFFF"/>
        <w:spacing w:line="360" w:lineRule="auto"/>
        <w:ind w:left="567" w:hanging="567"/>
        <w:jc w:val="both"/>
        <w:rPr>
          <w:rFonts w:ascii="Times New Roman" w:eastAsia="Times New Roman" w:hAnsi="Times New Roman" w:cs="Times New Roman"/>
          <w:szCs w:val="24"/>
        </w:rPr>
      </w:pPr>
      <w:r w:rsidRPr="00667967">
        <w:rPr>
          <w:rFonts w:ascii="Times New Roman" w:eastAsia="Times New Roman" w:hAnsi="Times New Roman" w:cs="Times New Roman"/>
          <w:szCs w:val="24"/>
        </w:rPr>
        <w:t>ustawie z dnia 6 grudnia 2006 r. o zasadach prowadzenia polityki rozwoju (Dz.</w:t>
      </w:r>
      <w:r w:rsidR="00D029CA">
        <w:rPr>
          <w:rFonts w:ascii="Times New Roman" w:eastAsia="Times New Roman" w:hAnsi="Times New Roman" w:cs="Times New Roman"/>
          <w:szCs w:val="24"/>
        </w:rPr>
        <w:t> </w:t>
      </w:r>
      <w:r w:rsidRPr="00667967">
        <w:rPr>
          <w:rFonts w:ascii="Times New Roman" w:eastAsia="Times New Roman" w:hAnsi="Times New Roman" w:cs="Times New Roman"/>
          <w:szCs w:val="24"/>
        </w:rPr>
        <w:t>U.</w:t>
      </w:r>
      <w:r w:rsidR="00D029CA">
        <w:rPr>
          <w:rFonts w:ascii="Times New Roman" w:eastAsia="Times New Roman" w:hAnsi="Times New Roman" w:cs="Times New Roman"/>
          <w:szCs w:val="24"/>
        </w:rPr>
        <w:t> </w:t>
      </w:r>
      <w:r w:rsidRPr="00667967">
        <w:rPr>
          <w:rFonts w:ascii="Times New Roman" w:eastAsia="Times New Roman" w:hAnsi="Times New Roman" w:cs="Times New Roman"/>
          <w:szCs w:val="24"/>
        </w:rPr>
        <w:t>z</w:t>
      </w:r>
      <w:r w:rsidR="00D029CA">
        <w:rPr>
          <w:rFonts w:ascii="Times New Roman" w:eastAsia="Times New Roman" w:hAnsi="Times New Roman" w:cs="Times New Roman"/>
          <w:szCs w:val="24"/>
        </w:rPr>
        <w:t> </w:t>
      </w:r>
      <w:r w:rsidRPr="00667967">
        <w:rPr>
          <w:rFonts w:ascii="Times New Roman" w:eastAsia="Times New Roman" w:hAnsi="Times New Roman" w:cs="Times New Roman"/>
          <w:szCs w:val="24"/>
        </w:rPr>
        <w:t>2024</w:t>
      </w:r>
      <w:r w:rsidR="00D029CA">
        <w:rPr>
          <w:rFonts w:ascii="Times New Roman" w:eastAsia="Times New Roman" w:hAnsi="Times New Roman" w:cs="Times New Roman"/>
          <w:szCs w:val="24"/>
        </w:rPr>
        <w:t> </w:t>
      </w:r>
      <w:r w:rsidRPr="00667967">
        <w:rPr>
          <w:rFonts w:ascii="Times New Roman" w:eastAsia="Times New Roman" w:hAnsi="Times New Roman" w:cs="Times New Roman"/>
          <w:szCs w:val="24"/>
        </w:rPr>
        <w:t>r. poz. 324 i 862), zwanej dalej „UZPPR”</w:t>
      </w:r>
      <w:r w:rsidR="00667967">
        <w:rPr>
          <w:rFonts w:ascii="Times New Roman" w:eastAsia="Times New Roman" w:hAnsi="Times New Roman" w:cs="Times New Roman"/>
          <w:szCs w:val="24"/>
        </w:rPr>
        <w:t>;</w:t>
      </w:r>
    </w:p>
    <w:p w14:paraId="70819411" w14:textId="28928A4E" w:rsidR="0050609F" w:rsidRPr="00667967" w:rsidRDefault="0050609F" w:rsidP="00595221">
      <w:pPr>
        <w:pStyle w:val="Akapitzlist"/>
        <w:widowControl/>
        <w:numPr>
          <w:ilvl w:val="0"/>
          <w:numId w:val="3"/>
        </w:numPr>
        <w:shd w:val="clear" w:color="auto" w:fill="FFFFFF"/>
        <w:spacing w:line="360" w:lineRule="auto"/>
        <w:ind w:left="567" w:hanging="567"/>
        <w:jc w:val="both"/>
        <w:rPr>
          <w:rFonts w:ascii="Times New Roman" w:eastAsia="Times New Roman" w:hAnsi="Times New Roman" w:cs="Times New Roman"/>
          <w:szCs w:val="24"/>
        </w:rPr>
      </w:pPr>
      <w:r w:rsidRPr="00667967">
        <w:rPr>
          <w:rFonts w:ascii="Times New Roman" w:eastAsia="Times New Roman" w:hAnsi="Times New Roman" w:cs="Times New Roman"/>
          <w:szCs w:val="24"/>
        </w:rPr>
        <w:t xml:space="preserve">ustawie z dnia 3 października 2008 r. o udostępnianiu informacji o środowisku i jego ochronie, udziale społeczeństwa w ochronie środowiska oraz o ocenach oddziaływania na środowisko (Dz. U. z </w:t>
      </w:r>
      <w:r w:rsidR="009323C7" w:rsidRPr="00667967">
        <w:rPr>
          <w:rFonts w:ascii="Times New Roman" w:eastAsia="Times New Roman" w:hAnsi="Times New Roman" w:cs="Times New Roman"/>
          <w:szCs w:val="24"/>
        </w:rPr>
        <w:t xml:space="preserve">2024 </w:t>
      </w:r>
      <w:r w:rsidRPr="00667967">
        <w:rPr>
          <w:rFonts w:ascii="Times New Roman" w:eastAsia="Times New Roman" w:hAnsi="Times New Roman" w:cs="Times New Roman"/>
          <w:szCs w:val="24"/>
        </w:rPr>
        <w:t xml:space="preserve">r. poz. </w:t>
      </w:r>
      <w:r w:rsidR="009323C7" w:rsidRPr="00667967">
        <w:rPr>
          <w:rFonts w:ascii="Times New Roman" w:eastAsia="Times New Roman" w:hAnsi="Times New Roman" w:cs="Times New Roman"/>
          <w:szCs w:val="24"/>
        </w:rPr>
        <w:t>1112</w:t>
      </w:r>
      <w:r w:rsidRPr="00667967">
        <w:rPr>
          <w:rFonts w:ascii="Times New Roman" w:eastAsia="Times New Roman" w:hAnsi="Times New Roman" w:cs="Times New Roman"/>
          <w:szCs w:val="24"/>
        </w:rPr>
        <w:t>), zwanej dalej „ustawą ooś”</w:t>
      </w:r>
      <w:r w:rsidR="00667967">
        <w:rPr>
          <w:rFonts w:ascii="Times New Roman" w:eastAsia="Times New Roman" w:hAnsi="Times New Roman" w:cs="Times New Roman"/>
          <w:szCs w:val="24"/>
        </w:rPr>
        <w:t>;</w:t>
      </w:r>
    </w:p>
    <w:p w14:paraId="361A503B" w14:textId="2212D12F" w:rsidR="0050609F" w:rsidRPr="00667967" w:rsidRDefault="0050609F" w:rsidP="00595221">
      <w:pPr>
        <w:pStyle w:val="Akapitzlist"/>
        <w:widowControl/>
        <w:numPr>
          <w:ilvl w:val="0"/>
          <w:numId w:val="3"/>
        </w:numPr>
        <w:shd w:val="clear" w:color="auto" w:fill="FFFFFF"/>
        <w:spacing w:line="360" w:lineRule="auto"/>
        <w:ind w:left="567" w:hanging="567"/>
        <w:jc w:val="both"/>
        <w:rPr>
          <w:rFonts w:ascii="Times New Roman" w:eastAsia="Times New Roman" w:hAnsi="Times New Roman" w:cs="Times New Roman"/>
          <w:szCs w:val="24"/>
        </w:rPr>
      </w:pPr>
      <w:r w:rsidRPr="00667967">
        <w:rPr>
          <w:rFonts w:ascii="Times New Roman" w:eastAsia="Times New Roman" w:hAnsi="Times New Roman" w:cs="Times New Roman"/>
          <w:szCs w:val="24"/>
        </w:rPr>
        <w:t xml:space="preserve">ustawie z dnia 21 listopada 2008 r. o wspieraniu termomodernizacji i remontów oraz o centralnej ewidencji emisyjności budynków </w:t>
      </w:r>
      <w:r w:rsidRPr="00595221">
        <w:rPr>
          <w:rFonts w:ascii="Times New Roman" w:eastAsia="Times New Roman" w:hAnsi="Times New Roman" w:cs="Times New Roman"/>
          <w:szCs w:val="24"/>
        </w:rPr>
        <w:t>(</w:t>
      </w:r>
      <w:r w:rsidR="00671894" w:rsidRPr="00595221">
        <w:rPr>
          <w:rFonts w:ascii="Times New Roman" w:eastAsia="Times New Roman" w:hAnsi="Times New Roman" w:cs="Times New Roman"/>
          <w:szCs w:val="24"/>
        </w:rPr>
        <w:t>Dz. U. z 202</w:t>
      </w:r>
      <w:r w:rsidR="00A665B5" w:rsidRPr="00595221">
        <w:rPr>
          <w:rFonts w:ascii="Times New Roman" w:eastAsia="Times New Roman" w:hAnsi="Times New Roman" w:cs="Times New Roman"/>
          <w:szCs w:val="24"/>
        </w:rPr>
        <w:t>4</w:t>
      </w:r>
      <w:r w:rsidR="00671894" w:rsidRPr="00595221">
        <w:rPr>
          <w:rFonts w:ascii="Times New Roman" w:eastAsia="Times New Roman" w:hAnsi="Times New Roman" w:cs="Times New Roman"/>
          <w:szCs w:val="24"/>
        </w:rPr>
        <w:t xml:space="preserve"> r. poz. </w:t>
      </w:r>
      <w:r w:rsidR="00A665B5" w:rsidRPr="00595221">
        <w:rPr>
          <w:rFonts w:ascii="Times New Roman" w:eastAsia="Times New Roman" w:hAnsi="Times New Roman" w:cs="Times New Roman"/>
          <w:szCs w:val="24"/>
        </w:rPr>
        <w:t>1446</w:t>
      </w:r>
      <w:r w:rsidR="00F11642">
        <w:rPr>
          <w:rFonts w:ascii="Times New Roman" w:eastAsia="Times New Roman" w:hAnsi="Times New Roman" w:cs="Times New Roman"/>
          <w:szCs w:val="24"/>
        </w:rPr>
        <w:t>,</w:t>
      </w:r>
      <w:r w:rsidR="00A665B5" w:rsidRPr="00595221">
        <w:rPr>
          <w:rFonts w:ascii="Times New Roman" w:eastAsia="Times New Roman" w:hAnsi="Times New Roman" w:cs="Times New Roman"/>
          <w:szCs w:val="24"/>
        </w:rPr>
        <w:t xml:space="preserve"> 1473</w:t>
      </w:r>
      <w:r w:rsidR="00F11642">
        <w:rPr>
          <w:rFonts w:ascii="Times New Roman" w:eastAsia="Times New Roman" w:hAnsi="Times New Roman" w:cs="Times New Roman"/>
          <w:szCs w:val="24"/>
        </w:rPr>
        <w:t xml:space="preserve"> i 1572</w:t>
      </w:r>
      <w:r w:rsidRPr="00667967">
        <w:rPr>
          <w:rFonts w:ascii="Times New Roman" w:eastAsia="Times New Roman" w:hAnsi="Times New Roman" w:cs="Times New Roman"/>
          <w:szCs w:val="24"/>
        </w:rPr>
        <w:t>), zwanej dalej „ustawą o wspieraniu termomodernizacji i remontów oraz o centralnej ewidencji emisyjności budynków”</w:t>
      </w:r>
      <w:r w:rsidR="00667967">
        <w:rPr>
          <w:rFonts w:ascii="Times New Roman" w:eastAsia="Times New Roman" w:hAnsi="Times New Roman" w:cs="Times New Roman"/>
          <w:szCs w:val="24"/>
        </w:rPr>
        <w:t>;</w:t>
      </w:r>
    </w:p>
    <w:p w14:paraId="2A84AB3F" w14:textId="46EFC7B9" w:rsidR="0050609F" w:rsidRPr="00667967" w:rsidRDefault="0050609F" w:rsidP="00595221">
      <w:pPr>
        <w:pStyle w:val="Akapitzlist"/>
        <w:widowControl/>
        <w:numPr>
          <w:ilvl w:val="0"/>
          <w:numId w:val="3"/>
        </w:numPr>
        <w:shd w:val="clear" w:color="auto" w:fill="FFFFFF"/>
        <w:spacing w:line="360" w:lineRule="auto"/>
        <w:ind w:left="567" w:hanging="567"/>
        <w:jc w:val="both"/>
        <w:rPr>
          <w:rFonts w:ascii="Times New Roman" w:eastAsia="Times New Roman" w:hAnsi="Times New Roman" w:cs="Times New Roman"/>
          <w:szCs w:val="24"/>
        </w:rPr>
      </w:pPr>
      <w:r w:rsidRPr="00667967">
        <w:rPr>
          <w:rFonts w:ascii="Times New Roman" w:eastAsia="Times New Roman" w:hAnsi="Times New Roman" w:cs="Times New Roman"/>
          <w:szCs w:val="24"/>
        </w:rPr>
        <w:lastRenderedPageBreak/>
        <w:t>ustawie z dnia 17 lipca 2009 r. o systemie zarządzania emisjami gazów cieplarnianych i</w:t>
      </w:r>
      <w:r w:rsidR="006132D2" w:rsidRPr="00667967">
        <w:rPr>
          <w:rFonts w:ascii="Times New Roman" w:eastAsia="Times New Roman" w:hAnsi="Times New Roman" w:cs="Times New Roman"/>
          <w:szCs w:val="24"/>
        </w:rPr>
        <w:t> </w:t>
      </w:r>
      <w:r w:rsidRPr="00667967">
        <w:rPr>
          <w:rFonts w:ascii="Times New Roman" w:eastAsia="Times New Roman" w:hAnsi="Times New Roman" w:cs="Times New Roman"/>
          <w:szCs w:val="24"/>
        </w:rPr>
        <w:t>innych substancji (Dz. U. z 2022 r. poz. 673</w:t>
      </w:r>
      <w:r w:rsidR="007C4C01" w:rsidRPr="00667967">
        <w:rPr>
          <w:rFonts w:ascii="Times New Roman" w:eastAsia="Times New Roman" w:hAnsi="Times New Roman" w:cs="Times New Roman"/>
          <w:szCs w:val="24"/>
        </w:rPr>
        <w:t xml:space="preserve"> oraz z 2024 r. poz. 834</w:t>
      </w:r>
      <w:r w:rsidRPr="00667967">
        <w:rPr>
          <w:rFonts w:ascii="Times New Roman" w:eastAsia="Times New Roman" w:hAnsi="Times New Roman" w:cs="Times New Roman"/>
          <w:szCs w:val="24"/>
        </w:rPr>
        <w:t>), zwanej dalej</w:t>
      </w:r>
      <w:bookmarkStart w:id="2" w:name="_Hlk132622422"/>
      <w:r w:rsidRPr="00667967">
        <w:rPr>
          <w:rFonts w:ascii="Times New Roman" w:eastAsia="Times New Roman" w:hAnsi="Times New Roman" w:cs="Times New Roman"/>
          <w:szCs w:val="24"/>
        </w:rPr>
        <w:t xml:space="preserve"> </w:t>
      </w:r>
      <w:r w:rsidR="009645F0" w:rsidRPr="00667967">
        <w:rPr>
          <w:rFonts w:ascii="Times New Roman" w:eastAsia="Times New Roman" w:hAnsi="Times New Roman" w:cs="Times New Roman"/>
          <w:szCs w:val="24"/>
        </w:rPr>
        <w:t>„USZE”</w:t>
      </w:r>
      <w:r w:rsidR="00667967">
        <w:rPr>
          <w:rFonts w:ascii="Times New Roman" w:eastAsia="Times New Roman" w:hAnsi="Times New Roman" w:cs="Times New Roman"/>
          <w:szCs w:val="24"/>
        </w:rPr>
        <w:t>;</w:t>
      </w:r>
      <w:bookmarkEnd w:id="2"/>
    </w:p>
    <w:p w14:paraId="4644EE52" w14:textId="502E89AB" w:rsidR="00B6655B" w:rsidRPr="00667967" w:rsidRDefault="00B6655B" w:rsidP="00595221">
      <w:pPr>
        <w:pStyle w:val="Akapitzlist"/>
        <w:widowControl/>
        <w:numPr>
          <w:ilvl w:val="0"/>
          <w:numId w:val="3"/>
        </w:numPr>
        <w:shd w:val="clear" w:color="auto" w:fill="FFFFFF"/>
        <w:spacing w:line="360" w:lineRule="auto"/>
        <w:ind w:left="567" w:hanging="567"/>
        <w:jc w:val="both"/>
        <w:rPr>
          <w:rFonts w:ascii="Times New Roman" w:eastAsia="Times New Roman" w:hAnsi="Times New Roman" w:cs="Times New Roman"/>
          <w:szCs w:val="24"/>
        </w:rPr>
      </w:pPr>
      <w:r w:rsidRPr="00667967">
        <w:rPr>
          <w:rFonts w:ascii="Times New Roman" w:eastAsia="Times New Roman" w:hAnsi="Times New Roman" w:cs="Times New Roman"/>
          <w:szCs w:val="24"/>
        </w:rPr>
        <w:t>ustawie z dnia 16 grudnia 2016 r. o zasadach zarządzania mieniem państwowym (Dz.</w:t>
      </w:r>
      <w:r w:rsidR="00D029CA">
        <w:rPr>
          <w:rFonts w:ascii="Times New Roman" w:eastAsia="Times New Roman" w:hAnsi="Times New Roman" w:cs="Times New Roman"/>
          <w:szCs w:val="24"/>
        </w:rPr>
        <w:t> </w:t>
      </w:r>
      <w:r w:rsidRPr="00667967">
        <w:rPr>
          <w:rFonts w:ascii="Times New Roman" w:eastAsia="Times New Roman" w:hAnsi="Times New Roman" w:cs="Times New Roman"/>
          <w:szCs w:val="24"/>
        </w:rPr>
        <w:t>U.</w:t>
      </w:r>
      <w:r w:rsidR="00D029CA">
        <w:rPr>
          <w:rFonts w:ascii="Times New Roman" w:eastAsia="Times New Roman" w:hAnsi="Times New Roman" w:cs="Times New Roman"/>
          <w:szCs w:val="24"/>
        </w:rPr>
        <w:t> </w:t>
      </w:r>
      <w:r w:rsidRPr="00667967">
        <w:rPr>
          <w:rFonts w:ascii="Times New Roman" w:eastAsia="Times New Roman" w:hAnsi="Times New Roman" w:cs="Times New Roman"/>
          <w:szCs w:val="24"/>
        </w:rPr>
        <w:t>z</w:t>
      </w:r>
      <w:r w:rsidR="00D029CA">
        <w:rPr>
          <w:rFonts w:ascii="Times New Roman" w:eastAsia="Times New Roman" w:hAnsi="Times New Roman" w:cs="Times New Roman"/>
          <w:szCs w:val="24"/>
        </w:rPr>
        <w:t> </w:t>
      </w:r>
      <w:r w:rsidRPr="00667967">
        <w:rPr>
          <w:rFonts w:ascii="Times New Roman" w:eastAsia="Times New Roman" w:hAnsi="Times New Roman" w:cs="Times New Roman"/>
          <w:szCs w:val="24"/>
        </w:rPr>
        <w:t>2024 r. poz. 125 i 834), zwanej dalej „ustawą o zasadach zarządzania mieniem państwowym”;</w:t>
      </w:r>
    </w:p>
    <w:p w14:paraId="59EF68A9" w14:textId="36880141" w:rsidR="0000392D" w:rsidRPr="00667967" w:rsidRDefault="0000392D" w:rsidP="00595221">
      <w:pPr>
        <w:pStyle w:val="Akapitzlist"/>
        <w:widowControl/>
        <w:numPr>
          <w:ilvl w:val="0"/>
          <w:numId w:val="3"/>
        </w:numPr>
        <w:shd w:val="clear" w:color="auto" w:fill="FFFFFF"/>
        <w:spacing w:line="360" w:lineRule="auto"/>
        <w:ind w:left="567" w:hanging="567"/>
        <w:jc w:val="both"/>
        <w:rPr>
          <w:rFonts w:ascii="Times New Roman" w:eastAsia="Times New Roman" w:hAnsi="Times New Roman" w:cs="Times New Roman"/>
          <w:szCs w:val="24"/>
        </w:rPr>
      </w:pPr>
      <w:r w:rsidRPr="00667967">
        <w:rPr>
          <w:rFonts w:ascii="Times New Roman" w:eastAsia="Times New Roman" w:hAnsi="Times New Roman" w:cs="Times New Roman"/>
          <w:szCs w:val="24"/>
        </w:rPr>
        <w:t>ustawie z dnia 9 marca 2017 r. o związku metropolitalnym w województwie śląskim (Dz.</w:t>
      </w:r>
      <w:r w:rsidR="00D029CA">
        <w:rPr>
          <w:rFonts w:ascii="Times New Roman" w:eastAsia="Times New Roman" w:hAnsi="Times New Roman" w:cs="Times New Roman"/>
          <w:szCs w:val="24"/>
        </w:rPr>
        <w:t> </w:t>
      </w:r>
      <w:r w:rsidRPr="00667967">
        <w:rPr>
          <w:rFonts w:ascii="Times New Roman" w:eastAsia="Times New Roman" w:hAnsi="Times New Roman" w:cs="Times New Roman"/>
          <w:szCs w:val="24"/>
        </w:rPr>
        <w:t>U. z 2022 r. poz. 2578</w:t>
      </w:r>
      <w:r w:rsidR="00F11642">
        <w:rPr>
          <w:rFonts w:ascii="Times New Roman" w:eastAsia="Times New Roman" w:hAnsi="Times New Roman" w:cs="Times New Roman"/>
          <w:szCs w:val="24"/>
        </w:rPr>
        <w:t xml:space="preserve"> </w:t>
      </w:r>
      <w:r w:rsidR="00F11642" w:rsidRPr="00F11642">
        <w:rPr>
          <w:rFonts w:ascii="Times New Roman" w:eastAsia="Times New Roman" w:hAnsi="Times New Roman" w:cs="Times New Roman"/>
          <w:szCs w:val="24"/>
        </w:rPr>
        <w:t>oraz z 2024 r. poz. 1572</w:t>
      </w:r>
      <w:r w:rsidRPr="00667967">
        <w:rPr>
          <w:rFonts w:ascii="Times New Roman" w:eastAsia="Times New Roman" w:hAnsi="Times New Roman" w:cs="Times New Roman"/>
          <w:szCs w:val="24"/>
        </w:rPr>
        <w:t>), zwanej dalej „ustawą o związku metropolitalnym”.</w:t>
      </w:r>
    </w:p>
    <w:p w14:paraId="2F2A680C" w14:textId="62825C1F" w:rsidR="00A9500A" w:rsidRPr="00667967" w:rsidRDefault="0050609F" w:rsidP="00595221">
      <w:pPr>
        <w:widowControl/>
        <w:shd w:val="clear" w:color="auto" w:fill="FFFFFF"/>
        <w:spacing w:before="120" w:after="120" w:line="360" w:lineRule="auto"/>
        <w:jc w:val="both"/>
        <w:rPr>
          <w:rFonts w:ascii="Times New Roman" w:eastAsia="Times New Roman" w:hAnsi="Times New Roman" w:cs="Times New Roman"/>
        </w:rPr>
      </w:pPr>
      <w:bookmarkStart w:id="3" w:name="_Hlk121221754"/>
      <w:r w:rsidRPr="00667967">
        <w:rPr>
          <w:rFonts w:ascii="Times New Roman" w:eastAsia="Times New Roman" w:hAnsi="Times New Roman" w:cs="Times New Roman"/>
        </w:rPr>
        <w:t>Projekt</w:t>
      </w:r>
      <w:r w:rsidR="00557BA5" w:rsidRPr="00667967">
        <w:rPr>
          <w:rFonts w:ascii="Times New Roman" w:eastAsia="Times New Roman" w:hAnsi="Times New Roman" w:cs="Times New Roman"/>
        </w:rPr>
        <w:t>,</w:t>
      </w:r>
      <w:r w:rsidRPr="00667967">
        <w:rPr>
          <w:rFonts w:ascii="Times New Roman" w:eastAsia="Times New Roman" w:hAnsi="Times New Roman" w:cs="Times New Roman"/>
        </w:rPr>
        <w:t xml:space="preserve"> wprowadzając zmiany we wskazanych ustawach</w:t>
      </w:r>
      <w:r w:rsidR="00557BA5" w:rsidRPr="00667967">
        <w:rPr>
          <w:rFonts w:ascii="Times New Roman" w:eastAsia="Times New Roman" w:hAnsi="Times New Roman" w:cs="Times New Roman"/>
        </w:rPr>
        <w:t>,</w:t>
      </w:r>
      <w:r w:rsidRPr="00667967">
        <w:rPr>
          <w:rFonts w:ascii="Times New Roman" w:eastAsia="Times New Roman" w:hAnsi="Times New Roman" w:cs="Times New Roman"/>
        </w:rPr>
        <w:t xml:space="preserve"> ma na celu </w:t>
      </w:r>
      <w:r w:rsidR="00A26D03" w:rsidRPr="00667967">
        <w:rPr>
          <w:rFonts w:ascii="Times New Roman" w:eastAsia="Times New Roman" w:hAnsi="Times New Roman" w:cs="Times New Roman"/>
        </w:rPr>
        <w:t xml:space="preserve">wsparcie </w:t>
      </w:r>
      <w:r w:rsidR="00873DA3" w:rsidRPr="00667967">
        <w:rPr>
          <w:rFonts w:ascii="Times New Roman" w:eastAsia="Times New Roman" w:hAnsi="Times New Roman" w:cs="Times New Roman"/>
        </w:rPr>
        <w:t>przedsięwzięć</w:t>
      </w:r>
      <w:r w:rsidR="00A26D03" w:rsidRPr="00667967">
        <w:rPr>
          <w:rFonts w:ascii="Times New Roman" w:eastAsia="Times New Roman" w:hAnsi="Times New Roman" w:cs="Times New Roman"/>
        </w:rPr>
        <w:t xml:space="preserve"> </w:t>
      </w:r>
      <w:r w:rsidR="00A15415" w:rsidRPr="00667967">
        <w:rPr>
          <w:rFonts w:ascii="Times New Roman" w:eastAsia="Times New Roman" w:hAnsi="Times New Roman" w:cs="Times New Roman"/>
        </w:rPr>
        <w:t xml:space="preserve">prośrodowiskowych </w:t>
      </w:r>
      <w:r w:rsidR="00145249" w:rsidRPr="00667967">
        <w:rPr>
          <w:rFonts w:ascii="Times New Roman" w:eastAsia="Times New Roman" w:hAnsi="Times New Roman" w:cs="Times New Roman"/>
        </w:rPr>
        <w:t>prowadzonych zarówno na szczeblu centralnym</w:t>
      </w:r>
      <w:r w:rsidR="001E2C46">
        <w:rPr>
          <w:rFonts w:ascii="Times New Roman" w:eastAsia="Times New Roman" w:hAnsi="Times New Roman" w:cs="Times New Roman"/>
        </w:rPr>
        <w:t>,</w:t>
      </w:r>
      <w:r w:rsidR="00145249" w:rsidRPr="00667967">
        <w:rPr>
          <w:rFonts w:ascii="Times New Roman" w:eastAsia="Times New Roman" w:hAnsi="Times New Roman" w:cs="Times New Roman"/>
        </w:rPr>
        <w:t xml:space="preserve"> jak i samorządowym</w:t>
      </w:r>
      <w:r w:rsidR="00A15415" w:rsidRPr="00667967">
        <w:rPr>
          <w:rFonts w:ascii="Times New Roman" w:eastAsia="Times New Roman" w:hAnsi="Times New Roman" w:cs="Times New Roman"/>
        </w:rPr>
        <w:t>,</w:t>
      </w:r>
      <w:r w:rsidR="00145249" w:rsidRPr="00667967">
        <w:rPr>
          <w:rFonts w:ascii="Times New Roman" w:eastAsia="Times New Roman" w:hAnsi="Times New Roman" w:cs="Times New Roman"/>
        </w:rPr>
        <w:t xml:space="preserve"> </w:t>
      </w:r>
      <w:r w:rsidR="00A26D03" w:rsidRPr="00667967">
        <w:rPr>
          <w:rFonts w:ascii="Times New Roman" w:eastAsia="Times New Roman" w:hAnsi="Times New Roman" w:cs="Times New Roman"/>
        </w:rPr>
        <w:t>w</w:t>
      </w:r>
      <w:r w:rsidR="00A94267" w:rsidRPr="00667967">
        <w:rPr>
          <w:rFonts w:ascii="Times New Roman" w:eastAsia="Times New Roman" w:hAnsi="Times New Roman" w:cs="Times New Roman"/>
        </w:rPr>
        <w:t> </w:t>
      </w:r>
      <w:r w:rsidR="00A26D03" w:rsidRPr="00667967">
        <w:rPr>
          <w:rFonts w:ascii="Times New Roman" w:eastAsia="Times New Roman" w:hAnsi="Times New Roman" w:cs="Times New Roman"/>
        </w:rPr>
        <w:t xml:space="preserve">szczególności </w:t>
      </w:r>
      <w:r w:rsidR="008E6A6A" w:rsidRPr="00667967">
        <w:rPr>
          <w:rFonts w:ascii="Times New Roman" w:eastAsia="Times New Roman" w:hAnsi="Times New Roman" w:cs="Times New Roman"/>
        </w:rPr>
        <w:t>mając na uwadze działania dotyczące</w:t>
      </w:r>
      <w:r w:rsidR="00A26D03" w:rsidRPr="00667967">
        <w:rPr>
          <w:rFonts w:ascii="Times New Roman" w:eastAsia="Times New Roman" w:hAnsi="Times New Roman" w:cs="Times New Roman"/>
        </w:rPr>
        <w:t xml:space="preserve"> adaptacji do zmian klimatu</w:t>
      </w:r>
      <w:r w:rsidR="00145249" w:rsidRPr="00667967">
        <w:rPr>
          <w:rFonts w:ascii="Times New Roman" w:eastAsia="Times New Roman" w:hAnsi="Times New Roman" w:cs="Times New Roman"/>
        </w:rPr>
        <w:t xml:space="preserve">, </w:t>
      </w:r>
      <w:r w:rsidR="008E6A6A" w:rsidRPr="00667967">
        <w:rPr>
          <w:rFonts w:ascii="Times New Roman" w:eastAsia="Times New Roman" w:hAnsi="Times New Roman" w:cs="Times New Roman"/>
        </w:rPr>
        <w:t>poprawy jakości powietrza</w:t>
      </w:r>
      <w:r w:rsidR="00145249" w:rsidRPr="00667967">
        <w:rPr>
          <w:rFonts w:ascii="Times New Roman" w:eastAsia="Times New Roman" w:hAnsi="Times New Roman" w:cs="Times New Roman"/>
        </w:rPr>
        <w:t xml:space="preserve"> oraz </w:t>
      </w:r>
      <w:r w:rsidR="00145249" w:rsidRPr="00667967">
        <w:rPr>
          <w:rFonts w:ascii="Times New Roman" w:hAnsi="Times New Roman" w:cs="Times New Roman"/>
        </w:rPr>
        <w:t>usprawnieni</w:t>
      </w:r>
      <w:r w:rsidR="00A15415" w:rsidRPr="00667967">
        <w:rPr>
          <w:rFonts w:ascii="Times New Roman" w:hAnsi="Times New Roman" w:cs="Times New Roman"/>
        </w:rPr>
        <w:t>a</w:t>
      </w:r>
      <w:r w:rsidR="00145249" w:rsidRPr="00667967">
        <w:rPr>
          <w:rFonts w:ascii="Times New Roman" w:hAnsi="Times New Roman" w:cs="Times New Roman"/>
        </w:rPr>
        <w:t xml:space="preserve"> systemu zarządzania emisjami</w:t>
      </w:r>
      <w:r w:rsidR="00A9500A" w:rsidRPr="00667967">
        <w:rPr>
          <w:rFonts w:ascii="Times New Roman" w:hAnsi="Times New Roman" w:cs="Times New Roman"/>
        </w:rPr>
        <w:t xml:space="preserve">. </w:t>
      </w:r>
      <w:r w:rsidR="00873DA3" w:rsidRPr="00667967">
        <w:rPr>
          <w:rFonts w:ascii="Times New Roman" w:eastAsia="Times New Roman" w:hAnsi="Times New Roman" w:cs="Times New Roman"/>
        </w:rPr>
        <w:t xml:space="preserve">Ustawa </w:t>
      </w:r>
      <w:r w:rsidR="00A9500A" w:rsidRPr="00667967">
        <w:rPr>
          <w:rFonts w:ascii="Times New Roman" w:eastAsia="Times New Roman" w:hAnsi="Times New Roman" w:cs="Times New Roman"/>
        </w:rPr>
        <w:t>wpisuje się w realizacj</w:t>
      </w:r>
      <w:r w:rsidR="00D25834" w:rsidRPr="00667967">
        <w:rPr>
          <w:rFonts w:ascii="Times New Roman" w:eastAsia="Times New Roman" w:hAnsi="Times New Roman" w:cs="Times New Roman"/>
        </w:rPr>
        <w:t>ę</w:t>
      </w:r>
      <w:r w:rsidR="00A9500A" w:rsidRPr="00667967">
        <w:rPr>
          <w:rFonts w:ascii="Times New Roman" w:eastAsia="Times New Roman" w:hAnsi="Times New Roman" w:cs="Times New Roman"/>
        </w:rPr>
        <w:t xml:space="preserve"> </w:t>
      </w:r>
      <w:r w:rsidR="00873DA3" w:rsidRPr="00667967">
        <w:rPr>
          <w:rFonts w:ascii="Times New Roman" w:eastAsia="Times New Roman" w:hAnsi="Times New Roman" w:cs="Times New Roman"/>
        </w:rPr>
        <w:t>priorytetów ogłoszonych przez Prezesa Rady Ministrów do realizacji przez Rząd R</w:t>
      </w:r>
      <w:r w:rsidR="004D524A">
        <w:rPr>
          <w:rFonts w:ascii="Times New Roman" w:eastAsia="Times New Roman" w:hAnsi="Times New Roman" w:cs="Times New Roman"/>
        </w:rPr>
        <w:t xml:space="preserve">zeczypospolitej </w:t>
      </w:r>
      <w:r w:rsidR="00873DA3" w:rsidRPr="00667967">
        <w:rPr>
          <w:rFonts w:ascii="Times New Roman" w:eastAsia="Times New Roman" w:hAnsi="Times New Roman" w:cs="Times New Roman"/>
        </w:rPr>
        <w:t>P</w:t>
      </w:r>
      <w:r w:rsidR="004D524A">
        <w:rPr>
          <w:rFonts w:ascii="Times New Roman" w:eastAsia="Times New Roman" w:hAnsi="Times New Roman" w:cs="Times New Roman"/>
        </w:rPr>
        <w:t>olskiej</w:t>
      </w:r>
      <w:r w:rsidR="00873DA3" w:rsidRPr="00667967">
        <w:rPr>
          <w:rFonts w:ascii="Times New Roman" w:eastAsia="Times New Roman" w:hAnsi="Times New Roman" w:cs="Times New Roman"/>
        </w:rPr>
        <w:t xml:space="preserve"> w obecnej kadencji</w:t>
      </w:r>
      <w:r w:rsidR="00A9500A" w:rsidRPr="00667967">
        <w:rPr>
          <w:rFonts w:ascii="Times New Roman" w:eastAsia="Times New Roman" w:hAnsi="Times New Roman" w:cs="Times New Roman"/>
        </w:rPr>
        <w:t>.</w:t>
      </w:r>
    </w:p>
    <w:p w14:paraId="46DCB285" w14:textId="75AA196D" w:rsidR="00873DA3" w:rsidRPr="00667967" w:rsidRDefault="00391349" w:rsidP="00595221">
      <w:pPr>
        <w:widowControl/>
        <w:shd w:val="clear" w:color="auto" w:fill="FFFFFF"/>
        <w:spacing w:after="120" w:line="360" w:lineRule="auto"/>
        <w:jc w:val="both"/>
        <w:rPr>
          <w:rFonts w:ascii="Times New Roman" w:eastAsia="Times New Roman" w:hAnsi="Times New Roman" w:cs="Times New Roman"/>
        </w:rPr>
      </w:pPr>
      <w:r w:rsidRPr="00667967">
        <w:rPr>
          <w:rFonts w:ascii="Times New Roman" w:eastAsia="Times New Roman" w:hAnsi="Times New Roman" w:cs="Times New Roman"/>
        </w:rPr>
        <w:t>Ograniczenie</w:t>
      </w:r>
      <w:r w:rsidR="00873DA3" w:rsidRPr="00667967">
        <w:rPr>
          <w:rFonts w:ascii="Times New Roman" w:eastAsia="Times New Roman" w:hAnsi="Times New Roman" w:cs="Times New Roman"/>
        </w:rPr>
        <w:t xml:space="preserve"> skutków pogłębiających się zmian klimatu w miastach</w:t>
      </w:r>
      <w:r w:rsidRPr="00667967">
        <w:rPr>
          <w:rFonts w:ascii="Times New Roman" w:eastAsia="Times New Roman" w:hAnsi="Times New Roman" w:cs="Times New Roman"/>
        </w:rPr>
        <w:t xml:space="preserve"> ma </w:t>
      </w:r>
      <w:r w:rsidR="00873DA3" w:rsidRPr="00667967">
        <w:rPr>
          <w:rFonts w:ascii="Times New Roman" w:eastAsia="Times New Roman" w:hAnsi="Times New Roman" w:cs="Times New Roman"/>
        </w:rPr>
        <w:t xml:space="preserve">bezpośredni wpływ nie tylko na życie obywateli, ale także </w:t>
      </w:r>
      <w:r w:rsidRPr="00667967">
        <w:rPr>
          <w:rFonts w:ascii="Times New Roman" w:eastAsia="Times New Roman" w:hAnsi="Times New Roman" w:cs="Times New Roman"/>
        </w:rPr>
        <w:t>dynamiczny</w:t>
      </w:r>
      <w:r w:rsidR="00873DA3" w:rsidRPr="00667967">
        <w:rPr>
          <w:rFonts w:ascii="Times New Roman" w:eastAsia="Times New Roman" w:hAnsi="Times New Roman" w:cs="Times New Roman"/>
        </w:rPr>
        <w:t xml:space="preserve"> rozwój gospodarczy kraju oraz regionów. To samo </w:t>
      </w:r>
      <w:r w:rsidRPr="00667967">
        <w:rPr>
          <w:rFonts w:ascii="Times New Roman" w:eastAsia="Times New Roman" w:hAnsi="Times New Roman" w:cs="Times New Roman"/>
        </w:rPr>
        <w:t>odnosi się do</w:t>
      </w:r>
      <w:r w:rsidR="00873DA3" w:rsidRPr="00667967">
        <w:rPr>
          <w:rFonts w:ascii="Times New Roman" w:eastAsia="Times New Roman" w:hAnsi="Times New Roman" w:cs="Times New Roman"/>
        </w:rPr>
        <w:t xml:space="preserve"> prawa do oddychania czystym powietrz</w:t>
      </w:r>
      <w:r w:rsidR="003031BB" w:rsidRPr="00667967">
        <w:rPr>
          <w:rFonts w:ascii="Times New Roman" w:eastAsia="Times New Roman" w:hAnsi="Times New Roman" w:cs="Times New Roman"/>
        </w:rPr>
        <w:t>em</w:t>
      </w:r>
      <w:r w:rsidR="00873DA3" w:rsidRPr="00667967">
        <w:rPr>
          <w:rFonts w:ascii="Times New Roman" w:eastAsia="Times New Roman" w:hAnsi="Times New Roman" w:cs="Times New Roman"/>
        </w:rPr>
        <w:t>. W tym celu zaproponowane zostały odpowiednie przepisy, które pozwolą na dalszą efektywną realizację przedsięwzięć mających na celu ograniczenie negatywnego wpływu sektora mieszkalnictwa na stan powietrza oraz jeszcze efektywniejszą realizację narzędzi finansowych dedykowanych temu zadaniu.</w:t>
      </w:r>
    </w:p>
    <w:bookmarkEnd w:id="0"/>
    <w:bookmarkEnd w:id="3"/>
    <w:p w14:paraId="32A59F27" w14:textId="4682A97D" w:rsidR="001A22C2" w:rsidRPr="00667967" w:rsidRDefault="0050609F" w:rsidP="00595221">
      <w:pPr>
        <w:widowControl/>
        <w:shd w:val="clear" w:color="auto" w:fill="FFFFFF"/>
        <w:spacing w:after="120" w:line="360" w:lineRule="auto"/>
        <w:jc w:val="both"/>
        <w:rPr>
          <w:rFonts w:ascii="Times New Roman" w:eastAsia="Times New Roman" w:hAnsi="Times New Roman" w:cs="Times New Roman"/>
        </w:rPr>
      </w:pPr>
      <w:r w:rsidRPr="00667967">
        <w:rPr>
          <w:rFonts w:ascii="Times New Roman" w:eastAsia="Times New Roman" w:hAnsi="Times New Roman" w:cs="Times New Roman"/>
        </w:rPr>
        <w:t xml:space="preserve">Do </w:t>
      </w:r>
      <w:r w:rsidR="008F3B34" w:rsidRPr="00667967">
        <w:rPr>
          <w:rFonts w:ascii="Times New Roman" w:eastAsia="Times New Roman" w:hAnsi="Times New Roman" w:cs="Times New Roman"/>
        </w:rPr>
        <w:t xml:space="preserve">zasadniczych </w:t>
      </w:r>
      <w:r w:rsidRPr="00667967">
        <w:rPr>
          <w:rFonts w:ascii="Times New Roman" w:eastAsia="Times New Roman" w:hAnsi="Times New Roman" w:cs="Times New Roman"/>
        </w:rPr>
        <w:t>celów ustawy należy m.in.</w:t>
      </w:r>
      <w:r w:rsidR="00B25ABD" w:rsidRPr="00667967">
        <w:rPr>
          <w:rFonts w:ascii="Times New Roman" w:eastAsia="Times New Roman" w:hAnsi="Times New Roman" w:cs="Times New Roman"/>
        </w:rPr>
        <w:t xml:space="preserve"> </w:t>
      </w:r>
      <w:r w:rsidR="001A22C2" w:rsidRPr="00667967">
        <w:rPr>
          <w:rFonts w:ascii="Times New Roman" w:eastAsia="Times New Roman" w:hAnsi="Times New Roman" w:cs="Times New Roman"/>
        </w:rPr>
        <w:t>wprowadzenie rozwiązań służących wzmocnieni</w:t>
      </w:r>
      <w:r w:rsidR="00A35141" w:rsidRPr="00667967">
        <w:rPr>
          <w:rFonts w:ascii="Times New Roman" w:eastAsia="Times New Roman" w:hAnsi="Times New Roman" w:cs="Times New Roman"/>
        </w:rPr>
        <w:t>u</w:t>
      </w:r>
      <w:r w:rsidR="001A22C2" w:rsidRPr="00667967">
        <w:rPr>
          <w:rFonts w:ascii="Times New Roman" w:eastAsia="Times New Roman" w:hAnsi="Times New Roman" w:cs="Times New Roman"/>
        </w:rPr>
        <w:t xml:space="preserve"> aspektów transformacji ekologicznej i klimatycznej miast. Projektowane rozwiązania wpisują się w szerokie spektrum działań realizowanych przez Ministra Klimatu i Środowiska w zakresie klimatu i zrównoważonego rozwoju.</w:t>
      </w:r>
    </w:p>
    <w:p w14:paraId="16D76221" w14:textId="79EAE09D" w:rsidR="001E5CA2" w:rsidRPr="00667967" w:rsidRDefault="001E5CA2" w:rsidP="00595221">
      <w:pPr>
        <w:widowControl/>
        <w:shd w:val="clear" w:color="auto" w:fill="FFFFFF"/>
        <w:spacing w:after="120" w:line="360" w:lineRule="auto"/>
        <w:jc w:val="both"/>
        <w:rPr>
          <w:rFonts w:ascii="Times New Roman" w:eastAsia="Times New Roman" w:hAnsi="Times New Roman" w:cs="Times New Roman"/>
        </w:rPr>
      </w:pPr>
      <w:r w:rsidRPr="00667967">
        <w:rPr>
          <w:rFonts w:ascii="Times New Roman" w:eastAsia="Times New Roman" w:hAnsi="Times New Roman" w:cs="Times New Roman"/>
        </w:rPr>
        <w:t>Miasta są obszarem</w:t>
      </w:r>
      <w:r w:rsidR="00E94CDB" w:rsidRPr="00667967">
        <w:rPr>
          <w:rFonts w:ascii="Times New Roman" w:eastAsia="Times New Roman" w:hAnsi="Times New Roman" w:cs="Times New Roman"/>
        </w:rPr>
        <w:t>,</w:t>
      </w:r>
      <w:r w:rsidRPr="00667967">
        <w:rPr>
          <w:rFonts w:ascii="Times New Roman" w:eastAsia="Times New Roman" w:hAnsi="Times New Roman" w:cs="Times New Roman"/>
        </w:rPr>
        <w:t xml:space="preserve"> </w:t>
      </w:r>
      <w:r w:rsidR="00647273" w:rsidRPr="00667967">
        <w:rPr>
          <w:rFonts w:ascii="Times New Roman" w:eastAsia="Times New Roman" w:hAnsi="Times New Roman" w:cs="Times New Roman"/>
        </w:rPr>
        <w:t xml:space="preserve">w </w:t>
      </w:r>
      <w:r w:rsidRPr="00667967">
        <w:rPr>
          <w:rFonts w:ascii="Times New Roman" w:eastAsia="Times New Roman" w:hAnsi="Times New Roman" w:cs="Times New Roman"/>
        </w:rPr>
        <w:t>którym koncentrują się współczesne wyzwania cywilizacyjne. Są również terenami najbardziej wrażliwymi na zmiany klimatu. Kryzys klimatyczny ma istotny wpływ zarówno na dynamikę rozwoju tkanki miejskiej, jak i jakość życia mieszkańców</w:t>
      </w:r>
      <w:r w:rsidR="003031BB" w:rsidRPr="00667967">
        <w:rPr>
          <w:rFonts w:ascii="Times New Roman" w:eastAsia="Times New Roman" w:hAnsi="Times New Roman" w:cs="Times New Roman"/>
        </w:rPr>
        <w:t xml:space="preserve"> miast</w:t>
      </w:r>
      <w:r w:rsidRPr="00667967">
        <w:rPr>
          <w:rFonts w:ascii="Times New Roman" w:eastAsia="Times New Roman" w:hAnsi="Times New Roman" w:cs="Times New Roman"/>
        </w:rPr>
        <w:t xml:space="preserve">, stanowiących obecnie </w:t>
      </w:r>
      <w:r w:rsidR="00ED4DC7" w:rsidRPr="00667967">
        <w:rPr>
          <w:rFonts w:ascii="Times New Roman" w:eastAsia="Times New Roman" w:hAnsi="Times New Roman" w:cs="Times New Roman"/>
        </w:rPr>
        <w:t xml:space="preserve">ok. </w:t>
      </w:r>
      <w:r w:rsidRPr="00667967">
        <w:rPr>
          <w:rFonts w:ascii="Times New Roman" w:eastAsia="Times New Roman" w:hAnsi="Times New Roman" w:cs="Times New Roman"/>
        </w:rPr>
        <w:t>60</w:t>
      </w:r>
      <w:r w:rsidR="00E55B01">
        <w:rPr>
          <w:rFonts w:ascii="Times New Roman" w:eastAsia="Times New Roman" w:hAnsi="Times New Roman" w:cs="Times New Roman"/>
        </w:rPr>
        <w:t> </w:t>
      </w:r>
      <w:r w:rsidRPr="00667967">
        <w:rPr>
          <w:rFonts w:ascii="Times New Roman" w:eastAsia="Times New Roman" w:hAnsi="Times New Roman" w:cs="Times New Roman"/>
        </w:rPr>
        <w:t xml:space="preserve">% populacji Polski. </w:t>
      </w:r>
      <w:r w:rsidR="00647273" w:rsidRPr="00667967">
        <w:rPr>
          <w:rFonts w:ascii="Times New Roman" w:eastAsia="Times New Roman" w:hAnsi="Times New Roman" w:cs="Times New Roman"/>
        </w:rPr>
        <w:t xml:space="preserve">Należy zatem dążyć do osiągnięcia neutralności klimatycznej miast oraz zwiększyć odporność miast na zachodzące zmiany klimatu. </w:t>
      </w:r>
    </w:p>
    <w:p w14:paraId="5FDC3FFD" w14:textId="558C1300" w:rsidR="00070FEF" w:rsidRPr="00667967" w:rsidRDefault="00070FEF" w:rsidP="00595221">
      <w:pPr>
        <w:widowControl/>
        <w:shd w:val="clear" w:color="auto" w:fill="FFFFFF"/>
        <w:spacing w:after="120" w:line="360" w:lineRule="auto"/>
        <w:jc w:val="both"/>
        <w:rPr>
          <w:rFonts w:ascii="Times New Roman" w:eastAsia="Times New Roman" w:hAnsi="Times New Roman" w:cs="Times New Roman"/>
        </w:rPr>
      </w:pPr>
      <w:r w:rsidRPr="00667967">
        <w:rPr>
          <w:rFonts w:ascii="Times New Roman" w:eastAsia="Times New Roman" w:hAnsi="Times New Roman" w:cs="Times New Roman"/>
        </w:rPr>
        <w:lastRenderedPageBreak/>
        <w:t>Niniejszy pakiet zmian jest zgodny zarówno z krajowymi dokume</w:t>
      </w:r>
      <w:r w:rsidR="00903BA8" w:rsidRPr="00667967">
        <w:rPr>
          <w:rFonts w:ascii="Times New Roman" w:eastAsia="Times New Roman" w:hAnsi="Times New Roman" w:cs="Times New Roman"/>
        </w:rPr>
        <w:t>ntami strategicznymi</w:t>
      </w:r>
      <w:r w:rsidR="00C36E94" w:rsidRPr="00667967">
        <w:rPr>
          <w:rFonts w:ascii="Times New Roman" w:eastAsia="Times New Roman" w:hAnsi="Times New Roman" w:cs="Times New Roman"/>
        </w:rPr>
        <w:t xml:space="preserve">: Polityką ekologiczną </w:t>
      </w:r>
      <w:r w:rsidR="0050022C" w:rsidRPr="00667967">
        <w:rPr>
          <w:rFonts w:ascii="Times New Roman" w:eastAsia="Times New Roman" w:hAnsi="Times New Roman" w:cs="Times New Roman"/>
        </w:rPr>
        <w:t>p</w:t>
      </w:r>
      <w:r w:rsidRPr="00667967">
        <w:rPr>
          <w:rFonts w:ascii="Times New Roman" w:eastAsia="Times New Roman" w:hAnsi="Times New Roman" w:cs="Times New Roman"/>
        </w:rPr>
        <w:t>aństwa 2030</w:t>
      </w:r>
      <w:r w:rsidR="00903BA8" w:rsidRPr="00667967">
        <w:rPr>
          <w:rFonts w:ascii="Times New Roman" w:eastAsia="Times New Roman" w:hAnsi="Times New Roman" w:cs="Times New Roman"/>
        </w:rPr>
        <w:t xml:space="preserve">, </w:t>
      </w:r>
      <w:r w:rsidR="009E58ED" w:rsidRPr="00667967">
        <w:rPr>
          <w:rFonts w:ascii="Times New Roman" w:eastAsia="Times New Roman" w:hAnsi="Times New Roman" w:cs="Times New Roman"/>
        </w:rPr>
        <w:t xml:space="preserve">Krajową Strategią Rozwoju Regionalnego 2030, </w:t>
      </w:r>
      <w:r w:rsidR="00C36E94" w:rsidRPr="00667967">
        <w:rPr>
          <w:rFonts w:ascii="Times New Roman" w:eastAsia="Times New Roman" w:hAnsi="Times New Roman" w:cs="Times New Roman"/>
        </w:rPr>
        <w:t xml:space="preserve">Krajową Polityką Miejską </w:t>
      </w:r>
      <w:r w:rsidR="008958DF" w:rsidRPr="00667967">
        <w:rPr>
          <w:rFonts w:ascii="Times New Roman" w:eastAsia="Times New Roman" w:hAnsi="Times New Roman" w:cs="Times New Roman"/>
        </w:rPr>
        <w:t>2030</w:t>
      </w:r>
      <w:r w:rsidRPr="00667967">
        <w:rPr>
          <w:rFonts w:ascii="Times New Roman" w:eastAsia="Times New Roman" w:hAnsi="Times New Roman" w:cs="Times New Roman"/>
        </w:rPr>
        <w:t>, jak również z inicjatywami unijnymi i</w:t>
      </w:r>
      <w:r w:rsidR="00DB09A0" w:rsidRPr="00667967">
        <w:rPr>
          <w:rFonts w:ascii="Times New Roman" w:eastAsia="Times New Roman" w:hAnsi="Times New Roman" w:cs="Times New Roman"/>
        </w:rPr>
        <w:t> </w:t>
      </w:r>
      <w:r w:rsidRPr="00667967">
        <w:rPr>
          <w:rFonts w:ascii="Times New Roman" w:eastAsia="Times New Roman" w:hAnsi="Times New Roman" w:cs="Times New Roman"/>
        </w:rPr>
        <w:t>międzynarodowymi w</w:t>
      </w:r>
      <w:r w:rsidR="00A94267" w:rsidRPr="00667967">
        <w:rPr>
          <w:rFonts w:ascii="Times New Roman" w:eastAsia="Times New Roman" w:hAnsi="Times New Roman" w:cs="Times New Roman"/>
        </w:rPr>
        <w:t xml:space="preserve"> </w:t>
      </w:r>
      <w:r w:rsidRPr="00667967">
        <w:rPr>
          <w:rFonts w:ascii="Times New Roman" w:eastAsia="Times New Roman" w:hAnsi="Times New Roman" w:cs="Times New Roman"/>
        </w:rPr>
        <w:t>zakresie polityk miejskich, adaptacyjnych i mitygacyjnych, taki</w:t>
      </w:r>
      <w:r w:rsidR="006D6B4E" w:rsidRPr="00667967">
        <w:rPr>
          <w:rFonts w:ascii="Times New Roman" w:eastAsia="Times New Roman" w:hAnsi="Times New Roman" w:cs="Times New Roman"/>
        </w:rPr>
        <w:t>mi</w:t>
      </w:r>
      <w:r w:rsidRPr="00667967">
        <w:rPr>
          <w:rFonts w:ascii="Times New Roman" w:eastAsia="Times New Roman" w:hAnsi="Times New Roman" w:cs="Times New Roman"/>
        </w:rPr>
        <w:t xml:space="preserve"> jak</w:t>
      </w:r>
      <w:r w:rsidR="00C36E94" w:rsidRPr="00667967">
        <w:rPr>
          <w:rFonts w:ascii="Times New Roman" w:eastAsia="Times New Roman" w:hAnsi="Times New Roman" w:cs="Times New Roman"/>
        </w:rPr>
        <w:t>:</w:t>
      </w:r>
      <w:r w:rsidRPr="00667967">
        <w:rPr>
          <w:rFonts w:ascii="Times New Roman" w:eastAsia="Times New Roman" w:hAnsi="Times New Roman" w:cs="Times New Roman"/>
        </w:rPr>
        <w:t xml:space="preserve"> Nowa Karta Lipska</w:t>
      </w:r>
      <w:r w:rsidR="009E58ED" w:rsidRPr="00667967">
        <w:rPr>
          <w:rFonts w:ascii="Times New Roman" w:eastAsia="Times New Roman" w:hAnsi="Times New Roman" w:cs="Times New Roman"/>
        </w:rPr>
        <w:t xml:space="preserve"> </w:t>
      </w:r>
      <w:r w:rsidR="00DA60C0" w:rsidRPr="00667967">
        <w:rPr>
          <w:rFonts w:ascii="Times New Roman" w:eastAsia="Times New Roman" w:hAnsi="Times New Roman" w:cs="Times New Roman"/>
        </w:rPr>
        <w:t xml:space="preserve">– </w:t>
      </w:r>
      <w:r w:rsidR="00ED4DC7" w:rsidRPr="00667967">
        <w:rPr>
          <w:rFonts w:ascii="Times New Roman" w:eastAsia="Times New Roman" w:hAnsi="Times New Roman" w:cs="Times New Roman"/>
        </w:rPr>
        <w:t>Transformacyjna siła miast na rzecz wspólnego dobra</w:t>
      </w:r>
      <w:r w:rsidR="00EE736C" w:rsidRPr="00667967">
        <w:rPr>
          <w:rFonts w:ascii="Times New Roman" w:eastAsia="Times New Roman" w:hAnsi="Times New Roman" w:cs="Times New Roman"/>
        </w:rPr>
        <w:t xml:space="preserve">, </w:t>
      </w:r>
      <w:r w:rsidR="009E58ED" w:rsidRPr="00667967">
        <w:rPr>
          <w:rFonts w:ascii="Times New Roman" w:eastAsia="Times New Roman" w:hAnsi="Times New Roman" w:cs="Times New Roman"/>
        </w:rPr>
        <w:t>Agenda Terytorialna</w:t>
      </w:r>
      <w:r w:rsidR="001855CF" w:rsidRPr="00667967">
        <w:rPr>
          <w:rFonts w:ascii="Times New Roman" w:eastAsia="Times New Roman" w:hAnsi="Times New Roman" w:cs="Times New Roman"/>
        </w:rPr>
        <w:t xml:space="preserve"> UE 2030</w:t>
      </w:r>
      <w:r w:rsidR="00ED4DC7" w:rsidRPr="00667967">
        <w:rPr>
          <w:rFonts w:ascii="Times New Roman" w:eastAsia="Times New Roman" w:hAnsi="Times New Roman" w:cs="Times New Roman"/>
        </w:rPr>
        <w:t xml:space="preserve"> </w:t>
      </w:r>
      <w:r w:rsidRPr="00667967">
        <w:rPr>
          <w:rFonts w:ascii="Times New Roman" w:eastAsia="Times New Roman" w:hAnsi="Times New Roman" w:cs="Times New Roman"/>
        </w:rPr>
        <w:t xml:space="preserve">czy </w:t>
      </w:r>
      <w:bookmarkStart w:id="4" w:name="_Hlk87346778"/>
      <w:r w:rsidRPr="00667967">
        <w:rPr>
          <w:rFonts w:ascii="Times New Roman" w:eastAsia="Times New Roman" w:hAnsi="Times New Roman" w:cs="Times New Roman"/>
        </w:rPr>
        <w:t>Nowa Agenda Miejska ONZ</w:t>
      </w:r>
      <w:bookmarkEnd w:id="4"/>
      <w:r w:rsidRPr="00667967">
        <w:rPr>
          <w:rFonts w:ascii="Times New Roman" w:eastAsia="Times New Roman" w:hAnsi="Times New Roman" w:cs="Times New Roman"/>
        </w:rPr>
        <w:t xml:space="preserve">. </w:t>
      </w:r>
    </w:p>
    <w:p w14:paraId="660DFB40" w14:textId="42B0956E" w:rsidR="00A94267" w:rsidRPr="00667967" w:rsidRDefault="001E5CA2" w:rsidP="00595221">
      <w:pPr>
        <w:widowControl/>
        <w:shd w:val="clear" w:color="auto" w:fill="FFFFFF"/>
        <w:spacing w:after="120" w:line="360" w:lineRule="auto"/>
        <w:jc w:val="both"/>
        <w:rPr>
          <w:rFonts w:ascii="Times New Roman" w:eastAsia="Times New Roman" w:hAnsi="Times New Roman" w:cs="Times New Roman"/>
        </w:rPr>
      </w:pPr>
      <w:r w:rsidRPr="00667967">
        <w:rPr>
          <w:rFonts w:ascii="Times New Roman" w:eastAsia="Times New Roman" w:hAnsi="Times New Roman" w:cs="Times New Roman"/>
        </w:rPr>
        <w:t xml:space="preserve">Proponowany projekt stanowi jeden z rezultatów </w:t>
      </w:r>
      <w:r w:rsidR="00A2547D" w:rsidRPr="00667967">
        <w:rPr>
          <w:rFonts w:ascii="Times New Roman" w:eastAsia="Times New Roman" w:hAnsi="Times New Roman" w:cs="Times New Roman"/>
        </w:rPr>
        <w:t>działań analitycznych podejmowanych w roku 2020 przez Ministerstwo Klimatu i Środowiska</w:t>
      </w:r>
      <w:r w:rsidR="006C0FC5" w:rsidRPr="00667967">
        <w:rPr>
          <w:rFonts w:ascii="Times New Roman" w:eastAsia="Times New Roman" w:hAnsi="Times New Roman" w:cs="Times New Roman"/>
        </w:rPr>
        <w:t xml:space="preserve"> </w:t>
      </w:r>
      <w:r w:rsidR="0070798C" w:rsidRPr="00667967">
        <w:rPr>
          <w:rFonts w:ascii="Times New Roman" w:eastAsia="Times New Roman" w:hAnsi="Times New Roman" w:cs="Times New Roman"/>
        </w:rPr>
        <w:t>(</w:t>
      </w:r>
      <w:r w:rsidR="006C0FC5" w:rsidRPr="00667967">
        <w:rPr>
          <w:rFonts w:ascii="Times New Roman" w:eastAsia="Times New Roman" w:hAnsi="Times New Roman" w:cs="Times New Roman"/>
        </w:rPr>
        <w:t>MKiŚ</w:t>
      </w:r>
      <w:r w:rsidR="0070798C" w:rsidRPr="00667967">
        <w:rPr>
          <w:rFonts w:ascii="Times New Roman" w:eastAsia="Times New Roman" w:hAnsi="Times New Roman" w:cs="Times New Roman"/>
        </w:rPr>
        <w:t xml:space="preserve">), </w:t>
      </w:r>
      <w:r w:rsidR="00A2547D" w:rsidRPr="00667967">
        <w:rPr>
          <w:rFonts w:ascii="Times New Roman" w:eastAsia="Times New Roman" w:hAnsi="Times New Roman" w:cs="Times New Roman"/>
        </w:rPr>
        <w:t>w tym wa</w:t>
      </w:r>
      <w:r w:rsidR="00401F50" w:rsidRPr="00667967">
        <w:rPr>
          <w:rFonts w:ascii="Times New Roman" w:eastAsia="Times New Roman" w:hAnsi="Times New Roman" w:cs="Times New Roman"/>
        </w:rPr>
        <w:t>rsztatów miejskich prowadzonych</w:t>
      </w:r>
      <w:r w:rsidR="0070798C" w:rsidRPr="00667967">
        <w:rPr>
          <w:rFonts w:ascii="Times New Roman" w:eastAsia="Times New Roman" w:hAnsi="Times New Roman" w:cs="Times New Roman"/>
        </w:rPr>
        <w:t xml:space="preserve"> </w:t>
      </w:r>
      <w:r w:rsidRPr="00667967">
        <w:rPr>
          <w:rFonts w:ascii="Times New Roman" w:eastAsia="Times New Roman" w:hAnsi="Times New Roman" w:cs="Times New Roman"/>
        </w:rPr>
        <w:t>z</w:t>
      </w:r>
      <w:r w:rsidR="0002469B" w:rsidRPr="00667967">
        <w:rPr>
          <w:rFonts w:ascii="Times New Roman" w:eastAsia="Times New Roman" w:hAnsi="Times New Roman" w:cs="Times New Roman"/>
        </w:rPr>
        <w:t> </w:t>
      </w:r>
      <w:r w:rsidRPr="00667967">
        <w:rPr>
          <w:rFonts w:ascii="Times New Roman" w:eastAsia="Times New Roman" w:hAnsi="Times New Roman" w:cs="Times New Roman"/>
        </w:rPr>
        <w:t>przedstawicielami samorządów miejskich, biznesu, think t</w:t>
      </w:r>
      <w:r w:rsidR="00401F50" w:rsidRPr="00667967">
        <w:rPr>
          <w:rFonts w:ascii="Times New Roman" w:eastAsia="Times New Roman" w:hAnsi="Times New Roman" w:cs="Times New Roman"/>
        </w:rPr>
        <w:t>anków, organizacji społecznych</w:t>
      </w:r>
      <w:r w:rsidR="00BF5BFC" w:rsidRPr="00667967">
        <w:rPr>
          <w:rFonts w:ascii="Times New Roman" w:eastAsia="Times New Roman" w:hAnsi="Times New Roman" w:cs="Times New Roman"/>
        </w:rPr>
        <w:t xml:space="preserve"> </w:t>
      </w:r>
      <w:r w:rsidRPr="00667967">
        <w:rPr>
          <w:rFonts w:ascii="Times New Roman" w:eastAsia="Times New Roman" w:hAnsi="Times New Roman" w:cs="Times New Roman"/>
        </w:rPr>
        <w:t>i</w:t>
      </w:r>
      <w:r w:rsidR="0002469B" w:rsidRPr="00667967">
        <w:rPr>
          <w:rFonts w:ascii="Times New Roman" w:eastAsia="Times New Roman" w:hAnsi="Times New Roman" w:cs="Times New Roman"/>
        </w:rPr>
        <w:t> </w:t>
      </w:r>
      <w:r w:rsidRPr="00667967">
        <w:rPr>
          <w:rFonts w:ascii="Times New Roman" w:eastAsia="Times New Roman" w:hAnsi="Times New Roman" w:cs="Times New Roman"/>
        </w:rPr>
        <w:t>obywatelskich, ekspertów, naukowców, architektów i urbanistów</w:t>
      </w:r>
      <w:r w:rsidR="00801127" w:rsidRPr="00667967">
        <w:rPr>
          <w:rFonts w:ascii="Times New Roman" w:eastAsia="Times New Roman" w:hAnsi="Times New Roman" w:cs="Times New Roman"/>
        </w:rPr>
        <w:t xml:space="preserve"> </w:t>
      </w:r>
      <w:r w:rsidRPr="00667967">
        <w:rPr>
          <w:rFonts w:ascii="Times New Roman" w:eastAsia="Times New Roman" w:hAnsi="Times New Roman" w:cs="Times New Roman"/>
        </w:rPr>
        <w:t xml:space="preserve">w ramach </w:t>
      </w:r>
      <w:r w:rsidR="00101A67" w:rsidRPr="00667967">
        <w:rPr>
          <w:rFonts w:ascii="Times New Roman" w:eastAsia="Times New Roman" w:hAnsi="Times New Roman" w:cs="Times New Roman"/>
        </w:rPr>
        <w:t>projektu</w:t>
      </w:r>
      <w:r w:rsidR="00401F50" w:rsidRPr="00667967">
        <w:rPr>
          <w:rFonts w:ascii="Times New Roman" w:eastAsia="Times New Roman" w:hAnsi="Times New Roman" w:cs="Times New Roman"/>
        </w:rPr>
        <w:t xml:space="preserve"> „Miasto</w:t>
      </w:r>
      <w:r w:rsidR="00FA18D3" w:rsidRPr="00667967">
        <w:rPr>
          <w:rFonts w:ascii="Times New Roman" w:eastAsia="Times New Roman" w:hAnsi="Times New Roman" w:cs="Times New Roman"/>
        </w:rPr>
        <w:t xml:space="preserve"> </w:t>
      </w:r>
      <w:r w:rsidRPr="00667967">
        <w:rPr>
          <w:rFonts w:ascii="Times New Roman" w:eastAsia="Times New Roman" w:hAnsi="Times New Roman" w:cs="Times New Roman"/>
        </w:rPr>
        <w:t>z</w:t>
      </w:r>
      <w:r w:rsidR="0002469B" w:rsidRPr="00667967">
        <w:rPr>
          <w:rFonts w:ascii="Times New Roman" w:eastAsia="Times New Roman" w:hAnsi="Times New Roman" w:cs="Times New Roman"/>
        </w:rPr>
        <w:t> </w:t>
      </w:r>
      <w:r w:rsidRPr="00667967">
        <w:rPr>
          <w:rFonts w:ascii="Times New Roman" w:eastAsia="Times New Roman" w:hAnsi="Times New Roman" w:cs="Times New Roman"/>
        </w:rPr>
        <w:t>Klimatem”. Miały</w:t>
      </w:r>
      <w:r w:rsidR="00801127" w:rsidRPr="00667967">
        <w:rPr>
          <w:rFonts w:ascii="Times New Roman" w:eastAsia="Times New Roman" w:hAnsi="Times New Roman" w:cs="Times New Roman"/>
        </w:rPr>
        <w:t xml:space="preserve"> one</w:t>
      </w:r>
      <w:r w:rsidRPr="00667967">
        <w:rPr>
          <w:rFonts w:ascii="Times New Roman" w:eastAsia="Times New Roman" w:hAnsi="Times New Roman" w:cs="Times New Roman"/>
        </w:rPr>
        <w:t xml:space="preserve"> na celu zidentyfikowanie głównych problemów dot</w:t>
      </w:r>
      <w:r w:rsidR="009E4CFA" w:rsidRPr="00667967">
        <w:rPr>
          <w:rFonts w:ascii="Times New Roman" w:eastAsia="Times New Roman" w:hAnsi="Times New Roman" w:cs="Times New Roman"/>
        </w:rPr>
        <w:t>yczących</w:t>
      </w:r>
      <w:r w:rsidRPr="00667967">
        <w:rPr>
          <w:rFonts w:ascii="Times New Roman" w:eastAsia="Times New Roman" w:hAnsi="Times New Roman" w:cs="Times New Roman"/>
        </w:rPr>
        <w:t xml:space="preserve"> </w:t>
      </w:r>
      <w:r w:rsidR="00A2547D" w:rsidRPr="00667967">
        <w:rPr>
          <w:rFonts w:ascii="Times New Roman" w:eastAsia="Times New Roman" w:hAnsi="Times New Roman" w:cs="Times New Roman"/>
        </w:rPr>
        <w:t xml:space="preserve">szeroko rozumianych </w:t>
      </w:r>
      <w:r w:rsidRPr="00667967">
        <w:rPr>
          <w:rFonts w:ascii="Times New Roman" w:eastAsia="Times New Roman" w:hAnsi="Times New Roman" w:cs="Times New Roman"/>
        </w:rPr>
        <w:t>działań i polityki adaptacyjnej</w:t>
      </w:r>
      <w:r w:rsidR="00101A67" w:rsidRPr="00667967">
        <w:rPr>
          <w:rFonts w:ascii="Times New Roman" w:eastAsia="Times New Roman" w:hAnsi="Times New Roman" w:cs="Times New Roman"/>
        </w:rPr>
        <w:t xml:space="preserve">. </w:t>
      </w:r>
      <w:r w:rsidRPr="00667967">
        <w:rPr>
          <w:rFonts w:ascii="Times New Roman" w:eastAsia="Times New Roman" w:hAnsi="Times New Roman" w:cs="Times New Roman"/>
        </w:rPr>
        <w:t xml:space="preserve">W ich trakcie jednym z najczęściej podkreślanych problemów był niewystarczający stopień </w:t>
      </w:r>
      <w:r w:rsidR="00A2547D" w:rsidRPr="00667967">
        <w:rPr>
          <w:rFonts w:ascii="Times New Roman" w:eastAsia="Times New Roman" w:hAnsi="Times New Roman" w:cs="Times New Roman"/>
        </w:rPr>
        <w:t xml:space="preserve">zaangażowania miast w opracowywanie miejskich planów adaptacji </w:t>
      </w:r>
      <w:r w:rsidR="0070798C" w:rsidRPr="00667967">
        <w:rPr>
          <w:rFonts w:ascii="Times New Roman" w:eastAsia="Times New Roman" w:hAnsi="Times New Roman" w:cs="Times New Roman"/>
        </w:rPr>
        <w:t>(</w:t>
      </w:r>
      <w:r w:rsidR="00114A7D" w:rsidRPr="00667967">
        <w:rPr>
          <w:rFonts w:ascii="Times New Roman" w:eastAsia="Times New Roman" w:hAnsi="Times New Roman" w:cs="Times New Roman"/>
        </w:rPr>
        <w:t>MPA</w:t>
      </w:r>
      <w:r w:rsidR="0070798C" w:rsidRPr="00667967">
        <w:rPr>
          <w:rFonts w:ascii="Times New Roman" w:eastAsia="Times New Roman" w:hAnsi="Times New Roman" w:cs="Times New Roman"/>
        </w:rPr>
        <w:t>)</w:t>
      </w:r>
      <w:r w:rsidR="00A2547D" w:rsidRPr="00667967">
        <w:rPr>
          <w:rFonts w:ascii="Times New Roman" w:eastAsia="Times New Roman" w:hAnsi="Times New Roman" w:cs="Times New Roman"/>
        </w:rPr>
        <w:t xml:space="preserve">. </w:t>
      </w:r>
      <w:r w:rsidRPr="00667967">
        <w:rPr>
          <w:rFonts w:ascii="Times New Roman" w:eastAsia="Times New Roman" w:hAnsi="Times New Roman" w:cs="Times New Roman"/>
        </w:rPr>
        <w:t>Wskaz</w:t>
      </w:r>
      <w:r w:rsidR="00101A67" w:rsidRPr="00667967">
        <w:rPr>
          <w:rFonts w:ascii="Times New Roman" w:eastAsia="Times New Roman" w:hAnsi="Times New Roman" w:cs="Times New Roman"/>
        </w:rPr>
        <w:t>ywano</w:t>
      </w:r>
      <w:r w:rsidRPr="00667967">
        <w:rPr>
          <w:rFonts w:ascii="Times New Roman" w:eastAsia="Times New Roman" w:hAnsi="Times New Roman" w:cs="Times New Roman"/>
        </w:rPr>
        <w:t xml:space="preserve">, że </w:t>
      </w:r>
      <w:r w:rsidR="00A10E2F" w:rsidRPr="00667967">
        <w:rPr>
          <w:rFonts w:ascii="Times New Roman" w:eastAsia="Times New Roman" w:hAnsi="Times New Roman" w:cs="Times New Roman"/>
        </w:rPr>
        <w:t xml:space="preserve">MPA </w:t>
      </w:r>
      <w:r w:rsidR="00C60DCC" w:rsidRPr="00667967">
        <w:rPr>
          <w:rFonts w:ascii="Times New Roman" w:eastAsia="Times New Roman" w:hAnsi="Times New Roman" w:cs="Times New Roman"/>
        </w:rPr>
        <w:t>nie są osadzone w przepisach</w:t>
      </w:r>
      <w:r w:rsidR="00A2547D" w:rsidRPr="00667967">
        <w:rPr>
          <w:rFonts w:ascii="Times New Roman" w:eastAsia="Times New Roman" w:hAnsi="Times New Roman" w:cs="Times New Roman"/>
        </w:rPr>
        <w:t xml:space="preserve"> prawa powszechnie obowiązującego</w:t>
      </w:r>
      <w:r w:rsidR="00C60DCC" w:rsidRPr="00667967">
        <w:rPr>
          <w:rFonts w:ascii="Times New Roman" w:eastAsia="Times New Roman" w:hAnsi="Times New Roman" w:cs="Times New Roman"/>
        </w:rPr>
        <w:t xml:space="preserve">, a </w:t>
      </w:r>
      <w:r w:rsidRPr="00667967">
        <w:rPr>
          <w:rFonts w:ascii="Times New Roman" w:eastAsia="Times New Roman" w:hAnsi="Times New Roman" w:cs="Times New Roman"/>
        </w:rPr>
        <w:t xml:space="preserve">w części miast nie </w:t>
      </w:r>
      <w:r w:rsidR="00DA60C0" w:rsidRPr="00667967">
        <w:rPr>
          <w:rFonts w:ascii="Times New Roman" w:eastAsia="Times New Roman" w:hAnsi="Times New Roman" w:cs="Times New Roman"/>
        </w:rPr>
        <w:t xml:space="preserve">podejmuje się </w:t>
      </w:r>
      <w:r w:rsidR="001A22C2" w:rsidRPr="00667967">
        <w:rPr>
          <w:rFonts w:ascii="Times New Roman" w:eastAsia="Times New Roman" w:hAnsi="Times New Roman" w:cs="Times New Roman"/>
        </w:rPr>
        <w:t>wystarczając</w:t>
      </w:r>
      <w:r w:rsidR="00DA60C0" w:rsidRPr="00667967">
        <w:rPr>
          <w:rFonts w:ascii="Times New Roman" w:eastAsia="Times New Roman" w:hAnsi="Times New Roman" w:cs="Times New Roman"/>
        </w:rPr>
        <w:t>ych</w:t>
      </w:r>
      <w:r w:rsidR="001A22C2" w:rsidRPr="00667967">
        <w:rPr>
          <w:rFonts w:ascii="Times New Roman" w:eastAsia="Times New Roman" w:hAnsi="Times New Roman" w:cs="Times New Roman"/>
        </w:rPr>
        <w:t xml:space="preserve"> </w:t>
      </w:r>
      <w:r w:rsidRPr="00667967">
        <w:rPr>
          <w:rFonts w:ascii="Times New Roman" w:eastAsia="Times New Roman" w:hAnsi="Times New Roman" w:cs="Times New Roman"/>
        </w:rPr>
        <w:t>działa</w:t>
      </w:r>
      <w:r w:rsidR="00DA60C0" w:rsidRPr="00667967">
        <w:rPr>
          <w:rFonts w:ascii="Times New Roman" w:eastAsia="Times New Roman" w:hAnsi="Times New Roman" w:cs="Times New Roman"/>
        </w:rPr>
        <w:t>ń</w:t>
      </w:r>
      <w:r w:rsidRPr="00667967">
        <w:rPr>
          <w:rFonts w:ascii="Times New Roman" w:eastAsia="Times New Roman" w:hAnsi="Times New Roman" w:cs="Times New Roman"/>
        </w:rPr>
        <w:t xml:space="preserve"> </w:t>
      </w:r>
      <w:r w:rsidR="00101A67" w:rsidRPr="00667967">
        <w:rPr>
          <w:rFonts w:ascii="Times New Roman" w:eastAsia="Times New Roman" w:hAnsi="Times New Roman" w:cs="Times New Roman"/>
        </w:rPr>
        <w:t>adaptacyjn</w:t>
      </w:r>
      <w:r w:rsidR="00DA60C0" w:rsidRPr="00667967">
        <w:rPr>
          <w:rFonts w:ascii="Times New Roman" w:eastAsia="Times New Roman" w:hAnsi="Times New Roman" w:cs="Times New Roman"/>
        </w:rPr>
        <w:t>ych</w:t>
      </w:r>
      <w:r w:rsidR="00101A67" w:rsidRPr="00667967">
        <w:rPr>
          <w:rFonts w:ascii="Times New Roman" w:eastAsia="Times New Roman" w:hAnsi="Times New Roman" w:cs="Times New Roman"/>
        </w:rPr>
        <w:t xml:space="preserve"> pomimo stworzenia</w:t>
      </w:r>
      <w:r w:rsidRPr="00667967">
        <w:rPr>
          <w:rFonts w:ascii="Times New Roman" w:eastAsia="Times New Roman" w:hAnsi="Times New Roman" w:cs="Times New Roman"/>
        </w:rPr>
        <w:t xml:space="preserve"> planów adaptacji do zmian klimatu.</w:t>
      </w:r>
    </w:p>
    <w:p w14:paraId="1F8FA900" w14:textId="32B8E36F" w:rsidR="001E5CA2" w:rsidRPr="00667967" w:rsidRDefault="00417AE6" w:rsidP="00595221">
      <w:pPr>
        <w:widowControl/>
        <w:shd w:val="clear" w:color="auto" w:fill="FFFFFF"/>
        <w:spacing w:after="120" w:line="360" w:lineRule="auto"/>
        <w:jc w:val="both"/>
        <w:rPr>
          <w:rFonts w:ascii="Times New Roman" w:eastAsia="Times New Roman" w:hAnsi="Times New Roman" w:cs="Times New Roman"/>
        </w:rPr>
      </w:pPr>
      <w:r w:rsidRPr="00667967">
        <w:rPr>
          <w:rFonts w:ascii="Times New Roman" w:eastAsia="Times New Roman" w:hAnsi="Times New Roman" w:cs="Times New Roman"/>
        </w:rPr>
        <w:t>Z</w:t>
      </w:r>
      <w:r w:rsidR="00A2547D" w:rsidRPr="00667967">
        <w:rPr>
          <w:rFonts w:ascii="Times New Roman" w:eastAsia="Times New Roman" w:hAnsi="Times New Roman" w:cs="Times New Roman"/>
        </w:rPr>
        <w:t>asadne jest</w:t>
      </w:r>
      <w:r w:rsidRPr="00667967">
        <w:rPr>
          <w:rFonts w:ascii="Times New Roman" w:eastAsia="Times New Roman" w:hAnsi="Times New Roman" w:cs="Times New Roman"/>
        </w:rPr>
        <w:t xml:space="preserve"> także </w:t>
      </w:r>
      <w:r w:rsidR="00A2547D" w:rsidRPr="00667967">
        <w:rPr>
          <w:rFonts w:ascii="Times New Roman" w:eastAsia="Times New Roman" w:hAnsi="Times New Roman" w:cs="Times New Roman"/>
        </w:rPr>
        <w:t>stworzenie przestrzeni prawnej dla opracowania i</w:t>
      </w:r>
      <w:r w:rsidR="00C60DCC" w:rsidRPr="00667967">
        <w:rPr>
          <w:rFonts w:ascii="Times New Roman" w:eastAsia="Times New Roman" w:hAnsi="Times New Roman" w:cs="Times New Roman"/>
        </w:rPr>
        <w:t xml:space="preserve"> wdrażania</w:t>
      </w:r>
      <w:r w:rsidR="00BA47F2" w:rsidRPr="00667967">
        <w:rPr>
          <w:rFonts w:ascii="Times New Roman" w:eastAsia="Times New Roman" w:hAnsi="Times New Roman" w:cs="Times New Roman"/>
        </w:rPr>
        <w:t xml:space="preserve"> </w:t>
      </w:r>
      <w:r w:rsidR="00A2547D" w:rsidRPr="00667967">
        <w:rPr>
          <w:rFonts w:ascii="Times New Roman" w:eastAsia="Times New Roman" w:hAnsi="Times New Roman" w:cs="Times New Roman"/>
        </w:rPr>
        <w:t xml:space="preserve">przez miasta </w:t>
      </w:r>
      <w:r w:rsidR="009115D9">
        <w:rPr>
          <w:rFonts w:ascii="Times New Roman" w:eastAsia="Times New Roman" w:hAnsi="Times New Roman" w:cs="Times New Roman"/>
        </w:rPr>
        <w:t>MPA</w:t>
      </w:r>
      <w:r w:rsidR="007D4E1A" w:rsidRPr="00667967">
        <w:rPr>
          <w:rFonts w:ascii="Times New Roman" w:eastAsia="Times New Roman" w:hAnsi="Times New Roman" w:cs="Times New Roman"/>
        </w:rPr>
        <w:t>, a także</w:t>
      </w:r>
      <w:r w:rsidR="00A2547D" w:rsidRPr="00667967">
        <w:rPr>
          <w:rFonts w:ascii="Times New Roman" w:eastAsia="Times New Roman" w:hAnsi="Times New Roman" w:cs="Times New Roman"/>
        </w:rPr>
        <w:t xml:space="preserve"> </w:t>
      </w:r>
      <w:r w:rsidR="00B8037C" w:rsidRPr="00667967">
        <w:rPr>
          <w:rFonts w:ascii="Times New Roman" w:eastAsia="Times New Roman" w:hAnsi="Times New Roman" w:cs="Times New Roman"/>
        </w:rPr>
        <w:t>powiązania tych planów</w:t>
      </w:r>
      <w:r w:rsidRPr="00667967">
        <w:rPr>
          <w:rFonts w:ascii="Times New Roman" w:eastAsia="Times New Roman" w:hAnsi="Times New Roman" w:cs="Times New Roman"/>
        </w:rPr>
        <w:t xml:space="preserve"> </w:t>
      </w:r>
      <w:r w:rsidR="00C60DCC" w:rsidRPr="00667967">
        <w:rPr>
          <w:rFonts w:ascii="Times New Roman" w:eastAsia="Times New Roman" w:hAnsi="Times New Roman" w:cs="Times New Roman"/>
        </w:rPr>
        <w:t>z innymi dokumentami</w:t>
      </w:r>
      <w:r w:rsidR="00A2547D" w:rsidRPr="00667967">
        <w:rPr>
          <w:rFonts w:ascii="Times New Roman" w:eastAsia="Times New Roman" w:hAnsi="Times New Roman" w:cs="Times New Roman"/>
        </w:rPr>
        <w:t xml:space="preserve"> strategicznymi i</w:t>
      </w:r>
      <w:r w:rsidR="0002469B" w:rsidRPr="00667967">
        <w:rPr>
          <w:rFonts w:ascii="Times New Roman" w:eastAsia="Times New Roman" w:hAnsi="Times New Roman" w:cs="Times New Roman"/>
        </w:rPr>
        <w:t> </w:t>
      </w:r>
      <w:r w:rsidR="00C60DCC" w:rsidRPr="00667967">
        <w:rPr>
          <w:rFonts w:ascii="Times New Roman" w:eastAsia="Times New Roman" w:hAnsi="Times New Roman" w:cs="Times New Roman"/>
        </w:rPr>
        <w:t>planistycznymi</w:t>
      </w:r>
      <w:r w:rsidR="00F56C5E" w:rsidRPr="00667967">
        <w:rPr>
          <w:rFonts w:ascii="Times New Roman" w:eastAsia="Times New Roman" w:hAnsi="Times New Roman" w:cs="Times New Roman"/>
        </w:rPr>
        <w:t xml:space="preserve"> na poziomie lokalnym</w:t>
      </w:r>
      <w:r w:rsidR="001E5CA2" w:rsidRPr="00667967">
        <w:rPr>
          <w:rFonts w:ascii="Times New Roman" w:eastAsia="Times New Roman" w:hAnsi="Times New Roman" w:cs="Times New Roman"/>
        </w:rPr>
        <w:t>.</w:t>
      </w:r>
    </w:p>
    <w:p w14:paraId="6553218A" w14:textId="77777777" w:rsidR="003E77EB" w:rsidRPr="00667967" w:rsidRDefault="001E5CA2" w:rsidP="00595221">
      <w:pPr>
        <w:widowControl/>
        <w:shd w:val="clear" w:color="auto" w:fill="FFFFFF"/>
        <w:spacing w:line="360" w:lineRule="auto"/>
        <w:jc w:val="both"/>
        <w:rPr>
          <w:rFonts w:ascii="Times New Roman" w:eastAsia="Times New Roman" w:hAnsi="Times New Roman" w:cs="Times New Roman"/>
        </w:rPr>
      </w:pPr>
      <w:r w:rsidRPr="00667967">
        <w:rPr>
          <w:rFonts w:ascii="Times New Roman" w:eastAsia="Times New Roman" w:hAnsi="Times New Roman" w:cs="Times New Roman"/>
        </w:rPr>
        <w:t xml:space="preserve">Aby rozwiązać </w:t>
      </w:r>
      <w:r w:rsidR="001D4CF3" w:rsidRPr="00667967">
        <w:rPr>
          <w:rFonts w:ascii="Times New Roman" w:eastAsia="Times New Roman" w:hAnsi="Times New Roman" w:cs="Times New Roman"/>
        </w:rPr>
        <w:t>prze</w:t>
      </w:r>
      <w:r w:rsidR="006469CA" w:rsidRPr="00667967">
        <w:rPr>
          <w:rFonts w:ascii="Times New Roman" w:eastAsia="Times New Roman" w:hAnsi="Times New Roman" w:cs="Times New Roman"/>
        </w:rPr>
        <w:t>d</w:t>
      </w:r>
      <w:r w:rsidR="001D4CF3" w:rsidRPr="00667967">
        <w:rPr>
          <w:rFonts w:ascii="Times New Roman" w:eastAsia="Times New Roman" w:hAnsi="Times New Roman" w:cs="Times New Roman"/>
        </w:rPr>
        <w:t>stawione</w:t>
      </w:r>
      <w:r w:rsidRPr="00667967">
        <w:rPr>
          <w:rFonts w:ascii="Times New Roman" w:eastAsia="Times New Roman" w:hAnsi="Times New Roman" w:cs="Times New Roman"/>
        </w:rPr>
        <w:t xml:space="preserve"> problem</w:t>
      </w:r>
      <w:r w:rsidR="001D4CF3" w:rsidRPr="00667967">
        <w:rPr>
          <w:rFonts w:ascii="Times New Roman" w:eastAsia="Times New Roman" w:hAnsi="Times New Roman" w:cs="Times New Roman"/>
        </w:rPr>
        <w:t>y</w:t>
      </w:r>
      <w:r w:rsidR="00C86FB1" w:rsidRPr="00667967">
        <w:rPr>
          <w:rFonts w:ascii="Times New Roman" w:eastAsia="Times New Roman" w:hAnsi="Times New Roman" w:cs="Times New Roman"/>
        </w:rPr>
        <w:t>,</w:t>
      </w:r>
      <w:r w:rsidRPr="00667967">
        <w:rPr>
          <w:rFonts w:ascii="Times New Roman" w:eastAsia="Times New Roman" w:hAnsi="Times New Roman" w:cs="Times New Roman"/>
        </w:rPr>
        <w:t xml:space="preserve"> zdecydowano się na wprowadzenie zmian polegających</w:t>
      </w:r>
      <w:r w:rsidR="003E77EB" w:rsidRPr="00667967">
        <w:rPr>
          <w:rFonts w:ascii="Times New Roman" w:eastAsia="Times New Roman" w:hAnsi="Times New Roman" w:cs="Times New Roman"/>
        </w:rPr>
        <w:t xml:space="preserve"> na:</w:t>
      </w:r>
    </w:p>
    <w:p w14:paraId="0172E370" w14:textId="79F9E5E6" w:rsidR="00A10E2F" w:rsidRPr="00667967" w:rsidRDefault="001E2C46" w:rsidP="00595221">
      <w:pPr>
        <w:widowControl/>
        <w:shd w:val="clear" w:color="auto" w:fill="FFFFFF"/>
        <w:spacing w:line="360" w:lineRule="auto"/>
        <w:ind w:left="284" w:hanging="284"/>
        <w:jc w:val="both"/>
        <w:rPr>
          <w:rFonts w:ascii="Times New Roman" w:eastAsia="Times New Roman" w:hAnsi="Times New Roman" w:cs="Times New Roman"/>
        </w:rPr>
      </w:pPr>
      <w:r>
        <w:rPr>
          <w:rFonts w:ascii="Times New Roman" w:eastAsia="Times New Roman" w:hAnsi="Times New Roman" w:cs="Times New Roman"/>
        </w:rPr>
        <w:t>–</w:t>
      </w:r>
      <w:r w:rsidR="003031BB" w:rsidRPr="00667967">
        <w:rPr>
          <w:rFonts w:ascii="Times New Roman" w:eastAsia="Times New Roman" w:hAnsi="Times New Roman" w:cs="Times New Roman"/>
        </w:rPr>
        <w:tab/>
      </w:r>
      <w:r w:rsidR="00A10E2F" w:rsidRPr="00667967">
        <w:rPr>
          <w:rFonts w:ascii="Times New Roman" w:eastAsia="Times New Roman" w:hAnsi="Times New Roman" w:cs="Times New Roman"/>
        </w:rPr>
        <w:t>doprecyzowaniu przygotowywanej przez samorząd województwa polityki rozwoju województwa</w:t>
      </w:r>
      <w:r w:rsidR="009E6E02" w:rsidRPr="00667967">
        <w:rPr>
          <w:rFonts w:ascii="Times New Roman" w:eastAsia="Times New Roman" w:hAnsi="Times New Roman" w:cs="Times New Roman"/>
        </w:rPr>
        <w:t xml:space="preserve"> </w:t>
      </w:r>
      <w:r w:rsidR="00A10E2F" w:rsidRPr="00667967">
        <w:rPr>
          <w:rFonts w:ascii="Times New Roman" w:eastAsia="Times New Roman" w:hAnsi="Times New Roman" w:cs="Times New Roman"/>
        </w:rPr>
        <w:t xml:space="preserve">o kontekst prowadzenia działań na rzecz ochrony klimatu oraz działań adaptacyjnych </w:t>
      </w:r>
      <w:r w:rsidR="00603A36" w:rsidRPr="00667967">
        <w:rPr>
          <w:rFonts w:ascii="Times New Roman" w:hAnsi="Times New Roman" w:cs="Times New Roman"/>
        </w:rPr>
        <w:t>do zmian klimatu,</w:t>
      </w:r>
      <w:r w:rsidR="00603A36" w:rsidRPr="00667967">
        <w:rPr>
          <w:rFonts w:ascii="Times New Roman" w:eastAsia="Times New Roman" w:hAnsi="Times New Roman" w:cs="Times New Roman"/>
        </w:rPr>
        <w:t xml:space="preserve"> </w:t>
      </w:r>
      <w:r w:rsidR="00A10E2F" w:rsidRPr="00667967">
        <w:rPr>
          <w:rFonts w:ascii="Times New Roman" w:eastAsia="Times New Roman" w:hAnsi="Times New Roman" w:cs="Times New Roman"/>
        </w:rPr>
        <w:t>zmniejszających podatność na zmiany klimatu,</w:t>
      </w:r>
    </w:p>
    <w:p w14:paraId="2F8BEE85" w14:textId="02F59AD3" w:rsidR="003E77EB" w:rsidRPr="00667967" w:rsidRDefault="001E2C46" w:rsidP="00595221">
      <w:pPr>
        <w:widowControl/>
        <w:shd w:val="clear" w:color="auto" w:fill="FFFFFF"/>
        <w:spacing w:line="360" w:lineRule="auto"/>
        <w:ind w:left="284" w:hanging="284"/>
        <w:jc w:val="both"/>
        <w:rPr>
          <w:rFonts w:ascii="Times New Roman" w:eastAsia="Times New Roman" w:hAnsi="Times New Roman" w:cs="Times New Roman"/>
        </w:rPr>
      </w:pPr>
      <w:r>
        <w:rPr>
          <w:rFonts w:ascii="Times New Roman" w:eastAsia="Times New Roman" w:hAnsi="Times New Roman" w:cs="Times New Roman"/>
        </w:rPr>
        <w:t>–</w:t>
      </w:r>
      <w:r w:rsidR="003031BB" w:rsidRPr="00667967">
        <w:rPr>
          <w:rFonts w:ascii="Times New Roman" w:eastAsia="Times New Roman" w:hAnsi="Times New Roman" w:cs="Times New Roman"/>
        </w:rPr>
        <w:tab/>
      </w:r>
      <w:r w:rsidR="00587FF0" w:rsidRPr="00667967">
        <w:rPr>
          <w:rFonts w:ascii="Times New Roman" w:eastAsia="Times New Roman" w:hAnsi="Times New Roman" w:cs="Times New Roman"/>
        </w:rPr>
        <w:t>wprowadzeni</w:t>
      </w:r>
      <w:r w:rsidR="009F7D2B" w:rsidRPr="00667967">
        <w:rPr>
          <w:rFonts w:ascii="Times New Roman" w:eastAsia="Times New Roman" w:hAnsi="Times New Roman" w:cs="Times New Roman"/>
        </w:rPr>
        <w:t>u</w:t>
      </w:r>
      <w:r w:rsidR="00587FF0" w:rsidRPr="00667967">
        <w:rPr>
          <w:rFonts w:ascii="Times New Roman" w:eastAsia="Times New Roman" w:hAnsi="Times New Roman" w:cs="Times New Roman"/>
        </w:rPr>
        <w:t xml:space="preserve"> obowiązku opracowania </w:t>
      </w:r>
      <w:r w:rsidR="00603A36" w:rsidRPr="00667967">
        <w:rPr>
          <w:rFonts w:ascii="Times New Roman" w:eastAsia="Times New Roman" w:hAnsi="Times New Roman" w:cs="Times New Roman"/>
        </w:rPr>
        <w:t>MPA</w:t>
      </w:r>
      <w:r w:rsidR="00587FF0" w:rsidRPr="00667967">
        <w:rPr>
          <w:rFonts w:ascii="Times New Roman" w:eastAsia="Times New Roman" w:hAnsi="Times New Roman" w:cs="Times New Roman"/>
        </w:rPr>
        <w:t xml:space="preserve"> przez miasta o liczbie mieszkańców </w:t>
      </w:r>
      <w:r w:rsidR="00427AD5" w:rsidRPr="00667967">
        <w:rPr>
          <w:rFonts w:ascii="Times New Roman" w:eastAsia="Times New Roman" w:hAnsi="Times New Roman" w:cs="Times New Roman"/>
        </w:rPr>
        <w:t xml:space="preserve">równej lub większej </w:t>
      </w:r>
      <w:r w:rsidR="00587FF0" w:rsidRPr="00667967">
        <w:rPr>
          <w:rFonts w:ascii="Times New Roman" w:eastAsia="Times New Roman" w:hAnsi="Times New Roman" w:cs="Times New Roman"/>
        </w:rPr>
        <w:t>niż 20 tys</w:t>
      </w:r>
      <w:r w:rsidR="00EB34DF" w:rsidRPr="00667967">
        <w:rPr>
          <w:rFonts w:ascii="Times New Roman" w:eastAsia="Times New Roman" w:hAnsi="Times New Roman" w:cs="Times New Roman"/>
        </w:rPr>
        <w:t>.</w:t>
      </w:r>
      <w:r w:rsidR="003E77EB" w:rsidRPr="00667967">
        <w:rPr>
          <w:rFonts w:ascii="Times New Roman" w:eastAsia="Times New Roman" w:hAnsi="Times New Roman" w:cs="Times New Roman"/>
        </w:rPr>
        <w:t xml:space="preserve">, </w:t>
      </w:r>
    </w:p>
    <w:p w14:paraId="264A2BF3" w14:textId="40EB70F3" w:rsidR="008519C7" w:rsidRPr="00667967" w:rsidRDefault="001E2C46" w:rsidP="00595221">
      <w:pPr>
        <w:widowControl/>
        <w:shd w:val="clear" w:color="auto" w:fill="FFFFFF"/>
        <w:spacing w:line="360" w:lineRule="auto"/>
        <w:ind w:left="284" w:hanging="284"/>
        <w:jc w:val="both"/>
        <w:rPr>
          <w:rFonts w:ascii="Times New Roman" w:hAnsi="Times New Roman" w:cs="Times New Roman"/>
        </w:rPr>
      </w:pPr>
      <w:r>
        <w:rPr>
          <w:rFonts w:ascii="Times New Roman" w:eastAsia="Times New Roman" w:hAnsi="Times New Roman" w:cs="Times New Roman"/>
        </w:rPr>
        <w:t>–</w:t>
      </w:r>
      <w:r w:rsidR="003031BB" w:rsidRPr="00667967">
        <w:rPr>
          <w:rFonts w:ascii="Times New Roman" w:eastAsia="Times New Roman" w:hAnsi="Times New Roman" w:cs="Times New Roman"/>
        </w:rPr>
        <w:tab/>
      </w:r>
      <w:r w:rsidR="007B19B5" w:rsidRPr="00667967">
        <w:rPr>
          <w:rFonts w:ascii="Times New Roman" w:hAnsi="Times New Roman" w:cs="Times New Roman"/>
        </w:rPr>
        <w:t xml:space="preserve">określeniu działań zmniejszających </w:t>
      </w:r>
      <w:r w:rsidR="00A7122A" w:rsidRPr="00667967">
        <w:rPr>
          <w:rFonts w:ascii="Times New Roman" w:hAnsi="Times New Roman" w:cs="Times New Roman"/>
        </w:rPr>
        <w:t>podatność</w:t>
      </w:r>
      <w:r w:rsidR="007B19B5" w:rsidRPr="00667967">
        <w:rPr>
          <w:rFonts w:ascii="Times New Roman" w:hAnsi="Times New Roman" w:cs="Times New Roman"/>
        </w:rPr>
        <w:t xml:space="preserve"> na zmiany klimat</w:t>
      </w:r>
      <w:r w:rsidR="00A7122A" w:rsidRPr="00667967">
        <w:rPr>
          <w:rFonts w:ascii="Times New Roman" w:hAnsi="Times New Roman" w:cs="Times New Roman"/>
        </w:rPr>
        <w:t>u</w:t>
      </w:r>
      <w:r w:rsidR="007B19B5" w:rsidRPr="00667967">
        <w:rPr>
          <w:rFonts w:ascii="Times New Roman" w:hAnsi="Times New Roman" w:cs="Times New Roman"/>
        </w:rPr>
        <w:t xml:space="preserve">, a w szczególności rekomendacji i wniosków zawartych w </w:t>
      </w:r>
      <w:r w:rsidR="009115D9">
        <w:rPr>
          <w:rFonts w:ascii="Times New Roman" w:hAnsi="Times New Roman" w:cs="Times New Roman"/>
        </w:rPr>
        <w:t>MPA</w:t>
      </w:r>
      <w:r w:rsidR="00401F50" w:rsidRPr="00667967">
        <w:rPr>
          <w:rFonts w:ascii="Times New Roman" w:hAnsi="Times New Roman" w:cs="Times New Roman"/>
        </w:rPr>
        <w:t>, jako jednego</w:t>
      </w:r>
      <w:r w:rsidR="001855CF" w:rsidRPr="00667967">
        <w:rPr>
          <w:rFonts w:ascii="Times New Roman" w:hAnsi="Times New Roman" w:cs="Times New Roman"/>
        </w:rPr>
        <w:t xml:space="preserve"> </w:t>
      </w:r>
      <w:r w:rsidR="007B19B5" w:rsidRPr="00667967">
        <w:rPr>
          <w:rFonts w:ascii="Times New Roman" w:hAnsi="Times New Roman" w:cs="Times New Roman"/>
        </w:rPr>
        <w:t>z</w:t>
      </w:r>
      <w:r w:rsidR="0002469B" w:rsidRPr="00667967">
        <w:rPr>
          <w:rFonts w:ascii="Times New Roman" w:hAnsi="Times New Roman" w:cs="Times New Roman"/>
        </w:rPr>
        <w:t> </w:t>
      </w:r>
      <w:r w:rsidR="007B19B5" w:rsidRPr="00667967">
        <w:rPr>
          <w:rFonts w:ascii="Times New Roman" w:hAnsi="Times New Roman" w:cs="Times New Roman"/>
        </w:rPr>
        <w:t>kluczowych elementów polityki przestrzennej</w:t>
      </w:r>
      <w:r w:rsidR="001D4CF3" w:rsidRPr="00667967">
        <w:rPr>
          <w:rFonts w:ascii="Times New Roman" w:hAnsi="Times New Roman" w:cs="Times New Roman"/>
        </w:rPr>
        <w:t>,</w:t>
      </w:r>
      <w:r w:rsidR="007B19B5" w:rsidRPr="00667967">
        <w:rPr>
          <w:rFonts w:ascii="Times New Roman" w:hAnsi="Times New Roman" w:cs="Times New Roman"/>
        </w:rPr>
        <w:t xml:space="preserve"> </w:t>
      </w:r>
    </w:p>
    <w:p w14:paraId="0684E122" w14:textId="3EBE460F" w:rsidR="00023F02" w:rsidRPr="00667967" w:rsidRDefault="001E2C46" w:rsidP="00595221">
      <w:pPr>
        <w:widowControl/>
        <w:shd w:val="clear" w:color="auto" w:fill="FFFFFF"/>
        <w:spacing w:after="120" w:line="360" w:lineRule="auto"/>
        <w:ind w:left="284" w:hanging="284"/>
        <w:jc w:val="both"/>
        <w:rPr>
          <w:rFonts w:ascii="Times New Roman" w:eastAsia="Times New Roman" w:hAnsi="Times New Roman" w:cs="Times New Roman"/>
        </w:rPr>
      </w:pPr>
      <w:r>
        <w:rPr>
          <w:rFonts w:ascii="Times New Roman" w:eastAsia="Times New Roman" w:hAnsi="Times New Roman" w:cs="Times New Roman"/>
        </w:rPr>
        <w:t>–</w:t>
      </w:r>
      <w:r w:rsidR="003031BB" w:rsidRPr="00667967">
        <w:rPr>
          <w:rFonts w:ascii="Times New Roman" w:eastAsia="Times New Roman" w:hAnsi="Times New Roman" w:cs="Times New Roman"/>
        </w:rPr>
        <w:tab/>
      </w:r>
      <w:r w:rsidR="007B19B5" w:rsidRPr="00667967">
        <w:rPr>
          <w:rFonts w:ascii="Times New Roman" w:eastAsia="Times New Roman" w:hAnsi="Times New Roman" w:cs="Times New Roman"/>
        </w:rPr>
        <w:t>doprecyzowani</w:t>
      </w:r>
      <w:r w:rsidR="003031BB" w:rsidRPr="00667967">
        <w:rPr>
          <w:rFonts w:ascii="Times New Roman" w:eastAsia="Times New Roman" w:hAnsi="Times New Roman" w:cs="Times New Roman"/>
        </w:rPr>
        <w:t>u</w:t>
      </w:r>
      <w:r w:rsidR="007B19B5" w:rsidRPr="00667967">
        <w:rPr>
          <w:rFonts w:ascii="Times New Roman" w:eastAsia="Times New Roman" w:hAnsi="Times New Roman" w:cs="Times New Roman"/>
        </w:rPr>
        <w:t xml:space="preserve"> przepisów ustawy </w:t>
      </w:r>
      <w:r w:rsidR="001D4CF3" w:rsidRPr="00667967">
        <w:rPr>
          <w:rFonts w:ascii="Times New Roman" w:eastAsia="Times New Roman" w:hAnsi="Times New Roman" w:cs="Times New Roman"/>
        </w:rPr>
        <w:t>ooś</w:t>
      </w:r>
      <w:r w:rsidR="007B19B5" w:rsidRPr="00667967">
        <w:rPr>
          <w:rFonts w:ascii="Times New Roman" w:eastAsia="Times New Roman" w:hAnsi="Times New Roman" w:cs="Times New Roman"/>
        </w:rPr>
        <w:t xml:space="preserve"> dotyczących zakresu</w:t>
      </w:r>
      <w:r w:rsidR="00724822" w:rsidRPr="00667967">
        <w:rPr>
          <w:rFonts w:ascii="Times New Roman" w:eastAsia="Times New Roman" w:hAnsi="Times New Roman" w:cs="Times New Roman"/>
        </w:rPr>
        <w:t xml:space="preserve"> oraz</w:t>
      </w:r>
      <w:r w:rsidR="00603A36" w:rsidRPr="00595221">
        <w:rPr>
          <w:rFonts w:ascii="Times New Roman" w:hAnsi="Times New Roman" w:cs="Times New Roman"/>
        </w:rPr>
        <w:t xml:space="preserve"> </w:t>
      </w:r>
      <w:r w:rsidR="00603A36" w:rsidRPr="00667967">
        <w:rPr>
          <w:rFonts w:ascii="Times New Roman" w:eastAsia="Times New Roman" w:hAnsi="Times New Roman" w:cs="Times New Roman"/>
        </w:rPr>
        <w:t>wskazanie</w:t>
      </w:r>
      <w:r w:rsidR="00724822" w:rsidRPr="00667967">
        <w:rPr>
          <w:rFonts w:ascii="Times New Roman" w:eastAsia="Times New Roman" w:hAnsi="Times New Roman" w:cs="Times New Roman"/>
        </w:rPr>
        <w:t xml:space="preserve"> </w:t>
      </w:r>
      <w:r w:rsidR="007B19B5" w:rsidRPr="00667967">
        <w:rPr>
          <w:rFonts w:ascii="Times New Roman" w:eastAsia="Times New Roman" w:hAnsi="Times New Roman" w:cs="Times New Roman"/>
        </w:rPr>
        <w:t xml:space="preserve">elementów niezbędnych </w:t>
      </w:r>
      <w:r w:rsidR="00603A36" w:rsidRPr="00667967">
        <w:rPr>
          <w:rFonts w:ascii="Times New Roman" w:eastAsia="Times New Roman" w:hAnsi="Times New Roman" w:cs="Times New Roman"/>
        </w:rPr>
        <w:t xml:space="preserve">do </w:t>
      </w:r>
      <w:r w:rsidR="007B19B5" w:rsidRPr="00667967">
        <w:rPr>
          <w:rFonts w:ascii="Times New Roman" w:eastAsia="Times New Roman" w:hAnsi="Times New Roman" w:cs="Times New Roman"/>
        </w:rPr>
        <w:t>oceny oddziaływania na środowisko w obszarze dotyczącym analiz klimatycznych (</w:t>
      </w:r>
      <w:r w:rsidR="004922F2" w:rsidRPr="00667967">
        <w:rPr>
          <w:rFonts w:ascii="Times New Roman" w:eastAsia="Times New Roman" w:hAnsi="Times New Roman" w:cs="Times New Roman"/>
        </w:rPr>
        <w:t xml:space="preserve">wprowadzenie obowiązku wykonania analizy podatności przedsięwzięcia </w:t>
      </w:r>
      <w:r w:rsidR="004922F2" w:rsidRPr="00667967">
        <w:rPr>
          <w:rFonts w:ascii="Times New Roman" w:eastAsia="Times New Roman" w:hAnsi="Times New Roman" w:cs="Times New Roman"/>
        </w:rPr>
        <w:lastRenderedPageBreak/>
        <w:t>na zmiany klimatu, obejmującej analizę narażenia oraz odporności przedsięwzięcia na zmiany klimatu, z</w:t>
      </w:r>
      <w:r w:rsidR="00B8037C" w:rsidRPr="00667967">
        <w:rPr>
          <w:rFonts w:ascii="Times New Roman" w:eastAsia="Times New Roman" w:hAnsi="Times New Roman" w:cs="Times New Roman"/>
        </w:rPr>
        <w:t xml:space="preserve">godnie z treścią </w:t>
      </w:r>
      <w:r w:rsidR="00866584" w:rsidRPr="00667967">
        <w:rPr>
          <w:rFonts w:ascii="Times New Roman" w:eastAsia="Times New Roman" w:hAnsi="Times New Roman" w:cs="Times New Roman"/>
        </w:rPr>
        <w:t>dyrektywy Parlamentu Europejskiego i Rady 2014/</w:t>
      </w:r>
      <w:r w:rsidR="00603A36" w:rsidRPr="00667967">
        <w:rPr>
          <w:rFonts w:ascii="Times New Roman" w:eastAsia="Times New Roman" w:hAnsi="Times New Roman" w:cs="Times New Roman"/>
        </w:rPr>
        <w:t>9</w:t>
      </w:r>
      <w:r w:rsidR="00866584" w:rsidRPr="00667967">
        <w:rPr>
          <w:rFonts w:ascii="Times New Roman" w:eastAsia="Times New Roman" w:hAnsi="Times New Roman" w:cs="Times New Roman"/>
        </w:rPr>
        <w:t>2/UE z dnia 16 kwietnia 2014 r. zmieniającej dyrektywę 2011/52/UE w sprawie oceny wpływu wywieranego przez niektóre przedsięwzięcia publiczne i</w:t>
      </w:r>
      <w:r w:rsidR="0002469B" w:rsidRPr="00667967">
        <w:rPr>
          <w:rFonts w:ascii="Times New Roman" w:eastAsia="Times New Roman" w:hAnsi="Times New Roman" w:cs="Times New Roman"/>
        </w:rPr>
        <w:t> </w:t>
      </w:r>
      <w:r w:rsidR="00866584" w:rsidRPr="00667967">
        <w:rPr>
          <w:rFonts w:ascii="Times New Roman" w:eastAsia="Times New Roman" w:hAnsi="Times New Roman" w:cs="Times New Roman"/>
        </w:rPr>
        <w:t>prywatne na środowisko</w:t>
      </w:r>
      <w:r w:rsidR="00603A36" w:rsidRPr="00667967">
        <w:rPr>
          <w:rFonts w:ascii="Times New Roman" w:eastAsia="Times New Roman" w:hAnsi="Times New Roman" w:cs="Times New Roman"/>
        </w:rPr>
        <w:t xml:space="preserve"> </w:t>
      </w:r>
      <w:r w:rsidR="007C4C01" w:rsidRPr="00667967">
        <w:rPr>
          <w:rFonts w:ascii="Times New Roman" w:eastAsia="Times New Roman" w:hAnsi="Times New Roman" w:cs="Times New Roman"/>
        </w:rPr>
        <w:t>(Dz.</w:t>
      </w:r>
      <w:r w:rsidR="00D029CA">
        <w:rPr>
          <w:rFonts w:ascii="Times New Roman" w:eastAsia="Times New Roman" w:hAnsi="Times New Roman" w:cs="Times New Roman"/>
        </w:rPr>
        <w:t> </w:t>
      </w:r>
      <w:r w:rsidR="007C4C01" w:rsidRPr="00667967">
        <w:rPr>
          <w:rFonts w:ascii="Times New Roman" w:eastAsia="Times New Roman" w:hAnsi="Times New Roman" w:cs="Times New Roman"/>
        </w:rPr>
        <w:t>Urz.</w:t>
      </w:r>
      <w:r w:rsidR="00D029CA">
        <w:rPr>
          <w:rFonts w:ascii="Times New Roman" w:eastAsia="Times New Roman" w:hAnsi="Times New Roman" w:cs="Times New Roman"/>
        </w:rPr>
        <w:t> </w:t>
      </w:r>
      <w:r w:rsidR="007C4C01" w:rsidRPr="00667967">
        <w:rPr>
          <w:rFonts w:ascii="Times New Roman" w:eastAsia="Times New Roman" w:hAnsi="Times New Roman" w:cs="Times New Roman"/>
        </w:rPr>
        <w:t xml:space="preserve">UE L </w:t>
      </w:r>
      <w:r w:rsidR="00603A36" w:rsidRPr="00667967">
        <w:rPr>
          <w:rFonts w:ascii="Times New Roman" w:eastAsia="Times New Roman" w:hAnsi="Times New Roman" w:cs="Times New Roman"/>
        </w:rPr>
        <w:t>124</w:t>
      </w:r>
      <w:r w:rsidR="007C4C01" w:rsidRPr="00667967">
        <w:rPr>
          <w:rFonts w:ascii="Times New Roman" w:eastAsia="Times New Roman" w:hAnsi="Times New Roman" w:cs="Times New Roman"/>
        </w:rPr>
        <w:t xml:space="preserve"> z 2</w:t>
      </w:r>
      <w:r w:rsidR="00603A36" w:rsidRPr="00667967">
        <w:rPr>
          <w:rFonts w:ascii="Times New Roman" w:eastAsia="Times New Roman" w:hAnsi="Times New Roman" w:cs="Times New Roman"/>
        </w:rPr>
        <w:t>5</w:t>
      </w:r>
      <w:r w:rsidR="007C4C01" w:rsidRPr="00667967">
        <w:rPr>
          <w:rFonts w:ascii="Times New Roman" w:eastAsia="Times New Roman" w:hAnsi="Times New Roman" w:cs="Times New Roman"/>
        </w:rPr>
        <w:t>.0</w:t>
      </w:r>
      <w:r w:rsidR="00603A36" w:rsidRPr="00667967">
        <w:rPr>
          <w:rFonts w:ascii="Times New Roman" w:eastAsia="Times New Roman" w:hAnsi="Times New Roman" w:cs="Times New Roman"/>
        </w:rPr>
        <w:t>4</w:t>
      </w:r>
      <w:r w:rsidR="007C4C01" w:rsidRPr="00667967">
        <w:rPr>
          <w:rFonts w:ascii="Times New Roman" w:eastAsia="Times New Roman" w:hAnsi="Times New Roman" w:cs="Times New Roman"/>
        </w:rPr>
        <w:t>.201</w:t>
      </w:r>
      <w:r w:rsidR="00603A36" w:rsidRPr="00667967">
        <w:rPr>
          <w:rFonts w:ascii="Times New Roman" w:eastAsia="Times New Roman" w:hAnsi="Times New Roman" w:cs="Times New Roman"/>
        </w:rPr>
        <w:t>4</w:t>
      </w:r>
      <w:r w:rsidR="007C4C01" w:rsidRPr="00667967">
        <w:rPr>
          <w:rFonts w:ascii="Times New Roman" w:eastAsia="Times New Roman" w:hAnsi="Times New Roman" w:cs="Times New Roman"/>
        </w:rPr>
        <w:t>, str. 1, z późn. zm.)</w:t>
      </w:r>
      <w:r w:rsidR="00866584" w:rsidRPr="00667967">
        <w:rPr>
          <w:rFonts w:ascii="Times New Roman" w:eastAsia="Times New Roman" w:hAnsi="Times New Roman" w:cs="Times New Roman"/>
        </w:rPr>
        <w:t>, zwanej dalej „dyrektywą ooś”</w:t>
      </w:r>
      <w:r w:rsidR="003031BB" w:rsidRPr="00667967">
        <w:rPr>
          <w:rFonts w:ascii="Times New Roman" w:eastAsia="Times New Roman" w:hAnsi="Times New Roman" w:cs="Times New Roman"/>
        </w:rPr>
        <w:t>)</w:t>
      </w:r>
      <w:r w:rsidR="007B19B5" w:rsidRPr="00667967">
        <w:rPr>
          <w:rFonts w:ascii="Times New Roman" w:eastAsia="Times New Roman" w:hAnsi="Times New Roman" w:cs="Times New Roman"/>
        </w:rPr>
        <w:t xml:space="preserve">. </w:t>
      </w:r>
    </w:p>
    <w:p w14:paraId="2EF00F54" w14:textId="45EC9BDF" w:rsidR="00580BC7" w:rsidRPr="00667967" w:rsidRDefault="003C2F10" w:rsidP="00595221">
      <w:pPr>
        <w:widowControl/>
        <w:shd w:val="clear" w:color="auto" w:fill="FFFFFF"/>
        <w:spacing w:after="120" w:line="360" w:lineRule="auto"/>
        <w:jc w:val="both"/>
        <w:rPr>
          <w:rFonts w:ascii="Times New Roman" w:eastAsia="Times New Roman" w:hAnsi="Times New Roman" w:cs="Times New Roman"/>
        </w:rPr>
      </w:pPr>
      <w:r w:rsidRPr="00667967">
        <w:rPr>
          <w:rFonts w:ascii="Times New Roman" w:eastAsia="Times New Roman" w:hAnsi="Times New Roman" w:cs="Times New Roman"/>
        </w:rPr>
        <w:t>Projekt u</w:t>
      </w:r>
      <w:r w:rsidR="006F3D5C" w:rsidRPr="00667967">
        <w:rPr>
          <w:rFonts w:ascii="Times New Roman" w:eastAsia="Times New Roman" w:hAnsi="Times New Roman" w:cs="Times New Roman"/>
        </w:rPr>
        <w:t>staw</w:t>
      </w:r>
      <w:r w:rsidRPr="00667967">
        <w:rPr>
          <w:rFonts w:ascii="Times New Roman" w:eastAsia="Times New Roman" w:hAnsi="Times New Roman" w:cs="Times New Roman"/>
        </w:rPr>
        <w:t>y</w:t>
      </w:r>
      <w:r w:rsidR="006F3D5C" w:rsidRPr="00667967">
        <w:rPr>
          <w:rFonts w:ascii="Times New Roman" w:eastAsia="Times New Roman" w:hAnsi="Times New Roman" w:cs="Times New Roman"/>
        </w:rPr>
        <w:t xml:space="preserve"> w</w:t>
      </w:r>
      <w:r w:rsidR="00580BC7" w:rsidRPr="00667967">
        <w:rPr>
          <w:rFonts w:ascii="Times New Roman" w:eastAsia="Times New Roman" w:hAnsi="Times New Roman" w:cs="Times New Roman"/>
        </w:rPr>
        <w:t>prowadz</w:t>
      </w:r>
      <w:r w:rsidR="006F3D5C" w:rsidRPr="00667967">
        <w:rPr>
          <w:rFonts w:ascii="Times New Roman" w:eastAsia="Times New Roman" w:hAnsi="Times New Roman" w:cs="Times New Roman"/>
        </w:rPr>
        <w:t>a</w:t>
      </w:r>
      <w:r w:rsidR="00580BC7" w:rsidRPr="00667967">
        <w:rPr>
          <w:rFonts w:ascii="Times New Roman" w:eastAsia="Times New Roman" w:hAnsi="Times New Roman" w:cs="Times New Roman"/>
        </w:rPr>
        <w:t xml:space="preserve"> także dodatkowe mechanizmy wspierające realizację przedsięwzięć proekologicznych w miastach oraz </w:t>
      </w:r>
      <w:r w:rsidRPr="00667967">
        <w:rPr>
          <w:rFonts w:ascii="Times New Roman" w:eastAsia="Times New Roman" w:hAnsi="Times New Roman" w:cs="Times New Roman"/>
        </w:rPr>
        <w:t xml:space="preserve">na </w:t>
      </w:r>
      <w:r w:rsidR="00580BC7" w:rsidRPr="00667967">
        <w:rPr>
          <w:rFonts w:ascii="Times New Roman" w:eastAsia="Times New Roman" w:hAnsi="Times New Roman" w:cs="Times New Roman"/>
        </w:rPr>
        <w:t xml:space="preserve">pozostałych obszarach kraju, w których </w:t>
      </w:r>
      <w:r w:rsidRPr="00667967">
        <w:rPr>
          <w:rFonts w:ascii="Times New Roman" w:eastAsia="Times New Roman" w:hAnsi="Times New Roman" w:cs="Times New Roman"/>
        </w:rPr>
        <w:t xml:space="preserve">są </w:t>
      </w:r>
      <w:r w:rsidR="00580BC7" w:rsidRPr="00667967">
        <w:rPr>
          <w:rFonts w:ascii="Times New Roman" w:eastAsia="Times New Roman" w:hAnsi="Times New Roman" w:cs="Times New Roman"/>
        </w:rPr>
        <w:t xml:space="preserve">stwierdzane przekroczenia poziomów dopuszczalnych i docelowych dla substancji objętych systemem monitoringu jakości powietrza, nie tylko przez wydłużenie czasu na realizację działań naprawczych określonych w programach ochrony powietrza, ale także uatrakcyjnienie warunków realizacji Programu „Stop Smog” oraz Programu Priorytetowego „Czyste Powietrze”, które </w:t>
      </w:r>
      <w:r w:rsidRPr="00667967">
        <w:rPr>
          <w:rFonts w:ascii="Times New Roman" w:eastAsia="Times New Roman" w:hAnsi="Times New Roman" w:cs="Times New Roman"/>
        </w:rPr>
        <w:t xml:space="preserve">są </w:t>
      </w:r>
      <w:r w:rsidR="00580BC7" w:rsidRPr="00667967">
        <w:rPr>
          <w:rFonts w:ascii="Times New Roman" w:eastAsia="Times New Roman" w:hAnsi="Times New Roman" w:cs="Times New Roman"/>
        </w:rPr>
        <w:t>dedykowane dofinansowaniu m.in. wymiany urządzeń lub systemów grzewczych na spełniające standardy niskoemisyjne</w:t>
      </w:r>
      <w:r w:rsidR="00A84C8C" w:rsidRPr="00667967">
        <w:rPr>
          <w:rFonts w:ascii="Times New Roman" w:eastAsia="Times New Roman" w:hAnsi="Times New Roman" w:cs="Times New Roman"/>
        </w:rPr>
        <w:t>,</w:t>
      </w:r>
      <w:r w:rsidR="00580BC7" w:rsidRPr="00667967">
        <w:rPr>
          <w:rFonts w:ascii="Times New Roman" w:eastAsia="Times New Roman" w:hAnsi="Times New Roman" w:cs="Times New Roman"/>
        </w:rPr>
        <w:t xml:space="preserve"> likwidacji urządzeń lub systemów grzewczych oraz przyłączaniu do sieci ciepłowniczej</w:t>
      </w:r>
      <w:r w:rsidR="00A84C8C" w:rsidRPr="00667967">
        <w:rPr>
          <w:rFonts w:ascii="Times New Roman" w:eastAsia="Times New Roman" w:hAnsi="Times New Roman" w:cs="Times New Roman"/>
        </w:rPr>
        <w:t>,</w:t>
      </w:r>
      <w:r w:rsidR="00580BC7" w:rsidRPr="00667967">
        <w:rPr>
          <w:rFonts w:ascii="Times New Roman" w:eastAsia="Times New Roman" w:hAnsi="Times New Roman" w:cs="Times New Roman"/>
        </w:rPr>
        <w:t xml:space="preserve"> elektroenergetycznej lub gazowej oraz kompleksowej termomodernizacji </w:t>
      </w:r>
      <w:r w:rsidR="00936B8D" w:rsidRPr="00667967">
        <w:rPr>
          <w:rFonts w:ascii="Times New Roman" w:eastAsia="Times New Roman" w:hAnsi="Times New Roman" w:cs="Times New Roman"/>
        </w:rPr>
        <w:t xml:space="preserve">jednorodzinnych </w:t>
      </w:r>
      <w:r w:rsidR="00580BC7" w:rsidRPr="00667967">
        <w:rPr>
          <w:rFonts w:ascii="Times New Roman" w:eastAsia="Times New Roman" w:hAnsi="Times New Roman" w:cs="Times New Roman"/>
        </w:rPr>
        <w:t xml:space="preserve">budynków mieszkalnych. W wyniku wejścia </w:t>
      </w:r>
      <w:r w:rsidR="006F3D5C" w:rsidRPr="00667967">
        <w:rPr>
          <w:rFonts w:ascii="Times New Roman" w:eastAsia="Times New Roman" w:hAnsi="Times New Roman" w:cs="Times New Roman"/>
        </w:rPr>
        <w:t xml:space="preserve">w życie </w:t>
      </w:r>
      <w:r w:rsidR="00580BC7" w:rsidRPr="00667967">
        <w:rPr>
          <w:rFonts w:ascii="Times New Roman" w:eastAsia="Times New Roman" w:hAnsi="Times New Roman" w:cs="Times New Roman"/>
        </w:rPr>
        <w:t xml:space="preserve">przepisów ustawy w tym zakresie, nastąpi </w:t>
      </w:r>
      <w:r w:rsidR="00002795" w:rsidRPr="00667967">
        <w:rPr>
          <w:rFonts w:ascii="Times New Roman" w:eastAsia="Times New Roman" w:hAnsi="Times New Roman" w:cs="Times New Roman"/>
        </w:rPr>
        <w:t>usprawnienie realizacji przedsięwzięć w ramach Programu „Stop Smog” i</w:t>
      </w:r>
      <w:r w:rsidR="006132D2" w:rsidRPr="00667967">
        <w:rPr>
          <w:rFonts w:ascii="Times New Roman" w:eastAsia="Times New Roman" w:hAnsi="Times New Roman" w:cs="Times New Roman"/>
        </w:rPr>
        <w:t> </w:t>
      </w:r>
      <w:r w:rsidR="00002795" w:rsidRPr="00667967">
        <w:rPr>
          <w:rFonts w:ascii="Times New Roman" w:eastAsia="Times New Roman" w:hAnsi="Times New Roman" w:cs="Times New Roman"/>
        </w:rPr>
        <w:t>Programu Priorytetowego „Czyste Powietrze”</w:t>
      </w:r>
      <w:r w:rsidR="000F760F" w:rsidRPr="00667967">
        <w:rPr>
          <w:rFonts w:ascii="Times New Roman" w:eastAsia="Times New Roman" w:hAnsi="Times New Roman" w:cs="Times New Roman"/>
        </w:rPr>
        <w:t>,</w:t>
      </w:r>
      <w:r w:rsidR="00002795" w:rsidRPr="00667967">
        <w:rPr>
          <w:rFonts w:ascii="Times New Roman" w:eastAsia="Times New Roman" w:hAnsi="Times New Roman" w:cs="Times New Roman"/>
        </w:rPr>
        <w:t xml:space="preserve"> a co za tym idzie nastąpi </w:t>
      </w:r>
      <w:r w:rsidR="00580BC7" w:rsidRPr="00667967">
        <w:rPr>
          <w:rFonts w:ascii="Times New Roman" w:eastAsia="Times New Roman" w:hAnsi="Times New Roman" w:cs="Times New Roman"/>
        </w:rPr>
        <w:t xml:space="preserve">nie tylko </w:t>
      </w:r>
      <w:r w:rsidR="00002795" w:rsidRPr="00667967">
        <w:rPr>
          <w:rFonts w:ascii="Times New Roman" w:eastAsia="Times New Roman" w:hAnsi="Times New Roman" w:cs="Times New Roman"/>
        </w:rPr>
        <w:t xml:space="preserve">dalsza </w:t>
      </w:r>
      <w:r w:rsidR="00580BC7" w:rsidRPr="00667967">
        <w:rPr>
          <w:rFonts w:ascii="Times New Roman" w:eastAsia="Times New Roman" w:hAnsi="Times New Roman" w:cs="Times New Roman"/>
        </w:rPr>
        <w:t xml:space="preserve">poprawa stanu powietrza, ale także ograniczenie wielkości emisji gazów cieplarnianych do powietrza. </w:t>
      </w:r>
    </w:p>
    <w:p w14:paraId="4A88CDD0" w14:textId="2492893D" w:rsidR="003E0330" w:rsidRPr="00667967" w:rsidRDefault="00B25FFE" w:rsidP="00595221">
      <w:pPr>
        <w:widowControl/>
        <w:shd w:val="clear" w:color="auto" w:fill="FFFFFF"/>
        <w:spacing w:before="120" w:after="120" w:line="360" w:lineRule="auto"/>
        <w:jc w:val="both"/>
        <w:rPr>
          <w:rFonts w:ascii="Times New Roman" w:eastAsia="Times New Roman" w:hAnsi="Times New Roman" w:cs="Times New Roman"/>
          <w:bCs/>
        </w:rPr>
      </w:pPr>
      <w:r w:rsidRPr="00667967">
        <w:rPr>
          <w:rFonts w:ascii="Times New Roman" w:eastAsia="Times New Roman" w:hAnsi="Times New Roman" w:cs="Times New Roman"/>
        </w:rPr>
        <w:t>P</w:t>
      </w:r>
      <w:r w:rsidR="003E0330" w:rsidRPr="00667967">
        <w:rPr>
          <w:rFonts w:ascii="Times New Roman" w:eastAsia="Times New Roman" w:hAnsi="Times New Roman" w:cs="Times New Roman"/>
        </w:rPr>
        <w:t xml:space="preserve">rojekt ustawy zmienia również termin </w:t>
      </w:r>
      <w:r w:rsidR="003E0330" w:rsidRPr="00667967">
        <w:rPr>
          <w:rFonts w:ascii="Times New Roman" w:eastAsia="Times New Roman" w:hAnsi="Times New Roman" w:cs="Times New Roman"/>
          <w:bCs/>
        </w:rPr>
        <w:t>opracowania przez zarząd województwa projektu aktualizacji programu ochrony powietrza, o</w:t>
      </w:r>
      <w:r w:rsidR="004B4F06" w:rsidRPr="00667967">
        <w:rPr>
          <w:rFonts w:ascii="Times New Roman" w:eastAsia="Times New Roman" w:hAnsi="Times New Roman" w:cs="Times New Roman"/>
          <w:bCs/>
        </w:rPr>
        <w:t xml:space="preserve"> </w:t>
      </w:r>
      <w:r w:rsidR="003E0330" w:rsidRPr="00667967">
        <w:rPr>
          <w:rFonts w:ascii="Times New Roman" w:eastAsia="Times New Roman" w:hAnsi="Times New Roman" w:cs="Times New Roman"/>
          <w:bCs/>
        </w:rPr>
        <w:t xml:space="preserve">którym mowa w art. 91 ust. 9c ustawy Poś. </w:t>
      </w:r>
      <w:bookmarkStart w:id="5" w:name="_Hlk113991191"/>
      <w:r w:rsidR="003E0330" w:rsidRPr="00667967">
        <w:rPr>
          <w:rFonts w:ascii="Times New Roman" w:eastAsia="Times New Roman" w:hAnsi="Times New Roman" w:cs="Times New Roman"/>
        </w:rPr>
        <w:t>Ponadto projekt doprecyzowuje sposób ustalania wysokości przeciętnego miesięcznego dochodu z gospodarstwa rolnego na potrzeby wydania zaświadczenia o dochodach</w:t>
      </w:r>
      <w:r w:rsidR="00075754" w:rsidRPr="00667967">
        <w:rPr>
          <w:rFonts w:ascii="Times New Roman" w:eastAsia="Times New Roman" w:hAnsi="Times New Roman" w:cs="Times New Roman"/>
        </w:rPr>
        <w:t>,</w:t>
      </w:r>
      <w:r w:rsidR="003E0330" w:rsidRPr="00667967">
        <w:rPr>
          <w:rFonts w:ascii="Times New Roman" w:eastAsia="Times New Roman" w:hAnsi="Times New Roman" w:cs="Times New Roman"/>
        </w:rPr>
        <w:t xml:space="preserve"> o którym mowa w art.</w:t>
      </w:r>
      <w:r w:rsidR="00D029CA">
        <w:rPr>
          <w:rFonts w:ascii="Times New Roman" w:eastAsia="Times New Roman" w:hAnsi="Times New Roman" w:cs="Times New Roman"/>
        </w:rPr>
        <w:t> </w:t>
      </w:r>
      <w:r w:rsidR="003E0330" w:rsidRPr="00667967">
        <w:rPr>
          <w:rFonts w:ascii="Times New Roman" w:eastAsia="Times New Roman" w:hAnsi="Times New Roman" w:cs="Times New Roman"/>
        </w:rPr>
        <w:t>411 ust. 10g ustawy Poś.</w:t>
      </w:r>
    </w:p>
    <w:bookmarkEnd w:id="5"/>
    <w:p w14:paraId="7D4C80E9" w14:textId="5679D551" w:rsidR="003E0330" w:rsidRPr="00667967" w:rsidRDefault="003E0330" w:rsidP="00595221">
      <w:pPr>
        <w:widowControl/>
        <w:shd w:val="clear" w:color="auto" w:fill="FFFFFF"/>
        <w:spacing w:after="120" w:line="360" w:lineRule="auto"/>
        <w:jc w:val="both"/>
        <w:rPr>
          <w:rFonts w:ascii="Times New Roman" w:eastAsia="Times New Roman" w:hAnsi="Times New Roman" w:cs="Times New Roman"/>
        </w:rPr>
      </w:pPr>
      <w:r w:rsidRPr="00667967">
        <w:rPr>
          <w:rFonts w:ascii="Times New Roman" w:eastAsia="Times New Roman" w:hAnsi="Times New Roman" w:cs="Times New Roman"/>
        </w:rPr>
        <w:t>Jednocześnie zmiany</w:t>
      </w:r>
      <w:r w:rsidRPr="00667967">
        <w:rPr>
          <w:rFonts w:ascii="Times New Roman" w:hAnsi="Times New Roman" w:cs="Times New Roman"/>
        </w:rPr>
        <w:t xml:space="preserve"> wprowadzane w ustawie </w:t>
      </w:r>
      <w:r w:rsidRPr="00667967">
        <w:rPr>
          <w:rFonts w:ascii="Times New Roman" w:eastAsia="Times New Roman" w:hAnsi="Times New Roman" w:cs="Times New Roman"/>
        </w:rPr>
        <w:t>o wspieraniu termomodernizacji i remontów oraz o centralnej ewidencji emisyjności budynków pozwolą na dostosowanie Programu „Stop Smog” do obecnych realiów ekonomicznych i urealnienie wydatków ponoszonych na wymianę źródeł ciepła i termomodernizację przez gminy. Obecnie wskazany w ustawie średni koszt realizacji przedsięwzięcia niskoemisyjnego w jednym budynku mieszkalnym jednorodzinnym nie pozwala w pełni na realizację przedsięwzięć niskoemisyjnych. Konieczne jest również zwiększenie</w:t>
      </w:r>
      <w:r w:rsidRPr="00667967">
        <w:rPr>
          <w:rFonts w:ascii="Times New Roman" w:hAnsi="Times New Roman" w:cs="Times New Roman"/>
        </w:rPr>
        <w:t xml:space="preserve"> </w:t>
      </w:r>
      <w:r w:rsidRPr="00667967">
        <w:rPr>
          <w:rFonts w:ascii="Times New Roman" w:eastAsia="Times New Roman" w:hAnsi="Times New Roman" w:cs="Times New Roman"/>
        </w:rPr>
        <w:t>współfinansowania ze środków Funduszu Termomodernizacji i Remontów przy równoczesnym zmniejszeniu zaangażowania gminy.</w:t>
      </w:r>
      <w:r w:rsidR="00075754" w:rsidRPr="00667967">
        <w:rPr>
          <w:rFonts w:ascii="Times New Roman" w:eastAsia="Times New Roman" w:hAnsi="Times New Roman" w:cs="Times New Roman"/>
        </w:rPr>
        <w:t xml:space="preserve"> </w:t>
      </w:r>
      <w:r w:rsidRPr="00667967">
        <w:rPr>
          <w:rFonts w:ascii="Times New Roman" w:eastAsia="Times New Roman" w:hAnsi="Times New Roman" w:cs="Times New Roman"/>
        </w:rPr>
        <w:t xml:space="preserve">Proponowane zmiany uwzględniają </w:t>
      </w:r>
      <w:r w:rsidRPr="00667967">
        <w:rPr>
          <w:rFonts w:ascii="Times New Roman" w:eastAsia="Times New Roman" w:hAnsi="Times New Roman" w:cs="Times New Roman"/>
        </w:rPr>
        <w:lastRenderedPageBreak/>
        <w:t>oczekiwania podmiotów realizujących obecnie przedsięwzięcia niskoemisyjne, które wyrażają zainteresowanie przystąpieniem do programu.</w:t>
      </w:r>
    </w:p>
    <w:p w14:paraId="7AFA52CB" w14:textId="77777777" w:rsidR="00075754" w:rsidRPr="00667967" w:rsidRDefault="003E0330" w:rsidP="00595221">
      <w:pPr>
        <w:widowControl/>
        <w:shd w:val="clear" w:color="auto" w:fill="FFFFFF"/>
        <w:spacing w:after="120" w:line="360" w:lineRule="auto"/>
        <w:jc w:val="both"/>
        <w:rPr>
          <w:rFonts w:ascii="Times New Roman" w:eastAsia="Times New Roman" w:hAnsi="Times New Roman" w:cs="Times New Roman"/>
        </w:rPr>
      </w:pPr>
      <w:r w:rsidRPr="00667967">
        <w:rPr>
          <w:rFonts w:ascii="Times New Roman" w:eastAsia="Times New Roman" w:hAnsi="Times New Roman" w:cs="Times New Roman"/>
        </w:rPr>
        <w:t>W celu usprawnienia funkcjonowania Programu „Stop Smog”</w:t>
      </w:r>
      <w:r w:rsidRPr="00667967">
        <w:rPr>
          <w:rFonts w:ascii="Times New Roman" w:hAnsi="Times New Roman" w:cs="Times New Roman"/>
        </w:rPr>
        <w:t xml:space="preserve"> zaplanowano również likwidację </w:t>
      </w:r>
      <w:r w:rsidRPr="00667967">
        <w:rPr>
          <w:rFonts w:ascii="Times New Roman" w:eastAsia="Times New Roman" w:hAnsi="Times New Roman" w:cs="Times New Roman"/>
        </w:rPr>
        <w:t>kryterium majątkowego beneficjenta końcowego i pozostawienie jedynie kryterium dochodowego</w:t>
      </w:r>
      <w:r w:rsidR="00075754" w:rsidRPr="00667967">
        <w:rPr>
          <w:rFonts w:ascii="Times New Roman" w:eastAsia="Times New Roman" w:hAnsi="Times New Roman" w:cs="Times New Roman"/>
        </w:rPr>
        <w:t>,</w:t>
      </w:r>
      <w:r w:rsidRPr="00667967">
        <w:rPr>
          <w:rFonts w:ascii="Times New Roman" w:eastAsia="Times New Roman" w:hAnsi="Times New Roman" w:cs="Times New Roman"/>
        </w:rPr>
        <w:t xml:space="preserve"> podobnie jak ma to miejsce w Programie Priorytetowym </w:t>
      </w:r>
      <w:r w:rsidR="00D954FD" w:rsidRPr="00667967">
        <w:rPr>
          <w:rFonts w:ascii="Times New Roman" w:eastAsia="Times New Roman" w:hAnsi="Times New Roman" w:cs="Times New Roman"/>
        </w:rPr>
        <w:t>„</w:t>
      </w:r>
      <w:r w:rsidRPr="00667967">
        <w:rPr>
          <w:rFonts w:ascii="Times New Roman" w:eastAsia="Times New Roman" w:hAnsi="Times New Roman" w:cs="Times New Roman"/>
        </w:rPr>
        <w:t>Czyste Powietrze</w:t>
      </w:r>
      <w:r w:rsidR="00D954FD" w:rsidRPr="00667967">
        <w:rPr>
          <w:rFonts w:ascii="Times New Roman" w:eastAsia="Times New Roman" w:hAnsi="Times New Roman" w:cs="Times New Roman"/>
        </w:rPr>
        <w:t>”</w:t>
      </w:r>
      <w:r w:rsidRPr="00667967">
        <w:rPr>
          <w:rFonts w:ascii="Times New Roman" w:eastAsia="Times New Roman" w:hAnsi="Times New Roman" w:cs="Times New Roman"/>
        </w:rPr>
        <w:t>.</w:t>
      </w:r>
    </w:p>
    <w:p w14:paraId="5B7A0190" w14:textId="1AF967B5" w:rsidR="000D4E7F" w:rsidRPr="00667967" w:rsidRDefault="006A6C9F" w:rsidP="00595221">
      <w:pPr>
        <w:widowControl/>
        <w:spacing w:before="240" w:line="360" w:lineRule="auto"/>
        <w:jc w:val="both"/>
        <w:rPr>
          <w:rFonts w:ascii="Times New Roman" w:eastAsia="Times New Roman" w:hAnsi="Times New Roman" w:cs="Times New Roman"/>
        </w:rPr>
      </w:pPr>
      <w:r w:rsidRPr="00667967">
        <w:rPr>
          <w:rFonts w:ascii="Times New Roman" w:eastAsia="Times New Roman" w:hAnsi="Times New Roman" w:cs="Times New Roman"/>
        </w:rPr>
        <w:t xml:space="preserve">Wprowadzane są również zmiany w </w:t>
      </w:r>
      <w:r w:rsidR="00F8382A" w:rsidRPr="00667967">
        <w:rPr>
          <w:rFonts w:ascii="Times New Roman" w:eastAsia="Times New Roman" w:hAnsi="Times New Roman" w:cs="Times New Roman"/>
        </w:rPr>
        <w:t>USZE</w:t>
      </w:r>
      <w:r w:rsidRPr="00667967">
        <w:rPr>
          <w:rFonts w:ascii="Times New Roman" w:eastAsia="Times New Roman" w:hAnsi="Times New Roman" w:cs="Times New Roman"/>
        </w:rPr>
        <w:t>, które mają na celu uporządkowanie ustawowych zadań wykonywanych przez Krajowy Ośrodek Bilansowania i Zarządzania Emisjami (KOBiZE). Proponowane zmiany w</w:t>
      </w:r>
      <w:r w:rsidR="00A94267" w:rsidRPr="00667967">
        <w:rPr>
          <w:rFonts w:ascii="Times New Roman" w:eastAsia="Times New Roman" w:hAnsi="Times New Roman" w:cs="Times New Roman"/>
        </w:rPr>
        <w:t> </w:t>
      </w:r>
      <w:r w:rsidRPr="00667967">
        <w:rPr>
          <w:rFonts w:ascii="Times New Roman" w:eastAsia="Times New Roman" w:hAnsi="Times New Roman" w:cs="Times New Roman"/>
        </w:rPr>
        <w:t xml:space="preserve">zakresie terminów zadań wykonywanych przez KOBiZE pozwolą usprawnić jego pracę oraz uelastycznić wykonywanie rozległego zakresu </w:t>
      </w:r>
      <w:r w:rsidR="00AF37EB" w:rsidRPr="00667967">
        <w:rPr>
          <w:rFonts w:ascii="Times New Roman" w:eastAsia="Times New Roman" w:hAnsi="Times New Roman" w:cs="Times New Roman"/>
        </w:rPr>
        <w:t xml:space="preserve">realizowanych </w:t>
      </w:r>
      <w:r w:rsidRPr="00667967">
        <w:rPr>
          <w:rFonts w:ascii="Times New Roman" w:eastAsia="Times New Roman" w:hAnsi="Times New Roman" w:cs="Times New Roman"/>
        </w:rPr>
        <w:t>zadań ustawowych</w:t>
      </w:r>
      <w:r w:rsidR="00B25FFE" w:rsidRPr="00667967">
        <w:rPr>
          <w:rFonts w:ascii="Times New Roman" w:eastAsia="Times New Roman" w:hAnsi="Times New Roman" w:cs="Times New Roman"/>
        </w:rPr>
        <w:t>,</w:t>
      </w:r>
      <w:r w:rsidRPr="00667967">
        <w:rPr>
          <w:rFonts w:ascii="Times New Roman" w:eastAsia="Times New Roman" w:hAnsi="Times New Roman" w:cs="Times New Roman"/>
        </w:rPr>
        <w:t xml:space="preserve"> </w:t>
      </w:r>
      <w:r w:rsidR="00B25FFE" w:rsidRPr="00667967">
        <w:rPr>
          <w:rFonts w:ascii="Times New Roman" w:eastAsia="Times New Roman" w:hAnsi="Times New Roman" w:cs="Times New Roman"/>
        </w:rPr>
        <w:t>c</w:t>
      </w:r>
      <w:r w:rsidRPr="00667967">
        <w:rPr>
          <w:rFonts w:ascii="Times New Roman" w:eastAsia="Times New Roman" w:hAnsi="Times New Roman" w:cs="Times New Roman"/>
        </w:rPr>
        <w:t>o z kolei pozwoli na wydłużenie okresu prac nad przygotowaniem dokumentów i raportów</w:t>
      </w:r>
      <w:r w:rsidR="00AF37EB" w:rsidRPr="00667967">
        <w:rPr>
          <w:rFonts w:ascii="Times New Roman" w:eastAsia="Times New Roman" w:hAnsi="Times New Roman" w:cs="Times New Roman"/>
        </w:rPr>
        <w:t xml:space="preserve"> m.in. obejmujących swoim zakresem gazy cieplarniane i inne zanieczyszczenia powietrza</w:t>
      </w:r>
      <w:r w:rsidRPr="00667967">
        <w:rPr>
          <w:rFonts w:ascii="Times New Roman" w:eastAsia="Times New Roman" w:hAnsi="Times New Roman" w:cs="Times New Roman"/>
        </w:rPr>
        <w:t>. Dodatkowo zaproponowane zmiany stanowią doprecyzowanie przepisów. Ze względu</w:t>
      </w:r>
      <w:r w:rsidR="00B25FFE" w:rsidRPr="00667967">
        <w:rPr>
          <w:rFonts w:ascii="Times New Roman" w:eastAsia="Times New Roman" w:hAnsi="Times New Roman" w:cs="Times New Roman"/>
        </w:rPr>
        <w:t xml:space="preserve"> na przewidziany</w:t>
      </w:r>
      <w:r w:rsidRPr="00667967">
        <w:rPr>
          <w:rFonts w:ascii="Times New Roman" w:eastAsia="Times New Roman" w:hAnsi="Times New Roman" w:cs="Times New Roman"/>
        </w:rPr>
        <w:t xml:space="preserve"> w</w:t>
      </w:r>
      <w:r w:rsidR="00B25FFE" w:rsidRPr="00667967">
        <w:rPr>
          <w:rFonts w:ascii="Times New Roman" w:eastAsia="Times New Roman" w:hAnsi="Times New Roman" w:cs="Times New Roman"/>
        </w:rPr>
        <w:t> </w:t>
      </w:r>
      <w:r w:rsidR="00DA29A6" w:rsidRPr="00667967">
        <w:rPr>
          <w:rFonts w:ascii="Times New Roman" w:eastAsia="Times New Roman" w:hAnsi="Times New Roman" w:cs="Times New Roman"/>
        </w:rPr>
        <w:t xml:space="preserve">obecnym </w:t>
      </w:r>
      <w:r w:rsidRPr="00667967">
        <w:rPr>
          <w:rFonts w:ascii="Times New Roman" w:eastAsia="Times New Roman" w:hAnsi="Times New Roman" w:cs="Times New Roman"/>
        </w:rPr>
        <w:t xml:space="preserve">brzmieniu </w:t>
      </w:r>
      <w:r w:rsidR="00F8382A" w:rsidRPr="00667967">
        <w:rPr>
          <w:rFonts w:ascii="Times New Roman" w:eastAsia="Times New Roman" w:hAnsi="Times New Roman" w:cs="Times New Roman"/>
        </w:rPr>
        <w:t>USZE</w:t>
      </w:r>
      <w:r w:rsidRPr="00667967">
        <w:rPr>
          <w:rFonts w:ascii="Times New Roman" w:eastAsia="Times New Roman" w:hAnsi="Times New Roman" w:cs="Times New Roman"/>
        </w:rPr>
        <w:t xml:space="preserve"> jedynie tryb pełnej aktualizacji Krajowego programu ograniczania zanieczyszczenia powietrza, który należy stosować zarówno w przypadku, gdy z prognoz wielkości emisji lub inwentaryzacji emisji wynika, że krajowe cele redukcyjne nie są spełnione lub istnieje ryzyko ich nieosiągnięcia</w:t>
      </w:r>
      <w:r w:rsidR="00603A36" w:rsidRPr="00667967">
        <w:rPr>
          <w:rFonts w:ascii="Times New Roman" w:eastAsia="Times New Roman" w:hAnsi="Times New Roman" w:cs="Times New Roman"/>
        </w:rPr>
        <w:t>,</w:t>
      </w:r>
      <w:r w:rsidRPr="00667967">
        <w:rPr>
          <w:rFonts w:ascii="Times New Roman" w:eastAsia="Times New Roman" w:hAnsi="Times New Roman" w:cs="Times New Roman"/>
        </w:rPr>
        <w:t xml:space="preserve"> proponuje się doprecyzowanie przepisów tak, żeby w przypadku możliwości nieosiągnięcia celów redukcyjnych </w:t>
      </w:r>
      <w:r w:rsidR="001E2C46">
        <w:rPr>
          <w:rFonts w:ascii="Times New Roman" w:eastAsia="Times New Roman" w:hAnsi="Times New Roman" w:cs="Times New Roman"/>
        </w:rPr>
        <w:t>–</w:t>
      </w:r>
      <w:r w:rsidRPr="00667967">
        <w:rPr>
          <w:rFonts w:ascii="Times New Roman" w:eastAsia="Times New Roman" w:hAnsi="Times New Roman" w:cs="Times New Roman"/>
        </w:rPr>
        <w:t xml:space="preserve"> aktualizowane były jedynie strategie i środki dotyczące redukcji emisji zawarte w tym programie.</w:t>
      </w:r>
      <w:r w:rsidR="00AF37EB" w:rsidRPr="00667967">
        <w:rPr>
          <w:rFonts w:ascii="Times New Roman" w:eastAsia="Times New Roman" w:hAnsi="Times New Roman" w:cs="Times New Roman"/>
        </w:rPr>
        <w:t xml:space="preserve"> </w:t>
      </w:r>
      <w:r w:rsidR="00A84C8C" w:rsidRPr="00667967">
        <w:rPr>
          <w:rFonts w:ascii="Times New Roman" w:eastAsia="Times New Roman" w:hAnsi="Times New Roman" w:cs="Times New Roman"/>
        </w:rPr>
        <w:t xml:space="preserve">Dokumenty te </w:t>
      </w:r>
      <w:r w:rsidR="00AF37EB" w:rsidRPr="00667967">
        <w:rPr>
          <w:rFonts w:ascii="Times New Roman" w:eastAsia="Times New Roman" w:hAnsi="Times New Roman" w:cs="Times New Roman"/>
        </w:rPr>
        <w:t>służą do monitorowania wyników prowadzonych działań na rzecz ograniczania za</w:t>
      </w:r>
      <w:r w:rsidR="00AB528B" w:rsidRPr="00667967">
        <w:rPr>
          <w:rFonts w:ascii="Times New Roman" w:eastAsia="Times New Roman" w:hAnsi="Times New Roman" w:cs="Times New Roman"/>
        </w:rPr>
        <w:t>nieczyszczenia powietrza i zmniejszania emisji gazów cieplarnianych</w:t>
      </w:r>
      <w:r w:rsidR="001E2C46">
        <w:rPr>
          <w:rFonts w:ascii="Times New Roman" w:eastAsia="Times New Roman" w:hAnsi="Times New Roman" w:cs="Times New Roman"/>
        </w:rPr>
        <w:t>,</w:t>
      </w:r>
      <w:r w:rsidR="00AB528B" w:rsidRPr="00667967">
        <w:rPr>
          <w:rFonts w:ascii="Times New Roman" w:eastAsia="Times New Roman" w:hAnsi="Times New Roman" w:cs="Times New Roman"/>
        </w:rPr>
        <w:t xml:space="preserve"> jak i zwiększania odporności ekosystemów także na terenach zurbanizowanych. </w:t>
      </w:r>
    </w:p>
    <w:p w14:paraId="0884CCBE" w14:textId="7C785C1E" w:rsidR="001114F4" w:rsidRPr="00667967" w:rsidRDefault="00D0681D" w:rsidP="00595221">
      <w:pPr>
        <w:widowControl/>
        <w:numPr>
          <w:ilvl w:val="0"/>
          <w:numId w:val="1"/>
        </w:numPr>
        <w:tabs>
          <w:tab w:val="left" w:pos="0"/>
        </w:tabs>
        <w:spacing w:before="240" w:after="120" w:line="360" w:lineRule="auto"/>
        <w:ind w:left="567" w:hanging="567"/>
        <w:jc w:val="both"/>
        <w:rPr>
          <w:rFonts w:ascii="Times New Roman" w:eastAsia="Times New Roman" w:hAnsi="Times New Roman" w:cs="Times New Roman"/>
          <w:b/>
          <w:i/>
          <w:smallCaps/>
          <w:kern w:val="28"/>
        </w:rPr>
      </w:pPr>
      <w:r w:rsidRPr="00667967">
        <w:rPr>
          <w:rFonts w:ascii="Times New Roman" w:eastAsia="Times New Roman" w:hAnsi="Times New Roman" w:cs="Times New Roman"/>
          <w:b/>
          <w:smallCaps/>
          <w:kern w:val="28"/>
        </w:rPr>
        <w:t>obecny stan prawny i szczegółowe przedstawienie zmian</w:t>
      </w:r>
      <w:r w:rsidR="00F9655C" w:rsidRPr="00667967">
        <w:rPr>
          <w:rFonts w:ascii="Times New Roman" w:eastAsia="Times New Roman" w:hAnsi="Times New Roman" w:cs="Times New Roman"/>
          <w:b/>
          <w:smallCaps/>
          <w:kern w:val="28"/>
        </w:rPr>
        <w:t xml:space="preserve"> </w:t>
      </w:r>
    </w:p>
    <w:p w14:paraId="3149F5D1" w14:textId="2B3D9340" w:rsidR="001114F4" w:rsidRPr="00667967" w:rsidRDefault="001114F4" w:rsidP="00595221">
      <w:pPr>
        <w:widowControl/>
        <w:spacing w:after="120" w:line="360" w:lineRule="auto"/>
        <w:jc w:val="both"/>
        <w:rPr>
          <w:rFonts w:ascii="Times New Roman" w:eastAsia="Times New Roman" w:hAnsi="Times New Roman" w:cs="Times New Roman"/>
          <w:b/>
          <w:smallCaps/>
          <w:kern w:val="28"/>
        </w:rPr>
      </w:pPr>
      <w:r w:rsidRPr="00667967">
        <w:rPr>
          <w:rFonts w:ascii="Times New Roman" w:eastAsia="Times New Roman" w:hAnsi="Times New Roman" w:cs="Times New Roman"/>
          <w:b/>
          <w:smallCaps/>
          <w:kern w:val="28"/>
        </w:rPr>
        <w:t xml:space="preserve">Art. 1 – zmiany w ustawie </w:t>
      </w:r>
      <w:r w:rsidR="0002469B" w:rsidRPr="00667967">
        <w:rPr>
          <w:rFonts w:ascii="Times New Roman" w:eastAsia="Times New Roman" w:hAnsi="Times New Roman" w:cs="Times New Roman"/>
          <w:b/>
          <w:smallCaps/>
          <w:kern w:val="28"/>
        </w:rPr>
        <w:t>–</w:t>
      </w:r>
      <w:r w:rsidRPr="00667967">
        <w:rPr>
          <w:rFonts w:ascii="Times New Roman" w:eastAsia="Times New Roman" w:hAnsi="Times New Roman" w:cs="Times New Roman"/>
          <w:b/>
          <w:smallCaps/>
          <w:kern w:val="28"/>
        </w:rPr>
        <w:t xml:space="preserve"> prawo ochrony środowiska</w:t>
      </w:r>
    </w:p>
    <w:p w14:paraId="7D680F51" w14:textId="77777777" w:rsidR="001114F4" w:rsidRPr="00667967" w:rsidRDefault="001114F4" w:rsidP="00595221">
      <w:pPr>
        <w:widowControl/>
        <w:spacing w:after="120" w:line="360" w:lineRule="auto"/>
        <w:jc w:val="both"/>
        <w:rPr>
          <w:rFonts w:ascii="Times New Roman" w:hAnsi="Times New Roman" w:cs="Times New Roman"/>
          <w:b/>
        </w:rPr>
      </w:pPr>
      <w:r w:rsidRPr="00667967">
        <w:rPr>
          <w:rFonts w:ascii="Times New Roman" w:hAnsi="Times New Roman" w:cs="Times New Roman"/>
          <w:b/>
        </w:rPr>
        <w:t>Zmiana w art. 3</w:t>
      </w:r>
    </w:p>
    <w:p w14:paraId="1C207FB4" w14:textId="6D0C5814" w:rsidR="001114F4" w:rsidRPr="00667967" w:rsidRDefault="001114F4" w:rsidP="00595221">
      <w:pPr>
        <w:widowControl/>
        <w:spacing w:after="120" w:line="360" w:lineRule="auto"/>
        <w:jc w:val="both"/>
        <w:rPr>
          <w:rFonts w:ascii="Times New Roman" w:hAnsi="Times New Roman" w:cs="Times New Roman"/>
        </w:rPr>
      </w:pPr>
      <w:r w:rsidRPr="00667967">
        <w:rPr>
          <w:rFonts w:ascii="Times New Roman" w:hAnsi="Times New Roman" w:cs="Times New Roman"/>
        </w:rPr>
        <w:t xml:space="preserve">W art. 3 proponuje się dodanie nowego punktu zawierającego definicję MPA. Opracowanie </w:t>
      </w:r>
      <w:bookmarkStart w:id="6" w:name="_Hlk180666649"/>
      <w:r w:rsidR="009115D9">
        <w:rPr>
          <w:rFonts w:ascii="Times New Roman" w:hAnsi="Times New Roman" w:cs="Times New Roman"/>
        </w:rPr>
        <w:t>MPA</w:t>
      </w:r>
      <w:r w:rsidRPr="00667967">
        <w:rPr>
          <w:rFonts w:ascii="Times New Roman" w:hAnsi="Times New Roman" w:cs="Times New Roman"/>
        </w:rPr>
        <w:t xml:space="preserve"> </w:t>
      </w:r>
      <w:bookmarkEnd w:id="6"/>
      <w:r w:rsidRPr="00667967">
        <w:rPr>
          <w:rFonts w:ascii="Times New Roman" w:hAnsi="Times New Roman" w:cs="Times New Roman"/>
        </w:rPr>
        <w:t>w miastach powyżej 100 tys. mieszkańców zainicjowane zostało w</w:t>
      </w:r>
      <w:r w:rsidR="006132D2" w:rsidRPr="00667967">
        <w:rPr>
          <w:rFonts w:ascii="Times New Roman" w:hAnsi="Times New Roman" w:cs="Times New Roman"/>
        </w:rPr>
        <w:t> </w:t>
      </w:r>
      <w:r w:rsidRPr="00667967">
        <w:rPr>
          <w:rFonts w:ascii="Times New Roman" w:hAnsi="Times New Roman" w:cs="Times New Roman"/>
        </w:rPr>
        <w:t>2017</w:t>
      </w:r>
      <w:r w:rsidR="003C7BA7" w:rsidRPr="00667967">
        <w:rPr>
          <w:rFonts w:ascii="Times New Roman" w:hAnsi="Times New Roman" w:cs="Times New Roman"/>
        </w:rPr>
        <w:t> </w:t>
      </w:r>
      <w:r w:rsidRPr="00667967">
        <w:rPr>
          <w:rFonts w:ascii="Times New Roman" w:hAnsi="Times New Roman" w:cs="Times New Roman"/>
        </w:rPr>
        <w:t>r. przez Ministerstwo Środowiska w ramach projektu, którego głównym celem była ocena wrażliwości na zmiany klimatu 44 największych polskich miast i zaplanowanie działań adaptacyjnych, adekwatnych do zidentyfikowanych zagrożeń. Wzorem tych 44 miast niektóre mniejsze polskie miasta we własnym zakresie przystąpiły do opracowania planów adaptacji</w:t>
      </w:r>
      <w:r w:rsidR="00D47B7F" w:rsidRPr="00667967">
        <w:rPr>
          <w:rFonts w:ascii="Times New Roman" w:hAnsi="Times New Roman" w:cs="Times New Roman"/>
        </w:rPr>
        <w:t xml:space="preserve"> do zmian klimatu</w:t>
      </w:r>
      <w:r w:rsidRPr="00667967">
        <w:rPr>
          <w:rFonts w:ascii="Times New Roman" w:hAnsi="Times New Roman" w:cs="Times New Roman"/>
        </w:rPr>
        <w:t xml:space="preserve">. </w:t>
      </w:r>
      <w:r w:rsidRPr="00667967">
        <w:rPr>
          <w:rFonts w:ascii="Times New Roman" w:hAnsi="Times New Roman" w:cs="Times New Roman"/>
        </w:rPr>
        <w:lastRenderedPageBreak/>
        <w:t>Z</w:t>
      </w:r>
      <w:r w:rsidR="006132D2" w:rsidRPr="00667967">
        <w:rPr>
          <w:rFonts w:ascii="Times New Roman" w:hAnsi="Times New Roman" w:cs="Times New Roman"/>
        </w:rPr>
        <w:t> </w:t>
      </w:r>
      <w:r w:rsidRPr="00667967">
        <w:rPr>
          <w:rFonts w:ascii="Times New Roman" w:hAnsi="Times New Roman" w:cs="Times New Roman"/>
        </w:rPr>
        <w:t xml:space="preserve">szacunków MKiŚ wynika, że </w:t>
      </w:r>
      <w:r w:rsidR="00EA5DDC" w:rsidRPr="00667967">
        <w:rPr>
          <w:rFonts w:ascii="Times New Roman" w:hAnsi="Times New Roman" w:cs="Times New Roman"/>
        </w:rPr>
        <w:t xml:space="preserve">142 </w:t>
      </w:r>
      <w:r w:rsidRPr="00667967">
        <w:rPr>
          <w:rFonts w:ascii="Times New Roman" w:hAnsi="Times New Roman" w:cs="Times New Roman"/>
        </w:rPr>
        <w:t>miast</w:t>
      </w:r>
      <w:r w:rsidR="00EA5DDC" w:rsidRPr="00667967">
        <w:rPr>
          <w:rFonts w:ascii="Times New Roman" w:hAnsi="Times New Roman" w:cs="Times New Roman"/>
        </w:rPr>
        <w:t>a</w:t>
      </w:r>
      <w:r w:rsidRPr="00667967">
        <w:rPr>
          <w:rFonts w:ascii="Times New Roman" w:hAnsi="Times New Roman" w:cs="Times New Roman"/>
        </w:rPr>
        <w:t xml:space="preserve"> powyżej 20 tys. </w:t>
      </w:r>
      <w:r w:rsidR="00E36955" w:rsidRPr="00667967">
        <w:rPr>
          <w:rFonts w:ascii="Times New Roman" w:hAnsi="Times New Roman" w:cs="Times New Roman"/>
        </w:rPr>
        <w:t>m</w:t>
      </w:r>
      <w:r w:rsidRPr="00667967">
        <w:rPr>
          <w:rFonts w:ascii="Times New Roman" w:hAnsi="Times New Roman" w:cs="Times New Roman"/>
        </w:rPr>
        <w:t>ieszkańców</w:t>
      </w:r>
      <w:r w:rsidR="00CA1C5B" w:rsidRPr="00667967">
        <w:rPr>
          <w:rFonts w:ascii="Times New Roman" w:hAnsi="Times New Roman" w:cs="Times New Roman"/>
        </w:rPr>
        <w:t xml:space="preserve"> </w:t>
      </w:r>
      <w:r w:rsidRPr="00667967">
        <w:rPr>
          <w:rFonts w:ascii="Times New Roman" w:hAnsi="Times New Roman" w:cs="Times New Roman"/>
        </w:rPr>
        <w:t xml:space="preserve">rozpoczęły prace nad opracowaniem MPA, w tym </w:t>
      </w:r>
      <w:r w:rsidR="00392799" w:rsidRPr="00667967">
        <w:rPr>
          <w:rFonts w:ascii="Times New Roman" w:hAnsi="Times New Roman" w:cs="Times New Roman"/>
        </w:rPr>
        <w:t>10</w:t>
      </w:r>
      <w:r w:rsidR="002D6C68" w:rsidRPr="00667967">
        <w:rPr>
          <w:rFonts w:ascii="Times New Roman" w:hAnsi="Times New Roman" w:cs="Times New Roman"/>
        </w:rPr>
        <w:t>6</w:t>
      </w:r>
      <w:r w:rsidR="00392799" w:rsidRPr="00667967">
        <w:rPr>
          <w:rFonts w:ascii="Times New Roman" w:hAnsi="Times New Roman" w:cs="Times New Roman"/>
        </w:rPr>
        <w:t xml:space="preserve"> </w:t>
      </w:r>
      <w:r w:rsidRPr="00667967">
        <w:rPr>
          <w:rFonts w:ascii="Times New Roman" w:hAnsi="Times New Roman" w:cs="Times New Roman"/>
        </w:rPr>
        <w:t xml:space="preserve">miast </w:t>
      </w:r>
      <w:r w:rsidR="00057322" w:rsidRPr="00667967">
        <w:rPr>
          <w:rFonts w:ascii="Times New Roman" w:hAnsi="Times New Roman" w:cs="Times New Roman"/>
        </w:rPr>
        <w:t>przyjęł</w:t>
      </w:r>
      <w:r w:rsidR="00D47B7F" w:rsidRPr="00667967">
        <w:rPr>
          <w:rFonts w:ascii="Times New Roman" w:hAnsi="Times New Roman" w:cs="Times New Roman"/>
        </w:rPr>
        <w:t>o</w:t>
      </w:r>
      <w:r w:rsidR="00057322" w:rsidRPr="00667967">
        <w:rPr>
          <w:rFonts w:ascii="Times New Roman" w:hAnsi="Times New Roman" w:cs="Times New Roman"/>
        </w:rPr>
        <w:t xml:space="preserve"> </w:t>
      </w:r>
      <w:r w:rsidRPr="00667967">
        <w:rPr>
          <w:rFonts w:ascii="Times New Roman" w:hAnsi="Times New Roman" w:cs="Times New Roman"/>
        </w:rPr>
        <w:t>go w drodze uchwały.</w:t>
      </w:r>
    </w:p>
    <w:p w14:paraId="25CFD7D0" w14:textId="4CA068E0" w:rsidR="001114F4" w:rsidRPr="00667967" w:rsidRDefault="001114F4" w:rsidP="00595221">
      <w:pPr>
        <w:widowControl/>
        <w:spacing w:after="120" w:line="360" w:lineRule="auto"/>
        <w:jc w:val="both"/>
        <w:rPr>
          <w:rFonts w:ascii="Times New Roman" w:hAnsi="Times New Roman" w:cs="Times New Roman"/>
          <w:b/>
        </w:rPr>
      </w:pPr>
      <w:r w:rsidRPr="00667967">
        <w:rPr>
          <w:rFonts w:ascii="Times New Roman" w:hAnsi="Times New Roman" w:cs="Times New Roman"/>
          <w:b/>
        </w:rPr>
        <w:t>Zmiana art. 14 ust. 2 oraz dodanie art. 18a</w:t>
      </w:r>
      <w:r w:rsidR="007C4C01" w:rsidRPr="00667967">
        <w:rPr>
          <w:rFonts w:ascii="Times New Roman" w:hAnsi="Times New Roman" w:cs="Times New Roman"/>
          <w:b/>
        </w:rPr>
        <w:t>–</w:t>
      </w:r>
      <w:r w:rsidR="00F5672B" w:rsidRPr="00667967">
        <w:rPr>
          <w:rFonts w:ascii="Times New Roman" w:hAnsi="Times New Roman" w:cs="Times New Roman"/>
          <w:b/>
        </w:rPr>
        <w:t>18c</w:t>
      </w:r>
    </w:p>
    <w:p w14:paraId="604DC52D" w14:textId="11F57F08" w:rsidR="004C7E3D" w:rsidRPr="00595221" w:rsidRDefault="001114F4" w:rsidP="00595221">
      <w:pPr>
        <w:widowControl/>
        <w:spacing w:before="240" w:after="120" w:line="360" w:lineRule="auto"/>
        <w:jc w:val="both"/>
        <w:rPr>
          <w:rFonts w:ascii="Times New Roman" w:hAnsi="Times New Roman" w:cs="Times New Roman"/>
        </w:rPr>
      </w:pPr>
      <w:r w:rsidRPr="00667967">
        <w:rPr>
          <w:rFonts w:ascii="Times New Roman" w:hAnsi="Times New Roman" w:cs="Times New Roman"/>
        </w:rPr>
        <w:t>Proponuje się uzupełnienie art. 14 ust. 2 o wskazanie MPA jako kolejnego narzędzia, za pomocą którego jest prowadzona polityka ochrony środowiska. Dodane zostają także nowe regulacje – art. 18a</w:t>
      </w:r>
      <w:r w:rsidR="007C4C01" w:rsidRPr="00667967">
        <w:rPr>
          <w:rFonts w:ascii="Times New Roman" w:hAnsi="Times New Roman" w:cs="Times New Roman"/>
        </w:rPr>
        <w:t>–</w:t>
      </w:r>
      <w:r w:rsidR="002D6C68" w:rsidRPr="00667967">
        <w:rPr>
          <w:rFonts w:ascii="Times New Roman" w:hAnsi="Times New Roman" w:cs="Times New Roman"/>
        </w:rPr>
        <w:t>18c</w:t>
      </w:r>
      <w:r w:rsidRPr="00667967">
        <w:rPr>
          <w:rFonts w:ascii="Times New Roman" w:hAnsi="Times New Roman" w:cs="Times New Roman"/>
        </w:rPr>
        <w:t xml:space="preserve">, zgodnie z którymi burmistrz </w:t>
      </w:r>
      <w:r w:rsidR="004C7E3D" w:rsidRPr="00667967">
        <w:rPr>
          <w:rFonts w:ascii="Times New Roman" w:hAnsi="Times New Roman" w:cs="Times New Roman"/>
        </w:rPr>
        <w:t xml:space="preserve">albo </w:t>
      </w:r>
      <w:r w:rsidRPr="00667967">
        <w:rPr>
          <w:rFonts w:ascii="Times New Roman" w:hAnsi="Times New Roman" w:cs="Times New Roman"/>
        </w:rPr>
        <w:t xml:space="preserve">prezydent miasta o liczbie mieszkańców równej lub większej </w:t>
      </w:r>
      <w:r w:rsidR="00A10762" w:rsidRPr="00667967">
        <w:rPr>
          <w:rFonts w:ascii="Times New Roman" w:hAnsi="Times New Roman" w:cs="Times New Roman"/>
        </w:rPr>
        <w:t xml:space="preserve">niż </w:t>
      </w:r>
      <w:r w:rsidRPr="00667967">
        <w:rPr>
          <w:rFonts w:ascii="Times New Roman" w:hAnsi="Times New Roman" w:cs="Times New Roman"/>
        </w:rPr>
        <w:t xml:space="preserve">20 tys. </w:t>
      </w:r>
      <w:r w:rsidR="00DA29A6" w:rsidRPr="00667967">
        <w:rPr>
          <w:rFonts w:ascii="Times New Roman" w:hAnsi="Times New Roman" w:cs="Times New Roman"/>
        </w:rPr>
        <w:t>sporządza</w:t>
      </w:r>
      <w:r w:rsidR="00E36955" w:rsidRPr="00667967">
        <w:rPr>
          <w:rFonts w:ascii="Times New Roman" w:hAnsi="Times New Roman" w:cs="Times New Roman"/>
        </w:rPr>
        <w:t xml:space="preserve"> </w:t>
      </w:r>
      <w:r w:rsidR="00DA29A6" w:rsidRPr="00667967">
        <w:rPr>
          <w:rFonts w:ascii="Times New Roman" w:hAnsi="Times New Roman" w:cs="Times New Roman"/>
        </w:rPr>
        <w:t>MPA</w:t>
      </w:r>
      <w:r w:rsidRPr="00667967">
        <w:rPr>
          <w:rFonts w:ascii="Times New Roman" w:hAnsi="Times New Roman" w:cs="Times New Roman"/>
        </w:rPr>
        <w:t xml:space="preserve">. Przyjęcie założenia, że opracowanie </w:t>
      </w:r>
      <w:r w:rsidR="00DA29A6" w:rsidRPr="00667967">
        <w:rPr>
          <w:rFonts w:ascii="Times New Roman" w:hAnsi="Times New Roman" w:cs="Times New Roman"/>
        </w:rPr>
        <w:t>MPA</w:t>
      </w:r>
      <w:r w:rsidRPr="00667967">
        <w:rPr>
          <w:rFonts w:ascii="Times New Roman" w:hAnsi="Times New Roman" w:cs="Times New Roman"/>
        </w:rPr>
        <w:t xml:space="preserve"> będzie obligatoryjne dla miast liczących co najmniej 20 tys. mieszkańców, wynika z potrzeby zwiększ</w:t>
      </w:r>
      <w:r w:rsidR="00DA29A6" w:rsidRPr="00667967">
        <w:rPr>
          <w:rFonts w:ascii="Times New Roman" w:hAnsi="Times New Roman" w:cs="Times New Roman"/>
        </w:rPr>
        <w:t>e</w:t>
      </w:r>
      <w:r w:rsidRPr="00667967">
        <w:rPr>
          <w:rFonts w:ascii="Times New Roman" w:hAnsi="Times New Roman" w:cs="Times New Roman"/>
        </w:rPr>
        <w:t xml:space="preserve">nia liczby mniejszych miast, które zwiększą swój potencjał adaptacji do zmian klimatu. </w:t>
      </w:r>
      <w:r w:rsidR="003655B0" w:rsidRPr="00667967">
        <w:rPr>
          <w:rFonts w:ascii="Times New Roman" w:hAnsi="Times New Roman" w:cs="Times New Roman"/>
        </w:rPr>
        <w:t>Doprecyzowano,</w:t>
      </w:r>
      <w:r w:rsidRPr="00667967">
        <w:rPr>
          <w:rFonts w:ascii="Times New Roman" w:hAnsi="Times New Roman" w:cs="Times New Roman"/>
        </w:rPr>
        <w:t xml:space="preserve"> że miasto o</w:t>
      </w:r>
      <w:r w:rsidR="006132D2" w:rsidRPr="00667967">
        <w:rPr>
          <w:rFonts w:ascii="Times New Roman" w:hAnsi="Times New Roman" w:cs="Times New Roman"/>
        </w:rPr>
        <w:t> </w:t>
      </w:r>
      <w:r w:rsidRPr="00667967">
        <w:rPr>
          <w:rFonts w:ascii="Times New Roman" w:hAnsi="Times New Roman" w:cs="Times New Roman"/>
        </w:rPr>
        <w:t>liczbie mieszkańców równej lub większej niż 20 tys., które będzie zobowiązane do opracowania MPA, to miasto, w którym liczba ludności</w:t>
      </w:r>
      <w:r w:rsidR="004C7E3D" w:rsidRPr="00667967">
        <w:rPr>
          <w:rFonts w:ascii="Times New Roman" w:hAnsi="Times New Roman" w:cs="Times New Roman"/>
        </w:rPr>
        <w:t xml:space="preserve"> zgodnie z danymi statystycznymi</w:t>
      </w:r>
      <w:r w:rsidR="003655B0" w:rsidRPr="00667967">
        <w:rPr>
          <w:rFonts w:ascii="Times New Roman" w:hAnsi="Times New Roman" w:cs="Times New Roman"/>
        </w:rPr>
        <w:t xml:space="preserve"> </w:t>
      </w:r>
      <w:r w:rsidR="00F33243" w:rsidRPr="00667967">
        <w:rPr>
          <w:rFonts w:ascii="Times New Roman" w:hAnsi="Times New Roman" w:cs="Times New Roman"/>
        </w:rPr>
        <w:t xml:space="preserve">ogłoszonymi </w:t>
      </w:r>
      <w:r w:rsidR="003655B0" w:rsidRPr="00667967">
        <w:rPr>
          <w:rFonts w:ascii="Times New Roman" w:hAnsi="Times New Roman" w:cs="Times New Roman"/>
        </w:rPr>
        <w:t>przez Główny Urząd Statystyczny</w:t>
      </w:r>
      <w:r w:rsidRPr="00667967">
        <w:rPr>
          <w:rFonts w:ascii="Times New Roman" w:hAnsi="Times New Roman" w:cs="Times New Roman"/>
        </w:rPr>
        <w:t xml:space="preserve"> </w:t>
      </w:r>
      <w:r w:rsidR="00EA5DDC" w:rsidRPr="00667967">
        <w:rPr>
          <w:rFonts w:ascii="Times New Roman" w:hAnsi="Times New Roman" w:cs="Times New Roman"/>
        </w:rPr>
        <w:t>na koniec poprzedniego roku</w:t>
      </w:r>
      <w:r w:rsidR="001F0893" w:rsidRPr="00667967">
        <w:rPr>
          <w:rFonts w:ascii="Times New Roman" w:hAnsi="Times New Roman" w:cs="Times New Roman"/>
        </w:rPr>
        <w:t xml:space="preserve"> jest równa lub większa niż 20 tysięcy.</w:t>
      </w:r>
    </w:p>
    <w:p w14:paraId="083F8098" w14:textId="3648AD0C" w:rsidR="001114F4" w:rsidRPr="00667967" w:rsidRDefault="001114F4" w:rsidP="00595221">
      <w:pPr>
        <w:widowControl/>
        <w:spacing w:after="120" w:line="360" w:lineRule="auto"/>
        <w:jc w:val="both"/>
        <w:rPr>
          <w:rFonts w:ascii="Times New Roman" w:hAnsi="Times New Roman" w:cs="Times New Roman"/>
        </w:rPr>
      </w:pPr>
      <w:r w:rsidRPr="00667967">
        <w:rPr>
          <w:rFonts w:ascii="Times New Roman" w:hAnsi="Times New Roman" w:cs="Times New Roman"/>
        </w:rPr>
        <w:t>MPA są instrumentami wspierającymi działania na rzecz zwiększenia odporności na zmiany klimatu, w tym zwiększ</w:t>
      </w:r>
      <w:r w:rsidR="00DA29A6" w:rsidRPr="00667967">
        <w:rPr>
          <w:rFonts w:ascii="Times New Roman" w:hAnsi="Times New Roman" w:cs="Times New Roman"/>
        </w:rPr>
        <w:t>a</w:t>
      </w:r>
      <w:r w:rsidRPr="00667967">
        <w:rPr>
          <w:rFonts w:ascii="Times New Roman" w:hAnsi="Times New Roman" w:cs="Times New Roman"/>
        </w:rPr>
        <w:t>ni</w:t>
      </w:r>
      <w:r w:rsidR="00DA29A6" w:rsidRPr="00667967">
        <w:rPr>
          <w:rFonts w:ascii="Times New Roman" w:hAnsi="Times New Roman" w:cs="Times New Roman"/>
        </w:rPr>
        <w:t>e</w:t>
      </w:r>
      <w:r w:rsidRPr="00667967">
        <w:rPr>
          <w:rFonts w:ascii="Times New Roman" w:hAnsi="Times New Roman" w:cs="Times New Roman"/>
        </w:rPr>
        <w:t xml:space="preserve"> retencji wody opadowej i roztopowej, rozw</w:t>
      </w:r>
      <w:r w:rsidR="00DA29A6" w:rsidRPr="00667967">
        <w:rPr>
          <w:rFonts w:ascii="Times New Roman" w:hAnsi="Times New Roman" w:cs="Times New Roman"/>
        </w:rPr>
        <w:t>ój</w:t>
      </w:r>
      <w:r w:rsidRPr="00667967">
        <w:rPr>
          <w:rFonts w:ascii="Times New Roman" w:hAnsi="Times New Roman" w:cs="Times New Roman"/>
        </w:rPr>
        <w:t xml:space="preserve"> zieleni oraz tzw. odbetonowani</w:t>
      </w:r>
      <w:r w:rsidR="00DA29A6" w:rsidRPr="00667967">
        <w:rPr>
          <w:rFonts w:ascii="Times New Roman" w:hAnsi="Times New Roman" w:cs="Times New Roman"/>
        </w:rPr>
        <w:t>e</w:t>
      </w:r>
      <w:r w:rsidRPr="00667967">
        <w:rPr>
          <w:rFonts w:ascii="Times New Roman" w:hAnsi="Times New Roman" w:cs="Times New Roman"/>
        </w:rPr>
        <w:t xml:space="preserve"> przestrzeni miejskiej. W obecnym stanie prawnym nie uwzględnia się kwestii adaptacji do zmian klimatu i nie ma wymogu przygotow</w:t>
      </w:r>
      <w:r w:rsidR="00DA29A6" w:rsidRPr="00667967">
        <w:rPr>
          <w:rFonts w:ascii="Times New Roman" w:hAnsi="Times New Roman" w:cs="Times New Roman"/>
        </w:rPr>
        <w:t>yw</w:t>
      </w:r>
      <w:r w:rsidRPr="00667967">
        <w:rPr>
          <w:rFonts w:ascii="Times New Roman" w:hAnsi="Times New Roman" w:cs="Times New Roman"/>
        </w:rPr>
        <w:t>ania tych dokumentów.</w:t>
      </w:r>
    </w:p>
    <w:p w14:paraId="0734F06F" w14:textId="711AD1C7" w:rsidR="001114F4" w:rsidRPr="00667967" w:rsidRDefault="001114F4" w:rsidP="00595221">
      <w:pPr>
        <w:widowControl/>
        <w:spacing w:after="120" w:line="360" w:lineRule="auto"/>
        <w:jc w:val="both"/>
        <w:rPr>
          <w:rFonts w:ascii="Times New Roman" w:hAnsi="Times New Roman" w:cs="Times New Roman"/>
        </w:rPr>
      </w:pPr>
      <w:r w:rsidRPr="00667967">
        <w:rPr>
          <w:rFonts w:ascii="Times New Roman" w:hAnsi="Times New Roman" w:cs="Times New Roman"/>
        </w:rPr>
        <w:t xml:space="preserve">Niewystarczające uwzględnienie kwestii środowiskowego wymiaru polityki miejskiej, w tym planowania działań adaptacyjnych </w:t>
      </w:r>
      <w:r w:rsidR="00D47B7F" w:rsidRPr="00667967">
        <w:rPr>
          <w:rFonts w:ascii="Times New Roman" w:hAnsi="Times New Roman" w:cs="Times New Roman"/>
        </w:rPr>
        <w:t xml:space="preserve">do zmian klimatu </w:t>
      </w:r>
      <w:r w:rsidRPr="00667967">
        <w:rPr>
          <w:rFonts w:ascii="Times New Roman" w:hAnsi="Times New Roman" w:cs="Times New Roman"/>
        </w:rPr>
        <w:t>w</w:t>
      </w:r>
      <w:r w:rsidR="004B4F06" w:rsidRPr="00667967">
        <w:rPr>
          <w:rFonts w:ascii="Times New Roman" w:hAnsi="Times New Roman" w:cs="Times New Roman"/>
        </w:rPr>
        <w:t xml:space="preserve"> </w:t>
      </w:r>
      <w:r w:rsidRPr="00667967">
        <w:rPr>
          <w:rFonts w:ascii="Times New Roman" w:hAnsi="Times New Roman" w:cs="Times New Roman"/>
        </w:rPr>
        <w:t>dokumentach strategicznych i planistycznych przygotowywanych przez miasta</w:t>
      </w:r>
      <w:r w:rsidR="00B25FFE" w:rsidRPr="00667967">
        <w:rPr>
          <w:rFonts w:ascii="Times New Roman" w:hAnsi="Times New Roman" w:cs="Times New Roman"/>
        </w:rPr>
        <w:t>,</w:t>
      </w:r>
      <w:r w:rsidRPr="00667967">
        <w:rPr>
          <w:rFonts w:ascii="Times New Roman" w:hAnsi="Times New Roman" w:cs="Times New Roman"/>
        </w:rPr>
        <w:t xml:space="preserve"> hamuje działania i programy podejmowane w ramach polityki krajowej. Mają one na celu przystosowanie miast do zmian klimatu, zmniejszenie ich podatności na zjawiska ekstremalne oraz zwiększenie potencjału do przeciwdziałania i zwalczania skutków tych zjawisk i ich pochodnych. Uwzględnienie ich w polityce miasta będzie miało pozytywny wpływ na przestrzeń miast, odporność </w:t>
      </w:r>
      <w:r w:rsidR="00D47B7F" w:rsidRPr="00667967">
        <w:rPr>
          <w:rFonts w:ascii="Times New Roman" w:hAnsi="Times New Roman" w:cs="Times New Roman"/>
        </w:rPr>
        <w:t xml:space="preserve">miast </w:t>
      </w:r>
      <w:r w:rsidRPr="00667967">
        <w:rPr>
          <w:rFonts w:ascii="Times New Roman" w:hAnsi="Times New Roman" w:cs="Times New Roman"/>
        </w:rPr>
        <w:t>na zmiany klimatu oraz estetykę, a tym samym podniesie komfort życia i bezpieczeństwo mieszkańców.</w:t>
      </w:r>
    </w:p>
    <w:p w14:paraId="77002849" w14:textId="0D9BE27E" w:rsidR="002C54A8" w:rsidRPr="00667967" w:rsidRDefault="001114F4" w:rsidP="00595221">
      <w:pPr>
        <w:widowControl/>
        <w:spacing w:after="120" w:line="360" w:lineRule="auto"/>
        <w:jc w:val="both"/>
        <w:rPr>
          <w:rFonts w:ascii="Times New Roman" w:hAnsi="Times New Roman" w:cs="Times New Roman"/>
        </w:rPr>
      </w:pPr>
      <w:r w:rsidRPr="00667967">
        <w:rPr>
          <w:rFonts w:ascii="Times New Roman" w:hAnsi="Times New Roman" w:cs="Times New Roman"/>
        </w:rPr>
        <w:t xml:space="preserve">W art. 18a ust. 5 określono zasadnicze części MPA. </w:t>
      </w:r>
      <w:r w:rsidR="002C54A8" w:rsidRPr="00667967">
        <w:rPr>
          <w:rFonts w:ascii="Times New Roman" w:hAnsi="Times New Roman" w:cs="Times New Roman"/>
        </w:rPr>
        <w:t>Część analityczna jest kluczowa dla opracowania celów planu, ponieważ w obiektywny sposób identyfikuje zagrożenia klimatyczne dla miasta, dokonuje oceny wrażliwości miasta na zmiany klimatu or</w:t>
      </w:r>
      <w:r w:rsidR="00D219AD" w:rsidRPr="00667967">
        <w:rPr>
          <w:rFonts w:ascii="Times New Roman" w:hAnsi="Times New Roman" w:cs="Times New Roman"/>
        </w:rPr>
        <w:t>a</w:t>
      </w:r>
      <w:r w:rsidR="002C54A8" w:rsidRPr="00667967">
        <w:rPr>
          <w:rFonts w:ascii="Times New Roman" w:hAnsi="Times New Roman" w:cs="Times New Roman"/>
        </w:rPr>
        <w:t>z określa potencjał adaptacyjny miasta, w</w:t>
      </w:r>
      <w:r w:rsidR="0002469B" w:rsidRPr="00667967">
        <w:rPr>
          <w:rFonts w:ascii="Times New Roman" w:hAnsi="Times New Roman" w:cs="Times New Roman"/>
        </w:rPr>
        <w:t> </w:t>
      </w:r>
      <w:r w:rsidR="002C54A8" w:rsidRPr="00667967">
        <w:rPr>
          <w:rFonts w:ascii="Times New Roman" w:hAnsi="Times New Roman" w:cs="Times New Roman"/>
        </w:rPr>
        <w:t xml:space="preserve">tym materialnych i niematerialnych zasobów. Część analityczna </w:t>
      </w:r>
      <w:r w:rsidR="00D219AD" w:rsidRPr="00667967">
        <w:rPr>
          <w:rFonts w:ascii="Times New Roman" w:hAnsi="Times New Roman" w:cs="Times New Roman"/>
        </w:rPr>
        <w:t xml:space="preserve">jest </w:t>
      </w:r>
      <w:r w:rsidR="002C54A8" w:rsidRPr="00667967">
        <w:rPr>
          <w:rFonts w:ascii="Times New Roman" w:hAnsi="Times New Roman" w:cs="Times New Roman"/>
        </w:rPr>
        <w:t xml:space="preserve">zbudowana na podstawie analizy informacji zawartych w dokumentach planistycznych i strategicznych miasta, danych meteorologicznych i hydrologicznych, danych statystycznych i </w:t>
      </w:r>
      <w:r w:rsidR="002C54A8" w:rsidRPr="00667967">
        <w:rPr>
          <w:rFonts w:ascii="Times New Roman" w:hAnsi="Times New Roman" w:cs="Times New Roman"/>
        </w:rPr>
        <w:lastRenderedPageBreak/>
        <w:t xml:space="preserve">przestrzennych oraz ocen przeprowadzonych przez ekspertów we współpracy z przedstawicielami miasta. Kluczowe jest również przeprowadzenie analizy podatności miasta na zmiany klimatu, która powinna obejmować stopień, w jakim miasto nie jest zdolne do poradzenia sobie z negatywnymi skutkami zmian klimatu. Kolejnym istotnym elementem </w:t>
      </w:r>
      <w:r w:rsidR="00982AE8" w:rsidRPr="00667967">
        <w:rPr>
          <w:rFonts w:ascii="Times New Roman" w:hAnsi="Times New Roman" w:cs="Times New Roman"/>
        </w:rPr>
        <w:t>części analitycznej</w:t>
      </w:r>
      <w:r w:rsidR="002C54A8" w:rsidRPr="00667967">
        <w:rPr>
          <w:rFonts w:ascii="Times New Roman" w:hAnsi="Times New Roman" w:cs="Times New Roman"/>
        </w:rPr>
        <w:t xml:space="preserve"> jest obligatoryjne przeprowadzenie analizy </w:t>
      </w:r>
      <w:r w:rsidR="00982AE8" w:rsidRPr="00667967">
        <w:rPr>
          <w:rFonts w:ascii="Times New Roman" w:hAnsi="Times New Roman" w:cs="Times New Roman"/>
        </w:rPr>
        <w:t xml:space="preserve">ryzyka związanego ze zmianami klimatu i szans wynikających z tych zmian </w:t>
      </w:r>
      <w:r w:rsidR="002C54A8" w:rsidRPr="00667967">
        <w:rPr>
          <w:rFonts w:ascii="Times New Roman" w:hAnsi="Times New Roman" w:cs="Times New Roman"/>
        </w:rPr>
        <w:t xml:space="preserve">w oparciu o scenariusze zmian klimatu, ustalając zagrożenie dla miasta wynikające z przewidywanych zmian klimatu oraz potencjalnych skutków wystąpienia tych zjawisk klimatycznych w przestrzeni miasta. </w:t>
      </w:r>
      <w:r w:rsidR="00811934" w:rsidRPr="00667967">
        <w:rPr>
          <w:rFonts w:ascii="Times New Roman" w:hAnsi="Times New Roman" w:cs="Times New Roman"/>
        </w:rPr>
        <w:t xml:space="preserve">Analizy wskazane powyżej mogą być wykonane na podstawie </w:t>
      </w:r>
      <w:r w:rsidR="00E92F84" w:rsidRPr="00667967">
        <w:rPr>
          <w:rFonts w:ascii="Times New Roman" w:hAnsi="Times New Roman" w:cs="Times New Roman"/>
        </w:rPr>
        <w:t xml:space="preserve">bezpłatnych </w:t>
      </w:r>
      <w:r w:rsidR="00811934" w:rsidRPr="00667967">
        <w:rPr>
          <w:rFonts w:ascii="Times New Roman" w:hAnsi="Times New Roman" w:cs="Times New Roman"/>
        </w:rPr>
        <w:t>dostępnych danych gromadzonych przez służbę meteorologiczn</w:t>
      </w:r>
      <w:r w:rsidR="001206EE" w:rsidRPr="00667967">
        <w:rPr>
          <w:rFonts w:ascii="Times New Roman" w:hAnsi="Times New Roman" w:cs="Times New Roman"/>
        </w:rPr>
        <w:t>ą</w:t>
      </w:r>
      <w:r w:rsidR="00811934" w:rsidRPr="00667967">
        <w:rPr>
          <w:rFonts w:ascii="Times New Roman" w:hAnsi="Times New Roman" w:cs="Times New Roman"/>
        </w:rPr>
        <w:t xml:space="preserve"> i hydrologiczną</w:t>
      </w:r>
      <w:r w:rsidR="00D91E0B" w:rsidRPr="00667967">
        <w:rPr>
          <w:rFonts w:ascii="Times New Roman" w:hAnsi="Times New Roman" w:cs="Times New Roman"/>
        </w:rPr>
        <w:t xml:space="preserve"> </w:t>
      </w:r>
      <w:r w:rsidR="003039D0" w:rsidRPr="00667967">
        <w:rPr>
          <w:rFonts w:ascii="Times New Roman" w:hAnsi="Times New Roman" w:cs="Times New Roman"/>
        </w:rPr>
        <w:t>(</w:t>
      </w:r>
      <w:r w:rsidR="00D91E0B" w:rsidRPr="00667967">
        <w:rPr>
          <w:rFonts w:ascii="Times New Roman" w:hAnsi="Times New Roman" w:cs="Times New Roman"/>
        </w:rPr>
        <w:t xml:space="preserve">dane publiczne </w:t>
      </w:r>
      <w:r w:rsidR="003039D0" w:rsidRPr="00667967">
        <w:rPr>
          <w:rFonts w:ascii="Times New Roman" w:hAnsi="Times New Roman" w:cs="Times New Roman"/>
        </w:rPr>
        <w:t>Instytutu Meteorologii i Gospodarki Wodnej – Państwowego Instytutu Badawczego)</w:t>
      </w:r>
      <w:r w:rsidR="00811934" w:rsidRPr="00667967">
        <w:rPr>
          <w:rFonts w:ascii="Times New Roman" w:hAnsi="Times New Roman" w:cs="Times New Roman"/>
        </w:rPr>
        <w:t>, danych statystyki publicznej, a także danych i</w:t>
      </w:r>
      <w:r w:rsidR="0002469B" w:rsidRPr="00667967">
        <w:rPr>
          <w:rFonts w:ascii="Times New Roman" w:hAnsi="Times New Roman" w:cs="Times New Roman"/>
        </w:rPr>
        <w:t> </w:t>
      </w:r>
      <w:r w:rsidR="00811934" w:rsidRPr="00667967">
        <w:rPr>
          <w:rFonts w:ascii="Times New Roman" w:hAnsi="Times New Roman" w:cs="Times New Roman"/>
        </w:rPr>
        <w:t xml:space="preserve">informacji z zakresu planowania przestrzennego, które są w posiadaniu jednostek samorządu terytorialnego. Ponadto </w:t>
      </w:r>
      <w:r w:rsidR="00EF3073" w:rsidRPr="00667967">
        <w:rPr>
          <w:rFonts w:ascii="Times New Roman" w:hAnsi="Times New Roman" w:cs="Times New Roman"/>
        </w:rPr>
        <w:t xml:space="preserve">Instytut Ochrony Środowiska – </w:t>
      </w:r>
      <w:r w:rsidR="00BC3046" w:rsidRPr="00667967">
        <w:rPr>
          <w:rFonts w:ascii="Times New Roman" w:hAnsi="Times New Roman" w:cs="Times New Roman"/>
        </w:rPr>
        <w:t>Państwowy Instytut Badawczy (IOŚ</w:t>
      </w:r>
      <w:r w:rsidR="006132D2" w:rsidRPr="00667967">
        <w:rPr>
          <w:rFonts w:ascii="Times New Roman" w:hAnsi="Times New Roman" w:cs="Times New Roman"/>
        </w:rPr>
        <w:t>-PIB</w:t>
      </w:r>
      <w:r w:rsidR="00BC3046" w:rsidRPr="00667967">
        <w:rPr>
          <w:rFonts w:ascii="Times New Roman" w:hAnsi="Times New Roman" w:cs="Times New Roman"/>
        </w:rPr>
        <w:t xml:space="preserve">) </w:t>
      </w:r>
      <w:r w:rsidR="00E92F84" w:rsidRPr="00667967">
        <w:rPr>
          <w:rFonts w:ascii="Times New Roman" w:hAnsi="Times New Roman" w:cs="Times New Roman"/>
        </w:rPr>
        <w:t xml:space="preserve">udostępnia na stronie projektu </w:t>
      </w:r>
      <w:r w:rsidR="00811934" w:rsidRPr="00667967">
        <w:rPr>
          <w:rFonts w:ascii="Times New Roman" w:hAnsi="Times New Roman" w:cs="Times New Roman"/>
        </w:rPr>
        <w:t>KLIMADA</w:t>
      </w:r>
      <w:r w:rsidR="00156461" w:rsidRPr="00667967">
        <w:rPr>
          <w:rFonts w:ascii="Times New Roman" w:hAnsi="Times New Roman" w:cs="Times New Roman"/>
        </w:rPr>
        <w:t xml:space="preserve"> </w:t>
      </w:r>
      <w:r w:rsidR="00811934" w:rsidRPr="00667967">
        <w:rPr>
          <w:rFonts w:ascii="Times New Roman" w:hAnsi="Times New Roman" w:cs="Times New Roman"/>
        </w:rPr>
        <w:t xml:space="preserve">2.0 opracowane </w:t>
      </w:r>
      <w:r w:rsidR="00A97029" w:rsidRPr="00667967">
        <w:rPr>
          <w:rFonts w:ascii="Times New Roman" w:hAnsi="Times New Roman" w:cs="Times New Roman"/>
        </w:rPr>
        <w:t xml:space="preserve">dla poszczególnych powiatów </w:t>
      </w:r>
      <w:r w:rsidR="00811934" w:rsidRPr="00667967">
        <w:rPr>
          <w:rFonts w:ascii="Times New Roman" w:hAnsi="Times New Roman" w:cs="Times New Roman"/>
        </w:rPr>
        <w:t xml:space="preserve">scenariusze klimatyczne </w:t>
      </w:r>
      <w:r w:rsidR="00A97029" w:rsidRPr="00667967">
        <w:rPr>
          <w:rFonts w:ascii="Times New Roman" w:hAnsi="Times New Roman" w:cs="Times New Roman"/>
        </w:rPr>
        <w:t xml:space="preserve">dla </w:t>
      </w:r>
      <w:r w:rsidR="00F01842" w:rsidRPr="00667967">
        <w:rPr>
          <w:rFonts w:ascii="Times New Roman" w:hAnsi="Times New Roman" w:cs="Times New Roman"/>
        </w:rPr>
        <w:t>każdej</w:t>
      </w:r>
      <w:r w:rsidR="00A97029" w:rsidRPr="00667967">
        <w:rPr>
          <w:rFonts w:ascii="Times New Roman" w:hAnsi="Times New Roman" w:cs="Times New Roman"/>
        </w:rPr>
        <w:t xml:space="preserve"> dekad</w:t>
      </w:r>
      <w:r w:rsidR="00F01842" w:rsidRPr="00667967">
        <w:rPr>
          <w:rFonts w:ascii="Times New Roman" w:hAnsi="Times New Roman" w:cs="Times New Roman"/>
        </w:rPr>
        <w:t>y</w:t>
      </w:r>
      <w:r w:rsidR="00A97029" w:rsidRPr="00667967">
        <w:rPr>
          <w:rFonts w:ascii="Times New Roman" w:hAnsi="Times New Roman" w:cs="Times New Roman"/>
        </w:rPr>
        <w:t xml:space="preserve"> do roku 2100 </w:t>
      </w:r>
      <w:r w:rsidR="00811934" w:rsidRPr="00667967">
        <w:rPr>
          <w:rFonts w:ascii="Times New Roman" w:hAnsi="Times New Roman" w:cs="Times New Roman"/>
        </w:rPr>
        <w:t>oraz analiz</w:t>
      </w:r>
      <w:r w:rsidR="007C74F0" w:rsidRPr="00667967">
        <w:rPr>
          <w:rFonts w:ascii="Times New Roman" w:hAnsi="Times New Roman" w:cs="Times New Roman"/>
        </w:rPr>
        <w:t>ę</w:t>
      </w:r>
      <w:r w:rsidR="00811934" w:rsidRPr="00667967">
        <w:rPr>
          <w:rFonts w:ascii="Times New Roman" w:hAnsi="Times New Roman" w:cs="Times New Roman"/>
        </w:rPr>
        <w:t xml:space="preserve"> ryzyka, które mogą być wykorzystane przez samorządy w opracowaniu miejskich planów adaptacji</w:t>
      </w:r>
      <w:r w:rsidR="00F01842" w:rsidRPr="00667967">
        <w:rPr>
          <w:rFonts w:ascii="Times New Roman" w:hAnsi="Times New Roman" w:cs="Times New Roman"/>
        </w:rPr>
        <w:t xml:space="preserve">. </w:t>
      </w:r>
      <w:r w:rsidR="00405A9C" w:rsidRPr="00667967">
        <w:rPr>
          <w:rFonts w:ascii="Times New Roman" w:hAnsi="Times New Roman" w:cs="Times New Roman"/>
        </w:rPr>
        <w:t>Dodatkowo</w:t>
      </w:r>
      <w:r w:rsidR="003039D0" w:rsidRPr="00667967">
        <w:rPr>
          <w:rFonts w:ascii="Times New Roman" w:hAnsi="Times New Roman" w:cs="Times New Roman"/>
        </w:rPr>
        <w:t xml:space="preserve"> </w:t>
      </w:r>
      <w:r w:rsidR="00BC3046" w:rsidRPr="00667967">
        <w:rPr>
          <w:rFonts w:ascii="Times New Roman" w:hAnsi="Times New Roman" w:cs="Times New Roman"/>
        </w:rPr>
        <w:t>IOŚ</w:t>
      </w:r>
      <w:r w:rsidR="006132D2" w:rsidRPr="00667967">
        <w:rPr>
          <w:rFonts w:ascii="Times New Roman" w:hAnsi="Times New Roman" w:cs="Times New Roman"/>
        </w:rPr>
        <w:t>-PIB</w:t>
      </w:r>
      <w:r w:rsidR="00F01842" w:rsidRPr="00667967">
        <w:rPr>
          <w:rFonts w:ascii="Times New Roman" w:hAnsi="Times New Roman" w:cs="Times New Roman"/>
        </w:rPr>
        <w:t xml:space="preserve"> udostępnia inne informacje i dane pomocne w opracowaniu </w:t>
      </w:r>
      <w:r w:rsidR="00D47B7F" w:rsidRPr="00667967">
        <w:rPr>
          <w:rFonts w:ascii="Times New Roman" w:hAnsi="Times New Roman" w:cs="Times New Roman"/>
        </w:rPr>
        <w:t>MPA</w:t>
      </w:r>
      <w:r w:rsidR="00F01842" w:rsidRPr="00667967">
        <w:rPr>
          <w:rFonts w:ascii="Times New Roman" w:hAnsi="Times New Roman" w:cs="Times New Roman"/>
        </w:rPr>
        <w:t xml:space="preserve">. </w:t>
      </w:r>
    </w:p>
    <w:p w14:paraId="296B7AF2" w14:textId="37B249D7" w:rsidR="00A954C3" w:rsidRPr="00667967" w:rsidRDefault="00A954C3" w:rsidP="00595221">
      <w:pPr>
        <w:widowControl/>
        <w:spacing w:after="120" w:line="360" w:lineRule="auto"/>
        <w:jc w:val="both"/>
        <w:rPr>
          <w:rFonts w:ascii="Times New Roman" w:hAnsi="Times New Roman" w:cs="Times New Roman"/>
        </w:rPr>
      </w:pPr>
      <w:r w:rsidRPr="00667967">
        <w:rPr>
          <w:rFonts w:ascii="Times New Roman" w:hAnsi="Times New Roman" w:cs="Times New Roman"/>
        </w:rPr>
        <w:t>Ponadto częścią składową MPA będzie koncepcja zaziele</w:t>
      </w:r>
      <w:r w:rsidR="00075DFD" w:rsidRPr="00667967">
        <w:rPr>
          <w:rFonts w:ascii="Times New Roman" w:hAnsi="Times New Roman" w:cs="Times New Roman"/>
        </w:rPr>
        <w:t>nia</w:t>
      </w:r>
      <w:r w:rsidRPr="00667967">
        <w:rPr>
          <w:rFonts w:ascii="Times New Roman" w:hAnsi="Times New Roman" w:cs="Times New Roman"/>
        </w:rPr>
        <w:t>nia miasta</w:t>
      </w:r>
      <w:r w:rsidR="00CF727C" w:rsidRPr="00667967">
        <w:rPr>
          <w:rFonts w:ascii="Times New Roman" w:hAnsi="Times New Roman" w:cs="Times New Roman"/>
        </w:rPr>
        <w:t>,</w:t>
      </w:r>
      <w:r w:rsidR="00CF727C" w:rsidRPr="00595221">
        <w:rPr>
          <w:rFonts w:ascii="Times New Roman" w:hAnsi="Times New Roman" w:cs="Times New Roman"/>
        </w:rPr>
        <w:t xml:space="preserve"> </w:t>
      </w:r>
      <w:r w:rsidR="00CF727C" w:rsidRPr="00667967">
        <w:rPr>
          <w:rFonts w:ascii="Times New Roman" w:hAnsi="Times New Roman" w:cs="Times New Roman"/>
        </w:rPr>
        <w:t>w tym zwiększania powierzchni terenów zieleni i zadrzewień,</w:t>
      </w:r>
      <w:r w:rsidRPr="00667967">
        <w:rPr>
          <w:rFonts w:ascii="Times New Roman" w:hAnsi="Times New Roman" w:cs="Times New Roman"/>
        </w:rPr>
        <w:t xml:space="preserve"> ora</w:t>
      </w:r>
      <w:r w:rsidR="00DA55B0" w:rsidRPr="00667967">
        <w:rPr>
          <w:rFonts w:ascii="Times New Roman" w:hAnsi="Times New Roman" w:cs="Times New Roman"/>
        </w:rPr>
        <w:t>z</w:t>
      </w:r>
      <w:r w:rsidRPr="00667967">
        <w:rPr>
          <w:rFonts w:ascii="Times New Roman" w:hAnsi="Times New Roman" w:cs="Times New Roman"/>
        </w:rPr>
        <w:t xml:space="preserve"> koncepcja zagospodarowania </w:t>
      </w:r>
      <w:r w:rsidR="00F33243" w:rsidRPr="00667967">
        <w:rPr>
          <w:rFonts w:ascii="Times New Roman" w:hAnsi="Times New Roman" w:cs="Times New Roman"/>
        </w:rPr>
        <w:t xml:space="preserve">na terenie miasta </w:t>
      </w:r>
      <w:r w:rsidRPr="00667967">
        <w:rPr>
          <w:rFonts w:ascii="Times New Roman" w:hAnsi="Times New Roman" w:cs="Times New Roman"/>
        </w:rPr>
        <w:t>wód opadowych i</w:t>
      </w:r>
      <w:r w:rsidR="000C62D3" w:rsidRPr="00667967">
        <w:rPr>
          <w:rFonts w:ascii="Times New Roman" w:hAnsi="Times New Roman" w:cs="Times New Roman"/>
        </w:rPr>
        <w:t> </w:t>
      </w:r>
      <w:r w:rsidRPr="00667967">
        <w:rPr>
          <w:rFonts w:ascii="Times New Roman" w:hAnsi="Times New Roman" w:cs="Times New Roman"/>
        </w:rPr>
        <w:t>roztopowych</w:t>
      </w:r>
      <w:r w:rsidR="00F33243" w:rsidRPr="00667967">
        <w:rPr>
          <w:rFonts w:ascii="Times New Roman" w:hAnsi="Times New Roman" w:cs="Times New Roman"/>
        </w:rPr>
        <w:t xml:space="preserve"> będących skutkiem opadów atmosferycznych</w:t>
      </w:r>
      <w:r w:rsidRPr="00667967">
        <w:rPr>
          <w:rFonts w:ascii="Times New Roman" w:hAnsi="Times New Roman" w:cs="Times New Roman"/>
        </w:rPr>
        <w:t>. Wskazówki do opracowania wspomnianych koncepcji zostały przedstawione w Podręczniku adaptacji do zmian klimatu dla miast, opracowanym przez IOŚ-PIB.</w:t>
      </w:r>
    </w:p>
    <w:p w14:paraId="5C166AC9" w14:textId="530589A6" w:rsidR="002C54A8" w:rsidRPr="00667967" w:rsidRDefault="002C54A8" w:rsidP="00595221">
      <w:pPr>
        <w:widowControl/>
        <w:spacing w:after="120" w:line="360" w:lineRule="auto"/>
        <w:jc w:val="both"/>
        <w:rPr>
          <w:rFonts w:ascii="Times New Roman" w:hAnsi="Times New Roman" w:cs="Times New Roman"/>
        </w:rPr>
      </w:pPr>
      <w:r w:rsidRPr="00667967">
        <w:rPr>
          <w:rFonts w:ascii="Times New Roman" w:hAnsi="Times New Roman" w:cs="Times New Roman"/>
        </w:rPr>
        <w:t>Kolejną wymagan</w:t>
      </w:r>
      <w:r w:rsidR="00CA3DE3" w:rsidRPr="00667967">
        <w:rPr>
          <w:rFonts w:ascii="Times New Roman" w:hAnsi="Times New Roman" w:cs="Times New Roman"/>
        </w:rPr>
        <w:t>ą</w:t>
      </w:r>
      <w:r w:rsidRPr="00667967">
        <w:rPr>
          <w:rFonts w:ascii="Times New Roman" w:hAnsi="Times New Roman" w:cs="Times New Roman"/>
        </w:rPr>
        <w:t xml:space="preserve"> częścią </w:t>
      </w:r>
      <w:r w:rsidR="00D47B7F" w:rsidRPr="00667967">
        <w:rPr>
          <w:rFonts w:ascii="Times New Roman" w:hAnsi="Times New Roman" w:cs="Times New Roman"/>
        </w:rPr>
        <w:t xml:space="preserve">MPA </w:t>
      </w:r>
      <w:r w:rsidRPr="00667967">
        <w:rPr>
          <w:rFonts w:ascii="Times New Roman" w:hAnsi="Times New Roman" w:cs="Times New Roman"/>
        </w:rPr>
        <w:t xml:space="preserve">jest </w:t>
      </w:r>
      <w:r w:rsidR="00982AE8" w:rsidRPr="00667967">
        <w:rPr>
          <w:rFonts w:ascii="Times New Roman" w:hAnsi="Times New Roman" w:cs="Times New Roman"/>
        </w:rPr>
        <w:t>zbiór danych przestrzennych, w tym część graficzn</w:t>
      </w:r>
      <w:r w:rsidR="00CA3DE3" w:rsidRPr="00667967">
        <w:rPr>
          <w:rFonts w:ascii="Times New Roman" w:hAnsi="Times New Roman" w:cs="Times New Roman"/>
        </w:rPr>
        <w:t>a</w:t>
      </w:r>
      <w:r w:rsidR="00982AE8" w:rsidRPr="00667967">
        <w:rPr>
          <w:rFonts w:ascii="Times New Roman" w:hAnsi="Times New Roman" w:cs="Times New Roman"/>
        </w:rPr>
        <w:t xml:space="preserve"> zawierając</w:t>
      </w:r>
      <w:r w:rsidR="00CA3DE3" w:rsidRPr="00667967">
        <w:rPr>
          <w:rFonts w:ascii="Times New Roman" w:hAnsi="Times New Roman" w:cs="Times New Roman"/>
        </w:rPr>
        <w:t>a</w:t>
      </w:r>
      <w:r w:rsidR="00982AE8" w:rsidRPr="00667967">
        <w:rPr>
          <w:rFonts w:ascii="Times New Roman" w:hAnsi="Times New Roman" w:cs="Times New Roman"/>
        </w:rPr>
        <w:t xml:space="preserve"> przedstawienie wyników analiz z części analitycznej</w:t>
      </w:r>
      <w:r w:rsidRPr="00667967">
        <w:rPr>
          <w:rFonts w:ascii="Times New Roman" w:hAnsi="Times New Roman" w:cs="Times New Roman"/>
        </w:rPr>
        <w:t xml:space="preserve">, co jest istotne z punktu widzenia przestrzennego zobrazowania szans i zagrożeń </w:t>
      </w:r>
      <w:r w:rsidR="00B25FFE" w:rsidRPr="00667967">
        <w:rPr>
          <w:rFonts w:ascii="Times New Roman" w:hAnsi="Times New Roman" w:cs="Times New Roman"/>
        </w:rPr>
        <w:t xml:space="preserve">dla </w:t>
      </w:r>
      <w:r w:rsidRPr="00667967">
        <w:rPr>
          <w:rFonts w:ascii="Times New Roman" w:hAnsi="Times New Roman" w:cs="Times New Roman"/>
        </w:rPr>
        <w:t xml:space="preserve">miasta. Same wartości </w:t>
      </w:r>
      <w:r w:rsidR="00982AE8" w:rsidRPr="00667967">
        <w:rPr>
          <w:rFonts w:ascii="Times New Roman" w:hAnsi="Times New Roman" w:cs="Times New Roman"/>
        </w:rPr>
        <w:t>mierników</w:t>
      </w:r>
      <w:r w:rsidRPr="00667967">
        <w:rPr>
          <w:rFonts w:ascii="Times New Roman" w:hAnsi="Times New Roman" w:cs="Times New Roman"/>
        </w:rPr>
        <w:t xml:space="preserve"> tradycyjnych nie zawsze pozwalają na wyodrębnienie części przestrzeni miasta, które są szans</w:t>
      </w:r>
      <w:r w:rsidR="00CA3DE3" w:rsidRPr="00667967">
        <w:rPr>
          <w:rFonts w:ascii="Times New Roman" w:hAnsi="Times New Roman" w:cs="Times New Roman"/>
        </w:rPr>
        <w:t>ą</w:t>
      </w:r>
      <w:r w:rsidRPr="00667967">
        <w:rPr>
          <w:rFonts w:ascii="Times New Roman" w:hAnsi="Times New Roman" w:cs="Times New Roman"/>
        </w:rPr>
        <w:t xml:space="preserve"> albo zagrożeniem w</w:t>
      </w:r>
      <w:r w:rsidR="006132D2" w:rsidRPr="00667967">
        <w:rPr>
          <w:rFonts w:ascii="Times New Roman" w:hAnsi="Times New Roman" w:cs="Times New Roman"/>
        </w:rPr>
        <w:t> </w:t>
      </w:r>
      <w:r w:rsidRPr="00667967">
        <w:rPr>
          <w:rFonts w:ascii="Times New Roman" w:hAnsi="Times New Roman" w:cs="Times New Roman"/>
        </w:rPr>
        <w:t>kontekście działań adaptac</w:t>
      </w:r>
      <w:r w:rsidR="00CA3DE3" w:rsidRPr="00667967">
        <w:rPr>
          <w:rFonts w:ascii="Times New Roman" w:hAnsi="Times New Roman" w:cs="Times New Roman"/>
        </w:rPr>
        <w:t>yjnych</w:t>
      </w:r>
      <w:r w:rsidRPr="00667967">
        <w:rPr>
          <w:rFonts w:ascii="Times New Roman" w:hAnsi="Times New Roman" w:cs="Times New Roman"/>
        </w:rPr>
        <w:t xml:space="preserve"> do zmian klimatu. Obrazowanie kartograficzne jest aktualnie nowoczesnym, dostępnym i pożądanym sposobem obrazowania danych.</w:t>
      </w:r>
    </w:p>
    <w:p w14:paraId="529204A4" w14:textId="2B9B608D" w:rsidR="002C54A8" w:rsidRPr="00667967" w:rsidRDefault="002C54A8" w:rsidP="00595221">
      <w:pPr>
        <w:widowControl/>
        <w:spacing w:after="120" w:line="360" w:lineRule="auto"/>
        <w:jc w:val="both"/>
        <w:rPr>
          <w:rFonts w:ascii="Times New Roman" w:hAnsi="Times New Roman" w:cs="Times New Roman"/>
        </w:rPr>
      </w:pPr>
      <w:r w:rsidRPr="00667967">
        <w:rPr>
          <w:rFonts w:ascii="Times New Roman" w:hAnsi="Times New Roman" w:cs="Times New Roman"/>
        </w:rPr>
        <w:t xml:space="preserve">W </w:t>
      </w:r>
      <w:r w:rsidR="00982AE8" w:rsidRPr="00667967">
        <w:rPr>
          <w:rFonts w:ascii="Times New Roman" w:hAnsi="Times New Roman" w:cs="Times New Roman"/>
        </w:rPr>
        <w:t>części programowej</w:t>
      </w:r>
      <w:r w:rsidRPr="00667967">
        <w:rPr>
          <w:rFonts w:ascii="Times New Roman" w:hAnsi="Times New Roman" w:cs="Times New Roman"/>
        </w:rPr>
        <w:t xml:space="preserve"> zobowiązano miasta do określenia </w:t>
      </w:r>
      <w:r w:rsidR="00982AE8" w:rsidRPr="00667967">
        <w:rPr>
          <w:rFonts w:ascii="Times New Roman" w:hAnsi="Times New Roman" w:cs="Times New Roman"/>
        </w:rPr>
        <w:t xml:space="preserve">szczegółowych </w:t>
      </w:r>
      <w:r w:rsidRPr="00667967">
        <w:rPr>
          <w:rFonts w:ascii="Times New Roman" w:hAnsi="Times New Roman" w:cs="Times New Roman"/>
        </w:rPr>
        <w:t>celów planu</w:t>
      </w:r>
      <w:r w:rsidR="00982AE8" w:rsidRPr="00667967">
        <w:rPr>
          <w:rFonts w:ascii="Times New Roman" w:hAnsi="Times New Roman" w:cs="Times New Roman"/>
        </w:rPr>
        <w:t xml:space="preserve"> wraz z</w:t>
      </w:r>
      <w:r w:rsidR="006132D2" w:rsidRPr="00667967">
        <w:rPr>
          <w:rFonts w:ascii="Times New Roman" w:hAnsi="Times New Roman" w:cs="Times New Roman"/>
        </w:rPr>
        <w:t> </w:t>
      </w:r>
      <w:r w:rsidR="00982AE8" w:rsidRPr="00667967">
        <w:rPr>
          <w:rFonts w:ascii="Times New Roman" w:hAnsi="Times New Roman" w:cs="Times New Roman"/>
        </w:rPr>
        <w:t>miernikami</w:t>
      </w:r>
      <w:r w:rsidRPr="00667967">
        <w:rPr>
          <w:rFonts w:ascii="Times New Roman" w:hAnsi="Times New Roman" w:cs="Times New Roman"/>
        </w:rPr>
        <w:t xml:space="preserve">, ale co ważne na podstawie </w:t>
      </w:r>
      <w:r w:rsidR="00982AE8" w:rsidRPr="00667967">
        <w:rPr>
          <w:rFonts w:ascii="Times New Roman" w:hAnsi="Times New Roman" w:cs="Times New Roman"/>
        </w:rPr>
        <w:t>części analitycznej</w:t>
      </w:r>
      <w:r w:rsidR="00EA5DDC" w:rsidRPr="00667967">
        <w:rPr>
          <w:rFonts w:ascii="Times New Roman" w:hAnsi="Times New Roman" w:cs="Times New Roman"/>
        </w:rPr>
        <w:t xml:space="preserve">, </w:t>
      </w:r>
      <w:r w:rsidR="00982AE8" w:rsidRPr="00667967">
        <w:rPr>
          <w:rFonts w:ascii="Times New Roman" w:hAnsi="Times New Roman" w:cs="Times New Roman"/>
        </w:rPr>
        <w:t>graficznej</w:t>
      </w:r>
      <w:r w:rsidR="00EA5DDC" w:rsidRPr="00667967">
        <w:rPr>
          <w:rFonts w:ascii="Times New Roman" w:hAnsi="Times New Roman" w:cs="Times New Roman"/>
        </w:rPr>
        <w:t xml:space="preserve"> oraz koncepcji zazieleniania miasta</w:t>
      </w:r>
      <w:r w:rsidR="00CF727C" w:rsidRPr="00667967">
        <w:rPr>
          <w:rFonts w:ascii="Times New Roman" w:hAnsi="Times New Roman" w:cs="Times New Roman"/>
        </w:rPr>
        <w:t>,</w:t>
      </w:r>
      <w:r w:rsidR="00CF727C" w:rsidRPr="00595221">
        <w:rPr>
          <w:rFonts w:ascii="Times New Roman" w:hAnsi="Times New Roman" w:cs="Times New Roman"/>
        </w:rPr>
        <w:t xml:space="preserve"> </w:t>
      </w:r>
      <w:r w:rsidR="00CF727C" w:rsidRPr="00667967">
        <w:rPr>
          <w:rFonts w:ascii="Times New Roman" w:hAnsi="Times New Roman" w:cs="Times New Roman"/>
        </w:rPr>
        <w:t xml:space="preserve">w tym zwiększania powierzchni terenów zieleni i zadrzewień, </w:t>
      </w:r>
      <w:r w:rsidR="00EA5DDC" w:rsidRPr="00667967">
        <w:rPr>
          <w:rFonts w:ascii="Times New Roman" w:hAnsi="Times New Roman" w:cs="Times New Roman"/>
        </w:rPr>
        <w:t xml:space="preserve">i koncepcji </w:t>
      </w:r>
      <w:r w:rsidR="00EA5DDC" w:rsidRPr="00667967">
        <w:rPr>
          <w:rFonts w:ascii="Times New Roman" w:hAnsi="Times New Roman" w:cs="Times New Roman"/>
        </w:rPr>
        <w:lastRenderedPageBreak/>
        <w:t>zagospodarowania wód opadowych i roztopowych</w:t>
      </w:r>
      <w:r w:rsidRPr="00667967">
        <w:rPr>
          <w:rFonts w:ascii="Times New Roman" w:hAnsi="Times New Roman" w:cs="Times New Roman"/>
        </w:rPr>
        <w:t xml:space="preserve">. </w:t>
      </w:r>
      <w:r w:rsidR="00982AE8" w:rsidRPr="00667967">
        <w:rPr>
          <w:rFonts w:ascii="Times New Roman" w:hAnsi="Times New Roman" w:cs="Times New Roman"/>
        </w:rPr>
        <w:t>Ponadto w tej części zostaną określone</w:t>
      </w:r>
      <w:r w:rsidR="00D029CA">
        <w:rPr>
          <w:rFonts w:ascii="Times New Roman" w:hAnsi="Times New Roman" w:cs="Times New Roman"/>
        </w:rPr>
        <w:t> </w:t>
      </w:r>
      <w:r w:rsidRPr="00667967">
        <w:rPr>
          <w:rFonts w:ascii="Times New Roman" w:hAnsi="Times New Roman" w:cs="Times New Roman"/>
        </w:rPr>
        <w:t>działa</w:t>
      </w:r>
      <w:r w:rsidR="00982AE8" w:rsidRPr="00667967">
        <w:rPr>
          <w:rFonts w:ascii="Times New Roman" w:hAnsi="Times New Roman" w:cs="Times New Roman"/>
        </w:rPr>
        <w:t>nia</w:t>
      </w:r>
      <w:r w:rsidRPr="00667967">
        <w:rPr>
          <w:rFonts w:ascii="Times New Roman" w:hAnsi="Times New Roman" w:cs="Times New Roman"/>
        </w:rPr>
        <w:t xml:space="preserve"> adaptacyjn</w:t>
      </w:r>
      <w:r w:rsidR="00982AE8" w:rsidRPr="00667967">
        <w:rPr>
          <w:rFonts w:ascii="Times New Roman" w:hAnsi="Times New Roman" w:cs="Times New Roman"/>
        </w:rPr>
        <w:t>e</w:t>
      </w:r>
      <w:r w:rsidR="00D47B7F" w:rsidRPr="00667967">
        <w:rPr>
          <w:rFonts w:ascii="Times New Roman" w:hAnsi="Times New Roman" w:cs="Times New Roman"/>
        </w:rPr>
        <w:t xml:space="preserve"> do zmian klimatu</w:t>
      </w:r>
      <w:r w:rsidR="00982AE8" w:rsidRPr="00667967">
        <w:rPr>
          <w:rFonts w:ascii="Times New Roman" w:hAnsi="Times New Roman" w:cs="Times New Roman"/>
        </w:rPr>
        <w:t>, w tym opis</w:t>
      </w:r>
      <w:r w:rsidR="009B243C" w:rsidRPr="00667967">
        <w:rPr>
          <w:rFonts w:ascii="Times New Roman" w:hAnsi="Times New Roman" w:cs="Times New Roman"/>
        </w:rPr>
        <w:t>, wskaźniki</w:t>
      </w:r>
      <w:r w:rsidR="00982AE8" w:rsidRPr="00667967">
        <w:rPr>
          <w:rFonts w:ascii="Times New Roman" w:hAnsi="Times New Roman" w:cs="Times New Roman"/>
        </w:rPr>
        <w:t xml:space="preserve"> oraz harmonogram rzeczowo-finansowy tych działań, a także wskazane podmioty i</w:t>
      </w:r>
      <w:r w:rsidR="000C62D3" w:rsidRPr="00667967">
        <w:rPr>
          <w:rFonts w:ascii="Times New Roman" w:hAnsi="Times New Roman" w:cs="Times New Roman"/>
        </w:rPr>
        <w:t> </w:t>
      </w:r>
      <w:r w:rsidR="00982AE8" w:rsidRPr="00667967">
        <w:rPr>
          <w:rFonts w:ascii="Times New Roman" w:hAnsi="Times New Roman" w:cs="Times New Roman"/>
        </w:rPr>
        <w:t>organy biorące udział w opracowaniu planu oraz sposob</w:t>
      </w:r>
      <w:r w:rsidR="000544F1" w:rsidRPr="00667967">
        <w:rPr>
          <w:rFonts w:ascii="Times New Roman" w:hAnsi="Times New Roman" w:cs="Times New Roman"/>
        </w:rPr>
        <w:t>y</w:t>
      </w:r>
      <w:r w:rsidR="00982AE8" w:rsidRPr="00667967">
        <w:rPr>
          <w:rFonts w:ascii="Times New Roman" w:hAnsi="Times New Roman" w:cs="Times New Roman"/>
        </w:rPr>
        <w:t xml:space="preserve"> ich włączenia w opracowanie tego planu</w:t>
      </w:r>
      <w:r w:rsidRPr="00667967">
        <w:rPr>
          <w:rFonts w:ascii="Times New Roman" w:hAnsi="Times New Roman" w:cs="Times New Roman"/>
        </w:rPr>
        <w:t xml:space="preserve">. </w:t>
      </w:r>
      <w:r w:rsidR="00EA5DDC" w:rsidRPr="00667967">
        <w:rPr>
          <w:rFonts w:ascii="Times New Roman" w:hAnsi="Times New Roman" w:cs="Times New Roman"/>
        </w:rPr>
        <w:t>Obligatoryjne wskaźniki i mierniki zostaną określone w</w:t>
      </w:r>
      <w:r w:rsidR="003655B0" w:rsidRPr="00667967">
        <w:rPr>
          <w:rFonts w:ascii="Times New Roman" w:hAnsi="Times New Roman" w:cs="Times New Roman"/>
        </w:rPr>
        <w:t> </w:t>
      </w:r>
      <w:r w:rsidR="00EA5DDC" w:rsidRPr="00667967">
        <w:rPr>
          <w:rFonts w:ascii="Times New Roman" w:hAnsi="Times New Roman" w:cs="Times New Roman"/>
        </w:rPr>
        <w:t>rozporządz</w:t>
      </w:r>
      <w:r w:rsidR="00CF727C" w:rsidRPr="00667967">
        <w:rPr>
          <w:rFonts w:ascii="Times New Roman" w:hAnsi="Times New Roman" w:cs="Times New Roman"/>
        </w:rPr>
        <w:t>e</w:t>
      </w:r>
      <w:r w:rsidR="00EA5DDC" w:rsidRPr="00667967">
        <w:rPr>
          <w:rFonts w:ascii="Times New Roman" w:hAnsi="Times New Roman" w:cs="Times New Roman"/>
        </w:rPr>
        <w:t xml:space="preserve">niu, natomiast miasta mogą uwzględnić w MPA dodatkowe wskaźniki i mierniki. </w:t>
      </w:r>
      <w:r w:rsidR="00ED7679" w:rsidRPr="00667967">
        <w:rPr>
          <w:rFonts w:ascii="Times New Roman" w:hAnsi="Times New Roman" w:cs="Times New Roman"/>
        </w:rPr>
        <w:t>W</w:t>
      </w:r>
      <w:r w:rsidR="00EA5DDC" w:rsidRPr="00667967">
        <w:rPr>
          <w:rFonts w:ascii="Times New Roman" w:hAnsi="Times New Roman" w:cs="Times New Roman"/>
        </w:rPr>
        <w:t>szystkie w</w:t>
      </w:r>
      <w:r w:rsidR="00ED7679" w:rsidRPr="00667967">
        <w:rPr>
          <w:rFonts w:ascii="Times New Roman" w:hAnsi="Times New Roman" w:cs="Times New Roman"/>
        </w:rPr>
        <w:t>skaźniki i mierniki muszą spełniać następujące kryteria:</w:t>
      </w:r>
      <w:r w:rsidR="003655B0" w:rsidRPr="00667967">
        <w:rPr>
          <w:rFonts w:ascii="Times New Roman" w:hAnsi="Times New Roman" w:cs="Times New Roman"/>
        </w:rPr>
        <w:t xml:space="preserve"> </w:t>
      </w:r>
      <w:r w:rsidR="00ED7679" w:rsidRPr="00667967">
        <w:rPr>
          <w:rFonts w:ascii="Times New Roman" w:hAnsi="Times New Roman" w:cs="Times New Roman"/>
        </w:rPr>
        <w:t>liczbowo określona wartość początkowa; liczbowo określona wartość docelowa; rok osiągnięcia wartości</w:t>
      </w:r>
      <w:r w:rsidR="00F33243" w:rsidRPr="00667967">
        <w:rPr>
          <w:rFonts w:ascii="Times New Roman" w:hAnsi="Times New Roman" w:cs="Times New Roman"/>
        </w:rPr>
        <w:t xml:space="preserve"> docelowej</w:t>
      </w:r>
      <w:r w:rsidR="00ED7679" w:rsidRPr="00667967">
        <w:rPr>
          <w:rFonts w:ascii="Times New Roman" w:hAnsi="Times New Roman" w:cs="Times New Roman"/>
        </w:rPr>
        <w:t xml:space="preserve">. </w:t>
      </w:r>
      <w:r w:rsidRPr="00667967">
        <w:rPr>
          <w:rFonts w:ascii="Times New Roman" w:hAnsi="Times New Roman" w:cs="Times New Roman"/>
        </w:rPr>
        <w:t>Część programowa, łącznie z</w:t>
      </w:r>
      <w:r w:rsidR="0002469B" w:rsidRPr="00667967">
        <w:rPr>
          <w:rFonts w:ascii="Times New Roman" w:hAnsi="Times New Roman" w:cs="Times New Roman"/>
        </w:rPr>
        <w:t> </w:t>
      </w:r>
      <w:r w:rsidRPr="00667967">
        <w:rPr>
          <w:rFonts w:ascii="Times New Roman" w:hAnsi="Times New Roman" w:cs="Times New Roman"/>
        </w:rPr>
        <w:t xml:space="preserve">określonym w kolejnym </w:t>
      </w:r>
      <w:r w:rsidR="00982AE8" w:rsidRPr="00667967">
        <w:rPr>
          <w:rFonts w:ascii="Times New Roman" w:hAnsi="Times New Roman" w:cs="Times New Roman"/>
        </w:rPr>
        <w:t>punkcie</w:t>
      </w:r>
      <w:r w:rsidRPr="00667967">
        <w:rPr>
          <w:rFonts w:ascii="Times New Roman" w:hAnsi="Times New Roman" w:cs="Times New Roman"/>
        </w:rPr>
        <w:t xml:space="preserve"> </w:t>
      </w:r>
      <w:r w:rsidR="00982AE8" w:rsidRPr="00667967">
        <w:rPr>
          <w:rFonts w:ascii="Times New Roman" w:hAnsi="Times New Roman" w:cs="Times New Roman"/>
        </w:rPr>
        <w:t>sposobem</w:t>
      </w:r>
      <w:r w:rsidRPr="00667967">
        <w:rPr>
          <w:rFonts w:ascii="Times New Roman" w:hAnsi="Times New Roman" w:cs="Times New Roman"/>
        </w:rPr>
        <w:t xml:space="preserve"> wdrażania </w:t>
      </w:r>
      <w:r w:rsidR="00D47B7F" w:rsidRPr="00667967">
        <w:rPr>
          <w:rFonts w:ascii="Times New Roman" w:hAnsi="Times New Roman" w:cs="Times New Roman"/>
        </w:rPr>
        <w:t>MPA</w:t>
      </w:r>
      <w:r w:rsidR="000544F1" w:rsidRPr="00667967">
        <w:rPr>
          <w:rFonts w:ascii="Times New Roman" w:hAnsi="Times New Roman" w:cs="Times New Roman"/>
        </w:rPr>
        <w:t>,</w:t>
      </w:r>
      <w:r w:rsidRPr="00667967">
        <w:rPr>
          <w:rFonts w:ascii="Times New Roman" w:hAnsi="Times New Roman" w:cs="Times New Roman"/>
        </w:rPr>
        <w:t xml:space="preserve"> </w:t>
      </w:r>
      <w:r w:rsidR="008246B2">
        <w:rPr>
          <w:rFonts w:ascii="Times New Roman" w:hAnsi="Times New Roman" w:cs="Times New Roman"/>
        </w:rPr>
        <w:t>jest</w:t>
      </w:r>
      <w:r w:rsidRPr="00667967">
        <w:rPr>
          <w:rFonts w:ascii="Times New Roman" w:hAnsi="Times New Roman" w:cs="Times New Roman"/>
        </w:rPr>
        <w:t xml:space="preserve"> kluczow</w:t>
      </w:r>
      <w:r w:rsidR="008246B2">
        <w:rPr>
          <w:rFonts w:ascii="Times New Roman" w:hAnsi="Times New Roman" w:cs="Times New Roman"/>
        </w:rPr>
        <w:t>a</w:t>
      </w:r>
      <w:r w:rsidRPr="00667967">
        <w:rPr>
          <w:rFonts w:ascii="Times New Roman" w:hAnsi="Times New Roman" w:cs="Times New Roman"/>
        </w:rPr>
        <w:t xml:space="preserve"> dla systemu monitorowania i sprawozdawczości</w:t>
      </w:r>
      <w:r w:rsidR="000544F1" w:rsidRPr="00667967">
        <w:rPr>
          <w:rFonts w:ascii="Times New Roman" w:hAnsi="Times New Roman" w:cs="Times New Roman"/>
        </w:rPr>
        <w:t xml:space="preserve"> tego</w:t>
      </w:r>
      <w:r w:rsidRPr="00667967">
        <w:rPr>
          <w:rFonts w:ascii="Times New Roman" w:hAnsi="Times New Roman" w:cs="Times New Roman"/>
        </w:rPr>
        <w:t xml:space="preserve"> planu.</w:t>
      </w:r>
      <w:r w:rsidR="00982AE8" w:rsidRPr="00667967">
        <w:rPr>
          <w:rFonts w:ascii="Times New Roman" w:hAnsi="Times New Roman" w:cs="Times New Roman"/>
        </w:rPr>
        <w:t xml:space="preserve"> Na podstawie informacji zawartych w części programowej sporządzane są wnioski i rekomendacje.</w:t>
      </w:r>
    </w:p>
    <w:p w14:paraId="14F8820E" w14:textId="142BCAA0" w:rsidR="001114F4" w:rsidRPr="00667967" w:rsidRDefault="001114F4" w:rsidP="00595221">
      <w:pPr>
        <w:widowControl/>
        <w:spacing w:after="120" w:line="360" w:lineRule="auto"/>
        <w:jc w:val="both"/>
        <w:rPr>
          <w:rFonts w:ascii="Times New Roman" w:hAnsi="Times New Roman" w:cs="Times New Roman"/>
        </w:rPr>
      </w:pPr>
      <w:r w:rsidRPr="00667967">
        <w:rPr>
          <w:rFonts w:ascii="Times New Roman" w:hAnsi="Times New Roman" w:cs="Times New Roman"/>
        </w:rPr>
        <w:t>Katalog tych części pozostaje katalogiem otwartym, wymieniając jedynie najważniejsze</w:t>
      </w:r>
      <w:r w:rsidR="000544F1" w:rsidRPr="00667967">
        <w:rPr>
          <w:rFonts w:ascii="Times New Roman" w:hAnsi="Times New Roman" w:cs="Times New Roman"/>
        </w:rPr>
        <w:t xml:space="preserve"> i</w:t>
      </w:r>
      <w:r w:rsidR="006132D2" w:rsidRPr="00667967">
        <w:rPr>
          <w:rFonts w:ascii="Times New Roman" w:hAnsi="Times New Roman" w:cs="Times New Roman"/>
        </w:rPr>
        <w:t> </w:t>
      </w:r>
      <w:r w:rsidR="000544F1" w:rsidRPr="00667967">
        <w:rPr>
          <w:rFonts w:ascii="Times New Roman" w:hAnsi="Times New Roman" w:cs="Times New Roman"/>
        </w:rPr>
        <w:t>obowiązkowe</w:t>
      </w:r>
      <w:r w:rsidRPr="00667967">
        <w:rPr>
          <w:rFonts w:ascii="Times New Roman" w:hAnsi="Times New Roman" w:cs="Times New Roman"/>
        </w:rPr>
        <w:t xml:space="preserve"> elementy, które decydują o jakości opracowywanego </w:t>
      </w:r>
      <w:r w:rsidR="00A35E83">
        <w:rPr>
          <w:rFonts w:ascii="Times New Roman" w:hAnsi="Times New Roman" w:cs="Times New Roman"/>
        </w:rPr>
        <w:t>MPA</w:t>
      </w:r>
      <w:r w:rsidRPr="00667967">
        <w:rPr>
          <w:rFonts w:ascii="Times New Roman" w:hAnsi="Times New Roman" w:cs="Times New Roman"/>
        </w:rPr>
        <w:t>. Analizując indywidualne działania miast na rzecz adaptacji do zmian klimatu</w:t>
      </w:r>
      <w:r w:rsidR="008246B2">
        <w:rPr>
          <w:rFonts w:ascii="Times New Roman" w:hAnsi="Times New Roman" w:cs="Times New Roman"/>
        </w:rPr>
        <w:t>,</w:t>
      </w:r>
      <w:r w:rsidRPr="00667967">
        <w:rPr>
          <w:rFonts w:ascii="Times New Roman" w:hAnsi="Times New Roman" w:cs="Times New Roman"/>
        </w:rPr>
        <w:t xml:space="preserve"> można zaobserwować, że niektóre z nich podejmują dodatkowe, niestandardowe działania – tym samym nie jest możliwe enumeratywne wymienienie wszystkich elementów</w:t>
      </w:r>
      <w:r w:rsidR="001F0893" w:rsidRPr="00667967">
        <w:rPr>
          <w:rFonts w:ascii="Times New Roman" w:hAnsi="Times New Roman" w:cs="Times New Roman"/>
        </w:rPr>
        <w:t>,</w:t>
      </w:r>
      <w:r w:rsidRPr="00667967">
        <w:rPr>
          <w:rFonts w:ascii="Times New Roman" w:hAnsi="Times New Roman" w:cs="Times New Roman"/>
        </w:rPr>
        <w:t xml:space="preserve"> które potencjalnie mogłyby stać się częścią </w:t>
      </w:r>
      <w:r w:rsidR="00521CFE" w:rsidRPr="00667967">
        <w:rPr>
          <w:rFonts w:ascii="Times New Roman" w:hAnsi="Times New Roman" w:cs="Times New Roman"/>
        </w:rPr>
        <w:t>MPA</w:t>
      </w:r>
      <w:r w:rsidRPr="00667967">
        <w:rPr>
          <w:rFonts w:ascii="Times New Roman" w:hAnsi="Times New Roman" w:cs="Times New Roman"/>
        </w:rPr>
        <w:t xml:space="preserve">. </w:t>
      </w:r>
      <w:r w:rsidR="00811934" w:rsidRPr="00667967">
        <w:rPr>
          <w:rFonts w:ascii="Times New Roman" w:hAnsi="Times New Roman" w:cs="Times New Roman"/>
        </w:rPr>
        <w:t xml:space="preserve">Przy opracowaniu MPA miasta mogą korzystać z „Podręcznika adaptacji dla miast </w:t>
      </w:r>
      <w:r w:rsidR="00B25FFE" w:rsidRPr="00667967">
        <w:rPr>
          <w:rFonts w:ascii="Times New Roman" w:hAnsi="Times New Roman" w:cs="Times New Roman"/>
        </w:rPr>
        <w:t>–</w:t>
      </w:r>
      <w:r w:rsidR="00811934" w:rsidRPr="00667967">
        <w:rPr>
          <w:rFonts w:ascii="Times New Roman" w:hAnsi="Times New Roman" w:cs="Times New Roman"/>
        </w:rPr>
        <w:t xml:space="preserve"> wytyczne do przygotowania Miejskiego Planu Adaptacji do zmian klimatu”, w</w:t>
      </w:r>
      <w:r w:rsidR="008246B2">
        <w:rPr>
          <w:rFonts w:ascii="Times New Roman" w:hAnsi="Times New Roman" w:cs="Times New Roman"/>
        </w:rPr>
        <w:t xml:space="preserve"> </w:t>
      </w:r>
      <w:r w:rsidR="00811934" w:rsidRPr="00667967">
        <w:rPr>
          <w:rFonts w:ascii="Times New Roman" w:hAnsi="Times New Roman" w:cs="Times New Roman"/>
        </w:rPr>
        <w:t xml:space="preserve">którym określono metodologię sporządzania MPA. Podręcznik </w:t>
      </w:r>
      <w:r w:rsidR="00392799" w:rsidRPr="00667967">
        <w:rPr>
          <w:rFonts w:ascii="Times New Roman" w:hAnsi="Times New Roman" w:cs="Times New Roman"/>
        </w:rPr>
        <w:t xml:space="preserve">został </w:t>
      </w:r>
      <w:r w:rsidR="00811934" w:rsidRPr="00667967">
        <w:rPr>
          <w:rFonts w:ascii="Times New Roman" w:hAnsi="Times New Roman" w:cs="Times New Roman"/>
        </w:rPr>
        <w:t>zaktualizowany</w:t>
      </w:r>
      <w:r w:rsidR="00B25FFE" w:rsidRPr="00667967">
        <w:rPr>
          <w:rFonts w:ascii="Times New Roman" w:hAnsi="Times New Roman" w:cs="Times New Roman"/>
        </w:rPr>
        <w:t xml:space="preserve"> w roku 2023</w:t>
      </w:r>
      <w:r w:rsidR="00BA241C" w:rsidRPr="00667967">
        <w:rPr>
          <w:rFonts w:ascii="Times New Roman" w:hAnsi="Times New Roman" w:cs="Times New Roman"/>
        </w:rPr>
        <w:t>. Ponadto w ramach projektu KLIMADA 2.0 IOŚ</w:t>
      </w:r>
      <w:r w:rsidR="00B25FFE" w:rsidRPr="00667967">
        <w:rPr>
          <w:rFonts w:ascii="Times New Roman" w:hAnsi="Times New Roman" w:cs="Times New Roman"/>
        </w:rPr>
        <w:t>-PIB</w:t>
      </w:r>
      <w:r w:rsidR="00BA241C" w:rsidRPr="00667967">
        <w:rPr>
          <w:rFonts w:ascii="Times New Roman" w:hAnsi="Times New Roman" w:cs="Times New Roman"/>
        </w:rPr>
        <w:t xml:space="preserve"> przeprowadzi dla samorządów cykl nieodpłatnych szkoleń z</w:t>
      </w:r>
      <w:r w:rsidR="0002469B" w:rsidRPr="00667967">
        <w:rPr>
          <w:rFonts w:ascii="Times New Roman" w:hAnsi="Times New Roman" w:cs="Times New Roman"/>
        </w:rPr>
        <w:t> </w:t>
      </w:r>
      <w:r w:rsidR="00BA241C" w:rsidRPr="00667967">
        <w:rPr>
          <w:rFonts w:ascii="Times New Roman" w:hAnsi="Times New Roman" w:cs="Times New Roman"/>
        </w:rPr>
        <w:t>zakresu przygotowywania planów adaptacji.</w:t>
      </w:r>
    </w:p>
    <w:p w14:paraId="269F5678" w14:textId="6F091FEF" w:rsidR="001114F4" w:rsidRPr="00667967" w:rsidRDefault="001114F4" w:rsidP="00595221">
      <w:pPr>
        <w:widowControl/>
        <w:spacing w:after="120" w:line="360" w:lineRule="auto"/>
        <w:jc w:val="both"/>
        <w:rPr>
          <w:rFonts w:ascii="Times New Roman" w:hAnsi="Times New Roman" w:cs="Times New Roman"/>
        </w:rPr>
      </w:pPr>
      <w:r w:rsidRPr="00667967">
        <w:rPr>
          <w:rFonts w:ascii="Times New Roman" w:hAnsi="Times New Roman" w:cs="Times New Roman"/>
        </w:rPr>
        <w:t xml:space="preserve">W </w:t>
      </w:r>
      <w:r w:rsidR="009207BA" w:rsidRPr="00667967">
        <w:rPr>
          <w:rFonts w:ascii="Times New Roman" w:hAnsi="Times New Roman" w:cs="Times New Roman"/>
        </w:rPr>
        <w:t xml:space="preserve">art. </w:t>
      </w:r>
      <w:r w:rsidR="00E06E91" w:rsidRPr="00667967">
        <w:rPr>
          <w:rFonts w:ascii="Times New Roman" w:hAnsi="Times New Roman" w:cs="Times New Roman"/>
        </w:rPr>
        <w:t>18</w:t>
      </w:r>
      <w:r w:rsidR="00F5672B" w:rsidRPr="00667967">
        <w:rPr>
          <w:rFonts w:ascii="Times New Roman" w:hAnsi="Times New Roman" w:cs="Times New Roman"/>
        </w:rPr>
        <w:t>b</w:t>
      </w:r>
      <w:r w:rsidR="00E06E91" w:rsidRPr="00667967">
        <w:rPr>
          <w:rFonts w:ascii="Times New Roman" w:hAnsi="Times New Roman" w:cs="Times New Roman"/>
        </w:rPr>
        <w:t xml:space="preserve"> ust. </w:t>
      </w:r>
      <w:r w:rsidR="00F5672B" w:rsidRPr="00667967">
        <w:rPr>
          <w:rFonts w:ascii="Times New Roman" w:hAnsi="Times New Roman" w:cs="Times New Roman"/>
        </w:rPr>
        <w:t>1</w:t>
      </w:r>
      <w:r w:rsidR="00E06E91" w:rsidRPr="00667967">
        <w:rPr>
          <w:rFonts w:ascii="Times New Roman" w:hAnsi="Times New Roman" w:cs="Times New Roman"/>
        </w:rPr>
        <w:t xml:space="preserve"> i </w:t>
      </w:r>
      <w:r w:rsidR="00F5672B" w:rsidRPr="00667967">
        <w:rPr>
          <w:rFonts w:ascii="Times New Roman" w:hAnsi="Times New Roman" w:cs="Times New Roman"/>
        </w:rPr>
        <w:t>2</w:t>
      </w:r>
      <w:r w:rsidR="00E06E91" w:rsidRPr="00667967">
        <w:rPr>
          <w:rFonts w:ascii="Times New Roman" w:hAnsi="Times New Roman" w:cs="Times New Roman"/>
        </w:rPr>
        <w:t xml:space="preserve"> </w:t>
      </w:r>
      <w:r w:rsidR="009207BA" w:rsidRPr="00667967">
        <w:rPr>
          <w:rFonts w:ascii="Times New Roman" w:hAnsi="Times New Roman" w:cs="Times New Roman"/>
        </w:rPr>
        <w:t xml:space="preserve">projektu </w:t>
      </w:r>
      <w:r w:rsidRPr="00667967">
        <w:rPr>
          <w:rFonts w:ascii="Times New Roman" w:hAnsi="Times New Roman" w:cs="Times New Roman"/>
        </w:rPr>
        <w:t xml:space="preserve">ustawy </w:t>
      </w:r>
      <w:r w:rsidR="003655B0" w:rsidRPr="00667967">
        <w:rPr>
          <w:rFonts w:ascii="Times New Roman" w:hAnsi="Times New Roman" w:cs="Times New Roman"/>
        </w:rPr>
        <w:t>wskazano</w:t>
      </w:r>
      <w:r w:rsidR="00647E4E" w:rsidRPr="00667967">
        <w:rPr>
          <w:rFonts w:ascii="Times New Roman" w:hAnsi="Times New Roman" w:cs="Times New Roman"/>
        </w:rPr>
        <w:t xml:space="preserve">, </w:t>
      </w:r>
      <w:r w:rsidRPr="00667967">
        <w:rPr>
          <w:rFonts w:ascii="Times New Roman" w:hAnsi="Times New Roman" w:cs="Times New Roman"/>
        </w:rPr>
        <w:t xml:space="preserve">że rada miasta uchwali </w:t>
      </w:r>
      <w:r w:rsidR="009115D9">
        <w:rPr>
          <w:rFonts w:ascii="Times New Roman" w:hAnsi="Times New Roman" w:cs="Times New Roman"/>
        </w:rPr>
        <w:t>MPA</w:t>
      </w:r>
      <w:r w:rsidRPr="00667967">
        <w:rPr>
          <w:rFonts w:ascii="Times New Roman" w:hAnsi="Times New Roman" w:cs="Times New Roman"/>
        </w:rPr>
        <w:t xml:space="preserve"> </w:t>
      </w:r>
      <w:r w:rsidR="003655B0" w:rsidRPr="00667967">
        <w:rPr>
          <w:rFonts w:ascii="Times New Roman" w:hAnsi="Times New Roman" w:cs="Times New Roman"/>
        </w:rPr>
        <w:t xml:space="preserve">oraz określono termin na to działanie. Uchwalenie MPA ma nastąpić </w:t>
      </w:r>
      <w:r w:rsidRPr="00667967">
        <w:rPr>
          <w:rFonts w:ascii="Times New Roman" w:hAnsi="Times New Roman" w:cs="Times New Roman"/>
        </w:rPr>
        <w:t>w</w:t>
      </w:r>
      <w:r w:rsidR="00A94267" w:rsidRPr="00667967">
        <w:rPr>
          <w:rFonts w:ascii="Times New Roman" w:hAnsi="Times New Roman" w:cs="Times New Roman"/>
        </w:rPr>
        <w:t xml:space="preserve"> </w:t>
      </w:r>
      <w:r w:rsidRPr="00667967">
        <w:rPr>
          <w:rFonts w:ascii="Times New Roman" w:hAnsi="Times New Roman" w:cs="Times New Roman"/>
        </w:rPr>
        <w:t xml:space="preserve">terminie </w:t>
      </w:r>
      <w:bookmarkStart w:id="7" w:name="_Hlk77245999"/>
      <w:bookmarkStart w:id="8" w:name="_Hlk77244172"/>
      <w:r w:rsidRPr="00667967">
        <w:rPr>
          <w:rFonts w:ascii="Times New Roman" w:hAnsi="Times New Roman" w:cs="Times New Roman"/>
        </w:rPr>
        <w:t>3</w:t>
      </w:r>
      <w:r w:rsidR="006E4A1F" w:rsidRPr="00667967">
        <w:rPr>
          <w:rFonts w:ascii="Times New Roman" w:hAnsi="Times New Roman" w:cs="Times New Roman"/>
        </w:rPr>
        <w:t>0</w:t>
      </w:r>
      <w:r w:rsidR="003655B0" w:rsidRPr="00667967">
        <w:rPr>
          <w:rFonts w:ascii="Times New Roman" w:hAnsi="Times New Roman" w:cs="Times New Roman"/>
        </w:rPr>
        <w:t> </w:t>
      </w:r>
      <w:r w:rsidRPr="00667967">
        <w:rPr>
          <w:rFonts w:ascii="Times New Roman" w:hAnsi="Times New Roman" w:cs="Times New Roman"/>
        </w:rPr>
        <w:t xml:space="preserve">miesięcy </w:t>
      </w:r>
      <w:r w:rsidR="00E06E91" w:rsidRPr="00667967">
        <w:rPr>
          <w:rFonts w:ascii="Times New Roman" w:hAnsi="Times New Roman" w:cs="Times New Roman"/>
        </w:rPr>
        <w:t xml:space="preserve">od dnia </w:t>
      </w:r>
      <w:r w:rsidR="00F33243" w:rsidRPr="00667967">
        <w:rPr>
          <w:rFonts w:ascii="Times New Roman" w:hAnsi="Times New Roman" w:cs="Times New Roman"/>
        </w:rPr>
        <w:t xml:space="preserve">ogłoszenia </w:t>
      </w:r>
      <w:r w:rsidR="00E06E91" w:rsidRPr="00667967">
        <w:rPr>
          <w:rFonts w:ascii="Times New Roman" w:hAnsi="Times New Roman" w:cs="Times New Roman"/>
        </w:rPr>
        <w:t>przez Główny Urząd Statystyczny danych statystycznych dotyczących ludności według stanu na dzień 31 grudnia roku poprzedniego, zgodnie z którymi miasto osiągnęło liczbę mieszkańców, o której mowa w ust. 1, jednak nie wcześniej niż od dnia 1 lipca 2025</w:t>
      </w:r>
      <w:r w:rsidR="003655B0" w:rsidRPr="00667967">
        <w:rPr>
          <w:rFonts w:ascii="Times New Roman" w:hAnsi="Times New Roman" w:cs="Times New Roman"/>
        </w:rPr>
        <w:t> </w:t>
      </w:r>
      <w:r w:rsidR="00E06E91" w:rsidRPr="00667967">
        <w:rPr>
          <w:rFonts w:ascii="Times New Roman" w:hAnsi="Times New Roman" w:cs="Times New Roman"/>
        </w:rPr>
        <w:t xml:space="preserve">r. </w:t>
      </w:r>
      <w:bookmarkEnd w:id="7"/>
      <w:bookmarkEnd w:id="8"/>
      <w:r w:rsidRPr="00667967">
        <w:rPr>
          <w:rFonts w:ascii="Times New Roman" w:hAnsi="Times New Roman" w:cs="Times New Roman"/>
        </w:rPr>
        <w:t xml:space="preserve">W </w:t>
      </w:r>
      <w:r w:rsidR="00D4624E" w:rsidRPr="00667967">
        <w:rPr>
          <w:rFonts w:ascii="Times New Roman" w:hAnsi="Times New Roman" w:cs="Times New Roman"/>
        </w:rPr>
        <w:t xml:space="preserve">obecnej </w:t>
      </w:r>
      <w:r w:rsidRPr="00667967">
        <w:rPr>
          <w:rFonts w:ascii="Times New Roman" w:hAnsi="Times New Roman" w:cs="Times New Roman"/>
        </w:rPr>
        <w:t>perspektywie finansowej UE miasta mog</w:t>
      </w:r>
      <w:r w:rsidR="003E3263" w:rsidRPr="00667967">
        <w:rPr>
          <w:rFonts w:ascii="Times New Roman" w:hAnsi="Times New Roman" w:cs="Times New Roman"/>
        </w:rPr>
        <w:t>ą</w:t>
      </w:r>
      <w:r w:rsidRPr="00667967">
        <w:rPr>
          <w:rFonts w:ascii="Times New Roman" w:hAnsi="Times New Roman" w:cs="Times New Roman"/>
        </w:rPr>
        <w:t xml:space="preserve"> sięgnąć po środki na opracowanie i realizację MPA. Opracowywanie przez miasta </w:t>
      </w:r>
      <w:r w:rsidR="00521CFE" w:rsidRPr="00667967">
        <w:rPr>
          <w:rFonts w:ascii="Times New Roman" w:hAnsi="Times New Roman" w:cs="Times New Roman"/>
        </w:rPr>
        <w:t>MPA</w:t>
      </w:r>
      <w:r w:rsidRPr="00667967">
        <w:rPr>
          <w:rFonts w:ascii="Times New Roman" w:hAnsi="Times New Roman" w:cs="Times New Roman"/>
        </w:rPr>
        <w:t xml:space="preserve"> </w:t>
      </w:r>
      <w:r w:rsidR="003E3263" w:rsidRPr="00667967">
        <w:rPr>
          <w:rFonts w:ascii="Times New Roman" w:hAnsi="Times New Roman" w:cs="Times New Roman"/>
        </w:rPr>
        <w:t>ma</w:t>
      </w:r>
      <w:r w:rsidRPr="00667967">
        <w:rPr>
          <w:rFonts w:ascii="Times New Roman" w:hAnsi="Times New Roman" w:cs="Times New Roman"/>
        </w:rPr>
        <w:t xml:space="preserve"> wsparcie finansowe</w:t>
      </w:r>
      <w:r w:rsidR="00521CFE" w:rsidRPr="00667967">
        <w:rPr>
          <w:rFonts w:ascii="Times New Roman" w:hAnsi="Times New Roman" w:cs="Times New Roman"/>
        </w:rPr>
        <w:t xml:space="preserve"> UE</w:t>
      </w:r>
      <w:r w:rsidRPr="00667967">
        <w:rPr>
          <w:rFonts w:ascii="Times New Roman" w:hAnsi="Times New Roman" w:cs="Times New Roman"/>
        </w:rPr>
        <w:t>. Zaproponowana w</w:t>
      </w:r>
      <w:r w:rsidR="00A94267" w:rsidRPr="00667967">
        <w:rPr>
          <w:rFonts w:ascii="Times New Roman" w:hAnsi="Times New Roman" w:cs="Times New Roman"/>
        </w:rPr>
        <w:t xml:space="preserve"> </w:t>
      </w:r>
      <w:r w:rsidRPr="00667967">
        <w:rPr>
          <w:rFonts w:ascii="Times New Roman" w:hAnsi="Times New Roman" w:cs="Times New Roman"/>
        </w:rPr>
        <w:t>przedmiotowym projekcie ustawy zmiana w ustawie Poś uzasadnia aplikowanie o środki na ten cel.</w:t>
      </w:r>
      <w:r w:rsidR="00123A66" w:rsidRPr="00667967">
        <w:rPr>
          <w:rFonts w:ascii="Times New Roman" w:hAnsi="Times New Roman" w:cs="Times New Roman"/>
        </w:rPr>
        <w:t xml:space="preserve"> MPA nie będą aktami prawa miejscowego.</w:t>
      </w:r>
    </w:p>
    <w:p w14:paraId="484BCF0F" w14:textId="63EFCFCA" w:rsidR="00A026C8" w:rsidRPr="00667967" w:rsidRDefault="00F5672B" w:rsidP="00595221">
      <w:pPr>
        <w:widowControl/>
        <w:spacing w:after="120" w:line="360" w:lineRule="auto"/>
        <w:jc w:val="both"/>
        <w:rPr>
          <w:rFonts w:ascii="Times New Roman" w:hAnsi="Times New Roman" w:cs="Times New Roman"/>
          <w:bCs/>
        </w:rPr>
      </w:pPr>
      <w:r w:rsidRPr="00667967">
        <w:rPr>
          <w:rFonts w:ascii="Times New Roman" w:hAnsi="Times New Roman" w:cs="Times New Roman"/>
        </w:rPr>
        <w:t xml:space="preserve">W art. 18c przedstawiono obowiązek sprawozdawania się z wdrażania działań adaptacyjnych. </w:t>
      </w:r>
      <w:r w:rsidR="001114F4" w:rsidRPr="00667967">
        <w:rPr>
          <w:rFonts w:ascii="Times New Roman" w:hAnsi="Times New Roman" w:cs="Times New Roman"/>
        </w:rPr>
        <w:t xml:space="preserve">Burmistrz </w:t>
      </w:r>
      <w:r w:rsidR="001F0893" w:rsidRPr="00667967">
        <w:rPr>
          <w:rFonts w:ascii="Times New Roman" w:hAnsi="Times New Roman" w:cs="Times New Roman"/>
        </w:rPr>
        <w:t xml:space="preserve">albo </w:t>
      </w:r>
      <w:r w:rsidR="001114F4" w:rsidRPr="00667967">
        <w:rPr>
          <w:rFonts w:ascii="Times New Roman" w:hAnsi="Times New Roman" w:cs="Times New Roman"/>
        </w:rPr>
        <w:t xml:space="preserve">prezydent miasta będzie zobowiązany ustawowo do monitorowania wdrażania działań adaptacyjnych zawartych w uchwalonym MPA, a co 2 lata </w:t>
      </w:r>
      <w:r w:rsidR="001F0893" w:rsidRPr="00667967">
        <w:rPr>
          <w:rFonts w:ascii="Times New Roman" w:hAnsi="Times New Roman" w:cs="Times New Roman"/>
        </w:rPr>
        <w:t>od dnia</w:t>
      </w:r>
      <w:r w:rsidR="001114F4" w:rsidRPr="00667967">
        <w:rPr>
          <w:rFonts w:ascii="Times New Roman" w:hAnsi="Times New Roman" w:cs="Times New Roman"/>
        </w:rPr>
        <w:t xml:space="preserve"> przyjęcia planu </w:t>
      </w:r>
      <w:r w:rsidR="001114F4" w:rsidRPr="00667967">
        <w:rPr>
          <w:rFonts w:ascii="Times New Roman" w:hAnsi="Times New Roman" w:cs="Times New Roman"/>
        </w:rPr>
        <w:lastRenderedPageBreak/>
        <w:t xml:space="preserve">będzie sporządzał sprawozdanie z </w:t>
      </w:r>
      <w:r w:rsidR="004C7E3D" w:rsidRPr="00667967">
        <w:rPr>
          <w:rFonts w:ascii="Times New Roman" w:hAnsi="Times New Roman" w:cs="Times New Roman"/>
        </w:rPr>
        <w:t>monitorowania</w:t>
      </w:r>
      <w:r w:rsidR="001F0893" w:rsidRPr="00667967">
        <w:rPr>
          <w:rFonts w:ascii="Times New Roman" w:hAnsi="Times New Roman" w:cs="Times New Roman"/>
        </w:rPr>
        <w:t xml:space="preserve"> wdrażania działań adaptacyjnych do zmian klimatu</w:t>
      </w:r>
      <w:r w:rsidR="0074625A" w:rsidRPr="00667967">
        <w:rPr>
          <w:rFonts w:ascii="Times New Roman" w:hAnsi="Times New Roman" w:cs="Times New Roman"/>
        </w:rPr>
        <w:t xml:space="preserve">. Wyjątkiem jest pierwsze sprawozdanie, które sporządza się za okres od dnia przyjęcia </w:t>
      </w:r>
      <w:r w:rsidR="00A35E83">
        <w:rPr>
          <w:rFonts w:ascii="Times New Roman" w:hAnsi="Times New Roman" w:cs="Times New Roman"/>
        </w:rPr>
        <w:t>MPA</w:t>
      </w:r>
      <w:r w:rsidR="0074625A" w:rsidRPr="00667967">
        <w:rPr>
          <w:rFonts w:ascii="Times New Roman" w:hAnsi="Times New Roman" w:cs="Times New Roman"/>
        </w:rPr>
        <w:t xml:space="preserve"> do dnia 31 grudnia roku poprzedzającego rok </w:t>
      </w:r>
      <w:r w:rsidR="003B4544" w:rsidRPr="00667967">
        <w:rPr>
          <w:rFonts w:ascii="Times New Roman" w:hAnsi="Times New Roman" w:cs="Times New Roman"/>
        </w:rPr>
        <w:t>przekazania</w:t>
      </w:r>
      <w:r w:rsidR="0074625A" w:rsidRPr="00667967">
        <w:rPr>
          <w:rFonts w:ascii="Times New Roman" w:hAnsi="Times New Roman" w:cs="Times New Roman"/>
        </w:rPr>
        <w:t xml:space="preserve"> sprawozdania</w:t>
      </w:r>
      <w:r w:rsidR="003B4544" w:rsidRPr="00667967">
        <w:rPr>
          <w:rFonts w:ascii="Times New Roman" w:hAnsi="Times New Roman" w:cs="Times New Roman"/>
        </w:rPr>
        <w:t xml:space="preserve"> zgodnie z ust. 2 ustawy Poś</w:t>
      </w:r>
      <w:r w:rsidR="0074625A" w:rsidRPr="00667967">
        <w:rPr>
          <w:rFonts w:ascii="Times New Roman" w:hAnsi="Times New Roman" w:cs="Times New Roman"/>
        </w:rPr>
        <w:t xml:space="preserve">. Celem tej regulacji jest doprowadzenie do sytuacji, gdy kolejne dwuletnie okresy sprawozdawcze </w:t>
      </w:r>
      <w:r w:rsidR="000917D4" w:rsidRPr="00667967">
        <w:rPr>
          <w:rFonts w:ascii="Times New Roman" w:hAnsi="Times New Roman" w:cs="Times New Roman"/>
        </w:rPr>
        <w:t xml:space="preserve">będą </w:t>
      </w:r>
      <w:r w:rsidR="0074625A" w:rsidRPr="00667967">
        <w:rPr>
          <w:rFonts w:ascii="Times New Roman" w:hAnsi="Times New Roman" w:cs="Times New Roman"/>
        </w:rPr>
        <w:t>kończyły się w roku nieparzystym.</w:t>
      </w:r>
      <w:r w:rsidR="00A026C8" w:rsidRPr="00667967">
        <w:rPr>
          <w:rFonts w:ascii="Times New Roman" w:hAnsi="Times New Roman" w:cs="Times New Roman"/>
        </w:rPr>
        <w:t xml:space="preserve"> </w:t>
      </w:r>
      <w:r w:rsidR="00A026C8" w:rsidRPr="00667967">
        <w:rPr>
          <w:rFonts w:ascii="Times New Roman" w:hAnsi="Times New Roman" w:cs="Times New Roman"/>
          <w:bCs/>
        </w:rPr>
        <w:t>Zakłada się, że IOŚ-PIB w 2030 r. będzie w</w:t>
      </w:r>
      <w:r w:rsidR="009716E2" w:rsidRPr="00667967">
        <w:rPr>
          <w:rFonts w:ascii="Times New Roman" w:hAnsi="Times New Roman" w:cs="Times New Roman"/>
          <w:bCs/>
        </w:rPr>
        <w:t> </w:t>
      </w:r>
      <w:r w:rsidR="00A026C8" w:rsidRPr="00667967">
        <w:rPr>
          <w:rFonts w:ascii="Times New Roman" w:hAnsi="Times New Roman" w:cs="Times New Roman"/>
          <w:bCs/>
        </w:rPr>
        <w:t>posiadaniu 100</w:t>
      </w:r>
      <w:r w:rsidR="00521CFE" w:rsidRPr="00667967">
        <w:rPr>
          <w:rFonts w:ascii="Times New Roman" w:hAnsi="Times New Roman" w:cs="Times New Roman"/>
          <w:bCs/>
        </w:rPr>
        <w:t xml:space="preserve"> </w:t>
      </w:r>
      <w:r w:rsidR="00A026C8" w:rsidRPr="00667967">
        <w:rPr>
          <w:rFonts w:ascii="Times New Roman" w:hAnsi="Times New Roman" w:cs="Times New Roman"/>
          <w:bCs/>
        </w:rPr>
        <w:t>% sprawozdań z 209 miast (liczba wg</w:t>
      </w:r>
      <w:r w:rsidR="00D029CA">
        <w:rPr>
          <w:rFonts w:ascii="Times New Roman" w:hAnsi="Times New Roman" w:cs="Times New Roman"/>
          <w:bCs/>
        </w:rPr>
        <w:t> </w:t>
      </w:r>
      <w:r w:rsidR="00A026C8" w:rsidRPr="00667967">
        <w:rPr>
          <w:rFonts w:ascii="Times New Roman" w:hAnsi="Times New Roman" w:cs="Times New Roman"/>
          <w:bCs/>
        </w:rPr>
        <w:t>danych GUS na</w:t>
      </w:r>
      <w:r w:rsidR="00CA6918">
        <w:rPr>
          <w:rFonts w:ascii="Times New Roman" w:hAnsi="Times New Roman" w:cs="Times New Roman"/>
          <w:bCs/>
        </w:rPr>
        <w:t xml:space="preserve"> dzień</w:t>
      </w:r>
      <w:r w:rsidR="00A026C8" w:rsidRPr="00667967">
        <w:rPr>
          <w:rFonts w:ascii="Times New Roman" w:hAnsi="Times New Roman" w:cs="Times New Roman"/>
          <w:bCs/>
        </w:rPr>
        <w:t xml:space="preserve"> 31</w:t>
      </w:r>
      <w:r w:rsidR="00DA6E93">
        <w:rPr>
          <w:rFonts w:ascii="Times New Roman" w:hAnsi="Times New Roman" w:cs="Times New Roman"/>
          <w:bCs/>
        </w:rPr>
        <w:t> </w:t>
      </w:r>
      <w:r w:rsidR="00A026C8" w:rsidRPr="00667967">
        <w:rPr>
          <w:rFonts w:ascii="Times New Roman" w:hAnsi="Times New Roman" w:cs="Times New Roman"/>
          <w:bCs/>
        </w:rPr>
        <w:t>grudnia 2023 r.) o liczbie mieszkańców równej lub większej niż 20 tys. Kolejne sprawozdania będą składane co 2 lata od dnia złożenia pierwszego sprawozdania.</w:t>
      </w:r>
    </w:p>
    <w:p w14:paraId="6C3C8C9D" w14:textId="22240EAA" w:rsidR="00EB1450" w:rsidRPr="00667967" w:rsidRDefault="0074625A" w:rsidP="00595221">
      <w:pPr>
        <w:widowControl/>
        <w:spacing w:after="120" w:line="360" w:lineRule="auto"/>
        <w:jc w:val="both"/>
        <w:rPr>
          <w:rFonts w:ascii="Times New Roman" w:hAnsi="Times New Roman" w:cs="Times New Roman"/>
        </w:rPr>
      </w:pPr>
      <w:r w:rsidRPr="00667967">
        <w:rPr>
          <w:rFonts w:ascii="Times New Roman" w:hAnsi="Times New Roman" w:cs="Times New Roman"/>
        </w:rPr>
        <w:t>Podstawowy zakres sprawozdań z monitorowania został określony w art. 18</w:t>
      </w:r>
      <w:r w:rsidR="00F5672B" w:rsidRPr="00667967">
        <w:rPr>
          <w:rFonts w:ascii="Times New Roman" w:hAnsi="Times New Roman" w:cs="Times New Roman"/>
        </w:rPr>
        <w:t>c</w:t>
      </w:r>
      <w:r w:rsidRPr="00667967">
        <w:rPr>
          <w:rFonts w:ascii="Times New Roman" w:hAnsi="Times New Roman" w:cs="Times New Roman"/>
        </w:rPr>
        <w:t xml:space="preserve"> ust. </w:t>
      </w:r>
      <w:r w:rsidR="00123A66" w:rsidRPr="00667967">
        <w:rPr>
          <w:rFonts w:ascii="Times New Roman" w:hAnsi="Times New Roman" w:cs="Times New Roman"/>
        </w:rPr>
        <w:t>3</w:t>
      </w:r>
      <w:r w:rsidRPr="00667967">
        <w:rPr>
          <w:rFonts w:ascii="Times New Roman" w:hAnsi="Times New Roman" w:cs="Times New Roman"/>
        </w:rPr>
        <w:t xml:space="preserve">, natomiast szczegółowy zakres </w:t>
      </w:r>
      <w:r w:rsidRPr="00667967">
        <w:rPr>
          <w:rFonts w:ascii="Times New Roman" w:hAnsi="Times New Roman" w:cs="Times New Roman"/>
          <w:shd w:val="clear" w:color="auto" w:fill="FFFFFF" w:themeFill="background1"/>
        </w:rPr>
        <w:t xml:space="preserve">sprawozdań oraz </w:t>
      </w:r>
      <w:r w:rsidR="009F7B3D" w:rsidRPr="00667967">
        <w:rPr>
          <w:rFonts w:ascii="Times New Roman" w:hAnsi="Times New Roman" w:cs="Times New Roman"/>
        </w:rPr>
        <w:t xml:space="preserve">obowiązkowe </w:t>
      </w:r>
      <w:r w:rsidRPr="00667967">
        <w:rPr>
          <w:rFonts w:ascii="Times New Roman" w:hAnsi="Times New Roman" w:cs="Times New Roman"/>
        </w:rPr>
        <w:t>wskaźniki monitorowania skuteczności podejmowanych działań adaptacyjnych</w:t>
      </w:r>
      <w:r w:rsidR="00521CFE" w:rsidRPr="00667967">
        <w:rPr>
          <w:rFonts w:ascii="Times New Roman" w:hAnsi="Times New Roman" w:cs="Times New Roman"/>
        </w:rPr>
        <w:t xml:space="preserve"> do zmian klimatu</w:t>
      </w:r>
      <w:r w:rsidRPr="00667967">
        <w:rPr>
          <w:rFonts w:ascii="Times New Roman" w:hAnsi="Times New Roman" w:cs="Times New Roman"/>
        </w:rPr>
        <w:t xml:space="preserve"> oraz mierniki </w:t>
      </w:r>
      <w:bookmarkStart w:id="9" w:name="_Hlk180667182"/>
      <w:r w:rsidRPr="00667967">
        <w:rPr>
          <w:rFonts w:ascii="Times New Roman" w:hAnsi="Times New Roman" w:cs="Times New Roman"/>
        </w:rPr>
        <w:t xml:space="preserve">monitorowania </w:t>
      </w:r>
      <w:bookmarkEnd w:id="9"/>
      <w:r w:rsidRPr="00667967">
        <w:rPr>
          <w:rFonts w:ascii="Times New Roman" w:hAnsi="Times New Roman" w:cs="Times New Roman"/>
        </w:rPr>
        <w:t xml:space="preserve">skuteczności osiągania postawionych celów zostaną określone w przepisach wydanych na podstawie </w:t>
      </w:r>
      <w:r w:rsidR="00123A66" w:rsidRPr="00667967">
        <w:rPr>
          <w:rFonts w:ascii="Times New Roman" w:hAnsi="Times New Roman" w:cs="Times New Roman"/>
        </w:rPr>
        <w:t xml:space="preserve">art. 18c </w:t>
      </w:r>
      <w:r w:rsidRPr="00667967">
        <w:rPr>
          <w:rFonts w:ascii="Times New Roman" w:hAnsi="Times New Roman" w:cs="Times New Roman"/>
        </w:rPr>
        <w:t>ust.</w:t>
      </w:r>
      <w:r w:rsidR="007C4C01" w:rsidRPr="00667967">
        <w:rPr>
          <w:rFonts w:ascii="Times New Roman" w:hAnsi="Times New Roman" w:cs="Times New Roman"/>
        </w:rPr>
        <w:t xml:space="preserve"> </w:t>
      </w:r>
      <w:r w:rsidR="00123A66" w:rsidRPr="00667967">
        <w:rPr>
          <w:rFonts w:ascii="Times New Roman" w:hAnsi="Times New Roman" w:cs="Times New Roman"/>
        </w:rPr>
        <w:t>7</w:t>
      </w:r>
      <w:r w:rsidRPr="00667967">
        <w:rPr>
          <w:rFonts w:ascii="Times New Roman" w:hAnsi="Times New Roman" w:cs="Times New Roman"/>
        </w:rPr>
        <w:t xml:space="preserve">. </w:t>
      </w:r>
      <w:r w:rsidR="009F7B3D" w:rsidRPr="00667967">
        <w:rPr>
          <w:rFonts w:ascii="Times New Roman" w:hAnsi="Times New Roman" w:cs="Times New Roman"/>
        </w:rPr>
        <w:t xml:space="preserve">Wskaźniki i mierniki będą dotyczyć m.in. usuwania skutków zjawisk ekstremalnych, nasadzeń, zasobów i powierzchni terenów zieleni oraz obiektów małej retencji, a ich określenie przez ministra ma na celu ustandaryzowanie danych między miastami i umożliwienie porównywania danych. Niezależnie od wskaźników </w:t>
      </w:r>
      <w:r w:rsidR="00521CFE" w:rsidRPr="00667967">
        <w:rPr>
          <w:rFonts w:ascii="Times New Roman" w:hAnsi="Times New Roman" w:cs="Times New Roman"/>
        </w:rPr>
        <w:t xml:space="preserve">monitorowania </w:t>
      </w:r>
      <w:r w:rsidR="009F7B3D" w:rsidRPr="00667967">
        <w:rPr>
          <w:rFonts w:ascii="Times New Roman" w:hAnsi="Times New Roman" w:cs="Times New Roman"/>
        </w:rPr>
        <w:t>i mierników</w:t>
      </w:r>
      <w:r w:rsidR="00521CFE" w:rsidRPr="00667967">
        <w:rPr>
          <w:rFonts w:ascii="Times New Roman" w:hAnsi="Times New Roman" w:cs="Times New Roman"/>
        </w:rPr>
        <w:t xml:space="preserve"> monitorowania</w:t>
      </w:r>
      <w:r w:rsidR="009F7B3D" w:rsidRPr="00667967">
        <w:rPr>
          <w:rFonts w:ascii="Times New Roman" w:hAnsi="Times New Roman" w:cs="Times New Roman"/>
        </w:rPr>
        <w:t xml:space="preserve"> ustalonych na podstawie rozporządzenia, zgodnie z</w:t>
      </w:r>
      <w:r w:rsidR="004D1D52" w:rsidRPr="00667967">
        <w:rPr>
          <w:rFonts w:ascii="Times New Roman" w:hAnsi="Times New Roman" w:cs="Times New Roman"/>
        </w:rPr>
        <w:t> </w:t>
      </w:r>
      <w:r w:rsidR="009F7B3D" w:rsidRPr="00667967">
        <w:rPr>
          <w:rFonts w:ascii="Times New Roman" w:hAnsi="Times New Roman" w:cs="Times New Roman"/>
        </w:rPr>
        <w:t xml:space="preserve">projektowanym art. 18a ust. 6, w danym </w:t>
      </w:r>
      <w:r w:rsidR="00521CFE" w:rsidRPr="00667967">
        <w:rPr>
          <w:rFonts w:ascii="Times New Roman" w:hAnsi="Times New Roman" w:cs="Times New Roman"/>
        </w:rPr>
        <w:t>MPA</w:t>
      </w:r>
      <w:r w:rsidR="009F7B3D" w:rsidRPr="00667967">
        <w:rPr>
          <w:rFonts w:ascii="Times New Roman" w:hAnsi="Times New Roman" w:cs="Times New Roman"/>
        </w:rPr>
        <w:t xml:space="preserve"> możliwe będzie też uwzględnienie dodatkowych wskaźników i mierników, odpowiadających specyfice danego miasta czy konkretnym specyficznym celom określonym w danym planie. </w:t>
      </w:r>
      <w:r w:rsidRPr="00667967">
        <w:rPr>
          <w:rFonts w:ascii="Times New Roman" w:hAnsi="Times New Roman" w:cs="Times New Roman"/>
        </w:rPr>
        <w:t xml:space="preserve">Burmistrz albo prezydent miasta będzie </w:t>
      </w:r>
      <w:r w:rsidR="001114F4" w:rsidRPr="00667967">
        <w:rPr>
          <w:rFonts w:ascii="Times New Roman" w:hAnsi="Times New Roman" w:cs="Times New Roman"/>
        </w:rPr>
        <w:t xml:space="preserve">przekazywał </w:t>
      </w:r>
      <w:r w:rsidRPr="00667967">
        <w:rPr>
          <w:rFonts w:ascii="Times New Roman" w:hAnsi="Times New Roman" w:cs="Times New Roman"/>
        </w:rPr>
        <w:t xml:space="preserve">sprawozdania do </w:t>
      </w:r>
      <w:r w:rsidR="001114F4" w:rsidRPr="00667967">
        <w:rPr>
          <w:rFonts w:ascii="Times New Roman" w:hAnsi="Times New Roman" w:cs="Times New Roman"/>
        </w:rPr>
        <w:t>IOŚ</w:t>
      </w:r>
      <w:r w:rsidR="006132D2" w:rsidRPr="00667967">
        <w:rPr>
          <w:rFonts w:ascii="Times New Roman" w:hAnsi="Times New Roman" w:cs="Times New Roman"/>
        </w:rPr>
        <w:t>-PIB</w:t>
      </w:r>
      <w:r w:rsidR="001114F4" w:rsidRPr="00667967">
        <w:rPr>
          <w:rFonts w:ascii="Times New Roman" w:hAnsi="Times New Roman" w:cs="Times New Roman"/>
        </w:rPr>
        <w:t xml:space="preserve"> w</w:t>
      </w:r>
      <w:r w:rsidR="009F7B3D" w:rsidRPr="00667967">
        <w:rPr>
          <w:rFonts w:ascii="Times New Roman" w:hAnsi="Times New Roman" w:cs="Times New Roman"/>
        </w:rPr>
        <w:t> </w:t>
      </w:r>
      <w:r w:rsidR="001114F4" w:rsidRPr="00667967">
        <w:rPr>
          <w:rFonts w:ascii="Times New Roman" w:hAnsi="Times New Roman" w:cs="Times New Roman"/>
        </w:rPr>
        <w:t xml:space="preserve">terminie do </w:t>
      </w:r>
      <w:r w:rsidR="00CA6918">
        <w:rPr>
          <w:rFonts w:ascii="Times New Roman" w:hAnsi="Times New Roman" w:cs="Times New Roman"/>
        </w:rPr>
        <w:t xml:space="preserve">dnia </w:t>
      </w:r>
      <w:r w:rsidR="001114F4" w:rsidRPr="00667967">
        <w:rPr>
          <w:rFonts w:ascii="Times New Roman" w:hAnsi="Times New Roman" w:cs="Times New Roman"/>
        </w:rPr>
        <w:t>30 czerwca roku następującego po okresie, którego</w:t>
      </w:r>
      <w:r w:rsidRPr="00667967">
        <w:rPr>
          <w:rFonts w:ascii="Times New Roman" w:hAnsi="Times New Roman" w:cs="Times New Roman"/>
        </w:rPr>
        <w:t xml:space="preserve"> sprawozdanie</w:t>
      </w:r>
      <w:r w:rsidR="001114F4" w:rsidRPr="00667967">
        <w:rPr>
          <w:rFonts w:ascii="Times New Roman" w:hAnsi="Times New Roman" w:cs="Times New Roman"/>
        </w:rPr>
        <w:t xml:space="preserve"> dotyczy</w:t>
      </w:r>
      <w:r w:rsidRPr="00667967">
        <w:rPr>
          <w:rFonts w:ascii="Times New Roman" w:hAnsi="Times New Roman" w:cs="Times New Roman"/>
        </w:rPr>
        <w:t>,</w:t>
      </w:r>
      <w:r w:rsidR="00595FD1" w:rsidRPr="00667967">
        <w:rPr>
          <w:rFonts w:ascii="Times New Roman" w:hAnsi="Times New Roman" w:cs="Times New Roman"/>
        </w:rPr>
        <w:t xml:space="preserve"> za pośrednictwem systemu elektronicznego udostępnianego przez </w:t>
      </w:r>
      <w:r w:rsidR="006132D2" w:rsidRPr="00667967">
        <w:rPr>
          <w:rFonts w:ascii="Times New Roman" w:hAnsi="Times New Roman" w:cs="Times New Roman"/>
        </w:rPr>
        <w:t>IOŚ-PIB</w:t>
      </w:r>
      <w:r w:rsidR="001114F4" w:rsidRPr="00667967">
        <w:rPr>
          <w:rFonts w:ascii="Times New Roman" w:hAnsi="Times New Roman" w:cs="Times New Roman"/>
        </w:rPr>
        <w:t xml:space="preserve">. </w:t>
      </w:r>
      <w:r w:rsidR="00A954C3" w:rsidRPr="00667967">
        <w:rPr>
          <w:rFonts w:ascii="Times New Roman" w:hAnsi="Times New Roman" w:cs="Times New Roman"/>
        </w:rPr>
        <w:t xml:space="preserve">Instytut będzie weryfikował sprawozdania i może zgłosić uwagi, które burmistrz lub prezydent miasta musi uwzględnić w terminie 60 dni. </w:t>
      </w:r>
      <w:r w:rsidR="001114F4" w:rsidRPr="00667967">
        <w:rPr>
          <w:rFonts w:ascii="Times New Roman" w:hAnsi="Times New Roman" w:cs="Times New Roman"/>
        </w:rPr>
        <w:t>Na podstawie sprawozdań z</w:t>
      </w:r>
      <w:r w:rsidR="0002469B" w:rsidRPr="00667967">
        <w:rPr>
          <w:rFonts w:ascii="Times New Roman" w:hAnsi="Times New Roman" w:cs="Times New Roman"/>
        </w:rPr>
        <w:t> </w:t>
      </w:r>
      <w:r w:rsidR="004C7E3D" w:rsidRPr="00667967">
        <w:rPr>
          <w:rFonts w:ascii="Times New Roman" w:hAnsi="Times New Roman" w:cs="Times New Roman"/>
        </w:rPr>
        <w:t xml:space="preserve">monitorowania </w:t>
      </w:r>
      <w:r w:rsidR="001114F4" w:rsidRPr="00667967">
        <w:rPr>
          <w:rFonts w:ascii="Times New Roman" w:hAnsi="Times New Roman" w:cs="Times New Roman"/>
        </w:rPr>
        <w:t xml:space="preserve">burmistrz </w:t>
      </w:r>
      <w:r w:rsidR="001F0893" w:rsidRPr="00667967">
        <w:rPr>
          <w:rFonts w:ascii="Times New Roman" w:hAnsi="Times New Roman" w:cs="Times New Roman"/>
        </w:rPr>
        <w:t xml:space="preserve">albo </w:t>
      </w:r>
      <w:r w:rsidR="001114F4" w:rsidRPr="00667967">
        <w:rPr>
          <w:rFonts w:ascii="Times New Roman" w:hAnsi="Times New Roman" w:cs="Times New Roman"/>
        </w:rPr>
        <w:t xml:space="preserve">prezydent miasta będzie aktualizował </w:t>
      </w:r>
      <w:r w:rsidR="00A35E83">
        <w:rPr>
          <w:rFonts w:ascii="Times New Roman" w:hAnsi="Times New Roman" w:cs="Times New Roman"/>
        </w:rPr>
        <w:t>MPA</w:t>
      </w:r>
      <w:r w:rsidR="001114F4" w:rsidRPr="00667967">
        <w:rPr>
          <w:rFonts w:ascii="Times New Roman" w:hAnsi="Times New Roman" w:cs="Times New Roman"/>
        </w:rPr>
        <w:t xml:space="preserve"> nie rzadziej niż raz na 6 lat. Do zadań IOŚ</w:t>
      </w:r>
      <w:r w:rsidR="006132D2" w:rsidRPr="00667967">
        <w:rPr>
          <w:rFonts w:ascii="Times New Roman" w:hAnsi="Times New Roman" w:cs="Times New Roman"/>
        </w:rPr>
        <w:t>-PIB</w:t>
      </w:r>
      <w:r w:rsidR="001114F4" w:rsidRPr="00667967">
        <w:rPr>
          <w:rFonts w:ascii="Times New Roman" w:hAnsi="Times New Roman" w:cs="Times New Roman"/>
        </w:rPr>
        <w:t xml:space="preserve"> będą należały weryfikacja </w:t>
      </w:r>
      <w:r w:rsidR="00595FD1" w:rsidRPr="00667967">
        <w:rPr>
          <w:rFonts w:ascii="Times New Roman" w:hAnsi="Times New Roman" w:cs="Times New Roman"/>
        </w:rPr>
        <w:t xml:space="preserve">i analiza </w:t>
      </w:r>
      <w:r w:rsidR="001114F4" w:rsidRPr="00667967">
        <w:rPr>
          <w:rFonts w:ascii="Times New Roman" w:hAnsi="Times New Roman" w:cs="Times New Roman"/>
        </w:rPr>
        <w:t>sprawozdań</w:t>
      </w:r>
      <w:r w:rsidR="00595FD1" w:rsidRPr="00667967">
        <w:rPr>
          <w:rFonts w:ascii="Times New Roman" w:hAnsi="Times New Roman" w:cs="Times New Roman"/>
        </w:rPr>
        <w:t xml:space="preserve"> oraz </w:t>
      </w:r>
      <w:r w:rsidR="001114F4" w:rsidRPr="00667967">
        <w:rPr>
          <w:rFonts w:ascii="Times New Roman" w:hAnsi="Times New Roman" w:cs="Times New Roman"/>
        </w:rPr>
        <w:t>sporządzanie i</w:t>
      </w:r>
      <w:r w:rsidR="004D1D52" w:rsidRPr="00667967">
        <w:rPr>
          <w:rFonts w:ascii="Times New Roman" w:hAnsi="Times New Roman" w:cs="Times New Roman"/>
        </w:rPr>
        <w:t> </w:t>
      </w:r>
      <w:r w:rsidR="001114F4" w:rsidRPr="00667967">
        <w:rPr>
          <w:rFonts w:ascii="Times New Roman" w:hAnsi="Times New Roman" w:cs="Times New Roman"/>
        </w:rPr>
        <w:t xml:space="preserve">przekazanie do końca listopada roku sprawozdawczego podsumowania </w:t>
      </w:r>
      <w:r w:rsidR="00595FD1" w:rsidRPr="00667967">
        <w:rPr>
          <w:rFonts w:ascii="Times New Roman" w:hAnsi="Times New Roman" w:cs="Times New Roman"/>
        </w:rPr>
        <w:t xml:space="preserve">z tych sprawozdań </w:t>
      </w:r>
      <w:r w:rsidR="001114F4" w:rsidRPr="00667967">
        <w:rPr>
          <w:rFonts w:ascii="Times New Roman" w:hAnsi="Times New Roman" w:cs="Times New Roman"/>
        </w:rPr>
        <w:t>do MKiŚ. IOŚ</w:t>
      </w:r>
      <w:r w:rsidR="006132D2" w:rsidRPr="00667967">
        <w:rPr>
          <w:rFonts w:ascii="Times New Roman" w:hAnsi="Times New Roman" w:cs="Times New Roman"/>
        </w:rPr>
        <w:t>-PIB</w:t>
      </w:r>
      <w:r w:rsidR="001114F4" w:rsidRPr="00667967">
        <w:rPr>
          <w:rFonts w:ascii="Times New Roman" w:hAnsi="Times New Roman" w:cs="Times New Roman"/>
        </w:rPr>
        <w:t xml:space="preserve"> został wskazany jako jednostka koordynująca </w:t>
      </w:r>
      <w:r w:rsidR="004C7E3D" w:rsidRPr="00667967">
        <w:rPr>
          <w:rFonts w:ascii="Times New Roman" w:hAnsi="Times New Roman" w:cs="Times New Roman"/>
        </w:rPr>
        <w:t xml:space="preserve">monitorowanie </w:t>
      </w:r>
      <w:r w:rsidR="001114F4" w:rsidRPr="00667967">
        <w:rPr>
          <w:rFonts w:ascii="Times New Roman" w:hAnsi="Times New Roman" w:cs="Times New Roman"/>
        </w:rPr>
        <w:t>z</w:t>
      </w:r>
      <w:r w:rsidR="0002469B" w:rsidRPr="00667967">
        <w:rPr>
          <w:rFonts w:ascii="Times New Roman" w:hAnsi="Times New Roman" w:cs="Times New Roman"/>
        </w:rPr>
        <w:t> </w:t>
      </w:r>
      <w:r w:rsidR="001114F4" w:rsidRPr="00667967">
        <w:rPr>
          <w:rFonts w:ascii="Times New Roman" w:hAnsi="Times New Roman" w:cs="Times New Roman"/>
        </w:rPr>
        <w:t>uwagi na posiadane doświadczenie związane np. z</w:t>
      </w:r>
      <w:r w:rsidR="006132D2" w:rsidRPr="00667967">
        <w:rPr>
          <w:rFonts w:ascii="Times New Roman" w:hAnsi="Times New Roman" w:cs="Times New Roman"/>
        </w:rPr>
        <w:t> </w:t>
      </w:r>
      <w:r w:rsidR="001114F4" w:rsidRPr="00667967">
        <w:rPr>
          <w:rFonts w:ascii="Times New Roman" w:hAnsi="Times New Roman" w:cs="Times New Roman"/>
        </w:rPr>
        <w:t>realizacją projektu KLIMADA i</w:t>
      </w:r>
      <w:r w:rsidRPr="00667967">
        <w:rPr>
          <w:rFonts w:ascii="Times New Roman" w:hAnsi="Times New Roman" w:cs="Times New Roman"/>
        </w:rPr>
        <w:t> </w:t>
      </w:r>
      <w:r w:rsidR="001114F4" w:rsidRPr="00667967">
        <w:rPr>
          <w:rFonts w:ascii="Times New Roman" w:hAnsi="Times New Roman" w:cs="Times New Roman"/>
        </w:rPr>
        <w:t xml:space="preserve">KLIMADA 2.0 </w:t>
      </w:r>
      <w:r w:rsidR="008C6442">
        <w:rPr>
          <w:rFonts w:ascii="Times New Roman" w:hAnsi="Times New Roman" w:cs="Times New Roman"/>
        </w:rPr>
        <w:t>oraz</w:t>
      </w:r>
      <w:r w:rsidR="001114F4" w:rsidRPr="00667967">
        <w:rPr>
          <w:rFonts w:ascii="Times New Roman" w:hAnsi="Times New Roman" w:cs="Times New Roman"/>
        </w:rPr>
        <w:t> projektu MPA44 – Opracowanie planów adaptacji do zmian klimatu w miastach powyżej 100 tys. mieszkańców, z rolą lidera konsorcjum realizowanego systemu doradztwa strategicznego dla miast w ramach projektu Miasto z Klimatem, czy też z</w:t>
      </w:r>
      <w:r w:rsidR="003655B0" w:rsidRPr="00667967">
        <w:rPr>
          <w:rFonts w:ascii="Times New Roman" w:hAnsi="Times New Roman" w:cs="Times New Roman"/>
        </w:rPr>
        <w:t> </w:t>
      </w:r>
      <w:r w:rsidR="001114F4" w:rsidRPr="00667967">
        <w:rPr>
          <w:rFonts w:ascii="Times New Roman" w:hAnsi="Times New Roman" w:cs="Times New Roman"/>
        </w:rPr>
        <w:t>uruchomieniem i</w:t>
      </w:r>
      <w:r w:rsidRPr="00667967">
        <w:rPr>
          <w:rFonts w:ascii="Times New Roman" w:hAnsi="Times New Roman" w:cs="Times New Roman"/>
        </w:rPr>
        <w:t> </w:t>
      </w:r>
      <w:r w:rsidR="001114F4" w:rsidRPr="00667967">
        <w:rPr>
          <w:rFonts w:ascii="Times New Roman" w:hAnsi="Times New Roman" w:cs="Times New Roman"/>
        </w:rPr>
        <w:t>rozbudową Bazy Danych o</w:t>
      </w:r>
      <w:r w:rsidR="0002469B" w:rsidRPr="00667967">
        <w:rPr>
          <w:rFonts w:ascii="Times New Roman" w:hAnsi="Times New Roman" w:cs="Times New Roman"/>
        </w:rPr>
        <w:t> </w:t>
      </w:r>
      <w:r w:rsidR="001114F4" w:rsidRPr="00667967">
        <w:rPr>
          <w:rFonts w:ascii="Times New Roman" w:hAnsi="Times New Roman" w:cs="Times New Roman"/>
        </w:rPr>
        <w:t>Odpadach. Zadania IOŚ</w:t>
      </w:r>
      <w:r w:rsidR="006132D2" w:rsidRPr="00667967">
        <w:rPr>
          <w:rFonts w:ascii="Times New Roman" w:hAnsi="Times New Roman" w:cs="Times New Roman"/>
        </w:rPr>
        <w:t>-PIB</w:t>
      </w:r>
      <w:r w:rsidR="001114F4" w:rsidRPr="00667967">
        <w:rPr>
          <w:rFonts w:ascii="Times New Roman" w:hAnsi="Times New Roman" w:cs="Times New Roman"/>
        </w:rPr>
        <w:t xml:space="preserve"> zostaną sfinansowane ze środków </w:t>
      </w:r>
      <w:r w:rsidR="001114F4" w:rsidRPr="00667967">
        <w:rPr>
          <w:rFonts w:ascii="Times New Roman" w:hAnsi="Times New Roman" w:cs="Times New Roman"/>
        </w:rPr>
        <w:lastRenderedPageBreak/>
        <w:t>Narodowego Funduszu Ochrony Środowiska i Gospodarki Wodnej</w:t>
      </w:r>
      <w:r w:rsidR="00A84C8C" w:rsidRPr="00667967">
        <w:rPr>
          <w:rFonts w:ascii="Times New Roman" w:hAnsi="Times New Roman" w:cs="Times New Roman"/>
        </w:rPr>
        <w:t>, zwanego dalej „Narodowym Funduszem”.</w:t>
      </w:r>
      <w:r w:rsidR="003655B0" w:rsidRPr="00667967">
        <w:rPr>
          <w:rFonts w:ascii="Times New Roman" w:hAnsi="Times New Roman" w:cs="Times New Roman"/>
        </w:rPr>
        <w:t xml:space="preserve"> </w:t>
      </w:r>
      <w:r w:rsidR="003107AE" w:rsidRPr="00667967">
        <w:rPr>
          <w:rFonts w:ascii="Times New Roman" w:hAnsi="Times New Roman" w:cs="Times New Roman"/>
        </w:rPr>
        <w:t xml:space="preserve">Obowiązek opracowania, wdrażania </w:t>
      </w:r>
      <w:r w:rsidR="00521CFE" w:rsidRPr="00667967">
        <w:rPr>
          <w:rFonts w:ascii="Times New Roman" w:hAnsi="Times New Roman" w:cs="Times New Roman"/>
        </w:rPr>
        <w:t>MPA</w:t>
      </w:r>
      <w:r w:rsidR="002172F3" w:rsidRPr="00667967">
        <w:rPr>
          <w:rFonts w:ascii="Times New Roman" w:hAnsi="Times New Roman" w:cs="Times New Roman"/>
        </w:rPr>
        <w:t>,</w:t>
      </w:r>
      <w:r w:rsidR="003107AE" w:rsidRPr="00667967">
        <w:rPr>
          <w:rFonts w:ascii="Times New Roman" w:hAnsi="Times New Roman" w:cs="Times New Roman"/>
        </w:rPr>
        <w:t xml:space="preserve"> </w:t>
      </w:r>
      <w:r w:rsidR="002172F3" w:rsidRPr="00667967">
        <w:rPr>
          <w:rFonts w:ascii="Times New Roman" w:hAnsi="Times New Roman" w:cs="Times New Roman"/>
        </w:rPr>
        <w:t>realizacj</w:t>
      </w:r>
      <w:r w:rsidR="00C23F3E" w:rsidRPr="00667967">
        <w:rPr>
          <w:rFonts w:ascii="Times New Roman" w:hAnsi="Times New Roman" w:cs="Times New Roman"/>
        </w:rPr>
        <w:t>i</w:t>
      </w:r>
      <w:r w:rsidR="002172F3" w:rsidRPr="00667967">
        <w:rPr>
          <w:rFonts w:ascii="Times New Roman" w:hAnsi="Times New Roman" w:cs="Times New Roman"/>
        </w:rPr>
        <w:t xml:space="preserve"> działań ujętych w miejskim planie </w:t>
      </w:r>
      <w:r w:rsidR="003107AE" w:rsidRPr="00667967">
        <w:rPr>
          <w:rFonts w:ascii="Times New Roman" w:hAnsi="Times New Roman" w:cs="Times New Roman"/>
        </w:rPr>
        <w:t>oraz sprawozdawania się z jego realizacji jest zadaniem miasta, rozumianym jako urząd miasta oraz jednostki jemu podległe</w:t>
      </w:r>
      <w:r w:rsidR="00EB1450" w:rsidRPr="00667967">
        <w:rPr>
          <w:rFonts w:ascii="Times New Roman" w:hAnsi="Times New Roman" w:cs="Times New Roman"/>
        </w:rPr>
        <w:t>.</w:t>
      </w:r>
    </w:p>
    <w:p w14:paraId="7A42218A" w14:textId="0620EE9B" w:rsidR="001114F4" w:rsidRPr="00667967" w:rsidRDefault="001114F4" w:rsidP="00595221">
      <w:pPr>
        <w:widowControl/>
        <w:spacing w:after="120" w:line="360" w:lineRule="auto"/>
        <w:jc w:val="both"/>
        <w:rPr>
          <w:rFonts w:ascii="Times New Roman" w:hAnsi="Times New Roman" w:cs="Times New Roman"/>
        </w:rPr>
      </w:pPr>
      <w:r w:rsidRPr="00667967">
        <w:rPr>
          <w:rFonts w:ascii="Times New Roman" w:hAnsi="Times New Roman" w:cs="Times New Roman"/>
        </w:rPr>
        <w:t xml:space="preserve">Zmiana wymaga regulacji przejściowych. Proponuje się (art. </w:t>
      </w:r>
      <w:r w:rsidR="000D6A02" w:rsidRPr="00667967">
        <w:rPr>
          <w:rFonts w:ascii="Times New Roman" w:hAnsi="Times New Roman" w:cs="Times New Roman"/>
        </w:rPr>
        <w:t>1</w:t>
      </w:r>
      <w:r w:rsidR="006D7F4B" w:rsidRPr="00667967">
        <w:rPr>
          <w:rFonts w:ascii="Times New Roman" w:hAnsi="Times New Roman" w:cs="Times New Roman"/>
        </w:rPr>
        <w:t>5</w:t>
      </w:r>
      <w:r w:rsidR="008C6442">
        <w:rPr>
          <w:rFonts w:ascii="Times New Roman" w:hAnsi="Times New Roman" w:cs="Times New Roman"/>
        </w:rPr>
        <w:t>–</w:t>
      </w:r>
      <w:r w:rsidR="000D6A02" w:rsidRPr="00667967">
        <w:rPr>
          <w:rFonts w:ascii="Times New Roman" w:hAnsi="Times New Roman" w:cs="Times New Roman"/>
        </w:rPr>
        <w:t>1</w:t>
      </w:r>
      <w:r w:rsidR="006D7F4B" w:rsidRPr="00667967">
        <w:rPr>
          <w:rFonts w:ascii="Times New Roman" w:hAnsi="Times New Roman" w:cs="Times New Roman"/>
        </w:rPr>
        <w:t>6</w:t>
      </w:r>
      <w:r w:rsidR="000D6A02" w:rsidRPr="00667967">
        <w:rPr>
          <w:rFonts w:ascii="Times New Roman" w:hAnsi="Times New Roman" w:cs="Times New Roman"/>
        </w:rPr>
        <w:t xml:space="preserve"> </w:t>
      </w:r>
      <w:r w:rsidR="00EE2796" w:rsidRPr="00667967">
        <w:rPr>
          <w:rFonts w:ascii="Times New Roman" w:hAnsi="Times New Roman" w:cs="Times New Roman"/>
        </w:rPr>
        <w:t>projektu ustawy</w:t>
      </w:r>
      <w:r w:rsidRPr="00667967">
        <w:rPr>
          <w:rFonts w:ascii="Times New Roman" w:hAnsi="Times New Roman" w:cs="Times New Roman"/>
        </w:rPr>
        <w:t xml:space="preserve">), by </w:t>
      </w:r>
      <w:bookmarkStart w:id="10" w:name="_Hlk131515463"/>
      <w:r w:rsidRPr="00667967">
        <w:rPr>
          <w:rFonts w:ascii="Times New Roman" w:hAnsi="Times New Roman" w:cs="Times New Roman"/>
        </w:rPr>
        <w:t xml:space="preserve">dotychczas uchwalone </w:t>
      </w:r>
      <w:r w:rsidR="00595FD1" w:rsidRPr="00667967">
        <w:rPr>
          <w:rFonts w:ascii="Times New Roman" w:hAnsi="Times New Roman" w:cs="Times New Roman"/>
        </w:rPr>
        <w:t>w miastach o liczbie mieszkańców równej 20 tysięcy lub większej dokumenty o</w:t>
      </w:r>
      <w:r w:rsidR="003655B0" w:rsidRPr="00667967">
        <w:rPr>
          <w:rFonts w:ascii="Times New Roman" w:hAnsi="Times New Roman" w:cs="Times New Roman"/>
        </w:rPr>
        <w:t> </w:t>
      </w:r>
      <w:r w:rsidR="00595FD1" w:rsidRPr="00667967">
        <w:rPr>
          <w:rFonts w:ascii="Times New Roman" w:hAnsi="Times New Roman" w:cs="Times New Roman"/>
        </w:rPr>
        <w:t xml:space="preserve">charakterze strategiczno-wdrożeniowym, niebędące aktami prawa miejscowego, które realizują cel określony w art. 3 pkt 9a ustawy zmienianej w art. 1, </w:t>
      </w:r>
      <w:bookmarkStart w:id="11" w:name="_Hlk180667542"/>
      <w:r w:rsidR="00A613FF" w:rsidRPr="00667967">
        <w:rPr>
          <w:rFonts w:ascii="Times New Roman" w:hAnsi="Times New Roman" w:cs="Times New Roman"/>
        </w:rPr>
        <w:t xml:space="preserve">mogły zostać przez radę gminy </w:t>
      </w:r>
      <w:bookmarkEnd w:id="11"/>
      <w:r w:rsidR="00F00085" w:rsidRPr="00667967">
        <w:rPr>
          <w:rFonts w:ascii="Times New Roman" w:hAnsi="Times New Roman" w:cs="Times New Roman"/>
        </w:rPr>
        <w:t>uznane</w:t>
      </w:r>
      <w:r w:rsidR="00595FD1" w:rsidRPr="00667967">
        <w:rPr>
          <w:rFonts w:ascii="Times New Roman" w:hAnsi="Times New Roman" w:cs="Times New Roman"/>
        </w:rPr>
        <w:t xml:space="preserve"> za </w:t>
      </w:r>
      <w:r w:rsidR="009115D9">
        <w:rPr>
          <w:rFonts w:ascii="Times New Roman" w:hAnsi="Times New Roman" w:cs="Times New Roman"/>
        </w:rPr>
        <w:t>MPA</w:t>
      </w:r>
      <w:r w:rsidR="00595FD1" w:rsidRPr="00667967">
        <w:rPr>
          <w:rFonts w:ascii="Times New Roman" w:hAnsi="Times New Roman" w:cs="Times New Roman"/>
        </w:rPr>
        <w:t xml:space="preserve"> w rozumieniu art. 18a ust. 1 ustawy </w:t>
      </w:r>
      <w:r w:rsidR="00F00085" w:rsidRPr="00667967">
        <w:rPr>
          <w:rFonts w:ascii="Times New Roman" w:hAnsi="Times New Roman" w:cs="Times New Roman"/>
        </w:rPr>
        <w:t>Poś</w:t>
      </w:r>
      <w:bookmarkEnd w:id="10"/>
      <w:r w:rsidR="007C4C01" w:rsidRPr="00667967">
        <w:rPr>
          <w:rFonts w:ascii="Times New Roman" w:hAnsi="Times New Roman" w:cs="Times New Roman"/>
        </w:rPr>
        <w:t xml:space="preserve"> i aby sporządzano dla nich sprawozdania z monitorowania wdrażania działań adaptacyjnych</w:t>
      </w:r>
      <w:r w:rsidR="006D7F4B" w:rsidRPr="00667967">
        <w:rPr>
          <w:rFonts w:ascii="Times New Roman" w:hAnsi="Times New Roman" w:cs="Times New Roman"/>
        </w:rPr>
        <w:t xml:space="preserve"> do zmian klimatu</w:t>
      </w:r>
      <w:r w:rsidRPr="00667967">
        <w:rPr>
          <w:rFonts w:ascii="Times New Roman" w:hAnsi="Times New Roman" w:cs="Times New Roman"/>
        </w:rPr>
        <w:t xml:space="preserve">. </w:t>
      </w:r>
    </w:p>
    <w:p w14:paraId="560DA411" w14:textId="77777777" w:rsidR="001114F4" w:rsidRPr="00667967" w:rsidRDefault="001114F4" w:rsidP="00595221">
      <w:pPr>
        <w:widowControl/>
        <w:spacing w:after="120" w:line="360" w:lineRule="auto"/>
        <w:jc w:val="both"/>
        <w:rPr>
          <w:rFonts w:ascii="Times New Roman" w:hAnsi="Times New Roman" w:cs="Times New Roman"/>
          <w:b/>
        </w:rPr>
      </w:pPr>
      <w:r w:rsidRPr="00667967">
        <w:rPr>
          <w:rFonts w:ascii="Times New Roman" w:hAnsi="Times New Roman" w:cs="Times New Roman"/>
          <w:b/>
        </w:rPr>
        <w:t>Zmiana art. 71 i 72</w:t>
      </w:r>
    </w:p>
    <w:p w14:paraId="645C009B" w14:textId="1EF7D218" w:rsidR="001114F4" w:rsidRPr="00667967" w:rsidRDefault="001114F4" w:rsidP="00595221">
      <w:pPr>
        <w:widowControl/>
        <w:spacing w:after="120" w:line="360" w:lineRule="auto"/>
        <w:jc w:val="both"/>
        <w:rPr>
          <w:rFonts w:ascii="Times New Roman" w:hAnsi="Times New Roman" w:cs="Times New Roman"/>
        </w:rPr>
      </w:pPr>
      <w:r w:rsidRPr="00667967">
        <w:rPr>
          <w:rFonts w:ascii="Times New Roman" w:hAnsi="Times New Roman" w:cs="Times New Roman"/>
        </w:rPr>
        <w:t xml:space="preserve">W projekcie odniesiono się również do kwestii niewystarczającego uwzględnienia polityk adaptacyjnych w tworzeniu i aktualizacji strategii rozwoju gmin, </w:t>
      </w:r>
      <w:r w:rsidR="00123A66" w:rsidRPr="00667967">
        <w:rPr>
          <w:rFonts w:ascii="Times New Roman" w:hAnsi="Times New Roman" w:cs="Times New Roman"/>
        </w:rPr>
        <w:t xml:space="preserve">strategii rozwoju ponadlokalnego, </w:t>
      </w:r>
      <w:r w:rsidRPr="00667967">
        <w:rPr>
          <w:rFonts w:ascii="Times New Roman" w:hAnsi="Times New Roman" w:cs="Times New Roman"/>
        </w:rPr>
        <w:t>miejs</w:t>
      </w:r>
      <w:r w:rsidR="00753A65" w:rsidRPr="00667967">
        <w:rPr>
          <w:rFonts w:ascii="Times New Roman" w:hAnsi="Times New Roman" w:cs="Times New Roman"/>
        </w:rPr>
        <w:t>cowych</w:t>
      </w:r>
      <w:r w:rsidRPr="00667967">
        <w:rPr>
          <w:rFonts w:ascii="Times New Roman" w:hAnsi="Times New Roman" w:cs="Times New Roman"/>
        </w:rPr>
        <w:t xml:space="preserve"> planów zagospodarowania przestrzennego oraz </w:t>
      </w:r>
      <w:r w:rsidR="00D2762A" w:rsidRPr="00667967">
        <w:rPr>
          <w:rFonts w:ascii="Times New Roman" w:hAnsi="Times New Roman" w:cs="Times New Roman"/>
        </w:rPr>
        <w:t>planów ogólnych</w:t>
      </w:r>
      <w:r w:rsidRPr="00667967">
        <w:rPr>
          <w:rFonts w:ascii="Times New Roman" w:hAnsi="Times New Roman" w:cs="Times New Roman"/>
        </w:rPr>
        <w:t xml:space="preserve"> gmin. Dokumenty te są podstawowymi źródłami kreującymi politykę rozwoju oraz planistyczną gmin. Istotne jest by strategia jako dokument określający ustalenia i rekomendacje w zakresie kształtowania i prowadzenia polityki przestrzennej w gminie, również wykazywał zgodność z </w:t>
      </w:r>
      <w:r w:rsidR="00521CFE" w:rsidRPr="00667967">
        <w:rPr>
          <w:rFonts w:ascii="Times New Roman" w:hAnsi="Times New Roman" w:cs="Times New Roman"/>
        </w:rPr>
        <w:t>MPA</w:t>
      </w:r>
      <w:r w:rsidRPr="00667967">
        <w:rPr>
          <w:rFonts w:ascii="Times New Roman" w:hAnsi="Times New Roman" w:cs="Times New Roman"/>
        </w:rPr>
        <w:t xml:space="preserve"> i tłumaczył wyrażone w tymże planie postulaty na język określonych wytycznych do zastosowania w ramach realizacji polityki przestrzennej.</w:t>
      </w:r>
    </w:p>
    <w:p w14:paraId="389031BF" w14:textId="7B8FC35D" w:rsidR="001114F4" w:rsidRPr="00667967" w:rsidRDefault="001114F4" w:rsidP="00595221">
      <w:pPr>
        <w:widowControl/>
        <w:shd w:val="clear" w:color="auto" w:fill="FFFFFF"/>
        <w:spacing w:after="120" w:line="360" w:lineRule="auto"/>
        <w:jc w:val="both"/>
        <w:rPr>
          <w:rFonts w:ascii="Times New Roman" w:hAnsi="Times New Roman" w:cs="Times New Roman"/>
        </w:rPr>
      </w:pPr>
      <w:r w:rsidRPr="00667967">
        <w:rPr>
          <w:rFonts w:ascii="Times New Roman" w:hAnsi="Times New Roman" w:cs="Times New Roman"/>
        </w:rPr>
        <w:t>Mając na względzie wagę zagrożeń, jakie dla funkcjonowania miast niosą ze sobą zmiany klimatu, proponuje</w:t>
      </w:r>
      <w:r w:rsidR="00CD0E78" w:rsidRPr="00667967">
        <w:rPr>
          <w:rFonts w:ascii="Times New Roman" w:hAnsi="Times New Roman" w:cs="Times New Roman"/>
        </w:rPr>
        <w:t xml:space="preserve"> się</w:t>
      </w:r>
      <w:r w:rsidRPr="00667967">
        <w:rPr>
          <w:rFonts w:ascii="Times New Roman" w:hAnsi="Times New Roman" w:cs="Times New Roman"/>
        </w:rPr>
        <w:t xml:space="preserve"> zastosowanie bardziej wymagających regulacji dotyczących respektowania celów określonych w </w:t>
      </w:r>
      <w:r w:rsidR="002C7807" w:rsidRPr="00667967">
        <w:rPr>
          <w:rFonts w:ascii="Times New Roman" w:hAnsi="Times New Roman" w:cs="Times New Roman"/>
        </w:rPr>
        <w:t>MPA</w:t>
      </w:r>
      <w:r w:rsidRPr="00667967">
        <w:rPr>
          <w:rFonts w:ascii="Times New Roman" w:hAnsi="Times New Roman" w:cs="Times New Roman"/>
        </w:rPr>
        <w:t>. Zaproponowane rozwiązanie określa działania zmniejszające podatność na zmiany klimatu, a w szczególności rekomendacje i wnioski zawarte w</w:t>
      </w:r>
      <w:r w:rsidR="0002469B" w:rsidRPr="00667967">
        <w:rPr>
          <w:rFonts w:ascii="Times New Roman" w:hAnsi="Times New Roman" w:cs="Times New Roman"/>
        </w:rPr>
        <w:t> </w:t>
      </w:r>
      <w:r w:rsidR="009115D9">
        <w:rPr>
          <w:rFonts w:ascii="Times New Roman" w:hAnsi="Times New Roman" w:cs="Times New Roman"/>
        </w:rPr>
        <w:t>MPA</w:t>
      </w:r>
      <w:r w:rsidRPr="00667967">
        <w:rPr>
          <w:rFonts w:ascii="Times New Roman" w:hAnsi="Times New Roman" w:cs="Times New Roman"/>
        </w:rPr>
        <w:t xml:space="preserve"> jako jeden z kluczowych elementów polityki gminnej. Oznacza to, że ustalenia lub rekomendacje określone w strategiach, </w:t>
      </w:r>
      <w:r w:rsidR="00D2762A" w:rsidRPr="00667967">
        <w:rPr>
          <w:rFonts w:ascii="Times New Roman" w:hAnsi="Times New Roman" w:cs="Times New Roman"/>
        </w:rPr>
        <w:t>planach ogólnych</w:t>
      </w:r>
      <w:r w:rsidRPr="00667967">
        <w:rPr>
          <w:rFonts w:ascii="Times New Roman" w:hAnsi="Times New Roman" w:cs="Times New Roman"/>
        </w:rPr>
        <w:t xml:space="preserve"> gmin oraz miejscowych plan</w:t>
      </w:r>
      <w:r w:rsidR="00C37E35" w:rsidRPr="00667967">
        <w:rPr>
          <w:rFonts w:ascii="Times New Roman" w:hAnsi="Times New Roman" w:cs="Times New Roman"/>
        </w:rPr>
        <w:t>ach</w:t>
      </w:r>
      <w:r w:rsidRPr="00667967">
        <w:rPr>
          <w:rFonts w:ascii="Times New Roman" w:hAnsi="Times New Roman" w:cs="Times New Roman"/>
        </w:rPr>
        <w:t xml:space="preserve"> zagospodarowania przestrzennego nie mogą być sprzeczne z celami wyznaczonymi w </w:t>
      </w:r>
      <w:r w:rsidR="009115D9">
        <w:rPr>
          <w:rFonts w:ascii="Times New Roman" w:hAnsi="Times New Roman" w:cs="Times New Roman"/>
        </w:rPr>
        <w:t>MPA</w:t>
      </w:r>
      <w:r w:rsidRPr="00667967">
        <w:rPr>
          <w:rFonts w:ascii="Times New Roman" w:hAnsi="Times New Roman" w:cs="Times New Roman"/>
        </w:rPr>
        <w:t xml:space="preserve">, tym samym nie mogą wpływać negatywnie na </w:t>
      </w:r>
      <w:r w:rsidR="00595FD1" w:rsidRPr="00667967">
        <w:rPr>
          <w:rFonts w:ascii="Times New Roman" w:hAnsi="Times New Roman" w:cs="Times New Roman"/>
        </w:rPr>
        <w:t xml:space="preserve">mierniki </w:t>
      </w:r>
      <w:r w:rsidRPr="00667967">
        <w:rPr>
          <w:rFonts w:ascii="Times New Roman" w:hAnsi="Times New Roman" w:cs="Times New Roman"/>
        </w:rPr>
        <w:t xml:space="preserve">realizacji celów określonych w tych planach. Zaproponowane rozwiązanie sprawi, że MPA w miastach, dla których zostały przygotowane, będą miały bezpośrednie przełożenie na wygląd i układ przestrzenny, a także poprawią wdrażanie działań adaptacyjnych, umożliwiając ich zastosowanie również w ramach prac na niższych szczeblach administracji. </w:t>
      </w:r>
    </w:p>
    <w:p w14:paraId="0ED13465" w14:textId="5546C616" w:rsidR="001114F4" w:rsidRPr="00667967" w:rsidRDefault="001114F4" w:rsidP="00595221">
      <w:pPr>
        <w:widowControl/>
        <w:spacing w:after="120" w:line="360" w:lineRule="auto"/>
        <w:jc w:val="both"/>
        <w:rPr>
          <w:rFonts w:ascii="Times New Roman" w:hAnsi="Times New Roman" w:cs="Times New Roman"/>
        </w:rPr>
      </w:pPr>
      <w:r w:rsidRPr="00667967">
        <w:rPr>
          <w:rFonts w:ascii="Times New Roman" w:hAnsi="Times New Roman" w:cs="Times New Roman"/>
        </w:rPr>
        <w:lastRenderedPageBreak/>
        <w:t xml:space="preserve">W art. 71 zawarto ogólne wskazówki odnośnie do uwzględniania kwestii ochrony środowiska w wymienionych w ust. 1 dokumentach związanych z planowaniem i zagospodarowaniem przestrzennym. Przepis ust. 1 tego artykułu wskazuje, jakie aspekty należy wziąć pod uwagę przy opracowaniu dokumentów planistycznych – są to zasady zrównoważonego rozwoju i ochrony środowiska. Dotychczas nie uwzględniano w nich zagadnień dotyczących adaptacji do zmian klimatu, które w ostatnich latach ze względu na postępowanie tych zmian stały się kluczowym elementem polityk dotyczących rozwoju miast i planowania przestrzennego. </w:t>
      </w:r>
    </w:p>
    <w:p w14:paraId="0AD3CF86" w14:textId="172A2B36" w:rsidR="001114F4" w:rsidRPr="00667967" w:rsidRDefault="001114F4" w:rsidP="00595221">
      <w:pPr>
        <w:widowControl/>
        <w:spacing w:after="120" w:line="360" w:lineRule="auto"/>
        <w:jc w:val="both"/>
        <w:rPr>
          <w:rFonts w:ascii="Times New Roman" w:hAnsi="Times New Roman" w:cs="Times New Roman"/>
        </w:rPr>
      </w:pPr>
      <w:r w:rsidRPr="00667967">
        <w:rPr>
          <w:rFonts w:ascii="Times New Roman" w:hAnsi="Times New Roman" w:cs="Times New Roman"/>
        </w:rPr>
        <w:t>Wprowadzenie omawianej zmiany będzie miało realny wpływ na bardziej zrównoważone kształtowanie przestrzeni miejskich, a tym samym będzie konsekwentnie zwiększało odporność miast i terenów zurbanizowanych na zmiany klimatu. Zmiany klimatu silnie wpływają na komfort życia mieszkańców gmin miejskich, dlatego wdrażanie działań adaptacyjnych znajduje oparcie</w:t>
      </w:r>
      <w:r w:rsidR="00667967">
        <w:rPr>
          <w:rFonts w:ascii="Times New Roman" w:hAnsi="Times New Roman" w:cs="Times New Roman"/>
        </w:rPr>
        <w:t xml:space="preserve"> </w:t>
      </w:r>
      <w:r w:rsidRPr="00667967">
        <w:rPr>
          <w:rFonts w:ascii="Times New Roman" w:hAnsi="Times New Roman" w:cs="Times New Roman"/>
        </w:rPr>
        <w:t>w szeroko pojętym interesie publicznym zawierającym się w dążeniu do zapewnienia jak najkorzystniejszych warunków bytowania człowieka. Zmiana wymaga regulacji przejściowych (art.</w:t>
      </w:r>
      <w:r w:rsidR="0002469B" w:rsidRPr="00667967">
        <w:rPr>
          <w:rFonts w:ascii="Times New Roman" w:hAnsi="Times New Roman" w:cs="Times New Roman"/>
        </w:rPr>
        <w:t> </w:t>
      </w:r>
      <w:r w:rsidR="000D6A02" w:rsidRPr="00667967">
        <w:rPr>
          <w:rFonts w:ascii="Times New Roman" w:hAnsi="Times New Roman" w:cs="Times New Roman"/>
        </w:rPr>
        <w:t>2</w:t>
      </w:r>
      <w:r w:rsidR="002C7807" w:rsidRPr="00667967">
        <w:rPr>
          <w:rFonts w:ascii="Times New Roman" w:hAnsi="Times New Roman" w:cs="Times New Roman"/>
        </w:rPr>
        <w:t>6</w:t>
      </w:r>
      <w:r w:rsidR="000D6A02" w:rsidRPr="00667967">
        <w:rPr>
          <w:rFonts w:ascii="Times New Roman" w:hAnsi="Times New Roman" w:cs="Times New Roman"/>
        </w:rPr>
        <w:t xml:space="preserve"> </w:t>
      </w:r>
      <w:r w:rsidRPr="00667967">
        <w:rPr>
          <w:rFonts w:ascii="Times New Roman" w:hAnsi="Times New Roman" w:cs="Times New Roman"/>
        </w:rPr>
        <w:t xml:space="preserve">projektu ustawy), proponuje się zatem, by </w:t>
      </w:r>
      <w:r w:rsidR="00D2762A" w:rsidRPr="00667967">
        <w:rPr>
          <w:rFonts w:ascii="Times New Roman" w:hAnsi="Times New Roman" w:cs="Times New Roman"/>
        </w:rPr>
        <w:t>plany ogólne gmin</w:t>
      </w:r>
      <w:r w:rsidRPr="00667967">
        <w:rPr>
          <w:rFonts w:ascii="Times New Roman" w:hAnsi="Times New Roman" w:cs="Times New Roman"/>
        </w:rPr>
        <w:t xml:space="preserve"> oraz miejscowe plany zagospodarowania przestrzennego obowiązujące w dniu wejścia w życie ustawy zachowały swoją moc. Przyjęcie MPA nie wymaga natychmiastowej aktualizacji tych dokumentów. Do strategii, </w:t>
      </w:r>
      <w:r w:rsidR="00D2762A" w:rsidRPr="00667967">
        <w:rPr>
          <w:rFonts w:ascii="Times New Roman" w:hAnsi="Times New Roman" w:cs="Times New Roman"/>
        </w:rPr>
        <w:t>planów ogólnych</w:t>
      </w:r>
      <w:r w:rsidRPr="00667967">
        <w:rPr>
          <w:rFonts w:ascii="Times New Roman" w:hAnsi="Times New Roman" w:cs="Times New Roman"/>
        </w:rPr>
        <w:t xml:space="preserve"> gmin oraz miejscowych planów zagospodarowania przestrzennego, co do których przed dniem uchwalenia MPA tych gmin rozpoczęto proces opiniowania lub uzgadniania, stos</w:t>
      </w:r>
      <w:r w:rsidR="00CD0E78" w:rsidRPr="00667967">
        <w:rPr>
          <w:rFonts w:ascii="Times New Roman" w:hAnsi="Times New Roman" w:cs="Times New Roman"/>
        </w:rPr>
        <w:t>ować</w:t>
      </w:r>
      <w:r w:rsidRPr="00667967">
        <w:rPr>
          <w:rFonts w:ascii="Times New Roman" w:hAnsi="Times New Roman" w:cs="Times New Roman"/>
        </w:rPr>
        <w:t xml:space="preserve"> się </w:t>
      </w:r>
      <w:r w:rsidR="00CD0E78" w:rsidRPr="00667967">
        <w:rPr>
          <w:rFonts w:ascii="Times New Roman" w:hAnsi="Times New Roman" w:cs="Times New Roman"/>
        </w:rPr>
        <w:t xml:space="preserve">będzie </w:t>
      </w:r>
      <w:r w:rsidRPr="00667967">
        <w:rPr>
          <w:rFonts w:ascii="Times New Roman" w:hAnsi="Times New Roman" w:cs="Times New Roman"/>
        </w:rPr>
        <w:t xml:space="preserve">przepisy dotychczasowe. </w:t>
      </w:r>
    </w:p>
    <w:p w14:paraId="7ACD106F" w14:textId="3E890A1C" w:rsidR="001114F4" w:rsidRPr="00667967" w:rsidRDefault="001114F4" w:rsidP="00595221">
      <w:pPr>
        <w:widowControl/>
        <w:spacing w:after="120" w:line="360" w:lineRule="auto"/>
        <w:jc w:val="both"/>
        <w:rPr>
          <w:rFonts w:ascii="Times New Roman" w:hAnsi="Times New Roman" w:cs="Times New Roman"/>
        </w:rPr>
      </w:pPr>
      <w:r w:rsidRPr="00667967">
        <w:rPr>
          <w:rFonts w:ascii="Times New Roman" w:hAnsi="Times New Roman" w:cs="Times New Roman"/>
        </w:rPr>
        <w:t>Przepisy przejściowe dotyczące strategii rozwoju gmin</w:t>
      </w:r>
      <w:r w:rsidR="00A12818" w:rsidRPr="00667967">
        <w:rPr>
          <w:rFonts w:ascii="Times New Roman" w:hAnsi="Times New Roman" w:cs="Times New Roman"/>
        </w:rPr>
        <w:t>y, strategii rozwoju ponadlokalnego, strategii rozwoju województwa i strategii rozwoju związku metropolitalnego</w:t>
      </w:r>
      <w:r w:rsidRPr="00667967">
        <w:rPr>
          <w:rFonts w:ascii="Times New Roman" w:hAnsi="Times New Roman" w:cs="Times New Roman"/>
        </w:rPr>
        <w:t xml:space="preserve"> zostały zawarte w art. </w:t>
      </w:r>
      <w:r w:rsidR="006D7F4B" w:rsidRPr="00667967">
        <w:rPr>
          <w:rFonts w:ascii="Times New Roman" w:hAnsi="Times New Roman" w:cs="Times New Roman"/>
        </w:rPr>
        <w:t xml:space="preserve">28 </w:t>
      </w:r>
      <w:r w:rsidR="007410ED" w:rsidRPr="00667967">
        <w:rPr>
          <w:rFonts w:ascii="Times New Roman" w:hAnsi="Times New Roman" w:cs="Times New Roman"/>
        </w:rPr>
        <w:t xml:space="preserve">ust. 2 </w:t>
      </w:r>
      <w:r w:rsidRPr="00667967">
        <w:rPr>
          <w:rFonts w:ascii="Times New Roman" w:hAnsi="Times New Roman" w:cs="Times New Roman"/>
        </w:rPr>
        <w:t xml:space="preserve">projektu ustawy, zgodnie z którym do </w:t>
      </w:r>
      <w:r w:rsidR="00A12818" w:rsidRPr="00667967">
        <w:rPr>
          <w:rFonts w:ascii="Times New Roman" w:hAnsi="Times New Roman" w:cs="Times New Roman"/>
        </w:rPr>
        <w:t>spraw dotyczących opracowania i uchwalania tych strategii oraz ich zmian</w:t>
      </w:r>
      <w:r w:rsidR="00A12818" w:rsidRPr="00667967" w:rsidDel="00A12818">
        <w:rPr>
          <w:rFonts w:ascii="Times New Roman" w:hAnsi="Times New Roman" w:cs="Times New Roman"/>
        </w:rPr>
        <w:t xml:space="preserve"> </w:t>
      </w:r>
      <w:r w:rsidRPr="00667967">
        <w:rPr>
          <w:rFonts w:ascii="Times New Roman" w:hAnsi="Times New Roman" w:cs="Times New Roman"/>
        </w:rPr>
        <w:t>stos</w:t>
      </w:r>
      <w:r w:rsidR="00CD0E78" w:rsidRPr="00667967">
        <w:rPr>
          <w:rFonts w:ascii="Times New Roman" w:hAnsi="Times New Roman" w:cs="Times New Roman"/>
        </w:rPr>
        <w:t>ować</w:t>
      </w:r>
      <w:r w:rsidRPr="00667967">
        <w:rPr>
          <w:rFonts w:ascii="Times New Roman" w:hAnsi="Times New Roman" w:cs="Times New Roman"/>
        </w:rPr>
        <w:t xml:space="preserve"> się</w:t>
      </w:r>
      <w:r w:rsidR="00CD0E78" w:rsidRPr="00667967">
        <w:rPr>
          <w:rFonts w:ascii="Times New Roman" w:hAnsi="Times New Roman" w:cs="Times New Roman"/>
        </w:rPr>
        <w:t xml:space="preserve"> będzie</w:t>
      </w:r>
      <w:r w:rsidRPr="00667967">
        <w:rPr>
          <w:rFonts w:ascii="Times New Roman" w:hAnsi="Times New Roman" w:cs="Times New Roman"/>
        </w:rPr>
        <w:t xml:space="preserve"> przepisy dotychczasowe.</w:t>
      </w:r>
    </w:p>
    <w:p w14:paraId="1C756BFD" w14:textId="77777777" w:rsidR="00811934" w:rsidRPr="00667967" w:rsidRDefault="00811934" w:rsidP="00595221">
      <w:pPr>
        <w:widowControl/>
        <w:spacing w:after="120" w:line="360" w:lineRule="auto"/>
        <w:jc w:val="both"/>
        <w:rPr>
          <w:rFonts w:ascii="Times New Roman" w:hAnsi="Times New Roman" w:cs="Times New Roman"/>
          <w:b/>
          <w:bCs/>
        </w:rPr>
      </w:pPr>
      <w:r w:rsidRPr="00667967">
        <w:rPr>
          <w:rFonts w:ascii="Times New Roman" w:hAnsi="Times New Roman" w:cs="Times New Roman"/>
          <w:b/>
          <w:bCs/>
        </w:rPr>
        <w:t>Zmiana art. 88 ust. 7</w:t>
      </w:r>
    </w:p>
    <w:p w14:paraId="32C6841A" w14:textId="0E9CBD48" w:rsidR="00811934" w:rsidRPr="00667967" w:rsidRDefault="00C910A0" w:rsidP="00595221">
      <w:pPr>
        <w:widowControl/>
        <w:spacing w:after="120" w:line="360" w:lineRule="auto"/>
        <w:jc w:val="both"/>
        <w:rPr>
          <w:rFonts w:ascii="Times New Roman" w:hAnsi="Times New Roman" w:cs="Times New Roman"/>
        </w:rPr>
      </w:pPr>
      <w:r w:rsidRPr="00667967">
        <w:rPr>
          <w:rFonts w:ascii="Times New Roman" w:hAnsi="Times New Roman" w:cs="Times New Roman"/>
        </w:rPr>
        <w:t xml:space="preserve">Zmiana przepisu ma charakter porządkujący i jest związana z użyciem </w:t>
      </w:r>
      <w:r w:rsidR="0054586D" w:rsidRPr="00667967">
        <w:rPr>
          <w:rFonts w:ascii="Times New Roman" w:hAnsi="Times New Roman" w:cs="Times New Roman"/>
        </w:rPr>
        <w:t xml:space="preserve">po raz pierwszy </w:t>
      </w:r>
      <w:r w:rsidRPr="00667967">
        <w:rPr>
          <w:rFonts w:ascii="Times New Roman" w:hAnsi="Times New Roman" w:cs="Times New Roman"/>
        </w:rPr>
        <w:t>w ustawie Poś wyrażenia</w:t>
      </w:r>
      <w:r w:rsidR="00811934" w:rsidRPr="00667967">
        <w:rPr>
          <w:rFonts w:ascii="Times New Roman" w:hAnsi="Times New Roman" w:cs="Times New Roman"/>
        </w:rPr>
        <w:t xml:space="preserve"> </w:t>
      </w:r>
      <w:r w:rsidRPr="00667967">
        <w:rPr>
          <w:rFonts w:ascii="Times New Roman" w:hAnsi="Times New Roman" w:cs="Times New Roman"/>
        </w:rPr>
        <w:t>„</w:t>
      </w:r>
      <w:r w:rsidR="00811934" w:rsidRPr="00667967">
        <w:rPr>
          <w:rFonts w:ascii="Times New Roman" w:hAnsi="Times New Roman" w:cs="Times New Roman"/>
        </w:rPr>
        <w:t>Instytut Ochrony Środowiska – Państwowy Instytut Badawczy</w:t>
      </w:r>
      <w:r w:rsidRPr="00667967">
        <w:rPr>
          <w:rFonts w:ascii="Times New Roman" w:hAnsi="Times New Roman" w:cs="Times New Roman"/>
        </w:rPr>
        <w:t>”</w:t>
      </w:r>
      <w:r w:rsidR="00811934" w:rsidRPr="00667967">
        <w:rPr>
          <w:rFonts w:ascii="Times New Roman" w:hAnsi="Times New Roman" w:cs="Times New Roman"/>
        </w:rPr>
        <w:t xml:space="preserve"> </w:t>
      </w:r>
      <w:r w:rsidRPr="00667967">
        <w:rPr>
          <w:rFonts w:ascii="Times New Roman" w:hAnsi="Times New Roman" w:cs="Times New Roman"/>
        </w:rPr>
        <w:t>w</w:t>
      </w:r>
      <w:r w:rsidR="006132D2" w:rsidRPr="00667967">
        <w:rPr>
          <w:rFonts w:ascii="Times New Roman" w:hAnsi="Times New Roman" w:cs="Times New Roman"/>
        </w:rPr>
        <w:t> </w:t>
      </w:r>
      <w:r w:rsidRPr="00667967">
        <w:rPr>
          <w:rFonts w:ascii="Times New Roman" w:hAnsi="Times New Roman" w:cs="Times New Roman"/>
        </w:rPr>
        <w:t>nowododawanym art. 18</w:t>
      </w:r>
      <w:r w:rsidR="006B6CEF" w:rsidRPr="00667967">
        <w:rPr>
          <w:rFonts w:ascii="Times New Roman" w:hAnsi="Times New Roman" w:cs="Times New Roman"/>
        </w:rPr>
        <w:t>b</w:t>
      </w:r>
      <w:r w:rsidRPr="00667967">
        <w:rPr>
          <w:rFonts w:ascii="Times New Roman" w:hAnsi="Times New Roman" w:cs="Times New Roman"/>
        </w:rPr>
        <w:t>.</w:t>
      </w:r>
      <w:r w:rsidR="0054586D" w:rsidRPr="00667967">
        <w:rPr>
          <w:rFonts w:ascii="Times New Roman" w:hAnsi="Times New Roman" w:cs="Times New Roman"/>
        </w:rPr>
        <w:t xml:space="preserve"> </w:t>
      </w:r>
    </w:p>
    <w:p w14:paraId="27FC5A7A" w14:textId="77777777" w:rsidR="001114F4" w:rsidRPr="00667967" w:rsidRDefault="001114F4" w:rsidP="00595221">
      <w:pPr>
        <w:keepNext/>
        <w:widowControl/>
        <w:spacing w:after="120" w:line="360" w:lineRule="auto"/>
        <w:jc w:val="both"/>
        <w:rPr>
          <w:rFonts w:ascii="Times New Roman" w:hAnsi="Times New Roman" w:cs="Times New Roman"/>
          <w:b/>
          <w:bCs/>
        </w:rPr>
      </w:pPr>
      <w:r w:rsidRPr="00667967">
        <w:rPr>
          <w:rFonts w:ascii="Times New Roman" w:hAnsi="Times New Roman" w:cs="Times New Roman"/>
          <w:b/>
          <w:bCs/>
        </w:rPr>
        <w:t>Zmiana art. 91 ust. 9c</w:t>
      </w:r>
    </w:p>
    <w:p w14:paraId="1727C062" w14:textId="2D556C54" w:rsidR="001114F4" w:rsidRPr="00667967" w:rsidRDefault="001114F4" w:rsidP="00595221">
      <w:pPr>
        <w:widowControl/>
        <w:spacing w:after="120" w:line="360" w:lineRule="auto"/>
        <w:jc w:val="both"/>
        <w:rPr>
          <w:rFonts w:ascii="Times New Roman" w:hAnsi="Times New Roman" w:cs="Times New Roman"/>
        </w:rPr>
      </w:pPr>
      <w:r w:rsidRPr="00667967">
        <w:rPr>
          <w:rFonts w:ascii="Times New Roman" w:hAnsi="Times New Roman" w:cs="Times New Roman"/>
        </w:rPr>
        <w:t xml:space="preserve">W </w:t>
      </w:r>
      <w:r w:rsidR="00CD0E78" w:rsidRPr="00667967">
        <w:rPr>
          <w:rFonts w:ascii="Times New Roman" w:hAnsi="Times New Roman" w:cs="Times New Roman"/>
        </w:rPr>
        <w:t xml:space="preserve">efekcie zmiany brzmienia </w:t>
      </w:r>
      <w:r w:rsidRPr="00667967">
        <w:rPr>
          <w:rFonts w:ascii="Times New Roman" w:hAnsi="Times New Roman" w:cs="Times New Roman"/>
        </w:rPr>
        <w:t xml:space="preserve">art. 91 </w:t>
      </w:r>
      <w:r w:rsidR="00CD0E78" w:rsidRPr="00667967">
        <w:rPr>
          <w:rFonts w:ascii="Times New Roman" w:hAnsi="Times New Roman" w:cs="Times New Roman"/>
        </w:rPr>
        <w:t xml:space="preserve">ust. 9c </w:t>
      </w:r>
      <w:r w:rsidRPr="00667967">
        <w:rPr>
          <w:rFonts w:ascii="Times New Roman" w:hAnsi="Times New Roman" w:cs="Times New Roman"/>
        </w:rPr>
        <w:t xml:space="preserve">ustawy Poś </w:t>
      </w:r>
      <w:r w:rsidR="00CD0E78" w:rsidRPr="00667967">
        <w:rPr>
          <w:rFonts w:ascii="Times New Roman" w:hAnsi="Times New Roman" w:cs="Times New Roman"/>
        </w:rPr>
        <w:t>z</w:t>
      </w:r>
      <w:r w:rsidRPr="00667967">
        <w:rPr>
          <w:rFonts w:ascii="Times New Roman" w:hAnsi="Times New Roman" w:cs="Times New Roman"/>
        </w:rPr>
        <w:t xml:space="preserve">arząd województwa </w:t>
      </w:r>
      <w:r w:rsidR="002B431F" w:rsidRPr="00667967">
        <w:rPr>
          <w:rFonts w:ascii="Times New Roman" w:hAnsi="Times New Roman" w:cs="Times New Roman"/>
        </w:rPr>
        <w:t xml:space="preserve">będzie </w:t>
      </w:r>
      <w:r w:rsidRPr="00667967">
        <w:rPr>
          <w:rFonts w:ascii="Times New Roman" w:hAnsi="Times New Roman" w:cs="Times New Roman"/>
        </w:rPr>
        <w:t>zobowiązany opracować projekt aktualizacji programu ochrony powietrza w terminie 4 lat od dnia wejścia w</w:t>
      </w:r>
      <w:r w:rsidR="006132D2" w:rsidRPr="00667967">
        <w:rPr>
          <w:rFonts w:ascii="Times New Roman" w:hAnsi="Times New Roman" w:cs="Times New Roman"/>
        </w:rPr>
        <w:t> </w:t>
      </w:r>
      <w:r w:rsidRPr="00667967">
        <w:rPr>
          <w:rFonts w:ascii="Times New Roman" w:hAnsi="Times New Roman" w:cs="Times New Roman"/>
        </w:rPr>
        <w:t xml:space="preserve">życie uchwały sejmiku województwa w sprawie programu ochrony powietrza, o którym mowa w art. 91 tej ustawy, a nie jak ma to miejsce dotychczas w terminie 3 lat od </w:t>
      </w:r>
      <w:r w:rsidRPr="00667967">
        <w:rPr>
          <w:rFonts w:ascii="Times New Roman" w:hAnsi="Times New Roman" w:cs="Times New Roman"/>
        </w:rPr>
        <w:lastRenderedPageBreak/>
        <w:t>dnia wejścia w życie takiej uchwały. Dodatkowo zmienia się termin z 2 na 3 miesiące na określenie przez sejmik województwa w drodze uchwały aktualizacji programu ochrony powietrza.</w:t>
      </w:r>
    </w:p>
    <w:p w14:paraId="6B0C1CB5" w14:textId="77777777" w:rsidR="001114F4" w:rsidRPr="00667967" w:rsidRDefault="001114F4" w:rsidP="00595221">
      <w:pPr>
        <w:widowControl/>
        <w:spacing w:after="120" w:line="360" w:lineRule="auto"/>
        <w:jc w:val="both"/>
        <w:rPr>
          <w:rFonts w:ascii="Times New Roman" w:hAnsi="Times New Roman" w:cs="Times New Roman"/>
        </w:rPr>
      </w:pPr>
      <w:r w:rsidRPr="00667967">
        <w:rPr>
          <w:rFonts w:ascii="Times New Roman" w:hAnsi="Times New Roman" w:cs="Times New Roman"/>
        </w:rPr>
        <w:t xml:space="preserve">Zmiana terminu opracowania projektu aktualizacji programu ochrony powietrza oraz terminu jego przyjęcia w drodze uchwały sejmiku województwa wynika z faktu zgłaszania przez zarządy województw problemów z wykazaniem osiągniętych efektów rzeczowych i ekologicznych realizowanych działań naprawczych określonych w programach ochrony powietrza. </w:t>
      </w:r>
    </w:p>
    <w:p w14:paraId="4AB632EE" w14:textId="47C87BB3" w:rsidR="001114F4" w:rsidRPr="00667967" w:rsidRDefault="001114F4" w:rsidP="00595221">
      <w:pPr>
        <w:widowControl/>
        <w:spacing w:after="120" w:line="360" w:lineRule="auto"/>
        <w:jc w:val="both"/>
        <w:rPr>
          <w:rFonts w:ascii="Times New Roman" w:hAnsi="Times New Roman" w:cs="Times New Roman"/>
        </w:rPr>
      </w:pPr>
      <w:r w:rsidRPr="00667967">
        <w:rPr>
          <w:rFonts w:ascii="Times New Roman" w:hAnsi="Times New Roman" w:cs="Times New Roman"/>
        </w:rPr>
        <w:t>W związku z powyższym, wychodząc naprzeciw oczekiwaniom samorządów województw, zmieniono terminy realizacji obowiązku, o którym mowa w art. 91 ust. 9c ww. ustawy, tak aby możliwe było przeprowadzenie oceny stopnia wdrażania działań naprawczych w nim określonych na podstawie wyników dwóch następujących po sobie ocen jakości powietrza, przeprowadzanych przez Główn</w:t>
      </w:r>
      <w:r w:rsidR="0042224B" w:rsidRPr="00667967">
        <w:rPr>
          <w:rFonts w:ascii="Times New Roman" w:hAnsi="Times New Roman" w:cs="Times New Roman"/>
        </w:rPr>
        <w:t>ego</w:t>
      </w:r>
      <w:r w:rsidRPr="00667967">
        <w:rPr>
          <w:rFonts w:ascii="Times New Roman" w:hAnsi="Times New Roman" w:cs="Times New Roman"/>
        </w:rPr>
        <w:t xml:space="preserve"> Inspektora Ochrony Środowiska.</w:t>
      </w:r>
    </w:p>
    <w:p w14:paraId="4A603C99" w14:textId="7E8E38E2" w:rsidR="000D6A02" w:rsidRPr="00667967" w:rsidRDefault="000D6A02" w:rsidP="00595221">
      <w:pPr>
        <w:widowControl/>
        <w:spacing w:after="120" w:line="360" w:lineRule="auto"/>
        <w:jc w:val="both"/>
        <w:rPr>
          <w:rFonts w:ascii="Times New Roman" w:hAnsi="Times New Roman" w:cs="Times New Roman"/>
          <w:b/>
        </w:rPr>
      </w:pPr>
      <w:r w:rsidRPr="00667967">
        <w:rPr>
          <w:rFonts w:ascii="Times New Roman" w:hAnsi="Times New Roman" w:cs="Times New Roman"/>
          <w:b/>
        </w:rPr>
        <w:t>Zmiana art. 400d, 400f, 400i oraz 400j</w:t>
      </w:r>
    </w:p>
    <w:p w14:paraId="77D94EF9" w14:textId="19F030A8" w:rsidR="00DA55B0" w:rsidRPr="00667967" w:rsidRDefault="00DA55B0" w:rsidP="00595221">
      <w:pPr>
        <w:widowControl/>
        <w:spacing w:after="120" w:line="360" w:lineRule="auto"/>
        <w:jc w:val="both"/>
        <w:rPr>
          <w:rFonts w:ascii="Times New Roman" w:hAnsi="Times New Roman" w:cs="Times New Roman"/>
          <w:bCs/>
        </w:rPr>
      </w:pPr>
      <w:r w:rsidRPr="00667967">
        <w:rPr>
          <w:rFonts w:ascii="Times New Roman" w:hAnsi="Times New Roman" w:cs="Times New Roman"/>
          <w:bCs/>
        </w:rPr>
        <w:t xml:space="preserve">Zmienia się ust. 2 pkt 5 przez wskazanie, że w skład rady nadzorczej Narodowego Funduszu Ochrony Środowiska i Gospodarki Wodnej (NFOŚiGW) wchodzi przedstawiciel </w:t>
      </w:r>
      <w:r w:rsidR="00743E67" w:rsidRPr="00667967">
        <w:rPr>
          <w:rFonts w:ascii="Times New Roman" w:hAnsi="Times New Roman" w:cs="Times New Roman"/>
          <w:bCs/>
        </w:rPr>
        <w:t xml:space="preserve">organizacji pozarządowych </w:t>
      </w:r>
      <w:r w:rsidRPr="00667967">
        <w:rPr>
          <w:rFonts w:ascii="Times New Roman" w:hAnsi="Times New Roman" w:cs="Times New Roman"/>
          <w:bCs/>
        </w:rPr>
        <w:t>działających na rzecz</w:t>
      </w:r>
      <w:r w:rsidR="0002469B" w:rsidRPr="00667967">
        <w:rPr>
          <w:rFonts w:ascii="Times New Roman" w:hAnsi="Times New Roman" w:cs="Times New Roman"/>
          <w:bCs/>
        </w:rPr>
        <w:t xml:space="preserve"> ochrony</w:t>
      </w:r>
      <w:r w:rsidRPr="00667967">
        <w:rPr>
          <w:rFonts w:ascii="Times New Roman" w:hAnsi="Times New Roman" w:cs="Times New Roman"/>
          <w:bCs/>
        </w:rPr>
        <w:t xml:space="preserve"> klimatu, ochrony środowiska lub </w:t>
      </w:r>
      <w:r w:rsidR="0002469B" w:rsidRPr="00667967">
        <w:rPr>
          <w:rFonts w:ascii="Times New Roman" w:hAnsi="Times New Roman" w:cs="Times New Roman"/>
          <w:bCs/>
        </w:rPr>
        <w:t xml:space="preserve">odnawialnych źródeł </w:t>
      </w:r>
      <w:r w:rsidRPr="00667967">
        <w:rPr>
          <w:rFonts w:ascii="Times New Roman" w:hAnsi="Times New Roman" w:cs="Times New Roman"/>
          <w:bCs/>
        </w:rPr>
        <w:t>energii. Zasadn</w:t>
      </w:r>
      <w:r w:rsidR="0078418C" w:rsidRPr="00667967">
        <w:rPr>
          <w:rFonts w:ascii="Times New Roman" w:hAnsi="Times New Roman" w:cs="Times New Roman"/>
          <w:bCs/>
        </w:rPr>
        <w:t>e</w:t>
      </w:r>
      <w:r w:rsidRPr="00667967">
        <w:rPr>
          <w:rFonts w:ascii="Times New Roman" w:hAnsi="Times New Roman" w:cs="Times New Roman"/>
          <w:bCs/>
        </w:rPr>
        <w:t xml:space="preserve"> jest bowiem, żeby działania takiej organizacji korespondowały z</w:t>
      </w:r>
      <w:r w:rsidR="0002469B" w:rsidRPr="00667967">
        <w:rPr>
          <w:rFonts w:ascii="Times New Roman" w:hAnsi="Times New Roman" w:cs="Times New Roman"/>
          <w:bCs/>
        </w:rPr>
        <w:t> </w:t>
      </w:r>
      <w:r w:rsidRPr="00667967">
        <w:rPr>
          <w:rFonts w:ascii="Times New Roman" w:hAnsi="Times New Roman" w:cs="Times New Roman"/>
          <w:bCs/>
        </w:rPr>
        <w:t xml:space="preserve">zakresem działań Ministra Klimatu i Środowiska. </w:t>
      </w:r>
    </w:p>
    <w:p w14:paraId="6C5C2C37" w14:textId="72675AB6" w:rsidR="00582747" w:rsidRPr="00667967" w:rsidRDefault="00DA55B0" w:rsidP="00595221">
      <w:pPr>
        <w:widowControl/>
        <w:spacing w:after="120" w:line="360" w:lineRule="auto"/>
        <w:jc w:val="both"/>
        <w:rPr>
          <w:rFonts w:ascii="Times New Roman" w:hAnsi="Times New Roman" w:cs="Times New Roman"/>
          <w:bCs/>
        </w:rPr>
      </w:pPr>
      <w:r w:rsidRPr="00667967">
        <w:rPr>
          <w:rFonts w:ascii="Times New Roman" w:hAnsi="Times New Roman" w:cs="Times New Roman"/>
          <w:bCs/>
        </w:rPr>
        <w:t xml:space="preserve">Uchyla się wymóg posiadania struktur organizacyjnych na terenie całego kraju przez organizacje pozarządowe, których przedstawiciel jest członkiem rady nadzorczej NFOŚiGW oraz przez organizacje pozarządowe udzielające swojego poparcia kandydatowi. Dotychczasowy </w:t>
      </w:r>
      <w:r w:rsidR="006B6CEF" w:rsidRPr="00667967">
        <w:rPr>
          <w:rFonts w:ascii="Times New Roman" w:hAnsi="Times New Roman" w:cs="Times New Roman"/>
          <w:bCs/>
        </w:rPr>
        <w:t xml:space="preserve">przepis </w:t>
      </w:r>
      <w:r w:rsidRPr="00667967">
        <w:rPr>
          <w:rFonts w:ascii="Times New Roman" w:hAnsi="Times New Roman" w:cs="Times New Roman"/>
          <w:bCs/>
        </w:rPr>
        <w:t xml:space="preserve">budził wątpliwości interpretacyjne i został uznany za zbędny, ponieważ rozwój systemów porozumiewania się na odległość umożliwia tym organizacjom funkcjonowanie na terenie całego kraju bez konieczności posiadania struktur organizacyjnych na terenie całego kraju. </w:t>
      </w:r>
    </w:p>
    <w:p w14:paraId="0E308232" w14:textId="2075D555" w:rsidR="001E53B0" w:rsidRPr="00667967" w:rsidRDefault="00942CCA" w:rsidP="00595221">
      <w:pPr>
        <w:pStyle w:val="NormalnyWeb"/>
        <w:spacing w:before="0" w:beforeAutospacing="0" w:after="120" w:afterAutospacing="0" w:line="360" w:lineRule="auto"/>
        <w:jc w:val="both"/>
        <w:rPr>
          <w:bCs/>
        </w:rPr>
      </w:pPr>
      <w:r w:rsidRPr="00667967">
        <w:rPr>
          <w:rFonts w:eastAsia="Calibri"/>
          <w:bCs/>
          <w:kern w:val="1"/>
          <w:lang w:eastAsia="hi-IN"/>
        </w:rPr>
        <w:t>W efekcie uwzględnienia uwagi Rady Działalności Pożytku Publicznego (RDPP) zgłoszonej w toku opiniowania projektu ustawy, wprowadzono zmiany w art. 400d ust. 3 i nast. ustawy Poś. P</w:t>
      </w:r>
      <w:r w:rsidR="00582747" w:rsidRPr="00667967">
        <w:rPr>
          <w:rFonts w:eastAsia="Calibri"/>
          <w:bCs/>
          <w:kern w:val="1"/>
          <w:lang w:eastAsia="hi-IN"/>
        </w:rPr>
        <w:t xml:space="preserve">rzeprowadzenie konkursu na kandydata do </w:t>
      </w:r>
      <w:r w:rsidRPr="00667967">
        <w:rPr>
          <w:rFonts w:eastAsia="Calibri"/>
          <w:bCs/>
          <w:kern w:val="1"/>
          <w:lang w:eastAsia="hi-IN"/>
        </w:rPr>
        <w:t>r</w:t>
      </w:r>
      <w:r w:rsidR="00582747" w:rsidRPr="00667967">
        <w:rPr>
          <w:rFonts w:eastAsia="Calibri"/>
          <w:bCs/>
          <w:kern w:val="1"/>
          <w:lang w:eastAsia="hi-IN"/>
        </w:rPr>
        <w:t xml:space="preserve">ady </w:t>
      </w:r>
      <w:r w:rsidRPr="00667967">
        <w:rPr>
          <w:rFonts w:eastAsia="Calibri"/>
          <w:bCs/>
          <w:kern w:val="1"/>
          <w:lang w:eastAsia="hi-IN"/>
        </w:rPr>
        <w:t xml:space="preserve">nadzorczej </w:t>
      </w:r>
      <w:r w:rsidR="00582747" w:rsidRPr="00667967">
        <w:rPr>
          <w:rFonts w:eastAsia="Calibri"/>
          <w:bCs/>
          <w:kern w:val="1"/>
          <w:lang w:eastAsia="hi-IN"/>
        </w:rPr>
        <w:t xml:space="preserve">NFOŚiGW </w:t>
      </w:r>
      <w:r w:rsidRPr="00667967">
        <w:rPr>
          <w:rFonts w:eastAsia="Calibri"/>
          <w:bCs/>
          <w:kern w:val="1"/>
          <w:lang w:eastAsia="hi-IN"/>
        </w:rPr>
        <w:t xml:space="preserve">ma być </w:t>
      </w:r>
      <w:r w:rsidR="00582747" w:rsidRPr="00667967">
        <w:rPr>
          <w:rFonts w:eastAsia="Calibri"/>
          <w:bCs/>
          <w:kern w:val="1"/>
          <w:lang w:eastAsia="hi-IN" w:bidi="hi-IN"/>
        </w:rPr>
        <w:t>prowadzane</w:t>
      </w:r>
      <w:r w:rsidR="00582747" w:rsidRPr="00667967">
        <w:rPr>
          <w:rFonts w:eastAsia="Calibri"/>
          <w:bCs/>
          <w:kern w:val="1"/>
          <w:lang w:eastAsia="hi-IN"/>
        </w:rPr>
        <w:t xml:space="preserve"> przez Radę Działalności Pożytku Publicznego, co pozwoli na aktywny udział przedstawicieli organizacji pozarządowych w wyborze swojego reprezentanta. Udział przedstawicieli innych resortów (ministerstw), będących członkami RDPP, sprawi</w:t>
      </w:r>
      <w:r w:rsidR="00574231" w:rsidRPr="00667967">
        <w:rPr>
          <w:rFonts w:eastAsia="Calibri"/>
          <w:bCs/>
          <w:kern w:val="1"/>
          <w:lang w:eastAsia="hi-IN"/>
        </w:rPr>
        <w:t>,</w:t>
      </w:r>
      <w:r w:rsidR="00582747" w:rsidRPr="00667967">
        <w:rPr>
          <w:rFonts w:eastAsia="Calibri"/>
          <w:bCs/>
          <w:kern w:val="1"/>
          <w:lang w:eastAsia="hi-IN"/>
        </w:rPr>
        <w:t xml:space="preserve"> że proces ten będzie </w:t>
      </w:r>
      <w:r w:rsidR="00582747" w:rsidRPr="00667967">
        <w:rPr>
          <w:rFonts w:eastAsia="Calibri"/>
          <w:bCs/>
          <w:kern w:val="1"/>
          <w:lang w:eastAsia="hi-IN"/>
        </w:rPr>
        <w:lastRenderedPageBreak/>
        <w:t>konkurencyjny, z zachowaniem zasady bezstronności.</w:t>
      </w:r>
      <w:r w:rsidR="00574231" w:rsidRPr="00667967">
        <w:rPr>
          <w:rFonts w:eastAsia="Calibri"/>
          <w:bCs/>
          <w:kern w:val="1"/>
          <w:lang w:eastAsia="hi-IN"/>
        </w:rPr>
        <w:t xml:space="preserve"> </w:t>
      </w:r>
      <w:r w:rsidR="00574231" w:rsidRPr="00667967">
        <w:rPr>
          <w:bCs/>
        </w:rPr>
        <w:t xml:space="preserve">Wprowadzenie wskazanych wyżej zmian wymaga wprowadzenia przepisu przejściowego (art. </w:t>
      </w:r>
      <w:r w:rsidR="006D7F4B" w:rsidRPr="00667967">
        <w:rPr>
          <w:bCs/>
        </w:rPr>
        <w:t>23</w:t>
      </w:r>
      <w:r w:rsidR="00574231" w:rsidRPr="00667967">
        <w:rPr>
          <w:bCs/>
        </w:rPr>
        <w:t>)</w:t>
      </w:r>
      <w:r w:rsidR="001E53B0" w:rsidRPr="00667967">
        <w:rPr>
          <w:bCs/>
        </w:rPr>
        <w:t xml:space="preserve">. </w:t>
      </w:r>
    </w:p>
    <w:p w14:paraId="5C5349FA" w14:textId="53150AEB" w:rsidR="0002469B" w:rsidRPr="00667967" w:rsidRDefault="00DA55B0" w:rsidP="00595221">
      <w:pPr>
        <w:pStyle w:val="NormalnyWeb"/>
        <w:spacing w:before="0" w:beforeAutospacing="0" w:after="120" w:afterAutospacing="0" w:line="360" w:lineRule="auto"/>
        <w:jc w:val="both"/>
        <w:rPr>
          <w:bCs/>
        </w:rPr>
      </w:pPr>
      <w:r w:rsidRPr="00667967">
        <w:rPr>
          <w:bCs/>
        </w:rPr>
        <w:t xml:space="preserve">Zmienia się ust. 2 pkt 1 w art. 400f ustawy Poś przez wskazanie, że minister właściwy do spraw klimatu wyznacza do składu rad nadzorczych wojewódzkich funduszy </w:t>
      </w:r>
      <w:r w:rsidR="00AB3F11" w:rsidRPr="00667967">
        <w:rPr>
          <w:bCs/>
        </w:rPr>
        <w:t>ochrony środowiska i</w:t>
      </w:r>
      <w:r w:rsidR="0002469B" w:rsidRPr="00667967">
        <w:rPr>
          <w:bCs/>
        </w:rPr>
        <w:t> </w:t>
      </w:r>
      <w:r w:rsidR="00AB3F11" w:rsidRPr="00667967">
        <w:rPr>
          <w:bCs/>
        </w:rPr>
        <w:t xml:space="preserve">gospodarki wodnej (wfośigw) </w:t>
      </w:r>
      <w:r w:rsidRPr="00667967">
        <w:rPr>
          <w:bCs/>
        </w:rPr>
        <w:t>spośród działających na rzecz</w:t>
      </w:r>
      <w:r w:rsidR="0002469B" w:rsidRPr="00667967">
        <w:rPr>
          <w:bCs/>
        </w:rPr>
        <w:t xml:space="preserve"> ochrony</w:t>
      </w:r>
      <w:r w:rsidRPr="00667967">
        <w:rPr>
          <w:bCs/>
        </w:rPr>
        <w:t xml:space="preserve"> klimatu, ochrony środowiska lub </w:t>
      </w:r>
      <w:r w:rsidR="0002469B" w:rsidRPr="00667967">
        <w:rPr>
          <w:bCs/>
        </w:rPr>
        <w:t xml:space="preserve">odnawialnych źródeł </w:t>
      </w:r>
      <w:r w:rsidRPr="00667967">
        <w:rPr>
          <w:bCs/>
        </w:rPr>
        <w:t xml:space="preserve">energii przedstawicieli nauki lub organizacji pozarządowych, tym samym doprecyzowując dotychczasowy wymóg, który wskazywał na przedstawiciela nauki lub organizacji pozarządowych, bez określenia </w:t>
      </w:r>
      <w:r w:rsidR="0002469B" w:rsidRPr="00667967">
        <w:rPr>
          <w:bCs/>
        </w:rPr>
        <w:t xml:space="preserve">dziedziny </w:t>
      </w:r>
      <w:r w:rsidRPr="00667967">
        <w:rPr>
          <w:bCs/>
        </w:rPr>
        <w:t>nauki ani zakresu działania organizacji pozarządowej, której przedstawiciel może zostać wyznaczony do składu rady nadzorczej wojewódzkiego funduszu</w:t>
      </w:r>
      <w:r w:rsidR="00097C6E" w:rsidRPr="00667967">
        <w:rPr>
          <w:bCs/>
        </w:rPr>
        <w:t xml:space="preserve">. </w:t>
      </w:r>
      <w:r w:rsidR="00792D18" w:rsidRPr="00667967">
        <w:rPr>
          <w:bCs/>
        </w:rPr>
        <w:t xml:space="preserve">Wprowadzenie wskazanych wyżej zmian wymaga wprowadzenia przepisu przejściowego. </w:t>
      </w:r>
    </w:p>
    <w:p w14:paraId="24FB8F61" w14:textId="68CFADB8" w:rsidR="000D6A02" w:rsidRPr="00595221" w:rsidRDefault="000D6A02" w:rsidP="00595221">
      <w:pPr>
        <w:widowControl/>
        <w:spacing w:after="120" w:line="360" w:lineRule="auto"/>
        <w:jc w:val="both"/>
        <w:rPr>
          <w:rFonts w:ascii="Times New Roman" w:hAnsi="Times New Roman" w:cs="Times New Roman"/>
        </w:rPr>
      </w:pPr>
      <w:r w:rsidRPr="00595221">
        <w:rPr>
          <w:rFonts w:ascii="Times New Roman" w:hAnsi="Times New Roman" w:cs="Times New Roman"/>
        </w:rPr>
        <w:t xml:space="preserve">Wobec szerokich kompetencji Prezesa Zarządu </w:t>
      </w:r>
      <w:r w:rsidR="00CA6D26" w:rsidRPr="00595221">
        <w:rPr>
          <w:rFonts w:ascii="Times New Roman" w:hAnsi="Times New Roman" w:cs="Times New Roman"/>
        </w:rPr>
        <w:t>NFOŚiGW</w:t>
      </w:r>
      <w:r w:rsidRPr="00595221">
        <w:rPr>
          <w:rFonts w:ascii="Times New Roman" w:hAnsi="Times New Roman" w:cs="Times New Roman"/>
        </w:rPr>
        <w:t>, określonych w art. 400i ust. 16–18 ustawy P</w:t>
      </w:r>
      <w:r w:rsidR="00CA6D26" w:rsidRPr="00595221">
        <w:rPr>
          <w:rFonts w:ascii="Times New Roman" w:hAnsi="Times New Roman" w:cs="Times New Roman"/>
        </w:rPr>
        <w:t>oś</w:t>
      </w:r>
      <w:r w:rsidRPr="00595221">
        <w:rPr>
          <w:rFonts w:ascii="Times New Roman" w:hAnsi="Times New Roman" w:cs="Times New Roman"/>
        </w:rPr>
        <w:t xml:space="preserve">, mając na względzie potrzebę zabezpieczenia funkcjonowania </w:t>
      </w:r>
      <w:r w:rsidR="00CA6D26" w:rsidRPr="00595221">
        <w:rPr>
          <w:rFonts w:ascii="Times New Roman" w:hAnsi="Times New Roman" w:cs="Times New Roman"/>
        </w:rPr>
        <w:t>NFOŚiGW</w:t>
      </w:r>
      <w:r w:rsidR="00654738">
        <w:rPr>
          <w:rFonts w:ascii="Times New Roman" w:hAnsi="Times New Roman" w:cs="Times New Roman"/>
        </w:rPr>
        <w:t>,</w:t>
      </w:r>
      <w:r w:rsidRPr="00595221">
        <w:rPr>
          <w:rFonts w:ascii="Times New Roman" w:hAnsi="Times New Roman" w:cs="Times New Roman"/>
        </w:rPr>
        <w:t xml:space="preserve"> </w:t>
      </w:r>
      <w:r w:rsidR="006B6CEF" w:rsidRPr="00595221">
        <w:rPr>
          <w:rFonts w:ascii="Times New Roman" w:hAnsi="Times New Roman" w:cs="Times New Roman"/>
        </w:rPr>
        <w:t xml:space="preserve">jest </w:t>
      </w:r>
      <w:r w:rsidRPr="00595221">
        <w:rPr>
          <w:rFonts w:ascii="Times New Roman" w:hAnsi="Times New Roman" w:cs="Times New Roman"/>
        </w:rPr>
        <w:t xml:space="preserve">zasadne dodanie w ustawie regulacji odnoszących się do różnych sytuacji, gdy Prezes nie może wykonywać swoich zadań albo gdy powstał </w:t>
      </w:r>
      <w:r w:rsidR="00654738">
        <w:rPr>
          <w:rFonts w:ascii="Times New Roman" w:hAnsi="Times New Roman" w:cs="Times New Roman"/>
        </w:rPr>
        <w:t>w</w:t>
      </w:r>
      <w:r w:rsidRPr="00595221">
        <w:rPr>
          <w:rFonts w:ascii="Times New Roman" w:hAnsi="Times New Roman" w:cs="Times New Roman"/>
        </w:rPr>
        <w:t>a</w:t>
      </w:r>
      <w:r w:rsidR="00654738">
        <w:rPr>
          <w:rFonts w:ascii="Times New Roman" w:hAnsi="Times New Roman" w:cs="Times New Roman"/>
        </w:rPr>
        <w:t>k</w:t>
      </w:r>
      <w:r w:rsidRPr="00595221">
        <w:rPr>
          <w:rFonts w:ascii="Times New Roman" w:hAnsi="Times New Roman" w:cs="Times New Roman"/>
        </w:rPr>
        <w:t xml:space="preserve">at na stanowisku Prezesa. W sytuacji nieobecności Prezesa Zarządu lub czasowej niemożności sprawowania przez niego funkcji, w okresie nie dłuższym niż 6 miesięcy, proponuje się dodanie regulacji ustawowych pozwalających na upoważnienie zastępcy Prezesa Zarządu do zastępowania Prezesa, a jeśli okoliczności faktyczne uniemożliwią udzielenie przez Prezesa Zarządu stosownego upoważnienia – pozwalającej na udzielenie takiego upoważnienia przez ministra właściwego do spraw klimatu, sprawującego nadzór nad tym Funduszem. Ponadto, na wypadek śmierci Prezesa Zarządu Narodowego Funduszu albo odwołania go ze sprawowanej funkcji, proponuje się uzupełnienie regulacji w taki sposób, aby do czasu powołania nowego Prezesa Zarządu Narodowego Funduszu jego obowiązki pełnił Zastępca Prezesa Zarządu Narodowego </w:t>
      </w:r>
      <w:r w:rsidR="00CA6D26" w:rsidRPr="00595221">
        <w:rPr>
          <w:rFonts w:ascii="Times New Roman" w:hAnsi="Times New Roman" w:cs="Times New Roman"/>
        </w:rPr>
        <w:t xml:space="preserve">Funduszu </w:t>
      </w:r>
      <w:r w:rsidRPr="00595221">
        <w:rPr>
          <w:rFonts w:ascii="Times New Roman" w:hAnsi="Times New Roman" w:cs="Times New Roman"/>
        </w:rPr>
        <w:t>wyznaczony przez ministra właściwego do spraw klimatu. Należy podkreślić, że wymagania wobec zastępców Prezesa Zarządu Narodowego Funduszu oraz tryb ich powołania są analogiczne jak dla Prezesa Zarządu, wobec czego upoważnienie albo wyznaczenie jednego z nich do zastępowania Prezesa Zarządu Narodowego Funduszu, w określonych wyżej sytuacjach</w:t>
      </w:r>
      <w:r w:rsidR="00AF68AD">
        <w:rPr>
          <w:rFonts w:ascii="Times New Roman" w:hAnsi="Times New Roman" w:cs="Times New Roman"/>
        </w:rPr>
        <w:t>,</w:t>
      </w:r>
      <w:r w:rsidRPr="00595221">
        <w:rPr>
          <w:rFonts w:ascii="Times New Roman" w:hAnsi="Times New Roman" w:cs="Times New Roman"/>
        </w:rPr>
        <w:t xml:space="preserve"> daje gwarancję prawidłowego realizowania zadań ustawowych do czasu</w:t>
      </w:r>
      <w:r w:rsidR="000E2BEA">
        <w:rPr>
          <w:rFonts w:ascii="Times New Roman" w:hAnsi="Times New Roman" w:cs="Times New Roman"/>
        </w:rPr>
        <w:t>,</w:t>
      </w:r>
      <w:r w:rsidRPr="00595221">
        <w:rPr>
          <w:rFonts w:ascii="Times New Roman" w:hAnsi="Times New Roman" w:cs="Times New Roman"/>
        </w:rPr>
        <w:t xml:space="preserve"> odpowiednio, powrotu Prezesa Zarządu Narodowego Funduszu do wykonywania swoich z</w:t>
      </w:r>
      <w:r w:rsidR="00AF68AD">
        <w:rPr>
          <w:rFonts w:ascii="Times New Roman" w:hAnsi="Times New Roman" w:cs="Times New Roman"/>
        </w:rPr>
        <w:t>a</w:t>
      </w:r>
      <w:r w:rsidRPr="00595221">
        <w:rPr>
          <w:rFonts w:ascii="Times New Roman" w:hAnsi="Times New Roman" w:cs="Times New Roman"/>
        </w:rPr>
        <w:t>dań albo powołania nowego Prezesa Zarządu Narodowego Funduszu.</w:t>
      </w:r>
    </w:p>
    <w:p w14:paraId="61B84405" w14:textId="1EED3BC0" w:rsidR="000D6A02" w:rsidRPr="00595221" w:rsidRDefault="000D6A02" w:rsidP="00595221">
      <w:pPr>
        <w:widowControl/>
        <w:spacing w:after="120" w:line="360" w:lineRule="auto"/>
        <w:jc w:val="both"/>
        <w:rPr>
          <w:rFonts w:ascii="Times New Roman" w:hAnsi="Times New Roman" w:cs="Times New Roman"/>
        </w:rPr>
      </w:pPr>
      <w:r w:rsidRPr="00595221">
        <w:rPr>
          <w:rFonts w:ascii="Times New Roman" w:hAnsi="Times New Roman" w:cs="Times New Roman"/>
        </w:rPr>
        <w:t>Z uwagi na wątpliwości, jakie wywołuje aktualne brzmienie art. 400j ust. 2a ustawy P</w:t>
      </w:r>
      <w:r w:rsidR="00CA6D26" w:rsidRPr="00595221">
        <w:rPr>
          <w:rFonts w:ascii="Times New Roman" w:hAnsi="Times New Roman" w:cs="Times New Roman"/>
        </w:rPr>
        <w:t>oś</w:t>
      </w:r>
      <w:r w:rsidRPr="00595221">
        <w:rPr>
          <w:rFonts w:ascii="Times New Roman" w:hAnsi="Times New Roman" w:cs="Times New Roman"/>
        </w:rPr>
        <w:t xml:space="preserve">, w celu ich eliminacji, proponuje się uzupełnienie brzmienia tego przepisu o wyraźne wskazanie, że </w:t>
      </w:r>
      <w:r w:rsidRPr="00595221">
        <w:rPr>
          <w:rFonts w:ascii="Times New Roman" w:hAnsi="Times New Roman" w:cs="Times New Roman"/>
        </w:rPr>
        <w:lastRenderedPageBreak/>
        <w:t xml:space="preserve">kompetencja działania zastępczego przez radę nadzorczą </w:t>
      </w:r>
      <w:r w:rsidR="00AB3F11" w:rsidRPr="00595221">
        <w:rPr>
          <w:rFonts w:ascii="Times New Roman" w:hAnsi="Times New Roman" w:cs="Times New Roman"/>
        </w:rPr>
        <w:t>wfośigw</w:t>
      </w:r>
      <w:r w:rsidRPr="00595221">
        <w:rPr>
          <w:rFonts w:ascii="Times New Roman" w:hAnsi="Times New Roman" w:cs="Times New Roman"/>
        </w:rPr>
        <w:t>, określona w art. 400j ust. 2a P</w:t>
      </w:r>
      <w:r w:rsidR="00CA6D26" w:rsidRPr="00595221">
        <w:rPr>
          <w:rFonts w:ascii="Times New Roman" w:hAnsi="Times New Roman" w:cs="Times New Roman"/>
        </w:rPr>
        <w:t>oś</w:t>
      </w:r>
      <w:r w:rsidRPr="00595221">
        <w:rPr>
          <w:rFonts w:ascii="Times New Roman" w:hAnsi="Times New Roman" w:cs="Times New Roman"/>
        </w:rPr>
        <w:t>, w przypadku gdy zarząd województwa we wskazanym terminie nie uwzględni wniosku rady nadzorczej o</w:t>
      </w:r>
      <w:r w:rsidR="0002469B" w:rsidRPr="00595221">
        <w:rPr>
          <w:rFonts w:ascii="Times New Roman" w:hAnsi="Times New Roman" w:cs="Times New Roman"/>
        </w:rPr>
        <w:t> </w:t>
      </w:r>
      <w:r w:rsidRPr="00595221">
        <w:rPr>
          <w:rFonts w:ascii="Times New Roman" w:hAnsi="Times New Roman" w:cs="Times New Roman"/>
        </w:rPr>
        <w:t xml:space="preserve">odwołanie lub powołanie członka zarządu </w:t>
      </w:r>
      <w:r w:rsidR="00AB3F11" w:rsidRPr="00595221">
        <w:rPr>
          <w:rFonts w:ascii="Times New Roman" w:hAnsi="Times New Roman" w:cs="Times New Roman"/>
        </w:rPr>
        <w:t>wfośigw</w:t>
      </w:r>
      <w:r w:rsidRPr="00595221">
        <w:rPr>
          <w:rFonts w:ascii="Times New Roman" w:hAnsi="Times New Roman" w:cs="Times New Roman"/>
        </w:rPr>
        <w:t xml:space="preserve">, obejmuje także odwołanie dotychczasowego członka zarządu i następnie powołanie w jego miejsce </w:t>
      </w:r>
      <w:r w:rsidR="00A665B5" w:rsidRPr="00595221">
        <w:rPr>
          <w:rFonts w:ascii="Times New Roman" w:hAnsi="Times New Roman" w:cs="Times New Roman"/>
        </w:rPr>
        <w:t>innej osoby</w:t>
      </w:r>
      <w:r w:rsidRPr="00595221">
        <w:rPr>
          <w:rFonts w:ascii="Times New Roman" w:hAnsi="Times New Roman" w:cs="Times New Roman"/>
        </w:rPr>
        <w:t>.</w:t>
      </w:r>
    </w:p>
    <w:p w14:paraId="75164E1A" w14:textId="02484803" w:rsidR="000D6A02" w:rsidRPr="00595221" w:rsidRDefault="000D6A02" w:rsidP="00595221">
      <w:pPr>
        <w:widowControl/>
        <w:spacing w:after="120" w:line="360" w:lineRule="auto"/>
        <w:jc w:val="both"/>
        <w:rPr>
          <w:rFonts w:ascii="Times New Roman" w:hAnsi="Times New Roman" w:cs="Times New Roman"/>
        </w:rPr>
      </w:pPr>
      <w:r w:rsidRPr="00595221">
        <w:rPr>
          <w:rFonts w:ascii="Times New Roman" w:hAnsi="Times New Roman" w:cs="Times New Roman"/>
        </w:rPr>
        <w:t xml:space="preserve">Projekt ustawy ma ponadto na celu wprowadzenie wymagań w stosunku do członków organów </w:t>
      </w:r>
      <w:r w:rsidR="00CA6D26" w:rsidRPr="00595221">
        <w:rPr>
          <w:rFonts w:ascii="Times New Roman" w:hAnsi="Times New Roman" w:cs="Times New Roman"/>
        </w:rPr>
        <w:t>NFOŚiGW</w:t>
      </w:r>
      <w:r w:rsidRPr="00595221">
        <w:rPr>
          <w:rFonts w:ascii="Times New Roman" w:hAnsi="Times New Roman" w:cs="Times New Roman"/>
        </w:rPr>
        <w:t xml:space="preserve"> oraz </w:t>
      </w:r>
      <w:r w:rsidR="00CA6D26" w:rsidRPr="00595221">
        <w:rPr>
          <w:rFonts w:ascii="Times New Roman" w:hAnsi="Times New Roman" w:cs="Times New Roman"/>
        </w:rPr>
        <w:t>wfośigw</w:t>
      </w:r>
      <w:r w:rsidRPr="00595221">
        <w:rPr>
          <w:rFonts w:ascii="Times New Roman" w:hAnsi="Times New Roman" w:cs="Times New Roman"/>
        </w:rPr>
        <w:t xml:space="preserve"> uniemożliwiających pełnienie tych funkcji osobom, które w okresie od dnia 22 lipca 1944 r. do dnia 31 lipca 1990 r. pracowały lub pełniły służbę w organach bezpieczeństwa państwa lub były współpracownikami tych organów w rozumieniu przepisów ustawy z dnia 18</w:t>
      </w:r>
      <w:r w:rsidR="0074625A" w:rsidRPr="00595221">
        <w:rPr>
          <w:rFonts w:ascii="Times New Roman" w:hAnsi="Times New Roman" w:cs="Times New Roman"/>
        </w:rPr>
        <w:t> </w:t>
      </w:r>
      <w:r w:rsidRPr="00595221">
        <w:rPr>
          <w:rFonts w:ascii="Times New Roman" w:hAnsi="Times New Roman" w:cs="Times New Roman"/>
        </w:rPr>
        <w:t>października 2006 r. o ujawnianiu informacji o dokumentach organów bezpieczeństwa państwa z</w:t>
      </w:r>
      <w:r w:rsidR="00BE76C8" w:rsidRPr="00595221">
        <w:rPr>
          <w:rFonts w:ascii="Times New Roman" w:hAnsi="Times New Roman" w:cs="Times New Roman"/>
        </w:rPr>
        <w:t> </w:t>
      </w:r>
      <w:r w:rsidRPr="00595221">
        <w:rPr>
          <w:rFonts w:ascii="Times New Roman" w:hAnsi="Times New Roman" w:cs="Times New Roman"/>
        </w:rPr>
        <w:t>lat 1944–1990 oraz treści tych dokumentów, zwanej dalej „ustawą lustracyjną”. Powyższe przepisy oznaczają niemożność kontynuowania stosunków pracy osób już zatrudnionych lub odwołanie takich osób, wypełniających powyższe przesłanki, oraz wykluczają zatrudnienie lub powołanie takich osób w przyszłości. Uzasadnieniem dla powyższych zmian jest konieczność zapewnienia bezpieczeństwa wewnętrznego państwa, szczególnie w sytuacji podwyższonego zagrożenia w związku z trwającym konfliktem zbrojnym wywołanym atakiem wojsk Federacji Rosyjskiej na terytorium Ukrainy. W</w:t>
      </w:r>
      <w:r w:rsidR="0002469B" w:rsidRPr="00595221">
        <w:rPr>
          <w:rFonts w:ascii="Times New Roman" w:hAnsi="Times New Roman" w:cs="Times New Roman"/>
        </w:rPr>
        <w:t> </w:t>
      </w:r>
      <w:r w:rsidRPr="00595221">
        <w:rPr>
          <w:rFonts w:ascii="Times New Roman" w:hAnsi="Times New Roman" w:cs="Times New Roman"/>
        </w:rPr>
        <w:t xml:space="preserve">ocenie projektodawcy osoby, które pracowały albo pełniły służbę w organach bezpieczeństwa państwa w latach 1944–1990 lub były współpracownikami tych organów, nie dają rękojmi rzetelności pełnionych funkcji w ramach rad nadzorczych lub zarządów – co może wskazywać na zagrożenie bezpieczeństwa wewnętrznego państwa. </w:t>
      </w:r>
    </w:p>
    <w:p w14:paraId="73BF36ED" w14:textId="29FF4F3E" w:rsidR="000D6A02" w:rsidRPr="00595221" w:rsidRDefault="000D6A02" w:rsidP="00595221">
      <w:pPr>
        <w:widowControl/>
        <w:spacing w:after="120" w:line="360" w:lineRule="auto"/>
        <w:jc w:val="both"/>
        <w:rPr>
          <w:rFonts w:ascii="Times New Roman" w:hAnsi="Times New Roman" w:cs="Times New Roman"/>
        </w:rPr>
      </w:pPr>
      <w:r w:rsidRPr="00595221">
        <w:rPr>
          <w:rFonts w:ascii="Times New Roman" w:hAnsi="Times New Roman" w:cs="Times New Roman"/>
        </w:rPr>
        <w:t>Jak wskazano wyżej, ustawa nowelizująca wprowadza w art. 400d ust. 1a, 400f ust. 1a i art.</w:t>
      </w:r>
      <w:r w:rsidR="00D029CA">
        <w:rPr>
          <w:rFonts w:ascii="Times New Roman" w:hAnsi="Times New Roman" w:cs="Times New Roman"/>
        </w:rPr>
        <w:t> </w:t>
      </w:r>
      <w:r w:rsidRPr="00595221">
        <w:rPr>
          <w:rFonts w:ascii="Times New Roman" w:hAnsi="Times New Roman" w:cs="Times New Roman"/>
        </w:rPr>
        <w:t xml:space="preserve">400j ust. 3a wymagania w stosunku do, odpowiednio, członków Rady Nadzorczej </w:t>
      </w:r>
      <w:r w:rsidR="00CA6D26" w:rsidRPr="00595221">
        <w:rPr>
          <w:rFonts w:ascii="Times New Roman" w:hAnsi="Times New Roman" w:cs="Times New Roman"/>
        </w:rPr>
        <w:t>NFOŚiGW</w:t>
      </w:r>
      <w:r w:rsidRPr="00595221">
        <w:rPr>
          <w:rFonts w:ascii="Times New Roman" w:hAnsi="Times New Roman" w:cs="Times New Roman"/>
        </w:rPr>
        <w:t xml:space="preserve">, członków rad nadzorczych </w:t>
      </w:r>
      <w:r w:rsidR="00CA6D26" w:rsidRPr="00595221">
        <w:rPr>
          <w:rFonts w:ascii="Times New Roman" w:hAnsi="Times New Roman" w:cs="Times New Roman"/>
        </w:rPr>
        <w:t>wfośigw</w:t>
      </w:r>
      <w:r w:rsidRPr="00595221">
        <w:rPr>
          <w:rFonts w:ascii="Times New Roman" w:hAnsi="Times New Roman" w:cs="Times New Roman"/>
        </w:rPr>
        <w:t xml:space="preserve"> oraz prezesa zarządu </w:t>
      </w:r>
      <w:r w:rsidR="00CA6D26" w:rsidRPr="00595221">
        <w:rPr>
          <w:rFonts w:ascii="Times New Roman" w:hAnsi="Times New Roman" w:cs="Times New Roman"/>
        </w:rPr>
        <w:t>wfośigw</w:t>
      </w:r>
      <w:r w:rsidRPr="00595221">
        <w:rPr>
          <w:rFonts w:ascii="Times New Roman" w:hAnsi="Times New Roman" w:cs="Times New Roman"/>
        </w:rPr>
        <w:t xml:space="preserve"> albo zastępcy prezesa zarządu </w:t>
      </w:r>
      <w:r w:rsidR="00CA6D26" w:rsidRPr="00595221">
        <w:rPr>
          <w:rFonts w:ascii="Times New Roman" w:hAnsi="Times New Roman" w:cs="Times New Roman"/>
        </w:rPr>
        <w:t>wfośigw</w:t>
      </w:r>
      <w:r w:rsidRPr="00595221">
        <w:rPr>
          <w:rFonts w:ascii="Times New Roman" w:hAnsi="Times New Roman" w:cs="Times New Roman"/>
        </w:rPr>
        <w:t>, a</w:t>
      </w:r>
      <w:r w:rsidR="0074625A" w:rsidRPr="00595221">
        <w:rPr>
          <w:rFonts w:ascii="Times New Roman" w:hAnsi="Times New Roman" w:cs="Times New Roman"/>
        </w:rPr>
        <w:t> </w:t>
      </w:r>
      <w:r w:rsidRPr="00595221">
        <w:rPr>
          <w:rFonts w:ascii="Times New Roman" w:hAnsi="Times New Roman" w:cs="Times New Roman"/>
        </w:rPr>
        <w:t>w</w:t>
      </w:r>
      <w:r w:rsidR="0074625A" w:rsidRPr="00595221">
        <w:rPr>
          <w:rFonts w:ascii="Times New Roman" w:hAnsi="Times New Roman" w:cs="Times New Roman"/>
        </w:rPr>
        <w:t> </w:t>
      </w:r>
      <w:r w:rsidRPr="00595221">
        <w:rPr>
          <w:rFonts w:ascii="Times New Roman" w:hAnsi="Times New Roman" w:cs="Times New Roman"/>
        </w:rPr>
        <w:t>art.</w:t>
      </w:r>
      <w:r w:rsidR="0002469B" w:rsidRPr="00595221">
        <w:rPr>
          <w:rFonts w:ascii="Times New Roman" w:hAnsi="Times New Roman" w:cs="Times New Roman"/>
        </w:rPr>
        <w:t> </w:t>
      </w:r>
      <w:r w:rsidRPr="00595221">
        <w:rPr>
          <w:rFonts w:ascii="Times New Roman" w:hAnsi="Times New Roman" w:cs="Times New Roman"/>
        </w:rPr>
        <w:t xml:space="preserve">400i w ust. 4 w pkt 8 uzupełnia obowiązujące wymagania w stosunku do Prezesa </w:t>
      </w:r>
      <w:r w:rsidR="009D0B7D" w:rsidRPr="00595221">
        <w:rPr>
          <w:rFonts w:ascii="Times New Roman" w:hAnsi="Times New Roman" w:cs="Times New Roman"/>
        </w:rPr>
        <w:t>NFOŚiGW</w:t>
      </w:r>
      <w:r w:rsidRPr="00595221">
        <w:rPr>
          <w:rFonts w:ascii="Times New Roman" w:hAnsi="Times New Roman" w:cs="Times New Roman"/>
        </w:rPr>
        <w:t xml:space="preserve"> i</w:t>
      </w:r>
      <w:r w:rsidR="0002469B" w:rsidRPr="00595221">
        <w:rPr>
          <w:rFonts w:ascii="Times New Roman" w:hAnsi="Times New Roman" w:cs="Times New Roman"/>
        </w:rPr>
        <w:t> </w:t>
      </w:r>
      <w:r w:rsidRPr="00595221">
        <w:rPr>
          <w:rFonts w:ascii="Times New Roman" w:hAnsi="Times New Roman" w:cs="Times New Roman"/>
        </w:rPr>
        <w:t xml:space="preserve">jego zastępców o wymóg bycia osobą, która nie pracowała lub nie pełniła służby w organach bezpieczeństwa państwa lub nie była współpracownikiem tych organów w rozumieniu przepisów ustawy lustracyjnej. Zdecydowano o wprowadzeniu jednolitych reguł, zarówno wobec </w:t>
      </w:r>
      <w:r w:rsidR="009D0B7D" w:rsidRPr="00595221">
        <w:rPr>
          <w:rFonts w:ascii="Times New Roman" w:hAnsi="Times New Roman" w:cs="Times New Roman"/>
        </w:rPr>
        <w:t>NFOŚiGW</w:t>
      </w:r>
      <w:r w:rsidRPr="00595221">
        <w:rPr>
          <w:rFonts w:ascii="Times New Roman" w:hAnsi="Times New Roman" w:cs="Times New Roman"/>
        </w:rPr>
        <w:t xml:space="preserve">, jak i </w:t>
      </w:r>
      <w:r w:rsidR="009D0B7D" w:rsidRPr="00595221">
        <w:rPr>
          <w:rFonts w:ascii="Times New Roman" w:hAnsi="Times New Roman" w:cs="Times New Roman"/>
        </w:rPr>
        <w:t>wfośigw</w:t>
      </w:r>
      <w:r w:rsidRPr="00595221">
        <w:rPr>
          <w:rFonts w:ascii="Times New Roman" w:hAnsi="Times New Roman" w:cs="Times New Roman"/>
        </w:rPr>
        <w:t xml:space="preserve">, mając na względzie jednolitość sytuacji prawnej dotyczącej obu tych grup. </w:t>
      </w:r>
    </w:p>
    <w:p w14:paraId="52DD50F7" w14:textId="6FED01B7" w:rsidR="000D6A02" w:rsidRPr="00595221" w:rsidRDefault="000D6A02" w:rsidP="00595221">
      <w:pPr>
        <w:widowControl/>
        <w:spacing w:after="120" w:line="360" w:lineRule="auto"/>
        <w:jc w:val="both"/>
        <w:rPr>
          <w:rFonts w:ascii="Times New Roman" w:hAnsi="Times New Roman" w:cs="Times New Roman"/>
        </w:rPr>
      </w:pPr>
      <w:r w:rsidRPr="00595221">
        <w:rPr>
          <w:rFonts w:ascii="Times New Roman" w:hAnsi="Times New Roman" w:cs="Times New Roman"/>
        </w:rPr>
        <w:t xml:space="preserve">Wprowadzenie wskazanych wyżej zmian wymaga ponadto uregulowania w art. </w:t>
      </w:r>
      <w:r w:rsidR="006D7F4B" w:rsidRPr="00595221">
        <w:rPr>
          <w:rFonts w:ascii="Times New Roman" w:hAnsi="Times New Roman" w:cs="Times New Roman"/>
        </w:rPr>
        <w:t>18</w:t>
      </w:r>
      <w:r w:rsidRPr="00595221">
        <w:rPr>
          <w:rFonts w:ascii="Times New Roman" w:hAnsi="Times New Roman" w:cs="Times New Roman"/>
        </w:rPr>
        <w:t>–</w:t>
      </w:r>
      <w:r w:rsidR="006D7F4B" w:rsidRPr="00595221">
        <w:rPr>
          <w:rFonts w:ascii="Times New Roman" w:hAnsi="Times New Roman" w:cs="Times New Roman"/>
        </w:rPr>
        <w:t>2</w:t>
      </w:r>
      <w:r w:rsidR="006D00AE" w:rsidRPr="00595221">
        <w:rPr>
          <w:rFonts w:ascii="Times New Roman" w:hAnsi="Times New Roman" w:cs="Times New Roman"/>
        </w:rPr>
        <w:t>3</w:t>
      </w:r>
      <w:r w:rsidR="007F2B92" w:rsidRPr="00595221">
        <w:rPr>
          <w:rFonts w:ascii="Times New Roman" w:hAnsi="Times New Roman" w:cs="Times New Roman"/>
        </w:rPr>
        <w:t xml:space="preserve"> </w:t>
      </w:r>
      <w:r w:rsidR="00942CCA" w:rsidRPr="00595221">
        <w:rPr>
          <w:rFonts w:ascii="Times New Roman" w:hAnsi="Times New Roman" w:cs="Times New Roman"/>
        </w:rPr>
        <w:t xml:space="preserve">projektu ustawy </w:t>
      </w:r>
      <w:r w:rsidRPr="00595221">
        <w:rPr>
          <w:rFonts w:ascii="Times New Roman" w:hAnsi="Times New Roman" w:cs="Times New Roman"/>
        </w:rPr>
        <w:t>kwestii intertemporalnych.</w:t>
      </w:r>
    </w:p>
    <w:p w14:paraId="703245D8" w14:textId="7D9D4385" w:rsidR="006E18F0" w:rsidRPr="00667967" w:rsidRDefault="006E18F0" w:rsidP="00595221">
      <w:pPr>
        <w:keepNext/>
        <w:widowControl/>
        <w:spacing w:after="120" w:line="360" w:lineRule="auto"/>
        <w:jc w:val="both"/>
        <w:rPr>
          <w:rFonts w:ascii="Times New Roman" w:hAnsi="Times New Roman" w:cs="Times New Roman"/>
          <w:b/>
          <w:bCs/>
        </w:rPr>
      </w:pPr>
      <w:r w:rsidRPr="00667967">
        <w:rPr>
          <w:rFonts w:ascii="Times New Roman" w:hAnsi="Times New Roman" w:cs="Times New Roman"/>
          <w:b/>
          <w:bCs/>
        </w:rPr>
        <w:lastRenderedPageBreak/>
        <w:t>Zmiana art. 401c ust. 9a przez dodanie pkt 4</w:t>
      </w:r>
    </w:p>
    <w:p w14:paraId="092C6D1E" w14:textId="428FC130" w:rsidR="006E18F0" w:rsidRPr="00667967" w:rsidRDefault="006E18F0" w:rsidP="00595221">
      <w:pPr>
        <w:widowControl/>
        <w:spacing w:after="120" w:line="360" w:lineRule="auto"/>
        <w:jc w:val="both"/>
        <w:rPr>
          <w:rFonts w:ascii="Times New Roman" w:hAnsi="Times New Roman" w:cs="Times New Roman"/>
        </w:rPr>
      </w:pPr>
      <w:r w:rsidRPr="00595221">
        <w:rPr>
          <w:rFonts w:ascii="Times New Roman" w:hAnsi="Times New Roman" w:cs="Times New Roman"/>
        </w:rPr>
        <w:t xml:space="preserve">Wskazano, że sprawozdawczość z MPA – </w:t>
      </w:r>
      <w:r w:rsidR="00E05085" w:rsidRPr="00595221">
        <w:rPr>
          <w:rFonts w:ascii="Times New Roman" w:hAnsi="Times New Roman" w:cs="Times New Roman"/>
        </w:rPr>
        <w:t xml:space="preserve">zadania </w:t>
      </w:r>
      <w:r w:rsidRPr="00595221">
        <w:rPr>
          <w:rFonts w:ascii="Times New Roman" w:hAnsi="Times New Roman" w:cs="Times New Roman"/>
        </w:rPr>
        <w:t>realizowan</w:t>
      </w:r>
      <w:r w:rsidR="00E05085" w:rsidRPr="00595221">
        <w:rPr>
          <w:rFonts w:ascii="Times New Roman" w:hAnsi="Times New Roman" w:cs="Times New Roman"/>
        </w:rPr>
        <w:t>e</w:t>
      </w:r>
      <w:r w:rsidRPr="00595221">
        <w:rPr>
          <w:rFonts w:ascii="Times New Roman" w:hAnsi="Times New Roman" w:cs="Times New Roman"/>
        </w:rPr>
        <w:t xml:space="preserve"> przez IOŚ-PIB </w:t>
      </w:r>
      <w:r w:rsidR="00E05085" w:rsidRPr="00595221">
        <w:rPr>
          <w:rFonts w:ascii="Times New Roman" w:hAnsi="Times New Roman" w:cs="Times New Roman"/>
        </w:rPr>
        <w:t>– z</w:t>
      </w:r>
      <w:r w:rsidRPr="00595221">
        <w:rPr>
          <w:rFonts w:ascii="Times New Roman" w:hAnsi="Times New Roman" w:cs="Times New Roman"/>
        </w:rPr>
        <w:t>ostan</w:t>
      </w:r>
      <w:r w:rsidR="00E05085" w:rsidRPr="00595221">
        <w:rPr>
          <w:rFonts w:ascii="Times New Roman" w:hAnsi="Times New Roman" w:cs="Times New Roman"/>
        </w:rPr>
        <w:t>ą sfinansowane przez</w:t>
      </w:r>
      <w:r w:rsidRPr="00595221">
        <w:rPr>
          <w:rFonts w:ascii="Times New Roman" w:hAnsi="Times New Roman" w:cs="Times New Roman"/>
        </w:rPr>
        <w:t xml:space="preserve"> </w:t>
      </w:r>
      <w:r w:rsidR="00B25FFE" w:rsidRPr="00595221">
        <w:rPr>
          <w:rFonts w:ascii="Times New Roman" w:hAnsi="Times New Roman" w:cs="Times New Roman"/>
        </w:rPr>
        <w:t xml:space="preserve">Narodowy Fundusz </w:t>
      </w:r>
      <w:r w:rsidRPr="00595221">
        <w:rPr>
          <w:rFonts w:ascii="Times New Roman" w:hAnsi="Times New Roman" w:cs="Times New Roman"/>
        </w:rPr>
        <w:t xml:space="preserve">w ramach dostępnego limitu wydatków </w:t>
      </w:r>
      <w:r w:rsidR="00B25FFE" w:rsidRPr="00595221">
        <w:rPr>
          <w:rFonts w:ascii="Times New Roman" w:hAnsi="Times New Roman" w:cs="Times New Roman"/>
        </w:rPr>
        <w:t xml:space="preserve">Narodowego Funduszu </w:t>
      </w:r>
      <w:r w:rsidRPr="00595221">
        <w:rPr>
          <w:rFonts w:ascii="Times New Roman" w:hAnsi="Times New Roman" w:cs="Times New Roman"/>
        </w:rPr>
        <w:t>z zobowiązania wieloletniego „ochrona powietrza”, o którym mowa w art. 401c ust.</w:t>
      </w:r>
      <w:r w:rsidR="00D029CA">
        <w:rPr>
          <w:rFonts w:ascii="Times New Roman" w:hAnsi="Times New Roman" w:cs="Times New Roman"/>
        </w:rPr>
        <w:t> </w:t>
      </w:r>
      <w:r w:rsidRPr="00595221">
        <w:rPr>
          <w:rFonts w:ascii="Times New Roman" w:hAnsi="Times New Roman" w:cs="Times New Roman"/>
        </w:rPr>
        <w:t xml:space="preserve">9a ustawy </w:t>
      </w:r>
      <w:r w:rsidR="00CD0E78" w:rsidRPr="00595221">
        <w:rPr>
          <w:rFonts w:ascii="Times New Roman" w:hAnsi="Times New Roman" w:cs="Times New Roman"/>
        </w:rPr>
        <w:t>Poś</w:t>
      </w:r>
      <w:r w:rsidR="00E05085" w:rsidRPr="00595221">
        <w:rPr>
          <w:rFonts w:ascii="Times New Roman" w:hAnsi="Times New Roman" w:cs="Times New Roman"/>
        </w:rPr>
        <w:t>.</w:t>
      </w:r>
    </w:p>
    <w:p w14:paraId="4ACCB2F2" w14:textId="4F133300" w:rsidR="001114F4" w:rsidRPr="00667967" w:rsidRDefault="001114F4" w:rsidP="00595221">
      <w:pPr>
        <w:widowControl/>
        <w:spacing w:after="120" w:line="360" w:lineRule="auto"/>
        <w:jc w:val="both"/>
        <w:rPr>
          <w:rFonts w:ascii="Times New Roman" w:hAnsi="Times New Roman" w:cs="Times New Roman"/>
          <w:b/>
          <w:bCs/>
        </w:rPr>
      </w:pPr>
      <w:r w:rsidRPr="00667967">
        <w:rPr>
          <w:rFonts w:ascii="Times New Roman" w:hAnsi="Times New Roman" w:cs="Times New Roman"/>
          <w:b/>
          <w:bCs/>
        </w:rPr>
        <w:t xml:space="preserve">Zmiana art. 403 </w:t>
      </w:r>
    </w:p>
    <w:p w14:paraId="29F9C9A1" w14:textId="31B495D3" w:rsidR="001114F4" w:rsidRPr="00667967" w:rsidRDefault="001114F4" w:rsidP="00595221">
      <w:pPr>
        <w:widowControl/>
        <w:spacing w:before="120" w:after="120" w:line="360" w:lineRule="auto"/>
        <w:jc w:val="both"/>
        <w:rPr>
          <w:rFonts w:ascii="Times New Roman" w:hAnsi="Times New Roman" w:cs="Times New Roman"/>
        </w:rPr>
      </w:pPr>
      <w:r w:rsidRPr="00667967">
        <w:rPr>
          <w:rFonts w:ascii="Times New Roman" w:hAnsi="Times New Roman" w:cs="Times New Roman"/>
        </w:rPr>
        <w:t>Proponowana zmiana przepisów art. 403 ustawy Poś, polegająca na zmianie brzmienia ust. 4, 5 oraz 6, a także dodaniu nowych ust. 5a i 5b, ma na celu uelastycznienie obowiązujących regulacji stanowiących ustawowe upoważnienie dla rady powiatu lub rady gminy w zakresie zasad udzielenia dotacji celowej oraz sposobu jej rozliczania w ramach finansowania ochrony środowiska z</w:t>
      </w:r>
      <w:r w:rsidR="006132D2" w:rsidRPr="00667967">
        <w:rPr>
          <w:rFonts w:ascii="Times New Roman" w:hAnsi="Times New Roman" w:cs="Times New Roman"/>
        </w:rPr>
        <w:t> </w:t>
      </w:r>
      <w:r w:rsidRPr="00667967">
        <w:rPr>
          <w:rFonts w:ascii="Times New Roman" w:hAnsi="Times New Roman" w:cs="Times New Roman"/>
        </w:rPr>
        <w:t xml:space="preserve">budżetów tych powiatów oraz gmin. </w:t>
      </w:r>
    </w:p>
    <w:p w14:paraId="6EB8E58D" w14:textId="2AE8FD78" w:rsidR="001114F4" w:rsidRPr="00667967" w:rsidRDefault="001114F4" w:rsidP="00595221">
      <w:pPr>
        <w:widowControl/>
        <w:spacing w:before="240" w:after="120" w:line="360" w:lineRule="auto"/>
        <w:jc w:val="both"/>
        <w:rPr>
          <w:rFonts w:ascii="Times New Roman" w:hAnsi="Times New Roman" w:cs="Times New Roman"/>
        </w:rPr>
      </w:pPr>
      <w:r w:rsidRPr="00667967">
        <w:rPr>
          <w:rFonts w:ascii="Times New Roman" w:hAnsi="Times New Roman" w:cs="Times New Roman"/>
        </w:rPr>
        <w:t>W związku z pojawiającymi się w orzecznictwie sądów i administracji wątpliwościami dotyczącymi możliwości wprowadzania odpowiednio przez powiaty lub gminy dodatkowych kryteriów lub warunków dofinansowania, w tym dotyczących potencjalnych beneficjentów dotacji celowej, mając na względzie dbałość o środki publiczne, w tym środki pochodzące z opłat i kar środowiskowych, a</w:t>
      </w:r>
      <w:r w:rsidR="00A94267" w:rsidRPr="00667967">
        <w:rPr>
          <w:rFonts w:ascii="Times New Roman" w:hAnsi="Times New Roman" w:cs="Times New Roman"/>
        </w:rPr>
        <w:t> </w:t>
      </w:r>
      <w:r w:rsidRPr="00667967">
        <w:rPr>
          <w:rFonts w:ascii="Times New Roman" w:hAnsi="Times New Roman" w:cs="Times New Roman"/>
        </w:rPr>
        <w:t>także przekazywane do budżetów powiatów i gmin dotacje udzielane przez Narodowy Fundusz</w:t>
      </w:r>
      <w:r w:rsidR="00936B8D" w:rsidRPr="00667967">
        <w:rPr>
          <w:rFonts w:ascii="Times New Roman" w:hAnsi="Times New Roman" w:cs="Times New Roman"/>
        </w:rPr>
        <w:t xml:space="preserve"> </w:t>
      </w:r>
      <w:r w:rsidR="00C64DDE" w:rsidRPr="00667967">
        <w:rPr>
          <w:rFonts w:ascii="Times New Roman" w:hAnsi="Times New Roman" w:cs="Times New Roman"/>
        </w:rPr>
        <w:t>i</w:t>
      </w:r>
      <w:r w:rsidR="0002469B" w:rsidRPr="00667967">
        <w:rPr>
          <w:rFonts w:ascii="Times New Roman" w:hAnsi="Times New Roman" w:cs="Times New Roman"/>
        </w:rPr>
        <w:t> </w:t>
      </w:r>
      <w:bookmarkStart w:id="12" w:name="_Hlk171111987"/>
      <w:r w:rsidR="00942CCA" w:rsidRPr="00667967">
        <w:rPr>
          <w:rFonts w:ascii="Times New Roman" w:hAnsi="Times New Roman" w:cs="Times New Roman"/>
        </w:rPr>
        <w:t>wfośigw</w:t>
      </w:r>
      <w:r w:rsidR="00C64DDE" w:rsidRPr="00667967">
        <w:rPr>
          <w:rFonts w:ascii="Times New Roman" w:hAnsi="Times New Roman" w:cs="Times New Roman"/>
        </w:rPr>
        <w:t xml:space="preserve"> </w:t>
      </w:r>
      <w:bookmarkEnd w:id="12"/>
      <w:r w:rsidRPr="00667967">
        <w:rPr>
          <w:rFonts w:ascii="Times New Roman" w:hAnsi="Times New Roman" w:cs="Times New Roman"/>
        </w:rPr>
        <w:t xml:space="preserve">na podstawie art. 411 ust. 1 pkt 2 ustawy </w:t>
      </w:r>
      <w:r w:rsidR="00C64DDE" w:rsidRPr="00667967">
        <w:rPr>
          <w:rFonts w:ascii="Times New Roman" w:hAnsi="Times New Roman" w:cs="Times New Roman"/>
        </w:rPr>
        <w:t>Poś</w:t>
      </w:r>
      <w:r w:rsidRPr="00667967">
        <w:rPr>
          <w:rFonts w:ascii="Times New Roman" w:hAnsi="Times New Roman" w:cs="Times New Roman"/>
        </w:rPr>
        <w:t>, a także konieczność zapewnienia ich racjonalnego i celowego wydatkowania, przewiduje się rozszerzenie uprawnień organu stanowiącego odpowiednio powiatu lub gminy w tym zakresie.</w:t>
      </w:r>
    </w:p>
    <w:p w14:paraId="464B37AD" w14:textId="33505577" w:rsidR="001114F4" w:rsidRPr="00667967" w:rsidRDefault="001114F4" w:rsidP="00595221">
      <w:pPr>
        <w:widowControl/>
        <w:spacing w:before="240" w:after="120" w:line="360" w:lineRule="auto"/>
        <w:jc w:val="both"/>
        <w:rPr>
          <w:rFonts w:ascii="Times New Roman" w:hAnsi="Times New Roman" w:cs="Times New Roman"/>
        </w:rPr>
      </w:pPr>
      <w:r w:rsidRPr="00667967">
        <w:rPr>
          <w:rFonts w:ascii="Times New Roman" w:hAnsi="Times New Roman" w:cs="Times New Roman"/>
        </w:rPr>
        <w:t>Projektowane przepisy przyznają powiatom lub gminom możliwość doprecyzowania szczegółowych kryteriów lub warunków</w:t>
      </w:r>
      <w:r w:rsidR="00C64DDE" w:rsidRPr="00667967">
        <w:rPr>
          <w:rFonts w:ascii="Times New Roman" w:hAnsi="Times New Roman" w:cs="Times New Roman"/>
        </w:rPr>
        <w:t>,</w:t>
      </w:r>
      <w:r w:rsidRPr="00667967">
        <w:rPr>
          <w:rFonts w:ascii="Times New Roman" w:hAnsi="Times New Roman" w:cs="Times New Roman"/>
        </w:rPr>
        <w:t xml:space="preserve"> jakie będą musiały zostać spełnione przez podmiot lub jednostkę ubiegające się o udzielenie dotacji celowej, w tym także wynikających z wymagań określonych w przepisach odrębnych lub umowie dotacji zawartej przez gminę lub powiat z</w:t>
      </w:r>
      <w:r w:rsidR="006132D2" w:rsidRPr="00667967">
        <w:rPr>
          <w:rFonts w:ascii="Times New Roman" w:hAnsi="Times New Roman" w:cs="Times New Roman"/>
        </w:rPr>
        <w:t> </w:t>
      </w:r>
      <w:r w:rsidRPr="00667967">
        <w:rPr>
          <w:rFonts w:ascii="Times New Roman" w:hAnsi="Times New Roman" w:cs="Times New Roman"/>
        </w:rPr>
        <w:t xml:space="preserve">Narodowym Funduszem lub </w:t>
      </w:r>
      <w:r w:rsidR="00942CCA" w:rsidRPr="00667967">
        <w:rPr>
          <w:rFonts w:ascii="Times New Roman" w:hAnsi="Times New Roman" w:cs="Times New Roman"/>
        </w:rPr>
        <w:t>wfośigw</w:t>
      </w:r>
      <w:r w:rsidRPr="00667967">
        <w:rPr>
          <w:rFonts w:ascii="Times New Roman" w:hAnsi="Times New Roman" w:cs="Times New Roman"/>
        </w:rPr>
        <w:t>. W wyniku proponowanej zmiany nie będzie budziła wątpliwości możliwość wprowadzenia w uchwale organu stanowiącego powiatu lub gminy w przedmiocie zasad udzielenia dotacji celowej dodatkowego kryterium dotyczącego określonej cechy, jaką musi posiadać potencjalny beneficjent dotacji celowej</w:t>
      </w:r>
      <w:r w:rsidR="00323444">
        <w:rPr>
          <w:rFonts w:ascii="Times New Roman" w:hAnsi="Times New Roman" w:cs="Times New Roman"/>
        </w:rPr>
        <w:t>,</w:t>
      </w:r>
      <w:r w:rsidRPr="00667967">
        <w:rPr>
          <w:rFonts w:ascii="Times New Roman" w:hAnsi="Times New Roman" w:cs="Times New Roman"/>
        </w:rPr>
        <w:t xml:space="preserve"> np. odnośnie tytułu prawnego do nieruchomości objętej przedsięwzięciem lub określonego poziomu dochodu, a także dodatkowych warunków wskazanych we wdrażanym przez gminę programie priorytetowym Narodowego Funduszu lub </w:t>
      </w:r>
      <w:r w:rsidR="00942CCA" w:rsidRPr="00667967">
        <w:rPr>
          <w:rFonts w:ascii="Times New Roman" w:hAnsi="Times New Roman" w:cs="Times New Roman"/>
        </w:rPr>
        <w:t>wfośigw</w:t>
      </w:r>
      <w:r w:rsidR="00323444">
        <w:rPr>
          <w:rFonts w:ascii="Times New Roman" w:hAnsi="Times New Roman" w:cs="Times New Roman"/>
        </w:rPr>
        <w:t>,</w:t>
      </w:r>
      <w:r w:rsidR="00942CCA" w:rsidRPr="00667967">
        <w:rPr>
          <w:rFonts w:ascii="Times New Roman" w:hAnsi="Times New Roman" w:cs="Times New Roman"/>
        </w:rPr>
        <w:t xml:space="preserve"> </w:t>
      </w:r>
      <w:r w:rsidRPr="00667967">
        <w:rPr>
          <w:rFonts w:ascii="Times New Roman" w:hAnsi="Times New Roman" w:cs="Times New Roman"/>
        </w:rPr>
        <w:t>np. dotyczących zasad kontroli, jeżeli przy udzielaniu dotacji celowej powiat lub gmina będą wykorzystywały środki pochodzące z</w:t>
      </w:r>
      <w:r w:rsidR="004D1D52" w:rsidRPr="00667967">
        <w:rPr>
          <w:rFonts w:ascii="Times New Roman" w:hAnsi="Times New Roman" w:cs="Times New Roman"/>
        </w:rPr>
        <w:t> </w:t>
      </w:r>
      <w:r w:rsidRPr="00667967">
        <w:rPr>
          <w:rFonts w:ascii="Times New Roman" w:hAnsi="Times New Roman" w:cs="Times New Roman"/>
        </w:rPr>
        <w:t xml:space="preserve">dotacji przyznanej im przez te fundusze. </w:t>
      </w:r>
    </w:p>
    <w:p w14:paraId="4EA3BF97" w14:textId="78FB8536" w:rsidR="001114F4" w:rsidRPr="00667967" w:rsidRDefault="001114F4" w:rsidP="00595221">
      <w:pPr>
        <w:widowControl/>
        <w:spacing w:before="120" w:after="120" w:line="360" w:lineRule="auto"/>
        <w:jc w:val="both"/>
        <w:rPr>
          <w:rFonts w:ascii="Times New Roman" w:hAnsi="Times New Roman" w:cs="Times New Roman"/>
        </w:rPr>
      </w:pPr>
      <w:r w:rsidRPr="00667967">
        <w:rPr>
          <w:rFonts w:ascii="Times New Roman" w:hAnsi="Times New Roman" w:cs="Times New Roman"/>
        </w:rPr>
        <w:lastRenderedPageBreak/>
        <w:t xml:space="preserve">Projektowana zmiana usprawni jednocześnie wdrażanie programów priorytetowych, w których następuje udostępnienie środków finansowych </w:t>
      </w:r>
      <w:r w:rsidR="00942CCA" w:rsidRPr="00667967">
        <w:rPr>
          <w:rFonts w:ascii="Times New Roman" w:hAnsi="Times New Roman" w:cs="Times New Roman"/>
        </w:rPr>
        <w:t xml:space="preserve">wfośigw </w:t>
      </w:r>
      <w:r w:rsidRPr="00667967">
        <w:rPr>
          <w:rFonts w:ascii="Times New Roman" w:hAnsi="Times New Roman" w:cs="Times New Roman"/>
        </w:rPr>
        <w:t>z przeznaczeniem na udzielanie dotacji na wskazane przez Narodowy Fundusz programy i przedsięwzięcia z</w:t>
      </w:r>
      <w:r w:rsidR="00A94267" w:rsidRPr="00667967">
        <w:rPr>
          <w:rFonts w:ascii="Times New Roman" w:hAnsi="Times New Roman" w:cs="Times New Roman"/>
        </w:rPr>
        <w:t> </w:t>
      </w:r>
      <w:r w:rsidRPr="00667967">
        <w:rPr>
          <w:rFonts w:ascii="Times New Roman" w:hAnsi="Times New Roman" w:cs="Times New Roman"/>
        </w:rPr>
        <w:t>zakresu zadań ochrony środowiska i gospodarki wodnej oraz potrzeb geologii, zgodnie z art. 411 ust. 10f ustawy Poś, w tym w</w:t>
      </w:r>
      <w:r w:rsidR="004D1D52" w:rsidRPr="00667967">
        <w:rPr>
          <w:rFonts w:ascii="Times New Roman" w:hAnsi="Times New Roman" w:cs="Times New Roman"/>
        </w:rPr>
        <w:t> </w:t>
      </w:r>
      <w:r w:rsidRPr="00667967">
        <w:rPr>
          <w:rFonts w:ascii="Times New Roman" w:hAnsi="Times New Roman" w:cs="Times New Roman"/>
        </w:rPr>
        <w:t xml:space="preserve">szczególności programu priorytetowego „Ciepłe Mieszkanie” skierowanego do gmin. </w:t>
      </w:r>
    </w:p>
    <w:p w14:paraId="7AF9D23A" w14:textId="57812355" w:rsidR="001114F4" w:rsidRPr="00667967" w:rsidRDefault="001114F4" w:rsidP="00595221">
      <w:pPr>
        <w:pStyle w:val="paragraph"/>
        <w:spacing w:before="0" w:beforeAutospacing="0" w:after="0" w:afterAutospacing="0" w:line="360" w:lineRule="auto"/>
        <w:jc w:val="both"/>
        <w:textAlignment w:val="baseline"/>
        <w:rPr>
          <w:color w:val="000000"/>
        </w:rPr>
      </w:pPr>
      <w:r w:rsidRPr="00667967">
        <w:t xml:space="preserve">Dodatkowo, </w:t>
      </w:r>
      <w:r w:rsidRPr="00667967">
        <w:rPr>
          <w:bCs/>
          <w:color w:val="000000"/>
        </w:rPr>
        <w:t>unikając wszelkich wątpliwości interpretacyjnych, proponuje się regulację wskazującą</w:t>
      </w:r>
      <w:r w:rsidR="00D42F41" w:rsidRPr="00667967">
        <w:rPr>
          <w:bCs/>
          <w:color w:val="000000"/>
        </w:rPr>
        <w:t xml:space="preserve"> </w:t>
      </w:r>
      <w:r w:rsidRPr="00667967">
        <w:rPr>
          <w:bCs/>
          <w:color w:val="000000"/>
        </w:rPr>
        <w:t xml:space="preserve">na </w:t>
      </w:r>
      <w:r w:rsidRPr="00667967">
        <w:t xml:space="preserve">możliwość odpowiedniego stosowania przepisów </w:t>
      </w:r>
      <w:r w:rsidRPr="00667967">
        <w:rPr>
          <w:rStyle w:val="normaltextrun"/>
          <w:color w:val="000000"/>
        </w:rPr>
        <w:t>art. 411 ust. 10g</w:t>
      </w:r>
      <w:r w:rsidR="00AE71AD" w:rsidRPr="00667967">
        <w:rPr>
          <w:rStyle w:val="normaltextrun"/>
          <w:color w:val="000000"/>
        </w:rPr>
        <w:t>–</w:t>
      </w:r>
      <w:r w:rsidRPr="00667967">
        <w:rPr>
          <w:rStyle w:val="normaltextrun"/>
          <w:color w:val="000000"/>
        </w:rPr>
        <w:t>10</w:t>
      </w:r>
      <w:r w:rsidR="00AE71AD" w:rsidRPr="00667967">
        <w:rPr>
          <w:rStyle w:val="normaltextrun"/>
          <w:color w:val="000000"/>
        </w:rPr>
        <w:t>r oraz ust.</w:t>
      </w:r>
      <w:r w:rsidR="00DA6E93">
        <w:rPr>
          <w:rStyle w:val="normaltextrun"/>
          <w:color w:val="000000"/>
        </w:rPr>
        <w:t> </w:t>
      </w:r>
      <w:r w:rsidR="00AE71AD" w:rsidRPr="00667967">
        <w:rPr>
          <w:rStyle w:val="normaltextrun"/>
          <w:color w:val="000000"/>
        </w:rPr>
        <w:t>10</w:t>
      </w:r>
      <w:r w:rsidRPr="00667967">
        <w:rPr>
          <w:rStyle w:val="normaltextrun"/>
          <w:color w:val="000000"/>
        </w:rPr>
        <w:t>sa ustawy Poś, dotyczących</w:t>
      </w:r>
      <w:r w:rsidR="00D42F41" w:rsidRPr="00667967">
        <w:rPr>
          <w:rStyle w:val="normaltextrun"/>
          <w:color w:val="000000"/>
        </w:rPr>
        <w:t xml:space="preserve"> </w:t>
      </w:r>
      <w:r w:rsidRPr="00667967">
        <w:rPr>
          <w:iCs/>
        </w:rPr>
        <w:t xml:space="preserve">wydawania </w:t>
      </w:r>
      <w:r w:rsidRPr="00667967">
        <w:t>zaświadczeń potwierdzających przeciętny miesięczny dochód na jednego członka</w:t>
      </w:r>
      <w:r w:rsidR="00D42F41" w:rsidRPr="00667967">
        <w:t xml:space="preserve"> </w:t>
      </w:r>
      <w:r w:rsidRPr="00667967">
        <w:t>gospodarstwa domowego, zgodnie z ustawą o świadczeniach rodzinnych, w</w:t>
      </w:r>
      <w:r w:rsidR="006132D2" w:rsidRPr="00667967">
        <w:rPr>
          <w:rStyle w:val="normaltextrun"/>
          <w:color w:val="000000"/>
        </w:rPr>
        <w:t> </w:t>
      </w:r>
      <w:r w:rsidRPr="00667967">
        <w:rPr>
          <w:rStyle w:val="normaltextrun"/>
          <w:color w:val="000000"/>
        </w:rPr>
        <w:t>przypadku gdy zasady udzielania dotacji celowej określają kryteria lub warunki wynikające z</w:t>
      </w:r>
      <w:r w:rsidR="006132D2" w:rsidRPr="00667967">
        <w:rPr>
          <w:rStyle w:val="normaltextrun"/>
          <w:color w:val="000000"/>
        </w:rPr>
        <w:t> </w:t>
      </w:r>
      <w:r w:rsidRPr="00667967">
        <w:rPr>
          <w:rStyle w:val="normaltextrun"/>
          <w:color w:val="000000"/>
        </w:rPr>
        <w:t>wymagań określonych w przepisach odrębnych lub umowie zawartej przez gminę lub powiat z</w:t>
      </w:r>
      <w:r w:rsidR="006132D2" w:rsidRPr="00667967">
        <w:rPr>
          <w:rStyle w:val="normaltextrun"/>
          <w:color w:val="000000"/>
        </w:rPr>
        <w:t> </w:t>
      </w:r>
      <w:r w:rsidRPr="00667967">
        <w:t xml:space="preserve">Narodowym Funduszem lub </w:t>
      </w:r>
      <w:r w:rsidR="00942CCA" w:rsidRPr="00667967">
        <w:t>wfośigw</w:t>
      </w:r>
      <w:r w:rsidRPr="00667967">
        <w:t>,</w:t>
      </w:r>
      <w:r w:rsidRPr="00667967">
        <w:rPr>
          <w:rStyle w:val="normaltextrun"/>
          <w:color w:val="000000"/>
        </w:rPr>
        <w:t xml:space="preserve"> dotyczące dochodów osoby fizycznej ubiegającej się o udzielenie dotacji celowej z budżetu gminy lub budżetu powiatu.</w:t>
      </w:r>
    </w:p>
    <w:p w14:paraId="5D02FB1F" w14:textId="54D742F4" w:rsidR="001114F4" w:rsidRPr="00667967" w:rsidRDefault="001114F4" w:rsidP="00595221">
      <w:pPr>
        <w:widowControl/>
        <w:spacing w:before="120" w:after="120" w:line="360" w:lineRule="auto"/>
        <w:jc w:val="both"/>
        <w:rPr>
          <w:rFonts w:ascii="Times New Roman" w:hAnsi="Times New Roman" w:cs="Times New Roman"/>
        </w:rPr>
      </w:pPr>
      <w:r w:rsidRPr="00667967">
        <w:rPr>
          <w:rFonts w:ascii="Times New Roman" w:hAnsi="Times New Roman" w:cs="Times New Roman"/>
        </w:rPr>
        <w:t xml:space="preserve">Dodano również odpowiedni przepis przejściowy (art. </w:t>
      </w:r>
      <w:r w:rsidR="006D7F4B" w:rsidRPr="00667967">
        <w:rPr>
          <w:rFonts w:ascii="Times New Roman" w:hAnsi="Times New Roman" w:cs="Times New Roman"/>
        </w:rPr>
        <w:t>24</w:t>
      </w:r>
      <w:r w:rsidRPr="00667967">
        <w:rPr>
          <w:rFonts w:ascii="Times New Roman" w:hAnsi="Times New Roman" w:cs="Times New Roman"/>
        </w:rPr>
        <w:t>), zgodnie z którym do uchwały określającej zasady udzielania dotacji celowej, podjętej przed dniem wejścia w życie projektowanej ustawy, będą miały zastosowanie przepisy dotychczasowe</w:t>
      </w:r>
      <w:r w:rsidR="00C64DDE" w:rsidRPr="00667967">
        <w:rPr>
          <w:rFonts w:ascii="Times New Roman" w:hAnsi="Times New Roman" w:cs="Times New Roman"/>
        </w:rPr>
        <w:t xml:space="preserve">. </w:t>
      </w:r>
    </w:p>
    <w:p w14:paraId="0B5E90ED" w14:textId="0B5BA232" w:rsidR="001114F4" w:rsidRPr="00667967" w:rsidRDefault="001114F4" w:rsidP="00595221">
      <w:pPr>
        <w:widowControl/>
        <w:suppressAutoHyphens w:val="0"/>
        <w:spacing w:after="120" w:line="360" w:lineRule="auto"/>
        <w:rPr>
          <w:rFonts w:ascii="Times New Roman" w:hAnsi="Times New Roman" w:cs="Times New Roman"/>
          <w:b/>
          <w:bCs/>
        </w:rPr>
      </w:pPr>
      <w:r w:rsidRPr="00667967">
        <w:rPr>
          <w:rFonts w:ascii="Times New Roman" w:hAnsi="Times New Roman" w:cs="Times New Roman"/>
          <w:b/>
          <w:bCs/>
        </w:rPr>
        <w:t xml:space="preserve">Zmiana art. 411 ust. 10l </w:t>
      </w:r>
    </w:p>
    <w:p w14:paraId="42FB7363" w14:textId="2DB09A5B" w:rsidR="006132D2" w:rsidRPr="00667967" w:rsidRDefault="001114F4" w:rsidP="00595221">
      <w:pPr>
        <w:widowControl/>
        <w:spacing w:after="120" w:line="360" w:lineRule="auto"/>
        <w:jc w:val="both"/>
        <w:rPr>
          <w:rFonts w:ascii="Times New Roman" w:hAnsi="Times New Roman" w:cs="Times New Roman"/>
        </w:rPr>
      </w:pPr>
      <w:r w:rsidRPr="00667967">
        <w:rPr>
          <w:rFonts w:ascii="Times New Roman" w:hAnsi="Times New Roman" w:cs="Times New Roman"/>
        </w:rPr>
        <w:t>W art. 411 ustawy Poś zmienia się brzmienie ust. 10l celem doprecyzowania sposobu ustalania wysokości przeciętnego miesięcznego dochodu z gospodarstwa rolnego na potrzeby wydania zaświadczenia o dochodach, o którym mowa w art. 411 ust. 10g ustawy Poś, wydawanego na potrzeby wnioskowania przez beneficjenta uprawnionego do podwyższonego i najwyższego poziomu dofinansowania o przyznanie środków w ramach Programu Priorytetowego „Czyste Powietrze”.</w:t>
      </w:r>
    </w:p>
    <w:p w14:paraId="54A73E4F" w14:textId="58632241" w:rsidR="001114F4" w:rsidRPr="00667967" w:rsidRDefault="001114F4" w:rsidP="00595221">
      <w:pPr>
        <w:keepNext/>
        <w:widowControl/>
        <w:spacing w:before="240" w:after="120" w:line="360" w:lineRule="auto"/>
        <w:jc w:val="both"/>
        <w:rPr>
          <w:rFonts w:ascii="Times New Roman" w:hAnsi="Times New Roman" w:cs="Times New Roman"/>
          <w:b/>
          <w:bCs/>
        </w:rPr>
      </w:pPr>
      <w:r w:rsidRPr="00667967">
        <w:rPr>
          <w:rFonts w:ascii="Times New Roman" w:hAnsi="Times New Roman" w:cs="Times New Roman"/>
          <w:b/>
          <w:bCs/>
        </w:rPr>
        <w:t xml:space="preserve">Zmiana art. 411 </w:t>
      </w:r>
      <w:r w:rsidR="00323444">
        <w:rPr>
          <w:rFonts w:ascii="Times New Roman" w:hAnsi="Times New Roman" w:cs="Times New Roman"/>
          <w:b/>
          <w:bCs/>
        </w:rPr>
        <w:t xml:space="preserve">przez </w:t>
      </w:r>
      <w:r w:rsidRPr="00667967">
        <w:rPr>
          <w:rFonts w:ascii="Times New Roman" w:hAnsi="Times New Roman" w:cs="Times New Roman"/>
          <w:b/>
          <w:bCs/>
        </w:rPr>
        <w:t>dodanie ust. 12</w:t>
      </w:r>
    </w:p>
    <w:p w14:paraId="190D9EF5" w14:textId="3DA2CBB3" w:rsidR="00EC7DA1" w:rsidRPr="00667967" w:rsidRDefault="00D02840" w:rsidP="00595221">
      <w:pPr>
        <w:pStyle w:val="ZPKTzmpktartykuempunktem"/>
        <w:ind w:left="0" w:firstLine="0"/>
        <w:rPr>
          <w:rStyle w:val="Ppogrubienie"/>
          <w:rFonts w:ascii="Times New Roman" w:eastAsia="Calibri" w:hAnsi="Times New Roman" w:cs="Times New Roman"/>
          <w:b w:val="0"/>
          <w:bCs w:val="0"/>
          <w:kern w:val="1"/>
          <w:szCs w:val="24"/>
          <w:lang w:eastAsia="hi-IN" w:bidi="hi-IN"/>
        </w:rPr>
      </w:pPr>
      <w:r w:rsidRPr="00667967">
        <w:rPr>
          <w:rStyle w:val="Ppogrubienie"/>
          <w:rFonts w:ascii="Times New Roman" w:hAnsi="Times New Roman" w:cs="Times New Roman"/>
          <w:b w:val="0"/>
          <w:szCs w:val="24"/>
        </w:rPr>
        <w:t xml:space="preserve">Celem projektowanych przepisów art. 411 ust. 12 </w:t>
      </w:r>
      <w:r w:rsidR="007D6EA6" w:rsidRPr="00667967">
        <w:rPr>
          <w:rStyle w:val="Ppogrubienie"/>
          <w:rFonts w:ascii="Times New Roman" w:hAnsi="Times New Roman" w:cs="Times New Roman"/>
          <w:b w:val="0"/>
          <w:szCs w:val="24"/>
        </w:rPr>
        <w:t xml:space="preserve">ustawy </w:t>
      </w:r>
      <w:r w:rsidRPr="00667967">
        <w:rPr>
          <w:rStyle w:val="Ppogrubienie"/>
          <w:rFonts w:ascii="Times New Roman" w:hAnsi="Times New Roman" w:cs="Times New Roman"/>
          <w:b w:val="0"/>
          <w:szCs w:val="24"/>
        </w:rPr>
        <w:t xml:space="preserve">Poś jest wzmocnienie i doprecyzowanie obecnych krajowych regulacji umożliwiających udostępnianie przez wojewódzkie fundusze ochrony środowiska i gospodarki wodnej w oparciu o art. 6 ust. 1 lit. c </w:t>
      </w:r>
      <w:r w:rsidR="000809DD" w:rsidRPr="00667967">
        <w:rPr>
          <w:rStyle w:val="Ppogrubienie"/>
          <w:rFonts w:ascii="Times New Roman" w:hAnsi="Times New Roman" w:cs="Times New Roman"/>
          <w:b w:val="0"/>
          <w:szCs w:val="24"/>
        </w:rPr>
        <w:t>r</w:t>
      </w:r>
      <w:r w:rsidRPr="00667967">
        <w:rPr>
          <w:rStyle w:val="Ppogrubienie"/>
          <w:rFonts w:ascii="Times New Roman" w:hAnsi="Times New Roman" w:cs="Times New Roman"/>
          <w:b w:val="0"/>
          <w:szCs w:val="24"/>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danych osobowych osób fizycznych przetwarzanych w </w:t>
      </w:r>
      <w:r w:rsidRPr="00667967">
        <w:rPr>
          <w:rStyle w:val="Ppogrubienie"/>
          <w:rFonts w:ascii="Times New Roman" w:hAnsi="Times New Roman" w:cs="Times New Roman"/>
          <w:b w:val="0"/>
          <w:szCs w:val="24"/>
        </w:rPr>
        <w:lastRenderedPageBreak/>
        <w:t xml:space="preserve">związku z realizacją przez te fundusze zadań powierzonych im do realizacji na podstawie umów i porozumień zawartych z </w:t>
      </w:r>
      <w:r w:rsidR="009D0B7D" w:rsidRPr="00667967">
        <w:rPr>
          <w:rStyle w:val="Ppogrubienie"/>
          <w:rFonts w:ascii="Times New Roman" w:hAnsi="Times New Roman" w:cs="Times New Roman"/>
          <w:b w:val="0"/>
          <w:szCs w:val="24"/>
        </w:rPr>
        <w:t>NFOŚiGW</w:t>
      </w:r>
      <w:r w:rsidRPr="00667967">
        <w:rPr>
          <w:rStyle w:val="Ppogrubienie"/>
          <w:rFonts w:ascii="Times New Roman" w:hAnsi="Times New Roman" w:cs="Times New Roman"/>
          <w:b w:val="0"/>
          <w:szCs w:val="24"/>
        </w:rPr>
        <w:t xml:space="preserve"> w ramach zaangażowania tych funduszy w realizację inwestycji w ramach Krajowego Planu Odbudowy i Zwiększania Odporności. </w:t>
      </w:r>
    </w:p>
    <w:p w14:paraId="37A8AD27" w14:textId="5679C87F" w:rsidR="00D02840" w:rsidRPr="00667967" w:rsidRDefault="00D02840" w:rsidP="00595221">
      <w:pPr>
        <w:pStyle w:val="ZPKTzmpktartykuempunktem"/>
        <w:spacing w:before="120"/>
        <w:ind w:left="0" w:firstLine="0"/>
        <w:rPr>
          <w:rStyle w:val="Ppogrubienie"/>
          <w:rFonts w:ascii="Times New Roman" w:hAnsi="Times New Roman" w:cs="Times New Roman"/>
          <w:b w:val="0"/>
          <w:szCs w:val="24"/>
        </w:rPr>
      </w:pPr>
      <w:r w:rsidRPr="00667967">
        <w:rPr>
          <w:rStyle w:val="Ppogrubienie"/>
          <w:rFonts w:ascii="Times New Roman" w:hAnsi="Times New Roman" w:cs="Times New Roman"/>
          <w:b w:val="0"/>
          <w:szCs w:val="24"/>
        </w:rPr>
        <w:t>Odbiorcami tych danych będą:</w:t>
      </w:r>
    </w:p>
    <w:p w14:paraId="5D0774FA" w14:textId="1FF319BE" w:rsidR="00D02840" w:rsidRPr="00667967" w:rsidRDefault="00D02840" w:rsidP="00595221">
      <w:pPr>
        <w:pStyle w:val="ZPKTzmpktartykuempunktem"/>
        <w:ind w:left="426" w:hanging="426"/>
        <w:rPr>
          <w:rFonts w:ascii="Times New Roman" w:hAnsi="Times New Roman" w:cs="Times New Roman"/>
          <w:szCs w:val="24"/>
        </w:rPr>
      </w:pPr>
      <w:r w:rsidRPr="00667967">
        <w:rPr>
          <w:rFonts w:ascii="Times New Roman" w:hAnsi="Times New Roman" w:cs="Times New Roman"/>
          <w:szCs w:val="24"/>
        </w:rPr>
        <w:t>1)</w:t>
      </w:r>
      <w:r w:rsidRPr="00667967">
        <w:rPr>
          <w:rFonts w:ascii="Times New Roman" w:hAnsi="Times New Roman" w:cs="Times New Roman"/>
          <w:szCs w:val="24"/>
        </w:rPr>
        <w:tab/>
        <w:t>Narodowy Fundusz jako ostateczny odbiorca wsparcia w rozumieniu art. 14la pkt 6 ustawy o</w:t>
      </w:r>
      <w:r w:rsidR="0002469B" w:rsidRPr="00667967">
        <w:rPr>
          <w:rFonts w:ascii="Times New Roman" w:hAnsi="Times New Roman" w:cs="Times New Roman"/>
          <w:szCs w:val="24"/>
        </w:rPr>
        <w:t> </w:t>
      </w:r>
      <w:r w:rsidRPr="00667967">
        <w:rPr>
          <w:rFonts w:ascii="Times New Roman" w:hAnsi="Times New Roman" w:cs="Times New Roman"/>
          <w:szCs w:val="24"/>
        </w:rPr>
        <w:t>zasadach prowadzenia polityki rozwoju albo jako jednostka wspierająca plan rozwojowy w</w:t>
      </w:r>
      <w:r w:rsidR="0002469B" w:rsidRPr="00667967">
        <w:rPr>
          <w:rFonts w:ascii="Times New Roman" w:hAnsi="Times New Roman" w:cs="Times New Roman"/>
          <w:szCs w:val="24"/>
        </w:rPr>
        <w:t> </w:t>
      </w:r>
      <w:r w:rsidRPr="00667967">
        <w:rPr>
          <w:rFonts w:ascii="Times New Roman" w:hAnsi="Times New Roman" w:cs="Times New Roman"/>
          <w:szCs w:val="24"/>
        </w:rPr>
        <w:t>rozumieniu art. 14la pkt 4 tej ustawy</w:t>
      </w:r>
      <w:r w:rsidR="00AE239A">
        <w:rPr>
          <w:rFonts w:ascii="Times New Roman" w:hAnsi="Times New Roman" w:cs="Times New Roman"/>
          <w:szCs w:val="24"/>
        </w:rPr>
        <w:t>;</w:t>
      </w:r>
    </w:p>
    <w:p w14:paraId="021F836D" w14:textId="77777777" w:rsidR="00D02840" w:rsidRPr="00667967" w:rsidRDefault="00D02840" w:rsidP="00595221">
      <w:pPr>
        <w:pStyle w:val="ZPKTzmpktartykuempunktem"/>
        <w:ind w:left="426" w:hanging="426"/>
        <w:rPr>
          <w:rFonts w:ascii="Times New Roman" w:hAnsi="Times New Roman" w:cs="Times New Roman"/>
          <w:szCs w:val="24"/>
        </w:rPr>
      </w:pPr>
      <w:r w:rsidRPr="00667967">
        <w:rPr>
          <w:rFonts w:ascii="Times New Roman" w:hAnsi="Times New Roman" w:cs="Times New Roman"/>
          <w:szCs w:val="24"/>
        </w:rPr>
        <w:t>2)</w:t>
      </w:r>
      <w:r w:rsidRPr="00667967">
        <w:rPr>
          <w:rFonts w:ascii="Times New Roman" w:hAnsi="Times New Roman" w:cs="Times New Roman"/>
          <w:szCs w:val="24"/>
        </w:rPr>
        <w:tab/>
        <w:t>minister właściwy do spraw rozwoju regionalnego, instytucja odpowiedzialna za realizację reformy, instytucja odpowiedzialna za realizację inwestycji, Szef Krajowej Administracji Skarbowej oraz właściwe jednostki organizacyjne Krajowej Administracji Skarbowej, Komisja Europejska, Europejski Urząd ds. Zwalczania Nadużyć Finansowych (OLAF), Europejski Trybunał Obrachunkowy</w:t>
      </w:r>
      <w:r w:rsidRPr="00667967">
        <w:rPr>
          <w:rStyle w:val="text-justify"/>
          <w:rFonts w:ascii="Times New Roman" w:hAnsi="Times New Roman" w:cs="Times New Roman"/>
          <w:szCs w:val="24"/>
        </w:rPr>
        <w:t xml:space="preserve">, </w:t>
      </w:r>
      <w:r w:rsidRPr="00667967">
        <w:rPr>
          <w:rFonts w:ascii="Times New Roman" w:hAnsi="Times New Roman" w:cs="Times New Roman"/>
          <w:szCs w:val="24"/>
        </w:rPr>
        <w:t xml:space="preserve">Prokuratura Europejska (EPPO). </w:t>
      </w:r>
    </w:p>
    <w:p w14:paraId="0838B472" w14:textId="02A3453B" w:rsidR="00EC16B1" w:rsidRPr="00667967" w:rsidRDefault="00D02840" w:rsidP="00595221">
      <w:pPr>
        <w:pStyle w:val="ZPKTzmpktartykuempunktem"/>
        <w:spacing w:before="120" w:after="120"/>
        <w:ind w:left="0" w:firstLine="0"/>
        <w:rPr>
          <w:rStyle w:val="Ppogrubienie"/>
          <w:rFonts w:ascii="Times New Roman" w:hAnsi="Times New Roman" w:cs="Times New Roman"/>
          <w:b w:val="0"/>
          <w:szCs w:val="24"/>
        </w:rPr>
      </w:pPr>
      <w:r w:rsidRPr="00667967">
        <w:rPr>
          <w:rStyle w:val="Ppogrubienie"/>
          <w:rFonts w:ascii="Times New Roman" w:hAnsi="Times New Roman" w:cs="Times New Roman"/>
          <w:b w:val="0"/>
          <w:szCs w:val="24"/>
        </w:rPr>
        <w:t xml:space="preserve">W przepisach rozdziału 2aa ustawy </w:t>
      </w:r>
      <w:r w:rsidRPr="00667967">
        <w:rPr>
          <w:rFonts w:ascii="Times New Roman" w:hAnsi="Times New Roman" w:cs="Times New Roman"/>
          <w:szCs w:val="24"/>
        </w:rPr>
        <w:t>o zasadach prowadzenia polityki rozwoju</w:t>
      </w:r>
      <w:r w:rsidRPr="00667967">
        <w:rPr>
          <w:rStyle w:val="Ppogrubienie"/>
          <w:rFonts w:ascii="Times New Roman" w:hAnsi="Times New Roman" w:cs="Times New Roman"/>
          <w:b w:val="0"/>
          <w:szCs w:val="24"/>
        </w:rPr>
        <w:t xml:space="preserve"> określono jedynie cel przetwarzania danych osobowych oraz podmioty, które </w:t>
      </w:r>
      <w:r w:rsidRPr="00667967">
        <w:rPr>
          <w:rFonts w:ascii="Times New Roman" w:hAnsi="Times New Roman" w:cs="Times New Roman"/>
          <w:szCs w:val="24"/>
        </w:rPr>
        <w:t>w procesie realizacji planu rozwojowego mogą przetwarzać takie dane.</w:t>
      </w:r>
      <w:r w:rsidRPr="00667967">
        <w:rPr>
          <w:rStyle w:val="Ppogrubienie"/>
          <w:rFonts w:ascii="Times New Roman" w:hAnsi="Times New Roman" w:cs="Times New Roman"/>
          <w:b w:val="0"/>
          <w:szCs w:val="24"/>
        </w:rPr>
        <w:t xml:space="preserve"> Nie określono natomiast szczegółowego zakresu przetwarzanych danych</w:t>
      </w:r>
      <w:r w:rsidRPr="00667967">
        <w:rPr>
          <w:rFonts w:ascii="Times New Roman" w:hAnsi="Times New Roman" w:cs="Times New Roman"/>
          <w:szCs w:val="24"/>
        </w:rPr>
        <w:t xml:space="preserve">. Tym samym nie jest możliwe określenie takiego zakresu dla niebędących administratorami na gruncie tej ustawy wojewódzkich funduszy (podmiotów zaangażowanych przez </w:t>
      </w:r>
      <w:r w:rsidRPr="00667967">
        <w:rPr>
          <w:rStyle w:val="Ppogrubienie"/>
          <w:rFonts w:ascii="Times New Roman" w:hAnsi="Times New Roman" w:cs="Times New Roman"/>
          <w:b w:val="0"/>
          <w:szCs w:val="24"/>
        </w:rPr>
        <w:t>umowy i</w:t>
      </w:r>
      <w:r w:rsidR="0002469B" w:rsidRPr="00667967">
        <w:rPr>
          <w:rStyle w:val="Ppogrubienie"/>
          <w:rFonts w:ascii="Times New Roman" w:hAnsi="Times New Roman" w:cs="Times New Roman"/>
          <w:b w:val="0"/>
          <w:szCs w:val="24"/>
        </w:rPr>
        <w:t> </w:t>
      </w:r>
      <w:r w:rsidRPr="00667967">
        <w:rPr>
          <w:rStyle w:val="Ppogrubienie"/>
          <w:rFonts w:ascii="Times New Roman" w:hAnsi="Times New Roman" w:cs="Times New Roman"/>
          <w:b w:val="0"/>
          <w:szCs w:val="24"/>
        </w:rPr>
        <w:t xml:space="preserve">porozumienia zawarte z Narodowym Funduszem </w:t>
      </w:r>
      <w:r w:rsidRPr="00667967">
        <w:rPr>
          <w:rFonts w:ascii="Times New Roman" w:hAnsi="Times New Roman" w:cs="Times New Roman"/>
          <w:szCs w:val="24"/>
        </w:rPr>
        <w:t>w realizację inwestycji w rozumieniu art. 14la pkt</w:t>
      </w:r>
      <w:r w:rsidR="00D47321" w:rsidRPr="00667967">
        <w:rPr>
          <w:rFonts w:ascii="Times New Roman" w:hAnsi="Times New Roman" w:cs="Times New Roman"/>
          <w:szCs w:val="24"/>
        </w:rPr>
        <w:t> </w:t>
      </w:r>
      <w:r w:rsidRPr="00667967">
        <w:rPr>
          <w:rFonts w:ascii="Times New Roman" w:hAnsi="Times New Roman" w:cs="Times New Roman"/>
          <w:szCs w:val="24"/>
        </w:rPr>
        <w:t xml:space="preserve">3 tej ustawy </w:t>
      </w:r>
      <w:r w:rsidRPr="00667967">
        <w:rPr>
          <w:rStyle w:val="Ppogrubienie"/>
          <w:rFonts w:ascii="Times New Roman" w:hAnsi="Times New Roman" w:cs="Times New Roman"/>
          <w:b w:val="0"/>
          <w:szCs w:val="24"/>
        </w:rPr>
        <w:t>w ramach Krajowego Planu Odbudowy i Zwiększania Odporności, przetwarzających dane osób fizycznych na potrzeby tego planu).</w:t>
      </w:r>
    </w:p>
    <w:p w14:paraId="0B755F78" w14:textId="5E0F0261" w:rsidR="00EC16B1" w:rsidRPr="00667967" w:rsidRDefault="00D02840" w:rsidP="00595221">
      <w:pPr>
        <w:pStyle w:val="ZPKTzmpktartykuempunktem"/>
        <w:spacing w:after="120"/>
        <w:ind w:left="0" w:firstLine="0"/>
        <w:rPr>
          <w:rStyle w:val="Ppogrubienie"/>
          <w:rFonts w:ascii="Times New Roman" w:hAnsi="Times New Roman" w:cs="Times New Roman"/>
          <w:b w:val="0"/>
          <w:szCs w:val="24"/>
        </w:rPr>
      </w:pPr>
      <w:r w:rsidRPr="00667967">
        <w:rPr>
          <w:rStyle w:val="Ppogrubienie"/>
          <w:rFonts w:ascii="Times New Roman" w:hAnsi="Times New Roman" w:cs="Times New Roman"/>
          <w:b w:val="0"/>
          <w:bCs w:val="0"/>
          <w:szCs w:val="24"/>
        </w:rPr>
        <w:t xml:space="preserve">Zakres danych </w:t>
      </w:r>
      <w:r w:rsidR="000809DD" w:rsidRPr="00667967">
        <w:rPr>
          <w:rStyle w:val="Ppogrubienie"/>
          <w:rFonts w:ascii="Times New Roman" w:hAnsi="Times New Roman" w:cs="Times New Roman"/>
          <w:b w:val="0"/>
          <w:bCs w:val="0"/>
          <w:szCs w:val="24"/>
        </w:rPr>
        <w:t xml:space="preserve">osobowych </w:t>
      </w:r>
      <w:r w:rsidRPr="00667967">
        <w:rPr>
          <w:rStyle w:val="Ppogrubienie"/>
          <w:rFonts w:ascii="Times New Roman" w:hAnsi="Times New Roman" w:cs="Times New Roman"/>
          <w:b w:val="0"/>
          <w:bCs w:val="0"/>
          <w:szCs w:val="24"/>
        </w:rPr>
        <w:t xml:space="preserve">osób fizycznych udostępnianych przez wojewódzkie fundusze podmiotom wskazanym w przepisie </w:t>
      </w:r>
      <w:r w:rsidRPr="00667967">
        <w:rPr>
          <w:rFonts w:ascii="Times New Roman" w:hAnsi="Times New Roman" w:cs="Times New Roman"/>
          <w:szCs w:val="24"/>
        </w:rPr>
        <w:t>art. 411 ust. 12 ustawy Poś</w:t>
      </w:r>
      <w:r w:rsidRPr="00667967">
        <w:rPr>
          <w:rStyle w:val="Ppogrubienie"/>
          <w:rFonts w:ascii="Times New Roman" w:hAnsi="Times New Roman" w:cs="Times New Roman"/>
          <w:b w:val="0"/>
          <w:bCs w:val="0"/>
          <w:szCs w:val="24"/>
        </w:rPr>
        <w:t xml:space="preserve"> będzie odpowiadał zakresowi niezbędnych danych do realizacji obowiązków tych podmiotów nałożonych </w:t>
      </w:r>
      <w:r w:rsidRPr="00667967">
        <w:rPr>
          <w:rFonts w:ascii="Times New Roman" w:hAnsi="Times New Roman" w:cs="Times New Roman"/>
          <w:szCs w:val="24"/>
        </w:rPr>
        <w:t>ustawą o zasadach prowadzenia polityki rozwoju lub</w:t>
      </w:r>
      <w:r w:rsidR="00F00085" w:rsidRPr="00667967">
        <w:rPr>
          <w:rFonts w:ascii="Times New Roman" w:hAnsi="Times New Roman" w:cs="Times New Roman"/>
          <w:szCs w:val="24"/>
        </w:rPr>
        <w:t xml:space="preserve"> rozporządzeniem</w:t>
      </w:r>
      <w:r w:rsidRPr="00667967">
        <w:rPr>
          <w:rFonts w:ascii="Times New Roman" w:hAnsi="Times New Roman" w:cs="Times New Roman"/>
          <w:szCs w:val="24"/>
        </w:rPr>
        <w:t xml:space="preserve"> Parlamentu Europejskiego i Rady (UE) 2021/241 z dnia 12</w:t>
      </w:r>
      <w:r w:rsidR="00D47321" w:rsidRPr="00667967">
        <w:rPr>
          <w:rFonts w:ascii="Times New Roman" w:hAnsi="Times New Roman" w:cs="Times New Roman"/>
          <w:szCs w:val="24"/>
        </w:rPr>
        <w:t> </w:t>
      </w:r>
      <w:r w:rsidRPr="00667967">
        <w:rPr>
          <w:rFonts w:ascii="Times New Roman" w:hAnsi="Times New Roman" w:cs="Times New Roman"/>
          <w:szCs w:val="24"/>
        </w:rPr>
        <w:t xml:space="preserve">lutego 2021 r. ustanawiającym Instrument na rzecz Odbudowy i Zwiększania Odporności, </w:t>
      </w:r>
      <w:r w:rsidRPr="00667967">
        <w:rPr>
          <w:rStyle w:val="Ppogrubienie"/>
          <w:rFonts w:ascii="Times New Roman" w:hAnsi="Times New Roman" w:cs="Times New Roman"/>
          <w:b w:val="0"/>
          <w:bCs w:val="0"/>
          <w:szCs w:val="24"/>
        </w:rPr>
        <w:t xml:space="preserve">polegających na </w:t>
      </w:r>
      <w:r w:rsidRPr="00667967">
        <w:rPr>
          <w:rFonts w:ascii="Times New Roman" w:hAnsi="Times New Roman" w:cs="Times New Roman"/>
          <w:szCs w:val="24"/>
        </w:rPr>
        <w:t xml:space="preserve">realizacji, kontroli, audycie i ewaluacji reform i inwestycji w ramach </w:t>
      </w:r>
      <w:r w:rsidRPr="00667967">
        <w:rPr>
          <w:rStyle w:val="Ppogrubienie"/>
          <w:rFonts w:ascii="Times New Roman" w:hAnsi="Times New Roman" w:cs="Times New Roman"/>
          <w:b w:val="0"/>
          <w:bCs w:val="0"/>
          <w:szCs w:val="24"/>
        </w:rPr>
        <w:t>Krajowego Planu Odbudowy i Zwiększania Odporności</w:t>
      </w:r>
      <w:r w:rsidRPr="00667967">
        <w:rPr>
          <w:rFonts w:ascii="Times New Roman" w:hAnsi="Times New Roman" w:cs="Times New Roman"/>
          <w:szCs w:val="24"/>
        </w:rPr>
        <w:t>.</w:t>
      </w:r>
      <w:r w:rsidRPr="00667967">
        <w:rPr>
          <w:rStyle w:val="Ppogrubienie"/>
          <w:rFonts w:ascii="Times New Roman" w:hAnsi="Times New Roman" w:cs="Times New Roman"/>
          <w:b w:val="0"/>
          <w:bCs w:val="0"/>
          <w:szCs w:val="24"/>
        </w:rPr>
        <w:t xml:space="preserve"> Przewiduje się, że udostępnianie danych będzie się odbywać zarówno drog</w:t>
      </w:r>
      <w:r w:rsidR="00013CAA" w:rsidRPr="00667967">
        <w:rPr>
          <w:rStyle w:val="Ppogrubienie"/>
          <w:rFonts w:ascii="Times New Roman" w:hAnsi="Times New Roman" w:cs="Times New Roman"/>
          <w:b w:val="0"/>
          <w:bCs w:val="0"/>
          <w:szCs w:val="24"/>
        </w:rPr>
        <w:t>ą</w:t>
      </w:r>
      <w:r w:rsidRPr="00667967">
        <w:rPr>
          <w:rStyle w:val="Ppogrubienie"/>
          <w:rFonts w:ascii="Times New Roman" w:hAnsi="Times New Roman" w:cs="Times New Roman"/>
          <w:b w:val="0"/>
          <w:bCs w:val="0"/>
          <w:szCs w:val="24"/>
        </w:rPr>
        <w:t xml:space="preserve"> tradycyjną</w:t>
      </w:r>
      <w:r w:rsidR="00395C75">
        <w:rPr>
          <w:rStyle w:val="Ppogrubienie"/>
          <w:rFonts w:ascii="Times New Roman" w:hAnsi="Times New Roman" w:cs="Times New Roman"/>
          <w:b w:val="0"/>
          <w:bCs w:val="0"/>
          <w:szCs w:val="24"/>
        </w:rPr>
        <w:t>,</w:t>
      </w:r>
      <w:r w:rsidRPr="00667967">
        <w:rPr>
          <w:rStyle w:val="Ppogrubienie"/>
          <w:rFonts w:ascii="Times New Roman" w:hAnsi="Times New Roman" w:cs="Times New Roman"/>
          <w:b w:val="0"/>
          <w:bCs w:val="0"/>
          <w:szCs w:val="24"/>
        </w:rPr>
        <w:t xml:space="preserve"> jak i elektroniczną, na żądanie uprawnionych podmiotów.</w:t>
      </w:r>
    </w:p>
    <w:p w14:paraId="610A62FA" w14:textId="4C2F568E" w:rsidR="00D02840" w:rsidRPr="00595221" w:rsidRDefault="00D02840" w:rsidP="00595221">
      <w:pPr>
        <w:pStyle w:val="ZPKTzmpktartykuempunktem"/>
        <w:ind w:left="0" w:firstLine="0"/>
        <w:rPr>
          <w:rFonts w:ascii="Times New Roman" w:hAnsi="Times New Roman" w:cs="Times New Roman"/>
          <w:szCs w:val="24"/>
        </w:rPr>
      </w:pPr>
      <w:r w:rsidRPr="00595221">
        <w:rPr>
          <w:rFonts w:ascii="Times New Roman" w:hAnsi="Times New Roman" w:cs="Times New Roman"/>
          <w:szCs w:val="24"/>
        </w:rPr>
        <w:t xml:space="preserve">Dodano także odpowiedni przepis przejściowy (art. </w:t>
      </w:r>
      <w:r w:rsidR="006D7F4B" w:rsidRPr="00595221">
        <w:rPr>
          <w:rFonts w:ascii="Times New Roman" w:hAnsi="Times New Roman" w:cs="Times New Roman"/>
          <w:szCs w:val="24"/>
        </w:rPr>
        <w:t>25</w:t>
      </w:r>
      <w:r w:rsidRPr="00595221">
        <w:rPr>
          <w:rFonts w:ascii="Times New Roman" w:hAnsi="Times New Roman" w:cs="Times New Roman"/>
          <w:szCs w:val="24"/>
        </w:rPr>
        <w:t xml:space="preserve">), który pozwoli na udostępnienie przez wojewódzkie fundusze niezbędnych danych osobowych beneficjentów Programu Priorytetowego „Czyste Powietrze”, którzy otrzymali dofinansowanie w ramach edycji </w:t>
      </w:r>
      <w:r w:rsidR="001513BB">
        <w:rPr>
          <w:rFonts w:ascii="Times New Roman" w:hAnsi="Times New Roman" w:cs="Times New Roman"/>
          <w:szCs w:val="24"/>
        </w:rPr>
        <w:t>p</w:t>
      </w:r>
      <w:r w:rsidRPr="00595221">
        <w:rPr>
          <w:rFonts w:ascii="Times New Roman" w:hAnsi="Times New Roman" w:cs="Times New Roman"/>
          <w:szCs w:val="24"/>
        </w:rPr>
        <w:t>rogramu realizowanej od dnia 15 maja 2020 r.</w:t>
      </w:r>
    </w:p>
    <w:p w14:paraId="5744FC7A" w14:textId="5EFD1361" w:rsidR="00C7100B" w:rsidRPr="00667967" w:rsidRDefault="00F9655C" w:rsidP="00595221">
      <w:pPr>
        <w:widowControl/>
        <w:spacing w:before="240" w:after="120" w:line="360" w:lineRule="auto"/>
        <w:jc w:val="both"/>
        <w:rPr>
          <w:rFonts w:ascii="Times New Roman" w:eastAsia="Times New Roman" w:hAnsi="Times New Roman" w:cs="Times New Roman"/>
          <w:b/>
          <w:i/>
          <w:smallCaps/>
          <w:kern w:val="28"/>
        </w:rPr>
      </w:pPr>
      <w:r w:rsidRPr="00667967">
        <w:rPr>
          <w:rFonts w:ascii="Times New Roman" w:eastAsia="Times New Roman" w:hAnsi="Times New Roman" w:cs="Times New Roman"/>
          <w:b/>
          <w:smallCaps/>
          <w:kern w:val="28"/>
        </w:rPr>
        <w:lastRenderedPageBreak/>
        <w:t xml:space="preserve">art. </w:t>
      </w:r>
      <w:r w:rsidR="000E7B47" w:rsidRPr="00667967">
        <w:rPr>
          <w:rFonts w:ascii="Times New Roman" w:eastAsia="Times New Roman" w:hAnsi="Times New Roman" w:cs="Times New Roman"/>
          <w:b/>
          <w:smallCaps/>
          <w:kern w:val="28"/>
        </w:rPr>
        <w:t>2</w:t>
      </w:r>
      <w:r w:rsidRPr="00667967">
        <w:rPr>
          <w:rFonts w:ascii="Times New Roman" w:eastAsia="Times New Roman" w:hAnsi="Times New Roman" w:cs="Times New Roman"/>
          <w:b/>
          <w:smallCaps/>
          <w:kern w:val="28"/>
        </w:rPr>
        <w:t xml:space="preserve"> –</w:t>
      </w:r>
      <w:r w:rsidR="00C7100B" w:rsidRPr="00667967">
        <w:rPr>
          <w:rFonts w:ascii="Times New Roman" w:eastAsia="Times New Roman" w:hAnsi="Times New Roman" w:cs="Times New Roman"/>
          <w:b/>
          <w:smallCaps/>
          <w:kern w:val="28"/>
        </w:rPr>
        <w:t xml:space="preserve"> zmiany w ustawie o samorządzie gminnym</w:t>
      </w:r>
    </w:p>
    <w:p w14:paraId="0878963D" w14:textId="7414B5A6" w:rsidR="00F65096" w:rsidRPr="00667967" w:rsidRDefault="00F65096" w:rsidP="00595221">
      <w:pPr>
        <w:widowControl/>
        <w:spacing w:after="120" w:line="360" w:lineRule="auto"/>
        <w:jc w:val="both"/>
        <w:rPr>
          <w:rFonts w:ascii="Times New Roman" w:hAnsi="Times New Roman" w:cs="Times New Roman"/>
          <w:b/>
          <w:bCs/>
        </w:rPr>
      </w:pPr>
      <w:r w:rsidRPr="00667967">
        <w:rPr>
          <w:rFonts w:ascii="Times New Roman" w:hAnsi="Times New Roman" w:cs="Times New Roman"/>
          <w:b/>
          <w:bCs/>
        </w:rPr>
        <w:t xml:space="preserve">Zmiana art. </w:t>
      </w:r>
      <w:r w:rsidR="006A3D45" w:rsidRPr="00667967">
        <w:rPr>
          <w:rFonts w:ascii="Times New Roman" w:hAnsi="Times New Roman" w:cs="Times New Roman"/>
          <w:b/>
          <w:bCs/>
        </w:rPr>
        <w:t>10e ust. 3 pkt 1</w:t>
      </w:r>
      <w:r w:rsidR="001C5ADB" w:rsidRPr="00667967">
        <w:rPr>
          <w:rFonts w:ascii="Times New Roman" w:hAnsi="Times New Roman" w:cs="Times New Roman"/>
          <w:b/>
          <w:bCs/>
        </w:rPr>
        <w:t>,</w:t>
      </w:r>
      <w:r w:rsidR="00BF5E32" w:rsidRPr="00667967">
        <w:rPr>
          <w:rFonts w:ascii="Times New Roman" w:hAnsi="Times New Roman" w:cs="Times New Roman"/>
          <w:b/>
          <w:bCs/>
        </w:rPr>
        <w:t xml:space="preserve"> </w:t>
      </w:r>
      <w:r w:rsidR="00395C75">
        <w:rPr>
          <w:rFonts w:ascii="Times New Roman" w:hAnsi="Times New Roman" w:cs="Times New Roman"/>
          <w:b/>
          <w:bCs/>
        </w:rPr>
        <w:t xml:space="preserve">art. </w:t>
      </w:r>
      <w:r w:rsidR="00340DB5" w:rsidRPr="00667967">
        <w:rPr>
          <w:rFonts w:ascii="Times New Roman" w:hAnsi="Times New Roman" w:cs="Times New Roman"/>
          <w:b/>
          <w:bCs/>
        </w:rPr>
        <w:t>10f ust. 5</w:t>
      </w:r>
      <w:r w:rsidR="007410ED" w:rsidRPr="00667967">
        <w:rPr>
          <w:rFonts w:ascii="Times New Roman" w:hAnsi="Times New Roman" w:cs="Times New Roman"/>
          <w:b/>
          <w:bCs/>
        </w:rPr>
        <w:t xml:space="preserve">, </w:t>
      </w:r>
      <w:r w:rsidR="00395C75">
        <w:rPr>
          <w:rFonts w:ascii="Times New Roman" w:hAnsi="Times New Roman" w:cs="Times New Roman"/>
          <w:b/>
          <w:bCs/>
        </w:rPr>
        <w:t xml:space="preserve">art. </w:t>
      </w:r>
      <w:r w:rsidR="001C5ADB" w:rsidRPr="00667967">
        <w:rPr>
          <w:rFonts w:ascii="Times New Roman" w:hAnsi="Times New Roman" w:cs="Times New Roman"/>
          <w:b/>
          <w:bCs/>
        </w:rPr>
        <w:t>10g ust. 9</w:t>
      </w:r>
      <w:r w:rsidR="007410ED" w:rsidRPr="00667967">
        <w:rPr>
          <w:rFonts w:ascii="Times New Roman" w:hAnsi="Times New Roman" w:cs="Times New Roman"/>
          <w:b/>
          <w:bCs/>
        </w:rPr>
        <w:t xml:space="preserve"> oraz </w:t>
      </w:r>
      <w:r w:rsidR="00395C75">
        <w:rPr>
          <w:rFonts w:ascii="Times New Roman" w:hAnsi="Times New Roman" w:cs="Times New Roman"/>
          <w:b/>
          <w:bCs/>
        </w:rPr>
        <w:t xml:space="preserve">art. </w:t>
      </w:r>
      <w:r w:rsidR="007410ED" w:rsidRPr="00667967">
        <w:rPr>
          <w:rFonts w:ascii="Times New Roman" w:hAnsi="Times New Roman" w:cs="Times New Roman"/>
          <w:b/>
          <w:bCs/>
        </w:rPr>
        <w:t>28aa</w:t>
      </w:r>
      <w:r w:rsidR="00574231" w:rsidRPr="00667967">
        <w:rPr>
          <w:rFonts w:ascii="Times New Roman" w:hAnsi="Times New Roman" w:cs="Times New Roman"/>
          <w:b/>
          <w:bCs/>
        </w:rPr>
        <w:t xml:space="preserve"> przez</w:t>
      </w:r>
      <w:r w:rsidR="007410ED" w:rsidRPr="00667967">
        <w:rPr>
          <w:rFonts w:ascii="Times New Roman" w:hAnsi="Times New Roman" w:cs="Times New Roman"/>
          <w:b/>
          <w:bCs/>
        </w:rPr>
        <w:t xml:space="preserve"> dodanie ust</w:t>
      </w:r>
      <w:r w:rsidR="00AE239A">
        <w:rPr>
          <w:rFonts w:ascii="Times New Roman" w:hAnsi="Times New Roman" w:cs="Times New Roman"/>
          <w:b/>
          <w:bCs/>
        </w:rPr>
        <w:t>.</w:t>
      </w:r>
      <w:r w:rsidR="00395C75">
        <w:rPr>
          <w:rFonts w:ascii="Times New Roman" w:hAnsi="Times New Roman" w:cs="Times New Roman"/>
          <w:b/>
          <w:bCs/>
        </w:rPr>
        <w:t> </w:t>
      </w:r>
      <w:r w:rsidR="007410ED" w:rsidRPr="00667967">
        <w:rPr>
          <w:rFonts w:ascii="Times New Roman" w:hAnsi="Times New Roman" w:cs="Times New Roman"/>
          <w:b/>
          <w:bCs/>
        </w:rPr>
        <w:t>3a</w:t>
      </w:r>
    </w:p>
    <w:p w14:paraId="00398E96" w14:textId="59898C14" w:rsidR="00EC3473" w:rsidRPr="00667967" w:rsidRDefault="006A3D45" w:rsidP="00595221">
      <w:pPr>
        <w:widowControl/>
        <w:suppressAutoHyphens w:val="0"/>
        <w:spacing w:line="360" w:lineRule="auto"/>
        <w:jc w:val="both"/>
        <w:rPr>
          <w:rFonts w:ascii="Times New Roman" w:hAnsi="Times New Roman" w:cs="Times New Roman"/>
        </w:rPr>
      </w:pPr>
      <w:r w:rsidRPr="00667967">
        <w:rPr>
          <w:rFonts w:ascii="Times New Roman" w:hAnsi="Times New Roman" w:cs="Times New Roman"/>
        </w:rPr>
        <w:t>W art. 10e ust. 3 zostały określone obligatoryjne części składowe strategii rozwoju gminy.</w:t>
      </w:r>
      <w:r w:rsidR="00D26EDA" w:rsidRPr="00667967">
        <w:rPr>
          <w:rFonts w:ascii="Times New Roman" w:hAnsi="Times New Roman" w:cs="Times New Roman"/>
        </w:rPr>
        <w:t xml:space="preserve"> Aspekt adaptacji do zmian klimatu nie jest wystarczająco mocno osadzony w przepisach dotyczących rozwoju gminy</w:t>
      </w:r>
      <w:r w:rsidR="00324A73" w:rsidRPr="00667967">
        <w:rPr>
          <w:rFonts w:ascii="Times New Roman" w:hAnsi="Times New Roman" w:cs="Times New Roman"/>
        </w:rPr>
        <w:t xml:space="preserve"> i </w:t>
      </w:r>
      <w:r w:rsidR="00B130C9" w:rsidRPr="00667967">
        <w:rPr>
          <w:rFonts w:ascii="Times New Roman" w:hAnsi="Times New Roman" w:cs="Times New Roman"/>
        </w:rPr>
        <w:t xml:space="preserve">rozwoju </w:t>
      </w:r>
      <w:r w:rsidR="00324A73" w:rsidRPr="00667967">
        <w:rPr>
          <w:rFonts w:ascii="Times New Roman" w:hAnsi="Times New Roman" w:cs="Times New Roman"/>
        </w:rPr>
        <w:t>ponadlokalnego</w:t>
      </w:r>
      <w:r w:rsidR="00D26EDA" w:rsidRPr="00667967">
        <w:rPr>
          <w:rFonts w:ascii="Times New Roman" w:hAnsi="Times New Roman" w:cs="Times New Roman"/>
        </w:rPr>
        <w:t xml:space="preserve">, dlatego w ustawie o samorządzie gminnym </w:t>
      </w:r>
      <w:r w:rsidR="0078418C" w:rsidRPr="00667967">
        <w:rPr>
          <w:rFonts w:ascii="Times New Roman" w:hAnsi="Times New Roman" w:cs="Times New Roman"/>
        </w:rPr>
        <w:t xml:space="preserve">został </w:t>
      </w:r>
      <w:r w:rsidR="00D26EDA" w:rsidRPr="00667967">
        <w:rPr>
          <w:rFonts w:ascii="Times New Roman" w:hAnsi="Times New Roman" w:cs="Times New Roman"/>
        </w:rPr>
        <w:t xml:space="preserve">dodany przepis, </w:t>
      </w:r>
      <w:r w:rsidR="007276ED" w:rsidRPr="00667967">
        <w:rPr>
          <w:rFonts w:ascii="Times New Roman" w:hAnsi="Times New Roman" w:cs="Times New Roman"/>
        </w:rPr>
        <w:t xml:space="preserve">zgodnie z którym </w:t>
      </w:r>
      <w:r w:rsidR="00D26EDA" w:rsidRPr="00667967">
        <w:rPr>
          <w:rFonts w:ascii="Times New Roman" w:hAnsi="Times New Roman" w:cs="Times New Roman"/>
        </w:rPr>
        <w:t xml:space="preserve">strategie rozwoju na poziomie </w:t>
      </w:r>
      <w:r w:rsidR="00324A73" w:rsidRPr="00667967">
        <w:rPr>
          <w:rFonts w:ascii="Times New Roman" w:hAnsi="Times New Roman" w:cs="Times New Roman"/>
        </w:rPr>
        <w:t xml:space="preserve">gminnym i ponadlokalnym </w:t>
      </w:r>
      <w:r w:rsidR="00D26EDA" w:rsidRPr="00667967">
        <w:rPr>
          <w:rFonts w:ascii="Times New Roman" w:hAnsi="Times New Roman" w:cs="Times New Roman"/>
        </w:rPr>
        <w:t xml:space="preserve">będą musiały wskazywać </w:t>
      </w:r>
      <w:r w:rsidR="00427AD5" w:rsidRPr="00667967">
        <w:rPr>
          <w:rFonts w:ascii="Times New Roman" w:hAnsi="Times New Roman" w:cs="Times New Roman"/>
        </w:rPr>
        <w:t xml:space="preserve">nie tylko cele strategiczne </w:t>
      </w:r>
      <w:r w:rsidR="00D26EDA" w:rsidRPr="00667967">
        <w:rPr>
          <w:rFonts w:ascii="Times New Roman" w:hAnsi="Times New Roman" w:cs="Times New Roman"/>
        </w:rPr>
        <w:t>rozwoju w wymiarze społecznym, gospodarczym, przestrzennym</w:t>
      </w:r>
      <w:r w:rsidR="00427AD5" w:rsidRPr="00667967">
        <w:rPr>
          <w:rFonts w:ascii="Times New Roman" w:hAnsi="Times New Roman" w:cs="Times New Roman"/>
        </w:rPr>
        <w:t xml:space="preserve">, ale </w:t>
      </w:r>
      <w:r w:rsidR="00D26EDA" w:rsidRPr="00667967">
        <w:rPr>
          <w:rFonts w:ascii="Times New Roman" w:hAnsi="Times New Roman" w:cs="Times New Roman"/>
        </w:rPr>
        <w:t>również cele klimatyczno-środowiskowe</w:t>
      </w:r>
      <w:r w:rsidR="00C17F4D" w:rsidRPr="00667967">
        <w:rPr>
          <w:rFonts w:ascii="Times New Roman" w:hAnsi="Times New Roman" w:cs="Times New Roman"/>
        </w:rPr>
        <w:t>. Przez cele klimatyczno-środowiskowe rozumiane są</w:t>
      </w:r>
      <w:r w:rsidR="00F01F93" w:rsidRPr="00667967">
        <w:rPr>
          <w:rFonts w:ascii="Times New Roman" w:hAnsi="Times New Roman" w:cs="Times New Roman"/>
        </w:rPr>
        <w:t xml:space="preserve"> </w:t>
      </w:r>
      <w:r w:rsidR="00FF3E77" w:rsidRPr="00667967">
        <w:rPr>
          <w:rFonts w:ascii="Times New Roman" w:hAnsi="Times New Roman" w:cs="Times New Roman"/>
        </w:rPr>
        <w:t>cele</w:t>
      </w:r>
      <w:r w:rsidR="00F01F93" w:rsidRPr="00667967">
        <w:rPr>
          <w:rFonts w:ascii="Times New Roman" w:hAnsi="Times New Roman" w:cs="Times New Roman"/>
        </w:rPr>
        <w:t xml:space="preserve"> w zakresie</w:t>
      </w:r>
      <w:r w:rsidR="00C17F4D" w:rsidRPr="00667967">
        <w:rPr>
          <w:rFonts w:ascii="Times New Roman" w:hAnsi="Times New Roman" w:cs="Times New Roman"/>
        </w:rPr>
        <w:t xml:space="preserve"> ochron</w:t>
      </w:r>
      <w:r w:rsidR="00F01F93" w:rsidRPr="00667967">
        <w:rPr>
          <w:rFonts w:ascii="Times New Roman" w:hAnsi="Times New Roman" w:cs="Times New Roman"/>
        </w:rPr>
        <w:t>y</w:t>
      </w:r>
      <w:r w:rsidR="00C17F4D" w:rsidRPr="00667967">
        <w:rPr>
          <w:rFonts w:ascii="Times New Roman" w:hAnsi="Times New Roman" w:cs="Times New Roman"/>
        </w:rPr>
        <w:t xml:space="preserve"> klimatu i adaptacj</w:t>
      </w:r>
      <w:r w:rsidR="00F01F93" w:rsidRPr="00667967">
        <w:rPr>
          <w:rFonts w:ascii="Times New Roman" w:hAnsi="Times New Roman" w:cs="Times New Roman"/>
        </w:rPr>
        <w:t>i</w:t>
      </w:r>
      <w:r w:rsidR="00C17F4D" w:rsidRPr="00667967">
        <w:rPr>
          <w:rFonts w:ascii="Times New Roman" w:hAnsi="Times New Roman" w:cs="Times New Roman"/>
        </w:rPr>
        <w:t xml:space="preserve"> do zmian klimatu, ochron</w:t>
      </w:r>
      <w:r w:rsidR="00490E8F" w:rsidRPr="00667967">
        <w:rPr>
          <w:rFonts w:ascii="Times New Roman" w:hAnsi="Times New Roman" w:cs="Times New Roman"/>
        </w:rPr>
        <w:t>y</w:t>
      </w:r>
      <w:r w:rsidR="00873676" w:rsidRPr="00667967">
        <w:rPr>
          <w:rFonts w:ascii="Times New Roman" w:hAnsi="Times New Roman" w:cs="Times New Roman"/>
        </w:rPr>
        <w:t xml:space="preserve"> </w:t>
      </w:r>
      <w:r w:rsidR="00C17F4D" w:rsidRPr="00667967">
        <w:rPr>
          <w:rFonts w:ascii="Times New Roman" w:hAnsi="Times New Roman" w:cs="Times New Roman"/>
        </w:rPr>
        <w:t>i</w:t>
      </w:r>
      <w:r w:rsidR="00395C75">
        <w:rPr>
          <w:rFonts w:ascii="Times New Roman" w:hAnsi="Times New Roman" w:cs="Times New Roman"/>
        </w:rPr>
        <w:t xml:space="preserve"> </w:t>
      </w:r>
      <w:r w:rsidR="00C17F4D" w:rsidRPr="00667967">
        <w:rPr>
          <w:rFonts w:ascii="Times New Roman" w:hAnsi="Times New Roman" w:cs="Times New Roman"/>
        </w:rPr>
        <w:t>kształtowani</w:t>
      </w:r>
      <w:r w:rsidR="00490E8F" w:rsidRPr="00667967">
        <w:rPr>
          <w:rFonts w:ascii="Times New Roman" w:hAnsi="Times New Roman" w:cs="Times New Roman"/>
        </w:rPr>
        <w:t>a</w:t>
      </w:r>
      <w:r w:rsidR="00C17F4D" w:rsidRPr="00667967">
        <w:rPr>
          <w:rFonts w:ascii="Times New Roman" w:hAnsi="Times New Roman" w:cs="Times New Roman"/>
        </w:rPr>
        <w:t xml:space="preserve"> środowiska oraz racjonalne</w:t>
      </w:r>
      <w:r w:rsidR="00490E8F" w:rsidRPr="00667967">
        <w:rPr>
          <w:rFonts w:ascii="Times New Roman" w:hAnsi="Times New Roman" w:cs="Times New Roman"/>
        </w:rPr>
        <w:t>go</w:t>
      </w:r>
      <w:r w:rsidR="00C17F4D" w:rsidRPr="00667967">
        <w:rPr>
          <w:rFonts w:ascii="Times New Roman" w:hAnsi="Times New Roman" w:cs="Times New Roman"/>
        </w:rPr>
        <w:t xml:space="preserve"> wykorzystani</w:t>
      </w:r>
      <w:r w:rsidR="00490E8F" w:rsidRPr="00667967">
        <w:rPr>
          <w:rFonts w:ascii="Times New Roman" w:hAnsi="Times New Roman" w:cs="Times New Roman"/>
        </w:rPr>
        <w:t>a</w:t>
      </w:r>
      <w:r w:rsidR="00C17F4D" w:rsidRPr="00667967">
        <w:rPr>
          <w:rFonts w:ascii="Times New Roman" w:hAnsi="Times New Roman" w:cs="Times New Roman"/>
        </w:rPr>
        <w:t xml:space="preserve"> je</w:t>
      </w:r>
      <w:r w:rsidR="00490E8F" w:rsidRPr="00667967">
        <w:rPr>
          <w:rFonts w:ascii="Times New Roman" w:hAnsi="Times New Roman" w:cs="Times New Roman"/>
        </w:rPr>
        <w:t>go</w:t>
      </w:r>
      <w:r w:rsidR="00C17F4D" w:rsidRPr="00667967">
        <w:rPr>
          <w:rFonts w:ascii="Times New Roman" w:hAnsi="Times New Roman" w:cs="Times New Roman"/>
        </w:rPr>
        <w:t xml:space="preserve"> zasobów, zapewnieni</w:t>
      </w:r>
      <w:r w:rsidR="00490E8F" w:rsidRPr="00667967">
        <w:rPr>
          <w:rFonts w:ascii="Times New Roman" w:hAnsi="Times New Roman" w:cs="Times New Roman"/>
        </w:rPr>
        <w:t>a</w:t>
      </w:r>
      <w:r w:rsidR="00C17F4D" w:rsidRPr="00667967">
        <w:rPr>
          <w:rFonts w:ascii="Times New Roman" w:hAnsi="Times New Roman" w:cs="Times New Roman"/>
        </w:rPr>
        <w:t xml:space="preserve"> ekologicznych warunków ż</w:t>
      </w:r>
      <w:r w:rsidR="00F2685B" w:rsidRPr="00667967">
        <w:rPr>
          <w:rFonts w:ascii="Times New Roman" w:hAnsi="Times New Roman" w:cs="Times New Roman"/>
        </w:rPr>
        <w:t>y</w:t>
      </w:r>
      <w:r w:rsidR="00C17F4D" w:rsidRPr="00667967">
        <w:rPr>
          <w:rFonts w:ascii="Times New Roman" w:hAnsi="Times New Roman" w:cs="Times New Roman"/>
        </w:rPr>
        <w:t>cia obywatelom, transformacj</w:t>
      </w:r>
      <w:r w:rsidR="00490E8F" w:rsidRPr="00667967">
        <w:rPr>
          <w:rFonts w:ascii="Times New Roman" w:hAnsi="Times New Roman" w:cs="Times New Roman"/>
        </w:rPr>
        <w:t>i</w:t>
      </w:r>
      <w:r w:rsidR="00C17F4D" w:rsidRPr="00667967">
        <w:rPr>
          <w:rFonts w:ascii="Times New Roman" w:hAnsi="Times New Roman" w:cs="Times New Roman"/>
        </w:rPr>
        <w:t xml:space="preserve"> ekologiczn</w:t>
      </w:r>
      <w:r w:rsidR="00490E8F" w:rsidRPr="00667967">
        <w:rPr>
          <w:rFonts w:ascii="Times New Roman" w:hAnsi="Times New Roman" w:cs="Times New Roman"/>
        </w:rPr>
        <w:t>ej</w:t>
      </w:r>
      <w:r w:rsidR="00C17F4D" w:rsidRPr="00667967">
        <w:rPr>
          <w:rFonts w:ascii="Times New Roman" w:hAnsi="Times New Roman" w:cs="Times New Roman"/>
        </w:rPr>
        <w:t xml:space="preserve"> i klimatyczn</w:t>
      </w:r>
      <w:r w:rsidR="00490E8F" w:rsidRPr="00667967">
        <w:rPr>
          <w:rFonts w:ascii="Times New Roman" w:hAnsi="Times New Roman" w:cs="Times New Roman"/>
        </w:rPr>
        <w:t>ej</w:t>
      </w:r>
      <w:r w:rsidR="00C17F4D" w:rsidRPr="00667967">
        <w:rPr>
          <w:rFonts w:ascii="Times New Roman" w:hAnsi="Times New Roman" w:cs="Times New Roman"/>
        </w:rPr>
        <w:t>.</w:t>
      </w:r>
      <w:r w:rsidR="00340DB5" w:rsidRPr="00667967">
        <w:rPr>
          <w:rFonts w:ascii="Times New Roman" w:hAnsi="Times New Roman" w:cs="Times New Roman"/>
        </w:rPr>
        <w:t xml:space="preserve"> W art. 10f ust</w:t>
      </w:r>
      <w:r w:rsidR="00AE239A">
        <w:rPr>
          <w:rFonts w:ascii="Times New Roman" w:hAnsi="Times New Roman" w:cs="Times New Roman"/>
        </w:rPr>
        <w:t>.</w:t>
      </w:r>
      <w:r w:rsidR="00340DB5" w:rsidRPr="00667967">
        <w:rPr>
          <w:rFonts w:ascii="Times New Roman" w:hAnsi="Times New Roman" w:cs="Times New Roman"/>
        </w:rPr>
        <w:t xml:space="preserve"> 5 </w:t>
      </w:r>
      <w:r w:rsidR="000A1BE0" w:rsidRPr="00667967">
        <w:rPr>
          <w:rFonts w:ascii="Times New Roman" w:hAnsi="Times New Roman" w:cs="Times New Roman"/>
        </w:rPr>
        <w:t xml:space="preserve">oraz w </w:t>
      </w:r>
      <w:r w:rsidR="00395C75">
        <w:rPr>
          <w:rFonts w:ascii="Times New Roman" w:hAnsi="Times New Roman" w:cs="Times New Roman"/>
        </w:rPr>
        <w:t xml:space="preserve">art. </w:t>
      </w:r>
      <w:r w:rsidR="000A1BE0" w:rsidRPr="00667967">
        <w:rPr>
          <w:rFonts w:ascii="Times New Roman" w:hAnsi="Times New Roman" w:cs="Times New Roman"/>
        </w:rPr>
        <w:t xml:space="preserve">10g ust. 9 </w:t>
      </w:r>
      <w:r w:rsidR="00340DB5" w:rsidRPr="00667967">
        <w:rPr>
          <w:rFonts w:ascii="Times New Roman" w:hAnsi="Times New Roman" w:cs="Times New Roman"/>
        </w:rPr>
        <w:t>doprecyzowano, że</w:t>
      </w:r>
      <w:r w:rsidR="000A1BE0" w:rsidRPr="00667967">
        <w:rPr>
          <w:rFonts w:ascii="Times New Roman" w:hAnsi="Times New Roman" w:cs="Times New Roman"/>
        </w:rPr>
        <w:t xml:space="preserve"> odpowiednio</w:t>
      </w:r>
      <w:r w:rsidR="00340DB5" w:rsidRPr="00667967">
        <w:rPr>
          <w:rFonts w:ascii="Times New Roman" w:hAnsi="Times New Roman" w:cs="Times New Roman"/>
        </w:rPr>
        <w:t xml:space="preserve"> strategia rozwoju gminy </w:t>
      </w:r>
      <w:r w:rsidR="000A1BE0" w:rsidRPr="00667967">
        <w:rPr>
          <w:rFonts w:ascii="Times New Roman" w:hAnsi="Times New Roman" w:cs="Times New Roman"/>
        </w:rPr>
        <w:t xml:space="preserve">albo strategia rozwoju ponadlokalnego </w:t>
      </w:r>
      <w:r w:rsidR="00340DB5" w:rsidRPr="00667967">
        <w:rPr>
          <w:rFonts w:ascii="Times New Roman" w:hAnsi="Times New Roman" w:cs="Times New Roman"/>
        </w:rPr>
        <w:t>podlega aktualizacj</w:t>
      </w:r>
      <w:r w:rsidR="003655D4" w:rsidRPr="00667967">
        <w:rPr>
          <w:rFonts w:ascii="Times New Roman" w:hAnsi="Times New Roman" w:cs="Times New Roman"/>
        </w:rPr>
        <w:t>i</w:t>
      </w:r>
      <w:r w:rsidR="00340DB5" w:rsidRPr="00667967">
        <w:rPr>
          <w:rFonts w:ascii="Times New Roman" w:hAnsi="Times New Roman" w:cs="Times New Roman"/>
        </w:rPr>
        <w:t xml:space="preserve"> także w przypadku, gdy wymaga tego sytuacja klimatyczno-środowisk</w:t>
      </w:r>
      <w:r w:rsidR="00547111" w:rsidRPr="00667967">
        <w:rPr>
          <w:rFonts w:ascii="Times New Roman" w:hAnsi="Times New Roman" w:cs="Times New Roman"/>
        </w:rPr>
        <w:t>owa</w:t>
      </w:r>
      <w:r w:rsidR="00340DB5" w:rsidRPr="00667967">
        <w:rPr>
          <w:rFonts w:ascii="Times New Roman" w:hAnsi="Times New Roman" w:cs="Times New Roman"/>
        </w:rPr>
        <w:t xml:space="preserve"> gminy. </w:t>
      </w:r>
      <w:r w:rsidR="007410ED" w:rsidRPr="00667967">
        <w:rPr>
          <w:rFonts w:ascii="Times New Roman" w:hAnsi="Times New Roman" w:cs="Times New Roman"/>
        </w:rPr>
        <w:t>W art. 28aa po ust. 3 dodaje się ust. 3a</w:t>
      </w:r>
      <w:r w:rsidR="00DD2270" w:rsidRPr="00667967">
        <w:rPr>
          <w:rFonts w:ascii="Times New Roman" w:hAnsi="Times New Roman" w:cs="Times New Roman"/>
        </w:rPr>
        <w:t>,</w:t>
      </w:r>
      <w:r w:rsidR="007410ED" w:rsidRPr="00667967">
        <w:rPr>
          <w:rFonts w:ascii="Times New Roman" w:hAnsi="Times New Roman" w:cs="Times New Roman"/>
        </w:rPr>
        <w:t xml:space="preserve"> zgodnie z którym w</w:t>
      </w:r>
      <w:r w:rsidR="008E0073" w:rsidRPr="00667967">
        <w:rPr>
          <w:rFonts w:ascii="Times New Roman" w:hAnsi="Times New Roman" w:cs="Times New Roman"/>
        </w:rPr>
        <w:t xml:space="preserve"> </w:t>
      </w:r>
      <w:r w:rsidR="007410ED" w:rsidRPr="00667967">
        <w:rPr>
          <w:rFonts w:ascii="Times New Roman" w:hAnsi="Times New Roman" w:cs="Times New Roman"/>
        </w:rPr>
        <w:t xml:space="preserve">gminach, które posiadają MPA, przy sporządzaniu raportu o stanie gminy należy </w:t>
      </w:r>
      <w:r w:rsidR="00DD2270" w:rsidRPr="00667967">
        <w:rPr>
          <w:rFonts w:ascii="Times New Roman" w:hAnsi="Times New Roman" w:cs="Times New Roman"/>
        </w:rPr>
        <w:t xml:space="preserve">uwzględnić </w:t>
      </w:r>
      <w:r w:rsidR="00F33243" w:rsidRPr="00667967">
        <w:rPr>
          <w:rFonts w:ascii="Times New Roman" w:hAnsi="Times New Roman" w:cs="Times New Roman"/>
        </w:rPr>
        <w:t xml:space="preserve">wnioski i rekomendacje </w:t>
      </w:r>
      <w:r w:rsidR="00DD2270" w:rsidRPr="00667967">
        <w:rPr>
          <w:rFonts w:ascii="Times New Roman" w:hAnsi="Times New Roman" w:cs="Times New Roman"/>
        </w:rPr>
        <w:t>ze sprawozdań z</w:t>
      </w:r>
      <w:r w:rsidR="00BE76C8" w:rsidRPr="00667967">
        <w:rPr>
          <w:rFonts w:ascii="Times New Roman" w:hAnsi="Times New Roman" w:cs="Times New Roman"/>
        </w:rPr>
        <w:t> </w:t>
      </w:r>
      <w:r w:rsidR="00DD2270" w:rsidRPr="00667967">
        <w:rPr>
          <w:rFonts w:ascii="Times New Roman" w:hAnsi="Times New Roman" w:cs="Times New Roman"/>
        </w:rPr>
        <w:t>monitorowania</w:t>
      </w:r>
      <w:r w:rsidR="0004459C" w:rsidRPr="00667967">
        <w:rPr>
          <w:rFonts w:ascii="Times New Roman" w:hAnsi="Times New Roman" w:cs="Times New Roman"/>
        </w:rPr>
        <w:t xml:space="preserve"> MPA</w:t>
      </w:r>
      <w:r w:rsidR="00DD2270" w:rsidRPr="00667967">
        <w:rPr>
          <w:rFonts w:ascii="Times New Roman" w:hAnsi="Times New Roman" w:cs="Times New Roman"/>
        </w:rPr>
        <w:t>.</w:t>
      </w:r>
    </w:p>
    <w:p w14:paraId="7CD5C545" w14:textId="0CCFAEF7" w:rsidR="00C7100B" w:rsidRPr="00667967" w:rsidRDefault="00555D75" w:rsidP="00595221">
      <w:pPr>
        <w:widowControl/>
        <w:spacing w:before="240" w:after="120" w:line="360" w:lineRule="auto"/>
        <w:jc w:val="both"/>
        <w:rPr>
          <w:rFonts w:ascii="Times New Roman" w:eastAsia="Times New Roman" w:hAnsi="Times New Roman" w:cs="Times New Roman"/>
          <w:b/>
          <w:i/>
          <w:smallCaps/>
          <w:kern w:val="28"/>
        </w:rPr>
      </w:pPr>
      <w:r w:rsidRPr="00667967">
        <w:rPr>
          <w:rFonts w:ascii="Times New Roman" w:eastAsia="Times New Roman" w:hAnsi="Times New Roman" w:cs="Times New Roman"/>
          <w:b/>
          <w:smallCaps/>
          <w:kern w:val="28"/>
        </w:rPr>
        <w:t xml:space="preserve">Art. </w:t>
      </w:r>
      <w:r w:rsidR="0075284C" w:rsidRPr="00667967">
        <w:rPr>
          <w:rFonts w:ascii="Times New Roman" w:eastAsia="Times New Roman" w:hAnsi="Times New Roman" w:cs="Times New Roman"/>
          <w:b/>
          <w:smallCaps/>
          <w:kern w:val="28"/>
        </w:rPr>
        <w:t>3</w:t>
      </w:r>
      <w:r w:rsidR="00C7100B" w:rsidRPr="00667967">
        <w:rPr>
          <w:rFonts w:ascii="Times New Roman" w:eastAsia="Times New Roman" w:hAnsi="Times New Roman" w:cs="Times New Roman"/>
          <w:b/>
          <w:smallCaps/>
          <w:kern w:val="28"/>
        </w:rPr>
        <w:t xml:space="preserve"> </w:t>
      </w:r>
      <w:r w:rsidR="00FE7088">
        <w:rPr>
          <w:rFonts w:ascii="Times New Roman" w:eastAsia="Times New Roman" w:hAnsi="Times New Roman" w:cs="Times New Roman"/>
          <w:b/>
          <w:smallCaps/>
          <w:kern w:val="28"/>
        </w:rPr>
        <w:t>–</w:t>
      </w:r>
      <w:r w:rsidR="00A10896" w:rsidRPr="00667967">
        <w:rPr>
          <w:rFonts w:ascii="Times New Roman" w:eastAsia="Times New Roman" w:hAnsi="Times New Roman" w:cs="Times New Roman"/>
          <w:b/>
          <w:smallCaps/>
          <w:kern w:val="28"/>
        </w:rPr>
        <w:t xml:space="preserve"> </w:t>
      </w:r>
      <w:r w:rsidR="00C7100B" w:rsidRPr="00667967">
        <w:rPr>
          <w:rFonts w:ascii="Times New Roman" w:eastAsia="Times New Roman" w:hAnsi="Times New Roman" w:cs="Times New Roman"/>
          <w:b/>
          <w:smallCaps/>
          <w:kern w:val="28"/>
        </w:rPr>
        <w:t>zmiany w ustawie o samorządzie województwa</w:t>
      </w:r>
    </w:p>
    <w:p w14:paraId="2FFDE92B" w14:textId="572946D3" w:rsidR="00C7100B" w:rsidRPr="00667967" w:rsidRDefault="00C7100B" w:rsidP="00595221">
      <w:pPr>
        <w:widowControl/>
        <w:spacing w:after="120" w:line="360" w:lineRule="auto"/>
        <w:rPr>
          <w:rFonts w:ascii="Times New Roman" w:hAnsi="Times New Roman" w:cs="Times New Roman"/>
          <w:b/>
        </w:rPr>
      </w:pPr>
      <w:r w:rsidRPr="00667967">
        <w:rPr>
          <w:rFonts w:ascii="Times New Roman" w:hAnsi="Times New Roman" w:cs="Times New Roman"/>
          <w:b/>
        </w:rPr>
        <w:t xml:space="preserve">Zmiana art. 11 </w:t>
      </w:r>
      <w:r w:rsidR="00DD2270" w:rsidRPr="00667967">
        <w:rPr>
          <w:rFonts w:ascii="Times New Roman" w:hAnsi="Times New Roman" w:cs="Times New Roman"/>
          <w:b/>
        </w:rPr>
        <w:t xml:space="preserve">ust. 1c oraz </w:t>
      </w:r>
      <w:r w:rsidRPr="00667967">
        <w:rPr>
          <w:rFonts w:ascii="Times New Roman" w:hAnsi="Times New Roman" w:cs="Times New Roman"/>
          <w:b/>
        </w:rPr>
        <w:t>ust. 2</w:t>
      </w:r>
    </w:p>
    <w:p w14:paraId="40DD4E86" w14:textId="4A078F46" w:rsidR="00DD2270" w:rsidRPr="00667967" w:rsidRDefault="00DD2270" w:rsidP="00595221">
      <w:pPr>
        <w:widowControl/>
        <w:spacing w:after="120" w:line="360" w:lineRule="auto"/>
        <w:jc w:val="both"/>
        <w:rPr>
          <w:rFonts w:ascii="Times New Roman" w:hAnsi="Times New Roman" w:cs="Times New Roman"/>
        </w:rPr>
      </w:pPr>
      <w:r w:rsidRPr="00667967">
        <w:rPr>
          <w:rFonts w:ascii="Times New Roman" w:hAnsi="Times New Roman" w:cs="Times New Roman"/>
        </w:rPr>
        <w:t>Art. 11 ust. 1c określa, co powinna zawierać strategia rozwoju województwa. W związku ze zmianami w art. 2 należy ujednoli</w:t>
      </w:r>
      <w:r w:rsidR="00395C75">
        <w:rPr>
          <w:rFonts w:ascii="Times New Roman" w:hAnsi="Times New Roman" w:cs="Times New Roman"/>
        </w:rPr>
        <w:t>ci</w:t>
      </w:r>
      <w:r w:rsidRPr="00667967">
        <w:rPr>
          <w:rFonts w:ascii="Times New Roman" w:hAnsi="Times New Roman" w:cs="Times New Roman"/>
        </w:rPr>
        <w:t xml:space="preserve">ć, by strategia rozwoju województwa również wskazywała nie tylko cele strategiczne rozwoju w wymiarze społecznym, gospodarczym, przestrzennym, ale </w:t>
      </w:r>
      <w:r w:rsidR="004A6200" w:rsidRPr="00667967">
        <w:rPr>
          <w:rFonts w:ascii="Times New Roman" w:hAnsi="Times New Roman" w:cs="Times New Roman"/>
        </w:rPr>
        <w:t>także</w:t>
      </w:r>
      <w:r w:rsidRPr="00667967">
        <w:rPr>
          <w:rFonts w:ascii="Times New Roman" w:hAnsi="Times New Roman" w:cs="Times New Roman"/>
        </w:rPr>
        <w:t xml:space="preserve"> cele klimatyczno-środowiskowe</w:t>
      </w:r>
      <w:r w:rsidR="0004459C" w:rsidRPr="00667967">
        <w:rPr>
          <w:rFonts w:ascii="Times New Roman" w:hAnsi="Times New Roman" w:cs="Times New Roman"/>
        </w:rPr>
        <w:t>.</w:t>
      </w:r>
    </w:p>
    <w:p w14:paraId="3AE6EF43" w14:textId="18B9D708" w:rsidR="00C7100B" w:rsidRPr="00667967" w:rsidRDefault="00C7100B" w:rsidP="00595221">
      <w:pPr>
        <w:widowControl/>
        <w:spacing w:after="120" w:line="360" w:lineRule="auto"/>
        <w:jc w:val="both"/>
        <w:rPr>
          <w:rFonts w:ascii="Times New Roman" w:hAnsi="Times New Roman" w:cs="Times New Roman"/>
        </w:rPr>
      </w:pPr>
      <w:r w:rsidRPr="00667967">
        <w:rPr>
          <w:rFonts w:ascii="Times New Roman" w:hAnsi="Times New Roman" w:cs="Times New Roman"/>
        </w:rPr>
        <w:t>Art</w:t>
      </w:r>
      <w:r w:rsidR="008E0073" w:rsidRPr="00667967">
        <w:rPr>
          <w:rFonts w:ascii="Times New Roman" w:hAnsi="Times New Roman" w:cs="Times New Roman"/>
        </w:rPr>
        <w:t>.</w:t>
      </w:r>
      <w:r w:rsidRPr="00667967">
        <w:rPr>
          <w:rFonts w:ascii="Times New Roman" w:hAnsi="Times New Roman" w:cs="Times New Roman"/>
        </w:rPr>
        <w:t xml:space="preserve"> 11 ust. 2 jest przepisem regulującym w sposób ramowy prowadzenie polityki rozwoju województwa. Stanowi on również samodzielną podstawę do prowadzenia przez samorząd województwa polityki rozwoju. Zgodnie z obecnym stanem prawnym przez politykę rozwoju rozumie się zespół wzajemnie powiązanych działań podejmowanych i realizowanych w celu zapewnienia trwałego i zrównoważonego rozwoju kraju, spójności społeczno-gospodarczej, regionalnej i przestrzennej, podnoszenia konkurencyjności gospodarki oraz tworzenia nowych miejsc pracy w skali krajowej, regionalnej lub lokalnej. Fundus</w:t>
      </w:r>
      <w:r w:rsidR="00B8037C" w:rsidRPr="00667967">
        <w:rPr>
          <w:rFonts w:ascii="Times New Roman" w:hAnsi="Times New Roman" w:cs="Times New Roman"/>
        </w:rPr>
        <w:t>ze na rozwój regionalny</w:t>
      </w:r>
      <w:r w:rsidR="00013CAA" w:rsidRPr="00667967">
        <w:rPr>
          <w:rFonts w:ascii="Times New Roman" w:hAnsi="Times New Roman" w:cs="Times New Roman"/>
        </w:rPr>
        <w:t xml:space="preserve"> </w:t>
      </w:r>
      <w:r w:rsidRPr="00667967">
        <w:rPr>
          <w:rFonts w:ascii="Times New Roman" w:hAnsi="Times New Roman" w:cs="Times New Roman"/>
        </w:rPr>
        <w:t xml:space="preserve">są przyznawane w formie dofinansowania do konkretnych programów, natomiast art. 11 ustawy </w:t>
      </w:r>
      <w:r w:rsidRPr="00667967">
        <w:rPr>
          <w:rFonts w:ascii="Times New Roman" w:hAnsi="Times New Roman" w:cs="Times New Roman"/>
        </w:rPr>
        <w:lastRenderedPageBreak/>
        <w:t>konstytuuje obowiązek jej prowadzenia przez samorząd województwa i także wskazuje źródło jej finansowania.</w:t>
      </w:r>
    </w:p>
    <w:p w14:paraId="4875B29C" w14:textId="1677E917" w:rsidR="00C7100B" w:rsidRPr="00667967" w:rsidRDefault="00C7100B" w:rsidP="00595221">
      <w:pPr>
        <w:widowControl/>
        <w:spacing w:after="120" w:line="360" w:lineRule="auto"/>
        <w:jc w:val="both"/>
        <w:rPr>
          <w:rFonts w:ascii="Times New Roman" w:hAnsi="Times New Roman" w:cs="Times New Roman"/>
        </w:rPr>
      </w:pPr>
      <w:r w:rsidRPr="00667967">
        <w:rPr>
          <w:rFonts w:ascii="Times New Roman" w:hAnsi="Times New Roman" w:cs="Times New Roman"/>
        </w:rPr>
        <w:t xml:space="preserve">Aktualnie samorząd województwa prowadzi politykę rozwoju województwa, na którą składa się racjonalne korzystanie z zasobów przyrody oraz kształtowanie środowiska naturalnego, zgodnie z zasadą zrównoważonego rozwoju. Tym samym aktualny stan prawny nie uwzględnia </w:t>
      </w:r>
      <w:r w:rsidR="004A6246" w:rsidRPr="00667967">
        <w:rPr>
          <w:rFonts w:ascii="Times New Roman" w:hAnsi="Times New Roman" w:cs="Times New Roman"/>
        </w:rPr>
        <w:t xml:space="preserve">w pełni </w:t>
      </w:r>
      <w:r w:rsidRPr="00667967">
        <w:rPr>
          <w:rFonts w:ascii="Times New Roman" w:hAnsi="Times New Roman" w:cs="Times New Roman"/>
        </w:rPr>
        <w:t xml:space="preserve">kwestii odnoszących się do kontekstu klimatyczno-przyrodniczego. Obecny stan prawny może prowadzić do problemów z wdrażaniem krajowej polityki adaptacyjnej. Działania na rzecz adaptacji do zmian klimatycznych są bowiem działaniami wymagającymi szerszego spojrzenia terytorialnego, wykraczającego poza obszar konkretnej gminy. </w:t>
      </w:r>
    </w:p>
    <w:p w14:paraId="6651D945" w14:textId="4FAAEC77" w:rsidR="00C7100B" w:rsidRPr="00667967" w:rsidRDefault="00C7100B" w:rsidP="00595221">
      <w:pPr>
        <w:widowControl/>
        <w:spacing w:after="120" w:line="360" w:lineRule="auto"/>
        <w:jc w:val="both"/>
        <w:rPr>
          <w:rFonts w:ascii="Times New Roman" w:hAnsi="Times New Roman" w:cs="Times New Roman"/>
        </w:rPr>
      </w:pPr>
      <w:r w:rsidRPr="00667967">
        <w:rPr>
          <w:rFonts w:ascii="Times New Roman" w:hAnsi="Times New Roman" w:cs="Times New Roman"/>
        </w:rPr>
        <w:t xml:space="preserve">Ponadto w zakresie tworzenia warunków dla prowadzenia działań na rzecz ochrony klimatu oraz adaptacji </w:t>
      </w:r>
      <w:r w:rsidR="00613E7E" w:rsidRPr="00667967">
        <w:rPr>
          <w:rFonts w:ascii="Times New Roman" w:hAnsi="Times New Roman" w:cs="Times New Roman"/>
        </w:rPr>
        <w:t>do zmian klimatu</w:t>
      </w:r>
      <w:r w:rsidRPr="00667967">
        <w:rPr>
          <w:rFonts w:ascii="Times New Roman" w:hAnsi="Times New Roman" w:cs="Times New Roman"/>
        </w:rPr>
        <w:t xml:space="preserve">, należy wskazać, że samorządy województw są odpowiedzialne za programowanie i wdrażanie </w:t>
      </w:r>
      <w:r w:rsidR="00076F56" w:rsidRPr="00667967">
        <w:rPr>
          <w:rFonts w:ascii="Times New Roman" w:hAnsi="Times New Roman" w:cs="Times New Roman"/>
        </w:rPr>
        <w:t>Fu</w:t>
      </w:r>
      <w:r w:rsidR="00377B81" w:rsidRPr="00667967">
        <w:rPr>
          <w:rFonts w:ascii="Times New Roman" w:hAnsi="Times New Roman" w:cs="Times New Roman"/>
        </w:rPr>
        <w:t xml:space="preserve">nduszy </w:t>
      </w:r>
      <w:r w:rsidR="00076F56" w:rsidRPr="00667967">
        <w:rPr>
          <w:rFonts w:ascii="Times New Roman" w:hAnsi="Times New Roman" w:cs="Times New Roman"/>
        </w:rPr>
        <w:t>E</w:t>
      </w:r>
      <w:r w:rsidR="00377B81" w:rsidRPr="00667967">
        <w:rPr>
          <w:rFonts w:ascii="Times New Roman" w:hAnsi="Times New Roman" w:cs="Times New Roman"/>
        </w:rPr>
        <w:t xml:space="preserve">uropejskich dla </w:t>
      </w:r>
      <w:r w:rsidR="00076F56" w:rsidRPr="00667967">
        <w:rPr>
          <w:rFonts w:ascii="Times New Roman" w:hAnsi="Times New Roman" w:cs="Times New Roman"/>
        </w:rPr>
        <w:t>R</w:t>
      </w:r>
      <w:r w:rsidR="00377B81" w:rsidRPr="00667967">
        <w:rPr>
          <w:rFonts w:ascii="Times New Roman" w:hAnsi="Times New Roman" w:cs="Times New Roman"/>
        </w:rPr>
        <w:t xml:space="preserve">egionów, w ramach których </w:t>
      </w:r>
      <w:r w:rsidRPr="00667967">
        <w:rPr>
          <w:rFonts w:ascii="Times New Roman" w:hAnsi="Times New Roman" w:cs="Times New Roman"/>
        </w:rPr>
        <w:t>programuje się oraz wdraża szereg działań z zakresu mitygacji oraz adaptacji do zmian klimatu, a co więcej, istnieje konieczność przeznaczania minim</w:t>
      </w:r>
      <w:r w:rsidR="00345BD3" w:rsidRPr="00667967">
        <w:rPr>
          <w:rFonts w:ascii="Times New Roman" w:hAnsi="Times New Roman" w:cs="Times New Roman"/>
        </w:rPr>
        <w:t>um 30</w:t>
      </w:r>
      <w:r w:rsidR="006D7F4B" w:rsidRPr="00667967">
        <w:rPr>
          <w:rFonts w:ascii="Times New Roman" w:hAnsi="Times New Roman" w:cs="Times New Roman"/>
        </w:rPr>
        <w:t xml:space="preserve"> </w:t>
      </w:r>
      <w:r w:rsidR="00345BD3" w:rsidRPr="00667967">
        <w:rPr>
          <w:rFonts w:ascii="Times New Roman" w:hAnsi="Times New Roman" w:cs="Times New Roman"/>
        </w:rPr>
        <w:t>%</w:t>
      </w:r>
      <w:r w:rsidRPr="00667967">
        <w:rPr>
          <w:rFonts w:ascii="Times New Roman" w:hAnsi="Times New Roman" w:cs="Times New Roman"/>
        </w:rPr>
        <w:t xml:space="preserve"> alokacji na te działania w ramach koncentracji tematycznej oraz tak zwanego mainstreamingu klimatycznego. Działania zaplanowane w ramach </w:t>
      </w:r>
      <w:r w:rsidR="00076F56" w:rsidRPr="00667967">
        <w:rPr>
          <w:rFonts w:ascii="Times New Roman" w:hAnsi="Times New Roman" w:cs="Times New Roman"/>
        </w:rPr>
        <w:t>F</w:t>
      </w:r>
      <w:r w:rsidR="00377B81" w:rsidRPr="00667967">
        <w:rPr>
          <w:rFonts w:ascii="Times New Roman" w:hAnsi="Times New Roman" w:cs="Times New Roman"/>
        </w:rPr>
        <w:t xml:space="preserve">unduszy </w:t>
      </w:r>
      <w:r w:rsidR="00076F56" w:rsidRPr="00667967">
        <w:rPr>
          <w:rFonts w:ascii="Times New Roman" w:hAnsi="Times New Roman" w:cs="Times New Roman"/>
        </w:rPr>
        <w:t>E</w:t>
      </w:r>
      <w:r w:rsidR="00377B81" w:rsidRPr="00667967">
        <w:rPr>
          <w:rFonts w:ascii="Times New Roman" w:hAnsi="Times New Roman" w:cs="Times New Roman"/>
        </w:rPr>
        <w:t xml:space="preserve">uropejskich dla </w:t>
      </w:r>
      <w:r w:rsidR="00076F56" w:rsidRPr="00667967">
        <w:rPr>
          <w:rFonts w:ascii="Times New Roman" w:hAnsi="Times New Roman" w:cs="Times New Roman"/>
        </w:rPr>
        <w:t>R</w:t>
      </w:r>
      <w:r w:rsidR="00377B81" w:rsidRPr="00667967">
        <w:rPr>
          <w:rFonts w:ascii="Times New Roman" w:hAnsi="Times New Roman" w:cs="Times New Roman"/>
        </w:rPr>
        <w:t xml:space="preserve">egionów </w:t>
      </w:r>
      <w:r w:rsidRPr="00667967">
        <w:rPr>
          <w:rFonts w:ascii="Times New Roman" w:hAnsi="Times New Roman" w:cs="Times New Roman"/>
        </w:rPr>
        <w:t xml:space="preserve">są jednocześnie komplementarne do analogicznego wsparcia </w:t>
      </w:r>
      <w:r w:rsidR="00613E7E" w:rsidRPr="00667967">
        <w:rPr>
          <w:rFonts w:ascii="Times New Roman" w:hAnsi="Times New Roman" w:cs="Times New Roman"/>
        </w:rPr>
        <w:t>JST</w:t>
      </w:r>
      <w:r w:rsidRPr="00667967">
        <w:rPr>
          <w:rFonts w:ascii="Times New Roman" w:hAnsi="Times New Roman" w:cs="Times New Roman"/>
        </w:rPr>
        <w:t xml:space="preserve"> z krajowych programów opera</w:t>
      </w:r>
      <w:r w:rsidR="00B8037C" w:rsidRPr="00667967">
        <w:rPr>
          <w:rFonts w:ascii="Times New Roman" w:hAnsi="Times New Roman" w:cs="Times New Roman"/>
        </w:rPr>
        <w:t>cyjnych</w:t>
      </w:r>
      <w:r w:rsidR="00475E2C" w:rsidRPr="00667967">
        <w:rPr>
          <w:rFonts w:ascii="Times New Roman" w:hAnsi="Times New Roman" w:cs="Times New Roman"/>
        </w:rPr>
        <w:t xml:space="preserve"> </w:t>
      </w:r>
      <w:r w:rsidRPr="00667967">
        <w:rPr>
          <w:rFonts w:ascii="Times New Roman" w:hAnsi="Times New Roman" w:cs="Times New Roman"/>
        </w:rPr>
        <w:t>z uwzględnieniem obowiązującej linii demarkacyjnej.</w:t>
      </w:r>
    </w:p>
    <w:p w14:paraId="6D091AA8" w14:textId="1135C30B" w:rsidR="00C7100B" w:rsidRPr="00667967" w:rsidRDefault="00C7100B" w:rsidP="00595221">
      <w:pPr>
        <w:widowControl/>
        <w:spacing w:after="120" w:line="360" w:lineRule="auto"/>
        <w:jc w:val="both"/>
        <w:rPr>
          <w:rFonts w:ascii="Times New Roman" w:hAnsi="Times New Roman" w:cs="Times New Roman"/>
        </w:rPr>
      </w:pPr>
      <w:r w:rsidRPr="00667967">
        <w:rPr>
          <w:rFonts w:ascii="Times New Roman" w:hAnsi="Times New Roman" w:cs="Times New Roman"/>
        </w:rPr>
        <w:t xml:space="preserve">W związku z tym w projektowanej zmianie proponuje się doprecyzowanie zakresu prowadzenia przez samorząd </w:t>
      </w:r>
      <w:r w:rsidR="00992318" w:rsidRPr="00667967">
        <w:rPr>
          <w:rFonts w:ascii="Times New Roman" w:hAnsi="Times New Roman" w:cs="Times New Roman"/>
        </w:rPr>
        <w:t xml:space="preserve">województw </w:t>
      </w:r>
      <w:r w:rsidRPr="00667967">
        <w:rPr>
          <w:rFonts w:ascii="Times New Roman" w:hAnsi="Times New Roman" w:cs="Times New Roman"/>
        </w:rPr>
        <w:t xml:space="preserve">polityki rozwoju przez uzupełnienie katalogu o kwestie tworzenia warunków dla prowadzenia działań </w:t>
      </w:r>
      <w:r w:rsidR="001D77A9" w:rsidRPr="00667967">
        <w:rPr>
          <w:rFonts w:ascii="Times New Roman" w:hAnsi="Times New Roman" w:cs="Times New Roman"/>
        </w:rPr>
        <w:t>na rzecz ochrony klimatu oraz działań adaptacyjnych, zmniejszających podatność na zmiany klimatu</w:t>
      </w:r>
      <w:r w:rsidRPr="00667967">
        <w:rPr>
          <w:rFonts w:ascii="Times New Roman" w:hAnsi="Times New Roman" w:cs="Times New Roman"/>
        </w:rPr>
        <w:t>.</w:t>
      </w:r>
    </w:p>
    <w:p w14:paraId="1150A322" w14:textId="6AD9826D" w:rsidR="00D94601" w:rsidRPr="00667967" w:rsidRDefault="00C7100B" w:rsidP="00595221">
      <w:pPr>
        <w:widowControl/>
        <w:spacing w:after="120" w:line="360" w:lineRule="auto"/>
        <w:jc w:val="both"/>
        <w:rPr>
          <w:rFonts w:ascii="Times New Roman" w:hAnsi="Times New Roman" w:cs="Times New Roman"/>
        </w:rPr>
      </w:pPr>
      <w:r w:rsidRPr="00667967">
        <w:rPr>
          <w:rFonts w:ascii="Times New Roman" w:hAnsi="Times New Roman" w:cs="Times New Roman"/>
        </w:rPr>
        <w:t xml:space="preserve">Rola samorządu województwa jest kluczowa m.in. w zakresie programowania i wdrażania </w:t>
      </w:r>
      <w:r w:rsidR="000528CB" w:rsidRPr="00667967">
        <w:rPr>
          <w:rFonts w:ascii="Times New Roman" w:hAnsi="Times New Roman" w:cs="Times New Roman"/>
        </w:rPr>
        <w:t xml:space="preserve">obecnej </w:t>
      </w:r>
      <w:r w:rsidRPr="00667967">
        <w:rPr>
          <w:rFonts w:ascii="Times New Roman" w:hAnsi="Times New Roman" w:cs="Times New Roman"/>
        </w:rPr>
        <w:t xml:space="preserve">perspektywy finansowej UE, w której kontekst adaptacji do zmian klimatu </w:t>
      </w:r>
      <w:r w:rsidR="000528CB" w:rsidRPr="00667967">
        <w:rPr>
          <w:rFonts w:ascii="Times New Roman" w:hAnsi="Times New Roman" w:cs="Times New Roman"/>
        </w:rPr>
        <w:t xml:space="preserve">jest </w:t>
      </w:r>
      <w:r w:rsidRPr="00667967">
        <w:rPr>
          <w:rFonts w:ascii="Times New Roman" w:hAnsi="Times New Roman" w:cs="Times New Roman"/>
        </w:rPr>
        <w:t>działaniem horyzontalnym, w związku z tym włączenie tych kwestii do polityki rozwoju województwa jest wysoce uzasadnione. Jedynie działania na wszystkich szczeblach rządowych, jak i samorządowych zapewnią kompleksowość działań na rzecz wzmacniania polityki adaptacyjnej.</w:t>
      </w:r>
    </w:p>
    <w:p w14:paraId="327C7EEF" w14:textId="5D5171FE" w:rsidR="00664D28" w:rsidRPr="00667967" w:rsidRDefault="00C7100B" w:rsidP="00595221">
      <w:pPr>
        <w:widowControl/>
        <w:spacing w:after="120" w:line="360" w:lineRule="auto"/>
        <w:jc w:val="both"/>
        <w:rPr>
          <w:rFonts w:ascii="Times New Roman" w:hAnsi="Times New Roman" w:cs="Times New Roman"/>
        </w:rPr>
      </w:pPr>
      <w:bookmarkStart w:id="13" w:name="_Hlk98313874"/>
      <w:r w:rsidRPr="00667967">
        <w:rPr>
          <w:rFonts w:ascii="Times New Roman" w:hAnsi="Times New Roman" w:cs="Times New Roman"/>
        </w:rPr>
        <w:t xml:space="preserve">Zmiana art. 11 ust. </w:t>
      </w:r>
      <w:r w:rsidR="00871848" w:rsidRPr="00667967">
        <w:rPr>
          <w:rFonts w:ascii="Times New Roman" w:hAnsi="Times New Roman" w:cs="Times New Roman"/>
        </w:rPr>
        <w:t>1c wymaga regulacji przejściow</w:t>
      </w:r>
      <w:r w:rsidR="00CC259F" w:rsidRPr="00667967">
        <w:rPr>
          <w:rFonts w:ascii="Times New Roman" w:hAnsi="Times New Roman" w:cs="Times New Roman"/>
        </w:rPr>
        <w:t>ej, którą zawarto w</w:t>
      </w:r>
      <w:r w:rsidR="00871848" w:rsidRPr="00667967">
        <w:rPr>
          <w:rFonts w:ascii="Times New Roman" w:hAnsi="Times New Roman" w:cs="Times New Roman"/>
        </w:rPr>
        <w:t xml:space="preserve"> art. </w:t>
      </w:r>
      <w:r w:rsidR="00CC259F" w:rsidRPr="00667967">
        <w:rPr>
          <w:rFonts w:ascii="Times New Roman" w:hAnsi="Times New Roman" w:cs="Times New Roman"/>
        </w:rPr>
        <w:t>30</w:t>
      </w:r>
      <w:r w:rsidR="00871848" w:rsidRPr="00667967">
        <w:rPr>
          <w:rFonts w:ascii="Times New Roman" w:hAnsi="Times New Roman" w:cs="Times New Roman"/>
        </w:rPr>
        <w:t xml:space="preserve"> ust. 2, natomiast zmiana art.</w:t>
      </w:r>
      <w:r w:rsidR="00BE76C8" w:rsidRPr="00667967">
        <w:rPr>
          <w:rFonts w:ascii="Times New Roman" w:hAnsi="Times New Roman" w:cs="Times New Roman"/>
        </w:rPr>
        <w:t> </w:t>
      </w:r>
      <w:r w:rsidR="00871848" w:rsidRPr="00667967">
        <w:rPr>
          <w:rFonts w:ascii="Times New Roman" w:hAnsi="Times New Roman" w:cs="Times New Roman"/>
        </w:rPr>
        <w:t>11 ust. 2</w:t>
      </w:r>
      <w:r w:rsidRPr="00667967">
        <w:rPr>
          <w:rFonts w:ascii="Times New Roman" w:hAnsi="Times New Roman" w:cs="Times New Roman"/>
        </w:rPr>
        <w:t xml:space="preserve"> </w:t>
      </w:r>
      <w:r w:rsidR="00B32EC0" w:rsidRPr="00667967">
        <w:rPr>
          <w:rFonts w:ascii="Times New Roman" w:hAnsi="Times New Roman" w:cs="Times New Roman"/>
        </w:rPr>
        <w:t xml:space="preserve">nie </w:t>
      </w:r>
      <w:r w:rsidRPr="00667967">
        <w:rPr>
          <w:rFonts w:ascii="Times New Roman" w:hAnsi="Times New Roman" w:cs="Times New Roman"/>
        </w:rPr>
        <w:t>wymaga regulacji przejściowych</w:t>
      </w:r>
      <w:r w:rsidR="00B32EC0" w:rsidRPr="00667967">
        <w:rPr>
          <w:rFonts w:ascii="Times New Roman" w:hAnsi="Times New Roman" w:cs="Times New Roman"/>
        </w:rPr>
        <w:t>.</w:t>
      </w:r>
      <w:bookmarkEnd w:id="13"/>
    </w:p>
    <w:p w14:paraId="451C15D2" w14:textId="429DB1FC" w:rsidR="00851E19" w:rsidRPr="00667967" w:rsidRDefault="00851E19" w:rsidP="00DA6E93">
      <w:pPr>
        <w:keepNext/>
        <w:widowControl/>
        <w:spacing w:before="240" w:after="120" w:line="360" w:lineRule="auto"/>
        <w:jc w:val="both"/>
        <w:rPr>
          <w:rFonts w:ascii="Times New Roman" w:eastAsia="Times New Roman" w:hAnsi="Times New Roman" w:cs="Times New Roman"/>
          <w:b/>
          <w:smallCaps/>
          <w:kern w:val="28"/>
        </w:rPr>
      </w:pPr>
      <w:r w:rsidRPr="00667967">
        <w:rPr>
          <w:rFonts w:ascii="Times New Roman" w:eastAsia="Times New Roman" w:hAnsi="Times New Roman" w:cs="Times New Roman"/>
          <w:b/>
          <w:smallCaps/>
          <w:kern w:val="28"/>
        </w:rPr>
        <w:lastRenderedPageBreak/>
        <w:t xml:space="preserve">art. </w:t>
      </w:r>
      <w:r w:rsidR="0075284C" w:rsidRPr="00667967">
        <w:rPr>
          <w:rFonts w:ascii="Times New Roman" w:eastAsia="Times New Roman" w:hAnsi="Times New Roman" w:cs="Times New Roman"/>
          <w:b/>
          <w:smallCaps/>
          <w:kern w:val="28"/>
        </w:rPr>
        <w:t xml:space="preserve">4 </w:t>
      </w:r>
      <w:r w:rsidRPr="00667967">
        <w:rPr>
          <w:rFonts w:ascii="Times New Roman" w:eastAsia="Times New Roman" w:hAnsi="Times New Roman" w:cs="Times New Roman"/>
          <w:b/>
          <w:smallCaps/>
          <w:kern w:val="28"/>
        </w:rPr>
        <w:t>– zmiany w ustawie o planowaniu i zagospodarowaniu przestrzennym</w:t>
      </w:r>
    </w:p>
    <w:p w14:paraId="617DEF3B" w14:textId="77777777" w:rsidR="006560C4" w:rsidRPr="00667967" w:rsidRDefault="006560C4" w:rsidP="00595221">
      <w:pPr>
        <w:widowControl/>
        <w:spacing w:after="120" w:line="360" w:lineRule="auto"/>
        <w:rPr>
          <w:rFonts w:ascii="Times New Roman" w:hAnsi="Times New Roman" w:cs="Times New Roman"/>
          <w:b/>
        </w:rPr>
      </w:pPr>
      <w:r w:rsidRPr="00667967">
        <w:rPr>
          <w:rFonts w:ascii="Times New Roman" w:hAnsi="Times New Roman" w:cs="Times New Roman"/>
          <w:b/>
        </w:rPr>
        <w:t>Zmiana art. 1 ust</w:t>
      </w:r>
      <w:r w:rsidR="00BC3B05" w:rsidRPr="00667967">
        <w:rPr>
          <w:rFonts w:ascii="Times New Roman" w:hAnsi="Times New Roman" w:cs="Times New Roman"/>
          <w:b/>
        </w:rPr>
        <w:t>.</w:t>
      </w:r>
      <w:r w:rsidRPr="00667967">
        <w:rPr>
          <w:rFonts w:ascii="Times New Roman" w:hAnsi="Times New Roman" w:cs="Times New Roman"/>
          <w:b/>
        </w:rPr>
        <w:t xml:space="preserve"> 2</w:t>
      </w:r>
      <w:r w:rsidR="00BC3B05" w:rsidRPr="00667967">
        <w:rPr>
          <w:rFonts w:ascii="Times New Roman" w:hAnsi="Times New Roman" w:cs="Times New Roman"/>
          <w:b/>
        </w:rPr>
        <w:t xml:space="preserve"> pkt 3</w:t>
      </w:r>
    </w:p>
    <w:p w14:paraId="374F9163" w14:textId="4B212030" w:rsidR="009A6C98" w:rsidRPr="00667967" w:rsidRDefault="006560C4" w:rsidP="00595221">
      <w:pPr>
        <w:widowControl/>
        <w:spacing w:after="120" w:line="360" w:lineRule="auto"/>
        <w:jc w:val="both"/>
        <w:rPr>
          <w:rFonts w:ascii="Times New Roman" w:hAnsi="Times New Roman" w:cs="Times New Roman"/>
        </w:rPr>
      </w:pPr>
      <w:r w:rsidRPr="00667967">
        <w:rPr>
          <w:rFonts w:ascii="Times New Roman" w:hAnsi="Times New Roman" w:cs="Times New Roman"/>
        </w:rPr>
        <w:t xml:space="preserve">W </w:t>
      </w:r>
      <w:r w:rsidR="001E1088" w:rsidRPr="00667967">
        <w:rPr>
          <w:rFonts w:ascii="Times New Roman" w:hAnsi="Times New Roman" w:cs="Times New Roman"/>
        </w:rPr>
        <w:t xml:space="preserve">art. 1 </w:t>
      </w:r>
      <w:r w:rsidRPr="00667967">
        <w:rPr>
          <w:rFonts w:ascii="Times New Roman" w:hAnsi="Times New Roman" w:cs="Times New Roman"/>
        </w:rPr>
        <w:t>ust. 2 określono wymagania</w:t>
      </w:r>
      <w:r w:rsidR="001E6D48" w:rsidRPr="00667967">
        <w:rPr>
          <w:rFonts w:ascii="Times New Roman" w:hAnsi="Times New Roman" w:cs="Times New Roman"/>
        </w:rPr>
        <w:t>, które należy uwzględniać w planowaniu i zagospodarowaniu przestrzennym</w:t>
      </w:r>
      <w:r w:rsidRPr="00667967">
        <w:rPr>
          <w:rFonts w:ascii="Times New Roman" w:hAnsi="Times New Roman" w:cs="Times New Roman"/>
        </w:rPr>
        <w:t xml:space="preserve">, </w:t>
      </w:r>
      <w:r w:rsidR="001E6D48" w:rsidRPr="00667967">
        <w:rPr>
          <w:rFonts w:ascii="Times New Roman" w:hAnsi="Times New Roman" w:cs="Times New Roman"/>
        </w:rPr>
        <w:t xml:space="preserve">zapewniające </w:t>
      </w:r>
      <w:r w:rsidRPr="00667967">
        <w:rPr>
          <w:rFonts w:ascii="Times New Roman" w:hAnsi="Times New Roman" w:cs="Times New Roman"/>
        </w:rPr>
        <w:t xml:space="preserve">w szczególności poszanowanie praw i wolności obywateli, jak też respektowanie innych wartości chronionych prawem. Kierunki tych działań są wyznaczane potrzebami ładu przestrzennego oraz rozwoju, określonego jako </w:t>
      </w:r>
      <w:r w:rsidR="00CB6D3E" w:rsidRPr="00667967">
        <w:rPr>
          <w:rFonts w:ascii="Times New Roman" w:hAnsi="Times New Roman" w:cs="Times New Roman"/>
        </w:rPr>
        <w:t>„</w:t>
      </w:r>
      <w:r w:rsidRPr="00667967">
        <w:rPr>
          <w:rFonts w:ascii="Times New Roman" w:hAnsi="Times New Roman" w:cs="Times New Roman"/>
        </w:rPr>
        <w:t>zrównoważony</w:t>
      </w:r>
      <w:r w:rsidR="00CB6D3E" w:rsidRPr="00667967">
        <w:rPr>
          <w:rFonts w:ascii="Times New Roman" w:hAnsi="Times New Roman" w:cs="Times New Roman"/>
        </w:rPr>
        <w:t>”</w:t>
      </w:r>
      <w:r w:rsidR="00B8037C" w:rsidRPr="00667967">
        <w:rPr>
          <w:rFonts w:ascii="Times New Roman" w:hAnsi="Times New Roman" w:cs="Times New Roman"/>
        </w:rPr>
        <w:t>. Przepisy</w:t>
      </w:r>
      <w:r w:rsidR="00BE76C8" w:rsidRPr="00667967">
        <w:rPr>
          <w:rFonts w:ascii="Times New Roman" w:hAnsi="Times New Roman" w:cs="Times New Roman"/>
        </w:rPr>
        <w:t xml:space="preserve"> </w:t>
      </w:r>
      <w:r w:rsidRPr="00667967">
        <w:rPr>
          <w:rFonts w:ascii="Times New Roman" w:hAnsi="Times New Roman" w:cs="Times New Roman"/>
        </w:rPr>
        <w:t>te stanowią podstawę działań planistycznych</w:t>
      </w:r>
      <w:r w:rsidR="001E6D48" w:rsidRPr="00667967">
        <w:rPr>
          <w:rFonts w:ascii="Times New Roman" w:hAnsi="Times New Roman" w:cs="Times New Roman"/>
        </w:rPr>
        <w:t>.</w:t>
      </w:r>
      <w:r w:rsidRPr="00667967">
        <w:rPr>
          <w:rFonts w:ascii="Times New Roman" w:hAnsi="Times New Roman" w:cs="Times New Roman"/>
        </w:rPr>
        <w:t xml:space="preserve"> </w:t>
      </w:r>
    </w:p>
    <w:p w14:paraId="02894C79" w14:textId="4D39E688" w:rsidR="009A6C98" w:rsidRPr="00667967" w:rsidRDefault="006560C4" w:rsidP="00595221">
      <w:pPr>
        <w:widowControl/>
        <w:spacing w:after="120" w:line="360" w:lineRule="auto"/>
        <w:jc w:val="both"/>
        <w:rPr>
          <w:rFonts w:ascii="Times New Roman" w:hAnsi="Times New Roman" w:cs="Times New Roman"/>
        </w:rPr>
      </w:pPr>
      <w:r w:rsidRPr="00667967">
        <w:rPr>
          <w:rFonts w:ascii="Times New Roman" w:hAnsi="Times New Roman" w:cs="Times New Roman"/>
        </w:rPr>
        <w:t xml:space="preserve">Zmieniany </w:t>
      </w:r>
      <w:r w:rsidR="009C576F" w:rsidRPr="00667967">
        <w:rPr>
          <w:rFonts w:ascii="Times New Roman" w:hAnsi="Times New Roman" w:cs="Times New Roman"/>
        </w:rPr>
        <w:t xml:space="preserve">przepis </w:t>
      </w:r>
      <w:r w:rsidRPr="00667967">
        <w:rPr>
          <w:rFonts w:ascii="Times New Roman" w:hAnsi="Times New Roman" w:cs="Times New Roman"/>
        </w:rPr>
        <w:t xml:space="preserve">wprowadza obowiązek uwzględniania wymienionych w nim wymagań, wartości i potrzeb. Nie zostały jednak </w:t>
      </w:r>
      <w:r w:rsidR="00D070C7" w:rsidRPr="00667967">
        <w:rPr>
          <w:rFonts w:ascii="Times New Roman" w:hAnsi="Times New Roman" w:cs="Times New Roman"/>
        </w:rPr>
        <w:t>wśród nich</w:t>
      </w:r>
      <w:r w:rsidR="00C4353C" w:rsidRPr="00667967">
        <w:rPr>
          <w:rFonts w:ascii="Times New Roman" w:hAnsi="Times New Roman" w:cs="Times New Roman"/>
        </w:rPr>
        <w:t xml:space="preserve"> uwzględnione kwestie</w:t>
      </w:r>
      <w:r w:rsidRPr="00667967">
        <w:rPr>
          <w:rFonts w:ascii="Times New Roman" w:hAnsi="Times New Roman" w:cs="Times New Roman"/>
        </w:rPr>
        <w:t xml:space="preserve"> adaptacji do zmian klimatu. Mimo że </w:t>
      </w:r>
      <w:r w:rsidR="009C576F" w:rsidRPr="00667967">
        <w:rPr>
          <w:rFonts w:ascii="Times New Roman" w:hAnsi="Times New Roman" w:cs="Times New Roman"/>
        </w:rPr>
        <w:t xml:space="preserve">przepis </w:t>
      </w:r>
      <w:r w:rsidRPr="00667967">
        <w:rPr>
          <w:rFonts w:ascii="Times New Roman" w:hAnsi="Times New Roman" w:cs="Times New Roman"/>
        </w:rPr>
        <w:t xml:space="preserve">ten nie ma charakteru </w:t>
      </w:r>
      <w:r w:rsidRPr="00667967">
        <w:rPr>
          <w:rFonts w:ascii="Times New Roman" w:hAnsi="Times New Roman" w:cs="Times New Roman"/>
          <w:i/>
        </w:rPr>
        <w:t>numerus clausus</w:t>
      </w:r>
      <w:r w:rsidR="00D070C7" w:rsidRPr="00667967">
        <w:rPr>
          <w:rFonts w:ascii="Times New Roman" w:hAnsi="Times New Roman" w:cs="Times New Roman"/>
        </w:rPr>
        <w:t xml:space="preserve">, </w:t>
      </w:r>
      <w:r w:rsidRPr="00667967">
        <w:rPr>
          <w:rFonts w:ascii="Times New Roman" w:hAnsi="Times New Roman" w:cs="Times New Roman"/>
        </w:rPr>
        <w:t xml:space="preserve">wymieniono tu tylko </w:t>
      </w:r>
      <w:r w:rsidR="00B8037C" w:rsidRPr="00667967">
        <w:rPr>
          <w:rFonts w:ascii="Times New Roman" w:hAnsi="Times New Roman" w:cs="Times New Roman"/>
        </w:rPr>
        <w:t>te kwestie, które</w:t>
      </w:r>
      <w:r w:rsidR="008E0073" w:rsidRPr="00667967">
        <w:rPr>
          <w:rFonts w:ascii="Times New Roman" w:hAnsi="Times New Roman" w:cs="Times New Roman"/>
        </w:rPr>
        <w:t xml:space="preserve"> </w:t>
      </w:r>
      <w:r w:rsidRPr="00667967">
        <w:rPr>
          <w:rFonts w:ascii="Times New Roman" w:hAnsi="Times New Roman" w:cs="Times New Roman"/>
        </w:rPr>
        <w:t xml:space="preserve">są najistotniejsze dla procesu </w:t>
      </w:r>
      <w:r w:rsidR="001E6D48" w:rsidRPr="00667967">
        <w:rPr>
          <w:rFonts w:ascii="Times New Roman" w:hAnsi="Times New Roman" w:cs="Times New Roman"/>
        </w:rPr>
        <w:t xml:space="preserve">planowania i </w:t>
      </w:r>
      <w:r w:rsidRPr="00667967">
        <w:rPr>
          <w:rFonts w:ascii="Times New Roman" w:hAnsi="Times New Roman" w:cs="Times New Roman"/>
        </w:rPr>
        <w:t>zagospodarowania przestrzennego</w:t>
      </w:r>
      <w:r w:rsidR="001E1088" w:rsidRPr="00667967">
        <w:rPr>
          <w:rFonts w:ascii="Times New Roman" w:hAnsi="Times New Roman" w:cs="Times New Roman"/>
        </w:rPr>
        <w:t>.</w:t>
      </w:r>
      <w:r w:rsidR="00D070C7" w:rsidRPr="00667967">
        <w:rPr>
          <w:rFonts w:ascii="Times New Roman" w:hAnsi="Times New Roman" w:cs="Times New Roman"/>
        </w:rPr>
        <w:t xml:space="preserve"> Jak już wspomniano</w:t>
      </w:r>
      <w:r w:rsidR="001E1088" w:rsidRPr="00667967">
        <w:rPr>
          <w:rFonts w:ascii="Times New Roman" w:hAnsi="Times New Roman" w:cs="Times New Roman"/>
        </w:rPr>
        <w:t>,</w:t>
      </w:r>
      <w:r w:rsidR="00D070C7" w:rsidRPr="00667967">
        <w:rPr>
          <w:rFonts w:ascii="Times New Roman" w:hAnsi="Times New Roman" w:cs="Times New Roman"/>
        </w:rPr>
        <w:t xml:space="preserve"> adaptacja miast do zmian klimatu stała się w ostatnich latach szczególnie istotna. Pogłębiające się zmiany klimat</w:t>
      </w:r>
      <w:r w:rsidR="00A7122A" w:rsidRPr="00667967">
        <w:rPr>
          <w:rFonts w:ascii="Times New Roman" w:hAnsi="Times New Roman" w:cs="Times New Roman"/>
        </w:rPr>
        <w:t>u</w:t>
      </w:r>
      <w:r w:rsidR="00D070C7" w:rsidRPr="00667967">
        <w:rPr>
          <w:rFonts w:ascii="Times New Roman" w:hAnsi="Times New Roman" w:cs="Times New Roman"/>
        </w:rPr>
        <w:t xml:space="preserve"> mają znaczny wpływ na dynamikę rozwoju tkanki miejskiej</w:t>
      </w:r>
      <w:r w:rsidR="0054586D" w:rsidRPr="00667967">
        <w:rPr>
          <w:rFonts w:ascii="Times New Roman" w:hAnsi="Times New Roman" w:cs="Times New Roman"/>
        </w:rPr>
        <w:t>, jednakże</w:t>
      </w:r>
      <w:r w:rsidR="00F66F43">
        <w:rPr>
          <w:rFonts w:ascii="Times New Roman" w:hAnsi="Times New Roman" w:cs="Times New Roman"/>
        </w:rPr>
        <w:t>,</w:t>
      </w:r>
      <w:r w:rsidR="0054586D" w:rsidRPr="00667967">
        <w:rPr>
          <w:rFonts w:ascii="Times New Roman" w:hAnsi="Times New Roman" w:cs="Times New Roman"/>
        </w:rPr>
        <w:t xml:space="preserve"> mając na uwadze całość działań planistycznych</w:t>
      </w:r>
      <w:r w:rsidR="00F66F43">
        <w:rPr>
          <w:rFonts w:ascii="Times New Roman" w:hAnsi="Times New Roman" w:cs="Times New Roman"/>
        </w:rPr>
        <w:t>,</w:t>
      </w:r>
      <w:r w:rsidR="0054586D" w:rsidRPr="00667967">
        <w:rPr>
          <w:rFonts w:ascii="Times New Roman" w:hAnsi="Times New Roman" w:cs="Times New Roman"/>
        </w:rPr>
        <w:t xml:space="preserve"> uwzględnianie wymagań ochrony środowiska w zakresie zmniejszania podatności na zmiany klimatu powinno mieć charakter ogólny</w:t>
      </w:r>
      <w:r w:rsidR="00B32919" w:rsidRPr="00667967">
        <w:rPr>
          <w:rFonts w:ascii="Times New Roman" w:hAnsi="Times New Roman" w:cs="Times New Roman"/>
        </w:rPr>
        <w:t>.</w:t>
      </w:r>
      <w:r w:rsidR="0054586D" w:rsidRPr="00667967">
        <w:rPr>
          <w:rFonts w:ascii="Times New Roman" w:hAnsi="Times New Roman" w:cs="Times New Roman"/>
        </w:rPr>
        <w:t xml:space="preserve"> </w:t>
      </w:r>
      <w:r w:rsidR="00D070C7" w:rsidRPr="00667967">
        <w:rPr>
          <w:rFonts w:ascii="Times New Roman" w:hAnsi="Times New Roman" w:cs="Times New Roman"/>
        </w:rPr>
        <w:t>Zwiększenie zdolności adaptacyjnych oraz odpornoś</w:t>
      </w:r>
      <w:r w:rsidR="00453561" w:rsidRPr="00667967">
        <w:rPr>
          <w:rFonts w:ascii="Times New Roman" w:hAnsi="Times New Roman" w:cs="Times New Roman"/>
        </w:rPr>
        <w:t>ci</w:t>
      </w:r>
      <w:r w:rsidR="00D070C7" w:rsidRPr="00667967">
        <w:rPr>
          <w:rFonts w:ascii="Times New Roman" w:hAnsi="Times New Roman" w:cs="Times New Roman"/>
        </w:rPr>
        <w:t xml:space="preserve"> na zmiany klimat</w:t>
      </w:r>
      <w:r w:rsidR="00A7122A" w:rsidRPr="00667967">
        <w:rPr>
          <w:rFonts w:ascii="Times New Roman" w:hAnsi="Times New Roman" w:cs="Times New Roman"/>
        </w:rPr>
        <w:t>u</w:t>
      </w:r>
      <w:r w:rsidR="00D070C7" w:rsidRPr="00667967">
        <w:rPr>
          <w:rFonts w:ascii="Times New Roman" w:hAnsi="Times New Roman" w:cs="Times New Roman"/>
        </w:rPr>
        <w:t xml:space="preserve"> powinn</w:t>
      </w:r>
      <w:r w:rsidR="00C323E8" w:rsidRPr="00667967">
        <w:rPr>
          <w:rFonts w:ascii="Times New Roman" w:hAnsi="Times New Roman" w:cs="Times New Roman"/>
        </w:rPr>
        <w:t>y</w:t>
      </w:r>
      <w:r w:rsidR="00D070C7" w:rsidRPr="00667967">
        <w:rPr>
          <w:rFonts w:ascii="Times New Roman" w:hAnsi="Times New Roman" w:cs="Times New Roman"/>
        </w:rPr>
        <w:t xml:space="preserve"> być więc </w:t>
      </w:r>
      <w:r w:rsidR="00C323E8" w:rsidRPr="00667967">
        <w:rPr>
          <w:rFonts w:ascii="Times New Roman" w:hAnsi="Times New Roman" w:cs="Times New Roman"/>
        </w:rPr>
        <w:t xml:space="preserve">uwzględnione </w:t>
      </w:r>
      <w:r w:rsidR="0073735F" w:rsidRPr="00667967">
        <w:rPr>
          <w:rFonts w:ascii="Times New Roman" w:hAnsi="Times New Roman" w:cs="Times New Roman"/>
        </w:rPr>
        <w:t>wprost w</w:t>
      </w:r>
      <w:r w:rsidR="00374076" w:rsidRPr="00667967">
        <w:rPr>
          <w:rFonts w:ascii="Times New Roman" w:hAnsi="Times New Roman" w:cs="Times New Roman"/>
        </w:rPr>
        <w:t> </w:t>
      </w:r>
      <w:r w:rsidR="0073735F" w:rsidRPr="00667967">
        <w:rPr>
          <w:rFonts w:ascii="Times New Roman" w:hAnsi="Times New Roman" w:cs="Times New Roman"/>
        </w:rPr>
        <w:t>polityce przestrzennej.</w:t>
      </w:r>
      <w:r w:rsidR="0054586D" w:rsidRPr="00667967">
        <w:rPr>
          <w:rFonts w:ascii="Times New Roman" w:hAnsi="Times New Roman" w:cs="Times New Roman"/>
        </w:rPr>
        <w:t xml:space="preserve"> </w:t>
      </w:r>
    </w:p>
    <w:p w14:paraId="684778B3" w14:textId="56882C80" w:rsidR="00AA3317" w:rsidRPr="00667967" w:rsidRDefault="00D070C7" w:rsidP="00595221">
      <w:pPr>
        <w:widowControl/>
        <w:spacing w:after="120" w:line="360" w:lineRule="auto"/>
        <w:jc w:val="both"/>
        <w:rPr>
          <w:rFonts w:ascii="Times New Roman" w:hAnsi="Times New Roman" w:cs="Times New Roman"/>
        </w:rPr>
      </w:pPr>
      <w:r w:rsidRPr="00667967">
        <w:rPr>
          <w:rFonts w:ascii="Times New Roman" w:hAnsi="Times New Roman" w:cs="Times New Roman"/>
        </w:rPr>
        <w:t>Proponowane rozwiązanie</w:t>
      </w:r>
      <w:r w:rsidR="00C4353C" w:rsidRPr="00667967">
        <w:rPr>
          <w:rFonts w:ascii="Times New Roman" w:hAnsi="Times New Roman" w:cs="Times New Roman"/>
        </w:rPr>
        <w:t xml:space="preserve"> będzie skutkowało </w:t>
      </w:r>
      <w:r w:rsidR="00C323E8" w:rsidRPr="00667967">
        <w:rPr>
          <w:rFonts w:ascii="Times New Roman" w:hAnsi="Times New Roman" w:cs="Times New Roman"/>
        </w:rPr>
        <w:t xml:space="preserve">zwiększeniem </w:t>
      </w:r>
      <w:r w:rsidRPr="00667967">
        <w:rPr>
          <w:rFonts w:ascii="Times New Roman" w:hAnsi="Times New Roman" w:cs="Times New Roman"/>
        </w:rPr>
        <w:t>bezpośredni</w:t>
      </w:r>
      <w:r w:rsidR="00C323E8" w:rsidRPr="00667967">
        <w:rPr>
          <w:rFonts w:ascii="Times New Roman" w:hAnsi="Times New Roman" w:cs="Times New Roman"/>
        </w:rPr>
        <w:t>ego</w:t>
      </w:r>
      <w:r w:rsidRPr="00667967">
        <w:rPr>
          <w:rFonts w:ascii="Times New Roman" w:hAnsi="Times New Roman" w:cs="Times New Roman"/>
        </w:rPr>
        <w:t xml:space="preserve"> </w:t>
      </w:r>
      <w:r w:rsidR="00C323E8" w:rsidRPr="00667967">
        <w:rPr>
          <w:rFonts w:ascii="Times New Roman" w:hAnsi="Times New Roman" w:cs="Times New Roman"/>
        </w:rPr>
        <w:t xml:space="preserve">wpływu </w:t>
      </w:r>
      <w:r w:rsidR="009E78C9">
        <w:rPr>
          <w:rFonts w:ascii="Times New Roman" w:hAnsi="Times New Roman" w:cs="Times New Roman"/>
        </w:rPr>
        <w:t>MPA</w:t>
      </w:r>
      <w:r w:rsidR="00C4353C" w:rsidRPr="00667967">
        <w:rPr>
          <w:rFonts w:ascii="Times New Roman" w:hAnsi="Times New Roman" w:cs="Times New Roman"/>
        </w:rPr>
        <w:t xml:space="preserve"> na kontekst funkcjonalno-przestrzenny</w:t>
      </w:r>
      <w:r w:rsidRPr="00667967">
        <w:rPr>
          <w:rFonts w:ascii="Times New Roman" w:hAnsi="Times New Roman" w:cs="Times New Roman"/>
        </w:rPr>
        <w:t xml:space="preserve">, a także </w:t>
      </w:r>
      <w:r w:rsidR="00401862" w:rsidRPr="00667967">
        <w:rPr>
          <w:rFonts w:ascii="Times New Roman" w:hAnsi="Times New Roman" w:cs="Times New Roman"/>
        </w:rPr>
        <w:t>poprawi</w:t>
      </w:r>
      <w:r w:rsidR="0073735F" w:rsidRPr="00667967">
        <w:rPr>
          <w:rFonts w:ascii="Times New Roman" w:hAnsi="Times New Roman" w:cs="Times New Roman"/>
        </w:rPr>
        <w:t xml:space="preserve"> </w:t>
      </w:r>
      <w:r w:rsidR="009C576F" w:rsidRPr="00667967">
        <w:rPr>
          <w:rFonts w:ascii="Times New Roman" w:hAnsi="Times New Roman" w:cs="Times New Roman"/>
        </w:rPr>
        <w:t xml:space="preserve">potencjał </w:t>
      </w:r>
      <w:r w:rsidR="0073735F" w:rsidRPr="00667967">
        <w:rPr>
          <w:rFonts w:ascii="Times New Roman" w:hAnsi="Times New Roman" w:cs="Times New Roman"/>
        </w:rPr>
        <w:t xml:space="preserve">do </w:t>
      </w:r>
      <w:r w:rsidR="009C576F" w:rsidRPr="00667967">
        <w:rPr>
          <w:rFonts w:ascii="Times New Roman" w:hAnsi="Times New Roman" w:cs="Times New Roman"/>
        </w:rPr>
        <w:t xml:space="preserve">wdrażania </w:t>
      </w:r>
      <w:r w:rsidRPr="00667967">
        <w:rPr>
          <w:rFonts w:ascii="Times New Roman" w:hAnsi="Times New Roman" w:cs="Times New Roman"/>
        </w:rPr>
        <w:t>działań adaptacyjnych</w:t>
      </w:r>
      <w:r w:rsidR="006D00AE" w:rsidRPr="00667967">
        <w:rPr>
          <w:rFonts w:ascii="Times New Roman" w:hAnsi="Times New Roman" w:cs="Times New Roman"/>
        </w:rPr>
        <w:t xml:space="preserve"> do zmian klimatu</w:t>
      </w:r>
      <w:r w:rsidRPr="00667967">
        <w:rPr>
          <w:rFonts w:ascii="Times New Roman" w:hAnsi="Times New Roman" w:cs="Times New Roman"/>
        </w:rPr>
        <w:t xml:space="preserve">, umożliwiając ich zastosowanie również w ramach prac na niższych szczeblach administracji. Docelowo prowadzić to będzie do zwiększenia odporności </w:t>
      </w:r>
      <w:r w:rsidR="008F5C4E" w:rsidRPr="00667967">
        <w:rPr>
          <w:rFonts w:ascii="Times New Roman" w:hAnsi="Times New Roman" w:cs="Times New Roman"/>
        </w:rPr>
        <w:t>gmin</w:t>
      </w:r>
      <w:r w:rsidRPr="00667967">
        <w:rPr>
          <w:rFonts w:ascii="Times New Roman" w:hAnsi="Times New Roman" w:cs="Times New Roman"/>
        </w:rPr>
        <w:t xml:space="preserve"> na zmiany klimatu oraz polepszenia komfortu życia ich mieszkańców. </w:t>
      </w:r>
    </w:p>
    <w:p w14:paraId="18EE5475" w14:textId="77777777" w:rsidR="004223D4" w:rsidRPr="00667967" w:rsidRDefault="00AA3317" w:rsidP="00595221">
      <w:pPr>
        <w:widowControl/>
        <w:spacing w:after="120" w:line="360" w:lineRule="auto"/>
        <w:jc w:val="both"/>
        <w:rPr>
          <w:rFonts w:ascii="Times New Roman" w:hAnsi="Times New Roman" w:cs="Times New Roman"/>
          <w:b/>
        </w:rPr>
      </w:pPr>
      <w:r w:rsidRPr="00667967">
        <w:rPr>
          <w:rFonts w:ascii="Times New Roman" w:hAnsi="Times New Roman" w:cs="Times New Roman"/>
        </w:rPr>
        <w:t>Zmiana nie wymaga regulacji przejściowych.</w:t>
      </w:r>
      <w:bookmarkStart w:id="14" w:name="_Hlk80121090"/>
    </w:p>
    <w:bookmarkEnd w:id="14"/>
    <w:p w14:paraId="005B450B" w14:textId="77777777" w:rsidR="00F15136" w:rsidRPr="00595221" w:rsidRDefault="00536E4C" w:rsidP="00595221">
      <w:pPr>
        <w:widowControl/>
        <w:spacing w:before="120" w:after="120" w:line="360" w:lineRule="auto"/>
        <w:jc w:val="both"/>
        <w:rPr>
          <w:rFonts w:ascii="Times New Roman" w:hAnsi="Times New Roman" w:cs="Times New Roman"/>
          <w:b/>
          <w:bCs/>
        </w:rPr>
      </w:pPr>
      <w:r w:rsidRPr="00595221">
        <w:rPr>
          <w:rFonts w:ascii="Times New Roman" w:hAnsi="Times New Roman" w:cs="Times New Roman"/>
          <w:b/>
          <w:bCs/>
        </w:rPr>
        <w:t>Zmiana a</w:t>
      </w:r>
      <w:r w:rsidR="00F15136" w:rsidRPr="00595221">
        <w:rPr>
          <w:rFonts w:ascii="Times New Roman" w:hAnsi="Times New Roman" w:cs="Times New Roman"/>
          <w:b/>
          <w:bCs/>
        </w:rPr>
        <w:t>rt. 39 ust. 3</w:t>
      </w:r>
    </w:p>
    <w:p w14:paraId="48747962" w14:textId="6AAF3093" w:rsidR="00F15136" w:rsidRPr="00595221" w:rsidRDefault="00F15136" w:rsidP="00595221">
      <w:pPr>
        <w:widowControl/>
        <w:spacing w:before="120" w:after="120" w:line="360" w:lineRule="auto"/>
        <w:jc w:val="both"/>
        <w:rPr>
          <w:rFonts w:ascii="Times New Roman" w:hAnsi="Times New Roman" w:cs="Times New Roman"/>
        </w:rPr>
      </w:pPr>
      <w:r w:rsidRPr="00595221">
        <w:rPr>
          <w:rFonts w:ascii="Times New Roman" w:hAnsi="Times New Roman" w:cs="Times New Roman"/>
        </w:rPr>
        <w:t>W projekcie zaproponowano doprecyzowanie przygotowywanej przez samorząd województwa polityki rozwoju województwa o kontekst działań na rzecz adaptacji do zmian klimatu przez zmiany w ustawie o samorządzie województwa</w:t>
      </w:r>
      <w:r w:rsidR="00F66F43">
        <w:rPr>
          <w:rFonts w:ascii="Times New Roman" w:hAnsi="Times New Roman" w:cs="Times New Roman"/>
        </w:rPr>
        <w:t>,</w:t>
      </w:r>
      <w:r w:rsidRPr="00595221">
        <w:rPr>
          <w:rFonts w:ascii="Times New Roman" w:hAnsi="Times New Roman" w:cs="Times New Roman"/>
        </w:rPr>
        <w:t xml:space="preserve"> w art. 11 w ust. 2 dodan</w:t>
      </w:r>
      <w:r w:rsidR="00536E4C" w:rsidRPr="00595221">
        <w:rPr>
          <w:rFonts w:ascii="Times New Roman" w:hAnsi="Times New Roman" w:cs="Times New Roman"/>
        </w:rPr>
        <w:t>o</w:t>
      </w:r>
      <w:r w:rsidRPr="00595221">
        <w:rPr>
          <w:rFonts w:ascii="Times New Roman" w:hAnsi="Times New Roman" w:cs="Times New Roman"/>
        </w:rPr>
        <w:t xml:space="preserve"> pkt 5a. Mając na uwadze, że plan zagospodarowania przestrzennego województwa stanowi integralną częś</w:t>
      </w:r>
      <w:r w:rsidR="00BE5DB4" w:rsidRPr="00595221">
        <w:rPr>
          <w:rFonts w:ascii="Times New Roman" w:hAnsi="Times New Roman" w:cs="Times New Roman"/>
        </w:rPr>
        <w:t>ć</w:t>
      </w:r>
      <w:r w:rsidRPr="00595221">
        <w:rPr>
          <w:rFonts w:ascii="Times New Roman" w:hAnsi="Times New Roman" w:cs="Times New Roman"/>
        </w:rPr>
        <w:t xml:space="preserve"> polityki rozwoju województwa, </w:t>
      </w:r>
      <w:r w:rsidR="00B141FB" w:rsidRPr="00595221">
        <w:rPr>
          <w:rFonts w:ascii="Times New Roman" w:hAnsi="Times New Roman" w:cs="Times New Roman"/>
        </w:rPr>
        <w:t xml:space="preserve">jest </w:t>
      </w:r>
      <w:r w:rsidRPr="00595221">
        <w:rPr>
          <w:rFonts w:ascii="Times New Roman" w:hAnsi="Times New Roman" w:cs="Times New Roman"/>
        </w:rPr>
        <w:t>zasadne doprecyzowan</w:t>
      </w:r>
      <w:r w:rsidR="00B141FB" w:rsidRPr="00595221">
        <w:rPr>
          <w:rFonts w:ascii="Times New Roman" w:hAnsi="Times New Roman" w:cs="Times New Roman"/>
        </w:rPr>
        <w:t>i</w:t>
      </w:r>
      <w:r w:rsidRPr="00595221">
        <w:rPr>
          <w:rFonts w:ascii="Times New Roman" w:hAnsi="Times New Roman" w:cs="Times New Roman"/>
        </w:rPr>
        <w:t xml:space="preserve">e przedmiotowych </w:t>
      </w:r>
      <w:r w:rsidR="006D00AE" w:rsidRPr="00595221">
        <w:rPr>
          <w:rFonts w:ascii="Times New Roman" w:hAnsi="Times New Roman" w:cs="Times New Roman"/>
        </w:rPr>
        <w:t xml:space="preserve">przepisów </w:t>
      </w:r>
      <w:r w:rsidRPr="00595221">
        <w:rPr>
          <w:rFonts w:ascii="Times New Roman" w:hAnsi="Times New Roman" w:cs="Times New Roman"/>
        </w:rPr>
        <w:t xml:space="preserve">również w </w:t>
      </w:r>
      <w:r w:rsidR="00536E4C" w:rsidRPr="00595221">
        <w:rPr>
          <w:rFonts w:ascii="Times New Roman" w:hAnsi="Times New Roman" w:cs="Times New Roman"/>
        </w:rPr>
        <w:t>tym planie</w:t>
      </w:r>
      <w:r w:rsidRPr="00595221">
        <w:rPr>
          <w:rFonts w:ascii="Times New Roman" w:hAnsi="Times New Roman" w:cs="Times New Roman"/>
        </w:rPr>
        <w:t xml:space="preserve">. </w:t>
      </w:r>
      <w:r w:rsidR="00BC0C93" w:rsidRPr="00595221">
        <w:rPr>
          <w:rFonts w:ascii="Times New Roman" w:hAnsi="Times New Roman" w:cs="Times New Roman"/>
        </w:rPr>
        <w:t>Proponowaną zmianą jest dodanie w art. 39 w ust. 3 pkt 2a</w:t>
      </w:r>
      <w:r w:rsidR="00C4345B" w:rsidRPr="00595221">
        <w:rPr>
          <w:rFonts w:ascii="Times New Roman" w:hAnsi="Times New Roman" w:cs="Times New Roman"/>
        </w:rPr>
        <w:t xml:space="preserve"> stanowiącego</w:t>
      </w:r>
      <w:r w:rsidR="00BC0C93" w:rsidRPr="00595221">
        <w:rPr>
          <w:rFonts w:ascii="Times New Roman" w:hAnsi="Times New Roman" w:cs="Times New Roman"/>
        </w:rPr>
        <w:t xml:space="preserve">, że w planie zagospodarowania przestrzennego województwa określa się w szczególności m.in. </w:t>
      </w:r>
      <w:r w:rsidR="00BC0C93" w:rsidRPr="00595221">
        <w:rPr>
          <w:rFonts w:ascii="Times New Roman" w:hAnsi="Times New Roman" w:cs="Times New Roman"/>
        </w:rPr>
        <w:lastRenderedPageBreak/>
        <w:t>zasady dla prowadzenia działań na rzecz ochrony klimatu oraz działań adaptacyjnych</w:t>
      </w:r>
      <w:r w:rsidR="006D00AE" w:rsidRPr="00667967">
        <w:rPr>
          <w:rFonts w:ascii="Times New Roman" w:hAnsi="Times New Roman" w:cs="Times New Roman"/>
        </w:rPr>
        <w:t xml:space="preserve"> do zmian klimatu</w:t>
      </w:r>
      <w:r w:rsidR="00BC0C93" w:rsidRPr="00595221">
        <w:rPr>
          <w:rFonts w:ascii="Times New Roman" w:hAnsi="Times New Roman" w:cs="Times New Roman"/>
        </w:rPr>
        <w:t>, zmniejszających podatność regionu na zmiany klimatu.</w:t>
      </w:r>
    </w:p>
    <w:p w14:paraId="76A8CCBD" w14:textId="41200A7C" w:rsidR="00373EA3" w:rsidRPr="00595221" w:rsidRDefault="00437C84" w:rsidP="00595221">
      <w:pPr>
        <w:widowControl/>
        <w:spacing w:after="120" w:line="360" w:lineRule="auto"/>
        <w:jc w:val="both"/>
        <w:rPr>
          <w:rFonts w:ascii="Times New Roman" w:hAnsi="Times New Roman" w:cs="Times New Roman"/>
        </w:rPr>
      </w:pPr>
      <w:r w:rsidRPr="00667967">
        <w:rPr>
          <w:rFonts w:ascii="Times New Roman" w:hAnsi="Times New Roman" w:cs="Times New Roman"/>
        </w:rPr>
        <w:t xml:space="preserve">Proponuje się wprowadzenie odpowiednich przepisów przejściowych (art. </w:t>
      </w:r>
      <w:r w:rsidR="006D7F4B" w:rsidRPr="00667967">
        <w:rPr>
          <w:rFonts w:ascii="Times New Roman" w:hAnsi="Times New Roman" w:cs="Times New Roman"/>
        </w:rPr>
        <w:t xml:space="preserve">26 </w:t>
      </w:r>
      <w:r w:rsidRPr="00667967">
        <w:rPr>
          <w:rFonts w:ascii="Times New Roman" w:hAnsi="Times New Roman" w:cs="Times New Roman"/>
        </w:rPr>
        <w:t xml:space="preserve">projektu ustawy), </w:t>
      </w:r>
      <w:r w:rsidR="00271402" w:rsidRPr="00667967">
        <w:rPr>
          <w:rFonts w:ascii="Times New Roman" w:hAnsi="Times New Roman" w:cs="Times New Roman"/>
        </w:rPr>
        <w:t xml:space="preserve">zgodnie z którymi </w:t>
      </w:r>
      <w:r w:rsidRPr="00595221">
        <w:rPr>
          <w:rFonts w:ascii="Times New Roman" w:hAnsi="Times New Roman" w:cs="Times New Roman"/>
        </w:rPr>
        <w:t xml:space="preserve">plany zagospodarowania przestrzennego województw obowiązujące w dniu wejścia w życie ustawy zachowują moc i mogą być zmieniane. Do planów zagospodarowania przestrzennego województw, </w:t>
      </w:r>
      <w:r w:rsidR="00BE7C2E" w:rsidRPr="00595221">
        <w:rPr>
          <w:rFonts w:ascii="Times New Roman" w:hAnsi="Times New Roman" w:cs="Times New Roman"/>
        </w:rPr>
        <w:t xml:space="preserve">w odniesieniu do których przed dniem wejścia w życie ustawy rozpoczęto proces opiniowania lub uzgadniania, stosuje się przepisy dotychczasowe. </w:t>
      </w:r>
    </w:p>
    <w:p w14:paraId="3853A3A6" w14:textId="7A943623" w:rsidR="007A5777" w:rsidRPr="00667967" w:rsidRDefault="007A5777" w:rsidP="00595221">
      <w:pPr>
        <w:widowControl/>
        <w:spacing w:before="240" w:after="120" w:line="360" w:lineRule="auto"/>
        <w:jc w:val="both"/>
        <w:rPr>
          <w:rFonts w:ascii="Times New Roman" w:eastAsia="Times New Roman" w:hAnsi="Times New Roman" w:cs="Times New Roman"/>
          <w:b/>
          <w:smallCaps/>
          <w:kern w:val="28"/>
        </w:rPr>
      </w:pPr>
      <w:r w:rsidRPr="00667967">
        <w:rPr>
          <w:rFonts w:ascii="Times New Roman" w:eastAsia="Times New Roman" w:hAnsi="Times New Roman" w:cs="Times New Roman"/>
          <w:b/>
          <w:smallCaps/>
          <w:kern w:val="28"/>
        </w:rPr>
        <w:t xml:space="preserve">art. </w:t>
      </w:r>
      <w:r w:rsidR="0075284C" w:rsidRPr="00667967">
        <w:rPr>
          <w:rFonts w:ascii="Times New Roman" w:eastAsia="Times New Roman" w:hAnsi="Times New Roman" w:cs="Times New Roman"/>
          <w:b/>
          <w:smallCaps/>
          <w:kern w:val="28"/>
        </w:rPr>
        <w:t xml:space="preserve">5 </w:t>
      </w:r>
      <w:r w:rsidRPr="00667967">
        <w:rPr>
          <w:rFonts w:ascii="Times New Roman" w:eastAsia="Times New Roman" w:hAnsi="Times New Roman" w:cs="Times New Roman"/>
          <w:b/>
          <w:smallCaps/>
          <w:kern w:val="28"/>
        </w:rPr>
        <w:t xml:space="preserve">– zmiany w ustawie </w:t>
      </w:r>
      <w:r w:rsidR="00574231" w:rsidRPr="00667967">
        <w:rPr>
          <w:rFonts w:ascii="Times New Roman" w:eastAsia="Times New Roman" w:hAnsi="Times New Roman" w:cs="Times New Roman"/>
          <w:b/>
          <w:smallCaps/>
          <w:kern w:val="28"/>
        </w:rPr>
        <w:t>dppw</w:t>
      </w:r>
      <w:r w:rsidRPr="00667967">
        <w:rPr>
          <w:rFonts w:ascii="Times New Roman" w:eastAsia="Times New Roman" w:hAnsi="Times New Roman" w:cs="Times New Roman"/>
          <w:b/>
          <w:smallCaps/>
          <w:kern w:val="28"/>
        </w:rPr>
        <w:t xml:space="preserve"> </w:t>
      </w:r>
    </w:p>
    <w:p w14:paraId="1E413F16" w14:textId="37C17197" w:rsidR="00574231" w:rsidRPr="00667967" w:rsidRDefault="00574231" w:rsidP="00595221">
      <w:pPr>
        <w:widowControl/>
        <w:spacing w:after="120" w:line="360" w:lineRule="auto"/>
        <w:jc w:val="both"/>
        <w:rPr>
          <w:rFonts w:ascii="Times New Roman" w:hAnsi="Times New Roman" w:cs="Times New Roman"/>
          <w:b/>
        </w:rPr>
      </w:pPr>
      <w:r w:rsidRPr="00667967">
        <w:rPr>
          <w:rFonts w:ascii="Times New Roman" w:hAnsi="Times New Roman" w:cs="Times New Roman"/>
          <w:b/>
        </w:rPr>
        <w:t>Zmiana art. 35 przez dodanie w ust. 2 pkt 9</w:t>
      </w:r>
    </w:p>
    <w:p w14:paraId="112C26F0" w14:textId="1EF53CDD" w:rsidR="00574231" w:rsidRPr="00667967" w:rsidRDefault="00574231" w:rsidP="00595221">
      <w:pPr>
        <w:widowControl/>
        <w:spacing w:after="120" w:line="360" w:lineRule="auto"/>
        <w:jc w:val="both"/>
        <w:rPr>
          <w:rFonts w:ascii="Times New Roman" w:hAnsi="Times New Roman" w:cs="Times New Roman"/>
          <w:b/>
        </w:rPr>
      </w:pPr>
      <w:r w:rsidRPr="00595221">
        <w:rPr>
          <w:rFonts w:ascii="Times New Roman" w:hAnsi="Times New Roman" w:cs="Times New Roman"/>
        </w:rPr>
        <w:t xml:space="preserve">Zmiana doprecyzowująca, w wyniku zmian w art. 1 (art. 400d ustawy Poś), że do zadań Rady Działalności Pożytku Publicznego należy również przeprowadzenie postępowania konkursowego </w:t>
      </w:r>
      <w:r w:rsidR="008E0073" w:rsidRPr="00595221">
        <w:rPr>
          <w:rFonts w:ascii="Times New Roman" w:hAnsi="Times New Roman" w:cs="Times New Roman"/>
        </w:rPr>
        <w:t xml:space="preserve">mającego </w:t>
      </w:r>
      <w:r w:rsidRPr="00595221">
        <w:rPr>
          <w:rFonts w:ascii="Times New Roman" w:hAnsi="Times New Roman" w:cs="Times New Roman"/>
        </w:rPr>
        <w:t>na</w:t>
      </w:r>
      <w:r w:rsidR="008E0073" w:rsidRPr="00595221">
        <w:rPr>
          <w:rFonts w:ascii="Times New Roman" w:hAnsi="Times New Roman" w:cs="Times New Roman"/>
        </w:rPr>
        <w:t xml:space="preserve"> celu</w:t>
      </w:r>
      <w:r w:rsidRPr="00595221">
        <w:rPr>
          <w:rFonts w:ascii="Times New Roman" w:hAnsi="Times New Roman" w:cs="Times New Roman"/>
        </w:rPr>
        <w:t xml:space="preserve"> wyłonienie </w:t>
      </w:r>
      <w:r w:rsidR="008E0073" w:rsidRPr="00595221">
        <w:rPr>
          <w:rFonts w:ascii="Times New Roman" w:hAnsi="Times New Roman" w:cs="Times New Roman"/>
        </w:rPr>
        <w:t xml:space="preserve">kandydatów na </w:t>
      </w:r>
      <w:r w:rsidRPr="00595221">
        <w:rPr>
          <w:rFonts w:ascii="Times New Roman" w:hAnsi="Times New Roman" w:cs="Times New Roman"/>
        </w:rPr>
        <w:t xml:space="preserve">przedstawicieli organizacji pozarządowych do Rady </w:t>
      </w:r>
      <w:r w:rsidR="008E0073" w:rsidRPr="00595221">
        <w:rPr>
          <w:rFonts w:ascii="Times New Roman" w:hAnsi="Times New Roman" w:cs="Times New Roman"/>
        </w:rPr>
        <w:t xml:space="preserve">Nadzorczej </w:t>
      </w:r>
      <w:r w:rsidRPr="00595221">
        <w:rPr>
          <w:rFonts w:ascii="Times New Roman" w:hAnsi="Times New Roman" w:cs="Times New Roman"/>
        </w:rPr>
        <w:t>NFOŚiGW.</w:t>
      </w:r>
    </w:p>
    <w:p w14:paraId="466BFFDB" w14:textId="3BF93FF5" w:rsidR="00574231" w:rsidRPr="00667967" w:rsidRDefault="00574231" w:rsidP="00595221">
      <w:pPr>
        <w:widowControl/>
        <w:spacing w:before="240" w:after="120" w:line="360" w:lineRule="auto"/>
        <w:jc w:val="both"/>
        <w:rPr>
          <w:rFonts w:ascii="Times New Roman" w:eastAsia="Times New Roman" w:hAnsi="Times New Roman" w:cs="Times New Roman"/>
          <w:b/>
          <w:smallCaps/>
          <w:kern w:val="28"/>
        </w:rPr>
      </w:pPr>
      <w:r w:rsidRPr="00667967">
        <w:rPr>
          <w:rFonts w:ascii="Times New Roman" w:eastAsia="Times New Roman" w:hAnsi="Times New Roman" w:cs="Times New Roman"/>
          <w:b/>
          <w:smallCaps/>
          <w:kern w:val="28"/>
        </w:rPr>
        <w:t xml:space="preserve">art. 6 – zmiany w ustawie o ochronie przyrody </w:t>
      </w:r>
    </w:p>
    <w:p w14:paraId="7BB9DA10" w14:textId="52F3EEB0" w:rsidR="007A5777" w:rsidRPr="00667967" w:rsidRDefault="007A5777" w:rsidP="00595221">
      <w:pPr>
        <w:widowControl/>
        <w:spacing w:after="120" w:line="360" w:lineRule="auto"/>
        <w:rPr>
          <w:rFonts w:ascii="Times New Roman" w:hAnsi="Times New Roman" w:cs="Times New Roman"/>
          <w:b/>
        </w:rPr>
      </w:pPr>
      <w:r w:rsidRPr="00667967">
        <w:rPr>
          <w:rFonts w:ascii="Times New Roman" w:hAnsi="Times New Roman" w:cs="Times New Roman"/>
          <w:b/>
        </w:rPr>
        <w:t xml:space="preserve">Zmiany art. 78 </w:t>
      </w:r>
      <w:r w:rsidR="00664D28" w:rsidRPr="00667967">
        <w:rPr>
          <w:rFonts w:ascii="Times New Roman" w:hAnsi="Times New Roman" w:cs="Times New Roman"/>
          <w:b/>
        </w:rPr>
        <w:t xml:space="preserve">przez </w:t>
      </w:r>
      <w:r w:rsidR="00F97B4E" w:rsidRPr="00667967">
        <w:rPr>
          <w:rFonts w:ascii="Times New Roman" w:hAnsi="Times New Roman" w:cs="Times New Roman"/>
          <w:b/>
        </w:rPr>
        <w:t>zmian</w:t>
      </w:r>
      <w:r w:rsidR="00EE4359" w:rsidRPr="00667967">
        <w:rPr>
          <w:rFonts w:ascii="Times New Roman" w:hAnsi="Times New Roman" w:cs="Times New Roman"/>
          <w:b/>
        </w:rPr>
        <w:t>ę</w:t>
      </w:r>
      <w:r w:rsidR="00F97B4E" w:rsidRPr="00667967">
        <w:rPr>
          <w:rFonts w:ascii="Times New Roman" w:hAnsi="Times New Roman" w:cs="Times New Roman"/>
          <w:b/>
        </w:rPr>
        <w:t xml:space="preserve"> ust. 1 oraz </w:t>
      </w:r>
      <w:r w:rsidRPr="00667967">
        <w:rPr>
          <w:rFonts w:ascii="Times New Roman" w:hAnsi="Times New Roman" w:cs="Times New Roman"/>
          <w:b/>
        </w:rPr>
        <w:t xml:space="preserve">dodanie ust. 2 i 3 </w:t>
      </w:r>
    </w:p>
    <w:p w14:paraId="23EF91F3" w14:textId="087EAF77" w:rsidR="007A5777" w:rsidRPr="00595221" w:rsidRDefault="007A5777" w:rsidP="00595221">
      <w:pPr>
        <w:widowControl/>
        <w:spacing w:before="120" w:after="120" w:line="360" w:lineRule="auto"/>
        <w:jc w:val="both"/>
        <w:rPr>
          <w:rFonts w:ascii="Times New Roman" w:hAnsi="Times New Roman" w:cs="Times New Roman"/>
        </w:rPr>
      </w:pPr>
      <w:r w:rsidRPr="00595221">
        <w:rPr>
          <w:rFonts w:ascii="Times New Roman" w:hAnsi="Times New Roman" w:cs="Times New Roman"/>
        </w:rPr>
        <w:t xml:space="preserve">W ustawie o ochronie przyrody </w:t>
      </w:r>
      <w:r w:rsidR="00D57FC2" w:rsidRPr="00595221">
        <w:rPr>
          <w:rFonts w:ascii="Times New Roman" w:hAnsi="Times New Roman" w:cs="Times New Roman"/>
        </w:rPr>
        <w:t xml:space="preserve">w art. 78 ust. 1 </w:t>
      </w:r>
      <w:r w:rsidR="004272C1" w:rsidRPr="00595221">
        <w:rPr>
          <w:rFonts w:ascii="Times New Roman" w:hAnsi="Times New Roman" w:cs="Times New Roman"/>
        </w:rPr>
        <w:t>zostan</w:t>
      </w:r>
      <w:r w:rsidR="00F97B4E" w:rsidRPr="00595221">
        <w:rPr>
          <w:rFonts w:ascii="Times New Roman" w:hAnsi="Times New Roman" w:cs="Times New Roman"/>
        </w:rPr>
        <w:t>ie wskazane, że obowiązek zakładania i</w:t>
      </w:r>
      <w:r w:rsidR="0021301C" w:rsidRPr="00595221">
        <w:rPr>
          <w:rFonts w:ascii="Times New Roman" w:hAnsi="Times New Roman" w:cs="Times New Roman"/>
        </w:rPr>
        <w:t> </w:t>
      </w:r>
      <w:r w:rsidR="00F97B4E" w:rsidRPr="00595221">
        <w:rPr>
          <w:rFonts w:ascii="Times New Roman" w:hAnsi="Times New Roman" w:cs="Times New Roman"/>
        </w:rPr>
        <w:t xml:space="preserve">utrzymania w należytym stanie </w:t>
      </w:r>
      <w:r w:rsidR="00D57FC2" w:rsidRPr="00595221">
        <w:rPr>
          <w:rFonts w:ascii="Times New Roman" w:hAnsi="Times New Roman" w:cs="Times New Roman"/>
        </w:rPr>
        <w:t xml:space="preserve">terenów zieleni </w:t>
      </w:r>
      <w:r w:rsidR="00F97B4E" w:rsidRPr="00595221">
        <w:rPr>
          <w:rFonts w:ascii="Times New Roman" w:hAnsi="Times New Roman" w:cs="Times New Roman"/>
        </w:rPr>
        <w:t>należy do organów gminy.</w:t>
      </w:r>
      <w:r w:rsidR="004272C1" w:rsidRPr="00595221">
        <w:rPr>
          <w:rFonts w:ascii="Times New Roman" w:hAnsi="Times New Roman" w:cs="Times New Roman"/>
        </w:rPr>
        <w:t xml:space="preserve"> </w:t>
      </w:r>
      <w:r w:rsidR="00F97B4E" w:rsidRPr="00595221">
        <w:rPr>
          <w:rFonts w:ascii="Times New Roman" w:hAnsi="Times New Roman" w:cs="Times New Roman"/>
        </w:rPr>
        <w:t>W</w:t>
      </w:r>
      <w:r w:rsidRPr="00595221">
        <w:rPr>
          <w:rFonts w:ascii="Times New Roman" w:hAnsi="Times New Roman" w:cs="Times New Roman"/>
        </w:rPr>
        <w:t>skazane</w:t>
      </w:r>
      <w:r w:rsidR="00F97B4E" w:rsidRPr="00595221">
        <w:rPr>
          <w:rFonts w:ascii="Times New Roman" w:hAnsi="Times New Roman" w:cs="Times New Roman"/>
        </w:rPr>
        <w:t xml:space="preserve"> zostaną również</w:t>
      </w:r>
      <w:r w:rsidRPr="00595221">
        <w:rPr>
          <w:rFonts w:ascii="Times New Roman" w:hAnsi="Times New Roman" w:cs="Times New Roman"/>
        </w:rPr>
        <w:t xml:space="preserve"> zasady działania dla </w:t>
      </w:r>
      <w:r w:rsidR="00F97B4E" w:rsidRPr="00595221">
        <w:rPr>
          <w:rFonts w:ascii="Times New Roman" w:hAnsi="Times New Roman" w:cs="Times New Roman"/>
        </w:rPr>
        <w:t xml:space="preserve">organów </w:t>
      </w:r>
      <w:r w:rsidRPr="00595221">
        <w:rPr>
          <w:rFonts w:ascii="Times New Roman" w:hAnsi="Times New Roman" w:cs="Times New Roman"/>
        </w:rPr>
        <w:t>gmin przy zakładaniu</w:t>
      </w:r>
      <w:r w:rsidR="004272C1" w:rsidRPr="00595221">
        <w:rPr>
          <w:rFonts w:ascii="Times New Roman" w:hAnsi="Times New Roman" w:cs="Times New Roman"/>
        </w:rPr>
        <w:t xml:space="preserve"> </w:t>
      </w:r>
      <w:r w:rsidRPr="00595221">
        <w:rPr>
          <w:rFonts w:ascii="Times New Roman" w:hAnsi="Times New Roman" w:cs="Times New Roman"/>
        </w:rPr>
        <w:t>i</w:t>
      </w:r>
      <w:r w:rsidR="00C4345B" w:rsidRPr="00595221">
        <w:rPr>
          <w:rFonts w:ascii="Times New Roman" w:hAnsi="Times New Roman" w:cs="Times New Roman"/>
        </w:rPr>
        <w:t> </w:t>
      </w:r>
      <w:r w:rsidRPr="00595221">
        <w:rPr>
          <w:rFonts w:ascii="Times New Roman" w:hAnsi="Times New Roman" w:cs="Times New Roman"/>
        </w:rPr>
        <w:t xml:space="preserve">utrzymywaniu terenów zieleni. Proponuje się dodanie do art. 78 ust. 2 i 3 </w:t>
      </w:r>
      <w:r w:rsidR="00271402" w:rsidRPr="00595221">
        <w:rPr>
          <w:rFonts w:ascii="Times New Roman" w:hAnsi="Times New Roman" w:cs="Times New Roman"/>
        </w:rPr>
        <w:t>wskazujących na to</w:t>
      </w:r>
      <w:r w:rsidRPr="00595221">
        <w:rPr>
          <w:rFonts w:ascii="Times New Roman" w:hAnsi="Times New Roman" w:cs="Times New Roman"/>
        </w:rPr>
        <w:t>, że przy zakładaniu terenu zieleni w</w:t>
      </w:r>
      <w:r w:rsidR="0021301C" w:rsidRPr="00595221">
        <w:rPr>
          <w:rFonts w:ascii="Times New Roman" w:hAnsi="Times New Roman" w:cs="Times New Roman"/>
        </w:rPr>
        <w:t> </w:t>
      </w:r>
      <w:r w:rsidR="00811934" w:rsidRPr="00595221">
        <w:rPr>
          <w:rFonts w:ascii="Times New Roman" w:hAnsi="Times New Roman" w:cs="Times New Roman"/>
        </w:rPr>
        <w:t>pierwsze</w:t>
      </w:r>
      <w:r w:rsidR="00E36955" w:rsidRPr="00595221">
        <w:rPr>
          <w:rFonts w:ascii="Times New Roman" w:hAnsi="Times New Roman" w:cs="Times New Roman"/>
        </w:rPr>
        <w:t>j</w:t>
      </w:r>
      <w:r w:rsidR="00811934" w:rsidRPr="00595221">
        <w:rPr>
          <w:rFonts w:ascii="Times New Roman" w:hAnsi="Times New Roman" w:cs="Times New Roman"/>
        </w:rPr>
        <w:t xml:space="preserve"> kolejności</w:t>
      </w:r>
      <w:r w:rsidRPr="00595221">
        <w:rPr>
          <w:rFonts w:ascii="Times New Roman" w:hAnsi="Times New Roman" w:cs="Times New Roman"/>
        </w:rPr>
        <w:t xml:space="preserve"> należy wykorzystywać zasoby przyrodnicze </w:t>
      </w:r>
      <w:r w:rsidR="00811934" w:rsidRPr="00595221">
        <w:rPr>
          <w:rFonts w:ascii="Times New Roman" w:hAnsi="Times New Roman" w:cs="Times New Roman"/>
        </w:rPr>
        <w:t>tego terenu</w:t>
      </w:r>
      <w:r w:rsidRPr="00595221">
        <w:rPr>
          <w:rFonts w:ascii="Times New Roman" w:hAnsi="Times New Roman" w:cs="Times New Roman"/>
        </w:rPr>
        <w:t xml:space="preserve">, w tym zachowywać istniejącą roślinność rodzimą oraz zapewnić, aby </w:t>
      </w:r>
      <w:r w:rsidR="00811934" w:rsidRPr="00595221">
        <w:rPr>
          <w:rFonts w:ascii="Times New Roman" w:hAnsi="Times New Roman" w:cs="Times New Roman"/>
        </w:rPr>
        <w:t>powierzchnia</w:t>
      </w:r>
      <w:r w:rsidR="00AF28E9" w:rsidRPr="00595221">
        <w:rPr>
          <w:rFonts w:ascii="Times New Roman" w:hAnsi="Times New Roman" w:cs="Times New Roman"/>
        </w:rPr>
        <w:t xml:space="preserve"> bi</w:t>
      </w:r>
      <w:r w:rsidR="00811934" w:rsidRPr="00595221">
        <w:rPr>
          <w:rFonts w:ascii="Times New Roman" w:hAnsi="Times New Roman" w:cs="Times New Roman"/>
        </w:rPr>
        <w:t>o</w:t>
      </w:r>
      <w:r w:rsidR="00AF28E9" w:rsidRPr="00595221">
        <w:rPr>
          <w:rFonts w:ascii="Times New Roman" w:hAnsi="Times New Roman" w:cs="Times New Roman"/>
        </w:rPr>
        <w:t>logicznie czynn</w:t>
      </w:r>
      <w:r w:rsidR="00811934" w:rsidRPr="00595221">
        <w:rPr>
          <w:rFonts w:ascii="Times New Roman" w:hAnsi="Times New Roman" w:cs="Times New Roman"/>
        </w:rPr>
        <w:t>a</w:t>
      </w:r>
      <w:r w:rsidR="00AF28E9" w:rsidRPr="00595221">
        <w:rPr>
          <w:rFonts w:ascii="Times New Roman" w:hAnsi="Times New Roman" w:cs="Times New Roman"/>
        </w:rPr>
        <w:t xml:space="preserve"> </w:t>
      </w:r>
      <w:r w:rsidRPr="00595221">
        <w:rPr>
          <w:rFonts w:ascii="Times New Roman" w:hAnsi="Times New Roman" w:cs="Times New Roman"/>
        </w:rPr>
        <w:t>zajmował</w:t>
      </w:r>
      <w:r w:rsidR="00811934" w:rsidRPr="00595221">
        <w:rPr>
          <w:rFonts w:ascii="Times New Roman" w:hAnsi="Times New Roman" w:cs="Times New Roman"/>
        </w:rPr>
        <w:t>a</w:t>
      </w:r>
      <w:r w:rsidRPr="00595221">
        <w:rPr>
          <w:rFonts w:ascii="Times New Roman" w:hAnsi="Times New Roman" w:cs="Times New Roman"/>
        </w:rPr>
        <w:t xml:space="preserve"> </w:t>
      </w:r>
      <w:r w:rsidR="00753A65" w:rsidRPr="00595221">
        <w:rPr>
          <w:rFonts w:ascii="Times New Roman" w:hAnsi="Times New Roman" w:cs="Times New Roman"/>
        </w:rPr>
        <w:t>w</w:t>
      </w:r>
      <w:r w:rsidR="0021301C" w:rsidRPr="00595221">
        <w:rPr>
          <w:rFonts w:ascii="Times New Roman" w:hAnsi="Times New Roman" w:cs="Times New Roman"/>
        </w:rPr>
        <w:t> </w:t>
      </w:r>
      <w:r w:rsidR="00753A65" w:rsidRPr="00595221">
        <w:rPr>
          <w:rFonts w:ascii="Times New Roman" w:hAnsi="Times New Roman" w:cs="Times New Roman"/>
        </w:rPr>
        <w:t xml:space="preserve">miarę możliwości </w:t>
      </w:r>
      <w:r w:rsidRPr="00595221">
        <w:rPr>
          <w:rFonts w:ascii="Times New Roman" w:hAnsi="Times New Roman" w:cs="Times New Roman"/>
        </w:rPr>
        <w:t>co najmniej 9</w:t>
      </w:r>
      <w:r w:rsidR="00753A65" w:rsidRPr="00595221">
        <w:rPr>
          <w:rFonts w:ascii="Times New Roman" w:hAnsi="Times New Roman" w:cs="Times New Roman"/>
        </w:rPr>
        <w:t>0</w:t>
      </w:r>
      <w:r w:rsidR="00E55B01">
        <w:rPr>
          <w:rFonts w:ascii="Times New Roman" w:hAnsi="Times New Roman" w:cs="Times New Roman"/>
        </w:rPr>
        <w:t> </w:t>
      </w:r>
      <w:r w:rsidRPr="00595221">
        <w:rPr>
          <w:rFonts w:ascii="Times New Roman" w:hAnsi="Times New Roman" w:cs="Times New Roman"/>
        </w:rPr>
        <w:t>% powierzchni terenu zieleni</w:t>
      </w:r>
      <w:r w:rsidR="00F97B4E" w:rsidRPr="00595221">
        <w:rPr>
          <w:rFonts w:ascii="Times New Roman" w:hAnsi="Times New Roman" w:cs="Times New Roman"/>
        </w:rPr>
        <w:t>, z wyłączeniem terenów, w</w:t>
      </w:r>
      <w:r w:rsidR="0021301C" w:rsidRPr="00595221">
        <w:rPr>
          <w:rFonts w:ascii="Times New Roman" w:hAnsi="Times New Roman" w:cs="Times New Roman"/>
        </w:rPr>
        <w:t> </w:t>
      </w:r>
      <w:r w:rsidR="00F97B4E" w:rsidRPr="00595221">
        <w:rPr>
          <w:rFonts w:ascii="Times New Roman" w:hAnsi="Times New Roman" w:cs="Times New Roman"/>
        </w:rPr>
        <w:t>odniesieniu do których obowiązują ograniczenia wynikające z przepisów odrębnych.</w:t>
      </w:r>
      <w:r w:rsidRPr="00595221">
        <w:rPr>
          <w:rFonts w:ascii="Times New Roman" w:hAnsi="Times New Roman" w:cs="Times New Roman"/>
        </w:rPr>
        <w:t xml:space="preserve"> Przy utrzymywaniu terenu zieleni w </w:t>
      </w:r>
      <w:r w:rsidR="00811934" w:rsidRPr="00595221">
        <w:rPr>
          <w:rFonts w:ascii="Times New Roman" w:hAnsi="Times New Roman" w:cs="Times New Roman"/>
        </w:rPr>
        <w:t>pierwszej kolejności</w:t>
      </w:r>
      <w:r w:rsidRPr="00595221">
        <w:rPr>
          <w:rFonts w:ascii="Times New Roman" w:hAnsi="Times New Roman" w:cs="Times New Roman"/>
        </w:rPr>
        <w:t xml:space="preserve"> należy wzmacniać funkcje przyrodnicze</w:t>
      </w:r>
      <w:r w:rsidR="00811934" w:rsidRPr="00595221">
        <w:rPr>
          <w:rFonts w:ascii="Times New Roman" w:hAnsi="Times New Roman" w:cs="Times New Roman"/>
        </w:rPr>
        <w:t xml:space="preserve"> tego terenu</w:t>
      </w:r>
      <w:r w:rsidRPr="00595221">
        <w:rPr>
          <w:rFonts w:ascii="Times New Roman" w:hAnsi="Times New Roman" w:cs="Times New Roman"/>
        </w:rPr>
        <w:t xml:space="preserve">, w tym przez ekstensywną pielęgnację zieleni oraz pozostawienie </w:t>
      </w:r>
      <w:r w:rsidR="00AF28E9" w:rsidRPr="00595221">
        <w:rPr>
          <w:rFonts w:ascii="Times New Roman" w:hAnsi="Times New Roman" w:cs="Times New Roman"/>
        </w:rPr>
        <w:t xml:space="preserve">części </w:t>
      </w:r>
      <w:r w:rsidRPr="00595221">
        <w:rPr>
          <w:rFonts w:ascii="Times New Roman" w:hAnsi="Times New Roman" w:cs="Times New Roman"/>
        </w:rPr>
        <w:t xml:space="preserve">terenów </w:t>
      </w:r>
      <w:r w:rsidR="00AF28E9" w:rsidRPr="00595221">
        <w:rPr>
          <w:rFonts w:ascii="Times New Roman" w:hAnsi="Times New Roman" w:cs="Times New Roman"/>
        </w:rPr>
        <w:t>do naturalnej wegetacji</w:t>
      </w:r>
      <w:r w:rsidRPr="00595221">
        <w:rPr>
          <w:rFonts w:ascii="Times New Roman" w:hAnsi="Times New Roman" w:cs="Times New Roman"/>
        </w:rPr>
        <w:t>, oraz</w:t>
      </w:r>
      <w:r w:rsidR="00271402" w:rsidRPr="00595221">
        <w:rPr>
          <w:rFonts w:ascii="Times New Roman" w:hAnsi="Times New Roman" w:cs="Times New Roman"/>
        </w:rPr>
        <w:t xml:space="preserve"> </w:t>
      </w:r>
      <w:r w:rsidR="00AF28E9" w:rsidRPr="00595221">
        <w:rPr>
          <w:rFonts w:ascii="Times New Roman" w:hAnsi="Times New Roman" w:cs="Times New Roman"/>
        </w:rPr>
        <w:t xml:space="preserve">należy </w:t>
      </w:r>
      <w:r w:rsidRPr="00595221">
        <w:rPr>
          <w:rFonts w:ascii="Times New Roman" w:hAnsi="Times New Roman" w:cs="Times New Roman"/>
        </w:rPr>
        <w:t>dą</w:t>
      </w:r>
      <w:r w:rsidR="00B8037C" w:rsidRPr="00595221">
        <w:rPr>
          <w:rFonts w:ascii="Times New Roman" w:hAnsi="Times New Roman" w:cs="Times New Roman"/>
        </w:rPr>
        <w:t xml:space="preserve">żyć do </w:t>
      </w:r>
      <w:r w:rsidR="00AF28E9" w:rsidRPr="00595221">
        <w:rPr>
          <w:rFonts w:ascii="Times New Roman" w:hAnsi="Times New Roman" w:cs="Times New Roman"/>
        </w:rPr>
        <w:t xml:space="preserve">tego, aby </w:t>
      </w:r>
      <w:r w:rsidR="00B8037C" w:rsidRPr="00595221">
        <w:rPr>
          <w:rFonts w:ascii="Times New Roman" w:hAnsi="Times New Roman" w:cs="Times New Roman"/>
        </w:rPr>
        <w:t>jak największ</w:t>
      </w:r>
      <w:r w:rsidR="00AF28E9" w:rsidRPr="00595221">
        <w:rPr>
          <w:rFonts w:ascii="Times New Roman" w:hAnsi="Times New Roman" w:cs="Times New Roman"/>
        </w:rPr>
        <w:t xml:space="preserve">y </w:t>
      </w:r>
      <w:r w:rsidR="00B8037C" w:rsidRPr="00595221">
        <w:rPr>
          <w:rFonts w:ascii="Times New Roman" w:hAnsi="Times New Roman" w:cs="Times New Roman"/>
        </w:rPr>
        <w:t>udział</w:t>
      </w:r>
      <w:r w:rsidR="00271402" w:rsidRPr="00595221">
        <w:rPr>
          <w:rFonts w:ascii="Times New Roman" w:hAnsi="Times New Roman" w:cs="Times New Roman"/>
        </w:rPr>
        <w:t xml:space="preserve"> </w:t>
      </w:r>
      <w:r w:rsidRPr="00595221">
        <w:rPr>
          <w:rFonts w:ascii="Times New Roman" w:hAnsi="Times New Roman" w:cs="Times New Roman"/>
        </w:rPr>
        <w:t xml:space="preserve">w powierzchni </w:t>
      </w:r>
      <w:r w:rsidR="00AF28E9" w:rsidRPr="00595221">
        <w:rPr>
          <w:rFonts w:ascii="Times New Roman" w:hAnsi="Times New Roman" w:cs="Times New Roman"/>
        </w:rPr>
        <w:t>miała powierzchnia biologicznie czynna</w:t>
      </w:r>
      <w:r w:rsidR="006500A3" w:rsidRPr="00595221">
        <w:rPr>
          <w:rFonts w:ascii="Times New Roman" w:hAnsi="Times New Roman" w:cs="Times New Roman"/>
        </w:rPr>
        <w:t>.</w:t>
      </w:r>
    </w:p>
    <w:p w14:paraId="38BECDC0" w14:textId="77777777" w:rsidR="006500A3" w:rsidRPr="00595221" w:rsidRDefault="006500A3" w:rsidP="00595221">
      <w:pPr>
        <w:widowControl/>
        <w:spacing w:before="120" w:after="120" w:line="360" w:lineRule="auto"/>
        <w:jc w:val="both"/>
        <w:rPr>
          <w:rFonts w:ascii="Times New Roman" w:hAnsi="Times New Roman" w:cs="Times New Roman"/>
        </w:rPr>
      </w:pPr>
      <w:r w:rsidRPr="00595221">
        <w:rPr>
          <w:rFonts w:ascii="Times New Roman" w:hAnsi="Times New Roman" w:cs="Times New Roman"/>
        </w:rPr>
        <w:t>Te dodatkowe regulacje będą chroniły tereny zieleni przed nadmierną zabudową powierzchniami szczelnymi</w:t>
      </w:r>
      <w:r w:rsidR="003F5DCB" w:rsidRPr="00595221">
        <w:rPr>
          <w:rFonts w:ascii="Times New Roman" w:hAnsi="Times New Roman" w:cs="Times New Roman"/>
        </w:rPr>
        <w:t>,</w:t>
      </w:r>
      <w:r w:rsidRPr="00595221">
        <w:rPr>
          <w:rFonts w:ascii="Times New Roman" w:hAnsi="Times New Roman" w:cs="Times New Roman"/>
        </w:rPr>
        <w:t xml:space="preserve"> a także będą chroniły tereny zieleni „dzikiej”, które pełnią istotną rolę w kontekście adaptacji do zmian klimatu, np. </w:t>
      </w:r>
      <w:r w:rsidR="003F5DCB" w:rsidRPr="00595221">
        <w:rPr>
          <w:rFonts w:ascii="Times New Roman" w:hAnsi="Times New Roman" w:cs="Times New Roman"/>
        </w:rPr>
        <w:t>s</w:t>
      </w:r>
      <w:r w:rsidRPr="00595221">
        <w:rPr>
          <w:rFonts w:ascii="Times New Roman" w:hAnsi="Times New Roman" w:cs="Times New Roman"/>
        </w:rPr>
        <w:t>pełni</w:t>
      </w:r>
      <w:r w:rsidR="003F5DCB" w:rsidRPr="00595221">
        <w:rPr>
          <w:rFonts w:ascii="Times New Roman" w:hAnsi="Times New Roman" w:cs="Times New Roman"/>
        </w:rPr>
        <w:t>ając</w:t>
      </w:r>
      <w:r w:rsidRPr="00595221">
        <w:rPr>
          <w:rFonts w:ascii="Times New Roman" w:hAnsi="Times New Roman" w:cs="Times New Roman"/>
        </w:rPr>
        <w:t xml:space="preserve"> funkcje retencyjne.</w:t>
      </w:r>
    </w:p>
    <w:p w14:paraId="0AE81A9E" w14:textId="77777777" w:rsidR="006500A3" w:rsidRPr="00595221" w:rsidRDefault="006500A3" w:rsidP="00595221">
      <w:pPr>
        <w:widowControl/>
        <w:spacing w:before="120" w:after="120" w:line="360" w:lineRule="auto"/>
        <w:jc w:val="both"/>
        <w:rPr>
          <w:rFonts w:ascii="Times New Roman" w:hAnsi="Times New Roman" w:cs="Times New Roman"/>
        </w:rPr>
      </w:pPr>
      <w:r w:rsidRPr="00595221">
        <w:rPr>
          <w:rFonts w:ascii="Times New Roman" w:hAnsi="Times New Roman" w:cs="Times New Roman"/>
        </w:rPr>
        <w:lastRenderedPageBreak/>
        <w:t>Zmiana art. 78 nie wymaga regulacji przejściowych.</w:t>
      </w:r>
    </w:p>
    <w:p w14:paraId="157EDB5E" w14:textId="02006AA4" w:rsidR="00664D28" w:rsidRPr="00595221" w:rsidRDefault="00664D28" w:rsidP="00595221">
      <w:pPr>
        <w:widowControl/>
        <w:spacing w:before="120" w:after="120" w:line="360" w:lineRule="auto"/>
        <w:jc w:val="both"/>
        <w:rPr>
          <w:rFonts w:ascii="Times New Roman" w:hAnsi="Times New Roman" w:cs="Times New Roman"/>
          <w:b/>
          <w:bCs/>
        </w:rPr>
      </w:pPr>
      <w:r w:rsidRPr="00595221">
        <w:rPr>
          <w:rFonts w:ascii="Times New Roman" w:hAnsi="Times New Roman" w:cs="Times New Roman"/>
          <w:b/>
          <w:bCs/>
        </w:rPr>
        <w:t>Zmiana art. 96</w:t>
      </w:r>
    </w:p>
    <w:p w14:paraId="5D3AC305" w14:textId="053F04AD" w:rsidR="004272C1" w:rsidRPr="00595221" w:rsidRDefault="00664D28" w:rsidP="00595221">
      <w:pPr>
        <w:widowControl/>
        <w:suppressAutoHyphens w:val="0"/>
        <w:spacing w:line="360" w:lineRule="auto"/>
        <w:jc w:val="both"/>
        <w:rPr>
          <w:rFonts w:ascii="Times New Roman" w:hAnsi="Times New Roman" w:cs="Times New Roman"/>
          <w:bCs/>
        </w:rPr>
      </w:pPr>
      <w:r w:rsidRPr="00595221">
        <w:rPr>
          <w:rFonts w:ascii="Times New Roman" w:hAnsi="Times New Roman" w:cs="Times New Roman"/>
          <w:bCs/>
        </w:rPr>
        <w:t>W zakresie powoływania członków Państwowej Rady Ochrony Przyrody przewiduje się ich powoływanie w drodze zarządzenia ministra właściwego do spraw środowiska, co ułatwi t</w:t>
      </w:r>
      <w:r w:rsidR="00EC637E" w:rsidRPr="00595221">
        <w:rPr>
          <w:rFonts w:ascii="Times New Roman" w:hAnsi="Times New Roman" w:cs="Times New Roman"/>
          <w:bCs/>
        </w:rPr>
        <w:t>ę</w:t>
      </w:r>
      <w:r w:rsidRPr="00595221">
        <w:rPr>
          <w:rFonts w:ascii="Times New Roman" w:hAnsi="Times New Roman" w:cs="Times New Roman"/>
          <w:bCs/>
        </w:rPr>
        <w:t xml:space="preserve"> procedurę. </w:t>
      </w:r>
      <w:r w:rsidR="00C4345B" w:rsidRPr="00595221">
        <w:rPr>
          <w:rFonts w:ascii="Times New Roman" w:hAnsi="Times New Roman" w:cs="Times New Roman"/>
          <w:bCs/>
        </w:rPr>
        <w:t>Dodatkowa zmiana ma na celu wprowadzenie kadencyjności Państwowej Rady Ochrony Przyrody, która zapewni stabilność składu Rady. Zakłada się 5-letnią kadencję, analogicznie do okresu trwania kadencji pozostałych kadencyjnych organów w zakresie ochrony przyrody – regionalnej rady ochrony przyrody oraz rady naukowej parku narodowego. W związku z wprowadzeniem kadencji Rady konieczne było też doprecyzowanie kwestii ustania członkostwa w trakcie kadencji oraz uzupełnienia składu Rady, jeśli w związku z ustaniem członkostwa w składzie Rady pozostanie mniej niż 20 członków Rady. Stosownie do tego rozwiązania w art. 2</w:t>
      </w:r>
      <w:r w:rsidR="00715E6E" w:rsidRPr="00595221">
        <w:rPr>
          <w:rFonts w:ascii="Times New Roman" w:hAnsi="Times New Roman" w:cs="Times New Roman"/>
          <w:bCs/>
        </w:rPr>
        <w:t>5</w:t>
      </w:r>
      <w:r w:rsidR="00C4345B" w:rsidRPr="00595221">
        <w:rPr>
          <w:rFonts w:ascii="Times New Roman" w:hAnsi="Times New Roman" w:cs="Times New Roman"/>
          <w:bCs/>
        </w:rPr>
        <w:t xml:space="preserve"> projektowanej ustawy dodano przepisy przejściowe odnoszące się do istniejącej obecnie Rady i jej już powołanych członków, którzy mają pozostać w Radzie do czasu upływu przewidzianej w nowym art. 96 ust. 1 ustawy o ochronie przyrody kadencji. </w:t>
      </w:r>
      <w:r w:rsidRPr="00595221">
        <w:rPr>
          <w:rFonts w:ascii="Times New Roman" w:hAnsi="Times New Roman" w:cs="Times New Roman"/>
          <w:bCs/>
        </w:rPr>
        <w:t>Pozwoli to na zachowanie ciągłości Pracy Państwowej Rady Ochrony Przyrody i wypełnianie roli organu opiniodawczo-doradczego ministra właściwego do spraw środowiska.</w:t>
      </w:r>
    </w:p>
    <w:p w14:paraId="0551C70A" w14:textId="1EA22777" w:rsidR="00DA4744" w:rsidRPr="00667967" w:rsidRDefault="00DA4744" w:rsidP="00595221">
      <w:pPr>
        <w:widowControl/>
        <w:suppressAutoHyphens w:val="0"/>
        <w:spacing w:before="24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b/>
          <w:bCs/>
          <w:smallCaps/>
          <w:kern w:val="0"/>
          <w:lang w:eastAsia="pl-PL" w:bidi="ar-SA"/>
        </w:rPr>
        <w:t>art.</w:t>
      </w:r>
      <w:r w:rsidR="00205C9C" w:rsidRPr="00667967">
        <w:rPr>
          <w:rFonts w:ascii="Times New Roman" w:eastAsia="Times New Roman" w:hAnsi="Times New Roman" w:cs="Times New Roman"/>
          <w:b/>
          <w:bCs/>
          <w:smallCaps/>
          <w:kern w:val="0"/>
          <w:lang w:eastAsia="pl-PL" w:bidi="ar-SA"/>
        </w:rPr>
        <w:t xml:space="preserve"> </w:t>
      </w:r>
      <w:r w:rsidR="00574231" w:rsidRPr="00667967">
        <w:rPr>
          <w:rFonts w:ascii="Times New Roman" w:eastAsia="Times New Roman" w:hAnsi="Times New Roman" w:cs="Times New Roman"/>
          <w:b/>
          <w:bCs/>
          <w:smallCaps/>
          <w:kern w:val="0"/>
          <w:lang w:eastAsia="pl-PL" w:bidi="ar-SA"/>
        </w:rPr>
        <w:t>7</w:t>
      </w:r>
      <w:r w:rsidR="0075284C" w:rsidRPr="00667967">
        <w:rPr>
          <w:rFonts w:ascii="Times New Roman" w:eastAsia="Times New Roman" w:hAnsi="Times New Roman" w:cs="Times New Roman"/>
          <w:b/>
          <w:bCs/>
          <w:smallCaps/>
          <w:kern w:val="0"/>
          <w:lang w:eastAsia="pl-PL" w:bidi="ar-SA"/>
        </w:rPr>
        <w:t xml:space="preserve"> </w:t>
      </w:r>
      <w:r w:rsidRPr="00667967">
        <w:rPr>
          <w:rFonts w:ascii="Times New Roman" w:eastAsia="Times New Roman" w:hAnsi="Times New Roman" w:cs="Times New Roman"/>
          <w:b/>
          <w:bCs/>
          <w:smallCaps/>
          <w:kern w:val="0"/>
          <w:lang w:eastAsia="pl-PL" w:bidi="ar-SA"/>
        </w:rPr>
        <w:t>– zmiany w ustawie o systemie monitorowania i kontrolowania jakości paliw</w:t>
      </w:r>
    </w:p>
    <w:p w14:paraId="2D4D817B" w14:textId="33BF99A5" w:rsidR="00DA4744" w:rsidRPr="00667967" w:rsidRDefault="00DA4744" w:rsidP="00595221">
      <w:pPr>
        <w:pStyle w:val="pf0"/>
        <w:spacing w:before="120" w:beforeAutospacing="0" w:after="120" w:afterAutospacing="0" w:line="360" w:lineRule="auto"/>
        <w:jc w:val="both"/>
      </w:pPr>
      <w:r w:rsidRPr="00667967">
        <w:rPr>
          <w:rStyle w:val="cf01"/>
          <w:rFonts w:ascii="Times New Roman" w:hAnsi="Times New Roman" w:cs="Times New Roman"/>
          <w:i w:val="0"/>
          <w:iCs w:val="0"/>
          <w:sz w:val="24"/>
          <w:szCs w:val="24"/>
        </w:rPr>
        <w:t>W ramach rekomendacji z przeprowadzonego przeglądu wymagań jakościowych dla paliw stałych, o którym mowa w art. 3a ust. 2a ustawy o systemie monitorowania i kontrolowania jakości paliw</w:t>
      </w:r>
      <w:r w:rsidR="00205C9C" w:rsidRPr="00667967">
        <w:rPr>
          <w:rStyle w:val="cf01"/>
          <w:rFonts w:ascii="Times New Roman" w:hAnsi="Times New Roman" w:cs="Times New Roman"/>
          <w:i w:val="0"/>
          <w:iCs w:val="0"/>
          <w:sz w:val="24"/>
          <w:szCs w:val="24"/>
        </w:rPr>
        <w:t xml:space="preserve">, </w:t>
      </w:r>
      <w:r w:rsidRPr="00667967">
        <w:rPr>
          <w:rStyle w:val="cf01"/>
          <w:rFonts w:ascii="Times New Roman" w:hAnsi="Times New Roman" w:cs="Times New Roman"/>
          <w:i w:val="0"/>
          <w:iCs w:val="0"/>
          <w:sz w:val="24"/>
          <w:szCs w:val="24"/>
        </w:rPr>
        <w:t>Minister Klimatu i Środowiska ze względu na potrzebę poprawy jakości powietrza, w tym ograniczenia emisji do powietrza gazów cieplarnianych i innych substancji, wskazał na potrzebę ustanowienia wymagań jakościowych dla paliw</w:t>
      </w:r>
      <w:r w:rsidR="0097456C" w:rsidRPr="00667967">
        <w:rPr>
          <w:rStyle w:val="cf01"/>
          <w:rFonts w:ascii="Times New Roman" w:hAnsi="Times New Roman" w:cs="Times New Roman"/>
          <w:i w:val="0"/>
          <w:iCs w:val="0"/>
          <w:sz w:val="24"/>
          <w:szCs w:val="24"/>
        </w:rPr>
        <w:t xml:space="preserve"> stałych z</w:t>
      </w:r>
      <w:r w:rsidRPr="00667967">
        <w:rPr>
          <w:rStyle w:val="cf01"/>
          <w:rFonts w:ascii="Times New Roman" w:hAnsi="Times New Roman" w:cs="Times New Roman"/>
          <w:i w:val="0"/>
          <w:iCs w:val="0"/>
          <w:sz w:val="24"/>
          <w:szCs w:val="24"/>
        </w:rPr>
        <w:t xml:space="preserve"> biomas</w:t>
      </w:r>
      <w:r w:rsidR="0097456C" w:rsidRPr="00667967">
        <w:rPr>
          <w:rStyle w:val="cf01"/>
          <w:rFonts w:ascii="Times New Roman" w:hAnsi="Times New Roman" w:cs="Times New Roman"/>
          <w:i w:val="0"/>
          <w:iCs w:val="0"/>
          <w:sz w:val="24"/>
          <w:szCs w:val="24"/>
        </w:rPr>
        <w:t>y</w:t>
      </w:r>
      <w:r w:rsidRPr="00667967">
        <w:rPr>
          <w:rStyle w:val="cf01"/>
          <w:rFonts w:ascii="Times New Roman" w:hAnsi="Times New Roman" w:cs="Times New Roman"/>
          <w:i w:val="0"/>
          <w:iCs w:val="0"/>
          <w:sz w:val="24"/>
          <w:szCs w:val="24"/>
        </w:rPr>
        <w:t xml:space="preserve"> wprowadzanych do obrotu z</w:t>
      </w:r>
      <w:r w:rsidR="006132D2" w:rsidRPr="00667967">
        <w:rPr>
          <w:rStyle w:val="cf01"/>
          <w:rFonts w:ascii="Times New Roman" w:hAnsi="Times New Roman" w:cs="Times New Roman"/>
          <w:i w:val="0"/>
          <w:iCs w:val="0"/>
          <w:sz w:val="24"/>
          <w:szCs w:val="24"/>
        </w:rPr>
        <w:t> </w:t>
      </w:r>
      <w:r w:rsidRPr="00667967">
        <w:rPr>
          <w:rStyle w:val="cf01"/>
          <w:rFonts w:ascii="Times New Roman" w:hAnsi="Times New Roman" w:cs="Times New Roman"/>
          <w:i w:val="0"/>
          <w:iCs w:val="0"/>
          <w:sz w:val="24"/>
          <w:szCs w:val="24"/>
        </w:rPr>
        <w:t>przeznaczeniem do użycia w sektorze bytowo-komunalnym. W celu wykonania tej rekomendacji zaproponowano wprowadzenie nowych regulacji do ustawy o systemie monitorowania i</w:t>
      </w:r>
      <w:r w:rsidR="006132D2" w:rsidRPr="00667967">
        <w:rPr>
          <w:rStyle w:val="cf01"/>
          <w:rFonts w:ascii="Times New Roman" w:hAnsi="Times New Roman" w:cs="Times New Roman"/>
          <w:i w:val="0"/>
          <w:iCs w:val="0"/>
          <w:sz w:val="24"/>
          <w:szCs w:val="24"/>
        </w:rPr>
        <w:t> </w:t>
      </w:r>
      <w:r w:rsidRPr="00667967">
        <w:rPr>
          <w:rStyle w:val="cf01"/>
          <w:rFonts w:ascii="Times New Roman" w:hAnsi="Times New Roman" w:cs="Times New Roman"/>
          <w:i w:val="0"/>
          <w:iCs w:val="0"/>
          <w:sz w:val="24"/>
          <w:szCs w:val="24"/>
        </w:rPr>
        <w:t>kontrolowania jakości paliw.</w:t>
      </w:r>
    </w:p>
    <w:p w14:paraId="13821602" w14:textId="695627EC" w:rsidR="00031ED6" w:rsidRPr="00667967" w:rsidRDefault="00DA4744" w:rsidP="00595221">
      <w:pPr>
        <w:widowControl/>
        <w:suppressAutoHyphens w:val="0"/>
        <w:spacing w:before="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W projekcie ustawy proponuje się wprowadzenie upoważnienia do określenia</w:t>
      </w:r>
      <w:r w:rsidR="00AF28E9" w:rsidRPr="00667967">
        <w:rPr>
          <w:rFonts w:ascii="Times New Roman" w:eastAsia="Times New Roman" w:hAnsi="Times New Roman" w:cs="Times New Roman"/>
          <w:kern w:val="0"/>
          <w:lang w:eastAsia="pl-PL" w:bidi="ar-SA"/>
        </w:rPr>
        <w:t>,</w:t>
      </w:r>
      <w:r w:rsidRPr="00667967">
        <w:rPr>
          <w:rFonts w:ascii="Times New Roman" w:eastAsia="Times New Roman" w:hAnsi="Times New Roman" w:cs="Times New Roman"/>
          <w:kern w:val="0"/>
          <w:lang w:eastAsia="pl-PL" w:bidi="ar-SA"/>
        </w:rPr>
        <w:t xml:space="preserve"> w drodze rozporządzenia</w:t>
      </w:r>
      <w:r w:rsidR="00031ED6" w:rsidRPr="00667967">
        <w:rPr>
          <w:rFonts w:ascii="Times New Roman" w:eastAsia="Times New Roman" w:hAnsi="Times New Roman" w:cs="Times New Roman"/>
          <w:kern w:val="0"/>
          <w:lang w:eastAsia="pl-PL" w:bidi="ar-SA"/>
        </w:rPr>
        <w:t xml:space="preserve"> wymagań jakościowych dla paliw stałych </w:t>
      </w:r>
      <w:r w:rsidR="0097456C" w:rsidRPr="00667967">
        <w:rPr>
          <w:rFonts w:ascii="Times New Roman" w:eastAsia="Times New Roman" w:hAnsi="Times New Roman" w:cs="Times New Roman"/>
          <w:kern w:val="0"/>
          <w:lang w:eastAsia="pl-PL" w:bidi="ar-SA"/>
        </w:rPr>
        <w:t xml:space="preserve">z </w:t>
      </w:r>
      <w:r w:rsidR="00031ED6" w:rsidRPr="00667967">
        <w:rPr>
          <w:rFonts w:ascii="Times New Roman" w:eastAsia="Times New Roman" w:hAnsi="Times New Roman" w:cs="Times New Roman"/>
          <w:kern w:val="0"/>
          <w:lang w:eastAsia="pl-PL" w:bidi="ar-SA"/>
        </w:rPr>
        <w:t>biomas</w:t>
      </w:r>
      <w:r w:rsidR="0097456C" w:rsidRPr="00667967">
        <w:rPr>
          <w:rFonts w:ascii="Times New Roman" w:eastAsia="Times New Roman" w:hAnsi="Times New Roman" w:cs="Times New Roman"/>
          <w:kern w:val="0"/>
          <w:lang w:eastAsia="pl-PL" w:bidi="ar-SA"/>
        </w:rPr>
        <w:t>y</w:t>
      </w:r>
      <w:r w:rsidR="00031ED6" w:rsidRPr="00667967">
        <w:rPr>
          <w:rFonts w:ascii="Times New Roman" w:eastAsia="Times New Roman" w:hAnsi="Times New Roman" w:cs="Times New Roman"/>
          <w:kern w:val="0"/>
          <w:lang w:eastAsia="pl-PL" w:bidi="ar-SA"/>
        </w:rPr>
        <w:t xml:space="preserve"> wprowadzanych do obrotu z przeznaczeniem do użycia w gospodarstwach domowych oraz w instalacjach spalania o nominalnej mocy cieplnej mniejszej niż 1 MW</w:t>
      </w:r>
      <w:r w:rsidR="00434712" w:rsidRPr="00667967">
        <w:rPr>
          <w:rFonts w:ascii="Times New Roman" w:eastAsia="Times New Roman" w:hAnsi="Times New Roman" w:cs="Times New Roman"/>
          <w:kern w:val="0"/>
          <w:lang w:eastAsia="pl-PL" w:bidi="ar-SA"/>
        </w:rPr>
        <w:t xml:space="preserve"> odpowiednio dla</w:t>
      </w:r>
      <w:r w:rsidR="00031ED6" w:rsidRPr="00667967">
        <w:rPr>
          <w:rFonts w:ascii="Times New Roman" w:eastAsia="Times New Roman" w:hAnsi="Times New Roman" w:cs="Times New Roman"/>
          <w:kern w:val="0"/>
          <w:lang w:eastAsia="pl-PL" w:bidi="ar-SA"/>
        </w:rPr>
        <w:t>:</w:t>
      </w:r>
    </w:p>
    <w:p w14:paraId="5281A413" w14:textId="5DA31B37" w:rsidR="00E94251" w:rsidRPr="00667967" w:rsidRDefault="00DA4744" w:rsidP="00595221">
      <w:pPr>
        <w:pStyle w:val="Akapitzlist"/>
        <w:widowControl/>
        <w:numPr>
          <w:ilvl w:val="0"/>
          <w:numId w:val="8"/>
        </w:numPr>
        <w:suppressAutoHyphens w:val="0"/>
        <w:spacing w:line="360" w:lineRule="auto"/>
        <w:ind w:left="426" w:hanging="426"/>
        <w:jc w:val="both"/>
        <w:rPr>
          <w:rFonts w:ascii="Times New Roman" w:eastAsia="Times New Roman" w:hAnsi="Times New Roman" w:cs="Times New Roman"/>
          <w:kern w:val="0"/>
          <w:szCs w:val="24"/>
          <w:lang w:eastAsia="pl-PL" w:bidi="ar-SA"/>
        </w:rPr>
      </w:pPr>
      <w:r w:rsidRPr="00667967">
        <w:rPr>
          <w:rFonts w:ascii="Times New Roman" w:eastAsia="Times New Roman" w:hAnsi="Times New Roman" w:cs="Times New Roman"/>
          <w:kern w:val="0"/>
          <w:szCs w:val="24"/>
          <w:lang w:eastAsia="pl-PL" w:bidi="ar-SA"/>
        </w:rPr>
        <w:t>biomasy pozyskanej z</w:t>
      </w:r>
      <w:r w:rsidR="006132D2" w:rsidRPr="00667967">
        <w:rPr>
          <w:rFonts w:ascii="Times New Roman" w:eastAsia="Times New Roman" w:hAnsi="Times New Roman" w:cs="Times New Roman"/>
          <w:kern w:val="0"/>
          <w:szCs w:val="24"/>
          <w:lang w:eastAsia="pl-PL" w:bidi="ar-SA"/>
        </w:rPr>
        <w:t> </w:t>
      </w:r>
      <w:r w:rsidRPr="00667967">
        <w:rPr>
          <w:rFonts w:ascii="Times New Roman" w:eastAsia="Times New Roman" w:hAnsi="Times New Roman" w:cs="Times New Roman"/>
          <w:kern w:val="0"/>
          <w:szCs w:val="24"/>
          <w:lang w:eastAsia="pl-PL" w:bidi="ar-SA"/>
        </w:rPr>
        <w:t xml:space="preserve">drzew i krzewów, </w:t>
      </w:r>
      <w:r w:rsidR="00031ED6" w:rsidRPr="00667967">
        <w:rPr>
          <w:rFonts w:ascii="Times New Roman" w:eastAsia="Times New Roman" w:hAnsi="Times New Roman" w:cs="Times New Roman"/>
          <w:kern w:val="0"/>
          <w:szCs w:val="24"/>
          <w:lang w:eastAsia="pl-PL" w:bidi="ar-SA"/>
        </w:rPr>
        <w:t>w postaci brykietu lub peletu</w:t>
      </w:r>
      <w:r w:rsidR="00F61915">
        <w:rPr>
          <w:rFonts w:ascii="Times New Roman" w:eastAsia="Times New Roman" w:hAnsi="Times New Roman" w:cs="Times New Roman"/>
          <w:kern w:val="0"/>
          <w:szCs w:val="24"/>
          <w:lang w:eastAsia="pl-PL" w:bidi="ar-SA"/>
        </w:rPr>
        <w:t>;</w:t>
      </w:r>
    </w:p>
    <w:p w14:paraId="2448F3F9" w14:textId="5557F9ED" w:rsidR="00E94251" w:rsidRPr="00667967" w:rsidRDefault="00E94251" w:rsidP="00595221">
      <w:pPr>
        <w:pStyle w:val="Akapitzlist"/>
        <w:widowControl/>
        <w:numPr>
          <w:ilvl w:val="0"/>
          <w:numId w:val="8"/>
        </w:numPr>
        <w:suppressAutoHyphens w:val="0"/>
        <w:spacing w:line="360" w:lineRule="auto"/>
        <w:ind w:left="426" w:hanging="426"/>
        <w:jc w:val="both"/>
        <w:rPr>
          <w:rFonts w:ascii="Times New Roman" w:eastAsia="Times New Roman" w:hAnsi="Times New Roman" w:cs="Times New Roman"/>
          <w:kern w:val="0"/>
          <w:szCs w:val="24"/>
          <w:lang w:eastAsia="pl-PL" w:bidi="ar-SA"/>
        </w:rPr>
      </w:pPr>
      <w:r w:rsidRPr="00667967">
        <w:rPr>
          <w:rFonts w:ascii="Times New Roman" w:eastAsia="Times New Roman" w:hAnsi="Times New Roman" w:cs="Times New Roman"/>
          <w:kern w:val="0"/>
          <w:szCs w:val="24"/>
          <w:lang w:eastAsia="pl-PL" w:bidi="ar-SA"/>
        </w:rPr>
        <w:t xml:space="preserve">biomasy </w:t>
      </w:r>
      <w:r w:rsidR="00EC637E" w:rsidRPr="00667967">
        <w:rPr>
          <w:rFonts w:ascii="Times New Roman" w:eastAsia="Times New Roman" w:hAnsi="Times New Roman" w:cs="Times New Roman"/>
          <w:kern w:val="0"/>
          <w:szCs w:val="24"/>
          <w:lang w:eastAsia="pl-PL" w:bidi="ar-SA"/>
        </w:rPr>
        <w:t>roślinnej z rolnictwa</w:t>
      </w:r>
      <w:r w:rsidRPr="00667967">
        <w:rPr>
          <w:rFonts w:ascii="Times New Roman" w:eastAsia="Times New Roman" w:hAnsi="Times New Roman" w:cs="Times New Roman"/>
          <w:kern w:val="0"/>
          <w:szCs w:val="24"/>
          <w:lang w:eastAsia="pl-PL" w:bidi="ar-SA"/>
        </w:rPr>
        <w:t>, w postaci brykietu lub peletu;</w:t>
      </w:r>
    </w:p>
    <w:p w14:paraId="230BD9F1" w14:textId="2B1BD6FC" w:rsidR="00DA4744" w:rsidRPr="00667967" w:rsidRDefault="00E94251" w:rsidP="00595221">
      <w:pPr>
        <w:pStyle w:val="Akapitzlist"/>
        <w:widowControl/>
        <w:numPr>
          <w:ilvl w:val="0"/>
          <w:numId w:val="8"/>
        </w:numPr>
        <w:tabs>
          <w:tab w:val="left" w:pos="426"/>
        </w:tabs>
        <w:suppressAutoHyphens w:val="0"/>
        <w:spacing w:line="360" w:lineRule="auto"/>
        <w:ind w:left="426" w:hanging="426"/>
        <w:jc w:val="both"/>
        <w:rPr>
          <w:rFonts w:ascii="Times New Roman" w:eastAsia="Times New Roman" w:hAnsi="Times New Roman" w:cs="Times New Roman"/>
          <w:kern w:val="0"/>
          <w:szCs w:val="24"/>
          <w:lang w:eastAsia="pl-PL" w:bidi="ar-SA"/>
        </w:rPr>
      </w:pPr>
      <w:r w:rsidRPr="00667967">
        <w:rPr>
          <w:rFonts w:ascii="Times New Roman" w:eastAsia="Times New Roman" w:hAnsi="Times New Roman" w:cs="Times New Roman"/>
          <w:kern w:val="0"/>
          <w:szCs w:val="24"/>
          <w:lang w:eastAsia="pl-PL" w:bidi="ar-SA"/>
        </w:rPr>
        <w:lastRenderedPageBreak/>
        <w:t>biomasy pozyskanej z drzew i krzew</w:t>
      </w:r>
      <w:r w:rsidR="0082379B">
        <w:rPr>
          <w:rFonts w:ascii="Times New Roman" w:eastAsia="Times New Roman" w:hAnsi="Times New Roman" w:cs="Times New Roman"/>
          <w:kern w:val="0"/>
          <w:szCs w:val="24"/>
          <w:lang w:eastAsia="pl-PL" w:bidi="ar-SA"/>
        </w:rPr>
        <w:t>ów</w:t>
      </w:r>
      <w:r w:rsidRPr="00667967">
        <w:rPr>
          <w:rFonts w:ascii="Times New Roman" w:eastAsia="Times New Roman" w:hAnsi="Times New Roman" w:cs="Times New Roman"/>
          <w:kern w:val="0"/>
          <w:szCs w:val="24"/>
          <w:lang w:eastAsia="pl-PL" w:bidi="ar-SA"/>
        </w:rPr>
        <w:t xml:space="preserve">, w postaci zrębki drzewnej lub drewna </w:t>
      </w:r>
      <w:r w:rsidR="0097456C" w:rsidRPr="00667967">
        <w:rPr>
          <w:rFonts w:ascii="Times New Roman" w:eastAsia="Times New Roman" w:hAnsi="Times New Roman" w:cs="Times New Roman"/>
          <w:kern w:val="0"/>
          <w:szCs w:val="24"/>
          <w:lang w:eastAsia="pl-PL" w:bidi="ar-SA"/>
        </w:rPr>
        <w:t>kawałkowego z przeznaczeniem, o którym mowa w art. 1 ust. 2 ustawy z dnia 25 sierpnia 2006 r. o systemie monitorowania i kontrolowania jakości paliw</w:t>
      </w:r>
      <w:r w:rsidRPr="00667967">
        <w:rPr>
          <w:rFonts w:ascii="Times New Roman" w:eastAsia="Times New Roman" w:hAnsi="Times New Roman" w:cs="Times New Roman"/>
          <w:kern w:val="0"/>
          <w:szCs w:val="24"/>
          <w:lang w:eastAsia="pl-PL" w:bidi="ar-SA"/>
        </w:rPr>
        <w:t>.</w:t>
      </w:r>
    </w:p>
    <w:p w14:paraId="43285A8F" w14:textId="0D52B169" w:rsidR="00031ED6" w:rsidRPr="00667967" w:rsidRDefault="00DA4744" w:rsidP="00595221">
      <w:pPr>
        <w:widowControl/>
        <w:suppressAutoHyphens w:val="0"/>
        <w:spacing w:before="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Dodatkowo powyższe działania będą stanowiły podstawę do realizacji przez MKiŚ kamienia milowego B5G pn. Wejście w życie przepisów określających standardy jakości paliw stałych z</w:t>
      </w:r>
      <w:r w:rsidR="006132D2" w:rsidRPr="00667967">
        <w:rPr>
          <w:rFonts w:ascii="Times New Roman" w:eastAsia="Times New Roman" w:hAnsi="Times New Roman" w:cs="Times New Roman"/>
          <w:kern w:val="0"/>
          <w:lang w:eastAsia="pl-PL" w:bidi="ar-SA"/>
        </w:rPr>
        <w:t> </w:t>
      </w:r>
      <w:r w:rsidRPr="00667967">
        <w:rPr>
          <w:rFonts w:ascii="Times New Roman" w:eastAsia="Times New Roman" w:hAnsi="Times New Roman" w:cs="Times New Roman"/>
          <w:kern w:val="0"/>
          <w:lang w:eastAsia="pl-PL" w:bidi="ar-SA"/>
        </w:rPr>
        <w:t>biomasy, realizowanego w ramach reformy B.1.1. Czyste powietrze i efektywność energetyczna w ramach Krajowego Planu Odbudowy i Zwiększania Odporności</w:t>
      </w:r>
      <w:r w:rsidR="005D30EB" w:rsidRPr="00667967">
        <w:rPr>
          <w:rFonts w:ascii="Times New Roman" w:eastAsia="Times New Roman" w:hAnsi="Times New Roman" w:cs="Times New Roman"/>
          <w:kern w:val="0"/>
          <w:lang w:eastAsia="pl-PL" w:bidi="ar-SA"/>
        </w:rPr>
        <w:t xml:space="preserve"> (zwanego dalej „KPO”)</w:t>
      </w:r>
      <w:r w:rsidRPr="00667967">
        <w:rPr>
          <w:rFonts w:ascii="Times New Roman" w:eastAsia="Times New Roman" w:hAnsi="Times New Roman" w:cs="Times New Roman"/>
          <w:kern w:val="0"/>
          <w:lang w:eastAsia="pl-PL" w:bidi="ar-SA"/>
        </w:rPr>
        <w:t xml:space="preserve">. </w:t>
      </w:r>
    </w:p>
    <w:p w14:paraId="505651D1" w14:textId="4DD0B4AE" w:rsidR="00C00ECD" w:rsidRPr="00667967" w:rsidRDefault="00C00ECD" w:rsidP="00595221">
      <w:pPr>
        <w:widowControl/>
        <w:suppressAutoHyphens w:val="0"/>
        <w:spacing w:before="24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b/>
          <w:smallCaps/>
          <w:kern w:val="28"/>
        </w:rPr>
        <w:t xml:space="preserve">art. </w:t>
      </w:r>
      <w:r w:rsidR="00574231" w:rsidRPr="00667967">
        <w:rPr>
          <w:rFonts w:ascii="Times New Roman" w:eastAsia="Times New Roman" w:hAnsi="Times New Roman" w:cs="Times New Roman"/>
          <w:b/>
          <w:smallCaps/>
          <w:kern w:val="28"/>
        </w:rPr>
        <w:t>8</w:t>
      </w:r>
      <w:r w:rsidRPr="00667967">
        <w:rPr>
          <w:rFonts w:ascii="Times New Roman" w:eastAsia="Times New Roman" w:hAnsi="Times New Roman" w:cs="Times New Roman"/>
          <w:b/>
          <w:smallCaps/>
          <w:kern w:val="28"/>
        </w:rPr>
        <w:t xml:space="preserve"> – zmiany w ustawie </w:t>
      </w:r>
      <w:bookmarkStart w:id="15" w:name="_Hlk164076030"/>
      <w:r w:rsidRPr="00667967">
        <w:rPr>
          <w:rFonts w:ascii="Times New Roman" w:eastAsia="Times New Roman" w:hAnsi="Times New Roman" w:cs="Times New Roman"/>
          <w:b/>
          <w:smallCaps/>
          <w:kern w:val="28"/>
        </w:rPr>
        <w:t xml:space="preserve">o ujawnianiu informacji o dokumentach organów bezpieczeństwa państwa z lat 1944–1990 oraz treści tych </w:t>
      </w:r>
      <w:r w:rsidR="006876A3" w:rsidRPr="00667967">
        <w:rPr>
          <w:rFonts w:ascii="Times New Roman" w:eastAsia="Times New Roman" w:hAnsi="Times New Roman" w:cs="Times New Roman"/>
          <w:b/>
          <w:smallCaps/>
          <w:kern w:val="28"/>
        </w:rPr>
        <w:t>dokumentów</w:t>
      </w:r>
      <w:bookmarkEnd w:id="15"/>
    </w:p>
    <w:p w14:paraId="3DFD182E" w14:textId="27F53DA2" w:rsidR="000D6A02" w:rsidRPr="00667967" w:rsidRDefault="000D6A02" w:rsidP="00595221">
      <w:pPr>
        <w:widowControl/>
        <w:suppressAutoHyphens w:val="0"/>
        <w:spacing w:before="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W konsekwencji wprowadzenia zmian w ustawie P</w:t>
      </w:r>
      <w:r w:rsidR="009D0B7D" w:rsidRPr="00667967">
        <w:rPr>
          <w:rFonts w:ascii="Times New Roman" w:eastAsia="Times New Roman" w:hAnsi="Times New Roman" w:cs="Times New Roman"/>
          <w:kern w:val="0"/>
          <w:lang w:eastAsia="pl-PL" w:bidi="ar-SA"/>
        </w:rPr>
        <w:t>oś</w:t>
      </w:r>
      <w:r w:rsidRPr="00667967">
        <w:rPr>
          <w:rFonts w:ascii="Times New Roman" w:eastAsia="Times New Roman" w:hAnsi="Times New Roman" w:cs="Times New Roman"/>
          <w:kern w:val="0"/>
          <w:lang w:eastAsia="pl-PL" w:bidi="ar-SA"/>
        </w:rPr>
        <w:t xml:space="preserve"> odnoszących się do </w:t>
      </w:r>
      <w:r w:rsidR="006876A3" w:rsidRPr="00667967">
        <w:rPr>
          <w:rFonts w:ascii="Times New Roman" w:eastAsia="Times New Roman" w:hAnsi="Times New Roman" w:cs="Times New Roman"/>
          <w:kern w:val="0"/>
          <w:lang w:eastAsia="pl-PL" w:bidi="ar-SA"/>
        </w:rPr>
        <w:t xml:space="preserve">wymagań w stosunku do Prezesa Narodowego Funduszu i jego zastępców o wymóg bycia osobą, która nie pracowała lub nie pełniła służby w organach bezpieczeństwa państwa lub nie była współpracownikiem tych organów w rozumieniu przepisów ustawy lustracyjnej, </w:t>
      </w:r>
      <w:r w:rsidRPr="00667967">
        <w:rPr>
          <w:rFonts w:ascii="Times New Roman" w:eastAsia="Times New Roman" w:hAnsi="Times New Roman" w:cs="Times New Roman"/>
          <w:kern w:val="0"/>
          <w:lang w:eastAsia="pl-PL" w:bidi="ar-SA"/>
        </w:rPr>
        <w:t xml:space="preserve">zaistniała konieczność wprowadzenia zmian w ustawie </w:t>
      </w:r>
      <w:r w:rsidR="006876A3" w:rsidRPr="00667967">
        <w:rPr>
          <w:rFonts w:ascii="Times New Roman" w:eastAsia="Times New Roman" w:hAnsi="Times New Roman" w:cs="Times New Roman"/>
          <w:kern w:val="0"/>
          <w:lang w:eastAsia="pl-PL" w:bidi="ar-SA"/>
        </w:rPr>
        <w:t>o ujawnianiu informacji o dokumentach organów bezpieczeństwa państwa z lat 1944–1990 oraz treści tych dokumentów</w:t>
      </w:r>
      <w:r w:rsidRPr="00667967">
        <w:rPr>
          <w:rFonts w:ascii="Times New Roman" w:eastAsia="Times New Roman" w:hAnsi="Times New Roman" w:cs="Times New Roman"/>
          <w:kern w:val="0"/>
          <w:lang w:eastAsia="pl-PL" w:bidi="ar-SA"/>
        </w:rPr>
        <w:t>:</w:t>
      </w:r>
    </w:p>
    <w:p w14:paraId="319560F9" w14:textId="386CC53D" w:rsidR="000D6A02" w:rsidRPr="00667967" w:rsidRDefault="000D6A02" w:rsidP="00595221">
      <w:pPr>
        <w:widowControl/>
        <w:suppressAutoHyphens w:val="0"/>
        <w:spacing w:line="360" w:lineRule="auto"/>
        <w:ind w:left="426" w:hanging="426"/>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w:t>
      </w:r>
      <w:r w:rsidR="00F61915">
        <w:rPr>
          <w:rFonts w:ascii="Times New Roman" w:eastAsia="Times New Roman" w:hAnsi="Times New Roman" w:cs="Times New Roman"/>
          <w:kern w:val="0"/>
          <w:lang w:eastAsia="pl-PL" w:bidi="ar-SA"/>
        </w:rPr>
        <w:tab/>
      </w:r>
      <w:r w:rsidRPr="00667967">
        <w:rPr>
          <w:rFonts w:ascii="Times New Roman" w:eastAsia="Times New Roman" w:hAnsi="Times New Roman" w:cs="Times New Roman"/>
          <w:kern w:val="0"/>
          <w:lang w:eastAsia="pl-PL" w:bidi="ar-SA"/>
        </w:rPr>
        <w:t xml:space="preserve">w art. 4 pkt 71 ustawy poszerza się katalog osób pełniących funkcje publiczne, których dotyczy obowiązek złożenia oświadczenia lustracyjnego, o członków Rady Nadzorczej </w:t>
      </w:r>
      <w:r w:rsidR="009D0B7D" w:rsidRPr="00667967">
        <w:rPr>
          <w:rFonts w:ascii="Times New Roman" w:eastAsia="Times New Roman" w:hAnsi="Times New Roman" w:cs="Times New Roman"/>
          <w:kern w:val="0"/>
          <w:lang w:eastAsia="pl-PL" w:bidi="ar-SA"/>
        </w:rPr>
        <w:t>NFOŚiGW</w:t>
      </w:r>
      <w:r w:rsidRPr="00667967">
        <w:rPr>
          <w:rFonts w:ascii="Times New Roman" w:eastAsia="Times New Roman" w:hAnsi="Times New Roman" w:cs="Times New Roman"/>
          <w:kern w:val="0"/>
          <w:lang w:eastAsia="pl-PL" w:bidi="ar-SA"/>
        </w:rPr>
        <w:t xml:space="preserve">, członków Zarządu </w:t>
      </w:r>
      <w:r w:rsidR="009D0B7D" w:rsidRPr="00667967">
        <w:rPr>
          <w:rFonts w:ascii="Times New Roman" w:eastAsia="Times New Roman" w:hAnsi="Times New Roman" w:cs="Times New Roman"/>
          <w:kern w:val="0"/>
          <w:lang w:eastAsia="pl-PL" w:bidi="ar-SA"/>
        </w:rPr>
        <w:t>NFOŚiGW</w:t>
      </w:r>
      <w:r w:rsidRPr="00667967">
        <w:rPr>
          <w:rFonts w:ascii="Times New Roman" w:eastAsia="Times New Roman" w:hAnsi="Times New Roman" w:cs="Times New Roman"/>
          <w:kern w:val="0"/>
          <w:lang w:eastAsia="pl-PL" w:bidi="ar-SA"/>
        </w:rPr>
        <w:t xml:space="preserve">, członków rady nadzorczej </w:t>
      </w:r>
      <w:r w:rsidR="009D0B7D" w:rsidRPr="00667967">
        <w:rPr>
          <w:rFonts w:ascii="Times New Roman" w:eastAsia="Times New Roman" w:hAnsi="Times New Roman" w:cs="Times New Roman"/>
          <w:kern w:val="0"/>
          <w:lang w:eastAsia="pl-PL" w:bidi="ar-SA"/>
        </w:rPr>
        <w:t>wfośigw</w:t>
      </w:r>
      <w:r w:rsidRPr="00667967">
        <w:rPr>
          <w:rFonts w:ascii="Times New Roman" w:eastAsia="Times New Roman" w:hAnsi="Times New Roman" w:cs="Times New Roman"/>
          <w:kern w:val="0"/>
          <w:lang w:eastAsia="pl-PL" w:bidi="ar-SA"/>
        </w:rPr>
        <w:t xml:space="preserve"> oraz członków zarządu </w:t>
      </w:r>
      <w:r w:rsidR="009D0B7D" w:rsidRPr="00667967">
        <w:rPr>
          <w:rFonts w:ascii="Times New Roman" w:eastAsia="Times New Roman" w:hAnsi="Times New Roman" w:cs="Times New Roman"/>
          <w:kern w:val="0"/>
          <w:lang w:eastAsia="pl-PL" w:bidi="ar-SA"/>
        </w:rPr>
        <w:t>wfośigw</w:t>
      </w:r>
      <w:r w:rsidRPr="00667967">
        <w:rPr>
          <w:rFonts w:ascii="Times New Roman" w:eastAsia="Times New Roman" w:hAnsi="Times New Roman" w:cs="Times New Roman"/>
          <w:kern w:val="0"/>
          <w:lang w:eastAsia="pl-PL" w:bidi="ar-SA"/>
        </w:rPr>
        <w:t xml:space="preserve">, </w:t>
      </w:r>
    </w:p>
    <w:p w14:paraId="4AB5F624" w14:textId="3FD78290" w:rsidR="000D6A02" w:rsidRPr="00667967" w:rsidRDefault="000D6A02" w:rsidP="00595221">
      <w:pPr>
        <w:widowControl/>
        <w:suppressAutoHyphens w:val="0"/>
        <w:spacing w:line="360" w:lineRule="auto"/>
        <w:ind w:left="426" w:hanging="426"/>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w:t>
      </w:r>
      <w:r w:rsidR="00F61915">
        <w:rPr>
          <w:rFonts w:ascii="Times New Roman" w:eastAsia="Times New Roman" w:hAnsi="Times New Roman" w:cs="Times New Roman"/>
          <w:kern w:val="0"/>
          <w:lang w:eastAsia="pl-PL" w:bidi="ar-SA"/>
        </w:rPr>
        <w:tab/>
      </w:r>
      <w:r w:rsidRPr="00667967">
        <w:rPr>
          <w:rFonts w:ascii="Times New Roman" w:eastAsia="Times New Roman" w:hAnsi="Times New Roman" w:cs="Times New Roman"/>
          <w:kern w:val="0"/>
          <w:lang w:eastAsia="pl-PL" w:bidi="ar-SA"/>
        </w:rPr>
        <w:t xml:space="preserve">w art. 8 pkt 66 ustawy wskazuje się organ właściwy do przedłożenia oświadczeń lustracyjnych przez ww. kategorie osób. </w:t>
      </w:r>
    </w:p>
    <w:p w14:paraId="04A26209" w14:textId="5B27EAAB" w:rsidR="00B6655B" w:rsidRPr="00667967" w:rsidRDefault="00B6655B" w:rsidP="00595221">
      <w:pPr>
        <w:keepNext/>
        <w:widowControl/>
        <w:spacing w:before="240" w:after="120" w:line="360" w:lineRule="auto"/>
        <w:jc w:val="both"/>
        <w:rPr>
          <w:rFonts w:ascii="Times New Roman" w:eastAsia="Times New Roman" w:hAnsi="Times New Roman" w:cs="Times New Roman"/>
          <w:b/>
          <w:smallCaps/>
          <w:kern w:val="28"/>
        </w:rPr>
      </w:pPr>
      <w:r w:rsidRPr="00667967">
        <w:rPr>
          <w:rFonts w:ascii="Times New Roman" w:eastAsia="Times New Roman" w:hAnsi="Times New Roman" w:cs="Times New Roman"/>
          <w:b/>
          <w:smallCaps/>
          <w:kern w:val="28"/>
        </w:rPr>
        <w:t>art. 9 – zmiany w UZPPR</w:t>
      </w:r>
    </w:p>
    <w:p w14:paraId="22FF6F83" w14:textId="39CAED2C" w:rsidR="00B6655B" w:rsidRPr="00667967" w:rsidRDefault="00B6655B" w:rsidP="00595221">
      <w:pPr>
        <w:pStyle w:val="ARTartustawynprozporzdzenia"/>
        <w:widowControl/>
        <w:ind w:firstLine="0"/>
        <w:rPr>
          <w:rFonts w:ascii="Times New Roman" w:hAnsi="Times New Roman" w:cs="Times New Roman"/>
          <w:b/>
          <w:szCs w:val="24"/>
        </w:rPr>
      </w:pPr>
      <w:r w:rsidRPr="00667967">
        <w:rPr>
          <w:rFonts w:ascii="Times New Roman" w:hAnsi="Times New Roman" w:cs="Times New Roman"/>
          <w:b/>
          <w:szCs w:val="24"/>
        </w:rPr>
        <w:t xml:space="preserve">Zmiana art. 5 pkt 12, </w:t>
      </w:r>
      <w:r w:rsidR="001F6FFB" w:rsidRPr="00667967">
        <w:rPr>
          <w:rFonts w:ascii="Times New Roman" w:hAnsi="Times New Roman" w:cs="Times New Roman"/>
          <w:b/>
          <w:szCs w:val="24"/>
        </w:rPr>
        <w:t xml:space="preserve">art. 14lzh, </w:t>
      </w:r>
      <w:r w:rsidRPr="00667967">
        <w:rPr>
          <w:rFonts w:ascii="Times New Roman" w:hAnsi="Times New Roman" w:cs="Times New Roman"/>
          <w:b/>
          <w:szCs w:val="24"/>
        </w:rPr>
        <w:t xml:space="preserve">art. 14lzi, art. 14lzl </w:t>
      </w:r>
    </w:p>
    <w:p w14:paraId="3C65CA4F" w14:textId="5F7536A7" w:rsidR="00B6655B" w:rsidRPr="00667967" w:rsidRDefault="00B6655B" w:rsidP="00595221">
      <w:pPr>
        <w:pStyle w:val="ARTartustawynprozporzdzenia"/>
        <w:widowControl/>
        <w:ind w:firstLine="0"/>
        <w:rPr>
          <w:rFonts w:ascii="Times New Roman" w:hAnsi="Times New Roman" w:cs="Times New Roman"/>
          <w:bCs/>
          <w:szCs w:val="24"/>
        </w:rPr>
      </w:pPr>
      <w:r w:rsidRPr="00667967">
        <w:rPr>
          <w:rFonts w:ascii="Times New Roman" w:hAnsi="Times New Roman" w:cs="Times New Roman"/>
          <w:bCs/>
          <w:szCs w:val="24"/>
        </w:rPr>
        <w:t>Celem proponowanych zmian jest zapewnienie krajowej podstawy prawnej realizacji inwestycji E3.1.1 Instrument wsparcia dla gospodarki niskoemisyjnej (dalej jako: E3.1.1) zgodnie z wymogami zatwierdzonego przez Radę U</w:t>
      </w:r>
      <w:r w:rsidR="00EC1EF9">
        <w:rPr>
          <w:rFonts w:ascii="Times New Roman" w:hAnsi="Times New Roman" w:cs="Times New Roman"/>
          <w:bCs/>
          <w:szCs w:val="24"/>
        </w:rPr>
        <w:t xml:space="preserve">nii </w:t>
      </w:r>
      <w:r w:rsidRPr="00667967">
        <w:rPr>
          <w:rFonts w:ascii="Times New Roman" w:hAnsi="Times New Roman" w:cs="Times New Roman"/>
          <w:bCs/>
          <w:szCs w:val="24"/>
        </w:rPr>
        <w:t>E</w:t>
      </w:r>
      <w:r w:rsidR="00EC1EF9">
        <w:rPr>
          <w:rFonts w:ascii="Times New Roman" w:hAnsi="Times New Roman" w:cs="Times New Roman"/>
          <w:bCs/>
          <w:szCs w:val="24"/>
        </w:rPr>
        <w:t>uropejskiej</w:t>
      </w:r>
      <w:r w:rsidRPr="00667967">
        <w:rPr>
          <w:rFonts w:ascii="Times New Roman" w:hAnsi="Times New Roman" w:cs="Times New Roman"/>
          <w:bCs/>
          <w:szCs w:val="24"/>
        </w:rPr>
        <w:t xml:space="preserve"> w dniu 16 lipca 2024 r. KPO. </w:t>
      </w:r>
    </w:p>
    <w:p w14:paraId="280F0ABF" w14:textId="0D8178C4" w:rsidR="00B6655B" w:rsidRPr="00667967" w:rsidRDefault="00B6655B" w:rsidP="00595221">
      <w:pPr>
        <w:pStyle w:val="ARTartustawynprozporzdzenia"/>
        <w:widowControl/>
        <w:ind w:firstLine="0"/>
        <w:rPr>
          <w:rFonts w:ascii="Times New Roman" w:hAnsi="Times New Roman" w:cs="Times New Roman"/>
          <w:b/>
          <w:szCs w:val="24"/>
        </w:rPr>
      </w:pPr>
      <w:r w:rsidRPr="00667967">
        <w:rPr>
          <w:rFonts w:ascii="Times New Roman" w:hAnsi="Times New Roman" w:cs="Times New Roman"/>
          <w:b/>
          <w:szCs w:val="24"/>
        </w:rPr>
        <w:t>Rewizja KPO w zakresie inwestycji E.1.1.1</w:t>
      </w:r>
      <w:r w:rsidR="002F4EA3">
        <w:rPr>
          <w:rFonts w:ascii="Times New Roman" w:hAnsi="Times New Roman" w:cs="Times New Roman"/>
          <w:b/>
          <w:szCs w:val="24"/>
        </w:rPr>
        <w:t>,</w:t>
      </w:r>
      <w:r w:rsidRPr="00667967">
        <w:rPr>
          <w:rFonts w:ascii="Times New Roman" w:hAnsi="Times New Roman" w:cs="Times New Roman"/>
          <w:b/>
          <w:szCs w:val="24"/>
        </w:rPr>
        <w:t xml:space="preserve"> obecnie E.3.1.1</w:t>
      </w:r>
    </w:p>
    <w:p w14:paraId="641C1741" w14:textId="49B89A24" w:rsidR="00B6655B" w:rsidRPr="00667967" w:rsidRDefault="00B6655B" w:rsidP="00595221">
      <w:pPr>
        <w:pStyle w:val="ARTartustawynprozporzdzenia"/>
        <w:widowControl/>
        <w:ind w:firstLine="0"/>
        <w:rPr>
          <w:rFonts w:ascii="Times New Roman" w:hAnsi="Times New Roman" w:cs="Times New Roman"/>
          <w:bCs/>
          <w:szCs w:val="24"/>
        </w:rPr>
      </w:pPr>
      <w:r w:rsidRPr="00667967">
        <w:rPr>
          <w:rFonts w:ascii="Times New Roman" w:hAnsi="Times New Roman" w:cs="Times New Roman"/>
          <w:bCs/>
          <w:szCs w:val="24"/>
        </w:rPr>
        <w:t>Inwestycja E3.1.1. jest kontynuacją (dopełnia) inwestycj</w:t>
      </w:r>
      <w:r w:rsidR="002F4EA3">
        <w:rPr>
          <w:rFonts w:ascii="Times New Roman" w:hAnsi="Times New Roman" w:cs="Times New Roman"/>
          <w:bCs/>
          <w:szCs w:val="24"/>
        </w:rPr>
        <w:t>i</w:t>
      </w:r>
      <w:r w:rsidRPr="00667967">
        <w:rPr>
          <w:rFonts w:ascii="Times New Roman" w:hAnsi="Times New Roman" w:cs="Times New Roman"/>
          <w:bCs/>
          <w:szCs w:val="24"/>
        </w:rPr>
        <w:t xml:space="preserve"> E1.1.1 Wsparcie dla gospodarki niskoemisyjnej (dalej jako: E1.1.1) oraz jest niezbędna dla wykorzystania środków dla Polski </w:t>
      </w:r>
      <w:r w:rsidRPr="00667967">
        <w:rPr>
          <w:rFonts w:ascii="Times New Roman" w:hAnsi="Times New Roman" w:cs="Times New Roman"/>
          <w:bCs/>
          <w:szCs w:val="24"/>
        </w:rPr>
        <w:lastRenderedPageBreak/>
        <w:t xml:space="preserve">z Instrumentu na rzecz Odbudowy i Zwiększania Odporności. Ze względu na niemożliwość efektywnej operacjonalizacji inwestycji E1.1.1 Wsparcie dla gospodarki niskoemisyjnej uległa ona zmianom w ramach II rewizji KPO. W wyniku zmian inwestycja E1.1.1 jest kontynuowana jako E3.1.1 w ramach części pożyczkowej, z zachowaniem alokacji, tj. 1 113 750 000 EUR. Nastąpiło uproszczenie struktury wdrażania inwestycji oraz zmiana charakteru i terminów realizacji wskaźników, co urealnia również terminy realizacji projektów inwestycyjnych. </w:t>
      </w:r>
    </w:p>
    <w:p w14:paraId="24B4F899" w14:textId="6F72CD2D" w:rsidR="00B6655B" w:rsidRPr="00667967" w:rsidRDefault="00B6655B" w:rsidP="00595221">
      <w:pPr>
        <w:pStyle w:val="ARTartustawynprozporzdzenia"/>
        <w:widowControl/>
        <w:ind w:firstLine="0"/>
        <w:rPr>
          <w:rFonts w:ascii="Times New Roman" w:hAnsi="Times New Roman" w:cs="Times New Roman"/>
          <w:bCs/>
          <w:szCs w:val="24"/>
        </w:rPr>
      </w:pPr>
      <w:r w:rsidRPr="00667967">
        <w:rPr>
          <w:rFonts w:ascii="Times New Roman" w:hAnsi="Times New Roman" w:cs="Times New Roman"/>
          <w:bCs/>
          <w:szCs w:val="24"/>
        </w:rPr>
        <w:t>W obecnym kształcie w ramach Inwestycji E3.1.1 przewidziane jest udzielanie wsparcia całkowicie przez inwestycje kapitałowe. Ta forma wsparcia jest bardziej adekwatna dla zrealizowania określonego celu inwestycji.</w:t>
      </w:r>
    </w:p>
    <w:p w14:paraId="4DB1D335" w14:textId="77777777" w:rsidR="00B6655B" w:rsidRPr="00667967" w:rsidRDefault="00B6655B" w:rsidP="00595221">
      <w:pPr>
        <w:pStyle w:val="ARTartustawynprozporzdzenia"/>
        <w:widowControl/>
        <w:ind w:firstLine="0"/>
        <w:rPr>
          <w:rFonts w:ascii="Times New Roman" w:hAnsi="Times New Roman" w:cs="Times New Roman"/>
          <w:b/>
          <w:szCs w:val="24"/>
        </w:rPr>
      </w:pPr>
      <w:r w:rsidRPr="00667967">
        <w:rPr>
          <w:rFonts w:ascii="Times New Roman" w:hAnsi="Times New Roman" w:cs="Times New Roman"/>
          <w:b/>
          <w:szCs w:val="24"/>
        </w:rPr>
        <w:t>Cel inwestycji E3.1.1 (zgodnie z CID)</w:t>
      </w:r>
    </w:p>
    <w:p w14:paraId="3A0078FD" w14:textId="77777777" w:rsidR="00B6655B" w:rsidRPr="00667967" w:rsidRDefault="00B6655B" w:rsidP="00595221">
      <w:pPr>
        <w:pStyle w:val="ARTartustawynprozporzdzenia"/>
        <w:widowControl/>
        <w:ind w:firstLine="0"/>
        <w:rPr>
          <w:rFonts w:ascii="Times New Roman" w:hAnsi="Times New Roman" w:cs="Times New Roman"/>
          <w:bCs/>
          <w:szCs w:val="24"/>
        </w:rPr>
      </w:pPr>
      <w:r w:rsidRPr="00667967">
        <w:rPr>
          <w:rFonts w:ascii="Times New Roman" w:hAnsi="Times New Roman" w:cs="Times New Roman"/>
          <w:bCs/>
          <w:szCs w:val="24"/>
        </w:rPr>
        <w:t xml:space="preserve">Ogólnym celem inwestycji jest przyczynianie się do rozwoju gospodarki niskoemisyjnej i zeroemisyjnej przez wspieranie przemysłu z myślą o sektorze czystej mobilności i sektorze energetycznym. Celem szczegółowym inwestycji jest zwiększenie potencjału wybranych sektorów w zakresie opracowywania zeroemisyjnych i niskoemisyjnych rozwiązań produktowych. </w:t>
      </w:r>
    </w:p>
    <w:p w14:paraId="3F2E487E" w14:textId="77777777" w:rsidR="00B6655B" w:rsidRPr="00667967" w:rsidRDefault="00B6655B" w:rsidP="00595221">
      <w:pPr>
        <w:pStyle w:val="ARTartustawynprozporzdzenia"/>
        <w:widowControl/>
        <w:ind w:firstLine="0"/>
        <w:rPr>
          <w:rFonts w:ascii="Times New Roman" w:hAnsi="Times New Roman" w:cs="Times New Roman"/>
          <w:bCs/>
          <w:szCs w:val="24"/>
        </w:rPr>
      </w:pPr>
      <w:r w:rsidRPr="00667967">
        <w:rPr>
          <w:rFonts w:ascii="Times New Roman" w:hAnsi="Times New Roman" w:cs="Times New Roman"/>
          <w:bCs/>
          <w:szCs w:val="24"/>
        </w:rPr>
        <w:t>Działanie to polega na inwestycji publicznej w Instrument, który działa przez zapewnienie inwestycji kapitałowych bezpośrednio sektorowi prywatnemu, jak również sektorowi publicznemu zaangażowanemu w podobną działalność.</w:t>
      </w:r>
    </w:p>
    <w:p w14:paraId="6D9FE7A8" w14:textId="77777777" w:rsidR="00B6655B" w:rsidRPr="00667967" w:rsidRDefault="00B6655B" w:rsidP="00595221">
      <w:pPr>
        <w:pStyle w:val="ARTartustawynprozporzdzenia"/>
        <w:widowControl/>
        <w:ind w:firstLine="0"/>
        <w:rPr>
          <w:rFonts w:ascii="Times New Roman" w:hAnsi="Times New Roman" w:cs="Times New Roman"/>
          <w:bCs/>
          <w:szCs w:val="24"/>
        </w:rPr>
      </w:pPr>
      <w:r w:rsidRPr="00667967">
        <w:rPr>
          <w:rFonts w:ascii="Times New Roman" w:hAnsi="Times New Roman" w:cs="Times New Roman"/>
          <w:bCs/>
          <w:szCs w:val="24"/>
        </w:rPr>
        <w:t>Zadaniem Instrumentu jest przyczynienie się do zwiększenia mocy produkcyjnej w zakresie nowych pojazdów zeroemisyjnych oraz infrastruktury na potrzeby rozwoju elektromobilności, a także instalacji przemysłowych oraz innowacyjnych rozwiązań nastawionych na produkcję i magazynowanie zeroemisyjnej energii.</w:t>
      </w:r>
    </w:p>
    <w:p w14:paraId="2A8708BA" w14:textId="77777777" w:rsidR="00B6655B" w:rsidRPr="00667967" w:rsidRDefault="00B6655B" w:rsidP="00595221">
      <w:pPr>
        <w:pStyle w:val="ARTartustawynprozporzdzenia"/>
        <w:widowControl/>
        <w:ind w:firstLine="0"/>
        <w:rPr>
          <w:rFonts w:ascii="Times New Roman" w:hAnsi="Times New Roman" w:cs="Times New Roman"/>
          <w:bCs/>
          <w:szCs w:val="24"/>
        </w:rPr>
      </w:pPr>
      <w:r w:rsidRPr="00667967">
        <w:rPr>
          <w:rFonts w:ascii="Times New Roman" w:hAnsi="Times New Roman" w:cs="Times New Roman"/>
          <w:bCs/>
          <w:szCs w:val="24"/>
        </w:rPr>
        <w:t>Mając na uwadze powyższe, zaproponowano wprowadzenie stosownych zmian w ustawie o zasadach prowadzenia polityki rozwoju. Polegają one na uzupełnieniu definicji wsparcia zwrotnego w art. 5 pkt 12 ustawy o zasadach prowadzenia polityki rozwoju polegającego na uszczegółowieniu rodzajów pożyczek o pożyczki przeznaczone na objęcie lub nabycie udziałów lub akcji, a także konsekwentnego uzupełnienia tej formy wsparcia zwrotnego (obok wsparcia zwrotnego przyznawanego w formie pożyczek) w dalszej części przepisów tej ustawy.</w:t>
      </w:r>
    </w:p>
    <w:p w14:paraId="1966823E" w14:textId="77777777" w:rsidR="00B6655B" w:rsidRPr="00667967" w:rsidRDefault="00B6655B" w:rsidP="00DA6E93">
      <w:pPr>
        <w:pStyle w:val="ARTartustawynprozporzdzenia"/>
        <w:keepNext/>
        <w:widowControl/>
        <w:ind w:firstLine="0"/>
        <w:rPr>
          <w:rFonts w:ascii="Times New Roman" w:hAnsi="Times New Roman" w:cs="Times New Roman"/>
          <w:b/>
          <w:szCs w:val="24"/>
        </w:rPr>
      </w:pPr>
      <w:r w:rsidRPr="00667967">
        <w:rPr>
          <w:rFonts w:ascii="Times New Roman" w:hAnsi="Times New Roman" w:cs="Times New Roman"/>
          <w:b/>
          <w:szCs w:val="24"/>
        </w:rPr>
        <w:lastRenderedPageBreak/>
        <w:t>Umożliwienie realizacji przedsięwzięć w ramach inwestycji E3.1.1 przez Ostatecznego odbiorcę wsparcia (OOW)</w:t>
      </w:r>
    </w:p>
    <w:p w14:paraId="0C9F409F" w14:textId="369F04F1" w:rsidR="00B6655B" w:rsidRPr="00667967" w:rsidRDefault="00B6655B" w:rsidP="00595221">
      <w:pPr>
        <w:pStyle w:val="ARTartustawynprozporzdzenia"/>
        <w:widowControl/>
        <w:ind w:firstLine="0"/>
        <w:rPr>
          <w:rFonts w:ascii="Times New Roman" w:hAnsi="Times New Roman" w:cs="Times New Roman"/>
          <w:bCs/>
          <w:szCs w:val="24"/>
        </w:rPr>
      </w:pPr>
      <w:r w:rsidRPr="00667967">
        <w:rPr>
          <w:rFonts w:ascii="Times New Roman" w:hAnsi="Times New Roman" w:cs="Times New Roman"/>
          <w:bCs/>
          <w:szCs w:val="24"/>
        </w:rPr>
        <w:t>W celu umożliwienia realizacji inwestycji E3.1.1 przez OOW wprowadzono zmiany do art.</w:t>
      </w:r>
      <w:r w:rsidR="00D029CA">
        <w:rPr>
          <w:rFonts w:ascii="Times New Roman" w:hAnsi="Times New Roman" w:cs="Times New Roman"/>
          <w:bCs/>
          <w:szCs w:val="24"/>
        </w:rPr>
        <w:t> </w:t>
      </w:r>
      <w:r w:rsidRPr="00667967">
        <w:rPr>
          <w:rFonts w:ascii="Times New Roman" w:hAnsi="Times New Roman" w:cs="Times New Roman"/>
          <w:bCs/>
          <w:szCs w:val="24"/>
        </w:rPr>
        <w:t>14lzh (dodawane ust. 4a</w:t>
      </w:r>
      <w:r w:rsidR="00FE7088">
        <w:rPr>
          <w:rFonts w:ascii="Times New Roman" w:hAnsi="Times New Roman" w:cs="Times New Roman"/>
          <w:bCs/>
          <w:szCs w:val="24"/>
        </w:rPr>
        <w:t>–</w:t>
      </w:r>
      <w:r w:rsidRPr="00667967">
        <w:rPr>
          <w:rFonts w:ascii="Times New Roman" w:hAnsi="Times New Roman" w:cs="Times New Roman"/>
          <w:bCs/>
          <w:szCs w:val="24"/>
        </w:rPr>
        <w:t>4d) ustawy zapewniając:</w:t>
      </w:r>
    </w:p>
    <w:p w14:paraId="547EBACC" w14:textId="0D8D6673" w:rsidR="00B6655B" w:rsidRPr="00667967" w:rsidRDefault="00B6655B" w:rsidP="00595221">
      <w:pPr>
        <w:pStyle w:val="ARTartustawynprozporzdzenia"/>
        <w:widowControl/>
        <w:numPr>
          <w:ilvl w:val="0"/>
          <w:numId w:val="11"/>
        </w:numPr>
        <w:autoSpaceDE w:val="0"/>
        <w:autoSpaceDN w:val="0"/>
        <w:adjustRightInd w:val="0"/>
        <w:spacing w:before="0"/>
        <w:ind w:left="426" w:hanging="426"/>
        <w:rPr>
          <w:rFonts w:ascii="Times New Roman" w:hAnsi="Times New Roman" w:cs="Times New Roman"/>
          <w:bCs/>
          <w:szCs w:val="24"/>
        </w:rPr>
      </w:pPr>
      <w:r w:rsidRPr="00667967">
        <w:rPr>
          <w:rFonts w:ascii="Times New Roman" w:hAnsi="Times New Roman" w:cs="Times New Roman"/>
          <w:bCs/>
          <w:szCs w:val="24"/>
        </w:rPr>
        <w:t>możliwość udzielenia przez instytucję odpowiedzialną za realizację inwestycji nieoprocentowanej pożyczki w celu nabycia lub objęcia akcji lub udziałów w spółkach oraz pokrycia wynagrodzenia za zarządzanie środkami (ust. 4a)</w:t>
      </w:r>
      <w:r w:rsidR="00F61915">
        <w:rPr>
          <w:rFonts w:ascii="Times New Roman" w:hAnsi="Times New Roman" w:cs="Times New Roman"/>
          <w:bCs/>
          <w:szCs w:val="24"/>
        </w:rPr>
        <w:t>;</w:t>
      </w:r>
    </w:p>
    <w:p w14:paraId="1CD1164D" w14:textId="049FF58A" w:rsidR="00B6655B" w:rsidRPr="00667967" w:rsidRDefault="00B6655B" w:rsidP="00595221">
      <w:pPr>
        <w:pStyle w:val="ARTartustawynprozporzdzenia"/>
        <w:widowControl/>
        <w:numPr>
          <w:ilvl w:val="0"/>
          <w:numId w:val="11"/>
        </w:numPr>
        <w:autoSpaceDE w:val="0"/>
        <w:autoSpaceDN w:val="0"/>
        <w:adjustRightInd w:val="0"/>
        <w:spacing w:before="0"/>
        <w:ind w:left="426" w:hanging="426"/>
        <w:rPr>
          <w:rFonts w:ascii="Times New Roman" w:hAnsi="Times New Roman" w:cs="Times New Roman"/>
          <w:bCs/>
          <w:szCs w:val="24"/>
        </w:rPr>
      </w:pPr>
      <w:r w:rsidRPr="00667967">
        <w:rPr>
          <w:rFonts w:ascii="Times New Roman" w:hAnsi="Times New Roman" w:cs="Times New Roman"/>
          <w:bCs/>
          <w:szCs w:val="24"/>
        </w:rPr>
        <w:t>określenie wysokości wynagrodzenia w uzgodnieniu z ministrem właściwym do spraw finansów publicznych (ust. 4b)</w:t>
      </w:r>
      <w:r w:rsidR="00F61915">
        <w:rPr>
          <w:rFonts w:ascii="Times New Roman" w:hAnsi="Times New Roman" w:cs="Times New Roman"/>
          <w:bCs/>
          <w:szCs w:val="24"/>
        </w:rPr>
        <w:t>;</w:t>
      </w:r>
    </w:p>
    <w:p w14:paraId="1C515AEC" w14:textId="079B659C" w:rsidR="00B6655B" w:rsidRPr="00667967" w:rsidRDefault="00B6655B" w:rsidP="00595221">
      <w:pPr>
        <w:pStyle w:val="ARTartustawynprozporzdzenia"/>
        <w:widowControl/>
        <w:numPr>
          <w:ilvl w:val="0"/>
          <w:numId w:val="11"/>
        </w:numPr>
        <w:autoSpaceDE w:val="0"/>
        <w:autoSpaceDN w:val="0"/>
        <w:adjustRightInd w:val="0"/>
        <w:spacing w:before="0"/>
        <w:ind w:left="426" w:hanging="426"/>
        <w:rPr>
          <w:rFonts w:ascii="Times New Roman" w:hAnsi="Times New Roman" w:cs="Times New Roman"/>
          <w:bCs/>
          <w:szCs w:val="24"/>
        </w:rPr>
      </w:pPr>
      <w:r w:rsidRPr="00667967">
        <w:rPr>
          <w:rFonts w:ascii="Times New Roman" w:hAnsi="Times New Roman" w:cs="Times New Roman"/>
          <w:bCs/>
          <w:szCs w:val="24"/>
        </w:rPr>
        <w:t>określenie elementów przedmiotowo istotnych umowy o objęciu przedsięwzięcia wsparciem zwrotnym z planu rozwojowego w formie nieoprocentowanej pożyczki przeznaczonej na nabycie lub objęcie akcji lub udziałów w spółkach (ust. 4c)</w:t>
      </w:r>
      <w:r w:rsidR="00F61915">
        <w:rPr>
          <w:rFonts w:ascii="Times New Roman" w:hAnsi="Times New Roman" w:cs="Times New Roman"/>
          <w:bCs/>
          <w:szCs w:val="24"/>
        </w:rPr>
        <w:t>;</w:t>
      </w:r>
    </w:p>
    <w:p w14:paraId="7819C621" w14:textId="44D61BED" w:rsidR="00B6655B" w:rsidRPr="00667967" w:rsidRDefault="00F61915" w:rsidP="00595221">
      <w:pPr>
        <w:pStyle w:val="ARTartustawynprozporzdzenia"/>
        <w:widowControl/>
        <w:spacing w:before="0"/>
        <w:ind w:left="425" w:hanging="425"/>
        <w:rPr>
          <w:rFonts w:ascii="Times New Roman" w:hAnsi="Times New Roman" w:cs="Times New Roman"/>
          <w:bCs/>
          <w:szCs w:val="24"/>
        </w:rPr>
      </w:pPr>
      <w:r>
        <w:rPr>
          <w:rFonts w:ascii="Times New Roman" w:hAnsi="Times New Roman" w:cs="Times New Roman"/>
          <w:bCs/>
          <w:szCs w:val="24"/>
        </w:rPr>
        <w:t>4)</w:t>
      </w:r>
      <w:r>
        <w:rPr>
          <w:rFonts w:ascii="Times New Roman" w:hAnsi="Times New Roman" w:cs="Times New Roman"/>
          <w:bCs/>
          <w:szCs w:val="24"/>
        </w:rPr>
        <w:tab/>
      </w:r>
      <w:r w:rsidR="00B6655B" w:rsidRPr="00667967">
        <w:rPr>
          <w:rFonts w:ascii="Times New Roman" w:hAnsi="Times New Roman" w:cs="Times New Roman"/>
          <w:bCs/>
          <w:szCs w:val="24"/>
        </w:rPr>
        <w:t>wyłączenie zgody ministra właściwego do spraw klimatu i ministra właściwego do spraw finansów publicznych na objęcie udziałów lub akcji z uwagi na:</w:t>
      </w:r>
    </w:p>
    <w:p w14:paraId="0FD2DB40" w14:textId="77777777" w:rsidR="00B6655B" w:rsidRPr="00667967" w:rsidRDefault="00B6655B" w:rsidP="00595221">
      <w:pPr>
        <w:pStyle w:val="ARTartustawynprozporzdzenia"/>
        <w:widowControl/>
        <w:spacing w:before="0"/>
        <w:ind w:left="851" w:hanging="424"/>
        <w:rPr>
          <w:rFonts w:ascii="Times New Roman" w:hAnsi="Times New Roman" w:cs="Times New Roman"/>
          <w:bCs/>
          <w:szCs w:val="24"/>
        </w:rPr>
      </w:pPr>
      <w:r w:rsidRPr="00667967">
        <w:rPr>
          <w:rFonts w:ascii="Times New Roman" w:hAnsi="Times New Roman" w:cs="Times New Roman"/>
          <w:bCs/>
          <w:szCs w:val="24"/>
        </w:rPr>
        <w:t>a)</w:t>
      </w:r>
      <w:r w:rsidRPr="00667967">
        <w:rPr>
          <w:rFonts w:ascii="Times New Roman" w:hAnsi="Times New Roman" w:cs="Times New Roman"/>
          <w:bCs/>
          <w:szCs w:val="24"/>
        </w:rPr>
        <w:tab/>
        <w:t>kwestię zapewnienia niezależności wyboru przedsięwzięć w ramach inwestycji – są to wymogi określone w KPO (wyboru przedsięwzięcia dokonuje niezależny komitet inwestycyjny większością głosów niezależnych od rządu),</w:t>
      </w:r>
    </w:p>
    <w:p w14:paraId="2731D216" w14:textId="77777777" w:rsidR="00B6655B" w:rsidRPr="00667967" w:rsidRDefault="00B6655B" w:rsidP="00595221">
      <w:pPr>
        <w:pStyle w:val="ARTartustawynprozporzdzenia"/>
        <w:widowControl/>
        <w:spacing w:before="0"/>
        <w:ind w:left="851" w:hanging="424"/>
        <w:rPr>
          <w:rFonts w:ascii="Times New Roman" w:hAnsi="Times New Roman" w:cs="Times New Roman"/>
          <w:bCs/>
          <w:szCs w:val="24"/>
        </w:rPr>
      </w:pPr>
      <w:r w:rsidRPr="00667967">
        <w:rPr>
          <w:rFonts w:ascii="Times New Roman" w:hAnsi="Times New Roman" w:cs="Times New Roman"/>
          <w:bCs/>
          <w:szCs w:val="24"/>
        </w:rPr>
        <w:t>b)</w:t>
      </w:r>
      <w:r w:rsidRPr="00667967">
        <w:rPr>
          <w:rFonts w:ascii="Times New Roman" w:hAnsi="Times New Roman" w:cs="Times New Roman"/>
          <w:bCs/>
          <w:szCs w:val="24"/>
        </w:rPr>
        <w:tab/>
        <w:t>wzajemnych relacji między przepisami ustawy o zasadach prowadzenia polityki rozwoju a ustawy z dnia 27 kwietnia 2001 r. – Prawo ochrony środowiska,</w:t>
      </w:r>
    </w:p>
    <w:p w14:paraId="3D55536F" w14:textId="77777777" w:rsidR="00B6655B" w:rsidRPr="00667967" w:rsidRDefault="00B6655B" w:rsidP="00595221">
      <w:pPr>
        <w:pStyle w:val="ARTartustawynprozporzdzenia"/>
        <w:widowControl/>
        <w:spacing w:before="0"/>
        <w:ind w:left="851" w:hanging="424"/>
        <w:rPr>
          <w:rFonts w:ascii="Times New Roman" w:hAnsi="Times New Roman" w:cs="Times New Roman"/>
          <w:bCs/>
          <w:szCs w:val="24"/>
        </w:rPr>
      </w:pPr>
      <w:r w:rsidRPr="00667967">
        <w:rPr>
          <w:rFonts w:ascii="Times New Roman" w:hAnsi="Times New Roman" w:cs="Times New Roman"/>
          <w:bCs/>
          <w:szCs w:val="24"/>
        </w:rPr>
        <w:t>c)</w:t>
      </w:r>
      <w:r w:rsidRPr="00667967">
        <w:rPr>
          <w:rFonts w:ascii="Times New Roman" w:hAnsi="Times New Roman" w:cs="Times New Roman"/>
          <w:bCs/>
          <w:szCs w:val="24"/>
        </w:rPr>
        <w:tab/>
        <w:t>uwarunkowań czasowych realizacji inwestycji E3.1.1 (ust. 4d).</w:t>
      </w:r>
    </w:p>
    <w:p w14:paraId="0D6EA112" w14:textId="6F95C72B" w:rsidR="00B6655B" w:rsidRPr="00667967" w:rsidRDefault="00B6655B" w:rsidP="00595221">
      <w:pPr>
        <w:pStyle w:val="ARTartustawynprozporzdzenia"/>
        <w:widowControl/>
        <w:ind w:firstLine="0"/>
        <w:rPr>
          <w:rFonts w:ascii="Times New Roman" w:hAnsi="Times New Roman" w:cs="Times New Roman"/>
          <w:bCs/>
          <w:szCs w:val="24"/>
        </w:rPr>
      </w:pPr>
      <w:r w:rsidRPr="00667967">
        <w:rPr>
          <w:rFonts w:ascii="Times New Roman" w:hAnsi="Times New Roman" w:cs="Times New Roman"/>
          <w:bCs/>
          <w:szCs w:val="24"/>
        </w:rPr>
        <w:t xml:space="preserve">Ponadto zaproponowane zmiany w art. 14lzi ustawy polegają na wskazaniu, iż środki zwracane przez ostatecznych odbiorców wsparcia oraz zwracane przez nich odsetki, przychody i zyski powstałe na skutek obrotu tymi środkami można przed ich przekazaniem do instytucji odpowiedzialnej za realizację inwestycji pomniejszyć o koszty związane z realizacją inwestycji ponoszone przez podmioty bezpośrednio realizujące te inwestycje, czyli Bank Gospodarstwa Krajowego (BGK) oraz NFOŚiGW. Brak takich zapisów budzi wątpliwości interpretacyjne w szczególności w kontekście przepisów art. 14lj ust. 2 pkt 7, który wprost wskazuje, iż jednym ze składników umowy zawieranej z BGK lub NFOŚiGW są zapisy dotyczące wynagrodzenia za zarządzanie powierzonymi środkami. Należy również podkreślić, iż standardową praktyką rynkową w inwestycjach pożyczkowych i kapitałowych jest cykliczne pobieranie przez okres realizacji inwestycji przez podmiot zarządzający takim instrumentem opłat za zarządzanie. Brak jednoznacznego wskazania, iż koszty ponoszone przez BGK i NFOŚiGW mogą być pokrywane ze środków zwracanych do tych podmiotów przez ostatecznych odbiorców </w:t>
      </w:r>
      <w:r w:rsidRPr="00667967">
        <w:rPr>
          <w:rFonts w:ascii="Times New Roman" w:hAnsi="Times New Roman" w:cs="Times New Roman"/>
          <w:bCs/>
          <w:szCs w:val="24"/>
        </w:rPr>
        <w:lastRenderedPageBreak/>
        <w:t>wsparcia, powoduje, iż do 2026 r., czyli ostatniego roku wydatkowania środków w KPO, całość kosztów planowanych do poniesienia po tym roku w okresie realizacji inwestycji (inwestycje pożyczkowe i kapitałowe planowane do realizacji przez 20–30 lat) będzie musiała być poniesiona z góry. Jest to sprzeczne z zasadą racjonalnego gospodarowania środkami publicznymi.</w:t>
      </w:r>
    </w:p>
    <w:p w14:paraId="6825D78C" w14:textId="49A69D67" w:rsidR="00B6655B" w:rsidRPr="00667967" w:rsidRDefault="00B6655B" w:rsidP="00595221">
      <w:pPr>
        <w:pStyle w:val="ARTartustawynprozporzdzenia"/>
        <w:widowControl/>
        <w:ind w:firstLine="0"/>
        <w:rPr>
          <w:rFonts w:ascii="Times New Roman" w:hAnsi="Times New Roman" w:cs="Times New Roman"/>
          <w:bCs/>
          <w:szCs w:val="24"/>
        </w:rPr>
      </w:pPr>
      <w:r w:rsidRPr="00667967">
        <w:rPr>
          <w:rFonts w:ascii="Times New Roman" w:hAnsi="Times New Roman" w:cs="Times New Roman"/>
          <w:bCs/>
          <w:szCs w:val="24"/>
        </w:rPr>
        <w:t xml:space="preserve">Dodatkowo zaproponowano dodanie </w:t>
      </w:r>
      <w:r w:rsidR="002F4EA3">
        <w:rPr>
          <w:rFonts w:ascii="Times New Roman" w:hAnsi="Times New Roman" w:cs="Times New Roman"/>
          <w:bCs/>
          <w:szCs w:val="24"/>
        </w:rPr>
        <w:t xml:space="preserve">ust. </w:t>
      </w:r>
      <w:r w:rsidRPr="00667967">
        <w:rPr>
          <w:rFonts w:ascii="Times New Roman" w:hAnsi="Times New Roman" w:cs="Times New Roman"/>
          <w:bCs/>
          <w:szCs w:val="24"/>
        </w:rPr>
        <w:t>2b–2e w art. 14lzi ustawy</w:t>
      </w:r>
      <w:r w:rsidR="002F4EA3">
        <w:rPr>
          <w:rFonts w:ascii="Times New Roman" w:hAnsi="Times New Roman" w:cs="Times New Roman"/>
          <w:bCs/>
          <w:szCs w:val="24"/>
        </w:rPr>
        <w:t>,</w:t>
      </w:r>
      <w:r w:rsidRPr="00667967">
        <w:rPr>
          <w:rFonts w:ascii="Times New Roman" w:hAnsi="Times New Roman" w:cs="Times New Roman"/>
          <w:bCs/>
          <w:szCs w:val="24"/>
        </w:rPr>
        <w:t xml:space="preserve"> gdyż ostateczny odbiorca wsparcia otrzymywał będzie pożyczkę, która następnie </w:t>
      </w:r>
      <w:r w:rsidR="0078418C" w:rsidRPr="00667967">
        <w:rPr>
          <w:rFonts w:ascii="Times New Roman" w:hAnsi="Times New Roman" w:cs="Times New Roman"/>
          <w:bCs/>
          <w:szCs w:val="24"/>
        </w:rPr>
        <w:t xml:space="preserve">jest </w:t>
      </w:r>
      <w:r w:rsidRPr="00667967">
        <w:rPr>
          <w:rFonts w:ascii="Times New Roman" w:hAnsi="Times New Roman" w:cs="Times New Roman"/>
          <w:bCs/>
          <w:szCs w:val="24"/>
        </w:rPr>
        <w:t xml:space="preserve">przeznaczana na nabywania lub obejmowania akcji lub udziałów w spółkach. Ze względu na asymetryczność instrumentu służącego pozyskaniu środków pożyczki z jednej strony i instrumentu służącego przekazaniu dalej tych środków, zachodzi konieczność uregulowania sytuacji w której suma środków uzyskanych tytułem dokonanej inwestycji będzie się różnić od kwoty otrzymanej pożyczki (pomniejszonej o wynagrodzenie z tytułu zarządzania tymi środkami). </w:t>
      </w:r>
    </w:p>
    <w:p w14:paraId="0ECB15EA" w14:textId="39FC8195" w:rsidR="00B6655B" w:rsidRPr="00667967" w:rsidRDefault="00B6655B" w:rsidP="00595221">
      <w:pPr>
        <w:pStyle w:val="ARTartustawynprozporzdzenia"/>
        <w:widowControl/>
        <w:ind w:firstLine="0"/>
        <w:rPr>
          <w:rFonts w:ascii="Times New Roman" w:hAnsi="Times New Roman" w:cs="Times New Roman"/>
          <w:bCs/>
          <w:szCs w:val="24"/>
        </w:rPr>
      </w:pPr>
      <w:r w:rsidRPr="00667967">
        <w:rPr>
          <w:rFonts w:ascii="Times New Roman" w:hAnsi="Times New Roman" w:cs="Times New Roman"/>
          <w:bCs/>
          <w:szCs w:val="24"/>
        </w:rPr>
        <w:t xml:space="preserve">W tym zakresie w projektowanych ust. 2c i 2e art. 14lzi wskazano sytuacje, które </w:t>
      </w:r>
      <w:r w:rsidR="0029127F" w:rsidRPr="00667967">
        <w:rPr>
          <w:rFonts w:ascii="Times New Roman" w:hAnsi="Times New Roman" w:cs="Times New Roman"/>
          <w:bCs/>
          <w:szCs w:val="24"/>
        </w:rPr>
        <w:t xml:space="preserve">będą </w:t>
      </w:r>
      <w:r w:rsidRPr="00667967">
        <w:rPr>
          <w:rFonts w:ascii="Times New Roman" w:hAnsi="Times New Roman" w:cs="Times New Roman"/>
          <w:bCs/>
          <w:szCs w:val="24"/>
        </w:rPr>
        <w:t xml:space="preserve">prowadzić do uzyskania środków finansowych przez beneficjenta w wyniku dokonanych inwestycji kapitałowych. Co do zasady środki z dokonanej inwestycji uzyskane zostaną wskutek zbycia lub umorzenia udziałów lub akcji w spółkach. Aby jednak uwzględnić wszystkie przypadki uzyskania przez ostatecznego odbiorcę wsparcia inwestycji E3.1.1 środków finansowych z dokonanych inwestycji, wskazano dodatkowo otwarty katalog „innych zdarzeń”, w wyniku których ostateczny odbiorca wsparcia odzyska zainwestowane lub uzyska dodatkowe środki finansowe. Nie można bowiem wykluczyć, uwzględniając nawet kilkunastoletni okres wyjścia z inwestycji, takich sytuacji jak uzyskanie odszkodowania, wypłata w wyniku postępowań upadłościowych lub restrukturyzacyjnych, czy też innych dodatkowych form odzyskania lub uzyskania środków finansowych przez ostatecznego odbiorcę wsparcia. </w:t>
      </w:r>
    </w:p>
    <w:p w14:paraId="201475BF" w14:textId="6006B0FC" w:rsidR="00B6655B" w:rsidRPr="00667967" w:rsidRDefault="00B6655B" w:rsidP="00595221">
      <w:pPr>
        <w:pStyle w:val="ARTartustawynprozporzdzenia"/>
        <w:widowControl/>
        <w:ind w:firstLine="0"/>
        <w:rPr>
          <w:rFonts w:ascii="Times New Roman" w:hAnsi="Times New Roman" w:cs="Times New Roman"/>
          <w:bCs/>
          <w:szCs w:val="24"/>
        </w:rPr>
      </w:pPr>
      <w:r w:rsidRPr="00667967">
        <w:rPr>
          <w:rFonts w:ascii="Times New Roman" w:hAnsi="Times New Roman" w:cs="Times New Roman"/>
          <w:bCs/>
          <w:szCs w:val="24"/>
        </w:rPr>
        <w:t>Wprowadza się mechanizm, zgodnie z którym w roli swoistego gwaranta zwrotu środków z tej pożyczki występuje Fundusz Inwestycji Kapitałowych, o którym mowa w art. 33a ust. 1 ustawy z dnia 16 grudnia 2016 r. o zasadach zarządzania mieniem państwowym (Dz. U. z 2024 r. poz.</w:t>
      </w:r>
      <w:r w:rsidR="00D029CA">
        <w:rPr>
          <w:rFonts w:ascii="Times New Roman" w:hAnsi="Times New Roman" w:cs="Times New Roman"/>
          <w:bCs/>
          <w:szCs w:val="24"/>
        </w:rPr>
        <w:t> </w:t>
      </w:r>
      <w:r w:rsidRPr="00667967">
        <w:rPr>
          <w:rFonts w:ascii="Times New Roman" w:hAnsi="Times New Roman" w:cs="Times New Roman"/>
          <w:bCs/>
          <w:szCs w:val="24"/>
        </w:rPr>
        <w:t>125 i 834). Ewentualne ujemne różnice pomiędzy kwotą uzyskaną z tytułu posiadanych przez OOW praw udziałowych a kwotą pożyczki pokrywane są z tego funduszu</w:t>
      </w:r>
      <w:r w:rsidR="00821F85">
        <w:rPr>
          <w:rFonts w:ascii="Times New Roman" w:hAnsi="Times New Roman" w:cs="Times New Roman"/>
          <w:bCs/>
          <w:szCs w:val="24"/>
        </w:rPr>
        <w:t>,</w:t>
      </w:r>
      <w:r w:rsidRPr="00667967">
        <w:rPr>
          <w:rFonts w:ascii="Times New Roman" w:hAnsi="Times New Roman" w:cs="Times New Roman"/>
          <w:bCs/>
          <w:szCs w:val="24"/>
        </w:rPr>
        <w:t xml:space="preserve"> zaś ewentualne nadwyżki tej kwoty zasilają ten fundusz.</w:t>
      </w:r>
    </w:p>
    <w:p w14:paraId="4BF5DBA8" w14:textId="77777777" w:rsidR="00B6655B" w:rsidRPr="00667967" w:rsidRDefault="00B6655B" w:rsidP="00595221">
      <w:pPr>
        <w:pStyle w:val="ARTartustawynprozporzdzenia"/>
        <w:keepNext/>
        <w:widowControl/>
        <w:ind w:firstLine="0"/>
        <w:rPr>
          <w:rFonts w:ascii="Times New Roman" w:hAnsi="Times New Roman" w:cs="Times New Roman"/>
          <w:bCs/>
          <w:szCs w:val="24"/>
        </w:rPr>
      </w:pPr>
      <w:r w:rsidRPr="00667967">
        <w:rPr>
          <w:rFonts w:ascii="Times New Roman" w:hAnsi="Times New Roman" w:cs="Times New Roman"/>
          <w:bCs/>
          <w:szCs w:val="24"/>
        </w:rPr>
        <w:t>Oprócz tego wprowadza się zmiany redakcyjne w art. 14lzl, które mają na celu:</w:t>
      </w:r>
    </w:p>
    <w:p w14:paraId="31F88982" w14:textId="77777777" w:rsidR="00B6655B" w:rsidRPr="00667967" w:rsidRDefault="00B6655B" w:rsidP="00595221">
      <w:pPr>
        <w:pStyle w:val="ARTartustawynprozporzdzenia"/>
        <w:widowControl/>
        <w:spacing w:before="0"/>
        <w:ind w:left="425" w:hanging="425"/>
        <w:rPr>
          <w:rFonts w:ascii="Times New Roman" w:hAnsi="Times New Roman" w:cs="Times New Roman"/>
          <w:bCs/>
          <w:szCs w:val="24"/>
        </w:rPr>
      </w:pPr>
      <w:r w:rsidRPr="00667967">
        <w:rPr>
          <w:rFonts w:ascii="Times New Roman" w:hAnsi="Times New Roman" w:cs="Times New Roman"/>
          <w:bCs/>
          <w:szCs w:val="24"/>
        </w:rPr>
        <w:t>1)</w:t>
      </w:r>
      <w:r w:rsidRPr="00667967">
        <w:rPr>
          <w:rFonts w:ascii="Times New Roman" w:hAnsi="Times New Roman" w:cs="Times New Roman"/>
          <w:bCs/>
          <w:szCs w:val="24"/>
        </w:rPr>
        <w:tab/>
        <w:t xml:space="preserve">skorygowanie oczywistej omyłki pisarskiej, mogącej sugerować (wbrew założeniu regulacji ), że przepis odnosi się do BGK i NFOŚiGW jedynie wówczas, gdy instytucje te </w:t>
      </w:r>
      <w:r w:rsidRPr="00667967">
        <w:rPr>
          <w:rFonts w:ascii="Times New Roman" w:hAnsi="Times New Roman" w:cs="Times New Roman"/>
          <w:bCs/>
          <w:szCs w:val="24"/>
        </w:rPr>
        <w:lastRenderedPageBreak/>
        <w:t>występują w roli jednostki wspierającej plan rozwojowy, względnie, że BGK i NFOŚiGW są jedynymi jednostkami wspierającymi plan rozwojowy, do których przepis ten się odnosi;</w:t>
      </w:r>
    </w:p>
    <w:p w14:paraId="26C01306" w14:textId="77777777" w:rsidR="00B6655B" w:rsidRPr="00667967" w:rsidRDefault="00B6655B" w:rsidP="00595221">
      <w:pPr>
        <w:pStyle w:val="ARTartustawynprozporzdzenia"/>
        <w:widowControl/>
        <w:spacing w:before="0"/>
        <w:ind w:left="425" w:hanging="425"/>
        <w:rPr>
          <w:rFonts w:ascii="Times New Roman" w:hAnsi="Times New Roman" w:cs="Times New Roman"/>
          <w:bCs/>
          <w:szCs w:val="24"/>
        </w:rPr>
      </w:pPr>
      <w:r w:rsidRPr="00667967">
        <w:rPr>
          <w:rFonts w:ascii="Times New Roman" w:hAnsi="Times New Roman" w:cs="Times New Roman"/>
          <w:bCs/>
          <w:szCs w:val="24"/>
        </w:rPr>
        <w:t>2)</w:t>
      </w:r>
      <w:r w:rsidRPr="00667967">
        <w:rPr>
          <w:rFonts w:ascii="Times New Roman" w:hAnsi="Times New Roman" w:cs="Times New Roman"/>
          <w:bCs/>
          <w:szCs w:val="24"/>
        </w:rPr>
        <w:tab/>
        <w:t xml:space="preserve">ujednolicenie sposobu sformułowania wyliczenia podmiotów, których przepis dotyczy. </w:t>
      </w:r>
    </w:p>
    <w:p w14:paraId="31A69C01" w14:textId="77777777" w:rsidR="00B6655B" w:rsidRPr="00667967" w:rsidRDefault="00B6655B" w:rsidP="00595221">
      <w:pPr>
        <w:pStyle w:val="ARTartustawynprozporzdzenia"/>
        <w:widowControl/>
        <w:ind w:firstLine="0"/>
        <w:rPr>
          <w:rFonts w:ascii="Times New Roman" w:hAnsi="Times New Roman" w:cs="Times New Roman"/>
          <w:b/>
          <w:szCs w:val="24"/>
        </w:rPr>
      </w:pPr>
      <w:r w:rsidRPr="00667967">
        <w:rPr>
          <w:rFonts w:ascii="Times New Roman" w:hAnsi="Times New Roman" w:cs="Times New Roman"/>
          <w:b/>
          <w:szCs w:val="24"/>
        </w:rPr>
        <w:t>Zmiany art. 10a ust. 1</w:t>
      </w:r>
    </w:p>
    <w:p w14:paraId="5FBBAF7F" w14:textId="77777777" w:rsidR="00B6655B" w:rsidRPr="00667967" w:rsidRDefault="00B6655B" w:rsidP="00595221">
      <w:pPr>
        <w:pStyle w:val="ARTartustawynprozporzdzenia"/>
        <w:widowControl/>
        <w:ind w:firstLine="0"/>
        <w:rPr>
          <w:rFonts w:ascii="Times New Roman" w:hAnsi="Times New Roman" w:cs="Times New Roman"/>
          <w:bCs/>
          <w:szCs w:val="24"/>
        </w:rPr>
      </w:pPr>
      <w:r w:rsidRPr="00667967">
        <w:rPr>
          <w:rFonts w:ascii="Times New Roman" w:hAnsi="Times New Roman" w:cs="Times New Roman"/>
          <w:bCs/>
          <w:szCs w:val="24"/>
        </w:rPr>
        <w:t>Zgodnie z ustawą o zasadach prowadzenia polityki rozwoju przy opracowaniu projektu strategii rozwoju (gminy, województwa, ponadlokalnego, kraju), projektu polityki publicznej, projektu programu rozwoju lub projektu programu służącego realizacji umowy partnerstwa podmiot opracowujący przygotowuje diagnozę sytuacji społecznej, gospodarczej i przestrzennej, natomiast nie ma obowiązku uwzględnienia sytuacji klimatyczno-środowiskowej. Zasadne jest więc zapewnienie w przepisach prawa elementu składowego polityki rozwoju, który doprowadzi do wzmocnienia roli działań na rzecz adaptacji do zmian klimatu.</w:t>
      </w:r>
    </w:p>
    <w:p w14:paraId="3E4892DF" w14:textId="73B4BFDC" w:rsidR="00B6655B" w:rsidRPr="00667967" w:rsidRDefault="00B6655B" w:rsidP="00595221">
      <w:pPr>
        <w:pStyle w:val="ARTartustawynprozporzdzenia"/>
        <w:widowControl/>
        <w:ind w:firstLine="0"/>
        <w:rPr>
          <w:rFonts w:ascii="Times New Roman" w:hAnsi="Times New Roman" w:cs="Times New Roman"/>
          <w:bCs/>
          <w:szCs w:val="24"/>
        </w:rPr>
      </w:pPr>
      <w:r w:rsidRPr="00667967">
        <w:rPr>
          <w:rFonts w:ascii="Times New Roman" w:hAnsi="Times New Roman" w:cs="Times New Roman"/>
          <w:bCs/>
          <w:szCs w:val="24"/>
        </w:rPr>
        <w:t>Ponieważ cz</w:t>
      </w:r>
      <w:r w:rsidR="001F13DD">
        <w:rPr>
          <w:rFonts w:ascii="Times New Roman" w:hAnsi="Times New Roman" w:cs="Times New Roman"/>
          <w:bCs/>
          <w:szCs w:val="24"/>
        </w:rPr>
        <w:t>ę</w:t>
      </w:r>
      <w:r w:rsidRPr="00667967">
        <w:rPr>
          <w:rFonts w:ascii="Times New Roman" w:hAnsi="Times New Roman" w:cs="Times New Roman"/>
          <w:bCs/>
          <w:szCs w:val="24"/>
        </w:rPr>
        <w:t>ść dokumentów wskazanych w art. 8 – dla okresu programowania 2021</w:t>
      </w:r>
      <w:r w:rsidR="001F13DD">
        <w:rPr>
          <w:rFonts w:ascii="Times New Roman" w:hAnsi="Times New Roman" w:cs="Times New Roman"/>
          <w:bCs/>
          <w:szCs w:val="24"/>
        </w:rPr>
        <w:t>–</w:t>
      </w:r>
      <w:r w:rsidRPr="00667967">
        <w:rPr>
          <w:rFonts w:ascii="Times New Roman" w:hAnsi="Times New Roman" w:cs="Times New Roman"/>
          <w:bCs/>
          <w:szCs w:val="24"/>
        </w:rPr>
        <w:t>2027 – jest aktualnie w trakcie opracowania, w momencie wejścia w życie projektowanej ustawy przedmiotowe dokumenty strategiczne mogą znajdować się w końcowych fazach opracowania, toteż w celu nieopóźniania absorpcji środków UE na perspektywę finansową 2021</w:t>
      </w:r>
      <w:r w:rsidR="001F13DD">
        <w:rPr>
          <w:rFonts w:ascii="Times New Roman" w:hAnsi="Times New Roman" w:cs="Times New Roman"/>
          <w:bCs/>
          <w:szCs w:val="24"/>
        </w:rPr>
        <w:t>–</w:t>
      </w:r>
      <w:r w:rsidRPr="00667967">
        <w:rPr>
          <w:rFonts w:ascii="Times New Roman" w:hAnsi="Times New Roman" w:cs="Times New Roman"/>
          <w:bCs/>
          <w:szCs w:val="24"/>
        </w:rPr>
        <w:t>2027 jest konieczne zawarcie odpowiednich przepisów przejściowych w odniesieniu do np. projektów dokumentów, których proces opracowania został formalnie rozpoczęty, lub ewentualnie znajdujących się np. na etapie konsultacji publicznych. Wprowadzono przepis przejściowy (art.</w:t>
      </w:r>
      <w:r w:rsidR="00D029CA">
        <w:rPr>
          <w:rFonts w:ascii="Times New Roman" w:hAnsi="Times New Roman" w:cs="Times New Roman"/>
          <w:bCs/>
          <w:szCs w:val="24"/>
        </w:rPr>
        <w:t> </w:t>
      </w:r>
      <w:r w:rsidRPr="00667967">
        <w:rPr>
          <w:rFonts w:ascii="Times New Roman" w:hAnsi="Times New Roman" w:cs="Times New Roman"/>
          <w:bCs/>
          <w:szCs w:val="24"/>
        </w:rPr>
        <w:t>2</w:t>
      </w:r>
      <w:r w:rsidR="005744C9" w:rsidRPr="00667967">
        <w:rPr>
          <w:rFonts w:ascii="Times New Roman" w:hAnsi="Times New Roman" w:cs="Times New Roman"/>
          <w:bCs/>
          <w:szCs w:val="24"/>
        </w:rPr>
        <w:t>8</w:t>
      </w:r>
      <w:r w:rsidRPr="00667967">
        <w:rPr>
          <w:rFonts w:ascii="Times New Roman" w:hAnsi="Times New Roman" w:cs="Times New Roman"/>
          <w:bCs/>
          <w:szCs w:val="24"/>
        </w:rPr>
        <w:t xml:space="preserve"> ust. 1 projektu ustawy), zgodnie z którym do strategii rozwoju, polityk publicznych, programów rozwoju lub programów służących realizacji umowy partnerstwa, o których mowa w art. 10a ust. 1 ustawy o zasadach prowadzenia polityki rozwoju, co do których przed dniem wejścia w życie niniejszej ustawy rozpoczęto proces konsultacji, stosuje się przepisy dotychczasowe.</w:t>
      </w:r>
    </w:p>
    <w:p w14:paraId="013758E5" w14:textId="77777777" w:rsidR="00B6655B" w:rsidRPr="00667967" w:rsidRDefault="00B6655B" w:rsidP="00595221">
      <w:pPr>
        <w:pStyle w:val="ARTartustawynprozporzdzenia"/>
        <w:widowControl/>
        <w:ind w:firstLine="0"/>
        <w:rPr>
          <w:rFonts w:ascii="Times New Roman" w:hAnsi="Times New Roman" w:cs="Times New Roman"/>
          <w:b/>
          <w:szCs w:val="24"/>
        </w:rPr>
      </w:pPr>
      <w:r w:rsidRPr="00667967">
        <w:rPr>
          <w:rFonts w:ascii="Times New Roman" w:hAnsi="Times New Roman" w:cs="Times New Roman"/>
          <w:b/>
          <w:szCs w:val="24"/>
        </w:rPr>
        <w:t>Zmiany art. 24g ust. 3</w:t>
      </w:r>
    </w:p>
    <w:p w14:paraId="435A018A" w14:textId="77777777" w:rsidR="00B6655B" w:rsidRPr="00667967" w:rsidRDefault="00B6655B" w:rsidP="00595221">
      <w:pPr>
        <w:pStyle w:val="ARTartustawynprozporzdzenia"/>
        <w:widowControl/>
        <w:ind w:firstLine="0"/>
        <w:rPr>
          <w:rFonts w:ascii="Times New Roman" w:hAnsi="Times New Roman" w:cs="Times New Roman"/>
          <w:bCs/>
          <w:szCs w:val="24"/>
        </w:rPr>
      </w:pPr>
      <w:r w:rsidRPr="00667967">
        <w:rPr>
          <w:rFonts w:ascii="Times New Roman" w:hAnsi="Times New Roman" w:cs="Times New Roman"/>
          <w:bCs/>
          <w:szCs w:val="24"/>
        </w:rPr>
        <w:t xml:space="preserve">Zmiany w rozdziale 4b mają na celu wzmocnienie prowadzenia polityki regionalnej i miejskiej o działania i efekty zielonej transformacji miast. Zakres interwencji istniejącego już Funduszu Rozwoju Regionalnego zostaje rozszerzony o projekty i inwestycje służące zielonej transformacji miast i miejskich obszarów funkcjonalnych, o których mowa w art. 5 pkt 6a ustawy o zasadach prowadzenia polityki rozwoju. </w:t>
      </w:r>
    </w:p>
    <w:p w14:paraId="6EF9D563" w14:textId="77777777" w:rsidR="00B6655B" w:rsidRPr="00667967" w:rsidRDefault="00B6655B" w:rsidP="00595221">
      <w:pPr>
        <w:pStyle w:val="ARTartustawynprozporzdzenia"/>
        <w:widowControl/>
        <w:ind w:firstLine="0"/>
        <w:rPr>
          <w:rFonts w:ascii="Times New Roman" w:hAnsi="Times New Roman" w:cs="Times New Roman"/>
          <w:bCs/>
          <w:szCs w:val="24"/>
        </w:rPr>
      </w:pPr>
      <w:r w:rsidRPr="00667967">
        <w:rPr>
          <w:rFonts w:ascii="Times New Roman" w:hAnsi="Times New Roman" w:cs="Times New Roman"/>
          <w:bCs/>
          <w:szCs w:val="24"/>
        </w:rPr>
        <w:t xml:space="preserve">Termin zielona transformacja należy rozumieć jako proces prowadzący do zwiększania neutralności klimatycznej, przy jednoczesnej dbałości o jakość środowiska przyrodniczego i nie ograniczający potencjału do rozwoju społeczno-gospodarczego. Szerzej jest to proces, który </w:t>
      </w:r>
      <w:r w:rsidRPr="00667967">
        <w:rPr>
          <w:rFonts w:ascii="Times New Roman" w:hAnsi="Times New Roman" w:cs="Times New Roman"/>
          <w:bCs/>
          <w:szCs w:val="24"/>
        </w:rPr>
        <w:lastRenderedPageBreak/>
        <w:t>tworzy potencjał do rozwoju społecznego i gospodarczego w oparciu o założenia Europejskiego Zielonego Ładu oraz podstawowych priorytetów strategii UE w zakresie przystosowania do zmian klimatu. Zielona transformacja to kompleksowy zestaw działań mający na celu znaczącą redukcję negatywnego oddziaływania ludzi na środowisko przyrodnicze, prowadzący do zwiększania neutralności klimatycznej i jednocześnie tworzący przestrzenie miejskie przyjazne człowiekowi.</w:t>
      </w:r>
    </w:p>
    <w:p w14:paraId="017C1C7F" w14:textId="77777777" w:rsidR="00B6655B" w:rsidRPr="00667967" w:rsidRDefault="00B6655B" w:rsidP="00595221">
      <w:pPr>
        <w:pStyle w:val="ARTartustawynprozporzdzenia"/>
        <w:widowControl/>
        <w:ind w:firstLine="0"/>
        <w:rPr>
          <w:rFonts w:ascii="Times New Roman" w:hAnsi="Times New Roman" w:cs="Times New Roman"/>
          <w:bCs/>
          <w:szCs w:val="24"/>
        </w:rPr>
      </w:pPr>
      <w:r w:rsidRPr="00667967">
        <w:rPr>
          <w:rFonts w:ascii="Times New Roman" w:hAnsi="Times New Roman" w:cs="Times New Roman"/>
          <w:bCs/>
          <w:szCs w:val="24"/>
        </w:rPr>
        <w:t xml:space="preserve">Fundusz Rozwoju Regionalnego powinien finansować zróżnicowane projekty o charakterze lokalnym i ponadlokalnym ukierunkowane na zrównoważony rozwój, zgodny z zasadami określonymi w krajowych i europejskich dokumentach strategicznych. Dodatkowo, w ramach Funduszu Rozwoju Regionalnego wsparcie będą mogły otrzymać projekty lub inwestycje wynikające z kluczowych dokumentów strategicznych w obszarze krajowej polityki regionalnej i krajowej polityki miejskiej. W ten sposób wsparcie z Funduszu Rozwoju Regionalnego będzie komplementarne do systemu finansowania inwestycji środkami pochodzącymi z funduszy europejskich. Przykłady takich inwestycji w obszarze zielonej transformacji to w szczególności: zwiększanie efektywności energetycznej budynków, zwiększanie powierzchni biologicznie czynnej, rozwój inwestycji samorządowych zwiększających wykorzystanie odnawialnych źródeł energii (OZE), rozwój infrastruktury transportu zeroemisyjnego (pieszego, rowerowego) zintegrowanego z transportem zbiorowym, zwiększenie terenów zieleni w miastach. </w:t>
      </w:r>
    </w:p>
    <w:p w14:paraId="115DEC69" w14:textId="77777777" w:rsidR="00B6655B" w:rsidRPr="00667967" w:rsidRDefault="00B6655B" w:rsidP="00595221">
      <w:pPr>
        <w:pStyle w:val="ARTartustawynprozporzdzenia"/>
        <w:widowControl/>
        <w:ind w:firstLine="0"/>
        <w:rPr>
          <w:rFonts w:ascii="Times New Roman" w:hAnsi="Times New Roman" w:cs="Times New Roman"/>
          <w:bCs/>
          <w:szCs w:val="24"/>
        </w:rPr>
      </w:pPr>
      <w:r w:rsidRPr="00667967">
        <w:rPr>
          <w:rFonts w:ascii="Times New Roman" w:hAnsi="Times New Roman" w:cs="Times New Roman"/>
          <w:bCs/>
          <w:szCs w:val="24"/>
        </w:rPr>
        <w:t>Finansowane projekty i inwestycje powinny mieć charakter kompleksowy, tj. pozwalać zrealizować całościowe przedsięwzięcia, poprawiające radykalnie jakość życia w jednostkach samorządu terytorialnego, obniżające ich koszty funkcjonowania, wpływające na poprawę jakości środowiska przyrodniczego, przyjazność dla klimatu, a tym samym na ochronę i poprawę zdrowia mieszkańców, konkurencyjność przedsiębiorstw lub stanowić uzupełnienie wcześniej podjętych inicjatyw lokalnych doprowadzając do tego samego efektu.</w:t>
      </w:r>
    </w:p>
    <w:p w14:paraId="5B433B6E" w14:textId="2F748D12" w:rsidR="00B6655B" w:rsidRPr="00667967" w:rsidRDefault="00B6655B" w:rsidP="00595221">
      <w:pPr>
        <w:pStyle w:val="ARTartustawynprozporzdzenia"/>
        <w:widowControl/>
        <w:ind w:firstLine="0"/>
        <w:rPr>
          <w:rFonts w:ascii="Times New Roman" w:hAnsi="Times New Roman" w:cs="Times New Roman"/>
          <w:bCs/>
          <w:szCs w:val="24"/>
        </w:rPr>
      </w:pPr>
      <w:r w:rsidRPr="00667967">
        <w:rPr>
          <w:rFonts w:ascii="Times New Roman" w:hAnsi="Times New Roman" w:cs="Times New Roman"/>
          <w:bCs/>
          <w:szCs w:val="24"/>
        </w:rPr>
        <w:t>Rozszerzenie zakresu Funduszu Rozwoju Regionalnego wynika z faktu, że skala i dynamika procesów społeczno-gospodarczych i przestrzennych w Polsce, w tym terytorialna dywersyfikacja tempa rozwoju gospodarczego i zmian demograficzno-społecznych, oraz takie procesy jak metropolizacja i suburbanizacja, determinują nowe wyzwania w zakresie zarządzania terytorialnego, w tym programowania rozwoju oraz zintegrowanego planowania strategicznego i przestrzennego miast i ich obszarów funkcjonalnych.</w:t>
      </w:r>
    </w:p>
    <w:p w14:paraId="4EFCA392" w14:textId="63C32465" w:rsidR="0069499F" w:rsidRPr="00667967" w:rsidRDefault="00F9655C" w:rsidP="00595221">
      <w:pPr>
        <w:widowControl/>
        <w:spacing w:before="240" w:after="120" w:line="360" w:lineRule="auto"/>
        <w:jc w:val="both"/>
        <w:rPr>
          <w:rFonts w:ascii="Times New Roman" w:eastAsia="Times New Roman" w:hAnsi="Times New Roman" w:cs="Times New Roman"/>
          <w:b/>
          <w:smallCaps/>
          <w:kern w:val="28"/>
        </w:rPr>
      </w:pPr>
      <w:r w:rsidRPr="00667967">
        <w:rPr>
          <w:rFonts w:ascii="Times New Roman" w:eastAsia="Times New Roman" w:hAnsi="Times New Roman" w:cs="Times New Roman"/>
          <w:b/>
          <w:smallCaps/>
          <w:kern w:val="28"/>
        </w:rPr>
        <w:lastRenderedPageBreak/>
        <w:t xml:space="preserve">art. </w:t>
      </w:r>
      <w:r w:rsidR="00B6655B" w:rsidRPr="00667967">
        <w:rPr>
          <w:rFonts w:ascii="Times New Roman" w:eastAsia="Times New Roman" w:hAnsi="Times New Roman" w:cs="Times New Roman"/>
          <w:b/>
          <w:smallCaps/>
          <w:kern w:val="28"/>
        </w:rPr>
        <w:t xml:space="preserve">10 </w:t>
      </w:r>
      <w:r w:rsidRPr="00667967">
        <w:rPr>
          <w:rFonts w:ascii="Times New Roman" w:eastAsia="Times New Roman" w:hAnsi="Times New Roman" w:cs="Times New Roman"/>
          <w:b/>
          <w:smallCaps/>
          <w:kern w:val="28"/>
        </w:rPr>
        <w:t xml:space="preserve">– </w:t>
      </w:r>
      <w:r w:rsidR="0069499F" w:rsidRPr="00667967">
        <w:rPr>
          <w:rFonts w:ascii="Times New Roman" w:eastAsia="Times New Roman" w:hAnsi="Times New Roman" w:cs="Times New Roman"/>
          <w:b/>
          <w:smallCaps/>
          <w:kern w:val="28"/>
        </w:rPr>
        <w:t xml:space="preserve">zmiany </w:t>
      </w:r>
      <w:r w:rsidR="000E68FE" w:rsidRPr="00667967">
        <w:rPr>
          <w:rFonts w:ascii="Times New Roman" w:eastAsia="Times New Roman" w:hAnsi="Times New Roman" w:cs="Times New Roman"/>
          <w:b/>
          <w:smallCaps/>
          <w:kern w:val="28"/>
        </w:rPr>
        <w:t xml:space="preserve">w </w:t>
      </w:r>
      <w:r w:rsidR="0069499F" w:rsidRPr="00667967">
        <w:rPr>
          <w:rFonts w:ascii="Times New Roman" w:eastAsia="Times New Roman" w:hAnsi="Times New Roman" w:cs="Times New Roman"/>
          <w:b/>
          <w:smallCaps/>
          <w:kern w:val="28"/>
        </w:rPr>
        <w:t>ustawie o udostępnianiu informacji o środowisku i jego ochronie, udziale społeczeństwa w ochronie środowiska oraz o ocenach oddziaływania na środowisko</w:t>
      </w:r>
    </w:p>
    <w:p w14:paraId="4D1BFA6B" w14:textId="2773E181" w:rsidR="00CA093B" w:rsidRPr="00667967" w:rsidRDefault="00CA093B" w:rsidP="00595221">
      <w:pPr>
        <w:widowControl/>
        <w:suppressAutoHyphens w:val="0"/>
        <w:spacing w:after="120" w:line="360" w:lineRule="auto"/>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Kluczową kwestią w zakresie zmian legislacyjnych w obszarze oceny oddziaływania na środowisko</w:t>
      </w:r>
      <w:r w:rsidR="009742A5" w:rsidRPr="00667967">
        <w:rPr>
          <w:rFonts w:ascii="Times New Roman" w:hAnsi="Times New Roman" w:cs="Times New Roman"/>
          <w:kern w:val="0"/>
          <w:lang w:eastAsia="en-US" w:bidi="ar-SA"/>
        </w:rPr>
        <w:t xml:space="preserve"> (ooś)</w:t>
      </w:r>
      <w:r w:rsidRPr="00667967">
        <w:rPr>
          <w:rFonts w:ascii="Times New Roman" w:hAnsi="Times New Roman" w:cs="Times New Roman"/>
          <w:kern w:val="0"/>
          <w:lang w:eastAsia="en-US" w:bidi="ar-SA"/>
        </w:rPr>
        <w:t xml:space="preserve"> jest</w:t>
      </w:r>
      <w:r w:rsidR="00F202C0" w:rsidRPr="00667967">
        <w:rPr>
          <w:rFonts w:ascii="Times New Roman" w:hAnsi="Times New Roman" w:cs="Times New Roman"/>
          <w:kern w:val="0"/>
          <w:lang w:eastAsia="en-US" w:bidi="ar-SA"/>
        </w:rPr>
        <w:t xml:space="preserve"> doprecyzowanie </w:t>
      </w:r>
      <w:r w:rsidR="00C8459C" w:rsidRPr="00667967">
        <w:rPr>
          <w:rFonts w:ascii="Times New Roman" w:hAnsi="Times New Roman" w:cs="Times New Roman"/>
          <w:kern w:val="0"/>
          <w:lang w:eastAsia="en-US" w:bidi="ar-SA"/>
        </w:rPr>
        <w:t xml:space="preserve">w </w:t>
      </w:r>
      <w:r w:rsidRPr="00667967">
        <w:rPr>
          <w:rFonts w:ascii="Times New Roman" w:hAnsi="Times New Roman" w:cs="Times New Roman"/>
          <w:kern w:val="0"/>
          <w:lang w:eastAsia="en-US" w:bidi="ar-SA"/>
        </w:rPr>
        <w:t>ustaw</w:t>
      </w:r>
      <w:r w:rsidR="00F202C0" w:rsidRPr="00667967">
        <w:rPr>
          <w:rFonts w:ascii="Times New Roman" w:hAnsi="Times New Roman" w:cs="Times New Roman"/>
          <w:kern w:val="0"/>
          <w:lang w:eastAsia="en-US" w:bidi="ar-SA"/>
        </w:rPr>
        <w:t xml:space="preserve">ie </w:t>
      </w:r>
      <w:r w:rsidRPr="00667967">
        <w:rPr>
          <w:rFonts w:ascii="Times New Roman" w:hAnsi="Times New Roman" w:cs="Times New Roman"/>
          <w:kern w:val="0"/>
          <w:lang w:eastAsia="en-US" w:bidi="ar-SA"/>
        </w:rPr>
        <w:t>zagadnień związanych z analizą</w:t>
      </w:r>
      <w:r w:rsidR="00465152" w:rsidRPr="00667967">
        <w:rPr>
          <w:rFonts w:ascii="Times New Roman" w:hAnsi="Times New Roman" w:cs="Times New Roman"/>
          <w:kern w:val="0"/>
          <w:lang w:eastAsia="en-US" w:bidi="ar-SA"/>
        </w:rPr>
        <w:t xml:space="preserve"> podatności (narażenia oraz odporności) przedsięwzięcia na zmiany klimatu</w:t>
      </w:r>
      <w:r w:rsidR="00F202C0" w:rsidRPr="00667967">
        <w:rPr>
          <w:rFonts w:ascii="Times New Roman" w:hAnsi="Times New Roman" w:cs="Times New Roman"/>
          <w:kern w:val="0"/>
          <w:lang w:eastAsia="en-US" w:bidi="ar-SA"/>
        </w:rPr>
        <w:t xml:space="preserve">, która powinna zostać przeprowadzona na etapie oceny oddziaływania przedsięwzięć na środowisko (wymóg przeprowadzenia analizy podatności przedsięwzięcia na zmiany klimatu zgodnie z wymogiem wskazanym </w:t>
      </w:r>
      <w:r w:rsidR="00BF7688" w:rsidRPr="00667967">
        <w:rPr>
          <w:rFonts w:ascii="Times New Roman" w:hAnsi="Times New Roman" w:cs="Times New Roman"/>
          <w:kern w:val="0"/>
          <w:lang w:eastAsia="en-US" w:bidi="ar-SA"/>
        </w:rPr>
        <w:t>dyrektywą ooś</w:t>
      </w:r>
      <w:r w:rsidR="005D1E2B" w:rsidRPr="00667967">
        <w:rPr>
          <w:rFonts w:ascii="Times New Roman" w:hAnsi="Times New Roman" w:cs="Times New Roman"/>
          <w:kern w:val="0"/>
          <w:lang w:eastAsia="en-US" w:bidi="ar-SA"/>
        </w:rPr>
        <w:t>)</w:t>
      </w:r>
      <w:r w:rsidRPr="00667967">
        <w:rPr>
          <w:rFonts w:ascii="Times New Roman" w:hAnsi="Times New Roman" w:cs="Times New Roman"/>
          <w:kern w:val="0"/>
          <w:lang w:eastAsia="en-US" w:bidi="ar-SA"/>
        </w:rPr>
        <w:t xml:space="preserve">. </w:t>
      </w:r>
    </w:p>
    <w:p w14:paraId="4562C7AB" w14:textId="77777777" w:rsidR="00F66005" w:rsidRPr="00667967" w:rsidRDefault="001A6D1B" w:rsidP="00595221">
      <w:pPr>
        <w:widowControl/>
        <w:suppressAutoHyphens w:val="0"/>
        <w:spacing w:line="360" w:lineRule="auto"/>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 xml:space="preserve">Dyrektywa </w:t>
      </w:r>
      <w:r w:rsidR="00583DF7" w:rsidRPr="00667967">
        <w:rPr>
          <w:rFonts w:ascii="Times New Roman" w:hAnsi="Times New Roman" w:cs="Times New Roman"/>
          <w:kern w:val="0"/>
          <w:lang w:eastAsia="en-US" w:bidi="ar-SA"/>
        </w:rPr>
        <w:t>ooś</w:t>
      </w:r>
      <w:r w:rsidR="004E26A0" w:rsidRPr="00667967">
        <w:rPr>
          <w:rFonts w:ascii="Times New Roman" w:hAnsi="Times New Roman" w:cs="Times New Roman"/>
          <w:kern w:val="0"/>
          <w:lang w:eastAsia="en-US" w:bidi="ar-SA"/>
        </w:rPr>
        <w:t xml:space="preserve"> </w:t>
      </w:r>
      <w:r w:rsidR="00F66005" w:rsidRPr="00667967">
        <w:rPr>
          <w:rFonts w:ascii="Times New Roman" w:hAnsi="Times New Roman" w:cs="Times New Roman"/>
          <w:kern w:val="0"/>
          <w:lang w:eastAsia="en-US" w:bidi="ar-SA"/>
        </w:rPr>
        <w:t xml:space="preserve">nie definiuje pojęć „podatność” i „odporność”, natomiast zgodnie z IPCC AR5, 2014), Annex II (Glossary): </w:t>
      </w:r>
    </w:p>
    <w:p w14:paraId="7992BB11" w14:textId="2AADADF7" w:rsidR="00F66005" w:rsidRPr="00667967" w:rsidRDefault="001518B4" w:rsidP="00595221">
      <w:pPr>
        <w:widowControl/>
        <w:suppressAutoHyphens w:val="0"/>
        <w:spacing w:line="360" w:lineRule="auto"/>
        <w:ind w:left="426" w:hanging="426"/>
        <w:jc w:val="both"/>
        <w:rPr>
          <w:rFonts w:ascii="Times New Roman" w:hAnsi="Times New Roman" w:cs="Times New Roman"/>
          <w:kern w:val="0"/>
          <w:lang w:eastAsia="en-US" w:bidi="ar-SA"/>
        </w:rPr>
      </w:pPr>
      <w:r>
        <w:rPr>
          <w:rFonts w:ascii="Times New Roman" w:hAnsi="Times New Roman" w:cs="Times New Roman"/>
          <w:kern w:val="0"/>
          <w:lang w:eastAsia="en-US" w:bidi="ar-SA"/>
        </w:rPr>
        <w:t>–</w:t>
      </w:r>
      <w:r w:rsidR="00F61915">
        <w:rPr>
          <w:rFonts w:ascii="Times New Roman" w:hAnsi="Times New Roman" w:cs="Times New Roman"/>
          <w:kern w:val="0"/>
          <w:lang w:eastAsia="en-US" w:bidi="ar-SA"/>
        </w:rPr>
        <w:tab/>
      </w:r>
      <w:r w:rsidR="00F66005" w:rsidRPr="00667967">
        <w:rPr>
          <w:rFonts w:ascii="Times New Roman" w:hAnsi="Times New Roman" w:cs="Times New Roman"/>
          <w:kern w:val="0"/>
          <w:lang w:eastAsia="en-US" w:bidi="ar-SA"/>
        </w:rPr>
        <w:t>Podatność (Vulnerability) – skłonność lub predyspozycja do ulegania negatywnym wpływom. Podatność obejmuje szereg pojęć i elementów, w tym wrażliwość na szkody oraz brak zdolności do radzenia sobie i adaptacji</w:t>
      </w:r>
      <w:r w:rsidR="00F61915">
        <w:rPr>
          <w:rFonts w:ascii="Times New Roman" w:hAnsi="Times New Roman" w:cs="Times New Roman"/>
          <w:kern w:val="0"/>
          <w:lang w:eastAsia="en-US" w:bidi="ar-SA"/>
        </w:rPr>
        <w:t>,</w:t>
      </w:r>
    </w:p>
    <w:p w14:paraId="0D1F741D" w14:textId="301E3C7B" w:rsidR="00F66005" w:rsidRPr="00667967" w:rsidRDefault="001518B4" w:rsidP="00595221">
      <w:pPr>
        <w:widowControl/>
        <w:suppressAutoHyphens w:val="0"/>
        <w:spacing w:after="120" w:line="360" w:lineRule="auto"/>
        <w:ind w:left="426" w:hanging="426"/>
        <w:jc w:val="both"/>
        <w:rPr>
          <w:rFonts w:ascii="Times New Roman" w:hAnsi="Times New Roman" w:cs="Times New Roman"/>
          <w:kern w:val="0"/>
          <w:lang w:eastAsia="en-US" w:bidi="ar-SA"/>
        </w:rPr>
      </w:pPr>
      <w:r>
        <w:rPr>
          <w:rFonts w:ascii="Times New Roman" w:hAnsi="Times New Roman" w:cs="Times New Roman"/>
          <w:kern w:val="0"/>
          <w:lang w:eastAsia="en-US" w:bidi="ar-SA"/>
        </w:rPr>
        <w:t>–</w:t>
      </w:r>
      <w:r w:rsidR="00F61915">
        <w:rPr>
          <w:rFonts w:ascii="Times New Roman" w:hAnsi="Times New Roman" w:cs="Times New Roman"/>
          <w:kern w:val="0"/>
          <w:lang w:eastAsia="en-US" w:bidi="ar-SA"/>
        </w:rPr>
        <w:tab/>
      </w:r>
      <w:r w:rsidR="00F66005" w:rsidRPr="00667967">
        <w:rPr>
          <w:rFonts w:ascii="Times New Roman" w:hAnsi="Times New Roman" w:cs="Times New Roman"/>
          <w:kern w:val="0"/>
          <w:lang w:eastAsia="en-US" w:bidi="ar-SA"/>
        </w:rPr>
        <w:t>Odporność (Resilience) – zdolność systemów społecznych, gospodarczych i środowiskowych do radzenia sobie z niebezpiecznymi zdarzeniami, tendencjami lub zakłóceniami, reagując lub reorganizując się w sposób, który utrzymuje ich podstawowe funkcje, tożsamość i strukturę, zachowując jednocześnie zdolność do adaptacji, uczenia się i transformacji.</w:t>
      </w:r>
    </w:p>
    <w:p w14:paraId="0AB6369C" w14:textId="0B654B4F" w:rsidR="009610A4" w:rsidRPr="00667967" w:rsidRDefault="009610A4" w:rsidP="00595221">
      <w:pPr>
        <w:widowControl/>
        <w:suppressAutoHyphens w:val="0"/>
        <w:spacing w:after="120" w:line="360" w:lineRule="auto"/>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Zakres zm</w:t>
      </w:r>
      <w:r w:rsidR="00322AB4" w:rsidRPr="00667967">
        <w:rPr>
          <w:rFonts w:ascii="Times New Roman" w:hAnsi="Times New Roman" w:cs="Times New Roman"/>
          <w:kern w:val="0"/>
          <w:lang w:eastAsia="en-US" w:bidi="ar-SA"/>
        </w:rPr>
        <w:t>i</w:t>
      </w:r>
      <w:r w:rsidRPr="00667967">
        <w:rPr>
          <w:rFonts w:ascii="Times New Roman" w:hAnsi="Times New Roman" w:cs="Times New Roman"/>
          <w:kern w:val="0"/>
          <w:lang w:eastAsia="en-US" w:bidi="ar-SA"/>
        </w:rPr>
        <w:t>an w ustawie ooś polega na doprecyzowaniu przepisów dotyczących analiz ryzyka klimatycznego w postępowaniu ooś przez wskazanie, że w skład tych analiz zgodnie z dyrektywą ooś wchodzi analiza podatności przedsięwzięć na zmiany klimatu.</w:t>
      </w:r>
    </w:p>
    <w:p w14:paraId="0B59A962" w14:textId="77777777" w:rsidR="009610A4" w:rsidRPr="00667967" w:rsidRDefault="009610A4" w:rsidP="00595221">
      <w:pPr>
        <w:widowControl/>
        <w:suppressAutoHyphens w:val="0"/>
        <w:spacing w:line="360" w:lineRule="auto"/>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 xml:space="preserve">Praktyka wykonywania ooś w Polsce wskazuje, że obecne przepisy ustawy ooś w zakresie analiz dotyczących ryzyka klimatycznego, w szczególności w odniesieniu do adaptacji przedsięwzięć do zmian klimatu, wymagają </w:t>
      </w:r>
      <w:r w:rsidRPr="00667967">
        <w:rPr>
          <w:rFonts w:ascii="Times New Roman" w:hAnsi="Times New Roman" w:cs="Times New Roman"/>
          <w:bCs/>
          <w:kern w:val="0"/>
          <w:lang w:eastAsia="en-US" w:bidi="ar-SA"/>
        </w:rPr>
        <w:t>osiągnięcia jeszcze większej jednoznaczności</w:t>
      </w:r>
      <w:r w:rsidRPr="00667967">
        <w:rPr>
          <w:rFonts w:ascii="Times New Roman" w:hAnsi="Times New Roman" w:cs="Times New Roman"/>
          <w:kern w:val="0"/>
          <w:lang w:eastAsia="en-US" w:bidi="ar-SA"/>
        </w:rPr>
        <w:t xml:space="preserve">. Wnioski na temat uwzględniania przez inwestorów kwestii klimatycznych w procesie ooś pochodzą z następujących źródeł: </w:t>
      </w:r>
    </w:p>
    <w:p w14:paraId="09C3DC9C" w14:textId="77777777" w:rsidR="009610A4" w:rsidRPr="00667967" w:rsidRDefault="009610A4" w:rsidP="00595221">
      <w:pPr>
        <w:widowControl/>
        <w:numPr>
          <w:ilvl w:val="0"/>
          <w:numId w:val="2"/>
        </w:numPr>
        <w:suppressAutoHyphens w:val="0"/>
        <w:spacing w:line="360" w:lineRule="auto"/>
        <w:ind w:left="426" w:hanging="426"/>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doświadczenia w pracach Grupy Roboczej do spraw ocen oddziaływania na środowisko działającej w ramach Sieci Partnerstwo „Środowisko dla Rozwoju”,</w:t>
      </w:r>
    </w:p>
    <w:p w14:paraId="39F31581" w14:textId="3DD90356" w:rsidR="009610A4" w:rsidRPr="00667967" w:rsidRDefault="009610A4" w:rsidP="00595221">
      <w:pPr>
        <w:widowControl/>
        <w:numPr>
          <w:ilvl w:val="0"/>
          <w:numId w:val="2"/>
        </w:numPr>
        <w:suppressAutoHyphens w:val="0"/>
        <w:spacing w:line="360" w:lineRule="auto"/>
        <w:ind w:left="426" w:hanging="426"/>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wniosków z kontroli systemowej przeprowadzonej w Narodowy</w:t>
      </w:r>
      <w:r w:rsidR="005D1E2B" w:rsidRPr="00667967">
        <w:rPr>
          <w:rFonts w:ascii="Times New Roman" w:hAnsi="Times New Roman" w:cs="Times New Roman"/>
          <w:kern w:val="0"/>
          <w:lang w:eastAsia="en-US" w:bidi="ar-SA"/>
        </w:rPr>
        <w:t>m</w:t>
      </w:r>
      <w:r w:rsidRPr="00667967">
        <w:rPr>
          <w:rFonts w:ascii="Times New Roman" w:hAnsi="Times New Roman" w:cs="Times New Roman"/>
          <w:kern w:val="0"/>
          <w:lang w:eastAsia="en-US" w:bidi="ar-SA"/>
        </w:rPr>
        <w:t xml:space="preserve"> Fundusz</w:t>
      </w:r>
      <w:r w:rsidR="005D1E2B" w:rsidRPr="00667967">
        <w:rPr>
          <w:rFonts w:ascii="Times New Roman" w:hAnsi="Times New Roman" w:cs="Times New Roman"/>
          <w:kern w:val="0"/>
          <w:lang w:eastAsia="en-US" w:bidi="ar-SA"/>
        </w:rPr>
        <w:t>u</w:t>
      </w:r>
      <w:r w:rsidRPr="00667967">
        <w:rPr>
          <w:rFonts w:ascii="Times New Roman" w:hAnsi="Times New Roman" w:cs="Times New Roman"/>
          <w:kern w:val="0"/>
          <w:lang w:eastAsia="en-US" w:bidi="ar-SA"/>
        </w:rPr>
        <w:t xml:space="preserve"> Ochrony Środowiska i Gospodarki Wodnej w dniach od 29 listopada do 9 grudnia 2016 r. w zakresie </w:t>
      </w:r>
      <w:r w:rsidRPr="00667967">
        <w:rPr>
          <w:rFonts w:ascii="Times New Roman" w:hAnsi="Times New Roman" w:cs="Times New Roman"/>
          <w:kern w:val="0"/>
          <w:lang w:eastAsia="en-US" w:bidi="ar-SA"/>
        </w:rPr>
        <w:lastRenderedPageBreak/>
        <w:t xml:space="preserve">dotyczącym weryfikacji przez </w:t>
      </w:r>
      <w:r w:rsidR="00B25FFE" w:rsidRPr="00667967">
        <w:rPr>
          <w:rFonts w:ascii="Times New Roman" w:hAnsi="Times New Roman" w:cs="Times New Roman"/>
          <w:kern w:val="0"/>
          <w:lang w:eastAsia="en-US" w:bidi="ar-SA"/>
        </w:rPr>
        <w:t xml:space="preserve">Narodowy Fundusz </w:t>
      </w:r>
      <w:r w:rsidRPr="00667967">
        <w:rPr>
          <w:rFonts w:ascii="Times New Roman" w:hAnsi="Times New Roman" w:cs="Times New Roman"/>
          <w:kern w:val="0"/>
          <w:lang w:eastAsia="en-US" w:bidi="ar-SA"/>
        </w:rPr>
        <w:t>dokumentacji aplikacyjnej na poziomie oceny merytorycznej II stopnia dla projektów działania 2.3. POIiŚ 2014</w:t>
      </w:r>
      <w:r w:rsidR="00E94251" w:rsidRPr="00667967">
        <w:rPr>
          <w:rFonts w:ascii="Times New Roman" w:hAnsi="Times New Roman" w:cs="Times New Roman"/>
          <w:kern w:val="0"/>
          <w:lang w:eastAsia="en-US" w:bidi="ar-SA"/>
        </w:rPr>
        <w:t>–</w:t>
      </w:r>
      <w:r w:rsidRPr="00667967">
        <w:rPr>
          <w:rFonts w:ascii="Times New Roman" w:hAnsi="Times New Roman" w:cs="Times New Roman"/>
          <w:kern w:val="0"/>
          <w:lang w:eastAsia="en-US" w:bidi="ar-SA"/>
        </w:rPr>
        <w:t>2020</w:t>
      </w:r>
      <w:r w:rsidR="004E5F0A" w:rsidRPr="00667967">
        <w:rPr>
          <w:rFonts w:ascii="Times New Roman" w:hAnsi="Times New Roman" w:cs="Times New Roman"/>
          <w:kern w:val="0"/>
          <w:lang w:eastAsia="en-US" w:bidi="ar-SA"/>
        </w:rPr>
        <w:t>,</w:t>
      </w:r>
      <w:r w:rsidRPr="00667967">
        <w:rPr>
          <w:rFonts w:ascii="Times New Roman" w:hAnsi="Times New Roman" w:cs="Times New Roman"/>
          <w:kern w:val="0"/>
          <w:lang w:eastAsia="en-US" w:bidi="ar-SA"/>
        </w:rPr>
        <w:t xml:space="preserve"> </w:t>
      </w:r>
    </w:p>
    <w:p w14:paraId="3D8CBE9E" w14:textId="7ED9C253" w:rsidR="009610A4" w:rsidRPr="00667967" w:rsidRDefault="009610A4" w:rsidP="00595221">
      <w:pPr>
        <w:widowControl/>
        <w:numPr>
          <w:ilvl w:val="0"/>
          <w:numId w:val="2"/>
        </w:numPr>
        <w:suppressAutoHyphens w:val="0"/>
        <w:spacing w:after="120" w:line="360" w:lineRule="auto"/>
        <w:ind w:left="426" w:hanging="426"/>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wniosków z Raportu końcowego dla analizy pn.: „Uwzględnianie w projektach realizowanych w Programie Operacyjnym Infrastruktura i Środowisko 2014</w:t>
      </w:r>
      <w:r w:rsidR="00E94251" w:rsidRPr="00667967">
        <w:rPr>
          <w:rFonts w:ascii="Times New Roman" w:hAnsi="Times New Roman" w:cs="Times New Roman"/>
          <w:kern w:val="0"/>
          <w:lang w:eastAsia="en-US" w:bidi="ar-SA"/>
        </w:rPr>
        <w:t>–</w:t>
      </w:r>
      <w:r w:rsidRPr="00667967">
        <w:rPr>
          <w:rFonts w:ascii="Times New Roman" w:hAnsi="Times New Roman" w:cs="Times New Roman"/>
          <w:kern w:val="0"/>
          <w:lang w:eastAsia="en-US" w:bidi="ar-SA"/>
        </w:rPr>
        <w:t xml:space="preserve">2020 aspektów adaptacji do zmian klimatu, łagodzenia zmian klimatu i zwiększania odporności inwestycji na skutki tych zmian i zagrożenia klęskami żywiołowymi lub katastrofami naturalnymi” (Fundeko, 2019). </w:t>
      </w:r>
    </w:p>
    <w:p w14:paraId="63513621" w14:textId="13030B76" w:rsidR="009610A4" w:rsidRPr="00667967" w:rsidRDefault="009610A4" w:rsidP="00595221">
      <w:pPr>
        <w:widowControl/>
        <w:suppressAutoHyphens w:val="0"/>
        <w:spacing w:after="120" w:line="360" w:lineRule="auto"/>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 xml:space="preserve">Należy zauważyć, że analiza ryzyka </w:t>
      </w:r>
      <w:r w:rsidR="00595FD1" w:rsidRPr="00667967">
        <w:rPr>
          <w:rFonts w:ascii="Times New Roman" w:hAnsi="Times New Roman" w:cs="Times New Roman"/>
          <w:kern w:val="0"/>
          <w:lang w:eastAsia="en-US" w:bidi="ar-SA"/>
        </w:rPr>
        <w:t>związanego ze zmianami klimatu</w:t>
      </w:r>
      <w:r w:rsidRPr="00667967">
        <w:rPr>
          <w:rFonts w:ascii="Times New Roman" w:hAnsi="Times New Roman" w:cs="Times New Roman"/>
          <w:kern w:val="0"/>
          <w:lang w:eastAsia="en-US" w:bidi="ar-SA"/>
        </w:rPr>
        <w:t xml:space="preserve">, obejmująca analizę podatności, jest pojęciem dobrze zdefiniowanym w wytycznych UE, </w:t>
      </w:r>
      <w:r w:rsidR="001A6D1B" w:rsidRPr="00667967">
        <w:rPr>
          <w:rFonts w:ascii="Times New Roman" w:hAnsi="Times New Roman" w:cs="Times New Roman"/>
          <w:kern w:val="0"/>
          <w:lang w:eastAsia="en-US" w:bidi="ar-SA"/>
        </w:rPr>
        <w:t xml:space="preserve">zwłaszcza </w:t>
      </w:r>
      <w:r w:rsidRPr="00667967">
        <w:rPr>
          <w:rFonts w:ascii="Times New Roman" w:hAnsi="Times New Roman" w:cs="Times New Roman"/>
          <w:kern w:val="0"/>
          <w:lang w:eastAsia="en-US" w:bidi="ar-SA"/>
        </w:rPr>
        <w:t>w przepisach i</w:t>
      </w:r>
      <w:r w:rsidR="0002469B" w:rsidRPr="00667967">
        <w:rPr>
          <w:rFonts w:ascii="Times New Roman" w:hAnsi="Times New Roman" w:cs="Times New Roman"/>
          <w:kern w:val="0"/>
          <w:lang w:eastAsia="en-US" w:bidi="ar-SA"/>
        </w:rPr>
        <w:t> </w:t>
      </w:r>
      <w:r w:rsidRPr="00667967">
        <w:rPr>
          <w:rFonts w:ascii="Times New Roman" w:hAnsi="Times New Roman" w:cs="Times New Roman"/>
          <w:kern w:val="0"/>
          <w:lang w:eastAsia="en-US" w:bidi="ar-SA"/>
        </w:rPr>
        <w:t xml:space="preserve">wytycznych (poradnikach) </w:t>
      </w:r>
      <w:r w:rsidR="001A6D1B" w:rsidRPr="00667967">
        <w:rPr>
          <w:rFonts w:ascii="Times New Roman" w:hAnsi="Times New Roman" w:cs="Times New Roman"/>
          <w:kern w:val="0"/>
          <w:lang w:eastAsia="en-US" w:bidi="ar-SA"/>
        </w:rPr>
        <w:t xml:space="preserve">przeznaczonych dla </w:t>
      </w:r>
      <w:r w:rsidRPr="00667967">
        <w:rPr>
          <w:rFonts w:ascii="Times New Roman" w:hAnsi="Times New Roman" w:cs="Times New Roman"/>
          <w:kern w:val="0"/>
          <w:lang w:eastAsia="en-US" w:bidi="ar-SA"/>
        </w:rPr>
        <w:t>beneficjentów funduszy UE</w:t>
      </w:r>
      <w:r w:rsidRPr="00595221">
        <w:rPr>
          <w:rFonts w:ascii="Times New Roman" w:hAnsi="Times New Roman" w:cs="Times New Roman"/>
          <w:kern w:val="0"/>
          <w:vertAlign w:val="superscript"/>
          <w:lang w:eastAsia="en-US" w:bidi="ar-SA"/>
        </w:rPr>
        <w:footnoteReference w:id="2"/>
      </w:r>
      <w:r w:rsidRPr="00595221">
        <w:rPr>
          <w:rFonts w:ascii="Times New Roman" w:hAnsi="Times New Roman" w:cs="Times New Roman"/>
          <w:kern w:val="0"/>
          <w:vertAlign w:val="superscript"/>
          <w:lang w:eastAsia="en-US" w:bidi="ar-SA"/>
        </w:rPr>
        <w:t>)</w:t>
      </w:r>
      <w:r w:rsidRPr="00667967">
        <w:rPr>
          <w:rFonts w:ascii="Times New Roman" w:hAnsi="Times New Roman" w:cs="Times New Roman"/>
          <w:kern w:val="0"/>
          <w:lang w:eastAsia="en-US" w:bidi="ar-SA"/>
        </w:rPr>
        <w:t xml:space="preserve">. Etap ooś jest jednocześnie optymalnym etapem </w:t>
      </w:r>
      <w:r w:rsidR="001A6D1B" w:rsidRPr="00667967">
        <w:rPr>
          <w:rFonts w:ascii="Times New Roman" w:hAnsi="Times New Roman" w:cs="Times New Roman"/>
          <w:kern w:val="0"/>
          <w:lang w:eastAsia="en-US" w:bidi="ar-SA"/>
        </w:rPr>
        <w:t>dla</w:t>
      </w:r>
      <w:r w:rsidRPr="00667967">
        <w:rPr>
          <w:rFonts w:ascii="Times New Roman" w:hAnsi="Times New Roman" w:cs="Times New Roman"/>
          <w:kern w:val="0"/>
          <w:lang w:eastAsia="en-US" w:bidi="ar-SA"/>
        </w:rPr>
        <w:t xml:space="preserve"> przeprowadzenia oceny ryzyka </w:t>
      </w:r>
      <w:r w:rsidR="00BF7F61" w:rsidRPr="00667967">
        <w:rPr>
          <w:rFonts w:ascii="Times New Roman" w:hAnsi="Times New Roman" w:cs="Times New Roman"/>
          <w:kern w:val="0"/>
          <w:lang w:eastAsia="en-US" w:bidi="ar-SA"/>
        </w:rPr>
        <w:t>związanego ze zmianami klimatu</w:t>
      </w:r>
      <w:r w:rsidR="00E969F2" w:rsidRPr="00667967">
        <w:rPr>
          <w:rFonts w:ascii="Times New Roman" w:hAnsi="Times New Roman" w:cs="Times New Roman"/>
          <w:kern w:val="0"/>
          <w:lang w:eastAsia="en-US" w:bidi="ar-SA"/>
        </w:rPr>
        <w:t>,</w:t>
      </w:r>
      <w:r w:rsidRPr="00667967">
        <w:rPr>
          <w:rFonts w:ascii="Times New Roman" w:hAnsi="Times New Roman" w:cs="Times New Roman"/>
          <w:kern w:val="0"/>
          <w:lang w:eastAsia="en-US" w:bidi="ar-SA"/>
        </w:rPr>
        <w:t xml:space="preserve"> ponieważ w przygotowaniu inwestycji jest jednym z najwcześniejszych etapów, </w:t>
      </w:r>
      <w:r w:rsidR="001A6D1B" w:rsidRPr="00667967">
        <w:rPr>
          <w:rFonts w:ascii="Times New Roman" w:hAnsi="Times New Roman" w:cs="Times New Roman"/>
          <w:kern w:val="0"/>
          <w:lang w:eastAsia="en-US" w:bidi="ar-SA"/>
        </w:rPr>
        <w:t xml:space="preserve">kiedy </w:t>
      </w:r>
      <w:r w:rsidRPr="00667967">
        <w:rPr>
          <w:rFonts w:ascii="Times New Roman" w:hAnsi="Times New Roman" w:cs="Times New Roman"/>
          <w:kern w:val="0"/>
          <w:lang w:eastAsia="en-US" w:bidi="ar-SA"/>
        </w:rPr>
        <w:t xml:space="preserve">większość rozstrzygnięć dotyczących ostatecznego kształtu przedsięwzięcia nie została jeszcze podjęta oraz </w:t>
      </w:r>
      <w:r w:rsidR="00866584" w:rsidRPr="00667967">
        <w:rPr>
          <w:rFonts w:ascii="Times New Roman" w:hAnsi="Times New Roman" w:cs="Times New Roman"/>
          <w:kern w:val="0"/>
          <w:lang w:eastAsia="en-US" w:bidi="ar-SA"/>
        </w:rPr>
        <w:t xml:space="preserve">jest </w:t>
      </w:r>
      <w:r w:rsidRPr="00667967">
        <w:rPr>
          <w:rFonts w:ascii="Times New Roman" w:hAnsi="Times New Roman" w:cs="Times New Roman"/>
          <w:kern w:val="0"/>
          <w:lang w:eastAsia="en-US" w:bidi="ar-SA"/>
        </w:rPr>
        <w:t>możliwe jeszcze wariantowanie w</w:t>
      </w:r>
      <w:r w:rsidR="001A6D1B" w:rsidRPr="00667967">
        <w:rPr>
          <w:rFonts w:ascii="Times New Roman" w:hAnsi="Times New Roman" w:cs="Times New Roman"/>
          <w:kern w:val="0"/>
          <w:lang w:eastAsia="en-US" w:bidi="ar-SA"/>
        </w:rPr>
        <w:t> </w:t>
      </w:r>
      <w:r w:rsidRPr="00667967">
        <w:rPr>
          <w:rFonts w:ascii="Times New Roman" w:hAnsi="Times New Roman" w:cs="Times New Roman"/>
          <w:kern w:val="0"/>
          <w:lang w:eastAsia="en-US" w:bidi="ar-SA"/>
        </w:rPr>
        <w:t>zakresie dotyczącym oddziaływań na środowisko, w tym oddziaływań na klimat</w:t>
      </w:r>
      <w:r w:rsidR="00E40FFA" w:rsidRPr="00667967">
        <w:rPr>
          <w:rFonts w:ascii="Times New Roman" w:hAnsi="Times New Roman" w:cs="Times New Roman"/>
          <w:kern w:val="0"/>
          <w:lang w:eastAsia="en-US" w:bidi="ar-SA"/>
        </w:rPr>
        <w:t>,</w:t>
      </w:r>
      <w:r w:rsidRPr="00667967">
        <w:rPr>
          <w:rFonts w:ascii="Times New Roman" w:hAnsi="Times New Roman" w:cs="Times New Roman"/>
          <w:kern w:val="0"/>
          <w:lang w:eastAsia="en-US" w:bidi="ar-SA"/>
        </w:rPr>
        <w:t xml:space="preserve"> oraz odporności przedsięwzięć na zmiany klimatu. </w:t>
      </w:r>
      <w:r w:rsidR="002E79F8" w:rsidRPr="00667967">
        <w:rPr>
          <w:rFonts w:ascii="Times New Roman" w:hAnsi="Times New Roman" w:cs="Times New Roman"/>
          <w:kern w:val="0"/>
          <w:lang w:eastAsia="en-US" w:bidi="ar-SA"/>
        </w:rPr>
        <w:t xml:space="preserve">Należy też podkreślić jeszcze jeden ważny aspekt oceny podatności. W celu zapewnienia wysokiego poziomu ochrony środowiska, działania zapobiegawcze należy podjąć w szczególności w przypadku niektórych projektów, które ze względu na swoją podatność na poważne wypadki lub klęski żywiołowe (takie jak powodzie, podnoszenie się poziomu morza lub trzęsienia ziemi) mogą mieć znaczące niekorzystne skutki dla środowiska. W przypadku takich projektów należy </w:t>
      </w:r>
      <w:r w:rsidR="00CB0DF8" w:rsidRPr="00667967">
        <w:rPr>
          <w:rFonts w:ascii="Times New Roman" w:hAnsi="Times New Roman" w:cs="Times New Roman"/>
          <w:kern w:val="0"/>
          <w:lang w:eastAsia="en-US" w:bidi="ar-SA"/>
        </w:rPr>
        <w:t xml:space="preserve">ocenić </w:t>
      </w:r>
      <w:r w:rsidR="002E79F8" w:rsidRPr="00667967">
        <w:rPr>
          <w:rFonts w:ascii="Times New Roman" w:hAnsi="Times New Roman" w:cs="Times New Roman"/>
          <w:kern w:val="0"/>
          <w:lang w:eastAsia="en-US" w:bidi="ar-SA"/>
        </w:rPr>
        <w:t xml:space="preserve">ich podatność (narażenie i odporność) na poważne wypadki lub katastrofy, ryzyko wystąpienia tych wypadków lub katastrof oraz konsekwencje dla prawdopodobieństwa wystąpienia znaczących niekorzystnych skutków dla środowiska. </w:t>
      </w:r>
      <w:r w:rsidRPr="00667967">
        <w:rPr>
          <w:rFonts w:ascii="Times New Roman" w:hAnsi="Times New Roman" w:cs="Times New Roman"/>
          <w:kern w:val="0"/>
          <w:lang w:eastAsia="en-US" w:bidi="ar-SA"/>
        </w:rPr>
        <w:t xml:space="preserve">Ponadto należy zauważyć, że właściwe przeprowadzenie analizy ryzyka </w:t>
      </w:r>
      <w:r w:rsidR="00595FD1" w:rsidRPr="00667967">
        <w:rPr>
          <w:rFonts w:ascii="Times New Roman" w:hAnsi="Times New Roman" w:cs="Times New Roman"/>
          <w:kern w:val="0"/>
          <w:lang w:eastAsia="en-US" w:bidi="ar-SA"/>
        </w:rPr>
        <w:t>związanego ze zmianami klimatu</w:t>
      </w:r>
      <w:r w:rsidRPr="00667967">
        <w:rPr>
          <w:rFonts w:ascii="Times New Roman" w:hAnsi="Times New Roman" w:cs="Times New Roman"/>
          <w:kern w:val="0"/>
          <w:lang w:eastAsia="en-US" w:bidi="ar-SA"/>
        </w:rPr>
        <w:t xml:space="preserve"> przedsięwzięć będzie niezbędne </w:t>
      </w:r>
      <w:r w:rsidR="00E40FFA" w:rsidRPr="00667967">
        <w:rPr>
          <w:rFonts w:ascii="Times New Roman" w:hAnsi="Times New Roman" w:cs="Times New Roman"/>
          <w:kern w:val="0"/>
          <w:lang w:eastAsia="en-US" w:bidi="ar-SA"/>
        </w:rPr>
        <w:t>do</w:t>
      </w:r>
      <w:r w:rsidRPr="00667967">
        <w:rPr>
          <w:rFonts w:ascii="Times New Roman" w:hAnsi="Times New Roman" w:cs="Times New Roman"/>
          <w:kern w:val="0"/>
          <w:lang w:eastAsia="en-US" w:bidi="ar-SA"/>
        </w:rPr>
        <w:t xml:space="preserve"> prawidłowej i</w:t>
      </w:r>
      <w:r w:rsidR="0002469B" w:rsidRPr="00667967">
        <w:rPr>
          <w:rFonts w:ascii="Times New Roman" w:hAnsi="Times New Roman" w:cs="Times New Roman"/>
          <w:kern w:val="0"/>
          <w:lang w:eastAsia="en-US" w:bidi="ar-SA"/>
        </w:rPr>
        <w:t> </w:t>
      </w:r>
      <w:r w:rsidRPr="00667967">
        <w:rPr>
          <w:rFonts w:ascii="Times New Roman" w:hAnsi="Times New Roman" w:cs="Times New Roman"/>
          <w:kern w:val="0"/>
          <w:lang w:eastAsia="en-US" w:bidi="ar-SA"/>
        </w:rPr>
        <w:t>efektywnej oceny przedsięwzięć/projektów kierowanych do dofinansowania ze środków UE w</w:t>
      </w:r>
      <w:r w:rsidR="0002469B" w:rsidRPr="00667967">
        <w:rPr>
          <w:rFonts w:ascii="Times New Roman" w:hAnsi="Times New Roman" w:cs="Times New Roman"/>
          <w:kern w:val="0"/>
          <w:lang w:eastAsia="en-US" w:bidi="ar-SA"/>
        </w:rPr>
        <w:t> </w:t>
      </w:r>
      <w:r w:rsidRPr="00667967">
        <w:rPr>
          <w:rFonts w:ascii="Times New Roman" w:hAnsi="Times New Roman" w:cs="Times New Roman"/>
          <w:kern w:val="0"/>
          <w:lang w:eastAsia="en-US" w:bidi="ar-SA"/>
        </w:rPr>
        <w:t>perspektywie finansowej 2021</w:t>
      </w:r>
      <w:r w:rsidR="0002469B" w:rsidRPr="00667967">
        <w:rPr>
          <w:rFonts w:ascii="Times New Roman" w:hAnsi="Times New Roman" w:cs="Times New Roman"/>
          <w:kern w:val="0"/>
          <w:lang w:eastAsia="en-US" w:bidi="ar-SA"/>
        </w:rPr>
        <w:t>–</w:t>
      </w:r>
      <w:r w:rsidRPr="00667967">
        <w:rPr>
          <w:rFonts w:ascii="Times New Roman" w:hAnsi="Times New Roman" w:cs="Times New Roman"/>
          <w:kern w:val="0"/>
          <w:lang w:eastAsia="en-US" w:bidi="ar-SA"/>
        </w:rPr>
        <w:t xml:space="preserve">2027, </w:t>
      </w:r>
      <w:r w:rsidR="00E40FFA" w:rsidRPr="00667967">
        <w:rPr>
          <w:rFonts w:ascii="Times New Roman" w:hAnsi="Times New Roman" w:cs="Times New Roman"/>
          <w:kern w:val="0"/>
          <w:lang w:eastAsia="en-US" w:bidi="ar-SA"/>
        </w:rPr>
        <w:t xml:space="preserve">w ramach której </w:t>
      </w:r>
      <w:r w:rsidRPr="00667967">
        <w:rPr>
          <w:rFonts w:ascii="Times New Roman" w:hAnsi="Times New Roman" w:cs="Times New Roman"/>
          <w:kern w:val="0"/>
          <w:lang w:eastAsia="en-US" w:bidi="ar-SA"/>
        </w:rPr>
        <w:t xml:space="preserve">zgodność projektów z celami ochrony klimatu i adaptacji do zmian klimatu będzie traktowana priorytetowo. </w:t>
      </w:r>
      <w:r w:rsidR="009C5B73" w:rsidRPr="00667967">
        <w:rPr>
          <w:rFonts w:ascii="Times New Roman" w:hAnsi="Times New Roman" w:cs="Times New Roman"/>
          <w:kern w:val="0"/>
          <w:lang w:eastAsia="en-US" w:bidi="ar-SA"/>
        </w:rPr>
        <w:t>Z</w:t>
      </w:r>
      <w:r w:rsidR="002E79F8" w:rsidRPr="00667967">
        <w:rPr>
          <w:rFonts w:ascii="Times New Roman" w:hAnsi="Times New Roman" w:cs="Times New Roman"/>
          <w:kern w:val="0"/>
          <w:lang w:eastAsia="en-US" w:bidi="ar-SA"/>
        </w:rPr>
        <w:t>godnie</w:t>
      </w:r>
      <w:r w:rsidR="009C5B73" w:rsidRPr="00667967">
        <w:rPr>
          <w:rFonts w:ascii="Times New Roman" w:hAnsi="Times New Roman" w:cs="Times New Roman"/>
          <w:kern w:val="0"/>
          <w:lang w:eastAsia="en-US" w:bidi="ar-SA"/>
        </w:rPr>
        <w:t xml:space="preserve"> </w:t>
      </w:r>
      <w:r w:rsidR="00D628F2" w:rsidRPr="00667967">
        <w:rPr>
          <w:rFonts w:ascii="Times New Roman" w:hAnsi="Times New Roman" w:cs="Times New Roman"/>
          <w:kern w:val="0"/>
          <w:lang w:eastAsia="en-US" w:bidi="ar-SA"/>
        </w:rPr>
        <w:t xml:space="preserve">z </w:t>
      </w:r>
      <w:r w:rsidR="009C5B73" w:rsidRPr="00667967">
        <w:rPr>
          <w:rFonts w:ascii="Times New Roman" w:hAnsi="Times New Roman" w:cs="Times New Roman"/>
          <w:kern w:val="0"/>
          <w:lang w:eastAsia="en-US" w:bidi="ar-SA"/>
        </w:rPr>
        <w:t xml:space="preserve">art. 73 ust. 2 lit. j </w:t>
      </w:r>
      <w:r w:rsidR="00964DCC" w:rsidRPr="00667967">
        <w:rPr>
          <w:rFonts w:ascii="Times New Roman" w:hAnsi="Times New Roman" w:cs="Times New Roman"/>
        </w:rPr>
        <w:t>rozporządzenia Parlamentu i Rady</w:t>
      </w:r>
      <w:r w:rsidR="00D47321" w:rsidRPr="00667967">
        <w:rPr>
          <w:rFonts w:ascii="Times New Roman" w:hAnsi="Times New Roman" w:cs="Times New Roman"/>
        </w:rPr>
        <w:t xml:space="preserve"> </w:t>
      </w:r>
      <w:r w:rsidR="00964DCC" w:rsidRPr="00667967">
        <w:rPr>
          <w:rFonts w:ascii="Times New Roman" w:hAnsi="Times New Roman" w:cs="Times New Roman"/>
        </w:rPr>
        <w:t xml:space="preserve">(UE) 2021/1060 z dnia 24 czerwca 2021 r. ustanawiającego wspólne przepisy dotyczące Europejskiego Funduszu Rozwoju Regionalnego, Europejskiego Funduszu Społecznego Plus, Funduszu Spójności, Funduszu na rzecz Sprawiedliwej </w:t>
      </w:r>
      <w:r w:rsidR="00964DCC" w:rsidRPr="00667967">
        <w:rPr>
          <w:rFonts w:ascii="Times New Roman" w:hAnsi="Times New Roman" w:cs="Times New Roman"/>
        </w:rPr>
        <w:lastRenderedPageBreak/>
        <w:t>Transformacji i</w:t>
      </w:r>
      <w:r w:rsidR="0002469B" w:rsidRPr="00667967">
        <w:rPr>
          <w:rFonts w:ascii="Times New Roman" w:hAnsi="Times New Roman" w:cs="Times New Roman"/>
        </w:rPr>
        <w:t> </w:t>
      </w:r>
      <w:r w:rsidR="00964DCC" w:rsidRPr="00667967">
        <w:rPr>
          <w:rFonts w:ascii="Times New Roman" w:hAnsi="Times New Roman" w:cs="Times New Roman"/>
        </w:rPr>
        <w:t>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9C5B73" w:rsidRPr="00667967">
        <w:rPr>
          <w:rFonts w:ascii="Times New Roman" w:hAnsi="Times New Roman" w:cs="Times New Roman"/>
          <w:kern w:val="0"/>
          <w:lang w:eastAsia="en-US" w:bidi="ar-SA"/>
        </w:rPr>
        <w:t xml:space="preserve"> przy dokonywaniu wyboru operacji instytucja zarządzająca zapewnia uodpornienie na klimat w odniesieniu do inwestycji w infrastrukturę o przewidywanej trwałości wynoszącej co najmniej pięć lat. </w:t>
      </w:r>
    </w:p>
    <w:p w14:paraId="3D967BE3" w14:textId="58188B50" w:rsidR="009610A4" w:rsidRPr="00667967" w:rsidRDefault="009610A4" w:rsidP="00595221">
      <w:pPr>
        <w:widowControl/>
        <w:suppressAutoHyphens w:val="0"/>
        <w:spacing w:after="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 xml:space="preserve">Dla inwestycji finansowanych z Programu Operacyjnego Infrastruktura i Środowisko </w:t>
      </w:r>
      <w:r w:rsidR="00D029CA">
        <w:rPr>
          <w:rFonts w:ascii="Times New Roman" w:eastAsia="Times New Roman" w:hAnsi="Times New Roman" w:cs="Times New Roman"/>
          <w:kern w:val="0"/>
          <w:lang w:eastAsia="pl-PL" w:bidi="ar-SA"/>
        </w:rPr>
        <w:br/>
      </w:r>
      <w:r w:rsidRPr="00667967">
        <w:rPr>
          <w:rFonts w:ascii="Times New Roman" w:eastAsia="Times New Roman" w:hAnsi="Times New Roman" w:cs="Times New Roman"/>
          <w:kern w:val="0"/>
          <w:lang w:eastAsia="pl-PL" w:bidi="ar-SA"/>
        </w:rPr>
        <w:t>2014</w:t>
      </w:r>
      <w:r w:rsidR="00546FFE">
        <w:rPr>
          <w:rFonts w:ascii="Times New Roman" w:eastAsia="Times New Roman" w:hAnsi="Times New Roman" w:cs="Times New Roman"/>
          <w:kern w:val="0"/>
          <w:lang w:eastAsia="pl-PL" w:bidi="ar-SA"/>
        </w:rPr>
        <w:t>–</w:t>
      </w:r>
      <w:r w:rsidRPr="00667967">
        <w:rPr>
          <w:rFonts w:ascii="Times New Roman" w:eastAsia="Times New Roman" w:hAnsi="Times New Roman" w:cs="Times New Roman"/>
          <w:kern w:val="0"/>
          <w:lang w:eastAsia="pl-PL" w:bidi="ar-SA"/>
        </w:rPr>
        <w:t xml:space="preserve">2020 analizy ryzyka </w:t>
      </w:r>
      <w:r w:rsidR="00BF7F61" w:rsidRPr="00667967">
        <w:rPr>
          <w:rFonts w:ascii="Times New Roman" w:eastAsia="Times New Roman" w:hAnsi="Times New Roman" w:cs="Times New Roman"/>
          <w:kern w:val="0"/>
          <w:lang w:eastAsia="pl-PL" w:bidi="ar-SA"/>
        </w:rPr>
        <w:t>związanego ze zmianami klimatu</w:t>
      </w:r>
      <w:r w:rsidRPr="00667967">
        <w:rPr>
          <w:rFonts w:ascii="Times New Roman" w:eastAsia="Times New Roman" w:hAnsi="Times New Roman" w:cs="Times New Roman"/>
          <w:kern w:val="0"/>
          <w:lang w:eastAsia="pl-PL" w:bidi="ar-SA"/>
        </w:rPr>
        <w:t xml:space="preserve"> były wymagane – nie tylko na etapie postępowania ooś, ale mogły zostać też przeprowadzone na etapie studium wykonalności. Co do zasady weryfikacja spełnienia tego wymogu następowała na etapie oceny kryteriów II stopnia. Warto także podkreślić, że jeżeli w toku oceny projektu okaże się, że wymagany zakres analiz ryzyka </w:t>
      </w:r>
      <w:r w:rsidR="00BF7F61" w:rsidRPr="00667967">
        <w:rPr>
          <w:rFonts w:ascii="Times New Roman" w:eastAsia="Times New Roman" w:hAnsi="Times New Roman" w:cs="Times New Roman"/>
          <w:kern w:val="0"/>
          <w:lang w:eastAsia="pl-PL" w:bidi="ar-SA"/>
        </w:rPr>
        <w:t>związanego ze zmianami klimatu</w:t>
      </w:r>
      <w:r w:rsidRPr="00667967">
        <w:rPr>
          <w:rFonts w:ascii="Times New Roman" w:eastAsia="Times New Roman" w:hAnsi="Times New Roman" w:cs="Times New Roman"/>
          <w:kern w:val="0"/>
          <w:lang w:eastAsia="pl-PL" w:bidi="ar-SA"/>
        </w:rPr>
        <w:t xml:space="preserve"> nie został przeprowadzony na etapie ooś, wówczas weryfikuje się pod tym kątem studium wykonalności. Jeżeli w studium wykonalności również zostanie stwierdzony brak adekwatnych analiz ryzyka </w:t>
      </w:r>
      <w:r w:rsidR="00BF7F61" w:rsidRPr="00667967">
        <w:rPr>
          <w:rFonts w:ascii="Times New Roman" w:eastAsia="Times New Roman" w:hAnsi="Times New Roman" w:cs="Times New Roman"/>
          <w:kern w:val="0"/>
          <w:lang w:eastAsia="pl-PL" w:bidi="ar-SA"/>
        </w:rPr>
        <w:t>związanego ze zmianami klimatu</w:t>
      </w:r>
      <w:r w:rsidRPr="00667967">
        <w:rPr>
          <w:rFonts w:ascii="Times New Roman" w:eastAsia="Times New Roman" w:hAnsi="Times New Roman" w:cs="Times New Roman"/>
          <w:kern w:val="0"/>
          <w:lang w:eastAsia="pl-PL" w:bidi="ar-SA"/>
        </w:rPr>
        <w:t>, który w szczególności kompensowałby braki z etapu ooś, wnioskodawca zostanie w</w:t>
      </w:r>
      <w:r w:rsidR="00E40FFA" w:rsidRPr="00667967">
        <w:rPr>
          <w:rFonts w:ascii="Times New Roman" w:eastAsia="Times New Roman" w:hAnsi="Times New Roman" w:cs="Times New Roman"/>
          <w:kern w:val="0"/>
          <w:lang w:eastAsia="pl-PL" w:bidi="ar-SA"/>
        </w:rPr>
        <w:t>ezwany</w:t>
      </w:r>
      <w:r w:rsidRPr="00667967">
        <w:rPr>
          <w:rFonts w:ascii="Times New Roman" w:eastAsia="Times New Roman" w:hAnsi="Times New Roman" w:cs="Times New Roman"/>
          <w:kern w:val="0"/>
          <w:lang w:eastAsia="pl-PL" w:bidi="ar-SA"/>
        </w:rPr>
        <w:t xml:space="preserve"> do uzupełnienia studium wykonalności w tym obszarze. </w:t>
      </w:r>
      <w:r w:rsidR="009C5B73" w:rsidRPr="00667967">
        <w:rPr>
          <w:rFonts w:ascii="Times New Roman" w:eastAsia="Times New Roman" w:hAnsi="Times New Roman" w:cs="Times New Roman"/>
          <w:kern w:val="0"/>
          <w:lang w:eastAsia="pl-PL" w:bidi="ar-SA"/>
        </w:rPr>
        <w:t>Podobne zasady będą stosowane w ramach programu Fundusze Europejskie na Infrastrukturę, Klimat, Środowisko 2021</w:t>
      </w:r>
      <w:r w:rsidR="00546FFE">
        <w:rPr>
          <w:rFonts w:ascii="Times New Roman" w:eastAsia="Times New Roman" w:hAnsi="Times New Roman" w:cs="Times New Roman"/>
          <w:kern w:val="0"/>
          <w:lang w:eastAsia="pl-PL" w:bidi="ar-SA"/>
        </w:rPr>
        <w:t>–</w:t>
      </w:r>
      <w:r w:rsidR="009C5B73" w:rsidRPr="00667967">
        <w:rPr>
          <w:rFonts w:ascii="Times New Roman" w:eastAsia="Times New Roman" w:hAnsi="Times New Roman" w:cs="Times New Roman"/>
          <w:kern w:val="0"/>
          <w:lang w:eastAsia="pl-PL" w:bidi="ar-SA"/>
        </w:rPr>
        <w:t>2027, przy uwzględnieniu wszystkich koniecznych zmian wynikających z systemu oceny projektów oraz przepisów stosownych rozporządzeń UE.</w:t>
      </w:r>
      <w:r w:rsidR="00964DCC" w:rsidRPr="00667967">
        <w:rPr>
          <w:rFonts w:ascii="Times New Roman" w:hAnsi="Times New Roman" w:cs="Times New Roman"/>
        </w:rPr>
        <w:t xml:space="preserve"> Warto </w:t>
      </w:r>
      <w:r w:rsidR="00712469" w:rsidRPr="00667967">
        <w:rPr>
          <w:rFonts w:ascii="Times New Roman" w:hAnsi="Times New Roman" w:cs="Times New Roman"/>
        </w:rPr>
        <w:t xml:space="preserve">także </w:t>
      </w:r>
      <w:r w:rsidR="00964DCC" w:rsidRPr="00667967">
        <w:rPr>
          <w:rFonts w:ascii="Times New Roman" w:hAnsi="Times New Roman" w:cs="Times New Roman"/>
        </w:rPr>
        <w:t xml:space="preserve">zwrócić uwagę, że </w:t>
      </w:r>
      <w:r w:rsidR="00D315EB" w:rsidRPr="00667967">
        <w:rPr>
          <w:rFonts w:ascii="Times New Roman" w:hAnsi="Times New Roman" w:cs="Times New Roman"/>
        </w:rPr>
        <w:t>został przygotowany „Poradnik weryfikacji inwestycji pod względem wpływu na klimat i adaptacji do zmian klimatu w okresie programowania UE 2021</w:t>
      </w:r>
      <w:r w:rsidR="00E94251" w:rsidRPr="00667967">
        <w:rPr>
          <w:rFonts w:ascii="Times New Roman" w:hAnsi="Times New Roman" w:cs="Times New Roman"/>
        </w:rPr>
        <w:t>–</w:t>
      </w:r>
      <w:r w:rsidR="00D315EB" w:rsidRPr="00667967">
        <w:rPr>
          <w:rFonts w:ascii="Times New Roman" w:hAnsi="Times New Roman" w:cs="Times New Roman"/>
        </w:rPr>
        <w:t>2027”, który stanowi aktualizacj</w:t>
      </w:r>
      <w:r w:rsidR="008F0F4A" w:rsidRPr="00667967">
        <w:rPr>
          <w:rFonts w:ascii="Times New Roman" w:hAnsi="Times New Roman" w:cs="Times New Roman"/>
        </w:rPr>
        <w:t>ę</w:t>
      </w:r>
      <w:r w:rsidR="00D315EB" w:rsidRPr="00667967">
        <w:rPr>
          <w:rFonts w:ascii="Times New Roman" w:hAnsi="Times New Roman" w:cs="Times New Roman"/>
        </w:rPr>
        <w:t xml:space="preserve"> „Poradnika przygotowania inwestycji z uwzględnieniem zmian klimatu, ich łagodzenia i przystosowania do tych zmian oraz odporności na klęski żywiołowe”, wydanego przez Ministerstwo Środowiska w 2015 r.</w:t>
      </w:r>
    </w:p>
    <w:p w14:paraId="511B7C85" w14:textId="77777777" w:rsidR="00F66FEB" w:rsidRPr="00667967" w:rsidRDefault="00F66FEB" w:rsidP="00595221">
      <w:pPr>
        <w:keepNext/>
        <w:widowControl/>
        <w:suppressAutoHyphens w:val="0"/>
        <w:spacing w:after="120" w:line="360" w:lineRule="auto"/>
        <w:jc w:val="both"/>
        <w:rPr>
          <w:rFonts w:ascii="Times New Roman" w:eastAsia="Times New Roman" w:hAnsi="Times New Roman" w:cs="Times New Roman"/>
          <w:b/>
          <w:bCs/>
          <w:kern w:val="0"/>
          <w:lang w:eastAsia="pl-PL" w:bidi="ar-SA"/>
        </w:rPr>
      </w:pPr>
      <w:r w:rsidRPr="00667967">
        <w:rPr>
          <w:rFonts w:ascii="Times New Roman" w:eastAsia="Times New Roman" w:hAnsi="Times New Roman" w:cs="Times New Roman"/>
          <w:b/>
          <w:bCs/>
          <w:kern w:val="0"/>
          <w:lang w:eastAsia="pl-PL" w:bidi="ar-SA"/>
        </w:rPr>
        <w:t>Zmiany art. 21 i 25</w:t>
      </w:r>
    </w:p>
    <w:p w14:paraId="218BF927" w14:textId="79DF99F3" w:rsidR="0054586D" w:rsidRPr="00667967" w:rsidRDefault="00FD7B34" w:rsidP="00595221">
      <w:pPr>
        <w:widowControl/>
        <w:suppressAutoHyphens w:val="0"/>
        <w:spacing w:after="120" w:line="360" w:lineRule="auto"/>
        <w:jc w:val="both"/>
        <w:rPr>
          <w:rFonts w:ascii="Times New Roman" w:hAnsi="Times New Roman" w:cs="Times New Roman"/>
          <w:b/>
        </w:rPr>
      </w:pPr>
      <w:r w:rsidRPr="00667967">
        <w:rPr>
          <w:rFonts w:ascii="Times New Roman" w:eastAsia="Times New Roman" w:hAnsi="Times New Roman" w:cs="Times New Roman"/>
          <w:kern w:val="0"/>
          <w:lang w:eastAsia="pl-PL" w:bidi="ar-SA"/>
        </w:rPr>
        <w:t xml:space="preserve">Wśród dokumentów zawierających informacje o środowisku i jego ochronie </w:t>
      </w:r>
      <w:r w:rsidR="00B8037C" w:rsidRPr="00667967">
        <w:rPr>
          <w:rFonts w:ascii="Times New Roman" w:eastAsia="Times New Roman" w:hAnsi="Times New Roman" w:cs="Times New Roman"/>
          <w:kern w:val="0"/>
          <w:lang w:eastAsia="pl-PL" w:bidi="ar-SA"/>
        </w:rPr>
        <w:t>z zakresu ustawy</w:t>
      </w:r>
      <w:r w:rsidR="005F1B86" w:rsidRPr="00667967">
        <w:rPr>
          <w:rFonts w:ascii="Times New Roman" w:eastAsia="Times New Roman" w:hAnsi="Times New Roman" w:cs="Times New Roman"/>
          <w:kern w:val="0"/>
          <w:lang w:eastAsia="pl-PL" w:bidi="ar-SA"/>
        </w:rPr>
        <w:t xml:space="preserve"> Poś</w:t>
      </w:r>
      <w:r w:rsidRPr="00667967">
        <w:rPr>
          <w:rFonts w:ascii="Times New Roman" w:eastAsia="Times New Roman" w:hAnsi="Times New Roman" w:cs="Times New Roman"/>
          <w:kern w:val="0"/>
          <w:lang w:eastAsia="pl-PL" w:bidi="ar-SA"/>
        </w:rPr>
        <w:t xml:space="preserve">, które należy zamieścić w publicznie dostępnych wykazach, uwzględniono projekty MPA, </w:t>
      </w:r>
      <w:r w:rsidR="00B27980" w:rsidRPr="00667967">
        <w:rPr>
          <w:rFonts w:ascii="Times New Roman" w:eastAsia="Times New Roman" w:hAnsi="Times New Roman" w:cs="Times New Roman"/>
          <w:kern w:val="0"/>
          <w:lang w:eastAsia="pl-PL" w:bidi="ar-SA"/>
        </w:rPr>
        <w:t xml:space="preserve">uchwalone </w:t>
      </w:r>
      <w:r w:rsidRPr="00667967">
        <w:rPr>
          <w:rFonts w:ascii="Times New Roman" w:eastAsia="Times New Roman" w:hAnsi="Times New Roman" w:cs="Times New Roman"/>
          <w:kern w:val="0"/>
          <w:lang w:eastAsia="pl-PL" w:bidi="ar-SA"/>
        </w:rPr>
        <w:t>MPA</w:t>
      </w:r>
      <w:r w:rsidR="00B2580A" w:rsidRPr="00667967">
        <w:rPr>
          <w:rFonts w:ascii="Times New Roman" w:eastAsia="Times New Roman" w:hAnsi="Times New Roman" w:cs="Times New Roman"/>
          <w:kern w:val="0"/>
          <w:lang w:eastAsia="pl-PL" w:bidi="ar-SA"/>
        </w:rPr>
        <w:t xml:space="preserve"> </w:t>
      </w:r>
      <w:r w:rsidRPr="00667967">
        <w:rPr>
          <w:rFonts w:ascii="Times New Roman" w:eastAsia="Times New Roman" w:hAnsi="Times New Roman" w:cs="Times New Roman"/>
          <w:kern w:val="0"/>
          <w:lang w:eastAsia="pl-PL" w:bidi="ar-SA"/>
        </w:rPr>
        <w:t xml:space="preserve">oraz </w:t>
      </w:r>
      <w:r w:rsidR="00B8037C" w:rsidRPr="00667967">
        <w:rPr>
          <w:rFonts w:ascii="Times New Roman" w:eastAsia="Times New Roman" w:hAnsi="Times New Roman" w:cs="Times New Roman"/>
          <w:kern w:val="0"/>
          <w:lang w:eastAsia="pl-PL" w:bidi="ar-SA"/>
        </w:rPr>
        <w:t>sprawozdania</w:t>
      </w:r>
      <w:r w:rsidR="005F1B86" w:rsidRPr="00667967">
        <w:rPr>
          <w:rFonts w:ascii="Times New Roman" w:eastAsia="Times New Roman" w:hAnsi="Times New Roman" w:cs="Times New Roman"/>
          <w:kern w:val="0"/>
          <w:lang w:eastAsia="pl-PL" w:bidi="ar-SA"/>
        </w:rPr>
        <w:t xml:space="preserve"> </w:t>
      </w:r>
      <w:r w:rsidRPr="00667967">
        <w:rPr>
          <w:rFonts w:ascii="Times New Roman" w:eastAsia="Times New Roman" w:hAnsi="Times New Roman" w:cs="Times New Roman"/>
          <w:kern w:val="0"/>
          <w:lang w:eastAsia="pl-PL" w:bidi="ar-SA"/>
        </w:rPr>
        <w:t xml:space="preserve">z </w:t>
      </w:r>
      <w:r w:rsidR="004C7E3D" w:rsidRPr="00667967">
        <w:rPr>
          <w:rFonts w:ascii="Times New Roman" w:eastAsia="Times New Roman" w:hAnsi="Times New Roman" w:cs="Times New Roman"/>
          <w:kern w:val="0"/>
          <w:lang w:eastAsia="pl-PL" w:bidi="ar-SA"/>
        </w:rPr>
        <w:t xml:space="preserve">monitorowania </w:t>
      </w:r>
      <w:r w:rsidRPr="00667967">
        <w:rPr>
          <w:rFonts w:ascii="Times New Roman" w:eastAsia="Times New Roman" w:hAnsi="Times New Roman" w:cs="Times New Roman"/>
          <w:kern w:val="0"/>
          <w:lang w:eastAsia="pl-PL" w:bidi="ar-SA"/>
        </w:rPr>
        <w:t>wdrażania działań adaptacyjnych zawartych w MPA.</w:t>
      </w:r>
    </w:p>
    <w:p w14:paraId="515E6D9B" w14:textId="09EB4392" w:rsidR="00172CD1" w:rsidRPr="00667967" w:rsidRDefault="00172CD1" w:rsidP="00595221">
      <w:pPr>
        <w:widowControl/>
        <w:spacing w:after="120" w:line="360" w:lineRule="auto"/>
        <w:rPr>
          <w:rFonts w:ascii="Times New Roman" w:hAnsi="Times New Roman" w:cs="Times New Roman"/>
          <w:b/>
        </w:rPr>
      </w:pPr>
      <w:r w:rsidRPr="00667967">
        <w:rPr>
          <w:rFonts w:ascii="Times New Roman" w:hAnsi="Times New Roman" w:cs="Times New Roman"/>
          <w:b/>
        </w:rPr>
        <w:t>Zmiany art. 62 ust. 1</w:t>
      </w:r>
      <w:r w:rsidR="009610A4" w:rsidRPr="00667967">
        <w:rPr>
          <w:rFonts w:ascii="Times New Roman" w:hAnsi="Times New Roman" w:cs="Times New Roman"/>
          <w:b/>
        </w:rPr>
        <w:t xml:space="preserve"> </w:t>
      </w:r>
    </w:p>
    <w:p w14:paraId="41B09AB9" w14:textId="4F29ABB9" w:rsidR="00C71B83" w:rsidRPr="00667967" w:rsidRDefault="00CA093B" w:rsidP="00595221">
      <w:pPr>
        <w:widowControl/>
        <w:suppressAutoHyphens w:val="0"/>
        <w:spacing w:after="120" w:line="360" w:lineRule="auto"/>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 xml:space="preserve">W </w:t>
      </w:r>
      <w:r w:rsidR="002534FD" w:rsidRPr="00667967">
        <w:rPr>
          <w:rFonts w:ascii="Times New Roman" w:hAnsi="Times New Roman" w:cs="Times New Roman"/>
          <w:kern w:val="0"/>
          <w:lang w:eastAsia="en-US" w:bidi="ar-SA"/>
        </w:rPr>
        <w:t>a</w:t>
      </w:r>
      <w:r w:rsidRPr="00667967">
        <w:rPr>
          <w:rFonts w:ascii="Times New Roman" w:hAnsi="Times New Roman" w:cs="Times New Roman"/>
          <w:kern w:val="0"/>
          <w:lang w:eastAsia="en-US" w:bidi="ar-SA"/>
        </w:rPr>
        <w:t xml:space="preserve">rt. 62 </w:t>
      </w:r>
      <w:r w:rsidR="00172CD1" w:rsidRPr="00667967">
        <w:rPr>
          <w:rFonts w:ascii="Times New Roman" w:hAnsi="Times New Roman" w:cs="Times New Roman"/>
          <w:kern w:val="0"/>
          <w:lang w:eastAsia="en-US" w:bidi="ar-SA"/>
        </w:rPr>
        <w:t xml:space="preserve">w </w:t>
      </w:r>
      <w:r w:rsidRPr="00667967">
        <w:rPr>
          <w:rFonts w:ascii="Times New Roman" w:hAnsi="Times New Roman" w:cs="Times New Roman"/>
          <w:kern w:val="0"/>
          <w:lang w:eastAsia="en-US" w:bidi="ar-SA"/>
        </w:rPr>
        <w:t xml:space="preserve">ust. 1 ustawy </w:t>
      </w:r>
      <w:r w:rsidR="00172CD1" w:rsidRPr="00667967">
        <w:rPr>
          <w:rFonts w:ascii="Times New Roman" w:hAnsi="Times New Roman" w:cs="Times New Roman"/>
          <w:kern w:val="0"/>
          <w:lang w:eastAsia="en-US" w:bidi="ar-SA"/>
        </w:rPr>
        <w:t xml:space="preserve">ooś, </w:t>
      </w:r>
      <w:r w:rsidR="004D1D52" w:rsidRPr="00667967">
        <w:rPr>
          <w:rFonts w:ascii="Times New Roman" w:hAnsi="Times New Roman" w:cs="Times New Roman"/>
          <w:kern w:val="0"/>
          <w:lang w:eastAsia="en-US" w:bidi="ar-SA"/>
        </w:rPr>
        <w:t xml:space="preserve">proponuje się zmianę o charakterze porządkującym (zgodność z art. 66 ustawy ooś), przez wskazanie, że </w:t>
      </w:r>
      <w:r w:rsidR="001F3E74" w:rsidRPr="00667967">
        <w:rPr>
          <w:rFonts w:ascii="Times New Roman" w:hAnsi="Times New Roman" w:cs="Times New Roman"/>
          <w:kern w:val="0"/>
          <w:lang w:eastAsia="en-US" w:bidi="ar-SA"/>
        </w:rPr>
        <w:t xml:space="preserve">w </w:t>
      </w:r>
      <w:r w:rsidRPr="00667967">
        <w:rPr>
          <w:rFonts w:ascii="Times New Roman" w:hAnsi="Times New Roman" w:cs="Times New Roman"/>
          <w:kern w:val="0"/>
          <w:lang w:eastAsia="en-US" w:bidi="ar-SA"/>
        </w:rPr>
        <w:t xml:space="preserve">ramach oceny oddziaływania przedsięwzięcia na </w:t>
      </w:r>
      <w:r w:rsidRPr="00667967">
        <w:rPr>
          <w:rFonts w:ascii="Times New Roman" w:hAnsi="Times New Roman" w:cs="Times New Roman"/>
          <w:kern w:val="0"/>
          <w:lang w:eastAsia="en-US" w:bidi="ar-SA"/>
        </w:rPr>
        <w:lastRenderedPageBreak/>
        <w:t>środowisko określa się, analizuje oraz ocenia</w:t>
      </w:r>
      <w:r w:rsidR="00172CD1" w:rsidRPr="00667967">
        <w:rPr>
          <w:rFonts w:ascii="Times New Roman" w:hAnsi="Times New Roman" w:cs="Times New Roman"/>
          <w:kern w:val="0"/>
          <w:lang w:eastAsia="en-US" w:bidi="ar-SA"/>
        </w:rPr>
        <w:t>: (…)</w:t>
      </w:r>
      <w:r w:rsidR="002172F3" w:rsidRPr="00667967">
        <w:rPr>
          <w:rFonts w:ascii="Times New Roman" w:hAnsi="Times New Roman" w:cs="Times New Roman"/>
          <w:kern w:val="0"/>
          <w:lang w:eastAsia="en-US" w:bidi="ar-SA"/>
        </w:rPr>
        <w:t xml:space="preserve"> </w:t>
      </w:r>
      <w:r w:rsidR="004D1D52" w:rsidRPr="00667967">
        <w:rPr>
          <w:rFonts w:ascii="Times New Roman" w:hAnsi="Times New Roman" w:cs="Times New Roman"/>
          <w:kern w:val="0"/>
          <w:lang w:eastAsia="en-US" w:bidi="ar-SA"/>
        </w:rPr>
        <w:t>wpływ na</w:t>
      </w:r>
      <w:r w:rsidRPr="00667967">
        <w:rPr>
          <w:rFonts w:ascii="Times New Roman" w:hAnsi="Times New Roman" w:cs="Times New Roman"/>
          <w:kern w:val="0"/>
          <w:lang w:eastAsia="en-US" w:bidi="ar-SA"/>
        </w:rPr>
        <w:t xml:space="preserve"> „</w:t>
      </w:r>
      <w:r w:rsidR="002172F3" w:rsidRPr="00667967">
        <w:rPr>
          <w:rFonts w:ascii="Times New Roman" w:hAnsi="Times New Roman" w:cs="Times New Roman"/>
          <w:kern w:val="0"/>
          <w:lang w:eastAsia="en-US" w:bidi="ar-SA"/>
        </w:rPr>
        <w:t>a)</w:t>
      </w:r>
      <w:r w:rsidR="002172F3" w:rsidRPr="00595221">
        <w:rPr>
          <w:rFonts w:ascii="Times New Roman" w:hAnsi="Times New Roman" w:cs="Times New Roman"/>
        </w:rPr>
        <w:t xml:space="preserve"> </w:t>
      </w:r>
      <w:r w:rsidR="002172F3" w:rsidRPr="00667967">
        <w:rPr>
          <w:rFonts w:ascii="Times New Roman" w:hAnsi="Times New Roman" w:cs="Times New Roman"/>
          <w:kern w:val="0"/>
          <w:lang w:eastAsia="en-US" w:bidi="ar-SA"/>
        </w:rPr>
        <w:t>środowisko, w tym klimat, oraz ludność, w tym zdrowie i warunki życia ludzi</w:t>
      </w:r>
      <w:r w:rsidRPr="00667967">
        <w:rPr>
          <w:rFonts w:ascii="Times New Roman" w:hAnsi="Times New Roman" w:cs="Times New Roman"/>
          <w:kern w:val="0"/>
          <w:lang w:eastAsia="en-US" w:bidi="ar-SA"/>
        </w:rPr>
        <w:t>”</w:t>
      </w:r>
      <w:r w:rsidR="004D1D52" w:rsidRPr="00667967">
        <w:rPr>
          <w:rFonts w:ascii="Times New Roman" w:hAnsi="Times New Roman" w:cs="Times New Roman"/>
          <w:kern w:val="0"/>
          <w:lang w:eastAsia="en-US" w:bidi="ar-SA"/>
        </w:rPr>
        <w:t xml:space="preserve">. A </w:t>
      </w:r>
      <w:r w:rsidR="000422BE" w:rsidRPr="00667967">
        <w:rPr>
          <w:rFonts w:ascii="Times New Roman" w:hAnsi="Times New Roman" w:cs="Times New Roman"/>
          <w:kern w:val="0"/>
          <w:lang w:eastAsia="en-US" w:bidi="ar-SA"/>
        </w:rPr>
        <w:t xml:space="preserve">ponadto </w:t>
      </w:r>
      <w:r w:rsidR="00D83FDD" w:rsidRPr="00667967">
        <w:rPr>
          <w:rFonts w:ascii="Times New Roman" w:hAnsi="Times New Roman" w:cs="Times New Roman"/>
          <w:kern w:val="0"/>
          <w:lang w:eastAsia="en-US" w:bidi="ar-SA"/>
        </w:rPr>
        <w:t>proponuje</w:t>
      </w:r>
      <w:r w:rsidR="000422BE" w:rsidRPr="00667967">
        <w:rPr>
          <w:rFonts w:ascii="Times New Roman" w:hAnsi="Times New Roman" w:cs="Times New Roman"/>
          <w:kern w:val="0"/>
          <w:lang w:eastAsia="en-US" w:bidi="ar-SA"/>
        </w:rPr>
        <w:t xml:space="preserve"> się</w:t>
      </w:r>
      <w:r w:rsidR="00D83FDD" w:rsidRPr="00667967">
        <w:rPr>
          <w:rFonts w:ascii="Times New Roman" w:hAnsi="Times New Roman" w:cs="Times New Roman"/>
          <w:kern w:val="0"/>
          <w:lang w:eastAsia="en-US" w:bidi="ar-SA"/>
        </w:rPr>
        <w:t xml:space="preserve"> dodać</w:t>
      </w:r>
      <w:r w:rsidR="000422BE" w:rsidRPr="00667967">
        <w:rPr>
          <w:rFonts w:ascii="Times New Roman" w:hAnsi="Times New Roman" w:cs="Times New Roman"/>
          <w:kern w:val="0"/>
          <w:lang w:eastAsia="en-US" w:bidi="ar-SA"/>
        </w:rPr>
        <w:t xml:space="preserve"> </w:t>
      </w:r>
      <w:r w:rsidR="00172CD1" w:rsidRPr="00667967">
        <w:rPr>
          <w:rFonts w:ascii="Times New Roman" w:hAnsi="Times New Roman" w:cs="Times New Roman"/>
          <w:kern w:val="0"/>
          <w:lang w:eastAsia="en-US" w:bidi="ar-SA"/>
        </w:rPr>
        <w:t xml:space="preserve">pkt </w:t>
      </w:r>
      <w:r w:rsidR="000422BE" w:rsidRPr="00667967">
        <w:rPr>
          <w:rFonts w:ascii="Times New Roman" w:hAnsi="Times New Roman" w:cs="Times New Roman"/>
          <w:kern w:val="0"/>
          <w:lang w:eastAsia="en-US" w:bidi="ar-SA"/>
        </w:rPr>
        <w:t xml:space="preserve">1b w brzmieniu: „1b) podatność </w:t>
      </w:r>
      <w:r w:rsidR="00BF7F61" w:rsidRPr="00667967">
        <w:rPr>
          <w:rFonts w:ascii="Times New Roman" w:hAnsi="Times New Roman" w:cs="Times New Roman"/>
          <w:kern w:val="0"/>
          <w:lang w:eastAsia="en-US" w:bidi="ar-SA"/>
        </w:rPr>
        <w:t xml:space="preserve">danego </w:t>
      </w:r>
      <w:r w:rsidR="000422BE" w:rsidRPr="00667967">
        <w:rPr>
          <w:rFonts w:ascii="Times New Roman" w:hAnsi="Times New Roman" w:cs="Times New Roman"/>
          <w:kern w:val="0"/>
          <w:lang w:eastAsia="en-US" w:bidi="ar-SA"/>
        </w:rPr>
        <w:t>przedsięwzięcia na zmian</w:t>
      </w:r>
      <w:r w:rsidR="00A7122A" w:rsidRPr="00667967">
        <w:rPr>
          <w:rFonts w:ascii="Times New Roman" w:hAnsi="Times New Roman" w:cs="Times New Roman"/>
          <w:kern w:val="0"/>
          <w:lang w:eastAsia="en-US" w:bidi="ar-SA"/>
        </w:rPr>
        <w:t>y</w:t>
      </w:r>
      <w:r w:rsidR="000422BE" w:rsidRPr="00667967">
        <w:rPr>
          <w:rFonts w:ascii="Times New Roman" w:hAnsi="Times New Roman" w:cs="Times New Roman"/>
          <w:kern w:val="0"/>
          <w:lang w:eastAsia="en-US" w:bidi="ar-SA"/>
        </w:rPr>
        <w:t xml:space="preserve"> klimatu”</w:t>
      </w:r>
      <w:r w:rsidR="004D1D52" w:rsidRPr="00667967">
        <w:rPr>
          <w:rFonts w:ascii="Times New Roman" w:hAnsi="Times New Roman" w:cs="Times New Roman"/>
          <w:kern w:val="0"/>
          <w:lang w:eastAsia="en-US" w:bidi="ar-SA"/>
        </w:rPr>
        <w:t xml:space="preserve">, co </w:t>
      </w:r>
      <w:r w:rsidR="008B5DAC" w:rsidRPr="00667967">
        <w:rPr>
          <w:rFonts w:ascii="Times New Roman" w:hAnsi="Times New Roman" w:cs="Times New Roman"/>
          <w:kern w:val="0"/>
          <w:lang w:eastAsia="en-US" w:bidi="ar-SA"/>
        </w:rPr>
        <w:t>ma charakter precyzujący</w:t>
      </w:r>
      <w:r w:rsidR="00C71B83" w:rsidRPr="00667967">
        <w:rPr>
          <w:rFonts w:ascii="Times New Roman" w:hAnsi="Times New Roman" w:cs="Times New Roman"/>
          <w:kern w:val="0"/>
          <w:lang w:eastAsia="en-US" w:bidi="ar-SA"/>
        </w:rPr>
        <w:t>.</w:t>
      </w:r>
    </w:p>
    <w:p w14:paraId="6003B15C" w14:textId="40A569AF" w:rsidR="003017B2" w:rsidRPr="00667967" w:rsidRDefault="00C71B83" w:rsidP="00595221">
      <w:pPr>
        <w:widowControl/>
        <w:suppressAutoHyphens w:val="0"/>
        <w:spacing w:after="120" w:line="360" w:lineRule="auto"/>
        <w:jc w:val="both"/>
        <w:rPr>
          <w:rFonts w:ascii="Times New Roman" w:hAnsi="Times New Roman" w:cs="Times New Roman"/>
          <w:bCs/>
          <w:kern w:val="0"/>
          <w:lang w:eastAsia="en-US" w:bidi="ar-SA"/>
        </w:rPr>
      </w:pPr>
      <w:r w:rsidRPr="00667967">
        <w:rPr>
          <w:rFonts w:ascii="Times New Roman" w:hAnsi="Times New Roman" w:cs="Times New Roman"/>
          <w:bCs/>
          <w:kern w:val="0"/>
          <w:lang w:eastAsia="en-US" w:bidi="ar-SA"/>
        </w:rPr>
        <w:t>Proponowan</w:t>
      </w:r>
      <w:r w:rsidR="00D42B0A" w:rsidRPr="00667967">
        <w:rPr>
          <w:rFonts w:ascii="Times New Roman" w:hAnsi="Times New Roman" w:cs="Times New Roman"/>
          <w:bCs/>
          <w:kern w:val="0"/>
          <w:lang w:eastAsia="en-US" w:bidi="ar-SA"/>
        </w:rPr>
        <w:t>e</w:t>
      </w:r>
      <w:r w:rsidRPr="00667967">
        <w:rPr>
          <w:rFonts w:ascii="Times New Roman" w:hAnsi="Times New Roman" w:cs="Times New Roman"/>
          <w:bCs/>
          <w:kern w:val="0"/>
          <w:lang w:eastAsia="en-US" w:bidi="ar-SA"/>
        </w:rPr>
        <w:t xml:space="preserve"> </w:t>
      </w:r>
      <w:r w:rsidR="00172CD1" w:rsidRPr="00667967">
        <w:rPr>
          <w:rFonts w:ascii="Times New Roman" w:hAnsi="Times New Roman" w:cs="Times New Roman"/>
          <w:bCs/>
          <w:kern w:val="0"/>
          <w:lang w:eastAsia="en-US" w:bidi="ar-SA"/>
        </w:rPr>
        <w:t xml:space="preserve">zmiany pozostają </w:t>
      </w:r>
      <w:r w:rsidRPr="00667967">
        <w:rPr>
          <w:rFonts w:ascii="Times New Roman" w:hAnsi="Times New Roman" w:cs="Times New Roman"/>
          <w:bCs/>
          <w:kern w:val="0"/>
          <w:lang w:eastAsia="en-US" w:bidi="ar-SA"/>
        </w:rPr>
        <w:t xml:space="preserve">w zgodzie z nowelizacją dyrektywy ooś z dnia 16 kwietnia 2014 r. </w:t>
      </w:r>
      <w:r w:rsidR="00450D17">
        <w:rPr>
          <w:rFonts w:ascii="Times New Roman" w:hAnsi="Times New Roman" w:cs="Times New Roman"/>
          <w:bCs/>
          <w:kern w:val="0"/>
          <w:lang w:eastAsia="en-US" w:bidi="ar-SA"/>
        </w:rPr>
        <w:t>–</w:t>
      </w:r>
      <w:r w:rsidR="001F3E74" w:rsidRPr="00667967">
        <w:rPr>
          <w:rFonts w:ascii="Times New Roman" w:hAnsi="Times New Roman" w:cs="Times New Roman"/>
          <w:bCs/>
          <w:kern w:val="0"/>
          <w:lang w:eastAsia="en-US" w:bidi="ar-SA"/>
        </w:rPr>
        <w:t xml:space="preserve"> </w:t>
      </w:r>
      <w:r w:rsidRPr="00667967">
        <w:rPr>
          <w:rFonts w:ascii="Times New Roman" w:hAnsi="Times New Roman" w:cs="Times New Roman"/>
          <w:bCs/>
          <w:kern w:val="0"/>
          <w:lang w:eastAsia="en-US" w:bidi="ar-SA"/>
        </w:rPr>
        <w:t>Załącznik IV Informacje, o których mowa w art. 5 ust. 1 (Informacje zawarte w raporcie o</w:t>
      </w:r>
      <w:r w:rsidR="0002469B" w:rsidRPr="00667967">
        <w:rPr>
          <w:rFonts w:ascii="Times New Roman" w:hAnsi="Times New Roman" w:cs="Times New Roman"/>
          <w:bCs/>
          <w:kern w:val="0"/>
          <w:lang w:eastAsia="en-US" w:bidi="ar-SA"/>
        </w:rPr>
        <w:t> </w:t>
      </w:r>
      <w:r w:rsidRPr="00667967">
        <w:rPr>
          <w:rFonts w:ascii="Times New Roman" w:hAnsi="Times New Roman" w:cs="Times New Roman"/>
          <w:bCs/>
          <w:kern w:val="0"/>
          <w:lang w:eastAsia="en-US" w:bidi="ar-SA"/>
        </w:rPr>
        <w:t>oddziaływaniu przedsięwzięcia na środowisko). Zgodnie z nowelizacją dyrektywy ooś, wskazaną w załączniku IV, raport o oddziaływaniu przedsięwzięcia na środowisko zawiera informacje o</w:t>
      </w:r>
      <w:r w:rsidR="0002469B" w:rsidRPr="00667967">
        <w:rPr>
          <w:rFonts w:ascii="Times New Roman" w:hAnsi="Times New Roman" w:cs="Times New Roman"/>
          <w:bCs/>
          <w:kern w:val="0"/>
          <w:lang w:eastAsia="en-US" w:bidi="ar-SA"/>
        </w:rPr>
        <w:t> </w:t>
      </w:r>
      <w:r w:rsidRPr="00667967">
        <w:rPr>
          <w:rFonts w:ascii="Times New Roman" w:hAnsi="Times New Roman" w:cs="Times New Roman"/>
          <w:bCs/>
          <w:kern w:val="0"/>
          <w:lang w:eastAsia="en-US" w:bidi="ar-SA"/>
        </w:rPr>
        <w:t xml:space="preserve">wpływie przedsięwzięcia na klimat oraz podatności przedsięwzięcia na zmiany klimatu (narażenia na zmiany klimatu oraz odporności na nie) – </w:t>
      </w:r>
      <w:r w:rsidR="00172CD1" w:rsidRPr="00667967">
        <w:rPr>
          <w:rFonts w:ascii="Times New Roman" w:hAnsi="Times New Roman" w:cs="Times New Roman"/>
          <w:bCs/>
          <w:kern w:val="0"/>
          <w:lang w:eastAsia="en-US" w:bidi="ar-SA"/>
        </w:rPr>
        <w:t xml:space="preserve">regulacje </w:t>
      </w:r>
      <w:r w:rsidRPr="00667967">
        <w:rPr>
          <w:rFonts w:ascii="Times New Roman" w:hAnsi="Times New Roman" w:cs="Times New Roman"/>
          <w:bCs/>
          <w:kern w:val="0"/>
          <w:lang w:eastAsia="en-US" w:bidi="ar-SA"/>
        </w:rPr>
        <w:t>są wzmacniane zgodnie z brzmieniem znowelizowanej w 2014 r. dyrektywy</w:t>
      </w:r>
      <w:r w:rsidR="001F3E74" w:rsidRPr="00667967">
        <w:rPr>
          <w:rFonts w:ascii="Times New Roman" w:hAnsi="Times New Roman" w:cs="Times New Roman"/>
          <w:bCs/>
          <w:kern w:val="0"/>
          <w:lang w:eastAsia="en-US" w:bidi="ar-SA"/>
        </w:rPr>
        <w:t xml:space="preserve"> ooś</w:t>
      </w:r>
      <w:r w:rsidRPr="00667967">
        <w:rPr>
          <w:rFonts w:ascii="Times New Roman" w:hAnsi="Times New Roman" w:cs="Times New Roman"/>
          <w:bCs/>
          <w:kern w:val="0"/>
          <w:lang w:eastAsia="en-US" w:bidi="ar-SA"/>
        </w:rPr>
        <w:t>. Pomimo</w:t>
      </w:r>
      <w:r w:rsidR="001F3E74" w:rsidRPr="00667967">
        <w:rPr>
          <w:rFonts w:ascii="Times New Roman" w:hAnsi="Times New Roman" w:cs="Times New Roman"/>
          <w:bCs/>
          <w:kern w:val="0"/>
          <w:lang w:eastAsia="en-US" w:bidi="ar-SA"/>
        </w:rPr>
        <w:t>,</w:t>
      </w:r>
      <w:r w:rsidRPr="00667967">
        <w:rPr>
          <w:rFonts w:ascii="Times New Roman" w:hAnsi="Times New Roman" w:cs="Times New Roman"/>
          <w:bCs/>
          <w:kern w:val="0"/>
          <w:lang w:eastAsia="en-US" w:bidi="ar-SA"/>
        </w:rPr>
        <w:t xml:space="preserve"> iż obowiązujące przepisy</w:t>
      </w:r>
      <w:r w:rsidR="00172CD1" w:rsidRPr="00667967">
        <w:rPr>
          <w:rFonts w:ascii="Times New Roman" w:hAnsi="Times New Roman" w:cs="Times New Roman"/>
          <w:bCs/>
          <w:kern w:val="0"/>
          <w:lang w:eastAsia="en-US" w:bidi="ar-SA"/>
        </w:rPr>
        <w:t xml:space="preserve"> krajowe</w:t>
      </w:r>
      <w:r w:rsidRPr="00667967">
        <w:rPr>
          <w:rFonts w:ascii="Times New Roman" w:hAnsi="Times New Roman" w:cs="Times New Roman"/>
          <w:bCs/>
          <w:kern w:val="0"/>
          <w:lang w:eastAsia="en-US" w:bidi="ar-SA"/>
        </w:rPr>
        <w:t xml:space="preserve"> w</w:t>
      </w:r>
      <w:r w:rsidR="0002469B" w:rsidRPr="00667967">
        <w:rPr>
          <w:rFonts w:ascii="Times New Roman" w:hAnsi="Times New Roman" w:cs="Times New Roman"/>
          <w:bCs/>
          <w:kern w:val="0"/>
          <w:lang w:eastAsia="en-US" w:bidi="ar-SA"/>
        </w:rPr>
        <w:t> </w:t>
      </w:r>
      <w:r w:rsidRPr="00667967">
        <w:rPr>
          <w:rFonts w:ascii="Times New Roman" w:hAnsi="Times New Roman" w:cs="Times New Roman"/>
          <w:bCs/>
          <w:kern w:val="0"/>
          <w:lang w:eastAsia="en-US" w:bidi="ar-SA"/>
        </w:rPr>
        <w:t xml:space="preserve">analizowanym zakresie pozostają w zgodzie z nowelizacją dyrektywy </w:t>
      </w:r>
      <w:r w:rsidR="005D624F" w:rsidRPr="00667967">
        <w:rPr>
          <w:rFonts w:ascii="Times New Roman" w:hAnsi="Times New Roman" w:cs="Times New Roman"/>
          <w:bCs/>
          <w:kern w:val="0"/>
          <w:lang w:eastAsia="en-US" w:bidi="ar-SA"/>
        </w:rPr>
        <w:t>ooś</w:t>
      </w:r>
      <w:r w:rsidR="005F1B86" w:rsidRPr="00667967">
        <w:rPr>
          <w:rFonts w:ascii="Times New Roman" w:hAnsi="Times New Roman" w:cs="Times New Roman"/>
          <w:bCs/>
          <w:kern w:val="0"/>
          <w:lang w:eastAsia="en-US" w:bidi="ar-SA"/>
        </w:rPr>
        <w:t xml:space="preserve"> </w:t>
      </w:r>
      <w:r w:rsidRPr="00667967">
        <w:rPr>
          <w:rFonts w:ascii="Times New Roman" w:hAnsi="Times New Roman" w:cs="Times New Roman"/>
          <w:bCs/>
          <w:kern w:val="0"/>
          <w:lang w:eastAsia="en-US" w:bidi="ar-SA"/>
        </w:rPr>
        <w:t xml:space="preserve">z 2014 r., to jednak konieczne wydaje się doprecyzowanie w celu osiągnięcia jeszcze większej jednoznaczności w tym </w:t>
      </w:r>
      <w:r w:rsidR="001F3E74" w:rsidRPr="00667967">
        <w:rPr>
          <w:rFonts w:ascii="Times New Roman" w:hAnsi="Times New Roman" w:cs="Times New Roman"/>
          <w:bCs/>
          <w:kern w:val="0"/>
          <w:lang w:eastAsia="en-US" w:bidi="ar-SA"/>
        </w:rPr>
        <w:t>zakresie</w:t>
      </w:r>
      <w:r w:rsidRPr="00667967">
        <w:rPr>
          <w:rFonts w:ascii="Times New Roman" w:hAnsi="Times New Roman" w:cs="Times New Roman"/>
          <w:bCs/>
          <w:kern w:val="0"/>
          <w:lang w:eastAsia="en-US" w:bidi="ar-SA"/>
        </w:rPr>
        <w:t>.</w:t>
      </w:r>
    </w:p>
    <w:p w14:paraId="59B11243" w14:textId="77777777" w:rsidR="000109C1" w:rsidRPr="00667967" w:rsidRDefault="00172CD1" w:rsidP="00595221">
      <w:pPr>
        <w:widowControl/>
        <w:spacing w:after="120" w:line="360" w:lineRule="auto"/>
        <w:rPr>
          <w:rFonts w:ascii="Times New Roman" w:hAnsi="Times New Roman" w:cs="Times New Roman"/>
          <w:b/>
        </w:rPr>
      </w:pPr>
      <w:r w:rsidRPr="00667967">
        <w:rPr>
          <w:rFonts w:ascii="Times New Roman" w:hAnsi="Times New Roman" w:cs="Times New Roman"/>
          <w:b/>
        </w:rPr>
        <w:t>Zmian</w:t>
      </w:r>
      <w:r w:rsidR="000109C1" w:rsidRPr="00667967">
        <w:rPr>
          <w:rFonts w:ascii="Times New Roman" w:hAnsi="Times New Roman" w:cs="Times New Roman"/>
          <w:b/>
        </w:rPr>
        <w:t>a</w:t>
      </w:r>
      <w:r w:rsidRPr="00667967">
        <w:rPr>
          <w:rFonts w:ascii="Times New Roman" w:hAnsi="Times New Roman" w:cs="Times New Roman"/>
          <w:b/>
        </w:rPr>
        <w:t xml:space="preserve"> </w:t>
      </w:r>
      <w:r w:rsidR="009610A4" w:rsidRPr="00667967">
        <w:rPr>
          <w:rFonts w:ascii="Times New Roman" w:hAnsi="Times New Roman" w:cs="Times New Roman"/>
          <w:b/>
        </w:rPr>
        <w:t>art. 63 ust. 1</w:t>
      </w:r>
      <w:r w:rsidRPr="00667967">
        <w:rPr>
          <w:rFonts w:ascii="Times New Roman" w:hAnsi="Times New Roman" w:cs="Times New Roman"/>
          <w:b/>
        </w:rPr>
        <w:t xml:space="preserve"> </w:t>
      </w:r>
    </w:p>
    <w:p w14:paraId="79168807" w14:textId="5B3AFF10" w:rsidR="000109C1" w:rsidRPr="00667967" w:rsidRDefault="000109C1" w:rsidP="00595221">
      <w:pPr>
        <w:widowControl/>
        <w:suppressAutoHyphens w:val="0"/>
        <w:spacing w:after="120" w:line="360" w:lineRule="auto"/>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Ujednolicone zostanie określenie „zmiany klimatu” – w liczbie mnogiej, które zastąpi obowiązujące „zmiana klimatu” – w liczbie pojedynczej (art. 63 ust. 1 pkt 1 lit. e).</w:t>
      </w:r>
    </w:p>
    <w:p w14:paraId="706D5FC3" w14:textId="77777777" w:rsidR="00172CD1" w:rsidRPr="00667967" w:rsidRDefault="000109C1" w:rsidP="00595221">
      <w:pPr>
        <w:widowControl/>
        <w:spacing w:after="120" w:line="360" w:lineRule="auto"/>
        <w:rPr>
          <w:rFonts w:ascii="Times New Roman" w:hAnsi="Times New Roman" w:cs="Times New Roman"/>
          <w:b/>
        </w:rPr>
      </w:pPr>
      <w:r w:rsidRPr="00667967">
        <w:rPr>
          <w:rFonts w:ascii="Times New Roman" w:hAnsi="Times New Roman" w:cs="Times New Roman"/>
          <w:b/>
        </w:rPr>
        <w:t xml:space="preserve">Zmiany </w:t>
      </w:r>
      <w:r w:rsidR="00172CD1" w:rsidRPr="00667967">
        <w:rPr>
          <w:rFonts w:ascii="Times New Roman" w:hAnsi="Times New Roman" w:cs="Times New Roman"/>
          <w:b/>
        </w:rPr>
        <w:t>art. 66 ust. 1</w:t>
      </w:r>
    </w:p>
    <w:p w14:paraId="5112AD83" w14:textId="24D42E73" w:rsidR="00A954C3" w:rsidRPr="00667967" w:rsidRDefault="00A954C3" w:rsidP="00595221">
      <w:pPr>
        <w:widowControl/>
        <w:suppressAutoHyphens w:val="0"/>
        <w:spacing w:after="120" w:line="360" w:lineRule="auto"/>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Wprowadzenie do ustawy doprecyzowującego pojęcia ryzyka związanego ze zmianami klimatu, w</w:t>
      </w:r>
      <w:r w:rsidR="0002469B" w:rsidRPr="00667967">
        <w:rPr>
          <w:rFonts w:ascii="Times New Roman" w:hAnsi="Times New Roman" w:cs="Times New Roman"/>
          <w:kern w:val="0"/>
          <w:lang w:eastAsia="en-US" w:bidi="ar-SA"/>
        </w:rPr>
        <w:t> </w:t>
      </w:r>
      <w:r w:rsidRPr="00667967">
        <w:rPr>
          <w:rFonts w:ascii="Times New Roman" w:hAnsi="Times New Roman" w:cs="Times New Roman"/>
          <w:kern w:val="0"/>
          <w:lang w:eastAsia="en-US" w:bidi="ar-SA"/>
        </w:rPr>
        <w:t>szczególności w kontekście podatności, jest odpowiedzią na konieczność eliminacji dowolności interpretacyjnej, która do tej pory mogła prowadzić do pominięcia kluczowych aspektów w analizach ryzyka klimatycznego w raportach o oddziaływaniu na środowisko. Dotychczasowa praktyka wykazała, że bez jasno określonych wymagań ocena podatności mogła nie być adekwatnie realizowana, co zagrażało skuteczności ocen środowiskowych.</w:t>
      </w:r>
    </w:p>
    <w:p w14:paraId="4AF6AF76" w14:textId="0F3C8932" w:rsidR="00A954C3" w:rsidRPr="00667967" w:rsidRDefault="00A954C3" w:rsidP="00595221">
      <w:pPr>
        <w:widowControl/>
        <w:suppressAutoHyphens w:val="0"/>
        <w:spacing w:after="120" w:line="360" w:lineRule="auto"/>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Podatność, zgodnie z definicją przyjętą przez Międzyrządowy Zespół ds. Zmian Klimatu (IPCC) w</w:t>
      </w:r>
      <w:r w:rsidR="0002469B" w:rsidRPr="00667967">
        <w:rPr>
          <w:rFonts w:ascii="Times New Roman" w:hAnsi="Times New Roman" w:cs="Times New Roman"/>
          <w:kern w:val="0"/>
          <w:lang w:eastAsia="en-US" w:bidi="ar-SA"/>
        </w:rPr>
        <w:t> </w:t>
      </w:r>
      <w:r w:rsidRPr="00667967">
        <w:rPr>
          <w:rFonts w:ascii="Times New Roman" w:hAnsi="Times New Roman" w:cs="Times New Roman"/>
          <w:kern w:val="0"/>
          <w:lang w:eastAsia="en-US" w:bidi="ar-SA"/>
        </w:rPr>
        <w:t>VI Raporcie, odnosi się do stopnia, w jakim system jest podatny na</w:t>
      </w:r>
      <w:r w:rsidR="00E94251" w:rsidRPr="00667967">
        <w:rPr>
          <w:rFonts w:ascii="Times New Roman" w:hAnsi="Times New Roman" w:cs="Times New Roman"/>
          <w:kern w:val="0"/>
          <w:lang w:eastAsia="en-US" w:bidi="ar-SA"/>
        </w:rPr>
        <w:t xml:space="preserve"> zmiany klimatu</w:t>
      </w:r>
      <w:r w:rsidRPr="00667967">
        <w:rPr>
          <w:rFonts w:ascii="Times New Roman" w:hAnsi="Times New Roman" w:cs="Times New Roman"/>
          <w:kern w:val="0"/>
          <w:lang w:eastAsia="en-US" w:bidi="ar-SA"/>
        </w:rPr>
        <w:t>, i niezdolny do radzenia sobie ze szkodliwymi skutkami zmian klimatu, w tym ekstremalnych zjawisk pogodowych. Jest to pojęcie, które obejmuje zarówno aspekty związane z narażeniem, jak i zdolnością do adaptacji i odporności.</w:t>
      </w:r>
    </w:p>
    <w:p w14:paraId="09829E3B" w14:textId="4A2781ED" w:rsidR="00A954C3" w:rsidRPr="00667967" w:rsidRDefault="00A954C3" w:rsidP="00595221">
      <w:pPr>
        <w:widowControl/>
        <w:suppressAutoHyphens w:val="0"/>
        <w:spacing w:after="120" w:line="360" w:lineRule="auto"/>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 xml:space="preserve">Uściślenie w ustawie, że analiza ryzyka klimatycznego musi obejmować analizę podatności, zgodnie z międzynarodowymi standardami, jest zatem niezbędne, aby zapewnić, że każde przedsięwzięcie będzie odpowiednio oceniane pod kątem swojego wpływu na środowisko w </w:t>
      </w:r>
      <w:r w:rsidRPr="00667967">
        <w:rPr>
          <w:rFonts w:ascii="Times New Roman" w:hAnsi="Times New Roman" w:cs="Times New Roman"/>
          <w:kern w:val="0"/>
          <w:lang w:eastAsia="en-US" w:bidi="ar-SA"/>
        </w:rPr>
        <w:lastRenderedPageBreak/>
        <w:t>kontekście zmian klimatu. To podejście nie tylko wzmacnia spójność regulacyjną i zapewnia zgodność z</w:t>
      </w:r>
      <w:r w:rsidR="0002469B" w:rsidRPr="00667967">
        <w:rPr>
          <w:rFonts w:ascii="Times New Roman" w:hAnsi="Times New Roman" w:cs="Times New Roman"/>
          <w:kern w:val="0"/>
          <w:lang w:eastAsia="en-US" w:bidi="ar-SA"/>
        </w:rPr>
        <w:t> </w:t>
      </w:r>
      <w:r w:rsidRPr="00667967">
        <w:rPr>
          <w:rFonts w:ascii="Times New Roman" w:hAnsi="Times New Roman" w:cs="Times New Roman"/>
          <w:kern w:val="0"/>
          <w:lang w:eastAsia="en-US" w:bidi="ar-SA"/>
        </w:rPr>
        <w:t>międzynarodowymi zobowiązaniami, ale także przyczynia się do lepszego zrozumienia i</w:t>
      </w:r>
      <w:r w:rsidR="0002469B" w:rsidRPr="00667967">
        <w:rPr>
          <w:rFonts w:ascii="Times New Roman" w:hAnsi="Times New Roman" w:cs="Times New Roman"/>
          <w:kern w:val="0"/>
          <w:lang w:eastAsia="en-US" w:bidi="ar-SA"/>
        </w:rPr>
        <w:t> </w:t>
      </w:r>
      <w:r w:rsidRPr="00667967">
        <w:rPr>
          <w:rFonts w:ascii="Times New Roman" w:hAnsi="Times New Roman" w:cs="Times New Roman"/>
          <w:kern w:val="0"/>
          <w:lang w:eastAsia="en-US" w:bidi="ar-SA"/>
        </w:rPr>
        <w:t>zarządzania ryzykiem klimatycznym, co jest kluczowe dla planowania oraz realizacji trwałych i</w:t>
      </w:r>
      <w:r w:rsidR="0002469B" w:rsidRPr="00667967">
        <w:rPr>
          <w:rFonts w:ascii="Times New Roman" w:hAnsi="Times New Roman" w:cs="Times New Roman"/>
          <w:kern w:val="0"/>
          <w:lang w:eastAsia="en-US" w:bidi="ar-SA"/>
        </w:rPr>
        <w:t> </w:t>
      </w:r>
      <w:r w:rsidRPr="00667967">
        <w:rPr>
          <w:rFonts w:ascii="Times New Roman" w:hAnsi="Times New Roman" w:cs="Times New Roman"/>
          <w:kern w:val="0"/>
          <w:lang w:eastAsia="en-US" w:bidi="ar-SA"/>
        </w:rPr>
        <w:t>zrównoważonych przedsięwzięć.</w:t>
      </w:r>
    </w:p>
    <w:p w14:paraId="14028580" w14:textId="72FCF733" w:rsidR="00A954C3" w:rsidRPr="00667967" w:rsidRDefault="00A954C3" w:rsidP="00595221">
      <w:pPr>
        <w:widowControl/>
        <w:suppressAutoHyphens w:val="0"/>
        <w:spacing w:after="120" w:line="360" w:lineRule="auto"/>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Zmiana ta zapewnia, że ocena oddziaływania na środowisko będzie pełniła lepiej swoją rolę jako narzędzia identyfikacji potencjalnych zagrożeń oraz promowania skutecznych strategii adaptacyjnych w obliczu zmian klimatycznych, bez pozostawiania marginesu interpretacyjnego.</w:t>
      </w:r>
    </w:p>
    <w:p w14:paraId="0BC44C52" w14:textId="7B06BD60" w:rsidR="0021445E" w:rsidRPr="00667967" w:rsidRDefault="008D633F" w:rsidP="00595221">
      <w:pPr>
        <w:widowControl/>
        <w:suppressAutoHyphens w:val="0"/>
        <w:spacing w:line="360" w:lineRule="auto"/>
        <w:jc w:val="both"/>
        <w:rPr>
          <w:rFonts w:ascii="Times New Roman" w:eastAsia="Times New Roman" w:hAnsi="Times New Roman" w:cs="Times New Roman"/>
          <w:kern w:val="0"/>
          <w:lang w:eastAsia="pl-PL" w:bidi="ar-SA"/>
        </w:rPr>
      </w:pPr>
      <w:r w:rsidRPr="00667967">
        <w:rPr>
          <w:rFonts w:ascii="Times New Roman" w:hAnsi="Times New Roman" w:cs="Times New Roman"/>
        </w:rPr>
        <w:t>Zmiany wymagają wprowadzenia regulacji przejściowych</w:t>
      </w:r>
      <w:r w:rsidR="00B27980" w:rsidRPr="00667967">
        <w:rPr>
          <w:rFonts w:ascii="Times New Roman" w:hAnsi="Times New Roman" w:cs="Times New Roman"/>
        </w:rPr>
        <w:t xml:space="preserve"> (art. </w:t>
      </w:r>
      <w:r w:rsidR="007C7FF1" w:rsidRPr="00667967">
        <w:rPr>
          <w:rFonts w:ascii="Times New Roman" w:hAnsi="Times New Roman" w:cs="Times New Roman"/>
        </w:rPr>
        <w:t>2</w:t>
      </w:r>
      <w:r w:rsidR="00121EB5" w:rsidRPr="00667967">
        <w:rPr>
          <w:rFonts w:ascii="Times New Roman" w:hAnsi="Times New Roman" w:cs="Times New Roman"/>
        </w:rPr>
        <w:t>7</w:t>
      </w:r>
      <w:r w:rsidR="007C7FF1" w:rsidRPr="00667967">
        <w:rPr>
          <w:rFonts w:ascii="Times New Roman" w:hAnsi="Times New Roman" w:cs="Times New Roman"/>
        </w:rPr>
        <w:t xml:space="preserve"> </w:t>
      </w:r>
      <w:r w:rsidR="00B27980" w:rsidRPr="00667967">
        <w:rPr>
          <w:rFonts w:ascii="Times New Roman" w:hAnsi="Times New Roman" w:cs="Times New Roman"/>
        </w:rPr>
        <w:t>projektu ustawy)</w:t>
      </w:r>
      <w:r w:rsidRPr="00667967">
        <w:rPr>
          <w:rFonts w:ascii="Times New Roman" w:hAnsi="Times New Roman" w:cs="Times New Roman"/>
        </w:rPr>
        <w:t xml:space="preserve">. Proponuje się, by do spraw wszczętych na podstawie ustawy </w:t>
      </w:r>
      <w:r w:rsidR="00173F79" w:rsidRPr="00667967">
        <w:rPr>
          <w:rFonts w:ascii="Times New Roman" w:hAnsi="Times New Roman" w:cs="Times New Roman"/>
        </w:rPr>
        <w:t>ooś</w:t>
      </w:r>
      <w:r w:rsidRPr="00667967">
        <w:rPr>
          <w:rFonts w:ascii="Times New Roman" w:hAnsi="Times New Roman" w:cs="Times New Roman"/>
        </w:rPr>
        <w:t xml:space="preserve"> i niezakończonych przed dniem wejścia w życie niniejszej ustawy stosowane były przepisy dotychczasowe.</w:t>
      </w:r>
    </w:p>
    <w:p w14:paraId="04B0A269" w14:textId="1B1D7AB5" w:rsidR="009465A7" w:rsidRPr="00667967" w:rsidRDefault="0017487D" w:rsidP="00595221">
      <w:pPr>
        <w:widowControl/>
        <w:spacing w:before="240" w:after="120" w:line="360" w:lineRule="auto"/>
        <w:jc w:val="both"/>
        <w:rPr>
          <w:rFonts w:ascii="Times New Roman" w:hAnsi="Times New Roman" w:cs="Times New Roman"/>
          <w:iCs/>
        </w:rPr>
      </w:pPr>
      <w:r w:rsidRPr="00667967">
        <w:rPr>
          <w:rFonts w:ascii="Times New Roman" w:eastAsia="Times New Roman" w:hAnsi="Times New Roman" w:cs="Times New Roman"/>
          <w:b/>
          <w:smallCaps/>
          <w:kern w:val="28"/>
        </w:rPr>
        <w:t xml:space="preserve">art. </w:t>
      </w:r>
      <w:r w:rsidR="00C00ECD" w:rsidRPr="00667967">
        <w:rPr>
          <w:rFonts w:ascii="Times New Roman" w:eastAsia="Times New Roman" w:hAnsi="Times New Roman" w:cs="Times New Roman"/>
          <w:b/>
          <w:smallCaps/>
          <w:kern w:val="28"/>
        </w:rPr>
        <w:t>1</w:t>
      </w:r>
      <w:r w:rsidR="007212EF">
        <w:rPr>
          <w:rFonts w:ascii="Times New Roman" w:eastAsia="Times New Roman" w:hAnsi="Times New Roman" w:cs="Times New Roman"/>
          <w:b/>
          <w:smallCaps/>
          <w:kern w:val="28"/>
        </w:rPr>
        <w:t>1</w:t>
      </w:r>
      <w:r w:rsidR="00C00ECD" w:rsidRPr="00667967">
        <w:rPr>
          <w:rFonts w:ascii="Times New Roman" w:eastAsia="Times New Roman" w:hAnsi="Times New Roman" w:cs="Times New Roman"/>
          <w:b/>
          <w:smallCaps/>
          <w:kern w:val="28"/>
        </w:rPr>
        <w:t xml:space="preserve"> </w:t>
      </w:r>
      <w:r w:rsidRPr="00667967">
        <w:rPr>
          <w:rFonts w:ascii="Times New Roman" w:eastAsia="Times New Roman" w:hAnsi="Times New Roman" w:cs="Times New Roman"/>
          <w:b/>
          <w:smallCaps/>
          <w:kern w:val="28"/>
        </w:rPr>
        <w:t>– zmiany w ustawie o wspieraniu termomodernizacji i remontów oraz o centralnej ewidencji emisyjności budynków</w:t>
      </w:r>
    </w:p>
    <w:p w14:paraId="0753479A" w14:textId="77777777" w:rsidR="00BE3B0F" w:rsidRPr="00667967" w:rsidRDefault="00BE3B0F" w:rsidP="00595221">
      <w:pPr>
        <w:widowControl/>
        <w:spacing w:before="120" w:after="120" w:line="360" w:lineRule="auto"/>
        <w:jc w:val="both"/>
        <w:rPr>
          <w:rFonts w:ascii="Times New Roman" w:hAnsi="Times New Roman" w:cs="Times New Roman"/>
          <w:b/>
          <w:bCs/>
          <w:kern w:val="0"/>
          <w:lang w:eastAsia="en-US" w:bidi="ar-SA"/>
        </w:rPr>
      </w:pPr>
      <w:r w:rsidRPr="00667967">
        <w:rPr>
          <w:rFonts w:ascii="Times New Roman" w:hAnsi="Times New Roman" w:cs="Times New Roman"/>
          <w:b/>
          <w:bCs/>
          <w:kern w:val="0"/>
          <w:lang w:eastAsia="en-US" w:bidi="ar-SA"/>
        </w:rPr>
        <w:t>Zmiana art. 2 w pkt 1c lit. a</w:t>
      </w:r>
    </w:p>
    <w:p w14:paraId="20EE8DED" w14:textId="77777777" w:rsidR="00BE3B0F" w:rsidRPr="00667967" w:rsidRDefault="00BE3B0F" w:rsidP="00595221">
      <w:pPr>
        <w:widowControl/>
        <w:spacing w:after="120" w:line="360" w:lineRule="auto"/>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 xml:space="preserve">Zmiana </w:t>
      </w:r>
      <w:r w:rsidRPr="00667967">
        <w:rPr>
          <w:rFonts w:ascii="Times New Roman" w:hAnsi="Times New Roman" w:cs="Times New Roman"/>
        </w:rPr>
        <w:t xml:space="preserve">w art. 2 w pkt 1c w lit. a ma charakter porządkowy i rozszerza katalog wymagań, jakie spełniają urządzenia lub systemy grzewcze ogrzewające budynki mieszkalne jednorodzinne lub urządzenia lub systemy podgrzewające wodę użytkową w tych budynkach o kwestie </w:t>
      </w:r>
      <w:r w:rsidRPr="00667967">
        <w:rPr>
          <w:rFonts w:ascii="Times New Roman" w:hAnsi="Times New Roman" w:cs="Times New Roman"/>
          <w:bCs/>
          <w:iCs/>
        </w:rPr>
        <w:t>etykietowania energetycznego miejscowych ogrzewaczy pomieszczeń.</w:t>
      </w:r>
    </w:p>
    <w:p w14:paraId="7AC792AA" w14:textId="77777777" w:rsidR="00BE3B0F" w:rsidRPr="00667967" w:rsidRDefault="00BE3B0F" w:rsidP="00595221">
      <w:pPr>
        <w:widowControl/>
        <w:spacing w:after="120" w:line="360" w:lineRule="auto"/>
        <w:jc w:val="both"/>
        <w:rPr>
          <w:rFonts w:ascii="Times New Roman" w:hAnsi="Times New Roman" w:cs="Times New Roman"/>
          <w:b/>
          <w:bCs/>
          <w:kern w:val="0"/>
          <w:lang w:eastAsia="en-US" w:bidi="ar-SA"/>
        </w:rPr>
      </w:pPr>
      <w:r w:rsidRPr="00667967">
        <w:rPr>
          <w:rFonts w:ascii="Times New Roman" w:hAnsi="Times New Roman" w:cs="Times New Roman"/>
          <w:b/>
          <w:bCs/>
          <w:kern w:val="0"/>
          <w:lang w:eastAsia="en-US" w:bidi="ar-SA"/>
        </w:rPr>
        <w:t>Zmiany w art. 11b ust</w:t>
      </w:r>
      <w:r w:rsidR="0085201B" w:rsidRPr="00667967">
        <w:rPr>
          <w:rFonts w:ascii="Times New Roman" w:hAnsi="Times New Roman" w:cs="Times New Roman"/>
          <w:b/>
          <w:bCs/>
          <w:kern w:val="0"/>
          <w:lang w:eastAsia="en-US" w:bidi="ar-SA"/>
        </w:rPr>
        <w:t>.</w:t>
      </w:r>
      <w:r w:rsidRPr="00667967">
        <w:rPr>
          <w:rFonts w:ascii="Times New Roman" w:hAnsi="Times New Roman" w:cs="Times New Roman"/>
          <w:b/>
          <w:bCs/>
          <w:kern w:val="0"/>
          <w:lang w:eastAsia="en-US" w:bidi="ar-SA"/>
        </w:rPr>
        <w:t xml:space="preserve"> 11 oraz 11c ust.</w:t>
      </w:r>
      <w:r w:rsidR="0085201B" w:rsidRPr="00667967">
        <w:rPr>
          <w:rFonts w:ascii="Times New Roman" w:hAnsi="Times New Roman" w:cs="Times New Roman"/>
          <w:b/>
          <w:bCs/>
          <w:kern w:val="0"/>
          <w:lang w:eastAsia="en-US" w:bidi="ar-SA"/>
        </w:rPr>
        <w:t xml:space="preserve"> </w:t>
      </w:r>
      <w:r w:rsidRPr="00667967">
        <w:rPr>
          <w:rFonts w:ascii="Times New Roman" w:hAnsi="Times New Roman" w:cs="Times New Roman"/>
          <w:b/>
          <w:bCs/>
          <w:kern w:val="0"/>
          <w:lang w:eastAsia="en-US" w:bidi="ar-SA"/>
        </w:rPr>
        <w:t>1 pkt 4</w:t>
      </w:r>
    </w:p>
    <w:p w14:paraId="55526E3B" w14:textId="742D4494" w:rsidR="00BE3B0F" w:rsidRPr="00667967" w:rsidRDefault="00BE3B0F" w:rsidP="00595221">
      <w:pPr>
        <w:widowControl/>
        <w:spacing w:after="120" w:line="360" w:lineRule="auto"/>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Zmiany w art. 11b ust</w:t>
      </w:r>
      <w:r w:rsidR="0085201B" w:rsidRPr="00667967">
        <w:rPr>
          <w:rFonts w:ascii="Times New Roman" w:hAnsi="Times New Roman" w:cs="Times New Roman"/>
          <w:kern w:val="0"/>
          <w:lang w:eastAsia="en-US" w:bidi="ar-SA"/>
        </w:rPr>
        <w:t>.</w:t>
      </w:r>
      <w:r w:rsidRPr="00667967">
        <w:rPr>
          <w:rFonts w:ascii="Times New Roman" w:hAnsi="Times New Roman" w:cs="Times New Roman"/>
          <w:kern w:val="0"/>
          <w:lang w:eastAsia="en-US" w:bidi="ar-SA"/>
        </w:rPr>
        <w:t xml:space="preserve"> 11 oraz 11c ust.</w:t>
      </w:r>
      <w:r w:rsidR="0022300D" w:rsidRPr="00667967">
        <w:rPr>
          <w:rFonts w:ascii="Times New Roman" w:hAnsi="Times New Roman" w:cs="Times New Roman"/>
          <w:kern w:val="0"/>
          <w:lang w:eastAsia="en-US" w:bidi="ar-SA"/>
        </w:rPr>
        <w:t xml:space="preserve"> </w:t>
      </w:r>
      <w:r w:rsidRPr="00667967">
        <w:rPr>
          <w:rFonts w:ascii="Times New Roman" w:hAnsi="Times New Roman" w:cs="Times New Roman"/>
          <w:kern w:val="0"/>
          <w:lang w:eastAsia="en-US" w:bidi="ar-SA"/>
        </w:rPr>
        <w:t xml:space="preserve">1 pkt 4 dotyczą zwiększenia współfinansowania ze środków Funduszu Termomodernizacji i Remontów do poziomu 90 % przy równoczesnym zmniejszeniu wkładu własnego gminy na realizację przedsięwzięć niskoemisyjnych do poziomu 10 %. Jako główny powód braku przystąpienia do realizacji Programu </w:t>
      </w:r>
      <w:r w:rsidR="006240AF" w:rsidRPr="00667967">
        <w:rPr>
          <w:rFonts w:ascii="Times New Roman" w:hAnsi="Times New Roman" w:cs="Times New Roman"/>
          <w:kern w:val="0"/>
          <w:lang w:eastAsia="en-US" w:bidi="ar-SA"/>
        </w:rPr>
        <w:t>„</w:t>
      </w:r>
      <w:r w:rsidRPr="00667967">
        <w:rPr>
          <w:rFonts w:ascii="Times New Roman" w:hAnsi="Times New Roman" w:cs="Times New Roman"/>
          <w:kern w:val="0"/>
          <w:lang w:eastAsia="en-US" w:bidi="ar-SA"/>
        </w:rPr>
        <w:t>Stop Smog</w:t>
      </w:r>
      <w:r w:rsidR="006240AF" w:rsidRPr="00667967">
        <w:rPr>
          <w:rFonts w:ascii="Times New Roman" w:hAnsi="Times New Roman" w:cs="Times New Roman"/>
          <w:kern w:val="0"/>
          <w:lang w:eastAsia="en-US" w:bidi="ar-SA"/>
        </w:rPr>
        <w:t>”</w:t>
      </w:r>
      <w:r w:rsidRPr="00667967">
        <w:rPr>
          <w:rFonts w:ascii="Times New Roman" w:hAnsi="Times New Roman" w:cs="Times New Roman"/>
          <w:kern w:val="0"/>
          <w:lang w:eastAsia="en-US" w:bidi="ar-SA"/>
        </w:rPr>
        <w:t xml:space="preserve"> zapytane przez </w:t>
      </w:r>
      <w:r w:rsidR="00B25FFE" w:rsidRPr="00667967">
        <w:rPr>
          <w:rFonts w:ascii="Times New Roman" w:hAnsi="Times New Roman" w:cs="Times New Roman"/>
          <w:kern w:val="0"/>
          <w:lang w:eastAsia="en-US" w:bidi="ar-SA"/>
        </w:rPr>
        <w:t xml:space="preserve">Narodowy Fundusz </w:t>
      </w:r>
      <w:r w:rsidRPr="00667967">
        <w:rPr>
          <w:rFonts w:ascii="Times New Roman" w:hAnsi="Times New Roman" w:cs="Times New Roman"/>
          <w:kern w:val="0"/>
          <w:lang w:eastAsia="en-US" w:bidi="ar-SA"/>
        </w:rPr>
        <w:t>gminy wskazują brak możliwości wniesienia wkładu własnego na poziomie 30</w:t>
      </w:r>
      <w:r w:rsidR="00E55B01">
        <w:rPr>
          <w:rFonts w:ascii="Times New Roman" w:hAnsi="Times New Roman" w:cs="Times New Roman"/>
          <w:kern w:val="0"/>
          <w:lang w:eastAsia="en-US" w:bidi="ar-SA"/>
        </w:rPr>
        <w:t> </w:t>
      </w:r>
      <w:r w:rsidRPr="00667967">
        <w:rPr>
          <w:rFonts w:ascii="Times New Roman" w:hAnsi="Times New Roman" w:cs="Times New Roman"/>
          <w:kern w:val="0"/>
          <w:lang w:eastAsia="en-US" w:bidi="ar-SA"/>
        </w:rPr>
        <w:t>% kosztu realizacji porozumienia. Obecna sytuacja związana z gwałtownie rosnącymi kosztami ponoszonymi przez samorządy jeszcze pogłębia problem związany z możliwością wniesienia wkładu własnego do realizowanych przedsięwzięć. Zwiększenie wkładu środków pochodzących z budżetu państwa do 90</w:t>
      </w:r>
      <w:r w:rsidR="00E55B01">
        <w:rPr>
          <w:rFonts w:ascii="Times New Roman" w:hAnsi="Times New Roman" w:cs="Times New Roman"/>
          <w:kern w:val="0"/>
          <w:lang w:eastAsia="en-US" w:bidi="ar-SA"/>
        </w:rPr>
        <w:t> </w:t>
      </w:r>
      <w:r w:rsidRPr="00667967">
        <w:rPr>
          <w:rFonts w:ascii="Times New Roman" w:hAnsi="Times New Roman" w:cs="Times New Roman"/>
          <w:kern w:val="0"/>
          <w:lang w:eastAsia="en-US" w:bidi="ar-SA"/>
        </w:rPr>
        <w:t>% wartości porozumienia pozwoli na odciążenie budżetów samorządów i tym samym umożliwi większej liczbie gmin przystąpienie do programu. Tym samym umożliwi to udziel</w:t>
      </w:r>
      <w:r w:rsidR="00043D8F" w:rsidRPr="00667967">
        <w:rPr>
          <w:rFonts w:ascii="Times New Roman" w:hAnsi="Times New Roman" w:cs="Times New Roman"/>
          <w:kern w:val="0"/>
          <w:lang w:eastAsia="en-US" w:bidi="ar-SA"/>
        </w:rPr>
        <w:t>e</w:t>
      </w:r>
      <w:r w:rsidRPr="00667967">
        <w:rPr>
          <w:rFonts w:ascii="Times New Roman" w:hAnsi="Times New Roman" w:cs="Times New Roman"/>
          <w:kern w:val="0"/>
          <w:lang w:eastAsia="en-US" w:bidi="ar-SA"/>
        </w:rPr>
        <w:t xml:space="preserve">nie pomocy większej </w:t>
      </w:r>
      <w:r w:rsidRPr="00667967">
        <w:rPr>
          <w:rFonts w:ascii="Times New Roman" w:hAnsi="Times New Roman" w:cs="Times New Roman"/>
          <w:kern w:val="0"/>
          <w:lang w:eastAsia="en-US" w:bidi="ar-SA"/>
        </w:rPr>
        <w:lastRenderedPageBreak/>
        <w:t>liczbie osób ubogich energetycznie</w:t>
      </w:r>
      <w:r w:rsidR="0022475A" w:rsidRPr="00667967">
        <w:rPr>
          <w:rFonts w:ascii="Times New Roman" w:hAnsi="Times New Roman" w:cs="Times New Roman"/>
          <w:kern w:val="0"/>
          <w:lang w:eastAsia="en-US" w:bidi="ar-SA"/>
        </w:rPr>
        <w:t>,</w:t>
      </w:r>
      <w:r w:rsidRPr="00667967">
        <w:rPr>
          <w:rFonts w:ascii="Times New Roman" w:hAnsi="Times New Roman" w:cs="Times New Roman"/>
          <w:kern w:val="0"/>
          <w:lang w:eastAsia="en-US" w:bidi="ar-SA"/>
        </w:rPr>
        <w:t xml:space="preserve"> co w obecnych okolicznościach jest działaniem priorytetowym.</w:t>
      </w:r>
    </w:p>
    <w:p w14:paraId="11F267B0" w14:textId="77777777" w:rsidR="00A67C96" w:rsidRPr="00667967" w:rsidRDefault="00A67C96" w:rsidP="00595221">
      <w:pPr>
        <w:widowControl/>
        <w:spacing w:after="120" w:line="360" w:lineRule="auto"/>
        <w:jc w:val="both"/>
        <w:rPr>
          <w:rFonts w:ascii="Times New Roman" w:hAnsi="Times New Roman" w:cs="Times New Roman"/>
          <w:b/>
          <w:bCs/>
          <w:kern w:val="0"/>
          <w:lang w:eastAsia="en-US" w:bidi="ar-SA"/>
        </w:rPr>
      </w:pPr>
      <w:r w:rsidRPr="00667967">
        <w:rPr>
          <w:rFonts w:ascii="Times New Roman" w:hAnsi="Times New Roman" w:cs="Times New Roman"/>
          <w:b/>
          <w:bCs/>
          <w:kern w:val="0"/>
          <w:lang w:eastAsia="en-US" w:bidi="ar-SA"/>
        </w:rPr>
        <w:t>Zmiana art. 11c ust. 1 pkt 1</w:t>
      </w:r>
    </w:p>
    <w:p w14:paraId="1B808C0E" w14:textId="07ACD60F" w:rsidR="00A67C96" w:rsidRPr="00667967" w:rsidRDefault="00A67C96" w:rsidP="00595221">
      <w:pPr>
        <w:widowControl/>
        <w:spacing w:after="120" w:line="360" w:lineRule="auto"/>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 xml:space="preserve">Zmiana art. 11c ust. 1 pkt 1 </w:t>
      </w:r>
      <w:r w:rsidR="0078418C" w:rsidRPr="00667967">
        <w:rPr>
          <w:rFonts w:ascii="Times New Roman" w:hAnsi="Times New Roman" w:cs="Times New Roman"/>
          <w:kern w:val="0"/>
          <w:lang w:eastAsia="en-US" w:bidi="ar-SA"/>
        </w:rPr>
        <w:t xml:space="preserve">jest </w:t>
      </w:r>
      <w:r w:rsidRPr="00667967">
        <w:rPr>
          <w:rFonts w:ascii="Times New Roman" w:hAnsi="Times New Roman" w:cs="Times New Roman"/>
          <w:kern w:val="0"/>
          <w:lang w:eastAsia="en-US" w:bidi="ar-SA"/>
        </w:rPr>
        <w:t>podyktowana potrzebą zmniejszenia wymagań dotyczących min</w:t>
      </w:r>
      <w:r w:rsidR="006240AF" w:rsidRPr="00667967">
        <w:rPr>
          <w:rFonts w:ascii="Times New Roman" w:hAnsi="Times New Roman" w:cs="Times New Roman"/>
          <w:kern w:val="0"/>
          <w:lang w:eastAsia="en-US" w:bidi="ar-SA"/>
        </w:rPr>
        <w:t>imalnej</w:t>
      </w:r>
      <w:r w:rsidRPr="00667967">
        <w:rPr>
          <w:rFonts w:ascii="Times New Roman" w:hAnsi="Times New Roman" w:cs="Times New Roman"/>
          <w:kern w:val="0"/>
          <w:lang w:eastAsia="en-US" w:bidi="ar-SA"/>
        </w:rPr>
        <w:t xml:space="preserve"> liczby budynków</w:t>
      </w:r>
      <w:r w:rsidRPr="00595221">
        <w:rPr>
          <w:rFonts w:ascii="Times New Roman" w:hAnsi="Times New Roman" w:cs="Times New Roman"/>
        </w:rPr>
        <w:t xml:space="preserve"> </w:t>
      </w:r>
      <w:r w:rsidRPr="00667967">
        <w:rPr>
          <w:rFonts w:ascii="Times New Roman" w:hAnsi="Times New Roman" w:cs="Times New Roman"/>
          <w:kern w:val="0"/>
          <w:lang w:eastAsia="en-US" w:bidi="ar-SA"/>
        </w:rPr>
        <w:t xml:space="preserve">mieszkalnych jednorodzinnych deklarowanych przez gminy </w:t>
      </w:r>
      <w:r w:rsidR="002134C4" w:rsidRPr="00667967">
        <w:rPr>
          <w:rFonts w:ascii="Times New Roman" w:hAnsi="Times New Roman" w:cs="Times New Roman"/>
          <w:kern w:val="0"/>
          <w:lang w:eastAsia="en-US" w:bidi="ar-SA"/>
        </w:rPr>
        <w:t>do</w:t>
      </w:r>
      <w:r w:rsidRPr="00667967">
        <w:rPr>
          <w:rFonts w:ascii="Times New Roman" w:hAnsi="Times New Roman" w:cs="Times New Roman"/>
          <w:kern w:val="0"/>
          <w:lang w:eastAsia="en-US" w:bidi="ar-SA"/>
        </w:rPr>
        <w:t xml:space="preserve"> realizacj</w:t>
      </w:r>
      <w:r w:rsidR="002134C4" w:rsidRPr="00667967">
        <w:rPr>
          <w:rFonts w:ascii="Times New Roman" w:hAnsi="Times New Roman" w:cs="Times New Roman"/>
          <w:kern w:val="0"/>
          <w:lang w:eastAsia="en-US" w:bidi="ar-SA"/>
        </w:rPr>
        <w:t>i</w:t>
      </w:r>
      <w:r w:rsidRPr="00667967">
        <w:rPr>
          <w:rFonts w:ascii="Times New Roman" w:hAnsi="Times New Roman" w:cs="Times New Roman"/>
          <w:kern w:val="0"/>
          <w:lang w:eastAsia="en-US" w:bidi="ar-SA"/>
        </w:rPr>
        <w:t xml:space="preserve"> przedsięwzięć niskoemisyjnych w ramach zawieran</w:t>
      </w:r>
      <w:r w:rsidR="002134C4" w:rsidRPr="00667967">
        <w:rPr>
          <w:rFonts w:ascii="Times New Roman" w:hAnsi="Times New Roman" w:cs="Times New Roman"/>
          <w:kern w:val="0"/>
          <w:lang w:eastAsia="en-US" w:bidi="ar-SA"/>
        </w:rPr>
        <w:t>ych</w:t>
      </w:r>
      <w:r w:rsidRPr="00667967">
        <w:rPr>
          <w:rFonts w:ascii="Times New Roman" w:hAnsi="Times New Roman" w:cs="Times New Roman"/>
          <w:kern w:val="0"/>
          <w:lang w:eastAsia="en-US" w:bidi="ar-SA"/>
        </w:rPr>
        <w:t xml:space="preserve"> porozumie</w:t>
      </w:r>
      <w:r w:rsidR="002134C4" w:rsidRPr="00667967">
        <w:rPr>
          <w:rFonts w:ascii="Times New Roman" w:hAnsi="Times New Roman" w:cs="Times New Roman"/>
          <w:kern w:val="0"/>
          <w:lang w:eastAsia="en-US" w:bidi="ar-SA"/>
        </w:rPr>
        <w:t>ń</w:t>
      </w:r>
      <w:r w:rsidRPr="00667967">
        <w:rPr>
          <w:rFonts w:ascii="Times New Roman" w:hAnsi="Times New Roman" w:cs="Times New Roman"/>
          <w:kern w:val="0"/>
          <w:lang w:eastAsia="en-US" w:bidi="ar-SA"/>
        </w:rPr>
        <w:t xml:space="preserve">. Od początku funkcjonowania Programu </w:t>
      </w:r>
      <w:r w:rsidR="009F7B3D" w:rsidRPr="00667967">
        <w:rPr>
          <w:rFonts w:ascii="Times New Roman" w:hAnsi="Times New Roman" w:cs="Times New Roman"/>
          <w:kern w:val="0"/>
          <w:lang w:eastAsia="en-US" w:bidi="ar-SA"/>
        </w:rPr>
        <w:t xml:space="preserve">„Stop Smog” </w:t>
      </w:r>
      <w:r w:rsidRPr="00667967">
        <w:rPr>
          <w:rFonts w:ascii="Times New Roman" w:hAnsi="Times New Roman" w:cs="Times New Roman"/>
          <w:kern w:val="0"/>
          <w:lang w:eastAsia="en-US" w:bidi="ar-SA"/>
        </w:rPr>
        <w:t>wiele gmin zgłaszało problem ze zrealizowaniem liczb</w:t>
      </w:r>
      <w:r w:rsidR="008E44F6" w:rsidRPr="00667967">
        <w:rPr>
          <w:rFonts w:ascii="Times New Roman" w:hAnsi="Times New Roman" w:cs="Times New Roman"/>
          <w:kern w:val="0"/>
          <w:lang w:eastAsia="en-US" w:bidi="ar-SA"/>
        </w:rPr>
        <w:t>y</w:t>
      </w:r>
      <w:r w:rsidRPr="00667967">
        <w:rPr>
          <w:rFonts w:ascii="Times New Roman" w:hAnsi="Times New Roman" w:cs="Times New Roman"/>
          <w:kern w:val="0"/>
          <w:lang w:eastAsia="en-US" w:bidi="ar-SA"/>
        </w:rPr>
        <w:t xml:space="preserve"> przedsięwzięć niskoemisyjnych na poziomie min</w:t>
      </w:r>
      <w:r w:rsidR="006240AF" w:rsidRPr="00667967">
        <w:rPr>
          <w:rFonts w:ascii="Times New Roman" w:hAnsi="Times New Roman" w:cs="Times New Roman"/>
          <w:kern w:val="0"/>
          <w:lang w:eastAsia="en-US" w:bidi="ar-SA"/>
        </w:rPr>
        <w:t>imum</w:t>
      </w:r>
      <w:r w:rsidRPr="00667967">
        <w:rPr>
          <w:rFonts w:ascii="Times New Roman" w:hAnsi="Times New Roman" w:cs="Times New Roman"/>
          <w:kern w:val="0"/>
          <w:lang w:eastAsia="en-US" w:bidi="ar-SA"/>
        </w:rPr>
        <w:t xml:space="preserve"> 20. Proponowana zmiana rozwiązuje powyższy problem i umożliwia efektywne skorzystanie z </w:t>
      </w:r>
      <w:r w:rsidR="001513BB">
        <w:rPr>
          <w:rFonts w:ascii="Times New Roman" w:hAnsi="Times New Roman" w:cs="Times New Roman"/>
          <w:kern w:val="0"/>
          <w:lang w:eastAsia="en-US" w:bidi="ar-SA"/>
        </w:rPr>
        <w:t>p</w:t>
      </w:r>
      <w:r w:rsidRPr="00667967">
        <w:rPr>
          <w:rFonts w:ascii="Times New Roman" w:hAnsi="Times New Roman" w:cs="Times New Roman"/>
          <w:kern w:val="0"/>
          <w:lang w:eastAsia="en-US" w:bidi="ar-SA"/>
        </w:rPr>
        <w:t>rogramu przez mniejsze gminy</w:t>
      </w:r>
      <w:r w:rsidR="002B692A" w:rsidRPr="00667967">
        <w:rPr>
          <w:rFonts w:ascii="Times New Roman" w:hAnsi="Times New Roman" w:cs="Times New Roman"/>
          <w:kern w:val="0"/>
          <w:lang w:eastAsia="en-US" w:bidi="ar-SA"/>
        </w:rPr>
        <w:t>,</w:t>
      </w:r>
      <w:r w:rsidRPr="00667967">
        <w:rPr>
          <w:rFonts w:ascii="Times New Roman" w:hAnsi="Times New Roman" w:cs="Times New Roman"/>
          <w:kern w:val="0"/>
          <w:lang w:eastAsia="en-US" w:bidi="ar-SA"/>
        </w:rPr>
        <w:t xml:space="preserve"> w których zrealizowanie min. 20 przedsięwzięć było niemożliwe.</w:t>
      </w:r>
    </w:p>
    <w:p w14:paraId="565BAB9E" w14:textId="48468B53" w:rsidR="00BE3B0F" w:rsidRPr="00667967" w:rsidRDefault="00BE3B0F" w:rsidP="00595221">
      <w:pPr>
        <w:widowControl/>
        <w:spacing w:after="120" w:line="360" w:lineRule="auto"/>
        <w:jc w:val="both"/>
        <w:rPr>
          <w:rFonts w:ascii="Times New Roman" w:hAnsi="Times New Roman" w:cs="Times New Roman"/>
          <w:b/>
          <w:bCs/>
          <w:kern w:val="0"/>
          <w:lang w:eastAsia="en-US" w:bidi="ar-SA"/>
        </w:rPr>
      </w:pPr>
      <w:r w:rsidRPr="00667967">
        <w:rPr>
          <w:rFonts w:ascii="Times New Roman" w:hAnsi="Times New Roman" w:cs="Times New Roman"/>
          <w:b/>
          <w:bCs/>
          <w:kern w:val="0"/>
          <w:lang w:eastAsia="en-US" w:bidi="ar-SA"/>
        </w:rPr>
        <w:t>Zmiana art. 11c ust.</w:t>
      </w:r>
      <w:r w:rsidR="00EF2364" w:rsidRPr="00667967">
        <w:rPr>
          <w:rFonts w:ascii="Times New Roman" w:hAnsi="Times New Roman" w:cs="Times New Roman"/>
          <w:b/>
          <w:bCs/>
          <w:kern w:val="0"/>
          <w:lang w:eastAsia="en-US" w:bidi="ar-SA"/>
        </w:rPr>
        <w:t xml:space="preserve"> </w:t>
      </w:r>
      <w:r w:rsidRPr="00667967">
        <w:rPr>
          <w:rFonts w:ascii="Times New Roman" w:hAnsi="Times New Roman" w:cs="Times New Roman"/>
          <w:b/>
          <w:bCs/>
          <w:kern w:val="0"/>
          <w:lang w:eastAsia="en-US" w:bidi="ar-SA"/>
        </w:rPr>
        <w:t>5 pkt 5</w:t>
      </w:r>
    </w:p>
    <w:p w14:paraId="15D3B29B" w14:textId="294D7CA5" w:rsidR="00BE3B0F" w:rsidRPr="00667967" w:rsidRDefault="00BE3B0F" w:rsidP="00595221">
      <w:pPr>
        <w:widowControl/>
        <w:spacing w:after="120" w:line="360" w:lineRule="auto"/>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Zmiana w art. 11c ust.</w:t>
      </w:r>
      <w:r w:rsidR="00014FDF" w:rsidRPr="00667967">
        <w:rPr>
          <w:rFonts w:ascii="Times New Roman" w:hAnsi="Times New Roman" w:cs="Times New Roman"/>
          <w:kern w:val="0"/>
          <w:lang w:eastAsia="en-US" w:bidi="ar-SA"/>
        </w:rPr>
        <w:t xml:space="preserve"> </w:t>
      </w:r>
      <w:r w:rsidRPr="00667967">
        <w:rPr>
          <w:rFonts w:ascii="Times New Roman" w:hAnsi="Times New Roman" w:cs="Times New Roman"/>
          <w:kern w:val="0"/>
          <w:lang w:eastAsia="en-US" w:bidi="ar-SA"/>
        </w:rPr>
        <w:t xml:space="preserve">5 pkt 5 </w:t>
      </w:r>
      <w:r w:rsidR="0078418C" w:rsidRPr="00667967">
        <w:rPr>
          <w:rFonts w:ascii="Times New Roman" w:hAnsi="Times New Roman" w:cs="Times New Roman"/>
          <w:kern w:val="0"/>
          <w:lang w:eastAsia="en-US" w:bidi="ar-SA"/>
        </w:rPr>
        <w:t xml:space="preserve">jest </w:t>
      </w:r>
      <w:r w:rsidRPr="00667967">
        <w:rPr>
          <w:rFonts w:ascii="Times New Roman" w:hAnsi="Times New Roman" w:cs="Times New Roman"/>
          <w:kern w:val="0"/>
          <w:lang w:eastAsia="en-US" w:bidi="ar-SA"/>
        </w:rPr>
        <w:t xml:space="preserve">podyktowana koniecznością zwiększenia średniego kosztu realizacji przedsięwzięcia niskoemisyjnego w jednym budynku mieszkalnym jednorodzinnym do kwoty 106 000 zł. </w:t>
      </w:r>
    </w:p>
    <w:p w14:paraId="75778E7E" w14:textId="71B24BF9" w:rsidR="00BE3B0F" w:rsidRPr="00667967" w:rsidRDefault="00BE3B0F" w:rsidP="00595221">
      <w:pPr>
        <w:widowControl/>
        <w:spacing w:after="120" w:line="360" w:lineRule="auto"/>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 xml:space="preserve">Obowiązujący średni koszt realizacji przedsięwzięć niskoemisyjnych był ustalany na etapie tworzenia Programu „Stop Smog” w 2018 r. Od tego momentu ceny materiałów, urządzeń oraz usług znacznie wzrosły. W szczególności najwyższe wzrosty dotyczyły kosztów związanych z termomodernizacją budynków. Na podstawie rozeznania rynku przygotowanego na potrzeby zmian wprowadzanych w Programie Priorytetowym </w:t>
      </w:r>
      <w:r w:rsidR="008F3B34" w:rsidRPr="00667967">
        <w:rPr>
          <w:rFonts w:ascii="Times New Roman" w:hAnsi="Times New Roman" w:cs="Times New Roman"/>
          <w:kern w:val="0"/>
          <w:lang w:eastAsia="en-US" w:bidi="ar-SA"/>
        </w:rPr>
        <w:t>„</w:t>
      </w:r>
      <w:r w:rsidRPr="00667967">
        <w:rPr>
          <w:rFonts w:ascii="Times New Roman" w:hAnsi="Times New Roman" w:cs="Times New Roman"/>
          <w:kern w:val="0"/>
          <w:lang w:eastAsia="en-US" w:bidi="ar-SA"/>
        </w:rPr>
        <w:t>Czyste Powietrze</w:t>
      </w:r>
      <w:r w:rsidR="008F3B34" w:rsidRPr="00667967">
        <w:rPr>
          <w:rFonts w:ascii="Times New Roman" w:hAnsi="Times New Roman" w:cs="Times New Roman"/>
          <w:kern w:val="0"/>
          <w:lang w:eastAsia="en-US" w:bidi="ar-SA"/>
        </w:rPr>
        <w:t>”</w:t>
      </w:r>
      <w:r w:rsidRPr="00667967">
        <w:rPr>
          <w:rFonts w:ascii="Times New Roman" w:hAnsi="Times New Roman" w:cs="Times New Roman"/>
          <w:kern w:val="0"/>
          <w:lang w:eastAsia="en-US" w:bidi="ar-SA"/>
        </w:rPr>
        <w:t>, gdzie mamy do czynienia z tymi samymi kategoriami kosztów, urealniono wartości poszczególnych kosztów kwalifikowanych w</w:t>
      </w:r>
      <w:r w:rsidR="003017B2" w:rsidRPr="00667967">
        <w:rPr>
          <w:rFonts w:ascii="Times New Roman" w:hAnsi="Times New Roman" w:cs="Times New Roman"/>
          <w:kern w:val="0"/>
          <w:lang w:eastAsia="en-US" w:bidi="ar-SA"/>
        </w:rPr>
        <w:t> </w:t>
      </w:r>
      <w:r w:rsidRPr="00667967">
        <w:rPr>
          <w:rFonts w:ascii="Times New Roman" w:hAnsi="Times New Roman" w:cs="Times New Roman"/>
          <w:kern w:val="0"/>
          <w:lang w:eastAsia="en-US" w:bidi="ar-SA"/>
        </w:rPr>
        <w:t xml:space="preserve">ramach Programu „Stop Smog”. Na tej podstawie oraz na podstawie zgłoszeń otrzymanych od wszystkich gmin realizujących obecnie przedsięwzięcia niskoemisyjne oraz gmin, które złożyły wnioski w programie, proponujemy podniesienie średniego kosztu realizacji przedsięwzięcia niskoemisyjnego w </w:t>
      </w:r>
      <w:r w:rsidR="001513BB">
        <w:rPr>
          <w:rFonts w:ascii="Times New Roman" w:hAnsi="Times New Roman" w:cs="Times New Roman"/>
          <w:kern w:val="0"/>
          <w:lang w:eastAsia="en-US" w:bidi="ar-SA"/>
        </w:rPr>
        <w:t>p</w:t>
      </w:r>
      <w:r w:rsidRPr="00667967">
        <w:rPr>
          <w:rFonts w:ascii="Times New Roman" w:hAnsi="Times New Roman" w:cs="Times New Roman"/>
          <w:kern w:val="0"/>
          <w:lang w:eastAsia="en-US" w:bidi="ar-SA"/>
        </w:rPr>
        <w:t>rogramie.</w:t>
      </w:r>
    </w:p>
    <w:p w14:paraId="06A25BBB" w14:textId="77777777" w:rsidR="00BE3B0F" w:rsidRPr="00667967" w:rsidRDefault="00BE3B0F" w:rsidP="00595221">
      <w:pPr>
        <w:widowControl/>
        <w:spacing w:after="120" w:line="360" w:lineRule="auto"/>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Podniesienie średniej wartości na realizacj</w:t>
      </w:r>
      <w:r w:rsidR="00014FDF" w:rsidRPr="00667967">
        <w:rPr>
          <w:rFonts w:ascii="Times New Roman" w:hAnsi="Times New Roman" w:cs="Times New Roman"/>
          <w:kern w:val="0"/>
          <w:lang w:eastAsia="en-US" w:bidi="ar-SA"/>
        </w:rPr>
        <w:t>ę</w:t>
      </w:r>
      <w:r w:rsidRPr="00667967">
        <w:rPr>
          <w:rFonts w:ascii="Times New Roman" w:hAnsi="Times New Roman" w:cs="Times New Roman"/>
          <w:kern w:val="0"/>
          <w:lang w:eastAsia="en-US" w:bidi="ar-SA"/>
        </w:rPr>
        <w:t xml:space="preserve"> przedsięwzięcia niskoemisyjnego </w:t>
      </w:r>
      <w:r w:rsidR="00014FDF" w:rsidRPr="00667967">
        <w:rPr>
          <w:rFonts w:ascii="Times New Roman" w:hAnsi="Times New Roman" w:cs="Times New Roman"/>
          <w:kern w:val="0"/>
          <w:lang w:eastAsia="en-US" w:bidi="ar-SA"/>
        </w:rPr>
        <w:t xml:space="preserve">pozwoli </w:t>
      </w:r>
      <w:r w:rsidRPr="00667967">
        <w:rPr>
          <w:rFonts w:ascii="Times New Roman" w:hAnsi="Times New Roman" w:cs="Times New Roman"/>
          <w:kern w:val="0"/>
          <w:lang w:eastAsia="en-US" w:bidi="ar-SA"/>
        </w:rPr>
        <w:t>gminom realizującym przedsięwzięcia niskoemisyjne na wyjście z obecnie powszechnie zgłaszanego problemu z wyłanianiem wykonawców. Gminy wielokrotnie muszą powtarzać procedury przetargowe z uwagi na brak oferentów lub przeszacowanie wartości oferty w stosunku do wartości zamówienia. Taka sytuacja zmusza gminy do ograniczania zakresów robót termomodernizacyjnych, co z kolei może mieć wpływ na osiągnięcie zakładanego efektu ekologicznego.</w:t>
      </w:r>
    </w:p>
    <w:p w14:paraId="1DA5D466" w14:textId="35F3C8EA" w:rsidR="00BE3B0F" w:rsidRPr="00667967" w:rsidRDefault="00BE3B0F" w:rsidP="00595221">
      <w:pPr>
        <w:widowControl/>
        <w:spacing w:before="240" w:after="120" w:line="360" w:lineRule="auto"/>
        <w:jc w:val="both"/>
        <w:rPr>
          <w:rFonts w:ascii="Times New Roman" w:hAnsi="Times New Roman" w:cs="Times New Roman"/>
          <w:b/>
          <w:bCs/>
          <w:kern w:val="0"/>
          <w:lang w:eastAsia="en-US" w:bidi="ar-SA"/>
        </w:rPr>
      </w:pPr>
      <w:r w:rsidRPr="00667967">
        <w:rPr>
          <w:rFonts w:ascii="Times New Roman" w:hAnsi="Times New Roman" w:cs="Times New Roman"/>
          <w:b/>
          <w:bCs/>
          <w:kern w:val="0"/>
          <w:lang w:eastAsia="en-US" w:bidi="ar-SA"/>
        </w:rPr>
        <w:lastRenderedPageBreak/>
        <w:t>Zmiany w art. 11d ust.</w:t>
      </w:r>
      <w:r w:rsidR="00014FDF" w:rsidRPr="00667967">
        <w:rPr>
          <w:rFonts w:ascii="Times New Roman" w:hAnsi="Times New Roman" w:cs="Times New Roman"/>
          <w:b/>
          <w:bCs/>
          <w:kern w:val="0"/>
          <w:lang w:eastAsia="en-US" w:bidi="ar-SA"/>
        </w:rPr>
        <w:t xml:space="preserve"> </w:t>
      </w:r>
      <w:r w:rsidRPr="00667967">
        <w:rPr>
          <w:rFonts w:ascii="Times New Roman" w:hAnsi="Times New Roman" w:cs="Times New Roman"/>
          <w:b/>
          <w:bCs/>
          <w:kern w:val="0"/>
          <w:lang w:eastAsia="en-US" w:bidi="ar-SA"/>
        </w:rPr>
        <w:t>1 pkt 3 i 4,</w:t>
      </w:r>
      <w:r w:rsidR="0017487D" w:rsidRPr="00667967">
        <w:rPr>
          <w:rFonts w:ascii="Times New Roman" w:hAnsi="Times New Roman" w:cs="Times New Roman"/>
          <w:b/>
          <w:bCs/>
          <w:kern w:val="0"/>
          <w:lang w:eastAsia="en-US" w:bidi="ar-SA"/>
        </w:rPr>
        <w:t xml:space="preserve"> </w:t>
      </w:r>
      <w:r w:rsidRPr="00667967">
        <w:rPr>
          <w:rFonts w:ascii="Times New Roman" w:hAnsi="Times New Roman" w:cs="Times New Roman"/>
          <w:b/>
          <w:bCs/>
          <w:kern w:val="0"/>
          <w:lang w:eastAsia="en-US" w:bidi="ar-SA"/>
        </w:rPr>
        <w:t>ust.</w:t>
      </w:r>
      <w:r w:rsidR="00A32B81" w:rsidRPr="00667967">
        <w:rPr>
          <w:rFonts w:ascii="Times New Roman" w:hAnsi="Times New Roman" w:cs="Times New Roman"/>
          <w:b/>
          <w:bCs/>
          <w:kern w:val="0"/>
          <w:lang w:eastAsia="en-US" w:bidi="ar-SA"/>
        </w:rPr>
        <w:t xml:space="preserve"> </w:t>
      </w:r>
      <w:r w:rsidRPr="00667967">
        <w:rPr>
          <w:rFonts w:ascii="Times New Roman" w:hAnsi="Times New Roman" w:cs="Times New Roman"/>
          <w:b/>
          <w:bCs/>
          <w:kern w:val="0"/>
          <w:lang w:eastAsia="en-US" w:bidi="ar-SA"/>
        </w:rPr>
        <w:t xml:space="preserve">2b, </w:t>
      </w:r>
      <w:r w:rsidR="00014FDF" w:rsidRPr="00667967">
        <w:rPr>
          <w:rFonts w:ascii="Times New Roman" w:hAnsi="Times New Roman" w:cs="Times New Roman"/>
          <w:b/>
          <w:bCs/>
          <w:kern w:val="0"/>
          <w:lang w:eastAsia="en-US" w:bidi="ar-SA"/>
        </w:rPr>
        <w:t xml:space="preserve">ust. </w:t>
      </w:r>
      <w:r w:rsidRPr="00667967">
        <w:rPr>
          <w:rFonts w:ascii="Times New Roman" w:hAnsi="Times New Roman" w:cs="Times New Roman"/>
          <w:b/>
          <w:bCs/>
          <w:kern w:val="0"/>
          <w:lang w:eastAsia="en-US" w:bidi="ar-SA"/>
        </w:rPr>
        <w:t>7</w:t>
      </w:r>
      <w:r w:rsidR="00014FDF" w:rsidRPr="00667967">
        <w:rPr>
          <w:rFonts w:ascii="Times New Roman" w:hAnsi="Times New Roman" w:cs="Times New Roman"/>
          <w:b/>
          <w:bCs/>
          <w:kern w:val="0"/>
          <w:lang w:eastAsia="en-US" w:bidi="ar-SA"/>
        </w:rPr>
        <w:t xml:space="preserve">, ust. </w:t>
      </w:r>
      <w:r w:rsidRPr="00667967">
        <w:rPr>
          <w:rFonts w:ascii="Times New Roman" w:hAnsi="Times New Roman" w:cs="Times New Roman"/>
          <w:b/>
          <w:bCs/>
          <w:kern w:val="0"/>
          <w:lang w:eastAsia="en-US" w:bidi="ar-SA"/>
        </w:rPr>
        <w:t xml:space="preserve">7e, ust. 8a pkt 2, ust. 13 </w:t>
      </w:r>
      <w:r w:rsidR="00BC0087" w:rsidRPr="00667967">
        <w:rPr>
          <w:rFonts w:ascii="Times New Roman" w:hAnsi="Times New Roman" w:cs="Times New Roman"/>
          <w:b/>
          <w:bCs/>
          <w:kern w:val="0"/>
          <w:lang w:eastAsia="en-US" w:bidi="ar-SA"/>
        </w:rPr>
        <w:t>oraz</w:t>
      </w:r>
      <w:r w:rsidR="00014FDF" w:rsidRPr="00667967">
        <w:rPr>
          <w:rFonts w:ascii="Times New Roman" w:hAnsi="Times New Roman" w:cs="Times New Roman"/>
          <w:b/>
          <w:bCs/>
          <w:kern w:val="0"/>
          <w:lang w:eastAsia="en-US" w:bidi="ar-SA"/>
        </w:rPr>
        <w:t xml:space="preserve"> w</w:t>
      </w:r>
      <w:r w:rsidR="00BC0087" w:rsidRPr="00667967">
        <w:rPr>
          <w:rFonts w:ascii="Times New Roman" w:hAnsi="Times New Roman" w:cs="Times New Roman"/>
          <w:b/>
          <w:bCs/>
          <w:kern w:val="0"/>
          <w:lang w:eastAsia="en-US" w:bidi="ar-SA"/>
        </w:rPr>
        <w:t xml:space="preserve"> art.</w:t>
      </w:r>
      <w:r w:rsidR="00DA6E93">
        <w:rPr>
          <w:rFonts w:ascii="Times New Roman" w:hAnsi="Times New Roman" w:cs="Times New Roman"/>
          <w:b/>
          <w:bCs/>
          <w:kern w:val="0"/>
          <w:lang w:eastAsia="en-US" w:bidi="ar-SA"/>
        </w:rPr>
        <w:t> </w:t>
      </w:r>
      <w:r w:rsidRPr="00667967">
        <w:rPr>
          <w:rFonts w:ascii="Times New Roman" w:hAnsi="Times New Roman" w:cs="Times New Roman"/>
          <w:b/>
          <w:bCs/>
          <w:kern w:val="0"/>
          <w:lang w:eastAsia="en-US" w:bidi="ar-SA"/>
        </w:rPr>
        <w:t>11f</w:t>
      </w:r>
      <w:r w:rsidR="00BC0087" w:rsidRPr="00667967">
        <w:rPr>
          <w:rFonts w:ascii="Times New Roman" w:hAnsi="Times New Roman" w:cs="Times New Roman"/>
          <w:b/>
          <w:bCs/>
          <w:kern w:val="0"/>
          <w:lang w:eastAsia="en-US" w:bidi="ar-SA"/>
        </w:rPr>
        <w:t xml:space="preserve"> ust.</w:t>
      </w:r>
      <w:r w:rsidR="00222614" w:rsidRPr="00667967">
        <w:rPr>
          <w:rFonts w:ascii="Times New Roman" w:hAnsi="Times New Roman" w:cs="Times New Roman"/>
          <w:b/>
          <w:bCs/>
          <w:kern w:val="0"/>
          <w:lang w:eastAsia="en-US" w:bidi="ar-SA"/>
        </w:rPr>
        <w:t> </w:t>
      </w:r>
      <w:r w:rsidR="00BC0087" w:rsidRPr="00667967">
        <w:rPr>
          <w:rFonts w:ascii="Times New Roman" w:hAnsi="Times New Roman" w:cs="Times New Roman"/>
          <w:b/>
          <w:bCs/>
          <w:kern w:val="0"/>
          <w:lang w:eastAsia="en-US" w:bidi="ar-SA"/>
        </w:rPr>
        <w:t>6 i 7</w:t>
      </w:r>
      <w:r w:rsidR="00043D8F" w:rsidRPr="00667967">
        <w:rPr>
          <w:rFonts w:ascii="Times New Roman" w:hAnsi="Times New Roman" w:cs="Times New Roman"/>
          <w:b/>
          <w:bCs/>
          <w:kern w:val="0"/>
          <w:lang w:eastAsia="en-US" w:bidi="ar-SA"/>
        </w:rPr>
        <w:t xml:space="preserve"> pkt 2</w:t>
      </w:r>
    </w:p>
    <w:p w14:paraId="7DD2211F" w14:textId="60199534" w:rsidR="00BE3B0F" w:rsidRPr="00667967" w:rsidRDefault="00BE3B0F" w:rsidP="00595221">
      <w:pPr>
        <w:widowControl/>
        <w:shd w:val="clear" w:color="auto" w:fill="FFFFFF"/>
        <w:spacing w:before="120" w:after="120" w:line="360" w:lineRule="auto"/>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Zmiany w art. 11d ust.</w:t>
      </w:r>
      <w:r w:rsidR="00014FDF" w:rsidRPr="00667967">
        <w:rPr>
          <w:rFonts w:ascii="Times New Roman" w:hAnsi="Times New Roman" w:cs="Times New Roman"/>
          <w:kern w:val="0"/>
          <w:lang w:eastAsia="en-US" w:bidi="ar-SA"/>
        </w:rPr>
        <w:t xml:space="preserve"> </w:t>
      </w:r>
      <w:r w:rsidRPr="00667967">
        <w:rPr>
          <w:rFonts w:ascii="Times New Roman" w:hAnsi="Times New Roman" w:cs="Times New Roman"/>
          <w:kern w:val="0"/>
          <w:lang w:eastAsia="en-US" w:bidi="ar-SA"/>
        </w:rPr>
        <w:t>1 pkt 3 i 4,</w:t>
      </w:r>
      <w:r w:rsidR="0017487D" w:rsidRPr="00667967">
        <w:rPr>
          <w:rFonts w:ascii="Times New Roman" w:hAnsi="Times New Roman" w:cs="Times New Roman"/>
          <w:kern w:val="0"/>
          <w:lang w:eastAsia="en-US" w:bidi="ar-SA"/>
        </w:rPr>
        <w:t xml:space="preserve"> </w:t>
      </w:r>
      <w:r w:rsidRPr="00667967">
        <w:rPr>
          <w:rFonts w:ascii="Times New Roman" w:hAnsi="Times New Roman" w:cs="Times New Roman"/>
          <w:kern w:val="0"/>
          <w:lang w:eastAsia="en-US" w:bidi="ar-SA"/>
        </w:rPr>
        <w:t>ust.</w:t>
      </w:r>
      <w:r w:rsidR="00F9765C" w:rsidRPr="00667967">
        <w:rPr>
          <w:rFonts w:ascii="Times New Roman" w:hAnsi="Times New Roman" w:cs="Times New Roman"/>
          <w:kern w:val="0"/>
          <w:lang w:eastAsia="en-US" w:bidi="ar-SA"/>
        </w:rPr>
        <w:t xml:space="preserve"> </w:t>
      </w:r>
      <w:r w:rsidRPr="00667967">
        <w:rPr>
          <w:rFonts w:ascii="Times New Roman" w:hAnsi="Times New Roman" w:cs="Times New Roman"/>
          <w:kern w:val="0"/>
          <w:lang w:eastAsia="en-US" w:bidi="ar-SA"/>
        </w:rPr>
        <w:t xml:space="preserve">2b, </w:t>
      </w:r>
      <w:r w:rsidR="00014FDF" w:rsidRPr="00667967">
        <w:rPr>
          <w:rFonts w:ascii="Times New Roman" w:hAnsi="Times New Roman" w:cs="Times New Roman"/>
          <w:kern w:val="0"/>
          <w:lang w:eastAsia="en-US" w:bidi="ar-SA"/>
        </w:rPr>
        <w:t xml:space="preserve">ust. </w:t>
      </w:r>
      <w:r w:rsidRPr="00667967">
        <w:rPr>
          <w:rFonts w:ascii="Times New Roman" w:hAnsi="Times New Roman" w:cs="Times New Roman"/>
          <w:kern w:val="0"/>
          <w:lang w:eastAsia="en-US" w:bidi="ar-SA"/>
        </w:rPr>
        <w:t>7</w:t>
      </w:r>
      <w:r w:rsidR="00014FDF" w:rsidRPr="00667967">
        <w:rPr>
          <w:rFonts w:ascii="Times New Roman" w:hAnsi="Times New Roman" w:cs="Times New Roman"/>
          <w:kern w:val="0"/>
          <w:lang w:eastAsia="en-US" w:bidi="ar-SA"/>
        </w:rPr>
        <w:t>, ust</w:t>
      </w:r>
      <w:r w:rsidR="00F9765C" w:rsidRPr="00667967">
        <w:rPr>
          <w:rFonts w:ascii="Times New Roman" w:hAnsi="Times New Roman" w:cs="Times New Roman"/>
          <w:kern w:val="0"/>
          <w:lang w:eastAsia="en-US" w:bidi="ar-SA"/>
        </w:rPr>
        <w:t>.</w:t>
      </w:r>
      <w:r w:rsidRPr="00667967">
        <w:rPr>
          <w:rFonts w:ascii="Times New Roman" w:hAnsi="Times New Roman" w:cs="Times New Roman"/>
          <w:kern w:val="0"/>
          <w:lang w:eastAsia="en-US" w:bidi="ar-SA"/>
        </w:rPr>
        <w:t xml:space="preserve"> 7e, ust. 8a pkt 2, ust. 13</w:t>
      </w:r>
      <w:r w:rsidR="00BC0087" w:rsidRPr="00667967">
        <w:rPr>
          <w:rFonts w:ascii="Times New Roman" w:hAnsi="Times New Roman" w:cs="Times New Roman"/>
          <w:kern w:val="0"/>
          <w:lang w:eastAsia="en-US" w:bidi="ar-SA"/>
        </w:rPr>
        <w:t xml:space="preserve"> oraz</w:t>
      </w:r>
      <w:r w:rsidRPr="00667967">
        <w:rPr>
          <w:rFonts w:ascii="Times New Roman" w:hAnsi="Times New Roman" w:cs="Times New Roman"/>
          <w:kern w:val="0"/>
          <w:lang w:eastAsia="en-US" w:bidi="ar-SA"/>
        </w:rPr>
        <w:t xml:space="preserve"> </w:t>
      </w:r>
      <w:r w:rsidR="00014FDF" w:rsidRPr="00667967">
        <w:rPr>
          <w:rFonts w:ascii="Times New Roman" w:hAnsi="Times New Roman" w:cs="Times New Roman"/>
          <w:kern w:val="0"/>
          <w:lang w:eastAsia="en-US" w:bidi="ar-SA"/>
        </w:rPr>
        <w:t xml:space="preserve">w </w:t>
      </w:r>
      <w:r w:rsidR="00BC0087" w:rsidRPr="00667967">
        <w:rPr>
          <w:rFonts w:ascii="Times New Roman" w:hAnsi="Times New Roman" w:cs="Times New Roman"/>
          <w:kern w:val="0"/>
          <w:lang w:eastAsia="en-US" w:bidi="ar-SA"/>
        </w:rPr>
        <w:t xml:space="preserve">art. </w:t>
      </w:r>
      <w:r w:rsidRPr="00667967">
        <w:rPr>
          <w:rFonts w:ascii="Times New Roman" w:hAnsi="Times New Roman" w:cs="Times New Roman"/>
          <w:kern w:val="0"/>
          <w:lang w:eastAsia="en-US" w:bidi="ar-SA"/>
        </w:rPr>
        <w:t>11f</w:t>
      </w:r>
      <w:r w:rsidR="00BC0087" w:rsidRPr="00667967">
        <w:rPr>
          <w:rFonts w:ascii="Times New Roman" w:hAnsi="Times New Roman" w:cs="Times New Roman"/>
          <w:kern w:val="0"/>
          <w:lang w:eastAsia="en-US" w:bidi="ar-SA"/>
        </w:rPr>
        <w:t xml:space="preserve"> ust. 6 i</w:t>
      </w:r>
      <w:r w:rsidR="00222614" w:rsidRPr="00667967">
        <w:rPr>
          <w:rFonts w:ascii="Times New Roman" w:hAnsi="Times New Roman" w:cs="Times New Roman"/>
          <w:kern w:val="0"/>
          <w:lang w:eastAsia="en-US" w:bidi="ar-SA"/>
        </w:rPr>
        <w:t> </w:t>
      </w:r>
      <w:r w:rsidR="00F9765C" w:rsidRPr="00667967">
        <w:rPr>
          <w:rFonts w:ascii="Times New Roman" w:hAnsi="Times New Roman" w:cs="Times New Roman"/>
          <w:kern w:val="0"/>
          <w:lang w:eastAsia="en-US" w:bidi="ar-SA"/>
        </w:rPr>
        <w:t xml:space="preserve">ust. </w:t>
      </w:r>
      <w:r w:rsidR="00BC0087" w:rsidRPr="00667967">
        <w:rPr>
          <w:rFonts w:ascii="Times New Roman" w:hAnsi="Times New Roman" w:cs="Times New Roman"/>
          <w:kern w:val="0"/>
          <w:lang w:eastAsia="en-US" w:bidi="ar-SA"/>
        </w:rPr>
        <w:t>7</w:t>
      </w:r>
      <w:r w:rsidR="00043D8F" w:rsidRPr="00667967">
        <w:rPr>
          <w:rFonts w:ascii="Times New Roman" w:hAnsi="Times New Roman" w:cs="Times New Roman"/>
          <w:kern w:val="0"/>
          <w:lang w:eastAsia="en-US" w:bidi="ar-SA"/>
        </w:rPr>
        <w:t xml:space="preserve"> pkt 2</w:t>
      </w:r>
      <w:r w:rsidR="00BC0087" w:rsidRPr="00667967">
        <w:rPr>
          <w:rFonts w:ascii="Times New Roman" w:hAnsi="Times New Roman" w:cs="Times New Roman"/>
          <w:kern w:val="0"/>
          <w:lang w:eastAsia="en-US" w:bidi="ar-SA"/>
        </w:rPr>
        <w:t xml:space="preserve"> </w:t>
      </w:r>
      <w:r w:rsidR="00043D8F" w:rsidRPr="00667967">
        <w:rPr>
          <w:rFonts w:ascii="Times New Roman" w:hAnsi="Times New Roman" w:cs="Times New Roman"/>
          <w:kern w:val="0"/>
          <w:lang w:eastAsia="en-US" w:bidi="ar-SA"/>
        </w:rPr>
        <w:t xml:space="preserve">są </w:t>
      </w:r>
      <w:r w:rsidRPr="00667967">
        <w:rPr>
          <w:rFonts w:ascii="Times New Roman" w:hAnsi="Times New Roman" w:cs="Times New Roman"/>
          <w:kern w:val="0"/>
          <w:lang w:eastAsia="en-US" w:bidi="ar-SA"/>
        </w:rPr>
        <w:t xml:space="preserve">podyktowane potrzebą </w:t>
      </w:r>
      <w:r w:rsidRPr="00667967">
        <w:rPr>
          <w:rFonts w:ascii="Times New Roman" w:hAnsi="Times New Roman" w:cs="Times New Roman"/>
        </w:rPr>
        <w:t xml:space="preserve">likwidacji </w:t>
      </w:r>
      <w:r w:rsidRPr="00667967">
        <w:rPr>
          <w:rFonts w:ascii="Times New Roman" w:eastAsia="Times New Roman" w:hAnsi="Times New Roman" w:cs="Times New Roman"/>
        </w:rPr>
        <w:t xml:space="preserve">kryterium majątkowego beneficjenta końcowego. Obecnie </w:t>
      </w:r>
      <w:r w:rsidR="00043D8F" w:rsidRPr="00667967">
        <w:rPr>
          <w:rFonts w:ascii="Times New Roman" w:eastAsia="Times New Roman" w:hAnsi="Times New Roman" w:cs="Times New Roman"/>
        </w:rPr>
        <w:t xml:space="preserve">w Programie „Stop Smog” obowiązuje zarówno kryterium dochodowe, jak i majątkowe, które znacząco utrudnia realizację </w:t>
      </w:r>
      <w:r w:rsidR="001513BB">
        <w:rPr>
          <w:rFonts w:ascii="Times New Roman" w:eastAsia="Times New Roman" w:hAnsi="Times New Roman" w:cs="Times New Roman"/>
        </w:rPr>
        <w:t>p</w:t>
      </w:r>
      <w:r w:rsidR="00043D8F" w:rsidRPr="00667967">
        <w:rPr>
          <w:rFonts w:ascii="Times New Roman" w:eastAsia="Times New Roman" w:hAnsi="Times New Roman" w:cs="Times New Roman"/>
        </w:rPr>
        <w:t xml:space="preserve">rogramu przez gminy. </w:t>
      </w:r>
      <w:r w:rsidR="00043D8F" w:rsidRPr="00667967">
        <w:rPr>
          <w:rFonts w:ascii="Times New Roman" w:hAnsi="Times New Roman" w:cs="Times New Roman"/>
        </w:rPr>
        <w:t>Kryterium dochodowe jest wystarczającym warunkiem do spełnienia przez wnioskodawców celem ukierunkowania wsparcia dla najmniej zamożnych gospodarstw domowych.</w:t>
      </w:r>
    </w:p>
    <w:p w14:paraId="4C3CAB4C" w14:textId="056A9959" w:rsidR="00CA2A09" w:rsidRPr="00667967" w:rsidRDefault="00BE3B0F" w:rsidP="00595221">
      <w:pPr>
        <w:widowControl/>
        <w:shd w:val="clear" w:color="auto" w:fill="FFFFFF"/>
        <w:spacing w:after="120" w:line="360" w:lineRule="auto"/>
        <w:jc w:val="both"/>
        <w:rPr>
          <w:rFonts w:ascii="Times New Roman" w:eastAsia="Times New Roman" w:hAnsi="Times New Roman" w:cs="Times New Roman"/>
        </w:rPr>
      </w:pPr>
      <w:r w:rsidRPr="00667967">
        <w:rPr>
          <w:rFonts w:ascii="Times New Roman" w:eastAsia="Times New Roman" w:hAnsi="Times New Roman" w:cs="Times New Roman"/>
        </w:rPr>
        <w:t xml:space="preserve">W </w:t>
      </w:r>
      <w:r w:rsidR="00043D8F" w:rsidRPr="00667967">
        <w:rPr>
          <w:rFonts w:ascii="Times New Roman" w:eastAsia="Times New Roman" w:hAnsi="Times New Roman" w:cs="Times New Roman"/>
        </w:rPr>
        <w:t xml:space="preserve">sposób </w:t>
      </w:r>
      <w:r w:rsidRPr="00667967">
        <w:rPr>
          <w:rFonts w:ascii="Times New Roman" w:eastAsia="Times New Roman" w:hAnsi="Times New Roman" w:cs="Times New Roman"/>
        </w:rPr>
        <w:t xml:space="preserve">analogiczny </w:t>
      </w:r>
      <w:r w:rsidR="00043D8F" w:rsidRPr="00667967">
        <w:rPr>
          <w:rFonts w:ascii="Times New Roman" w:eastAsia="Times New Roman" w:hAnsi="Times New Roman" w:cs="Times New Roman"/>
        </w:rPr>
        <w:t xml:space="preserve">przebiega </w:t>
      </w:r>
      <w:r w:rsidRPr="00667967">
        <w:rPr>
          <w:rFonts w:ascii="Times New Roman" w:eastAsia="Times New Roman" w:hAnsi="Times New Roman" w:cs="Times New Roman"/>
        </w:rPr>
        <w:t xml:space="preserve">weryfikacja w Programie Priorytetowym </w:t>
      </w:r>
      <w:r w:rsidR="00A32B81" w:rsidRPr="00667967">
        <w:rPr>
          <w:rFonts w:ascii="Times New Roman" w:eastAsia="Times New Roman" w:hAnsi="Times New Roman" w:cs="Times New Roman"/>
        </w:rPr>
        <w:t>„</w:t>
      </w:r>
      <w:r w:rsidRPr="00667967">
        <w:rPr>
          <w:rFonts w:ascii="Times New Roman" w:eastAsia="Times New Roman" w:hAnsi="Times New Roman" w:cs="Times New Roman"/>
        </w:rPr>
        <w:t>Czyste Powietrze</w:t>
      </w:r>
      <w:r w:rsidR="00A32B81" w:rsidRPr="00667967">
        <w:rPr>
          <w:rFonts w:ascii="Times New Roman" w:eastAsia="Times New Roman" w:hAnsi="Times New Roman" w:cs="Times New Roman"/>
        </w:rPr>
        <w:t>”</w:t>
      </w:r>
      <w:r w:rsidRPr="00667967">
        <w:rPr>
          <w:rFonts w:ascii="Times New Roman" w:eastAsia="Times New Roman" w:hAnsi="Times New Roman" w:cs="Times New Roman"/>
        </w:rPr>
        <w:t>, w części z najwyższym poziomem dofinansowania skierowanym do najuboższych właścicieli budynków mieszkalnych jednorodzinnych. Jednocześnie kryterium majątkowe jest trudne do weryfikacji, w szczególności przy szacowaniu wartości ruchomych składników majątku (samochody, sprzęt rolniczy itp.)</w:t>
      </w:r>
      <w:r w:rsidR="00014FDF" w:rsidRPr="00667967">
        <w:rPr>
          <w:rFonts w:ascii="Times New Roman" w:eastAsia="Times New Roman" w:hAnsi="Times New Roman" w:cs="Times New Roman"/>
        </w:rPr>
        <w:t>.</w:t>
      </w:r>
      <w:r w:rsidRPr="00667967">
        <w:rPr>
          <w:rFonts w:ascii="Times New Roman" w:eastAsia="Times New Roman" w:hAnsi="Times New Roman" w:cs="Times New Roman"/>
        </w:rPr>
        <w:t xml:space="preserve"> Ponadto kryterium majątkowe wyklucza z udziału w </w:t>
      </w:r>
      <w:r w:rsidR="001513BB">
        <w:rPr>
          <w:rFonts w:ascii="Times New Roman" w:eastAsia="Times New Roman" w:hAnsi="Times New Roman" w:cs="Times New Roman"/>
        </w:rPr>
        <w:t>p</w:t>
      </w:r>
      <w:r w:rsidR="00014FDF" w:rsidRPr="00667967">
        <w:rPr>
          <w:rFonts w:ascii="Times New Roman" w:eastAsia="Times New Roman" w:hAnsi="Times New Roman" w:cs="Times New Roman"/>
        </w:rPr>
        <w:t xml:space="preserve">rogramie </w:t>
      </w:r>
      <w:r w:rsidRPr="00667967">
        <w:rPr>
          <w:rFonts w:ascii="Times New Roman" w:eastAsia="Times New Roman" w:hAnsi="Times New Roman" w:cs="Times New Roman"/>
        </w:rPr>
        <w:t>duże grono osób z gmin wiejskich, gdzie potencjalny beneficjent jest często właścicielem niewielkiej działki rolnej lub leśnej, której wartość przekracza dopuszczalny limit.</w:t>
      </w:r>
      <w:r w:rsidR="00CA2A09" w:rsidRPr="00667967">
        <w:rPr>
          <w:rFonts w:ascii="Times New Roman" w:eastAsia="Times New Roman" w:hAnsi="Times New Roman" w:cs="Times New Roman"/>
        </w:rPr>
        <w:t xml:space="preserve"> </w:t>
      </w:r>
    </w:p>
    <w:p w14:paraId="70513FEC" w14:textId="1C943EE9" w:rsidR="001F7EDD" w:rsidRPr="00667967" w:rsidRDefault="00CA2A09" w:rsidP="00595221">
      <w:pPr>
        <w:widowControl/>
        <w:spacing w:line="360" w:lineRule="auto"/>
        <w:jc w:val="both"/>
        <w:rPr>
          <w:rFonts w:ascii="Times New Roman" w:hAnsi="Times New Roman" w:cs="Times New Roman"/>
        </w:rPr>
      </w:pPr>
      <w:r w:rsidRPr="00667967">
        <w:rPr>
          <w:rFonts w:ascii="Times New Roman" w:eastAsia="Times New Roman" w:hAnsi="Times New Roman" w:cs="Times New Roman"/>
        </w:rPr>
        <w:t>Dodatkowo w art. 11d ust. 7e zaproponowano zmianę o charakterze porządkującym</w:t>
      </w:r>
      <w:r w:rsidR="00AB39B2" w:rsidRPr="00667967">
        <w:rPr>
          <w:rFonts w:ascii="Times New Roman" w:eastAsia="Times New Roman" w:hAnsi="Times New Roman" w:cs="Times New Roman"/>
        </w:rPr>
        <w:t xml:space="preserve">, polegającą na podaniu </w:t>
      </w:r>
      <w:r w:rsidRPr="00667967">
        <w:rPr>
          <w:rFonts w:ascii="Times New Roman" w:hAnsi="Times New Roman" w:cs="Times New Roman"/>
        </w:rPr>
        <w:t>metryki ustawy z dnia 21 czerwca 2001 r</w:t>
      </w:r>
      <w:r w:rsidRPr="00501B9C">
        <w:rPr>
          <w:rFonts w:ascii="Times New Roman" w:hAnsi="Times New Roman" w:cs="Times New Roman"/>
        </w:rPr>
        <w:t xml:space="preserve">. </w:t>
      </w:r>
      <w:r w:rsidRPr="00595221">
        <w:rPr>
          <w:rFonts w:ascii="Times New Roman" w:hAnsi="Times New Roman" w:cs="Times New Roman"/>
        </w:rPr>
        <w:t>o dodatkach mieszkaniowych</w:t>
      </w:r>
      <w:r w:rsidRPr="00667967">
        <w:rPr>
          <w:rFonts w:ascii="Times New Roman" w:hAnsi="Times New Roman" w:cs="Times New Roman"/>
        </w:rPr>
        <w:t xml:space="preserve"> (Dz.</w:t>
      </w:r>
      <w:r w:rsidR="00D029CA">
        <w:rPr>
          <w:rFonts w:ascii="Times New Roman" w:hAnsi="Times New Roman" w:cs="Times New Roman"/>
        </w:rPr>
        <w:t> </w:t>
      </w:r>
      <w:r w:rsidRPr="00667967">
        <w:rPr>
          <w:rFonts w:ascii="Times New Roman" w:hAnsi="Times New Roman" w:cs="Times New Roman"/>
        </w:rPr>
        <w:t>U.</w:t>
      </w:r>
      <w:r w:rsidR="00D029CA">
        <w:rPr>
          <w:rFonts w:ascii="Times New Roman" w:hAnsi="Times New Roman" w:cs="Times New Roman"/>
        </w:rPr>
        <w:t> </w:t>
      </w:r>
      <w:r w:rsidR="00554453" w:rsidRPr="00667967">
        <w:rPr>
          <w:rFonts w:ascii="Times New Roman" w:hAnsi="Times New Roman" w:cs="Times New Roman"/>
        </w:rPr>
        <w:t>z</w:t>
      </w:r>
      <w:r w:rsidR="00D029CA">
        <w:rPr>
          <w:rFonts w:ascii="Times New Roman" w:hAnsi="Times New Roman" w:cs="Times New Roman"/>
        </w:rPr>
        <w:t> </w:t>
      </w:r>
      <w:r w:rsidR="00222614" w:rsidRPr="00667967">
        <w:rPr>
          <w:rFonts w:ascii="Times New Roman" w:hAnsi="Times New Roman" w:cs="Times New Roman"/>
        </w:rPr>
        <w:t xml:space="preserve">2023 </w:t>
      </w:r>
      <w:r w:rsidR="00554453" w:rsidRPr="00667967">
        <w:rPr>
          <w:rFonts w:ascii="Times New Roman" w:hAnsi="Times New Roman" w:cs="Times New Roman"/>
        </w:rPr>
        <w:t xml:space="preserve">r. </w:t>
      </w:r>
      <w:r w:rsidRPr="00667967">
        <w:rPr>
          <w:rFonts w:ascii="Times New Roman" w:hAnsi="Times New Roman" w:cs="Times New Roman"/>
        </w:rPr>
        <w:t xml:space="preserve">poz. </w:t>
      </w:r>
      <w:r w:rsidR="00222614" w:rsidRPr="00667967">
        <w:rPr>
          <w:rFonts w:ascii="Times New Roman" w:hAnsi="Times New Roman" w:cs="Times New Roman"/>
        </w:rPr>
        <w:t>1335</w:t>
      </w:r>
      <w:r w:rsidRPr="00667967">
        <w:rPr>
          <w:rFonts w:ascii="Times New Roman" w:hAnsi="Times New Roman" w:cs="Times New Roman"/>
        </w:rPr>
        <w:t xml:space="preserve">) w związku z jej uchyleniem </w:t>
      </w:r>
      <w:r w:rsidR="00AB39B2" w:rsidRPr="00667967">
        <w:rPr>
          <w:rFonts w:ascii="Times New Roman" w:hAnsi="Times New Roman" w:cs="Times New Roman"/>
        </w:rPr>
        <w:t>w ust. 1 pkt 3 tego artykułu.</w:t>
      </w:r>
      <w:r w:rsidR="00341415" w:rsidRPr="00667967">
        <w:rPr>
          <w:rFonts w:ascii="Times New Roman" w:hAnsi="Times New Roman" w:cs="Times New Roman"/>
        </w:rPr>
        <w:t xml:space="preserve"> </w:t>
      </w:r>
    </w:p>
    <w:p w14:paraId="5EEC22B5" w14:textId="77777777" w:rsidR="00A67C96" w:rsidRPr="00667967" w:rsidRDefault="00A67C96" w:rsidP="00595221">
      <w:pPr>
        <w:widowControl/>
        <w:spacing w:before="120" w:after="120" w:line="360" w:lineRule="auto"/>
        <w:jc w:val="both"/>
        <w:rPr>
          <w:rFonts w:ascii="Times New Roman" w:hAnsi="Times New Roman" w:cs="Times New Roman"/>
          <w:b/>
          <w:bCs/>
          <w:kern w:val="0"/>
          <w:lang w:eastAsia="en-US" w:bidi="ar-SA"/>
        </w:rPr>
      </w:pPr>
      <w:r w:rsidRPr="00667967">
        <w:rPr>
          <w:rFonts w:ascii="Times New Roman" w:hAnsi="Times New Roman" w:cs="Times New Roman"/>
          <w:b/>
          <w:bCs/>
          <w:kern w:val="0"/>
          <w:lang w:eastAsia="en-US" w:bidi="ar-SA"/>
        </w:rPr>
        <w:t>Zmiana art. 22c ust. 3 pkt a</w:t>
      </w:r>
    </w:p>
    <w:p w14:paraId="23FC5E76" w14:textId="4131285E" w:rsidR="00A67C96" w:rsidRPr="00667967" w:rsidRDefault="00A67C96" w:rsidP="00595221">
      <w:pPr>
        <w:widowControl/>
        <w:spacing w:after="120" w:line="360" w:lineRule="auto"/>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 xml:space="preserve">Zmiana </w:t>
      </w:r>
      <w:r w:rsidR="0078418C" w:rsidRPr="00667967">
        <w:rPr>
          <w:rFonts w:ascii="Times New Roman" w:hAnsi="Times New Roman" w:cs="Times New Roman"/>
          <w:kern w:val="0"/>
          <w:lang w:eastAsia="en-US" w:bidi="ar-SA"/>
        </w:rPr>
        <w:t xml:space="preserve">jest </w:t>
      </w:r>
      <w:r w:rsidRPr="00667967">
        <w:rPr>
          <w:rFonts w:ascii="Times New Roman" w:hAnsi="Times New Roman" w:cs="Times New Roman"/>
          <w:kern w:val="0"/>
          <w:lang w:eastAsia="en-US" w:bidi="ar-SA"/>
        </w:rPr>
        <w:t xml:space="preserve">podyktowana koniecznością </w:t>
      </w:r>
      <w:r w:rsidR="002B692A" w:rsidRPr="00667967">
        <w:rPr>
          <w:rFonts w:ascii="Times New Roman" w:hAnsi="Times New Roman" w:cs="Times New Roman"/>
          <w:kern w:val="0"/>
          <w:lang w:eastAsia="en-US" w:bidi="ar-SA"/>
        </w:rPr>
        <w:t>korekty</w:t>
      </w:r>
      <w:r w:rsidRPr="00667967">
        <w:rPr>
          <w:rFonts w:ascii="Times New Roman" w:hAnsi="Times New Roman" w:cs="Times New Roman"/>
          <w:kern w:val="0"/>
          <w:lang w:eastAsia="en-US" w:bidi="ar-SA"/>
        </w:rPr>
        <w:t xml:space="preserve"> w związku ze zmianami wprowadzanymi w art. 11c ust. 1 pkt 1.</w:t>
      </w:r>
    </w:p>
    <w:p w14:paraId="1D91E0A3" w14:textId="79BF5C4E" w:rsidR="00FF1AD7" w:rsidRPr="00667967" w:rsidRDefault="00FF1AD7" w:rsidP="00595221">
      <w:pPr>
        <w:widowControl/>
        <w:spacing w:before="240" w:line="360" w:lineRule="auto"/>
        <w:jc w:val="both"/>
        <w:rPr>
          <w:rFonts w:ascii="Times New Roman" w:eastAsia="Times New Roman" w:hAnsi="Times New Roman" w:cs="Times New Roman"/>
          <w:b/>
          <w:bCs/>
          <w:smallCaps/>
          <w:kern w:val="0"/>
          <w:lang w:eastAsia="pl-PL" w:bidi="ar-SA"/>
        </w:rPr>
      </w:pPr>
      <w:r w:rsidRPr="00667967">
        <w:rPr>
          <w:rFonts w:ascii="Times New Roman" w:eastAsia="Times New Roman" w:hAnsi="Times New Roman" w:cs="Times New Roman"/>
          <w:b/>
          <w:bCs/>
          <w:smallCaps/>
          <w:kern w:val="0"/>
          <w:lang w:eastAsia="pl-PL" w:bidi="ar-SA"/>
        </w:rPr>
        <w:t xml:space="preserve">art. </w:t>
      </w:r>
      <w:r w:rsidR="00C00ECD" w:rsidRPr="00667967">
        <w:rPr>
          <w:rFonts w:ascii="Times New Roman" w:eastAsia="Times New Roman" w:hAnsi="Times New Roman" w:cs="Times New Roman"/>
          <w:b/>
          <w:bCs/>
          <w:smallCaps/>
          <w:kern w:val="0"/>
          <w:lang w:eastAsia="pl-PL" w:bidi="ar-SA"/>
        </w:rPr>
        <w:t>1</w:t>
      </w:r>
      <w:r w:rsidR="005744C9" w:rsidRPr="00667967">
        <w:rPr>
          <w:rFonts w:ascii="Times New Roman" w:eastAsia="Times New Roman" w:hAnsi="Times New Roman" w:cs="Times New Roman"/>
          <w:b/>
          <w:bCs/>
          <w:smallCaps/>
          <w:kern w:val="0"/>
          <w:lang w:eastAsia="pl-PL" w:bidi="ar-SA"/>
        </w:rPr>
        <w:t>2</w:t>
      </w:r>
      <w:r w:rsidR="00C00ECD" w:rsidRPr="00667967">
        <w:rPr>
          <w:rFonts w:ascii="Times New Roman" w:eastAsia="Times New Roman" w:hAnsi="Times New Roman" w:cs="Times New Roman"/>
          <w:b/>
          <w:bCs/>
          <w:smallCaps/>
          <w:kern w:val="0"/>
          <w:lang w:eastAsia="pl-PL" w:bidi="ar-SA"/>
        </w:rPr>
        <w:t xml:space="preserve"> </w:t>
      </w:r>
      <w:r w:rsidRPr="00667967">
        <w:rPr>
          <w:rFonts w:ascii="Times New Roman" w:eastAsia="Times New Roman" w:hAnsi="Times New Roman" w:cs="Times New Roman"/>
          <w:b/>
          <w:bCs/>
          <w:smallCaps/>
          <w:kern w:val="0"/>
          <w:lang w:eastAsia="pl-PL" w:bidi="ar-SA"/>
        </w:rPr>
        <w:t>– zmiany w ustawie o systemie zarządzania emisjami gazów cieplarnianych i</w:t>
      </w:r>
      <w:r w:rsidR="003017B2" w:rsidRPr="00667967">
        <w:rPr>
          <w:rFonts w:ascii="Times New Roman" w:eastAsia="Times New Roman" w:hAnsi="Times New Roman" w:cs="Times New Roman"/>
          <w:b/>
          <w:bCs/>
          <w:smallCaps/>
          <w:kern w:val="0"/>
          <w:lang w:eastAsia="pl-PL" w:bidi="ar-SA"/>
        </w:rPr>
        <w:t> </w:t>
      </w:r>
      <w:r w:rsidRPr="00667967">
        <w:rPr>
          <w:rFonts w:ascii="Times New Roman" w:eastAsia="Times New Roman" w:hAnsi="Times New Roman" w:cs="Times New Roman"/>
          <w:b/>
          <w:bCs/>
          <w:smallCaps/>
          <w:kern w:val="0"/>
          <w:lang w:eastAsia="pl-PL" w:bidi="ar-SA"/>
        </w:rPr>
        <w:t xml:space="preserve">innych substancji </w:t>
      </w:r>
    </w:p>
    <w:p w14:paraId="00638F9B" w14:textId="77777777" w:rsidR="00125B44" w:rsidRPr="00667967" w:rsidRDefault="00125B44" w:rsidP="00595221">
      <w:pPr>
        <w:widowControl/>
        <w:suppressAutoHyphens w:val="0"/>
        <w:spacing w:before="120" w:after="120" w:line="360" w:lineRule="auto"/>
        <w:jc w:val="both"/>
        <w:rPr>
          <w:rFonts w:ascii="Times New Roman" w:eastAsia="Times New Roman" w:hAnsi="Times New Roman" w:cs="Times New Roman"/>
          <w:b/>
          <w:bCs/>
          <w:kern w:val="0"/>
          <w:lang w:eastAsia="pl-PL" w:bidi="ar-SA"/>
        </w:rPr>
      </w:pPr>
      <w:r w:rsidRPr="00667967">
        <w:rPr>
          <w:rFonts w:ascii="Times New Roman" w:eastAsia="Times New Roman" w:hAnsi="Times New Roman" w:cs="Times New Roman"/>
          <w:b/>
          <w:bCs/>
          <w:kern w:val="0"/>
          <w:lang w:eastAsia="pl-PL" w:bidi="ar-SA"/>
        </w:rPr>
        <w:t>Zmiany art. 5</w:t>
      </w:r>
    </w:p>
    <w:p w14:paraId="0688DE3E" w14:textId="327DB99B" w:rsidR="00125B44" w:rsidRPr="00667967" w:rsidRDefault="00125B44" w:rsidP="00595221">
      <w:pPr>
        <w:widowControl/>
        <w:suppressAutoHyphens w:val="0"/>
        <w:spacing w:after="120" w:line="360" w:lineRule="auto"/>
        <w:jc w:val="both"/>
        <w:rPr>
          <w:rFonts w:ascii="Times New Roman" w:hAnsi="Times New Roman" w:cs="Times New Roman"/>
        </w:rPr>
      </w:pPr>
      <w:r w:rsidRPr="00667967">
        <w:rPr>
          <w:rFonts w:ascii="Times New Roman" w:hAnsi="Times New Roman" w:cs="Times New Roman"/>
        </w:rPr>
        <w:t xml:space="preserve">Ustawa przewiduje zmianę art. 5 ust. 2 </w:t>
      </w:r>
      <w:r w:rsidR="00F8382A" w:rsidRPr="00667967">
        <w:rPr>
          <w:rFonts w:ascii="Times New Roman" w:hAnsi="Times New Roman" w:cs="Times New Roman"/>
        </w:rPr>
        <w:t>USZE</w:t>
      </w:r>
      <w:r w:rsidR="00707AB0" w:rsidRPr="00667967">
        <w:rPr>
          <w:rFonts w:ascii="Times New Roman" w:eastAsia="Times New Roman" w:hAnsi="Times New Roman" w:cs="Times New Roman"/>
          <w:color w:val="000000"/>
          <w:kern w:val="0"/>
          <w:lang w:eastAsia="pl-PL" w:bidi="ar-SA"/>
        </w:rPr>
        <w:t xml:space="preserve"> </w:t>
      </w:r>
      <w:r w:rsidR="00707AB0" w:rsidRPr="00667967">
        <w:rPr>
          <w:rFonts w:ascii="Times New Roman" w:hAnsi="Times New Roman" w:cs="Times New Roman"/>
        </w:rPr>
        <w:t xml:space="preserve">polegającą </w:t>
      </w:r>
      <w:r w:rsidRPr="00667967">
        <w:rPr>
          <w:rFonts w:ascii="Times New Roman" w:hAnsi="Times New Roman" w:cs="Times New Roman"/>
        </w:rPr>
        <w:t xml:space="preserve">na przesunięciu terminu składania przez KOBiZE rocznego sprawozdania z wykonywania powierzonych mu zadań z </w:t>
      </w:r>
      <w:r w:rsidR="00043D8F" w:rsidRPr="00667967">
        <w:rPr>
          <w:rFonts w:ascii="Times New Roman" w:hAnsi="Times New Roman" w:cs="Times New Roman"/>
        </w:rPr>
        <w:t xml:space="preserve">dnia </w:t>
      </w:r>
      <w:r w:rsidRPr="00667967">
        <w:rPr>
          <w:rFonts w:ascii="Times New Roman" w:hAnsi="Times New Roman" w:cs="Times New Roman"/>
        </w:rPr>
        <w:t>31</w:t>
      </w:r>
      <w:r w:rsidR="00D029CA">
        <w:rPr>
          <w:rFonts w:ascii="Times New Roman" w:hAnsi="Times New Roman" w:cs="Times New Roman"/>
        </w:rPr>
        <w:t> </w:t>
      </w:r>
      <w:r w:rsidRPr="00667967">
        <w:rPr>
          <w:rFonts w:ascii="Times New Roman" w:hAnsi="Times New Roman" w:cs="Times New Roman"/>
        </w:rPr>
        <w:t xml:space="preserve">stycznia na </w:t>
      </w:r>
      <w:r w:rsidR="00043D8F" w:rsidRPr="00667967">
        <w:rPr>
          <w:rFonts w:ascii="Times New Roman" w:hAnsi="Times New Roman" w:cs="Times New Roman"/>
        </w:rPr>
        <w:t xml:space="preserve">dzień </w:t>
      </w:r>
      <w:r w:rsidRPr="00667967">
        <w:rPr>
          <w:rFonts w:ascii="Times New Roman" w:hAnsi="Times New Roman" w:cs="Times New Roman"/>
        </w:rPr>
        <w:t xml:space="preserve">28 lutego. KOBiZE każdego roku przedstawia sprawozdanie z realizacji powierzonych mu zadań publicznych. Sprawozdanie dokumentuje całokształt zadań zrealizowanych w trakcie poprzedniego roku kalendarzowego. Z tej perspektywy problem generuje wskazany w ustawie termin 31 stycznia. Termin ten jest za krótki biorąc pod uwagę </w:t>
      </w:r>
      <w:r w:rsidRPr="00667967">
        <w:rPr>
          <w:rFonts w:ascii="Times New Roman" w:hAnsi="Times New Roman" w:cs="Times New Roman"/>
        </w:rPr>
        <w:lastRenderedPageBreak/>
        <w:t xml:space="preserve">rozległy zakres zadań ustawowych realizowanych przez </w:t>
      </w:r>
      <w:r w:rsidR="00043D8F" w:rsidRPr="00667967">
        <w:rPr>
          <w:rFonts w:ascii="Times New Roman" w:hAnsi="Times New Roman" w:cs="Times New Roman"/>
        </w:rPr>
        <w:t>KOBiZE</w:t>
      </w:r>
      <w:r w:rsidRPr="00667967">
        <w:rPr>
          <w:rFonts w:ascii="Times New Roman" w:hAnsi="Times New Roman" w:cs="Times New Roman"/>
        </w:rPr>
        <w:t>. W praktyce, aby dotrzymać tego terminu prace nad sprawozdaniem muszą się rozpoczynać jeszcze w trakcie okresu sprawozdawczego, co z kolei implikuje konieczność aktualizowania szeregu informacji potrzebnych do sporządzenia sprawozdania, zwłaszcza informacji dot</w:t>
      </w:r>
      <w:r w:rsidR="005E5A5D">
        <w:rPr>
          <w:rFonts w:ascii="Times New Roman" w:hAnsi="Times New Roman" w:cs="Times New Roman"/>
        </w:rPr>
        <w:t>yczących</w:t>
      </w:r>
      <w:r w:rsidRPr="00667967">
        <w:rPr>
          <w:rFonts w:ascii="Times New Roman" w:hAnsi="Times New Roman" w:cs="Times New Roman"/>
        </w:rPr>
        <w:t xml:space="preserve"> statystyk załatwianych spraw, wniosków, raportów itp. Działanie takie należy ocenić jako nieefektywne przede wszystkim pod względem wykorzystania czasu pracy ekspertów. Przesunięcie terminu sporządzenia sprawozdania na 28 lutego umożliwi rozpoczęcie pracy nad sprawozdaniem po zakończeniu roku sprawozdawczego – czyli w sytuacji, w której zebrane </w:t>
      </w:r>
      <w:r w:rsidR="00043D8F" w:rsidRPr="00667967">
        <w:rPr>
          <w:rFonts w:ascii="Times New Roman" w:hAnsi="Times New Roman" w:cs="Times New Roman"/>
        </w:rPr>
        <w:t>będą</w:t>
      </w:r>
      <w:r w:rsidRPr="00667967">
        <w:rPr>
          <w:rFonts w:ascii="Times New Roman" w:hAnsi="Times New Roman" w:cs="Times New Roman"/>
        </w:rPr>
        <w:t xml:space="preserve"> już wszystkie informacje potrzebne do jego opracowania.</w:t>
      </w:r>
    </w:p>
    <w:p w14:paraId="4BC29517" w14:textId="77777777" w:rsidR="00FF1AD7" w:rsidRPr="00667967" w:rsidRDefault="00FF1AD7" w:rsidP="00595221">
      <w:pPr>
        <w:widowControl/>
        <w:suppressAutoHyphens w:val="0"/>
        <w:spacing w:before="120" w:after="120" w:line="360" w:lineRule="auto"/>
        <w:jc w:val="both"/>
        <w:rPr>
          <w:rFonts w:ascii="Times New Roman" w:eastAsia="Times New Roman" w:hAnsi="Times New Roman" w:cs="Times New Roman"/>
          <w:color w:val="000000"/>
          <w:kern w:val="0"/>
          <w:lang w:eastAsia="pl-PL" w:bidi="ar-SA"/>
        </w:rPr>
      </w:pPr>
      <w:r w:rsidRPr="00667967">
        <w:rPr>
          <w:rFonts w:ascii="Times New Roman" w:eastAsia="Times New Roman" w:hAnsi="Times New Roman" w:cs="Times New Roman"/>
          <w:b/>
          <w:bCs/>
          <w:kern w:val="0"/>
          <w:lang w:eastAsia="pl-PL" w:bidi="ar-SA"/>
        </w:rPr>
        <w:t>Zmiany art. 9</w:t>
      </w:r>
      <w:r w:rsidRPr="00667967">
        <w:rPr>
          <w:rFonts w:ascii="Times New Roman" w:eastAsia="Times New Roman" w:hAnsi="Times New Roman" w:cs="Times New Roman"/>
          <w:color w:val="000000"/>
          <w:kern w:val="0"/>
          <w:lang w:eastAsia="pl-PL" w:bidi="ar-SA"/>
        </w:rPr>
        <w:t xml:space="preserve"> </w:t>
      </w:r>
    </w:p>
    <w:p w14:paraId="02DE6DC9" w14:textId="25290074" w:rsidR="00FF1AD7" w:rsidRPr="00667967" w:rsidRDefault="00125B44" w:rsidP="00595221">
      <w:pPr>
        <w:widowControl/>
        <w:suppressAutoHyphens w:val="0"/>
        <w:spacing w:before="120" w:after="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color w:val="000000"/>
          <w:kern w:val="0"/>
          <w:lang w:eastAsia="pl-PL" w:bidi="ar-SA"/>
        </w:rPr>
        <w:t>USZE</w:t>
      </w:r>
      <w:r w:rsidR="00FF1AD7" w:rsidRPr="00667967">
        <w:rPr>
          <w:rFonts w:ascii="Times New Roman" w:eastAsia="Times New Roman" w:hAnsi="Times New Roman" w:cs="Times New Roman"/>
          <w:color w:val="000000"/>
          <w:kern w:val="0"/>
          <w:lang w:eastAsia="pl-PL" w:bidi="ar-SA"/>
        </w:rPr>
        <w:t xml:space="preserve"> przewiduje dla </w:t>
      </w:r>
      <w:r w:rsidRPr="00667967">
        <w:rPr>
          <w:rFonts w:ascii="Times New Roman" w:eastAsia="Times New Roman" w:hAnsi="Times New Roman" w:cs="Times New Roman"/>
          <w:color w:val="000000"/>
          <w:kern w:val="0"/>
          <w:lang w:eastAsia="pl-PL" w:bidi="ar-SA"/>
        </w:rPr>
        <w:t>KOBiZE</w:t>
      </w:r>
      <w:r w:rsidR="00FF1AD7" w:rsidRPr="00667967">
        <w:rPr>
          <w:rFonts w:ascii="Times New Roman" w:eastAsia="Times New Roman" w:hAnsi="Times New Roman" w:cs="Times New Roman"/>
          <w:color w:val="000000"/>
          <w:kern w:val="0"/>
          <w:lang w:eastAsia="pl-PL" w:bidi="ar-SA"/>
        </w:rPr>
        <w:t xml:space="preserve"> obowiązek przygotowywania co 5 lat prognoz zmian aktywności dla wybranych sektorów gospodarki i prognoz zmian aktywności w zakresie zużycia nośników energii. 5-letni </w:t>
      </w:r>
      <w:r w:rsidR="00043D8F" w:rsidRPr="00667967">
        <w:rPr>
          <w:rFonts w:ascii="Times New Roman" w:eastAsia="Times New Roman" w:hAnsi="Times New Roman" w:cs="Times New Roman"/>
          <w:color w:val="000000"/>
          <w:kern w:val="0"/>
          <w:lang w:eastAsia="pl-PL" w:bidi="ar-SA"/>
        </w:rPr>
        <w:t>okres</w:t>
      </w:r>
      <w:r w:rsidR="00FF1AD7" w:rsidRPr="00667967">
        <w:rPr>
          <w:rFonts w:ascii="Times New Roman" w:eastAsia="Times New Roman" w:hAnsi="Times New Roman" w:cs="Times New Roman"/>
          <w:color w:val="000000"/>
          <w:kern w:val="0"/>
          <w:lang w:eastAsia="pl-PL" w:bidi="ar-SA"/>
        </w:rPr>
        <w:t xml:space="preserve"> jest liczony począwszy od dnia 31 grudnia 2021 r. (art.</w:t>
      </w:r>
      <w:r w:rsidR="00D029CA">
        <w:rPr>
          <w:rFonts w:ascii="Times New Roman" w:eastAsia="Times New Roman" w:hAnsi="Times New Roman" w:cs="Times New Roman"/>
          <w:color w:val="000000"/>
          <w:kern w:val="0"/>
          <w:lang w:eastAsia="pl-PL" w:bidi="ar-SA"/>
        </w:rPr>
        <w:t> </w:t>
      </w:r>
      <w:r w:rsidR="00FF1AD7" w:rsidRPr="00667967">
        <w:rPr>
          <w:rFonts w:ascii="Times New Roman" w:eastAsia="Times New Roman" w:hAnsi="Times New Roman" w:cs="Times New Roman"/>
          <w:color w:val="000000"/>
          <w:kern w:val="0"/>
          <w:lang w:eastAsia="pl-PL" w:bidi="ar-SA"/>
        </w:rPr>
        <w:t xml:space="preserve">44 ust. 1 ustawy z dnia 4 lipca 2019 r. </w:t>
      </w:r>
      <w:r w:rsidR="00FF1AD7" w:rsidRPr="00595221">
        <w:rPr>
          <w:rFonts w:ascii="Times New Roman" w:eastAsia="Times New Roman" w:hAnsi="Times New Roman" w:cs="Times New Roman"/>
          <w:color w:val="000000"/>
          <w:kern w:val="0"/>
          <w:lang w:eastAsia="pl-PL" w:bidi="ar-SA"/>
        </w:rPr>
        <w:t>o zmianie ustawy o systemie handlu uprawnieniami do emisji gazów cieplarnianych oraz niektórych innych ustaw</w:t>
      </w:r>
      <w:r w:rsidR="00FF1AD7" w:rsidRPr="00667967">
        <w:rPr>
          <w:rFonts w:ascii="Times New Roman" w:eastAsia="Times New Roman" w:hAnsi="Times New Roman" w:cs="Times New Roman"/>
          <w:color w:val="000000"/>
          <w:kern w:val="0"/>
          <w:lang w:eastAsia="pl-PL" w:bidi="ar-SA"/>
        </w:rPr>
        <w:t xml:space="preserve"> (Dz. U. poz. 1501)). Ze względu na to, że prognozy zmian aktywności </w:t>
      </w:r>
      <w:r w:rsidR="001B1530" w:rsidRPr="00667967">
        <w:rPr>
          <w:rFonts w:ascii="Times New Roman" w:eastAsia="Times New Roman" w:hAnsi="Times New Roman" w:cs="Times New Roman"/>
          <w:color w:val="000000"/>
          <w:kern w:val="0"/>
          <w:lang w:eastAsia="pl-PL" w:bidi="ar-SA"/>
        </w:rPr>
        <w:t xml:space="preserve">są </w:t>
      </w:r>
      <w:r w:rsidR="00FF1AD7" w:rsidRPr="00667967">
        <w:rPr>
          <w:rFonts w:ascii="Times New Roman" w:eastAsia="Times New Roman" w:hAnsi="Times New Roman" w:cs="Times New Roman"/>
          <w:color w:val="000000"/>
          <w:kern w:val="0"/>
          <w:lang w:eastAsia="pl-PL" w:bidi="ar-SA"/>
        </w:rPr>
        <w:t>sporządzane głównie na potrzeby wykonania prognoz wielkości emisji, o których mowa w art. 12 USZE</w:t>
      </w:r>
      <w:r w:rsidR="005E5A5D">
        <w:rPr>
          <w:rFonts w:ascii="Times New Roman" w:eastAsia="Times New Roman" w:hAnsi="Times New Roman" w:cs="Times New Roman"/>
          <w:color w:val="000000"/>
          <w:kern w:val="0"/>
          <w:lang w:eastAsia="pl-PL" w:bidi="ar-SA"/>
        </w:rPr>
        <w:t>,</w:t>
      </w:r>
      <w:r w:rsidR="00FF1AD7" w:rsidRPr="00667967">
        <w:rPr>
          <w:rFonts w:ascii="Times New Roman" w:eastAsia="Times New Roman" w:hAnsi="Times New Roman" w:cs="Times New Roman"/>
          <w:color w:val="000000"/>
          <w:kern w:val="0"/>
          <w:lang w:eastAsia="pl-PL" w:bidi="ar-SA"/>
        </w:rPr>
        <w:t xml:space="preserve"> </w:t>
      </w:r>
      <w:r w:rsidR="0078418C" w:rsidRPr="00667967">
        <w:rPr>
          <w:rFonts w:ascii="Times New Roman" w:eastAsia="Times New Roman" w:hAnsi="Times New Roman" w:cs="Times New Roman"/>
          <w:color w:val="000000"/>
          <w:kern w:val="0"/>
          <w:lang w:eastAsia="pl-PL" w:bidi="ar-SA"/>
        </w:rPr>
        <w:t xml:space="preserve">jest </w:t>
      </w:r>
      <w:r w:rsidR="00FF1AD7" w:rsidRPr="00667967">
        <w:rPr>
          <w:rFonts w:ascii="Times New Roman" w:eastAsia="Times New Roman" w:hAnsi="Times New Roman" w:cs="Times New Roman"/>
          <w:color w:val="000000"/>
          <w:kern w:val="0"/>
          <w:lang w:eastAsia="pl-PL" w:bidi="ar-SA"/>
        </w:rPr>
        <w:t>zasadne by terminy przygotowania prognoz zmian aktywności były zsynchronizowane z</w:t>
      </w:r>
      <w:r w:rsidR="00222614" w:rsidRPr="00667967">
        <w:rPr>
          <w:rFonts w:ascii="Times New Roman" w:eastAsia="Times New Roman" w:hAnsi="Times New Roman" w:cs="Times New Roman"/>
          <w:color w:val="000000"/>
          <w:kern w:val="0"/>
          <w:lang w:eastAsia="pl-PL" w:bidi="ar-SA"/>
        </w:rPr>
        <w:t> </w:t>
      </w:r>
      <w:r w:rsidR="00FF1AD7" w:rsidRPr="00667967">
        <w:rPr>
          <w:rFonts w:ascii="Times New Roman" w:eastAsia="Times New Roman" w:hAnsi="Times New Roman" w:cs="Times New Roman"/>
          <w:color w:val="000000"/>
          <w:kern w:val="0"/>
          <w:lang w:eastAsia="pl-PL" w:bidi="ar-SA"/>
        </w:rPr>
        <w:t>nowym terminem opracowywania aktualizacji prognoz wielkości emisji. Zaproponowana zmiana skraca okres między prognozami zmian aktywności do 4 lat i przenosi termin ich wykonania na 30 czerwca w roku parzystym, co umożliwi wykorzystanie najbardziej aktualnych prognoz zmian aktywności do wykonania aktualizacji prognoz wielkości emisji w nowych terminach.</w:t>
      </w:r>
      <w:r w:rsidR="00FF1AD7" w:rsidRPr="00667967">
        <w:rPr>
          <w:rFonts w:ascii="Times New Roman" w:hAnsi="Times New Roman" w:cs="Times New Roman"/>
          <w:kern w:val="0"/>
          <w:lang w:eastAsia="en-US" w:bidi="ar-SA"/>
        </w:rPr>
        <w:t xml:space="preserve"> Aktualizację prognoz wielkości emisji KOBiZE przekazuje do MKIŚ na 60 dni przed terminem wynikającym z</w:t>
      </w:r>
      <w:r w:rsidR="00222614" w:rsidRPr="00667967">
        <w:rPr>
          <w:rFonts w:ascii="Times New Roman" w:hAnsi="Times New Roman" w:cs="Times New Roman"/>
          <w:kern w:val="0"/>
          <w:lang w:eastAsia="en-US" w:bidi="ar-SA"/>
        </w:rPr>
        <w:t> </w:t>
      </w:r>
      <w:r w:rsidR="00FF1AD7" w:rsidRPr="00667967">
        <w:rPr>
          <w:rFonts w:ascii="Times New Roman" w:hAnsi="Times New Roman" w:cs="Times New Roman"/>
          <w:kern w:val="0"/>
          <w:lang w:eastAsia="en-US" w:bidi="ar-SA"/>
        </w:rPr>
        <w:t>prawa UE i prawa międzynarodowego</w:t>
      </w:r>
      <w:r w:rsidR="00B07D45" w:rsidRPr="00667967">
        <w:rPr>
          <w:rFonts w:ascii="Times New Roman" w:hAnsi="Times New Roman" w:cs="Times New Roman"/>
          <w:kern w:val="0"/>
          <w:lang w:eastAsia="en-US" w:bidi="ar-SA"/>
        </w:rPr>
        <w:t>,</w:t>
      </w:r>
      <w:r w:rsidR="00FF1AD7" w:rsidRPr="00667967">
        <w:rPr>
          <w:rFonts w:ascii="Times New Roman" w:hAnsi="Times New Roman" w:cs="Times New Roman"/>
          <w:kern w:val="0"/>
          <w:lang w:eastAsia="en-US" w:bidi="ar-SA"/>
        </w:rPr>
        <w:t xml:space="preserve"> czyli w praktyce ok. 15 stycznia roku kalendarzowego, w</w:t>
      </w:r>
      <w:r w:rsidR="00222614" w:rsidRPr="00667967">
        <w:rPr>
          <w:rFonts w:ascii="Times New Roman" w:hAnsi="Times New Roman" w:cs="Times New Roman"/>
          <w:kern w:val="0"/>
          <w:lang w:eastAsia="en-US" w:bidi="ar-SA"/>
        </w:rPr>
        <w:t> </w:t>
      </w:r>
      <w:r w:rsidR="00FF1AD7" w:rsidRPr="00667967">
        <w:rPr>
          <w:rFonts w:ascii="Times New Roman" w:hAnsi="Times New Roman" w:cs="Times New Roman"/>
          <w:kern w:val="0"/>
          <w:lang w:eastAsia="en-US" w:bidi="ar-SA"/>
        </w:rPr>
        <w:t>którym jest obowiązek przekazania tych danych (lata nieparzyste). Zatem główne prace nad prognozami wielkości emisji trwają w drugiej połowie roku parzystego. Dostępność aktualnych prognoz zmian aktywności od 30 czerwca roku parzystego umożliwi wykorzystanie tych danych w</w:t>
      </w:r>
      <w:r w:rsidR="00222614" w:rsidRPr="00667967">
        <w:rPr>
          <w:rFonts w:ascii="Times New Roman" w:hAnsi="Times New Roman" w:cs="Times New Roman"/>
          <w:kern w:val="0"/>
          <w:lang w:eastAsia="en-US" w:bidi="ar-SA"/>
        </w:rPr>
        <w:t> </w:t>
      </w:r>
      <w:r w:rsidR="00FF1AD7" w:rsidRPr="00667967">
        <w:rPr>
          <w:rFonts w:ascii="Times New Roman" w:hAnsi="Times New Roman" w:cs="Times New Roman"/>
          <w:kern w:val="0"/>
          <w:lang w:eastAsia="en-US" w:bidi="ar-SA"/>
        </w:rPr>
        <w:t>prognozach wielkości emisji.</w:t>
      </w:r>
    </w:p>
    <w:p w14:paraId="2A265DDC" w14:textId="2036825E" w:rsidR="00FF1AD7" w:rsidRPr="00667967" w:rsidRDefault="00FF1AD7" w:rsidP="00595221">
      <w:pPr>
        <w:widowControl/>
        <w:shd w:val="clear" w:color="auto" w:fill="FFFFFF"/>
        <w:suppressAutoHyphens w:val="0"/>
        <w:spacing w:before="120" w:after="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color w:val="000000"/>
          <w:kern w:val="0"/>
          <w:lang w:eastAsia="pl-PL" w:bidi="ar-SA"/>
        </w:rPr>
        <w:t xml:space="preserve">W następstwie skrócenia okresu między prognozami zmian aktywności, </w:t>
      </w:r>
      <w:r w:rsidR="0078418C" w:rsidRPr="00667967">
        <w:rPr>
          <w:rFonts w:ascii="Times New Roman" w:eastAsia="Times New Roman" w:hAnsi="Times New Roman" w:cs="Times New Roman"/>
          <w:color w:val="000000"/>
          <w:kern w:val="0"/>
          <w:lang w:eastAsia="pl-PL" w:bidi="ar-SA"/>
        </w:rPr>
        <w:t xml:space="preserve">został </w:t>
      </w:r>
      <w:r w:rsidRPr="00667967">
        <w:rPr>
          <w:rFonts w:ascii="Times New Roman" w:eastAsia="Times New Roman" w:hAnsi="Times New Roman" w:cs="Times New Roman"/>
          <w:color w:val="000000"/>
          <w:kern w:val="0"/>
          <w:lang w:eastAsia="pl-PL" w:bidi="ar-SA"/>
        </w:rPr>
        <w:t xml:space="preserve">zmieniony także termin przekazania do Krajowego ośrodka informacji i danych przez właściwych ministrów z 12 do 6 miesięcy przed terminem sporządzenia prognoz. Doświadczenia uzyskane podczas pracy nad pierwszymi prognozami wykazały, że okres 6 miesięcy jest wystarczający dla </w:t>
      </w:r>
      <w:r w:rsidRPr="00667967">
        <w:rPr>
          <w:rFonts w:ascii="Times New Roman" w:eastAsia="Times New Roman" w:hAnsi="Times New Roman" w:cs="Times New Roman"/>
          <w:color w:val="000000"/>
          <w:kern w:val="0"/>
          <w:lang w:eastAsia="pl-PL" w:bidi="ar-SA"/>
        </w:rPr>
        <w:lastRenderedPageBreak/>
        <w:t>Krajowego ośrodka do opracowania prognoz oraz zapewni większą aktualność otrzymywanych danych.</w:t>
      </w:r>
    </w:p>
    <w:p w14:paraId="1CEB905A" w14:textId="31032F2B" w:rsidR="00FF1AD7" w:rsidRPr="00667967" w:rsidRDefault="00FF1AD7" w:rsidP="00595221">
      <w:pPr>
        <w:widowControl/>
        <w:suppressAutoHyphens w:val="0"/>
        <w:spacing w:before="120" w:after="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 xml:space="preserve">Projekt ustawy przewiduje również zmiany w przepisach dotyczących roku odniesienia dla sporządzanych prognoz zmian aktywności. Nowe zasady ustalania roku odniesienia mają zapewnić korzystanie z możliwie najbardziej aktualnych danych. Dodatkowo wprowadzono regułę, według której w uzasadnionym przypadku możliwe będzie przyjęcie za rok odniesienia innego roku. </w:t>
      </w:r>
      <w:r w:rsidRPr="00667967">
        <w:rPr>
          <w:rFonts w:ascii="Times New Roman" w:hAnsi="Times New Roman" w:cs="Times New Roman"/>
          <w:kern w:val="0"/>
          <w:lang w:eastAsia="en-US" w:bidi="ar-SA"/>
        </w:rPr>
        <w:t>Taka przesłanka wynika z potrzeby wprowadzenia elastyczności w wyborze innego roku odniesienia (wcześniejszego) niż wskazany w pkt 3. Aktualny przepis daje jedynie możliwość wykorzystania danych dla innego roku</w:t>
      </w:r>
      <w:r w:rsidR="001B1530" w:rsidRPr="00667967">
        <w:rPr>
          <w:rFonts w:ascii="Times New Roman" w:hAnsi="Times New Roman" w:cs="Times New Roman"/>
          <w:kern w:val="0"/>
          <w:lang w:eastAsia="en-US" w:bidi="ar-SA"/>
        </w:rPr>
        <w:t>,</w:t>
      </w:r>
      <w:r w:rsidRPr="00667967">
        <w:rPr>
          <w:rFonts w:ascii="Times New Roman" w:hAnsi="Times New Roman" w:cs="Times New Roman"/>
          <w:kern w:val="0"/>
          <w:lang w:eastAsia="en-US" w:bidi="ar-SA"/>
        </w:rPr>
        <w:t xml:space="preserve"> gdy nie są dostępne dane dla roku, o którym mowa w pkt 3. Natomiast mogą zajść takie okoliczności, w których przyjęcie innego roku będzie zasadne, mimo że dane za rok, o</w:t>
      </w:r>
      <w:r w:rsidR="00222614" w:rsidRPr="00667967">
        <w:rPr>
          <w:rFonts w:ascii="Times New Roman" w:hAnsi="Times New Roman" w:cs="Times New Roman"/>
          <w:kern w:val="0"/>
          <w:lang w:eastAsia="en-US" w:bidi="ar-SA"/>
        </w:rPr>
        <w:t> </w:t>
      </w:r>
      <w:r w:rsidRPr="00667967">
        <w:rPr>
          <w:rFonts w:ascii="Times New Roman" w:hAnsi="Times New Roman" w:cs="Times New Roman"/>
          <w:kern w:val="0"/>
          <w:lang w:eastAsia="en-US" w:bidi="ar-SA"/>
        </w:rPr>
        <w:t>którym mowa w pkt 3, będą dostępne, np. jeżeli będą budziły uzasadnione zastrzeżenia co do ich reprezentatywności (ze względu na nagłe zakłóc</w:t>
      </w:r>
      <w:r w:rsidR="005E5A5D">
        <w:rPr>
          <w:rFonts w:ascii="Times New Roman" w:hAnsi="Times New Roman" w:cs="Times New Roman"/>
          <w:kern w:val="0"/>
          <w:lang w:eastAsia="en-US" w:bidi="ar-SA"/>
        </w:rPr>
        <w:t>e</w:t>
      </w:r>
      <w:r w:rsidRPr="00667967">
        <w:rPr>
          <w:rFonts w:ascii="Times New Roman" w:hAnsi="Times New Roman" w:cs="Times New Roman"/>
          <w:kern w:val="0"/>
          <w:lang w:eastAsia="en-US" w:bidi="ar-SA"/>
        </w:rPr>
        <w:t>nia, które bardzo znacząco wpływają na poziomy aktywności, takie jak pandemia lub wojna itp.). Powód wykorzystania innego roku niż wskazany w</w:t>
      </w:r>
      <w:r w:rsidR="00222614" w:rsidRPr="00667967">
        <w:rPr>
          <w:rFonts w:ascii="Times New Roman" w:hAnsi="Times New Roman" w:cs="Times New Roman"/>
          <w:kern w:val="0"/>
          <w:lang w:eastAsia="en-US" w:bidi="ar-SA"/>
        </w:rPr>
        <w:t> </w:t>
      </w:r>
      <w:r w:rsidRPr="00667967">
        <w:rPr>
          <w:rFonts w:ascii="Times New Roman" w:hAnsi="Times New Roman" w:cs="Times New Roman"/>
          <w:kern w:val="0"/>
          <w:lang w:eastAsia="en-US" w:bidi="ar-SA"/>
        </w:rPr>
        <w:t>pkt 3 musi zostać wyjaśniony w prognozie.</w:t>
      </w:r>
      <w:r w:rsidR="00B07D45" w:rsidRPr="00667967">
        <w:rPr>
          <w:rFonts w:ascii="Times New Roman" w:hAnsi="Times New Roman" w:cs="Times New Roman"/>
          <w:kern w:val="0"/>
          <w:lang w:eastAsia="en-US" w:bidi="ar-SA"/>
        </w:rPr>
        <w:t xml:space="preserve"> </w:t>
      </w:r>
      <w:r w:rsidRPr="00667967">
        <w:rPr>
          <w:rFonts w:ascii="Times New Roman" w:eastAsia="Times New Roman" w:hAnsi="Times New Roman" w:cs="Times New Roman"/>
          <w:kern w:val="0"/>
          <w:lang w:eastAsia="pl-PL" w:bidi="ar-SA"/>
        </w:rPr>
        <w:t>Zaproponowano</w:t>
      </w:r>
      <w:r w:rsidR="00B07D45" w:rsidRPr="00667967">
        <w:rPr>
          <w:rFonts w:ascii="Times New Roman" w:eastAsia="Times New Roman" w:hAnsi="Times New Roman" w:cs="Times New Roman"/>
          <w:kern w:val="0"/>
          <w:lang w:eastAsia="pl-PL" w:bidi="ar-SA"/>
        </w:rPr>
        <w:t xml:space="preserve"> </w:t>
      </w:r>
      <w:r w:rsidRPr="00667967">
        <w:rPr>
          <w:rFonts w:ascii="Times New Roman" w:eastAsia="Times New Roman" w:hAnsi="Times New Roman" w:cs="Times New Roman"/>
          <w:kern w:val="0"/>
          <w:lang w:eastAsia="pl-PL" w:bidi="ar-SA"/>
        </w:rPr>
        <w:t>również zmienione przesłanki do sporządzania aktualizacji prognoz zmian aktywności. Aktualizacja będzie poprzedzona badaniem oceny jej zasadności i jej potencjalnego zakresu, w oparciu o zdefiniowane w ustawie elementy (zmiany w obszarze polityk i strategii, regulacji prawnych oraz udział zmienionej aktywności w</w:t>
      </w:r>
      <w:r w:rsidR="00222614" w:rsidRPr="00667967">
        <w:rPr>
          <w:rFonts w:ascii="Times New Roman" w:eastAsia="Times New Roman" w:hAnsi="Times New Roman" w:cs="Times New Roman"/>
          <w:kern w:val="0"/>
          <w:lang w:eastAsia="pl-PL" w:bidi="ar-SA"/>
        </w:rPr>
        <w:t> </w:t>
      </w:r>
      <w:r w:rsidRPr="00667967">
        <w:rPr>
          <w:rFonts w:ascii="Times New Roman" w:eastAsia="Times New Roman" w:hAnsi="Times New Roman" w:cs="Times New Roman"/>
          <w:kern w:val="0"/>
          <w:lang w:eastAsia="pl-PL" w:bidi="ar-SA"/>
        </w:rPr>
        <w:t>całkowitej emisji). Jeżeli ocena wykaże taką potrzebę, aktualizacja będzie przygotowywana w</w:t>
      </w:r>
      <w:r w:rsidR="00222614" w:rsidRPr="00667967">
        <w:rPr>
          <w:rFonts w:ascii="Times New Roman" w:eastAsia="Times New Roman" w:hAnsi="Times New Roman" w:cs="Times New Roman"/>
          <w:kern w:val="0"/>
          <w:lang w:eastAsia="pl-PL" w:bidi="ar-SA"/>
        </w:rPr>
        <w:t> </w:t>
      </w:r>
      <w:r w:rsidRPr="00667967">
        <w:rPr>
          <w:rFonts w:ascii="Times New Roman" w:eastAsia="Times New Roman" w:hAnsi="Times New Roman" w:cs="Times New Roman"/>
          <w:kern w:val="0"/>
          <w:lang w:eastAsia="pl-PL" w:bidi="ar-SA"/>
        </w:rPr>
        <w:t xml:space="preserve">połowie okresu między ustawowymi terminami przygotowywania prognoz zmian aktywności. </w:t>
      </w:r>
    </w:p>
    <w:p w14:paraId="140D857E" w14:textId="623553F8" w:rsidR="00FF1AD7" w:rsidRPr="00667967" w:rsidRDefault="00FF1AD7" w:rsidP="00595221">
      <w:pPr>
        <w:widowControl/>
        <w:suppressAutoHyphens w:val="0"/>
        <w:spacing w:before="120" w:after="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Ponadto uporządkowano inne przepisy w art. 9 USZE przez uchylenie ust. 9, odpowiednią zmianę ust. 8 oraz uchylenie w ust. 5 pkt 2 w związku z proponowanymi rozwiązaniami dotyczącymi roku odniesienia.</w:t>
      </w:r>
    </w:p>
    <w:p w14:paraId="65C70079" w14:textId="77777777" w:rsidR="00FF1AD7" w:rsidRPr="00667967" w:rsidRDefault="00FF1AD7" w:rsidP="00595221">
      <w:pPr>
        <w:keepNext/>
        <w:widowControl/>
        <w:suppressAutoHyphens w:val="0"/>
        <w:spacing w:before="120" w:after="120" w:line="360" w:lineRule="auto"/>
        <w:rPr>
          <w:rFonts w:ascii="Times New Roman" w:eastAsia="Times New Roman" w:hAnsi="Times New Roman" w:cs="Times New Roman"/>
          <w:kern w:val="0"/>
          <w:lang w:eastAsia="pl-PL" w:bidi="ar-SA"/>
        </w:rPr>
      </w:pPr>
      <w:r w:rsidRPr="00667967">
        <w:rPr>
          <w:rFonts w:ascii="Times New Roman" w:eastAsia="Times New Roman" w:hAnsi="Times New Roman" w:cs="Times New Roman"/>
          <w:b/>
          <w:bCs/>
          <w:kern w:val="0"/>
          <w:lang w:eastAsia="pl-PL" w:bidi="ar-SA"/>
        </w:rPr>
        <w:t xml:space="preserve">Zmiana art. 12 </w:t>
      </w:r>
    </w:p>
    <w:p w14:paraId="1E6A09A9" w14:textId="5200ECD4" w:rsidR="00FF1AD7" w:rsidRPr="00667967" w:rsidRDefault="00FF1AD7" w:rsidP="00595221">
      <w:pPr>
        <w:widowControl/>
        <w:suppressAutoHyphens w:val="0"/>
        <w:spacing w:before="120" w:after="120" w:line="360" w:lineRule="auto"/>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W wyniku zmian wprowadzonych do rozporządzenia Parlamentu Europejskiego i Rady (UE) 2018/1999 z dnia 11 grudnia 2018 r. w sprawie zarządzania unią energetyczną i działaniami w</w:t>
      </w:r>
      <w:r w:rsidR="00222614" w:rsidRPr="00667967">
        <w:rPr>
          <w:rFonts w:ascii="Times New Roman" w:hAnsi="Times New Roman" w:cs="Times New Roman"/>
          <w:kern w:val="0"/>
          <w:lang w:eastAsia="en-US" w:bidi="ar-SA"/>
        </w:rPr>
        <w:t> </w:t>
      </w:r>
      <w:r w:rsidRPr="00667967">
        <w:rPr>
          <w:rFonts w:ascii="Times New Roman" w:hAnsi="Times New Roman" w:cs="Times New Roman"/>
          <w:kern w:val="0"/>
          <w:lang w:eastAsia="en-US" w:bidi="ar-SA"/>
        </w:rPr>
        <w:t>dziedzinie klimatu, zmiany rozporządzeń Parlamentu Europejskiego i Rady (WE) nr</w:t>
      </w:r>
      <w:r w:rsidR="00D029CA">
        <w:rPr>
          <w:rFonts w:ascii="Times New Roman" w:hAnsi="Times New Roman" w:cs="Times New Roman"/>
          <w:kern w:val="0"/>
          <w:lang w:eastAsia="en-US" w:bidi="ar-SA"/>
        </w:rPr>
        <w:t> </w:t>
      </w:r>
      <w:r w:rsidRPr="00667967">
        <w:rPr>
          <w:rFonts w:ascii="Times New Roman" w:hAnsi="Times New Roman" w:cs="Times New Roman"/>
          <w:kern w:val="0"/>
          <w:lang w:eastAsia="en-US" w:bidi="ar-SA"/>
        </w:rPr>
        <w:t>663/2009 i (WE) nr 715/2009, dyrektyw Parlamentu Europejskiego i Rady 94/22/WE, 98/70/WE, 2009/31/WE, 2009/73/WE, 2010/31/UE, 2012/27/UE i 2013/30/UE, dyrektyw Rady 2009/119/WE i (EU) 2015/652 oraz uchylenia rozporządzenia Parlamentu Europejskiego i Rady (UE) nr 525/2013 (Dz. Urz. UE L 328 z 29.</w:t>
      </w:r>
      <w:r w:rsidR="00EB37E4" w:rsidRPr="00667967">
        <w:rPr>
          <w:rFonts w:ascii="Times New Roman" w:hAnsi="Times New Roman" w:cs="Times New Roman"/>
          <w:kern w:val="0"/>
          <w:lang w:eastAsia="en-US" w:bidi="ar-SA"/>
        </w:rPr>
        <w:t>0</w:t>
      </w:r>
      <w:r w:rsidRPr="00667967">
        <w:rPr>
          <w:rFonts w:ascii="Times New Roman" w:hAnsi="Times New Roman" w:cs="Times New Roman"/>
          <w:kern w:val="0"/>
          <w:lang w:eastAsia="en-US" w:bidi="ar-SA"/>
        </w:rPr>
        <w:t>7.2021, s</w:t>
      </w:r>
      <w:r w:rsidR="001B1530" w:rsidRPr="00667967">
        <w:rPr>
          <w:rFonts w:ascii="Times New Roman" w:hAnsi="Times New Roman" w:cs="Times New Roman"/>
          <w:kern w:val="0"/>
          <w:lang w:eastAsia="en-US" w:bidi="ar-SA"/>
        </w:rPr>
        <w:t>tr</w:t>
      </w:r>
      <w:r w:rsidRPr="00667967">
        <w:rPr>
          <w:rFonts w:ascii="Times New Roman" w:hAnsi="Times New Roman" w:cs="Times New Roman"/>
          <w:kern w:val="0"/>
          <w:lang w:eastAsia="en-US" w:bidi="ar-SA"/>
        </w:rPr>
        <w:t>. 1, z</w:t>
      </w:r>
      <w:r w:rsidR="001B1530" w:rsidRPr="00667967">
        <w:rPr>
          <w:rFonts w:ascii="Times New Roman" w:hAnsi="Times New Roman" w:cs="Times New Roman"/>
          <w:kern w:val="0"/>
          <w:lang w:eastAsia="en-US" w:bidi="ar-SA"/>
        </w:rPr>
        <w:t xml:space="preserve"> późn. </w:t>
      </w:r>
      <w:r w:rsidRPr="00667967">
        <w:rPr>
          <w:rFonts w:ascii="Times New Roman" w:hAnsi="Times New Roman" w:cs="Times New Roman"/>
          <w:kern w:val="0"/>
          <w:lang w:eastAsia="en-US" w:bidi="ar-SA"/>
        </w:rPr>
        <w:t>zm.) (</w:t>
      </w:r>
      <w:r w:rsidR="00EF2364" w:rsidRPr="00667967">
        <w:rPr>
          <w:rFonts w:ascii="Times New Roman" w:hAnsi="Times New Roman" w:cs="Times New Roman"/>
          <w:kern w:val="0"/>
          <w:lang w:eastAsia="en-US" w:bidi="ar-SA"/>
        </w:rPr>
        <w:t xml:space="preserve">zwanego </w:t>
      </w:r>
      <w:r w:rsidRPr="00667967">
        <w:rPr>
          <w:rFonts w:ascii="Times New Roman" w:hAnsi="Times New Roman" w:cs="Times New Roman"/>
          <w:kern w:val="0"/>
          <w:lang w:eastAsia="en-US" w:bidi="ar-SA"/>
        </w:rPr>
        <w:t>dalej „rozporządzenie</w:t>
      </w:r>
      <w:r w:rsidR="00EF2364" w:rsidRPr="00667967">
        <w:rPr>
          <w:rFonts w:ascii="Times New Roman" w:hAnsi="Times New Roman" w:cs="Times New Roman"/>
          <w:kern w:val="0"/>
          <w:lang w:eastAsia="en-US" w:bidi="ar-SA"/>
        </w:rPr>
        <w:t>m</w:t>
      </w:r>
      <w:r w:rsidRPr="00667967">
        <w:rPr>
          <w:rFonts w:ascii="Times New Roman" w:hAnsi="Times New Roman" w:cs="Times New Roman"/>
          <w:kern w:val="0"/>
          <w:lang w:eastAsia="en-US" w:bidi="ar-SA"/>
        </w:rPr>
        <w:t xml:space="preserve"> 2018/1999</w:t>
      </w:r>
      <w:r w:rsidR="00EF2364" w:rsidRPr="00667967">
        <w:rPr>
          <w:rFonts w:ascii="Times New Roman" w:hAnsi="Times New Roman" w:cs="Times New Roman"/>
          <w:kern w:val="0"/>
          <w:lang w:eastAsia="en-US" w:bidi="ar-SA"/>
        </w:rPr>
        <w:t>”</w:t>
      </w:r>
      <w:r w:rsidRPr="00667967">
        <w:rPr>
          <w:rFonts w:ascii="Times New Roman" w:hAnsi="Times New Roman" w:cs="Times New Roman"/>
          <w:kern w:val="0"/>
          <w:lang w:eastAsia="en-US" w:bidi="ar-SA"/>
        </w:rPr>
        <w:t>), przez przepisy rozporządzenia Parlamentu Europejskiego i Rady (UE) 2021/1119 z dnia 30 czerwca 2021</w:t>
      </w:r>
      <w:r w:rsidR="00222614" w:rsidRPr="00667967">
        <w:rPr>
          <w:rFonts w:ascii="Times New Roman" w:hAnsi="Times New Roman" w:cs="Times New Roman"/>
          <w:kern w:val="0"/>
          <w:lang w:eastAsia="en-US" w:bidi="ar-SA"/>
        </w:rPr>
        <w:t> </w:t>
      </w:r>
      <w:r w:rsidRPr="00667967">
        <w:rPr>
          <w:rFonts w:ascii="Times New Roman" w:hAnsi="Times New Roman" w:cs="Times New Roman"/>
          <w:kern w:val="0"/>
          <w:lang w:eastAsia="en-US" w:bidi="ar-SA"/>
        </w:rPr>
        <w:t xml:space="preserve">r. w sprawie ustanowienia ram na potrzeby </w:t>
      </w:r>
      <w:r w:rsidRPr="00667967">
        <w:rPr>
          <w:rFonts w:ascii="Times New Roman" w:hAnsi="Times New Roman" w:cs="Times New Roman"/>
          <w:kern w:val="0"/>
          <w:lang w:eastAsia="en-US" w:bidi="ar-SA"/>
        </w:rPr>
        <w:lastRenderedPageBreak/>
        <w:t>osiągnięcia neutralności klimatycznej i zmiany rozporządzeń (WE) nr 401/2009 i (UE)</w:t>
      </w:r>
      <w:r w:rsidR="00D029CA">
        <w:rPr>
          <w:rFonts w:ascii="Times New Roman" w:hAnsi="Times New Roman" w:cs="Times New Roman"/>
          <w:kern w:val="0"/>
          <w:lang w:eastAsia="en-US" w:bidi="ar-SA"/>
        </w:rPr>
        <w:t> </w:t>
      </w:r>
      <w:r w:rsidRPr="00667967">
        <w:rPr>
          <w:rFonts w:ascii="Times New Roman" w:hAnsi="Times New Roman" w:cs="Times New Roman"/>
          <w:kern w:val="0"/>
          <w:lang w:eastAsia="en-US" w:bidi="ar-SA"/>
        </w:rPr>
        <w:t xml:space="preserve">2018/1999 (Europejskie prawo o klimacie) (Dz. Urz. UE L 243 z </w:t>
      </w:r>
      <w:r w:rsidR="001B1530" w:rsidRPr="00667967">
        <w:rPr>
          <w:rFonts w:ascii="Times New Roman" w:hAnsi="Times New Roman" w:cs="Times New Roman"/>
          <w:kern w:val="0"/>
          <w:lang w:eastAsia="en-US" w:bidi="ar-SA"/>
        </w:rPr>
        <w:t>0</w:t>
      </w:r>
      <w:r w:rsidRPr="00667967">
        <w:rPr>
          <w:rFonts w:ascii="Times New Roman" w:hAnsi="Times New Roman" w:cs="Times New Roman"/>
          <w:kern w:val="0"/>
          <w:lang w:eastAsia="en-US" w:bidi="ar-SA"/>
        </w:rPr>
        <w:t>9.</w:t>
      </w:r>
      <w:r w:rsidR="001B1530" w:rsidRPr="00667967">
        <w:rPr>
          <w:rFonts w:ascii="Times New Roman" w:hAnsi="Times New Roman" w:cs="Times New Roman"/>
          <w:kern w:val="0"/>
          <w:lang w:eastAsia="en-US" w:bidi="ar-SA"/>
        </w:rPr>
        <w:t>0</w:t>
      </w:r>
      <w:r w:rsidRPr="00667967">
        <w:rPr>
          <w:rFonts w:ascii="Times New Roman" w:hAnsi="Times New Roman" w:cs="Times New Roman"/>
          <w:kern w:val="0"/>
          <w:lang w:eastAsia="en-US" w:bidi="ar-SA"/>
        </w:rPr>
        <w:t>7.2021, s</w:t>
      </w:r>
      <w:r w:rsidR="001B1530" w:rsidRPr="00667967">
        <w:rPr>
          <w:rFonts w:ascii="Times New Roman" w:hAnsi="Times New Roman" w:cs="Times New Roman"/>
          <w:kern w:val="0"/>
          <w:lang w:eastAsia="en-US" w:bidi="ar-SA"/>
        </w:rPr>
        <w:t>tr</w:t>
      </w:r>
      <w:r w:rsidRPr="00667967">
        <w:rPr>
          <w:rFonts w:ascii="Times New Roman" w:hAnsi="Times New Roman" w:cs="Times New Roman"/>
          <w:kern w:val="0"/>
          <w:lang w:eastAsia="en-US" w:bidi="ar-SA"/>
        </w:rPr>
        <w:t xml:space="preserve">. 1) wydłużony został horyzont czasowy prognoz wielkości emisji z 20 na 30 lat. W następstwie tych zmian prognozy wielkości emisji mają obejmować okres do 2050 r., co powinno być uwzględnione już w najbliższych prognozach, które zostaną zrealizowane do marca 2023 r., jednakże prognozy realizowane na podstawie aktualnego art. 12 ust. 3 USZE są wykonywane dla 20-letniego okresu (dotyczą jedynie okresu do 2040 r.). </w:t>
      </w:r>
    </w:p>
    <w:p w14:paraId="65015ADB" w14:textId="77777777" w:rsidR="00FF1AD7" w:rsidRPr="00667967" w:rsidRDefault="00FF1AD7" w:rsidP="00595221">
      <w:pPr>
        <w:widowControl/>
        <w:suppressAutoHyphens w:val="0"/>
        <w:spacing w:before="120" w:after="120" w:line="360" w:lineRule="auto"/>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 xml:space="preserve">Dodatkowo zmieniono okres aktualizacji prognoz wielkości emisji z 5 na 4 lata. Taka zmiana odpowiada 4-letniemu terminowi na złożenie raportu rządowego wynikającego z decyzji 9/CP.16 (FCCC/CP/2010/7/Add.2, str. 17) wydanej na podstawie Konwencji Klimatycznej. Elementem tego raportu są właśnie prognozy wielkości emisji. </w:t>
      </w:r>
    </w:p>
    <w:p w14:paraId="000761D3" w14:textId="77777777" w:rsidR="00FF1AD7" w:rsidRPr="00667967" w:rsidRDefault="00FF1AD7" w:rsidP="00595221">
      <w:pPr>
        <w:widowControl/>
        <w:suppressAutoHyphens w:val="0"/>
        <w:spacing w:before="120" w:after="120" w:line="360" w:lineRule="auto"/>
        <w:jc w:val="both"/>
        <w:rPr>
          <w:rFonts w:ascii="Times New Roman" w:hAnsi="Times New Roman" w:cs="Times New Roman"/>
          <w:kern w:val="0"/>
          <w:lang w:eastAsia="en-US" w:bidi="ar-SA"/>
        </w:rPr>
      </w:pPr>
      <w:r w:rsidRPr="00667967">
        <w:rPr>
          <w:rFonts w:ascii="Times New Roman" w:hAnsi="Times New Roman" w:cs="Times New Roman"/>
          <w:kern w:val="0"/>
          <w:lang w:eastAsia="en-US" w:bidi="ar-SA"/>
        </w:rPr>
        <w:t>Zgodnie z projektem nowe terminy przewidziane dla aktualizacji prognoz wielkości emisji i dla nowych prognoz zmian aktywności będą ze sobą skorelowane, co ma istotne znaczenie z uwagi na to, że prognozy zmian aktywności są wykorzystywane do sporządzania aktualizacji prognoz wielkości emisji.</w:t>
      </w:r>
    </w:p>
    <w:p w14:paraId="36407C19" w14:textId="77777777" w:rsidR="00FF1AD7" w:rsidRPr="00667967" w:rsidRDefault="00FF1AD7" w:rsidP="00595221">
      <w:pPr>
        <w:widowControl/>
        <w:suppressAutoHyphens w:val="0"/>
        <w:spacing w:before="120" w:after="120" w:line="360" w:lineRule="auto"/>
        <w:rPr>
          <w:rFonts w:ascii="Times New Roman" w:eastAsia="Times New Roman" w:hAnsi="Times New Roman" w:cs="Times New Roman"/>
          <w:kern w:val="0"/>
          <w:lang w:eastAsia="pl-PL" w:bidi="ar-SA"/>
        </w:rPr>
      </w:pPr>
      <w:r w:rsidRPr="00667967">
        <w:rPr>
          <w:rFonts w:ascii="Times New Roman" w:eastAsia="Times New Roman" w:hAnsi="Times New Roman" w:cs="Times New Roman"/>
          <w:b/>
          <w:bCs/>
          <w:kern w:val="0"/>
          <w:lang w:eastAsia="pl-PL" w:bidi="ar-SA"/>
        </w:rPr>
        <w:t xml:space="preserve">Zmiana art. 16b i 16d </w:t>
      </w:r>
    </w:p>
    <w:p w14:paraId="62E59782" w14:textId="088A6785" w:rsidR="00FF1AD7" w:rsidRPr="00667967" w:rsidRDefault="00FF1AD7" w:rsidP="00595221">
      <w:pPr>
        <w:widowControl/>
        <w:suppressAutoHyphens w:val="0"/>
        <w:spacing w:before="120" w:after="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 xml:space="preserve">Zmiany zaproponowane w art. 16b ust. 12 i 13 oraz </w:t>
      </w:r>
      <w:r w:rsidR="00F9765C" w:rsidRPr="00667967">
        <w:rPr>
          <w:rFonts w:ascii="Times New Roman" w:eastAsia="Times New Roman" w:hAnsi="Times New Roman" w:cs="Times New Roman"/>
          <w:kern w:val="0"/>
          <w:lang w:eastAsia="pl-PL" w:bidi="ar-SA"/>
        </w:rPr>
        <w:t xml:space="preserve">art. </w:t>
      </w:r>
      <w:r w:rsidRPr="00667967">
        <w:rPr>
          <w:rFonts w:ascii="Times New Roman" w:eastAsia="Times New Roman" w:hAnsi="Times New Roman" w:cs="Times New Roman"/>
          <w:kern w:val="0"/>
          <w:lang w:eastAsia="pl-PL" w:bidi="ar-SA"/>
        </w:rPr>
        <w:t>16d ust. 1 USZE mają na celu doprecyzowanie przepisó</w:t>
      </w:r>
      <w:r w:rsidR="002E6F10" w:rsidRPr="00667967">
        <w:rPr>
          <w:rFonts w:ascii="Times New Roman" w:eastAsia="Times New Roman" w:hAnsi="Times New Roman" w:cs="Times New Roman"/>
          <w:kern w:val="0"/>
          <w:lang w:eastAsia="pl-PL" w:bidi="ar-SA"/>
        </w:rPr>
        <w:t>w. Natomiast zmiany w</w:t>
      </w:r>
      <w:r w:rsidR="00EE4359" w:rsidRPr="00667967">
        <w:rPr>
          <w:rFonts w:ascii="Times New Roman" w:eastAsia="Times New Roman" w:hAnsi="Times New Roman" w:cs="Times New Roman"/>
          <w:kern w:val="0"/>
          <w:lang w:eastAsia="pl-PL" w:bidi="ar-SA"/>
        </w:rPr>
        <w:t xml:space="preserve"> </w:t>
      </w:r>
      <w:r w:rsidR="002E6F10" w:rsidRPr="00667967">
        <w:rPr>
          <w:rFonts w:ascii="Times New Roman" w:eastAsia="Times New Roman" w:hAnsi="Times New Roman" w:cs="Times New Roman"/>
          <w:kern w:val="0"/>
          <w:lang w:eastAsia="pl-PL" w:bidi="ar-SA"/>
        </w:rPr>
        <w:t xml:space="preserve">art. 16b ust. 3 pkt 6, ust. 4 pkt 5 i 6, ust. 7a oraz art. 16d ust. 1 i ust. 7a stanowią </w:t>
      </w:r>
      <w:r w:rsidR="00235AC4" w:rsidRPr="00667967">
        <w:rPr>
          <w:rFonts w:ascii="Times New Roman" w:eastAsia="Times New Roman" w:hAnsi="Times New Roman" w:cs="Times New Roman"/>
          <w:kern w:val="0"/>
          <w:lang w:eastAsia="pl-PL" w:bidi="ar-SA"/>
        </w:rPr>
        <w:t>uzupełnienie przepisów zgodnie z uwagami K</w:t>
      </w:r>
      <w:r w:rsidR="00EB37E4" w:rsidRPr="00667967">
        <w:rPr>
          <w:rFonts w:ascii="Times New Roman" w:eastAsia="Times New Roman" w:hAnsi="Times New Roman" w:cs="Times New Roman"/>
          <w:kern w:val="0"/>
          <w:lang w:eastAsia="pl-PL" w:bidi="ar-SA"/>
        </w:rPr>
        <w:t xml:space="preserve">omisji </w:t>
      </w:r>
      <w:r w:rsidR="00235AC4" w:rsidRPr="00667967">
        <w:rPr>
          <w:rFonts w:ascii="Times New Roman" w:eastAsia="Times New Roman" w:hAnsi="Times New Roman" w:cs="Times New Roman"/>
          <w:kern w:val="0"/>
          <w:lang w:eastAsia="pl-PL" w:bidi="ar-SA"/>
        </w:rPr>
        <w:t>E</w:t>
      </w:r>
      <w:r w:rsidR="00EB37E4" w:rsidRPr="00667967">
        <w:rPr>
          <w:rFonts w:ascii="Times New Roman" w:eastAsia="Times New Roman" w:hAnsi="Times New Roman" w:cs="Times New Roman"/>
          <w:kern w:val="0"/>
          <w:lang w:eastAsia="pl-PL" w:bidi="ar-SA"/>
        </w:rPr>
        <w:t>uropejskiej</w:t>
      </w:r>
      <w:r w:rsidR="00235AC4" w:rsidRPr="00667967">
        <w:rPr>
          <w:rFonts w:ascii="Times New Roman" w:eastAsia="Times New Roman" w:hAnsi="Times New Roman" w:cs="Times New Roman"/>
          <w:kern w:val="0"/>
          <w:lang w:eastAsia="pl-PL" w:bidi="ar-SA"/>
        </w:rPr>
        <w:t xml:space="preserve"> wskazanymi w </w:t>
      </w:r>
      <w:r w:rsidR="00B166D6" w:rsidRPr="00667967">
        <w:rPr>
          <w:rFonts w:ascii="Times New Roman" w:eastAsia="Times New Roman" w:hAnsi="Times New Roman" w:cs="Times New Roman"/>
          <w:kern w:val="0"/>
          <w:lang w:eastAsia="pl-PL" w:bidi="ar-SA"/>
        </w:rPr>
        <w:t xml:space="preserve">uzasadnionej opinii </w:t>
      </w:r>
      <w:r w:rsidR="00EB37E4" w:rsidRPr="00667967">
        <w:rPr>
          <w:rFonts w:ascii="Times New Roman" w:eastAsia="Times New Roman" w:hAnsi="Times New Roman" w:cs="Times New Roman"/>
          <w:kern w:val="0"/>
          <w:lang w:eastAsia="pl-PL" w:bidi="ar-SA"/>
        </w:rPr>
        <w:t>–</w:t>
      </w:r>
      <w:r w:rsidR="00B166D6" w:rsidRPr="00667967">
        <w:rPr>
          <w:rFonts w:ascii="Times New Roman" w:eastAsia="Times New Roman" w:hAnsi="Times New Roman" w:cs="Times New Roman"/>
          <w:kern w:val="0"/>
          <w:lang w:eastAsia="pl-PL" w:bidi="ar-SA"/>
        </w:rPr>
        <w:t xml:space="preserve"> uchybienie zobowiązaniom dyrektywy Parlamentu Europejskiego i Rady (UE) 2016/2284 z dnia 14 grudnia 2016 r. w sprawie redukcji krajowych emisji niektórych rodzajów zanieczyszczeń atmosferycznych, zmiany dyrektywy 2003/35/WE oraz uchylenia dyrektywy 2001/81/WE</w:t>
      </w:r>
      <w:r w:rsidR="007D434D" w:rsidRPr="00667967">
        <w:rPr>
          <w:rFonts w:ascii="Times New Roman" w:eastAsia="Times New Roman" w:hAnsi="Times New Roman" w:cs="Times New Roman"/>
          <w:kern w:val="0"/>
          <w:lang w:eastAsia="pl-PL" w:bidi="ar-SA"/>
        </w:rPr>
        <w:t>, dalej „dyrektywa NEC”</w:t>
      </w:r>
      <w:r w:rsidR="00B166D6" w:rsidRPr="00667967">
        <w:rPr>
          <w:rFonts w:ascii="Times New Roman" w:eastAsia="Times New Roman" w:hAnsi="Times New Roman" w:cs="Times New Roman"/>
          <w:kern w:val="0"/>
          <w:lang w:eastAsia="pl-PL" w:bidi="ar-SA"/>
        </w:rPr>
        <w:t xml:space="preserve"> (naruszeni</w:t>
      </w:r>
      <w:r w:rsidR="004B357D" w:rsidRPr="00667967">
        <w:rPr>
          <w:rFonts w:ascii="Times New Roman" w:eastAsia="Times New Roman" w:hAnsi="Times New Roman" w:cs="Times New Roman"/>
          <w:kern w:val="0"/>
          <w:lang w:eastAsia="pl-PL" w:bidi="ar-SA"/>
        </w:rPr>
        <w:t>e</w:t>
      </w:r>
      <w:r w:rsidR="00B166D6" w:rsidRPr="00667967">
        <w:rPr>
          <w:rFonts w:ascii="Times New Roman" w:eastAsia="Times New Roman" w:hAnsi="Times New Roman" w:cs="Times New Roman"/>
          <w:kern w:val="0"/>
          <w:lang w:eastAsia="pl-PL" w:bidi="ar-SA"/>
        </w:rPr>
        <w:t xml:space="preserve"> </w:t>
      </w:r>
      <w:r w:rsidR="004B357D" w:rsidRPr="00667967">
        <w:rPr>
          <w:rFonts w:ascii="Times New Roman" w:eastAsia="Times New Roman" w:hAnsi="Times New Roman" w:cs="Times New Roman"/>
          <w:kern w:val="0"/>
          <w:lang w:eastAsia="pl-PL" w:bidi="ar-SA"/>
        </w:rPr>
        <w:t>nr</w:t>
      </w:r>
      <w:r w:rsidR="00D029CA">
        <w:rPr>
          <w:rFonts w:ascii="Times New Roman" w:eastAsia="Times New Roman" w:hAnsi="Times New Roman" w:cs="Times New Roman"/>
          <w:kern w:val="0"/>
          <w:lang w:eastAsia="pl-PL" w:bidi="ar-SA"/>
        </w:rPr>
        <w:t> </w:t>
      </w:r>
      <w:r w:rsidR="00B166D6" w:rsidRPr="00667967">
        <w:rPr>
          <w:rFonts w:ascii="Times New Roman" w:eastAsia="Times New Roman" w:hAnsi="Times New Roman" w:cs="Times New Roman"/>
          <w:kern w:val="0"/>
          <w:lang w:eastAsia="pl-PL" w:bidi="ar-SA"/>
        </w:rPr>
        <w:t>2021/2024)</w:t>
      </w:r>
      <w:r w:rsidRPr="00667967">
        <w:rPr>
          <w:rFonts w:ascii="Times New Roman" w:eastAsia="Times New Roman" w:hAnsi="Times New Roman" w:cs="Times New Roman"/>
          <w:kern w:val="0"/>
          <w:lang w:eastAsia="pl-PL" w:bidi="ar-SA"/>
        </w:rPr>
        <w:t>.</w:t>
      </w:r>
    </w:p>
    <w:p w14:paraId="1CF24832" w14:textId="0C6A7959" w:rsidR="00FF1AD7" w:rsidRPr="00667967" w:rsidRDefault="00FF1AD7" w:rsidP="00595221">
      <w:pPr>
        <w:widowControl/>
        <w:suppressAutoHyphens w:val="0"/>
        <w:spacing w:before="120" w:after="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Ustawa nakłada obowiązek opracowywania Krajowych programów ograniczania zanieczyszczenia powietrza oraz ich aktualizacji z częstotliwością określoną w art. 16b ust. 10 i</w:t>
      </w:r>
      <w:r w:rsidR="00481B5C" w:rsidRPr="00667967">
        <w:rPr>
          <w:rFonts w:ascii="Times New Roman" w:eastAsia="Times New Roman" w:hAnsi="Times New Roman" w:cs="Times New Roman"/>
          <w:kern w:val="0"/>
          <w:lang w:eastAsia="pl-PL" w:bidi="ar-SA"/>
        </w:rPr>
        <w:t xml:space="preserve"> </w:t>
      </w:r>
      <w:r w:rsidRPr="00667967">
        <w:rPr>
          <w:rFonts w:ascii="Times New Roman" w:eastAsia="Times New Roman" w:hAnsi="Times New Roman" w:cs="Times New Roman"/>
          <w:kern w:val="0"/>
          <w:lang w:eastAsia="pl-PL" w:bidi="ar-SA"/>
        </w:rPr>
        <w:t>12</w:t>
      </w:r>
      <w:r w:rsidR="00481B5C" w:rsidRPr="00667967">
        <w:rPr>
          <w:rFonts w:ascii="Times New Roman" w:eastAsia="Times New Roman" w:hAnsi="Times New Roman" w:cs="Times New Roman"/>
          <w:kern w:val="0"/>
          <w:lang w:eastAsia="pl-PL" w:bidi="ar-SA"/>
        </w:rPr>
        <w:t xml:space="preserve">. </w:t>
      </w:r>
      <w:r w:rsidRPr="00667967">
        <w:rPr>
          <w:rFonts w:ascii="Times New Roman" w:eastAsia="Times New Roman" w:hAnsi="Times New Roman" w:cs="Times New Roman"/>
          <w:kern w:val="0"/>
          <w:lang w:eastAsia="pl-PL" w:bidi="ar-SA"/>
        </w:rPr>
        <w:t>Przewiduje się dwa tryby opracowywania aktualizacji Krajowych programów ograniczania zanieczyszczenia powietrza – co 4 lata oraz w przypadku gdy z prognoz wielkości emisji lub inwentaryzacji emisji</w:t>
      </w:r>
      <w:r w:rsidR="00481B5C" w:rsidRPr="00667967">
        <w:rPr>
          <w:rFonts w:ascii="Times New Roman" w:eastAsia="Times New Roman" w:hAnsi="Times New Roman" w:cs="Times New Roman"/>
          <w:kern w:val="0"/>
          <w:lang w:eastAsia="pl-PL" w:bidi="ar-SA"/>
        </w:rPr>
        <w:t>, o</w:t>
      </w:r>
      <w:r w:rsidR="00222614" w:rsidRPr="00667967">
        <w:rPr>
          <w:rFonts w:ascii="Times New Roman" w:eastAsia="Times New Roman" w:hAnsi="Times New Roman" w:cs="Times New Roman"/>
          <w:kern w:val="0"/>
          <w:lang w:eastAsia="pl-PL" w:bidi="ar-SA"/>
        </w:rPr>
        <w:t> </w:t>
      </w:r>
      <w:r w:rsidR="00481B5C" w:rsidRPr="00667967">
        <w:rPr>
          <w:rFonts w:ascii="Times New Roman" w:eastAsia="Times New Roman" w:hAnsi="Times New Roman" w:cs="Times New Roman"/>
          <w:kern w:val="0"/>
          <w:lang w:eastAsia="pl-PL" w:bidi="ar-SA"/>
        </w:rPr>
        <w:t>których mowa odpowiednio w art. 12 ust. 1 i w art. 11 ust.</w:t>
      </w:r>
      <w:r w:rsidR="00D029CA">
        <w:rPr>
          <w:rFonts w:ascii="Times New Roman" w:eastAsia="Times New Roman" w:hAnsi="Times New Roman" w:cs="Times New Roman"/>
          <w:kern w:val="0"/>
          <w:lang w:eastAsia="pl-PL" w:bidi="ar-SA"/>
        </w:rPr>
        <w:t> </w:t>
      </w:r>
      <w:r w:rsidR="00481B5C" w:rsidRPr="00667967">
        <w:rPr>
          <w:rFonts w:ascii="Times New Roman" w:eastAsia="Times New Roman" w:hAnsi="Times New Roman" w:cs="Times New Roman"/>
          <w:kern w:val="0"/>
          <w:lang w:eastAsia="pl-PL" w:bidi="ar-SA"/>
        </w:rPr>
        <w:t xml:space="preserve">1 pkt 3, </w:t>
      </w:r>
      <w:r w:rsidRPr="00667967">
        <w:rPr>
          <w:rFonts w:ascii="Times New Roman" w:eastAsia="Times New Roman" w:hAnsi="Times New Roman" w:cs="Times New Roman"/>
          <w:kern w:val="0"/>
          <w:lang w:eastAsia="pl-PL" w:bidi="ar-SA"/>
        </w:rPr>
        <w:t xml:space="preserve">wynika, że krajowe cele redukcyjne nie są spełnione lub istnieje ryzyko ich nieosiągnięcia. </w:t>
      </w:r>
      <w:r w:rsidR="00481B5C" w:rsidRPr="00667967">
        <w:rPr>
          <w:rFonts w:ascii="Times New Roman" w:eastAsia="Times New Roman" w:hAnsi="Times New Roman" w:cs="Times New Roman"/>
          <w:kern w:val="0"/>
          <w:lang w:eastAsia="pl-PL" w:bidi="ar-SA"/>
        </w:rPr>
        <w:t xml:space="preserve">Przy czym zmienione przepisy (art. 16b ust. 12 i 15 oraz art. 16d ust. 1) będą się odwoływać do art. 12 ust. 1 tylko w zakresie prognoz wielkości emisji, nie zaś do prognoz </w:t>
      </w:r>
      <w:r w:rsidR="00481B5C" w:rsidRPr="00667967">
        <w:rPr>
          <w:rFonts w:ascii="Times New Roman" w:eastAsia="Times New Roman" w:hAnsi="Times New Roman" w:cs="Times New Roman"/>
          <w:kern w:val="0"/>
          <w:lang w:eastAsia="pl-PL" w:bidi="ar-SA"/>
        </w:rPr>
        <w:lastRenderedPageBreak/>
        <w:t xml:space="preserve">wielkości pochłaniania, o których również mowa w tym przepisie. Krajowy program ograniczania zanieczyszczenia powietrza nie dotyczy gazów cieplarnianych, tylko zanieczyszczeń powietrza, zatem </w:t>
      </w:r>
      <w:r w:rsidR="00460A64" w:rsidRPr="00667967">
        <w:rPr>
          <w:rFonts w:ascii="Times New Roman" w:eastAsia="Times New Roman" w:hAnsi="Times New Roman" w:cs="Times New Roman"/>
          <w:kern w:val="0"/>
          <w:lang w:eastAsia="pl-PL" w:bidi="ar-SA"/>
        </w:rPr>
        <w:t xml:space="preserve">jest </w:t>
      </w:r>
      <w:r w:rsidR="00481B5C" w:rsidRPr="00667967">
        <w:rPr>
          <w:rFonts w:ascii="Times New Roman" w:eastAsia="Times New Roman" w:hAnsi="Times New Roman" w:cs="Times New Roman"/>
          <w:kern w:val="0"/>
          <w:lang w:eastAsia="pl-PL" w:bidi="ar-SA"/>
        </w:rPr>
        <w:t>bezzasadne odwoływanie się także do pochłaniania, występującego jedynie w przypadku dwutlenku węgla (CO</w:t>
      </w:r>
      <w:r w:rsidR="00481B5C" w:rsidRPr="00667967">
        <w:rPr>
          <w:rFonts w:ascii="Times New Roman" w:eastAsia="Times New Roman" w:hAnsi="Times New Roman" w:cs="Times New Roman"/>
          <w:kern w:val="0"/>
          <w:vertAlign w:val="subscript"/>
          <w:lang w:eastAsia="pl-PL" w:bidi="ar-SA"/>
        </w:rPr>
        <w:t>2</w:t>
      </w:r>
      <w:r w:rsidR="00481B5C" w:rsidRPr="00667967">
        <w:rPr>
          <w:rFonts w:ascii="Times New Roman" w:eastAsia="Times New Roman" w:hAnsi="Times New Roman" w:cs="Times New Roman"/>
          <w:kern w:val="0"/>
          <w:lang w:eastAsia="pl-PL" w:bidi="ar-SA"/>
        </w:rPr>
        <w:t xml:space="preserve">). </w:t>
      </w:r>
      <w:r w:rsidRPr="00667967">
        <w:rPr>
          <w:rFonts w:ascii="Times New Roman" w:eastAsia="Times New Roman" w:hAnsi="Times New Roman" w:cs="Times New Roman"/>
          <w:kern w:val="0"/>
          <w:lang w:eastAsia="pl-PL" w:bidi="ar-SA"/>
        </w:rPr>
        <w:t xml:space="preserve">W pierwszym przypadku dokonywana jest pełna aktualizacja programu ograniczania zanieczyszczenia powietrza, w drugim </w:t>
      </w:r>
      <w:r w:rsidR="000A4C12">
        <w:rPr>
          <w:rFonts w:ascii="Times New Roman" w:eastAsia="Times New Roman" w:hAnsi="Times New Roman" w:cs="Times New Roman"/>
          <w:kern w:val="0"/>
          <w:lang w:eastAsia="pl-PL" w:bidi="ar-SA"/>
        </w:rPr>
        <w:t>–</w:t>
      </w:r>
      <w:r w:rsidRPr="00667967">
        <w:rPr>
          <w:rFonts w:ascii="Times New Roman" w:eastAsia="Times New Roman" w:hAnsi="Times New Roman" w:cs="Times New Roman"/>
          <w:kern w:val="0"/>
          <w:lang w:eastAsia="pl-PL" w:bidi="ar-SA"/>
        </w:rPr>
        <w:t xml:space="preserve"> </w:t>
      </w:r>
      <w:r w:rsidR="00460A64" w:rsidRPr="00667967">
        <w:rPr>
          <w:rFonts w:ascii="Times New Roman" w:eastAsia="Times New Roman" w:hAnsi="Times New Roman" w:cs="Times New Roman"/>
          <w:kern w:val="0"/>
          <w:lang w:eastAsia="pl-PL" w:bidi="ar-SA"/>
        </w:rPr>
        <w:t xml:space="preserve">są </w:t>
      </w:r>
      <w:r w:rsidRPr="00667967">
        <w:rPr>
          <w:rFonts w:ascii="Times New Roman" w:eastAsia="Times New Roman" w:hAnsi="Times New Roman" w:cs="Times New Roman"/>
          <w:kern w:val="0"/>
          <w:lang w:eastAsia="pl-PL" w:bidi="ar-SA"/>
        </w:rPr>
        <w:t>aktualizowane jedynie strategie i środki dotyczące redukcji emisji zawarte w tym programie.</w:t>
      </w:r>
    </w:p>
    <w:p w14:paraId="15C86435" w14:textId="0EC940C3" w:rsidR="00FF1AD7" w:rsidRPr="00667967" w:rsidRDefault="00FF1AD7" w:rsidP="00595221">
      <w:pPr>
        <w:widowControl/>
        <w:suppressAutoHyphens w:val="0"/>
        <w:spacing w:before="120" w:after="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 xml:space="preserve">W obecnym brzmieniu USZE </w:t>
      </w:r>
      <w:r w:rsidR="00460A64" w:rsidRPr="00667967">
        <w:rPr>
          <w:rFonts w:ascii="Times New Roman" w:eastAsia="Times New Roman" w:hAnsi="Times New Roman" w:cs="Times New Roman"/>
          <w:kern w:val="0"/>
          <w:lang w:eastAsia="pl-PL" w:bidi="ar-SA"/>
        </w:rPr>
        <w:t xml:space="preserve">jest </w:t>
      </w:r>
      <w:r w:rsidRPr="00667967">
        <w:rPr>
          <w:rFonts w:ascii="Times New Roman" w:eastAsia="Times New Roman" w:hAnsi="Times New Roman" w:cs="Times New Roman"/>
          <w:kern w:val="0"/>
          <w:lang w:eastAsia="pl-PL" w:bidi="ar-SA"/>
        </w:rPr>
        <w:t>przewidziany jedynie tryb pełnej aktualizacji Krajowego programu ograniczania zanieczyszczenia powietrza. Ponadto w art. 16b ust. 12 USZE wskazana jest wyłącznie sytuacja, w której z inwentaryzacji emisji wynika, że konieczna jest aktualizacja Krajowego programu ograniczania zanieczyszczenia powietrza, przepis nie uwzględnia prognoz emisji. Zaproponowane zmiany przewidują tryb aktualizacji odpowiednich części Krajowego programu ograniczania zanieczyszczenia powietrza.</w:t>
      </w:r>
    </w:p>
    <w:p w14:paraId="4ADF6576" w14:textId="6BBE0C25" w:rsidR="00BF5E32" w:rsidRPr="00667967" w:rsidRDefault="00FF1AD7" w:rsidP="00595221">
      <w:pPr>
        <w:widowControl/>
        <w:suppressAutoHyphens w:val="0"/>
        <w:spacing w:before="120" w:after="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Ponadto w celu uniknięcia sytuacji, w której mogłoby dojść do nałożenia się prac nad aktualizacją Krajowego programu ograniczania zanieczyszczenia powietrza na podstawie obu trybów, zaproponowano, żeby aktualizację w zakresie środków i strategii dotyczącą redukcji emisji zawartych w Krajowym programie przeprowadzić w przypadku, gdy do upływu terminu pełnej aktualizacji Krajowego programu pozostaje więcej niż 24 miesiące (art. 16b ust. 12 pkt</w:t>
      </w:r>
      <w:r w:rsidR="00D029CA">
        <w:rPr>
          <w:rFonts w:ascii="Times New Roman" w:eastAsia="Times New Roman" w:hAnsi="Times New Roman" w:cs="Times New Roman"/>
          <w:kern w:val="0"/>
          <w:lang w:eastAsia="pl-PL" w:bidi="ar-SA"/>
        </w:rPr>
        <w:t> </w:t>
      </w:r>
      <w:r w:rsidRPr="00667967">
        <w:rPr>
          <w:rFonts w:ascii="Times New Roman" w:eastAsia="Times New Roman" w:hAnsi="Times New Roman" w:cs="Times New Roman"/>
          <w:kern w:val="0"/>
          <w:lang w:eastAsia="pl-PL" w:bidi="ar-SA"/>
        </w:rPr>
        <w:t>2</w:t>
      </w:r>
      <w:r w:rsidR="00460A64" w:rsidRPr="00667967">
        <w:rPr>
          <w:rFonts w:ascii="Times New Roman" w:eastAsia="Times New Roman" w:hAnsi="Times New Roman" w:cs="Times New Roman"/>
          <w:kern w:val="0"/>
          <w:lang w:eastAsia="pl-PL" w:bidi="ar-SA"/>
        </w:rPr>
        <w:t xml:space="preserve"> </w:t>
      </w:r>
      <w:r w:rsidRPr="00667967">
        <w:rPr>
          <w:rFonts w:ascii="Times New Roman" w:eastAsia="Times New Roman" w:hAnsi="Times New Roman" w:cs="Times New Roman"/>
          <w:kern w:val="0"/>
          <w:lang w:eastAsia="pl-PL" w:bidi="ar-SA"/>
        </w:rPr>
        <w:t>USZE w projekcie ustawy). Jeżeli termin ten będzie krótszy, wówczas Krajowy program ograniczania zanieczyszczenia powietrza zostanie zaktualizowany w całości – w trybie art. 16b ust. 10 i 11 USZE.</w:t>
      </w:r>
      <w:r w:rsidR="007D434D" w:rsidRPr="00667967">
        <w:rPr>
          <w:rFonts w:ascii="Times New Roman" w:eastAsia="Times New Roman" w:hAnsi="Times New Roman" w:cs="Times New Roman"/>
          <w:kern w:val="0"/>
          <w:lang w:eastAsia="pl-PL" w:bidi="ar-SA"/>
        </w:rPr>
        <w:t xml:space="preserve"> </w:t>
      </w:r>
    </w:p>
    <w:p w14:paraId="30A1F9B3" w14:textId="3357292C" w:rsidR="007D434D" w:rsidRPr="00667967" w:rsidRDefault="007D434D" w:rsidP="00595221">
      <w:pPr>
        <w:widowControl/>
        <w:suppressAutoHyphens w:val="0"/>
        <w:spacing w:before="120" w:after="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Doprecyzowano również, w dodawanym art. 16b ust. 7a, że minister właściwy do spraw klimatu w określonym przypadku przeprowadza konsultacje transgraniczne projektu Krajowego programu ograniczania zanieczyszczenia powietrza. Konsultacje takie są wymagane zgodnie z art. 6 ust. 5 dyrektywy NEC.</w:t>
      </w:r>
    </w:p>
    <w:p w14:paraId="773DDEB3" w14:textId="41FB849A" w:rsidR="00AE3BC7" w:rsidRPr="00667967" w:rsidRDefault="00AE3BC7" w:rsidP="00595221">
      <w:pPr>
        <w:widowControl/>
        <w:suppressAutoHyphens w:val="0"/>
        <w:spacing w:before="120" w:after="120" w:line="360" w:lineRule="auto"/>
        <w:rPr>
          <w:rFonts w:ascii="Times New Roman" w:eastAsia="Times New Roman" w:hAnsi="Times New Roman" w:cs="Times New Roman"/>
          <w:b/>
          <w:bCs/>
          <w:kern w:val="0"/>
          <w:lang w:eastAsia="pl-PL" w:bidi="ar-SA"/>
        </w:rPr>
      </w:pPr>
      <w:r w:rsidRPr="00667967">
        <w:rPr>
          <w:rFonts w:ascii="Times New Roman" w:eastAsia="Times New Roman" w:hAnsi="Times New Roman" w:cs="Times New Roman"/>
          <w:b/>
          <w:bCs/>
          <w:kern w:val="0"/>
          <w:lang w:eastAsia="pl-PL" w:bidi="ar-SA"/>
        </w:rPr>
        <w:t xml:space="preserve">Zmiana załącznika 2 części 2 </w:t>
      </w:r>
      <w:r w:rsidR="00482FB1" w:rsidRPr="00667967">
        <w:rPr>
          <w:rFonts w:ascii="Times New Roman" w:eastAsia="Times New Roman" w:hAnsi="Times New Roman" w:cs="Times New Roman"/>
          <w:b/>
          <w:bCs/>
          <w:kern w:val="0"/>
          <w:lang w:eastAsia="pl-PL" w:bidi="ar-SA"/>
        </w:rPr>
        <w:t xml:space="preserve">i części 3 </w:t>
      </w:r>
      <w:r w:rsidRPr="00667967">
        <w:rPr>
          <w:rFonts w:ascii="Times New Roman" w:eastAsia="Times New Roman" w:hAnsi="Times New Roman" w:cs="Times New Roman"/>
          <w:b/>
          <w:bCs/>
          <w:kern w:val="0"/>
          <w:lang w:eastAsia="pl-PL" w:bidi="ar-SA"/>
        </w:rPr>
        <w:t xml:space="preserve">– prognozy emisji </w:t>
      </w:r>
      <w:r w:rsidR="00482FB1" w:rsidRPr="00667967">
        <w:rPr>
          <w:rFonts w:ascii="Times New Roman" w:eastAsia="Times New Roman" w:hAnsi="Times New Roman" w:cs="Times New Roman"/>
          <w:b/>
          <w:bCs/>
          <w:kern w:val="0"/>
          <w:lang w:eastAsia="pl-PL" w:bidi="ar-SA"/>
        </w:rPr>
        <w:t>i raport metodyczny IIR</w:t>
      </w:r>
    </w:p>
    <w:p w14:paraId="1B956E84" w14:textId="078710F1" w:rsidR="00AE3BC7" w:rsidRPr="00667967" w:rsidRDefault="00AE3BC7" w:rsidP="00595221">
      <w:pPr>
        <w:widowControl/>
        <w:suppressAutoHyphens w:val="0"/>
        <w:spacing w:before="120" w:after="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 xml:space="preserve">Zmiana </w:t>
      </w:r>
      <w:r w:rsidR="00482FB1" w:rsidRPr="00667967">
        <w:rPr>
          <w:rFonts w:ascii="Times New Roman" w:eastAsia="Times New Roman" w:hAnsi="Times New Roman" w:cs="Times New Roman"/>
          <w:kern w:val="0"/>
          <w:lang w:eastAsia="pl-PL" w:bidi="ar-SA"/>
        </w:rPr>
        <w:t xml:space="preserve">w części 2 </w:t>
      </w:r>
      <w:r w:rsidRPr="00667967">
        <w:rPr>
          <w:rFonts w:ascii="Times New Roman" w:eastAsia="Times New Roman" w:hAnsi="Times New Roman" w:cs="Times New Roman"/>
          <w:kern w:val="0"/>
          <w:lang w:eastAsia="pl-PL" w:bidi="ar-SA"/>
        </w:rPr>
        <w:t>wynika z konieczności transpozycji do prawa krajowego dyrektywy delegowanej Komisji (UE) 2024/299 z dnia 27 października 2023 r. zmieniającej dyrektywę Parlamentu Europejskiego i</w:t>
      </w:r>
      <w:r w:rsidR="00222614" w:rsidRPr="00667967">
        <w:rPr>
          <w:rFonts w:ascii="Times New Roman" w:eastAsia="Times New Roman" w:hAnsi="Times New Roman" w:cs="Times New Roman"/>
          <w:kern w:val="0"/>
          <w:lang w:eastAsia="pl-PL" w:bidi="ar-SA"/>
        </w:rPr>
        <w:t> </w:t>
      </w:r>
      <w:r w:rsidRPr="00667967">
        <w:rPr>
          <w:rFonts w:ascii="Times New Roman" w:eastAsia="Times New Roman" w:hAnsi="Times New Roman" w:cs="Times New Roman"/>
          <w:kern w:val="0"/>
          <w:lang w:eastAsia="pl-PL" w:bidi="ar-SA"/>
        </w:rPr>
        <w:t>Rady (UE) 2016/2284 w odniesieniu do metod zgłaszania prognozowanych emisji niektórych rodzajów zanieczyszczeń atmosferycznych</w:t>
      </w:r>
      <w:r w:rsidR="00F33243" w:rsidRPr="00667967">
        <w:rPr>
          <w:rFonts w:ascii="Times New Roman" w:eastAsia="Times New Roman" w:hAnsi="Times New Roman" w:cs="Times New Roman"/>
          <w:kern w:val="0"/>
          <w:lang w:eastAsia="pl-PL" w:bidi="ar-SA"/>
        </w:rPr>
        <w:t xml:space="preserve"> (Dz. Urz. UE L </w:t>
      </w:r>
      <w:r w:rsidR="00E94251" w:rsidRPr="00667967">
        <w:rPr>
          <w:rFonts w:ascii="Times New Roman" w:eastAsia="Times New Roman" w:hAnsi="Times New Roman" w:cs="Times New Roman"/>
          <w:kern w:val="0"/>
          <w:lang w:eastAsia="pl-PL" w:bidi="ar-SA"/>
        </w:rPr>
        <w:t>2024/299</w:t>
      </w:r>
      <w:r w:rsidR="000A4C12">
        <w:rPr>
          <w:rFonts w:ascii="Times New Roman" w:eastAsia="Times New Roman" w:hAnsi="Times New Roman" w:cs="Times New Roman"/>
          <w:kern w:val="0"/>
          <w:lang w:eastAsia="pl-PL" w:bidi="ar-SA"/>
        </w:rPr>
        <w:t xml:space="preserve"> </w:t>
      </w:r>
      <w:r w:rsidR="00F33243" w:rsidRPr="00667967">
        <w:rPr>
          <w:rFonts w:ascii="Times New Roman" w:eastAsia="Times New Roman" w:hAnsi="Times New Roman" w:cs="Times New Roman"/>
          <w:kern w:val="0"/>
          <w:lang w:eastAsia="pl-PL" w:bidi="ar-SA"/>
        </w:rPr>
        <w:t>z 17.01.2024)</w:t>
      </w:r>
      <w:r w:rsidRPr="00667967">
        <w:rPr>
          <w:rFonts w:ascii="Times New Roman" w:eastAsia="Times New Roman" w:hAnsi="Times New Roman" w:cs="Times New Roman"/>
          <w:kern w:val="0"/>
          <w:lang w:eastAsia="pl-PL" w:bidi="ar-SA"/>
        </w:rPr>
        <w:t xml:space="preserve">. Dyrektywa ta wprowadza zmiany w wymaganiach dotyczących prognoz emisji zanieczyszczeń w taki sposób, aby były zgodne z zasadami przewidzianymi </w:t>
      </w:r>
      <w:r w:rsidRPr="00667967">
        <w:rPr>
          <w:rFonts w:ascii="Times New Roman" w:eastAsia="Times New Roman" w:hAnsi="Times New Roman" w:cs="Times New Roman"/>
          <w:kern w:val="0"/>
          <w:lang w:eastAsia="pl-PL" w:bidi="ar-SA"/>
        </w:rPr>
        <w:lastRenderedPageBreak/>
        <w:t>w Konwencji Europejskiej Komisji Gospodarczej Organizacji Narodów Zjednoczonych (EKG ONZ) z 1979 r. w sprawie transgranicznego zanieczyszczania powietrza na dalekie odległości</w:t>
      </w:r>
      <w:r w:rsidR="009F4DC9">
        <w:rPr>
          <w:rFonts w:ascii="Times New Roman" w:eastAsia="Times New Roman" w:hAnsi="Times New Roman" w:cs="Times New Roman"/>
          <w:kern w:val="0"/>
          <w:lang w:eastAsia="pl-PL" w:bidi="ar-SA"/>
        </w:rPr>
        <w:t>, zwanej dalej</w:t>
      </w:r>
      <w:r w:rsidRPr="00667967">
        <w:rPr>
          <w:rFonts w:ascii="Times New Roman" w:eastAsia="Times New Roman" w:hAnsi="Times New Roman" w:cs="Times New Roman"/>
          <w:kern w:val="0"/>
          <w:lang w:eastAsia="pl-PL" w:bidi="ar-SA"/>
        </w:rPr>
        <w:t xml:space="preserve"> „konwencj</w:t>
      </w:r>
      <w:r w:rsidR="009F4DC9">
        <w:rPr>
          <w:rFonts w:ascii="Times New Roman" w:eastAsia="Times New Roman" w:hAnsi="Times New Roman" w:cs="Times New Roman"/>
          <w:kern w:val="0"/>
          <w:lang w:eastAsia="pl-PL" w:bidi="ar-SA"/>
        </w:rPr>
        <w:t>ą</w:t>
      </w:r>
      <w:r w:rsidRPr="00667967">
        <w:rPr>
          <w:rFonts w:ascii="Times New Roman" w:eastAsia="Times New Roman" w:hAnsi="Times New Roman" w:cs="Times New Roman"/>
          <w:kern w:val="0"/>
          <w:lang w:eastAsia="pl-PL" w:bidi="ar-SA"/>
        </w:rPr>
        <w:t xml:space="preserve"> LRTAP”. W grudniu 2022 r. wytyczne konwencji LRTAP zostały zmienione w zakresie zgłaszania prognoz emisji. Obecnie prognozy emisji należy zgłaszać, podobnie jak bilanse emisji, w podziale na poszczególne kategorie źródeł wg nomenklatury dla sprawozdawczości (NFR), a nie jak wcześniej, według kategorii zagregowanych. Zmianę tę należy wprowadzić do prawa krajowego, stąd zmiana w tabeli nr 3 załącznika. Dotychczasowy obowiązek przekazywania prognozowanych emisji według zagregowanych kategorii NFR zastępuje się obowiązkiem przekazywania prognozowanych emisj</w:t>
      </w:r>
      <w:r w:rsidR="009F4DC9">
        <w:rPr>
          <w:rFonts w:ascii="Times New Roman" w:eastAsia="Times New Roman" w:hAnsi="Times New Roman" w:cs="Times New Roman"/>
          <w:kern w:val="0"/>
          <w:lang w:eastAsia="pl-PL" w:bidi="ar-SA"/>
        </w:rPr>
        <w:t>i</w:t>
      </w:r>
      <w:r w:rsidRPr="00667967">
        <w:rPr>
          <w:rFonts w:ascii="Times New Roman" w:eastAsia="Times New Roman" w:hAnsi="Times New Roman" w:cs="Times New Roman"/>
          <w:kern w:val="0"/>
          <w:lang w:eastAsia="pl-PL" w:bidi="ar-SA"/>
        </w:rPr>
        <w:t xml:space="preserve"> w podziale na kategorie źródeł według NFR. </w:t>
      </w:r>
    </w:p>
    <w:p w14:paraId="4ACA4C49" w14:textId="63A1B1CF" w:rsidR="00AE3BC7" w:rsidRPr="00667967" w:rsidRDefault="00AE3BC7" w:rsidP="00595221">
      <w:pPr>
        <w:widowControl/>
        <w:suppressAutoHyphens w:val="0"/>
        <w:spacing w:before="120" w:after="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Dodatkowo w opisie do tej tabeli zamieszcza się, za Dyrektywą 2024/299</w:t>
      </w:r>
      <w:r w:rsidR="009F4DC9">
        <w:rPr>
          <w:rFonts w:ascii="Times New Roman" w:eastAsia="Times New Roman" w:hAnsi="Times New Roman" w:cs="Times New Roman"/>
          <w:kern w:val="0"/>
          <w:lang w:eastAsia="pl-PL" w:bidi="ar-SA"/>
        </w:rPr>
        <w:t>,</w:t>
      </w:r>
      <w:r w:rsidRPr="00667967">
        <w:rPr>
          <w:rFonts w:ascii="Times New Roman" w:eastAsia="Times New Roman" w:hAnsi="Times New Roman" w:cs="Times New Roman"/>
          <w:kern w:val="0"/>
          <w:lang w:eastAsia="pl-PL" w:bidi="ar-SA"/>
        </w:rPr>
        <w:t xml:space="preserve"> informację, że jeżeli nie jest możliwe oszacowanie prognoz emisji w podziale na kategorie źródeł ze względu na brak wystarczająco szczegółowych danych, wówczas w raporcie metodycznym IIR należy zamieścić uzasadnienie dla bardziej zagregowanego poziomu sprawozdawczości.</w:t>
      </w:r>
    </w:p>
    <w:p w14:paraId="23833601" w14:textId="2F0A7CA7" w:rsidR="003017B2" w:rsidRPr="00667967" w:rsidRDefault="00482FB1" w:rsidP="00595221">
      <w:pPr>
        <w:widowControl/>
        <w:suppressAutoHyphens w:val="0"/>
        <w:spacing w:before="120" w:after="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Natomiast zmiany w części 3 stanowią uzupełnienie przepisów zgodnie z uwagami K</w:t>
      </w:r>
      <w:r w:rsidR="009F4DC9">
        <w:rPr>
          <w:rFonts w:ascii="Times New Roman" w:eastAsia="Times New Roman" w:hAnsi="Times New Roman" w:cs="Times New Roman"/>
          <w:kern w:val="0"/>
          <w:lang w:eastAsia="pl-PL" w:bidi="ar-SA"/>
        </w:rPr>
        <w:t xml:space="preserve">omisji </w:t>
      </w:r>
      <w:r w:rsidRPr="00667967">
        <w:rPr>
          <w:rFonts w:ascii="Times New Roman" w:eastAsia="Times New Roman" w:hAnsi="Times New Roman" w:cs="Times New Roman"/>
          <w:kern w:val="0"/>
          <w:lang w:eastAsia="pl-PL" w:bidi="ar-SA"/>
        </w:rPr>
        <w:t>E</w:t>
      </w:r>
      <w:r w:rsidR="009F4DC9">
        <w:rPr>
          <w:rFonts w:ascii="Times New Roman" w:eastAsia="Times New Roman" w:hAnsi="Times New Roman" w:cs="Times New Roman"/>
          <w:kern w:val="0"/>
          <w:lang w:eastAsia="pl-PL" w:bidi="ar-SA"/>
        </w:rPr>
        <w:t>uropejskiej</w:t>
      </w:r>
      <w:r w:rsidRPr="00667967">
        <w:rPr>
          <w:rFonts w:ascii="Times New Roman" w:eastAsia="Times New Roman" w:hAnsi="Times New Roman" w:cs="Times New Roman"/>
          <w:kern w:val="0"/>
          <w:lang w:eastAsia="pl-PL" w:bidi="ar-SA"/>
        </w:rPr>
        <w:t xml:space="preserve"> wskazanymi w ww. uzasadnionej opinii (</w:t>
      </w:r>
      <w:r w:rsidR="00EB37E4" w:rsidRPr="00667967">
        <w:rPr>
          <w:rFonts w:ascii="Times New Roman" w:eastAsia="Times New Roman" w:hAnsi="Times New Roman" w:cs="Times New Roman"/>
          <w:kern w:val="0"/>
          <w:lang w:eastAsia="pl-PL" w:bidi="ar-SA"/>
        </w:rPr>
        <w:t>n</w:t>
      </w:r>
      <w:r w:rsidRPr="00667967">
        <w:rPr>
          <w:rFonts w:ascii="Times New Roman" w:eastAsia="Times New Roman" w:hAnsi="Times New Roman" w:cs="Times New Roman"/>
          <w:kern w:val="0"/>
          <w:lang w:eastAsia="pl-PL" w:bidi="ar-SA"/>
        </w:rPr>
        <w:t>r naruszenia 2021/2024).</w:t>
      </w:r>
    </w:p>
    <w:p w14:paraId="521BA635" w14:textId="5B136E32" w:rsidR="005744C9" w:rsidRPr="00667967" w:rsidRDefault="00574231" w:rsidP="00595221">
      <w:pPr>
        <w:widowControl/>
        <w:spacing w:before="240" w:line="360" w:lineRule="auto"/>
        <w:jc w:val="both"/>
        <w:rPr>
          <w:rFonts w:ascii="Times New Roman" w:eastAsia="Times New Roman" w:hAnsi="Times New Roman" w:cs="Times New Roman"/>
          <w:b/>
          <w:bCs/>
          <w:smallCaps/>
          <w:kern w:val="0"/>
          <w:lang w:eastAsia="pl-PL" w:bidi="ar-SA"/>
        </w:rPr>
      </w:pPr>
      <w:r w:rsidRPr="00667967">
        <w:rPr>
          <w:rFonts w:ascii="Times New Roman" w:eastAsia="Times New Roman" w:hAnsi="Times New Roman" w:cs="Times New Roman"/>
          <w:b/>
          <w:bCs/>
          <w:smallCaps/>
          <w:kern w:val="0"/>
          <w:lang w:eastAsia="pl-PL" w:bidi="ar-SA"/>
        </w:rPr>
        <w:t xml:space="preserve">art. </w:t>
      </w:r>
      <w:r w:rsidR="006240AF" w:rsidRPr="00667967">
        <w:rPr>
          <w:rFonts w:ascii="Times New Roman" w:eastAsia="Times New Roman" w:hAnsi="Times New Roman" w:cs="Times New Roman"/>
          <w:b/>
          <w:bCs/>
          <w:smallCaps/>
          <w:kern w:val="0"/>
          <w:lang w:eastAsia="pl-PL" w:bidi="ar-SA"/>
        </w:rPr>
        <w:t>1</w:t>
      </w:r>
      <w:r w:rsidR="005744C9" w:rsidRPr="00667967">
        <w:rPr>
          <w:rFonts w:ascii="Times New Roman" w:eastAsia="Times New Roman" w:hAnsi="Times New Roman" w:cs="Times New Roman"/>
          <w:b/>
          <w:bCs/>
          <w:smallCaps/>
          <w:kern w:val="0"/>
          <w:lang w:eastAsia="pl-PL" w:bidi="ar-SA"/>
        </w:rPr>
        <w:t>3</w:t>
      </w:r>
      <w:r w:rsidR="006240AF" w:rsidRPr="00667967">
        <w:rPr>
          <w:rFonts w:ascii="Times New Roman" w:eastAsia="Times New Roman" w:hAnsi="Times New Roman" w:cs="Times New Roman"/>
          <w:b/>
          <w:bCs/>
          <w:smallCaps/>
          <w:kern w:val="0"/>
          <w:lang w:eastAsia="pl-PL" w:bidi="ar-SA"/>
        </w:rPr>
        <w:t xml:space="preserve"> </w:t>
      </w:r>
      <w:r w:rsidR="005744C9" w:rsidRPr="00667967">
        <w:rPr>
          <w:rFonts w:ascii="Times New Roman" w:eastAsia="Times New Roman" w:hAnsi="Times New Roman" w:cs="Times New Roman"/>
          <w:b/>
          <w:bCs/>
          <w:smallCaps/>
          <w:kern w:val="0"/>
          <w:lang w:eastAsia="pl-PL" w:bidi="ar-SA"/>
        </w:rPr>
        <w:t>– zmiany w ustawie o zasadach zarządzania mieniem państwowym</w:t>
      </w:r>
    </w:p>
    <w:p w14:paraId="481B096C" w14:textId="4D2F3E3F" w:rsidR="005744C9" w:rsidRPr="00667967" w:rsidRDefault="005744C9" w:rsidP="00595221">
      <w:pPr>
        <w:widowControl/>
        <w:spacing w:before="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W konsekwencji zmian wprowadzonych w art. 9 ustawy zmiany wymagają odpowiednie przepisy dotyczące Funduszu Inwestycji Kapitałowych, o którym mowa w art. 33a ust. 1 ustawy z dnia 16 grudnia 2016 r. o zasadach zarządzania mieniem państwowym (Dz. U. z 2024 r. poz.</w:t>
      </w:r>
      <w:r w:rsidR="00D029CA">
        <w:rPr>
          <w:rFonts w:ascii="Times New Roman" w:eastAsia="Times New Roman" w:hAnsi="Times New Roman" w:cs="Times New Roman"/>
          <w:kern w:val="0"/>
          <w:lang w:eastAsia="pl-PL" w:bidi="ar-SA"/>
        </w:rPr>
        <w:t> </w:t>
      </w:r>
      <w:r w:rsidRPr="00667967">
        <w:rPr>
          <w:rFonts w:ascii="Times New Roman" w:eastAsia="Times New Roman" w:hAnsi="Times New Roman" w:cs="Times New Roman"/>
          <w:kern w:val="0"/>
          <w:lang w:eastAsia="pl-PL" w:bidi="ar-SA"/>
        </w:rPr>
        <w:t>125 i 834), zwanym dalej „FIK”.</w:t>
      </w:r>
    </w:p>
    <w:p w14:paraId="2B650C02" w14:textId="2873CDE1" w:rsidR="005744C9" w:rsidRPr="00667967" w:rsidRDefault="005744C9" w:rsidP="00595221">
      <w:pPr>
        <w:widowControl/>
        <w:spacing w:before="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 xml:space="preserve">Katalog prawnie dopuszczalnych celów finansowania środkami z FIK </w:t>
      </w:r>
      <w:r w:rsidR="0078418C" w:rsidRPr="00667967">
        <w:rPr>
          <w:rFonts w:ascii="Times New Roman" w:eastAsia="Times New Roman" w:hAnsi="Times New Roman" w:cs="Times New Roman"/>
          <w:kern w:val="0"/>
          <w:lang w:eastAsia="pl-PL" w:bidi="ar-SA"/>
        </w:rPr>
        <w:t xml:space="preserve">został </w:t>
      </w:r>
      <w:r w:rsidRPr="00667967">
        <w:rPr>
          <w:rFonts w:ascii="Times New Roman" w:eastAsia="Times New Roman" w:hAnsi="Times New Roman" w:cs="Times New Roman"/>
          <w:kern w:val="0"/>
          <w:lang w:eastAsia="pl-PL" w:bidi="ar-SA"/>
        </w:rPr>
        <w:t>określony w art.</w:t>
      </w:r>
      <w:r w:rsidR="00D029CA">
        <w:rPr>
          <w:rFonts w:ascii="Times New Roman" w:eastAsia="Times New Roman" w:hAnsi="Times New Roman" w:cs="Times New Roman"/>
          <w:kern w:val="0"/>
          <w:lang w:eastAsia="pl-PL" w:bidi="ar-SA"/>
        </w:rPr>
        <w:t> </w:t>
      </w:r>
      <w:r w:rsidRPr="00667967">
        <w:rPr>
          <w:rFonts w:ascii="Times New Roman" w:eastAsia="Times New Roman" w:hAnsi="Times New Roman" w:cs="Times New Roman"/>
          <w:kern w:val="0"/>
          <w:lang w:eastAsia="pl-PL" w:bidi="ar-SA"/>
        </w:rPr>
        <w:t>33c ust. 1 ustawy o zasadach zarządzania mieniem państwowym i nie przewiduje on celu opisanego w proponowanym art. 14lzh o zasadach prowadzenia polityki rozwoju. Z tego samego względu zmiany wymaga art. 33b w ust. 1 ustawy o zasadach zarządzania mieniem państwowym, który określa źródła przychodów FIK.</w:t>
      </w:r>
    </w:p>
    <w:p w14:paraId="5FA4D96B" w14:textId="4D114FD3" w:rsidR="00574231" w:rsidRPr="00667967" w:rsidRDefault="005744C9" w:rsidP="00595221">
      <w:pPr>
        <w:widowControl/>
        <w:spacing w:before="240" w:line="360" w:lineRule="auto"/>
        <w:jc w:val="both"/>
        <w:rPr>
          <w:rFonts w:ascii="Times New Roman" w:eastAsia="Times New Roman" w:hAnsi="Times New Roman" w:cs="Times New Roman"/>
          <w:b/>
          <w:bCs/>
          <w:smallCaps/>
          <w:kern w:val="0"/>
          <w:lang w:eastAsia="pl-PL" w:bidi="ar-SA"/>
        </w:rPr>
      </w:pPr>
      <w:r w:rsidRPr="00667967">
        <w:rPr>
          <w:rFonts w:ascii="Times New Roman" w:eastAsia="Times New Roman" w:hAnsi="Times New Roman" w:cs="Times New Roman"/>
          <w:b/>
          <w:bCs/>
          <w:smallCaps/>
          <w:kern w:val="0"/>
          <w:lang w:eastAsia="pl-PL" w:bidi="ar-SA"/>
        </w:rPr>
        <w:t xml:space="preserve">art. 14 </w:t>
      </w:r>
      <w:r w:rsidR="00574231" w:rsidRPr="00667967">
        <w:rPr>
          <w:rFonts w:ascii="Times New Roman" w:eastAsia="Times New Roman" w:hAnsi="Times New Roman" w:cs="Times New Roman"/>
          <w:b/>
          <w:bCs/>
          <w:smallCaps/>
          <w:kern w:val="0"/>
          <w:lang w:eastAsia="pl-PL" w:bidi="ar-SA"/>
        </w:rPr>
        <w:t>– zmiany w ustawie o związku metropolitalnym</w:t>
      </w:r>
    </w:p>
    <w:p w14:paraId="3D7B188B" w14:textId="6C467C94" w:rsidR="0028304D" w:rsidRPr="00667967" w:rsidRDefault="0028304D" w:rsidP="00595221">
      <w:pPr>
        <w:widowControl/>
        <w:suppressAutoHyphens w:val="0"/>
        <w:spacing w:before="120" w:after="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Zgodnie z art. 10e ust. 2 ustawy o samorządzie gminnym gminy przygotowują strategię rozwoju, która jest spójna ze strategią rozwoju województwa oraz strategią rozwoju ponadlokalnego, obejmującą tę gminę.</w:t>
      </w:r>
      <w:r w:rsidR="005477EF" w:rsidRPr="00667967">
        <w:rPr>
          <w:rFonts w:ascii="Times New Roman" w:eastAsia="Times New Roman" w:hAnsi="Times New Roman" w:cs="Times New Roman"/>
          <w:kern w:val="0"/>
          <w:lang w:eastAsia="pl-PL" w:bidi="ar-SA"/>
        </w:rPr>
        <w:t xml:space="preserve"> Z</w:t>
      </w:r>
      <w:r w:rsidRPr="00667967">
        <w:rPr>
          <w:rFonts w:ascii="Times New Roman" w:eastAsia="Times New Roman" w:hAnsi="Times New Roman" w:cs="Times New Roman"/>
          <w:kern w:val="0"/>
          <w:lang w:eastAsia="pl-PL" w:bidi="ar-SA"/>
        </w:rPr>
        <w:t>godnie z art. 12a ust. 1 i 2 ustawy o związku metropolitalnym związek metropolitalny opracowuje strategię rozwoju związku.</w:t>
      </w:r>
      <w:r w:rsidR="005477EF" w:rsidRPr="00667967">
        <w:rPr>
          <w:rFonts w:ascii="Times New Roman" w:eastAsia="Times New Roman" w:hAnsi="Times New Roman" w:cs="Times New Roman"/>
          <w:kern w:val="0"/>
          <w:lang w:eastAsia="pl-PL" w:bidi="ar-SA"/>
        </w:rPr>
        <w:t xml:space="preserve"> </w:t>
      </w:r>
      <w:r w:rsidRPr="00667967">
        <w:rPr>
          <w:rFonts w:ascii="Times New Roman" w:eastAsia="Times New Roman" w:hAnsi="Times New Roman" w:cs="Times New Roman"/>
          <w:kern w:val="0"/>
          <w:lang w:eastAsia="pl-PL" w:bidi="ar-SA"/>
        </w:rPr>
        <w:t xml:space="preserve">Do strategii </w:t>
      </w:r>
      <w:r w:rsidRPr="00667967">
        <w:rPr>
          <w:rFonts w:ascii="Times New Roman" w:eastAsia="Times New Roman" w:hAnsi="Times New Roman" w:cs="Times New Roman"/>
          <w:kern w:val="0"/>
          <w:lang w:eastAsia="pl-PL" w:bidi="ar-SA"/>
        </w:rPr>
        <w:lastRenderedPageBreak/>
        <w:t>rozwoju związku metropolitalnego stosuje się odpowiednio przepisy art. 10e ust. 2–4 ustawy o samorządzie gminnym</w:t>
      </w:r>
      <w:r w:rsidR="005477EF" w:rsidRPr="00667967">
        <w:rPr>
          <w:rFonts w:ascii="Times New Roman" w:eastAsia="Times New Roman" w:hAnsi="Times New Roman" w:cs="Times New Roman"/>
          <w:kern w:val="0"/>
          <w:lang w:eastAsia="pl-PL" w:bidi="ar-SA"/>
        </w:rPr>
        <w:t xml:space="preserve">. </w:t>
      </w:r>
      <w:r w:rsidRPr="00667967">
        <w:rPr>
          <w:rFonts w:ascii="Times New Roman" w:eastAsia="Times New Roman" w:hAnsi="Times New Roman" w:cs="Times New Roman"/>
          <w:kern w:val="0"/>
          <w:lang w:eastAsia="pl-PL" w:bidi="ar-SA"/>
        </w:rPr>
        <w:t xml:space="preserve">Ponadto w myśl art. 12a ust. 6 </w:t>
      </w:r>
      <w:r w:rsidR="005477EF" w:rsidRPr="00667967">
        <w:rPr>
          <w:rFonts w:ascii="Times New Roman" w:eastAsia="Times New Roman" w:hAnsi="Times New Roman" w:cs="Times New Roman"/>
          <w:kern w:val="0"/>
          <w:lang w:eastAsia="pl-PL" w:bidi="ar-SA"/>
        </w:rPr>
        <w:t>ustawy o związku metropolitalnym</w:t>
      </w:r>
      <w:r w:rsidRPr="00667967">
        <w:rPr>
          <w:rFonts w:ascii="Times New Roman" w:eastAsia="Times New Roman" w:hAnsi="Times New Roman" w:cs="Times New Roman"/>
          <w:kern w:val="0"/>
          <w:lang w:eastAsia="pl-PL" w:bidi="ar-SA"/>
        </w:rPr>
        <w:t xml:space="preserve"> strategia rozwoju związku metropolitalnego jest przyjmowana przez zgromadzenie związku metropolitalnego, w drodze uchwały, jako strategia rozwoju ponadlokalnego, o której mowa w art. 10g ust. 1 ustawy z dnia 8</w:t>
      </w:r>
      <w:r w:rsidR="006240AF" w:rsidRPr="00667967">
        <w:rPr>
          <w:rFonts w:ascii="Times New Roman" w:eastAsia="Times New Roman" w:hAnsi="Times New Roman" w:cs="Times New Roman"/>
          <w:kern w:val="0"/>
          <w:lang w:eastAsia="pl-PL" w:bidi="ar-SA"/>
        </w:rPr>
        <w:t> </w:t>
      </w:r>
      <w:r w:rsidRPr="00667967">
        <w:rPr>
          <w:rFonts w:ascii="Times New Roman" w:eastAsia="Times New Roman" w:hAnsi="Times New Roman" w:cs="Times New Roman"/>
          <w:kern w:val="0"/>
          <w:lang w:eastAsia="pl-PL" w:bidi="ar-SA"/>
        </w:rPr>
        <w:t>marca 1990 r. o samorządzie gminnym.</w:t>
      </w:r>
    </w:p>
    <w:p w14:paraId="04260751" w14:textId="7DAE0627" w:rsidR="0028304D" w:rsidRPr="00667967" w:rsidRDefault="0028304D" w:rsidP="00595221">
      <w:pPr>
        <w:widowControl/>
        <w:suppressAutoHyphens w:val="0"/>
        <w:spacing w:before="120" w:after="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Zgodnie z projektowanymi zmianami (art. 2</w:t>
      </w:r>
      <w:r w:rsidR="0021397E" w:rsidRPr="00667967">
        <w:rPr>
          <w:rFonts w:ascii="Times New Roman" w:eastAsia="Times New Roman" w:hAnsi="Times New Roman" w:cs="Times New Roman"/>
          <w:kern w:val="0"/>
          <w:lang w:eastAsia="pl-PL" w:bidi="ar-SA"/>
        </w:rPr>
        <w:t xml:space="preserve">) </w:t>
      </w:r>
      <w:r w:rsidRPr="00667967">
        <w:rPr>
          <w:rFonts w:ascii="Times New Roman" w:eastAsia="Times New Roman" w:hAnsi="Times New Roman" w:cs="Times New Roman"/>
          <w:kern w:val="0"/>
          <w:lang w:eastAsia="pl-PL" w:bidi="ar-SA"/>
        </w:rPr>
        <w:t>strategia rozwoju</w:t>
      </w:r>
      <w:r w:rsidR="0021397E" w:rsidRPr="00667967">
        <w:rPr>
          <w:rFonts w:ascii="Times New Roman" w:eastAsia="Times New Roman" w:hAnsi="Times New Roman" w:cs="Times New Roman"/>
          <w:kern w:val="0"/>
          <w:lang w:eastAsia="pl-PL" w:bidi="ar-SA"/>
        </w:rPr>
        <w:t xml:space="preserve"> gminy</w:t>
      </w:r>
      <w:r w:rsidR="00A475BB">
        <w:rPr>
          <w:rFonts w:ascii="Times New Roman" w:eastAsia="Times New Roman" w:hAnsi="Times New Roman" w:cs="Times New Roman"/>
          <w:kern w:val="0"/>
          <w:lang w:eastAsia="pl-PL" w:bidi="ar-SA"/>
        </w:rPr>
        <w:t xml:space="preserve"> i strategia rozwoju</w:t>
      </w:r>
      <w:r w:rsidR="0021397E" w:rsidRPr="00667967">
        <w:rPr>
          <w:rFonts w:ascii="Times New Roman" w:eastAsia="Times New Roman" w:hAnsi="Times New Roman" w:cs="Times New Roman"/>
          <w:kern w:val="0"/>
          <w:lang w:eastAsia="pl-PL" w:bidi="ar-SA"/>
        </w:rPr>
        <w:t xml:space="preserve"> ponadlokalnego</w:t>
      </w:r>
      <w:r w:rsidRPr="00667967">
        <w:rPr>
          <w:rFonts w:ascii="Times New Roman" w:eastAsia="Times New Roman" w:hAnsi="Times New Roman" w:cs="Times New Roman"/>
          <w:kern w:val="0"/>
          <w:lang w:eastAsia="pl-PL" w:bidi="ar-SA"/>
        </w:rPr>
        <w:t xml:space="preserve"> będzie określać cele strategiczne rozwoju w wymiarze społecznym, gospodarczym, przestrzennym i klimatyczno-środowiskowym. Zgodnie z </w:t>
      </w:r>
      <w:r w:rsidR="0021397E" w:rsidRPr="00667967">
        <w:rPr>
          <w:rFonts w:ascii="Times New Roman" w:eastAsia="Times New Roman" w:hAnsi="Times New Roman" w:cs="Times New Roman"/>
          <w:kern w:val="0"/>
          <w:lang w:eastAsia="pl-PL" w:bidi="ar-SA"/>
        </w:rPr>
        <w:t>art. 8 p</w:t>
      </w:r>
      <w:r w:rsidRPr="00667967">
        <w:rPr>
          <w:rFonts w:ascii="Times New Roman" w:eastAsia="Times New Roman" w:hAnsi="Times New Roman" w:cs="Times New Roman"/>
          <w:kern w:val="0"/>
          <w:lang w:eastAsia="pl-PL" w:bidi="ar-SA"/>
        </w:rPr>
        <w:t>odmiot opracowujący projekt strategii rozwoju, projekt polityki publicznej, projekt programu rozwoju lub projekt programu służącego realizacji umowy partnerstwa przygotowuje diagnozę sytuacji społecznej, gospodarczej, przestrzennej i klimatyczno</w:t>
      </w:r>
      <w:r w:rsidR="0021397E" w:rsidRPr="00667967">
        <w:rPr>
          <w:rFonts w:ascii="Times New Roman" w:eastAsia="Times New Roman" w:hAnsi="Times New Roman" w:cs="Times New Roman"/>
          <w:kern w:val="0"/>
          <w:lang w:eastAsia="pl-PL" w:bidi="ar-SA"/>
        </w:rPr>
        <w:t>-</w:t>
      </w:r>
      <w:r w:rsidRPr="00667967">
        <w:rPr>
          <w:rFonts w:ascii="Times New Roman" w:eastAsia="Times New Roman" w:hAnsi="Times New Roman" w:cs="Times New Roman"/>
          <w:kern w:val="0"/>
          <w:lang w:eastAsia="pl-PL" w:bidi="ar-SA"/>
        </w:rPr>
        <w:t>środowiskowej z uwzględnieniem obszarów funkcjonalnych, w tym miejskich obszarów funkcjonalnych.</w:t>
      </w:r>
    </w:p>
    <w:p w14:paraId="2EEEC463" w14:textId="779D97A4" w:rsidR="0028304D" w:rsidRPr="00667967" w:rsidRDefault="0028304D" w:rsidP="00595221">
      <w:pPr>
        <w:widowControl/>
        <w:suppressAutoHyphens w:val="0"/>
        <w:spacing w:before="120" w:after="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 xml:space="preserve">Jednocześnie zgodnie z art. 10e ust. 2 </w:t>
      </w:r>
      <w:r w:rsidR="00DB15B6" w:rsidRPr="00667967">
        <w:rPr>
          <w:rFonts w:ascii="Times New Roman" w:eastAsia="Times New Roman" w:hAnsi="Times New Roman" w:cs="Times New Roman"/>
          <w:kern w:val="0"/>
          <w:lang w:eastAsia="pl-PL" w:bidi="ar-SA"/>
        </w:rPr>
        <w:t>ustawy o samorządzie gminnym</w:t>
      </w:r>
      <w:r w:rsidRPr="00667967">
        <w:rPr>
          <w:rFonts w:ascii="Times New Roman" w:eastAsia="Times New Roman" w:hAnsi="Times New Roman" w:cs="Times New Roman"/>
          <w:kern w:val="0"/>
          <w:lang w:eastAsia="pl-PL" w:bidi="ar-SA"/>
        </w:rPr>
        <w:t xml:space="preserve"> gminy przygotowują strategię rozwoju, która jest spójna ze strategią rozwoju województwa oraz strategią rozwoju ponadlokalnego, obejmującą tę gminę.</w:t>
      </w:r>
      <w:r w:rsidR="00DB15B6" w:rsidRPr="00667967">
        <w:rPr>
          <w:rFonts w:ascii="Times New Roman" w:eastAsia="Times New Roman" w:hAnsi="Times New Roman" w:cs="Times New Roman"/>
          <w:kern w:val="0"/>
          <w:lang w:eastAsia="pl-PL" w:bidi="ar-SA"/>
        </w:rPr>
        <w:t xml:space="preserve"> </w:t>
      </w:r>
      <w:r w:rsidRPr="00667967">
        <w:rPr>
          <w:rFonts w:ascii="Times New Roman" w:eastAsia="Times New Roman" w:hAnsi="Times New Roman" w:cs="Times New Roman"/>
          <w:kern w:val="0"/>
          <w:lang w:eastAsia="pl-PL" w:bidi="ar-SA"/>
        </w:rPr>
        <w:t>Taką strategią rozwoju ponadlokalnego jak wskazano powyżej jest strategia rozwoju związku metropolitalnego.</w:t>
      </w:r>
    </w:p>
    <w:p w14:paraId="18F0DA5E" w14:textId="5F7BB79A" w:rsidR="0028304D" w:rsidRPr="00667967" w:rsidRDefault="004D21EC" w:rsidP="00595221">
      <w:pPr>
        <w:widowControl/>
        <w:suppressAutoHyphens w:val="0"/>
        <w:spacing w:before="120" w:after="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Ponieważ</w:t>
      </w:r>
      <w:r w:rsidR="0028304D" w:rsidRPr="00667967">
        <w:rPr>
          <w:rFonts w:ascii="Times New Roman" w:eastAsia="Times New Roman" w:hAnsi="Times New Roman" w:cs="Times New Roman"/>
          <w:kern w:val="0"/>
          <w:lang w:eastAsia="pl-PL" w:bidi="ar-SA"/>
        </w:rPr>
        <w:t xml:space="preserve"> związek metropolitalny ma opracowywać strategię rozwoju związku i określać w</w:t>
      </w:r>
      <w:r w:rsidR="00D029CA">
        <w:rPr>
          <w:rFonts w:ascii="Times New Roman" w:eastAsia="Times New Roman" w:hAnsi="Times New Roman" w:cs="Times New Roman"/>
          <w:kern w:val="0"/>
          <w:lang w:eastAsia="pl-PL" w:bidi="ar-SA"/>
        </w:rPr>
        <w:t> </w:t>
      </w:r>
      <w:r w:rsidR="0028304D" w:rsidRPr="00667967">
        <w:rPr>
          <w:rFonts w:ascii="Times New Roman" w:eastAsia="Times New Roman" w:hAnsi="Times New Roman" w:cs="Times New Roman"/>
          <w:kern w:val="0"/>
          <w:lang w:eastAsia="pl-PL" w:bidi="ar-SA"/>
        </w:rPr>
        <w:t>niej</w:t>
      </w:r>
      <w:r w:rsidR="00D029CA">
        <w:rPr>
          <w:rFonts w:ascii="Times New Roman" w:eastAsia="Times New Roman" w:hAnsi="Times New Roman" w:cs="Times New Roman"/>
          <w:kern w:val="0"/>
          <w:lang w:eastAsia="pl-PL" w:bidi="ar-SA"/>
        </w:rPr>
        <w:t> </w:t>
      </w:r>
      <w:r w:rsidR="0028304D" w:rsidRPr="00667967">
        <w:rPr>
          <w:rFonts w:ascii="Times New Roman" w:eastAsia="Times New Roman" w:hAnsi="Times New Roman" w:cs="Times New Roman"/>
          <w:kern w:val="0"/>
          <w:lang w:eastAsia="pl-PL" w:bidi="ar-SA"/>
        </w:rPr>
        <w:t>cele strategiczne w wymiarze klimatyczno</w:t>
      </w:r>
      <w:r w:rsidRPr="00667967">
        <w:rPr>
          <w:rFonts w:ascii="Times New Roman" w:eastAsia="Times New Roman" w:hAnsi="Times New Roman" w:cs="Times New Roman"/>
          <w:kern w:val="0"/>
          <w:lang w:eastAsia="pl-PL" w:bidi="ar-SA"/>
        </w:rPr>
        <w:t>-</w:t>
      </w:r>
      <w:r w:rsidR="0028304D" w:rsidRPr="00667967">
        <w:rPr>
          <w:rFonts w:ascii="Times New Roman" w:eastAsia="Times New Roman" w:hAnsi="Times New Roman" w:cs="Times New Roman"/>
          <w:kern w:val="0"/>
          <w:lang w:eastAsia="pl-PL" w:bidi="ar-SA"/>
        </w:rPr>
        <w:t>środowiskowym, a gminy członkowskie mają zachować spójność swojej strategii ze strategią związku również w wymiarze klimatyczno</w:t>
      </w:r>
      <w:r w:rsidRPr="00667967">
        <w:rPr>
          <w:rFonts w:ascii="Times New Roman" w:eastAsia="Times New Roman" w:hAnsi="Times New Roman" w:cs="Times New Roman"/>
          <w:kern w:val="0"/>
          <w:lang w:eastAsia="pl-PL" w:bidi="ar-SA"/>
        </w:rPr>
        <w:t>-</w:t>
      </w:r>
      <w:r w:rsidR="0028304D" w:rsidRPr="00667967">
        <w:rPr>
          <w:rFonts w:ascii="Times New Roman" w:eastAsia="Times New Roman" w:hAnsi="Times New Roman" w:cs="Times New Roman"/>
          <w:kern w:val="0"/>
          <w:lang w:eastAsia="pl-PL" w:bidi="ar-SA"/>
        </w:rPr>
        <w:t>środowiskowym</w:t>
      </w:r>
      <w:r w:rsidRPr="00667967">
        <w:rPr>
          <w:rFonts w:ascii="Times New Roman" w:eastAsia="Times New Roman" w:hAnsi="Times New Roman" w:cs="Times New Roman"/>
          <w:kern w:val="0"/>
          <w:lang w:eastAsia="pl-PL" w:bidi="ar-SA"/>
        </w:rPr>
        <w:t>, z</w:t>
      </w:r>
      <w:r w:rsidR="0028304D" w:rsidRPr="00667967">
        <w:rPr>
          <w:rFonts w:ascii="Times New Roman" w:eastAsia="Times New Roman" w:hAnsi="Times New Roman" w:cs="Times New Roman"/>
          <w:kern w:val="0"/>
          <w:lang w:eastAsia="pl-PL" w:bidi="ar-SA"/>
        </w:rPr>
        <w:t>asadn</w:t>
      </w:r>
      <w:r w:rsidR="0078418C" w:rsidRPr="00667967">
        <w:rPr>
          <w:rFonts w:ascii="Times New Roman" w:eastAsia="Times New Roman" w:hAnsi="Times New Roman" w:cs="Times New Roman"/>
          <w:kern w:val="0"/>
          <w:lang w:eastAsia="pl-PL" w:bidi="ar-SA"/>
        </w:rPr>
        <w:t>e</w:t>
      </w:r>
      <w:r w:rsidR="0028304D" w:rsidRPr="00667967">
        <w:rPr>
          <w:rFonts w:ascii="Times New Roman" w:eastAsia="Times New Roman" w:hAnsi="Times New Roman" w:cs="Times New Roman"/>
          <w:kern w:val="0"/>
          <w:lang w:eastAsia="pl-PL" w:bidi="ar-SA"/>
        </w:rPr>
        <w:t xml:space="preserve"> jest wskazanie wprost w art. 12 ust. 1 u</w:t>
      </w:r>
      <w:r w:rsidRPr="00667967">
        <w:rPr>
          <w:rFonts w:ascii="Times New Roman" w:eastAsia="Times New Roman" w:hAnsi="Times New Roman" w:cs="Times New Roman"/>
          <w:kern w:val="0"/>
          <w:lang w:eastAsia="pl-PL" w:bidi="ar-SA"/>
        </w:rPr>
        <w:t xml:space="preserve">stawy </w:t>
      </w:r>
      <w:r w:rsidR="0028304D" w:rsidRPr="00667967">
        <w:rPr>
          <w:rFonts w:ascii="Times New Roman" w:eastAsia="Times New Roman" w:hAnsi="Times New Roman" w:cs="Times New Roman"/>
          <w:kern w:val="0"/>
          <w:lang w:eastAsia="pl-PL" w:bidi="ar-SA"/>
        </w:rPr>
        <w:t>zadania polegające na prowadzeniu działań na rzecz ochrony klimatu oraz adaptacji do zmian klimatu.</w:t>
      </w:r>
    </w:p>
    <w:p w14:paraId="6AF5F7CD" w14:textId="38519444" w:rsidR="0028304D" w:rsidRPr="00667967" w:rsidRDefault="0028304D" w:rsidP="00595221">
      <w:pPr>
        <w:widowControl/>
        <w:suppressAutoHyphens w:val="0"/>
        <w:spacing w:before="120" w:after="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Jednocześnie należy uspójnić wymagania</w:t>
      </w:r>
      <w:r w:rsidR="00752D71" w:rsidRPr="00667967">
        <w:rPr>
          <w:rFonts w:ascii="Times New Roman" w:eastAsia="Times New Roman" w:hAnsi="Times New Roman" w:cs="Times New Roman"/>
          <w:kern w:val="0"/>
          <w:lang w:eastAsia="pl-PL" w:bidi="ar-SA"/>
        </w:rPr>
        <w:t>,</w:t>
      </w:r>
      <w:r w:rsidRPr="00667967">
        <w:rPr>
          <w:rFonts w:ascii="Times New Roman" w:eastAsia="Times New Roman" w:hAnsi="Times New Roman" w:cs="Times New Roman"/>
          <w:kern w:val="0"/>
          <w:lang w:eastAsia="pl-PL" w:bidi="ar-SA"/>
        </w:rPr>
        <w:t xml:space="preserve"> kiedy strategia rozwoju związku metropolitalnego wymagać będzie aktualizacji, podobnie jak ma to miejsce w przypadku pozostałych strategii.</w:t>
      </w:r>
    </w:p>
    <w:p w14:paraId="612518B4" w14:textId="53B99BDB" w:rsidR="006769B9" w:rsidRPr="00667967" w:rsidRDefault="0028304D" w:rsidP="00595221">
      <w:pPr>
        <w:widowControl/>
        <w:suppressAutoHyphens w:val="0"/>
        <w:spacing w:before="120" w:after="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Powyższa propozycja pozwoli na zachowanie spójności już uchwalonych przepisów oraz projektowanych zmian ustawowych dotyczących konieczności podejmowania działań na rzecz klimatu. W innym przypadku mogą pojawiać się wątpliwości interpretacyjne.</w:t>
      </w:r>
      <w:r w:rsidR="007F2B92" w:rsidRPr="00667967">
        <w:rPr>
          <w:rFonts w:ascii="Times New Roman" w:eastAsia="Times New Roman" w:hAnsi="Times New Roman" w:cs="Times New Roman"/>
          <w:kern w:val="0"/>
          <w:lang w:eastAsia="pl-PL" w:bidi="ar-SA"/>
        </w:rPr>
        <w:t xml:space="preserve"> Wymagane są przepisy przejściowe – </w:t>
      </w:r>
      <w:r w:rsidR="00E94251" w:rsidRPr="00667967">
        <w:rPr>
          <w:rFonts w:ascii="Times New Roman" w:eastAsia="Times New Roman" w:hAnsi="Times New Roman" w:cs="Times New Roman"/>
          <w:kern w:val="0"/>
          <w:lang w:eastAsia="pl-PL" w:bidi="ar-SA"/>
        </w:rPr>
        <w:t xml:space="preserve">vide </w:t>
      </w:r>
      <w:r w:rsidR="007F2B92" w:rsidRPr="00667967">
        <w:rPr>
          <w:rFonts w:ascii="Times New Roman" w:eastAsia="Times New Roman" w:hAnsi="Times New Roman" w:cs="Times New Roman"/>
          <w:kern w:val="0"/>
          <w:lang w:eastAsia="pl-PL" w:bidi="ar-SA"/>
        </w:rPr>
        <w:t>art. 2</w:t>
      </w:r>
      <w:r w:rsidR="005744C9" w:rsidRPr="00667967">
        <w:rPr>
          <w:rFonts w:ascii="Times New Roman" w:eastAsia="Times New Roman" w:hAnsi="Times New Roman" w:cs="Times New Roman"/>
          <w:kern w:val="0"/>
          <w:lang w:eastAsia="pl-PL" w:bidi="ar-SA"/>
        </w:rPr>
        <w:t>8 ust. 2</w:t>
      </w:r>
      <w:r w:rsidR="007F2B92" w:rsidRPr="00667967">
        <w:rPr>
          <w:rFonts w:ascii="Times New Roman" w:eastAsia="Times New Roman" w:hAnsi="Times New Roman" w:cs="Times New Roman"/>
          <w:kern w:val="0"/>
          <w:lang w:eastAsia="pl-PL" w:bidi="ar-SA"/>
        </w:rPr>
        <w:t>.</w:t>
      </w:r>
    </w:p>
    <w:p w14:paraId="1B763BA5" w14:textId="7B4E2528" w:rsidR="009715BA" w:rsidRPr="00667967" w:rsidRDefault="00574231" w:rsidP="00595221">
      <w:pPr>
        <w:widowControl/>
        <w:spacing w:before="240" w:after="120" w:line="360" w:lineRule="auto"/>
        <w:jc w:val="both"/>
        <w:rPr>
          <w:rFonts w:ascii="Times New Roman" w:eastAsia="Times New Roman" w:hAnsi="Times New Roman" w:cs="Times New Roman"/>
          <w:b/>
          <w:smallCaps/>
          <w:kern w:val="28"/>
        </w:rPr>
      </w:pPr>
      <w:r w:rsidRPr="00667967">
        <w:rPr>
          <w:rFonts w:ascii="Times New Roman" w:eastAsia="Times New Roman" w:hAnsi="Times New Roman" w:cs="Times New Roman"/>
          <w:b/>
          <w:bCs/>
          <w:smallCaps/>
          <w:kern w:val="0"/>
          <w:lang w:eastAsia="pl-PL" w:bidi="ar-SA"/>
        </w:rPr>
        <w:t>art. 1</w:t>
      </w:r>
      <w:r w:rsidR="005744C9" w:rsidRPr="00667967">
        <w:rPr>
          <w:rFonts w:ascii="Times New Roman" w:eastAsia="Times New Roman" w:hAnsi="Times New Roman" w:cs="Times New Roman"/>
          <w:b/>
          <w:bCs/>
          <w:smallCaps/>
          <w:kern w:val="0"/>
          <w:lang w:eastAsia="pl-PL" w:bidi="ar-SA"/>
        </w:rPr>
        <w:t>5</w:t>
      </w:r>
      <w:r w:rsidR="004D1D52" w:rsidRPr="00667967">
        <w:rPr>
          <w:rFonts w:ascii="Times New Roman" w:eastAsia="Times New Roman" w:hAnsi="Times New Roman" w:cs="Times New Roman"/>
          <w:b/>
          <w:bCs/>
          <w:smallCaps/>
          <w:kern w:val="0"/>
          <w:lang w:eastAsia="pl-PL" w:bidi="ar-SA"/>
        </w:rPr>
        <w:t>–</w:t>
      </w:r>
      <w:r w:rsidRPr="00667967">
        <w:rPr>
          <w:rFonts w:ascii="Times New Roman" w:eastAsia="Times New Roman" w:hAnsi="Times New Roman" w:cs="Times New Roman"/>
          <w:b/>
          <w:bCs/>
          <w:smallCaps/>
          <w:kern w:val="0"/>
          <w:lang w:eastAsia="pl-PL" w:bidi="ar-SA"/>
        </w:rPr>
        <w:t>3</w:t>
      </w:r>
      <w:r w:rsidR="005744C9" w:rsidRPr="00667967">
        <w:rPr>
          <w:rFonts w:ascii="Times New Roman" w:eastAsia="Times New Roman" w:hAnsi="Times New Roman" w:cs="Times New Roman"/>
          <w:b/>
          <w:bCs/>
          <w:smallCaps/>
          <w:kern w:val="0"/>
          <w:lang w:eastAsia="pl-PL" w:bidi="ar-SA"/>
        </w:rPr>
        <w:t>2</w:t>
      </w:r>
      <w:r w:rsidR="00A026C8" w:rsidRPr="00667967">
        <w:rPr>
          <w:rFonts w:ascii="Times New Roman" w:eastAsia="Times New Roman" w:hAnsi="Times New Roman" w:cs="Times New Roman"/>
          <w:b/>
          <w:smallCaps/>
          <w:kern w:val="28"/>
        </w:rPr>
        <w:t xml:space="preserve"> </w:t>
      </w:r>
      <w:r w:rsidR="009715BA" w:rsidRPr="00667967">
        <w:rPr>
          <w:rFonts w:ascii="Times New Roman" w:eastAsia="Times New Roman" w:hAnsi="Times New Roman" w:cs="Times New Roman"/>
          <w:b/>
          <w:smallCaps/>
          <w:kern w:val="28"/>
        </w:rPr>
        <w:t>– przepisy przejściowe</w:t>
      </w:r>
    </w:p>
    <w:p w14:paraId="51650AA5" w14:textId="03F453F6" w:rsidR="00EF2364" w:rsidRPr="00667967" w:rsidRDefault="009715BA" w:rsidP="00595221">
      <w:pPr>
        <w:widowControl/>
        <w:spacing w:before="120" w:after="120" w:line="360" w:lineRule="auto"/>
        <w:jc w:val="both"/>
        <w:rPr>
          <w:rFonts w:ascii="Times New Roman" w:hAnsi="Times New Roman" w:cs="Times New Roman"/>
          <w:kern w:val="0"/>
          <w:lang w:eastAsia="en-US" w:bidi="ar-SA"/>
        </w:rPr>
      </w:pPr>
      <w:r w:rsidRPr="00667967">
        <w:rPr>
          <w:rFonts w:ascii="Times New Roman" w:hAnsi="Times New Roman" w:cs="Times New Roman"/>
        </w:rPr>
        <w:t>W projekcie ustawy przewidziano przepisy przejściowe regulujące kwestie intertemporalne związane z wejściem w życie ustawy.</w:t>
      </w:r>
    </w:p>
    <w:p w14:paraId="508DBDCA" w14:textId="68438835" w:rsidR="00C32C43" w:rsidRPr="00667967" w:rsidRDefault="00C32C43" w:rsidP="00595221">
      <w:pPr>
        <w:keepNext/>
        <w:widowControl/>
        <w:suppressAutoHyphens w:val="0"/>
        <w:spacing w:before="120" w:after="120" w:line="360" w:lineRule="auto"/>
        <w:jc w:val="both"/>
        <w:rPr>
          <w:rFonts w:ascii="Times New Roman" w:hAnsi="Times New Roman" w:cs="Times New Roman"/>
          <w:b/>
          <w:kern w:val="0"/>
          <w:lang w:eastAsia="en-US" w:bidi="ar-SA"/>
        </w:rPr>
      </w:pPr>
      <w:r w:rsidRPr="00667967">
        <w:rPr>
          <w:rFonts w:ascii="Times New Roman" w:hAnsi="Times New Roman" w:cs="Times New Roman"/>
          <w:b/>
          <w:kern w:val="0"/>
          <w:lang w:eastAsia="en-US" w:bidi="ar-SA"/>
        </w:rPr>
        <w:lastRenderedPageBreak/>
        <w:t xml:space="preserve">Art. </w:t>
      </w:r>
      <w:r w:rsidR="00340D61" w:rsidRPr="00667967">
        <w:rPr>
          <w:rFonts w:ascii="Times New Roman" w:hAnsi="Times New Roman" w:cs="Times New Roman"/>
          <w:b/>
          <w:kern w:val="0"/>
          <w:lang w:eastAsia="en-US" w:bidi="ar-SA"/>
        </w:rPr>
        <w:t>1</w:t>
      </w:r>
      <w:r w:rsidR="005744C9" w:rsidRPr="00667967">
        <w:rPr>
          <w:rFonts w:ascii="Times New Roman" w:hAnsi="Times New Roman" w:cs="Times New Roman"/>
          <w:b/>
          <w:kern w:val="0"/>
          <w:lang w:eastAsia="en-US" w:bidi="ar-SA"/>
        </w:rPr>
        <w:t>5</w:t>
      </w:r>
      <w:r w:rsidR="00F615BE" w:rsidRPr="00667967">
        <w:rPr>
          <w:rFonts w:ascii="Times New Roman" w:hAnsi="Times New Roman" w:cs="Times New Roman"/>
          <w:b/>
          <w:kern w:val="0"/>
          <w:lang w:eastAsia="en-US" w:bidi="ar-SA"/>
        </w:rPr>
        <w:t>–</w:t>
      </w:r>
      <w:r w:rsidR="00EE4359" w:rsidRPr="00667967">
        <w:rPr>
          <w:rFonts w:ascii="Times New Roman" w:hAnsi="Times New Roman" w:cs="Times New Roman"/>
          <w:b/>
          <w:kern w:val="0"/>
          <w:lang w:eastAsia="en-US" w:bidi="ar-SA"/>
        </w:rPr>
        <w:t>1</w:t>
      </w:r>
      <w:r w:rsidR="005744C9" w:rsidRPr="00667967">
        <w:rPr>
          <w:rFonts w:ascii="Times New Roman" w:hAnsi="Times New Roman" w:cs="Times New Roman"/>
          <w:b/>
          <w:kern w:val="0"/>
          <w:lang w:eastAsia="en-US" w:bidi="ar-SA"/>
        </w:rPr>
        <w:t>6</w:t>
      </w:r>
    </w:p>
    <w:p w14:paraId="4D9016A4" w14:textId="5E30898D" w:rsidR="00B54754" w:rsidRPr="00667967" w:rsidRDefault="006D1660" w:rsidP="00595221">
      <w:pPr>
        <w:widowControl/>
        <w:suppressAutoHyphens w:val="0"/>
        <w:spacing w:before="120" w:after="120" w:line="360" w:lineRule="auto"/>
        <w:jc w:val="both"/>
        <w:rPr>
          <w:rFonts w:ascii="Times New Roman" w:hAnsi="Times New Roman" w:cs="Times New Roman"/>
          <w:color w:val="000000"/>
          <w:spacing w:val="-2"/>
        </w:rPr>
      </w:pPr>
      <w:r w:rsidRPr="00667967">
        <w:rPr>
          <w:rFonts w:ascii="Times New Roman" w:hAnsi="Times New Roman" w:cs="Times New Roman"/>
          <w:bCs/>
          <w:kern w:val="0"/>
          <w:lang w:eastAsia="en-US" w:bidi="ar-SA"/>
        </w:rPr>
        <w:t xml:space="preserve">Dotychczas uchwalone w miastach o liczbie mieszkańców równej 20 tysięcy lub większej dokumenty o charakterze strategiczno-wdrożeniowym, niebędące aktami prawa miejscowego, które realizują cel określony w art. 3 pkt 9a ustawy zmienianej w art. 1, </w:t>
      </w:r>
      <w:r w:rsidR="00A665B5" w:rsidRPr="00667967">
        <w:rPr>
          <w:rFonts w:ascii="Times New Roman" w:hAnsi="Times New Roman" w:cs="Times New Roman"/>
          <w:bCs/>
          <w:kern w:val="0"/>
          <w:lang w:eastAsia="en-US" w:bidi="ar-SA"/>
        </w:rPr>
        <w:t>będą mogł</w:t>
      </w:r>
      <w:r w:rsidR="00C24DA0">
        <w:rPr>
          <w:rFonts w:ascii="Times New Roman" w:hAnsi="Times New Roman" w:cs="Times New Roman"/>
          <w:bCs/>
          <w:kern w:val="0"/>
          <w:lang w:eastAsia="en-US" w:bidi="ar-SA"/>
        </w:rPr>
        <w:t>y</w:t>
      </w:r>
      <w:r w:rsidR="00A665B5" w:rsidRPr="00667967">
        <w:rPr>
          <w:rFonts w:ascii="Times New Roman" w:hAnsi="Times New Roman" w:cs="Times New Roman"/>
          <w:bCs/>
          <w:kern w:val="0"/>
          <w:lang w:eastAsia="en-US" w:bidi="ar-SA"/>
        </w:rPr>
        <w:t xml:space="preserve"> zostać </w:t>
      </w:r>
      <w:r w:rsidR="00F00085" w:rsidRPr="00667967">
        <w:rPr>
          <w:rFonts w:ascii="Times New Roman" w:hAnsi="Times New Roman" w:cs="Times New Roman"/>
          <w:bCs/>
          <w:kern w:val="0"/>
          <w:lang w:eastAsia="en-US" w:bidi="ar-SA"/>
        </w:rPr>
        <w:t>uznane</w:t>
      </w:r>
      <w:r w:rsidR="00A665B5" w:rsidRPr="00667967">
        <w:rPr>
          <w:rFonts w:ascii="Times New Roman" w:hAnsi="Times New Roman" w:cs="Times New Roman"/>
          <w:bCs/>
          <w:kern w:val="0"/>
          <w:lang w:eastAsia="en-US" w:bidi="ar-SA"/>
        </w:rPr>
        <w:t xml:space="preserve"> przez radę gminy</w:t>
      </w:r>
      <w:r w:rsidRPr="00667967">
        <w:rPr>
          <w:rFonts w:ascii="Times New Roman" w:hAnsi="Times New Roman" w:cs="Times New Roman"/>
          <w:bCs/>
          <w:kern w:val="0"/>
          <w:lang w:eastAsia="en-US" w:bidi="ar-SA"/>
        </w:rPr>
        <w:t xml:space="preserve"> za </w:t>
      </w:r>
      <w:r w:rsidR="009E78C9">
        <w:rPr>
          <w:rFonts w:ascii="Times New Roman" w:hAnsi="Times New Roman" w:cs="Times New Roman"/>
          <w:bCs/>
          <w:kern w:val="0"/>
          <w:lang w:eastAsia="en-US" w:bidi="ar-SA"/>
        </w:rPr>
        <w:t>MPA</w:t>
      </w:r>
      <w:r w:rsidR="00FE0F03" w:rsidRPr="00667967">
        <w:rPr>
          <w:rFonts w:ascii="Times New Roman" w:hAnsi="Times New Roman" w:cs="Times New Roman"/>
          <w:bCs/>
          <w:kern w:val="0"/>
          <w:lang w:eastAsia="en-US" w:bidi="ar-SA"/>
        </w:rPr>
        <w:t xml:space="preserve"> </w:t>
      </w:r>
      <w:r w:rsidRPr="00667967">
        <w:rPr>
          <w:rFonts w:ascii="Times New Roman" w:hAnsi="Times New Roman" w:cs="Times New Roman"/>
          <w:bCs/>
          <w:kern w:val="0"/>
          <w:lang w:eastAsia="en-US" w:bidi="ar-SA"/>
        </w:rPr>
        <w:t>w</w:t>
      </w:r>
      <w:r w:rsidR="00222614" w:rsidRPr="00667967">
        <w:rPr>
          <w:rFonts w:ascii="Times New Roman" w:hAnsi="Times New Roman" w:cs="Times New Roman"/>
          <w:bCs/>
          <w:kern w:val="0"/>
          <w:lang w:eastAsia="en-US" w:bidi="ar-SA"/>
        </w:rPr>
        <w:t> </w:t>
      </w:r>
      <w:r w:rsidRPr="00667967">
        <w:rPr>
          <w:rFonts w:ascii="Times New Roman" w:hAnsi="Times New Roman" w:cs="Times New Roman"/>
          <w:bCs/>
          <w:kern w:val="0"/>
          <w:lang w:eastAsia="en-US" w:bidi="ar-SA"/>
        </w:rPr>
        <w:t xml:space="preserve">rozumieniu art. 18a ust. 1 ustawy </w:t>
      </w:r>
      <w:r w:rsidR="00F00085" w:rsidRPr="00667967">
        <w:rPr>
          <w:rFonts w:ascii="Times New Roman" w:hAnsi="Times New Roman" w:cs="Times New Roman"/>
          <w:bCs/>
          <w:kern w:val="0"/>
          <w:lang w:eastAsia="en-US" w:bidi="ar-SA"/>
        </w:rPr>
        <w:t>Poś.</w:t>
      </w:r>
      <w:r w:rsidRPr="00667967">
        <w:rPr>
          <w:rFonts w:ascii="Times New Roman" w:hAnsi="Times New Roman" w:cs="Times New Roman"/>
          <w:bCs/>
          <w:kern w:val="0"/>
          <w:lang w:eastAsia="en-US" w:bidi="ar-SA"/>
        </w:rPr>
        <w:t xml:space="preserve"> </w:t>
      </w:r>
      <w:r w:rsidR="000F20D3" w:rsidRPr="00667967">
        <w:rPr>
          <w:rFonts w:ascii="Times New Roman" w:hAnsi="Times New Roman" w:cs="Times New Roman"/>
          <w:bCs/>
          <w:kern w:val="0"/>
          <w:lang w:eastAsia="en-US" w:bidi="ar-SA"/>
        </w:rPr>
        <w:t xml:space="preserve">Informacja o uznaniu </w:t>
      </w:r>
      <w:r w:rsidR="00F00085" w:rsidRPr="00667967">
        <w:rPr>
          <w:rFonts w:ascii="Times New Roman" w:eastAsia="Times New Roman" w:hAnsi="Times New Roman" w:cs="Times New Roman"/>
          <w:kern w:val="0"/>
          <w:lang w:eastAsia="pl-PL" w:bidi="ar-SA"/>
        </w:rPr>
        <w:t>dokumentu o charakterze strategiczno-wdrożeniowym</w:t>
      </w:r>
      <w:r w:rsidR="000F20D3" w:rsidRPr="00667967">
        <w:rPr>
          <w:rFonts w:ascii="Times New Roman" w:eastAsia="Times New Roman" w:hAnsi="Times New Roman" w:cs="Times New Roman"/>
          <w:kern w:val="0"/>
          <w:lang w:eastAsia="pl-PL" w:bidi="ar-SA"/>
        </w:rPr>
        <w:t xml:space="preserve"> </w:t>
      </w:r>
      <w:r w:rsidR="00F00085" w:rsidRPr="00667967">
        <w:rPr>
          <w:rFonts w:ascii="Times New Roman" w:eastAsia="Times New Roman" w:hAnsi="Times New Roman" w:cs="Times New Roman"/>
          <w:kern w:val="0"/>
          <w:lang w:eastAsia="pl-PL" w:bidi="ar-SA"/>
        </w:rPr>
        <w:t xml:space="preserve">za </w:t>
      </w:r>
      <w:r w:rsidR="00A35E83">
        <w:rPr>
          <w:rFonts w:ascii="Times New Roman" w:eastAsia="Times New Roman" w:hAnsi="Times New Roman" w:cs="Times New Roman"/>
          <w:kern w:val="0"/>
          <w:lang w:eastAsia="pl-PL" w:bidi="ar-SA"/>
        </w:rPr>
        <w:t>MPA</w:t>
      </w:r>
      <w:r w:rsidR="00F00085" w:rsidRPr="00667967">
        <w:rPr>
          <w:rFonts w:ascii="Times New Roman" w:eastAsia="Times New Roman" w:hAnsi="Times New Roman" w:cs="Times New Roman"/>
          <w:kern w:val="0"/>
          <w:lang w:eastAsia="pl-PL" w:bidi="ar-SA"/>
        </w:rPr>
        <w:t xml:space="preserve"> </w:t>
      </w:r>
      <w:r w:rsidR="000F20D3" w:rsidRPr="00667967">
        <w:rPr>
          <w:rFonts w:ascii="Times New Roman" w:eastAsia="Times New Roman" w:hAnsi="Times New Roman" w:cs="Times New Roman"/>
          <w:kern w:val="0"/>
          <w:lang w:eastAsia="pl-PL" w:bidi="ar-SA"/>
        </w:rPr>
        <w:t>zostanie zamieszczona</w:t>
      </w:r>
      <w:r w:rsidR="00F00085" w:rsidRPr="00667967">
        <w:rPr>
          <w:rFonts w:ascii="Times New Roman" w:eastAsia="Times New Roman" w:hAnsi="Times New Roman" w:cs="Times New Roman"/>
          <w:kern w:val="0"/>
          <w:lang w:eastAsia="pl-PL" w:bidi="ar-SA"/>
        </w:rPr>
        <w:t xml:space="preserve"> w Biuletynie Informacji Publicznej urzędu gminy oraz przeka</w:t>
      </w:r>
      <w:r w:rsidR="000F20D3" w:rsidRPr="00667967">
        <w:rPr>
          <w:rFonts w:ascii="Times New Roman" w:eastAsia="Times New Roman" w:hAnsi="Times New Roman" w:cs="Times New Roman"/>
          <w:kern w:val="0"/>
          <w:lang w:eastAsia="pl-PL" w:bidi="ar-SA"/>
        </w:rPr>
        <w:t>zana</w:t>
      </w:r>
      <w:r w:rsidR="00F00085" w:rsidRPr="00667967">
        <w:rPr>
          <w:rFonts w:ascii="Times New Roman" w:eastAsia="Times New Roman" w:hAnsi="Times New Roman" w:cs="Times New Roman"/>
          <w:kern w:val="0"/>
          <w:lang w:eastAsia="pl-PL" w:bidi="ar-SA"/>
        </w:rPr>
        <w:t xml:space="preserve"> </w:t>
      </w:r>
      <w:r w:rsidR="00E94251" w:rsidRPr="00667967">
        <w:rPr>
          <w:rFonts w:ascii="Times New Roman" w:eastAsia="Times New Roman" w:hAnsi="Times New Roman" w:cs="Times New Roman"/>
          <w:kern w:val="0"/>
          <w:lang w:eastAsia="pl-PL" w:bidi="ar-SA"/>
        </w:rPr>
        <w:t>IOŚ-PIB</w:t>
      </w:r>
      <w:r w:rsidR="00F00085" w:rsidRPr="00667967">
        <w:rPr>
          <w:rFonts w:ascii="Times New Roman" w:eastAsia="Times New Roman" w:hAnsi="Times New Roman" w:cs="Times New Roman"/>
          <w:kern w:val="0"/>
          <w:lang w:eastAsia="pl-PL" w:bidi="ar-SA"/>
        </w:rPr>
        <w:t xml:space="preserve"> w terminie 30 dni od dnia tego zamieszczenia</w:t>
      </w:r>
      <w:r w:rsidR="006F32A5" w:rsidRPr="00667967">
        <w:rPr>
          <w:rFonts w:ascii="Times New Roman" w:eastAsia="Times New Roman" w:hAnsi="Times New Roman" w:cs="Times New Roman"/>
          <w:kern w:val="0"/>
          <w:lang w:eastAsia="pl-PL" w:bidi="ar-SA"/>
        </w:rPr>
        <w:t>.</w:t>
      </w:r>
      <w:r w:rsidR="006F32A5" w:rsidRPr="00667967">
        <w:rPr>
          <w:rFonts w:ascii="Times New Roman" w:hAnsi="Times New Roman" w:cs="Times New Roman"/>
          <w:bCs/>
          <w:kern w:val="0"/>
          <w:lang w:eastAsia="en-US" w:bidi="ar-SA"/>
        </w:rPr>
        <w:t xml:space="preserve"> </w:t>
      </w:r>
      <w:r w:rsidR="00F00085" w:rsidRPr="00667967">
        <w:rPr>
          <w:rFonts w:ascii="Times New Roman" w:hAnsi="Times New Roman" w:cs="Times New Roman"/>
          <w:bCs/>
          <w:kern w:val="0"/>
          <w:lang w:eastAsia="en-US" w:bidi="ar-SA"/>
        </w:rPr>
        <w:t xml:space="preserve">Ponadto dokumenty uznane za MPA </w:t>
      </w:r>
      <w:r w:rsidR="00B54754" w:rsidRPr="00667967">
        <w:rPr>
          <w:rFonts w:ascii="Times New Roman" w:hAnsi="Times New Roman" w:cs="Times New Roman"/>
          <w:bCs/>
          <w:kern w:val="0"/>
          <w:lang w:eastAsia="en-US" w:bidi="ar-SA"/>
        </w:rPr>
        <w:t>zachowują moc i</w:t>
      </w:r>
      <w:r w:rsidR="004E26A0" w:rsidRPr="00667967">
        <w:rPr>
          <w:rFonts w:ascii="Times New Roman" w:hAnsi="Times New Roman" w:cs="Times New Roman"/>
          <w:bCs/>
          <w:kern w:val="0"/>
          <w:lang w:eastAsia="en-US" w:bidi="ar-SA"/>
        </w:rPr>
        <w:t> </w:t>
      </w:r>
      <w:r w:rsidR="00B54754" w:rsidRPr="00667967">
        <w:rPr>
          <w:rFonts w:ascii="Times New Roman" w:hAnsi="Times New Roman" w:cs="Times New Roman"/>
          <w:bCs/>
          <w:kern w:val="0"/>
          <w:lang w:eastAsia="en-US" w:bidi="ar-SA"/>
        </w:rPr>
        <w:t xml:space="preserve">mogą być </w:t>
      </w:r>
      <w:r w:rsidR="00DE3186" w:rsidRPr="00667967">
        <w:rPr>
          <w:rFonts w:ascii="Times New Roman" w:hAnsi="Times New Roman" w:cs="Times New Roman"/>
          <w:bCs/>
          <w:kern w:val="0"/>
          <w:lang w:eastAsia="en-US" w:bidi="ar-SA"/>
        </w:rPr>
        <w:t>zmieniane i</w:t>
      </w:r>
      <w:r w:rsidR="00222614" w:rsidRPr="00667967">
        <w:rPr>
          <w:rFonts w:ascii="Times New Roman" w:hAnsi="Times New Roman" w:cs="Times New Roman"/>
          <w:bCs/>
          <w:kern w:val="0"/>
          <w:lang w:eastAsia="en-US" w:bidi="ar-SA"/>
        </w:rPr>
        <w:t> </w:t>
      </w:r>
      <w:r w:rsidR="00B54754" w:rsidRPr="00667967">
        <w:rPr>
          <w:rFonts w:ascii="Times New Roman" w:hAnsi="Times New Roman" w:cs="Times New Roman"/>
          <w:bCs/>
          <w:kern w:val="0"/>
          <w:lang w:eastAsia="en-US" w:bidi="ar-SA"/>
        </w:rPr>
        <w:t>aktualizowane.</w:t>
      </w:r>
      <w:r w:rsidR="00275002" w:rsidRPr="00667967">
        <w:rPr>
          <w:rFonts w:ascii="Times New Roman" w:hAnsi="Times New Roman" w:cs="Times New Roman"/>
          <w:color w:val="000000"/>
          <w:spacing w:val="-2"/>
        </w:rPr>
        <w:t xml:space="preserve"> </w:t>
      </w:r>
      <w:bookmarkStart w:id="16" w:name="_Hlk132630775"/>
      <w:r w:rsidR="00275002" w:rsidRPr="00667967">
        <w:rPr>
          <w:rFonts w:ascii="Times New Roman" w:hAnsi="Times New Roman" w:cs="Times New Roman"/>
          <w:color w:val="000000"/>
          <w:spacing w:val="-2"/>
        </w:rPr>
        <w:t xml:space="preserve">Aktualizacja </w:t>
      </w:r>
      <w:r w:rsidR="002B2AB0" w:rsidRPr="00667967">
        <w:rPr>
          <w:rFonts w:ascii="Times New Roman" w:hAnsi="Times New Roman" w:cs="Times New Roman"/>
          <w:color w:val="000000"/>
          <w:spacing w:val="-2"/>
        </w:rPr>
        <w:t xml:space="preserve">dokumentów uznanych za </w:t>
      </w:r>
      <w:r w:rsidR="00E36955" w:rsidRPr="00667967">
        <w:rPr>
          <w:rFonts w:ascii="Times New Roman" w:hAnsi="Times New Roman" w:cs="Times New Roman"/>
          <w:color w:val="000000"/>
          <w:spacing w:val="-2"/>
        </w:rPr>
        <w:t>MPA</w:t>
      </w:r>
      <w:r w:rsidR="004774A2" w:rsidRPr="00667967">
        <w:rPr>
          <w:rFonts w:ascii="Times New Roman" w:hAnsi="Times New Roman" w:cs="Times New Roman"/>
          <w:color w:val="000000"/>
          <w:spacing w:val="-2"/>
        </w:rPr>
        <w:t>, zgodnie z art. 18</w:t>
      </w:r>
      <w:r w:rsidR="00752D71" w:rsidRPr="00667967">
        <w:rPr>
          <w:rFonts w:ascii="Times New Roman" w:hAnsi="Times New Roman" w:cs="Times New Roman"/>
          <w:color w:val="000000"/>
          <w:spacing w:val="-2"/>
        </w:rPr>
        <w:t xml:space="preserve">b </w:t>
      </w:r>
      <w:r w:rsidR="004774A2" w:rsidRPr="00667967">
        <w:rPr>
          <w:rFonts w:ascii="Times New Roman" w:hAnsi="Times New Roman" w:cs="Times New Roman"/>
          <w:color w:val="000000"/>
          <w:spacing w:val="-2"/>
        </w:rPr>
        <w:t>ust.</w:t>
      </w:r>
      <w:r w:rsidR="00DA6E93">
        <w:rPr>
          <w:rFonts w:ascii="Times New Roman" w:hAnsi="Times New Roman" w:cs="Times New Roman"/>
          <w:color w:val="000000"/>
          <w:spacing w:val="-2"/>
        </w:rPr>
        <w:t> </w:t>
      </w:r>
      <w:r w:rsidR="00752D71" w:rsidRPr="00667967">
        <w:rPr>
          <w:rFonts w:ascii="Times New Roman" w:hAnsi="Times New Roman" w:cs="Times New Roman"/>
          <w:color w:val="000000"/>
          <w:spacing w:val="-2"/>
        </w:rPr>
        <w:t>5</w:t>
      </w:r>
      <w:r w:rsidR="00C24DA0">
        <w:rPr>
          <w:rFonts w:ascii="Times New Roman" w:hAnsi="Times New Roman" w:cs="Times New Roman"/>
          <w:color w:val="000000"/>
          <w:spacing w:val="-2"/>
        </w:rPr>
        <w:t>,</w:t>
      </w:r>
      <w:r w:rsidR="00CF727C" w:rsidRPr="00667967">
        <w:rPr>
          <w:rFonts w:ascii="Times New Roman" w:hAnsi="Times New Roman" w:cs="Times New Roman"/>
          <w:color w:val="000000"/>
          <w:spacing w:val="-2"/>
        </w:rPr>
        <w:t xml:space="preserve"> </w:t>
      </w:r>
      <w:r w:rsidR="00275002" w:rsidRPr="00667967">
        <w:rPr>
          <w:rFonts w:ascii="Times New Roman" w:hAnsi="Times New Roman" w:cs="Times New Roman"/>
          <w:color w:val="000000"/>
          <w:spacing w:val="-2"/>
        </w:rPr>
        <w:t>odbywa się przynajmniej raz na 6 lat uwzględniając sprawozdania z monitorowania</w:t>
      </w:r>
      <w:r w:rsidR="004774A2" w:rsidRPr="00667967">
        <w:rPr>
          <w:rFonts w:ascii="Times New Roman" w:hAnsi="Times New Roman" w:cs="Times New Roman"/>
          <w:color w:val="000000"/>
          <w:spacing w:val="-2"/>
        </w:rPr>
        <w:t>, o</w:t>
      </w:r>
      <w:r w:rsidR="00DA6E93">
        <w:rPr>
          <w:rFonts w:ascii="Times New Roman" w:hAnsi="Times New Roman" w:cs="Times New Roman"/>
          <w:color w:val="000000"/>
          <w:spacing w:val="-2"/>
        </w:rPr>
        <w:t> </w:t>
      </w:r>
      <w:r w:rsidR="004774A2" w:rsidRPr="00667967">
        <w:rPr>
          <w:rFonts w:ascii="Times New Roman" w:hAnsi="Times New Roman" w:cs="Times New Roman"/>
          <w:color w:val="000000"/>
          <w:spacing w:val="-2"/>
        </w:rPr>
        <w:t>którym mowa w</w:t>
      </w:r>
      <w:r w:rsidR="00DA6E93">
        <w:rPr>
          <w:rFonts w:ascii="Times New Roman" w:hAnsi="Times New Roman" w:cs="Times New Roman"/>
          <w:color w:val="000000"/>
          <w:spacing w:val="-2"/>
        </w:rPr>
        <w:t xml:space="preserve"> </w:t>
      </w:r>
      <w:r w:rsidR="004774A2" w:rsidRPr="00667967">
        <w:rPr>
          <w:rFonts w:ascii="Times New Roman" w:hAnsi="Times New Roman" w:cs="Times New Roman"/>
          <w:color w:val="000000"/>
          <w:spacing w:val="-2"/>
        </w:rPr>
        <w:t>projektowanej ustawie w art. 18</w:t>
      </w:r>
      <w:r w:rsidR="00752D71" w:rsidRPr="00667967">
        <w:rPr>
          <w:rFonts w:ascii="Times New Roman" w:hAnsi="Times New Roman" w:cs="Times New Roman"/>
          <w:color w:val="000000"/>
          <w:spacing w:val="-2"/>
        </w:rPr>
        <w:t>c</w:t>
      </w:r>
      <w:r w:rsidR="004774A2" w:rsidRPr="00667967">
        <w:rPr>
          <w:rFonts w:ascii="Times New Roman" w:hAnsi="Times New Roman" w:cs="Times New Roman"/>
          <w:color w:val="000000"/>
          <w:spacing w:val="-2"/>
        </w:rPr>
        <w:t xml:space="preserve"> ust. 1</w:t>
      </w:r>
      <w:r w:rsidR="00752D71" w:rsidRPr="00667967">
        <w:rPr>
          <w:rFonts w:ascii="Times New Roman" w:hAnsi="Times New Roman" w:cs="Times New Roman"/>
          <w:color w:val="000000"/>
          <w:spacing w:val="-2"/>
        </w:rPr>
        <w:t xml:space="preserve"> pkt 2</w:t>
      </w:r>
      <w:r w:rsidR="00275002" w:rsidRPr="00667967">
        <w:rPr>
          <w:rFonts w:ascii="Times New Roman" w:hAnsi="Times New Roman" w:cs="Times New Roman"/>
          <w:color w:val="000000"/>
          <w:spacing w:val="-2"/>
        </w:rPr>
        <w:t xml:space="preserve">, natomiast </w:t>
      </w:r>
      <w:r w:rsidR="004774A2" w:rsidRPr="00667967">
        <w:rPr>
          <w:rFonts w:ascii="Times New Roman" w:hAnsi="Times New Roman" w:cs="Times New Roman"/>
          <w:color w:val="000000"/>
          <w:spacing w:val="-2"/>
        </w:rPr>
        <w:t xml:space="preserve">ewentualna </w:t>
      </w:r>
      <w:r w:rsidR="00275002" w:rsidRPr="00667967">
        <w:rPr>
          <w:rFonts w:ascii="Times New Roman" w:hAnsi="Times New Roman" w:cs="Times New Roman"/>
          <w:color w:val="000000"/>
          <w:spacing w:val="-2"/>
        </w:rPr>
        <w:t xml:space="preserve">zmiana </w:t>
      </w:r>
      <w:r w:rsidR="002B2AB0" w:rsidRPr="00667967">
        <w:rPr>
          <w:rFonts w:ascii="Times New Roman" w:hAnsi="Times New Roman" w:cs="Times New Roman"/>
          <w:color w:val="000000"/>
          <w:spacing w:val="-2"/>
        </w:rPr>
        <w:t xml:space="preserve">tych </w:t>
      </w:r>
      <w:r w:rsidR="00275002" w:rsidRPr="00667967">
        <w:rPr>
          <w:rFonts w:ascii="Times New Roman" w:hAnsi="Times New Roman" w:cs="Times New Roman"/>
          <w:color w:val="000000"/>
          <w:spacing w:val="-2"/>
        </w:rPr>
        <w:t xml:space="preserve">dokumentów </w:t>
      </w:r>
      <w:r w:rsidR="00664A02" w:rsidRPr="00667967">
        <w:rPr>
          <w:rFonts w:ascii="Times New Roman" w:hAnsi="Times New Roman" w:cs="Times New Roman"/>
          <w:color w:val="000000"/>
          <w:spacing w:val="-2"/>
        </w:rPr>
        <w:t xml:space="preserve">może </w:t>
      </w:r>
      <w:r w:rsidR="00275002" w:rsidRPr="00667967">
        <w:rPr>
          <w:rFonts w:ascii="Times New Roman" w:hAnsi="Times New Roman" w:cs="Times New Roman"/>
          <w:color w:val="000000"/>
          <w:spacing w:val="-2"/>
        </w:rPr>
        <w:t>nie wynika</w:t>
      </w:r>
      <w:r w:rsidR="00664A02" w:rsidRPr="00667967">
        <w:rPr>
          <w:rFonts w:ascii="Times New Roman" w:hAnsi="Times New Roman" w:cs="Times New Roman"/>
          <w:color w:val="000000"/>
          <w:spacing w:val="-2"/>
        </w:rPr>
        <w:t>ć</w:t>
      </w:r>
      <w:r w:rsidR="00275002" w:rsidRPr="00667967">
        <w:rPr>
          <w:rFonts w:ascii="Times New Roman" w:hAnsi="Times New Roman" w:cs="Times New Roman"/>
          <w:color w:val="000000"/>
          <w:spacing w:val="-2"/>
        </w:rPr>
        <w:t xml:space="preserve"> z </w:t>
      </w:r>
      <w:r w:rsidR="002B2AB0" w:rsidRPr="00667967">
        <w:rPr>
          <w:rFonts w:ascii="Times New Roman" w:hAnsi="Times New Roman" w:cs="Times New Roman"/>
          <w:color w:val="000000"/>
          <w:spacing w:val="-2"/>
        </w:rPr>
        <w:t xml:space="preserve">zakresu </w:t>
      </w:r>
      <w:r w:rsidR="00275002" w:rsidRPr="00667967">
        <w:rPr>
          <w:rFonts w:ascii="Times New Roman" w:hAnsi="Times New Roman" w:cs="Times New Roman"/>
          <w:color w:val="000000"/>
          <w:spacing w:val="-2"/>
        </w:rPr>
        <w:t>aktualizacji.</w:t>
      </w:r>
      <w:bookmarkStart w:id="17" w:name="_Hlk132636005"/>
      <w:bookmarkEnd w:id="16"/>
      <w:r w:rsidR="00752D71" w:rsidRPr="00667967">
        <w:rPr>
          <w:rFonts w:ascii="Times New Roman" w:hAnsi="Times New Roman" w:cs="Times New Roman"/>
          <w:color w:val="000000"/>
          <w:spacing w:val="-2"/>
        </w:rPr>
        <w:t xml:space="preserve"> Dokumenty o charakterze strategiczno-wdrożeniowym uznane za MPA</w:t>
      </w:r>
      <w:r w:rsidR="00F8276C" w:rsidRPr="00667967">
        <w:rPr>
          <w:rFonts w:ascii="Times New Roman" w:hAnsi="Times New Roman" w:cs="Times New Roman"/>
          <w:color w:val="000000"/>
          <w:spacing w:val="-2"/>
        </w:rPr>
        <w:t>, których termin aktualizacji (6 lat od dnia uchwalenia) przypada w terminie 30 miesięcy od dnia wejście w życie ustawy</w:t>
      </w:r>
      <w:r w:rsidR="00E13BF5" w:rsidRPr="00667967">
        <w:rPr>
          <w:rFonts w:ascii="Times New Roman" w:hAnsi="Times New Roman" w:cs="Times New Roman"/>
          <w:color w:val="000000"/>
          <w:spacing w:val="-2"/>
        </w:rPr>
        <w:t>, powinny zostać zaktualizowane w tym terminie.</w:t>
      </w:r>
    </w:p>
    <w:p w14:paraId="47173896" w14:textId="58441FFD" w:rsidR="00CF727C" w:rsidRPr="00667967" w:rsidRDefault="00CF727C" w:rsidP="00595221">
      <w:pPr>
        <w:widowControl/>
        <w:suppressAutoHyphens w:val="0"/>
        <w:spacing w:before="120" w:after="120" w:line="360" w:lineRule="auto"/>
        <w:jc w:val="both"/>
        <w:rPr>
          <w:rFonts w:ascii="Times New Roman" w:hAnsi="Times New Roman" w:cs="Times New Roman"/>
          <w:color w:val="000000"/>
          <w:spacing w:val="-2"/>
        </w:rPr>
      </w:pPr>
      <w:r w:rsidRPr="00667967">
        <w:rPr>
          <w:rFonts w:ascii="Times New Roman" w:hAnsi="Times New Roman" w:cs="Times New Roman"/>
          <w:color w:val="000000"/>
          <w:spacing w:val="-2"/>
        </w:rPr>
        <w:t xml:space="preserve">Zgodnie z art. </w:t>
      </w:r>
      <w:r w:rsidR="005744C9" w:rsidRPr="00667967">
        <w:rPr>
          <w:rFonts w:ascii="Times New Roman" w:hAnsi="Times New Roman" w:cs="Times New Roman"/>
          <w:color w:val="000000"/>
          <w:spacing w:val="-2"/>
        </w:rPr>
        <w:t xml:space="preserve">16 </w:t>
      </w:r>
      <w:r w:rsidRPr="00667967">
        <w:rPr>
          <w:rFonts w:ascii="Times New Roman" w:hAnsi="Times New Roman" w:cs="Times New Roman"/>
          <w:color w:val="000000"/>
          <w:spacing w:val="-2"/>
        </w:rPr>
        <w:t xml:space="preserve">dla dokumentów uznanych za MPA sporządza się sprawozdanie z monitorowania wdrażania działań adaptacyjnych, w zakresie wynikającym z tych dokumentów. Pierwsze sprawozdanie sporządza się i przekazuje </w:t>
      </w:r>
      <w:r w:rsidR="00E94251" w:rsidRPr="00667967">
        <w:rPr>
          <w:rFonts w:ascii="Times New Roman" w:hAnsi="Times New Roman" w:cs="Times New Roman"/>
          <w:color w:val="000000"/>
          <w:spacing w:val="-2"/>
        </w:rPr>
        <w:t xml:space="preserve">IOŚ-PIB </w:t>
      </w:r>
      <w:r w:rsidRPr="00667967">
        <w:rPr>
          <w:rFonts w:ascii="Times New Roman" w:hAnsi="Times New Roman" w:cs="Times New Roman"/>
          <w:color w:val="000000"/>
          <w:spacing w:val="-2"/>
        </w:rPr>
        <w:t xml:space="preserve">za okres od dnia uchwalenia </w:t>
      </w:r>
      <w:r w:rsidR="00A35E83">
        <w:rPr>
          <w:rFonts w:ascii="Times New Roman" w:hAnsi="Times New Roman" w:cs="Times New Roman"/>
          <w:color w:val="000000"/>
          <w:spacing w:val="-2"/>
        </w:rPr>
        <w:t>MPA</w:t>
      </w:r>
      <w:r w:rsidRPr="00667967">
        <w:rPr>
          <w:rFonts w:ascii="Times New Roman" w:hAnsi="Times New Roman" w:cs="Times New Roman"/>
          <w:color w:val="000000"/>
          <w:spacing w:val="-2"/>
        </w:rPr>
        <w:t xml:space="preserve"> do dnia 31 grudnia roku </w:t>
      </w:r>
      <w:r w:rsidR="003B4544" w:rsidRPr="00667967">
        <w:rPr>
          <w:rFonts w:ascii="Times New Roman" w:hAnsi="Times New Roman" w:cs="Times New Roman"/>
          <w:color w:val="000000"/>
          <w:spacing w:val="-2"/>
        </w:rPr>
        <w:t>2025 r.</w:t>
      </w:r>
      <w:r w:rsidRPr="00667967">
        <w:rPr>
          <w:rFonts w:ascii="Times New Roman" w:hAnsi="Times New Roman" w:cs="Times New Roman"/>
          <w:color w:val="000000"/>
          <w:spacing w:val="-2"/>
        </w:rPr>
        <w:t>, w terminie do dnia 30 czerwca 2026</w:t>
      </w:r>
      <w:r w:rsidR="00D029CA">
        <w:rPr>
          <w:rFonts w:ascii="Times New Roman" w:hAnsi="Times New Roman" w:cs="Times New Roman"/>
          <w:color w:val="000000"/>
          <w:spacing w:val="-2"/>
        </w:rPr>
        <w:t> </w:t>
      </w:r>
      <w:r w:rsidRPr="00667967">
        <w:rPr>
          <w:rFonts w:ascii="Times New Roman" w:hAnsi="Times New Roman" w:cs="Times New Roman"/>
          <w:color w:val="000000"/>
          <w:spacing w:val="-2"/>
        </w:rPr>
        <w:t>r.</w:t>
      </w:r>
    </w:p>
    <w:bookmarkEnd w:id="17"/>
    <w:p w14:paraId="0B62CDEC" w14:textId="4D9188E9" w:rsidR="00C91ED9" w:rsidRPr="00667967" w:rsidRDefault="00C91ED9" w:rsidP="00595221">
      <w:pPr>
        <w:keepNext/>
        <w:widowControl/>
        <w:suppressAutoHyphens w:val="0"/>
        <w:spacing w:before="120" w:after="120" w:line="360" w:lineRule="auto"/>
        <w:jc w:val="both"/>
        <w:rPr>
          <w:rFonts w:ascii="Times New Roman" w:hAnsi="Times New Roman" w:cs="Times New Roman"/>
          <w:b/>
          <w:kern w:val="0"/>
          <w:lang w:eastAsia="en-US" w:bidi="ar-SA"/>
        </w:rPr>
      </w:pPr>
      <w:r w:rsidRPr="00667967">
        <w:rPr>
          <w:rFonts w:ascii="Times New Roman" w:hAnsi="Times New Roman" w:cs="Times New Roman"/>
          <w:b/>
          <w:kern w:val="0"/>
          <w:lang w:eastAsia="en-US" w:bidi="ar-SA"/>
        </w:rPr>
        <w:t xml:space="preserve">Art. </w:t>
      </w:r>
      <w:r w:rsidR="005744C9" w:rsidRPr="00667967">
        <w:rPr>
          <w:rFonts w:ascii="Times New Roman" w:hAnsi="Times New Roman" w:cs="Times New Roman"/>
          <w:b/>
          <w:kern w:val="0"/>
          <w:lang w:eastAsia="en-US" w:bidi="ar-SA"/>
        </w:rPr>
        <w:t>17</w:t>
      </w:r>
    </w:p>
    <w:p w14:paraId="441993A3" w14:textId="1D5FC4F9" w:rsidR="00C140F2" w:rsidRPr="00667967" w:rsidRDefault="006D72AC" w:rsidP="00595221">
      <w:pPr>
        <w:widowControl/>
        <w:suppressAutoHyphens w:val="0"/>
        <w:spacing w:before="120" w:after="120" w:line="360" w:lineRule="auto"/>
        <w:jc w:val="both"/>
        <w:rPr>
          <w:rFonts w:ascii="Times New Roman" w:hAnsi="Times New Roman" w:cs="Times New Roman"/>
        </w:rPr>
      </w:pPr>
      <w:r w:rsidRPr="00667967">
        <w:rPr>
          <w:rFonts w:ascii="Times New Roman" w:hAnsi="Times New Roman" w:cs="Times New Roman"/>
        </w:rPr>
        <w:t xml:space="preserve">Do programów ochrony powietrza opracowanych dla stref zaklasyfikowanych jako strefy, o których mowa w art. 89 ust. 1 pkt 1 lub 4 ustawy </w:t>
      </w:r>
      <w:r w:rsidR="00A522E5" w:rsidRPr="00667967">
        <w:rPr>
          <w:rFonts w:ascii="Times New Roman" w:hAnsi="Times New Roman" w:cs="Times New Roman"/>
        </w:rPr>
        <w:t>Poś</w:t>
      </w:r>
      <w:r w:rsidRPr="00667967">
        <w:rPr>
          <w:rFonts w:ascii="Times New Roman" w:hAnsi="Times New Roman" w:cs="Times New Roman"/>
        </w:rPr>
        <w:t xml:space="preserve">, stosuje się </w:t>
      </w:r>
      <w:r w:rsidR="00A522E5" w:rsidRPr="00667967">
        <w:rPr>
          <w:rFonts w:ascii="Times New Roman" w:hAnsi="Times New Roman" w:cs="Times New Roman"/>
        </w:rPr>
        <w:t>art. 91 ust. 9c tej ustawy w nowym brzmieniu</w:t>
      </w:r>
      <w:r w:rsidRPr="00667967">
        <w:rPr>
          <w:rFonts w:ascii="Times New Roman" w:hAnsi="Times New Roman" w:cs="Times New Roman"/>
        </w:rPr>
        <w:t>. Spowoduje to wydłużenie terminu z 3 na 4 lata na przygotowanie, a następnie przyjęcie aktualizacji programów ochrony powietrza w drodze uchwał sejmików województw.</w:t>
      </w:r>
    </w:p>
    <w:p w14:paraId="78734555" w14:textId="6DE30B81" w:rsidR="00F615BE" w:rsidRPr="00667967" w:rsidRDefault="00F615BE" w:rsidP="00595221">
      <w:pPr>
        <w:widowControl/>
        <w:suppressAutoHyphens w:val="0"/>
        <w:spacing w:before="120" w:after="120" w:line="360" w:lineRule="auto"/>
        <w:jc w:val="both"/>
        <w:rPr>
          <w:rFonts w:ascii="Times New Roman" w:hAnsi="Times New Roman" w:cs="Times New Roman"/>
          <w:b/>
          <w:kern w:val="0"/>
          <w:lang w:eastAsia="en-US" w:bidi="ar-SA"/>
        </w:rPr>
      </w:pPr>
      <w:r w:rsidRPr="00667967">
        <w:rPr>
          <w:rFonts w:ascii="Times New Roman" w:hAnsi="Times New Roman" w:cs="Times New Roman"/>
          <w:b/>
          <w:kern w:val="0"/>
          <w:lang w:eastAsia="en-US" w:bidi="ar-SA"/>
        </w:rPr>
        <w:t xml:space="preserve">Art. </w:t>
      </w:r>
      <w:r w:rsidR="005744C9" w:rsidRPr="00667967">
        <w:rPr>
          <w:rFonts w:ascii="Times New Roman" w:hAnsi="Times New Roman" w:cs="Times New Roman"/>
          <w:b/>
          <w:kern w:val="0"/>
          <w:lang w:eastAsia="en-US" w:bidi="ar-SA"/>
        </w:rPr>
        <w:t>18</w:t>
      </w:r>
      <w:r w:rsidRPr="00667967">
        <w:rPr>
          <w:rFonts w:ascii="Times New Roman" w:hAnsi="Times New Roman" w:cs="Times New Roman"/>
          <w:b/>
          <w:kern w:val="0"/>
          <w:lang w:eastAsia="en-US" w:bidi="ar-SA"/>
        </w:rPr>
        <w:t>–</w:t>
      </w:r>
      <w:r w:rsidR="005744C9" w:rsidRPr="00667967">
        <w:rPr>
          <w:rFonts w:ascii="Times New Roman" w:hAnsi="Times New Roman" w:cs="Times New Roman"/>
          <w:b/>
          <w:kern w:val="0"/>
          <w:lang w:eastAsia="en-US" w:bidi="ar-SA"/>
        </w:rPr>
        <w:t>2</w:t>
      </w:r>
      <w:r w:rsidR="00121EB5" w:rsidRPr="00667967">
        <w:rPr>
          <w:rFonts w:ascii="Times New Roman" w:hAnsi="Times New Roman" w:cs="Times New Roman"/>
          <w:b/>
          <w:kern w:val="0"/>
          <w:lang w:eastAsia="en-US" w:bidi="ar-SA"/>
        </w:rPr>
        <w:t>1</w:t>
      </w:r>
    </w:p>
    <w:p w14:paraId="1D2B43D3" w14:textId="412AAB8F" w:rsidR="00F615BE" w:rsidRPr="00667967" w:rsidRDefault="00F615BE" w:rsidP="00595221">
      <w:pPr>
        <w:widowControl/>
        <w:suppressAutoHyphens w:val="0"/>
        <w:spacing w:before="120" w:after="120" w:line="360" w:lineRule="auto"/>
        <w:jc w:val="both"/>
        <w:rPr>
          <w:rFonts w:ascii="Times New Roman" w:hAnsi="Times New Roman" w:cs="Times New Roman"/>
          <w:bCs/>
          <w:kern w:val="0"/>
          <w:lang w:eastAsia="en-US" w:bidi="ar-SA"/>
        </w:rPr>
      </w:pPr>
      <w:r w:rsidRPr="00667967">
        <w:rPr>
          <w:rFonts w:ascii="Times New Roman" w:hAnsi="Times New Roman" w:cs="Times New Roman"/>
          <w:bCs/>
          <w:kern w:val="0"/>
          <w:lang w:eastAsia="en-US" w:bidi="ar-SA"/>
        </w:rPr>
        <w:t xml:space="preserve">W celu zweryfikowania spełniania przez obecnych </w:t>
      </w:r>
      <w:r w:rsidR="003507DE" w:rsidRPr="00667967">
        <w:rPr>
          <w:rFonts w:ascii="Times New Roman" w:hAnsi="Times New Roman" w:cs="Times New Roman"/>
          <w:bCs/>
          <w:kern w:val="0"/>
          <w:lang w:eastAsia="en-US" w:bidi="ar-SA"/>
        </w:rPr>
        <w:t xml:space="preserve">członków organów Narodowego Funduszu oraz </w:t>
      </w:r>
      <w:r w:rsidR="00124AC5" w:rsidRPr="00667967">
        <w:rPr>
          <w:rFonts w:ascii="Times New Roman" w:hAnsi="Times New Roman" w:cs="Times New Roman"/>
          <w:bCs/>
          <w:kern w:val="0"/>
          <w:lang w:eastAsia="en-US" w:bidi="ar-SA"/>
        </w:rPr>
        <w:t>wfośigw</w:t>
      </w:r>
      <w:r w:rsidR="003507DE" w:rsidRPr="00667967">
        <w:rPr>
          <w:rFonts w:ascii="Times New Roman" w:hAnsi="Times New Roman" w:cs="Times New Roman"/>
          <w:bCs/>
          <w:kern w:val="0"/>
          <w:lang w:eastAsia="en-US" w:bidi="ar-SA"/>
        </w:rPr>
        <w:t xml:space="preserve"> urodzonych przed dniem 1 sierpnia 1972 r. nowego wymogu wprowadzonego na podstawie ustawy P</w:t>
      </w:r>
      <w:r w:rsidR="00C24DA0">
        <w:rPr>
          <w:rFonts w:ascii="Times New Roman" w:hAnsi="Times New Roman" w:cs="Times New Roman"/>
          <w:bCs/>
          <w:kern w:val="0"/>
          <w:lang w:eastAsia="en-US" w:bidi="ar-SA"/>
        </w:rPr>
        <w:t>oś</w:t>
      </w:r>
      <w:r w:rsidR="003507DE" w:rsidRPr="00667967">
        <w:rPr>
          <w:rFonts w:ascii="Times New Roman" w:hAnsi="Times New Roman" w:cs="Times New Roman"/>
          <w:bCs/>
          <w:kern w:val="0"/>
          <w:lang w:eastAsia="en-US" w:bidi="ar-SA"/>
        </w:rPr>
        <w:t>, odnoszącego się do nie pracowania lub nie pełnienia służby w organach bezpieczeństwa państwa lub nie bycia współpracownikiem tych organów w rozumieniu przepisów ustawy o</w:t>
      </w:r>
      <w:r w:rsidR="00222614" w:rsidRPr="00667967">
        <w:rPr>
          <w:rFonts w:ascii="Times New Roman" w:hAnsi="Times New Roman" w:cs="Times New Roman"/>
          <w:bCs/>
          <w:kern w:val="0"/>
          <w:lang w:eastAsia="en-US" w:bidi="ar-SA"/>
        </w:rPr>
        <w:t> </w:t>
      </w:r>
      <w:r w:rsidR="003507DE" w:rsidRPr="00667967">
        <w:rPr>
          <w:rFonts w:ascii="Times New Roman" w:hAnsi="Times New Roman" w:cs="Times New Roman"/>
          <w:bCs/>
          <w:kern w:val="0"/>
          <w:lang w:eastAsia="en-US" w:bidi="ar-SA"/>
        </w:rPr>
        <w:t>ujawnianiu informacji o dokumentach organów bezpieczeństwa państwa z lat 1944</w:t>
      </w:r>
      <w:r w:rsidR="00E94251" w:rsidRPr="00667967">
        <w:rPr>
          <w:rFonts w:ascii="Times New Roman" w:hAnsi="Times New Roman" w:cs="Times New Roman"/>
          <w:bCs/>
          <w:kern w:val="0"/>
          <w:lang w:eastAsia="en-US" w:bidi="ar-SA"/>
        </w:rPr>
        <w:t>–</w:t>
      </w:r>
      <w:r w:rsidR="003507DE" w:rsidRPr="00667967">
        <w:rPr>
          <w:rFonts w:ascii="Times New Roman" w:hAnsi="Times New Roman" w:cs="Times New Roman"/>
          <w:bCs/>
          <w:kern w:val="0"/>
          <w:lang w:eastAsia="en-US" w:bidi="ar-SA"/>
        </w:rPr>
        <w:t xml:space="preserve">1990 oraz treści tych dokumentów, niezbędne jest wprowadzenie przepisów </w:t>
      </w:r>
      <w:r w:rsidR="003507DE" w:rsidRPr="00667967">
        <w:rPr>
          <w:rFonts w:ascii="Times New Roman" w:hAnsi="Times New Roman" w:cs="Times New Roman"/>
          <w:bCs/>
          <w:kern w:val="0"/>
          <w:lang w:eastAsia="en-US" w:bidi="ar-SA"/>
        </w:rPr>
        <w:lastRenderedPageBreak/>
        <w:t>określających procedurę przeprowadzenia weryfikacji tych osób oraz przepisów umożliwiających odwołanie osób, które złożyły oświadczenia lustracyjne, potwierdzające pracę lub służbę w organach bezpieczeństwa państwa lub współpracę z tymi organami, albo wobec których wydano prawomocne orzeczenie stwierdzające fakt złożenia przez te osoby niezgodnego z prawdą oświadczenia lustracyjnego.</w:t>
      </w:r>
    </w:p>
    <w:p w14:paraId="75DA0A4F" w14:textId="329F54F8" w:rsidR="00C91ED9" w:rsidRPr="00667967" w:rsidRDefault="00C91ED9" w:rsidP="00595221">
      <w:pPr>
        <w:widowControl/>
        <w:suppressAutoHyphens w:val="0"/>
        <w:spacing w:before="120" w:after="120" w:line="360" w:lineRule="auto"/>
        <w:jc w:val="both"/>
        <w:rPr>
          <w:rFonts w:ascii="Times New Roman" w:hAnsi="Times New Roman" w:cs="Times New Roman"/>
          <w:b/>
          <w:kern w:val="0"/>
          <w:lang w:eastAsia="en-US" w:bidi="ar-SA"/>
        </w:rPr>
      </w:pPr>
      <w:r w:rsidRPr="00667967">
        <w:rPr>
          <w:rFonts w:ascii="Times New Roman" w:hAnsi="Times New Roman" w:cs="Times New Roman"/>
          <w:b/>
          <w:kern w:val="0"/>
          <w:lang w:eastAsia="en-US" w:bidi="ar-SA"/>
        </w:rPr>
        <w:t xml:space="preserve">Art. </w:t>
      </w:r>
      <w:r w:rsidR="00574231" w:rsidRPr="00667967">
        <w:rPr>
          <w:rFonts w:ascii="Times New Roman" w:hAnsi="Times New Roman" w:cs="Times New Roman"/>
          <w:b/>
          <w:kern w:val="0"/>
          <w:lang w:eastAsia="en-US" w:bidi="ar-SA"/>
        </w:rPr>
        <w:t>2</w:t>
      </w:r>
      <w:r w:rsidR="005744C9" w:rsidRPr="00667967">
        <w:rPr>
          <w:rFonts w:ascii="Times New Roman" w:hAnsi="Times New Roman" w:cs="Times New Roman"/>
          <w:b/>
          <w:kern w:val="0"/>
          <w:lang w:eastAsia="en-US" w:bidi="ar-SA"/>
        </w:rPr>
        <w:t>2</w:t>
      </w:r>
    </w:p>
    <w:p w14:paraId="246A4198" w14:textId="65A482FB" w:rsidR="00574231" w:rsidRPr="00667967" w:rsidRDefault="00EB37E4" w:rsidP="00595221">
      <w:pPr>
        <w:widowControl/>
        <w:suppressAutoHyphens w:val="0"/>
        <w:spacing w:before="120" w:after="120" w:line="360" w:lineRule="auto"/>
        <w:jc w:val="both"/>
        <w:rPr>
          <w:rFonts w:ascii="Times New Roman" w:hAnsi="Times New Roman" w:cs="Times New Roman"/>
          <w:bCs/>
          <w:kern w:val="0"/>
          <w:lang w:eastAsia="en-US" w:bidi="ar-SA"/>
        </w:rPr>
      </w:pPr>
      <w:r w:rsidRPr="00667967">
        <w:rPr>
          <w:rFonts w:ascii="Times New Roman" w:hAnsi="Times New Roman" w:cs="Times New Roman"/>
          <w:bCs/>
          <w:kern w:val="0"/>
          <w:lang w:eastAsia="en-US" w:bidi="ar-SA"/>
        </w:rPr>
        <w:t>Wobec zmiany sposobu wyłaniania przedstawiciela organizacji po</w:t>
      </w:r>
      <w:r w:rsidR="006240AF" w:rsidRPr="00667967">
        <w:rPr>
          <w:rFonts w:ascii="Times New Roman" w:hAnsi="Times New Roman" w:cs="Times New Roman"/>
          <w:bCs/>
          <w:kern w:val="0"/>
          <w:lang w:eastAsia="en-US" w:bidi="ar-SA"/>
        </w:rPr>
        <w:t>za</w:t>
      </w:r>
      <w:r w:rsidRPr="00667967">
        <w:rPr>
          <w:rFonts w:ascii="Times New Roman" w:hAnsi="Times New Roman" w:cs="Times New Roman"/>
          <w:bCs/>
          <w:kern w:val="0"/>
          <w:lang w:eastAsia="en-US" w:bidi="ar-SA"/>
        </w:rPr>
        <w:t>rządowych w radzie nadzorczej NFOŚiGW, proponuje się,</w:t>
      </w:r>
      <w:r w:rsidR="00574231" w:rsidRPr="00667967">
        <w:rPr>
          <w:rFonts w:ascii="Times New Roman" w:hAnsi="Times New Roman" w:cs="Times New Roman"/>
          <w:bCs/>
          <w:kern w:val="0"/>
          <w:lang w:eastAsia="en-US" w:bidi="ar-SA"/>
        </w:rPr>
        <w:t xml:space="preserve"> </w:t>
      </w:r>
      <w:r w:rsidRPr="00667967">
        <w:rPr>
          <w:rFonts w:ascii="Times New Roman" w:hAnsi="Times New Roman" w:cs="Times New Roman"/>
          <w:bCs/>
          <w:kern w:val="0"/>
          <w:lang w:eastAsia="en-US" w:bidi="ar-SA"/>
        </w:rPr>
        <w:t>aby</w:t>
      </w:r>
      <w:r w:rsidR="00574231" w:rsidRPr="00667967">
        <w:rPr>
          <w:rFonts w:ascii="Times New Roman" w:hAnsi="Times New Roman" w:cs="Times New Roman"/>
          <w:bCs/>
          <w:kern w:val="0"/>
          <w:lang w:eastAsia="en-US" w:bidi="ar-SA"/>
        </w:rPr>
        <w:t xml:space="preserve"> mandat członka rady nadzorczej NFOŚiGW zgłoszonego do składu rady na podstawie art. 400d ust. 2</w:t>
      </w:r>
      <w:r w:rsidR="001A28CD" w:rsidRPr="00667967">
        <w:rPr>
          <w:rFonts w:ascii="Times New Roman" w:hAnsi="Times New Roman" w:cs="Times New Roman"/>
          <w:bCs/>
          <w:kern w:val="0"/>
          <w:lang w:eastAsia="en-US" w:bidi="ar-SA"/>
        </w:rPr>
        <w:t xml:space="preserve"> pkt 5 i ust. 6</w:t>
      </w:r>
      <w:r w:rsidR="00C24DA0">
        <w:rPr>
          <w:rFonts w:ascii="Times New Roman" w:hAnsi="Times New Roman" w:cs="Times New Roman"/>
          <w:bCs/>
          <w:kern w:val="0"/>
          <w:lang w:eastAsia="en-US" w:bidi="ar-SA"/>
        </w:rPr>
        <w:t xml:space="preserve"> </w:t>
      </w:r>
      <w:r w:rsidR="00574231" w:rsidRPr="00667967">
        <w:rPr>
          <w:rFonts w:ascii="Times New Roman" w:hAnsi="Times New Roman" w:cs="Times New Roman"/>
          <w:bCs/>
          <w:kern w:val="0"/>
          <w:lang w:eastAsia="en-US" w:bidi="ar-SA"/>
        </w:rPr>
        <w:t xml:space="preserve">ustawy </w:t>
      </w:r>
      <w:r w:rsidRPr="00667967">
        <w:rPr>
          <w:rFonts w:ascii="Times New Roman" w:hAnsi="Times New Roman" w:cs="Times New Roman"/>
          <w:bCs/>
          <w:kern w:val="0"/>
          <w:lang w:eastAsia="en-US" w:bidi="ar-SA"/>
        </w:rPr>
        <w:t xml:space="preserve">Poś </w:t>
      </w:r>
      <w:r w:rsidR="00574231" w:rsidRPr="00667967">
        <w:rPr>
          <w:rFonts w:ascii="Times New Roman" w:hAnsi="Times New Roman" w:cs="Times New Roman"/>
          <w:bCs/>
          <w:kern w:val="0"/>
          <w:lang w:eastAsia="en-US" w:bidi="ar-SA"/>
        </w:rPr>
        <w:t>w brzmieniu dotychczasowym wygas</w:t>
      </w:r>
      <w:r w:rsidRPr="00667967">
        <w:rPr>
          <w:rFonts w:ascii="Times New Roman" w:hAnsi="Times New Roman" w:cs="Times New Roman"/>
          <w:bCs/>
          <w:kern w:val="0"/>
          <w:lang w:eastAsia="en-US" w:bidi="ar-SA"/>
        </w:rPr>
        <w:t>ł</w:t>
      </w:r>
      <w:r w:rsidR="00574231" w:rsidRPr="00667967">
        <w:rPr>
          <w:rFonts w:ascii="Times New Roman" w:hAnsi="Times New Roman" w:cs="Times New Roman"/>
          <w:bCs/>
          <w:kern w:val="0"/>
          <w:lang w:eastAsia="en-US" w:bidi="ar-SA"/>
        </w:rPr>
        <w:t xml:space="preserve"> z dniem powołania członka rady nadzorczej NFOŚiGW wyłonionego w trybie określonym w art. 400d ust. 2</w:t>
      </w:r>
      <w:r w:rsidR="001A28CD" w:rsidRPr="00667967">
        <w:rPr>
          <w:rFonts w:ascii="Times New Roman" w:hAnsi="Times New Roman" w:cs="Times New Roman"/>
          <w:bCs/>
          <w:kern w:val="0"/>
          <w:lang w:eastAsia="en-US" w:bidi="ar-SA"/>
        </w:rPr>
        <w:t xml:space="preserve"> pkt 5 i ust. 3</w:t>
      </w:r>
      <w:r w:rsidRPr="00667967">
        <w:rPr>
          <w:rFonts w:ascii="Times New Roman" w:hAnsi="Times New Roman" w:cs="Times New Roman"/>
          <w:bCs/>
          <w:kern w:val="0"/>
          <w:lang w:eastAsia="en-US" w:bidi="ar-SA"/>
        </w:rPr>
        <w:t xml:space="preserve">–4b </w:t>
      </w:r>
      <w:r w:rsidR="00574231" w:rsidRPr="00667967">
        <w:rPr>
          <w:rFonts w:ascii="Times New Roman" w:hAnsi="Times New Roman" w:cs="Times New Roman"/>
          <w:bCs/>
          <w:kern w:val="0"/>
          <w:lang w:eastAsia="en-US" w:bidi="ar-SA"/>
        </w:rPr>
        <w:t xml:space="preserve">ustawy </w:t>
      </w:r>
      <w:r w:rsidRPr="00667967">
        <w:rPr>
          <w:rFonts w:ascii="Times New Roman" w:hAnsi="Times New Roman" w:cs="Times New Roman"/>
          <w:bCs/>
          <w:kern w:val="0"/>
          <w:lang w:eastAsia="en-US" w:bidi="ar-SA"/>
        </w:rPr>
        <w:t>Poś</w:t>
      </w:r>
      <w:r w:rsidR="00574231" w:rsidRPr="00667967">
        <w:rPr>
          <w:rFonts w:ascii="Times New Roman" w:hAnsi="Times New Roman" w:cs="Times New Roman"/>
          <w:bCs/>
          <w:kern w:val="0"/>
          <w:lang w:eastAsia="en-US" w:bidi="ar-SA"/>
        </w:rPr>
        <w:t xml:space="preserve"> w brzmieniu nadanym </w:t>
      </w:r>
      <w:r w:rsidR="001A28CD" w:rsidRPr="00667967">
        <w:rPr>
          <w:rFonts w:ascii="Times New Roman" w:hAnsi="Times New Roman" w:cs="Times New Roman"/>
          <w:bCs/>
          <w:kern w:val="0"/>
          <w:lang w:eastAsia="en-US" w:bidi="ar-SA"/>
        </w:rPr>
        <w:t xml:space="preserve">projektowaną </w:t>
      </w:r>
      <w:r w:rsidR="00574231" w:rsidRPr="00667967">
        <w:rPr>
          <w:rFonts w:ascii="Times New Roman" w:hAnsi="Times New Roman" w:cs="Times New Roman"/>
          <w:bCs/>
          <w:kern w:val="0"/>
          <w:lang w:eastAsia="en-US" w:bidi="ar-SA"/>
        </w:rPr>
        <w:t>ustawą.</w:t>
      </w:r>
    </w:p>
    <w:p w14:paraId="0952F121" w14:textId="4BE2B1F5" w:rsidR="00574231" w:rsidRPr="00667967" w:rsidRDefault="00574231" w:rsidP="00595221">
      <w:pPr>
        <w:widowControl/>
        <w:suppressAutoHyphens w:val="0"/>
        <w:spacing w:before="120" w:after="120" w:line="360" w:lineRule="auto"/>
        <w:jc w:val="both"/>
        <w:rPr>
          <w:rFonts w:ascii="Times New Roman" w:hAnsi="Times New Roman" w:cs="Times New Roman"/>
          <w:b/>
          <w:kern w:val="0"/>
          <w:lang w:eastAsia="en-US" w:bidi="ar-SA"/>
        </w:rPr>
      </w:pPr>
      <w:r w:rsidRPr="00667967">
        <w:rPr>
          <w:rFonts w:ascii="Times New Roman" w:hAnsi="Times New Roman" w:cs="Times New Roman"/>
          <w:b/>
          <w:kern w:val="0"/>
          <w:lang w:eastAsia="en-US" w:bidi="ar-SA"/>
        </w:rPr>
        <w:t>Art. 2</w:t>
      </w:r>
      <w:r w:rsidR="005744C9" w:rsidRPr="00667967">
        <w:rPr>
          <w:rFonts w:ascii="Times New Roman" w:hAnsi="Times New Roman" w:cs="Times New Roman"/>
          <w:b/>
          <w:kern w:val="0"/>
          <w:lang w:eastAsia="en-US" w:bidi="ar-SA"/>
        </w:rPr>
        <w:t>3</w:t>
      </w:r>
    </w:p>
    <w:p w14:paraId="0DCDDE2D" w14:textId="1D0453C2" w:rsidR="00792D18" w:rsidRPr="00667967" w:rsidRDefault="00EB37E4" w:rsidP="00595221">
      <w:pPr>
        <w:pStyle w:val="paragraph"/>
        <w:spacing w:before="120" w:beforeAutospacing="0" w:after="120" w:afterAutospacing="0" w:line="360" w:lineRule="auto"/>
        <w:jc w:val="both"/>
        <w:textAlignment w:val="baseline"/>
        <w:rPr>
          <w:rStyle w:val="normaltextrun"/>
          <w:rFonts w:ascii="Calibri" w:eastAsia="Calibri" w:hAnsi="Calibri" w:cs="Calibri"/>
          <w:kern w:val="1"/>
          <w:lang w:eastAsia="hi-IN" w:bidi="hi-IN"/>
        </w:rPr>
      </w:pPr>
      <w:r w:rsidRPr="00667967">
        <w:rPr>
          <w:bCs/>
        </w:rPr>
        <w:t>Ze względu na zmiany kręgu organizacj</w:t>
      </w:r>
      <w:r w:rsidR="006240AF" w:rsidRPr="00667967">
        <w:rPr>
          <w:bCs/>
        </w:rPr>
        <w:t>i</w:t>
      </w:r>
      <w:r w:rsidRPr="00667967">
        <w:rPr>
          <w:bCs/>
        </w:rPr>
        <w:t>, spośród których wyłania się przedstawicieli organizacji pozarządowych do rad nadzorczych wfoś</w:t>
      </w:r>
      <w:r w:rsidR="006240AF" w:rsidRPr="00667967">
        <w:rPr>
          <w:bCs/>
        </w:rPr>
        <w:t>i</w:t>
      </w:r>
      <w:r w:rsidRPr="00667967">
        <w:rPr>
          <w:bCs/>
        </w:rPr>
        <w:t>gw, w</w:t>
      </w:r>
      <w:r w:rsidR="00792D18" w:rsidRPr="00667967">
        <w:rPr>
          <w:bCs/>
        </w:rPr>
        <w:t xml:space="preserve">prowadza się przepis przejściowy wskazujący, że przedstawiciele rad nadzorczych </w:t>
      </w:r>
      <w:r w:rsidR="00222614" w:rsidRPr="00667967">
        <w:rPr>
          <w:bCs/>
        </w:rPr>
        <w:t xml:space="preserve">wyznaczeni </w:t>
      </w:r>
      <w:r w:rsidR="00792D18" w:rsidRPr="00667967">
        <w:rPr>
          <w:bCs/>
        </w:rPr>
        <w:t xml:space="preserve">do składu rad </w:t>
      </w:r>
      <w:r w:rsidRPr="00667967">
        <w:rPr>
          <w:bCs/>
        </w:rPr>
        <w:t xml:space="preserve">nadzorczych </w:t>
      </w:r>
      <w:r w:rsidR="00792D18" w:rsidRPr="00667967">
        <w:rPr>
          <w:bCs/>
        </w:rPr>
        <w:t>wfośigw na podstawie art.</w:t>
      </w:r>
      <w:r w:rsidR="003017B2" w:rsidRPr="00667967">
        <w:rPr>
          <w:bCs/>
        </w:rPr>
        <w:t> </w:t>
      </w:r>
      <w:r w:rsidR="00792D18" w:rsidRPr="00667967">
        <w:rPr>
          <w:bCs/>
        </w:rPr>
        <w:t xml:space="preserve">400f ust. 2 pkt 1 </w:t>
      </w:r>
      <w:r w:rsidR="00872D1F" w:rsidRPr="00667967">
        <w:rPr>
          <w:bCs/>
        </w:rPr>
        <w:t xml:space="preserve">ustawy Poś </w:t>
      </w:r>
      <w:r w:rsidR="00792D18" w:rsidRPr="00667967">
        <w:rPr>
          <w:bCs/>
        </w:rPr>
        <w:t>w dotychczasowym brzmieniu pełnią swoje funkcje do czasu cofnięcia ich wyznaczenia przez ministra właściwego do spraw klimatu.</w:t>
      </w:r>
    </w:p>
    <w:p w14:paraId="1173CA22" w14:textId="38993B78" w:rsidR="00792D18" w:rsidRPr="00667967" w:rsidRDefault="00792D18" w:rsidP="00595221">
      <w:pPr>
        <w:pStyle w:val="paragraph"/>
        <w:keepNext/>
        <w:spacing w:before="120" w:beforeAutospacing="0" w:after="120" w:afterAutospacing="0" w:line="360" w:lineRule="auto"/>
        <w:jc w:val="both"/>
        <w:textAlignment w:val="baseline"/>
        <w:rPr>
          <w:rStyle w:val="normaltextrun"/>
          <w:b/>
          <w:bCs/>
        </w:rPr>
      </w:pPr>
      <w:r w:rsidRPr="00667967">
        <w:rPr>
          <w:rStyle w:val="normaltextrun"/>
          <w:b/>
          <w:bCs/>
        </w:rPr>
        <w:t xml:space="preserve">Art. </w:t>
      </w:r>
      <w:r w:rsidR="00EE4359" w:rsidRPr="00667967">
        <w:rPr>
          <w:rStyle w:val="normaltextrun"/>
          <w:b/>
          <w:bCs/>
        </w:rPr>
        <w:t>2</w:t>
      </w:r>
      <w:r w:rsidR="005744C9" w:rsidRPr="00667967">
        <w:rPr>
          <w:rStyle w:val="normaltextrun"/>
          <w:b/>
          <w:bCs/>
        </w:rPr>
        <w:t>4</w:t>
      </w:r>
    </w:p>
    <w:p w14:paraId="48CA6964" w14:textId="0AFFC6A1" w:rsidR="00A55108" w:rsidRPr="00667967" w:rsidRDefault="00FA6377" w:rsidP="00595221">
      <w:pPr>
        <w:pStyle w:val="paragraph"/>
        <w:spacing w:before="120" w:beforeAutospacing="0" w:after="120" w:afterAutospacing="0" w:line="360" w:lineRule="auto"/>
        <w:jc w:val="both"/>
        <w:textAlignment w:val="baseline"/>
      </w:pPr>
      <w:r w:rsidRPr="00667967">
        <w:rPr>
          <w:rStyle w:val="normaltextrun"/>
        </w:rPr>
        <w:t>Do u</w:t>
      </w:r>
      <w:r w:rsidR="00A55108" w:rsidRPr="00667967">
        <w:rPr>
          <w:rStyle w:val="normaltextrun"/>
        </w:rPr>
        <w:t>chwały określające</w:t>
      </w:r>
      <w:r w:rsidRPr="00667967">
        <w:rPr>
          <w:rStyle w:val="normaltextrun"/>
        </w:rPr>
        <w:t>j</w:t>
      </w:r>
      <w:r w:rsidR="00A55108" w:rsidRPr="00667967">
        <w:rPr>
          <w:rStyle w:val="normaltextrun"/>
        </w:rPr>
        <w:t xml:space="preserve"> zasady udzielania dotacji celowej, podjętej przed dniem wejścia w życie projektowanej ustawy, będą miały zastosowanie przepisy dotychczasowe, </w:t>
      </w:r>
      <w:r w:rsidR="008F280B" w:rsidRPr="00667967">
        <w:rPr>
          <w:rStyle w:val="normaltextrun"/>
        </w:rPr>
        <w:t xml:space="preserve">ponadto do ww. uchwały stosuje się przepisy w brzmieniu dotychczasowym. </w:t>
      </w:r>
    </w:p>
    <w:p w14:paraId="183A025D" w14:textId="40F7FD18" w:rsidR="006922F8" w:rsidRPr="00667967" w:rsidRDefault="006922F8" w:rsidP="00595221">
      <w:pPr>
        <w:widowControl/>
        <w:suppressAutoHyphens w:val="0"/>
        <w:spacing w:before="120" w:after="120" w:line="360" w:lineRule="auto"/>
        <w:jc w:val="both"/>
        <w:rPr>
          <w:rFonts w:ascii="Times New Roman" w:hAnsi="Times New Roman" w:cs="Times New Roman"/>
          <w:b/>
          <w:kern w:val="0"/>
          <w:lang w:eastAsia="en-US" w:bidi="ar-SA"/>
        </w:rPr>
      </w:pPr>
      <w:r w:rsidRPr="00667967">
        <w:rPr>
          <w:rFonts w:ascii="Times New Roman" w:hAnsi="Times New Roman" w:cs="Times New Roman"/>
          <w:b/>
          <w:kern w:val="0"/>
          <w:lang w:eastAsia="en-US" w:bidi="ar-SA"/>
        </w:rPr>
        <w:t xml:space="preserve">Art. </w:t>
      </w:r>
      <w:r w:rsidR="00EE4359" w:rsidRPr="00667967">
        <w:rPr>
          <w:rFonts w:ascii="Times New Roman" w:hAnsi="Times New Roman" w:cs="Times New Roman"/>
          <w:b/>
          <w:kern w:val="0"/>
          <w:lang w:eastAsia="en-US" w:bidi="ar-SA"/>
        </w:rPr>
        <w:t>2</w:t>
      </w:r>
      <w:r w:rsidR="005744C9" w:rsidRPr="00667967">
        <w:rPr>
          <w:rFonts w:ascii="Times New Roman" w:hAnsi="Times New Roman" w:cs="Times New Roman"/>
          <w:b/>
          <w:kern w:val="0"/>
          <w:lang w:eastAsia="en-US" w:bidi="ar-SA"/>
        </w:rPr>
        <w:t>5</w:t>
      </w:r>
    </w:p>
    <w:p w14:paraId="22027C2F" w14:textId="4A0E05E7" w:rsidR="00BF5E32" w:rsidRPr="00667967" w:rsidRDefault="000C60E7" w:rsidP="00595221">
      <w:pPr>
        <w:pStyle w:val="pf0"/>
        <w:spacing w:before="120" w:beforeAutospacing="0" w:after="120" w:afterAutospacing="0" w:line="360" w:lineRule="auto"/>
        <w:jc w:val="both"/>
      </w:pPr>
      <w:r w:rsidRPr="00667967">
        <w:rPr>
          <w:bCs/>
          <w:lang w:eastAsia="en-US"/>
        </w:rPr>
        <w:t xml:space="preserve">Wojewódzkie fundusze udostępniają </w:t>
      </w:r>
      <w:r w:rsidR="00FA73A2" w:rsidRPr="00667967">
        <w:rPr>
          <w:bCs/>
          <w:lang w:eastAsia="en-US"/>
        </w:rPr>
        <w:t xml:space="preserve">Narodowemu Funduszowi </w:t>
      </w:r>
      <w:r w:rsidRPr="00667967">
        <w:rPr>
          <w:bCs/>
          <w:lang w:eastAsia="en-US"/>
        </w:rPr>
        <w:t xml:space="preserve">oraz podmiotom, które na podstawie odrębnych przepisów są uprawnione do wykonywania zadań w zakresie ochrony interesów finansowych i budżetu Unii Europejskiej, w celu realizacji tych zadań, </w:t>
      </w:r>
      <w:r w:rsidR="00F65E3D" w:rsidRPr="00667967">
        <w:rPr>
          <w:bCs/>
          <w:lang w:eastAsia="en-US"/>
        </w:rPr>
        <w:t xml:space="preserve">niezbędne </w:t>
      </w:r>
      <w:r w:rsidRPr="00667967">
        <w:rPr>
          <w:bCs/>
          <w:lang w:eastAsia="en-US"/>
        </w:rPr>
        <w:t>dane osobowe osób fizycznych przetwarzan</w:t>
      </w:r>
      <w:r w:rsidR="00221682" w:rsidRPr="00667967">
        <w:rPr>
          <w:bCs/>
          <w:lang w:eastAsia="en-US"/>
        </w:rPr>
        <w:t>e</w:t>
      </w:r>
      <w:r w:rsidRPr="00667967">
        <w:rPr>
          <w:bCs/>
          <w:lang w:eastAsia="en-US"/>
        </w:rPr>
        <w:t xml:space="preserve"> w związku z wykonywaniem zadań publicznych przez te fundusze, </w:t>
      </w:r>
      <w:r w:rsidR="005968AC" w:rsidRPr="00667967">
        <w:rPr>
          <w:bCs/>
          <w:lang w:eastAsia="en-US"/>
        </w:rPr>
        <w:t xml:space="preserve">pozyskane od tych osób </w:t>
      </w:r>
      <w:r w:rsidRPr="00667967">
        <w:rPr>
          <w:bCs/>
          <w:lang w:eastAsia="en-US"/>
        </w:rPr>
        <w:t>od dnia 15 maja 2020 r.</w:t>
      </w:r>
      <w:r w:rsidR="003E2021" w:rsidRPr="00667967">
        <w:rPr>
          <w:bCs/>
          <w:lang w:eastAsia="en-US"/>
        </w:rPr>
        <w:t xml:space="preserve"> Ś</w:t>
      </w:r>
      <w:r w:rsidR="003E2021" w:rsidRPr="00667967">
        <w:t xml:space="preserve">rodki wydatkowane przez </w:t>
      </w:r>
      <w:r w:rsidR="00FA73A2" w:rsidRPr="00667967">
        <w:t xml:space="preserve">Narodowy Fundusz </w:t>
      </w:r>
      <w:r w:rsidR="003E2021" w:rsidRPr="00667967">
        <w:t xml:space="preserve">na realizację Programu Priorytetowego </w:t>
      </w:r>
      <w:r w:rsidR="00AB535A" w:rsidRPr="00667967">
        <w:t>„</w:t>
      </w:r>
      <w:r w:rsidR="003E2021" w:rsidRPr="00667967">
        <w:t>Czyste Powietrze</w:t>
      </w:r>
      <w:r w:rsidR="00AB535A" w:rsidRPr="00667967">
        <w:t>”</w:t>
      </w:r>
      <w:r w:rsidR="003E2021" w:rsidRPr="00667967">
        <w:t xml:space="preserve"> od dnia 15</w:t>
      </w:r>
      <w:r w:rsidR="00D029CA">
        <w:t> </w:t>
      </w:r>
      <w:r w:rsidR="003E2021" w:rsidRPr="00667967">
        <w:t xml:space="preserve">maja 2020 r. do dnia zawarcia umowy o objęcie wsparciem przedsięwzięcia </w:t>
      </w:r>
      <w:r w:rsidR="00AB535A" w:rsidRPr="00667967">
        <w:t>„</w:t>
      </w:r>
      <w:r w:rsidR="003E2021" w:rsidRPr="00667967">
        <w:t xml:space="preserve">Wymiana źródeł ciepła i poprawa efektywności energetycznej budynków mieszkalnych w ramach </w:t>
      </w:r>
      <w:r w:rsidR="003E2021" w:rsidRPr="00667967">
        <w:lastRenderedPageBreak/>
        <w:t xml:space="preserve">Programu Priorytetowego </w:t>
      </w:r>
      <w:r w:rsidR="00AB535A" w:rsidRPr="00667967">
        <w:t>„</w:t>
      </w:r>
      <w:r w:rsidR="003E2021" w:rsidRPr="00667967">
        <w:t>Czyste Powietrze</w:t>
      </w:r>
      <w:r w:rsidR="00AB535A" w:rsidRPr="00667967">
        <w:t>”</w:t>
      </w:r>
      <w:r w:rsidR="003E2021" w:rsidRPr="00667967">
        <w:t xml:space="preserve"> zostaną zrefundowane ze środków KPO. W związku z </w:t>
      </w:r>
      <w:r w:rsidR="00B1788E" w:rsidRPr="00667967">
        <w:t>tym</w:t>
      </w:r>
      <w:r w:rsidR="003E2021" w:rsidRPr="00667967">
        <w:t>, aby je rozliczyć, konieczn</w:t>
      </w:r>
      <w:r w:rsidR="00230D96" w:rsidRPr="00667967">
        <w:t>e</w:t>
      </w:r>
      <w:r w:rsidR="003E2021" w:rsidRPr="00667967">
        <w:t xml:space="preserve"> będzie udostępnienie </w:t>
      </w:r>
      <w:r w:rsidR="008968F7" w:rsidRPr="00667967">
        <w:t xml:space="preserve">przez </w:t>
      </w:r>
      <w:r w:rsidR="00FA73A2" w:rsidRPr="00667967">
        <w:t>wojewódzkie fundusze wskazanych</w:t>
      </w:r>
      <w:r w:rsidR="00C82A2A" w:rsidRPr="00667967">
        <w:t xml:space="preserve"> </w:t>
      </w:r>
      <w:r w:rsidR="00F65E3D" w:rsidRPr="00667967">
        <w:t xml:space="preserve">niezbędnych </w:t>
      </w:r>
      <w:r w:rsidR="00221682" w:rsidRPr="00667967">
        <w:t>danych uprawnionym podmiotom</w:t>
      </w:r>
      <w:r w:rsidR="0061085D" w:rsidRPr="00667967">
        <w:t xml:space="preserve"> w rozumieniu art. 411 ust. 12 ustawy </w:t>
      </w:r>
      <w:r w:rsidR="00FA73A2" w:rsidRPr="00667967">
        <w:t>Poś</w:t>
      </w:r>
      <w:r w:rsidR="00221682" w:rsidRPr="00667967">
        <w:t>.</w:t>
      </w:r>
    </w:p>
    <w:p w14:paraId="40463624" w14:textId="1F0E347C" w:rsidR="00A32B81" w:rsidRPr="00667967" w:rsidRDefault="00A32B81" w:rsidP="00595221">
      <w:pPr>
        <w:widowControl/>
        <w:suppressAutoHyphens w:val="0"/>
        <w:spacing w:before="120" w:after="120" w:line="360" w:lineRule="auto"/>
        <w:jc w:val="both"/>
        <w:rPr>
          <w:rFonts w:ascii="Times New Roman" w:hAnsi="Times New Roman" w:cs="Times New Roman"/>
          <w:b/>
          <w:kern w:val="0"/>
          <w:lang w:eastAsia="en-US" w:bidi="ar-SA"/>
        </w:rPr>
      </w:pPr>
      <w:r w:rsidRPr="00667967">
        <w:rPr>
          <w:rFonts w:ascii="Times New Roman" w:hAnsi="Times New Roman" w:cs="Times New Roman"/>
          <w:b/>
          <w:kern w:val="0"/>
          <w:lang w:eastAsia="en-US" w:bidi="ar-SA"/>
        </w:rPr>
        <w:t xml:space="preserve">Art. </w:t>
      </w:r>
      <w:r w:rsidR="00EE4359" w:rsidRPr="00667967">
        <w:rPr>
          <w:rFonts w:ascii="Times New Roman" w:hAnsi="Times New Roman" w:cs="Times New Roman"/>
          <w:b/>
          <w:kern w:val="0"/>
          <w:lang w:eastAsia="en-US" w:bidi="ar-SA"/>
        </w:rPr>
        <w:t>2</w:t>
      </w:r>
      <w:r w:rsidR="005744C9" w:rsidRPr="00667967">
        <w:rPr>
          <w:rFonts w:ascii="Times New Roman" w:hAnsi="Times New Roman" w:cs="Times New Roman"/>
          <w:b/>
          <w:kern w:val="0"/>
          <w:lang w:eastAsia="en-US" w:bidi="ar-SA"/>
        </w:rPr>
        <w:t>6</w:t>
      </w:r>
    </w:p>
    <w:p w14:paraId="6097CEE7" w14:textId="71BD7FCA" w:rsidR="006D72AC" w:rsidRPr="00667967" w:rsidRDefault="00F37BA0" w:rsidP="00595221">
      <w:pPr>
        <w:widowControl/>
        <w:suppressAutoHyphens w:val="0"/>
        <w:spacing w:before="120" w:after="120" w:line="360" w:lineRule="auto"/>
        <w:jc w:val="both"/>
        <w:rPr>
          <w:rFonts w:ascii="Times New Roman" w:hAnsi="Times New Roman" w:cs="Times New Roman"/>
          <w:bCs/>
          <w:kern w:val="0"/>
          <w:lang w:eastAsia="en-US" w:bidi="ar-SA"/>
        </w:rPr>
      </w:pPr>
      <w:r w:rsidRPr="00667967">
        <w:rPr>
          <w:rFonts w:ascii="Times New Roman" w:hAnsi="Times New Roman" w:cs="Times New Roman"/>
          <w:bCs/>
          <w:kern w:val="0"/>
          <w:lang w:eastAsia="en-US" w:bidi="ar-SA"/>
        </w:rPr>
        <w:t>Plany ogólne</w:t>
      </w:r>
      <w:r w:rsidR="006D72AC" w:rsidRPr="00667967">
        <w:rPr>
          <w:rFonts w:ascii="Times New Roman" w:hAnsi="Times New Roman" w:cs="Times New Roman"/>
          <w:bCs/>
          <w:kern w:val="0"/>
          <w:lang w:eastAsia="en-US" w:bidi="ar-SA"/>
        </w:rPr>
        <w:t xml:space="preserve"> gmin oraz plany zagospodarowania przestrzennego województw </w:t>
      </w:r>
      <w:r w:rsidR="009764F6" w:rsidRPr="00667967">
        <w:rPr>
          <w:rFonts w:ascii="Times New Roman" w:hAnsi="Times New Roman" w:cs="Times New Roman"/>
          <w:bCs/>
          <w:kern w:val="0"/>
          <w:lang w:eastAsia="en-US" w:bidi="ar-SA"/>
        </w:rPr>
        <w:t>uchwalone przed dniem</w:t>
      </w:r>
      <w:r w:rsidR="006D72AC" w:rsidRPr="00667967">
        <w:rPr>
          <w:rFonts w:ascii="Times New Roman" w:hAnsi="Times New Roman" w:cs="Times New Roman"/>
          <w:bCs/>
          <w:kern w:val="0"/>
          <w:lang w:eastAsia="en-US" w:bidi="ar-SA"/>
        </w:rPr>
        <w:t xml:space="preserve"> wejścia w życie ustawy zachowują moc i mogą być zmieniane.</w:t>
      </w:r>
    </w:p>
    <w:p w14:paraId="75E351EC" w14:textId="016221F0" w:rsidR="00B95632" w:rsidRPr="00667967" w:rsidRDefault="00B95632" w:rsidP="00595221">
      <w:pPr>
        <w:widowControl/>
        <w:suppressAutoHyphens w:val="0"/>
        <w:spacing w:before="120" w:after="120" w:line="360" w:lineRule="auto"/>
        <w:jc w:val="both"/>
        <w:rPr>
          <w:rFonts w:ascii="Times New Roman" w:hAnsi="Times New Roman" w:cs="Times New Roman"/>
          <w:bCs/>
          <w:kern w:val="0"/>
          <w:lang w:eastAsia="en-US" w:bidi="ar-SA"/>
        </w:rPr>
      </w:pPr>
      <w:r w:rsidRPr="00667967">
        <w:rPr>
          <w:rFonts w:ascii="Times New Roman" w:hAnsi="Times New Roman" w:cs="Times New Roman"/>
          <w:bCs/>
          <w:kern w:val="0"/>
          <w:lang w:eastAsia="en-US" w:bidi="ar-SA"/>
        </w:rPr>
        <w:t>Miejscowe plany zagospodarowania przestrzennego obowiązujące w dniu wejścia w życie ustawy zachowują moc i mogą być zmieniane.</w:t>
      </w:r>
    </w:p>
    <w:p w14:paraId="038B2030" w14:textId="42577A0B" w:rsidR="00FD27DE" w:rsidRPr="00667967" w:rsidRDefault="00FD27DE" w:rsidP="00595221">
      <w:pPr>
        <w:widowControl/>
        <w:suppressAutoHyphens w:val="0"/>
        <w:spacing w:before="120" w:after="120" w:line="360" w:lineRule="auto"/>
        <w:jc w:val="both"/>
        <w:rPr>
          <w:rFonts w:ascii="Times New Roman" w:hAnsi="Times New Roman" w:cs="Times New Roman"/>
        </w:rPr>
      </w:pPr>
      <w:r w:rsidRPr="00667967">
        <w:rPr>
          <w:rFonts w:ascii="Times New Roman" w:hAnsi="Times New Roman" w:cs="Times New Roman"/>
        </w:rPr>
        <w:t xml:space="preserve">Do </w:t>
      </w:r>
      <w:r w:rsidR="00F37BA0" w:rsidRPr="00667967">
        <w:rPr>
          <w:rFonts w:ascii="Times New Roman" w:hAnsi="Times New Roman" w:cs="Times New Roman"/>
        </w:rPr>
        <w:t>planów ogólnych</w:t>
      </w:r>
      <w:r w:rsidRPr="00667967">
        <w:rPr>
          <w:rFonts w:ascii="Times New Roman" w:hAnsi="Times New Roman" w:cs="Times New Roman"/>
        </w:rPr>
        <w:t xml:space="preserve"> gmin</w:t>
      </w:r>
      <w:r w:rsidR="009F5BC7" w:rsidRPr="00667967">
        <w:rPr>
          <w:rFonts w:ascii="Times New Roman" w:hAnsi="Times New Roman" w:cs="Times New Roman"/>
        </w:rPr>
        <w:t xml:space="preserve"> oraz</w:t>
      </w:r>
      <w:r w:rsidRPr="00667967">
        <w:rPr>
          <w:rFonts w:ascii="Times New Roman" w:hAnsi="Times New Roman" w:cs="Times New Roman"/>
        </w:rPr>
        <w:t xml:space="preserve"> miejscowych planów zagospodarowania przestrzennego, w</w:t>
      </w:r>
      <w:r w:rsidR="007615B8" w:rsidRPr="00667967">
        <w:rPr>
          <w:rFonts w:ascii="Times New Roman" w:hAnsi="Times New Roman" w:cs="Times New Roman"/>
        </w:rPr>
        <w:t> </w:t>
      </w:r>
      <w:r w:rsidRPr="00667967">
        <w:rPr>
          <w:rFonts w:ascii="Times New Roman" w:hAnsi="Times New Roman" w:cs="Times New Roman"/>
        </w:rPr>
        <w:t xml:space="preserve">odniesieniu do których przed dniem uchwalenia </w:t>
      </w:r>
      <w:r w:rsidR="009E78C9">
        <w:rPr>
          <w:rFonts w:ascii="Times New Roman" w:hAnsi="Times New Roman" w:cs="Times New Roman"/>
        </w:rPr>
        <w:t>MPA</w:t>
      </w:r>
      <w:r w:rsidRPr="00667967">
        <w:rPr>
          <w:rFonts w:ascii="Times New Roman" w:hAnsi="Times New Roman" w:cs="Times New Roman"/>
        </w:rPr>
        <w:t>, o których mowa w</w:t>
      </w:r>
      <w:r w:rsidR="007615B8" w:rsidRPr="00667967">
        <w:rPr>
          <w:rFonts w:ascii="Times New Roman" w:hAnsi="Times New Roman" w:cs="Times New Roman"/>
        </w:rPr>
        <w:t> </w:t>
      </w:r>
      <w:r w:rsidRPr="00667967">
        <w:rPr>
          <w:rFonts w:ascii="Times New Roman" w:hAnsi="Times New Roman" w:cs="Times New Roman"/>
        </w:rPr>
        <w:t xml:space="preserve">art. 18a ustawy </w:t>
      </w:r>
      <w:r w:rsidR="00772EF0" w:rsidRPr="00667967">
        <w:rPr>
          <w:rFonts w:ascii="Times New Roman" w:hAnsi="Times New Roman" w:cs="Times New Roman"/>
        </w:rPr>
        <w:t>Poś</w:t>
      </w:r>
      <w:r w:rsidRPr="00667967">
        <w:rPr>
          <w:rFonts w:ascii="Times New Roman" w:hAnsi="Times New Roman" w:cs="Times New Roman"/>
        </w:rPr>
        <w:t>, a</w:t>
      </w:r>
      <w:r w:rsidRPr="00667967">
        <w:rPr>
          <w:rStyle w:val="cf01"/>
          <w:rFonts w:ascii="Times New Roman" w:hAnsi="Times New Roman" w:cs="Times New Roman"/>
          <w:i w:val="0"/>
          <w:iCs w:val="0"/>
          <w:sz w:val="24"/>
          <w:szCs w:val="24"/>
        </w:rPr>
        <w:t>lbo w odniesieniu do których przed uznaniem dokumentów, o</w:t>
      </w:r>
      <w:r w:rsidR="007615B8" w:rsidRPr="00667967">
        <w:rPr>
          <w:rStyle w:val="cf01"/>
          <w:rFonts w:ascii="Times New Roman" w:hAnsi="Times New Roman" w:cs="Times New Roman"/>
          <w:i w:val="0"/>
          <w:iCs w:val="0"/>
          <w:sz w:val="24"/>
          <w:szCs w:val="24"/>
        </w:rPr>
        <w:t> </w:t>
      </w:r>
      <w:r w:rsidRPr="00667967">
        <w:rPr>
          <w:rStyle w:val="cf01"/>
          <w:rFonts w:ascii="Times New Roman" w:hAnsi="Times New Roman" w:cs="Times New Roman"/>
          <w:i w:val="0"/>
          <w:iCs w:val="0"/>
          <w:sz w:val="24"/>
          <w:szCs w:val="24"/>
        </w:rPr>
        <w:t xml:space="preserve">których mowa w art. </w:t>
      </w:r>
      <w:r w:rsidR="001A28CD" w:rsidRPr="00667967">
        <w:rPr>
          <w:rStyle w:val="cf01"/>
          <w:rFonts w:ascii="Times New Roman" w:hAnsi="Times New Roman" w:cs="Times New Roman"/>
          <w:i w:val="0"/>
          <w:iCs w:val="0"/>
          <w:sz w:val="24"/>
          <w:szCs w:val="24"/>
        </w:rPr>
        <w:t>1</w:t>
      </w:r>
      <w:r w:rsidR="005744C9" w:rsidRPr="00667967">
        <w:rPr>
          <w:rStyle w:val="cf01"/>
          <w:rFonts w:ascii="Times New Roman" w:hAnsi="Times New Roman" w:cs="Times New Roman"/>
          <w:i w:val="0"/>
          <w:iCs w:val="0"/>
          <w:sz w:val="24"/>
          <w:szCs w:val="24"/>
        </w:rPr>
        <w:t>5</w:t>
      </w:r>
      <w:r w:rsidR="001A28CD" w:rsidRPr="00667967">
        <w:rPr>
          <w:rStyle w:val="cf01"/>
          <w:rFonts w:ascii="Times New Roman" w:hAnsi="Times New Roman" w:cs="Times New Roman"/>
          <w:i w:val="0"/>
          <w:iCs w:val="0"/>
          <w:sz w:val="24"/>
          <w:szCs w:val="24"/>
        </w:rPr>
        <w:t xml:space="preserve"> </w:t>
      </w:r>
      <w:r w:rsidRPr="00667967">
        <w:rPr>
          <w:rStyle w:val="cf01"/>
          <w:rFonts w:ascii="Times New Roman" w:hAnsi="Times New Roman" w:cs="Times New Roman"/>
          <w:i w:val="0"/>
          <w:iCs w:val="0"/>
          <w:sz w:val="24"/>
          <w:szCs w:val="24"/>
        </w:rPr>
        <w:t xml:space="preserve">ust. 1, za </w:t>
      </w:r>
      <w:r w:rsidR="009E78C9">
        <w:rPr>
          <w:rStyle w:val="cf01"/>
          <w:rFonts w:ascii="Times New Roman" w:hAnsi="Times New Roman" w:cs="Times New Roman"/>
          <w:i w:val="0"/>
          <w:iCs w:val="0"/>
          <w:sz w:val="24"/>
          <w:szCs w:val="24"/>
        </w:rPr>
        <w:t>MPA</w:t>
      </w:r>
      <w:r w:rsidRPr="00667967">
        <w:rPr>
          <w:rStyle w:val="cf01"/>
          <w:rFonts w:ascii="Times New Roman" w:hAnsi="Times New Roman" w:cs="Times New Roman"/>
          <w:i w:val="0"/>
          <w:iCs w:val="0"/>
          <w:sz w:val="24"/>
          <w:szCs w:val="24"/>
        </w:rPr>
        <w:t xml:space="preserve">, </w:t>
      </w:r>
      <w:r w:rsidRPr="00667967">
        <w:rPr>
          <w:rFonts w:ascii="Times New Roman" w:hAnsi="Times New Roman" w:cs="Times New Roman"/>
        </w:rPr>
        <w:t>rozpoczęto proces opiniowania lub uzgadniania, stosuje się przepisy dotychczasowe</w:t>
      </w:r>
      <w:r w:rsidR="00B95632" w:rsidRPr="00667967">
        <w:rPr>
          <w:rFonts w:ascii="Times New Roman" w:hAnsi="Times New Roman" w:cs="Times New Roman"/>
        </w:rPr>
        <w:t>.</w:t>
      </w:r>
    </w:p>
    <w:p w14:paraId="711151B5" w14:textId="30F1CFE3" w:rsidR="005746C8" w:rsidRPr="00667967" w:rsidRDefault="009764F6" w:rsidP="00595221">
      <w:pPr>
        <w:widowControl/>
        <w:suppressAutoHyphens w:val="0"/>
        <w:spacing w:before="120" w:after="120" w:line="360" w:lineRule="auto"/>
        <w:jc w:val="both"/>
        <w:rPr>
          <w:rFonts w:ascii="Times New Roman" w:hAnsi="Times New Roman" w:cs="Times New Roman"/>
          <w:bCs/>
          <w:kern w:val="0"/>
          <w:lang w:eastAsia="en-US" w:bidi="ar-SA"/>
        </w:rPr>
      </w:pPr>
      <w:r w:rsidRPr="00667967">
        <w:rPr>
          <w:rFonts w:ascii="Times New Roman" w:hAnsi="Times New Roman" w:cs="Times New Roman"/>
          <w:bCs/>
          <w:kern w:val="0"/>
          <w:lang w:eastAsia="en-US" w:bidi="ar-SA"/>
        </w:rPr>
        <w:t>Do planów zagospodarowania przestrzennego województw, w odniesieniu do których przed dniem wejścia w życie ustawy rozpoczęto proces opiniowania lub uzgadniania, stosuje się przepisy dotychczasowe.</w:t>
      </w:r>
    </w:p>
    <w:p w14:paraId="5BF5AE9E" w14:textId="63C621F9" w:rsidR="00664D28" w:rsidRPr="00667967" w:rsidRDefault="00DA2874" w:rsidP="00595221">
      <w:pPr>
        <w:keepNext/>
        <w:widowControl/>
        <w:suppressAutoHyphens w:val="0"/>
        <w:spacing w:before="120" w:after="120" w:line="360" w:lineRule="auto"/>
        <w:jc w:val="both"/>
        <w:rPr>
          <w:rFonts w:ascii="Times New Roman" w:hAnsi="Times New Roman" w:cs="Times New Roman"/>
          <w:b/>
          <w:kern w:val="0"/>
          <w:lang w:eastAsia="en-US" w:bidi="ar-SA"/>
        </w:rPr>
      </w:pPr>
      <w:r w:rsidRPr="00667967">
        <w:rPr>
          <w:rFonts w:ascii="Times New Roman" w:hAnsi="Times New Roman" w:cs="Times New Roman"/>
          <w:b/>
          <w:kern w:val="0"/>
          <w:lang w:eastAsia="en-US" w:bidi="ar-SA"/>
        </w:rPr>
        <w:t xml:space="preserve">Art. </w:t>
      </w:r>
      <w:r w:rsidR="005744C9" w:rsidRPr="00667967">
        <w:rPr>
          <w:rFonts w:ascii="Times New Roman" w:hAnsi="Times New Roman" w:cs="Times New Roman"/>
          <w:b/>
          <w:kern w:val="0"/>
          <w:lang w:eastAsia="en-US" w:bidi="ar-SA"/>
        </w:rPr>
        <w:t xml:space="preserve">27 </w:t>
      </w:r>
    </w:p>
    <w:p w14:paraId="1F82199E" w14:textId="47C113C7" w:rsidR="00664D28" w:rsidRPr="00667967" w:rsidRDefault="00664D28" w:rsidP="00595221">
      <w:pPr>
        <w:widowControl/>
        <w:suppressAutoHyphens w:val="0"/>
        <w:spacing w:before="120" w:after="120" w:line="360" w:lineRule="auto"/>
        <w:jc w:val="both"/>
        <w:rPr>
          <w:rFonts w:ascii="Times New Roman" w:hAnsi="Times New Roman" w:cs="Times New Roman"/>
          <w:bCs/>
          <w:kern w:val="0"/>
          <w:lang w:eastAsia="en-US" w:bidi="ar-SA"/>
        </w:rPr>
      </w:pPr>
      <w:r w:rsidRPr="00667967">
        <w:rPr>
          <w:rFonts w:ascii="Times New Roman" w:hAnsi="Times New Roman" w:cs="Times New Roman"/>
          <w:bCs/>
          <w:kern w:val="0"/>
          <w:lang w:eastAsia="en-US" w:bidi="ar-SA"/>
        </w:rPr>
        <w:t xml:space="preserve">W celu zachowania ciągłości pracy Państwowej Rady Ochrony Przyrody określono, że do Rady powołanej na podstawie dotychczasowych przepisów stosuje się przepisy dotyczące Państwowej Rady Ochrony Przyrody w ustawie o ochronie przyrody, w brzmieniu nadanym </w:t>
      </w:r>
      <w:r w:rsidR="00222614" w:rsidRPr="00667967">
        <w:rPr>
          <w:rFonts w:ascii="Times New Roman" w:hAnsi="Times New Roman" w:cs="Times New Roman"/>
          <w:bCs/>
          <w:kern w:val="0"/>
          <w:lang w:eastAsia="en-US" w:bidi="ar-SA"/>
        </w:rPr>
        <w:t xml:space="preserve">przedmiotową </w:t>
      </w:r>
      <w:r w:rsidRPr="00667967">
        <w:rPr>
          <w:rFonts w:ascii="Times New Roman" w:hAnsi="Times New Roman" w:cs="Times New Roman"/>
          <w:bCs/>
          <w:kern w:val="0"/>
          <w:lang w:eastAsia="en-US" w:bidi="ar-SA"/>
        </w:rPr>
        <w:t>ustawą.</w:t>
      </w:r>
    </w:p>
    <w:p w14:paraId="5994E58D" w14:textId="50C0C9DD" w:rsidR="00DA2874" w:rsidRPr="00667967" w:rsidRDefault="00664D28" w:rsidP="00595221">
      <w:pPr>
        <w:widowControl/>
        <w:suppressAutoHyphens w:val="0"/>
        <w:spacing w:before="120" w:after="120" w:line="360" w:lineRule="auto"/>
        <w:jc w:val="both"/>
        <w:rPr>
          <w:rFonts w:ascii="Times New Roman" w:hAnsi="Times New Roman" w:cs="Times New Roman"/>
          <w:b/>
          <w:kern w:val="0"/>
          <w:lang w:eastAsia="en-US" w:bidi="ar-SA"/>
        </w:rPr>
      </w:pPr>
      <w:r w:rsidRPr="00667967">
        <w:rPr>
          <w:rFonts w:ascii="Times New Roman" w:hAnsi="Times New Roman" w:cs="Times New Roman"/>
          <w:b/>
          <w:kern w:val="0"/>
          <w:lang w:eastAsia="en-US" w:bidi="ar-SA"/>
        </w:rPr>
        <w:t xml:space="preserve">Art. </w:t>
      </w:r>
      <w:r w:rsidR="005744C9" w:rsidRPr="00667967">
        <w:rPr>
          <w:rFonts w:ascii="Times New Roman" w:hAnsi="Times New Roman" w:cs="Times New Roman"/>
          <w:b/>
          <w:kern w:val="0"/>
          <w:lang w:eastAsia="en-US" w:bidi="ar-SA"/>
        </w:rPr>
        <w:t>28</w:t>
      </w:r>
    </w:p>
    <w:p w14:paraId="5D95746B" w14:textId="3D8DF848" w:rsidR="00E13BF5" w:rsidRPr="00667967" w:rsidRDefault="00E13BF5" w:rsidP="00595221">
      <w:pPr>
        <w:widowControl/>
        <w:suppressAutoHyphens w:val="0"/>
        <w:spacing w:before="120" w:after="120" w:line="360" w:lineRule="auto"/>
        <w:jc w:val="both"/>
        <w:rPr>
          <w:rFonts w:ascii="Times New Roman" w:hAnsi="Times New Roman" w:cs="Times New Roman"/>
          <w:bCs/>
          <w:kern w:val="0"/>
          <w:lang w:eastAsia="en-US" w:bidi="ar-SA"/>
        </w:rPr>
      </w:pPr>
      <w:r w:rsidRPr="00667967">
        <w:rPr>
          <w:rFonts w:ascii="Times New Roman" w:hAnsi="Times New Roman" w:cs="Times New Roman"/>
          <w:bCs/>
          <w:kern w:val="0"/>
          <w:lang w:eastAsia="en-US" w:bidi="ar-SA"/>
        </w:rPr>
        <w:t>Do spraw dotyczących opracowania i uchwalania strategii rozwoju gminy, strategii rozwoju ponadlokalnego, strategii rozwoju województwa, strategii rozwoju związku metropolitalnego, o</w:t>
      </w:r>
      <w:r w:rsidR="004D1D52" w:rsidRPr="00667967">
        <w:rPr>
          <w:rFonts w:ascii="Times New Roman" w:hAnsi="Times New Roman" w:cs="Times New Roman"/>
          <w:bCs/>
          <w:kern w:val="0"/>
          <w:lang w:eastAsia="en-US" w:bidi="ar-SA"/>
        </w:rPr>
        <w:t> </w:t>
      </w:r>
      <w:r w:rsidRPr="00667967">
        <w:rPr>
          <w:rFonts w:ascii="Times New Roman" w:hAnsi="Times New Roman" w:cs="Times New Roman"/>
          <w:bCs/>
          <w:kern w:val="0"/>
          <w:lang w:eastAsia="en-US" w:bidi="ar-SA"/>
        </w:rPr>
        <w:t xml:space="preserve">których mowa w przepisach ustawy zmienianej w art. 2, 3, </w:t>
      </w:r>
      <w:r w:rsidR="005744C9" w:rsidRPr="00667967">
        <w:rPr>
          <w:rFonts w:ascii="Times New Roman" w:hAnsi="Times New Roman" w:cs="Times New Roman"/>
          <w:bCs/>
          <w:kern w:val="0"/>
          <w:lang w:eastAsia="en-US" w:bidi="ar-SA"/>
        </w:rPr>
        <w:t xml:space="preserve">9 </w:t>
      </w:r>
      <w:r w:rsidRPr="00667967">
        <w:rPr>
          <w:rFonts w:ascii="Times New Roman" w:hAnsi="Times New Roman" w:cs="Times New Roman"/>
          <w:bCs/>
          <w:kern w:val="0"/>
          <w:lang w:eastAsia="en-US" w:bidi="ar-SA"/>
        </w:rPr>
        <w:t>i 1</w:t>
      </w:r>
      <w:r w:rsidR="005744C9" w:rsidRPr="00667967">
        <w:rPr>
          <w:rFonts w:ascii="Times New Roman" w:hAnsi="Times New Roman" w:cs="Times New Roman"/>
          <w:bCs/>
          <w:kern w:val="0"/>
          <w:lang w:eastAsia="en-US" w:bidi="ar-SA"/>
        </w:rPr>
        <w:t>4</w:t>
      </w:r>
      <w:r w:rsidRPr="00667967">
        <w:rPr>
          <w:rFonts w:ascii="Times New Roman" w:hAnsi="Times New Roman" w:cs="Times New Roman"/>
          <w:bCs/>
          <w:kern w:val="0"/>
          <w:lang w:eastAsia="en-US" w:bidi="ar-SA"/>
        </w:rPr>
        <w:t>, albo zmian</w:t>
      </w:r>
      <w:r w:rsidR="001A28CD" w:rsidRPr="00667967">
        <w:rPr>
          <w:rFonts w:ascii="Times New Roman" w:hAnsi="Times New Roman" w:cs="Times New Roman"/>
          <w:bCs/>
          <w:kern w:val="0"/>
          <w:lang w:eastAsia="en-US" w:bidi="ar-SA"/>
        </w:rPr>
        <w:t xml:space="preserve"> tych strategii</w:t>
      </w:r>
      <w:r w:rsidRPr="00667967">
        <w:rPr>
          <w:rFonts w:ascii="Times New Roman" w:hAnsi="Times New Roman" w:cs="Times New Roman"/>
          <w:bCs/>
          <w:kern w:val="0"/>
          <w:lang w:eastAsia="en-US" w:bidi="ar-SA"/>
        </w:rPr>
        <w:t>, wszczętych i</w:t>
      </w:r>
      <w:r w:rsidR="00121EB5" w:rsidRPr="00667967">
        <w:rPr>
          <w:rFonts w:ascii="Times New Roman" w:hAnsi="Times New Roman" w:cs="Times New Roman"/>
          <w:bCs/>
          <w:kern w:val="0"/>
          <w:lang w:eastAsia="en-US" w:bidi="ar-SA"/>
        </w:rPr>
        <w:t> </w:t>
      </w:r>
      <w:r w:rsidRPr="00667967">
        <w:rPr>
          <w:rFonts w:ascii="Times New Roman" w:hAnsi="Times New Roman" w:cs="Times New Roman"/>
          <w:bCs/>
          <w:kern w:val="0"/>
          <w:lang w:eastAsia="en-US" w:bidi="ar-SA"/>
        </w:rPr>
        <w:t>niezakończonych przed dniem wejścia w życie niniejszej ustawy stosuje się przepisy dotychczasowe.</w:t>
      </w:r>
    </w:p>
    <w:p w14:paraId="20152E50" w14:textId="5E18EB65" w:rsidR="00DA2874" w:rsidRPr="00667967" w:rsidRDefault="00DA2874" w:rsidP="00595221">
      <w:pPr>
        <w:keepNext/>
        <w:widowControl/>
        <w:suppressAutoHyphens w:val="0"/>
        <w:spacing w:before="120" w:after="120" w:line="360" w:lineRule="auto"/>
        <w:jc w:val="both"/>
        <w:rPr>
          <w:rFonts w:ascii="Times New Roman" w:hAnsi="Times New Roman" w:cs="Times New Roman"/>
          <w:b/>
          <w:kern w:val="0"/>
          <w:lang w:eastAsia="en-US" w:bidi="ar-SA"/>
        </w:rPr>
      </w:pPr>
      <w:r w:rsidRPr="00667967">
        <w:rPr>
          <w:rFonts w:ascii="Times New Roman" w:hAnsi="Times New Roman" w:cs="Times New Roman"/>
          <w:b/>
          <w:kern w:val="0"/>
          <w:lang w:eastAsia="en-US" w:bidi="ar-SA"/>
        </w:rPr>
        <w:lastRenderedPageBreak/>
        <w:t xml:space="preserve">Art. </w:t>
      </w:r>
      <w:r w:rsidR="005744C9" w:rsidRPr="00667967">
        <w:rPr>
          <w:rFonts w:ascii="Times New Roman" w:hAnsi="Times New Roman" w:cs="Times New Roman"/>
          <w:b/>
          <w:kern w:val="0"/>
          <w:lang w:eastAsia="en-US" w:bidi="ar-SA"/>
        </w:rPr>
        <w:t>29</w:t>
      </w:r>
    </w:p>
    <w:p w14:paraId="1F66BDC2" w14:textId="6A97D8D0" w:rsidR="004859E9" w:rsidRPr="00667967" w:rsidRDefault="004859E9" w:rsidP="00595221">
      <w:pPr>
        <w:widowControl/>
        <w:suppressAutoHyphens w:val="0"/>
        <w:spacing w:before="120" w:after="120" w:line="360" w:lineRule="auto"/>
        <w:jc w:val="both"/>
        <w:rPr>
          <w:rFonts w:ascii="Times New Roman" w:hAnsi="Times New Roman" w:cs="Times New Roman"/>
          <w:bCs/>
          <w:kern w:val="0"/>
          <w:lang w:eastAsia="en-US" w:bidi="ar-SA"/>
        </w:rPr>
      </w:pPr>
      <w:r w:rsidRPr="00667967">
        <w:rPr>
          <w:rFonts w:ascii="Times New Roman" w:hAnsi="Times New Roman" w:cs="Times New Roman"/>
          <w:bCs/>
          <w:kern w:val="0"/>
          <w:lang w:eastAsia="en-US" w:bidi="ar-SA"/>
        </w:rPr>
        <w:t>Artykuł stanowi przepis przejściowy dla wszczętych i niezakończonych postępowań w sprawie wydania decyzji o środowiskowych uwarunkowaniach oraz postępowań</w:t>
      </w:r>
      <w:r w:rsidR="00ED395C">
        <w:rPr>
          <w:rFonts w:ascii="Times New Roman" w:hAnsi="Times New Roman" w:cs="Times New Roman"/>
          <w:bCs/>
          <w:kern w:val="0"/>
          <w:lang w:eastAsia="en-US" w:bidi="ar-SA"/>
        </w:rPr>
        <w:t>,</w:t>
      </w:r>
      <w:r w:rsidRPr="00667967">
        <w:rPr>
          <w:rFonts w:ascii="Times New Roman" w:hAnsi="Times New Roman" w:cs="Times New Roman"/>
          <w:bCs/>
          <w:kern w:val="0"/>
          <w:lang w:eastAsia="en-US" w:bidi="ar-SA"/>
        </w:rPr>
        <w:t xml:space="preserve"> w ramach których przeprowadza się ponowną ocenę oddziaływania przedsięwzięcia na środowisko. Zgodnie z art.</w:t>
      </w:r>
      <w:r w:rsidR="00D029CA">
        <w:rPr>
          <w:rFonts w:ascii="Times New Roman" w:hAnsi="Times New Roman" w:cs="Times New Roman"/>
          <w:bCs/>
          <w:kern w:val="0"/>
          <w:lang w:eastAsia="en-US" w:bidi="ar-SA"/>
        </w:rPr>
        <w:t> </w:t>
      </w:r>
      <w:r w:rsidR="005744C9" w:rsidRPr="00667967">
        <w:rPr>
          <w:rFonts w:ascii="Times New Roman" w:hAnsi="Times New Roman" w:cs="Times New Roman"/>
          <w:bCs/>
          <w:kern w:val="0"/>
          <w:lang w:eastAsia="en-US" w:bidi="ar-SA"/>
        </w:rPr>
        <w:t xml:space="preserve">29 </w:t>
      </w:r>
      <w:r w:rsidRPr="00667967">
        <w:rPr>
          <w:rFonts w:ascii="Times New Roman" w:hAnsi="Times New Roman" w:cs="Times New Roman"/>
          <w:bCs/>
          <w:kern w:val="0"/>
          <w:lang w:eastAsia="en-US" w:bidi="ar-SA"/>
        </w:rPr>
        <w:t>do postępowań w sprawie wydania decyzji o środowiskowych uwarunkowaniach oraz postępowań, o których mowa w art. 61 ust. 1 pkt 2 ustawy zmienianej w art. 10 i postępowań w sprawie wydania pozwolenia, o którym mowa w art. 75e ust. 1 ustawy z dnia 10 maja 2018</w:t>
      </w:r>
      <w:r w:rsidR="00D029CA">
        <w:rPr>
          <w:rFonts w:ascii="Times New Roman" w:hAnsi="Times New Roman" w:cs="Times New Roman"/>
          <w:bCs/>
          <w:kern w:val="0"/>
          <w:lang w:eastAsia="en-US" w:bidi="ar-SA"/>
        </w:rPr>
        <w:t> </w:t>
      </w:r>
      <w:r w:rsidRPr="00667967">
        <w:rPr>
          <w:rFonts w:ascii="Times New Roman" w:hAnsi="Times New Roman" w:cs="Times New Roman"/>
          <w:bCs/>
          <w:kern w:val="0"/>
          <w:lang w:eastAsia="en-US" w:bidi="ar-SA"/>
        </w:rPr>
        <w:t xml:space="preserve">r. o Centralnym Porcie Komunikacyjnym, wszczętych i niezakończonych przed dniem wejścia w życie niniejszej ustawy stosuje się przepisy dotychczasowe. </w:t>
      </w:r>
    </w:p>
    <w:p w14:paraId="46CA2006" w14:textId="5DFE332B" w:rsidR="00D86779" w:rsidRPr="00667967" w:rsidRDefault="00D86779" w:rsidP="00595221">
      <w:pPr>
        <w:widowControl/>
        <w:spacing w:before="120" w:after="120" w:line="360" w:lineRule="auto"/>
        <w:jc w:val="both"/>
        <w:rPr>
          <w:rFonts w:ascii="Times New Roman" w:hAnsi="Times New Roman" w:cs="Times New Roman"/>
          <w:b/>
          <w:bCs/>
          <w:kern w:val="0"/>
          <w:lang w:eastAsia="en-US" w:bidi="ar-SA"/>
        </w:rPr>
      </w:pPr>
      <w:r w:rsidRPr="00667967">
        <w:rPr>
          <w:rFonts w:ascii="Times New Roman" w:hAnsi="Times New Roman" w:cs="Times New Roman"/>
          <w:b/>
          <w:bCs/>
          <w:kern w:val="0"/>
          <w:lang w:eastAsia="en-US" w:bidi="ar-SA"/>
        </w:rPr>
        <w:t xml:space="preserve">Art. </w:t>
      </w:r>
      <w:r w:rsidR="005744C9" w:rsidRPr="00667967">
        <w:rPr>
          <w:rFonts w:ascii="Times New Roman" w:hAnsi="Times New Roman" w:cs="Times New Roman"/>
          <w:b/>
          <w:bCs/>
          <w:kern w:val="0"/>
          <w:lang w:eastAsia="en-US" w:bidi="ar-SA"/>
        </w:rPr>
        <w:t>30</w:t>
      </w:r>
    </w:p>
    <w:p w14:paraId="533B5E85" w14:textId="0DFAFA0B" w:rsidR="00D86779" w:rsidRPr="00667967" w:rsidRDefault="00D86779" w:rsidP="00595221">
      <w:pPr>
        <w:widowControl/>
        <w:spacing w:before="120" w:after="120" w:line="360" w:lineRule="auto"/>
        <w:jc w:val="both"/>
        <w:rPr>
          <w:rFonts w:ascii="Times New Roman" w:hAnsi="Times New Roman" w:cs="Times New Roman"/>
          <w:kern w:val="0"/>
          <w:lang w:eastAsia="ar-SA" w:bidi="ar-SA"/>
        </w:rPr>
      </w:pPr>
      <w:r w:rsidRPr="00667967">
        <w:rPr>
          <w:rFonts w:ascii="Times New Roman" w:hAnsi="Times New Roman" w:cs="Times New Roman"/>
          <w:lang w:eastAsia="ar-SA"/>
        </w:rPr>
        <w:t xml:space="preserve">Uwzględniając, że wszystkie proponowane w projekcie zmiany warunków udziału w Programie „Stop Smog” są korzystniejsze niż obecnie obowiązujące, proponuje się zamieszczenie w art. </w:t>
      </w:r>
      <w:r w:rsidR="005744C9" w:rsidRPr="00667967">
        <w:rPr>
          <w:rFonts w:ascii="Times New Roman" w:hAnsi="Times New Roman" w:cs="Times New Roman"/>
          <w:lang w:eastAsia="ar-SA"/>
        </w:rPr>
        <w:t xml:space="preserve">30 </w:t>
      </w:r>
      <w:r w:rsidRPr="00667967">
        <w:rPr>
          <w:rFonts w:ascii="Times New Roman" w:hAnsi="Times New Roman" w:cs="Times New Roman"/>
          <w:lang w:eastAsia="ar-SA"/>
        </w:rPr>
        <w:t xml:space="preserve">projektu stosownych przepisów przejściowych. </w:t>
      </w:r>
    </w:p>
    <w:p w14:paraId="27A5F414" w14:textId="7A00E220" w:rsidR="00D86779" w:rsidRPr="00667967" w:rsidRDefault="00D86779" w:rsidP="00595221">
      <w:pPr>
        <w:widowControl/>
        <w:spacing w:before="120" w:after="120" w:line="360" w:lineRule="auto"/>
        <w:jc w:val="both"/>
        <w:rPr>
          <w:rFonts w:ascii="Times New Roman" w:eastAsia="Times New Roman" w:hAnsi="Times New Roman" w:cs="Times New Roman"/>
          <w:bCs/>
          <w:lang w:eastAsia="pl-PL"/>
        </w:rPr>
      </w:pPr>
      <w:r w:rsidRPr="00667967">
        <w:rPr>
          <w:rFonts w:ascii="Times New Roman" w:eastAsia="Times New Roman" w:hAnsi="Times New Roman" w:cs="Times New Roman"/>
          <w:bCs/>
          <w:lang w:eastAsia="pl-PL"/>
        </w:rPr>
        <w:t>Zgodnie z proponowanym w projekcie art.</w:t>
      </w:r>
      <w:r w:rsidR="00554453" w:rsidRPr="00667967">
        <w:rPr>
          <w:rFonts w:ascii="Times New Roman" w:eastAsia="Times New Roman" w:hAnsi="Times New Roman" w:cs="Times New Roman"/>
          <w:bCs/>
          <w:lang w:eastAsia="pl-PL"/>
        </w:rPr>
        <w:t xml:space="preserve"> </w:t>
      </w:r>
      <w:r w:rsidR="005744C9" w:rsidRPr="00667967">
        <w:rPr>
          <w:rFonts w:ascii="Times New Roman" w:eastAsia="Times New Roman" w:hAnsi="Times New Roman" w:cs="Times New Roman"/>
          <w:bCs/>
          <w:lang w:eastAsia="pl-PL"/>
        </w:rPr>
        <w:t xml:space="preserve">30 </w:t>
      </w:r>
      <w:r w:rsidRPr="00667967">
        <w:rPr>
          <w:rFonts w:ascii="Times New Roman" w:eastAsia="Times New Roman" w:hAnsi="Times New Roman" w:cs="Times New Roman"/>
          <w:bCs/>
          <w:lang w:eastAsia="pl-PL"/>
        </w:rPr>
        <w:t xml:space="preserve">ust. 1 do porozumień na współfinansowanie przedsięwzięć niskoemisyjnych zawartych przed dniem wejścia w życie ustawy będą miały zastosowanie przepisy ustawy o wspieraniu termomodernizacji i remontów oraz o centralnej ewidencji emisyjności budynków, w brzmieniu nadanym projektowaną ustawą w zakresie niedotyczącym przedsięwzięć niskoemisyjnych realizowanych na podstawie umów zawartych przez gminy z beneficjentami przed dniem wejścia w życie projektowanej ustawy. Strony tych porozumień będą miały obowiązek dostosowania ich do przepisów zmienionych projektowaną ustawą w terminie 60 dni od dnia jej wejścia w życie. </w:t>
      </w:r>
    </w:p>
    <w:p w14:paraId="24915BFD" w14:textId="76E3B4FE" w:rsidR="00D86779" w:rsidRPr="00667967" w:rsidRDefault="00D86779" w:rsidP="00595221">
      <w:pPr>
        <w:widowControl/>
        <w:spacing w:before="120" w:after="120" w:line="360" w:lineRule="auto"/>
        <w:jc w:val="both"/>
        <w:rPr>
          <w:rFonts w:ascii="Times New Roman" w:eastAsia="Times New Roman" w:hAnsi="Times New Roman" w:cs="Times New Roman"/>
          <w:bCs/>
          <w:lang w:eastAsia="pl-PL"/>
        </w:rPr>
      </w:pPr>
      <w:r w:rsidRPr="00667967">
        <w:rPr>
          <w:rFonts w:ascii="Times New Roman" w:eastAsia="Times New Roman" w:hAnsi="Times New Roman" w:cs="Times New Roman"/>
          <w:bCs/>
          <w:lang w:eastAsia="pl-PL"/>
        </w:rPr>
        <w:t>Dodatkowo, uwzględniając także, że zgodnie z art. 11c ust. 1a</w:t>
      </w:r>
      <w:r w:rsidRPr="00667967">
        <w:rPr>
          <w:rFonts w:ascii="Times New Roman" w:hAnsi="Times New Roman" w:cs="Times New Roman"/>
          <w:lang w:eastAsia="ar-SA"/>
        </w:rPr>
        <w:t xml:space="preserve"> ustawy o wspieraniu termomodernizacji i</w:t>
      </w:r>
      <w:r w:rsidR="003940EC" w:rsidRPr="00667967">
        <w:rPr>
          <w:rFonts w:ascii="Times New Roman" w:hAnsi="Times New Roman" w:cs="Times New Roman"/>
          <w:lang w:eastAsia="ar-SA"/>
        </w:rPr>
        <w:t xml:space="preserve"> </w:t>
      </w:r>
      <w:r w:rsidRPr="00667967">
        <w:rPr>
          <w:rFonts w:ascii="Times New Roman" w:hAnsi="Times New Roman" w:cs="Times New Roman"/>
          <w:lang w:eastAsia="ar-SA"/>
        </w:rPr>
        <w:t>remontów oraz o centralnej ewidencji emisyjności budynków</w:t>
      </w:r>
      <w:r w:rsidRPr="00667967">
        <w:rPr>
          <w:rFonts w:ascii="Times New Roman" w:eastAsia="Times New Roman" w:hAnsi="Times New Roman" w:cs="Times New Roman"/>
          <w:bCs/>
          <w:lang w:eastAsia="pl-PL"/>
        </w:rPr>
        <w:t xml:space="preserve"> stroną porozumienia na współfinansowanie przedsięwzięć niskoemisyjnych może być związek międzygminny, związek metropolitalny lub powiat, w ust. 2 uregulowano kwestię umów zawieranych przez gminy uczestniczące w tych związkach lub położone na terytorium powiatu. </w:t>
      </w:r>
    </w:p>
    <w:p w14:paraId="7782BFA4" w14:textId="5D74EAB6" w:rsidR="00D86779" w:rsidRPr="00667967" w:rsidRDefault="00D86779" w:rsidP="00595221">
      <w:pPr>
        <w:widowControl/>
        <w:spacing w:before="120" w:after="120" w:line="360" w:lineRule="auto"/>
        <w:jc w:val="both"/>
        <w:rPr>
          <w:rFonts w:ascii="Times New Roman" w:eastAsia="Times New Roman" w:hAnsi="Times New Roman" w:cs="Times New Roman"/>
          <w:bCs/>
          <w:lang w:eastAsia="pl-PL"/>
        </w:rPr>
      </w:pPr>
      <w:r w:rsidRPr="00667967">
        <w:rPr>
          <w:rFonts w:ascii="Times New Roman" w:eastAsia="Times New Roman" w:hAnsi="Times New Roman" w:cs="Times New Roman"/>
          <w:bCs/>
          <w:lang w:eastAsia="pl-PL"/>
        </w:rPr>
        <w:t xml:space="preserve">Ust. 3 tego przepisu nakazuje dostosowanie do nowych przepisów złożonych przez gminy wniosków o zawarcie porozumień na współfinansowanie przedsięwzięć niskoemisyjnych w terminie wskazanym przez </w:t>
      </w:r>
      <w:r w:rsidR="00173F79" w:rsidRPr="00667967">
        <w:rPr>
          <w:rFonts w:ascii="Times New Roman" w:eastAsia="Times New Roman" w:hAnsi="Times New Roman" w:cs="Times New Roman"/>
          <w:bCs/>
          <w:lang w:eastAsia="pl-PL"/>
        </w:rPr>
        <w:t>Narodowy Fundusz</w:t>
      </w:r>
      <w:r w:rsidRPr="00667967">
        <w:rPr>
          <w:rFonts w:ascii="Times New Roman" w:eastAsia="Times New Roman" w:hAnsi="Times New Roman" w:cs="Times New Roman"/>
          <w:bCs/>
          <w:lang w:eastAsia="pl-PL"/>
        </w:rPr>
        <w:t>.</w:t>
      </w:r>
    </w:p>
    <w:p w14:paraId="6DFEE266" w14:textId="180EC9F9" w:rsidR="00D86779" w:rsidRPr="00667967" w:rsidRDefault="00D86779" w:rsidP="00595221">
      <w:pPr>
        <w:widowControl/>
        <w:spacing w:before="120" w:after="120" w:line="360" w:lineRule="auto"/>
        <w:jc w:val="both"/>
        <w:rPr>
          <w:rFonts w:ascii="Times New Roman" w:eastAsia="Times New Roman" w:hAnsi="Times New Roman" w:cs="Times New Roman"/>
          <w:bCs/>
          <w:lang w:eastAsia="pl-PL"/>
        </w:rPr>
      </w:pPr>
      <w:r w:rsidRPr="00667967">
        <w:rPr>
          <w:rFonts w:ascii="Times New Roman" w:eastAsia="Times New Roman" w:hAnsi="Times New Roman" w:cs="Times New Roman"/>
          <w:bCs/>
          <w:lang w:eastAsia="pl-PL"/>
        </w:rPr>
        <w:t>W zakresie wniosków beneficjentów o zawarcie umów o realizację przedsięwzięcia niskoemisyjnego z gminami, złożonych przed dniem wejścia w życie projektowanej ustawy</w:t>
      </w:r>
      <w:r w:rsidR="00ED395C">
        <w:rPr>
          <w:rFonts w:ascii="Times New Roman" w:eastAsia="Times New Roman" w:hAnsi="Times New Roman" w:cs="Times New Roman"/>
          <w:bCs/>
          <w:lang w:eastAsia="pl-PL"/>
        </w:rPr>
        <w:t>,</w:t>
      </w:r>
      <w:r w:rsidRPr="00667967">
        <w:rPr>
          <w:rFonts w:ascii="Times New Roman" w:eastAsia="Times New Roman" w:hAnsi="Times New Roman" w:cs="Times New Roman"/>
          <w:bCs/>
          <w:lang w:eastAsia="pl-PL"/>
        </w:rPr>
        <w:t xml:space="preserve"> w odniesieniu do których nie zawarto takich umów przed tym dniem, zgodnie z projektowanym </w:t>
      </w:r>
      <w:r w:rsidRPr="00667967">
        <w:rPr>
          <w:rFonts w:ascii="Times New Roman" w:eastAsia="Times New Roman" w:hAnsi="Times New Roman" w:cs="Times New Roman"/>
          <w:bCs/>
          <w:lang w:eastAsia="pl-PL"/>
        </w:rPr>
        <w:lastRenderedPageBreak/>
        <w:t xml:space="preserve">art. </w:t>
      </w:r>
      <w:r w:rsidR="005744C9" w:rsidRPr="00667967">
        <w:rPr>
          <w:rFonts w:ascii="Times New Roman" w:eastAsia="Times New Roman" w:hAnsi="Times New Roman" w:cs="Times New Roman"/>
          <w:bCs/>
          <w:lang w:eastAsia="pl-PL"/>
        </w:rPr>
        <w:t xml:space="preserve">30 </w:t>
      </w:r>
      <w:r w:rsidRPr="00667967">
        <w:rPr>
          <w:rFonts w:ascii="Times New Roman" w:eastAsia="Times New Roman" w:hAnsi="Times New Roman" w:cs="Times New Roman"/>
          <w:bCs/>
          <w:lang w:eastAsia="pl-PL"/>
        </w:rPr>
        <w:t xml:space="preserve">ust. 4, przyjmuje się, że będą miały zastosowanie przepisy ustawy zmienianej, co pozwoli w szczególności na aktualizację finansowych aspektów realizowania przedsięwzięć niskoemisyjnych w aktualnie zawieranych przez gminę z beneficjentem umowach o realizację przedsięwzięcia niskoemisyjnego. </w:t>
      </w:r>
    </w:p>
    <w:p w14:paraId="66404B94" w14:textId="2322F56B" w:rsidR="00D86779" w:rsidRPr="00667967" w:rsidRDefault="00D86779" w:rsidP="00595221">
      <w:pPr>
        <w:widowControl/>
        <w:spacing w:before="120" w:after="120" w:line="360" w:lineRule="auto"/>
        <w:jc w:val="both"/>
        <w:rPr>
          <w:rFonts w:ascii="Times New Roman" w:eastAsia="Times New Roman" w:hAnsi="Times New Roman" w:cs="Times New Roman"/>
          <w:bCs/>
          <w:lang w:eastAsia="pl-PL"/>
        </w:rPr>
      </w:pPr>
      <w:r w:rsidRPr="00667967">
        <w:rPr>
          <w:rFonts w:ascii="Times New Roman" w:eastAsia="Times New Roman" w:hAnsi="Times New Roman" w:cs="Times New Roman"/>
          <w:bCs/>
          <w:lang w:eastAsia="pl-PL"/>
        </w:rPr>
        <w:t xml:space="preserve">Zgodnie natomiast z projektowanym art. </w:t>
      </w:r>
      <w:r w:rsidR="005744C9" w:rsidRPr="00667967">
        <w:rPr>
          <w:rFonts w:ascii="Times New Roman" w:eastAsia="Times New Roman" w:hAnsi="Times New Roman" w:cs="Times New Roman"/>
          <w:bCs/>
          <w:lang w:eastAsia="pl-PL"/>
        </w:rPr>
        <w:t xml:space="preserve">30 </w:t>
      </w:r>
      <w:r w:rsidRPr="00667967">
        <w:rPr>
          <w:rFonts w:ascii="Times New Roman" w:eastAsia="Times New Roman" w:hAnsi="Times New Roman" w:cs="Times New Roman"/>
          <w:bCs/>
          <w:lang w:eastAsia="pl-PL"/>
        </w:rPr>
        <w:t>ust. 5 do umów o realizację przedsięwzięcia niskoemisyjnego zawartych przez gminę z beneficjentem, tj. z osobą fizyczną będącą właścicielem lub posiadaczem budynku lub lokalu, przed dniem wejścia w życie projektowanej ustawy, bez względu na stopień zaawansowania realizacji przedsięwzięcia niskoemisyjnego, będą nadal stosowane przepisy ustawy o wspieraniu termomodernizacji i remontów oraz o centralnej ewidencji emisyjności budynków w brzmieniu dotychczasowym</w:t>
      </w:r>
      <w:r w:rsidR="00ED395C">
        <w:rPr>
          <w:rFonts w:ascii="Times New Roman" w:eastAsia="Times New Roman" w:hAnsi="Times New Roman" w:cs="Times New Roman"/>
          <w:bCs/>
          <w:lang w:eastAsia="pl-PL"/>
        </w:rPr>
        <w:t>,</w:t>
      </w:r>
      <w:r w:rsidRPr="00667967">
        <w:rPr>
          <w:rFonts w:ascii="Times New Roman" w:eastAsia="Times New Roman" w:hAnsi="Times New Roman" w:cs="Times New Roman"/>
          <w:bCs/>
          <w:lang w:eastAsia="pl-PL"/>
        </w:rPr>
        <w:t xml:space="preserve"> tak aby realizacja przedsięwzięcia została dokończona na podstawie wcześniejszych regulacji.</w:t>
      </w:r>
    </w:p>
    <w:p w14:paraId="192AB7E7" w14:textId="2F9969FC" w:rsidR="00E061E2" w:rsidRPr="00667967" w:rsidRDefault="00E061E2" w:rsidP="00595221">
      <w:pPr>
        <w:widowControl/>
        <w:spacing w:before="120" w:after="120" w:line="360" w:lineRule="auto"/>
        <w:jc w:val="both"/>
        <w:rPr>
          <w:rFonts w:ascii="Times New Roman" w:eastAsia="Times New Roman" w:hAnsi="Times New Roman" w:cs="Times New Roman"/>
          <w:bCs/>
          <w:lang w:eastAsia="pl-PL"/>
        </w:rPr>
      </w:pPr>
      <w:r w:rsidRPr="00667967">
        <w:rPr>
          <w:rFonts w:ascii="Times New Roman" w:eastAsia="Times New Roman" w:hAnsi="Times New Roman" w:cs="Times New Roman"/>
          <w:bCs/>
          <w:lang w:eastAsia="pl-PL"/>
        </w:rPr>
        <w:t xml:space="preserve">Natomiast zgodnie z projektowanym art. </w:t>
      </w:r>
      <w:r w:rsidR="005744C9" w:rsidRPr="00667967">
        <w:rPr>
          <w:rFonts w:ascii="Times New Roman" w:eastAsia="Times New Roman" w:hAnsi="Times New Roman" w:cs="Times New Roman"/>
          <w:bCs/>
          <w:lang w:eastAsia="pl-PL"/>
        </w:rPr>
        <w:t xml:space="preserve">30 </w:t>
      </w:r>
      <w:r w:rsidRPr="00667967">
        <w:rPr>
          <w:rFonts w:ascii="Times New Roman" w:eastAsia="Times New Roman" w:hAnsi="Times New Roman" w:cs="Times New Roman"/>
          <w:bCs/>
          <w:lang w:eastAsia="pl-PL"/>
        </w:rPr>
        <w:t xml:space="preserve">ust. 6 podmioty, które zawarły porozumienie na realizację przedsięwzięć niskoemisyjnych przed dniem 1 stycznia 2024 </w:t>
      </w:r>
      <w:r w:rsidR="00222614" w:rsidRPr="00667967">
        <w:rPr>
          <w:rFonts w:ascii="Times New Roman" w:eastAsia="Times New Roman" w:hAnsi="Times New Roman" w:cs="Times New Roman"/>
          <w:bCs/>
          <w:lang w:eastAsia="pl-PL"/>
        </w:rPr>
        <w:t>r.</w:t>
      </w:r>
      <w:r w:rsidR="00772EF0" w:rsidRPr="00667967">
        <w:rPr>
          <w:rFonts w:ascii="Times New Roman" w:eastAsia="Times New Roman" w:hAnsi="Times New Roman" w:cs="Times New Roman"/>
          <w:bCs/>
          <w:lang w:eastAsia="pl-PL"/>
        </w:rPr>
        <w:t>,</w:t>
      </w:r>
      <w:r w:rsidR="00222614" w:rsidRPr="00667967">
        <w:rPr>
          <w:rFonts w:ascii="Times New Roman" w:eastAsia="Times New Roman" w:hAnsi="Times New Roman" w:cs="Times New Roman"/>
          <w:bCs/>
          <w:lang w:eastAsia="pl-PL"/>
        </w:rPr>
        <w:t xml:space="preserve"> </w:t>
      </w:r>
      <w:r w:rsidRPr="00667967">
        <w:rPr>
          <w:rFonts w:ascii="Times New Roman" w:eastAsia="Times New Roman" w:hAnsi="Times New Roman" w:cs="Times New Roman"/>
          <w:bCs/>
          <w:lang w:eastAsia="pl-PL"/>
        </w:rPr>
        <w:t>będą mogły wydłużyć okres ich realizacji do 4 lub 5 lat w zależności od ilości realizowanych przedsięwzięć niskoemisyjnych.</w:t>
      </w:r>
    </w:p>
    <w:p w14:paraId="30EE9492" w14:textId="678E47E6" w:rsidR="00BF0C1D" w:rsidRPr="00667967" w:rsidRDefault="00D86779" w:rsidP="00595221">
      <w:pPr>
        <w:widowControl/>
        <w:spacing w:before="120" w:after="120" w:line="360" w:lineRule="auto"/>
        <w:jc w:val="both"/>
        <w:rPr>
          <w:rFonts w:ascii="Times New Roman" w:hAnsi="Times New Roman" w:cs="Times New Roman"/>
        </w:rPr>
      </w:pPr>
      <w:r w:rsidRPr="00667967">
        <w:rPr>
          <w:rFonts w:ascii="Times New Roman" w:hAnsi="Times New Roman" w:cs="Times New Roman"/>
        </w:rPr>
        <w:t xml:space="preserve">Zaproponowane przepisy przejściowe umożliwiają w ramach już zawartych porozumień między </w:t>
      </w:r>
      <w:r w:rsidR="00173F79" w:rsidRPr="00667967">
        <w:rPr>
          <w:rFonts w:ascii="Times New Roman" w:hAnsi="Times New Roman" w:cs="Times New Roman"/>
        </w:rPr>
        <w:t xml:space="preserve">Narodowym Funduszem </w:t>
      </w:r>
      <w:r w:rsidRPr="00667967">
        <w:rPr>
          <w:rFonts w:ascii="Times New Roman" w:hAnsi="Times New Roman" w:cs="Times New Roman"/>
        </w:rPr>
        <w:t>a gminami, realizację przez gmin</w:t>
      </w:r>
      <w:r w:rsidR="00230D96" w:rsidRPr="00667967">
        <w:rPr>
          <w:rFonts w:ascii="Times New Roman" w:hAnsi="Times New Roman" w:cs="Times New Roman"/>
        </w:rPr>
        <w:t>y</w:t>
      </w:r>
      <w:r w:rsidRPr="00667967">
        <w:rPr>
          <w:rFonts w:ascii="Times New Roman" w:hAnsi="Times New Roman" w:cs="Times New Roman"/>
        </w:rPr>
        <w:t xml:space="preserve"> nowych umów, które nie zostały jeszcze zawarte z beneficjentami na nowych korzystniejszych warunkach. Należy tu ponownie podkreślić, że przeprowadzone przez </w:t>
      </w:r>
      <w:r w:rsidR="00173F79" w:rsidRPr="00667967">
        <w:rPr>
          <w:rFonts w:ascii="Times New Roman" w:hAnsi="Times New Roman" w:cs="Times New Roman"/>
        </w:rPr>
        <w:t xml:space="preserve">Narodowy Fundusz </w:t>
      </w:r>
      <w:r w:rsidRPr="00667967">
        <w:rPr>
          <w:rFonts w:ascii="Times New Roman" w:hAnsi="Times New Roman" w:cs="Times New Roman"/>
        </w:rPr>
        <w:t xml:space="preserve">szerokie konsultacje z gminami zarówno biorącymi już udział w </w:t>
      </w:r>
      <w:r w:rsidR="001513BB">
        <w:rPr>
          <w:rFonts w:ascii="Times New Roman" w:hAnsi="Times New Roman" w:cs="Times New Roman"/>
        </w:rPr>
        <w:t>p</w:t>
      </w:r>
      <w:r w:rsidRPr="00667967">
        <w:rPr>
          <w:rFonts w:ascii="Times New Roman" w:hAnsi="Times New Roman" w:cs="Times New Roman"/>
        </w:rPr>
        <w:t>rogramie</w:t>
      </w:r>
      <w:r w:rsidR="008C121C">
        <w:rPr>
          <w:rFonts w:ascii="Times New Roman" w:hAnsi="Times New Roman" w:cs="Times New Roman"/>
        </w:rPr>
        <w:t>,</w:t>
      </w:r>
      <w:r w:rsidRPr="00667967">
        <w:rPr>
          <w:rFonts w:ascii="Times New Roman" w:hAnsi="Times New Roman" w:cs="Times New Roman"/>
        </w:rPr>
        <w:t xml:space="preserve"> jak i pozostałymi, które jeszcze nie przystąpiły do </w:t>
      </w:r>
      <w:r w:rsidR="001513BB">
        <w:rPr>
          <w:rFonts w:ascii="Times New Roman" w:hAnsi="Times New Roman" w:cs="Times New Roman"/>
        </w:rPr>
        <w:t>p</w:t>
      </w:r>
      <w:r w:rsidRPr="00667967">
        <w:rPr>
          <w:rFonts w:ascii="Times New Roman" w:hAnsi="Times New Roman" w:cs="Times New Roman"/>
        </w:rPr>
        <w:t xml:space="preserve">rogramu, jednoznacznie wskazują na konieczność wprowadzenia zmian w Programie „Stop Smog” mających na celu dostosowanie zasad uczestnictwa w nim i jego realizacji do bieżących uwarunkowań społeczno-gospodarczych (np. inflacja, ograniczona dostępność towarów i usług itd.). W obecnej sytuacji wiele przetargów ogłaszanych przez gminy kończy się brakiem możliwości wyłonienia wykonawcy robót budowlanych, co w konsekwencji będzie prowadzić do zmniejszenia zakresu już podpisanych porozumień do niezbędnego minimum przewidzianego wskazanymi w ustawie wymaganiami lub </w:t>
      </w:r>
      <w:r w:rsidR="00ED395C">
        <w:rPr>
          <w:rFonts w:ascii="Times New Roman" w:hAnsi="Times New Roman" w:cs="Times New Roman"/>
        </w:rPr>
        <w:t>–</w:t>
      </w:r>
      <w:r w:rsidRPr="00667967">
        <w:rPr>
          <w:rFonts w:ascii="Times New Roman" w:hAnsi="Times New Roman" w:cs="Times New Roman"/>
        </w:rPr>
        <w:t xml:space="preserve"> w przypadku braku możliwości ich realizacji </w:t>
      </w:r>
      <w:r w:rsidR="00ED395C">
        <w:rPr>
          <w:rFonts w:ascii="Times New Roman" w:hAnsi="Times New Roman" w:cs="Times New Roman"/>
        </w:rPr>
        <w:t>–</w:t>
      </w:r>
      <w:r w:rsidRPr="00667967">
        <w:rPr>
          <w:rFonts w:ascii="Times New Roman" w:hAnsi="Times New Roman" w:cs="Times New Roman"/>
        </w:rPr>
        <w:t xml:space="preserve"> rozwiązania podpisanych już porozumień. Zaproponowane przepisy przejściowe mają na celu zapobieganie tej sytuacji i uatrakcyjnienie zasad funkcjonowania </w:t>
      </w:r>
      <w:r w:rsidR="001513BB">
        <w:rPr>
          <w:rFonts w:ascii="Times New Roman" w:hAnsi="Times New Roman" w:cs="Times New Roman"/>
        </w:rPr>
        <w:t>p</w:t>
      </w:r>
      <w:r w:rsidRPr="00667967">
        <w:rPr>
          <w:rFonts w:ascii="Times New Roman" w:hAnsi="Times New Roman" w:cs="Times New Roman"/>
        </w:rPr>
        <w:t>rogramu</w:t>
      </w:r>
      <w:r w:rsidR="003D59E7">
        <w:rPr>
          <w:rFonts w:ascii="Times New Roman" w:hAnsi="Times New Roman" w:cs="Times New Roman"/>
        </w:rPr>
        <w:t>,</w:t>
      </w:r>
      <w:r w:rsidRPr="00667967">
        <w:rPr>
          <w:rFonts w:ascii="Times New Roman" w:hAnsi="Times New Roman" w:cs="Times New Roman"/>
        </w:rPr>
        <w:t xml:space="preserve"> tak aby możliwe było pozyskanie nowych gmin przy jednoczesnym ułatwieniu realizacji tym, które już przystąpiły do </w:t>
      </w:r>
      <w:r w:rsidR="001513BB">
        <w:rPr>
          <w:rFonts w:ascii="Times New Roman" w:hAnsi="Times New Roman" w:cs="Times New Roman"/>
        </w:rPr>
        <w:t>p</w:t>
      </w:r>
      <w:r w:rsidRPr="00667967">
        <w:rPr>
          <w:rFonts w:ascii="Times New Roman" w:hAnsi="Times New Roman" w:cs="Times New Roman"/>
        </w:rPr>
        <w:t xml:space="preserve">rogramu. Proponowana nowelizacja stanowi odpowiedź na konieczność wsparcia samorządów gminnych w przedsięwzięciach poprawiających stan techniczny budynków jednorodzinnych. Działania </w:t>
      </w:r>
      <w:r w:rsidRPr="00667967">
        <w:rPr>
          <w:rFonts w:ascii="Times New Roman" w:hAnsi="Times New Roman" w:cs="Times New Roman"/>
        </w:rPr>
        <w:lastRenderedPageBreak/>
        <w:t>mające na celu poprawę stanu technicznego zasobów mieszkaniowych i poprawę warunków mieszkaniowych społeczeństwa przyczyniają się równocześnie do realizacji innych priorytetów rządu, takich jak poprawa efektywności energetycznej czy walka z ubóstwem energetycznym.</w:t>
      </w:r>
    </w:p>
    <w:p w14:paraId="62E75BE9" w14:textId="44DBF070" w:rsidR="00700C9C" w:rsidRPr="00667967" w:rsidRDefault="00700C9C" w:rsidP="00595221">
      <w:pPr>
        <w:widowControl/>
        <w:spacing w:before="120" w:after="120" w:line="360" w:lineRule="auto"/>
        <w:jc w:val="both"/>
        <w:rPr>
          <w:rFonts w:ascii="Times New Roman" w:hAnsi="Times New Roman" w:cs="Times New Roman"/>
          <w:b/>
          <w:bCs/>
        </w:rPr>
      </w:pPr>
      <w:r w:rsidRPr="00667967">
        <w:rPr>
          <w:rFonts w:ascii="Times New Roman" w:hAnsi="Times New Roman" w:cs="Times New Roman"/>
          <w:b/>
          <w:bCs/>
        </w:rPr>
        <w:t xml:space="preserve">Art. </w:t>
      </w:r>
      <w:r w:rsidR="005744C9" w:rsidRPr="00667967">
        <w:rPr>
          <w:rFonts w:ascii="Times New Roman" w:hAnsi="Times New Roman" w:cs="Times New Roman"/>
          <w:b/>
          <w:bCs/>
        </w:rPr>
        <w:t>31</w:t>
      </w:r>
    </w:p>
    <w:p w14:paraId="3A4C7AF3" w14:textId="58693ABD" w:rsidR="00B20964" w:rsidRPr="00667967" w:rsidRDefault="00A67C96" w:rsidP="00595221">
      <w:pPr>
        <w:widowControl/>
        <w:spacing w:before="120" w:after="120" w:line="360" w:lineRule="auto"/>
        <w:jc w:val="both"/>
        <w:rPr>
          <w:rFonts w:ascii="Times New Roman" w:hAnsi="Times New Roman" w:cs="Times New Roman"/>
        </w:rPr>
      </w:pPr>
      <w:r w:rsidRPr="00667967">
        <w:rPr>
          <w:rFonts w:ascii="Times New Roman" w:hAnsi="Times New Roman" w:cs="Times New Roman"/>
        </w:rPr>
        <w:t xml:space="preserve">Zgodnie z proponowanym art. </w:t>
      </w:r>
      <w:r w:rsidR="005744C9" w:rsidRPr="00667967">
        <w:rPr>
          <w:rFonts w:ascii="Times New Roman" w:hAnsi="Times New Roman" w:cs="Times New Roman"/>
        </w:rPr>
        <w:t>31</w:t>
      </w:r>
      <w:r w:rsidRPr="00667967">
        <w:rPr>
          <w:rFonts w:ascii="Times New Roman" w:hAnsi="Times New Roman" w:cs="Times New Roman"/>
        </w:rPr>
        <w:t xml:space="preserve"> do porozumień</w:t>
      </w:r>
      <w:r w:rsidR="00B20964" w:rsidRPr="00595221">
        <w:rPr>
          <w:rFonts w:ascii="Times New Roman" w:hAnsi="Times New Roman" w:cs="Times New Roman"/>
        </w:rPr>
        <w:t xml:space="preserve"> </w:t>
      </w:r>
      <w:r w:rsidR="00B20964" w:rsidRPr="00667967">
        <w:rPr>
          <w:rFonts w:ascii="Times New Roman" w:hAnsi="Times New Roman" w:cs="Times New Roman"/>
        </w:rPr>
        <w:t>na współfinansowanie przedsięwzięć niskoemisyjnych</w:t>
      </w:r>
      <w:r w:rsidRPr="00667967">
        <w:rPr>
          <w:rFonts w:ascii="Times New Roman" w:hAnsi="Times New Roman" w:cs="Times New Roman"/>
        </w:rPr>
        <w:t xml:space="preserve">, zawartych przed dniem wejścia w życie niniejszej ustawy, </w:t>
      </w:r>
      <w:r w:rsidR="00B20964" w:rsidRPr="00667967">
        <w:rPr>
          <w:rFonts w:ascii="Times New Roman" w:hAnsi="Times New Roman" w:cs="Times New Roman"/>
        </w:rPr>
        <w:t xml:space="preserve">będą miały zastosowanie przepisy </w:t>
      </w:r>
      <w:r w:rsidRPr="00667967">
        <w:rPr>
          <w:rFonts w:ascii="Times New Roman" w:hAnsi="Times New Roman" w:cs="Times New Roman"/>
        </w:rPr>
        <w:t xml:space="preserve">art. 11c ust. 1 pkt 1 </w:t>
      </w:r>
      <w:r w:rsidR="005744C9" w:rsidRPr="00667967">
        <w:rPr>
          <w:rFonts w:ascii="Times New Roman" w:hAnsi="Times New Roman" w:cs="Times New Roman"/>
        </w:rPr>
        <w:t>ustawy o wspieraniu termomodernizacji i remontów oraz o centralnej ewidencji emisyjności budynków</w:t>
      </w:r>
      <w:r w:rsidR="005744C9" w:rsidRPr="00667967">
        <w:rPr>
          <w:rFonts w:ascii="Times New Roman" w:hAnsi="Times New Roman" w:cs="Times New Roman"/>
          <w:bCs/>
        </w:rPr>
        <w:t xml:space="preserve"> </w:t>
      </w:r>
      <w:r w:rsidRPr="00667967">
        <w:rPr>
          <w:rFonts w:ascii="Times New Roman" w:hAnsi="Times New Roman" w:cs="Times New Roman"/>
        </w:rPr>
        <w:t xml:space="preserve">w brzmieniu nadanym </w:t>
      </w:r>
      <w:r w:rsidR="002B692A" w:rsidRPr="00667967">
        <w:rPr>
          <w:rFonts w:ascii="Times New Roman" w:hAnsi="Times New Roman" w:cs="Times New Roman"/>
        </w:rPr>
        <w:t>projektowaną</w:t>
      </w:r>
      <w:r w:rsidRPr="00667967">
        <w:rPr>
          <w:rFonts w:ascii="Times New Roman" w:hAnsi="Times New Roman" w:cs="Times New Roman"/>
        </w:rPr>
        <w:t xml:space="preserve"> ustawą. </w:t>
      </w:r>
      <w:r w:rsidR="00B20964" w:rsidRPr="00667967">
        <w:rPr>
          <w:rFonts w:ascii="Times New Roman" w:hAnsi="Times New Roman" w:cs="Times New Roman"/>
        </w:rPr>
        <w:t>Strony tych porozumień będą miały obowiązek dostosowania ich do przepisów zmienionych projektowaną ustawą w terminie 60 dni od dnia jej wejścia w życie.</w:t>
      </w:r>
    </w:p>
    <w:p w14:paraId="667425B4" w14:textId="677DBD2E" w:rsidR="00EB646F" w:rsidRPr="00667967" w:rsidRDefault="00EB646F" w:rsidP="00595221">
      <w:pPr>
        <w:widowControl/>
        <w:suppressAutoHyphens w:val="0"/>
        <w:spacing w:before="120" w:after="120" w:line="360" w:lineRule="auto"/>
        <w:jc w:val="both"/>
        <w:rPr>
          <w:rFonts w:ascii="Times New Roman" w:hAnsi="Times New Roman" w:cs="Times New Roman"/>
          <w:b/>
          <w:kern w:val="0"/>
          <w:lang w:eastAsia="en-US" w:bidi="ar-SA"/>
        </w:rPr>
      </w:pPr>
      <w:r w:rsidRPr="00667967">
        <w:rPr>
          <w:rFonts w:ascii="Times New Roman" w:hAnsi="Times New Roman" w:cs="Times New Roman"/>
          <w:b/>
          <w:kern w:val="0"/>
          <w:lang w:eastAsia="en-US" w:bidi="ar-SA"/>
        </w:rPr>
        <w:t xml:space="preserve">Art. </w:t>
      </w:r>
      <w:r w:rsidR="00574231" w:rsidRPr="00667967">
        <w:rPr>
          <w:rFonts w:ascii="Times New Roman" w:hAnsi="Times New Roman" w:cs="Times New Roman"/>
          <w:b/>
          <w:kern w:val="0"/>
          <w:lang w:eastAsia="en-US" w:bidi="ar-SA"/>
        </w:rPr>
        <w:t>3</w:t>
      </w:r>
      <w:r w:rsidR="005744C9" w:rsidRPr="00667967">
        <w:rPr>
          <w:rFonts w:ascii="Times New Roman" w:hAnsi="Times New Roman" w:cs="Times New Roman"/>
          <w:b/>
          <w:kern w:val="0"/>
          <w:lang w:eastAsia="en-US" w:bidi="ar-SA"/>
        </w:rPr>
        <w:t>2</w:t>
      </w:r>
    </w:p>
    <w:p w14:paraId="723718E2" w14:textId="33925AC6" w:rsidR="00BF5E32" w:rsidRPr="00667967" w:rsidRDefault="00083E96" w:rsidP="00595221">
      <w:pPr>
        <w:widowControl/>
        <w:spacing w:before="120" w:after="120" w:line="360" w:lineRule="auto"/>
        <w:jc w:val="both"/>
        <w:rPr>
          <w:rFonts w:ascii="Times New Roman" w:hAnsi="Times New Roman" w:cs="Times New Roman"/>
        </w:rPr>
      </w:pPr>
      <w:r w:rsidRPr="00667967">
        <w:rPr>
          <w:rFonts w:ascii="Times New Roman" w:hAnsi="Times New Roman" w:cs="Times New Roman"/>
          <w:iCs/>
        </w:rPr>
        <w:t>Przepisy przewidują</w:t>
      </w:r>
      <w:r w:rsidRPr="00667967">
        <w:rPr>
          <w:rFonts w:ascii="Times New Roman" w:hAnsi="Times New Roman" w:cs="Times New Roman"/>
        </w:rPr>
        <w:t xml:space="preserve"> sporządzenie pierwszych prognoz zmian aktywności według nowych terminów – do dnia 30 czerwca 2026 r. Od tego terminu będą liczone nowe 4-letnie terminy na sporządzanie kolejnych prognoz. Na potrzeby prognoz zmian aktywności, które </w:t>
      </w:r>
      <w:r w:rsidR="009A3427" w:rsidRPr="00667967">
        <w:rPr>
          <w:rFonts w:ascii="Times New Roman" w:hAnsi="Times New Roman" w:cs="Times New Roman"/>
        </w:rPr>
        <w:t>mają być sporządzone do dnia 30 </w:t>
      </w:r>
      <w:r w:rsidRPr="00667967">
        <w:rPr>
          <w:rFonts w:ascii="Times New Roman" w:hAnsi="Times New Roman" w:cs="Times New Roman"/>
        </w:rPr>
        <w:t>czerwca 2026 r.</w:t>
      </w:r>
      <w:r w:rsidR="003D59E7">
        <w:rPr>
          <w:rFonts w:ascii="Times New Roman" w:hAnsi="Times New Roman" w:cs="Times New Roman"/>
        </w:rPr>
        <w:t>,</w:t>
      </w:r>
      <w:r w:rsidRPr="00667967">
        <w:rPr>
          <w:rFonts w:ascii="Times New Roman" w:hAnsi="Times New Roman" w:cs="Times New Roman"/>
        </w:rPr>
        <w:t xml:space="preserve"> właściwi ministrowie przekażą potrzebne informacje i dane do dnia 31 grudnia</w:t>
      </w:r>
      <w:r w:rsidR="00230D96" w:rsidRPr="00667967">
        <w:rPr>
          <w:rFonts w:ascii="Times New Roman" w:hAnsi="Times New Roman" w:cs="Times New Roman"/>
        </w:rPr>
        <w:t xml:space="preserve"> </w:t>
      </w:r>
      <w:r w:rsidRPr="00667967">
        <w:rPr>
          <w:rFonts w:ascii="Times New Roman" w:hAnsi="Times New Roman" w:cs="Times New Roman"/>
        </w:rPr>
        <w:t xml:space="preserve">2025 r. </w:t>
      </w:r>
    </w:p>
    <w:p w14:paraId="30829B2B" w14:textId="2F3E2BD9" w:rsidR="008D1818" w:rsidRPr="00667967" w:rsidRDefault="008D1818" w:rsidP="00595221">
      <w:pPr>
        <w:keepNext/>
        <w:widowControl/>
        <w:suppressAutoHyphens w:val="0"/>
        <w:spacing w:before="120" w:after="120" w:line="360" w:lineRule="auto"/>
        <w:jc w:val="both"/>
        <w:rPr>
          <w:rFonts w:ascii="Times New Roman" w:hAnsi="Times New Roman" w:cs="Times New Roman"/>
          <w:b/>
          <w:kern w:val="0"/>
          <w:lang w:eastAsia="en-US" w:bidi="ar-SA"/>
        </w:rPr>
      </w:pPr>
      <w:r w:rsidRPr="00667967">
        <w:rPr>
          <w:rFonts w:ascii="Times New Roman" w:hAnsi="Times New Roman" w:cs="Times New Roman"/>
          <w:b/>
          <w:kern w:val="0"/>
          <w:lang w:eastAsia="en-US" w:bidi="ar-SA"/>
        </w:rPr>
        <w:t xml:space="preserve">Art. </w:t>
      </w:r>
      <w:r w:rsidR="00EE4359" w:rsidRPr="00667967">
        <w:rPr>
          <w:rFonts w:ascii="Times New Roman" w:hAnsi="Times New Roman" w:cs="Times New Roman"/>
          <w:b/>
          <w:kern w:val="0"/>
          <w:lang w:eastAsia="en-US" w:bidi="ar-SA"/>
        </w:rPr>
        <w:t>3</w:t>
      </w:r>
      <w:r w:rsidR="005744C9" w:rsidRPr="00667967">
        <w:rPr>
          <w:rFonts w:ascii="Times New Roman" w:hAnsi="Times New Roman" w:cs="Times New Roman"/>
          <w:b/>
          <w:kern w:val="0"/>
          <w:lang w:eastAsia="en-US" w:bidi="ar-SA"/>
        </w:rPr>
        <w:t>3</w:t>
      </w:r>
    </w:p>
    <w:p w14:paraId="489EE5D1" w14:textId="7812EEE4" w:rsidR="00C91ED9" w:rsidRPr="00667967" w:rsidRDefault="005A76E8" w:rsidP="00595221">
      <w:pPr>
        <w:widowControl/>
        <w:spacing w:before="120" w:after="120" w:line="360" w:lineRule="auto"/>
        <w:jc w:val="both"/>
        <w:rPr>
          <w:rFonts w:ascii="Times New Roman" w:hAnsi="Times New Roman" w:cs="Times New Roman"/>
          <w:kern w:val="0"/>
          <w:lang w:eastAsia="en-US" w:bidi="ar-SA"/>
        </w:rPr>
      </w:pPr>
      <w:r w:rsidRPr="00667967">
        <w:rPr>
          <w:rFonts w:ascii="Times New Roman" w:hAnsi="Times New Roman" w:cs="Times New Roman"/>
        </w:rPr>
        <w:t>W projekcie ustawy, w związku z koniecznością kontynuacji realizacji zadań określonych w art.</w:t>
      </w:r>
      <w:r w:rsidR="00D029CA">
        <w:rPr>
          <w:rFonts w:ascii="Times New Roman" w:hAnsi="Times New Roman" w:cs="Times New Roman"/>
        </w:rPr>
        <w:t> </w:t>
      </w:r>
      <w:r w:rsidRPr="00667967">
        <w:rPr>
          <w:rFonts w:ascii="Times New Roman" w:hAnsi="Times New Roman" w:cs="Times New Roman"/>
        </w:rPr>
        <w:t>18</w:t>
      </w:r>
      <w:r w:rsidR="003169FE" w:rsidRPr="00667967">
        <w:rPr>
          <w:rFonts w:ascii="Times New Roman" w:hAnsi="Times New Roman" w:cs="Times New Roman"/>
        </w:rPr>
        <w:t>c</w:t>
      </w:r>
      <w:r w:rsidRPr="00667967">
        <w:rPr>
          <w:rFonts w:ascii="Times New Roman" w:hAnsi="Times New Roman" w:cs="Times New Roman"/>
        </w:rPr>
        <w:t xml:space="preserve"> ust. </w:t>
      </w:r>
      <w:r w:rsidR="003169FE" w:rsidRPr="00667967">
        <w:rPr>
          <w:rFonts w:ascii="Times New Roman" w:hAnsi="Times New Roman" w:cs="Times New Roman"/>
        </w:rPr>
        <w:t>5</w:t>
      </w:r>
      <w:r w:rsidRPr="00667967">
        <w:rPr>
          <w:rFonts w:ascii="Times New Roman" w:hAnsi="Times New Roman" w:cs="Times New Roman"/>
        </w:rPr>
        <w:t xml:space="preserve"> ustawy </w:t>
      </w:r>
      <w:r w:rsidR="00173F79" w:rsidRPr="00667967">
        <w:rPr>
          <w:rFonts w:ascii="Times New Roman" w:hAnsi="Times New Roman" w:cs="Times New Roman"/>
        </w:rPr>
        <w:t>Poś</w:t>
      </w:r>
      <w:r w:rsidRPr="00667967">
        <w:rPr>
          <w:rFonts w:ascii="Times New Roman" w:hAnsi="Times New Roman" w:cs="Times New Roman"/>
        </w:rPr>
        <w:t xml:space="preserve">, określono maksymalne limity wydatków sektora finansów publicznych na lata </w:t>
      </w:r>
      <w:r w:rsidR="00D65FF4" w:rsidRPr="00667967">
        <w:rPr>
          <w:rFonts w:ascii="Times New Roman" w:hAnsi="Times New Roman" w:cs="Times New Roman"/>
        </w:rPr>
        <w:t>2025</w:t>
      </w:r>
      <w:r w:rsidR="003D59E7">
        <w:rPr>
          <w:rFonts w:ascii="Times New Roman" w:hAnsi="Times New Roman" w:cs="Times New Roman"/>
        </w:rPr>
        <w:t>–</w:t>
      </w:r>
      <w:r w:rsidR="00D65FF4" w:rsidRPr="00667967">
        <w:rPr>
          <w:rFonts w:ascii="Times New Roman" w:hAnsi="Times New Roman" w:cs="Times New Roman"/>
        </w:rPr>
        <w:t xml:space="preserve">2034 </w:t>
      </w:r>
      <w:r w:rsidRPr="00667967">
        <w:rPr>
          <w:rFonts w:ascii="Times New Roman" w:hAnsi="Times New Roman" w:cs="Times New Roman"/>
        </w:rPr>
        <w:t>dla sektora finansów publicznych w ramach środków pochodzących z budżetu państwa, Narodowego Funduszu.</w:t>
      </w:r>
    </w:p>
    <w:p w14:paraId="12E35B58" w14:textId="77777777" w:rsidR="009715BA" w:rsidRPr="00667967" w:rsidRDefault="009715BA" w:rsidP="00595221">
      <w:pPr>
        <w:widowControl/>
        <w:spacing w:before="120" w:after="120" w:line="360" w:lineRule="auto"/>
        <w:jc w:val="both"/>
        <w:rPr>
          <w:rFonts w:ascii="Times New Roman" w:hAnsi="Times New Roman" w:cs="Times New Roman"/>
          <w:kern w:val="0"/>
          <w:lang w:eastAsia="en-US" w:bidi="ar-SA"/>
        </w:rPr>
      </w:pPr>
      <w:r w:rsidRPr="00667967">
        <w:rPr>
          <w:rFonts w:ascii="Times New Roman" w:hAnsi="Times New Roman" w:cs="Times New Roman"/>
        </w:rPr>
        <w:t>Wprowadza się mechanizm korygujący, który należy wdrożyć w przypadku przekroczenia lub ryzyka przekroczenia przyjętego na dany rok budżetowy maksymalnego limitu wydatków. Nadzór nad monitoringiem limitu wydatków oraz wdrażania mechanizmu korygującego został powierzony ministrowi właściwemu do spraw klimatu.</w:t>
      </w:r>
    </w:p>
    <w:p w14:paraId="60D73AD7" w14:textId="77777777" w:rsidR="00997A7E" w:rsidRPr="00667967" w:rsidRDefault="00D9555F" w:rsidP="00595221">
      <w:pPr>
        <w:widowControl/>
        <w:numPr>
          <w:ilvl w:val="0"/>
          <w:numId w:val="1"/>
        </w:numPr>
        <w:tabs>
          <w:tab w:val="left" w:pos="0"/>
        </w:tabs>
        <w:spacing w:before="240" w:after="120" w:line="360" w:lineRule="auto"/>
        <w:ind w:left="567" w:hanging="567"/>
        <w:jc w:val="both"/>
        <w:rPr>
          <w:rFonts w:ascii="Times New Roman" w:eastAsia="Times New Roman" w:hAnsi="Times New Roman" w:cs="Times New Roman"/>
          <w:b/>
          <w:i/>
          <w:smallCaps/>
          <w:kern w:val="28"/>
        </w:rPr>
      </w:pPr>
      <w:r w:rsidRPr="00667967">
        <w:rPr>
          <w:rFonts w:ascii="Times New Roman" w:eastAsia="Times New Roman" w:hAnsi="Times New Roman" w:cs="Times New Roman"/>
          <w:b/>
          <w:smallCaps/>
          <w:kern w:val="28"/>
        </w:rPr>
        <w:t xml:space="preserve">informacje </w:t>
      </w:r>
      <w:r w:rsidR="00E35424" w:rsidRPr="00667967">
        <w:rPr>
          <w:rFonts w:ascii="Times New Roman" w:eastAsia="Times New Roman" w:hAnsi="Times New Roman" w:cs="Times New Roman"/>
          <w:b/>
          <w:smallCaps/>
          <w:kern w:val="28"/>
        </w:rPr>
        <w:t>końcowe</w:t>
      </w:r>
    </w:p>
    <w:p w14:paraId="3BF93794" w14:textId="77777777" w:rsidR="00320818" w:rsidRPr="00667967" w:rsidRDefault="00320818" w:rsidP="00595221">
      <w:pPr>
        <w:widowControl/>
        <w:spacing w:before="120" w:after="120" w:line="360" w:lineRule="auto"/>
        <w:jc w:val="both"/>
        <w:rPr>
          <w:rFonts w:ascii="Times New Roman" w:hAnsi="Times New Roman" w:cs="Times New Roman"/>
        </w:rPr>
      </w:pPr>
      <w:r w:rsidRPr="00667967">
        <w:rPr>
          <w:rFonts w:ascii="Times New Roman" w:hAnsi="Times New Roman" w:cs="Times New Roman"/>
        </w:rPr>
        <w:t>Projektowana ustawa nie jest sprzeczna z prawem Unii Europejskiej.</w:t>
      </w:r>
    </w:p>
    <w:p w14:paraId="62D5EAB3" w14:textId="77777777" w:rsidR="004C1764" w:rsidRPr="00667967" w:rsidRDefault="00C268CB" w:rsidP="00595221">
      <w:pPr>
        <w:widowControl/>
        <w:spacing w:before="120" w:after="120" w:line="360" w:lineRule="auto"/>
        <w:jc w:val="both"/>
        <w:rPr>
          <w:rFonts w:ascii="Times New Roman" w:hAnsi="Times New Roman" w:cs="Times New Roman"/>
        </w:rPr>
      </w:pPr>
      <w:r w:rsidRPr="00667967">
        <w:rPr>
          <w:rFonts w:ascii="Times New Roman" w:hAnsi="Times New Roman" w:cs="Times New Roman"/>
        </w:rPr>
        <w:t xml:space="preserve">Projekt </w:t>
      </w:r>
      <w:r w:rsidR="00043E93" w:rsidRPr="00667967">
        <w:rPr>
          <w:rFonts w:ascii="Times New Roman" w:hAnsi="Times New Roman" w:cs="Times New Roman"/>
        </w:rPr>
        <w:t xml:space="preserve">ustawy </w:t>
      </w:r>
      <w:r w:rsidRPr="00667967">
        <w:rPr>
          <w:rFonts w:ascii="Times New Roman" w:hAnsi="Times New Roman" w:cs="Times New Roman"/>
        </w:rPr>
        <w:t xml:space="preserve">nie podlega procedurze notyfikacji </w:t>
      </w:r>
      <w:r w:rsidR="00320818" w:rsidRPr="00667967">
        <w:rPr>
          <w:rFonts w:ascii="Times New Roman" w:hAnsi="Times New Roman" w:cs="Times New Roman"/>
        </w:rPr>
        <w:t xml:space="preserve">aktów prawnych, określonej w przepisach rozporządzenia </w:t>
      </w:r>
      <w:r w:rsidRPr="00667967">
        <w:rPr>
          <w:rFonts w:ascii="Times New Roman" w:hAnsi="Times New Roman" w:cs="Times New Roman"/>
        </w:rPr>
        <w:t>Rady Ministrów z dnia 23 grudnia 2002 r. w sprawie sposobu funkcjonowania krajowego systemu notyfikacji norm i aktów prawnych (Dz. U. poz. 2039, z późn. zm.).</w:t>
      </w:r>
    </w:p>
    <w:p w14:paraId="4399CF3C" w14:textId="77777777" w:rsidR="00C268CB" w:rsidRPr="00667967" w:rsidRDefault="00C268CB" w:rsidP="00595221">
      <w:pPr>
        <w:widowControl/>
        <w:spacing w:before="120" w:after="120" w:line="360" w:lineRule="auto"/>
        <w:jc w:val="both"/>
        <w:rPr>
          <w:rFonts w:ascii="Times New Roman" w:hAnsi="Times New Roman" w:cs="Times New Roman"/>
        </w:rPr>
      </w:pPr>
      <w:r w:rsidRPr="00667967">
        <w:rPr>
          <w:rFonts w:ascii="Times New Roman" w:hAnsi="Times New Roman" w:cs="Times New Roman"/>
        </w:rPr>
        <w:lastRenderedPageBreak/>
        <w:t xml:space="preserve">Projekt </w:t>
      </w:r>
      <w:r w:rsidR="00043E93" w:rsidRPr="00667967">
        <w:rPr>
          <w:rFonts w:ascii="Times New Roman" w:hAnsi="Times New Roman" w:cs="Times New Roman"/>
        </w:rPr>
        <w:t xml:space="preserve">ustawy </w:t>
      </w:r>
      <w:r w:rsidRPr="00667967">
        <w:rPr>
          <w:rFonts w:ascii="Times New Roman" w:hAnsi="Times New Roman" w:cs="Times New Roman"/>
        </w:rPr>
        <w:t>nie wymaga przedstawienia właściwym organom i instytucjom Unii Europejskiej, w</w:t>
      </w:r>
      <w:r w:rsidR="003639C6" w:rsidRPr="00667967">
        <w:rPr>
          <w:rFonts w:ascii="Times New Roman" w:hAnsi="Times New Roman" w:cs="Times New Roman"/>
        </w:rPr>
        <w:t> </w:t>
      </w:r>
      <w:r w:rsidRPr="00667967">
        <w:rPr>
          <w:rFonts w:ascii="Times New Roman" w:hAnsi="Times New Roman" w:cs="Times New Roman"/>
        </w:rPr>
        <w:t>tym Euro</w:t>
      </w:r>
      <w:r w:rsidR="00320818" w:rsidRPr="00667967">
        <w:rPr>
          <w:rFonts w:ascii="Times New Roman" w:hAnsi="Times New Roman" w:cs="Times New Roman"/>
        </w:rPr>
        <w:t xml:space="preserve">pejskiemu Bankowi Centralnemu, </w:t>
      </w:r>
      <w:r w:rsidRPr="00667967">
        <w:rPr>
          <w:rFonts w:ascii="Times New Roman" w:hAnsi="Times New Roman" w:cs="Times New Roman"/>
        </w:rPr>
        <w:t>cel</w:t>
      </w:r>
      <w:r w:rsidR="00320818" w:rsidRPr="00667967">
        <w:rPr>
          <w:rFonts w:ascii="Times New Roman" w:hAnsi="Times New Roman" w:cs="Times New Roman"/>
        </w:rPr>
        <w:t xml:space="preserve">em </w:t>
      </w:r>
      <w:r w:rsidRPr="00667967">
        <w:rPr>
          <w:rFonts w:ascii="Times New Roman" w:hAnsi="Times New Roman" w:cs="Times New Roman"/>
        </w:rPr>
        <w:t>uzyskania opinii, dokonania powiadomienia, konsultacji albo uzgodnienia</w:t>
      </w:r>
      <w:r w:rsidR="00043E93" w:rsidRPr="00667967">
        <w:rPr>
          <w:rFonts w:ascii="Times New Roman" w:hAnsi="Times New Roman" w:cs="Times New Roman"/>
        </w:rPr>
        <w:t xml:space="preserve"> projektu</w:t>
      </w:r>
      <w:r w:rsidRPr="00667967">
        <w:rPr>
          <w:rFonts w:ascii="Times New Roman" w:hAnsi="Times New Roman" w:cs="Times New Roman"/>
        </w:rPr>
        <w:t>.</w:t>
      </w:r>
    </w:p>
    <w:p w14:paraId="7EB01473" w14:textId="62F6237C" w:rsidR="00320818" w:rsidRPr="00667967" w:rsidRDefault="00320818" w:rsidP="00595221">
      <w:pPr>
        <w:widowControl/>
        <w:spacing w:before="120" w:after="120" w:line="360" w:lineRule="auto"/>
        <w:jc w:val="both"/>
        <w:rPr>
          <w:rFonts w:ascii="Times New Roman" w:hAnsi="Times New Roman" w:cs="Times New Roman"/>
        </w:rPr>
      </w:pPr>
      <w:r w:rsidRPr="00667967">
        <w:rPr>
          <w:rFonts w:ascii="Times New Roman" w:hAnsi="Times New Roman" w:cs="Times New Roman"/>
        </w:rPr>
        <w:t xml:space="preserve">Projektowana ustawa będzie miała korzystny finansowy wpływ na działalność mikroprzedsiębiorców oraz małych i średnich przedsiębiorców, którzy zajmują się opracowaniem </w:t>
      </w:r>
      <w:r w:rsidR="009E78C9">
        <w:rPr>
          <w:rFonts w:ascii="Times New Roman" w:hAnsi="Times New Roman" w:cs="Times New Roman"/>
        </w:rPr>
        <w:t>MPA</w:t>
      </w:r>
      <w:r w:rsidRPr="00667967">
        <w:rPr>
          <w:rFonts w:ascii="Times New Roman" w:hAnsi="Times New Roman" w:cs="Times New Roman"/>
        </w:rPr>
        <w:t xml:space="preserve"> oraz innych analogicznych dokumentów planistycznych i strategicznych. </w:t>
      </w:r>
    </w:p>
    <w:p w14:paraId="36501404" w14:textId="6A9A9167" w:rsidR="003627B0" w:rsidRPr="00595221" w:rsidRDefault="00761797" w:rsidP="00595221">
      <w:pPr>
        <w:widowControl/>
        <w:spacing w:before="120" w:after="120" w:line="360" w:lineRule="auto"/>
        <w:jc w:val="both"/>
        <w:rPr>
          <w:rFonts w:ascii="Times New Roman" w:hAnsi="Times New Roman" w:cs="Times New Roman"/>
        </w:rPr>
      </w:pPr>
      <w:r w:rsidRPr="00667967">
        <w:rPr>
          <w:rFonts w:ascii="Times New Roman" w:hAnsi="Times New Roman" w:cs="Times New Roman"/>
        </w:rPr>
        <w:t>Ustawa wchodzi w życie po upływie 14 dni od dnia jej ogłoszenia</w:t>
      </w:r>
      <w:r w:rsidR="00F43DD8" w:rsidRPr="00667967">
        <w:rPr>
          <w:rFonts w:ascii="Times New Roman" w:hAnsi="Times New Roman" w:cs="Times New Roman"/>
        </w:rPr>
        <w:t>,</w:t>
      </w:r>
      <w:r w:rsidR="00F43DD8" w:rsidRPr="00595221">
        <w:rPr>
          <w:rFonts w:ascii="Times New Roman" w:hAnsi="Times New Roman" w:cs="Times New Roman"/>
        </w:rPr>
        <w:t xml:space="preserve"> </w:t>
      </w:r>
      <w:r w:rsidR="00F43DD8" w:rsidRPr="00667967">
        <w:rPr>
          <w:rFonts w:ascii="Times New Roman" w:hAnsi="Times New Roman" w:cs="Times New Roman"/>
        </w:rPr>
        <w:t xml:space="preserve">za wyjątkiem art. 1 pkt 3 w zakresie art. </w:t>
      </w:r>
      <w:r w:rsidR="00772EF0" w:rsidRPr="00667967">
        <w:rPr>
          <w:rFonts w:ascii="Times New Roman" w:hAnsi="Times New Roman" w:cs="Times New Roman"/>
        </w:rPr>
        <w:t xml:space="preserve">18b </w:t>
      </w:r>
      <w:r w:rsidR="00F43DD8" w:rsidRPr="00667967">
        <w:rPr>
          <w:rFonts w:ascii="Times New Roman" w:hAnsi="Times New Roman" w:cs="Times New Roman"/>
        </w:rPr>
        <w:t xml:space="preserve">ust. </w:t>
      </w:r>
      <w:r w:rsidR="00772EF0" w:rsidRPr="00667967">
        <w:rPr>
          <w:rFonts w:ascii="Times New Roman" w:hAnsi="Times New Roman" w:cs="Times New Roman"/>
        </w:rPr>
        <w:t>2</w:t>
      </w:r>
      <w:r w:rsidR="00F43DD8" w:rsidRPr="00667967">
        <w:rPr>
          <w:rFonts w:ascii="Times New Roman" w:hAnsi="Times New Roman" w:cs="Times New Roman"/>
        </w:rPr>
        <w:t>, który wchodzi w życie z dniem 1 lipca 2025 r</w:t>
      </w:r>
      <w:r w:rsidRPr="00667967">
        <w:rPr>
          <w:rFonts w:ascii="Times New Roman" w:hAnsi="Times New Roman" w:cs="Times New Roman"/>
        </w:rPr>
        <w:t>.</w:t>
      </w:r>
      <w:r w:rsidR="003627B0" w:rsidRPr="00595221">
        <w:rPr>
          <w:rFonts w:ascii="Times New Roman" w:hAnsi="Times New Roman" w:cs="Times New Roman"/>
        </w:rPr>
        <w:t xml:space="preserve"> </w:t>
      </w:r>
    </w:p>
    <w:p w14:paraId="2218707D" w14:textId="17BC468F" w:rsidR="00761797" w:rsidRPr="00667967" w:rsidRDefault="00EA393D" w:rsidP="00595221">
      <w:pPr>
        <w:widowControl/>
        <w:spacing w:before="120" w:after="120" w:line="360" w:lineRule="auto"/>
        <w:jc w:val="both"/>
        <w:rPr>
          <w:rFonts w:ascii="Times New Roman" w:hAnsi="Times New Roman" w:cs="Times New Roman"/>
        </w:rPr>
      </w:pPr>
      <w:r w:rsidRPr="00667967">
        <w:rPr>
          <w:rFonts w:ascii="Times New Roman" w:hAnsi="Times New Roman" w:cs="Times New Roman"/>
        </w:rPr>
        <w:t>Termin 14 dni na wejście w życie ustawy jest wystarczający również pod względem nowych</w:t>
      </w:r>
      <w:r w:rsidR="00D029CA">
        <w:rPr>
          <w:rFonts w:ascii="Times New Roman" w:hAnsi="Times New Roman" w:cs="Times New Roman"/>
        </w:rPr>
        <w:t> </w:t>
      </w:r>
      <w:r w:rsidRPr="00667967">
        <w:rPr>
          <w:rFonts w:ascii="Times New Roman" w:hAnsi="Times New Roman" w:cs="Times New Roman"/>
        </w:rPr>
        <w:t>zobowiąza</w:t>
      </w:r>
      <w:r w:rsidR="001A28CD" w:rsidRPr="00667967">
        <w:rPr>
          <w:rFonts w:ascii="Times New Roman" w:hAnsi="Times New Roman" w:cs="Times New Roman"/>
        </w:rPr>
        <w:t>ń</w:t>
      </w:r>
      <w:r w:rsidRPr="00667967">
        <w:rPr>
          <w:rFonts w:ascii="Times New Roman" w:hAnsi="Times New Roman" w:cs="Times New Roman"/>
        </w:rPr>
        <w:t xml:space="preserve"> dla miast, o których mowa w art. 1</w:t>
      </w:r>
      <w:r w:rsidR="005744C9" w:rsidRPr="00667967">
        <w:rPr>
          <w:rFonts w:ascii="Times New Roman" w:hAnsi="Times New Roman" w:cs="Times New Roman"/>
        </w:rPr>
        <w:t>5</w:t>
      </w:r>
      <w:r w:rsidR="00E94251" w:rsidRPr="00667967">
        <w:rPr>
          <w:rFonts w:ascii="Times New Roman" w:hAnsi="Times New Roman" w:cs="Times New Roman"/>
        </w:rPr>
        <w:t xml:space="preserve"> przedmiotowej ustawy</w:t>
      </w:r>
      <w:r w:rsidRPr="00667967">
        <w:rPr>
          <w:rFonts w:ascii="Times New Roman" w:hAnsi="Times New Roman" w:cs="Times New Roman"/>
        </w:rPr>
        <w:t>. Miasta będą miały</w:t>
      </w:r>
      <w:r w:rsidR="001A28CD" w:rsidRPr="00667967">
        <w:rPr>
          <w:rFonts w:ascii="Times New Roman" w:hAnsi="Times New Roman" w:cs="Times New Roman"/>
        </w:rPr>
        <w:t xml:space="preserve"> 30 dni na po</w:t>
      </w:r>
      <w:r w:rsidR="00374EC4">
        <w:rPr>
          <w:rFonts w:ascii="Times New Roman" w:hAnsi="Times New Roman" w:cs="Times New Roman"/>
        </w:rPr>
        <w:t>d</w:t>
      </w:r>
      <w:r w:rsidR="001A28CD" w:rsidRPr="00667967">
        <w:rPr>
          <w:rFonts w:ascii="Times New Roman" w:hAnsi="Times New Roman" w:cs="Times New Roman"/>
        </w:rPr>
        <w:t>jęcie uchwały w</w:t>
      </w:r>
      <w:r w:rsidR="00E94251" w:rsidRPr="00667967">
        <w:rPr>
          <w:rFonts w:ascii="Times New Roman" w:hAnsi="Times New Roman" w:cs="Times New Roman"/>
        </w:rPr>
        <w:t xml:space="preserve"> </w:t>
      </w:r>
      <w:r w:rsidR="001A28CD" w:rsidRPr="00667967">
        <w:rPr>
          <w:rFonts w:ascii="Times New Roman" w:hAnsi="Times New Roman" w:cs="Times New Roman"/>
        </w:rPr>
        <w:t>s</w:t>
      </w:r>
      <w:r w:rsidR="00E94251" w:rsidRPr="00667967">
        <w:rPr>
          <w:rFonts w:ascii="Times New Roman" w:hAnsi="Times New Roman" w:cs="Times New Roman"/>
        </w:rPr>
        <w:t>prawie</w:t>
      </w:r>
      <w:r w:rsidR="001A28CD" w:rsidRPr="00667967">
        <w:rPr>
          <w:rFonts w:ascii="Times New Roman" w:hAnsi="Times New Roman" w:cs="Times New Roman"/>
        </w:rPr>
        <w:t xml:space="preserve"> uznania dokumentu o charakterze </w:t>
      </w:r>
      <w:r w:rsidR="00D029CA">
        <w:rPr>
          <w:rFonts w:ascii="Times New Roman" w:hAnsi="Times New Roman" w:cs="Times New Roman"/>
        </w:rPr>
        <w:br/>
      </w:r>
      <w:r w:rsidR="001A28CD" w:rsidRPr="00667967">
        <w:rPr>
          <w:rFonts w:ascii="Times New Roman" w:hAnsi="Times New Roman" w:cs="Times New Roman"/>
        </w:rPr>
        <w:t>strategiczno-wdrożeniowym za MPA w rozumieniu ustawy,</w:t>
      </w:r>
      <w:r w:rsidRPr="00667967">
        <w:rPr>
          <w:rFonts w:ascii="Times New Roman" w:hAnsi="Times New Roman" w:cs="Times New Roman"/>
        </w:rPr>
        <w:t xml:space="preserve"> 14 dni na zamieszczenie informacji o </w:t>
      </w:r>
      <w:r w:rsidR="001A28CD" w:rsidRPr="00667967">
        <w:rPr>
          <w:rFonts w:ascii="Times New Roman" w:hAnsi="Times New Roman" w:cs="Times New Roman"/>
        </w:rPr>
        <w:t xml:space="preserve">tym </w:t>
      </w:r>
      <w:r w:rsidRPr="00667967">
        <w:rPr>
          <w:rFonts w:ascii="Times New Roman" w:hAnsi="Times New Roman" w:cs="Times New Roman"/>
        </w:rPr>
        <w:t>uznaniu na str</w:t>
      </w:r>
      <w:r w:rsidR="003D7E9B" w:rsidRPr="00667967">
        <w:rPr>
          <w:rFonts w:ascii="Times New Roman" w:hAnsi="Times New Roman" w:cs="Times New Roman"/>
        </w:rPr>
        <w:t>o</w:t>
      </w:r>
      <w:r w:rsidRPr="00667967">
        <w:rPr>
          <w:rFonts w:ascii="Times New Roman" w:hAnsi="Times New Roman" w:cs="Times New Roman"/>
        </w:rPr>
        <w:t xml:space="preserve">nie urzędu oraz 30 dni na przekazanie tej informacji wraz z MPA do </w:t>
      </w:r>
      <w:r w:rsidR="00D029CA">
        <w:rPr>
          <w:rFonts w:ascii="Times New Roman" w:hAnsi="Times New Roman" w:cs="Times New Roman"/>
        </w:rPr>
        <w:br/>
      </w:r>
      <w:r w:rsidRPr="00667967">
        <w:rPr>
          <w:rFonts w:ascii="Times New Roman" w:hAnsi="Times New Roman" w:cs="Times New Roman"/>
        </w:rPr>
        <w:t>IOŚ-PIB za pośrednictwem systemu elektronicznego udostępnionego przez Instytut. Opracowanie głównej części systemu wchodziło w zakres projektu Klimady 2.0.</w:t>
      </w:r>
    </w:p>
    <w:p w14:paraId="528C6D9B" w14:textId="77777777" w:rsidR="001F0966" w:rsidRPr="00667967" w:rsidRDefault="001F0966" w:rsidP="00595221">
      <w:pPr>
        <w:widowControl/>
        <w:numPr>
          <w:ilvl w:val="0"/>
          <w:numId w:val="1"/>
        </w:numPr>
        <w:tabs>
          <w:tab w:val="left" w:pos="0"/>
        </w:tabs>
        <w:spacing w:before="240" w:after="120" w:line="360" w:lineRule="auto"/>
        <w:ind w:left="567" w:hanging="567"/>
        <w:jc w:val="both"/>
        <w:rPr>
          <w:rFonts w:ascii="Times New Roman" w:eastAsia="Times New Roman" w:hAnsi="Times New Roman" w:cs="Times New Roman"/>
          <w:b/>
          <w:smallCaps/>
          <w:kern w:val="28"/>
        </w:rPr>
      </w:pPr>
      <w:r w:rsidRPr="00667967">
        <w:rPr>
          <w:rFonts w:ascii="Times New Roman" w:eastAsia="Times New Roman" w:hAnsi="Times New Roman" w:cs="Times New Roman"/>
          <w:b/>
          <w:smallCaps/>
          <w:kern w:val="28"/>
        </w:rPr>
        <w:t xml:space="preserve">Zgodność z KPO </w:t>
      </w:r>
    </w:p>
    <w:p w14:paraId="7D472B50" w14:textId="2CEB8EC1" w:rsidR="006D7F4B" w:rsidRPr="00667967" w:rsidRDefault="006D7F4B" w:rsidP="00595221">
      <w:pPr>
        <w:widowControl/>
        <w:suppressAutoHyphens w:val="0"/>
        <w:spacing w:before="120" w:after="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Zaproponowane przepisy w art. 7</w:t>
      </w:r>
      <w:r w:rsidR="00374EC4">
        <w:rPr>
          <w:rFonts w:ascii="Times New Roman" w:eastAsia="Times New Roman" w:hAnsi="Times New Roman" w:cs="Times New Roman"/>
          <w:kern w:val="0"/>
          <w:lang w:eastAsia="pl-PL" w:bidi="ar-SA"/>
        </w:rPr>
        <w:t>,</w:t>
      </w:r>
      <w:r w:rsidRPr="00667967">
        <w:rPr>
          <w:rFonts w:ascii="Times New Roman" w:eastAsia="Times New Roman" w:hAnsi="Times New Roman" w:cs="Times New Roman"/>
          <w:kern w:val="0"/>
          <w:lang w:eastAsia="pl-PL" w:bidi="ar-SA"/>
        </w:rPr>
        <w:t xml:space="preserve"> obejmujące zmianę przepisów ustawy z dnia 25 sierpnia 2006 r. o systemie monitorowania i kontrolowania jakości paliw</w:t>
      </w:r>
      <w:r w:rsidR="00374EC4">
        <w:rPr>
          <w:rFonts w:ascii="Times New Roman" w:eastAsia="Times New Roman" w:hAnsi="Times New Roman" w:cs="Times New Roman"/>
          <w:kern w:val="0"/>
          <w:lang w:eastAsia="pl-PL" w:bidi="ar-SA"/>
        </w:rPr>
        <w:t>,</w:t>
      </w:r>
      <w:r w:rsidRPr="00667967">
        <w:rPr>
          <w:rFonts w:ascii="Times New Roman" w:eastAsia="Times New Roman" w:hAnsi="Times New Roman" w:cs="Times New Roman"/>
          <w:kern w:val="0"/>
          <w:lang w:eastAsia="pl-PL" w:bidi="ar-SA"/>
        </w:rPr>
        <w:t xml:space="preserve"> pozwolą na realizację kamienia milowego przyczynią się pośrednio do wypełnienia kamienia milowego B5G pn.</w:t>
      </w:r>
      <w:r w:rsidR="00D029CA">
        <w:rPr>
          <w:rFonts w:ascii="Times New Roman" w:eastAsia="Times New Roman" w:hAnsi="Times New Roman" w:cs="Times New Roman"/>
          <w:kern w:val="0"/>
          <w:lang w:eastAsia="pl-PL" w:bidi="ar-SA"/>
        </w:rPr>
        <w:t> </w:t>
      </w:r>
      <w:r w:rsidRPr="00667967">
        <w:rPr>
          <w:rFonts w:ascii="Times New Roman" w:eastAsia="Times New Roman" w:hAnsi="Times New Roman" w:cs="Times New Roman"/>
          <w:kern w:val="0"/>
          <w:lang w:eastAsia="pl-PL" w:bidi="ar-SA"/>
        </w:rPr>
        <w:t xml:space="preserve">Wejście w życie przepisów określających standardy jakości paliw stałych z biomasy, realizowanych w ramach reformy B1.1. Czyste powietrze i efektywność energetyczna w ramach Krajowego Planu Odbudowy i Zwiększania Odporności (KPO). Za realizację tej reformy i kamienia milowego odpowiedzialne jest Ministerstwo Klimatu i Środowiska. </w:t>
      </w:r>
    </w:p>
    <w:p w14:paraId="2E558603" w14:textId="77777777" w:rsidR="006D7F4B" w:rsidRPr="00667967" w:rsidRDefault="006D7F4B" w:rsidP="00595221">
      <w:pPr>
        <w:widowControl/>
        <w:suppressAutoHyphens w:val="0"/>
        <w:spacing w:before="120" w:after="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 xml:space="preserve">Dodanie do ustawy upoważnienia ustawowego umożliwi określenie w drodze rozporządzenia wymagań jakościowych dla paliw stałych z biomasy pozyskanej z drzew i krzewów – peletu i brykietu, wprowadzanych do obrotu z przeznaczeniem do użycia w gospodarstwach domowych oraz w instalacjach spalania o nominalnej mocy cieplnej mniejszej niż 1 MW. </w:t>
      </w:r>
    </w:p>
    <w:p w14:paraId="3B18785E" w14:textId="77619012" w:rsidR="006D7F4B" w:rsidRPr="00667967" w:rsidRDefault="006D7F4B" w:rsidP="00595221">
      <w:pPr>
        <w:widowControl/>
        <w:suppressAutoHyphens w:val="0"/>
        <w:spacing w:before="120" w:after="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To na podstawie proponowanego upoważnienia będzie możliwe wypełnienie kamienia milowego B5G przez wydanie rozporządzenia określającego parametry jakościowe dla paliw stałych –</w:t>
      </w:r>
      <w:r w:rsidR="00374EC4">
        <w:rPr>
          <w:rFonts w:ascii="Times New Roman" w:eastAsia="Times New Roman" w:hAnsi="Times New Roman" w:cs="Times New Roman"/>
          <w:kern w:val="0"/>
          <w:lang w:eastAsia="pl-PL" w:bidi="ar-SA"/>
        </w:rPr>
        <w:t xml:space="preserve"> </w:t>
      </w:r>
      <w:r w:rsidRPr="00667967">
        <w:rPr>
          <w:rFonts w:ascii="Times New Roman" w:eastAsia="Times New Roman" w:hAnsi="Times New Roman" w:cs="Times New Roman"/>
          <w:kern w:val="0"/>
          <w:lang w:eastAsia="pl-PL" w:bidi="ar-SA"/>
        </w:rPr>
        <w:t>z biomasy pozyskanej z drzew i krzewów – peletu i brykietu, wprowadzanych do obrotu z przeznaczeniem do użycia w sektorze bytowo-komunalnym.</w:t>
      </w:r>
    </w:p>
    <w:p w14:paraId="00B82062" w14:textId="60DF402B" w:rsidR="0001654F" w:rsidRPr="00667967" w:rsidRDefault="0001654F" w:rsidP="00595221">
      <w:pPr>
        <w:widowControl/>
        <w:suppressAutoHyphens w:val="0"/>
        <w:spacing w:before="120" w:after="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lastRenderedPageBreak/>
        <w:t xml:space="preserve">Zaproponowane przepisy w art. 9 pkt 2 – zmiany w zakresie zwiększenia możliwości działania Funduszu Rozwoju Regionalnego – są odpowiedzią na zapisy Krajowego Planu Odbudowy i Zwiększania Odporności w zakresie kamienia milowego B24L dotyczącego rozwiązań prawnych służących procesom transformacyjnym miast (reforma B.3.4 Ramowe warunki dla inwestycji w zieloną transformację na obszarach miejskich). Za realizację reformy i kamienia milowego odpowiedzialne jest Ministerstwo Funduszy i Polityki Regionalnej. Wymogiem KPO względem projektowanej ustawy jest przygotowanie i wdrożenie skutecznych rozwiązań formalno-prawnych, organizacyjno-instytucjonalnych mających na celu przyśpieszenie procesu zielonej transformacji miast w Polsce oraz przede wszystkim zapewnienie trwałości we wspieraniu zdolności obszarów miejskich w inwestowaniu w zieloną transformację. </w:t>
      </w:r>
    </w:p>
    <w:p w14:paraId="32BF04E0" w14:textId="4684E971" w:rsidR="0001654F" w:rsidRPr="00667967" w:rsidRDefault="0001654F" w:rsidP="00595221">
      <w:pPr>
        <w:widowControl/>
        <w:suppressAutoHyphens w:val="0"/>
        <w:spacing w:before="120" w:after="120" w:line="360" w:lineRule="auto"/>
        <w:jc w:val="both"/>
        <w:rPr>
          <w:rFonts w:ascii="Times New Roman" w:eastAsia="Times New Roman" w:hAnsi="Times New Roman" w:cs="Times New Roman"/>
          <w:kern w:val="0"/>
          <w:lang w:eastAsia="pl-PL" w:bidi="ar-SA"/>
        </w:rPr>
      </w:pPr>
      <w:r w:rsidRPr="00667967">
        <w:rPr>
          <w:rFonts w:ascii="Times New Roman" w:eastAsia="Times New Roman" w:hAnsi="Times New Roman" w:cs="Times New Roman"/>
          <w:kern w:val="0"/>
          <w:lang w:eastAsia="pl-PL" w:bidi="ar-SA"/>
        </w:rPr>
        <w:t>Zgodnie z rozporządzeniem Parlamentu Europejskiego i Rady (UE) 2021/241 z dnia 12 lutego 2021 r. ustanawiającym instrument na rzecz Odbudowy i Zwiększania Odporności (Dz.</w:t>
      </w:r>
      <w:r w:rsidR="00D029CA">
        <w:rPr>
          <w:rFonts w:ascii="Times New Roman" w:eastAsia="Times New Roman" w:hAnsi="Times New Roman" w:cs="Times New Roman"/>
          <w:kern w:val="0"/>
          <w:lang w:eastAsia="pl-PL" w:bidi="ar-SA"/>
        </w:rPr>
        <w:t> </w:t>
      </w:r>
      <w:r w:rsidRPr="00667967">
        <w:rPr>
          <w:rFonts w:ascii="Times New Roman" w:eastAsia="Times New Roman" w:hAnsi="Times New Roman" w:cs="Times New Roman"/>
          <w:kern w:val="0"/>
          <w:lang w:eastAsia="pl-PL" w:bidi="ar-SA"/>
        </w:rPr>
        <w:t>Urz.</w:t>
      </w:r>
      <w:r w:rsidR="00D029CA">
        <w:rPr>
          <w:rFonts w:ascii="Times New Roman" w:eastAsia="Times New Roman" w:hAnsi="Times New Roman" w:cs="Times New Roman"/>
          <w:kern w:val="0"/>
          <w:lang w:eastAsia="pl-PL" w:bidi="ar-SA"/>
        </w:rPr>
        <w:t> </w:t>
      </w:r>
      <w:r w:rsidRPr="00667967">
        <w:rPr>
          <w:rFonts w:ascii="Times New Roman" w:eastAsia="Times New Roman" w:hAnsi="Times New Roman" w:cs="Times New Roman"/>
          <w:kern w:val="0"/>
          <w:lang w:eastAsia="pl-PL" w:bidi="ar-SA"/>
        </w:rPr>
        <w:t xml:space="preserve">UE L 57 z 18.02.2021, str. 17) jednym z sześciu filarów KPO jest zielona transformacja. Zieloną transformację należy rozumieć jako proces prowadzący do zwiększania neutralności klimatycznej, przy jednoczesnej dbałości o jakość środowiska przyrodniczego i nie ograniczający potencjału do rozwoju społeczno-gospodarczego. Szerzej jest to proces, który tworzy potencjał do rozwoju społecznego i gospodarczego w oparciu o założenia Europejskiego Zielonego Ładu oraz podstawowych priorytetów strategii UE w zakresie przystosowania do zmian klimatu. </w:t>
      </w:r>
      <w:r w:rsidRPr="00667967">
        <w:rPr>
          <w:rFonts w:ascii="Times New Roman" w:hAnsi="Times New Roman" w:cs="Times New Roman"/>
        </w:rPr>
        <w:t xml:space="preserve">Zielona transformacja to kompleksowy zestaw działań mający na celu znaczącą redukcję negatywnego oddziaływania ludzi na środowisko przyrodnicze, prowadzący do zwiększania neutralności klimatycznej i jednocześnie tworzący przestrzenie miejskie przyjazne człowiekowi. </w:t>
      </w:r>
      <w:r w:rsidRPr="00667967">
        <w:rPr>
          <w:rFonts w:ascii="Times New Roman" w:eastAsia="Times New Roman" w:hAnsi="Times New Roman" w:cs="Times New Roman"/>
          <w:kern w:val="0"/>
          <w:lang w:eastAsia="pl-PL" w:bidi="ar-SA"/>
        </w:rPr>
        <w:t xml:space="preserve">Przedmiotowa reforma stworzy warunki i instrument trwałego wsparcia rozwoju miast i miejskich obszarów funkcjonalnych, w tym inwestycji ukierunkowanych na zieloną transformację. </w:t>
      </w:r>
    </w:p>
    <w:p w14:paraId="347B515A" w14:textId="33D1AF5E" w:rsidR="005746FE" w:rsidRPr="00667967" w:rsidRDefault="00C1304E" w:rsidP="00595221">
      <w:pPr>
        <w:widowControl/>
        <w:suppressAutoHyphens w:val="0"/>
        <w:spacing w:before="120" w:after="120" w:line="360" w:lineRule="auto"/>
        <w:jc w:val="both"/>
        <w:rPr>
          <w:rFonts w:ascii="Times New Roman" w:hAnsi="Times New Roman" w:cs="Times New Roman"/>
        </w:rPr>
      </w:pPr>
      <w:r w:rsidRPr="00667967">
        <w:rPr>
          <w:rFonts w:ascii="Times New Roman" w:eastAsia="Times New Roman" w:hAnsi="Times New Roman" w:cs="Times New Roman"/>
        </w:rPr>
        <w:t xml:space="preserve">Projektowana ustawa </w:t>
      </w:r>
      <w:r w:rsidR="00136AB2" w:rsidRPr="00667967">
        <w:rPr>
          <w:rFonts w:ascii="Times New Roman" w:eastAsia="Times New Roman" w:hAnsi="Times New Roman" w:cs="Times New Roman"/>
        </w:rPr>
        <w:t xml:space="preserve">o zmianie ustawy </w:t>
      </w:r>
      <w:r w:rsidR="00EF7EE4">
        <w:rPr>
          <w:rFonts w:ascii="Times New Roman" w:eastAsia="Times New Roman" w:hAnsi="Times New Roman" w:cs="Times New Roman"/>
        </w:rPr>
        <w:t>–</w:t>
      </w:r>
      <w:r w:rsidR="00136AB2" w:rsidRPr="00667967">
        <w:rPr>
          <w:rFonts w:ascii="Times New Roman" w:eastAsia="Times New Roman" w:hAnsi="Times New Roman" w:cs="Times New Roman"/>
        </w:rPr>
        <w:t xml:space="preserve"> Prawo ochrony środowiska oraz niektórych innych ustaw </w:t>
      </w:r>
      <w:r w:rsidRPr="00667967">
        <w:rPr>
          <w:rFonts w:ascii="Times New Roman" w:eastAsia="Times New Roman" w:hAnsi="Times New Roman" w:cs="Times New Roman"/>
        </w:rPr>
        <w:t>realizuje</w:t>
      </w:r>
      <w:r w:rsidR="0001654F" w:rsidRPr="00667967">
        <w:rPr>
          <w:rFonts w:ascii="Times New Roman" w:eastAsia="Times New Roman" w:hAnsi="Times New Roman" w:cs="Times New Roman"/>
        </w:rPr>
        <w:t xml:space="preserve"> również pozostałe</w:t>
      </w:r>
      <w:r w:rsidRPr="00667967">
        <w:rPr>
          <w:rFonts w:ascii="Times New Roman" w:eastAsia="Times New Roman" w:hAnsi="Times New Roman" w:cs="Times New Roman"/>
        </w:rPr>
        <w:t xml:space="preserve"> cele reformy B3.4 Ramowe warunki dla inwestycji w zieloną transformację na obszarach miejskich, którymi są: wsparcie dla samorządów terytorialnych w</w:t>
      </w:r>
      <w:r w:rsidR="003507DE" w:rsidRPr="00667967">
        <w:rPr>
          <w:rFonts w:ascii="Times New Roman" w:eastAsia="Times New Roman" w:hAnsi="Times New Roman" w:cs="Times New Roman"/>
        </w:rPr>
        <w:t> </w:t>
      </w:r>
      <w:r w:rsidRPr="00667967">
        <w:rPr>
          <w:rFonts w:ascii="Times New Roman" w:eastAsia="Times New Roman" w:hAnsi="Times New Roman" w:cs="Times New Roman"/>
        </w:rPr>
        <w:t>zakresie zdolności do określania priorytetów, planowania i realizacji projektów dotyczących łagodzenia zmian klimatu, uwzględnienie aspektów zrównoważonego rozwoju w procedurach planowania przestrzeni miejskiej oraz odpowiednie konsultacje z zainteresowanymi stronami w</w:t>
      </w:r>
      <w:r w:rsidR="003507DE" w:rsidRPr="00667967">
        <w:rPr>
          <w:rFonts w:ascii="Times New Roman" w:eastAsia="Times New Roman" w:hAnsi="Times New Roman" w:cs="Times New Roman"/>
        </w:rPr>
        <w:t> </w:t>
      </w:r>
      <w:r w:rsidRPr="00667967">
        <w:rPr>
          <w:rFonts w:ascii="Times New Roman" w:eastAsia="Times New Roman" w:hAnsi="Times New Roman" w:cs="Times New Roman"/>
        </w:rPr>
        <w:t>ramach tych procedur, zwiększenie udziału terenów zieleni w miastach.</w:t>
      </w:r>
    </w:p>
    <w:sectPr w:rsidR="005746FE" w:rsidRPr="00667967" w:rsidSect="00595221">
      <w:footerReference w:type="default" r:id="rId8"/>
      <w:pgSz w:w="11906" w:h="16838"/>
      <w:pgMar w:top="1417" w:right="1417" w:bottom="1417" w:left="1417" w:header="709" w:footer="709" w:gutter="0"/>
      <w:cols w:space="708"/>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8E6A2" w14:textId="77777777" w:rsidR="00621DAA" w:rsidRDefault="00621DAA">
      <w:r>
        <w:separator/>
      </w:r>
    </w:p>
  </w:endnote>
  <w:endnote w:type="continuationSeparator" w:id="0">
    <w:p w14:paraId="1AFFE3E7" w14:textId="77777777" w:rsidR="00621DAA" w:rsidRDefault="00621DAA">
      <w:r>
        <w:continuationSeparator/>
      </w:r>
    </w:p>
  </w:endnote>
  <w:endnote w:type="continuationNotice" w:id="1">
    <w:p w14:paraId="00534882" w14:textId="77777777" w:rsidR="00621DAA" w:rsidRDefault="00621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031AF" w14:textId="15F3534E" w:rsidR="00F74488" w:rsidRPr="00193AD6" w:rsidRDefault="00F74488" w:rsidP="00193AD6">
    <w:pPr>
      <w:pStyle w:val="Stopka"/>
      <w:spacing w:before="120"/>
      <w:jc w:val="center"/>
      <w:rPr>
        <w:rFonts w:ascii="Times New Roman" w:hAnsi="Times New Roman" w:cs="Times New Roman"/>
      </w:rPr>
    </w:pPr>
    <w:r w:rsidRPr="00193AD6">
      <w:rPr>
        <w:rFonts w:ascii="Times New Roman" w:hAnsi="Times New Roman" w:cs="Times New Roman"/>
      </w:rPr>
      <w:fldChar w:fldCharType="begin"/>
    </w:r>
    <w:r w:rsidRPr="00193AD6">
      <w:rPr>
        <w:rFonts w:ascii="Times New Roman" w:hAnsi="Times New Roman" w:cs="Times New Roman"/>
      </w:rPr>
      <w:instrText>PAGE   \* MERGEFORMAT</w:instrText>
    </w:r>
    <w:r w:rsidRPr="00193AD6">
      <w:rPr>
        <w:rFonts w:ascii="Times New Roman" w:hAnsi="Times New Roman" w:cs="Times New Roman"/>
      </w:rPr>
      <w:fldChar w:fldCharType="separate"/>
    </w:r>
    <w:r w:rsidR="007D5B24" w:rsidRPr="007D5B24">
      <w:rPr>
        <w:rFonts w:ascii="Times New Roman" w:hAnsi="Times New Roman" w:cs="Times New Roman"/>
        <w:noProof/>
        <w:lang w:val="pl-PL"/>
      </w:rPr>
      <w:t>12</w:t>
    </w:r>
    <w:r w:rsidRPr="00193AD6">
      <w:rPr>
        <w:rFonts w:ascii="Times New Roman" w:hAnsi="Times New Roman" w:cs="Times New Roman"/>
        <w:noProof/>
        <w:lang w:val="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3CF23" w14:textId="77777777" w:rsidR="00621DAA" w:rsidRDefault="00621DAA">
      <w:r>
        <w:separator/>
      </w:r>
    </w:p>
  </w:footnote>
  <w:footnote w:type="continuationSeparator" w:id="0">
    <w:p w14:paraId="2E7B32F5" w14:textId="77777777" w:rsidR="00621DAA" w:rsidRDefault="00621DAA">
      <w:r>
        <w:continuationSeparator/>
      </w:r>
    </w:p>
  </w:footnote>
  <w:footnote w:type="continuationNotice" w:id="1">
    <w:p w14:paraId="15CE7DB1" w14:textId="77777777" w:rsidR="00621DAA" w:rsidRDefault="00621DAA"/>
  </w:footnote>
  <w:footnote w:id="2">
    <w:p w14:paraId="38F2195D" w14:textId="0E416EE9" w:rsidR="009610A4" w:rsidRPr="00595221" w:rsidRDefault="009610A4" w:rsidP="00595221">
      <w:pPr>
        <w:pStyle w:val="Tekstprzypisudolnego"/>
        <w:jc w:val="both"/>
        <w:rPr>
          <w:rFonts w:ascii="Times New Roman" w:hAnsi="Times New Roman" w:cs="Times New Roman"/>
        </w:rPr>
      </w:pPr>
      <w:r w:rsidRPr="00595221">
        <w:rPr>
          <w:rStyle w:val="Odwoanieprzypisudolnego"/>
          <w:rFonts w:ascii="Times New Roman" w:hAnsi="Times New Roman" w:cs="Times New Roman"/>
        </w:rPr>
        <w:footnoteRef/>
      </w:r>
      <w:r w:rsidR="004E5F0A" w:rsidRPr="00595221">
        <w:rPr>
          <w:rFonts w:ascii="Times New Roman" w:hAnsi="Times New Roman" w:cs="Times New Roman"/>
          <w:vertAlign w:val="superscript"/>
        </w:rPr>
        <w:t>)</w:t>
      </w:r>
      <w:r w:rsidRPr="00595221">
        <w:rPr>
          <w:rFonts w:ascii="Times New Roman" w:hAnsi="Times New Roman" w:cs="Times New Roman"/>
          <w:vertAlign w:val="superscript"/>
        </w:rPr>
        <w:t xml:space="preserve"> </w:t>
      </w:r>
      <w:r w:rsidR="00F61915">
        <w:rPr>
          <w:rFonts w:ascii="Times New Roman" w:hAnsi="Times New Roman" w:cs="Times New Roman"/>
          <w:vertAlign w:val="superscript"/>
        </w:rPr>
        <w:tab/>
      </w:r>
      <w:r w:rsidR="00C65699" w:rsidRPr="00595221">
        <w:rPr>
          <w:rFonts w:ascii="Times New Roman" w:hAnsi="Times New Roman" w:cs="Times New Roman"/>
        </w:rPr>
        <w:t>Poradnik weryfikacji inwestycji pod względem wpływu na klimat i adaptacji do zmian klimatu w okresie programowania UE 2021</w:t>
      </w:r>
      <w:r w:rsidR="00F61915">
        <w:rPr>
          <w:rFonts w:ascii="Times New Roman" w:hAnsi="Times New Roman" w:cs="Times New Roman"/>
        </w:rPr>
        <w:t>–</w:t>
      </w:r>
      <w:r w:rsidR="00C65699" w:rsidRPr="00595221">
        <w:rPr>
          <w:rFonts w:ascii="Times New Roman" w:hAnsi="Times New Roman" w:cs="Times New Roman"/>
        </w:rPr>
        <w:t>2027</w:t>
      </w:r>
      <w:r w:rsidR="00F61915">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4620A736"/>
    <w:lvl w:ilvl="0">
      <w:start w:val="1"/>
      <w:numFmt w:val="upperRoman"/>
      <w:lvlText w:val="%1."/>
      <w:lvlJc w:val="left"/>
      <w:pPr>
        <w:tabs>
          <w:tab w:val="num" w:pos="0"/>
        </w:tabs>
        <w:ind w:left="1080" w:hanging="720"/>
      </w:pPr>
      <w:rPr>
        <w:b/>
        <w:i w:val="0"/>
        <w:sz w:val="28"/>
        <w:szCs w:val="28"/>
      </w:rPr>
    </w:lvl>
    <w:lvl w:ilvl="1">
      <w:start w:val="1"/>
      <w:numFmt w:val="decimal"/>
      <w:lvlText w:val="%2."/>
      <w:lvlJc w:val="left"/>
      <w:pPr>
        <w:tabs>
          <w:tab w:val="num" w:pos="0"/>
        </w:tabs>
        <w:ind w:left="1440" w:hanging="360"/>
      </w:pPr>
      <w:rPr>
        <w:sz w:val="24"/>
        <w:szCs w:val="24"/>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31666099"/>
    <w:multiLevelType w:val="hybridMultilevel"/>
    <w:tmpl w:val="B52626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905DD8"/>
    <w:multiLevelType w:val="hybridMultilevel"/>
    <w:tmpl w:val="E1AC43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0856F12"/>
    <w:multiLevelType w:val="hybridMultilevel"/>
    <w:tmpl w:val="8B920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196918"/>
    <w:multiLevelType w:val="hybridMultilevel"/>
    <w:tmpl w:val="4DA2995E"/>
    <w:lvl w:ilvl="0" w:tplc="C11010A4">
      <w:start w:val="1"/>
      <w:numFmt w:val="decimal"/>
      <w:lvlText w:val="%1."/>
      <w:lvlJc w:val="left"/>
      <w:pPr>
        <w:ind w:left="1146" w:hanging="360"/>
      </w:pPr>
    </w:lvl>
    <w:lvl w:ilvl="1" w:tplc="F5EE3E8C">
      <w:start w:val="1"/>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43043B8B"/>
    <w:multiLevelType w:val="hybridMultilevel"/>
    <w:tmpl w:val="95A8D046"/>
    <w:lvl w:ilvl="0" w:tplc="2E340900">
      <w:start w:val="1"/>
      <w:numFmt w:val="decimal"/>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6" w15:restartNumberingAfterBreak="0">
    <w:nsid w:val="4382097D"/>
    <w:multiLevelType w:val="hybridMultilevel"/>
    <w:tmpl w:val="3D6A6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CBA41A2"/>
    <w:multiLevelType w:val="hybridMultilevel"/>
    <w:tmpl w:val="9E4E9D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B53663"/>
    <w:multiLevelType w:val="hybridMultilevel"/>
    <w:tmpl w:val="432A0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1D64E8"/>
    <w:multiLevelType w:val="hybridMultilevel"/>
    <w:tmpl w:val="905EC8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F6550A"/>
    <w:multiLevelType w:val="hybridMultilevel"/>
    <w:tmpl w:val="FF3E79A4"/>
    <w:lvl w:ilvl="0" w:tplc="AAE82BD6">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16cid:durableId="1562255002">
    <w:abstractNumId w:val="0"/>
  </w:num>
  <w:num w:numId="2" w16cid:durableId="1457987649">
    <w:abstractNumId w:val="10"/>
  </w:num>
  <w:num w:numId="3" w16cid:durableId="1549731138">
    <w:abstractNumId w:val="8"/>
  </w:num>
  <w:num w:numId="4" w16cid:durableId="520824199">
    <w:abstractNumId w:val="1"/>
  </w:num>
  <w:num w:numId="5" w16cid:durableId="1724056607">
    <w:abstractNumId w:val="4"/>
  </w:num>
  <w:num w:numId="6" w16cid:durableId="13014265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37951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5406738">
    <w:abstractNumId w:val="9"/>
  </w:num>
  <w:num w:numId="9" w16cid:durableId="1749384886">
    <w:abstractNumId w:val="3"/>
  </w:num>
  <w:num w:numId="10" w16cid:durableId="709493716">
    <w:abstractNumId w:val="7"/>
  </w:num>
  <w:num w:numId="11" w16cid:durableId="105554316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4097"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wNDMztLA0NLQ0NDdT0lEKTi0uzszPAykwrQUAcJd82CwAAAA="/>
  </w:docVars>
  <w:rsids>
    <w:rsidRoot w:val="00D90EB3"/>
    <w:rsid w:val="000024DE"/>
    <w:rsid w:val="00002795"/>
    <w:rsid w:val="0000392D"/>
    <w:rsid w:val="00004625"/>
    <w:rsid w:val="00004CB2"/>
    <w:rsid w:val="00007361"/>
    <w:rsid w:val="00007AA2"/>
    <w:rsid w:val="000109C1"/>
    <w:rsid w:val="000128A4"/>
    <w:rsid w:val="00013CAA"/>
    <w:rsid w:val="000144DB"/>
    <w:rsid w:val="00014FDF"/>
    <w:rsid w:val="00016192"/>
    <w:rsid w:val="000163DC"/>
    <w:rsid w:val="0001654F"/>
    <w:rsid w:val="00017DF4"/>
    <w:rsid w:val="000201DE"/>
    <w:rsid w:val="0002031A"/>
    <w:rsid w:val="0002108D"/>
    <w:rsid w:val="000212B6"/>
    <w:rsid w:val="000222DC"/>
    <w:rsid w:val="00023041"/>
    <w:rsid w:val="000233BA"/>
    <w:rsid w:val="00023464"/>
    <w:rsid w:val="00023EE0"/>
    <w:rsid w:val="00023F02"/>
    <w:rsid w:val="00024679"/>
    <w:rsid w:val="0002469B"/>
    <w:rsid w:val="00024DA8"/>
    <w:rsid w:val="00025BA1"/>
    <w:rsid w:val="0002614E"/>
    <w:rsid w:val="000271E8"/>
    <w:rsid w:val="000278FF"/>
    <w:rsid w:val="00027CD0"/>
    <w:rsid w:val="00030408"/>
    <w:rsid w:val="00031ED6"/>
    <w:rsid w:val="00032236"/>
    <w:rsid w:val="00032AD6"/>
    <w:rsid w:val="00033795"/>
    <w:rsid w:val="000346CD"/>
    <w:rsid w:val="00034AF0"/>
    <w:rsid w:val="0003594C"/>
    <w:rsid w:val="000367E2"/>
    <w:rsid w:val="00036BB5"/>
    <w:rsid w:val="00036CF4"/>
    <w:rsid w:val="0003755A"/>
    <w:rsid w:val="0004111F"/>
    <w:rsid w:val="00041316"/>
    <w:rsid w:val="00041710"/>
    <w:rsid w:val="000422BE"/>
    <w:rsid w:val="000430F2"/>
    <w:rsid w:val="00043272"/>
    <w:rsid w:val="00043D8F"/>
    <w:rsid w:val="00043E93"/>
    <w:rsid w:val="0004459C"/>
    <w:rsid w:val="000449CF"/>
    <w:rsid w:val="00044A92"/>
    <w:rsid w:val="0004729C"/>
    <w:rsid w:val="00047D2D"/>
    <w:rsid w:val="000519D3"/>
    <w:rsid w:val="000528CB"/>
    <w:rsid w:val="000530B1"/>
    <w:rsid w:val="0005316F"/>
    <w:rsid w:val="00053454"/>
    <w:rsid w:val="00053DAE"/>
    <w:rsid w:val="00053EBB"/>
    <w:rsid w:val="000544F1"/>
    <w:rsid w:val="00057322"/>
    <w:rsid w:val="000602C2"/>
    <w:rsid w:val="0006137D"/>
    <w:rsid w:val="00062B36"/>
    <w:rsid w:val="00063DD1"/>
    <w:rsid w:val="000658D2"/>
    <w:rsid w:val="00065A0C"/>
    <w:rsid w:val="00066D42"/>
    <w:rsid w:val="00067F78"/>
    <w:rsid w:val="0007048E"/>
    <w:rsid w:val="00070FEF"/>
    <w:rsid w:val="0007137E"/>
    <w:rsid w:val="000726AF"/>
    <w:rsid w:val="0007344D"/>
    <w:rsid w:val="00074074"/>
    <w:rsid w:val="00075754"/>
    <w:rsid w:val="00075D93"/>
    <w:rsid w:val="00075DFD"/>
    <w:rsid w:val="00076F56"/>
    <w:rsid w:val="000809DD"/>
    <w:rsid w:val="000815E4"/>
    <w:rsid w:val="000825AB"/>
    <w:rsid w:val="0008353A"/>
    <w:rsid w:val="00083E96"/>
    <w:rsid w:val="000904FD"/>
    <w:rsid w:val="000917D4"/>
    <w:rsid w:val="00091E9D"/>
    <w:rsid w:val="00093694"/>
    <w:rsid w:val="000946F0"/>
    <w:rsid w:val="0009485B"/>
    <w:rsid w:val="000957E9"/>
    <w:rsid w:val="00097834"/>
    <w:rsid w:val="00097C6E"/>
    <w:rsid w:val="000A0177"/>
    <w:rsid w:val="000A1BE0"/>
    <w:rsid w:val="000A393A"/>
    <w:rsid w:val="000A4263"/>
    <w:rsid w:val="000A4AC4"/>
    <w:rsid w:val="000A4C12"/>
    <w:rsid w:val="000A697D"/>
    <w:rsid w:val="000A6CE3"/>
    <w:rsid w:val="000A6CE5"/>
    <w:rsid w:val="000A7EBB"/>
    <w:rsid w:val="000B04FC"/>
    <w:rsid w:val="000B0FDA"/>
    <w:rsid w:val="000B1A1F"/>
    <w:rsid w:val="000B21C6"/>
    <w:rsid w:val="000B3162"/>
    <w:rsid w:val="000B34C7"/>
    <w:rsid w:val="000B4247"/>
    <w:rsid w:val="000B5821"/>
    <w:rsid w:val="000B6C74"/>
    <w:rsid w:val="000C08AA"/>
    <w:rsid w:val="000C17E0"/>
    <w:rsid w:val="000C2FF3"/>
    <w:rsid w:val="000C60E7"/>
    <w:rsid w:val="000C62D3"/>
    <w:rsid w:val="000C7150"/>
    <w:rsid w:val="000D0ED7"/>
    <w:rsid w:val="000D112C"/>
    <w:rsid w:val="000D4E7F"/>
    <w:rsid w:val="000D61FB"/>
    <w:rsid w:val="000D6A02"/>
    <w:rsid w:val="000D6F13"/>
    <w:rsid w:val="000E02D2"/>
    <w:rsid w:val="000E2BEA"/>
    <w:rsid w:val="000E3D06"/>
    <w:rsid w:val="000E46F8"/>
    <w:rsid w:val="000E525D"/>
    <w:rsid w:val="000E530D"/>
    <w:rsid w:val="000E5A73"/>
    <w:rsid w:val="000E68FE"/>
    <w:rsid w:val="000E6ACC"/>
    <w:rsid w:val="000E6B7E"/>
    <w:rsid w:val="000E7B47"/>
    <w:rsid w:val="000E7D79"/>
    <w:rsid w:val="000F063B"/>
    <w:rsid w:val="000F0C6D"/>
    <w:rsid w:val="000F0F16"/>
    <w:rsid w:val="000F1709"/>
    <w:rsid w:val="000F2084"/>
    <w:rsid w:val="000F20D3"/>
    <w:rsid w:val="000F2D1F"/>
    <w:rsid w:val="000F3352"/>
    <w:rsid w:val="000F3E19"/>
    <w:rsid w:val="000F5EFF"/>
    <w:rsid w:val="000F74DC"/>
    <w:rsid w:val="000F760F"/>
    <w:rsid w:val="000F7E69"/>
    <w:rsid w:val="001003AC"/>
    <w:rsid w:val="001009F1"/>
    <w:rsid w:val="00100B3A"/>
    <w:rsid w:val="001016A9"/>
    <w:rsid w:val="00101A67"/>
    <w:rsid w:val="001029DE"/>
    <w:rsid w:val="00102A1E"/>
    <w:rsid w:val="00102A5A"/>
    <w:rsid w:val="0010316D"/>
    <w:rsid w:val="00103381"/>
    <w:rsid w:val="001041B0"/>
    <w:rsid w:val="001055EA"/>
    <w:rsid w:val="001061AD"/>
    <w:rsid w:val="00107BB7"/>
    <w:rsid w:val="00110A0B"/>
    <w:rsid w:val="001114F4"/>
    <w:rsid w:val="00111B7E"/>
    <w:rsid w:val="00112916"/>
    <w:rsid w:val="00113C97"/>
    <w:rsid w:val="00113D1C"/>
    <w:rsid w:val="00114A7D"/>
    <w:rsid w:val="001150D7"/>
    <w:rsid w:val="001166FD"/>
    <w:rsid w:val="001206EE"/>
    <w:rsid w:val="00120ED1"/>
    <w:rsid w:val="00121EB5"/>
    <w:rsid w:val="001229F9"/>
    <w:rsid w:val="001230C6"/>
    <w:rsid w:val="00123A66"/>
    <w:rsid w:val="00123FF1"/>
    <w:rsid w:val="00124AC5"/>
    <w:rsid w:val="00125B44"/>
    <w:rsid w:val="00127E6D"/>
    <w:rsid w:val="001333BC"/>
    <w:rsid w:val="0013375E"/>
    <w:rsid w:val="001359C7"/>
    <w:rsid w:val="00135C29"/>
    <w:rsid w:val="00136093"/>
    <w:rsid w:val="00136AB2"/>
    <w:rsid w:val="00136DEC"/>
    <w:rsid w:val="00137297"/>
    <w:rsid w:val="00140757"/>
    <w:rsid w:val="00141C67"/>
    <w:rsid w:val="00142D96"/>
    <w:rsid w:val="001451F5"/>
    <w:rsid w:val="00145249"/>
    <w:rsid w:val="0014582A"/>
    <w:rsid w:val="001464FB"/>
    <w:rsid w:val="0014654D"/>
    <w:rsid w:val="00146627"/>
    <w:rsid w:val="001513BB"/>
    <w:rsid w:val="001518B4"/>
    <w:rsid w:val="001524EE"/>
    <w:rsid w:val="00152E06"/>
    <w:rsid w:val="00153FF1"/>
    <w:rsid w:val="00154475"/>
    <w:rsid w:val="00155F32"/>
    <w:rsid w:val="00156148"/>
    <w:rsid w:val="00156461"/>
    <w:rsid w:val="0016123A"/>
    <w:rsid w:val="0016214D"/>
    <w:rsid w:val="00162236"/>
    <w:rsid w:val="00162812"/>
    <w:rsid w:val="00162E96"/>
    <w:rsid w:val="00162F59"/>
    <w:rsid w:val="001632C4"/>
    <w:rsid w:val="00163E0E"/>
    <w:rsid w:val="0016473E"/>
    <w:rsid w:val="0016483C"/>
    <w:rsid w:val="001659CB"/>
    <w:rsid w:val="00166809"/>
    <w:rsid w:val="00167176"/>
    <w:rsid w:val="0017016A"/>
    <w:rsid w:val="00170B93"/>
    <w:rsid w:val="00170BF8"/>
    <w:rsid w:val="00170F1A"/>
    <w:rsid w:val="00172640"/>
    <w:rsid w:val="00172C32"/>
    <w:rsid w:val="00172CD1"/>
    <w:rsid w:val="00172EDB"/>
    <w:rsid w:val="00173F79"/>
    <w:rsid w:val="00174177"/>
    <w:rsid w:val="0017487D"/>
    <w:rsid w:val="00174BC5"/>
    <w:rsid w:val="001753AA"/>
    <w:rsid w:val="0017700A"/>
    <w:rsid w:val="00180371"/>
    <w:rsid w:val="0018037C"/>
    <w:rsid w:val="001814CE"/>
    <w:rsid w:val="00183585"/>
    <w:rsid w:val="001855CF"/>
    <w:rsid w:val="00185B1A"/>
    <w:rsid w:val="00185D22"/>
    <w:rsid w:val="0019105E"/>
    <w:rsid w:val="0019108C"/>
    <w:rsid w:val="001910FE"/>
    <w:rsid w:val="00192EF5"/>
    <w:rsid w:val="00193533"/>
    <w:rsid w:val="001936B6"/>
    <w:rsid w:val="00193AD6"/>
    <w:rsid w:val="00193E04"/>
    <w:rsid w:val="00194C30"/>
    <w:rsid w:val="00195109"/>
    <w:rsid w:val="0019697A"/>
    <w:rsid w:val="00197D68"/>
    <w:rsid w:val="001A0CC0"/>
    <w:rsid w:val="001A22C2"/>
    <w:rsid w:val="001A28CD"/>
    <w:rsid w:val="001A2BE2"/>
    <w:rsid w:val="001A373C"/>
    <w:rsid w:val="001A444F"/>
    <w:rsid w:val="001A56C1"/>
    <w:rsid w:val="001A5A80"/>
    <w:rsid w:val="001A6612"/>
    <w:rsid w:val="001A6737"/>
    <w:rsid w:val="001A6D1B"/>
    <w:rsid w:val="001A7579"/>
    <w:rsid w:val="001B1530"/>
    <w:rsid w:val="001B28E3"/>
    <w:rsid w:val="001B2D4B"/>
    <w:rsid w:val="001B3731"/>
    <w:rsid w:val="001B4BC3"/>
    <w:rsid w:val="001B5F04"/>
    <w:rsid w:val="001B7EC6"/>
    <w:rsid w:val="001C1D47"/>
    <w:rsid w:val="001C227D"/>
    <w:rsid w:val="001C31A6"/>
    <w:rsid w:val="001C4385"/>
    <w:rsid w:val="001C4F6F"/>
    <w:rsid w:val="001C5078"/>
    <w:rsid w:val="001C56BD"/>
    <w:rsid w:val="001C5ADB"/>
    <w:rsid w:val="001C6BDB"/>
    <w:rsid w:val="001D05AE"/>
    <w:rsid w:val="001D0767"/>
    <w:rsid w:val="001D0F64"/>
    <w:rsid w:val="001D1032"/>
    <w:rsid w:val="001D1354"/>
    <w:rsid w:val="001D1C51"/>
    <w:rsid w:val="001D2308"/>
    <w:rsid w:val="001D28CF"/>
    <w:rsid w:val="001D4CF3"/>
    <w:rsid w:val="001D4D1C"/>
    <w:rsid w:val="001D77A9"/>
    <w:rsid w:val="001D77E8"/>
    <w:rsid w:val="001D7A4B"/>
    <w:rsid w:val="001E0850"/>
    <w:rsid w:val="001E0DBC"/>
    <w:rsid w:val="001E1088"/>
    <w:rsid w:val="001E2C46"/>
    <w:rsid w:val="001E4F3B"/>
    <w:rsid w:val="001E53B0"/>
    <w:rsid w:val="001E5CA2"/>
    <w:rsid w:val="001E6D48"/>
    <w:rsid w:val="001F0110"/>
    <w:rsid w:val="001F0893"/>
    <w:rsid w:val="001F0966"/>
    <w:rsid w:val="001F13DD"/>
    <w:rsid w:val="001F2164"/>
    <w:rsid w:val="001F218B"/>
    <w:rsid w:val="001F2603"/>
    <w:rsid w:val="001F3E74"/>
    <w:rsid w:val="001F469F"/>
    <w:rsid w:val="001F6FFB"/>
    <w:rsid w:val="001F7EDD"/>
    <w:rsid w:val="002044FA"/>
    <w:rsid w:val="00204673"/>
    <w:rsid w:val="00204F3A"/>
    <w:rsid w:val="00204FE5"/>
    <w:rsid w:val="00205C9C"/>
    <w:rsid w:val="00210D36"/>
    <w:rsid w:val="00210F05"/>
    <w:rsid w:val="00211365"/>
    <w:rsid w:val="0021241E"/>
    <w:rsid w:val="0021301C"/>
    <w:rsid w:val="002134C4"/>
    <w:rsid w:val="0021397E"/>
    <w:rsid w:val="0021409A"/>
    <w:rsid w:val="0021445E"/>
    <w:rsid w:val="00215242"/>
    <w:rsid w:val="0021540E"/>
    <w:rsid w:val="00217053"/>
    <w:rsid w:val="002172F3"/>
    <w:rsid w:val="002200BC"/>
    <w:rsid w:val="00220F66"/>
    <w:rsid w:val="00221234"/>
    <w:rsid w:val="00221682"/>
    <w:rsid w:val="00222614"/>
    <w:rsid w:val="0022300D"/>
    <w:rsid w:val="00223BC3"/>
    <w:rsid w:val="0022475A"/>
    <w:rsid w:val="0022553F"/>
    <w:rsid w:val="002258FB"/>
    <w:rsid w:val="00227BD4"/>
    <w:rsid w:val="00230D96"/>
    <w:rsid w:val="0023349B"/>
    <w:rsid w:val="0023354B"/>
    <w:rsid w:val="00234500"/>
    <w:rsid w:val="00235555"/>
    <w:rsid w:val="00235AC4"/>
    <w:rsid w:val="00236800"/>
    <w:rsid w:val="00236C46"/>
    <w:rsid w:val="00240233"/>
    <w:rsid w:val="0024039C"/>
    <w:rsid w:val="00240F98"/>
    <w:rsid w:val="00241647"/>
    <w:rsid w:val="00242792"/>
    <w:rsid w:val="00243050"/>
    <w:rsid w:val="002442E7"/>
    <w:rsid w:val="00245D18"/>
    <w:rsid w:val="0024772B"/>
    <w:rsid w:val="00251E1C"/>
    <w:rsid w:val="002534FD"/>
    <w:rsid w:val="00257D5D"/>
    <w:rsid w:val="002602E0"/>
    <w:rsid w:val="00261103"/>
    <w:rsid w:val="002651E1"/>
    <w:rsid w:val="0026638B"/>
    <w:rsid w:val="00266848"/>
    <w:rsid w:val="002704C8"/>
    <w:rsid w:val="00270B6B"/>
    <w:rsid w:val="00271402"/>
    <w:rsid w:val="00272E44"/>
    <w:rsid w:val="00273120"/>
    <w:rsid w:val="002738DB"/>
    <w:rsid w:val="00274E63"/>
    <w:rsid w:val="00275002"/>
    <w:rsid w:val="002768F3"/>
    <w:rsid w:val="00277034"/>
    <w:rsid w:val="002772AF"/>
    <w:rsid w:val="00282BBF"/>
    <w:rsid w:val="0028304D"/>
    <w:rsid w:val="002837A5"/>
    <w:rsid w:val="00283CCC"/>
    <w:rsid w:val="00287405"/>
    <w:rsid w:val="00287A84"/>
    <w:rsid w:val="002905E9"/>
    <w:rsid w:val="00290E54"/>
    <w:rsid w:val="0029127F"/>
    <w:rsid w:val="00295462"/>
    <w:rsid w:val="00295C4B"/>
    <w:rsid w:val="00295DE1"/>
    <w:rsid w:val="00295FFF"/>
    <w:rsid w:val="00296B21"/>
    <w:rsid w:val="002977EC"/>
    <w:rsid w:val="002A3625"/>
    <w:rsid w:val="002A3956"/>
    <w:rsid w:val="002A3BFF"/>
    <w:rsid w:val="002A3F9B"/>
    <w:rsid w:val="002A4B46"/>
    <w:rsid w:val="002A5A72"/>
    <w:rsid w:val="002A5E5F"/>
    <w:rsid w:val="002A725C"/>
    <w:rsid w:val="002A7994"/>
    <w:rsid w:val="002B11EA"/>
    <w:rsid w:val="002B2AB0"/>
    <w:rsid w:val="002B431F"/>
    <w:rsid w:val="002B5053"/>
    <w:rsid w:val="002B5A46"/>
    <w:rsid w:val="002B678E"/>
    <w:rsid w:val="002B692A"/>
    <w:rsid w:val="002C02AA"/>
    <w:rsid w:val="002C12DF"/>
    <w:rsid w:val="002C2DDF"/>
    <w:rsid w:val="002C54A8"/>
    <w:rsid w:val="002C74A4"/>
    <w:rsid w:val="002C7807"/>
    <w:rsid w:val="002C7EF2"/>
    <w:rsid w:val="002D6C68"/>
    <w:rsid w:val="002D7F57"/>
    <w:rsid w:val="002E18EB"/>
    <w:rsid w:val="002E28D4"/>
    <w:rsid w:val="002E5182"/>
    <w:rsid w:val="002E547D"/>
    <w:rsid w:val="002E5AF3"/>
    <w:rsid w:val="002E5D24"/>
    <w:rsid w:val="002E633A"/>
    <w:rsid w:val="002E66A2"/>
    <w:rsid w:val="002E6F10"/>
    <w:rsid w:val="002E75C2"/>
    <w:rsid w:val="002E79F8"/>
    <w:rsid w:val="002F0153"/>
    <w:rsid w:val="002F2768"/>
    <w:rsid w:val="002F4847"/>
    <w:rsid w:val="002F4EA3"/>
    <w:rsid w:val="002F6279"/>
    <w:rsid w:val="002F669D"/>
    <w:rsid w:val="003017B2"/>
    <w:rsid w:val="003031BB"/>
    <w:rsid w:val="003039D0"/>
    <w:rsid w:val="003049CC"/>
    <w:rsid w:val="00304F14"/>
    <w:rsid w:val="0030656E"/>
    <w:rsid w:val="00306A19"/>
    <w:rsid w:val="003107AE"/>
    <w:rsid w:val="003143E1"/>
    <w:rsid w:val="0031508C"/>
    <w:rsid w:val="00315C2A"/>
    <w:rsid w:val="003169FE"/>
    <w:rsid w:val="00316F4A"/>
    <w:rsid w:val="00320818"/>
    <w:rsid w:val="00321CB6"/>
    <w:rsid w:val="00322AB4"/>
    <w:rsid w:val="003232A4"/>
    <w:rsid w:val="00323444"/>
    <w:rsid w:val="00324A73"/>
    <w:rsid w:val="00324AC0"/>
    <w:rsid w:val="00324D0D"/>
    <w:rsid w:val="003306B5"/>
    <w:rsid w:val="0033287E"/>
    <w:rsid w:val="0033288C"/>
    <w:rsid w:val="0033464B"/>
    <w:rsid w:val="003346CA"/>
    <w:rsid w:val="00336D54"/>
    <w:rsid w:val="003372BF"/>
    <w:rsid w:val="00340D61"/>
    <w:rsid w:val="00340DB5"/>
    <w:rsid w:val="00341415"/>
    <w:rsid w:val="0034194F"/>
    <w:rsid w:val="00341B1B"/>
    <w:rsid w:val="0034415A"/>
    <w:rsid w:val="003447DD"/>
    <w:rsid w:val="00344EDA"/>
    <w:rsid w:val="00345879"/>
    <w:rsid w:val="00345BD3"/>
    <w:rsid w:val="00350225"/>
    <w:rsid w:val="003507DE"/>
    <w:rsid w:val="00350871"/>
    <w:rsid w:val="00351120"/>
    <w:rsid w:val="0035118E"/>
    <w:rsid w:val="00352112"/>
    <w:rsid w:val="00352EE5"/>
    <w:rsid w:val="00355195"/>
    <w:rsid w:val="00355683"/>
    <w:rsid w:val="00355D95"/>
    <w:rsid w:val="00355FE6"/>
    <w:rsid w:val="00356B01"/>
    <w:rsid w:val="00357EA9"/>
    <w:rsid w:val="0036014F"/>
    <w:rsid w:val="0036033A"/>
    <w:rsid w:val="00360AB5"/>
    <w:rsid w:val="00361780"/>
    <w:rsid w:val="00361A83"/>
    <w:rsid w:val="003627B0"/>
    <w:rsid w:val="00362B0A"/>
    <w:rsid w:val="003639C6"/>
    <w:rsid w:val="00364B21"/>
    <w:rsid w:val="003655B0"/>
    <w:rsid w:val="003655D4"/>
    <w:rsid w:val="00366326"/>
    <w:rsid w:val="003666E6"/>
    <w:rsid w:val="00367850"/>
    <w:rsid w:val="00367C2E"/>
    <w:rsid w:val="0037240D"/>
    <w:rsid w:val="00372B75"/>
    <w:rsid w:val="0037319A"/>
    <w:rsid w:val="00373EA3"/>
    <w:rsid w:val="00374076"/>
    <w:rsid w:val="00374358"/>
    <w:rsid w:val="00374EC4"/>
    <w:rsid w:val="0037630B"/>
    <w:rsid w:val="00377B81"/>
    <w:rsid w:val="00380435"/>
    <w:rsid w:val="003817FD"/>
    <w:rsid w:val="00381ED7"/>
    <w:rsid w:val="00387D58"/>
    <w:rsid w:val="00391349"/>
    <w:rsid w:val="00391BD8"/>
    <w:rsid w:val="00392799"/>
    <w:rsid w:val="003929CA"/>
    <w:rsid w:val="00393421"/>
    <w:rsid w:val="0039362B"/>
    <w:rsid w:val="00393882"/>
    <w:rsid w:val="00393F10"/>
    <w:rsid w:val="003940EC"/>
    <w:rsid w:val="00395601"/>
    <w:rsid w:val="00395AFB"/>
    <w:rsid w:val="00395C75"/>
    <w:rsid w:val="00395DE0"/>
    <w:rsid w:val="00396566"/>
    <w:rsid w:val="003A1222"/>
    <w:rsid w:val="003A18C4"/>
    <w:rsid w:val="003A2E1C"/>
    <w:rsid w:val="003A35A7"/>
    <w:rsid w:val="003A3BEE"/>
    <w:rsid w:val="003A51A2"/>
    <w:rsid w:val="003A6592"/>
    <w:rsid w:val="003A6B2B"/>
    <w:rsid w:val="003B2367"/>
    <w:rsid w:val="003B2E82"/>
    <w:rsid w:val="003B3182"/>
    <w:rsid w:val="003B37D0"/>
    <w:rsid w:val="003B4544"/>
    <w:rsid w:val="003B5B76"/>
    <w:rsid w:val="003C031E"/>
    <w:rsid w:val="003C0B32"/>
    <w:rsid w:val="003C203A"/>
    <w:rsid w:val="003C21B1"/>
    <w:rsid w:val="003C2683"/>
    <w:rsid w:val="003C2F10"/>
    <w:rsid w:val="003C5826"/>
    <w:rsid w:val="003C5D8F"/>
    <w:rsid w:val="003C7BA7"/>
    <w:rsid w:val="003D0B6F"/>
    <w:rsid w:val="003D17EB"/>
    <w:rsid w:val="003D276C"/>
    <w:rsid w:val="003D2B82"/>
    <w:rsid w:val="003D3A1E"/>
    <w:rsid w:val="003D428C"/>
    <w:rsid w:val="003D55DB"/>
    <w:rsid w:val="003D59E7"/>
    <w:rsid w:val="003D5CCE"/>
    <w:rsid w:val="003D7C3C"/>
    <w:rsid w:val="003D7E9B"/>
    <w:rsid w:val="003D7F23"/>
    <w:rsid w:val="003E01A7"/>
    <w:rsid w:val="003E0330"/>
    <w:rsid w:val="003E1004"/>
    <w:rsid w:val="003E15CA"/>
    <w:rsid w:val="003E2021"/>
    <w:rsid w:val="003E3263"/>
    <w:rsid w:val="003E47B2"/>
    <w:rsid w:val="003E55C8"/>
    <w:rsid w:val="003E77EB"/>
    <w:rsid w:val="003F084C"/>
    <w:rsid w:val="003F1D9C"/>
    <w:rsid w:val="003F4066"/>
    <w:rsid w:val="003F4093"/>
    <w:rsid w:val="003F5DCB"/>
    <w:rsid w:val="003F660C"/>
    <w:rsid w:val="00400B4A"/>
    <w:rsid w:val="004017A0"/>
    <w:rsid w:val="00401862"/>
    <w:rsid w:val="00401916"/>
    <w:rsid w:val="00401F50"/>
    <w:rsid w:val="00401F6E"/>
    <w:rsid w:val="00402DA3"/>
    <w:rsid w:val="004035E1"/>
    <w:rsid w:val="00404E85"/>
    <w:rsid w:val="00405A9C"/>
    <w:rsid w:val="00406F50"/>
    <w:rsid w:val="00410C4B"/>
    <w:rsid w:val="00411746"/>
    <w:rsid w:val="00411DF8"/>
    <w:rsid w:val="00412741"/>
    <w:rsid w:val="00414211"/>
    <w:rsid w:val="00414A9E"/>
    <w:rsid w:val="004154F1"/>
    <w:rsid w:val="00416F13"/>
    <w:rsid w:val="00417095"/>
    <w:rsid w:val="00417AE6"/>
    <w:rsid w:val="004201DD"/>
    <w:rsid w:val="00420DAD"/>
    <w:rsid w:val="0042163C"/>
    <w:rsid w:val="0042224B"/>
    <w:rsid w:val="004223D4"/>
    <w:rsid w:val="00422EFD"/>
    <w:rsid w:val="00423D8F"/>
    <w:rsid w:val="004241FD"/>
    <w:rsid w:val="0042495F"/>
    <w:rsid w:val="00424EB3"/>
    <w:rsid w:val="00424F5E"/>
    <w:rsid w:val="00425382"/>
    <w:rsid w:val="00425A6D"/>
    <w:rsid w:val="004266BF"/>
    <w:rsid w:val="00427276"/>
    <w:rsid w:val="004272C1"/>
    <w:rsid w:val="0042753D"/>
    <w:rsid w:val="00427AD5"/>
    <w:rsid w:val="00433BB6"/>
    <w:rsid w:val="00434712"/>
    <w:rsid w:val="004349AF"/>
    <w:rsid w:val="00434A78"/>
    <w:rsid w:val="00436536"/>
    <w:rsid w:val="00436D60"/>
    <w:rsid w:val="00437343"/>
    <w:rsid w:val="00437724"/>
    <w:rsid w:val="00437C84"/>
    <w:rsid w:val="00440DCD"/>
    <w:rsid w:val="0044388D"/>
    <w:rsid w:val="00443A6F"/>
    <w:rsid w:val="00450D17"/>
    <w:rsid w:val="00451524"/>
    <w:rsid w:val="00452574"/>
    <w:rsid w:val="0045284E"/>
    <w:rsid w:val="00453245"/>
    <w:rsid w:val="00453561"/>
    <w:rsid w:val="0045491B"/>
    <w:rsid w:val="00454A0D"/>
    <w:rsid w:val="00460A64"/>
    <w:rsid w:val="00460C1E"/>
    <w:rsid w:val="00460C68"/>
    <w:rsid w:val="00460D66"/>
    <w:rsid w:val="00461715"/>
    <w:rsid w:val="00461CDE"/>
    <w:rsid w:val="004635D9"/>
    <w:rsid w:val="004639EA"/>
    <w:rsid w:val="00465152"/>
    <w:rsid w:val="00466186"/>
    <w:rsid w:val="00470811"/>
    <w:rsid w:val="00471035"/>
    <w:rsid w:val="00472EEE"/>
    <w:rsid w:val="00473266"/>
    <w:rsid w:val="00473F95"/>
    <w:rsid w:val="00474D7B"/>
    <w:rsid w:val="004754F0"/>
    <w:rsid w:val="00475E2C"/>
    <w:rsid w:val="004774A2"/>
    <w:rsid w:val="0048012D"/>
    <w:rsid w:val="00481B5C"/>
    <w:rsid w:val="00482FB1"/>
    <w:rsid w:val="00483D1E"/>
    <w:rsid w:val="0048592B"/>
    <w:rsid w:val="004859E9"/>
    <w:rsid w:val="00486858"/>
    <w:rsid w:val="00490391"/>
    <w:rsid w:val="00490CC2"/>
    <w:rsid w:val="00490E8F"/>
    <w:rsid w:val="004922F2"/>
    <w:rsid w:val="0049276A"/>
    <w:rsid w:val="00493045"/>
    <w:rsid w:val="004933DA"/>
    <w:rsid w:val="00494714"/>
    <w:rsid w:val="00497F6A"/>
    <w:rsid w:val="004A0036"/>
    <w:rsid w:val="004A329C"/>
    <w:rsid w:val="004A337F"/>
    <w:rsid w:val="004A37A7"/>
    <w:rsid w:val="004A4C68"/>
    <w:rsid w:val="004A5694"/>
    <w:rsid w:val="004A6200"/>
    <w:rsid w:val="004A6208"/>
    <w:rsid w:val="004A6246"/>
    <w:rsid w:val="004A6398"/>
    <w:rsid w:val="004A6615"/>
    <w:rsid w:val="004A7FC4"/>
    <w:rsid w:val="004B06A6"/>
    <w:rsid w:val="004B1C87"/>
    <w:rsid w:val="004B1FDF"/>
    <w:rsid w:val="004B2CA3"/>
    <w:rsid w:val="004B2CFD"/>
    <w:rsid w:val="004B30BA"/>
    <w:rsid w:val="004B357D"/>
    <w:rsid w:val="004B4D63"/>
    <w:rsid w:val="004B4F06"/>
    <w:rsid w:val="004B51DC"/>
    <w:rsid w:val="004B538E"/>
    <w:rsid w:val="004C1764"/>
    <w:rsid w:val="004C2A9A"/>
    <w:rsid w:val="004C2D7A"/>
    <w:rsid w:val="004C454E"/>
    <w:rsid w:val="004C57D5"/>
    <w:rsid w:val="004C6C94"/>
    <w:rsid w:val="004C7E3D"/>
    <w:rsid w:val="004D1D52"/>
    <w:rsid w:val="004D21EC"/>
    <w:rsid w:val="004D2244"/>
    <w:rsid w:val="004D2BBB"/>
    <w:rsid w:val="004D3009"/>
    <w:rsid w:val="004D3D2E"/>
    <w:rsid w:val="004D41EF"/>
    <w:rsid w:val="004D524A"/>
    <w:rsid w:val="004E02C7"/>
    <w:rsid w:val="004E0512"/>
    <w:rsid w:val="004E14C5"/>
    <w:rsid w:val="004E1B85"/>
    <w:rsid w:val="004E1F3B"/>
    <w:rsid w:val="004E26A0"/>
    <w:rsid w:val="004E2A85"/>
    <w:rsid w:val="004E2BCB"/>
    <w:rsid w:val="004E38D9"/>
    <w:rsid w:val="004E3DB5"/>
    <w:rsid w:val="004E5F0A"/>
    <w:rsid w:val="004E7068"/>
    <w:rsid w:val="004F081B"/>
    <w:rsid w:val="004F1401"/>
    <w:rsid w:val="004F41CE"/>
    <w:rsid w:val="004F4A32"/>
    <w:rsid w:val="004F6B02"/>
    <w:rsid w:val="0050022C"/>
    <w:rsid w:val="00500A9C"/>
    <w:rsid w:val="005011EE"/>
    <w:rsid w:val="00501327"/>
    <w:rsid w:val="005013C1"/>
    <w:rsid w:val="005013D1"/>
    <w:rsid w:val="00501B9C"/>
    <w:rsid w:val="00501E92"/>
    <w:rsid w:val="00502BF9"/>
    <w:rsid w:val="005032A9"/>
    <w:rsid w:val="005037BE"/>
    <w:rsid w:val="00503AFF"/>
    <w:rsid w:val="00503F57"/>
    <w:rsid w:val="0050609F"/>
    <w:rsid w:val="00506A1A"/>
    <w:rsid w:val="0050714A"/>
    <w:rsid w:val="005076AF"/>
    <w:rsid w:val="00511076"/>
    <w:rsid w:val="00512BC7"/>
    <w:rsid w:val="00512CCA"/>
    <w:rsid w:val="00513798"/>
    <w:rsid w:val="005145DE"/>
    <w:rsid w:val="00514A97"/>
    <w:rsid w:val="005155AE"/>
    <w:rsid w:val="005169C6"/>
    <w:rsid w:val="00516A2F"/>
    <w:rsid w:val="00517B25"/>
    <w:rsid w:val="0052148B"/>
    <w:rsid w:val="00521CFE"/>
    <w:rsid w:val="00523131"/>
    <w:rsid w:val="005231ED"/>
    <w:rsid w:val="0052330A"/>
    <w:rsid w:val="005250BE"/>
    <w:rsid w:val="005261DD"/>
    <w:rsid w:val="0053020A"/>
    <w:rsid w:val="00530648"/>
    <w:rsid w:val="00530EE6"/>
    <w:rsid w:val="00531393"/>
    <w:rsid w:val="00531842"/>
    <w:rsid w:val="00532904"/>
    <w:rsid w:val="00532B49"/>
    <w:rsid w:val="00533B69"/>
    <w:rsid w:val="005358D1"/>
    <w:rsid w:val="00535994"/>
    <w:rsid w:val="00536E4C"/>
    <w:rsid w:val="00537A32"/>
    <w:rsid w:val="005412C8"/>
    <w:rsid w:val="0054134E"/>
    <w:rsid w:val="005453A5"/>
    <w:rsid w:val="0054586D"/>
    <w:rsid w:val="00546FFE"/>
    <w:rsid w:val="00547111"/>
    <w:rsid w:val="005477EF"/>
    <w:rsid w:val="005530D2"/>
    <w:rsid w:val="005536F3"/>
    <w:rsid w:val="00554453"/>
    <w:rsid w:val="00554FA7"/>
    <w:rsid w:val="00555C7D"/>
    <w:rsid w:val="00555D75"/>
    <w:rsid w:val="00557BA5"/>
    <w:rsid w:val="005661F0"/>
    <w:rsid w:val="00566745"/>
    <w:rsid w:val="00570F76"/>
    <w:rsid w:val="005719F8"/>
    <w:rsid w:val="0057314B"/>
    <w:rsid w:val="00573D2F"/>
    <w:rsid w:val="005740CC"/>
    <w:rsid w:val="00574231"/>
    <w:rsid w:val="005744C9"/>
    <w:rsid w:val="00574620"/>
    <w:rsid w:val="005746C8"/>
    <w:rsid w:val="005746FE"/>
    <w:rsid w:val="005750C0"/>
    <w:rsid w:val="00575C9D"/>
    <w:rsid w:val="00575CF4"/>
    <w:rsid w:val="00576078"/>
    <w:rsid w:val="00576CBE"/>
    <w:rsid w:val="00580332"/>
    <w:rsid w:val="00580BC7"/>
    <w:rsid w:val="00582747"/>
    <w:rsid w:val="005827F8"/>
    <w:rsid w:val="0058305C"/>
    <w:rsid w:val="00583774"/>
    <w:rsid w:val="00583DF7"/>
    <w:rsid w:val="00584ADB"/>
    <w:rsid w:val="005864EF"/>
    <w:rsid w:val="005865C7"/>
    <w:rsid w:val="00587C31"/>
    <w:rsid w:val="00587FF0"/>
    <w:rsid w:val="0059023C"/>
    <w:rsid w:val="005920CF"/>
    <w:rsid w:val="005940BE"/>
    <w:rsid w:val="00595221"/>
    <w:rsid w:val="00595FD1"/>
    <w:rsid w:val="0059608E"/>
    <w:rsid w:val="005968AC"/>
    <w:rsid w:val="00597A87"/>
    <w:rsid w:val="005A0A0E"/>
    <w:rsid w:val="005A379C"/>
    <w:rsid w:val="005A4E99"/>
    <w:rsid w:val="005A5D1D"/>
    <w:rsid w:val="005A76E8"/>
    <w:rsid w:val="005B16C5"/>
    <w:rsid w:val="005B3690"/>
    <w:rsid w:val="005B3BB0"/>
    <w:rsid w:val="005B7404"/>
    <w:rsid w:val="005B78BD"/>
    <w:rsid w:val="005C2345"/>
    <w:rsid w:val="005C279A"/>
    <w:rsid w:val="005C2D2A"/>
    <w:rsid w:val="005C5E2E"/>
    <w:rsid w:val="005C6958"/>
    <w:rsid w:val="005C7AF6"/>
    <w:rsid w:val="005C7BC5"/>
    <w:rsid w:val="005D0FE9"/>
    <w:rsid w:val="005D114F"/>
    <w:rsid w:val="005D1210"/>
    <w:rsid w:val="005D1E2B"/>
    <w:rsid w:val="005D1F6C"/>
    <w:rsid w:val="005D2094"/>
    <w:rsid w:val="005D30EB"/>
    <w:rsid w:val="005D332C"/>
    <w:rsid w:val="005D624F"/>
    <w:rsid w:val="005D6257"/>
    <w:rsid w:val="005D6B75"/>
    <w:rsid w:val="005D77F5"/>
    <w:rsid w:val="005E0235"/>
    <w:rsid w:val="005E0EFC"/>
    <w:rsid w:val="005E4031"/>
    <w:rsid w:val="005E4543"/>
    <w:rsid w:val="005E5A5D"/>
    <w:rsid w:val="005E5F45"/>
    <w:rsid w:val="005E5FAE"/>
    <w:rsid w:val="005E7B38"/>
    <w:rsid w:val="005F1B86"/>
    <w:rsid w:val="005F1BAD"/>
    <w:rsid w:val="005F303D"/>
    <w:rsid w:val="005F64F0"/>
    <w:rsid w:val="005F73F4"/>
    <w:rsid w:val="00600D8A"/>
    <w:rsid w:val="00601C0D"/>
    <w:rsid w:val="0060203B"/>
    <w:rsid w:val="00602052"/>
    <w:rsid w:val="0060269B"/>
    <w:rsid w:val="00602BE5"/>
    <w:rsid w:val="00602D91"/>
    <w:rsid w:val="006031B4"/>
    <w:rsid w:val="00603A36"/>
    <w:rsid w:val="00604132"/>
    <w:rsid w:val="00604F7B"/>
    <w:rsid w:val="0061085D"/>
    <w:rsid w:val="00611370"/>
    <w:rsid w:val="00611377"/>
    <w:rsid w:val="006132D2"/>
    <w:rsid w:val="00613E7E"/>
    <w:rsid w:val="0061574C"/>
    <w:rsid w:val="006165A4"/>
    <w:rsid w:val="0061687F"/>
    <w:rsid w:val="006206FF"/>
    <w:rsid w:val="006209B9"/>
    <w:rsid w:val="00621DAA"/>
    <w:rsid w:val="00622563"/>
    <w:rsid w:val="00623856"/>
    <w:rsid w:val="006240AF"/>
    <w:rsid w:val="006251DF"/>
    <w:rsid w:val="006253D6"/>
    <w:rsid w:val="0062590F"/>
    <w:rsid w:val="006259DC"/>
    <w:rsid w:val="00626354"/>
    <w:rsid w:val="00627404"/>
    <w:rsid w:val="00627C26"/>
    <w:rsid w:val="006307BD"/>
    <w:rsid w:val="00631325"/>
    <w:rsid w:val="00631D02"/>
    <w:rsid w:val="00632DF9"/>
    <w:rsid w:val="0063414E"/>
    <w:rsid w:val="00637827"/>
    <w:rsid w:val="0064007B"/>
    <w:rsid w:val="0064034C"/>
    <w:rsid w:val="006419AE"/>
    <w:rsid w:val="00642113"/>
    <w:rsid w:val="00644B1C"/>
    <w:rsid w:val="006469CA"/>
    <w:rsid w:val="00647273"/>
    <w:rsid w:val="00647E4E"/>
    <w:rsid w:val="006500A3"/>
    <w:rsid w:val="00651627"/>
    <w:rsid w:val="006520B7"/>
    <w:rsid w:val="00654738"/>
    <w:rsid w:val="00654C72"/>
    <w:rsid w:val="00655043"/>
    <w:rsid w:val="00655213"/>
    <w:rsid w:val="006557EB"/>
    <w:rsid w:val="006560C4"/>
    <w:rsid w:val="00660BF4"/>
    <w:rsid w:val="006632F6"/>
    <w:rsid w:val="00664A02"/>
    <w:rsid w:val="00664D28"/>
    <w:rsid w:val="006653D7"/>
    <w:rsid w:val="0066645A"/>
    <w:rsid w:val="00666FF5"/>
    <w:rsid w:val="00667967"/>
    <w:rsid w:val="00667DC7"/>
    <w:rsid w:val="006706A6"/>
    <w:rsid w:val="00671894"/>
    <w:rsid w:val="00671B77"/>
    <w:rsid w:val="00674E3C"/>
    <w:rsid w:val="00675FCC"/>
    <w:rsid w:val="006769B9"/>
    <w:rsid w:val="0067749D"/>
    <w:rsid w:val="0067774C"/>
    <w:rsid w:val="00680C21"/>
    <w:rsid w:val="00681A16"/>
    <w:rsid w:val="006832D0"/>
    <w:rsid w:val="00683FB0"/>
    <w:rsid w:val="00685B3A"/>
    <w:rsid w:val="006861D8"/>
    <w:rsid w:val="0068623D"/>
    <w:rsid w:val="0068649B"/>
    <w:rsid w:val="00686944"/>
    <w:rsid w:val="006876A3"/>
    <w:rsid w:val="00687BB4"/>
    <w:rsid w:val="0069032C"/>
    <w:rsid w:val="0069084B"/>
    <w:rsid w:val="00690920"/>
    <w:rsid w:val="00690C6A"/>
    <w:rsid w:val="00691121"/>
    <w:rsid w:val="006916ED"/>
    <w:rsid w:val="006922F8"/>
    <w:rsid w:val="00692521"/>
    <w:rsid w:val="00692732"/>
    <w:rsid w:val="00694936"/>
    <w:rsid w:val="0069499F"/>
    <w:rsid w:val="006968B1"/>
    <w:rsid w:val="006A2474"/>
    <w:rsid w:val="006A331D"/>
    <w:rsid w:val="006A3D31"/>
    <w:rsid w:val="006A3D45"/>
    <w:rsid w:val="006A4E3D"/>
    <w:rsid w:val="006A5B97"/>
    <w:rsid w:val="006A5E15"/>
    <w:rsid w:val="006A6C9F"/>
    <w:rsid w:val="006A6EA6"/>
    <w:rsid w:val="006B036F"/>
    <w:rsid w:val="006B03FB"/>
    <w:rsid w:val="006B166C"/>
    <w:rsid w:val="006B2BF6"/>
    <w:rsid w:val="006B4A5A"/>
    <w:rsid w:val="006B4D37"/>
    <w:rsid w:val="006B5DFE"/>
    <w:rsid w:val="006B6029"/>
    <w:rsid w:val="006B6CEF"/>
    <w:rsid w:val="006B7866"/>
    <w:rsid w:val="006C0FC5"/>
    <w:rsid w:val="006C1932"/>
    <w:rsid w:val="006C1A4B"/>
    <w:rsid w:val="006C1EA7"/>
    <w:rsid w:val="006C25A0"/>
    <w:rsid w:val="006C2E74"/>
    <w:rsid w:val="006C37D2"/>
    <w:rsid w:val="006C5D9F"/>
    <w:rsid w:val="006C6A13"/>
    <w:rsid w:val="006C7D8B"/>
    <w:rsid w:val="006D00AE"/>
    <w:rsid w:val="006D1660"/>
    <w:rsid w:val="006D16BA"/>
    <w:rsid w:val="006D1FB4"/>
    <w:rsid w:val="006D6B4E"/>
    <w:rsid w:val="006D6FCE"/>
    <w:rsid w:val="006D7081"/>
    <w:rsid w:val="006D72AC"/>
    <w:rsid w:val="006D7F4B"/>
    <w:rsid w:val="006E18F0"/>
    <w:rsid w:val="006E3195"/>
    <w:rsid w:val="006E4A1F"/>
    <w:rsid w:val="006E5448"/>
    <w:rsid w:val="006F32A5"/>
    <w:rsid w:val="006F3C3F"/>
    <w:rsid w:val="006F3D5C"/>
    <w:rsid w:val="006F6358"/>
    <w:rsid w:val="006F7F9A"/>
    <w:rsid w:val="00700C9C"/>
    <w:rsid w:val="00701909"/>
    <w:rsid w:val="00702CB1"/>
    <w:rsid w:val="007032E4"/>
    <w:rsid w:val="00704F77"/>
    <w:rsid w:val="00704FF0"/>
    <w:rsid w:val="00705B9F"/>
    <w:rsid w:val="0070798C"/>
    <w:rsid w:val="00707AB0"/>
    <w:rsid w:val="0071096F"/>
    <w:rsid w:val="00711868"/>
    <w:rsid w:val="0071211C"/>
    <w:rsid w:val="0071230D"/>
    <w:rsid w:val="00712469"/>
    <w:rsid w:val="00712E93"/>
    <w:rsid w:val="00712F37"/>
    <w:rsid w:val="00713346"/>
    <w:rsid w:val="00715E6E"/>
    <w:rsid w:val="00716AB4"/>
    <w:rsid w:val="00716CE8"/>
    <w:rsid w:val="00716E13"/>
    <w:rsid w:val="00720734"/>
    <w:rsid w:val="007210E2"/>
    <w:rsid w:val="007212EF"/>
    <w:rsid w:val="00721CAB"/>
    <w:rsid w:val="007238E5"/>
    <w:rsid w:val="00723C05"/>
    <w:rsid w:val="00723D08"/>
    <w:rsid w:val="00724822"/>
    <w:rsid w:val="0072668D"/>
    <w:rsid w:val="00726758"/>
    <w:rsid w:val="00727311"/>
    <w:rsid w:val="007276ED"/>
    <w:rsid w:val="00731341"/>
    <w:rsid w:val="007318F4"/>
    <w:rsid w:val="00731A36"/>
    <w:rsid w:val="007338A2"/>
    <w:rsid w:val="007340C2"/>
    <w:rsid w:val="00734405"/>
    <w:rsid w:val="007363D0"/>
    <w:rsid w:val="00736B16"/>
    <w:rsid w:val="0073735F"/>
    <w:rsid w:val="00740F90"/>
    <w:rsid w:val="007410ED"/>
    <w:rsid w:val="00741680"/>
    <w:rsid w:val="00741C68"/>
    <w:rsid w:val="00742DE7"/>
    <w:rsid w:val="007430F3"/>
    <w:rsid w:val="00743E67"/>
    <w:rsid w:val="00745175"/>
    <w:rsid w:val="00745BD2"/>
    <w:rsid w:val="0074625A"/>
    <w:rsid w:val="007462B0"/>
    <w:rsid w:val="00746AD7"/>
    <w:rsid w:val="007471B1"/>
    <w:rsid w:val="00747728"/>
    <w:rsid w:val="0075284C"/>
    <w:rsid w:val="00752D71"/>
    <w:rsid w:val="00753A65"/>
    <w:rsid w:val="00753C9C"/>
    <w:rsid w:val="00754FF7"/>
    <w:rsid w:val="00756F3B"/>
    <w:rsid w:val="007615B8"/>
    <w:rsid w:val="00761797"/>
    <w:rsid w:val="0076234F"/>
    <w:rsid w:val="007658D7"/>
    <w:rsid w:val="00765A31"/>
    <w:rsid w:val="00765E5C"/>
    <w:rsid w:val="00766CEC"/>
    <w:rsid w:val="007707CC"/>
    <w:rsid w:val="00771F11"/>
    <w:rsid w:val="00772EF0"/>
    <w:rsid w:val="007742DE"/>
    <w:rsid w:val="0078418C"/>
    <w:rsid w:val="00786E68"/>
    <w:rsid w:val="00790064"/>
    <w:rsid w:val="007907DD"/>
    <w:rsid w:val="00790FCB"/>
    <w:rsid w:val="0079169E"/>
    <w:rsid w:val="00792BE1"/>
    <w:rsid w:val="00792D18"/>
    <w:rsid w:val="00793AB8"/>
    <w:rsid w:val="00795E6A"/>
    <w:rsid w:val="007A18C6"/>
    <w:rsid w:val="007A1D4C"/>
    <w:rsid w:val="007A26C8"/>
    <w:rsid w:val="007A3A1D"/>
    <w:rsid w:val="007A4EFD"/>
    <w:rsid w:val="007A5777"/>
    <w:rsid w:val="007A5B48"/>
    <w:rsid w:val="007A5BB7"/>
    <w:rsid w:val="007A6B8F"/>
    <w:rsid w:val="007A6DDD"/>
    <w:rsid w:val="007A6E16"/>
    <w:rsid w:val="007B19B5"/>
    <w:rsid w:val="007B1DD9"/>
    <w:rsid w:val="007B3832"/>
    <w:rsid w:val="007B3D0B"/>
    <w:rsid w:val="007B453C"/>
    <w:rsid w:val="007B544E"/>
    <w:rsid w:val="007B550A"/>
    <w:rsid w:val="007B7082"/>
    <w:rsid w:val="007C0790"/>
    <w:rsid w:val="007C1580"/>
    <w:rsid w:val="007C1D0D"/>
    <w:rsid w:val="007C2E66"/>
    <w:rsid w:val="007C4C01"/>
    <w:rsid w:val="007C5833"/>
    <w:rsid w:val="007C6D31"/>
    <w:rsid w:val="007C74F0"/>
    <w:rsid w:val="007C7FF1"/>
    <w:rsid w:val="007D02A3"/>
    <w:rsid w:val="007D04DE"/>
    <w:rsid w:val="007D434D"/>
    <w:rsid w:val="007D4E1A"/>
    <w:rsid w:val="007D5B24"/>
    <w:rsid w:val="007D648F"/>
    <w:rsid w:val="007D674B"/>
    <w:rsid w:val="007D6EA6"/>
    <w:rsid w:val="007D7B2B"/>
    <w:rsid w:val="007D7E5C"/>
    <w:rsid w:val="007E01F8"/>
    <w:rsid w:val="007E121A"/>
    <w:rsid w:val="007E20BD"/>
    <w:rsid w:val="007E24F1"/>
    <w:rsid w:val="007E5211"/>
    <w:rsid w:val="007E5A63"/>
    <w:rsid w:val="007F14FE"/>
    <w:rsid w:val="007F1E10"/>
    <w:rsid w:val="007F2B92"/>
    <w:rsid w:val="007F4941"/>
    <w:rsid w:val="007F53A3"/>
    <w:rsid w:val="007F6E15"/>
    <w:rsid w:val="00801127"/>
    <w:rsid w:val="00801828"/>
    <w:rsid w:val="00802BB0"/>
    <w:rsid w:val="008050BF"/>
    <w:rsid w:val="0080731F"/>
    <w:rsid w:val="008079EC"/>
    <w:rsid w:val="00810CCB"/>
    <w:rsid w:val="00810DC0"/>
    <w:rsid w:val="00811873"/>
    <w:rsid w:val="00811934"/>
    <w:rsid w:val="00811BDA"/>
    <w:rsid w:val="00813F4E"/>
    <w:rsid w:val="00816A2B"/>
    <w:rsid w:val="00817CCE"/>
    <w:rsid w:val="00820387"/>
    <w:rsid w:val="008204D4"/>
    <w:rsid w:val="00820EDF"/>
    <w:rsid w:val="00821BE7"/>
    <w:rsid w:val="00821F85"/>
    <w:rsid w:val="00822427"/>
    <w:rsid w:val="0082379B"/>
    <w:rsid w:val="008246B2"/>
    <w:rsid w:val="008246BB"/>
    <w:rsid w:val="00824A60"/>
    <w:rsid w:val="00825BB4"/>
    <w:rsid w:val="00826324"/>
    <w:rsid w:val="00826C11"/>
    <w:rsid w:val="008315D7"/>
    <w:rsid w:val="00832F8D"/>
    <w:rsid w:val="0083350A"/>
    <w:rsid w:val="00833A85"/>
    <w:rsid w:val="00833FED"/>
    <w:rsid w:val="00836389"/>
    <w:rsid w:val="0083670B"/>
    <w:rsid w:val="0083768F"/>
    <w:rsid w:val="00837782"/>
    <w:rsid w:val="008377EB"/>
    <w:rsid w:val="008400BB"/>
    <w:rsid w:val="00841A0A"/>
    <w:rsid w:val="00842529"/>
    <w:rsid w:val="00842AA1"/>
    <w:rsid w:val="0084500A"/>
    <w:rsid w:val="008479DE"/>
    <w:rsid w:val="008479F9"/>
    <w:rsid w:val="008519C7"/>
    <w:rsid w:val="00851E19"/>
    <w:rsid w:val="0085201B"/>
    <w:rsid w:val="00852B7F"/>
    <w:rsid w:val="00854AF0"/>
    <w:rsid w:val="0085546C"/>
    <w:rsid w:val="00856B6E"/>
    <w:rsid w:val="00860B75"/>
    <w:rsid w:val="00860C1E"/>
    <w:rsid w:val="00861581"/>
    <w:rsid w:val="0086286A"/>
    <w:rsid w:val="00863355"/>
    <w:rsid w:val="00864653"/>
    <w:rsid w:val="00866584"/>
    <w:rsid w:val="00866E0C"/>
    <w:rsid w:val="0087064E"/>
    <w:rsid w:val="008707F3"/>
    <w:rsid w:val="00871838"/>
    <w:rsid w:val="00871848"/>
    <w:rsid w:val="00871A2C"/>
    <w:rsid w:val="00872563"/>
    <w:rsid w:val="00872D1F"/>
    <w:rsid w:val="00873676"/>
    <w:rsid w:val="00873BDC"/>
    <w:rsid w:val="00873DA3"/>
    <w:rsid w:val="00874F9D"/>
    <w:rsid w:val="0087520A"/>
    <w:rsid w:val="00875B17"/>
    <w:rsid w:val="00876E69"/>
    <w:rsid w:val="00876F79"/>
    <w:rsid w:val="008775DE"/>
    <w:rsid w:val="0087781A"/>
    <w:rsid w:val="00877BD6"/>
    <w:rsid w:val="008807EF"/>
    <w:rsid w:val="0088131C"/>
    <w:rsid w:val="00882598"/>
    <w:rsid w:val="00882EDA"/>
    <w:rsid w:val="00885CD2"/>
    <w:rsid w:val="008868FD"/>
    <w:rsid w:val="00886E56"/>
    <w:rsid w:val="008873ED"/>
    <w:rsid w:val="00892053"/>
    <w:rsid w:val="0089573D"/>
    <w:rsid w:val="008958DF"/>
    <w:rsid w:val="008962EC"/>
    <w:rsid w:val="00896483"/>
    <w:rsid w:val="008968F7"/>
    <w:rsid w:val="008A038A"/>
    <w:rsid w:val="008A0DAF"/>
    <w:rsid w:val="008A15AF"/>
    <w:rsid w:val="008A2779"/>
    <w:rsid w:val="008A37C3"/>
    <w:rsid w:val="008A44AD"/>
    <w:rsid w:val="008A47DF"/>
    <w:rsid w:val="008A49A7"/>
    <w:rsid w:val="008A51C5"/>
    <w:rsid w:val="008A5333"/>
    <w:rsid w:val="008A560C"/>
    <w:rsid w:val="008A6D7C"/>
    <w:rsid w:val="008B058B"/>
    <w:rsid w:val="008B4357"/>
    <w:rsid w:val="008B4CC6"/>
    <w:rsid w:val="008B5DAC"/>
    <w:rsid w:val="008B6E51"/>
    <w:rsid w:val="008B6F66"/>
    <w:rsid w:val="008B7867"/>
    <w:rsid w:val="008C0026"/>
    <w:rsid w:val="008C05E6"/>
    <w:rsid w:val="008C121C"/>
    <w:rsid w:val="008C1650"/>
    <w:rsid w:val="008C1964"/>
    <w:rsid w:val="008C241C"/>
    <w:rsid w:val="008C4EEA"/>
    <w:rsid w:val="008C5389"/>
    <w:rsid w:val="008C6442"/>
    <w:rsid w:val="008C6525"/>
    <w:rsid w:val="008C6B8A"/>
    <w:rsid w:val="008C71B1"/>
    <w:rsid w:val="008C794A"/>
    <w:rsid w:val="008D0EA9"/>
    <w:rsid w:val="008D1818"/>
    <w:rsid w:val="008D188E"/>
    <w:rsid w:val="008D2385"/>
    <w:rsid w:val="008D5A03"/>
    <w:rsid w:val="008D633F"/>
    <w:rsid w:val="008D638B"/>
    <w:rsid w:val="008D75F9"/>
    <w:rsid w:val="008E0073"/>
    <w:rsid w:val="008E08C0"/>
    <w:rsid w:val="008E0C2C"/>
    <w:rsid w:val="008E3720"/>
    <w:rsid w:val="008E37E0"/>
    <w:rsid w:val="008E3B48"/>
    <w:rsid w:val="008E3DEF"/>
    <w:rsid w:val="008E448A"/>
    <w:rsid w:val="008E44F6"/>
    <w:rsid w:val="008E45C4"/>
    <w:rsid w:val="008E4884"/>
    <w:rsid w:val="008E515F"/>
    <w:rsid w:val="008E5CE5"/>
    <w:rsid w:val="008E60DA"/>
    <w:rsid w:val="008E69DB"/>
    <w:rsid w:val="008E6A6A"/>
    <w:rsid w:val="008E79B7"/>
    <w:rsid w:val="008E7E81"/>
    <w:rsid w:val="008F09AA"/>
    <w:rsid w:val="008F0F3F"/>
    <w:rsid w:val="008F0F4A"/>
    <w:rsid w:val="008F24AF"/>
    <w:rsid w:val="008F280B"/>
    <w:rsid w:val="008F28E8"/>
    <w:rsid w:val="008F3B34"/>
    <w:rsid w:val="008F40DF"/>
    <w:rsid w:val="008F5C4E"/>
    <w:rsid w:val="008F6E77"/>
    <w:rsid w:val="008F7F76"/>
    <w:rsid w:val="008F7FA7"/>
    <w:rsid w:val="009014EB"/>
    <w:rsid w:val="009022EF"/>
    <w:rsid w:val="00902417"/>
    <w:rsid w:val="00903BA8"/>
    <w:rsid w:val="00905BC6"/>
    <w:rsid w:val="00907C1D"/>
    <w:rsid w:val="009115D9"/>
    <w:rsid w:val="00911F22"/>
    <w:rsid w:val="0091245C"/>
    <w:rsid w:val="00914731"/>
    <w:rsid w:val="00914831"/>
    <w:rsid w:val="00916BE0"/>
    <w:rsid w:val="009201F1"/>
    <w:rsid w:val="009207BA"/>
    <w:rsid w:val="00920A06"/>
    <w:rsid w:val="00920AD8"/>
    <w:rsid w:val="009211F8"/>
    <w:rsid w:val="00923556"/>
    <w:rsid w:val="009258EA"/>
    <w:rsid w:val="00925AA4"/>
    <w:rsid w:val="00925DB5"/>
    <w:rsid w:val="0092669A"/>
    <w:rsid w:val="00926F1E"/>
    <w:rsid w:val="00927877"/>
    <w:rsid w:val="009323C7"/>
    <w:rsid w:val="00933BA0"/>
    <w:rsid w:val="00934C2C"/>
    <w:rsid w:val="00935386"/>
    <w:rsid w:val="0093605B"/>
    <w:rsid w:val="009363A5"/>
    <w:rsid w:val="00936B8D"/>
    <w:rsid w:val="00936F47"/>
    <w:rsid w:val="009373B4"/>
    <w:rsid w:val="00937CDE"/>
    <w:rsid w:val="009428A4"/>
    <w:rsid w:val="00942CCA"/>
    <w:rsid w:val="009433B5"/>
    <w:rsid w:val="00945262"/>
    <w:rsid w:val="00945AF9"/>
    <w:rsid w:val="009465A7"/>
    <w:rsid w:val="0095027C"/>
    <w:rsid w:val="009506A5"/>
    <w:rsid w:val="00951275"/>
    <w:rsid w:val="00953E52"/>
    <w:rsid w:val="00954502"/>
    <w:rsid w:val="00954C9C"/>
    <w:rsid w:val="00955646"/>
    <w:rsid w:val="00955698"/>
    <w:rsid w:val="009601DB"/>
    <w:rsid w:val="00960445"/>
    <w:rsid w:val="00960F76"/>
    <w:rsid w:val="009610A4"/>
    <w:rsid w:val="00961816"/>
    <w:rsid w:val="009623C1"/>
    <w:rsid w:val="009634B9"/>
    <w:rsid w:val="009645F0"/>
    <w:rsid w:val="00964DCC"/>
    <w:rsid w:val="009668A7"/>
    <w:rsid w:val="00970012"/>
    <w:rsid w:val="00970407"/>
    <w:rsid w:val="009715BA"/>
    <w:rsid w:val="009716E2"/>
    <w:rsid w:val="009742A5"/>
    <w:rsid w:val="0097456C"/>
    <w:rsid w:val="009764F6"/>
    <w:rsid w:val="009768BE"/>
    <w:rsid w:val="00976DC6"/>
    <w:rsid w:val="009801D9"/>
    <w:rsid w:val="00982330"/>
    <w:rsid w:val="00982375"/>
    <w:rsid w:val="00982446"/>
    <w:rsid w:val="00982AE8"/>
    <w:rsid w:val="00983267"/>
    <w:rsid w:val="00983646"/>
    <w:rsid w:val="009852F5"/>
    <w:rsid w:val="0098573C"/>
    <w:rsid w:val="00985B38"/>
    <w:rsid w:val="0099230F"/>
    <w:rsid w:val="00992318"/>
    <w:rsid w:val="00992344"/>
    <w:rsid w:val="00996442"/>
    <w:rsid w:val="00997A7E"/>
    <w:rsid w:val="009A02CB"/>
    <w:rsid w:val="009A0D8D"/>
    <w:rsid w:val="009A187C"/>
    <w:rsid w:val="009A21CF"/>
    <w:rsid w:val="009A22FD"/>
    <w:rsid w:val="009A3427"/>
    <w:rsid w:val="009A374F"/>
    <w:rsid w:val="009A3D77"/>
    <w:rsid w:val="009A3EF1"/>
    <w:rsid w:val="009A4155"/>
    <w:rsid w:val="009A5747"/>
    <w:rsid w:val="009A603E"/>
    <w:rsid w:val="009A6C98"/>
    <w:rsid w:val="009A7C71"/>
    <w:rsid w:val="009B2036"/>
    <w:rsid w:val="009B243C"/>
    <w:rsid w:val="009B3F57"/>
    <w:rsid w:val="009B4CD4"/>
    <w:rsid w:val="009B6456"/>
    <w:rsid w:val="009B6DD5"/>
    <w:rsid w:val="009C0609"/>
    <w:rsid w:val="009C07B0"/>
    <w:rsid w:val="009C09E7"/>
    <w:rsid w:val="009C181F"/>
    <w:rsid w:val="009C4855"/>
    <w:rsid w:val="009C4BD2"/>
    <w:rsid w:val="009C576F"/>
    <w:rsid w:val="009C5A1D"/>
    <w:rsid w:val="009C5B73"/>
    <w:rsid w:val="009C6112"/>
    <w:rsid w:val="009C62D8"/>
    <w:rsid w:val="009C66B2"/>
    <w:rsid w:val="009C726A"/>
    <w:rsid w:val="009C729B"/>
    <w:rsid w:val="009C77AB"/>
    <w:rsid w:val="009D0010"/>
    <w:rsid w:val="009D0B12"/>
    <w:rsid w:val="009D0B7D"/>
    <w:rsid w:val="009D1066"/>
    <w:rsid w:val="009D1CD5"/>
    <w:rsid w:val="009D2A09"/>
    <w:rsid w:val="009D343E"/>
    <w:rsid w:val="009D46F8"/>
    <w:rsid w:val="009D6020"/>
    <w:rsid w:val="009D7141"/>
    <w:rsid w:val="009D7635"/>
    <w:rsid w:val="009E1A44"/>
    <w:rsid w:val="009E26E4"/>
    <w:rsid w:val="009E3315"/>
    <w:rsid w:val="009E416F"/>
    <w:rsid w:val="009E4C84"/>
    <w:rsid w:val="009E4CFA"/>
    <w:rsid w:val="009E57A8"/>
    <w:rsid w:val="009E58ED"/>
    <w:rsid w:val="009E689A"/>
    <w:rsid w:val="009E6E02"/>
    <w:rsid w:val="009E78C9"/>
    <w:rsid w:val="009F22D3"/>
    <w:rsid w:val="009F3741"/>
    <w:rsid w:val="009F4DC9"/>
    <w:rsid w:val="009F5B2D"/>
    <w:rsid w:val="009F5BC7"/>
    <w:rsid w:val="009F68D7"/>
    <w:rsid w:val="009F76FB"/>
    <w:rsid w:val="009F7B3D"/>
    <w:rsid w:val="009F7D2B"/>
    <w:rsid w:val="00A00E26"/>
    <w:rsid w:val="00A026C8"/>
    <w:rsid w:val="00A03044"/>
    <w:rsid w:val="00A0335D"/>
    <w:rsid w:val="00A04BB5"/>
    <w:rsid w:val="00A0749A"/>
    <w:rsid w:val="00A10762"/>
    <w:rsid w:val="00A10896"/>
    <w:rsid w:val="00A109C9"/>
    <w:rsid w:val="00A10E2F"/>
    <w:rsid w:val="00A12818"/>
    <w:rsid w:val="00A12E5F"/>
    <w:rsid w:val="00A143F4"/>
    <w:rsid w:val="00A15415"/>
    <w:rsid w:val="00A162D5"/>
    <w:rsid w:val="00A1683B"/>
    <w:rsid w:val="00A1777D"/>
    <w:rsid w:val="00A17DA8"/>
    <w:rsid w:val="00A214BE"/>
    <w:rsid w:val="00A21A62"/>
    <w:rsid w:val="00A22820"/>
    <w:rsid w:val="00A2326A"/>
    <w:rsid w:val="00A237EA"/>
    <w:rsid w:val="00A24FFD"/>
    <w:rsid w:val="00A2547D"/>
    <w:rsid w:val="00A25A8D"/>
    <w:rsid w:val="00A26D03"/>
    <w:rsid w:val="00A2711C"/>
    <w:rsid w:val="00A3049F"/>
    <w:rsid w:val="00A30B10"/>
    <w:rsid w:val="00A3173F"/>
    <w:rsid w:val="00A32B81"/>
    <w:rsid w:val="00A33607"/>
    <w:rsid w:val="00A33E86"/>
    <w:rsid w:val="00A35141"/>
    <w:rsid w:val="00A35244"/>
    <w:rsid w:val="00A35E83"/>
    <w:rsid w:val="00A36654"/>
    <w:rsid w:val="00A372D1"/>
    <w:rsid w:val="00A42C08"/>
    <w:rsid w:val="00A43DF5"/>
    <w:rsid w:val="00A442F3"/>
    <w:rsid w:val="00A44379"/>
    <w:rsid w:val="00A475BB"/>
    <w:rsid w:val="00A47D9D"/>
    <w:rsid w:val="00A5080B"/>
    <w:rsid w:val="00A522E5"/>
    <w:rsid w:val="00A5281C"/>
    <w:rsid w:val="00A52B91"/>
    <w:rsid w:val="00A5355E"/>
    <w:rsid w:val="00A537A6"/>
    <w:rsid w:val="00A54BBE"/>
    <w:rsid w:val="00A55108"/>
    <w:rsid w:val="00A5604A"/>
    <w:rsid w:val="00A6018C"/>
    <w:rsid w:val="00A6076B"/>
    <w:rsid w:val="00A613FF"/>
    <w:rsid w:val="00A61752"/>
    <w:rsid w:val="00A636C2"/>
    <w:rsid w:val="00A63A25"/>
    <w:rsid w:val="00A65477"/>
    <w:rsid w:val="00A665B5"/>
    <w:rsid w:val="00A67C96"/>
    <w:rsid w:val="00A7122A"/>
    <w:rsid w:val="00A7133A"/>
    <w:rsid w:val="00A7210C"/>
    <w:rsid w:val="00A73A8E"/>
    <w:rsid w:val="00A73DC0"/>
    <w:rsid w:val="00A7400A"/>
    <w:rsid w:val="00A74E2E"/>
    <w:rsid w:val="00A76B89"/>
    <w:rsid w:val="00A76FE3"/>
    <w:rsid w:val="00A774CA"/>
    <w:rsid w:val="00A81A7E"/>
    <w:rsid w:val="00A83A80"/>
    <w:rsid w:val="00A8494F"/>
    <w:rsid w:val="00A84C8C"/>
    <w:rsid w:val="00A85DC9"/>
    <w:rsid w:val="00A92937"/>
    <w:rsid w:val="00A94143"/>
    <w:rsid w:val="00A94267"/>
    <w:rsid w:val="00A9500A"/>
    <w:rsid w:val="00A954C3"/>
    <w:rsid w:val="00A96262"/>
    <w:rsid w:val="00A96B0B"/>
    <w:rsid w:val="00A97029"/>
    <w:rsid w:val="00AA15CE"/>
    <w:rsid w:val="00AA1763"/>
    <w:rsid w:val="00AA184E"/>
    <w:rsid w:val="00AA3317"/>
    <w:rsid w:val="00AA4613"/>
    <w:rsid w:val="00AA5213"/>
    <w:rsid w:val="00AA60E3"/>
    <w:rsid w:val="00AA6942"/>
    <w:rsid w:val="00AB01C1"/>
    <w:rsid w:val="00AB01D8"/>
    <w:rsid w:val="00AB079A"/>
    <w:rsid w:val="00AB07C5"/>
    <w:rsid w:val="00AB17F9"/>
    <w:rsid w:val="00AB19F2"/>
    <w:rsid w:val="00AB1E73"/>
    <w:rsid w:val="00AB248A"/>
    <w:rsid w:val="00AB39B2"/>
    <w:rsid w:val="00AB3F11"/>
    <w:rsid w:val="00AB528B"/>
    <w:rsid w:val="00AB535A"/>
    <w:rsid w:val="00AB5680"/>
    <w:rsid w:val="00AB5DCF"/>
    <w:rsid w:val="00AC0421"/>
    <w:rsid w:val="00AC1108"/>
    <w:rsid w:val="00AC1A37"/>
    <w:rsid w:val="00AC38F1"/>
    <w:rsid w:val="00AC40A0"/>
    <w:rsid w:val="00AC5BF1"/>
    <w:rsid w:val="00AC676C"/>
    <w:rsid w:val="00AC72C2"/>
    <w:rsid w:val="00AC7AFF"/>
    <w:rsid w:val="00AD0B52"/>
    <w:rsid w:val="00AD1262"/>
    <w:rsid w:val="00AD35CB"/>
    <w:rsid w:val="00AD4C61"/>
    <w:rsid w:val="00AD6804"/>
    <w:rsid w:val="00AD6923"/>
    <w:rsid w:val="00AD7896"/>
    <w:rsid w:val="00AE05EC"/>
    <w:rsid w:val="00AE0EC5"/>
    <w:rsid w:val="00AE18AA"/>
    <w:rsid w:val="00AE239A"/>
    <w:rsid w:val="00AE2AEC"/>
    <w:rsid w:val="00AE379A"/>
    <w:rsid w:val="00AE3BC7"/>
    <w:rsid w:val="00AE4086"/>
    <w:rsid w:val="00AE6184"/>
    <w:rsid w:val="00AE71AD"/>
    <w:rsid w:val="00AF28E9"/>
    <w:rsid w:val="00AF37EB"/>
    <w:rsid w:val="00AF432C"/>
    <w:rsid w:val="00AF68AD"/>
    <w:rsid w:val="00AF6934"/>
    <w:rsid w:val="00AF6E45"/>
    <w:rsid w:val="00AF7524"/>
    <w:rsid w:val="00B00477"/>
    <w:rsid w:val="00B00CA4"/>
    <w:rsid w:val="00B02C56"/>
    <w:rsid w:val="00B05113"/>
    <w:rsid w:val="00B05E0D"/>
    <w:rsid w:val="00B07D45"/>
    <w:rsid w:val="00B130C9"/>
    <w:rsid w:val="00B13CB4"/>
    <w:rsid w:val="00B13D0E"/>
    <w:rsid w:val="00B141FB"/>
    <w:rsid w:val="00B145B7"/>
    <w:rsid w:val="00B15FFA"/>
    <w:rsid w:val="00B166D6"/>
    <w:rsid w:val="00B1788E"/>
    <w:rsid w:val="00B20964"/>
    <w:rsid w:val="00B20BA0"/>
    <w:rsid w:val="00B21620"/>
    <w:rsid w:val="00B21F3A"/>
    <w:rsid w:val="00B21F54"/>
    <w:rsid w:val="00B226DB"/>
    <w:rsid w:val="00B23611"/>
    <w:rsid w:val="00B238BF"/>
    <w:rsid w:val="00B246C9"/>
    <w:rsid w:val="00B2580A"/>
    <w:rsid w:val="00B258CF"/>
    <w:rsid w:val="00B25ABD"/>
    <w:rsid w:val="00B25FFE"/>
    <w:rsid w:val="00B27980"/>
    <w:rsid w:val="00B32919"/>
    <w:rsid w:val="00B32EC0"/>
    <w:rsid w:val="00B34FD6"/>
    <w:rsid w:val="00B3660F"/>
    <w:rsid w:val="00B37987"/>
    <w:rsid w:val="00B37B47"/>
    <w:rsid w:val="00B37B94"/>
    <w:rsid w:val="00B40280"/>
    <w:rsid w:val="00B40567"/>
    <w:rsid w:val="00B40733"/>
    <w:rsid w:val="00B43B5A"/>
    <w:rsid w:val="00B441E7"/>
    <w:rsid w:val="00B4449E"/>
    <w:rsid w:val="00B44EA2"/>
    <w:rsid w:val="00B45D0F"/>
    <w:rsid w:val="00B4669B"/>
    <w:rsid w:val="00B46C0F"/>
    <w:rsid w:val="00B508BC"/>
    <w:rsid w:val="00B50D57"/>
    <w:rsid w:val="00B515B7"/>
    <w:rsid w:val="00B51DBA"/>
    <w:rsid w:val="00B52946"/>
    <w:rsid w:val="00B543FE"/>
    <w:rsid w:val="00B54754"/>
    <w:rsid w:val="00B54C5F"/>
    <w:rsid w:val="00B563DB"/>
    <w:rsid w:val="00B567CF"/>
    <w:rsid w:val="00B60088"/>
    <w:rsid w:val="00B60DD7"/>
    <w:rsid w:val="00B614BE"/>
    <w:rsid w:val="00B61557"/>
    <w:rsid w:val="00B633AE"/>
    <w:rsid w:val="00B63DC1"/>
    <w:rsid w:val="00B64F89"/>
    <w:rsid w:val="00B6655B"/>
    <w:rsid w:val="00B66A18"/>
    <w:rsid w:val="00B700B2"/>
    <w:rsid w:val="00B70B9D"/>
    <w:rsid w:val="00B70EC4"/>
    <w:rsid w:val="00B71B4C"/>
    <w:rsid w:val="00B7237E"/>
    <w:rsid w:val="00B72A01"/>
    <w:rsid w:val="00B72C28"/>
    <w:rsid w:val="00B72D9C"/>
    <w:rsid w:val="00B73D8A"/>
    <w:rsid w:val="00B73F39"/>
    <w:rsid w:val="00B74BCD"/>
    <w:rsid w:val="00B75048"/>
    <w:rsid w:val="00B7532F"/>
    <w:rsid w:val="00B75CCD"/>
    <w:rsid w:val="00B762C8"/>
    <w:rsid w:val="00B769CF"/>
    <w:rsid w:val="00B7775F"/>
    <w:rsid w:val="00B8037C"/>
    <w:rsid w:val="00B80A2B"/>
    <w:rsid w:val="00B81802"/>
    <w:rsid w:val="00B8253F"/>
    <w:rsid w:val="00B83466"/>
    <w:rsid w:val="00B8396D"/>
    <w:rsid w:val="00B84D2C"/>
    <w:rsid w:val="00B8518D"/>
    <w:rsid w:val="00B85378"/>
    <w:rsid w:val="00B86BAF"/>
    <w:rsid w:val="00B87127"/>
    <w:rsid w:val="00B87AC0"/>
    <w:rsid w:val="00B9123D"/>
    <w:rsid w:val="00B91DFC"/>
    <w:rsid w:val="00B929A0"/>
    <w:rsid w:val="00B92A77"/>
    <w:rsid w:val="00B93E0C"/>
    <w:rsid w:val="00B93F24"/>
    <w:rsid w:val="00B9505D"/>
    <w:rsid w:val="00B95632"/>
    <w:rsid w:val="00B9568F"/>
    <w:rsid w:val="00B95D90"/>
    <w:rsid w:val="00BA0F48"/>
    <w:rsid w:val="00BA1073"/>
    <w:rsid w:val="00BA13FF"/>
    <w:rsid w:val="00BA241C"/>
    <w:rsid w:val="00BA24CB"/>
    <w:rsid w:val="00BA2D1E"/>
    <w:rsid w:val="00BA2ED6"/>
    <w:rsid w:val="00BA3BF2"/>
    <w:rsid w:val="00BA47AD"/>
    <w:rsid w:val="00BA47F2"/>
    <w:rsid w:val="00BA5477"/>
    <w:rsid w:val="00BA73A3"/>
    <w:rsid w:val="00BB1D24"/>
    <w:rsid w:val="00BB210A"/>
    <w:rsid w:val="00BB2D6F"/>
    <w:rsid w:val="00BB327F"/>
    <w:rsid w:val="00BB33A1"/>
    <w:rsid w:val="00BB4192"/>
    <w:rsid w:val="00BB5852"/>
    <w:rsid w:val="00BB77A8"/>
    <w:rsid w:val="00BB7EF7"/>
    <w:rsid w:val="00BC0087"/>
    <w:rsid w:val="00BC081D"/>
    <w:rsid w:val="00BC0C93"/>
    <w:rsid w:val="00BC26C2"/>
    <w:rsid w:val="00BC2DEB"/>
    <w:rsid w:val="00BC3046"/>
    <w:rsid w:val="00BC3B05"/>
    <w:rsid w:val="00BC67DA"/>
    <w:rsid w:val="00BC684B"/>
    <w:rsid w:val="00BD05E8"/>
    <w:rsid w:val="00BD1F2D"/>
    <w:rsid w:val="00BD3A3C"/>
    <w:rsid w:val="00BD506A"/>
    <w:rsid w:val="00BD605F"/>
    <w:rsid w:val="00BD70B1"/>
    <w:rsid w:val="00BE0BD4"/>
    <w:rsid w:val="00BE10C2"/>
    <w:rsid w:val="00BE1E0E"/>
    <w:rsid w:val="00BE27DB"/>
    <w:rsid w:val="00BE28D9"/>
    <w:rsid w:val="00BE3479"/>
    <w:rsid w:val="00BE3B0F"/>
    <w:rsid w:val="00BE528D"/>
    <w:rsid w:val="00BE566B"/>
    <w:rsid w:val="00BE5CED"/>
    <w:rsid w:val="00BE5DB4"/>
    <w:rsid w:val="00BE7353"/>
    <w:rsid w:val="00BE76C8"/>
    <w:rsid w:val="00BE7A7D"/>
    <w:rsid w:val="00BE7C2E"/>
    <w:rsid w:val="00BE7F53"/>
    <w:rsid w:val="00BF0C1D"/>
    <w:rsid w:val="00BF0F8D"/>
    <w:rsid w:val="00BF1DAD"/>
    <w:rsid w:val="00BF3494"/>
    <w:rsid w:val="00BF561B"/>
    <w:rsid w:val="00BF5BFC"/>
    <w:rsid w:val="00BF5E32"/>
    <w:rsid w:val="00BF609E"/>
    <w:rsid w:val="00BF682A"/>
    <w:rsid w:val="00BF6E9B"/>
    <w:rsid w:val="00BF73B0"/>
    <w:rsid w:val="00BF7688"/>
    <w:rsid w:val="00BF7F61"/>
    <w:rsid w:val="00C00ADA"/>
    <w:rsid w:val="00C00E51"/>
    <w:rsid w:val="00C00ECD"/>
    <w:rsid w:val="00C01644"/>
    <w:rsid w:val="00C04009"/>
    <w:rsid w:val="00C04603"/>
    <w:rsid w:val="00C06B0B"/>
    <w:rsid w:val="00C108DA"/>
    <w:rsid w:val="00C1304E"/>
    <w:rsid w:val="00C1367B"/>
    <w:rsid w:val="00C140F2"/>
    <w:rsid w:val="00C150BC"/>
    <w:rsid w:val="00C154F7"/>
    <w:rsid w:val="00C16DD3"/>
    <w:rsid w:val="00C177A0"/>
    <w:rsid w:val="00C17840"/>
    <w:rsid w:val="00C178E0"/>
    <w:rsid w:val="00C17A62"/>
    <w:rsid w:val="00C17F4D"/>
    <w:rsid w:val="00C21097"/>
    <w:rsid w:val="00C21AF8"/>
    <w:rsid w:val="00C22C0F"/>
    <w:rsid w:val="00C23F3E"/>
    <w:rsid w:val="00C24876"/>
    <w:rsid w:val="00C24DA0"/>
    <w:rsid w:val="00C268CB"/>
    <w:rsid w:val="00C26BD1"/>
    <w:rsid w:val="00C27604"/>
    <w:rsid w:val="00C30AA6"/>
    <w:rsid w:val="00C31B52"/>
    <w:rsid w:val="00C323E8"/>
    <w:rsid w:val="00C32C43"/>
    <w:rsid w:val="00C3355D"/>
    <w:rsid w:val="00C3428B"/>
    <w:rsid w:val="00C34532"/>
    <w:rsid w:val="00C358F8"/>
    <w:rsid w:val="00C36552"/>
    <w:rsid w:val="00C36E94"/>
    <w:rsid w:val="00C37E35"/>
    <w:rsid w:val="00C403C2"/>
    <w:rsid w:val="00C4077B"/>
    <w:rsid w:val="00C41704"/>
    <w:rsid w:val="00C42437"/>
    <w:rsid w:val="00C42FA8"/>
    <w:rsid w:val="00C4345B"/>
    <w:rsid w:val="00C4353C"/>
    <w:rsid w:val="00C4450A"/>
    <w:rsid w:val="00C45361"/>
    <w:rsid w:val="00C45C9D"/>
    <w:rsid w:val="00C469A0"/>
    <w:rsid w:val="00C46A2B"/>
    <w:rsid w:val="00C47C60"/>
    <w:rsid w:val="00C51B6F"/>
    <w:rsid w:val="00C5337E"/>
    <w:rsid w:val="00C548B4"/>
    <w:rsid w:val="00C549FF"/>
    <w:rsid w:val="00C56670"/>
    <w:rsid w:val="00C60DCC"/>
    <w:rsid w:val="00C6146F"/>
    <w:rsid w:val="00C614D4"/>
    <w:rsid w:val="00C61C5F"/>
    <w:rsid w:val="00C63406"/>
    <w:rsid w:val="00C63C96"/>
    <w:rsid w:val="00C64DDE"/>
    <w:rsid w:val="00C65699"/>
    <w:rsid w:val="00C65EED"/>
    <w:rsid w:val="00C7100B"/>
    <w:rsid w:val="00C7132B"/>
    <w:rsid w:val="00C71A17"/>
    <w:rsid w:val="00C71B83"/>
    <w:rsid w:val="00C7216C"/>
    <w:rsid w:val="00C72259"/>
    <w:rsid w:val="00C72C7F"/>
    <w:rsid w:val="00C731BA"/>
    <w:rsid w:val="00C75860"/>
    <w:rsid w:val="00C773C0"/>
    <w:rsid w:val="00C77DF9"/>
    <w:rsid w:val="00C80171"/>
    <w:rsid w:val="00C80284"/>
    <w:rsid w:val="00C80C71"/>
    <w:rsid w:val="00C82A2A"/>
    <w:rsid w:val="00C82CDD"/>
    <w:rsid w:val="00C8459C"/>
    <w:rsid w:val="00C849CD"/>
    <w:rsid w:val="00C84D8E"/>
    <w:rsid w:val="00C86118"/>
    <w:rsid w:val="00C86BFB"/>
    <w:rsid w:val="00C86FB1"/>
    <w:rsid w:val="00C90A56"/>
    <w:rsid w:val="00C910A0"/>
    <w:rsid w:val="00C91ED9"/>
    <w:rsid w:val="00C93F09"/>
    <w:rsid w:val="00C94362"/>
    <w:rsid w:val="00C9580A"/>
    <w:rsid w:val="00C96197"/>
    <w:rsid w:val="00C96238"/>
    <w:rsid w:val="00CA02F4"/>
    <w:rsid w:val="00CA073C"/>
    <w:rsid w:val="00CA093B"/>
    <w:rsid w:val="00CA09C4"/>
    <w:rsid w:val="00CA0AE0"/>
    <w:rsid w:val="00CA1181"/>
    <w:rsid w:val="00CA1308"/>
    <w:rsid w:val="00CA13BE"/>
    <w:rsid w:val="00CA1C5B"/>
    <w:rsid w:val="00CA2A09"/>
    <w:rsid w:val="00CA329C"/>
    <w:rsid w:val="00CA3DE3"/>
    <w:rsid w:val="00CA6139"/>
    <w:rsid w:val="00CA6918"/>
    <w:rsid w:val="00CA6D26"/>
    <w:rsid w:val="00CA7C11"/>
    <w:rsid w:val="00CB063F"/>
    <w:rsid w:val="00CB0DF8"/>
    <w:rsid w:val="00CB2829"/>
    <w:rsid w:val="00CB3835"/>
    <w:rsid w:val="00CB4B05"/>
    <w:rsid w:val="00CB6D3E"/>
    <w:rsid w:val="00CC172E"/>
    <w:rsid w:val="00CC23AD"/>
    <w:rsid w:val="00CC2568"/>
    <w:rsid w:val="00CC259F"/>
    <w:rsid w:val="00CC562D"/>
    <w:rsid w:val="00CC6B3B"/>
    <w:rsid w:val="00CC7EFC"/>
    <w:rsid w:val="00CD07B9"/>
    <w:rsid w:val="00CD0910"/>
    <w:rsid w:val="00CD0E78"/>
    <w:rsid w:val="00CD6F66"/>
    <w:rsid w:val="00CE10E5"/>
    <w:rsid w:val="00CE2785"/>
    <w:rsid w:val="00CE340D"/>
    <w:rsid w:val="00CE3AB9"/>
    <w:rsid w:val="00CE5516"/>
    <w:rsid w:val="00CF02C0"/>
    <w:rsid w:val="00CF1231"/>
    <w:rsid w:val="00CF1A0F"/>
    <w:rsid w:val="00CF1F56"/>
    <w:rsid w:val="00CF1FCC"/>
    <w:rsid w:val="00CF2F2D"/>
    <w:rsid w:val="00CF3445"/>
    <w:rsid w:val="00CF3BB6"/>
    <w:rsid w:val="00CF4206"/>
    <w:rsid w:val="00CF727C"/>
    <w:rsid w:val="00CF7D64"/>
    <w:rsid w:val="00D0048C"/>
    <w:rsid w:val="00D00C41"/>
    <w:rsid w:val="00D02840"/>
    <w:rsid w:val="00D029CA"/>
    <w:rsid w:val="00D06779"/>
    <w:rsid w:val="00D0681D"/>
    <w:rsid w:val="00D0683A"/>
    <w:rsid w:val="00D06E1D"/>
    <w:rsid w:val="00D070C7"/>
    <w:rsid w:val="00D07810"/>
    <w:rsid w:val="00D078FC"/>
    <w:rsid w:val="00D10344"/>
    <w:rsid w:val="00D1216A"/>
    <w:rsid w:val="00D123CD"/>
    <w:rsid w:val="00D12BD1"/>
    <w:rsid w:val="00D14409"/>
    <w:rsid w:val="00D163DC"/>
    <w:rsid w:val="00D16E58"/>
    <w:rsid w:val="00D1720F"/>
    <w:rsid w:val="00D17DC3"/>
    <w:rsid w:val="00D218FB"/>
    <w:rsid w:val="00D219AD"/>
    <w:rsid w:val="00D219B5"/>
    <w:rsid w:val="00D21B94"/>
    <w:rsid w:val="00D23041"/>
    <w:rsid w:val="00D25834"/>
    <w:rsid w:val="00D25ABA"/>
    <w:rsid w:val="00D26EDA"/>
    <w:rsid w:val="00D2714B"/>
    <w:rsid w:val="00D2762A"/>
    <w:rsid w:val="00D309B2"/>
    <w:rsid w:val="00D30A6A"/>
    <w:rsid w:val="00D31198"/>
    <w:rsid w:val="00D315E7"/>
    <w:rsid w:val="00D315EB"/>
    <w:rsid w:val="00D3263B"/>
    <w:rsid w:val="00D32730"/>
    <w:rsid w:val="00D3342D"/>
    <w:rsid w:val="00D367E3"/>
    <w:rsid w:val="00D36B98"/>
    <w:rsid w:val="00D4260F"/>
    <w:rsid w:val="00D42B0A"/>
    <w:rsid w:val="00D42F41"/>
    <w:rsid w:val="00D431F3"/>
    <w:rsid w:val="00D4624E"/>
    <w:rsid w:val="00D46560"/>
    <w:rsid w:val="00D46BA9"/>
    <w:rsid w:val="00D47321"/>
    <w:rsid w:val="00D47796"/>
    <w:rsid w:val="00D47B7F"/>
    <w:rsid w:val="00D51503"/>
    <w:rsid w:val="00D51E82"/>
    <w:rsid w:val="00D526B8"/>
    <w:rsid w:val="00D541AD"/>
    <w:rsid w:val="00D54AC4"/>
    <w:rsid w:val="00D5584F"/>
    <w:rsid w:val="00D56DBB"/>
    <w:rsid w:val="00D57C17"/>
    <w:rsid w:val="00D57FC2"/>
    <w:rsid w:val="00D6060C"/>
    <w:rsid w:val="00D61AA8"/>
    <w:rsid w:val="00D61B89"/>
    <w:rsid w:val="00D62003"/>
    <w:rsid w:val="00D624E1"/>
    <w:rsid w:val="00D628F2"/>
    <w:rsid w:val="00D6516D"/>
    <w:rsid w:val="00D653D6"/>
    <w:rsid w:val="00D65F38"/>
    <w:rsid w:val="00D65FF4"/>
    <w:rsid w:val="00D6793A"/>
    <w:rsid w:val="00D67C50"/>
    <w:rsid w:val="00D70319"/>
    <w:rsid w:val="00D70486"/>
    <w:rsid w:val="00D70C6F"/>
    <w:rsid w:val="00D70C7F"/>
    <w:rsid w:val="00D716ED"/>
    <w:rsid w:val="00D71D53"/>
    <w:rsid w:val="00D7420F"/>
    <w:rsid w:val="00D75FFF"/>
    <w:rsid w:val="00D76B53"/>
    <w:rsid w:val="00D76FC4"/>
    <w:rsid w:val="00D80BC0"/>
    <w:rsid w:val="00D8190E"/>
    <w:rsid w:val="00D82D7D"/>
    <w:rsid w:val="00D83FDD"/>
    <w:rsid w:val="00D84578"/>
    <w:rsid w:val="00D85F8C"/>
    <w:rsid w:val="00D86779"/>
    <w:rsid w:val="00D87353"/>
    <w:rsid w:val="00D906DA"/>
    <w:rsid w:val="00D90C93"/>
    <w:rsid w:val="00D90E55"/>
    <w:rsid w:val="00D90EB3"/>
    <w:rsid w:val="00D917E6"/>
    <w:rsid w:val="00D91E0B"/>
    <w:rsid w:val="00D93978"/>
    <w:rsid w:val="00D94601"/>
    <w:rsid w:val="00D954FD"/>
    <w:rsid w:val="00D9555F"/>
    <w:rsid w:val="00D95F3E"/>
    <w:rsid w:val="00DA1561"/>
    <w:rsid w:val="00DA1B7B"/>
    <w:rsid w:val="00DA2874"/>
    <w:rsid w:val="00DA29A6"/>
    <w:rsid w:val="00DA3234"/>
    <w:rsid w:val="00DA3D29"/>
    <w:rsid w:val="00DA4744"/>
    <w:rsid w:val="00DA5578"/>
    <w:rsid w:val="00DA55B0"/>
    <w:rsid w:val="00DA60C0"/>
    <w:rsid w:val="00DA6E93"/>
    <w:rsid w:val="00DB02A3"/>
    <w:rsid w:val="00DB0349"/>
    <w:rsid w:val="00DB03E2"/>
    <w:rsid w:val="00DB09A0"/>
    <w:rsid w:val="00DB0D53"/>
    <w:rsid w:val="00DB15B6"/>
    <w:rsid w:val="00DB2468"/>
    <w:rsid w:val="00DB2E32"/>
    <w:rsid w:val="00DB4CA5"/>
    <w:rsid w:val="00DB70C0"/>
    <w:rsid w:val="00DC0988"/>
    <w:rsid w:val="00DC16E5"/>
    <w:rsid w:val="00DC2229"/>
    <w:rsid w:val="00DC439B"/>
    <w:rsid w:val="00DC52F0"/>
    <w:rsid w:val="00DC53E3"/>
    <w:rsid w:val="00DC6623"/>
    <w:rsid w:val="00DD2270"/>
    <w:rsid w:val="00DD2FA2"/>
    <w:rsid w:val="00DD535C"/>
    <w:rsid w:val="00DD5F2F"/>
    <w:rsid w:val="00DD6526"/>
    <w:rsid w:val="00DE0AAB"/>
    <w:rsid w:val="00DE1EE5"/>
    <w:rsid w:val="00DE233E"/>
    <w:rsid w:val="00DE3186"/>
    <w:rsid w:val="00DE52B7"/>
    <w:rsid w:val="00DE6009"/>
    <w:rsid w:val="00DF0E3B"/>
    <w:rsid w:val="00DF24D8"/>
    <w:rsid w:val="00DF2D77"/>
    <w:rsid w:val="00DF6ACB"/>
    <w:rsid w:val="00E01820"/>
    <w:rsid w:val="00E02293"/>
    <w:rsid w:val="00E02438"/>
    <w:rsid w:val="00E024BB"/>
    <w:rsid w:val="00E0425D"/>
    <w:rsid w:val="00E04690"/>
    <w:rsid w:val="00E05085"/>
    <w:rsid w:val="00E0518A"/>
    <w:rsid w:val="00E057AA"/>
    <w:rsid w:val="00E0600F"/>
    <w:rsid w:val="00E061E2"/>
    <w:rsid w:val="00E06E91"/>
    <w:rsid w:val="00E07E68"/>
    <w:rsid w:val="00E11BE6"/>
    <w:rsid w:val="00E1357F"/>
    <w:rsid w:val="00E136FA"/>
    <w:rsid w:val="00E13BF5"/>
    <w:rsid w:val="00E179FF"/>
    <w:rsid w:val="00E20A1A"/>
    <w:rsid w:val="00E20D53"/>
    <w:rsid w:val="00E21195"/>
    <w:rsid w:val="00E21D64"/>
    <w:rsid w:val="00E22D8E"/>
    <w:rsid w:val="00E2480E"/>
    <w:rsid w:val="00E25124"/>
    <w:rsid w:val="00E25899"/>
    <w:rsid w:val="00E27A93"/>
    <w:rsid w:val="00E300E6"/>
    <w:rsid w:val="00E30206"/>
    <w:rsid w:val="00E30936"/>
    <w:rsid w:val="00E30D28"/>
    <w:rsid w:val="00E35424"/>
    <w:rsid w:val="00E35566"/>
    <w:rsid w:val="00E36015"/>
    <w:rsid w:val="00E36955"/>
    <w:rsid w:val="00E403DC"/>
    <w:rsid w:val="00E40FFA"/>
    <w:rsid w:val="00E41FF7"/>
    <w:rsid w:val="00E42AC9"/>
    <w:rsid w:val="00E438F5"/>
    <w:rsid w:val="00E43E51"/>
    <w:rsid w:val="00E44741"/>
    <w:rsid w:val="00E44DC5"/>
    <w:rsid w:val="00E4648B"/>
    <w:rsid w:val="00E46ABC"/>
    <w:rsid w:val="00E515AF"/>
    <w:rsid w:val="00E51BC9"/>
    <w:rsid w:val="00E520FF"/>
    <w:rsid w:val="00E522A2"/>
    <w:rsid w:val="00E52CD8"/>
    <w:rsid w:val="00E53395"/>
    <w:rsid w:val="00E54418"/>
    <w:rsid w:val="00E55B01"/>
    <w:rsid w:val="00E560BD"/>
    <w:rsid w:val="00E5615D"/>
    <w:rsid w:val="00E57972"/>
    <w:rsid w:val="00E603E4"/>
    <w:rsid w:val="00E60CF0"/>
    <w:rsid w:val="00E611FF"/>
    <w:rsid w:val="00E61B8C"/>
    <w:rsid w:val="00E62B1F"/>
    <w:rsid w:val="00E64964"/>
    <w:rsid w:val="00E65B85"/>
    <w:rsid w:val="00E67AC3"/>
    <w:rsid w:val="00E71197"/>
    <w:rsid w:val="00E71728"/>
    <w:rsid w:val="00E72A2A"/>
    <w:rsid w:val="00E73D02"/>
    <w:rsid w:val="00E74A55"/>
    <w:rsid w:val="00E74B7C"/>
    <w:rsid w:val="00E75E18"/>
    <w:rsid w:val="00E766B8"/>
    <w:rsid w:val="00E77183"/>
    <w:rsid w:val="00E771E2"/>
    <w:rsid w:val="00E827ED"/>
    <w:rsid w:val="00E83EAA"/>
    <w:rsid w:val="00E8574A"/>
    <w:rsid w:val="00E8583C"/>
    <w:rsid w:val="00E90F85"/>
    <w:rsid w:val="00E91C47"/>
    <w:rsid w:val="00E92F84"/>
    <w:rsid w:val="00E94251"/>
    <w:rsid w:val="00E94CDB"/>
    <w:rsid w:val="00E950ED"/>
    <w:rsid w:val="00E969F2"/>
    <w:rsid w:val="00E975B4"/>
    <w:rsid w:val="00EA015F"/>
    <w:rsid w:val="00EA2107"/>
    <w:rsid w:val="00EA2241"/>
    <w:rsid w:val="00EA393D"/>
    <w:rsid w:val="00EA395C"/>
    <w:rsid w:val="00EA4335"/>
    <w:rsid w:val="00EA4DE6"/>
    <w:rsid w:val="00EA5DDC"/>
    <w:rsid w:val="00EA7823"/>
    <w:rsid w:val="00EB1450"/>
    <w:rsid w:val="00EB145E"/>
    <w:rsid w:val="00EB1FE0"/>
    <w:rsid w:val="00EB2077"/>
    <w:rsid w:val="00EB2814"/>
    <w:rsid w:val="00EB34DF"/>
    <w:rsid w:val="00EB37E4"/>
    <w:rsid w:val="00EB39EF"/>
    <w:rsid w:val="00EB646F"/>
    <w:rsid w:val="00EB7F9A"/>
    <w:rsid w:val="00EC023F"/>
    <w:rsid w:val="00EC16B1"/>
    <w:rsid w:val="00EC1D99"/>
    <w:rsid w:val="00EC1EF9"/>
    <w:rsid w:val="00EC3473"/>
    <w:rsid w:val="00EC457B"/>
    <w:rsid w:val="00EC4C04"/>
    <w:rsid w:val="00EC53F4"/>
    <w:rsid w:val="00EC5506"/>
    <w:rsid w:val="00EC5BBD"/>
    <w:rsid w:val="00EC637E"/>
    <w:rsid w:val="00EC7DA1"/>
    <w:rsid w:val="00ED1D69"/>
    <w:rsid w:val="00ED1F54"/>
    <w:rsid w:val="00ED21D9"/>
    <w:rsid w:val="00ED24F8"/>
    <w:rsid w:val="00ED395C"/>
    <w:rsid w:val="00ED4DC7"/>
    <w:rsid w:val="00ED7679"/>
    <w:rsid w:val="00EE0D54"/>
    <w:rsid w:val="00EE1FF8"/>
    <w:rsid w:val="00EE2796"/>
    <w:rsid w:val="00EE3D3C"/>
    <w:rsid w:val="00EE4146"/>
    <w:rsid w:val="00EE42C3"/>
    <w:rsid w:val="00EE4359"/>
    <w:rsid w:val="00EE46AB"/>
    <w:rsid w:val="00EE64F5"/>
    <w:rsid w:val="00EE736C"/>
    <w:rsid w:val="00EE7510"/>
    <w:rsid w:val="00EF07A1"/>
    <w:rsid w:val="00EF2364"/>
    <w:rsid w:val="00EF3073"/>
    <w:rsid w:val="00EF36DC"/>
    <w:rsid w:val="00EF397F"/>
    <w:rsid w:val="00EF39A2"/>
    <w:rsid w:val="00EF58C6"/>
    <w:rsid w:val="00EF640B"/>
    <w:rsid w:val="00EF755F"/>
    <w:rsid w:val="00EF7EE4"/>
    <w:rsid w:val="00F00085"/>
    <w:rsid w:val="00F008CE"/>
    <w:rsid w:val="00F01842"/>
    <w:rsid w:val="00F01F93"/>
    <w:rsid w:val="00F041EE"/>
    <w:rsid w:val="00F0582D"/>
    <w:rsid w:val="00F05DCF"/>
    <w:rsid w:val="00F06C8F"/>
    <w:rsid w:val="00F07433"/>
    <w:rsid w:val="00F11642"/>
    <w:rsid w:val="00F117BC"/>
    <w:rsid w:val="00F11A0E"/>
    <w:rsid w:val="00F13E20"/>
    <w:rsid w:val="00F14596"/>
    <w:rsid w:val="00F15136"/>
    <w:rsid w:val="00F15D96"/>
    <w:rsid w:val="00F16616"/>
    <w:rsid w:val="00F16C82"/>
    <w:rsid w:val="00F16DCB"/>
    <w:rsid w:val="00F16EB6"/>
    <w:rsid w:val="00F17115"/>
    <w:rsid w:val="00F17F95"/>
    <w:rsid w:val="00F202C0"/>
    <w:rsid w:val="00F2140A"/>
    <w:rsid w:val="00F2188C"/>
    <w:rsid w:val="00F21AD5"/>
    <w:rsid w:val="00F23909"/>
    <w:rsid w:val="00F260C3"/>
    <w:rsid w:val="00F2615D"/>
    <w:rsid w:val="00F2685B"/>
    <w:rsid w:val="00F3077F"/>
    <w:rsid w:val="00F30A1C"/>
    <w:rsid w:val="00F32AA6"/>
    <w:rsid w:val="00F33068"/>
    <w:rsid w:val="00F33243"/>
    <w:rsid w:val="00F33D91"/>
    <w:rsid w:val="00F34E75"/>
    <w:rsid w:val="00F362B6"/>
    <w:rsid w:val="00F36B2F"/>
    <w:rsid w:val="00F37217"/>
    <w:rsid w:val="00F37BA0"/>
    <w:rsid w:val="00F41204"/>
    <w:rsid w:val="00F416CD"/>
    <w:rsid w:val="00F41CE3"/>
    <w:rsid w:val="00F439AC"/>
    <w:rsid w:val="00F43DD8"/>
    <w:rsid w:val="00F464BD"/>
    <w:rsid w:val="00F47060"/>
    <w:rsid w:val="00F47151"/>
    <w:rsid w:val="00F50617"/>
    <w:rsid w:val="00F511C3"/>
    <w:rsid w:val="00F52683"/>
    <w:rsid w:val="00F55C61"/>
    <w:rsid w:val="00F5662F"/>
    <w:rsid w:val="00F5672B"/>
    <w:rsid w:val="00F56C5E"/>
    <w:rsid w:val="00F601CB"/>
    <w:rsid w:val="00F615BE"/>
    <w:rsid w:val="00F61915"/>
    <w:rsid w:val="00F6408D"/>
    <w:rsid w:val="00F65096"/>
    <w:rsid w:val="00F65331"/>
    <w:rsid w:val="00F65790"/>
    <w:rsid w:val="00F65E3D"/>
    <w:rsid w:val="00F66005"/>
    <w:rsid w:val="00F66991"/>
    <w:rsid w:val="00F669FD"/>
    <w:rsid w:val="00F66F43"/>
    <w:rsid w:val="00F66FEB"/>
    <w:rsid w:val="00F6722E"/>
    <w:rsid w:val="00F70145"/>
    <w:rsid w:val="00F71837"/>
    <w:rsid w:val="00F72F96"/>
    <w:rsid w:val="00F73B5F"/>
    <w:rsid w:val="00F74488"/>
    <w:rsid w:val="00F74950"/>
    <w:rsid w:val="00F753A5"/>
    <w:rsid w:val="00F81025"/>
    <w:rsid w:val="00F812BE"/>
    <w:rsid w:val="00F81CC5"/>
    <w:rsid w:val="00F8276C"/>
    <w:rsid w:val="00F8382A"/>
    <w:rsid w:val="00F84D43"/>
    <w:rsid w:val="00F851EE"/>
    <w:rsid w:val="00F85A40"/>
    <w:rsid w:val="00F85E33"/>
    <w:rsid w:val="00F872F1"/>
    <w:rsid w:val="00F87F16"/>
    <w:rsid w:val="00F9000E"/>
    <w:rsid w:val="00F90764"/>
    <w:rsid w:val="00F930E5"/>
    <w:rsid w:val="00F93C58"/>
    <w:rsid w:val="00F94F36"/>
    <w:rsid w:val="00F9655C"/>
    <w:rsid w:val="00F975EA"/>
    <w:rsid w:val="00F97639"/>
    <w:rsid w:val="00F9765C"/>
    <w:rsid w:val="00F97B4E"/>
    <w:rsid w:val="00FA18D3"/>
    <w:rsid w:val="00FA1DFC"/>
    <w:rsid w:val="00FA20A2"/>
    <w:rsid w:val="00FA25E6"/>
    <w:rsid w:val="00FA2AB1"/>
    <w:rsid w:val="00FA5DCF"/>
    <w:rsid w:val="00FA6377"/>
    <w:rsid w:val="00FA73A2"/>
    <w:rsid w:val="00FB1754"/>
    <w:rsid w:val="00FB2607"/>
    <w:rsid w:val="00FB307E"/>
    <w:rsid w:val="00FB32BE"/>
    <w:rsid w:val="00FB3B10"/>
    <w:rsid w:val="00FB49CF"/>
    <w:rsid w:val="00FB5B2A"/>
    <w:rsid w:val="00FB5DC5"/>
    <w:rsid w:val="00FB67CB"/>
    <w:rsid w:val="00FB72FE"/>
    <w:rsid w:val="00FB7978"/>
    <w:rsid w:val="00FC03E2"/>
    <w:rsid w:val="00FC0E89"/>
    <w:rsid w:val="00FC1C6F"/>
    <w:rsid w:val="00FC35D1"/>
    <w:rsid w:val="00FC4CA1"/>
    <w:rsid w:val="00FC6813"/>
    <w:rsid w:val="00FC7BC3"/>
    <w:rsid w:val="00FD27DE"/>
    <w:rsid w:val="00FD4E2F"/>
    <w:rsid w:val="00FD756B"/>
    <w:rsid w:val="00FD7B34"/>
    <w:rsid w:val="00FE0659"/>
    <w:rsid w:val="00FE0A29"/>
    <w:rsid w:val="00FE0BBE"/>
    <w:rsid w:val="00FE0F03"/>
    <w:rsid w:val="00FE1163"/>
    <w:rsid w:val="00FE1632"/>
    <w:rsid w:val="00FE4332"/>
    <w:rsid w:val="00FE5E5F"/>
    <w:rsid w:val="00FE625F"/>
    <w:rsid w:val="00FE6837"/>
    <w:rsid w:val="00FE7088"/>
    <w:rsid w:val="00FF1477"/>
    <w:rsid w:val="00FF14C2"/>
    <w:rsid w:val="00FF189E"/>
    <w:rsid w:val="00FF1AD7"/>
    <w:rsid w:val="00FF1AFB"/>
    <w:rsid w:val="00FF1BC6"/>
    <w:rsid w:val="00FF2752"/>
    <w:rsid w:val="00FF3E77"/>
    <w:rsid w:val="00FF4919"/>
    <w:rsid w:val="00FF5520"/>
    <w:rsid w:val="00FF5CE3"/>
    <w:rsid w:val="00FF66A8"/>
    <w:rsid w:val="00FF7CBD"/>
    <w:rsid w:val="14350465"/>
    <w:rsid w:val="15842C61"/>
    <w:rsid w:val="26A00CC7"/>
    <w:rsid w:val="4645646B"/>
    <w:rsid w:val="6B9964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oNotEmbedSmartTags/>
  <w:decimalSymbol w:val=","/>
  <w:listSeparator w:val=";"/>
  <w14:docId w14:val="333D8B2E"/>
  <w15:docId w15:val="{85CB0688-C7CD-46BE-9AC9-5811038F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nhideWhenUsed="1" w:qFormat="1"/>
    <w:lsdException w:name="line number" w:semiHidden="1" w:unhideWhenUsed="1"/>
    <w:lsdException w:name="page number" w:semiHidden="1" w:unhideWhenUsed="1"/>
    <w:lsdException w:name="endnote reference" w:uiPriority="0"/>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70C7"/>
    <w:pPr>
      <w:widowControl w:val="0"/>
      <w:suppressAutoHyphens/>
    </w:pPr>
    <w:rPr>
      <w:rFonts w:ascii="Calibri" w:eastAsia="Calibri" w:hAnsi="Calibri" w:cs="Calibri"/>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20"/>
    <w:qFormat/>
    <w:rPr>
      <w:i/>
      <w:iCs/>
    </w:rPr>
  </w:style>
  <w:style w:type="character" w:styleId="Pogrubienie">
    <w:name w:val="Strong"/>
    <w:uiPriority w:val="22"/>
    <w:qFormat/>
    <w:rPr>
      <w:b/>
      <w:bCs/>
    </w:rPr>
  </w:style>
  <w:style w:type="character" w:styleId="Hipercze">
    <w:name w:val="Hyperlink"/>
    <w:rPr>
      <w:color w:val="0563C1"/>
      <w:u w:val="single"/>
    </w:rPr>
  </w:style>
  <w:style w:type="character" w:styleId="Odwoaniedokomentarza">
    <w:name w:val="annotation reference"/>
    <w:uiPriority w:val="99"/>
    <w:unhideWhenUsed/>
    <w:qFormat/>
    <w:rPr>
      <w:sz w:val="16"/>
      <w:szCs w:val="16"/>
    </w:rPr>
  </w:style>
  <w:style w:type="character" w:styleId="Odwoanieprzypisudolnego">
    <w:name w:val="footnote reference"/>
    <w:uiPriority w:val="99"/>
    <w:rPr>
      <w:vertAlign w:val="superscript"/>
    </w:rPr>
  </w:style>
  <w:style w:type="character" w:styleId="Odwoanieprzypisukocowego">
    <w:name w:val="endnote reference"/>
    <w:rPr>
      <w:vertAlign w:val="superscript"/>
    </w:rPr>
  </w:style>
  <w:style w:type="character" w:customStyle="1" w:styleId="WW8Num13z1">
    <w:name w:val="WW8Num13z1"/>
    <w:rPr>
      <w:rFonts w:ascii="Courier New" w:hAnsi="Courier New" w:cs="Courier New"/>
    </w:rPr>
  </w:style>
  <w:style w:type="character" w:customStyle="1" w:styleId="WW8Num14z1">
    <w:name w:val="WW8Num14z1"/>
    <w:rPr>
      <w:rFonts w:ascii="Courier New" w:hAnsi="Courier New" w:cs="Courier New"/>
    </w:rPr>
  </w:style>
  <w:style w:type="character" w:customStyle="1" w:styleId="WW8Num39z2">
    <w:name w:val="WW8Num39z2"/>
    <w:rPr>
      <w:rFonts w:ascii="Wingdings" w:hAnsi="Wingdings"/>
    </w:rPr>
  </w:style>
  <w:style w:type="character" w:customStyle="1" w:styleId="Domylnaczcionkaakapitu1">
    <w:name w:val="Domyślna czcionka akapitu1"/>
  </w:style>
  <w:style w:type="character" w:customStyle="1" w:styleId="WW8Num19z0">
    <w:name w:val="WW8Num19z0"/>
    <w:qFormat/>
    <w:rPr>
      <w:rFonts w:ascii="Symbol" w:hAnsi="Symbol"/>
    </w:rPr>
  </w:style>
  <w:style w:type="character" w:customStyle="1" w:styleId="WW-Absatz-Standardschriftart">
    <w:name w:val="WW-Absatz-Standardschriftart"/>
  </w:style>
  <w:style w:type="character" w:customStyle="1" w:styleId="WW8Num32z3">
    <w:name w:val="WW8Num32z3"/>
    <w:rPr>
      <w:rFonts w:ascii="Symbol" w:hAnsi="Symbol" w:cs="Symbol"/>
    </w:rPr>
  </w:style>
  <w:style w:type="character" w:customStyle="1" w:styleId="WW8Num13z0">
    <w:name w:val="WW8Num13z0"/>
    <w:qFormat/>
    <w:rPr>
      <w:rFonts w:ascii="Symbol" w:hAnsi="Symbol"/>
    </w:rPr>
  </w:style>
  <w:style w:type="character" w:customStyle="1" w:styleId="NagwekZnak1">
    <w:name w:val="Nagłówek Znak1"/>
    <w:link w:val="Nagwek"/>
    <w:uiPriority w:val="99"/>
    <w:rPr>
      <w:rFonts w:ascii="Calibri" w:eastAsia="Calibri" w:hAnsi="Calibri" w:cs="Mangal"/>
      <w:kern w:val="1"/>
      <w:sz w:val="24"/>
      <w:szCs w:val="21"/>
      <w:lang w:eastAsia="hi-IN" w:bidi="hi-IN"/>
    </w:rPr>
  </w:style>
  <w:style w:type="character" w:customStyle="1" w:styleId="WW8Num22z2">
    <w:name w:val="WW8Num22z2"/>
    <w:qFormat/>
    <w:rPr>
      <w:rFonts w:ascii="Wingdings" w:hAnsi="Wingdings"/>
    </w:rPr>
  </w:style>
  <w:style w:type="character" w:customStyle="1" w:styleId="StopkaZnak">
    <w:name w:val="Stopka Znak"/>
    <w:uiPriority w:val="99"/>
    <w:qFormat/>
    <w:rPr>
      <w:rFonts w:ascii="Calibri" w:eastAsia="Calibri" w:hAnsi="Calibri" w:cs="Times New Roman"/>
      <w:lang w:val="en-US"/>
    </w:rPr>
  </w:style>
  <w:style w:type="character" w:customStyle="1" w:styleId="WW8Num32z1">
    <w:name w:val="WW8Num32z1"/>
    <w:rPr>
      <w:rFonts w:ascii="Courier New" w:hAnsi="Courier New" w:cs="Courier New"/>
    </w:rPr>
  </w:style>
  <w:style w:type="character" w:customStyle="1" w:styleId="WW8Num1z0">
    <w:name w:val="WW8Num1z0"/>
    <w:rPr>
      <w:rFonts w:ascii="Symbol" w:hAnsi="Symbol"/>
    </w:rPr>
  </w:style>
  <w:style w:type="character" w:customStyle="1" w:styleId="WW8Num36z0">
    <w:name w:val="WW8Num36z0"/>
    <w:rPr>
      <w:rFonts w:ascii="Symbol" w:hAnsi="Symbol" w:cs="Symbol"/>
      <w:sz w:val="24"/>
    </w:rPr>
  </w:style>
  <w:style w:type="character" w:customStyle="1" w:styleId="WW8Num21z1">
    <w:name w:val="WW8Num21z1"/>
    <w:rPr>
      <w:rFonts w:ascii="Courier New" w:hAnsi="Courier New" w:cs="Courier New"/>
    </w:rPr>
  </w:style>
  <w:style w:type="character" w:customStyle="1" w:styleId="WW8Num8z0">
    <w:name w:val="WW8Num8z0"/>
    <w:rPr>
      <w:rFonts w:ascii="Symbol" w:hAnsi="Symbol"/>
    </w:rPr>
  </w:style>
  <w:style w:type="character" w:customStyle="1" w:styleId="WW8Num11z1">
    <w:name w:val="WW8Num11z1"/>
    <w:qFormat/>
    <w:rPr>
      <w:rFonts w:ascii="Courier New" w:hAnsi="Courier New" w:cs="Courier New"/>
    </w:rPr>
  </w:style>
  <w:style w:type="character" w:customStyle="1" w:styleId="TekstdymkaZnak2">
    <w:name w:val="Tekst dymka Znak2"/>
    <w:rPr>
      <w:rFonts w:ascii="Segoe UI" w:eastAsia="Calibri" w:hAnsi="Segoe UI" w:cs="Mangal"/>
      <w:kern w:val="1"/>
      <w:sz w:val="18"/>
      <w:szCs w:val="16"/>
      <w:lang w:eastAsia="hi-IN" w:bidi="hi-IN"/>
    </w:rPr>
  </w:style>
  <w:style w:type="character" w:customStyle="1" w:styleId="WW8Num20z2">
    <w:name w:val="WW8Num20z2"/>
    <w:qFormat/>
    <w:rPr>
      <w:rFonts w:ascii="Wingdings" w:hAnsi="Wingdings"/>
    </w:rPr>
  </w:style>
  <w:style w:type="character" w:customStyle="1" w:styleId="WW8Num20z0">
    <w:name w:val="WW8Num20z0"/>
    <w:rPr>
      <w:rFonts w:ascii="Symbol" w:hAnsi="Symbol"/>
    </w:rPr>
  </w:style>
  <w:style w:type="character" w:customStyle="1" w:styleId="WW8Num21z2">
    <w:name w:val="WW8Num21z2"/>
    <w:rPr>
      <w:rFonts w:ascii="Wingdings" w:hAnsi="Wingdings"/>
    </w:rPr>
  </w:style>
  <w:style w:type="character" w:customStyle="1" w:styleId="WW-Absatz-Standardschriftart1">
    <w:name w:val="WW-Absatz-Standardschriftart1"/>
  </w:style>
  <w:style w:type="character" w:customStyle="1" w:styleId="WW8Num28z0">
    <w:name w:val="WW8Num28z0"/>
    <w:qFormat/>
    <w:rPr>
      <w:rFonts w:ascii="Symbol" w:hAnsi="Symbol"/>
    </w:rPr>
  </w:style>
  <w:style w:type="character" w:customStyle="1" w:styleId="WW8Num37z2">
    <w:name w:val="WW8Num37z2"/>
    <w:qFormat/>
    <w:rPr>
      <w:rFonts w:ascii="Wingdings" w:hAnsi="Wingdings" w:cs="Wingdings"/>
    </w:rPr>
  </w:style>
  <w:style w:type="character" w:customStyle="1" w:styleId="WW8Num6z0">
    <w:name w:val="WW8Num6z0"/>
    <w:rPr>
      <w:rFonts w:ascii="Wingdings" w:hAnsi="Wingdings"/>
    </w:rPr>
  </w:style>
  <w:style w:type="character" w:customStyle="1" w:styleId="ListLabel18">
    <w:name w:val="ListLabel 18"/>
    <w:qFormat/>
    <w:rPr>
      <w:b w:val="0"/>
    </w:rPr>
  </w:style>
  <w:style w:type="character" w:customStyle="1" w:styleId="WW8Num45z1">
    <w:name w:val="WW8Num45z1"/>
    <w:qFormat/>
    <w:rPr>
      <w:rFonts w:cs="Times New Roman"/>
    </w:rPr>
  </w:style>
  <w:style w:type="character" w:customStyle="1" w:styleId="WW8Num10z1">
    <w:name w:val="WW8Num10z1"/>
    <w:rPr>
      <w:rFonts w:ascii="Courier New" w:hAnsi="Courier New" w:cs="Courier New"/>
    </w:rPr>
  </w:style>
  <w:style w:type="character" w:customStyle="1" w:styleId="WW8Num2z0">
    <w:name w:val="WW8Num2z0"/>
    <w:rPr>
      <w:rFonts w:ascii="Symbol" w:hAnsi="Symbol"/>
    </w:rPr>
  </w:style>
  <w:style w:type="character" w:customStyle="1" w:styleId="Znakiprzypiswkocowych">
    <w:name w:val="Znaki przypisów końcowych"/>
    <w:rPr>
      <w:vertAlign w:val="superscript"/>
    </w:rPr>
  </w:style>
  <w:style w:type="character" w:customStyle="1" w:styleId="WW8Num23z0">
    <w:name w:val="WW8Num23z0"/>
    <w:rPr>
      <w:rFonts w:ascii="Symbol" w:hAnsi="Symbol"/>
    </w:rPr>
  </w:style>
  <w:style w:type="character" w:customStyle="1" w:styleId="TematkomentarzaZnak">
    <w:name w:val="Temat komentarza Znak"/>
    <w:rPr>
      <w:rFonts w:ascii="Calibri" w:eastAsia="Calibri" w:hAnsi="Calibri" w:cs="Times New Roman"/>
      <w:b/>
      <w:bCs/>
      <w:sz w:val="20"/>
      <w:szCs w:val="20"/>
      <w:lang w:val="en-US"/>
    </w:rPr>
  </w:style>
  <w:style w:type="character" w:customStyle="1" w:styleId="WW8Num39z0">
    <w:name w:val="WW8Num39z0"/>
    <w:qFormat/>
    <w:rPr>
      <w:rFonts w:ascii="Symbol" w:hAnsi="Symbol"/>
    </w:rPr>
  </w:style>
  <w:style w:type="character" w:customStyle="1" w:styleId="WW8Num15z0">
    <w:name w:val="WW8Num15z0"/>
    <w:rPr>
      <w:b w:val="0"/>
    </w:rPr>
  </w:style>
  <w:style w:type="character" w:customStyle="1" w:styleId="TekstdymkaZnak1">
    <w:name w:val="Tekst dymka Znak1"/>
    <w:qFormat/>
    <w:rPr>
      <w:rFonts w:ascii="Tahoma" w:eastAsia="Calibri" w:hAnsi="Tahoma" w:cs="Tahoma"/>
      <w:sz w:val="16"/>
      <w:szCs w:val="16"/>
    </w:rPr>
  </w:style>
  <w:style w:type="character" w:customStyle="1" w:styleId="WW8Num40z1">
    <w:name w:val="WW8Num40z1"/>
    <w:qFormat/>
    <w:rPr>
      <w:rFonts w:ascii="Courier New" w:hAnsi="Courier New" w:cs="Courier New"/>
    </w:rPr>
  </w:style>
  <w:style w:type="character" w:customStyle="1" w:styleId="ListLabel16">
    <w:name w:val="ListLabel 16"/>
    <w:rPr>
      <w:rFonts w:ascii="Times New Roman" w:eastAsia="Times New Roman" w:hAnsi="Times New Roman"/>
      <w:sz w:val="24"/>
      <w:szCs w:val="24"/>
    </w:rPr>
  </w:style>
  <w:style w:type="character" w:customStyle="1" w:styleId="WW8Num35z0">
    <w:name w:val="WW8Num35z0"/>
    <w:qFormat/>
    <w:rPr>
      <w:rFonts w:cs="Times New Roman"/>
      <w:sz w:val="24"/>
      <w:szCs w:val="24"/>
    </w:rPr>
  </w:style>
  <w:style w:type="character" w:customStyle="1" w:styleId="WW8Num4z0">
    <w:name w:val="WW8Num4z0"/>
    <w:rPr>
      <w:rFonts w:ascii="Wingdings" w:hAnsi="Wingdings"/>
    </w:rPr>
  </w:style>
  <w:style w:type="character" w:customStyle="1" w:styleId="WW8Num8z2">
    <w:name w:val="WW8Num8z2"/>
    <w:rPr>
      <w:rFonts w:ascii="Wingdings" w:hAnsi="Wingdings"/>
    </w:rPr>
  </w:style>
  <w:style w:type="character" w:customStyle="1" w:styleId="WW-Znakiprzypiswkocowych">
    <w:name w:val="WW-Znaki przypisów końcowych"/>
  </w:style>
  <w:style w:type="character" w:customStyle="1" w:styleId="WW8Num23z2">
    <w:name w:val="WW8Num23z2"/>
    <w:rPr>
      <w:rFonts w:ascii="Wingdings" w:hAnsi="Wingdings"/>
    </w:rPr>
  </w:style>
  <w:style w:type="character" w:customStyle="1" w:styleId="WW8Num10z0">
    <w:name w:val="WW8Num10z0"/>
    <w:qFormat/>
    <w:rPr>
      <w:rFonts w:ascii="Symbol" w:hAnsi="Symbol"/>
    </w:rPr>
  </w:style>
  <w:style w:type="character" w:customStyle="1" w:styleId="WW8Num29z3">
    <w:name w:val="WW8Num29z3"/>
    <w:qFormat/>
    <w:rPr>
      <w:rFonts w:ascii="Symbol" w:hAnsi="Symbol"/>
    </w:rPr>
  </w:style>
  <w:style w:type="character" w:customStyle="1" w:styleId="WW8Num39z1">
    <w:name w:val="WW8Num39z1"/>
    <w:rPr>
      <w:rFonts w:ascii="Courier New" w:hAnsi="Courier New" w:cs="Courier New"/>
    </w:rPr>
  </w:style>
  <w:style w:type="character" w:customStyle="1" w:styleId="WW8Num13z2">
    <w:name w:val="WW8Num13z2"/>
    <w:qFormat/>
    <w:rPr>
      <w:rFonts w:ascii="Wingdings" w:hAnsi="Wingdings"/>
    </w:rPr>
  </w:style>
  <w:style w:type="character" w:customStyle="1" w:styleId="TekstkomentarzaZnak">
    <w:name w:val="Tekst komentarza Znak"/>
    <w:uiPriority w:val="99"/>
    <w:qFormat/>
    <w:rPr>
      <w:rFonts w:ascii="Calibri" w:eastAsia="Calibri" w:hAnsi="Calibri" w:cs="Times New Roman"/>
      <w:sz w:val="20"/>
      <w:szCs w:val="20"/>
      <w:lang w:val="en-US"/>
    </w:rPr>
  </w:style>
  <w:style w:type="character" w:customStyle="1" w:styleId="WW8Num10z2">
    <w:name w:val="WW8Num10z2"/>
    <w:rPr>
      <w:rFonts w:ascii="Wingdings" w:hAnsi="Wingdings"/>
    </w:rPr>
  </w:style>
  <w:style w:type="character" w:customStyle="1" w:styleId="WW8Num19z1">
    <w:name w:val="WW8Num19z1"/>
    <w:rPr>
      <w:rFonts w:ascii="Courier New" w:hAnsi="Courier New" w:cs="Courier New"/>
    </w:rPr>
  </w:style>
  <w:style w:type="character" w:customStyle="1" w:styleId="WW8Num44z2">
    <w:name w:val="WW8Num44z2"/>
    <w:qFormat/>
    <w:rPr>
      <w:rFonts w:ascii="Wingdings" w:hAnsi="Wingdings"/>
    </w:rPr>
  </w:style>
  <w:style w:type="character" w:customStyle="1" w:styleId="Ppogrubienie">
    <w:name w:val="_P_ – pogrubienie"/>
    <w:uiPriority w:val="1"/>
    <w:qFormat/>
    <w:rPr>
      <w:b/>
    </w:rPr>
  </w:style>
  <w:style w:type="character" w:customStyle="1" w:styleId="WW8Num33z0">
    <w:name w:val="WW8Num33z0"/>
    <w:qFormat/>
    <w:rPr>
      <w:b/>
      <w:sz w:val="24"/>
    </w:rPr>
  </w:style>
  <w:style w:type="character" w:customStyle="1" w:styleId="WW8Num32z2">
    <w:name w:val="WW8Num32z2"/>
    <w:rPr>
      <w:rFonts w:ascii="Wingdings" w:hAnsi="Wingdings" w:cs="Wingdings"/>
    </w:rPr>
  </w:style>
  <w:style w:type="character" w:customStyle="1" w:styleId="WW8Num35z2">
    <w:name w:val="WW8Num35z2"/>
    <w:rPr>
      <w:rFonts w:ascii="Wingdings" w:hAnsi="Wingdings"/>
    </w:rPr>
  </w:style>
  <w:style w:type="character" w:customStyle="1" w:styleId="WW8Num23z1">
    <w:name w:val="WW8Num23z1"/>
    <w:rPr>
      <w:rFonts w:ascii="Courier New" w:hAnsi="Courier New" w:cs="Courier New"/>
    </w:rPr>
  </w:style>
  <w:style w:type="character" w:customStyle="1" w:styleId="WW-Znakiprzypiswdolnych">
    <w:name w:val="WW-Znaki przypisów dolnych"/>
  </w:style>
  <w:style w:type="character" w:customStyle="1" w:styleId="WW8Num1z1">
    <w:name w:val="WW8Num1z1"/>
    <w:rPr>
      <w:rFonts w:ascii="Courier New" w:hAnsi="Courier New" w:cs="Courier New"/>
    </w:rPr>
  </w:style>
  <w:style w:type="character" w:customStyle="1" w:styleId="WW8Num24z2">
    <w:name w:val="WW8Num24z2"/>
    <w:qFormat/>
    <w:rPr>
      <w:rFonts w:ascii="Wingdings" w:hAnsi="Wingdings"/>
    </w:rPr>
  </w:style>
  <w:style w:type="character" w:customStyle="1" w:styleId="WW8Num26z2">
    <w:name w:val="WW8Num26z2"/>
    <w:rPr>
      <w:rFonts w:ascii="Wingdings" w:hAnsi="Wingdings"/>
    </w:rPr>
  </w:style>
  <w:style w:type="character" w:customStyle="1" w:styleId="WW8Num37z1">
    <w:name w:val="WW8Num37z1"/>
    <w:rPr>
      <w:rFonts w:ascii="Courier New" w:hAnsi="Courier New" w:cs="Courier New"/>
    </w:rPr>
  </w:style>
  <w:style w:type="character" w:customStyle="1" w:styleId="WW8Num9z1">
    <w:name w:val="WW8Num9z1"/>
    <w:rPr>
      <w:rFonts w:ascii="Courier New" w:hAnsi="Courier New" w:cs="Courier New"/>
    </w:rPr>
  </w:style>
  <w:style w:type="character" w:customStyle="1" w:styleId="WW8Num31z2">
    <w:name w:val="WW8Num31z2"/>
    <w:rPr>
      <w:rFonts w:ascii="Wingdings" w:hAnsi="Wingdings" w:cs="Wingdings"/>
    </w:rPr>
  </w:style>
  <w:style w:type="character" w:customStyle="1" w:styleId="WW8Num36z2">
    <w:name w:val="WW8Num36z2"/>
    <w:rPr>
      <w:rFonts w:ascii="Wingdings" w:hAnsi="Wingdings" w:cs="Wingdings"/>
    </w:rPr>
  </w:style>
  <w:style w:type="character" w:customStyle="1" w:styleId="WW8Num26z1">
    <w:name w:val="WW8Num26z1"/>
    <w:rPr>
      <w:rFonts w:ascii="Courier New" w:hAnsi="Courier New" w:cs="Courier New"/>
    </w:rPr>
  </w:style>
  <w:style w:type="character" w:customStyle="1" w:styleId="FootnoteCharacters">
    <w:name w:val="Footnote Characters"/>
    <w:qFormat/>
    <w:rPr>
      <w:vertAlign w:val="superscript"/>
    </w:rPr>
  </w:style>
  <w:style w:type="character" w:customStyle="1" w:styleId="WW8Num14z2">
    <w:name w:val="WW8Num14z2"/>
    <w:rPr>
      <w:rFonts w:ascii="Wingdings" w:hAnsi="Wingdings"/>
    </w:rPr>
  </w:style>
  <w:style w:type="character" w:customStyle="1" w:styleId="WW8Num30z2">
    <w:name w:val="WW8Num30z2"/>
    <w:rPr>
      <w:rFonts w:ascii="Wingdings" w:hAnsi="Wingdings"/>
    </w:rPr>
  </w:style>
  <w:style w:type="character" w:customStyle="1" w:styleId="WW8Num24z0">
    <w:name w:val="WW8Num24z0"/>
    <w:rPr>
      <w:rFonts w:ascii="Symbol" w:hAnsi="Symbol"/>
    </w:rPr>
  </w:style>
  <w:style w:type="character" w:customStyle="1" w:styleId="WW8Num11z0">
    <w:name w:val="WW8Num11z0"/>
    <w:qFormat/>
    <w:rPr>
      <w:rFonts w:ascii="Symbol" w:hAnsi="Symbol"/>
    </w:rPr>
  </w:style>
  <w:style w:type="character" w:customStyle="1" w:styleId="WW8Num37z0">
    <w:name w:val="WW8Num37z0"/>
    <w:qFormat/>
    <w:rPr>
      <w:rFonts w:ascii="Symbol" w:hAnsi="Symbol" w:cs="Symbol"/>
    </w:rPr>
  </w:style>
  <w:style w:type="character" w:customStyle="1" w:styleId="WW8Num45z0">
    <w:name w:val="WW8Num45z0"/>
    <w:rPr>
      <w:rFonts w:cs="Times New Roman"/>
      <w:b w:val="0"/>
    </w:rPr>
  </w:style>
  <w:style w:type="character" w:customStyle="1" w:styleId="Pogrubienie2">
    <w:name w:val="Pogrubienie2"/>
    <w:rPr>
      <w:b/>
      <w:bCs/>
    </w:rPr>
  </w:style>
  <w:style w:type="character" w:customStyle="1" w:styleId="WW8Num36z3">
    <w:name w:val="WW8Num36z3"/>
    <w:rPr>
      <w:rFonts w:ascii="Symbol" w:hAnsi="Symbol" w:cs="Symbol"/>
    </w:rPr>
  </w:style>
  <w:style w:type="character" w:customStyle="1" w:styleId="WW8Num44z0">
    <w:name w:val="WW8Num44z0"/>
    <w:rPr>
      <w:rFonts w:ascii="Symbol" w:hAnsi="Symbol"/>
    </w:rPr>
  </w:style>
  <w:style w:type="character" w:customStyle="1" w:styleId="WW8Num30z0">
    <w:name w:val="WW8Num30z0"/>
    <w:rPr>
      <w:rFonts w:ascii="Symbol" w:hAnsi="Symbol"/>
    </w:rPr>
  </w:style>
  <w:style w:type="character" w:customStyle="1" w:styleId="WW-Absatz-Standardschriftart11">
    <w:name w:val="WW-Absatz-Standardschriftart11"/>
  </w:style>
  <w:style w:type="character" w:customStyle="1" w:styleId="WW8Num8z1">
    <w:name w:val="WW8Num8z1"/>
    <w:rPr>
      <w:rFonts w:ascii="Courier New" w:hAnsi="Courier New" w:cs="Courier New"/>
    </w:rPr>
  </w:style>
  <w:style w:type="character" w:customStyle="1" w:styleId="Odwoanieprzypisudolnego1">
    <w:name w:val="Odwołanie przypisu dolnego1"/>
    <w:rPr>
      <w:vertAlign w:val="superscript"/>
    </w:rPr>
  </w:style>
  <w:style w:type="character" w:customStyle="1" w:styleId="WW8Num2z2">
    <w:name w:val="WW8Num2z2"/>
    <w:rPr>
      <w:rFonts w:ascii="Wingdings" w:hAnsi="Wingdings"/>
    </w:rPr>
  </w:style>
  <w:style w:type="character" w:customStyle="1" w:styleId="TematkomentarzaZnak2">
    <w:name w:val="Temat komentarza Znak2"/>
    <w:link w:val="Tematkomentarza"/>
    <w:uiPriority w:val="99"/>
    <w:semiHidden/>
    <w:rPr>
      <w:rFonts w:ascii="Calibri" w:eastAsia="Calibri" w:hAnsi="Calibri" w:cs="Mangal"/>
      <w:b/>
      <w:bCs/>
      <w:kern w:val="1"/>
      <w:szCs w:val="18"/>
      <w:lang w:eastAsia="hi-IN" w:bidi="hi-IN"/>
    </w:rPr>
  </w:style>
  <w:style w:type="character" w:customStyle="1" w:styleId="WW8Num5z0">
    <w:name w:val="WW8Num5z0"/>
    <w:rPr>
      <w:rFonts w:ascii="Symbol" w:hAnsi="Symbol"/>
    </w:rPr>
  </w:style>
  <w:style w:type="character" w:customStyle="1" w:styleId="WW8Num22z3">
    <w:name w:val="WW8Num22z3"/>
    <w:rPr>
      <w:rFonts w:ascii="Symbol" w:hAnsi="Symbol"/>
    </w:rPr>
  </w:style>
  <w:style w:type="character" w:customStyle="1" w:styleId="WW8Num35z3">
    <w:name w:val="WW8Num35z3"/>
    <w:rPr>
      <w:rFonts w:ascii="Symbol" w:hAnsi="Symbol"/>
    </w:rPr>
  </w:style>
  <w:style w:type="character" w:customStyle="1" w:styleId="WW8Num41z0">
    <w:name w:val="WW8Num41z0"/>
    <w:rPr>
      <w:rFonts w:ascii="Wingdings" w:hAnsi="Wingdings"/>
    </w:rPr>
  </w:style>
  <w:style w:type="character" w:customStyle="1" w:styleId="WW8Num31z1">
    <w:name w:val="WW8Num31z1"/>
    <w:qFormat/>
    <w:rPr>
      <w:rFonts w:ascii="Courier New" w:hAnsi="Courier New" w:cs="Courier New"/>
    </w:rPr>
  </w:style>
  <w:style w:type="character" w:customStyle="1" w:styleId="DefaultParagraphFont1">
    <w:name w:val="Default Paragraph Font1"/>
  </w:style>
  <w:style w:type="character" w:customStyle="1" w:styleId="WW8Num29z1">
    <w:name w:val="WW8Num29z1"/>
    <w:qFormat/>
    <w:rPr>
      <w:rFonts w:ascii="Courier New" w:hAnsi="Courier New" w:cs="Courier New"/>
    </w:rPr>
  </w:style>
  <w:style w:type="character" w:customStyle="1" w:styleId="ListLabel17">
    <w:name w:val="ListLabel 17"/>
    <w:qFormat/>
    <w:rPr>
      <w:rFonts w:cs="Courier New"/>
    </w:rPr>
  </w:style>
  <w:style w:type="character" w:customStyle="1" w:styleId="ListLabel19">
    <w:name w:val="ListLabel 19"/>
    <w:qFormat/>
    <w:rPr>
      <w:rFonts w:cs="Symbol"/>
      <w:sz w:val="24"/>
    </w:rPr>
  </w:style>
  <w:style w:type="character" w:customStyle="1" w:styleId="WW8Num40z3">
    <w:name w:val="WW8Num40z3"/>
    <w:rPr>
      <w:rFonts w:ascii="Symbol" w:hAnsi="Symbol" w:cs="Symbol"/>
    </w:rPr>
  </w:style>
  <w:style w:type="character" w:customStyle="1" w:styleId="WW8Num32z0">
    <w:name w:val="WW8Num32z0"/>
    <w:rPr>
      <w:rFonts w:ascii="Symbol" w:hAnsi="Symbol" w:cs="Symbol"/>
      <w:sz w:val="24"/>
    </w:rPr>
  </w:style>
  <w:style w:type="character" w:customStyle="1" w:styleId="WW8Num44z1">
    <w:name w:val="WW8Num44z1"/>
    <w:rPr>
      <w:rFonts w:ascii="Courier New" w:hAnsi="Courier New" w:cs="Courier New"/>
    </w:rPr>
  </w:style>
  <w:style w:type="character" w:customStyle="1" w:styleId="WW8Num1z2">
    <w:name w:val="WW8Num1z2"/>
    <w:rPr>
      <w:rFonts w:ascii="Wingdings" w:hAnsi="Wingdings"/>
    </w:rPr>
  </w:style>
  <w:style w:type="character" w:customStyle="1" w:styleId="Tekstpodstawowy2Znak">
    <w:name w:val="Tekst podstawowy 2 Znak"/>
    <w:link w:val="Tekstpodstawowy2"/>
    <w:uiPriority w:val="99"/>
    <w:semiHidden/>
    <w:qFormat/>
    <w:rPr>
      <w:rFonts w:ascii="Calibri" w:eastAsia="Calibri" w:hAnsi="Calibri" w:cs="Mangal"/>
      <w:kern w:val="1"/>
      <w:sz w:val="24"/>
      <w:szCs w:val="21"/>
      <w:lang w:eastAsia="hi-IN" w:bidi="hi-IN"/>
    </w:rPr>
  </w:style>
  <w:style w:type="character" w:customStyle="1" w:styleId="WW8Num22z1">
    <w:name w:val="WW8Num22z1"/>
    <w:qFormat/>
    <w:rPr>
      <w:rFonts w:ascii="Courier New" w:hAnsi="Courier New" w:cs="Courier New"/>
    </w:rPr>
  </w:style>
  <w:style w:type="character" w:customStyle="1" w:styleId="WW8Num20z1">
    <w:name w:val="WW8Num20z1"/>
    <w:rPr>
      <w:rFonts w:ascii="Courier New" w:hAnsi="Courier New" w:cs="Courier New"/>
    </w:rPr>
  </w:style>
  <w:style w:type="character" w:customStyle="1" w:styleId="ListLabel23">
    <w:name w:val="ListLabel 23"/>
    <w:qFormat/>
    <w:rPr>
      <w:rFonts w:cs="Times New Roman"/>
      <w:i w:val="0"/>
      <w:sz w:val="24"/>
      <w:szCs w:val="24"/>
    </w:rPr>
  </w:style>
  <w:style w:type="character" w:customStyle="1" w:styleId="StopkaZnak1">
    <w:name w:val="Stopka Znak1"/>
    <w:link w:val="Stopka"/>
    <w:uiPriority w:val="99"/>
    <w:locked/>
    <w:rPr>
      <w:rFonts w:ascii="Calibri" w:eastAsia="Calibri" w:hAnsi="Calibri" w:cs="Calibri"/>
      <w:kern w:val="1"/>
      <w:sz w:val="24"/>
      <w:szCs w:val="24"/>
      <w:lang w:val="en-US" w:eastAsia="hi-IN" w:bidi="hi-IN"/>
    </w:rPr>
  </w:style>
  <w:style w:type="character" w:customStyle="1" w:styleId="WW8Num28z2">
    <w:name w:val="WW8Num28z2"/>
    <w:rPr>
      <w:rFonts w:ascii="Wingdings" w:hAnsi="Wingdings"/>
    </w:rPr>
  </w:style>
  <w:style w:type="character" w:customStyle="1" w:styleId="WW8Num36z1">
    <w:name w:val="WW8Num36z1"/>
    <w:rPr>
      <w:rFonts w:ascii="Courier New" w:hAnsi="Courier New" w:cs="Courier New"/>
    </w:rPr>
  </w:style>
  <w:style w:type="character" w:customStyle="1" w:styleId="WW8Num30z1">
    <w:name w:val="WW8Num30z1"/>
    <w:rPr>
      <w:rFonts w:ascii="Courier New" w:hAnsi="Courier New" w:cs="Courier New"/>
    </w:rPr>
  </w:style>
  <w:style w:type="character" w:customStyle="1" w:styleId="WW8Num40z0">
    <w:name w:val="WW8Num40z0"/>
    <w:rPr>
      <w:rFonts w:ascii="Symbol" w:hAnsi="Symbol"/>
    </w:rPr>
  </w:style>
  <w:style w:type="character" w:customStyle="1" w:styleId="WW8Num2z1">
    <w:name w:val="WW8Num2z1"/>
    <w:rPr>
      <w:rFonts w:ascii="Courier New" w:hAnsi="Courier New" w:cs="Courier New"/>
    </w:rPr>
  </w:style>
  <w:style w:type="character" w:customStyle="1" w:styleId="TematkomentarzaZnak1">
    <w:name w:val="Temat komentarza Znak1"/>
    <w:qFormat/>
    <w:rPr>
      <w:rFonts w:ascii="Calibri" w:eastAsia="Calibri" w:hAnsi="Calibri" w:cs="Times New Roman"/>
      <w:b/>
      <w:bCs/>
      <w:sz w:val="20"/>
      <w:szCs w:val="20"/>
    </w:rPr>
  </w:style>
  <w:style w:type="character" w:customStyle="1" w:styleId="TekstdymkaZnak">
    <w:name w:val="Tekst dymka Znak"/>
    <w:qFormat/>
    <w:rPr>
      <w:rFonts w:ascii="Tahoma" w:eastAsia="Calibri" w:hAnsi="Tahoma" w:cs="Times New Roman"/>
      <w:sz w:val="16"/>
      <w:szCs w:val="16"/>
      <w:lang w:val="en-US"/>
    </w:rPr>
  </w:style>
  <w:style w:type="character" w:customStyle="1" w:styleId="WW8Num11z2">
    <w:name w:val="WW8Num11z2"/>
    <w:qFormat/>
    <w:rPr>
      <w:rFonts w:ascii="Wingdings" w:hAnsi="Wingdings"/>
    </w:rPr>
  </w:style>
  <w:style w:type="character" w:customStyle="1" w:styleId="WW8Num9z0">
    <w:name w:val="WW8Num9z0"/>
    <w:rPr>
      <w:rFonts w:ascii="Wingdings" w:hAnsi="Wingdings"/>
    </w:rPr>
  </w:style>
  <w:style w:type="character" w:customStyle="1" w:styleId="ListLabel20">
    <w:name w:val="ListLabel 20"/>
    <w:qFormat/>
    <w:rPr>
      <w:rFonts w:cs="Wingdings"/>
    </w:rPr>
  </w:style>
  <w:style w:type="character" w:customStyle="1" w:styleId="WW8Num34z0">
    <w:name w:val="WW8Num34z0"/>
    <w:rPr>
      <w:rFonts w:cs="Times New Roman"/>
      <w:i w:val="0"/>
      <w:sz w:val="24"/>
      <w:szCs w:val="24"/>
    </w:rPr>
  </w:style>
  <w:style w:type="character" w:customStyle="1" w:styleId="Absatz-Standardschriftart">
    <w:name w:val="Absatz-Standardschriftart"/>
    <w:qFormat/>
  </w:style>
  <w:style w:type="character" w:customStyle="1" w:styleId="WW8Num35z1">
    <w:name w:val="WW8Num35z1"/>
    <w:rPr>
      <w:rFonts w:ascii="Courier New" w:hAnsi="Courier New" w:cs="Courier New"/>
    </w:rPr>
  </w:style>
  <w:style w:type="character" w:customStyle="1" w:styleId="WW8Num25z0">
    <w:name w:val="WW8Num25z0"/>
    <w:rPr>
      <w:rFonts w:ascii="Symbol" w:hAnsi="Symbol"/>
    </w:rPr>
  </w:style>
  <w:style w:type="character" w:customStyle="1" w:styleId="WW8Num21z0">
    <w:name w:val="WW8Num21z0"/>
    <w:rPr>
      <w:rFonts w:ascii="Symbol" w:hAnsi="Symbol"/>
    </w:rPr>
  </w:style>
  <w:style w:type="character" w:customStyle="1" w:styleId="ListLabel22">
    <w:name w:val="ListLabel 22"/>
    <w:qFormat/>
    <w:rPr>
      <w:b/>
      <w:sz w:val="24"/>
    </w:rPr>
  </w:style>
  <w:style w:type="character" w:customStyle="1" w:styleId="WW-Znakiprzypiswkocowych1">
    <w:name w:val="WW-Znaki przypisów końcowych1"/>
    <w:rPr>
      <w:vertAlign w:val="superscript"/>
    </w:rPr>
  </w:style>
  <w:style w:type="character" w:customStyle="1" w:styleId="WW8Num40z2">
    <w:name w:val="WW8Num40z2"/>
    <w:qFormat/>
    <w:rPr>
      <w:rFonts w:ascii="Wingdings" w:hAnsi="Wingdings" w:cs="Wingdings"/>
    </w:rPr>
  </w:style>
  <w:style w:type="character" w:customStyle="1" w:styleId="TekstkomentarzaZnak1">
    <w:name w:val="Tekst komentarza Znak1"/>
    <w:uiPriority w:val="99"/>
    <w:rPr>
      <w:rFonts w:ascii="Calibri" w:eastAsia="Calibri" w:hAnsi="Calibri" w:cs="Times New Roman"/>
      <w:sz w:val="20"/>
      <w:szCs w:val="20"/>
    </w:rPr>
  </w:style>
  <w:style w:type="character" w:customStyle="1" w:styleId="IGindeksgrny">
    <w:name w:val="_IG_ – indeks górny"/>
    <w:rPr>
      <w:b w:val="0"/>
      <w:i w:val="0"/>
      <w:vanish w:val="0"/>
      <w:spacing w:val="0"/>
      <w:vertAlign w:val="superscript"/>
    </w:rPr>
  </w:style>
  <w:style w:type="character" w:customStyle="1" w:styleId="WW8Num31z0">
    <w:name w:val="WW8Num31z0"/>
    <w:rPr>
      <w:rFonts w:ascii="Symbol" w:hAnsi="Symbol" w:cs="Symbol"/>
      <w:sz w:val="24"/>
    </w:rPr>
  </w:style>
  <w:style w:type="character" w:customStyle="1" w:styleId="WW8Num19z2">
    <w:name w:val="WW8Num19z2"/>
    <w:qFormat/>
    <w:rPr>
      <w:rFonts w:ascii="Wingdings" w:hAnsi="Wingdings"/>
    </w:rPr>
  </w:style>
  <w:style w:type="character" w:customStyle="1" w:styleId="TekstkomentarzaZnak2">
    <w:name w:val="Tekst komentarza Znak2"/>
    <w:link w:val="Tekstkomentarza"/>
    <w:uiPriority w:val="99"/>
    <w:semiHidden/>
    <w:rPr>
      <w:rFonts w:ascii="Calibri" w:eastAsia="Calibri" w:hAnsi="Calibri" w:cs="Mangal"/>
      <w:kern w:val="1"/>
      <w:szCs w:val="18"/>
      <w:lang w:eastAsia="hi-IN" w:bidi="hi-IN"/>
    </w:rPr>
  </w:style>
  <w:style w:type="character" w:customStyle="1" w:styleId="WW8Num29z2">
    <w:name w:val="WW8Num29z2"/>
    <w:rPr>
      <w:rFonts w:ascii="Wingdings" w:hAnsi="Wingdings"/>
    </w:rPr>
  </w:style>
  <w:style w:type="character" w:customStyle="1" w:styleId="ListLabel21">
    <w:name w:val="ListLabel 21"/>
    <w:rPr>
      <w:rFonts w:cs="Symbol"/>
    </w:rPr>
  </w:style>
  <w:style w:type="character" w:customStyle="1" w:styleId="ListLabel24">
    <w:name w:val="ListLabel 24"/>
    <w:qFormat/>
    <w:rPr>
      <w:rFonts w:cs="Times New Roman"/>
      <w:sz w:val="24"/>
      <w:szCs w:val="24"/>
    </w:rPr>
  </w:style>
  <w:style w:type="character" w:customStyle="1" w:styleId="WW8Num26z0">
    <w:name w:val="WW8Num26z0"/>
    <w:rPr>
      <w:rFonts w:ascii="Symbol" w:hAnsi="Symbol"/>
    </w:rPr>
  </w:style>
  <w:style w:type="character" w:customStyle="1" w:styleId="WW8Num28z1">
    <w:name w:val="WW8Num28z1"/>
    <w:qFormat/>
    <w:rPr>
      <w:rFonts w:ascii="Courier New" w:hAnsi="Courier New" w:cs="Courier New"/>
    </w:rPr>
  </w:style>
  <w:style w:type="character" w:customStyle="1" w:styleId="NagwekZnak">
    <w:name w:val="Nagłówek Znak"/>
    <w:rPr>
      <w:rFonts w:ascii="Calibri" w:eastAsia="Calibri" w:hAnsi="Calibri" w:cs="Times New Roman"/>
      <w:lang w:val="en-US"/>
    </w:rPr>
  </w:style>
  <w:style w:type="character" w:customStyle="1" w:styleId="WW8Num31z3">
    <w:name w:val="WW8Num31z3"/>
    <w:rPr>
      <w:rFonts w:ascii="Symbol" w:hAnsi="Symbol" w:cs="Symbol"/>
    </w:rPr>
  </w:style>
  <w:style w:type="character" w:customStyle="1" w:styleId="WW8Num25z2">
    <w:name w:val="WW8Num25z2"/>
    <w:rPr>
      <w:rFonts w:ascii="Wingdings" w:hAnsi="Wingdings"/>
    </w:rPr>
  </w:style>
  <w:style w:type="character" w:customStyle="1" w:styleId="Odwoaniedokomentarza1">
    <w:name w:val="Odwołanie do komentarza1"/>
    <w:rPr>
      <w:sz w:val="16"/>
      <w:szCs w:val="16"/>
    </w:rPr>
  </w:style>
  <w:style w:type="character" w:customStyle="1" w:styleId="WW8Num25z1">
    <w:name w:val="WW8Num25z1"/>
    <w:rPr>
      <w:rFonts w:ascii="Courier New" w:hAnsi="Courier New" w:cs="Courier New"/>
    </w:rPr>
  </w:style>
  <w:style w:type="character" w:customStyle="1" w:styleId="WW8Num9z3">
    <w:name w:val="WW8Num9z3"/>
    <w:rPr>
      <w:rFonts w:ascii="Symbol" w:hAnsi="Symbol"/>
    </w:rPr>
  </w:style>
  <w:style w:type="character" w:customStyle="1" w:styleId="WW8Num14z0">
    <w:name w:val="WW8Num14z0"/>
    <w:rPr>
      <w:rFonts w:ascii="Symbol" w:hAnsi="Symbol"/>
    </w:rPr>
  </w:style>
  <w:style w:type="character" w:customStyle="1" w:styleId="TekstprzypisukocowegoZnak">
    <w:name w:val="Tekst przypisu końcowego Znak"/>
    <w:link w:val="Tekstprzypisukocowego"/>
    <w:uiPriority w:val="99"/>
    <w:semiHidden/>
    <w:qFormat/>
    <w:rPr>
      <w:rFonts w:ascii="Calibri" w:eastAsia="Calibri" w:hAnsi="Calibri" w:cs="Mangal"/>
      <w:kern w:val="1"/>
      <w:szCs w:val="18"/>
      <w:lang w:eastAsia="hi-IN" w:bidi="hi-IN"/>
    </w:rPr>
  </w:style>
  <w:style w:type="character" w:customStyle="1" w:styleId="WW8Num24z1">
    <w:name w:val="WW8Num24z1"/>
    <w:rPr>
      <w:rFonts w:ascii="Courier New" w:hAnsi="Courier New" w:cs="Courier New"/>
    </w:rPr>
  </w:style>
  <w:style w:type="character" w:customStyle="1" w:styleId="Znakiprzypiswdolnych">
    <w:name w:val="Znaki przypisów dolnych"/>
    <w:rPr>
      <w:vertAlign w:val="superscript"/>
    </w:rPr>
  </w:style>
  <w:style w:type="character" w:customStyle="1" w:styleId="TekstprzypisudolnegoZnak">
    <w:name w:val="Tekst przypisu dolnego Znak"/>
    <w:rPr>
      <w:rFonts w:ascii="Calibri" w:eastAsia="Calibri" w:hAnsi="Calibri" w:cs="Times New Roman"/>
      <w:sz w:val="20"/>
      <w:szCs w:val="20"/>
      <w:lang w:val="en-US"/>
    </w:rPr>
  </w:style>
  <w:style w:type="paragraph" w:styleId="Tekstpodstawowy">
    <w:name w:val="Body Text"/>
    <w:basedOn w:val="Normalny"/>
    <w:pPr>
      <w:spacing w:after="120"/>
    </w:pPr>
  </w:style>
  <w:style w:type="paragraph" w:styleId="Tekstprzypisukocowego">
    <w:name w:val="endnote text"/>
    <w:basedOn w:val="Normalny"/>
    <w:link w:val="TekstprzypisukocowegoZnak"/>
    <w:uiPriority w:val="99"/>
    <w:unhideWhenUsed/>
    <w:rPr>
      <w:rFonts w:cs="Mangal"/>
      <w:sz w:val="20"/>
      <w:szCs w:val="18"/>
    </w:rPr>
  </w:style>
  <w:style w:type="paragraph" w:styleId="Tekstpodstawowy2">
    <w:name w:val="Body Text 2"/>
    <w:basedOn w:val="Normalny"/>
    <w:link w:val="Tekstpodstawowy2Znak"/>
    <w:uiPriority w:val="99"/>
    <w:unhideWhenUsed/>
    <w:pPr>
      <w:spacing w:after="120" w:line="480" w:lineRule="auto"/>
    </w:pPr>
    <w:rPr>
      <w:rFonts w:cs="Mangal"/>
      <w:szCs w:val="21"/>
    </w:rPr>
  </w:style>
  <w:style w:type="paragraph" w:styleId="Nagwek">
    <w:name w:val="header"/>
    <w:basedOn w:val="Normalny"/>
    <w:link w:val="NagwekZnak1"/>
    <w:uiPriority w:val="99"/>
    <w:unhideWhenUsed/>
    <w:pPr>
      <w:tabs>
        <w:tab w:val="center" w:pos="4536"/>
        <w:tab w:val="right" w:pos="9072"/>
      </w:tabs>
    </w:pPr>
    <w:rPr>
      <w:rFonts w:cs="Mangal"/>
      <w:szCs w:val="21"/>
    </w:rPr>
  </w:style>
  <w:style w:type="paragraph" w:styleId="Tekstdymka">
    <w:name w:val="Balloon Text"/>
    <w:basedOn w:val="Normalny"/>
    <w:rPr>
      <w:rFonts w:ascii="Segoe UI" w:hAnsi="Segoe UI" w:cs="Mangal"/>
      <w:sz w:val="18"/>
      <w:szCs w:val="16"/>
    </w:rPr>
  </w:style>
  <w:style w:type="paragraph" w:styleId="Lista">
    <w:name w:val="List"/>
    <w:basedOn w:val="Tekstpodstawowy"/>
    <w:rPr>
      <w:rFonts w:cs="Mangal"/>
    </w:rPr>
  </w:style>
  <w:style w:type="paragraph" w:styleId="Tekstprzypisudolnego">
    <w:name w:val="footnote text"/>
    <w:basedOn w:val="Normalny"/>
    <w:qFormat/>
    <w:pPr>
      <w:suppressLineNumbers/>
      <w:ind w:left="283" w:hanging="283"/>
    </w:pPr>
    <w:rPr>
      <w:sz w:val="20"/>
      <w:szCs w:val="20"/>
    </w:rPr>
  </w:style>
  <w:style w:type="paragraph" w:styleId="Stopka">
    <w:name w:val="footer"/>
    <w:basedOn w:val="Normalny"/>
    <w:link w:val="StopkaZnak1"/>
    <w:uiPriority w:val="99"/>
    <w:pPr>
      <w:suppressLineNumbers/>
      <w:tabs>
        <w:tab w:val="center" w:pos="4536"/>
        <w:tab w:val="right" w:pos="9072"/>
      </w:tabs>
    </w:pPr>
    <w:rPr>
      <w:lang w:val="en-US"/>
    </w:rPr>
  </w:style>
  <w:style w:type="paragraph" w:styleId="Tematkomentarza">
    <w:name w:val="annotation subject"/>
    <w:basedOn w:val="Tekstkomentarza"/>
    <w:next w:val="Tekstkomentarza"/>
    <w:link w:val="TematkomentarzaZnak2"/>
    <w:uiPriority w:val="99"/>
    <w:unhideWhenUsed/>
    <w:rPr>
      <w:b/>
      <w:bCs/>
    </w:rPr>
  </w:style>
  <w:style w:type="paragraph" w:styleId="Tekstkomentarza">
    <w:name w:val="annotation text"/>
    <w:basedOn w:val="Normalny"/>
    <w:link w:val="TekstkomentarzaZnak2"/>
    <w:uiPriority w:val="99"/>
    <w:unhideWhenUsed/>
    <w:qFormat/>
    <w:rPr>
      <w:rFonts w:cs="Mangal"/>
      <w:sz w:val="20"/>
      <w:szCs w:val="18"/>
    </w:rPr>
  </w:style>
  <w:style w:type="paragraph" w:customStyle="1" w:styleId="ODNONIKtreodnonika">
    <w:name w:val="ODNOŚNIK – treść odnośnika"/>
    <w:pPr>
      <w:widowControl w:val="0"/>
      <w:suppressAutoHyphens/>
      <w:spacing w:line="100" w:lineRule="atLeast"/>
      <w:ind w:left="284" w:hanging="284"/>
      <w:jc w:val="both"/>
    </w:pPr>
    <w:rPr>
      <w:rFonts w:ascii="Calibri" w:eastAsia="Calibri" w:hAnsi="Calibri" w:cs="Arial"/>
      <w:kern w:val="1"/>
      <w:lang w:eastAsia="hi-IN" w:bidi="hi-IN"/>
    </w:rPr>
  </w:style>
  <w:style w:type="paragraph" w:customStyle="1" w:styleId="Nagwek1">
    <w:name w:val="Nagłówek1"/>
    <w:basedOn w:val="Normalny"/>
    <w:next w:val="Tekstpodstawowy"/>
    <w:pPr>
      <w:keepNext/>
      <w:tabs>
        <w:tab w:val="center" w:pos="4536"/>
        <w:tab w:val="right" w:pos="9072"/>
      </w:tabs>
      <w:spacing w:before="240" w:after="120"/>
    </w:pPr>
    <w:rPr>
      <w:rFonts w:ascii="Arial" w:eastAsia="Microsoft YaHei" w:hAnsi="Arial" w:cs="Mangal"/>
      <w:sz w:val="28"/>
      <w:szCs w:val="28"/>
      <w:lang w:val="en-US"/>
    </w:rPr>
  </w:style>
  <w:style w:type="paragraph" w:customStyle="1" w:styleId="Default">
    <w:name w:val="Default"/>
    <w:pPr>
      <w:widowControl w:val="0"/>
      <w:suppressAutoHyphens/>
      <w:spacing w:line="100" w:lineRule="atLeast"/>
    </w:pPr>
    <w:rPr>
      <w:rFonts w:ascii="Calibri" w:eastAsia="Calibri" w:hAnsi="Calibri" w:cs="Calibri"/>
      <w:color w:val="000000"/>
      <w:kern w:val="1"/>
      <w:sz w:val="24"/>
      <w:szCs w:val="24"/>
      <w:lang w:eastAsia="hi-IN" w:bidi="hi-IN"/>
    </w:rPr>
  </w:style>
  <w:style w:type="paragraph" w:customStyle="1" w:styleId="ARTartustawynprozporzdzenia">
    <w:name w:val="ART(§) – art. ustawy (§ np. rozporządzenia)"/>
    <w:link w:val="ARTartustawynprozporzdzeniaZnak"/>
    <w:uiPriority w:val="11"/>
    <w:qFormat/>
    <w:pPr>
      <w:widowControl w:val="0"/>
      <w:suppressAutoHyphens/>
      <w:spacing w:before="120" w:line="360" w:lineRule="auto"/>
      <w:ind w:firstLine="510"/>
      <w:jc w:val="both"/>
    </w:pPr>
    <w:rPr>
      <w:rFonts w:eastAsia="Calibri" w:cs="Arial"/>
      <w:kern w:val="1"/>
      <w:sz w:val="24"/>
      <w:lang w:eastAsia="hi-IN" w:bidi="hi-IN"/>
    </w:rPr>
  </w:style>
  <w:style w:type="paragraph" w:customStyle="1" w:styleId="ZLITUSTzmustliter">
    <w:name w:val="Z_LIT/UST(§) – zm. ust. (§) literą"/>
    <w:basedOn w:val="Normalny"/>
    <w:uiPriority w:val="46"/>
    <w:qFormat/>
    <w:pPr>
      <w:widowControl/>
      <w:autoSpaceDE w:val="0"/>
      <w:autoSpaceDN w:val="0"/>
      <w:adjustRightInd w:val="0"/>
      <w:spacing w:line="360" w:lineRule="auto"/>
      <w:ind w:left="987" w:firstLine="510"/>
      <w:jc w:val="both"/>
    </w:pPr>
    <w:rPr>
      <w:rFonts w:ascii="Times" w:eastAsia="Times New Roman" w:hAnsi="Times" w:cs="Arial"/>
      <w:bCs/>
      <w:kern w:val="0"/>
      <w:szCs w:val="20"/>
      <w:lang w:eastAsia="pl-PL" w:bidi="ar-SA"/>
    </w:rPr>
  </w:style>
  <w:style w:type="paragraph" w:customStyle="1" w:styleId="LITlitera">
    <w:name w:val="LIT – litera"/>
    <w:basedOn w:val="PKTpunkt"/>
    <w:uiPriority w:val="14"/>
    <w:qFormat/>
    <w:pPr>
      <w:widowControl/>
      <w:suppressAutoHyphens w:val="0"/>
      <w:ind w:left="986" w:hanging="476"/>
    </w:pPr>
    <w:rPr>
      <w:rFonts w:eastAsia="Times New Roman"/>
      <w:kern w:val="0"/>
      <w:lang w:eastAsia="pl-PL" w:bidi="ar-SA"/>
    </w:rPr>
  </w:style>
  <w:style w:type="paragraph" w:customStyle="1" w:styleId="Tekstprzypisudolnego1">
    <w:name w:val="Tekst przypisu dolnego1"/>
    <w:basedOn w:val="Normalny"/>
    <w:rPr>
      <w:sz w:val="20"/>
      <w:szCs w:val="20"/>
      <w:lang w:val="en-US"/>
    </w:rPr>
  </w:style>
  <w:style w:type="paragraph" w:customStyle="1" w:styleId="Indeks">
    <w:name w:val="Indeks"/>
    <w:basedOn w:val="Normalny"/>
    <w:pPr>
      <w:suppressLineNumbers/>
    </w:pPr>
    <w:rPr>
      <w:rFonts w:cs="Mangal"/>
    </w:rPr>
  </w:style>
  <w:style w:type="paragraph" w:styleId="Akapitzlist">
    <w:name w:val="List Paragraph"/>
    <w:basedOn w:val="Normalny"/>
    <w:uiPriority w:val="99"/>
    <w:qFormat/>
    <w:pPr>
      <w:ind w:left="708"/>
    </w:pPr>
    <w:rPr>
      <w:rFonts w:cs="Mangal"/>
      <w:szCs w:val="21"/>
    </w:rPr>
  </w:style>
  <w:style w:type="paragraph" w:customStyle="1" w:styleId="NormalWeb1">
    <w:name w:val="Normal (Web)1"/>
    <w:basedOn w:val="Normalny"/>
    <w:pPr>
      <w:spacing w:before="28" w:after="28" w:line="100" w:lineRule="atLeast"/>
    </w:pPr>
    <w:rPr>
      <w:rFonts w:ascii="Times New Roman" w:eastAsia="Times New Roman" w:hAnsi="Times New Roman"/>
    </w:rPr>
  </w:style>
  <w:style w:type="paragraph" w:customStyle="1" w:styleId="Akapitzlist1">
    <w:name w:val="Akapit z listą1"/>
    <w:basedOn w:val="Normalny"/>
    <w:pPr>
      <w:ind w:left="720"/>
    </w:pPr>
  </w:style>
  <w:style w:type="paragraph" w:customStyle="1" w:styleId="Podpis1">
    <w:name w:val="Podpis1"/>
    <w:basedOn w:val="Normalny"/>
    <w:pPr>
      <w:suppressLineNumbers/>
      <w:spacing w:before="120" w:after="120"/>
    </w:pPr>
    <w:rPr>
      <w:rFonts w:cs="Mangal"/>
      <w:i/>
      <w:iCs/>
    </w:rPr>
  </w:style>
  <w:style w:type="paragraph" w:customStyle="1" w:styleId="ZLITPKTzmpktliter">
    <w:name w:val="Z_LIT/PKT – zm. pkt literą"/>
    <w:basedOn w:val="PKTpunkt"/>
    <w:uiPriority w:val="47"/>
    <w:qFormat/>
    <w:pPr>
      <w:widowControl/>
      <w:suppressAutoHyphens w:val="0"/>
      <w:ind w:left="1497"/>
    </w:pPr>
    <w:rPr>
      <w:rFonts w:eastAsia="Times New Roman"/>
      <w:kern w:val="0"/>
      <w:lang w:eastAsia="pl-PL" w:bidi="ar-SA"/>
    </w:rPr>
  </w:style>
  <w:style w:type="paragraph" w:customStyle="1" w:styleId="Tekstkomentarza1">
    <w:name w:val="Tekst komentarza1"/>
    <w:basedOn w:val="Normalny"/>
    <w:rPr>
      <w:sz w:val="20"/>
      <w:szCs w:val="20"/>
      <w:lang w:val="en-US"/>
    </w:rPr>
  </w:style>
  <w:style w:type="paragraph" w:customStyle="1" w:styleId="Akapitzlist3">
    <w:name w:val="Akapit z listą3"/>
    <w:basedOn w:val="Normalny"/>
    <w:pPr>
      <w:ind w:left="720"/>
    </w:pPr>
  </w:style>
  <w:style w:type="paragraph" w:customStyle="1" w:styleId="Zawartotabeli">
    <w:name w:val="Zawartość tabeli"/>
    <w:basedOn w:val="Normalny"/>
    <w:pPr>
      <w:suppressLineNumbers/>
    </w:pPr>
  </w:style>
  <w:style w:type="paragraph" w:customStyle="1" w:styleId="Podpis2">
    <w:name w:val="Podpis2"/>
    <w:basedOn w:val="Normalny"/>
    <w:pPr>
      <w:suppressLineNumbers/>
      <w:spacing w:before="120" w:after="120"/>
    </w:pPr>
    <w:rPr>
      <w:rFonts w:cs="Mangal"/>
      <w:i/>
      <w:iCs/>
    </w:rPr>
  </w:style>
  <w:style w:type="paragraph" w:customStyle="1" w:styleId="Akapitzlist2">
    <w:name w:val="Akapit z listą2"/>
    <w:basedOn w:val="Normalny"/>
    <w:pPr>
      <w:ind w:left="720"/>
    </w:pPr>
  </w:style>
  <w:style w:type="paragraph" w:customStyle="1" w:styleId="PKTpunkt">
    <w:name w:val="PKT – punkt"/>
    <w:link w:val="PKTpunktZnak"/>
    <w:uiPriority w:val="13"/>
    <w:qFormat/>
    <w:pPr>
      <w:widowControl w:val="0"/>
      <w:suppressAutoHyphens/>
      <w:spacing w:line="360" w:lineRule="auto"/>
      <w:ind w:left="510" w:hanging="510"/>
      <w:jc w:val="both"/>
    </w:pPr>
    <w:rPr>
      <w:rFonts w:eastAsia="Calibri" w:cs="Arial"/>
      <w:bCs/>
      <w:kern w:val="1"/>
      <w:sz w:val="24"/>
      <w:lang w:eastAsia="hi-IN" w:bidi="hi-IN"/>
    </w:rPr>
  </w:style>
  <w:style w:type="paragraph" w:customStyle="1" w:styleId="ZARTzmartartykuempunktem">
    <w:name w:val="Z/ART(§) – zm. art. (§) artykułem (punktem)"/>
    <w:basedOn w:val="Normalny"/>
    <w:uiPriority w:val="30"/>
    <w:qFormat/>
    <w:pPr>
      <w:spacing w:line="360" w:lineRule="auto"/>
      <w:ind w:left="510" w:firstLine="510"/>
      <w:jc w:val="both"/>
    </w:pPr>
    <w:rPr>
      <w:rFonts w:ascii="Times" w:eastAsia="Times New Roman" w:hAnsi="Times" w:cs="Arial"/>
      <w:szCs w:val="20"/>
    </w:rPr>
  </w:style>
  <w:style w:type="paragraph" w:customStyle="1" w:styleId="Nagwektabeli">
    <w:name w:val="Nagłówek tabeli"/>
    <w:basedOn w:val="Zawartotabeli"/>
    <w:pPr>
      <w:jc w:val="center"/>
    </w:pPr>
    <w:rPr>
      <w:b/>
      <w:bCs/>
    </w:rPr>
  </w:style>
  <w:style w:type="paragraph" w:customStyle="1" w:styleId="Tematkomentarza1">
    <w:name w:val="Temat komentarza1"/>
    <w:basedOn w:val="Tekstkomentarza1"/>
    <w:rPr>
      <w:b/>
      <w:bCs/>
    </w:rPr>
  </w:style>
  <w:style w:type="paragraph" w:customStyle="1" w:styleId="BalloonText1">
    <w:name w:val="Balloon Text1"/>
    <w:basedOn w:val="Normalny"/>
    <w:pPr>
      <w:spacing w:line="100" w:lineRule="atLeast"/>
    </w:pPr>
    <w:rPr>
      <w:rFonts w:ascii="Tahoma" w:hAnsi="Tahoma"/>
      <w:sz w:val="16"/>
      <w:szCs w:val="16"/>
      <w:lang w:val="en-US"/>
    </w:rPr>
  </w:style>
  <w:style w:type="paragraph" w:customStyle="1" w:styleId="ZPKTzmpktartykuempunktem">
    <w:name w:val="Z/PKT – zm. pkt artykułem (punktem)"/>
    <w:basedOn w:val="PKTpunkt"/>
    <w:uiPriority w:val="31"/>
    <w:qFormat/>
    <w:pPr>
      <w:widowControl/>
      <w:suppressAutoHyphens w:val="0"/>
      <w:ind w:left="1020"/>
    </w:pPr>
    <w:rPr>
      <w:rFonts w:eastAsia="Times New Roman"/>
      <w:kern w:val="0"/>
      <w:lang w:eastAsia="pl-PL" w:bidi="ar-SA"/>
    </w:rPr>
  </w:style>
  <w:style w:type="paragraph" w:customStyle="1" w:styleId="Poprawka1">
    <w:name w:val="Poprawka1"/>
    <w:pPr>
      <w:widowControl w:val="0"/>
      <w:suppressAutoHyphens/>
      <w:spacing w:line="100" w:lineRule="atLeast"/>
    </w:pPr>
    <w:rPr>
      <w:rFonts w:ascii="Calibri" w:eastAsia="Calibri" w:hAnsi="Calibri" w:cs="Calibri"/>
      <w:kern w:val="1"/>
      <w:sz w:val="24"/>
      <w:szCs w:val="24"/>
      <w:lang w:eastAsia="hi-IN" w:bidi="hi-IN"/>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character" w:customStyle="1" w:styleId="ARTartustawynprozporzdzeniaZnak">
    <w:name w:val="ART(§) – art. ustawy (§ np. rozporządzenia) Znak"/>
    <w:link w:val="ARTartustawynprozporzdzenia"/>
    <w:uiPriority w:val="11"/>
    <w:qFormat/>
    <w:locked/>
    <w:rsid w:val="00E72A2A"/>
    <w:rPr>
      <w:rFonts w:eastAsia="Calibri" w:cs="Arial"/>
      <w:kern w:val="1"/>
      <w:sz w:val="24"/>
      <w:lang w:eastAsia="hi-IN" w:bidi="hi-IN"/>
    </w:rPr>
  </w:style>
  <w:style w:type="character" w:customStyle="1" w:styleId="Kkursywa">
    <w:name w:val="_K_ – kursywa"/>
    <w:uiPriority w:val="1"/>
    <w:qFormat/>
    <w:rsid w:val="00E72A2A"/>
    <w:rPr>
      <w:i/>
    </w:rPr>
  </w:style>
  <w:style w:type="character" w:customStyle="1" w:styleId="PKTpunktZnak">
    <w:name w:val="PKT – punkt Znak"/>
    <w:link w:val="PKTpunkt"/>
    <w:uiPriority w:val="99"/>
    <w:locked/>
    <w:rsid w:val="00E72A2A"/>
    <w:rPr>
      <w:rFonts w:eastAsia="Calibri" w:cs="Arial"/>
      <w:bCs/>
      <w:kern w:val="1"/>
      <w:sz w:val="24"/>
      <w:lang w:eastAsia="hi-IN" w:bidi="hi-IN"/>
    </w:rPr>
  </w:style>
  <w:style w:type="paragraph" w:styleId="Poprawka">
    <w:name w:val="Revision"/>
    <w:hidden/>
    <w:uiPriority w:val="99"/>
    <w:semiHidden/>
    <w:rsid w:val="00F753A5"/>
    <w:rPr>
      <w:rFonts w:ascii="Calibri" w:eastAsia="Calibri" w:hAnsi="Calibri" w:cs="Mangal"/>
      <w:kern w:val="1"/>
      <w:sz w:val="24"/>
      <w:szCs w:val="21"/>
      <w:lang w:eastAsia="hi-IN" w:bidi="hi-IN"/>
    </w:rPr>
  </w:style>
  <w:style w:type="paragraph" w:customStyle="1" w:styleId="ZUSTzmustartykuempunktem">
    <w:name w:val="Z/UST(§) – zm. ust. (§) artykułem (punktem)"/>
    <w:basedOn w:val="ZARTzmartartykuempunktem"/>
    <w:uiPriority w:val="30"/>
    <w:qFormat/>
    <w:rsid w:val="005D1F6C"/>
    <w:pPr>
      <w:widowControl/>
      <w:autoSpaceDE w:val="0"/>
      <w:autoSpaceDN w:val="0"/>
      <w:adjustRightInd w:val="0"/>
    </w:pPr>
    <w:rPr>
      <w:kern w:val="0"/>
      <w:lang w:eastAsia="pl-PL" w:bidi="ar-SA"/>
    </w:rPr>
  </w:style>
  <w:style w:type="paragraph" w:customStyle="1" w:styleId="OZNPROJEKTUwskazaniedatylubwersjiprojektu">
    <w:name w:val="OZN_PROJEKTU – wskazanie daty lub wersji projektu"/>
    <w:next w:val="Normalny"/>
    <w:uiPriority w:val="5"/>
    <w:qFormat/>
    <w:rsid w:val="00C614D4"/>
    <w:pPr>
      <w:spacing w:line="360" w:lineRule="auto"/>
      <w:jc w:val="right"/>
    </w:pPr>
    <w:rPr>
      <w:rFonts w:ascii="Times New Roman" w:hAnsi="Times New Roman" w:cs="Arial"/>
      <w:sz w:val="24"/>
      <w:u w:val="single"/>
    </w:rPr>
  </w:style>
  <w:style w:type="paragraph" w:customStyle="1" w:styleId="P1wTABELIpoziom1numeracjiwtabeli">
    <w:name w:val="P1_w_TABELI – poziom 1 numeracji w tabeli"/>
    <w:basedOn w:val="PKTpunkt"/>
    <w:uiPriority w:val="24"/>
    <w:qFormat/>
    <w:rsid w:val="00D42B0A"/>
    <w:pPr>
      <w:widowControl/>
      <w:suppressAutoHyphens w:val="0"/>
      <w:ind w:left="397" w:hanging="397"/>
    </w:pPr>
    <w:rPr>
      <w:rFonts w:eastAsia="Times New Roman"/>
      <w:kern w:val="24"/>
      <w:lang w:eastAsia="pl-PL" w:bidi="ar-SA"/>
    </w:rPr>
  </w:style>
  <w:style w:type="table" w:styleId="Tabela-Siatka">
    <w:name w:val="Table Grid"/>
    <w:basedOn w:val="Standardowy"/>
    <w:uiPriority w:val="39"/>
    <w:rsid w:val="00170B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BB327F"/>
  </w:style>
  <w:style w:type="character" w:customStyle="1" w:styleId="cf01">
    <w:name w:val="cf01"/>
    <w:rsid w:val="00BE3B0F"/>
    <w:rPr>
      <w:rFonts w:ascii="Segoe UI" w:hAnsi="Segoe UI" w:cs="Segoe UI" w:hint="default"/>
      <w:i/>
      <w:iCs/>
      <w:sz w:val="18"/>
      <w:szCs w:val="18"/>
    </w:rPr>
  </w:style>
  <w:style w:type="paragraph" w:customStyle="1" w:styleId="USTustnpkodeksu">
    <w:name w:val="UST(§) – ust. (§ np. kodeksu)"/>
    <w:basedOn w:val="ARTartustawynprozporzdzenia"/>
    <w:uiPriority w:val="12"/>
    <w:qFormat/>
    <w:rsid w:val="009465A7"/>
    <w:pPr>
      <w:widowControl/>
      <w:autoSpaceDE w:val="0"/>
      <w:autoSpaceDN w:val="0"/>
      <w:adjustRightInd w:val="0"/>
      <w:spacing w:before="0"/>
    </w:pPr>
    <w:rPr>
      <w:rFonts w:eastAsia="Times New Roman"/>
      <w:bCs/>
      <w:kern w:val="0"/>
      <w:lang w:eastAsia="pl-PL" w:bidi="ar-SA"/>
    </w:rPr>
  </w:style>
  <w:style w:type="paragraph" w:customStyle="1" w:styleId="pf0">
    <w:name w:val="pf0"/>
    <w:basedOn w:val="Normalny"/>
    <w:rsid w:val="005746FE"/>
    <w:pPr>
      <w:widowControl/>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customStyle="1" w:styleId="cf11">
    <w:name w:val="cf11"/>
    <w:rsid w:val="005746FE"/>
    <w:rPr>
      <w:rFonts w:ascii="Segoe UI" w:hAnsi="Segoe UI" w:cs="Segoe UI" w:hint="default"/>
      <w:sz w:val="18"/>
      <w:szCs w:val="18"/>
    </w:rPr>
  </w:style>
  <w:style w:type="character" w:customStyle="1" w:styleId="object">
    <w:name w:val="object"/>
    <w:basedOn w:val="Domylnaczcionkaakapitu"/>
    <w:rsid w:val="001F2603"/>
  </w:style>
  <w:style w:type="paragraph" w:customStyle="1" w:styleId="paragraph">
    <w:name w:val="paragraph"/>
    <w:basedOn w:val="Normalny"/>
    <w:rsid w:val="003C031E"/>
    <w:pPr>
      <w:widowControl/>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customStyle="1" w:styleId="normaltextrun">
    <w:name w:val="normaltextrun"/>
    <w:basedOn w:val="Domylnaczcionkaakapitu"/>
    <w:rsid w:val="003C031E"/>
  </w:style>
  <w:style w:type="character" w:customStyle="1" w:styleId="eop">
    <w:name w:val="eop"/>
    <w:basedOn w:val="Domylnaczcionkaakapitu"/>
    <w:rsid w:val="003C031E"/>
  </w:style>
  <w:style w:type="character" w:customStyle="1" w:styleId="Nierozpoznanawzmianka1">
    <w:name w:val="Nierozpoznana wzmianka1"/>
    <w:basedOn w:val="Domylnaczcionkaakapitu"/>
    <w:uiPriority w:val="99"/>
    <w:semiHidden/>
    <w:unhideWhenUsed/>
    <w:rsid w:val="00EC53F4"/>
    <w:rPr>
      <w:color w:val="605E5C"/>
      <w:shd w:val="clear" w:color="auto" w:fill="E1DFDD"/>
    </w:rPr>
  </w:style>
  <w:style w:type="character" w:customStyle="1" w:styleId="text-justify">
    <w:name w:val="text-justify"/>
    <w:basedOn w:val="Domylnaczcionkaakapitu"/>
    <w:rsid w:val="00D02840"/>
  </w:style>
  <w:style w:type="paragraph" w:styleId="NormalnyWeb">
    <w:name w:val="Normal (Web)"/>
    <w:basedOn w:val="Normalny"/>
    <w:uiPriority w:val="99"/>
    <w:unhideWhenUsed/>
    <w:rsid w:val="00582747"/>
    <w:pPr>
      <w:widowControl/>
      <w:suppressAutoHyphens w:val="0"/>
      <w:spacing w:before="100" w:beforeAutospacing="1" w:after="100" w:afterAutospacing="1"/>
    </w:pPr>
    <w:rPr>
      <w:rFonts w:ascii="Times New Roman" w:eastAsia="Times New Roman" w:hAnsi="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99030">
      <w:bodyDiv w:val="1"/>
      <w:marLeft w:val="0"/>
      <w:marRight w:val="0"/>
      <w:marTop w:val="0"/>
      <w:marBottom w:val="0"/>
      <w:divBdr>
        <w:top w:val="none" w:sz="0" w:space="0" w:color="auto"/>
        <w:left w:val="none" w:sz="0" w:space="0" w:color="auto"/>
        <w:bottom w:val="none" w:sz="0" w:space="0" w:color="auto"/>
        <w:right w:val="none" w:sz="0" w:space="0" w:color="auto"/>
      </w:divBdr>
    </w:div>
    <w:div w:id="191499387">
      <w:bodyDiv w:val="1"/>
      <w:marLeft w:val="0"/>
      <w:marRight w:val="0"/>
      <w:marTop w:val="0"/>
      <w:marBottom w:val="0"/>
      <w:divBdr>
        <w:top w:val="none" w:sz="0" w:space="0" w:color="auto"/>
        <w:left w:val="none" w:sz="0" w:space="0" w:color="auto"/>
        <w:bottom w:val="none" w:sz="0" w:space="0" w:color="auto"/>
        <w:right w:val="none" w:sz="0" w:space="0" w:color="auto"/>
      </w:divBdr>
    </w:div>
    <w:div w:id="287127211">
      <w:bodyDiv w:val="1"/>
      <w:marLeft w:val="0"/>
      <w:marRight w:val="0"/>
      <w:marTop w:val="0"/>
      <w:marBottom w:val="0"/>
      <w:divBdr>
        <w:top w:val="none" w:sz="0" w:space="0" w:color="auto"/>
        <w:left w:val="none" w:sz="0" w:space="0" w:color="auto"/>
        <w:bottom w:val="none" w:sz="0" w:space="0" w:color="auto"/>
        <w:right w:val="none" w:sz="0" w:space="0" w:color="auto"/>
      </w:divBdr>
    </w:div>
    <w:div w:id="349450078">
      <w:bodyDiv w:val="1"/>
      <w:marLeft w:val="0"/>
      <w:marRight w:val="0"/>
      <w:marTop w:val="0"/>
      <w:marBottom w:val="0"/>
      <w:divBdr>
        <w:top w:val="none" w:sz="0" w:space="0" w:color="auto"/>
        <w:left w:val="none" w:sz="0" w:space="0" w:color="auto"/>
        <w:bottom w:val="none" w:sz="0" w:space="0" w:color="auto"/>
        <w:right w:val="none" w:sz="0" w:space="0" w:color="auto"/>
      </w:divBdr>
    </w:div>
    <w:div w:id="354768061">
      <w:bodyDiv w:val="1"/>
      <w:marLeft w:val="0"/>
      <w:marRight w:val="0"/>
      <w:marTop w:val="0"/>
      <w:marBottom w:val="0"/>
      <w:divBdr>
        <w:top w:val="none" w:sz="0" w:space="0" w:color="auto"/>
        <w:left w:val="none" w:sz="0" w:space="0" w:color="auto"/>
        <w:bottom w:val="none" w:sz="0" w:space="0" w:color="auto"/>
        <w:right w:val="none" w:sz="0" w:space="0" w:color="auto"/>
      </w:divBdr>
    </w:div>
    <w:div w:id="365981833">
      <w:bodyDiv w:val="1"/>
      <w:marLeft w:val="0"/>
      <w:marRight w:val="0"/>
      <w:marTop w:val="0"/>
      <w:marBottom w:val="0"/>
      <w:divBdr>
        <w:top w:val="none" w:sz="0" w:space="0" w:color="auto"/>
        <w:left w:val="none" w:sz="0" w:space="0" w:color="auto"/>
        <w:bottom w:val="none" w:sz="0" w:space="0" w:color="auto"/>
        <w:right w:val="none" w:sz="0" w:space="0" w:color="auto"/>
      </w:divBdr>
    </w:div>
    <w:div w:id="420419442">
      <w:bodyDiv w:val="1"/>
      <w:marLeft w:val="0"/>
      <w:marRight w:val="0"/>
      <w:marTop w:val="0"/>
      <w:marBottom w:val="0"/>
      <w:divBdr>
        <w:top w:val="none" w:sz="0" w:space="0" w:color="auto"/>
        <w:left w:val="none" w:sz="0" w:space="0" w:color="auto"/>
        <w:bottom w:val="none" w:sz="0" w:space="0" w:color="auto"/>
        <w:right w:val="none" w:sz="0" w:space="0" w:color="auto"/>
      </w:divBdr>
    </w:div>
    <w:div w:id="461927524">
      <w:bodyDiv w:val="1"/>
      <w:marLeft w:val="0"/>
      <w:marRight w:val="0"/>
      <w:marTop w:val="0"/>
      <w:marBottom w:val="0"/>
      <w:divBdr>
        <w:top w:val="none" w:sz="0" w:space="0" w:color="auto"/>
        <w:left w:val="none" w:sz="0" w:space="0" w:color="auto"/>
        <w:bottom w:val="none" w:sz="0" w:space="0" w:color="auto"/>
        <w:right w:val="none" w:sz="0" w:space="0" w:color="auto"/>
      </w:divBdr>
    </w:div>
    <w:div w:id="588122876">
      <w:bodyDiv w:val="1"/>
      <w:marLeft w:val="0"/>
      <w:marRight w:val="0"/>
      <w:marTop w:val="0"/>
      <w:marBottom w:val="0"/>
      <w:divBdr>
        <w:top w:val="none" w:sz="0" w:space="0" w:color="auto"/>
        <w:left w:val="none" w:sz="0" w:space="0" w:color="auto"/>
        <w:bottom w:val="none" w:sz="0" w:space="0" w:color="auto"/>
        <w:right w:val="none" w:sz="0" w:space="0" w:color="auto"/>
      </w:divBdr>
      <w:divsChild>
        <w:div w:id="676155846">
          <w:marLeft w:val="0"/>
          <w:marRight w:val="0"/>
          <w:marTop w:val="0"/>
          <w:marBottom w:val="0"/>
          <w:divBdr>
            <w:top w:val="none" w:sz="0" w:space="0" w:color="auto"/>
            <w:left w:val="none" w:sz="0" w:space="0" w:color="auto"/>
            <w:bottom w:val="none" w:sz="0" w:space="0" w:color="auto"/>
            <w:right w:val="none" w:sz="0" w:space="0" w:color="auto"/>
          </w:divBdr>
          <w:divsChild>
            <w:div w:id="848059686">
              <w:marLeft w:val="0"/>
              <w:marRight w:val="0"/>
              <w:marTop w:val="0"/>
              <w:marBottom w:val="0"/>
              <w:divBdr>
                <w:top w:val="none" w:sz="0" w:space="0" w:color="auto"/>
                <w:left w:val="none" w:sz="0" w:space="0" w:color="auto"/>
                <w:bottom w:val="none" w:sz="0" w:space="0" w:color="auto"/>
                <w:right w:val="none" w:sz="0" w:space="0" w:color="auto"/>
              </w:divBdr>
              <w:divsChild>
                <w:div w:id="15513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35717">
          <w:marLeft w:val="0"/>
          <w:marRight w:val="0"/>
          <w:marTop w:val="0"/>
          <w:marBottom w:val="0"/>
          <w:divBdr>
            <w:top w:val="none" w:sz="0" w:space="0" w:color="auto"/>
            <w:left w:val="none" w:sz="0" w:space="0" w:color="auto"/>
            <w:bottom w:val="none" w:sz="0" w:space="0" w:color="auto"/>
            <w:right w:val="none" w:sz="0" w:space="0" w:color="auto"/>
          </w:divBdr>
          <w:divsChild>
            <w:div w:id="1584408213">
              <w:marLeft w:val="0"/>
              <w:marRight w:val="0"/>
              <w:marTop w:val="0"/>
              <w:marBottom w:val="0"/>
              <w:divBdr>
                <w:top w:val="none" w:sz="0" w:space="0" w:color="auto"/>
                <w:left w:val="none" w:sz="0" w:space="0" w:color="auto"/>
                <w:bottom w:val="none" w:sz="0" w:space="0" w:color="auto"/>
                <w:right w:val="none" w:sz="0" w:space="0" w:color="auto"/>
              </w:divBdr>
              <w:divsChild>
                <w:div w:id="73316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2954">
          <w:marLeft w:val="0"/>
          <w:marRight w:val="0"/>
          <w:marTop w:val="0"/>
          <w:marBottom w:val="0"/>
          <w:divBdr>
            <w:top w:val="none" w:sz="0" w:space="0" w:color="auto"/>
            <w:left w:val="none" w:sz="0" w:space="0" w:color="auto"/>
            <w:bottom w:val="none" w:sz="0" w:space="0" w:color="auto"/>
            <w:right w:val="none" w:sz="0" w:space="0" w:color="auto"/>
          </w:divBdr>
          <w:divsChild>
            <w:div w:id="370499603">
              <w:marLeft w:val="0"/>
              <w:marRight w:val="0"/>
              <w:marTop w:val="0"/>
              <w:marBottom w:val="0"/>
              <w:divBdr>
                <w:top w:val="none" w:sz="0" w:space="0" w:color="auto"/>
                <w:left w:val="none" w:sz="0" w:space="0" w:color="auto"/>
                <w:bottom w:val="none" w:sz="0" w:space="0" w:color="auto"/>
                <w:right w:val="none" w:sz="0" w:space="0" w:color="auto"/>
              </w:divBdr>
              <w:divsChild>
                <w:div w:id="6690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21361">
          <w:marLeft w:val="0"/>
          <w:marRight w:val="0"/>
          <w:marTop w:val="0"/>
          <w:marBottom w:val="0"/>
          <w:divBdr>
            <w:top w:val="none" w:sz="0" w:space="0" w:color="auto"/>
            <w:left w:val="none" w:sz="0" w:space="0" w:color="auto"/>
            <w:bottom w:val="none" w:sz="0" w:space="0" w:color="auto"/>
            <w:right w:val="none" w:sz="0" w:space="0" w:color="auto"/>
          </w:divBdr>
          <w:divsChild>
            <w:div w:id="1453937276">
              <w:marLeft w:val="0"/>
              <w:marRight w:val="0"/>
              <w:marTop w:val="0"/>
              <w:marBottom w:val="0"/>
              <w:divBdr>
                <w:top w:val="none" w:sz="0" w:space="0" w:color="auto"/>
                <w:left w:val="none" w:sz="0" w:space="0" w:color="auto"/>
                <w:bottom w:val="none" w:sz="0" w:space="0" w:color="auto"/>
                <w:right w:val="none" w:sz="0" w:space="0" w:color="auto"/>
              </w:divBdr>
              <w:divsChild>
                <w:div w:id="8006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5591">
      <w:bodyDiv w:val="1"/>
      <w:marLeft w:val="0"/>
      <w:marRight w:val="0"/>
      <w:marTop w:val="0"/>
      <w:marBottom w:val="0"/>
      <w:divBdr>
        <w:top w:val="none" w:sz="0" w:space="0" w:color="auto"/>
        <w:left w:val="none" w:sz="0" w:space="0" w:color="auto"/>
        <w:bottom w:val="none" w:sz="0" w:space="0" w:color="auto"/>
        <w:right w:val="none" w:sz="0" w:space="0" w:color="auto"/>
      </w:divBdr>
    </w:div>
    <w:div w:id="623730426">
      <w:bodyDiv w:val="1"/>
      <w:marLeft w:val="0"/>
      <w:marRight w:val="0"/>
      <w:marTop w:val="0"/>
      <w:marBottom w:val="0"/>
      <w:divBdr>
        <w:top w:val="none" w:sz="0" w:space="0" w:color="auto"/>
        <w:left w:val="none" w:sz="0" w:space="0" w:color="auto"/>
        <w:bottom w:val="none" w:sz="0" w:space="0" w:color="auto"/>
        <w:right w:val="none" w:sz="0" w:space="0" w:color="auto"/>
      </w:divBdr>
    </w:div>
    <w:div w:id="720981540">
      <w:bodyDiv w:val="1"/>
      <w:marLeft w:val="0"/>
      <w:marRight w:val="0"/>
      <w:marTop w:val="0"/>
      <w:marBottom w:val="0"/>
      <w:divBdr>
        <w:top w:val="none" w:sz="0" w:space="0" w:color="auto"/>
        <w:left w:val="none" w:sz="0" w:space="0" w:color="auto"/>
        <w:bottom w:val="none" w:sz="0" w:space="0" w:color="auto"/>
        <w:right w:val="none" w:sz="0" w:space="0" w:color="auto"/>
      </w:divBdr>
    </w:div>
    <w:div w:id="733628647">
      <w:bodyDiv w:val="1"/>
      <w:marLeft w:val="0"/>
      <w:marRight w:val="0"/>
      <w:marTop w:val="0"/>
      <w:marBottom w:val="0"/>
      <w:divBdr>
        <w:top w:val="none" w:sz="0" w:space="0" w:color="auto"/>
        <w:left w:val="none" w:sz="0" w:space="0" w:color="auto"/>
        <w:bottom w:val="none" w:sz="0" w:space="0" w:color="auto"/>
        <w:right w:val="none" w:sz="0" w:space="0" w:color="auto"/>
      </w:divBdr>
    </w:div>
    <w:div w:id="735863765">
      <w:bodyDiv w:val="1"/>
      <w:marLeft w:val="0"/>
      <w:marRight w:val="0"/>
      <w:marTop w:val="0"/>
      <w:marBottom w:val="0"/>
      <w:divBdr>
        <w:top w:val="none" w:sz="0" w:space="0" w:color="auto"/>
        <w:left w:val="none" w:sz="0" w:space="0" w:color="auto"/>
        <w:bottom w:val="none" w:sz="0" w:space="0" w:color="auto"/>
        <w:right w:val="none" w:sz="0" w:space="0" w:color="auto"/>
      </w:divBdr>
    </w:div>
    <w:div w:id="755247187">
      <w:bodyDiv w:val="1"/>
      <w:marLeft w:val="0"/>
      <w:marRight w:val="0"/>
      <w:marTop w:val="0"/>
      <w:marBottom w:val="0"/>
      <w:divBdr>
        <w:top w:val="none" w:sz="0" w:space="0" w:color="auto"/>
        <w:left w:val="none" w:sz="0" w:space="0" w:color="auto"/>
        <w:bottom w:val="none" w:sz="0" w:space="0" w:color="auto"/>
        <w:right w:val="none" w:sz="0" w:space="0" w:color="auto"/>
      </w:divBdr>
    </w:div>
    <w:div w:id="760681310">
      <w:bodyDiv w:val="1"/>
      <w:marLeft w:val="0"/>
      <w:marRight w:val="0"/>
      <w:marTop w:val="0"/>
      <w:marBottom w:val="0"/>
      <w:divBdr>
        <w:top w:val="none" w:sz="0" w:space="0" w:color="auto"/>
        <w:left w:val="none" w:sz="0" w:space="0" w:color="auto"/>
        <w:bottom w:val="none" w:sz="0" w:space="0" w:color="auto"/>
        <w:right w:val="none" w:sz="0" w:space="0" w:color="auto"/>
      </w:divBdr>
    </w:div>
    <w:div w:id="842282271">
      <w:bodyDiv w:val="1"/>
      <w:marLeft w:val="0"/>
      <w:marRight w:val="0"/>
      <w:marTop w:val="0"/>
      <w:marBottom w:val="0"/>
      <w:divBdr>
        <w:top w:val="none" w:sz="0" w:space="0" w:color="auto"/>
        <w:left w:val="none" w:sz="0" w:space="0" w:color="auto"/>
        <w:bottom w:val="none" w:sz="0" w:space="0" w:color="auto"/>
        <w:right w:val="none" w:sz="0" w:space="0" w:color="auto"/>
      </w:divBdr>
    </w:div>
    <w:div w:id="985284647">
      <w:bodyDiv w:val="1"/>
      <w:marLeft w:val="0"/>
      <w:marRight w:val="0"/>
      <w:marTop w:val="0"/>
      <w:marBottom w:val="0"/>
      <w:divBdr>
        <w:top w:val="none" w:sz="0" w:space="0" w:color="auto"/>
        <w:left w:val="none" w:sz="0" w:space="0" w:color="auto"/>
        <w:bottom w:val="none" w:sz="0" w:space="0" w:color="auto"/>
        <w:right w:val="none" w:sz="0" w:space="0" w:color="auto"/>
      </w:divBdr>
    </w:div>
    <w:div w:id="1049300122">
      <w:bodyDiv w:val="1"/>
      <w:marLeft w:val="0"/>
      <w:marRight w:val="0"/>
      <w:marTop w:val="0"/>
      <w:marBottom w:val="0"/>
      <w:divBdr>
        <w:top w:val="none" w:sz="0" w:space="0" w:color="auto"/>
        <w:left w:val="none" w:sz="0" w:space="0" w:color="auto"/>
        <w:bottom w:val="none" w:sz="0" w:space="0" w:color="auto"/>
        <w:right w:val="none" w:sz="0" w:space="0" w:color="auto"/>
      </w:divBdr>
      <w:divsChild>
        <w:div w:id="491067018">
          <w:marLeft w:val="0"/>
          <w:marRight w:val="0"/>
          <w:marTop w:val="0"/>
          <w:marBottom w:val="0"/>
          <w:divBdr>
            <w:top w:val="none" w:sz="0" w:space="0" w:color="auto"/>
            <w:left w:val="none" w:sz="0" w:space="0" w:color="auto"/>
            <w:bottom w:val="none" w:sz="0" w:space="0" w:color="auto"/>
            <w:right w:val="none" w:sz="0" w:space="0" w:color="auto"/>
          </w:divBdr>
        </w:div>
        <w:div w:id="1099839827">
          <w:marLeft w:val="0"/>
          <w:marRight w:val="0"/>
          <w:marTop w:val="0"/>
          <w:marBottom w:val="0"/>
          <w:divBdr>
            <w:top w:val="none" w:sz="0" w:space="0" w:color="auto"/>
            <w:left w:val="none" w:sz="0" w:space="0" w:color="auto"/>
            <w:bottom w:val="none" w:sz="0" w:space="0" w:color="auto"/>
            <w:right w:val="none" w:sz="0" w:space="0" w:color="auto"/>
          </w:divBdr>
        </w:div>
        <w:div w:id="1351685577">
          <w:marLeft w:val="0"/>
          <w:marRight w:val="0"/>
          <w:marTop w:val="0"/>
          <w:marBottom w:val="0"/>
          <w:divBdr>
            <w:top w:val="none" w:sz="0" w:space="0" w:color="auto"/>
            <w:left w:val="none" w:sz="0" w:space="0" w:color="auto"/>
            <w:bottom w:val="none" w:sz="0" w:space="0" w:color="auto"/>
            <w:right w:val="none" w:sz="0" w:space="0" w:color="auto"/>
          </w:divBdr>
        </w:div>
        <w:div w:id="1875774899">
          <w:marLeft w:val="0"/>
          <w:marRight w:val="0"/>
          <w:marTop w:val="0"/>
          <w:marBottom w:val="0"/>
          <w:divBdr>
            <w:top w:val="none" w:sz="0" w:space="0" w:color="auto"/>
            <w:left w:val="none" w:sz="0" w:space="0" w:color="auto"/>
            <w:bottom w:val="none" w:sz="0" w:space="0" w:color="auto"/>
            <w:right w:val="none" w:sz="0" w:space="0" w:color="auto"/>
          </w:divBdr>
        </w:div>
      </w:divsChild>
    </w:div>
    <w:div w:id="1093941107">
      <w:bodyDiv w:val="1"/>
      <w:marLeft w:val="0"/>
      <w:marRight w:val="0"/>
      <w:marTop w:val="0"/>
      <w:marBottom w:val="0"/>
      <w:divBdr>
        <w:top w:val="none" w:sz="0" w:space="0" w:color="auto"/>
        <w:left w:val="none" w:sz="0" w:space="0" w:color="auto"/>
        <w:bottom w:val="none" w:sz="0" w:space="0" w:color="auto"/>
        <w:right w:val="none" w:sz="0" w:space="0" w:color="auto"/>
      </w:divBdr>
    </w:div>
    <w:div w:id="1136335225">
      <w:bodyDiv w:val="1"/>
      <w:marLeft w:val="0"/>
      <w:marRight w:val="0"/>
      <w:marTop w:val="0"/>
      <w:marBottom w:val="0"/>
      <w:divBdr>
        <w:top w:val="none" w:sz="0" w:space="0" w:color="auto"/>
        <w:left w:val="none" w:sz="0" w:space="0" w:color="auto"/>
        <w:bottom w:val="none" w:sz="0" w:space="0" w:color="auto"/>
        <w:right w:val="none" w:sz="0" w:space="0" w:color="auto"/>
      </w:divBdr>
    </w:div>
    <w:div w:id="1145703781">
      <w:bodyDiv w:val="1"/>
      <w:marLeft w:val="0"/>
      <w:marRight w:val="0"/>
      <w:marTop w:val="0"/>
      <w:marBottom w:val="0"/>
      <w:divBdr>
        <w:top w:val="none" w:sz="0" w:space="0" w:color="auto"/>
        <w:left w:val="none" w:sz="0" w:space="0" w:color="auto"/>
        <w:bottom w:val="none" w:sz="0" w:space="0" w:color="auto"/>
        <w:right w:val="none" w:sz="0" w:space="0" w:color="auto"/>
      </w:divBdr>
    </w:div>
    <w:div w:id="1307391738">
      <w:bodyDiv w:val="1"/>
      <w:marLeft w:val="0"/>
      <w:marRight w:val="0"/>
      <w:marTop w:val="0"/>
      <w:marBottom w:val="0"/>
      <w:divBdr>
        <w:top w:val="none" w:sz="0" w:space="0" w:color="auto"/>
        <w:left w:val="none" w:sz="0" w:space="0" w:color="auto"/>
        <w:bottom w:val="none" w:sz="0" w:space="0" w:color="auto"/>
        <w:right w:val="none" w:sz="0" w:space="0" w:color="auto"/>
      </w:divBdr>
    </w:div>
    <w:div w:id="1465929287">
      <w:bodyDiv w:val="1"/>
      <w:marLeft w:val="0"/>
      <w:marRight w:val="0"/>
      <w:marTop w:val="0"/>
      <w:marBottom w:val="0"/>
      <w:divBdr>
        <w:top w:val="none" w:sz="0" w:space="0" w:color="auto"/>
        <w:left w:val="none" w:sz="0" w:space="0" w:color="auto"/>
        <w:bottom w:val="none" w:sz="0" w:space="0" w:color="auto"/>
        <w:right w:val="none" w:sz="0" w:space="0" w:color="auto"/>
      </w:divBdr>
    </w:div>
    <w:div w:id="1481727796">
      <w:bodyDiv w:val="1"/>
      <w:marLeft w:val="0"/>
      <w:marRight w:val="0"/>
      <w:marTop w:val="0"/>
      <w:marBottom w:val="0"/>
      <w:divBdr>
        <w:top w:val="none" w:sz="0" w:space="0" w:color="auto"/>
        <w:left w:val="none" w:sz="0" w:space="0" w:color="auto"/>
        <w:bottom w:val="none" w:sz="0" w:space="0" w:color="auto"/>
        <w:right w:val="none" w:sz="0" w:space="0" w:color="auto"/>
      </w:divBdr>
      <w:divsChild>
        <w:div w:id="1647319257">
          <w:marLeft w:val="0"/>
          <w:marRight w:val="0"/>
          <w:marTop w:val="0"/>
          <w:marBottom w:val="0"/>
          <w:divBdr>
            <w:top w:val="none" w:sz="0" w:space="0" w:color="auto"/>
            <w:left w:val="none" w:sz="0" w:space="0" w:color="auto"/>
            <w:bottom w:val="none" w:sz="0" w:space="0" w:color="auto"/>
            <w:right w:val="none" w:sz="0" w:space="0" w:color="auto"/>
          </w:divBdr>
        </w:div>
      </w:divsChild>
    </w:div>
    <w:div w:id="1537692413">
      <w:bodyDiv w:val="1"/>
      <w:marLeft w:val="0"/>
      <w:marRight w:val="0"/>
      <w:marTop w:val="0"/>
      <w:marBottom w:val="0"/>
      <w:divBdr>
        <w:top w:val="none" w:sz="0" w:space="0" w:color="auto"/>
        <w:left w:val="none" w:sz="0" w:space="0" w:color="auto"/>
        <w:bottom w:val="none" w:sz="0" w:space="0" w:color="auto"/>
        <w:right w:val="none" w:sz="0" w:space="0" w:color="auto"/>
      </w:divBdr>
      <w:divsChild>
        <w:div w:id="176040984">
          <w:marLeft w:val="0"/>
          <w:marRight w:val="0"/>
          <w:marTop w:val="0"/>
          <w:marBottom w:val="0"/>
          <w:divBdr>
            <w:top w:val="none" w:sz="0" w:space="0" w:color="auto"/>
            <w:left w:val="none" w:sz="0" w:space="0" w:color="auto"/>
            <w:bottom w:val="none" w:sz="0" w:space="0" w:color="auto"/>
            <w:right w:val="none" w:sz="0" w:space="0" w:color="auto"/>
          </w:divBdr>
          <w:divsChild>
            <w:div w:id="1394889277">
              <w:marLeft w:val="0"/>
              <w:marRight w:val="0"/>
              <w:marTop w:val="0"/>
              <w:marBottom w:val="0"/>
              <w:divBdr>
                <w:top w:val="none" w:sz="0" w:space="0" w:color="auto"/>
                <w:left w:val="none" w:sz="0" w:space="0" w:color="auto"/>
                <w:bottom w:val="none" w:sz="0" w:space="0" w:color="auto"/>
                <w:right w:val="none" w:sz="0" w:space="0" w:color="auto"/>
              </w:divBdr>
              <w:divsChild>
                <w:div w:id="20385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7807">
          <w:marLeft w:val="0"/>
          <w:marRight w:val="0"/>
          <w:marTop w:val="0"/>
          <w:marBottom w:val="0"/>
          <w:divBdr>
            <w:top w:val="none" w:sz="0" w:space="0" w:color="auto"/>
            <w:left w:val="none" w:sz="0" w:space="0" w:color="auto"/>
            <w:bottom w:val="none" w:sz="0" w:space="0" w:color="auto"/>
            <w:right w:val="none" w:sz="0" w:space="0" w:color="auto"/>
          </w:divBdr>
          <w:divsChild>
            <w:div w:id="1520197088">
              <w:marLeft w:val="0"/>
              <w:marRight w:val="0"/>
              <w:marTop w:val="0"/>
              <w:marBottom w:val="0"/>
              <w:divBdr>
                <w:top w:val="none" w:sz="0" w:space="0" w:color="auto"/>
                <w:left w:val="none" w:sz="0" w:space="0" w:color="auto"/>
                <w:bottom w:val="none" w:sz="0" w:space="0" w:color="auto"/>
                <w:right w:val="none" w:sz="0" w:space="0" w:color="auto"/>
              </w:divBdr>
              <w:divsChild>
                <w:div w:id="7302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6993">
          <w:marLeft w:val="0"/>
          <w:marRight w:val="0"/>
          <w:marTop w:val="0"/>
          <w:marBottom w:val="0"/>
          <w:divBdr>
            <w:top w:val="none" w:sz="0" w:space="0" w:color="auto"/>
            <w:left w:val="none" w:sz="0" w:space="0" w:color="auto"/>
            <w:bottom w:val="none" w:sz="0" w:space="0" w:color="auto"/>
            <w:right w:val="none" w:sz="0" w:space="0" w:color="auto"/>
          </w:divBdr>
        </w:div>
      </w:divsChild>
    </w:div>
    <w:div w:id="1669093257">
      <w:bodyDiv w:val="1"/>
      <w:marLeft w:val="0"/>
      <w:marRight w:val="0"/>
      <w:marTop w:val="0"/>
      <w:marBottom w:val="0"/>
      <w:divBdr>
        <w:top w:val="none" w:sz="0" w:space="0" w:color="auto"/>
        <w:left w:val="none" w:sz="0" w:space="0" w:color="auto"/>
        <w:bottom w:val="none" w:sz="0" w:space="0" w:color="auto"/>
        <w:right w:val="none" w:sz="0" w:space="0" w:color="auto"/>
      </w:divBdr>
    </w:div>
    <w:div w:id="1696805394">
      <w:bodyDiv w:val="1"/>
      <w:marLeft w:val="0"/>
      <w:marRight w:val="0"/>
      <w:marTop w:val="0"/>
      <w:marBottom w:val="0"/>
      <w:divBdr>
        <w:top w:val="none" w:sz="0" w:space="0" w:color="auto"/>
        <w:left w:val="none" w:sz="0" w:space="0" w:color="auto"/>
        <w:bottom w:val="none" w:sz="0" w:space="0" w:color="auto"/>
        <w:right w:val="none" w:sz="0" w:space="0" w:color="auto"/>
      </w:divBdr>
    </w:div>
    <w:div w:id="1697582648">
      <w:bodyDiv w:val="1"/>
      <w:marLeft w:val="0"/>
      <w:marRight w:val="0"/>
      <w:marTop w:val="0"/>
      <w:marBottom w:val="0"/>
      <w:divBdr>
        <w:top w:val="none" w:sz="0" w:space="0" w:color="auto"/>
        <w:left w:val="none" w:sz="0" w:space="0" w:color="auto"/>
        <w:bottom w:val="none" w:sz="0" w:space="0" w:color="auto"/>
        <w:right w:val="none" w:sz="0" w:space="0" w:color="auto"/>
      </w:divBdr>
    </w:div>
    <w:div w:id="1720975590">
      <w:bodyDiv w:val="1"/>
      <w:marLeft w:val="0"/>
      <w:marRight w:val="0"/>
      <w:marTop w:val="0"/>
      <w:marBottom w:val="0"/>
      <w:divBdr>
        <w:top w:val="none" w:sz="0" w:space="0" w:color="auto"/>
        <w:left w:val="none" w:sz="0" w:space="0" w:color="auto"/>
        <w:bottom w:val="none" w:sz="0" w:space="0" w:color="auto"/>
        <w:right w:val="none" w:sz="0" w:space="0" w:color="auto"/>
      </w:divBdr>
    </w:div>
    <w:div w:id="1841891488">
      <w:bodyDiv w:val="1"/>
      <w:marLeft w:val="0"/>
      <w:marRight w:val="0"/>
      <w:marTop w:val="0"/>
      <w:marBottom w:val="0"/>
      <w:divBdr>
        <w:top w:val="none" w:sz="0" w:space="0" w:color="auto"/>
        <w:left w:val="none" w:sz="0" w:space="0" w:color="auto"/>
        <w:bottom w:val="none" w:sz="0" w:space="0" w:color="auto"/>
        <w:right w:val="none" w:sz="0" w:space="0" w:color="auto"/>
      </w:divBdr>
    </w:div>
    <w:div w:id="1919710551">
      <w:bodyDiv w:val="1"/>
      <w:marLeft w:val="0"/>
      <w:marRight w:val="0"/>
      <w:marTop w:val="0"/>
      <w:marBottom w:val="0"/>
      <w:divBdr>
        <w:top w:val="none" w:sz="0" w:space="0" w:color="auto"/>
        <w:left w:val="none" w:sz="0" w:space="0" w:color="auto"/>
        <w:bottom w:val="none" w:sz="0" w:space="0" w:color="auto"/>
        <w:right w:val="none" w:sz="0" w:space="0" w:color="auto"/>
      </w:divBdr>
    </w:div>
    <w:div w:id="2001540862">
      <w:bodyDiv w:val="1"/>
      <w:marLeft w:val="0"/>
      <w:marRight w:val="0"/>
      <w:marTop w:val="0"/>
      <w:marBottom w:val="0"/>
      <w:divBdr>
        <w:top w:val="none" w:sz="0" w:space="0" w:color="auto"/>
        <w:left w:val="none" w:sz="0" w:space="0" w:color="auto"/>
        <w:bottom w:val="none" w:sz="0" w:space="0" w:color="auto"/>
        <w:right w:val="none" w:sz="0" w:space="0" w:color="auto"/>
      </w:divBdr>
      <w:divsChild>
        <w:div w:id="839924503">
          <w:marLeft w:val="0"/>
          <w:marRight w:val="0"/>
          <w:marTop w:val="0"/>
          <w:marBottom w:val="0"/>
          <w:divBdr>
            <w:top w:val="none" w:sz="0" w:space="0" w:color="auto"/>
            <w:left w:val="none" w:sz="0" w:space="0" w:color="auto"/>
            <w:bottom w:val="none" w:sz="0" w:space="0" w:color="auto"/>
            <w:right w:val="none" w:sz="0" w:space="0" w:color="auto"/>
          </w:divBdr>
        </w:div>
      </w:divsChild>
    </w:div>
    <w:div w:id="2007202108">
      <w:bodyDiv w:val="1"/>
      <w:marLeft w:val="0"/>
      <w:marRight w:val="0"/>
      <w:marTop w:val="0"/>
      <w:marBottom w:val="0"/>
      <w:divBdr>
        <w:top w:val="none" w:sz="0" w:space="0" w:color="auto"/>
        <w:left w:val="none" w:sz="0" w:space="0" w:color="auto"/>
        <w:bottom w:val="none" w:sz="0" w:space="0" w:color="auto"/>
        <w:right w:val="none" w:sz="0" w:space="0" w:color="auto"/>
      </w:divBdr>
    </w:div>
    <w:div w:id="2012372131">
      <w:bodyDiv w:val="1"/>
      <w:marLeft w:val="0"/>
      <w:marRight w:val="0"/>
      <w:marTop w:val="0"/>
      <w:marBottom w:val="0"/>
      <w:divBdr>
        <w:top w:val="none" w:sz="0" w:space="0" w:color="auto"/>
        <w:left w:val="none" w:sz="0" w:space="0" w:color="auto"/>
        <w:bottom w:val="none" w:sz="0" w:space="0" w:color="auto"/>
        <w:right w:val="none" w:sz="0" w:space="0" w:color="auto"/>
      </w:divBdr>
    </w:div>
    <w:div w:id="21260023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55AAF-3224-4E7E-AB3A-CA1E4852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49</Pages>
  <Words>17207</Words>
  <Characters>103243</Characters>
  <Application>Microsoft Office Word</Application>
  <DocSecurity>0</DocSecurity>
  <Lines>860</Lines>
  <Paragraphs>240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dc:creator>
  <cp:keywords/>
  <dc:description/>
  <cp:lastModifiedBy>Pietrzak Ewa</cp:lastModifiedBy>
  <cp:revision>5</cp:revision>
  <cp:lastPrinted>2024-06-11T08:32:00Z</cp:lastPrinted>
  <dcterms:created xsi:type="dcterms:W3CDTF">2024-11-08T08:06:00Z</dcterms:created>
  <dcterms:modified xsi:type="dcterms:W3CDTF">2024-11-08T08:13:00Z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KSOProductBuildVer">
    <vt:lpwstr>1033-11.2.0.8342</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-876389083</vt:i4>
  </property>
</Properties>
</file>