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47B296" w14:textId="77777777" w:rsidR="002D6E25" w:rsidRDefault="002D6E25" w:rsidP="002D6E25">
      <w:pPr>
        <w:pStyle w:val="OZNRODZAKTUtznustawalubrozporzdzenieiorganwydajcy"/>
      </w:pPr>
      <w:bookmarkStart w:id="0" w:name="_Hlk179185257"/>
      <w:r>
        <w:t>ustawa</w:t>
      </w:r>
    </w:p>
    <w:bookmarkEnd w:id="0"/>
    <w:p w14:paraId="7F9B1375" w14:textId="77777777" w:rsidR="002D6E25" w:rsidRDefault="002D6E25" w:rsidP="002D6E25">
      <w:pPr>
        <w:pStyle w:val="DATAAKTUdatauchwalenialubwydaniaaktu"/>
      </w:pPr>
      <w:r>
        <w:t xml:space="preserve">z dnia </w:t>
      </w:r>
    </w:p>
    <w:p w14:paraId="7B467014" w14:textId="77777777" w:rsidR="002D6E25" w:rsidRDefault="002D6E25" w:rsidP="002D6E25">
      <w:pPr>
        <w:pStyle w:val="TYTUAKTUprzedmiotregulacjiustawylubrozporzdzenia"/>
      </w:pPr>
      <w:r>
        <w:t>o zmianie ustawy o Krajowym Ośrodku Wsparcia Rolnictwa</w:t>
      </w:r>
    </w:p>
    <w:p w14:paraId="5846A3C7" w14:textId="18236AF2" w:rsidR="002D6E25" w:rsidRDefault="002D6E25" w:rsidP="002D6E25">
      <w:pPr>
        <w:pStyle w:val="ARTartustawynprozporzdzenia"/>
      </w:pPr>
      <w:bookmarkStart w:id="1" w:name="_Hlk171511185"/>
      <w:r>
        <w:rPr>
          <w:rStyle w:val="Ppogrubienie"/>
        </w:rPr>
        <w:t>Art. 1.</w:t>
      </w:r>
      <w:r>
        <w:t> </w:t>
      </w:r>
      <w:bookmarkEnd w:id="1"/>
      <w:r>
        <w:t xml:space="preserve">W ustawie z dnia 10 lutego 2017 r. o Krajowym Ośrodku Wsparcia Rolnictwa (Dz. U. 2024 </w:t>
      </w:r>
      <w:r w:rsidR="00C91508">
        <w:t xml:space="preserve">r. </w:t>
      </w:r>
      <w:r>
        <w:t>poz. 700) w art. 4 po ust. 5 dodaje się ust. 6 w brzmieniu:</w:t>
      </w:r>
    </w:p>
    <w:p w14:paraId="2905F484" w14:textId="77777777" w:rsidR="002D6E25" w:rsidRDefault="002D6E25" w:rsidP="002D6E25">
      <w:pPr>
        <w:pStyle w:val="PKTpunkt"/>
      </w:pPr>
      <w:r>
        <w:t xml:space="preserve"> </w:t>
      </w:r>
    </w:p>
    <w:p w14:paraId="64824305" w14:textId="3A01434C" w:rsidR="002D6E25" w:rsidRDefault="002D6E25" w:rsidP="002D6E25">
      <w:pPr>
        <w:pStyle w:val="PKTpunkt"/>
        <w:ind w:left="0" w:firstLine="510"/>
      </w:pPr>
      <w:r>
        <w:t>„6. Ze stanowiskiem Dyrektora Generalnego i zastępcy Dyrektora Generalnego nie można łączyć mandatu posła, senatora</w:t>
      </w:r>
      <w:r w:rsidR="00783E15">
        <w:t>,</w:t>
      </w:r>
      <w:r>
        <w:t xml:space="preserve"> posła do Parlamentu Europejskiego.</w:t>
      </w:r>
      <w:r w:rsidR="00C91508">
        <w:t>”.</w:t>
      </w:r>
    </w:p>
    <w:p w14:paraId="2F054FDD" w14:textId="77777777" w:rsidR="002D6E25" w:rsidRDefault="002D6E25" w:rsidP="002D6E25">
      <w:pPr>
        <w:pStyle w:val="ARTartustawynprozporzdzenia"/>
        <w:rPr>
          <w:rStyle w:val="Ppogrubienie"/>
        </w:rPr>
      </w:pPr>
    </w:p>
    <w:p w14:paraId="7451F333" w14:textId="7028E4A0" w:rsidR="002D6E25" w:rsidRDefault="002D6E25" w:rsidP="002D6E25">
      <w:pPr>
        <w:pStyle w:val="ARTartustawynprozporzdzenia"/>
      </w:pPr>
      <w:r>
        <w:rPr>
          <w:rStyle w:val="Ppogrubienie"/>
        </w:rPr>
        <w:t xml:space="preserve">Art. </w:t>
      </w:r>
      <w:r w:rsidR="000D4649">
        <w:rPr>
          <w:rStyle w:val="Ppogrubienie"/>
        </w:rPr>
        <w:t>2</w:t>
      </w:r>
      <w:r>
        <w:rPr>
          <w:rStyle w:val="Ppogrubienie"/>
        </w:rPr>
        <w:t xml:space="preserve">. </w:t>
      </w:r>
      <w:r>
        <w:t xml:space="preserve">Ustawa wchodzi w życie z dniem następującym po dniu ogłoszenia. </w:t>
      </w:r>
    </w:p>
    <w:p w14:paraId="06EBEA4F" w14:textId="77777777" w:rsidR="002D6E25" w:rsidRDefault="002D6E25" w:rsidP="002D6E25">
      <w:pPr>
        <w:pStyle w:val="ARTartustawynprozporzdzenia"/>
        <w:ind w:firstLine="0"/>
      </w:pPr>
    </w:p>
    <w:p w14:paraId="23889911" w14:textId="77777777" w:rsidR="002D6E25" w:rsidRDefault="002D6E25" w:rsidP="002D6E25">
      <w:pPr>
        <w:pStyle w:val="ARTartustawynprozporzdzenia"/>
        <w:ind w:firstLine="0"/>
      </w:pPr>
    </w:p>
    <w:p w14:paraId="4A64D5C6" w14:textId="77777777" w:rsidR="002D6E25" w:rsidRDefault="002D6E25" w:rsidP="002D6E25">
      <w:pPr>
        <w:pStyle w:val="ARTartustawynprozporzdzenia"/>
        <w:ind w:firstLine="0"/>
      </w:pPr>
    </w:p>
    <w:p w14:paraId="1969FA67" w14:textId="77777777" w:rsidR="002D6E25" w:rsidRDefault="002D6E25" w:rsidP="002D6E25">
      <w:pPr>
        <w:pStyle w:val="ARTartustawynprozporzdzenia"/>
        <w:ind w:firstLine="0"/>
      </w:pPr>
    </w:p>
    <w:p w14:paraId="11B8035C" w14:textId="77777777" w:rsidR="002D6E25" w:rsidRDefault="002D6E25" w:rsidP="002D6E25">
      <w:pPr>
        <w:pStyle w:val="ARTartustawynprozporzdzenia"/>
        <w:ind w:firstLine="0"/>
      </w:pPr>
    </w:p>
    <w:p w14:paraId="5B658DE7" w14:textId="77777777" w:rsidR="002D6E25" w:rsidRDefault="002D6E25" w:rsidP="002D6E25">
      <w:pPr>
        <w:pStyle w:val="ARTartustawynprozporzdzenia"/>
        <w:ind w:firstLine="0"/>
      </w:pPr>
    </w:p>
    <w:p w14:paraId="6201BA92" w14:textId="77777777" w:rsidR="002D6E25" w:rsidRDefault="002D6E25" w:rsidP="002D6E25">
      <w:pPr>
        <w:pStyle w:val="ARTartustawynprozporzdzenia"/>
        <w:ind w:firstLine="0"/>
      </w:pPr>
    </w:p>
    <w:p w14:paraId="775F6334" w14:textId="77777777" w:rsidR="002D6E25" w:rsidRDefault="002D6E25" w:rsidP="002D6E25">
      <w:pPr>
        <w:pStyle w:val="ARTartustawynprozporzdzenia"/>
        <w:ind w:firstLine="0"/>
      </w:pPr>
    </w:p>
    <w:p w14:paraId="216DBEE0" w14:textId="77777777" w:rsidR="002D6E25" w:rsidRDefault="002D6E25" w:rsidP="002D6E25">
      <w:pPr>
        <w:pStyle w:val="ARTartustawynprozporzdzenia"/>
        <w:ind w:firstLine="0"/>
      </w:pPr>
    </w:p>
    <w:p w14:paraId="0A4049F5" w14:textId="77777777" w:rsidR="002D6E25" w:rsidRDefault="002D6E25" w:rsidP="002D6E25">
      <w:pPr>
        <w:pStyle w:val="ARTartustawynprozporzdzenia"/>
        <w:ind w:firstLine="0"/>
      </w:pPr>
    </w:p>
    <w:p w14:paraId="5F61E06B" w14:textId="77777777" w:rsidR="002D6E25" w:rsidRDefault="002D6E25" w:rsidP="002D6E25">
      <w:pPr>
        <w:pStyle w:val="ARTartustawynprozporzdzenia"/>
        <w:ind w:firstLine="0"/>
      </w:pPr>
    </w:p>
    <w:p w14:paraId="48EB4D5A" w14:textId="77777777" w:rsidR="002D6E25" w:rsidRDefault="002D6E25" w:rsidP="002D6E25">
      <w:pPr>
        <w:pStyle w:val="ARTartustawynprozporzdzenia"/>
        <w:ind w:firstLine="0"/>
      </w:pPr>
    </w:p>
    <w:p w14:paraId="06033F6E" w14:textId="77777777" w:rsidR="002D6E25" w:rsidRDefault="002D6E25" w:rsidP="002D6E25">
      <w:pPr>
        <w:pStyle w:val="ARTartustawynprozporzdzenia"/>
        <w:ind w:firstLine="0"/>
      </w:pPr>
    </w:p>
    <w:p w14:paraId="45A5083F" w14:textId="77777777" w:rsidR="002D6E25" w:rsidRDefault="002D6E25" w:rsidP="002D6E25">
      <w:pPr>
        <w:pStyle w:val="ARTartustawynprozporzdzenia"/>
        <w:ind w:firstLine="0"/>
      </w:pPr>
    </w:p>
    <w:p w14:paraId="4D110C82" w14:textId="77777777" w:rsidR="000D4649" w:rsidRDefault="000D4649" w:rsidP="002D6E25">
      <w:pPr>
        <w:pStyle w:val="ARTartustawynprozporzdzenia"/>
        <w:ind w:firstLine="0"/>
      </w:pPr>
    </w:p>
    <w:p w14:paraId="673A35F2" w14:textId="77777777" w:rsidR="002D6E25" w:rsidRDefault="002D6E25" w:rsidP="002D6E25">
      <w:pPr>
        <w:pStyle w:val="ARTartustawynprozporzdzenia"/>
        <w:ind w:firstLine="0"/>
      </w:pPr>
    </w:p>
    <w:p w14:paraId="1F676D16" w14:textId="4BEA5D89" w:rsidR="002D6E25" w:rsidRDefault="002D6E25" w:rsidP="002D6E25">
      <w:pPr>
        <w:pStyle w:val="OZNRODZAKTUtznustawalubrozporzdzenieiorganwydajcy"/>
      </w:pPr>
      <w:r>
        <w:lastRenderedPageBreak/>
        <w:tab/>
        <w:t>uZASADNIENIE</w:t>
      </w:r>
    </w:p>
    <w:p w14:paraId="275C9987" w14:textId="77777777" w:rsidR="002D6E25" w:rsidRDefault="002D6E25" w:rsidP="002D6E25">
      <w:pPr>
        <w:pStyle w:val="ARTartustawynprozporzdzenia"/>
        <w:ind w:firstLine="0"/>
      </w:pPr>
    </w:p>
    <w:p w14:paraId="1284BB6B" w14:textId="6D30F074" w:rsidR="002D6E25" w:rsidRDefault="002D6E25" w:rsidP="002D6E25">
      <w:pPr>
        <w:pStyle w:val="ARTartustawynprozporzdzenia"/>
        <w:ind w:firstLine="0"/>
      </w:pPr>
      <w:r>
        <w:t xml:space="preserve">Projekt ustawy przewiduje dodanie w art. 4 ust. 6. Dotyczy on wymogów, które musi spełnić Dyrektor Generalny KOWR i zastępcy Dyrektora Generalnego KOWR. Wśród dotychczas określonych wymogów znalazły się takie jak obywatelstwo polskie, niekaralność za umyślne przestępstwo lub umyślne przestępstwo skarbowe, odpowiedni staż pracy oraz staż pracy na stanowisku kierowniczym, czy też odpowiednie wykształcenie. </w:t>
      </w:r>
    </w:p>
    <w:p w14:paraId="0916C02E" w14:textId="2219A5AE" w:rsidR="002D6E25" w:rsidRDefault="002D6E25" w:rsidP="002D6E25">
      <w:pPr>
        <w:pStyle w:val="ARTartustawynprozporzdzenia"/>
        <w:ind w:firstLine="0"/>
      </w:pPr>
      <w:r>
        <w:t xml:space="preserve">W proponowanym ust. 6 dodaje się wymóg w postaci niełączenia tej funkcji z pełnieniem mandatu posła, senatora lub posła do Parlamentu Europejskiego. Ma to zapobiegać upolitycznieniu funkcji dyrektora generalnego i jego zastępców. KOWR z racji zakresu zadań, do których zalicza się wdrażanie i stosowanie instrumentów wsparcia rolnictwa, aktywna polityka rolna oraz rozwój obszarów wiejskich, w tym takie działania jak tworzenie oraz poprawa struktury obszarowej gospodarstw rodzinnych czy tworzenie warunków sprzyjających racjonalnemu wykorzystaniu potencjału produkcyjnego Zasobu Własności Rolnej Skarbu Państwa, powinien być zarządzany przez osoby, które są w stanie właściwie wykonywać te zadania w pełnym wymiarze. Jak pokazuje praktyka, jednoczesne łączenie tych funkcji, chociażby ze względu na wielość obowiązków, związanych z wykonywaniem mandatów poselskich czy senatorskich, utrudnia rzetelne wykonywanie obowiązków. </w:t>
      </w:r>
    </w:p>
    <w:p w14:paraId="09FFC85C" w14:textId="780F979A" w:rsidR="002D6E25" w:rsidRDefault="002D6E25" w:rsidP="002D6E25">
      <w:pPr>
        <w:pStyle w:val="ARTartustawynprozporzdzenia"/>
        <w:ind w:firstLine="0"/>
      </w:pPr>
      <w:r>
        <w:t xml:space="preserve">Projektowana ustawa jest zgodna z prawem Unii Europejskiej. </w:t>
      </w:r>
    </w:p>
    <w:p w14:paraId="34B634B5" w14:textId="77777777" w:rsidR="002D6E25" w:rsidRDefault="002D6E25" w:rsidP="002D6E25">
      <w:pPr>
        <w:pStyle w:val="ARTartustawynprozporzdzenia"/>
        <w:ind w:firstLine="0"/>
      </w:pPr>
      <w:r>
        <w:t>Projekt ustawy nie ma wpływu na działalność mikroprzedsiębiorców oraz małych i średnich przedsiębiorców.</w:t>
      </w:r>
    </w:p>
    <w:p w14:paraId="56F5A9AB" w14:textId="1591E50A" w:rsidR="00783E15" w:rsidRDefault="00783E15" w:rsidP="002D6E25">
      <w:pPr>
        <w:pStyle w:val="ARTartustawynprozporzdzenia"/>
        <w:ind w:firstLine="0"/>
      </w:pPr>
      <w:r>
        <w:t xml:space="preserve">Proponuje się aby </w:t>
      </w:r>
      <w:r w:rsidR="007A07C2">
        <w:t>ze względu na</w:t>
      </w:r>
      <w:r w:rsidR="007A07C2" w:rsidRPr="00783E15">
        <w:t xml:space="preserve"> ważny interes państw</w:t>
      </w:r>
      <w:r w:rsidR="007A07C2">
        <w:t xml:space="preserve">a </w:t>
      </w:r>
      <w:r>
        <w:t xml:space="preserve">ustawa weszła w życie </w:t>
      </w:r>
      <w:r w:rsidRPr="00783E15">
        <w:t>z dniem następującym po dniu ogłoszenia</w:t>
      </w:r>
      <w:r w:rsidR="007A07C2">
        <w:t>. Przemawiają za tym względy</w:t>
      </w:r>
      <w:r w:rsidR="007A07C2" w:rsidRPr="007A07C2">
        <w:t xml:space="preserve"> przejrzystości życia publicznego oraz transparentności w życiu społeczno – politycznym. </w:t>
      </w:r>
    </w:p>
    <w:p w14:paraId="4D10E1F0" w14:textId="77777777" w:rsidR="002D6E25" w:rsidRDefault="002D6E25" w:rsidP="002D6E25">
      <w:pPr>
        <w:pStyle w:val="ARTartustawynprozporzdzenia"/>
        <w:ind w:firstLine="0"/>
      </w:pPr>
    </w:p>
    <w:p w14:paraId="436DD144" w14:textId="77777777" w:rsidR="00EC7709" w:rsidRDefault="00EC7709"/>
    <w:sectPr w:rsidR="00EC77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3B8"/>
    <w:rsid w:val="000153B8"/>
    <w:rsid w:val="000D4649"/>
    <w:rsid w:val="001639C6"/>
    <w:rsid w:val="002115FE"/>
    <w:rsid w:val="002D6E25"/>
    <w:rsid w:val="0033705F"/>
    <w:rsid w:val="00652A93"/>
    <w:rsid w:val="00783E15"/>
    <w:rsid w:val="007A07C2"/>
    <w:rsid w:val="008F56CE"/>
    <w:rsid w:val="00AE5D24"/>
    <w:rsid w:val="00C2449F"/>
    <w:rsid w:val="00C91508"/>
    <w:rsid w:val="00EC7709"/>
    <w:rsid w:val="00F526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27B55"/>
  <w15:chartTrackingRefBased/>
  <w15:docId w15:val="{234822C8-09C7-43B2-A21D-8B0E9D3AF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153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0153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0153B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0153B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0153B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0153B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153B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153B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153B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153B8"/>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0153B8"/>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0153B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153B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153B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153B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153B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153B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153B8"/>
    <w:rPr>
      <w:rFonts w:eastAsiaTheme="majorEastAsia" w:cstheme="majorBidi"/>
      <w:color w:val="272727" w:themeColor="text1" w:themeTint="D8"/>
    </w:rPr>
  </w:style>
  <w:style w:type="paragraph" w:styleId="Tytu">
    <w:name w:val="Title"/>
    <w:basedOn w:val="Normalny"/>
    <w:next w:val="Normalny"/>
    <w:link w:val="TytuZnak"/>
    <w:uiPriority w:val="10"/>
    <w:qFormat/>
    <w:rsid w:val="000153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153B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153B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153B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153B8"/>
    <w:pPr>
      <w:spacing w:before="160"/>
      <w:jc w:val="center"/>
    </w:pPr>
    <w:rPr>
      <w:i/>
      <w:iCs/>
      <w:color w:val="404040" w:themeColor="text1" w:themeTint="BF"/>
    </w:rPr>
  </w:style>
  <w:style w:type="character" w:customStyle="1" w:styleId="CytatZnak">
    <w:name w:val="Cytat Znak"/>
    <w:basedOn w:val="Domylnaczcionkaakapitu"/>
    <w:link w:val="Cytat"/>
    <w:uiPriority w:val="29"/>
    <w:rsid w:val="000153B8"/>
    <w:rPr>
      <w:i/>
      <w:iCs/>
      <w:color w:val="404040" w:themeColor="text1" w:themeTint="BF"/>
    </w:rPr>
  </w:style>
  <w:style w:type="paragraph" w:styleId="Akapitzlist">
    <w:name w:val="List Paragraph"/>
    <w:basedOn w:val="Normalny"/>
    <w:uiPriority w:val="34"/>
    <w:qFormat/>
    <w:rsid w:val="000153B8"/>
    <w:pPr>
      <w:ind w:left="720"/>
      <w:contextualSpacing/>
    </w:pPr>
  </w:style>
  <w:style w:type="character" w:styleId="Wyrnienieintensywne">
    <w:name w:val="Intense Emphasis"/>
    <w:basedOn w:val="Domylnaczcionkaakapitu"/>
    <w:uiPriority w:val="21"/>
    <w:qFormat/>
    <w:rsid w:val="000153B8"/>
    <w:rPr>
      <w:i/>
      <w:iCs/>
      <w:color w:val="0F4761" w:themeColor="accent1" w:themeShade="BF"/>
    </w:rPr>
  </w:style>
  <w:style w:type="paragraph" w:styleId="Cytatintensywny">
    <w:name w:val="Intense Quote"/>
    <w:basedOn w:val="Normalny"/>
    <w:next w:val="Normalny"/>
    <w:link w:val="CytatintensywnyZnak"/>
    <w:uiPriority w:val="30"/>
    <w:qFormat/>
    <w:rsid w:val="000153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0153B8"/>
    <w:rPr>
      <w:i/>
      <w:iCs/>
      <w:color w:val="0F4761" w:themeColor="accent1" w:themeShade="BF"/>
    </w:rPr>
  </w:style>
  <w:style w:type="character" w:styleId="Odwoanieintensywne">
    <w:name w:val="Intense Reference"/>
    <w:basedOn w:val="Domylnaczcionkaakapitu"/>
    <w:uiPriority w:val="32"/>
    <w:qFormat/>
    <w:rsid w:val="000153B8"/>
    <w:rPr>
      <w:b/>
      <w:bCs/>
      <w:smallCaps/>
      <w:color w:val="0F4761" w:themeColor="accent1" w:themeShade="BF"/>
      <w:spacing w:val="5"/>
    </w:rPr>
  </w:style>
  <w:style w:type="paragraph" w:customStyle="1" w:styleId="ARTartustawynprozporzdzenia">
    <w:name w:val="ART(§) – art. ustawy (§ np. rozporządzenia)"/>
    <w:uiPriority w:val="11"/>
    <w:qFormat/>
    <w:rsid w:val="002D6E25"/>
    <w:pPr>
      <w:suppressAutoHyphens/>
      <w:autoSpaceDE w:val="0"/>
      <w:autoSpaceDN w:val="0"/>
      <w:adjustRightInd w:val="0"/>
      <w:spacing w:before="120" w:after="0" w:line="360" w:lineRule="auto"/>
      <w:ind w:firstLine="510"/>
      <w:jc w:val="both"/>
    </w:pPr>
    <w:rPr>
      <w:rFonts w:ascii="Times" w:eastAsiaTheme="minorEastAsia" w:hAnsi="Times" w:cs="Arial"/>
      <w:kern w:val="0"/>
      <w:sz w:val="24"/>
      <w:szCs w:val="20"/>
      <w:lang w:eastAsia="pl-PL"/>
      <w14:ligatures w14:val="none"/>
    </w:rPr>
  </w:style>
  <w:style w:type="paragraph" w:customStyle="1" w:styleId="TYTUAKTUprzedmiotregulacjiustawylubrozporzdzenia">
    <w:name w:val="TYTUŁ_AKTU – przedmiot regulacji ustawy lub rozporządzenia"/>
    <w:next w:val="ARTartustawynprozporzdzenia"/>
    <w:uiPriority w:val="6"/>
    <w:qFormat/>
    <w:rsid w:val="002D6E25"/>
    <w:pPr>
      <w:keepNext/>
      <w:suppressAutoHyphens/>
      <w:spacing w:before="120" w:after="360" w:line="360" w:lineRule="auto"/>
      <w:jc w:val="center"/>
    </w:pPr>
    <w:rPr>
      <w:rFonts w:ascii="Times" w:eastAsiaTheme="minorEastAsia" w:hAnsi="Times" w:cs="Arial"/>
      <w:b/>
      <w:bCs/>
      <w:kern w:val="0"/>
      <w:sz w:val="24"/>
      <w:szCs w:val="24"/>
      <w:lang w:eastAsia="pl-PL"/>
      <w14:ligatures w14:val="none"/>
    </w:rPr>
  </w:style>
  <w:style w:type="paragraph" w:customStyle="1" w:styleId="DATAAKTUdatauchwalenialubwydaniaaktu">
    <w:name w:val="DATA_AKTU – data uchwalenia lub wydania aktu"/>
    <w:next w:val="TYTUAKTUprzedmiotregulacjiustawylubrozporzdzenia"/>
    <w:uiPriority w:val="6"/>
    <w:qFormat/>
    <w:rsid w:val="002D6E25"/>
    <w:pPr>
      <w:keepNext/>
      <w:suppressAutoHyphens/>
      <w:spacing w:before="120" w:after="120" w:line="360" w:lineRule="auto"/>
      <w:jc w:val="center"/>
    </w:pPr>
    <w:rPr>
      <w:rFonts w:ascii="Times" w:eastAsiaTheme="minorEastAsia" w:hAnsi="Times" w:cs="Arial"/>
      <w:bCs/>
      <w:kern w:val="0"/>
      <w:sz w:val="24"/>
      <w:szCs w:val="24"/>
      <w:lang w:eastAsia="pl-PL"/>
      <w14:ligatures w14:val="none"/>
    </w:rPr>
  </w:style>
  <w:style w:type="paragraph" w:customStyle="1" w:styleId="OZNRODZAKTUtznustawalubrozporzdzenieiorganwydajcy">
    <w:name w:val="OZN_RODZ_AKTU – tzn. ustawa lub rozporządzenie i organ wydający"/>
    <w:next w:val="DATAAKTUdatauchwalenialubwydaniaaktu"/>
    <w:uiPriority w:val="5"/>
    <w:qFormat/>
    <w:rsid w:val="002D6E25"/>
    <w:pPr>
      <w:keepNext/>
      <w:suppressAutoHyphens/>
      <w:spacing w:after="120" w:line="360" w:lineRule="auto"/>
      <w:jc w:val="center"/>
    </w:pPr>
    <w:rPr>
      <w:rFonts w:ascii="Times" w:eastAsia="Times New Roman" w:hAnsi="Times" w:cs="Times New Roman"/>
      <w:b/>
      <w:bCs/>
      <w:caps/>
      <w:spacing w:val="54"/>
      <w:kern w:val="24"/>
      <w:sz w:val="24"/>
      <w:szCs w:val="24"/>
      <w:lang w:eastAsia="pl-PL"/>
      <w14:ligatures w14:val="none"/>
    </w:rPr>
  </w:style>
  <w:style w:type="paragraph" w:customStyle="1" w:styleId="PKTpunkt">
    <w:name w:val="PKT – punkt"/>
    <w:uiPriority w:val="13"/>
    <w:qFormat/>
    <w:rsid w:val="002D6E25"/>
    <w:pPr>
      <w:spacing w:after="0" w:line="360" w:lineRule="auto"/>
      <w:ind w:left="510" w:hanging="510"/>
      <w:jc w:val="both"/>
    </w:pPr>
    <w:rPr>
      <w:rFonts w:ascii="Times" w:eastAsiaTheme="minorEastAsia" w:hAnsi="Times" w:cs="Arial"/>
      <w:bCs/>
      <w:kern w:val="0"/>
      <w:sz w:val="24"/>
      <w:szCs w:val="20"/>
      <w:lang w:eastAsia="pl-PL"/>
      <w14:ligatures w14:val="none"/>
    </w:rPr>
  </w:style>
  <w:style w:type="character" w:customStyle="1" w:styleId="Ppogrubienie">
    <w:name w:val="_P_ – pogrubienie"/>
    <w:basedOn w:val="Domylnaczcionkaakapitu"/>
    <w:uiPriority w:val="1"/>
    <w:qFormat/>
    <w:rsid w:val="002D6E25"/>
    <w:rPr>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001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318</Words>
  <Characters>1908</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Kancelaria Sejmu</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Molesztak</dc:creator>
  <cp:keywords/>
  <dc:description/>
  <cp:lastModifiedBy>Grzegorz Molesztak</cp:lastModifiedBy>
  <cp:revision>3</cp:revision>
  <cp:lastPrinted>2024-11-19T09:44:00Z</cp:lastPrinted>
  <dcterms:created xsi:type="dcterms:W3CDTF">2024-10-07T07:20:00Z</dcterms:created>
  <dcterms:modified xsi:type="dcterms:W3CDTF">2024-11-19T09:44:00Z</dcterms:modified>
</cp:coreProperties>
</file>