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4AFA" w14:textId="622B4B4D" w:rsidR="00044F3D" w:rsidRPr="00987B1D" w:rsidRDefault="00044F3D" w:rsidP="00987B1D">
      <w:pPr>
        <w:pStyle w:val="Nagwek1"/>
        <w:spacing w:before="120" w:after="120" w:line="360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87B1D">
        <w:rPr>
          <w:rFonts w:ascii="Times New Roman" w:hAnsi="Times New Roman" w:cs="Times New Roman"/>
          <w:color w:val="auto"/>
          <w:sz w:val="24"/>
          <w:szCs w:val="24"/>
        </w:rPr>
        <w:t>UZASADNIENIE</w:t>
      </w:r>
    </w:p>
    <w:p w14:paraId="35A245D7" w14:textId="0DCB3784" w:rsidR="000B3DAF" w:rsidRPr="00987B1D" w:rsidRDefault="00044F3D" w:rsidP="00987B1D">
      <w:pPr>
        <w:pStyle w:val="Akapitzlist"/>
        <w:numPr>
          <w:ilvl w:val="0"/>
          <w:numId w:val="3"/>
        </w:numPr>
        <w:spacing w:before="120" w:after="120" w:line="360" w:lineRule="auto"/>
        <w:ind w:right="0"/>
        <w:rPr>
          <w:b/>
          <w:bCs/>
          <w:szCs w:val="24"/>
        </w:rPr>
      </w:pPr>
      <w:r w:rsidRPr="00987B1D">
        <w:rPr>
          <w:b/>
          <w:bCs/>
          <w:szCs w:val="24"/>
        </w:rPr>
        <w:t>Potrzeba i cel ustawy</w:t>
      </w:r>
    </w:p>
    <w:p w14:paraId="0FCAA2A0" w14:textId="441ED02A" w:rsidR="004155D8" w:rsidRPr="00987B1D" w:rsidRDefault="00A66CCD" w:rsidP="00987B1D">
      <w:pPr>
        <w:spacing w:before="120" w:after="120" w:line="360" w:lineRule="auto"/>
        <w:ind w:right="0" w:firstLine="0"/>
        <w:rPr>
          <w:szCs w:val="24"/>
        </w:rPr>
      </w:pPr>
      <w:r>
        <w:rPr>
          <w:szCs w:val="24"/>
        </w:rPr>
        <w:t>Mi</w:t>
      </w:r>
      <w:r w:rsidR="000B3DAF" w:rsidRPr="00987B1D">
        <w:rPr>
          <w:szCs w:val="24"/>
        </w:rPr>
        <w:t>mo stabilizacji na europejskim i światowym rynku energii skutki kryzysu energetycznego nadal są odczuwalne przez społeczeństwo. Wzrost cen energii elektrycznej oraz jej nośników wywołan</w:t>
      </w:r>
      <w:r>
        <w:rPr>
          <w:szCs w:val="24"/>
        </w:rPr>
        <w:t>y</w:t>
      </w:r>
      <w:r w:rsidR="000B3DAF" w:rsidRPr="00987B1D">
        <w:rPr>
          <w:szCs w:val="24"/>
        </w:rPr>
        <w:t xml:space="preserve"> </w:t>
      </w:r>
      <w:r w:rsidR="00804CBE" w:rsidRPr="00987B1D">
        <w:rPr>
          <w:szCs w:val="24"/>
        </w:rPr>
        <w:t>p</w:t>
      </w:r>
      <w:r w:rsidR="000B3DAF" w:rsidRPr="00987B1D">
        <w:rPr>
          <w:szCs w:val="24"/>
        </w:rPr>
        <w:t>andemią C</w:t>
      </w:r>
      <w:r w:rsidR="009A4F1F" w:rsidRPr="00A600F9">
        <w:rPr>
          <w:szCs w:val="24"/>
        </w:rPr>
        <w:t>OVID</w:t>
      </w:r>
      <w:r w:rsidR="000B3DAF" w:rsidRPr="00987B1D">
        <w:rPr>
          <w:szCs w:val="24"/>
        </w:rPr>
        <w:t>-19 czy wciąż trwającą wojną za wschodnią granicą w dalszym ciągu stanowią o</w:t>
      </w:r>
      <w:r w:rsidR="00583A6E" w:rsidRPr="00987B1D">
        <w:rPr>
          <w:szCs w:val="24"/>
        </w:rPr>
        <w:t> </w:t>
      </w:r>
      <w:r w:rsidR="000B3DAF" w:rsidRPr="00987B1D">
        <w:rPr>
          <w:szCs w:val="24"/>
        </w:rPr>
        <w:t>sytuacji gospodarczej naszego kraju. Niemniej obserwacja wskazuje na zasadność odchodzenia</w:t>
      </w:r>
      <w:r w:rsidR="00583A6E" w:rsidRPr="00987B1D">
        <w:rPr>
          <w:szCs w:val="24"/>
        </w:rPr>
        <w:t xml:space="preserve"> </w:t>
      </w:r>
      <w:r w:rsidR="000B3DAF" w:rsidRPr="00987B1D">
        <w:rPr>
          <w:szCs w:val="24"/>
        </w:rPr>
        <w:t>od stosowania mechanizmów interwencyjnych i powracania do modelu funkcjonowania rynku energii sprzed kryzysu. Odchodzenie od wsparcia odbiorców energii elektryczne</w:t>
      </w:r>
      <w:r w:rsidR="00357B1A" w:rsidRPr="00987B1D">
        <w:rPr>
          <w:szCs w:val="24"/>
        </w:rPr>
        <w:t>j</w:t>
      </w:r>
      <w:r w:rsidR="000B3DAF" w:rsidRPr="00987B1D">
        <w:rPr>
          <w:szCs w:val="24"/>
        </w:rPr>
        <w:t xml:space="preserve"> musi być</w:t>
      </w:r>
      <w:r w:rsidR="00357B1A" w:rsidRPr="00987B1D">
        <w:rPr>
          <w:szCs w:val="24"/>
        </w:rPr>
        <w:t xml:space="preserve"> jednak</w:t>
      </w:r>
      <w:r w:rsidR="000B3DAF" w:rsidRPr="00987B1D">
        <w:rPr>
          <w:szCs w:val="24"/>
        </w:rPr>
        <w:t xml:space="preserve"> realizowane w sposób stopniowy, uwzględniający przede wszystkim sytuację gospodarstw domowych, które w największym stopniu odczuwają wzrost rachunków za energię</w:t>
      </w:r>
      <w:r w:rsidR="00074E90" w:rsidRPr="00987B1D">
        <w:rPr>
          <w:szCs w:val="24"/>
        </w:rPr>
        <w:t xml:space="preserve"> oraz </w:t>
      </w:r>
      <w:r w:rsidR="00F93F49" w:rsidRPr="00987B1D">
        <w:rPr>
          <w:szCs w:val="24"/>
        </w:rPr>
        <w:t xml:space="preserve">zmiany na </w:t>
      </w:r>
      <w:r w:rsidR="00074E90" w:rsidRPr="00987B1D">
        <w:rPr>
          <w:szCs w:val="24"/>
        </w:rPr>
        <w:t>rynku energii elektrycznej</w:t>
      </w:r>
      <w:r w:rsidR="000B3DAF" w:rsidRPr="00987B1D">
        <w:rPr>
          <w:szCs w:val="24"/>
        </w:rPr>
        <w:t>.</w:t>
      </w:r>
      <w:r w:rsidR="00060A72" w:rsidRPr="00987B1D">
        <w:rPr>
          <w:szCs w:val="24"/>
        </w:rPr>
        <w:t xml:space="preserve"> </w:t>
      </w:r>
    </w:p>
    <w:p w14:paraId="334677C1" w14:textId="51A4D9B4" w:rsidR="00DE58C3" w:rsidRPr="00987B1D" w:rsidRDefault="000B3DAF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 xml:space="preserve">Istotnym jest, że działania podjęte w </w:t>
      </w:r>
      <w:r w:rsidR="00C96FCA" w:rsidRPr="00987B1D">
        <w:rPr>
          <w:szCs w:val="24"/>
        </w:rPr>
        <w:t>drugiej</w:t>
      </w:r>
      <w:r w:rsidRPr="00987B1D">
        <w:rPr>
          <w:szCs w:val="24"/>
        </w:rPr>
        <w:t xml:space="preserve"> p</w:t>
      </w:r>
      <w:r w:rsidR="00C96FCA" w:rsidRPr="00987B1D">
        <w:rPr>
          <w:szCs w:val="24"/>
        </w:rPr>
        <w:t>ołowie</w:t>
      </w:r>
      <w:r w:rsidRPr="00987B1D">
        <w:rPr>
          <w:szCs w:val="24"/>
        </w:rPr>
        <w:t xml:space="preserve"> 2024 r</w:t>
      </w:r>
      <w:r w:rsidR="00804CBE" w:rsidRPr="00987B1D">
        <w:rPr>
          <w:szCs w:val="24"/>
        </w:rPr>
        <w:t>. na podstawie</w:t>
      </w:r>
      <w:r w:rsidRPr="00987B1D">
        <w:rPr>
          <w:szCs w:val="24"/>
        </w:rPr>
        <w:t xml:space="preserve"> ustawy z</w:t>
      </w:r>
      <w:r w:rsidR="00776C10" w:rsidRPr="00987B1D">
        <w:rPr>
          <w:szCs w:val="24"/>
        </w:rPr>
        <w:t> </w:t>
      </w:r>
      <w:r w:rsidRPr="00987B1D">
        <w:rPr>
          <w:szCs w:val="24"/>
        </w:rPr>
        <w:t>dnia 23 maja 2024 r. o bonie energetycznym oraz o zmianie niektórych ustaw w celu ograniczenia cen energii elektrycznej, gazu ziemnego i ciepła systemowego (Dz.</w:t>
      </w:r>
      <w:r w:rsidR="009A4F1F">
        <w:rPr>
          <w:szCs w:val="24"/>
        </w:rPr>
        <w:t xml:space="preserve"> </w:t>
      </w:r>
      <w:r w:rsidRPr="00987B1D">
        <w:rPr>
          <w:szCs w:val="24"/>
        </w:rPr>
        <w:t xml:space="preserve">U. </w:t>
      </w:r>
      <w:r w:rsidRPr="00987B1D">
        <w:rPr>
          <w:color w:val="auto"/>
          <w:szCs w:val="24"/>
        </w:rPr>
        <w:t xml:space="preserve">poz. 859) </w:t>
      </w:r>
      <w:r w:rsidRPr="00987B1D">
        <w:rPr>
          <w:szCs w:val="24"/>
        </w:rPr>
        <w:t xml:space="preserve">skutecznie wsparły odbiorców energii elektrycznej, a w szczególności odbiorców wrażliwych. </w:t>
      </w:r>
      <w:r w:rsidR="00A66CCD">
        <w:rPr>
          <w:szCs w:val="24"/>
        </w:rPr>
        <w:t>M</w:t>
      </w:r>
      <w:r w:rsidR="00060A72" w:rsidRPr="00987B1D">
        <w:rPr>
          <w:szCs w:val="24"/>
        </w:rPr>
        <w:t>imo względnej stabilizacji na rynkach energii w 2025 r</w:t>
      </w:r>
      <w:r w:rsidR="00153814" w:rsidRPr="00987B1D">
        <w:rPr>
          <w:szCs w:val="24"/>
        </w:rPr>
        <w:t>.</w:t>
      </w:r>
      <w:r w:rsidR="006764DB" w:rsidRPr="00987B1D">
        <w:rPr>
          <w:szCs w:val="24"/>
        </w:rPr>
        <w:t xml:space="preserve"> </w:t>
      </w:r>
      <w:r w:rsidRPr="00987B1D">
        <w:rPr>
          <w:szCs w:val="24"/>
        </w:rPr>
        <w:t xml:space="preserve">zdecydowano się na </w:t>
      </w:r>
      <w:r w:rsidR="00074E90" w:rsidRPr="00987B1D">
        <w:rPr>
          <w:szCs w:val="24"/>
        </w:rPr>
        <w:t>kontynuowanie</w:t>
      </w:r>
      <w:r w:rsidRPr="00987B1D">
        <w:rPr>
          <w:szCs w:val="24"/>
        </w:rPr>
        <w:t xml:space="preserve"> działań osłonowych dla </w:t>
      </w:r>
      <w:r w:rsidR="00A50B92" w:rsidRPr="00987B1D">
        <w:rPr>
          <w:szCs w:val="24"/>
        </w:rPr>
        <w:t>gospodarstw domowych</w:t>
      </w:r>
      <w:r w:rsidR="00060A72" w:rsidRPr="00987B1D">
        <w:rPr>
          <w:szCs w:val="24"/>
        </w:rPr>
        <w:t xml:space="preserve"> </w:t>
      </w:r>
      <w:r w:rsidR="00606A69" w:rsidRPr="00987B1D">
        <w:rPr>
          <w:szCs w:val="24"/>
        </w:rPr>
        <w:t>przez zastosowanie mechanizmu ceny maksymalnej energii elektrycznej</w:t>
      </w:r>
      <w:r w:rsidR="00A50B92" w:rsidRPr="00987B1D">
        <w:rPr>
          <w:szCs w:val="24"/>
        </w:rPr>
        <w:t xml:space="preserve"> </w:t>
      </w:r>
      <w:r w:rsidRPr="00987B1D">
        <w:rPr>
          <w:szCs w:val="24"/>
        </w:rPr>
        <w:t>również w</w:t>
      </w:r>
      <w:r w:rsidR="00A50B92" w:rsidRPr="00987B1D">
        <w:rPr>
          <w:szCs w:val="24"/>
        </w:rPr>
        <w:t> </w:t>
      </w:r>
      <w:r w:rsidRPr="00987B1D">
        <w:rPr>
          <w:szCs w:val="24"/>
        </w:rPr>
        <w:t xml:space="preserve">2025 r. </w:t>
      </w:r>
    </w:p>
    <w:p w14:paraId="08F4DFE7" w14:textId="3C40A1C9" w:rsidR="008A5C19" w:rsidRPr="00987B1D" w:rsidRDefault="00F93F49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>Ponadto p</w:t>
      </w:r>
      <w:r w:rsidR="008A5C19" w:rsidRPr="00987B1D">
        <w:rPr>
          <w:szCs w:val="24"/>
        </w:rPr>
        <w:t xml:space="preserve">roponuje się dodanie przepisów usprawniających proces weryfikacji przyznawania pomocy publicznej sektorowi </w:t>
      </w:r>
      <w:r w:rsidR="00074E90" w:rsidRPr="00987B1D">
        <w:rPr>
          <w:szCs w:val="24"/>
        </w:rPr>
        <w:t>mikro</w:t>
      </w:r>
      <w:r w:rsidR="009A4F1F">
        <w:rPr>
          <w:szCs w:val="24"/>
        </w:rPr>
        <w:t>-</w:t>
      </w:r>
      <w:r w:rsidR="00074E90" w:rsidRPr="00987B1D">
        <w:rPr>
          <w:szCs w:val="24"/>
        </w:rPr>
        <w:t>, małych i średnich przedsiębiorstw</w:t>
      </w:r>
      <w:r w:rsidR="00804CBE" w:rsidRPr="00987B1D">
        <w:rPr>
          <w:szCs w:val="24"/>
        </w:rPr>
        <w:t xml:space="preserve"> polegającej na stosowaniu wobec nich</w:t>
      </w:r>
      <w:r w:rsidR="00074E90" w:rsidRPr="00987B1D">
        <w:rPr>
          <w:szCs w:val="24"/>
        </w:rPr>
        <w:t xml:space="preserve"> </w:t>
      </w:r>
      <w:r w:rsidR="008A5C19" w:rsidRPr="00987B1D">
        <w:rPr>
          <w:szCs w:val="24"/>
        </w:rPr>
        <w:t xml:space="preserve">w </w:t>
      </w:r>
      <w:r w:rsidRPr="00987B1D">
        <w:rPr>
          <w:szCs w:val="24"/>
        </w:rPr>
        <w:t xml:space="preserve">drugiej połowie </w:t>
      </w:r>
      <w:r w:rsidR="008A5C19" w:rsidRPr="00987B1D">
        <w:rPr>
          <w:szCs w:val="24"/>
        </w:rPr>
        <w:t>2024 r.</w:t>
      </w:r>
      <w:r w:rsidR="00804CBE" w:rsidRPr="00987B1D">
        <w:rPr>
          <w:szCs w:val="24"/>
        </w:rPr>
        <w:t xml:space="preserve"> ceny maksymalnej energii elektrycznej.</w:t>
      </w:r>
      <w:r w:rsidR="008A5C19" w:rsidRPr="00987B1D">
        <w:rPr>
          <w:szCs w:val="24"/>
        </w:rPr>
        <w:t xml:space="preserve"> </w:t>
      </w:r>
    </w:p>
    <w:p w14:paraId="19E9C701" w14:textId="5879EC2D" w:rsidR="00891540" w:rsidRPr="00987B1D" w:rsidRDefault="00891540" w:rsidP="00987B1D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HAnsi"/>
          <w:color w:val="auto"/>
          <w:kern w:val="0"/>
          <w:szCs w:val="24"/>
          <w:lang w:eastAsia="en-US"/>
        </w:rPr>
      </w:pPr>
      <w:r w:rsidRPr="00987B1D">
        <w:rPr>
          <w:szCs w:val="24"/>
        </w:rPr>
        <w:t>W projekcie proponuje się regulacj</w:t>
      </w:r>
      <w:r w:rsidR="00DE58C3" w:rsidRPr="00987B1D">
        <w:rPr>
          <w:szCs w:val="24"/>
        </w:rPr>
        <w:t>e</w:t>
      </w:r>
      <w:r w:rsidRPr="00987B1D">
        <w:rPr>
          <w:szCs w:val="24"/>
        </w:rPr>
        <w:t xml:space="preserve"> poprawiające przepływ środków finansowych przeznaczonych na wypłatę rekompensat w celu zapewnieni</w:t>
      </w:r>
      <w:r w:rsidR="008E2F96" w:rsidRPr="00987B1D">
        <w:rPr>
          <w:szCs w:val="24"/>
        </w:rPr>
        <w:t>a</w:t>
      </w:r>
      <w:r w:rsidRPr="00987B1D">
        <w:rPr>
          <w:szCs w:val="24"/>
        </w:rPr>
        <w:t xml:space="preserve"> efektywnego wypłacania tych rekompensat oraz zwrotu nadpłaty odpisu na Fundusz. Projekt w szczególności wprowadzi możliwość przesuwania środków zgromadzonych w Funduszu Wypłaty Różnicy Ceny przez Zarządcę Rozliczeń na polecenie dysponenta</w:t>
      </w:r>
      <w:r w:rsidRPr="00987B1D">
        <w:rPr>
          <w:rFonts w:eastAsiaTheme="minorHAnsi"/>
          <w:color w:val="auto"/>
          <w:kern w:val="0"/>
          <w:szCs w:val="24"/>
          <w:lang w:eastAsia="en-US"/>
        </w:rPr>
        <w:t xml:space="preserve"> Funduszu – ministra właściwego do spraw energii – oraz dostosuje terminy na rozliczenie końcowe dotyczące stosowania mechanizmu ceny maksymalnej w 2025 r. do terminów innych rozliczeń</w:t>
      </w:r>
      <w:r w:rsidR="00F93F49" w:rsidRPr="00987B1D">
        <w:rPr>
          <w:rFonts w:eastAsiaTheme="minorHAnsi"/>
          <w:color w:val="auto"/>
          <w:kern w:val="0"/>
          <w:szCs w:val="24"/>
          <w:lang w:eastAsia="en-US"/>
        </w:rPr>
        <w:t>.</w:t>
      </w:r>
    </w:p>
    <w:p w14:paraId="1DF00436" w14:textId="5B460564" w:rsidR="00044F3D" w:rsidRPr="00987B1D" w:rsidRDefault="00044F3D" w:rsidP="00987B1D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ind w:right="0"/>
        <w:rPr>
          <w:b/>
          <w:bCs/>
          <w:szCs w:val="24"/>
        </w:rPr>
      </w:pPr>
      <w:r w:rsidRPr="00987B1D">
        <w:rPr>
          <w:b/>
          <w:bCs/>
          <w:szCs w:val="24"/>
        </w:rPr>
        <w:lastRenderedPageBreak/>
        <w:t>Aktualny stan prawny w dziedzinie, której dotyczy projekt ustawy</w:t>
      </w:r>
    </w:p>
    <w:p w14:paraId="791D6D4D" w14:textId="7DDB20FC" w:rsidR="00E27893" w:rsidRPr="00987B1D" w:rsidRDefault="00E27893" w:rsidP="00987B1D">
      <w:pPr>
        <w:keepNext/>
        <w:keepLines/>
        <w:spacing w:before="120" w:after="120" w:line="360" w:lineRule="auto"/>
        <w:ind w:right="0" w:firstLine="0"/>
        <w:rPr>
          <w:b/>
          <w:bCs/>
          <w:color w:val="auto"/>
          <w:szCs w:val="24"/>
        </w:rPr>
      </w:pPr>
      <w:r w:rsidRPr="00987B1D">
        <w:rPr>
          <w:b/>
          <w:bCs/>
          <w:color w:val="auto"/>
          <w:szCs w:val="24"/>
        </w:rPr>
        <w:t>Energia elektryczna</w:t>
      </w:r>
    </w:p>
    <w:p w14:paraId="0F55CE1B" w14:textId="47A50A22" w:rsidR="008C6AD9" w:rsidRPr="00987B1D" w:rsidRDefault="00044F3D" w:rsidP="00987B1D">
      <w:pPr>
        <w:spacing w:before="120" w:after="120" w:line="360" w:lineRule="auto"/>
        <w:ind w:right="0" w:firstLine="0"/>
        <w:rPr>
          <w:color w:val="auto"/>
          <w:szCs w:val="24"/>
        </w:rPr>
      </w:pPr>
      <w:r w:rsidRPr="00987B1D">
        <w:rPr>
          <w:color w:val="auto"/>
          <w:szCs w:val="24"/>
        </w:rPr>
        <w:t xml:space="preserve">W </w:t>
      </w:r>
      <w:r w:rsidR="00E27893" w:rsidRPr="00987B1D">
        <w:rPr>
          <w:color w:val="auto"/>
          <w:szCs w:val="24"/>
        </w:rPr>
        <w:t>obecnym systemie prawnym</w:t>
      </w:r>
      <w:r w:rsidRPr="00987B1D">
        <w:rPr>
          <w:color w:val="auto"/>
          <w:szCs w:val="24"/>
        </w:rPr>
        <w:t xml:space="preserve"> w </w:t>
      </w:r>
      <w:r w:rsidR="00C96FCA" w:rsidRPr="00987B1D">
        <w:rPr>
          <w:color w:val="auto"/>
          <w:szCs w:val="24"/>
        </w:rPr>
        <w:t>drugiej</w:t>
      </w:r>
      <w:r w:rsidR="00E503C2" w:rsidRPr="00987B1D">
        <w:rPr>
          <w:color w:val="auto"/>
          <w:szCs w:val="24"/>
        </w:rPr>
        <w:t xml:space="preserve"> </w:t>
      </w:r>
      <w:r w:rsidRPr="00987B1D">
        <w:rPr>
          <w:color w:val="auto"/>
          <w:szCs w:val="24"/>
        </w:rPr>
        <w:t>połow</w:t>
      </w:r>
      <w:r w:rsidR="00901175" w:rsidRPr="00987B1D">
        <w:rPr>
          <w:color w:val="auto"/>
          <w:szCs w:val="24"/>
        </w:rPr>
        <w:t>ie</w:t>
      </w:r>
      <w:r w:rsidRPr="00987B1D">
        <w:rPr>
          <w:color w:val="auto"/>
          <w:szCs w:val="24"/>
        </w:rPr>
        <w:t xml:space="preserve"> 2024 r. obowiązuj</w:t>
      </w:r>
      <w:r w:rsidR="008E2F96" w:rsidRPr="00987B1D">
        <w:rPr>
          <w:color w:val="auto"/>
          <w:szCs w:val="24"/>
        </w:rPr>
        <w:t>e</w:t>
      </w:r>
      <w:r w:rsidRPr="00987B1D">
        <w:rPr>
          <w:color w:val="auto"/>
          <w:szCs w:val="24"/>
        </w:rPr>
        <w:t xml:space="preserve"> mechanizm cen</w:t>
      </w:r>
      <w:r w:rsidR="00451364" w:rsidRPr="00987B1D">
        <w:rPr>
          <w:color w:val="auto"/>
          <w:szCs w:val="24"/>
        </w:rPr>
        <w:t>y</w:t>
      </w:r>
      <w:r w:rsidRPr="00987B1D">
        <w:rPr>
          <w:color w:val="auto"/>
          <w:szCs w:val="24"/>
        </w:rPr>
        <w:t xml:space="preserve"> maksymaln</w:t>
      </w:r>
      <w:r w:rsidR="00451364" w:rsidRPr="00987B1D">
        <w:rPr>
          <w:color w:val="auto"/>
          <w:szCs w:val="24"/>
        </w:rPr>
        <w:t>ej</w:t>
      </w:r>
      <w:r w:rsidRPr="00987B1D">
        <w:rPr>
          <w:color w:val="auto"/>
          <w:szCs w:val="24"/>
        </w:rPr>
        <w:t xml:space="preserve"> za energię elektryczną wprowadzon</w:t>
      </w:r>
      <w:r w:rsidR="009A4F1F">
        <w:rPr>
          <w:color w:val="auto"/>
          <w:szCs w:val="24"/>
        </w:rPr>
        <w:t>y</w:t>
      </w:r>
      <w:r w:rsidRPr="00987B1D">
        <w:rPr>
          <w:color w:val="auto"/>
          <w:szCs w:val="24"/>
        </w:rPr>
        <w:t xml:space="preserve"> przepisami ustawy </w:t>
      </w:r>
      <w:r w:rsidR="00A66CCD">
        <w:rPr>
          <w:color w:val="auto"/>
          <w:szCs w:val="24"/>
        </w:rPr>
        <w:t xml:space="preserve">z dnia 27 października 2022 r. </w:t>
      </w:r>
      <w:r w:rsidRPr="00987B1D">
        <w:rPr>
          <w:color w:val="auto"/>
          <w:szCs w:val="24"/>
        </w:rPr>
        <w:t>o środkach nadzwyczajnych mających na celu ograniczenie wysokości cen energii elektrycznej oraz wsparciu niektórych odbiorców w</w:t>
      </w:r>
      <w:r w:rsidR="002B0482" w:rsidRPr="00987B1D">
        <w:rPr>
          <w:color w:val="auto"/>
          <w:szCs w:val="24"/>
        </w:rPr>
        <w:t> </w:t>
      </w:r>
      <w:r w:rsidRPr="00987B1D">
        <w:rPr>
          <w:color w:val="auto"/>
          <w:szCs w:val="24"/>
        </w:rPr>
        <w:t>2023 roku oraz w 2024 roku</w:t>
      </w:r>
      <w:r w:rsidR="00A66CCD">
        <w:rPr>
          <w:color w:val="auto"/>
          <w:szCs w:val="24"/>
        </w:rPr>
        <w:t xml:space="preserve"> (Dz. </w:t>
      </w:r>
      <w:r w:rsidR="0046422C">
        <w:rPr>
          <w:color w:val="auto"/>
          <w:szCs w:val="24"/>
        </w:rPr>
        <w:t>U</w:t>
      </w:r>
      <w:r w:rsidR="00A66CCD">
        <w:rPr>
          <w:color w:val="auto"/>
          <w:szCs w:val="24"/>
        </w:rPr>
        <w:t>. z 2024 r. poz. 1622)</w:t>
      </w:r>
      <w:r w:rsidR="00B87255" w:rsidRPr="00987B1D">
        <w:rPr>
          <w:color w:val="auto"/>
          <w:szCs w:val="24"/>
        </w:rPr>
        <w:t xml:space="preserve">. </w:t>
      </w:r>
      <w:r w:rsidR="003B5A05" w:rsidRPr="00987B1D">
        <w:rPr>
          <w:color w:val="auto"/>
          <w:szCs w:val="24"/>
        </w:rPr>
        <w:t>Cena na poziomie 500 zł/MWh jest</w:t>
      </w:r>
      <w:r w:rsidRPr="00987B1D">
        <w:rPr>
          <w:color w:val="auto"/>
          <w:szCs w:val="24"/>
        </w:rPr>
        <w:t xml:space="preserve"> stosowana wobec gospodarstw domowych</w:t>
      </w:r>
      <w:r w:rsidR="00EC1C21" w:rsidRPr="00987B1D">
        <w:rPr>
          <w:color w:val="auto"/>
          <w:szCs w:val="24"/>
        </w:rPr>
        <w:t xml:space="preserve">, </w:t>
      </w:r>
      <w:r w:rsidR="00A66CCD">
        <w:rPr>
          <w:color w:val="auto"/>
          <w:szCs w:val="24"/>
        </w:rPr>
        <w:t>a</w:t>
      </w:r>
      <w:r w:rsidR="00A66CCD" w:rsidRPr="00987B1D">
        <w:rPr>
          <w:color w:val="auto"/>
          <w:szCs w:val="24"/>
        </w:rPr>
        <w:t xml:space="preserve"> </w:t>
      </w:r>
      <w:r w:rsidR="00EC1C21" w:rsidRPr="00987B1D">
        <w:rPr>
          <w:color w:val="auto"/>
          <w:szCs w:val="24"/>
        </w:rPr>
        <w:t xml:space="preserve">cena </w:t>
      </w:r>
      <w:r w:rsidR="003B5A05" w:rsidRPr="00987B1D">
        <w:rPr>
          <w:color w:val="auto"/>
          <w:szCs w:val="24"/>
        </w:rPr>
        <w:t xml:space="preserve">693 zł/MWh </w:t>
      </w:r>
      <w:r w:rsidR="00A66CCD">
        <w:rPr>
          <w:color w:val="auto"/>
          <w:szCs w:val="24"/>
        </w:rPr>
        <w:t xml:space="preserve">– </w:t>
      </w:r>
      <w:r w:rsidR="003B5A05" w:rsidRPr="00987B1D">
        <w:rPr>
          <w:color w:val="auto"/>
          <w:szCs w:val="24"/>
        </w:rPr>
        <w:t>dla</w:t>
      </w:r>
      <w:r w:rsidR="004B78F4" w:rsidRPr="00987B1D">
        <w:rPr>
          <w:color w:val="auto"/>
          <w:szCs w:val="24"/>
        </w:rPr>
        <w:t xml:space="preserve"> </w:t>
      </w:r>
      <w:r w:rsidRPr="00987B1D">
        <w:rPr>
          <w:color w:val="auto"/>
          <w:szCs w:val="24"/>
        </w:rPr>
        <w:t>mikro</w:t>
      </w:r>
      <w:r w:rsidR="009A4F1F">
        <w:rPr>
          <w:color w:val="auto"/>
          <w:szCs w:val="24"/>
        </w:rPr>
        <w:t>-</w:t>
      </w:r>
      <w:r w:rsidRPr="00987B1D">
        <w:rPr>
          <w:color w:val="auto"/>
          <w:szCs w:val="24"/>
        </w:rPr>
        <w:t>, mał</w:t>
      </w:r>
      <w:r w:rsidR="004B78F4" w:rsidRPr="00987B1D">
        <w:rPr>
          <w:color w:val="auto"/>
          <w:szCs w:val="24"/>
        </w:rPr>
        <w:t>ych</w:t>
      </w:r>
      <w:r w:rsidRPr="00987B1D">
        <w:rPr>
          <w:color w:val="auto"/>
          <w:szCs w:val="24"/>
        </w:rPr>
        <w:t xml:space="preserve"> i średni</w:t>
      </w:r>
      <w:r w:rsidR="004B78F4" w:rsidRPr="00987B1D">
        <w:rPr>
          <w:color w:val="auto"/>
          <w:szCs w:val="24"/>
        </w:rPr>
        <w:t>ch</w:t>
      </w:r>
      <w:r w:rsidRPr="00987B1D">
        <w:rPr>
          <w:color w:val="auto"/>
          <w:szCs w:val="24"/>
        </w:rPr>
        <w:t xml:space="preserve"> przedsiębiorstw, jednost</w:t>
      </w:r>
      <w:r w:rsidR="004B78F4" w:rsidRPr="00987B1D">
        <w:rPr>
          <w:color w:val="auto"/>
          <w:szCs w:val="24"/>
        </w:rPr>
        <w:t>ek</w:t>
      </w:r>
      <w:r w:rsidRPr="00987B1D">
        <w:rPr>
          <w:color w:val="auto"/>
          <w:szCs w:val="24"/>
        </w:rPr>
        <w:t xml:space="preserve"> samorządu terytorialnego</w:t>
      </w:r>
      <w:r w:rsidR="004B78F4" w:rsidRPr="00987B1D">
        <w:rPr>
          <w:color w:val="auto"/>
          <w:szCs w:val="24"/>
        </w:rPr>
        <w:t xml:space="preserve"> oraz</w:t>
      </w:r>
      <w:r w:rsidRPr="00987B1D">
        <w:rPr>
          <w:color w:val="auto"/>
          <w:szCs w:val="24"/>
        </w:rPr>
        <w:t xml:space="preserve"> podmiot</w:t>
      </w:r>
      <w:r w:rsidR="004B78F4" w:rsidRPr="00987B1D">
        <w:rPr>
          <w:color w:val="auto"/>
          <w:szCs w:val="24"/>
        </w:rPr>
        <w:t>ów</w:t>
      </w:r>
      <w:r w:rsidRPr="00987B1D">
        <w:rPr>
          <w:color w:val="auto"/>
          <w:szCs w:val="24"/>
        </w:rPr>
        <w:t xml:space="preserve"> użyteczności publicznej. </w:t>
      </w:r>
      <w:r w:rsidR="008C6AD9" w:rsidRPr="00987B1D">
        <w:rPr>
          <w:color w:val="auto"/>
          <w:szCs w:val="24"/>
        </w:rPr>
        <w:t>Sprzedawcy energii za stosowanie mechanizmu ceny maksymalnej energii elektrycznej wobec odbiorców uprawnionych otrzymują rekompensaty</w:t>
      </w:r>
      <w:r w:rsidR="00E62C54" w:rsidRPr="00987B1D">
        <w:rPr>
          <w:color w:val="auto"/>
          <w:szCs w:val="24"/>
        </w:rPr>
        <w:t xml:space="preserve"> obliczane w różny sposób</w:t>
      </w:r>
      <w:r w:rsidR="00C340C5" w:rsidRPr="00987B1D">
        <w:rPr>
          <w:color w:val="auto"/>
          <w:szCs w:val="24"/>
        </w:rPr>
        <w:t>,</w:t>
      </w:r>
      <w:r w:rsidR="00E62C54" w:rsidRPr="00987B1D">
        <w:rPr>
          <w:color w:val="auto"/>
          <w:szCs w:val="24"/>
        </w:rPr>
        <w:t xml:space="preserve"> w zależności od daty zawarcia umowy z odbiorcą oraz terminu dostaw energii elektrycznej. Spełniają one jednak cel ustawy, jakim jest</w:t>
      </w:r>
      <w:r w:rsidR="002A0166" w:rsidRPr="00987B1D">
        <w:rPr>
          <w:color w:val="auto"/>
          <w:szCs w:val="24"/>
        </w:rPr>
        <w:t xml:space="preserve"> </w:t>
      </w:r>
      <w:r w:rsidR="00E62C54" w:rsidRPr="00987B1D">
        <w:rPr>
          <w:color w:val="auto"/>
          <w:szCs w:val="24"/>
        </w:rPr>
        <w:t>pokrycie sprzedawcom ewentualnych strat wynikających z różnicy pomiędzy poniesionymi</w:t>
      </w:r>
      <w:r w:rsidR="002A0166" w:rsidRPr="00987B1D">
        <w:rPr>
          <w:color w:val="auto"/>
          <w:szCs w:val="24"/>
        </w:rPr>
        <w:t xml:space="preserve"> </w:t>
      </w:r>
      <w:r w:rsidR="00E62C54" w:rsidRPr="00987B1D">
        <w:rPr>
          <w:color w:val="auto"/>
          <w:szCs w:val="24"/>
        </w:rPr>
        <w:t>przez nich kosztami zakupu energii a kosztami dostaw tej energii rozliczanych z</w:t>
      </w:r>
      <w:r w:rsidR="00E30804" w:rsidRPr="00987B1D">
        <w:rPr>
          <w:color w:val="auto"/>
          <w:szCs w:val="24"/>
        </w:rPr>
        <w:t> </w:t>
      </w:r>
      <w:r w:rsidR="00E62C54" w:rsidRPr="00987B1D">
        <w:rPr>
          <w:color w:val="auto"/>
          <w:szCs w:val="24"/>
        </w:rPr>
        <w:t>odbiorcami</w:t>
      </w:r>
      <w:r w:rsidR="002A0166" w:rsidRPr="00987B1D">
        <w:rPr>
          <w:color w:val="auto"/>
          <w:szCs w:val="24"/>
        </w:rPr>
        <w:t xml:space="preserve"> </w:t>
      </w:r>
      <w:r w:rsidR="00E62C54" w:rsidRPr="00987B1D">
        <w:rPr>
          <w:color w:val="auto"/>
          <w:szCs w:val="24"/>
        </w:rPr>
        <w:t>po cenie maksymalnej.</w:t>
      </w:r>
    </w:p>
    <w:p w14:paraId="0475A5DC" w14:textId="1DBE7862" w:rsidR="00EC1C21" w:rsidRPr="00987B1D" w:rsidRDefault="00EC1C21" w:rsidP="00987B1D">
      <w:pPr>
        <w:pStyle w:val="Akapitzlist"/>
        <w:spacing w:before="120" w:after="120" w:line="360" w:lineRule="auto"/>
        <w:ind w:left="0" w:right="0" w:firstLine="0"/>
        <w:contextualSpacing w:val="0"/>
        <w:rPr>
          <w:rStyle w:val="ui-provider"/>
          <w:szCs w:val="24"/>
        </w:rPr>
      </w:pPr>
      <w:r w:rsidRPr="00987B1D">
        <w:rPr>
          <w:szCs w:val="24"/>
        </w:rPr>
        <w:t xml:space="preserve">Z możliwości rozliczenia po cenie maksymalnej wyłączeni zostali ci odbiorcy energii elektrycznej, którzy zawarli umowy na sprzedaż tej energii z ceną dynamiczną. </w:t>
      </w:r>
      <w:r w:rsidRPr="00987B1D">
        <w:rPr>
          <w:rStyle w:val="ui-provider"/>
          <w:szCs w:val="24"/>
        </w:rPr>
        <w:t xml:space="preserve">Odbiorcy ci świadomie wybierają umowy z ceną energii </w:t>
      </w:r>
      <w:r w:rsidR="008E2F96" w:rsidRPr="00987B1D">
        <w:rPr>
          <w:rStyle w:val="ui-provider"/>
          <w:szCs w:val="24"/>
        </w:rPr>
        <w:t xml:space="preserve">zmienną </w:t>
      </w:r>
      <w:r w:rsidRPr="00987B1D">
        <w:rPr>
          <w:rStyle w:val="ui-provider"/>
          <w:szCs w:val="24"/>
        </w:rPr>
        <w:t>w ciągu doby, licząc na korzyści z dopasowania swojego zużycia do aktualnej sytuacji na rynku energii elektrycznej, więc ewentualne wprowadzenie dla nich rozliczeń po stałej cenie (cenie maksymalnej) uniemożliwiałoby czerpanie korzyści z tych umów.</w:t>
      </w:r>
    </w:p>
    <w:p w14:paraId="61895270" w14:textId="3486956C" w:rsidR="009D1859" w:rsidRPr="00987B1D" w:rsidRDefault="009D1859" w:rsidP="00987B1D">
      <w:pPr>
        <w:spacing w:before="120" w:after="120" w:line="360" w:lineRule="auto"/>
        <w:ind w:right="0" w:firstLine="0"/>
        <w:rPr>
          <w:b/>
          <w:bCs/>
          <w:color w:val="auto"/>
          <w:szCs w:val="24"/>
        </w:rPr>
      </w:pPr>
      <w:r w:rsidRPr="00987B1D">
        <w:rPr>
          <w:b/>
          <w:bCs/>
          <w:color w:val="auto"/>
          <w:szCs w:val="24"/>
        </w:rPr>
        <w:t xml:space="preserve">Opłata </w:t>
      </w:r>
      <w:proofErr w:type="spellStart"/>
      <w:r w:rsidRPr="00987B1D">
        <w:rPr>
          <w:b/>
          <w:bCs/>
          <w:color w:val="auto"/>
          <w:szCs w:val="24"/>
        </w:rPr>
        <w:t>mocowa</w:t>
      </w:r>
      <w:proofErr w:type="spellEnd"/>
      <w:r w:rsidRPr="00987B1D">
        <w:rPr>
          <w:b/>
          <w:bCs/>
          <w:color w:val="auto"/>
          <w:szCs w:val="24"/>
        </w:rPr>
        <w:t xml:space="preserve"> dla gospodarstw domowych</w:t>
      </w:r>
    </w:p>
    <w:p w14:paraId="5D65DE04" w14:textId="2F1D18FA" w:rsidR="009D1859" w:rsidRPr="00987B1D" w:rsidRDefault="009D1859" w:rsidP="00987B1D">
      <w:pPr>
        <w:spacing w:before="120" w:after="120" w:line="360" w:lineRule="auto"/>
        <w:ind w:right="0" w:firstLine="0"/>
        <w:rPr>
          <w:b/>
          <w:bCs/>
          <w:color w:val="auto"/>
          <w:szCs w:val="24"/>
        </w:rPr>
      </w:pPr>
      <w:r w:rsidRPr="00987B1D">
        <w:rPr>
          <w:szCs w:val="24"/>
        </w:rPr>
        <w:t xml:space="preserve">W </w:t>
      </w:r>
      <w:r w:rsidR="00C96FCA" w:rsidRPr="00987B1D">
        <w:rPr>
          <w:szCs w:val="24"/>
        </w:rPr>
        <w:t>drugiej</w:t>
      </w:r>
      <w:r w:rsidRPr="00987B1D">
        <w:rPr>
          <w:szCs w:val="24"/>
        </w:rPr>
        <w:t xml:space="preserve"> połowie 2024 r. opłata </w:t>
      </w:r>
      <w:proofErr w:type="spellStart"/>
      <w:r w:rsidRPr="00987B1D">
        <w:rPr>
          <w:szCs w:val="24"/>
        </w:rPr>
        <w:t>mocowa</w:t>
      </w:r>
      <w:proofErr w:type="spellEnd"/>
      <w:r w:rsidR="00274128" w:rsidRPr="00987B1D">
        <w:rPr>
          <w:szCs w:val="24"/>
        </w:rPr>
        <w:t xml:space="preserve"> dla odbiorców końcowych pobierających energię elektryczną w punktach poboru energii o napięciu znamionowym nie wyższym niż 1 </w:t>
      </w:r>
      <w:proofErr w:type="spellStart"/>
      <w:r w:rsidR="00274128" w:rsidRPr="00987B1D">
        <w:rPr>
          <w:szCs w:val="24"/>
        </w:rPr>
        <w:t>kV</w:t>
      </w:r>
      <w:proofErr w:type="spellEnd"/>
      <w:r w:rsidR="00274128" w:rsidRPr="00987B1D">
        <w:rPr>
          <w:szCs w:val="24"/>
        </w:rPr>
        <w:t xml:space="preserve">, zużywających energię elektryczną na własne potrzeby, </w:t>
      </w:r>
      <w:r w:rsidR="008E2F96" w:rsidRPr="00987B1D">
        <w:rPr>
          <w:szCs w:val="24"/>
        </w:rPr>
        <w:t>tj.</w:t>
      </w:r>
      <w:r w:rsidR="00274128" w:rsidRPr="00987B1D">
        <w:rPr>
          <w:szCs w:val="24"/>
        </w:rPr>
        <w:t xml:space="preserve"> głównie odbiorców końcowych w gospodarstwach domowych</w:t>
      </w:r>
      <w:r w:rsidR="00C340C5" w:rsidRPr="00987B1D">
        <w:rPr>
          <w:szCs w:val="24"/>
        </w:rPr>
        <w:t>,</w:t>
      </w:r>
      <w:r w:rsidRPr="00987B1D">
        <w:rPr>
          <w:szCs w:val="24"/>
        </w:rPr>
        <w:t xml:space="preserve"> została zawieszona. </w:t>
      </w:r>
      <w:r w:rsidR="00274128" w:rsidRPr="00987B1D">
        <w:rPr>
          <w:szCs w:val="24"/>
        </w:rPr>
        <w:t>Miało to wpływ</w:t>
      </w:r>
      <w:r w:rsidRPr="00987B1D">
        <w:rPr>
          <w:szCs w:val="24"/>
        </w:rPr>
        <w:t xml:space="preserve"> </w:t>
      </w:r>
      <w:r w:rsidR="00274128" w:rsidRPr="00987B1D">
        <w:rPr>
          <w:szCs w:val="24"/>
        </w:rPr>
        <w:t>na</w:t>
      </w:r>
      <w:r w:rsidRPr="00987B1D">
        <w:rPr>
          <w:szCs w:val="24"/>
        </w:rPr>
        <w:t xml:space="preserve"> zmniejszenie wysokości rachunków dla odbiorców w gospodarstwach domowych</w:t>
      </w:r>
      <w:r w:rsidR="005B3A02" w:rsidRPr="00987B1D">
        <w:rPr>
          <w:szCs w:val="24"/>
        </w:rPr>
        <w:t xml:space="preserve"> w tym okresie.</w:t>
      </w:r>
    </w:p>
    <w:p w14:paraId="554EF222" w14:textId="4E80637D" w:rsidR="0032298E" w:rsidRPr="00987B1D" w:rsidRDefault="00044F3D" w:rsidP="00987B1D">
      <w:pPr>
        <w:pStyle w:val="Akapitzlist"/>
        <w:numPr>
          <w:ilvl w:val="0"/>
          <w:numId w:val="3"/>
        </w:numPr>
        <w:spacing w:before="120" w:after="120" w:line="360" w:lineRule="auto"/>
        <w:ind w:left="714" w:right="0" w:hanging="357"/>
        <w:contextualSpacing w:val="0"/>
        <w:rPr>
          <w:b/>
          <w:bCs/>
          <w:szCs w:val="24"/>
        </w:rPr>
      </w:pPr>
      <w:r w:rsidRPr="00987B1D">
        <w:rPr>
          <w:b/>
          <w:bCs/>
          <w:szCs w:val="24"/>
        </w:rPr>
        <w:t>Różnica między dotychczasowym a projektowanym stanem prawnym</w:t>
      </w:r>
    </w:p>
    <w:p w14:paraId="2EF701F0" w14:textId="77777777" w:rsidR="00044F3D" w:rsidRPr="00987B1D" w:rsidRDefault="00044F3D" w:rsidP="00987B1D">
      <w:pPr>
        <w:pStyle w:val="Akapitzlist"/>
        <w:spacing w:before="120" w:after="120" w:line="360" w:lineRule="auto"/>
        <w:ind w:left="0" w:right="0" w:firstLine="0"/>
        <w:contextualSpacing w:val="0"/>
        <w:rPr>
          <w:b/>
          <w:bCs/>
          <w:szCs w:val="24"/>
        </w:rPr>
      </w:pPr>
      <w:r w:rsidRPr="00987B1D">
        <w:rPr>
          <w:b/>
          <w:bCs/>
          <w:szCs w:val="24"/>
        </w:rPr>
        <w:t>Energia elektryczna</w:t>
      </w:r>
    </w:p>
    <w:p w14:paraId="78CAC468" w14:textId="40C74A25" w:rsidR="00044F3D" w:rsidRPr="00987B1D" w:rsidRDefault="00044F3D" w:rsidP="00987B1D">
      <w:pPr>
        <w:pStyle w:val="Akapitzlist"/>
        <w:spacing w:before="120" w:after="120" w:line="360" w:lineRule="auto"/>
        <w:ind w:left="0" w:right="0" w:firstLine="0"/>
        <w:contextualSpacing w:val="0"/>
        <w:rPr>
          <w:color w:val="auto"/>
          <w:szCs w:val="24"/>
        </w:rPr>
      </w:pPr>
      <w:r w:rsidRPr="00987B1D">
        <w:rPr>
          <w:szCs w:val="24"/>
        </w:rPr>
        <w:t>W projekcie zakłada się przedłużenie obowiązywania mechanizmu ceny maksymalnej za energię elektryczną.</w:t>
      </w:r>
      <w:r w:rsidR="00F03D58" w:rsidRPr="00987B1D">
        <w:rPr>
          <w:szCs w:val="24"/>
        </w:rPr>
        <w:t xml:space="preserve"> Z uwagi </w:t>
      </w:r>
      <w:r w:rsidR="00D06766" w:rsidRPr="00987B1D">
        <w:rPr>
          <w:szCs w:val="24"/>
        </w:rPr>
        <w:t>na</w:t>
      </w:r>
      <w:r w:rsidR="0073356E" w:rsidRPr="00987B1D">
        <w:rPr>
          <w:szCs w:val="24"/>
        </w:rPr>
        <w:t xml:space="preserve"> </w:t>
      </w:r>
      <w:r w:rsidR="00E503C2" w:rsidRPr="00987B1D">
        <w:rPr>
          <w:szCs w:val="24"/>
        </w:rPr>
        <w:t xml:space="preserve">względną </w:t>
      </w:r>
      <w:r w:rsidR="00916455" w:rsidRPr="00987B1D">
        <w:rPr>
          <w:szCs w:val="24"/>
        </w:rPr>
        <w:t xml:space="preserve">stabilizację na polskich i światowych rynkach energii </w:t>
      </w:r>
      <w:r w:rsidR="00916455" w:rsidRPr="00987B1D">
        <w:rPr>
          <w:szCs w:val="24"/>
        </w:rPr>
        <w:lastRenderedPageBreak/>
        <w:t xml:space="preserve">elektrycznej podmioty </w:t>
      </w:r>
      <w:r w:rsidR="004B78F4" w:rsidRPr="00987B1D">
        <w:rPr>
          <w:szCs w:val="24"/>
        </w:rPr>
        <w:t xml:space="preserve">z sektora </w:t>
      </w:r>
      <w:r w:rsidR="006764DB" w:rsidRPr="00987B1D">
        <w:rPr>
          <w:szCs w:val="24"/>
        </w:rPr>
        <w:t xml:space="preserve">JST, użyteczności </w:t>
      </w:r>
      <w:r w:rsidR="008E2F96" w:rsidRPr="00987B1D">
        <w:rPr>
          <w:szCs w:val="24"/>
        </w:rPr>
        <w:t xml:space="preserve">publicznej </w:t>
      </w:r>
      <w:r w:rsidR="006764DB" w:rsidRPr="00987B1D">
        <w:rPr>
          <w:szCs w:val="24"/>
        </w:rPr>
        <w:t xml:space="preserve">i </w:t>
      </w:r>
      <w:r w:rsidR="00916455" w:rsidRPr="00987B1D">
        <w:rPr>
          <w:szCs w:val="24"/>
        </w:rPr>
        <w:t>MŚP znajdują się w bezpieczniejszej sytuacji w</w:t>
      </w:r>
      <w:r w:rsidR="00E30804" w:rsidRPr="00987B1D">
        <w:rPr>
          <w:szCs w:val="24"/>
        </w:rPr>
        <w:t> </w:t>
      </w:r>
      <w:r w:rsidR="00916455" w:rsidRPr="00987B1D">
        <w:rPr>
          <w:szCs w:val="24"/>
        </w:rPr>
        <w:t>porównaniu z odbior</w:t>
      </w:r>
      <w:r w:rsidR="00C62700" w:rsidRPr="00987B1D">
        <w:rPr>
          <w:szCs w:val="24"/>
        </w:rPr>
        <w:t>c</w:t>
      </w:r>
      <w:r w:rsidR="00916455" w:rsidRPr="00987B1D">
        <w:rPr>
          <w:szCs w:val="24"/>
        </w:rPr>
        <w:t>ami w gospodarstwach domowych</w:t>
      </w:r>
      <w:r w:rsidR="00E503C2" w:rsidRPr="00987B1D">
        <w:rPr>
          <w:szCs w:val="24"/>
        </w:rPr>
        <w:t>,</w:t>
      </w:r>
      <w:r w:rsidR="00916455" w:rsidRPr="00987B1D">
        <w:rPr>
          <w:szCs w:val="24"/>
        </w:rPr>
        <w:t xml:space="preserve"> dlatego </w:t>
      </w:r>
      <w:r w:rsidR="00916455" w:rsidRPr="00987B1D">
        <w:rPr>
          <w:color w:val="auto"/>
          <w:szCs w:val="24"/>
        </w:rPr>
        <w:t xml:space="preserve">też proponowane wsparcie </w:t>
      </w:r>
      <w:r w:rsidR="008E2F96" w:rsidRPr="00987B1D">
        <w:rPr>
          <w:color w:val="auto"/>
          <w:szCs w:val="24"/>
        </w:rPr>
        <w:t>s</w:t>
      </w:r>
      <w:r w:rsidR="00916455" w:rsidRPr="00987B1D">
        <w:rPr>
          <w:color w:val="auto"/>
          <w:szCs w:val="24"/>
        </w:rPr>
        <w:t>kier</w:t>
      </w:r>
      <w:r w:rsidR="008E2F96" w:rsidRPr="00987B1D">
        <w:rPr>
          <w:color w:val="auto"/>
          <w:szCs w:val="24"/>
        </w:rPr>
        <w:t>o</w:t>
      </w:r>
      <w:r w:rsidR="00916455" w:rsidRPr="00987B1D">
        <w:rPr>
          <w:color w:val="auto"/>
          <w:szCs w:val="24"/>
        </w:rPr>
        <w:t>wan</w:t>
      </w:r>
      <w:r w:rsidR="00DE58C3" w:rsidRPr="00987B1D">
        <w:rPr>
          <w:color w:val="auto"/>
          <w:szCs w:val="24"/>
        </w:rPr>
        <w:t>e</w:t>
      </w:r>
      <w:r w:rsidR="00916455" w:rsidRPr="00987B1D">
        <w:rPr>
          <w:color w:val="auto"/>
          <w:szCs w:val="24"/>
        </w:rPr>
        <w:t xml:space="preserve"> </w:t>
      </w:r>
      <w:r w:rsidR="00DE58C3" w:rsidRPr="00987B1D">
        <w:rPr>
          <w:color w:val="auto"/>
          <w:szCs w:val="24"/>
        </w:rPr>
        <w:t xml:space="preserve">zostało </w:t>
      </w:r>
      <w:r w:rsidR="008E2F96" w:rsidRPr="00987B1D">
        <w:rPr>
          <w:color w:val="auto"/>
          <w:szCs w:val="24"/>
        </w:rPr>
        <w:t>wyłącznie w kierunku</w:t>
      </w:r>
      <w:r w:rsidR="00916455" w:rsidRPr="00987B1D">
        <w:rPr>
          <w:color w:val="auto"/>
          <w:szCs w:val="24"/>
        </w:rPr>
        <w:t xml:space="preserve"> </w:t>
      </w:r>
      <w:r w:rsidR="0011617F" w:rsidRPr="00987B1D">
        <w:rPr>
          <w:color w:val="auto"/>
          <w:szCs w:val="24"/>
        </w:rPr>
        <w:t>odbiorców gospodarstwach domowych</w:t>
      </w:r>
      <w:r w:rsidR="00916455" w:rsidRPr="00987B1D">
        <w:rPr>
          <w:color w:val="auto"/>
          <w:szCs w:val="24"/>
        </w:rPr>
        <w:t>.</w:t>
      </w:r>
      <w:r w:rsidRPr="00987B1D">
        <w:rPr>
          <w:color w:val="auto"/>
          <w:szCs w:val="24"/>
        </w:rPr>
        <w:t xml:space="preserve"> Cena </w:t>
      </w:r>
      <w:r w:rsidR="00916455" w:rsidRPr="00987B1D">
        <w:rPr>
          <w:color w:val="auto"/>
          <w:szCs w:val="24"/>
        </w:rPr>
        <w:t>maksymalna dla gospodarstw domowych</w:t>
      </w:r>
      <w:r w:rsidRPr="00987B1D">
        <w:rPr>
          <w:color w:val="auto"/>
          <w:szCs w:val="24"/>
        </w:rPr>
        <w:t xml:space="preserve"> obowiązywać będzie w 202</w:t>
      </w:r>
      <w:r w:rsidR="00EC1C21" w:rsidRPr="00987B1D">
        <w:rPr>
          <w:color w:val="auto"/>
          <w:szCs w:val="24"/>
        </w:rPr>
        <w:t>5</w:t>
      </w:r>
      <w:r w:rsidRPr="00987B1D">
        <w:rPr>
          <w:color w:val="auto"/>
          <w:szCs w:val="24"/>
        </w:rPr>
        <w:t xml:space="preserve"> r. i ma być </w:t>
      </w:r>
      <w:r w:rsidR="006764DB" w:rsidRPr="00987B1D">
        <w:rPr>
          <w:color w:val="auto"/>
          <w:szCs w:val="24"/>
        </w:rPr>
        <w:t xml:space="preserve">utrzymana </w:t>
      </w:r>
      <w:r w:rsidRPr="00987B1D">
        <w:rPr>
          <w:color w:val="auto"/>
          <w:szCs w:val="24"/>
        </w:rPr>
        <w:t>na</w:t>
      </w:r>
      <w:r w:rsidR="0073356E" w:rsidRPr="00987B1D">
        <w:rPr>
          <w:color w:val="auto"/>
          <w:szCs w:val="24"/>
        </w:rPr>
        <w:t xml:space="preserve"> dotychczasowym</w:t>
      </w:r>
      <w:r w:rsidRPr="00987B1D">
        <w:rPr>
          <w:color w:val="auto"/>
          <w:szCs w:val="24"/>
        </w:rPr>
        <w:t xml:space="preserve"> poziomie 5</w:t>
      </w:r>
      <w:r w:rsidR="0073356E" w:rsidRPr="00987B1D">
        <w:rPr>
          <w:color w:val="auto"/>
          <w:szCs w:val="24"/>
        </w:rPr>
        <w:t>0</w:t>
      </w:r>
      <w:r w:rsidRPr="00987B1D">
        <w:rPr>
          <w:color w:val="auto"/>
          <w:szCs w:val="24"/>
        </w:rPr>
        <w:t>0 zł/MWh</w:t>
      </w:r>
      <w:r w:rsidR="00916455" w:rsidRPr="00987B1D">
        <w:rPr>
          <w:color w:val="auto"/>
          <w:szCs w:val="24"/>
        </w:rPr>
        <w:t>.</w:t>
      </w:r>
      <w:r w:rsidR="00B777FA" w:rsidRPr="00987B1D">
        <w:rPr>
          <w:color w:val="auto"/>
          <w:szCs w:val="24"/>
        </w:rPr>
        <w:t xml:space="preserve"> </w:t>
      </w:r>
    </w:p>
    <w:p w14:paraId="760B7AA4" w14:textId="2A8DC315" w:rsidR="00B87255" w:rsidRPr="00987B1D" w:rsidRDefault="00B87255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>Cena ta będzie odczuwalnym wsparciem w zakresie radzenia sobie przez gospodarstwa domowe z rachunkami za energię, gdyż bez interwencji ustawowej odbiorcy płaciliby ok. 62</w:t>
      </w:r>
      <w:r w:rsidR="00DE58C3" w:rsidRPr="00987B1D">
        <w:rPr>
          <w:szCs w:val="24"/>
        </w:rPr>
        <w:t>3</w:t>
      </w:r>
      <w:r w:rsidRPr="00987B1D">
        <w:rPr>
          <w:szCs w:val="24"/>
        </w:rPr>
        <w:t xml:space="preserve"> zł/MWh – tyle bowiem wynosi średnia cena energii elektrycznej w grupie taryfowej G wynikająca ze zmiany taryf sprzedawców z urzędu, zatwierdzona na okres od 1 lipca 2024 r. do 31 grudnia 2025 r. (informacja Prezesa U</w:t>
      </w:r>
      <w:r w:rsidR="00DE58C3" w:rsidRPr="00987B1D">
        <w:rPr>
          <w:szCs w:val="24"/>
        </w:rPr>
        <w:t>rzędu Regulacji Energetyki</w:t>
      </w:r>
      <w:r w:rsidRPr="00987B1D">
        <w:rPr>
          <w:szCs w:val="24"/>
        </w:rPr>
        <w:t xml:space="preserve"> nr 39/2024). </w:t>
      </w:r>
    </w:p>
    <w:p w14:paraId="34703E1D" w14:textId="4D3382DE" w:rsidR="00FC265F" w:rsidRPr="00987B1D" w:rsidRDefault="00D804BC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>Ponadto do projektu wprowadzon</w:t>
      </w:r>
      <w:r w:rsidR="009A4F1F">
        <w:rPr>
          <w:szCs w:val="24"/>
        </w:rPr>
        <w:t>o</w:t>
      </w:r>
      <w:r w:rsidRPr="00987B1D">
        <w:rPr>
          <w:szCs w:val="24"/>
        </w:rPr>
        <w:t xml:space="preserve"> przepisy</w:t>
      </w:r>
      <w:r w:rsidR="006764DB" w:rsidRPr="00987B1D">
        <w:rPr>
          <w:szCs w:val="24"/>
        </w:rPr>
        <w:t xml:space="preserve"> </w:t>
      </w:r>
      <w:r w:rsidRPr="00987B1D">
        <w:rPr>
          <w:szCs w:val="24"/>
        </w:rPr>
        <w:t xml:space="preserve">zobowiązujące przedsiębiorstwa energetyczne wykonujące działalność w zakresie obrotu energią elektryczną </w:t>
      </w:r>
      <w:r w:rsidR="006764DB" w:rsidRPr="00987B1D">
        <w:rPr>
          <w:szCs w:val="24"/>
        </w:rPr>
        <w:t>do przedłożenia wniosk</w:t>
      </w:r>
      <w:r w:rsidR="0011617F" w:rsidRPr="00987B1D">
        <w:rPr>
          <w:szCs w:val="24"/>
        </w:rPr>
        <w:t>ów</w:t>
      </w:r>
      <w:r w:rsidR="006764DB" w:rsidRPr="00987B1D">
        <w:rPr>
          <w:szCs w:val="24"/>
        </w:rPr>
        <w:t xml:space="preserve"> o zmianę taryfy dla energii elektrycznej</w:t>
      </w:r>
      <w:r w:rsidR="00535FF3" w:rsidRPr="00987B1D">
        <w:rPr>
          <w:szCs w:val="24"/>
        </w:rPr>
        <w:t xml:space="preserve"> </w:t>
      </w:r>
      <w:r w:rsidRPr="00987B1D">
        <w:rPr>
          <w:szCs w:val="24"/>
        </w:rPr>
        <w:t>do Prezesa Urzędu Regulacji Energetyk</w:t>
      </w:r>
      <w:r w:rsidR="00535FF3" w:rsidRPr="00987B1D">
        <w:rPr>
          <w:szCs w:val="24"/>
        </w:rPr>
        <w:t xml:space="preserve">i w terminie do </w:t>
      </w:r>
      <w:r w:rsidR="008E2F96" w:rsidRPr="00987B1D">
        <w:rPr>
          <w:szCs w:val="24"/>
        </w:rPr>
        <w:t xml:space="preserve">dnia </w:t>
      </w:r>
      <w:r w:rsidR="00535FF3" w:rsidRPr="00987B1D">
        <w:rPr>
          <w:szCs w:val="24"/>
        </w:rPr>
        <w:t xml:space="preserve">30 kwietnia 2025 r. W przypadku przedsiębiorstw wykonujących zadania sprzedawcy z urzędu, zwolnionych z obowiązku przedkładania taryf do zatwierdzenia zgodnie z </w:t>
      </w:r>
      <w:hyperlink r:id="rId7" w:tgtFrame="_blank" w:tooltip="https://sip.legalis.pl/document-view.seam?documentid=mfrxilrtg4zdamjrhaytcltqmfyc4nzsgaytimzqgi&amp;refsource=hyp" w:history="1">
        <w:r w:rsidR="00535FF3" w:rsidRPr="00987B1D">
          <w:rPr>
            <w:szCs w:val="24"/>
          </w:rPr>
          <w:t>art. 49 ust. 1</w:t>
        </w:r>
      </w:hyperlink>
      <w:r w:rsidR="00535FF3" w:rsidRPr="00987B1D">
        <w:rPr>
          <w:szCs w:val="24"/>
        </w:rPr>
        <w:t xml:space="preserve"> ustawy z dnia 10 kwietnia 1997 r. – Prawo energetyczne </w:t>
      </w:r>
      <w:r w:rsidR="00A66CCD">
        <w:rPr>
          <w:szCs w:val="24"/>
        </w:rPr>
        <w:t xml:space="preserve">(Dz. U. z 2024 r. poz. 266, z późn. zm.) </w:t>
      </w:r>
      <w:r w:rsidR="00B40C91" w:rsidRPr="00987B1D">
        <w:rPr>
          <w:szCs w:val="24"/>
        </w:rPr>
        <w:t xml:space="preserve">obowiązek ten będzie dotyczył złożenia do Prezesa Urzędu Regulacji Energetyki wniosku o taryfę dla energii elektrycznej albo jej zmianę także w terminie do </w:t>
      </w:r>
      <w:r w:rsidR="00A66CCD">
        <w:rPr>
          <w:szCs w:val="24"/>
        </w:rPr>
        <w:t xml:space="preserve">dnia </w:t>
      </w:r>
      <w:r w:rsidR="00B40C91" w:rsidRPr="00987B1D">
        <w:rPr>
          <w:szCs w:val="24"/>
        </w:rPr>
        <w:t>30 kwietnia 2025 r.</w:t>
      </w:r>
    </w:p>
    <w:p w14:paraId="2D9D9843" w14:textId="36430866" w:rsidR="00533DE7" w:rsidRPr="00987B1D" w:rsidRDefault="00533DE7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>Przedmiotowe rozwiązanie, podobnie jak analogiczne przepisy w poprzednich latach, zostało wprowadzone do ustawy z dnia 7 października 2022 r. o szczególnych rozwiązaniach służących ochronie odbiorców energii elektrycznej w 2023 roku oraz w 2024 roku w związku z sytuacją na rynku energii elektrycznej</w:t>
      </w:r>
      <w:r w:rsidR="00A66CCD">
        <w:rPr>
          <w:szCs w:val="24"/>
        </w:rPr>
        <w:t xml:space="preserve"> (Dz. U. z 2024 r. poz. 1288)</w:t>
      </w:r>
      <w:r w:rsidRPr="00987B1D">
        <w:rPr>
          <w:szCs w:val="24"/>
        </w:rPr>
        <w:t>. Należy jednak podkreślić, że mechanizm wsparcia określony w tej ustawie nie będzie stosowany w 2025 r., w związku z tym nie jest konieczne uzupełnienie jej tytułu o odniesienie się do 2025 r.</w:t>
      </w:r>
    </w:p>
    <w:p w14:paraId="31C01AFB" w14:textId="4C304DD9" w:rsidR="00145579" w:rsidRPr="00987B1D" w:rsidRDefault="00307185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 xml:space="preserve">Ponadto </w:t>
      </w:r>
      <w:r w:rsidR="0073356E" w:rsidRPr="00987B1D">
        <w:rPr>
          <w:szCs w:val="24"/>
        </w:rPr>
        <w:t xml:space="preserve">względna stabilizacja </w:t>
      </w:r>
      <w:r w:rsidRPr="00987B1D">
        <w:rPr>
          <w:szCs w:val="24"/>
        </w:rPr>
        <w:t>sytuacji na rynkach energii</w:t>
      </w:r>
      <w:r w:rsidR="0076438F" w:rsidRPr="00987B1D">
        <w:rPr>
          <w:szCs w:val="24"/>
        </w:rPr>
        <w:t>, dostępność ofert konkurencyjnych i możliwość zmiany sprzedawcy</w:t>
      </w:r>
      <w:r w:rsidRPr="00987B1D">
        <w:rPr>
          <w:szCs w:val="24"/>
        </w:rPr>
        <w:t xml:space="preserve"> uzasadnia</w:t>
      </w:r>
      <w:r w:rsidR="0076438F" w:rsidRPr="00987B1D">
        <w:rPr>
          <w:szCs w:val="24"/>
        </w:rPr>
        <w:t>ją</w:t>
      </w:r>
      <w:r w:rsidRPr="00987B1D">
        <w:rPr>
          <w:szCs w:val="24"/>
        </w:rPr>
        <w:t xml:space="preserve"> odejście od działań osłonowych dla odbiorców niebędących gospodarstwami domowymi. </w:t>
      </w:r>
    </w:p>
    <w:p w14:paraId="1010BF06" w14:textId="77777777" w:rsidR="001148F7" w:rsidRPr="00987B1D" w:rsidRDefault="001148F7" w:rsidP="00987B1D">
      <w:pPr>
        <w:spacing w:after="120" w:line="360" w:lineRule="auto"/>
        <w:ind w:firstLine="0"/>
        <w:rPr>
          <w:b/>
          <w:bCs/>
          <w:szCs w:val="24"/>
          <w:u w:val="single"/>
        </w:rPr>
      </w:pPr>
      <w:r w:rsidRPr="00987B1D">
        <w:rPr>
          <w:b/>
          <w:bCs/>
          <w:szCs w:val="24"/>
          <w:u w:val="single"/>
        </w:rPr>
        <w:t>Pozostałe zmiany dotyczące systemu wsparcia odbiorców na rynku energii</w:t>
      </w:r>
    </w:p>
    <w:p w14:paraId="56ADA590" w14:textId="77777777" w:rsidR="0011617F" w:rsidRPr="00987B1D" w:rsidRDefault="001148F7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 xml:space="preserve">W ramach działań osłonowych dla odbiorców końcowych energii elektrycznej projektodawca przedłużył zerową stawkę opłaty </w:t>
      </w:r>
      <w:proofErr w:type="spellStart"/>
      <w:r w:rsidRPr="00987B1D">
        <w:rPr>
          <w:szCs w:val="24"/>
        </w:rPr>
        <w:t>mocowej</w:t>
      </w:r>
      <w:proofErr w:type="spellEnd"/>
      <w:r w:rsidRPr="00987B1D">
        <w:rPr>
          <w:szCs w:val="24"/>
        </w:rPr>
        <w:t xml:space="preserve"> dla odbiorców końcowych pobierających energię elektryczną w punktach poboru energii o napięciu znamionowym nie wyższym niż 1 </w:t>
      </w:r>
      <w:proofErr w:type="spellStart"/>
      <w:r w:rsidRPr="00987B1D">
        <w:rPr>
          <w:szCs w:val="24"/>
        </w:rPr>
        <w:t>kV</w:t>
      </w:r>
      <w:proofErr w:type="spellEnd"/>
      <w:r w:rsidRPr="00987B1D">
        <w:rPr>
          <w:szCs w:val="24"/>
        </w:rPr>
        <w:t xml:space="preserve">, zużywających energię elektryczną na własne potrzeby, co oznacza głównie odbiorców </w:t>
      </w:r>
      <w:r w:rsidRPr="00987B1D">
        <w:rPr>
          <w:szCs w:val="24"/>
        </w:rPr>
        <w:lastRenderedPageBreak/>
        <w:t>końcowych w gospodarstwach domowych.</w:t>
      </w:r>
      <w:r w:rsidR="00E31B69" w:rsidRPr="00987B1D">
        <w:rPr>
          <w:szCs w:val="24"/>
        </w:rPr>
        <w:t xml:space="preserve"> </w:t>
      </w:r>
      <w:r w:rsidR="00A70BA7" w:rsidRPr="00987B1D">
        <w:rPr>
          <w:szCs w:val="24"/>
        </w:rPr>
        <w:t>Przedłużenie z</w:t>
      </w:r>
      <w:r w:rsidR="00E31B69" w:rsidRPr="00987B1D">
        <w:rPr>
          <w:szCs w:val="24"/>
        </w:rPr>
        <w:t>aw</w:t>
      </w:r>
      <w:r w:rsidR="00A70BA7" w:rsidRPr="00987B1D">
        <w:rPr>
          <w:szCs w:val="24"/>
        </w:rPr>
        <w:t>ie</w:t>
      </w:r>
      <w:r w:rsidR="00E31B69" w:rsidRPr="00987B1D">
        <w:rPr>
          <w:szCs w:val="24"/>
        </w:rPr>
        <w:t>szeni</w:t>
      </w:r>
      <w:r w:rsidR="00A70BA7" w:rsidRPr="00987B1D">
        <w:rPr>
          <w:szCs w:val="24"/>
        </w:rPr>
        <w:t>a</w:t>
      </w:r>
      <w:r w:rsidR="00E31B69" w:rsidRPr="00987B1D">
        <w:rPr>
          <w:szCs w:val="24"/>
        </w:rPr>
        <w:t xml:space="preserve"> opłaty będzie obowiązywało w 2025 r.</w:t>
      </w:r>
      <w:r w:rsidRPr="00987B1D">
        <w:rPr>
          <w:szCs w:val="24"/>
        </w:rPr>
        <w:t xml:space="preserve"> Dodatkowo, w związku z ustaleniem stawki opłaty </w:t>
      </w:r>
      <w:proofErr w:type="spellStart"/>
      <w:r w:rsidRPr="00987B1D">
        <w:rPr>
          <w:szCs w:val="24"/>
        </w:rPr>
        <w:t>mocowej</w:t>
      </w:r>
      <w:proofErr w:type="spellEnd"/>
      <w:r w:rsidRPr="00987B1D">
        <w:rPr>
          <w:szCs w:val="24"/>
        </w:rPr>
        <w:t xml:space="preserve"> dla tych odbiorców końcowych na poziomie 0 zł/miesiąc, operator systemu przesyłowego, który pobiera opłatę </w:t>
      </w:r>
      <w:proofErr w:type="spellStart"/>
      <w:r w:rsidRPr="00987B1D">
        <w:rPr>
          <w:szCs w:val="24"/>
        </w:rPr>
        <w:t>mocową</w:t>
      </w:r>
      <w:proofErr w:type="spellEnd"/>
      <w:r w:rsidRPr="00987B1D">
        <w:rPr>
          <w:szCs w:val="24"/>
        </w:rPr>
        <w:t xml:space="preserve">, otrzyma rekompensatę powiększoną o podatek VAT, na wyodrębniony rachunek, który wskaże dysponentowi Fundusz Przeciwdziałania COVID-19. Dysponent tego funduszu będzie przekazywał środki na wskazany rachunek do 20. dnia miesiąca następującego po miesiącu, którego dotyczy rekompensata. Środki finansowe wypłacane w ramach rekompensaty są środkami zgromadzonymi z tytułu opłaty </w:t>
      </w:r>
      <w:proofErr w:type="spellStart"/>
      <w:r w:rsidRPr="00987B1D">
        <w:rPr>
          <w:szCs w:val="24"/>
        </w:rPr>
        <w:t>mocowej</w:t>
      </w:r>
      <w:proofErr w:type="spellEnd"/>
      <w:r w:rsidRPr="00987B1D">
        <w:rPr>
          <w:szCs w:val="24"/>
        </w:rPr>
        <w:t xml:space="preserve">. </w:t>
      </w:r>
    </w:p>
    <w:p w14:paraId="6BDDF91E" w14:textId="74275772" w:rsidR="001148F7" w:rsidRPr="00987B1D" w:rsidRDefault="001148F7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>Dodatkowo określono limit wydatków z Funduszu Przeciwdziałania COVID-19 z tytułu rekompensaty w 2025 r.</w:t>
      </w:r>
      <w:r w:rsidRPr="00987B1D">
        <w:rPr>
          <w:bCs/>
          <w:szCs w:val="24"/>
        </w:rPr>
        <w:t xml:space="preserve"> Projektodawca przewidział konieczność zmiany planu finansowego Funduszu Przeciwdziałania COVID-19 oraz zmianę w ustawie z dnia 31 marca 2020 r. o zmianie ustawy o szczególnych rozwiązaniach związanych z zapobieganiem, przeciwdziałaniem i zwalczaniem COVID-19, innych chorób zakaźnych oraz wywołanych nimi sytuacji kryzysowych oraz niektórych innych ustaw (Dz.</w:t>
      </w:r>
      <w:r w:rsidR="00901175" w:rsidRPr="00987B1D">
        <w:rPr>
          <w:bCs/>
          <w:szCs w:val="24"/>
        </w:rPr>
        <w:t xml:space="preserve"> </w:t>
      </w:r>
      <w:r w:rsidRPr="00987B1D">
        <w:rPr>
          <w:bCs/>
          <w:szCs w:val="24"/>
        </w:rPr>
        <w:t xml:space="preserve">U. poz. 568, z późn. zm.) mającą na celu określenie, że celem wydatkowania z Funduszu Przeciwdziałania COVID-19 jest rekompensata wypłacana na rzecz operatora systemu przesyłowego w związku z ustaleniem stawki opłaty </w:t>
      </w:r>
      <w:proofErr w:type="spellStart"/>
      <w:r w:rsidRPr="00987B1D">
        <w:rPr>
          <w:bCs/>
          <w:szCs w:val="24"/>
        </w:rPr>
        <w:t>mocowej</w:t>
      </w:r>
      <w:proofErr w:type="spellEnd"/>
      <w:r w:rsidRPr="00987B1D">
        <w:rPr>
          <w:bCs/>
          <w:szCs w:val="24"/>
        </w:rPr>
        <w:t xml:space="preserve"> dla wybranych odbiorców końcowych na poziomie 0 zł/miesiąc w</w:t>
      </w:r>
      <w:r w:rsidR="00E31B69" w:rsidRPr="00987B1D">
        <w:rPr>
          <w:bCs/>
          <w:szCs w:val="24"/>
        </w:rPr>
        <w:t xml:space="preserve"> </w:t>
      </w:r>
      <w:r w:rsidRPr="00987B1D">
        <w:rPr>
          <w:bCs/>
          <w:szCs w:val="24"/>
        </w:rPr>
        <w:t>2025 r.</w:t>
      </w:r>
    </w:p>
    <w:p w14:paraId="25D4F6C4" w14:textId="70B79AE0" w:rsidR="00B87255" w:rsidRPr="00987B1D" w:rsidRDefault="00B87255" w:rsidP="00987B1D">
      <w:pPr>
        <w:pStyle w:val="Akapitzlist"/>
        <w:spacing w:before="120" w:after="120" w:line="360" w:lineRule="auto"/>
        <w:ind w:left="0" w:right="0" w:firstLine="0"/>
        <w:contextualSpacing w:val="0"/>
        <w:rPr>
          <w:b/>
          <w:bCs/>
          <w:color w:val="auto"/>
          <w:szCs w:val="24"/>
        </w:rPr>
      </w:pPr>
      <w:r w:rsidRPr="00987B1D">
        <w:rPr>
          <w:b/>
          <w:bCs/>
          <w:color w:val="auto"/>
          <w:szCs w:val="24"/>
        </w:rPr>
        <w:t>Uelastycznienie zasad gospodarowania środkami przeznaczonymi na wypłatę rekompensat</w:t>
      </w:r>
    </w:p>
    <w:p w14:paraId="372D80BF" w14:textId="2452938C" w:rsidR="002E606B" w:rsidRPr="00987B1D" w:rsidRDefault="00B87255" w:rsidP="00987B1D">
      <w:pPr>
        <w:pStyle w:val="Akapitzlist"/>
        <w:spacing w:before="120" w:after="120" w:line="360" w:lineRule="auto"/>
        <w:ind w:left="0" w:right="0" w:firstLine="0"/>
        <w:contextualSpacing w:val="0"/>
        <w:rPr>
          <w:rStyle w:val="ui-provider"/>
          <w:color w:val="auto"/>
          <w:szCs w:val="24"/>
        </w:rPr>
      </w:pPr>
      <w:r w:rsidRPr="00987B1D">
        <w:rPr>
          <w:rStyle w:val="ui-provider"/>
          <w:color w:val="auto"/>
          <w:szCs w:val="24"/>
        </w:rPr>
        <w:t>A</w:t>
      </w:r>
      <w:r w:rsidR="00B777FA" w:rsidRPr="00987B1D">
        <w:rPr>
          <w:rStyle w:val="ui-provider"/>
          <w:color w:val="auto"/>
          <w:szCs w:val="24"/>
        </w:rPr>
        <w:t>naliza funkcjonowania w 2023 i 2024 r. wcześniejszych systemów wsparcia odbiorców, uwzględniająca praktyczne doświadczenia realizacji działania systemu rekompensat i rozliczeń finansowych</w:t>
      </w:r>
      <w:r w:rsidR="009A4F1F">
        <w:rPr>
          <w:rStyle w:val="ui-provider"/>
          <w:color w:val="auto"/>
          <w:szCs w:val="24"/>
        </w:rPr>
        <w:t>,</w:t>
      </w:r>
      <w:r w:rsidR="00B777FA" w:rsidRPr="00987B1D">
        <w:rPr>
          <w:rStyle w:val="ui-provider"/>
          <w:color w:val="auto"/>
          <w:szCs w:val="24"/>
        </w:rPr>
        <w:t xml:space="preserve"> zidentyfikowała obszary, które wymagają usprawnienia i doprecyzowania. W</w:t>
      </w:r>
      <w:r w:rsidR="00583A6E" w:rsidRPr="00987B1D">
        <w:rPr>
          <w:rStyle w:val="ui-provider"/>
          <w:color w:val="auto"/>
          <w:szCs w:val="24"/>
        </w:rPr>
        <w:t> </w:t>
      </w:r>
      <w:r w:rsidR="00B777FA" w:rsidRPr="00987B1D">
        <w:rPr>
          <w:rStyle w:val="ui-provider"/>
          <w:color w:val="auto"/>
          <w:szCs w:val="24"/>
        </w:rPr>
        <w:t xml:space="preserve">konsekwencji, zasadnym jest zmodyfikowanie przepisów ustawy </w:t>
      </w:r>
      <w:r w:rsidR="00A66CCD">
        <w:rPr>
          <w:rStyle w:val="ui-provider"/>
          <w:color w:val="auto"/>
          <w:szCs w:val="24"/>
        </w:rPr>
        <w:t xml:space="preserve">z dnia 27 października 2022 r. </w:t>
      </w:r>
      <w:r w:rsidR="00B777FA" w:rsidRPr="00987B1D">
        <w:rPr>
          <w:rStyle w:val="ui-provider"/>
          <w:color w:val="auto"/>
          <w:szCs w:val="24"/>
        </w:rPr>
        <w:t>o środkach nadzwyczajnych mających na celu ograniczenie wysokości cen energii elektrycznej oraz wsparciu niektórych odbiorców w 2023 roku oraz w 2024 roku przez wprowadzenie uelastycznienia w zakresie możliwości przesunięcia pomiędzy Funduszem Wypłaty Różnicy Ceny a Funduszem Przeciwdziałania COVID-19 środków przeznaczonych na rekompensaty za stosowanie mechanizmu ceny maksymalnej.</w:t>
      </w:r>
      <w:r w:rsidR="008C6AD9" w:rsidRPr="00987B1D">
        <w:rPr>
          <w:rStyle w:val="ui-provider"/>
          <w:color w:val="auto"/>
          <w:szCs w:val="24"/>
        </w:rPr>
        <w:t xml:space="preserve"> Proponuje się również dodanie przepisów określających termin rozliczenia końcowego sytemu rekompensat za 2025 r. tak, </w:t>
      </w:r>
      <w:r w:rsidR="009A4F1F">
        <w:rPr>
          <w:rStyle w:val="ui-provider"/>
          <w:color w:val="auto"/>
          <w:szCs w:val="24"/>
        </w:rPr>
        <w:t>a</w:t>
      </w:r>
      <w:r w:rsidR="008C6AD9" w:rsidRPr="00987B1D">
        <w:rPr>
          <w:rStyle w:val="ui-provider"/>
          <w:color w:val="auto"/>
          <w:szCs w:val="24"/>
        </w:rPr>
        <w:t>by nie kolidował z terminami składanych wniosków dotyczących rozliczeń z</w:t>
      </w:r>
      <w:r w:rsidR="00E605CA" w:rsidRPr="00987B1D">
        <w:rPr>
          <w:rStyle w:val="ui-provider"/>
          <w:color w:val="auto"/>
          <w:szCs w:val="24"/>
        </w:rPr>
        <w:t> </w:t>
      </w:r>
      <w:r w:rsidR="008C6AD9" w:rsidRPr="00987B1D">
        <w:rPr>
          <w:rStyle w:val="ui-provider"/>
          <w:color w:val="auto"/>
          <w:szCs w:val="24"/>
        </w:rPr>
        <w:t>wcześniejszych okresów wsparcia</w:t>
      </w:r>
      <w:r w:rsidR="0076438F" w:rsidRPr="00987B1D">
        <w:rPr>
          <w:rStyle w:val="ui-provider"/>
          <w:color w:val="auto"/>
          <w:szCs w:val="24"/>
        </w:rPr>
        <w:t>.</w:t>
      </w:r>
      <w:r w:rsidR="002E606B" w:rsidRPr="00987B1D">
        <w:rPr>
          <w:rStyle w:val="ui-provider"/>
          <w:color w:val="auto"/>
          <w:szCs w:val="24"/>
        </w:rPr>
        <w:t xml:space="preserve"> </w:t>
      </w:r>
    </w:p>
    <w:p w14:paraId="4E6103FC" w14:textId="372BF6B9" w:rsidR="0076438F" w:rsidRPr="00987B1D" w:rsidRDefault="00D41B8B" w:rsidP="00987B1D">
      <w:pPr>
        <w:pStyle w:val="Akapitzlist"/>
        <w:spacing w:before="120" w:after="120" w:line="360" w:lineRule="auto"/>
        <w:ind w:left="0" w:right="0" w:firstLine="0"/>
        <w:contextualSpacing w:val="0"/>
        <w:rPr>
          <w:szCs w:val="24"/>
        </w:rPr>
      </w:pPr>
      <w:r w:rsidRPr="00987B1D">
        <w:rPr>
          <w:szCs w:val="24"/>
        </w:rPr>
        <w:lastRenderedPageBreak/>
        <w:t xml:space="preserve">Z monitorowania obowiązujących przepisów funkcjonowania mechanizmu rozliczania odpisu na Fundusz, uiszczanego przez wytwórców i sprzedawców energii elektrycznej, wynika potrzeba technicznego doprecyzowania tych przepisów w celu zapewnienia efektywnego rozliczenia końcowego tego mechanizmu. Projekt ustawy obejmuje więc również szereg zmian technicznych służących doprecyzowaniu przepisów dotyczących końcowego rozliczenia odpisu na Fundusz – obejmujących zmiany w ustawie z </w:t>
      </w:r>
      <w:r w:rsidR="00A66CCD">
        <w:rPr>
          <w:szCs w:val="24"/>
        </w:rPr>
        <w:t xml:space="preserve">dnia </w:t>
      </w:r>
      <w:r w:rsidRPr="00987B1D">
        <w:rPr>
          <w:szCs w:val="24"/>
        </w:rPr>
        <w:t xml:space="preserve">27 października 2022 r. </w:t>
      </w:r>
      <w:r w:rsidR="00316932" w:rsidRPr="00987B1D">
        <w:rPr>
          <w:szCs w:val="24"/>
        </w:rPr>
        <w:t xml:space="preserve">o środkach nadzwyczajnych mających na celu ograniczenie wysokości cen energii elektrycznej oraz wsparciu niektórych odbiorców w 2023 roku oraz w 2024 roku </w:t>
      </w:r>
      <w:r w:rsidRPr="00987B1D">
        <w:rPr>
          <w:szCs w:val="24"/>
        </w:rPr>
        <w:t>(zmiana art.</w:t>
      </w:r>
      <w:r w:rsidR="00316932" w:rsidRPr="00987B1D">
        <w:rPr>
          <w:szCs w:val="24"/>
        </w:rPr>
        <w:t xml:space="preserve"> 28)</w:t>
      </w:r>
      <w:r w:rsidR="00A66CCD">
        <w:rPr>
          <w:szCs w:val="24"/>
        </w:rPr>
        <w:t>,</w:t>
      </w:r>
      <w:r w:rsidR="00316932" w:rsidRPr="00987B1D">
        <w:rPr>
          <w:szCs w:val="24"/>
        </w:rPr>
        <w:t xml:space="preserve"> ustawie z dnia 28 grudnia 2018 r. o zmianie ustawy o podatku akcyzowym oraz niektórych innych ustaw</w:t>
      </w:r>
      <w:r w:rsidR="00A66CCD">
        <w:rPr>
          <w:szCs w:val="24"/>
        </w:rPr>
        <w:t xml:space="preserve"> oraz</w:t>
      </w:r>
      <w:r w:rsidR="00316932" w:rsidRPr="00987B1D">
        <w:rPr>
          <w:szCs w:val="24"/>
        </w:rPr>
        <w:t xml:space="preserve"> ustawie z dnia 31 marca 2020 r. o zmianie ustawy o szczególnych rozwiązaniach związanych z zapobieganiem, przeciwdziałaniem i zwalczaniem COVID-19, innych chorób zakaźnych oraz wywołanych nimi sytuacji kryzysowych oraz niektórych innych ustaw (zmiany w art. 65 ust. 5 pkt 12</w:t>
      </w:r>
      <w:r w:rsidR="009A4F1F">
        <w:rPr>
          <w:szCs w:val="24"/>
        </w:rPr>
        <w:t>–</w:t>
      </w:r>
      <w:r w:rsidR="00316932" w:rsidRPr="00987B1D">
        <w:rPr>
          <w:szCs w:val="24"/>
        </w:rPr>
        <w:t>13a). Zmiany koncentrują się na precyzyjnym określeniu przepływów finansowych środków pochodzących z odpisu na Fundusz pomiędzy Funduszem Wypłaty Różnicy Ceny a Funduszem Przeciwdziałania C</w:t>
      </w:r>
      <w:r w:rsidR="009A4F1F" w:rsidRPr="00A600F9">
        <w:rPr>
          <w:szCs w:val="24"/>
        </w:rPr>
        <w:t>OVID</w:t>
      </w:r>
      <w:r w:rsidR="00316932" w:rsidRPr="00987B1D">
        <w:rPr>
          <w:szCs w:val="24"/>
        </w:rPr>
        <w:t xml:space="preserve">-19 oraz przewidują </w:t>
      </w:r>
      <w:r w:rsidR="002C1889" w:rsidRPr="00987B1D">
        <w:rPr>
          <w:szCs w:val="24"/>
        </w:rPr>
        <w:t xml:space="preserve">termin na przygotowanie zmiany </w:t>
      </w:r>
      <w:r w:rsidR="002C1889" w:rsidRPr="00987B1D">
        <w:rPr>
          <w:bCs/>
          <w:szCs w:val="24"/>
        </w:rPr>
        <w:t xml:space="preserve">planu finansowego </w:t>
      </w:r>
      <w:r w:rsidR="00316932" w:rsidRPr="00987B1D">
        <w:rPr>
          <w:color w:val="auto"/>
          <w:szCs w:val="24"/>
        </w:rPr>
        <w:t>Funduszu Wypłaty Różnicy Ceny</w:t>
      </w:r>
      <w:r w:rsidR="002C1889" w:rsidRPr="00987B1D">
        <w:rPr>
          <w:color w:val="auto"/>
          <w:szCs w:val="24"/>
        </w:rPr>
        <w:t>.</w:t>
      </w:r>
      <w:r w:rsidR="0076438F" w:rsidRPr="00987B1D">
        <w:rPr>
          <w:szCs w:val="24"/>
        </w:rPr>
        <w:t xml:space="preserve"> </w:t>
      </w:r>
    </w:p>
    <w:p w14:paraId="652D390C" w14:textId="2CA4EEF3" w:rsidR="00316932" w:rsidRPr="00987B1D" w:rsidRDefault="0076438F" w:rsidP="00987B1D">
      <w:pPr>
        <w:pStyle w:val="Akapitzlist"/>
        <w:spacing w:before="120" w:after="120" w:line="360" w:lineRule="auto"/>
        <w:ind w:left="0" w:right="0" w:firstLine="0"/>
        <w:contextualSpacing w:val="0"/>
        <w:rPr>
          <w:rStyle w:val="ui-provider"/>
          <w:color w:val="auto"/>
          <w:szCs w:val="24"/>
        </w:rPr>
      </w:pPr>
      <w:r w:rsidRPr="00987B1D">
        <w:rPr>
          <w:szCs w:val="24"/>
        </w:rPr>
        <w:t xml:space="preserve">W </w:t>
      </w:r>
      <w:r w:rsidR="0011617F" w:rsidRPr="00987B1D">
        <w:rPr>
          <w:szCs w:val="24"/>
        </w:rPr>
        <w:t>projekcie</w:t>
      </w:r>
      <w:r w:rsidRPr="00987B1D">
        <w:rPr>
          <w:szCs w:val="24"/>
        </w:rPr>
        <w:t xml:space="preserve"> </w:t>
      </w:r>
      <w:r w:rsidR="0011617F" w:rsidRPr="00987B1D">
        <w:rPr>
          <w:szCs w:val="24"/>
        </w:rPr>
        <w:t xml:space="preserve">przewiduje się również </w:t>
      </w:r>
      <w:r w:rsidRPr="00987B1D">
        <w:rPr>
          <w:szCs w:val="24"/>
        </w:rPr>
        <w:t>wprowadz</w:t>
      </w:r>
      <w:r w:rsidR="0011617F" w:rsidRPr="00987B1D">
        <w:rPr>
          <w:szCs w:val="24"/>
        </w:rPr>
        <w:t>enie</w:t>
      </w:r>
      <w:r w:rsidRPr="00987B1D">
        <w:rPr>
          <w:szCs w:val="24"/>
        </w:rPr>
        <w:t xml:space="preserve"> przepis</w:t>
      </w:r>
      <w:r w:rsidR="0011617F" w:rsidRPr="00987B1D">
        <w:rPr>
          <w:szCs w:val="24"/>
        </w:rPr>
        <w:t>ów</w:t>
      </w:r>
      <w:r w:rsidRPr="00987B1D">
        <w:rPr>
          <w:szCs w:val="24"/>
        </w:rPr>
        <w:t xml:space="preserve"> precyzując</w:t>
      </w:r>
      <w:r w:rsidR="0011617F" w:rsidRPr="00987B1D">
        <w:rPr>
          <w:szCs w:val="24"/>
        </w:rPr>
        <w:t>ych</w:t>
      </w:r>
      <w:r w:rsidRPr="00987B1D">
        <w:rPr>
          <w:szCs w:val="24"/>
        </w:rPr>
        <w:t xml:space="preserve"> zasady udzielenia i rozliczenia pomocy publicznej w zakresie wsparcia odbiorców z sektora MŚP w drugiej połowie 2024 r. Przepisy te m.in. obligują przedsiębiorców do wypełnienia dedykowane</w:t>
      </w:r>
      <w:r w:rsidR="0011617F" w:rsidRPr="00987B1D">
        <w:rPr>
          <w:szCs w:val="24"/>
        </w:rPr>
        <w:t>go, przejrzystego formularza informacji</w:t>
      </w:r>
      <w:r w:rsidRPr="00987B1D">
        <w:rPr>
          <w:szCs w:val="24"/>
        </w:rPr>
        <w:t xml:space="preserve"> w zakresie udzielonej tym podmiotom pomocy publicznej.</w:t>
      </w:r>
    </w:p>
    <w:p w14:paraId="4D12733C" w14:textId="4E6FAEA7" w:rsidR="00044F3D" w:rsidRPr="00987B1D" w:rsidRDefault="00044F3D" w:rsidP="00987B1D">
      <w:pPr>
        <w:pStyle w:val="Akapitzlist"/>
        <w:numPr>
          <w:ilvl w:val="0"/>
          <w:numId w:val="3"/>
        </w:numPr>
        <w:spacing w:before="120" w:after="120" w:line="360" w:lineRule="auto"/>
        <w:ind w:right="0"/>
        <w:contextualSpacing w:val="0"/>
        <w:rPr>
          <w:b/>
          <w:bCs/>
          <w:szCs w:val="24"/>
        </w:rPr>
      </w:pPr>
      <w:r w:rsidRPr="00987B1D">
        <w:rPr>
          <w:b/>
          <w:bCs/>
          <w:szCs w:val="24"/>
        </w:rPr>
        <w:t>Źródła finansowania, jeżeli projekt niesie obciążenia dla budżetu państwa lub jednostek samorządu terytorialnego</w:t>
      </w:r>
    </w:p>
    <w:p w14:paraId="57DBB138" w14:textId="2EAEAF21" w:rsidR="00044F3D" w:rsidRPr="00987B1D" w:rsidRDefault="00044F3D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>Środki na rekompensaty dla przedsiębiorstw energetycznych</w:t>
      </w:r>
      <w:r w:rsidR="00737412" w:rsidRPr="00987B1D">
        <w:rPr>
          <w:szCs w:val="24"/>
        </w:rPr>
        <w:t xml:space="preserve"> </w:t>
      </w:r>
      <w:r w:rsidR="00E93A9A" w:rsidRPr="00987B1D">
        <w:rPr>
          <w:szCs w:val="24"/>
        </w:rPr>
        <w:t>za stosowanie ceny maksymalnej energii elektrycznej</w:t>
      </w:r>
      <w:r w:rsidR="00E31B69" w:rsidRPr="00987B1D">
        <w:rPr>
          <w:szCs w:val="24"/>
        </w:rPr>
        <w:t xml:space="preserve"> </w:t>
      </w:r>
      <w:r w:rsidR="00E93A9A" w:rsidRPr="00987B1D">
        <w:rPr>
          <w:szCs w:val="24"/>
        </w:rPr>
        <w:t xml:space="preserve">oraz za obniżenie stawki opłaty </w:t>
      </w:r>
      <w:proofErr w:type="spellStart"/>
      <w:r w:rsidR="00E93A9A" w:rsidRPr="00987B1D">
        <w:rPr>
          <w:szCs w:val="24"/>
        </w:rPr>
        <w:t>mocowej</w:t>
      </w:r>
      <w:proofErr w:type="spellEnd"/>
      <w:r w:rsidR="00E93A9A" w:rsidRPr="00987B1D">
        <w:rPr>
          <w:szCs w:val="24"/>
        </w:rPr>
        <w:t xml:space="preserve"> dla odbiorców w gospodarstwach domowych w 2025</w:t>
      </w:r>
      <w:r w:rsidR="00E31B69" w:rsidRPr="00987B1D">
        <w:rPr>
          <w:szCs w:val="24"/>
        </w:rPr>
        <w:t xml:space="preserve"> r.</w:t>
      </w:r>
      <w:r w:rsidRPr="00987B1D">
        <w:rPr>
          <w:szCs w:val="24"/>
        </w:rPr>
        <w:t xml:space="preserve"> </w:t>
      </w:r>
      <w:r w:rsidR="00E93A9A" w:rsidRPr="00987B1D">
        <w:rPr>
          <w:szCs w:val="24"/>
        </w:rPr>
        <w:t xml:space="preserve">zgodnie z podstawowymi założeniami działającego mechanizmu </w:t>
      </w:r>
      <w:r w:rsidRPr="00987B1D">
        <w:rPr>
          <w:szCs w:val="24"/>
        </w:rPr>
        <w:t>pochodzić będą z Funduszu Przeciwdziałania COVID-19.</w:t>
      </w:r>
      <w:r w:rsidR="00505C09" w:rsidRPr="00987B1D">
        <w:rPr>
          <w:szCs w:val="24"/>
        </w:rPr>
        <w:t xml:space="preserve"> </w:t>
      </w:r>
    </w:p>
    <w:p w14:paraId="543606BD" w14:textId="2D8C165C" w:rsidR="00044F3D" w:rsidRPr="00987B1D" w:rsidRDefault="00044F3D" w:rsidP="00987B1D">
      <w:pPr>
        <w:pStyle w:val="Akapitzlist"/>
        <w:numPr>
          <w:ilvl w:val="0"/>
          <w:numId w:val="3"/>
        </w:numPr>
        <w:spacing w:before="120" w:after="120" w:line="360" w:lineRule="auto"/>
        <w:ind w:right="0"/>
        <w:contextualSpacing w:val="0"/>
        <w:rPr>
          <w:b/>
          <w:bCs/>
          <w:szCs w:val="24"/>
        </w:rPr>
      </w:pPr>
      <w:r w:rsidRPr="00987B1D">
        <w:rPr>
          <w:b/>
          <w:bCs/>
          <w:szCs w:val="24"/>
        </w:rPr>
        <w:t>Wejście w życie</w:t>
      </w:r>
    </w:p>
    <w:p w14:paraId="3BF31C78" w14:textId="5356116E" w:rsidR="00044F3D" w:rsidRPr="00987B1D" w:rsidRDefault="00044F3D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 xml:space="preserve">Proponuje się, aby </w:t>
      </w:r>
      <w:r w:rsidR="00B90492" w:rsidRPr="00987B1D">
        <w:rPr>
          <w:szCs w:val="24"/>
        </w:rPr>
        <w:t xml:space="preserve">z uwagi na jednoznacznie pozytywny wpływ na odbiorców energii elektrycznej </w:t>
      </w:r>
      <w:r w:rsidRPr="00987B1D">
        <w:rPr>
          <w:szCs w:val="24"/>
        </w:rPr>
        <w:t>ustawa weszła w życie z dniem następującym po dniu ogłoszenia</w:t>
      </w:r>
      <w:r w:rsidR="00737412" w:rsidRPr="00987B1D">
        <w:rPr>
          <w:szCs w:val="24"/>
        </w:rPr>
        <w:t>.</w:t>
      </w:r>
      <w:r w:rsidR="00B90492" w:rsidRPr="00987B1D">
        <w:rPr>
          <w:szCs w:val="24"/>
        </w:rPr>
        <w:t xml:space="preserve"> Z uwagi na powyższe zaproponowany termin wejścia w życie i skrócony okres vacatio legis nie narusza zasady demokratycznego państwa prawnego.</w:t>
      </w:r>
    </w:p>
    <w:p w14:paraId="789802B4" w14:textId="72428B28" w:rsidR="00044F3D" w:rsidRPr="00987B1D" w:rsidRDefault="00044F3D" w:rsidP="005858A9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ind w:left="714" w:right="0" w:hanging="357"/>
        <w:contextualSpacing w:val="0"/>
        <w:rPr>
          <w:b/>
          <w:bCs/>
          <w:szCs w:val="24"/>
        </w:rPr>
      </w:pPr>
      <w:r w:rsidRPr="00987B1D">
        <w:rPr>
          <w:b/>
          <w:bCs/>
          <w:szCs w:val="24"/>
        </w:rPr>
        <w:lastRenderedPageBreak/>
        <w:t>Ocena zgodności projektu z prawem Unii Europejskiej</w:t>
      </w:r>
    </w:p>
    <w:p w14:paraId="03E0685D" w14:textId="77777777" w:rsidR="002510A9" w:rsidRPr="00987B1D" w:rsidRDefault="00044F3D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>Projekt ustawy jest zgodny z prawem Unii Europejskiej.</w:t>
      </w:r>
    </w:p>
    <w:p w14:paraId="4DBAA83E" w14:textId="7DE15F29" w:rsidR="00044F3D" w:rsidRPr="00987B1D" w:rsidRDefault="00044F3D" w:rsidP="00987B1D">
      <w:pPr>
        <w:pStyle w:val="Akapitzlist"/>
        <w:numPr>
          <w:ilvl w:val="0"/>
          <w:numId w:val="3"/>
        </w:numPr>
        <w:spacing w:before="120" w:after="120" w:line="360" w:lineRule="auto"/>
        <w:ind w:right="0"/>
        <w:contextualSpacing w:val="0"/>
        <w:rPr>
          <w:b/>
          <w:bCs/>
          <w:szCs w:val="24"/>
        </w:rPr>
      </w:pPr>
      <w:r w:rsidRPr="00987B1D">
        <w:rPr>
          <w:b/>
          <w:bCs/>
          <w:szCs w:val="24"/>
        </w:rPr>
        <w:t>Notyfikacja</w:t>
      </w:r>
    </w:p>
    <w:p w14:paraId="0CD52E2A" w14:textId="0A79DB76" w:rsidR="00044F3D" w:rsidRPr="00987B1D" w:rsidRDefault="00044F3D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 xml:space="preserve">Projekt ustawy nie podlega procedurze notyfikacji aktów prawnych, określonej w przepisach rozporządzenia Rady Ministrów z dnia 23 grudnia 2002 r. w sprawie </w:t>
      </w:r>
      <w:r w:rsidR="00A66CCD">
        <w:rPr>
          <w:szCs w:val="24"/>
        </w:rPr>
        <w:t xml:space="preserve">sposobu </w:t>
      </w:r>
      <w:r w:rsidRPr="00987B1D">
        <w:rPr>
          <w:szCs w:val="24"/>
        </w:rPr>
        <w:t xml:space="preserve">funkcjonowania krajowego systemu notyfikacji norm i aktów prawnych (Dz. U. poz. 2039, z późn. zm.). </w:t>
      </w:r>
    </w:p>
    <w:p w14:paraId="6958BA5A" w14:textId="7FE4F144" w:rsidR="00044F3D" w:rsidRPr="00987B1D" w:rsidRDefault="00044F3D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>Projekt ustawy nie zawiera wymogów nakładanych na usługodawców podlegających notyfikacji, o</w:t>
      </w:r>
      <w:r w:rsidR="00E605CA" w:rsidRPr="00987B1D">
        <w:rPr>
          <w:szCs w:val="24"/>
        </w:rPr>
        <w:t> </w:t>
      </w:r>
      <w:r w:rsidRPr="00987B1D">
        <w:rPr>
          <w:szCs w:val="24"/>
        </w:rPr>
        <w:t>której mowa w art. 15 ust. 7 lub art. 39 ust. 5 dyrektywy 2006/123/WE Parlamentu Europejskiego i</w:t>
      </w:r>
      <w:r w:rsidR="00E605CA" w:rsidRPr="00987B1D">
        <w:rPr>
          <w:szCs w:val="24"/>
        </w:rPr>
        <w:t> </w:t>
      </w:r>
      <w:r w:rsidRPr="00987B1D">
        <w:rPr>
          <w:szCs w:val="24"/>
        </w:rPr>
        <w:t>Rady z dnia 12 grudnia 2006 r. dotyczącej usług na rynku wewnętrznych (Dz. Urz. UE L 376 z</w:t>
      </w:r>
      <w:r w:rsidR="00E605CA" w:rsidRPr="00987B1D">
        <w:rPr>
          <w:szCs w:val="24"/>
        </w:rPr>
        <w:t> </w:t>
      </w:r>
      <w:r w:rsidRPr="00987B1D">
        <w:rPr>
          <w:szCs w:val="24"/>
        </w:rPr>
        <w:t>27.12.2006</w:t>
      </w:r>
      <w:r w:rsidR="00A66CCD">
        <w:rPr>
          <w:szCs w:val="24"/>
        </w:rPr>
        <w:t>,</w:t>
      </w:r>
      <w:r w:rsidRPr="00987B1D">
        <w:rPr>
          <w:szCs w:val="24"/>
        </w:rPr>
        <w:t xml:space="preserve"> str. 36). </w:t>
      </w:r>
    </w:p>
    <w:p w14:paraId="1BBEFC46" w14:textId="655866AF" w:rsidR="00726D30" w:rsidRPr="00987B1D" w:rsidRDefault="00044F3D" w:rsidP="00987B1D">
      <w:pPr>
        <w:spacing w:before="120" w:after="120" w:line="360" w:lineRule="auto"/>
        <w:ind w:right="0" w:firstLine="0"/>
        <w:rPr>
          <w:szCs w:val="24"/>
        </w:rPr>
      </w:pPr>
      <w:r w:rsidRPr="00987B1D">
        <w:rPr>
          <w:szCs w:val="24"/>
        </w:rPr>
        <w:t xml:space="preserve">Projekt ustawy nie wymaga przedstawienia właściwym instytucjom i organom Unii Europejskiej, w tym Europejskiemu Bankowi Centralnemu, celem uzyskania opinii, dokonania powiadomienia, konsultacji albo uzgodnienia projektu. </w:t>
      </w:r>
    </w:p>
    <w:sectPr w:rsidR="00726D30" w:rsidRPr="00987B1D" w:rsidSect="00232E2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C5AF" w14:textId="77777777" w:rsidR="00183308" w:rsidRDefault="00183308" w:rsidP="00E27893">
      <w:pPr>
        <w:spacing w:after="0" w:line="240" w:lineRule="auto"/>
      </w:pPr>
      <w:r>
        <w:separator/>
      </w:r>
    </w:p>
  </w:endnote>
  <w:endnote w:type="continuationSeparator" w:id="0">
    <w:p w14:paraId="6C666025" w14:textId="77777777" w:rsidR="00183308" w:rsidRDefault="00183308" w:rsidP="00E2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7291968"/>
      <w:docPartObj>
        <w:docPartGallery w:val="Page Numbers (Bottom of Page)"/>
        <w:docPartUnique/>
      </w:docPartObj>
    </w:sdtPr>
    <w:sdtEndPr/>
    <w:sdtContent>
      <w:p w14:paraId="14237CAB" w14:textId="76E2C0FA" w:rsidR="00232E29" w:rsidRDefault="00232E29" w:rsidP="00232E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5FF6" w14:textId="77777777" w:rsidR="00183308" w:rsidRDefault="00183308" w:rsidP="00E27893">
      <w:pPr>
        <w:spacing w:after="0" w:line="240" w:lineRule="auto"/>
      </w:pPr>
      <w:r>
        <w:separator/>
      </w:r>
    </w:p>
  </w:footnote>
  <w:footnote w:type="continuationSeparator" w:id="0">
    <w:p w14:paraId="51D61EAF" w14:textId="77777777" w:rsidR="00183308" w:rsidRDefault="00183308" w:rsidP="00E2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3BF1"/>
    <w:multiLevelType w:val="hybridMultilevel"/>
    <w:tmpl w:val="D402D2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6F282B"/>
    <w:multiLevelType w:val="hybridMultilevel"/>
    <w:tmpl w:val="1F2C1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D92"/>
    <w:multiLevelType w:val="hybridMultilevel"/>
    <w:tmpl w:val="A23A2F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7A0FE0"/>
    <w:multiLevelType w:val="hybridMultilevel"/>
    <w:tmpl w:val="54E4472C"/>
    <w:lvl w:ilvl="0" w:tplc="C79E8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36449"/>
    <w:multiLevelType w:val="multilevel"/>
    <w:tmpl w:val="438E2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461E1"/>
    <w:multiLevelType w:val="hybridMultilevel"/>
    <w:tmpl w:val="CB3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C270B"/>
    <w:multiLevelType w:val="multilevel"/>
    <w:tmpl w:val="2E9C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810716">
    <w:abstractNumId w:val="1"/>
  </w:num>
  <w:num w:numId="2" w16cid:durableId="1551648083">
    <w:abstractNumId w:val="3"/>
  </w:num>
  <w:num w:numId="3" w16cid:durableId="1209997052">
    <w:abstractNumId w:val="5"/>
  </w:num>
  <w:num w:numId="4" w16cid:durableId="840317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663663">
    <w:abstractNumId w:val="2"/>
  </w:num>
  <w:num w:numId="6" w16cid:durableId="1252470146">
    <w:abstractNumId w:val="6"/>
  </w:num>
  <w:num w:numId="7" w16cid:durableId="1623413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3D"/>
    <w:rsid w:val="00017600"/>
    <w:rsid w:val="00031883"/>
    <w:rsid w:val="000411D7"/>
    <w:rsid w:val="0004359E"/>
    <w:rsid w:val="00044F3D"/>
    <w:rsid w:val="00060A72"/>
    <w:rsid w:val="00062F3E"/>
    <w:rsid w:val="00067BEF"/>
    <w:rsid w:val="00074E90"/>
    <w:rsid w:val="0008519A"/>
    <w:rsid w:val="00096CE9"/>
    <w:rsid w:val="000A2B1B"/>
    <w:rsid w:val="000A5F29"/>
    <w:rsid w:val="000B3DAF"/>
    <w:rsid w:val="000D37CE"/>
    <w:rsid w:val="000E550E"/>
    <w:rsid w:val="0011026D"/>
    <w:rsid w:val="001148F7"/>
    <w:rsid w:val="0011617F"/>
    <w:rsid w:val="00126B23"/>
    <w:rsid w:val="00131904"/>
    <w:rsid w:val="001354A5"/>
    <w:rsid w:val="0014218D"/>
    <w:rsid w:val="00145579"/>
    <w:rsid w:val="00153814"/>
    <w:rsid w:val="00154227"/>
    <w:rsid w:val="00157900"/>
    <w:rsid w:val="00183308"/>
    <w:rsid w:val="001A2A00"/>
    <w:rsid w:val="001A486B"/>
    <w:rsid w:val="001B10DB"/>
    <w:rsid w:val="001C3B25"/>
    <w:rsid w:val="001F63E8"/>
    <w:rsid w:val="00222644"/>
    <w:rsid w:val="00230A4A"/>
    <w:rsid w:val="00232E29"/>
    <w:rsid w:val="00237E14"/>
    <w:rsid w:val="002510A9"/>
    <w:rsid w:val="002523B9"/>
    <w:rsid w:val="0025466A"/>
    <w:rsid w:val="00263857"/>
    <w:rsid w:val="00267A43"/>
    <w:rsid w:val="00274128"/>
    <w:rsid w:val="002A0166"/>
    <w:rsid w:val="002B0482"/>
    <w:rsid w:val="002C1889"/>
    <w:rsid w:val="002C5E1E"/>
    <w:rsid w:val="002E606B"/>
    <w:rsid w:val="002F0E0C"/>
    <w:rsid w:val="00300946"/>
    <w:rsid w:val="00307185"/>
    <w:rsid w:val="00311C42"/>
    <w:rsid w:val="00316932"/>
    <w:rsid w:val="0032298E"/>
    <w:rsid w:val="003254CC"/>
    <w:rsid w:val="00336360"/>
    <w:rsid w:val="0034119E"/>
    <w:rsid w:val="0034572E"/>
    <w:rsid w:val="00357B1A"/>
    <w:rsid w:val="00366CBC"/>
    <w:rsid w:val="003836EF"/>
    <w:rsid w:val="00395DAC"/>
    <w:rsid w:val="003B5A05"/>
    <w:rsid w:val="003C3AFA"/>
    <w:rsid w:val="003D2A74"/>
    <w:rsid w:val="003E17EB"/>
    <w:rsid w:val="004005A3"/>
    <w:rsid w:val="004076B4"/>
    <w:rsid w:val="00415546"/>
    <w:rsid w:val="004155D8"/>
    <w:rsid w:val="00417F58"/>
    <w:rsid w:val="00451364"/>
    <w:rsid w:val="00454185"/>
    <w:rsid w:val="0046422C"/>
    <w:rsid w:val="00465364"/>
    <w:rsid w:val="0047762D"/>
    <w:rsid w:val="004B78F4"/>
    <w:rsid w:val="004D3336"/>
    <w:rsid w:val="004F69E2"/>
    <w:rsid w:val="00503547"/>
    <w:rsid w:val="00505C09"/>
    <w:rsid w:val="00522911"/>
    <w:rsid w:val="00526EF4"/>
    <w:rsid w:val="00533DE7"/>
    <w:rsid w:val="00535FF3"/>
    <w:rsid w:val="00542012"/>
    <w:rsid w:val="0057476B"/>
    <w:rsid w:val="00583A6E"/>
    <w:rsid w:val="00583F43"/>
    <w:rsid w:val="005858A9"/>
    <w:rsid w:val="00590794"/>
    <w:rsid w:val="005A632E"/>
    <w:rsid w:val="005B30E7"/>
    <w:rsid w:val="005B3A02"/>
    <w:rsid w:val="005C25A5"/>
    <w:rsid w:val="005D25C5"/>
    <w:rsid w:val="00606A69"/>
    <w:rsid w:val="00607A54"/>
    <w:rsid w:val="00612DAC"/>
    <w:rsid w:val="00627B8A"/>
    <w:rsid w:val="00634E90"/>
    <w:rsid w:val="00654BD7"/>
    <w:rsid w:val="00660915"/>
    <w:rsid w:val="006764DB"/>
    <w:rsid w:val="00687746"/>
    <w:rsid w:val="00690311"/>
    <w:rsid w:val="006979FD"/>
    <w:rsid w:val="006A4921"/>
    <w:rsid w:val="006C7CA9"/>
    <w:rsid w:val="006F562C"/>
    <w:rsid w:val="006F5F7C"/>
    <w:rsid w:val="006F7C0F"/>
    <w:rsid w:val="007223CA"/>
    <w:rsid w:val="00726D30"/>
    <w:rsid w:val="00730F5B"/>
    <w:rsid w:val="00731DC2"/>
    <w:rsid w:val="0073248C"/>
    <w:rsid w:val="0073356E"/>
    <w:rsid w:val="00737412"/>
    <w:rsid w:val="00741EB7"/>
    <w:rsid w:val="00754493"/>
    <w:rsid w:val="0076438F"/>
    <w:rsid w:val="00776C10"/>
    <w:rsid w:val="007777F0"/>
    <w:rsid w:val="00804CBE"/>
    <w:rsid w:val="00810206"/>
    <w:rsid w:val="00821D0D"/>
    <w:rsid w:val="008315A5"/>
    <w:rsid w:val="00836949"/>
    <w:rsid w:val="008429B3"/>
    <w:rsid w:val="00842C3A"/>
    <w:rsid w:val="0085397D"/>
    <w:rsid w:val="00860E01"/>
    <w:rsid w:val="00886ABC"/>
    <w:rsid w:val="00887AF7"/>
    <w:rsid w:val="00891540"/>
    <w:rsid w:val="00892CF8"/>
    <w:rsid w:val="008A577B"/>
    <w:rsid w:val="008A5C19"/>
    <w:rsid w:val="008B1A09"/>
    <w:rsid w:val="008C527E"/>
    <w:rsid w:val="008C6AD9"/>
    <w:rsid w:val="008C7B2C"/>
    <w:rsid w:val="008D379F"/>
    <w:rsid w:val="008E2F96"/>
    <w:rsid w:val="008E48E1"/>
    <w:rsid w:val="008E5A99"/>
    <w:rsid w:val="008F6B5E"/>
    <w:rsid w:val="00901175"/>
    <w:rsid w:val="00907594"/>
    <w:rsid w:val="00916455"/>
    <w:rsid w:val="00924BBA"/>
    <w:rsid w:val="0093281F"/>
    <w:rsid w:val="00932EBB"/>
    <w:rsid w:val="009346F9"/>
    <w:rsid w:val="009418E8"/>
    <w:rsid w:val="00966716"/>
    <w:rsid w:val="009739C7"/>
    <w:rsid w:val="00975ABF"/>
    <w:rsid w:val="00987B1D"/>
    <w:rsid w:val="009A4F1F"/>
    <w:rsid w:val="009A5B26"/>
    <w:rsid w:val="009C3BB0"/>
    <w:rsid w:val="009C6DC6"/>
    <w:rsid w:val="009D1859"/>
    <w:rsid w:val="00A27B0E"/>
    <w:rsid w:val="00A35C5A"/>
    <w:rsid w:val="00A4354F"/>
    <w:rsid w:val="00A50B92"/>
    <w:rsid w:val="00A64A15"/>
    <w:rsid w:val="00A655D9"/>
    <w:rsid w:val="00A66CCD"/>
    <w:rsid w:val="00A70BA7"/>
    <w:rsid w:val="00A850BE"/>
    <w:rsid w:val="00A9670E"/>
    <w:rsid w:val="00AB03B6"/>
    <w:rsid w:val="00AE4041"/>
    <w:rsid w:val="00B3784E"/>
    <w:rsid w:val="00B40C91"/>
    <w:rsid w:val="00B777FA"/>
    <w:rsid w:val="00B87255"/>
    <w:rsid w:val="00B90492"/>
    <w:rsid w:val="00BC207C"/>
    <w:rsid w:val="00BC54B0"/>
    <w:rsid w:val="00BC77CF"/>
    <w:rsid w:val="00BC7D4F"/>
    <w:rsid w:val="00BE10D9"/>
    <w:rsid w:val="00C02108"/>
    <w:rsid w:val="00C04254"/>
    <w:rsid w:val="00C1174C"/>
    <w:rsid w:val="00C15046"/>
    <w:rsid w:val="00C257BA"/>
    <w:rsid w:val="00C340C5"/>
    <w:rsid w:val="00C62700"/>
    <w:rsid w:val="00C93F75"/>
    <w:rsid w:val="00C96FCA"/>
    <w:rsid w:val="00CA31F9"/>
    <w:rsid w:val="00CC13D3"/>
    <w:rsid w:val="00CC3250"/>
    <w:rsid w:val="00CD5938"/>
    <w:rsid w:val="00CE45AB"/>
    <w:rsid w:val="00CF79EC"/>
    <w:rsid w:val="00D06766"/>
    <w:rsid w:val="00D23939"/>
    <w:rsid w:val="00D336FB"/>
    <w:rsid w:val="00D41B8B"/>
    <w:rsid w:val="00D44DAB"/>
    <w:rsid w:val="00D607CE"/>
    <w:rsid w:val="00D61740"/>
    <w:rsid w:val="00D804BC"/>
    <w:rsid w:val="00D90B91"/>
    <w:rsid w:val="00D90F06"/>
    <w:rsid w:val="00D9513B"/>
    <w:rsid w:val="00DB734D"/>
    <w:rsid w:val="00DB7EF4"/>
    <w:rsid w:val="00DC636E"/>
    <w:rsid w:val="00DD6F7E"/>
    <w:rsid w:val="00DE36FC"/>
    <w:rsid w:val="00DE58C3"/>
    <w:rsid w:val="00DE6EEE"/>
    <w:rsid w:val="00DF1F36"/>
    <w:rsid w:val="00E27893"/>
    <w:rsid w:val="00E30804"/>
    <w:rsid w:val="00E31B69"/>
    <w:rsid w:val="00E34306"/>
    <w:rsid w:val="00E3684E"/>
    <w:rsid w:val="00E42B37"/>
    <w:rsid w:val="00E47C10"/>
    <w:rsid w:val="00E503C2"/>
    <w:rsid w:val="00E51262"/>
    <w:rsid w:val="00E605CA"/>
    <w:rsid w:val="00E62C54"/>
    <w:rsid w:val="00E774D4"/>
    <w:rsid w:val="00E85698"/>
    <w:rsid w:val="00E90673"/>
    <w:rsid w:val="00E93A9A"/>
    <w:rsid w:val="00E95C81"/>
    <w:rsid w:val="00EA330A"/>
    <w:rsid w:val="00EB6675"/>
    <w:rsid w:val="00EB684A"/>
    <w:rsid w:val="00EC1C21"/>
    <w:rsid w:val="00EC5810"/>
    <w:rsid w:val="00EC7D22"/>
    <w:rsid w:val="00ED3FD9"/>
    <w:rsid w:val="00EE658A"/>
    <w:rsid w:val="00F03D58"/>
    <w:rsid w:val="00F04D1C"/>
    <w:rsid w:val="00F0791F"/>
    <w:rsid w:val="00F12BB5"/>
    <w:rsid w:val="00F13F07"/>
    <w:rsid w:val="00F31408"/>
    <w:rsid w:val="00F93F49"/>
    <w:rsid w:val="00F94AD5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C883"/>
  <w15:chartTrackingRefBased/>
  <w15:docId w15:val="{608B7685-ABC0-4284-8F9A-FE005830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F3D"/>
    <w:pPr>
      <w:spacing w:after="118" w:line="357" w:lineRule="auto"/>
      <w:ind w:right="768" w:firstLine="50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F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F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F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F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F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F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F3D"/>
    <w:pPr>
      <w:numPr>
        <w:ilvl w:val="1"/>
      </w:numPr>
      <w:ind w:firstLine="50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4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4F3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44F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4F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F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F3D"/>
    <w:rPr>
      <w:b/>
      <w:bCs/>
      <w:smallCaps/>
      <w:color w:val="0F4761" w:themeColor="accent1" w:themeShade="BF"/>
      <w:spacing w:val="5"/>
    </w:rPr>
  </w:style>
  <w:style w:type="paragraph" w:customStyle="1" w:styleId="dtu">
    <w:name w:val="dtu"/>
    <w:basedOn w:val="Normalny"/>
    <w:rsid w:val="00044F3D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Cs w:val="24"/>
      <w14:ligatures w14:val="none"/>
    </w:rPr>
  </w:style>
  <w:style w:type="character" w:customStyle="1" w:styleId="ui-provider">
    <w:name w:val="ui-provider"/>
    <w:basedOn w:val="Domylnaczcionkaakapitu"/>
    <w:rsid w:val="00044F3D"/>
  </w:style>
  <w:style w:type="character" w:styleId="Odwoaniedokomentarza">
    <w:name w:val="annotation reference"/>
    <w:basedOn w:val="Domylnaczcionkaakapitu"/>
    <w:uiPriority w:val="99"/>
    <w:semiHidden/>
    <w:unhideWhenUsed/>
    <w:rsid w:val="00357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1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1A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89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89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5790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14218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583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EB6675"/>
    <w:rPr>
      <w:rFonts w:cs="Times New Roman"/>
      <w:vertAlign w:val="superscript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148F7"/>
    <w:pPr>
      <w:spacing w:after="0" w:line="360" w:lineRule="auto"/>
      <w:ind w:left="1020" w:right="0" w:hanging="510"/>
    </w:pPr>
    <w:rPr>
      <w:rFonts w:ascii="Times" w:eastAsiaTheme="minorEastAsia" w:hAnsi="Times" w:cs="Arial"/>
      <w:bCs/>
      <w:color w:val="auto"/>
      <w:kern w:val="0"/>
      <w:szCs w:val="20"/>
      <w14:ligatures w14:val="none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634E9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634E90"/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535FF3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2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E2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2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E29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zdamjrhaytcltqmfyc4nzsgaytimzqgi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Kalińska Sandra</dc:creator>
  <cp:keywords/>
  <dc:description/>
  <cp:lastModifiedBy>Binkowska Joanna</cp:lastModifiedBy>
  <cp:revision>3</cp:revision>
  <dcterms:created xsi:type="dcterms:W3CDTF">2024-11-19T14:46:00Z</dcterms:created>
  <dcterms:modified xsi:type="dcterms:W3CDTF">2024-11-19T14:46:00Z</dcterms:modified>
</cp:coreProperties>
</file>